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82" w:rsidRPr="00C955E8" w:rsidRDefault="001D0E82" w:rsidP="0029635A">
      <w:pPr>
        <w:spacing w:line="360" w:lineRule="auto"/>
        <w:contextualSpacing/>
        <w:jc w:val="center"/>
        <w:rPr>
          <w:rFonts w:cs="Times New Roman"/>
          <w:sz w:val="28"/>
          <w:szCs w:val="28"/>
        </w:rPr>
      </w:pPr>
      <w:r w:rsidRPr="00C955E8">
        <w:rPr>
          <w:rFonts w:cs="Times New Roman"/>
          <w:sz w:val="28"/>
          <w:szCs w:val="28"/>
        </w:rPr>
        <w:t>UNIVERZITA PALACKÉHO V OLOMOUCI</w:t>
      </w:r>
    </w:p>
    <w:p w:rsidR="001D0E82" w:rsidRPr="00C955E8" w:rsidRDefault="001D0E82" w:rsidP="0029635A">
      <w:pPr>
        <w:spacing w:line="360" w:lineRule="auto"/>
        <w:contextualSpacing/>
        <w:jc w:val="center"/>
        <w:rPr>
          <w:rFonts w:cs="Times New Roman"/>
          <w:sz w:val="28"/>
          <w:szCs w:val="28"/>
        </w:rPr>
      </w:pPr>
      <w:r w:rsidRPr="00C955E8">
        <w:rPr>
          <w:rFonts w:cs="Times New Roman"/>
          <w:sz w:val="28"/>
          <w:szCs w:val="28"/>
        </w:rPr>
        <w:t>Právnická fakulta</w:t>
      </w:r>
    </w:p>
    <w:p w:rsidR="001D0E82" w:rsidRPr="00C955E8" w:rsidRDefault="001D0E82" w:rsidP="0029635A">
      <w:pPr>
        <w:spacing w:line="360" w:lineRule="auto"/>
        <w:contextualSpacing/>
        <w:jc w:val="center"/>
        <w:rPr>
          <w:rFonts w:cs="Times New Roman"/>
          <w:sz w:val="28"/>
          <w:szCs w:val="28"/>
        </w:rPr>
      </w:pPr>
    </w:p>
    <w:p w:rsidR="001D0E82" w:rsidRPr="00C955E8" w:rsidRDefault="001D0E82" w:rsidP="0029635A">
      <w:pPr>
        <w:spacing w:line="360" w:lineRule="auto"/>
        <w:contextualSpacing/>
        <w:jc w:val="center"/>
        <w:rPr>
          <w:rFonts w:cs="Times New Roman"/>
          <w:sz w:val="28"/>
          <w:szCs w:val="28"/>
        </w:rPr>
      </w:pPr>
    </w:p>
    <w:p w:rsidR="001D0E82" w:rsidRPr="00C955E8" w:rsidRDefault="001D0E82" w:rsidP="0029635A">
      <w:pPr>
        <w:spacing w:line="360" w:lineRule="auto"/>
        <w:contextualSpacing/>
        <w:jc w:val="center"/>
        <w:rPr>
          <w:rFonts w:cs="Times New Roman"/>
          <w:sz w:val="28"/>
          <w:szCs w:val="28"/>
        </w:rPr>
      </w:pPr>
    </w:p>
    <w:p w:rsidR="001D0E82" w:rsidRPr="00C955E8" w:rsidRDefault="001D0E82" w:rsidP="0029635A">
      <w:pPr>
        <w:spacing w:line="360" w:lineRule="auto"/>
        <w:contextualSpacing/>
        <w:jc w:val="center"/>
        <w:rPr>
          <w:rFonts w:cs="Times New Roman"/>
          <w:sz w:val="28"/>
          <w:szCs w:val="28"/>
        </w:rPr>
      </w:pPr>
    </w:p>
    <w:p w:rsidR="00DD08B6" w:rsidRPr="00C955E8" w:rsidRDefault="00DD08B6" w:rsidP="0029635A">
      <w:pPr>
        <w:spacing w:line="360" w:lineRule="auto"/>
        <w:contextualSpacing/>
        <w:jc w:val="center"/>
        <w:rPr>
          <w:rFonts w:cs="Times New Roman"/>
          <w:sz w:val="28"/>
          <w:szCs w:val="28"/>
        </w:rPr>
      </w:pPr>
    </w:p>
    <w:p w:rsidR="009A301D" w:rsidRPr="00C955E8" w:rsidRDefault="009A301D" w:rsidP="0029635A">
      <w:pPr>
        <w:spacing w:line="360" w:lineRule="auto"/>
        <w:contextualSpacing/>
        <w:jc w:val="center"/>
        <w:rPr>
          <w:rFonts w:cs="Times New Roman"/>
          <w:sz w:val="28"/>
          <w:szCs w:val="28"/>
        </w:rPr>
      </w:pPr>
    </w:p>
    <w:p w:rsidR="009A301D" w:rsidRPr="00C955E8" w:rsidRDefault="009A301D" w:rsidP="0029635A">
      <w:pPr>
        <w:spacing w:line="360" w:lineRule="auto"/>
        <w:contextualSpacing/>
        <w:jc w:val="center"/>
        <w:rPr>
          <w:rFonts w:cs="Times New Roman"/>
          <w:sz w:val="28"/>
          <w:szCs w:val="28"/>
        </w:rPr>
      </w:pPr>
    </w:p>
    <w:p w:rsidR="009A301D" w:rsidRPr="00C955E8" w:rsidRDefault="009A301D" w:rsidP="0029635A">
      <w:pPr>
        <w:spacing w:line="360" w:lineRule="auto"/>
        <w:contextualSpacing/>
        <w:jc w:val="center"/>
        <w:rPr>
          <w:rFonts w:cs="Times New Roman"/>
          <w:sz w:val="28"/>
          <w:szCs w:val="28"/>
        </w:rPr>
      </w:pPr>
    </w:p>
    <w:p w:rsidR="009A301D" w:rsidRPr="00C955E8" w:rsidRDefault="009A301D" w:rsidP="0029635A">
      <w:pPr>
        <w:spacing w:line="360" w:lineRule="auto"/>
        <w:contextualSpacing/>
        <w:jc w:val="center"/>
        <w:rPr>
          <w:rFonts w:cs="Times New Roman"/>
          <w:sz w:val="28"/>
          <w:szCs w:val="28"/>
        </w:rPr>
      </w:pPr>
    </w:p>
    <w:p w:rsidR="001D0E82" w:rsidRPr="00C955E8" w:rsidRDefault="001D0E82" w:rsidP="0029635A">
      <w:pPr>
        <w:spacing w:line="360" w:lineRule="auto"/>
        <w:contextualSpacing/>
        <w:jc w:val="center"/>
        <w:rPr>
          <w:rFonts w:cs="Times New Roman"/>
          <w:sz w:val="28"/>
          <w:szCs w:val="28"/>
        </w:rPr>
      </w:pPr>
      <w:r w:rsidRPr="00C955E8">
        <w:rPr>
          <w:rFonts w:cs="Times New Roman"/>
          <w:sz w:val="28"/>
          <w:szCs w:val="28"/>
        </w:rPr>
        <w:t xml:space="preserve">Ondřej </w:t>
      </w:r>
      <w:proofErr w:type="spellStart"/>
      <w:r w:rsidRPr="00C955E8">
        <w:rPr>
          <w:rFonts w:cs="Times New Roman"/>
          <w:sz w:val="28"/>
          <w:szCs w:val="28"/>
        </w:rPr>
        <w:t>Ferdus</w:t>
      </w:r>
      <w:proofErr w:type="spellEnd"/>
    </w:p>
    <w:p w:rsidR="00C955E8" w:rsidRPr="00C955E8" w:rsidRDefault="00C955E8" w:rsidP="0029635A">
      <w:pPr>
        <w:spacing w:line="360" w:lineRule="auto"/>
        <w:contextualSpacing/>
        <w:jc w:val="center"/>
        <w:rPr>
          <w:rFonts w:cs="Times New Roman"/>
          <w:sz w:val="28"/>
          <w:szCs w:val="28"/>
        </w:rPr>
      </w:pPr>
    </w:p>
    <w:p w:rsidR="001D0E82" w:rsidRPr="00C955E8" w:rsidRDefault="001D0E82" w:rsidP="0029635A">
      <w:pPr>
        <w:spacing w:line="360" w:lineRule="auto"/>
        <w:contextualSpacing/>
        <w:jc w:val="center"/>
        <w:rPr>
          <w:rFonts w:cs="Times New Roman"/>
          <w:sz w:val="28"/>
          <w:szCs w:val="28"/>
        </w:rPr>
      </w:pPr>
      <w:r w:rsidRPr="00C955E8">
        <w:rPr>
          <w:rFonts w:cs="Times New Roman"/>
          <w:sz w:val="28"/>
          <w:szCs w:val="28"/>
        </w:rPr>
        <w:t xml:space="preserve">Analýza efektivnosti legislativní činnosti horní komory Parlamentu </w:t>
      </w:r>
      <w:r w:rsidR="00C955E8">
        <w:rPr>
          <w:rFonts w:cs="Times New Roman"/>
          <w:sz w:val="28"/>
          <w:szCs w:val="28"/>
        </w:rPr>
        <w:br/>
      </w:r>
      <w:r w:rsidRPr="00C955E8">
        <w:rPr>
          <w:rFonts w:cs="Times New Roman"/>
          <w:sz w:val="28"/>
          <w:szCs w:val="28"/>
        </w:rPr>
        <w:t>České republiky</w:t>
      </w:r>
    </w:p>
    <w:p w:rsidR="00C955E8" w:rsidRDefault="00C955E8" w:rsidP="0029635A">
      <w:pPr>
        <w:spacing w:line="360" w:lineRule="auto"/>
        <w:contextualSpacing/>
        <w:jc w:val="center"/>
        <w:rPr>
          <w:rFonts w:cs="Times New Roman"/>
          <w:sz w:val="28"/>
          <w:szCs w:val="28"/>
        </w:rPr>
      </w:pPr>
    </w:p>
    <w:p w:rsidR="001D0E82" w:rsidRPr="00C955E8" w:rsidRDefault="001D0E82" w:rsidP="0029635A">
      <w:pPr>
        <w:spacing w:line="360" w:lineRule="auto"/>
        <w:contextualSpacing/>
        <w:jc w:val="center"/>
        <w:rPr>
          <w:rFonts w:cs="Times New Roman"/>
          <w:sz w:val="28"/>
          <w:szCs w:val="28"/>
        </w:rPr>
      </w:pPr>
      <w:r w:rsidRPr="00C955E8">
        <w:rPr>
          <w:rFonts w:cs="Times New Roman"/>
          <w:sz w:val="28"/>
          <w:szCs w:val="28"/>
        </w:rPr>
        <w:t>Diplomová práce</w:t>
      </w:r>
    </w:p>
    <w:p w:rsidR="001D0E82" w:rsidRPr="00C955E8" w:rsidRDefault="001D0E82" w:rsidP="0029635A">
      <w:pPr>
        <w:spacing w:line="360" w:lineRule="auto"/>
        <w:contextualSpacing/>
        <w:jc w:val="center"/>
        <w:rPr>
          <w:rFonts w:cs="Times New Roman"/>
          <w:sz w:val="28"/>
          <w:szCs w:val="28"/>
        </w:rPr>
      </w:pPr>
    </w:p>
    <w:p w:rsidR="001D0E82" w:rsidRPr="00C955E8" w:rsidRDefault="001D0E82" w:rsidP="0029635A">
      <w:pPr>
        <w:spacing w:line="360" w:lineRule="auto"/>
        <w:contextualSpacing/>
        <w:jc w:val="center"/>
        <w:rPr>
          <w:rFonts w:cs="Times New Roman"/>
          <w:sz w:val="28"/>
          <w:szCs w:val="28"/>
        </w:rPr>
      </w:pPr>
    </w:p>
    <w:p w:rsidR="001D0E82" w:rsidRPr="00C955E8" w:rsidRDefault="001D0E82" w:rsidP="0029635A">
      <w:pPr>
        <w:spacing w:line="360" w:lineRule="auto"/>
        <w:contextualSpacing/>
        <w:jc w:val="center"/>
        <w:rPr>
          <w:rFonts w:cs="Times New Roman"/>
          <w:sz w:val="28"/>
          <w:szCs w:val="28"/>
        </w:rPr>
      </w:pPr>
    </w:p>
    <w:p w:rsidR="001D0E82" w:rsidRPr="00C955E8" w:rsidRDefault="001D0E82" w:rsidP="0029635A">
      <w:pPr>
        <w:spacing w:line="360" w:lineRule="auto"/>
        <w:contextualSpacing/>
        <w:jc w:val="center"/>
        <w:rPr>
          <w:rFonts w:cs="Times New Roman"/>
          <w:sz w:val="28"/>
          <w:szCs w:val="28"/>
        </w:rPr>
      </w:pPr>
    </w:p>
    <w:p w:rsidR="001D0E82" w:rsidRPr="00C955E8" w:rsidRDefault="001D0E82" w:rsidP="0029635A">
      <w:pPr>
        <w:spacing w:line="360" w:lineRule="auto"/>
        <w:contextualSpacing/>
        <w:jc w:val="center"/>
        <w:rPr>
          <w:rFonts w:cs="Times New Roman"/>
          <w:sz w:val="28"/>
          <w:szCs w:val="28"/>
        </w:rPr>
      </w:pPr>
    </w:p>
    <w:p w:rsidR="001D0E82" w:rsidRPr="00C955E8" w:rsidRDefault="001D0E82" w:rsidP="0029635A">
      <w:pPr>
        <w:spacing w:line="360" w:lineRule="auto"/>
        <w:contextualSpacing/>
        <w:jc w:val="center"/>
        <w:rPr>
          <w:rFonts w:cs="Times New Roman"/>
          <w:sz w:val="28"/>
          <w:szCs w:val="28"/>
        </w:rPr>
      </w:pPr>
    </w:p>
    <w:p w:rsidR="009A301D" w:rsidRPr="00C955E8" w:rsidRDefault="009A301D" w:rsidP="0029635A">
      <w:pPr>
        <w:spacing w:line="360" w:lineRule="auto"/>
        <w:contextualSpacing/>
        <w:jc w:val="center"/>
        <w:rPr>
          <w:rFonts w:cs="Times New Roman"/>
          <w:sz w:val="28"/>
          <w:szCs w:val="28"/>
        </w:rPr>
      </w:pPr>
    </w:p>
    <w:p w:rsidR="009A301D" w:rsidRPr="00C955E8" w:rsidRDefault="009A301D" w:rsidP="0029635A">
      <w:pPr>
        <w:spacing w:line="360" w:lineRule="auto"/>
        <w:contextualSpacing/>
        <w:jc w:val="center"/>
        <w:rPr>
          <w:rFonts w:cs="Times New Roman"/>
          <w:sz w:val="28"/>
          <w:szCs w:val="28"/>
        </w:rPr>
      </w:pPr>
    </w:p>
    <w:p w:rsidR="009A301D" w:rsidRPr="00C955E8" w:rsidRDefault="009A301D" w:rsidP="0029635A">
      <w:pPr>
        <w:spacing w:line="360" w:lineRule="auto"/>
        <w:contextualSpacing/>
        <w:jc w:val="center"/>
        <w:rPr>
          <w:rFonts w:cs="Times New Roman"/>
          <w:sz w:val="28"/>
          <w:szCs w:val="28"/>
        </w:rPr>
      </w:pPr>
    </w:p>
    <w:p w:rsidR="00C955E8" w:rsidRPr="00C955E8" w:rsidRDefault="00C955E8" w:rsidP="0029635A">
      <w:pPr>
        <w:spacing w:line="360" w:lineRule="auto"/>
        <w:contextualSpacing/>
        <w:jc w:val="center"/>
        <w:rPr>
          <w:rFonts w:cs="Times New Roman"/>
          <w:sz w:val="28"/>
          <w:szCs w:val="28"/>
        </w:rPr>
      </w:pPr>
    </w:p>
    <w:p w:rsidR="001D0E82" w:rsidRPr="00C955E8" w:rsidRDefault="001D0E82" w:rsidP="0029635A">
      <w:pPr>
        <w:spacing w:line="360" w:lineRule="auto"/>
        <w:contextualSpacing/>
        <w:jc w:val="center"/>
        <w:rPr>
          <w:rFonts w:cs="Times New Roman"/>
          <w:sz w:val="28"/>
          <w:szCs w:val="28"/>
        </w:rPr>
      </w:pPr>
      <w:r w:rsidRPr="00C955E8">
        <w:rPr>
          <w:rFonts w:cs="Times New Roman"/>
          <w:sz w:val="28"/>
          <w:szCs w:val="28"/>
        </w:rPr>
        <w:t>OLOMOUC</w:t>
      </w:r>
      <w:r w:rsidR="00C955E8" w:rsidRPr="00C955E8">
        <w:rPr>
          <w:rFonts w:cs="Times New Roman"/>
          <w:sz w:val="28"/>
          <w:szCs w:val="28"/>
        </w:rPr>
        <w:t xml:space="preserve"> </w:t>
      </w:r>
      <w:r w:rsidRPr="00C955E8">
        <w:rPr>
          <w:rFonts w:cs="Times New Roman"/>
          <w:sz w:val="28"/>
          <w:szCs w:val="28"/>
        </w:rPr>
        <w:t>2013</w:t>
      </w: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D0E82" w:rsidRPr="00805964" w:rsidRDefault="001D0E82" w:rsidP="0029635A">
      <w:pPr>
        <w:autoSpaceDE w:val="0"/>
        <w:autoSpaceDN w:val="0"/>
        <w:adjustRightInd w:val="0"/>
        <w:spacing w:after="0" w:line="360" w:lineRule="auto"/>
        <w:contextualSpacing/>
        <w:jc w:val="both"/>
        <w:rPr>
          <w:rFonts w:cs="Times New Roman"/>
          <w:szCs w:val="24"/>
        </w:rPr>
      </w:pPr>
    </w:p>
    <w:p w:rsidR="001C6539" w:rsidRPr="00805964" w:rsidRDefault="001C6539" w:rsidP="0029635A">
      <w:pPr>
        <w:autoSpaceDE w:val="0"/>
        <w:autoSpaceDN w:val="0"/>
        <w:adjustRightInd w:val="0"/>
        <w:spacing w:after="0" w:line="360" w:lineRule="auto"/>
        <w:contextualSpacing/>
        <w:jc w:val="both"/>
        <w:rPr>
          <w:rFonts w:cs="Times New Roman"/>
          <w:szCs w:val="24"/>
        </w:rPr>
      </w:pPr>
    </w:p>
    <w:p w:rsidR="001C6539" w:rsidRPr="00805964" w:rsidRDefault="001C6539" w:rsidP="0029635A">
      <w:pPr>
        <w:autoSpaceDE w:val="0"/>
        <w:autoSpaceDN w:val="0"/>
        <w:adjustRightInd w:val="0"/>
        <w:spacing w:after="0" w:line="360" w:lineRule="auto"/>
        <w:contextualSpacing/>
        <w:jc w:val="both"/>
        <w:rPr>
          <w:rFonts w:cs="Times New Roman"/>
          <w:szCs w:val="24"/>
        </w:rPr>
      </w:pPr>
    </w:p>
    <w:p w:rsidR="001D0E82" w:rsidRPr="00C955E8" w:rsidRDefault="00267AB1" w:rsidP="00C955E8">
      <w:pPr>
        <w:spacing w:line="360" w:lineRule="auto"/>
        <w:contextualSpacing/>
        <w:jc w:val="both"/>
        <w:rPr>
          <w:rFonts w:cs="Times New Roman"/>
          <w:sz w:val="28"/>
          <w:szCs w:val="28"/>
        </w:rPr>
      </w:pPr>
      <w:r>
        <w:rPr>
          <w:rFonts w:cs="Times New Roman"/>
          <w:szCs w:val="24"/>
        </w:rPr>
        <w:t xml:space="preserve">Prohlašuji, že jsem </w:t>
      </w:r>
      <w:r w:rsidR="001D0E82" w:rsidRPr="00805964">
        <w:rPr>
          <w:rFonts w:cs="Times New Roman"/>
          <w:szCs w:val="24"/>
        </w:rPr>
        <w:t xml:space="preserve">diplomovou práci </w:t>
      </w:r>
      <w:r w:rsidR="00C955E8">
        <w:rPr>
          <w:rFonts w:cs="Times New Roman"/>
          <w:szCs w:val="24"/>
        </w:rPr>
        <w:t xml:space="preserve">na téma </w:t>
      </w:r>
      <w:r w:rsidR="00C955E8" w:rsidRPr="00C955E8">
        <w:rPr>
          <w:rFonts w:cs="Times New Roman"/>
          <w:i/>
          <w:szCs w:val="24"/>
        </w:rPr>
        <w:t>Analýza efektivnosti legislativní činnosti horní komory Parlamentu České republiky</w:t>
      </w:r>
      <w:r w:rsidR="00C955E8">
        <w:rPr>
          <w:rFonts w:cs="Times New Roman"/>
          <w:sz w:val="28"/>
          <w:szCs w:val="28"/>
        </w:rPr>
        <w:t xml:space="preserve"> </w:t>
      </w:r>
      <w:r w:rsidR="001D0E82" w:rsidRPr="00805964">
        <w:rPr>
          <w:rFonts w:cs="Times New Roman"/>
          <w:szCs w:val="24"/>
        </w:rPr>
        <w:t xml:space="preserve">vypracoval samostatně </w:t>
      </w:r>
      <w:r w:rsidR="00C955E8">
        <w:rPr>
          <w:rFonts w:cs="Times New Roman"/>
          <w:szCs w:val="24"/>
        </w:rPr>
        <w:t>a citoval jsem všechny použité zdroje.</w:t>
      </w:r>
    </w:p>
    <w:p w:rsidR="001D0E82" w:rsidRPr="00805964" w:rsidRDefault="001D0E82" w:rsidP="0029635A">
      <w:pPr>
        <w:spacing w:line="360" w:lineRule="auto"/>
        <w:contextualSpacing/>
        <w:jc w:val="both"/>
        <w:rPr>
          <w:rFonts w:cs="Times New Roman"/>
          <w:szCs w:val="24"/>
        </w:rPr>
      </w:pPr>
    </w:p>
    <w:p w:rsidR="001D0E82" w:rsidRPr="00805964" w:rsidRDefault="001D0E82" w:rsidP="0029635A">
      <w:pPr>
        <w:spacing w:line="360" w:lineRule="auto"/>
        <w:contextualSpacing/>
        <w:jc w:val="both"/>
        <w:rPr>
          <w:rFonts w:cs="Times New Roman"/>
          <w:szCs w:val="24"/>
        </w:rPr>
      </w:pPr>
      <w:r w:rsidRPr="00805964">
        <w:rPr>
          <w:rFonts w:cs="Times New Roman"/>
          <w:szCs w:val="24"/>
        </w:rPr>
        <w:t xml:space="preserve">V </w:t>
      </w:r>
      <w:r w:rsidR="006F71A0" w:rsidRPr="00805964">
        <w:rPr>
          <w:rFonts w:cs="Times New Roman"/>
          <w:szCs w:val="24"/>
        </w:rPr>
        <w:t>Brně</w:t>
      </w:r>
      <w:r w:rsidRPr="00805964">
        <w:rPr>
          <w:rFonts w:cs="Times New Roman"/>
          <w:szCs w:val="24"/>
        </w:rPr>
        <w:t xml:space="preserve"> dne</w:t>
      </w:r>
      <w:r w:rsidR="008A7721">
        <w:rPr>
          <w:rFonts w:cs="Times New Roman"/>
          <w:szCs w:val="24"/>
        </w:rPr>
        <w:t xml:space="preserve"> 25. června 2013</w:t>
      </w:r>
    </w:p>
    <w:p w:rsidR="001C6539" w:rsidRPr="00805964" w:rsidRDefault="001C6539" w:rsidP="0029635A">
      <w:pPr>
        <w:spacing w:line="360" w:lineRule="auto"/>
        <w:contextualSpacing/>
        <w:jc w:val="both"/>
        <w:rPr>
          <w:rFonts w:cs="Times New Roman"/>
          <w:szCs w:val="24"/>
        </w:rPr>
      </w:pPr>
    </w:p>
    <w:sdt>
      <w:sdtPr>
        <w:rPr>
          <w:rFonts w:ascii="Times New Roman" w:eastAsiaTheme="minorHAnsi" w:hAnsi="Times New Roman" w:cs="Times New Roman"/>
          <w:b w:val="0"/>
          <w:bCs w:val="0"/>
          <w:color w:val="auto"/>
          <w:sz w:val="24"/>
          <w:szCs w:val="22"/>
        </w:rPr>
        <w:id w:val="402666552"/>
        <w:docPartObj>
          <w:docPartGallery w:val="Table of Contents"/>
          <w:docPartUnique/>
        </w:docPartObj>
      </w:sdtPr>
      <w:sdtContent>
        <w:p w:rsidR="001D0E82" w:rsidRPr="00805964" w:rsidRDefault="001D0E82" w:rsidP="0029635A">
          <w:pPr>
            <w:pStyle w:val="Nadpisobsahu"/>
            <w:spacing w:line="360" w:lineRule="auto"/>
            <w:contextualSpacing/>
            <w:jc w:val="both"/>
            <w:rPr>
              <w:rFonts w:ascii="Times New Roman" w:hAnsi="Times New Roman" w:cs="Times New Roman"/>
              <w:color w:val="auto"/>
            </w:rPr>
          </w:pPr>
          <w:r w:rsidRPr="00805964">
            <w:rPr>
              <w:rFonts w:ascii="Times New Roman" w:hAnsi="Times New Roman" w:cs="Times New Roman"/>
              <w:color w:val="auto"/>
            </w:rPr>
            <w:t>Obsah</w:t>
          </w:r>
        </w:p>
        <w:p w:rsidR="001D0E82" w:rsidRPr="00805964" w:rsidRDefault="001D0E82" w:rsidP="0029635A">
          <w:pPr>
            <w:spacing w:line="360" w:lineRule="auto"/>
            <w:contextualSpacing/>
            <w:jc w:val="both"/>
            <w:rPr>
              <w:rFonts w:cs="Times New Roman"/>
            </w:rPr>
          </w:pPr>
        </w:p>
        <w:p w:rsidR="00A70AAB" w:rsidRDefault="00EE58B6">
          <w:pPr>
            <w:pStyle w:val="Obsah1"/>
            <w:tabs>
              <w:tab w:val="right" w:leader="dot" w:pos="9061"/>
            </w:tabs>
            <w:rPr>
              <w:rFonts w:asciiTheme="minorHAnsi" w:eastAsiaTheme="minorEastAsia" w:hAnsiTheme="minorHAnsi"/>
              <w:noProof/>
              <w:sz w:val="22"/>
              <w:lang w:eastAsia="cs-CZ"/>
            </w:rPr>
          </w:pPr>
          <w:r w:rsidRPr="00805964">
            <w:rPr>
              <w:rFonts w:cs="Times New Roman"/>
            </w:rPr>
            <w:fldChar w:fldCharType="begin"/>
          </w:r>
          <w:r w:rsidR="001D0E82" w:rsidRPr="00805964">
            <w:rPr>
              <w:rFonts w:cs="Times New Roman"/>
            </w:rPr>
            <w:instrText xml:space="preserve"> TOC \o "1-3" \h \z \u </w:instrText>
          </w:r>
          <w:r w:rsidRPr="00805964">
            <w:rPr>
              <w:rFonts w:cs="Times New Roman"/>
            </w:rPr>
            <w:fldChar w:fldCharType="separate"/>
          </w:r>
          <w:hyperlink w:anchor="_Toc359918268" w:history="1">
            <w:r w:rsidR="00A70AAB" w:rsidRPr="004937B6">
              <w:rPr>
                <w:rStyle w:val="Hypertextovodkaz"/>
                <w:noProof/>
              </w:rPr>
              <w:t>Úvod</w:t>
            </w:r>
            <w:r w:rsidR="00A70AAB">
              <w:rPr>
                <w:noProof/>
                <w:webHidden/>
              </w:rPr>
              <w:tab/>
            </w:r>
            <w:r>
              <w:rPr>
                <w:noProof/>
                <w:webHidden/>
              </w:rPr>
              <w:fldChar w:fldCharType="begin"/>
            </w:r>
            <w:r w:rsidR="00A70AAB">
              <w:rPr>
                <w:noProof/>
                <w:webHidden/>
              </w:rPr>
              <w:instrText xml:space="preserve"> PAGEREF _Toc359918268 \h </w:instrText>
            </w:r>
            <w:r>
              <w:rPr>
                <w:noProof/>
                <w:webHidden/>
              </w:rPr>
            </w:r>
            <w:r>
              <w:rPr>
                <w:noProof/>
                <w:webHidden/>
              </w:rPr>
              <w:fldChar w:fldCharType="separate"/>
            </w:r>
            <w:r w:rsidR="00BE18D5">
              <w:rPr>
                <w:noProof/>
                <w:webHidden/>
              </w:rPr>
              <w:t>5</w:t>
            </w:r>
            <w:r>
              <w:rPr>
                <w:noProof/>
                <w:webHidden/>
              </w:rPr>
              <w:fldChar w:fldCharType="end"/>
            </w:r>
          </w:hyperlink>
        </w:p>
        <w:p w:rsidR="00A70AAB" w:rsidRDefault="00EE58B6">
          <w:pPr>
            <w:pStyle w:val="Obsah1"/>
            <w:tabs>
              <w:tab w:val="right" w:leader="dot" w:pos="9061"/>
            </w:tabs>
            <w:rPr>
              <w:rFonts w:asciiTheme="minorHAnsi" w:eastAsiaTheme="minorEastAsia" w:hAnsiTheme="minorHAnsi"/>
              <w:noProof/>
              <w:sz w:val="22"/>
              <w:lang w:eastAsia="cs-CZ"/>
            </w:rPr>
          </w:pPr>
          <w:hyperlink w:anchor="_Toc359918269" w:history="1">
            <w:r w:rsidR="00A70AAB" w:rsidRPr="004937B6">
              <w:rPr>
                <w:rStyle w:val="Hypertextovodkaz"/>
                <w:rFonts w:cs="Times New Roman"/>
                <w:noProof/>
              </w:rPr>
              <w:t>1. Teoretické zakotvení: teorie bikameralismu a druhé komory</w:t>
            </w:r>
            <w:r w:rsidR="00A70AAB">
              <w:rPr>
                <w:noProof/>
                <w:webHidden/>
              </w:rPr>
              <w:tab/>
            </w:r>
            <w:r>
              <w:rPr>
                <w:noProof/>
                <w:webHidden/>
              </w:rPr>
              <w:fldChar w:fldCharType="begin"/>
            </w:r>
            <w:r w:rsidR="00A70AAB">
              <w:rPr>
                <w:noProof/>
                <w:webHidden/>
              </w:rPr>
              <w:instrText xml:space="preserve"> PAGEREF _Toc359918269 \h </w:instrText>
            </w:r>
            <w:r>
              <w:rPr>
                <w:noProof/>
                <w:webHidden/>
              </w:rPr>
            </w:r>
            <w:r>
              <w:rPr>
                <w:noProof/>
                <w:webHidden/>
              </w:rPr>
              <w:fldChar w:fldCharType="separate"/>
            </w:r>
            <w:r w:rsidR="00BE18D5">
              <w:rPr>
                <w:noProof/>
                <w:webHidden/>
              </w:rPr>
              <w:t>9</w:t>
            </w:r>
            <w:r>
              <w:rPr>
                <w:noProof/>
                <w:webHidden/>
              </w:rPr>
              <w:fldChar w:fldCharType="end"/>
            </w:r>
          </w:hyperlink>
        </w:p>
        <w:p w:rsidR="00A70AAB" w:rsidRDefault="00EE58B6">
          <w:pPr>
            <w:pStyle w:val="Obsah2"/>
            <w:tabs>
              <w:tab w:val="right" w:leader="dot" w:pos="9061"/>
            </w:tabs>
            <w:rPr>
              <w:rFonts w:asciiTheme="minorHAnsi" w:eastAsiaTheme="minorEastAsia" w:hAnsiTheme="minorHAnsi"/>
              <w:noProof/>
              <w:sz w:val="22"/>
              <w:lang w:eastAsia="cs-CZ"/>
            </w:rPr>
          </w:pPr>
          <w:hyperlink w:anchor="_Toc359918270" w:history="1">
            <w:r w:rsidR="00A70AAB" w:rsidRPr="004937B6">
              <w:rPr>
                <w:rStyle w:val="Hypertextovodkaz"/>
                <w:noProof/>
              </w:rPr>
              <w:t>1. 1 Bikameralismus a druhé komory</w:t>
            </w:r>
            <w:r w:rsidR="00A70AAB">
              <w:rPr>
                <w:noProof/>
                <w:webHidden/>
              </w:rPr>
              <w:tab/>
            </w:r>
            <w:r>
              <w:rPr>
                <w:noProof/>
                <w:webHidden/>
              </w:rPr>
              <w:fldChar w:fldCharType="begin"/>
            </w:r>
            <w:r w:rsidR="00A70AAB">
              <w:rPr>
                <w:noProof/>
                <w:webHidden/>
              </w:rPr>
              <w:instrText xml:space="preserve"> PAGEREF _Toc359918270 \h </w:instrText>
            </w:r>
            <w:r>
              <w:rPr>
                <w:noProof/>
                <w:webHidden/>
              </w:rPr>
            </w:r>
            <w:r>
              <w:rPr>
                <w:noProof/>
                <w:webHidden/>
              </w:rPr>
              <w:fldChar w:fldCharType="separate"/>
            </w:r>
            <w:r w:rsidR="00BE18D5">
              <w:rPr>
                <w:noProof/>
                <w:webHidden/>
              </w:rPr>
              <w:t>10</w:t>
            </w:r>
            <w:r>
              <w:rPr>
                <w:noProof/>
                <w:webHidden/>
              </w:rPr>
              <w:fldChar w:fldCharType="end"/>
            </w:r>
          </w:hyperlink>
        </w:p>
        <w:p w:rsidR="00A70AAB" w:rsidRDefault="00EE58B6">
          <w:pPr>
            <w:pStyle w:val="Obsah2"/>
            <w:tabs>
              <w:tab w:val="right" w:leader="dot" w:pos="9061"/>
            </w:tabs>
            <w:rPr>
              <w:rFonts w:asciiTheme="minorHAnsi" w:eastAsiaTheme="minorEastAsia" w:hAnsiTheme="minorHAnsi"/>
              <w:noProof/>
              <w:sz w:val="22"/>
              <w:lang w:eastAsia="cs-CZ"/>
            </w:rPr>
          </w:pPr>
          <w:hyperlink w:anchor="_Toc359918271" w:history="1">
            <w:r w:rsidR="00A70AAB" w:rsidRPr="004937B6">
              <w:rPr>
                <w:rStyle w:val="Hypertextovodkaz"/>
                <w:noProof/>
              </w:rPr>
              <w:t>1. 2 Funkce druhých komor</w:t>
            </w:r>
            <w:r w:rsidR="00A70AAB">
              <w:rPr>
                <w:noProof/>
                <w:webHidden/>
              </w:rPr>
              <w:tab/>
            </w:r>
            <w:r>
              <w:rPr>
                <w:noProof/>
                <w:webHidden/>
              </w:rPr>
              <w:fldChar w:fldCharType="begin"/>
            </w:r>
            <w:r w:rsidR="00A70AAB">
              <w:rPr>
                <w:noProof/>
                <w:webHidden/>
              </w:rPr>
              <w:instrText xml:space="preserve"> PAGEREF _Toc359918271 \h </w:instrText>
            </w:r>
            <w:r>
              <w:rPr>
                <w:noProof/>
                <w:webHidden/>
              </w:rPr>
            </w:r>
            <w:r>
              <w:rPr>
                <w:noProof/>
                <w:webHidden/>
              </w:rPr>
              <w:fldChar w:fldCharType="separate"/>
            </w:r>
            <w:r w:rsidR="00BE18D5">
              <w:rPr>
                <w:noProof/>
                <w:webHidden/>
              </w:rPr>
              <w:t>11</w:t>
            </w:r>
            <w:r>
              <w:rPr>
                <w:noProof/>
                <w:webHidden/>
              </w:rPr>
              <w:fldChar w:fldCharType="end"/>
            </w:r>
          </w:hyperlink>
        </w:p>
        <w:p w:rsidR="00A70AAB" w:rsidRDefault="00EE58B6">
          <w:pPr>
            <w:pStyle w:val="Obsah2"/>
            <w:tabs>
              <w:tab w:val="right" w:leader="dot" w:pos="9061"/>
            </w:tabs>
            <w:rPr>
              <w:rFonts w:asciiTheme="minorHAnsi" w:eastAsiaTheme="minorEastAsia" w:hAnsiTheme="minorHAnsi"/>
              <w:noProof/>
              <w:sz w:val="22"/>
              <w:lang w:eastAsia="cs-CZ"/>
            </w:rPr>
          </w:pPr>
          <w:hyperlink w:anchor="_Toc359918272" w:history="1">
            <w:r w:rsidR="00A70AAB" w:rsidRPr="004937B6">
              <w:rPr>
                <w:rStyle w:val="Hypertextovodkaz"/>
                <w:rFonts w:cs="Times New Roman"/>
                <w:noProof/>
              </w:rPr>
              <w:t>1. 3 Bikameralismus v unitárních státech</w:t>
            </w:r>
            <w:r w:rsidR="00A70AAB">
              <w:rPr>
                <w:noProof/>
                <w:webHidden/>
              </w:rPr>
              <w:tab/>
            </w:r>
            <w:r>
              <w:rPr>
                <w:noProof/>
                <w:webHidden/>
              </w:rPr>
              <w:fldChar w:fldCharType="begin"/>
            </w:r>
            <w:r w:rsidR="00A70AAB">
              <w:rPr>
                <w:noProof/>
                <w:webHidden/>
              </w:rPr>
              <w:instrText xml:space="preserve"> PAGEREF _Toc359918272 \h </w:instrText>
            </w:r>
            <w:r>
              <w:rPr>
                <w:noProof/>
                <w:webHidden/>
              </w:rPr>
            </w:r>
            <w:r>
              <w:rPr>
                <w:noProof/>
                <w:webHidden/>
              </w:rPr>
              <w:fldChar w:fldCharType="separate"/>
            </w:r>
            <w:r w:rsidR="00BE18D5">
              <w:rPr>
                <w:noProof/>
                <w:webHidden/>
              </w:rPr>
              <w:t>13</w:t>
            </w:r>
            <w:r>
              <w:rPr>
                <w:noProof/>
                <w:webHidden/>
              </w:rPr>
              <w:fldChar w:fldCharType="end"/>
            </w:r>
          </w:hyperlink>
        </w:p>
        <w:p w:rsidR="00A70AAB" w:rsidRDefault="00EE58B6">
          <w:pPr>
            <w:pStyle w:val="Obsah2"/>
            <w:tabs>
              <w:tab w:val="right" w:leader="dot" w:pos="9061"/>
            </w:tabs>
            <w:rPr>
              <w:rFonts w:asciiTheme="minorHAnsi" w:eastAsiaTheme="minorEastAsia" w:hAnsiTheme="minorHAnsi"/>
              <w:noProof/>
              <w:sz w:val="22"/>
              <w:lang w:eastAsia="cs-CZ"/>
            </w:rPr>
          </w:pPr>
          <w:hyperlink w:anchor="_Toc359918273" w:history="1">
            <w:r w:rsidR="00A70AAB" w:rsidRPr="004937B6">
              <w:rPr>
                <w:rStyle w:val="Hypertextovodkaz"/>
                <w:rFonts w:cs="Times New Roman"/>
                <w:noProof/>
              </w:rPr>
              <w:t>1. 4 Bikameralismus v českých zemích</w:t>
            </w:r>
            <w:r w:rsidR="00A70AAB">
              <w:rPr>
                <w:noProof/>
                <w:webHidden/>
              </w:rPr>
              <w:tab/>
            </w:r>
            <w:r>
              <w:rPr>
                <w:noProof/>
                <w:webHidden/>
              </w:rPr>
              <w:fldChar w:fldCharType="begin"/>
            </w:r>
            <w:r w:rsidR="00A70AAB">
              <w:rPr>
                <w:noProof/>
                <w:webHidden/>
              </w:rPr>
              <w:instrText xml:space="preserve"> PAGEREF _Toc359918273 \h </w:instrText>
            </w:r>
            <w:r>
              <w:rPr>
                <w:noProof/>
                <w:webHidden/>
              </w:rPr>
            </w:r>
            <w:r>
              <w:rPr>
                <w:noProof/>
                <w:webHidden/>
              </w:rPr>
              <w:fldChar w:fldCharType="separate"/>
            </w:r>
            <w:r w:rsidR="00BE18D5">
              <w:rPr>
                <w:noProof/>
                <w:webHidden/>
              </w:rPr>
              <w:t>15</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74" w:history="1">
            <w:r w:rsidR="00A70AAB" w:rsidRPr="004937B6">
              <w:rPr>
                <w:rStyle w:val="Hypertextovodkaz"/>
                <w:rFonts w:cs="Times New Roman"/>
                <w:noProof/>
              </w:rPr>
              <w:t>1. 4. 1 Ústava z roku 1920 a zakotvení bikameralismu v ústavním pořádku</w:t>
            </w:r>
            <w:r w:rsidR="00A70AAB">
              <w:rPr>
                <w:noProof/>
                <w:webHidden/>
              </w:rPr>
              <w:tab/>
            </w:r>
            <w:r>
              <w:rPr>
                <w:noProof/>
                <w:webHidden/>
              </w:rPr>
              <w:fldChar w:fldCharType="begin"/>
            </w:r>
            <w:r w:rsidR="00A70AAB">
              <w:rPr>
                <w:noProof/>
                <w:webHidden/>
              </w:rPr>
              <w:instrText xml:space="preserve"> PAGEREF _Toc359918274 \h </w:instrText>
            </w:r>
            <w:r>
              <w:rPr>
                <w:noProof/>
                <w:webHidden/>
              </w:rPr>
            </w:r>
            <w:r>
              <w:rPr>
                <w:noProof/>
                <w:webHidden/>
              </w:rPr>
              <w:fldChar w:fldCharType="separate"/>
            </w:r>
            <w:r w:rsidR="00BE18D5">
              <w:rPr>
                <w:noProof/>
                <w:webHidden/>
              </w:rPr>
              <w:t>15</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75" w:history="1">
            <w:r w:rsidR="00A70AAB" w:rsidRPr="004937B6">
              <w:rPr>
                <w:rStyle w:val="Hypertextovodkaz"/>
                <w:rFonts w:cs="Times New Roman"/>
                <w:noProof/>
              </w:rPr>
              <w:t>1. 4. 2 Zakotvení bikameralismu v České republice</w:t>
            </w:r>
            <w:r w:rsidR="00A70AAB">
              <w:rPr>
                <w:noProof/>
                <w:webHidden/>
              </w:rPr>
              <w:tab/>
            </w:r>
            <w:r>
              <w:rPr>
                <w:noProof/>
                <w:webHidden/>
              </w:rPr>
              <w:fldChar w:fldCharType="begin"/>
            </w:r>
            <w:r w:rsidR="00A70AAB">
              <w:rPr>
                <w:noProof/>
                <w:webHidden/>
              </w:rPr>
              <w:instrText xml:space="preserve"> PAGEREF _Toc359918275 \h </w:instrText>
            </w:r>
            <w:r>
              <w:rPr>
                <w:noProof/>
                <w:webHidden/>
              </w:rPr>
            </w:r>
            <w:r>
              <w:rPr>
                <w:noProof/>
                <w:webHidden/>
              </w:rPr>
              <w:fldChar w:fldCharType="separate"/>
            </w:r>
            <w:r w:rsidR="00BE18D5">
              <w:rPr>
                <w:noProof/>
                <w:webHidden/>
              </w:rPr>
              <w:t>17</w:t>
            </w:r>
            <w:r>
              <w:rPr>
                <w:noProof/>
                <w:webHidden/>
              </w:rPr>
              <w:fldChar w:fldCharType="end"/>
            </w:r>
          </w:hyperlink>
        </w:p>
        <w:p w:rsidR="00A70AAB" w:rsidRDefault="00EE58B6">
          <w:pPr>
            <w:pStyle w:val="Obsah2"/>
            <w:tabs>
              <w:tab w:val="right" w:leader="dot" w:pos="9061"/>
            </w:tabs>
            <w:rPr>
              <w:rFonts w:asciiTheme="minorHAnsi" w:eastAsiaTheme="minorEastAsia" w:hAnsiTheme="minorHAnsi"/>
              <w:noProof/>
              <w:sz w:val="22"/>
              <w:lang w:eastAsia="cs-CZ"/>
            </w:rPr>
          </w:pPr>
          <w:hyperlink w:anchor="_Toc359918276" w:history="1">
            <w:r w:rsidR="00A70AAB" w:rsidRPr="004937B6">
              <w:rPr>
                <w:rStyle w:val="Hypertextovodkaz"/>
                <w:rFonts w:cs="Times New Roman"/>
                <w:noProof/>
              </w:rPr>
              <w:t>1. 5 Senát České republiky v legislativním procesu</w:t>
            </w:r>
            <w:r w:rsidR="00A70AAB">
              <w:rPr>
                <w:noProof/>
                <w:webHidden/>
              </w:rPr>
              <w:tab/>
            </w:r>
            <w:r>
              <w:rPr>
                <w:noProof/>
                <w:webHidden/>
              </w:rPr>
              <w:fldChar w:fldCharType="begin"/>
            </w:r>
            <w:r w:rsidR="00A70AAB">
              <w:rPr>
                <w:noProof/>
                <w:webHidden/>
              </w:rPr>
              <w:instrText xml:space="preserve"> PAGEREF _Toc359918276 \h </w:instrText>
            </w:r>
            <w:r>
              <w:rPr>
                <w:noProof/>
                <w:webHidden/>
              </w:rPr>
            </w:r>
            <w:r>
              <w:rPr>
                <w:noProof/>
                <w:webHidden/>
              </w:rPr>
              <w:fldChar w:fldCharType="separate"/>
            </w:r>
            <w:r w:rsidR="00BE18D5">
              <w:rPr>
                <w:noProof/>
                <w:webHidden/>
              </w:rPr>
              <w:t>18</w:t>
            </w:r>
            <w:r>
              <w:rPr>
                <w:noProof/>
                <w:webHidden/>
              </w:rPr>
              <w:fldChar w:fldCharType="end"/>
            </w:r>
          </w:hyperlink>
        </w:p>
        <w:p w:rsidR="00A70AAB" w:rsidRDefault="00EE58B6">
          <w:pPr>
            <w:pStyle w:val="Obsah2"/>
            <w:tabs>
              <w:tab w:val="right" w:leader="dot" w:pos="9061"/>
            </w:tabs>
            <w:rPr>
              <w:rFonts w:asciiTheme="minorHAnsi" w:eastAsiaTheme="minorEastAsia" w:hAnsiTheme="minorHAnsi"/>
              <w:noProof/>
              <w:sz w:val="22"/>
              <w:lang w:eastAsia="cs-CZ"/>
            </w:rPr>
          </w:pPr>
          <w:hyperlink w:anchor="_Toc359918277" w:history="1">
            <w:r w:rsidR="00A70AAB" w:rsidRPr="004937B6">
              <w:rPr>
                <w:rStyle w:val="Hypertextovodkaz"/>
                <w:noProof/>
              </w:rPr>
              <w:t>1. 6 Shrnutí</w:t>
            </w:r>
            <w:r w:rsidR="00A70AAB">
              <w:rPr>
                <w:noProof/>
                <w:webHidden/>
              </w:rPr>
              <w:tab/>
            </w:r>
            <w:r>
              <w:rPr>
                <w:noProof/>
                <w:webHidden/>
              </w:rPr>
              <w:fldChar w:fldCharType="begin"/>
            </w:r>
            <w:r w:rsidR="00A70AAB">
              <w:rPr>
                <w:noProof/>
                <w:webHidden/>
              </w:rPr>
              <w:instrText xml:space="preserve"> PAGEREF _Toc359918277 \h </w:instrText>
            </w:r>
            <w:r>
              <w:rPr>
                <w:noProof/>
                <w:webHidden/>
              </w:rPr>
            </w:r>
            <w:r>
              <w:rPr>
                <w:noProof/>
                <w:webHidden/>
              </w:rPr>
              <w:fldChar w:fldCharType="separate"/>
            </w:r>
            <w:r w:rsidR="00BE18D5">
              <w:rPr>
                <w:noProof/>
                <w:webHidden/>
              </w:rPr>
              <w:t>26</w:t>
            </w:r>
            <w:r>
              <w:rPr>
                <w:noProof/>
                <w:webHidden/>
              </w:rPr>
              <w:fldChar w:fldCharType="end"/>
            </w:r>
          </w:hyperlink>
        </w:p>
        <w:p w:rsidR="00A70AAB" w:rsidRDefault="00EE58B6">
          <w:pPr>
            <w:pStyle w:val="Obsah1"/>
            <w:tabs>
              <w:tab w:val="right" w:leader="dot" w:pos="9061"/>
            </w:tabs>
            <w:rPr>
              <w:rFonts w:asciiTheme="minorHAnsi" w:eastAsiaTheme="minorEastAsia" w:hAnsiTheme="minorHAnsi"/>
              <w:noProof/>
              <w:sz w:val="22"/>
              <w:lang w:eastAsia="cs-CZ"/>
            </w:rPr>
          </w:pPr>
          <w:hyperlink w:anchor="_Toc359918278" w:history="1">
            <w:r w:rsidR="00A70AAB" w:rsidRPr="004937B6">
              <w:rPr>
                <w:rStyle w:val="Hypertextovodkaz"/>
                <w:rFonts w:cs="Times New Roman"/>
                <w:noProof/>
              </w:rPr>
              <w:t>2 Metodologie výzkumu</w:t>
            </w:r>
            <w:r w:rsidR="00A70AAB">
              <w:rPr>
                <w:noProof/>
                <w:webHidden/>
              </w:rPr>
              <w:tab/>
            </w:r>
            <w:r>
              <w:rPr>
                <w:noProof/>
                <w:webHidden/>
              </w:rPr>
              <w:fldChar w:fldCharType="begin"/>
            </w:r>
            <w:r w:rsidR="00A70AAB">
              <w:rPr>
                <w:noProof/>
                <w:webHidden/>
              </w:rPr>
              <w:instrText xml:space="preserve"> PAGEREF _Toc359918278 \h </w:instrText>
            </w:r>
            <w:r>
              <w:rPr>
                <w:noProof/>
                <w:webHidden/>
              </w:rPr>
            </w:r>
            <w:r>
              <w:rPr>
                <w:noProof/>
                <w:webHidden/>
              </w:rPr>
              <w:fldChar w:fldCharType="separate"/>
            </w:r>
            <w:r w:rsidR="00BE18D5">
              <w:rPr>
                <w:noProof/>
                <w:webHidden/>
              </w:rPr>
              <w:t>28</w:t>
            </w:r>
            <w:r>
              <w:rPr>
                <w:noProof/>
                <w:webHidden/>
              </w:rPr>
              <w:fldChar w:fldCharType="end"/>
            </w:r>
          </w:hyperlink>
        </w:p>
        <w:p w:rsidR="00A70AAB" w:rsidRDefault="00EE58B6">
          <w:pPr>
            <w:pStyle w:val="Obsah2"/>
            <w:tabs>
              <w:tab w:val="right" w:leader="dot" w:pos="9061"/>
            </w:tabs>
            <w:rPr>
              <w:rFonts w:asciiTheme="minorHAnsi" w:eastAsiaTheme="minorEastAsia" w:hAnsiTheme="minorHAnsi"/>
              <w:noProof/>
              <w:sz w:val="22"/>
              <w:lang w:eastAsia="cs-CZ"/>
            </w:rPr>
          </w:pPr>
          <w:hyperlink w:anchor="_Toc359918279" w:history="1">
            <w:r w:rsidR="00A70AAB" w:rsidRPr="004937B6">
              <w:rPr>
                <w:rStyle w:val="Hypertextovodkaz"/>
                <w:noProof/>
              </w:rPr>
              <w:t>2. 1 První a druhá varianta – efektivnost za období</w:t>
            </w:r>
            <w:r w:rsidR="00A70AAB">
              <w:rPr>
                <w:noProof/>
                <w:webHidden/>
              </w:rPr>
              <w:tab/>
            </w:r>
            <w:r>
              <w:rPr>
                <w:noProof/>
                <w:webHidden/>
              </w:rPr>
              <w:fldChar w:fldCharType="begin"/>
            </w:r>
            <w:r w:rsidR="00A70AAB">
              <w:rPr>
                <w:noProof/>
                <w:webHidden/>
              </w:rPr>
              <w:instrText xml:space="preserve"> PAGEREF _Toc359918279 \h </w:instrText>
            </w:r>
            <w:r>
              <w:rPr>
                <w:noProof/>
                <w:webHidden/>
              </w:rPr>
            </w:r>
            <w:r>
              <w:rPr>
                <w:noProof/>
                <w:webHidden/>
              </w:rPr>
              <w:fldChar w:fldCharType="separate"/>
            </w:r>
            <w:r w:rsidR="00BE18D5">
              <w:rPr>
                <w:noProof/>
                <w:webHidden/>
              </w:rPr>
              <w:t>29</w:t>
            </w:r>
            <w:r>
              <w:rPr>
                <w:noProof/>
                <w:webHidden/>
              </w:rPr>
              <w:fldChar w:fldCharType="end"/>
            </w:r>
          </w:hyperlink>
        </w:p>
        <w:p w:rsidR="00A70AAB" w:rsidRDefault="00EE58B6">
          <w:pPr>
            <w:pStyle w:val="Obsah2"/>
            <w:tabs>
              <w:tab w:val="right" w:leader="dot" w:pos="9061"/>
            </w:tabs>
            <w:rPr>
              <w:rFonts w:asciiTheme="minorHAnsi" w:eastAsiaTheme="minorEastAsia" w:hAnsiTheme="minorHAnsi"/>
              <w:noProof/>
              <w:sz w:val="22"/>
              <w:lang w:eastAsia="cs-CZ"/>
            </w:rPr>
          </w:pPr>
          <w:hyperlink w:anchor="_Toc359918280" w:history="1">
            <w:r w:rsidR="00A70AAB" w:rsidRPr="004937B6">
              <w:rPr>
                <w:rStyle w:val="Hypertextovodkaz"/>
                <w:rFonts w:cs="Times New Roman"/>
                <w:noProof/>
              </w:rPr>
              <w:t>2. 2 Třetí a čtvrtá varianta – poměrná efektivita a vážená poměrná efektivita</w:t>
            </w:r>
            <w:r w:rsidR="00A70AAB">
              <w:rPr>
                <w:noProof/>
                <w:webHidden/>
              </w:rPr>
              <w:tab/>
            </w:r>
            <w:r>
              <w:rPr>
                <w:noProof/>
                <w:webHidden/>
              </w:rPr>
              <w:fldChar w:fldCharType="begin"/>
            </w:r>
            <w:r w:rsidR="00A70AAB">
              <w:rPr>
                <w:noProof/>
                <w:webHidden/>
              </w:rPr>
              <w:instrText xml:space="preserve"> PAGEREF _Toc359918280 \h </w:instrText>
            </w:r>
            <w:r>
              <w:rPr>
                <w:noProof/>
                <w:webHidden/>
              </w:rPr>
            </w:r>
            <w:r>
              <w:rPr>
                <w:noProof/>
                <w:webHidden/>
              </w:rPr>
              <w:fldChar w:fldCharType="separate"/>
            </w:r>
            <w:r w:rsidR="00BE18D5">
              <w:rPr>
                <w:noProof/>
                <w:webHidden/>
              </w:rPr>
              <w:t>31</w:t>
            </w:r>
            <w:r>
              <w:rPr>
                <w:noProof/>
                <w:webHidden/>
              </w:rPr>
              <w:fldChar w:fldCharType="end"/>
            </w:r>
          </w:hyperlink>
        </w:p>
        <w:p w:rsidR="00A70AAB" w:rsidRDefault="00EE58B6">
          <w:pPr>
            <w:pStyle w:val="Obsah1"/>
            <w:tabs>
              <w:tab w:val="right" w:leader="dot" w:pos="9061"/>
            </w:tabs>
            <w:rPr>
              <w:rFonts w:asciiTheme="minorHAnsi" w:eastAsiaTheme="minorEastAsia" w:hAnsiTheme="minorHAnsi"/>
              <w:noProof/>
              <w:sz w:val="22"/>
              <w:lang w:eastAsia="cs-CZ"/>
            </w:rPr>
          </w:pPr>
          <w:hyperlink w:anchor="_Toc359918281" w:history="1">
            <w:r w:rsidR="00A70AAB" w:rsidRPr="004937B6">
              <w:rPr>
                <w:rStyle w:val="Hypertextovodkaz"/>
                <w:rFonts w:cs="Times New Roman"/>
                <w:noProof/>
              </w:rPr>
              <w:t>3 Analyticko-empirická studie: případová studie Senátu ČR</w:t>
            </w:r>
            <w:r w:rsidR="00A70AAB">
              <w:rPr>
                <w:noProof/>
                <w:webHidden/>
              </w:rPr>
              <w:tab/>
            </w:r>
            <w:r>
              <w:rPr>
                <w:noProof/>
                <w:webHidden/>
              </w:rPr>
              <w:fldChar w:fldCharType="begin"/>
            </w:r>
            <w:r w:rsidR="00A70AAB">
              <w:rPr>
                <w:noProof/>
                <w:webHidden/>
              </w:rPr>
              <w:instrText xml:space="preserve"> PAGEREF _Toc359918281 \h </w:instrText>
            </w:r>
            <w:r>
              <w:rPr>
                <w:noProof/>
                <w:webHidden/>
              </w:rPr>
            </w:r>
            <w:r>
              <w:rPr>
                <w:noProof/>
                <w:webHidden/>
              </w:rPr>
              <w:fldChar w:fldCharType="separate"/>
            </w:r>
            <w:r w:rsidR="00BE18D5">
              <w:rPr>
                <w:noProof/>
                <w:webHidden/>
              </w:rPr>
              <w:t>36</w:t>
            </w:r>
            <w:r>
              <w:rPr>
                <w:noProof/>
                <w:webHidden/>
              </w:rPr>
              <w:fldChar w:fldCharType="end"/>
            </w:r>
          </w:hyperlink>
        </w:p>
        <w:p w:rsidR="00A70AAB" w:rsidRDefault="00EE58B6">
          <w:pPr>
            <w:pStyle w:val="Obsah2"/>
            <w:tabs>
              <w:tab w:val="right" w:leader="dot" w:pos="9061"/>
            </w:tabs>
            <w:rPr>
              <w:rFonts w:asciiTheme="minorHAnsi" w:eastAsiaTheme="minorEastAsia" w:hAnsiTheme="minorHAnsi"/>
              <w:noProof/>
              <w:sz w:val="22"/>
              <w:lang w:eastAsia="cs-CZ"/>
            </w:rPr>
          </w:pPr>
          <w:hyperlink w:anchor="_Toc359918282" w:history="1">
            <w:r w:rsidR="00A70AAB" w:rsidRPr="004937B6">
              <w:rPr>
                <w:rStyle w:val="Hypertextovodkaz"/>
                <w:noProof/>
              </w:rPr>
              <w:t>3. 1 Období stejných většin 2006–2008</w:t>
            </w:r>
            <w:r w:rsidR="00A70AAB">
              <w:rPr>
                <w:noProof/>
                <w:webHidden/>
              </w:rPr>
              <w:tab/>
            </w:r>
            <w:r>
              <w:rPr>
                <w:noProof/>
                <w:webHidden/>
              </w:rPr>
              <w:fldChar w:fldCharType="begin"/>
            </w:r>
            <w:r w:rsidR="00A70AAB">
              <w:rPr>
                <w:noProof/>
                <w:webHidden/>
              </w:rPr>
              <w:instrText xml:space="preserve"> PAGEREF _Toc359918282 \h </w:instrText>
            </w:r>
            <w:r>
              <w:rPr>
                <w:noProof/>
                <w:webHidden/>
              </w:rPr>
            </w:r>
            <w:r>
              <w:rPr>
                <w:noProof/>
                <w:webHidden/>
              </w:rPr>
              <w:fldChar w:fldCharType="separate"/>
            </w:r>
            <w:r w:rsidR="00BE18D5">
              <w:rPr>
                <w:noProof/>
                <w:webHidden/>
              </w:rPr>
              <w:t>37</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83" w:history="1">
            <w:r w:rsidR="00A70AAB" w:rsidRPr="004937B6">
              <w:rPr>
                <w:rStyle w:val="Hypertextovodkaz"/>
                <w:noProof/>
              </w:rPr>
              <w:t>3. 1. 1 První a druhá varianta</w:t>
            </w:r>
            <w:r w:rsidR="00A70AAB">
              <w:rPr>
                <w:noProof/>
                <w:webHidden/>
              </w:rPr>
              <w:tab/>
            </w:r>
            <w:r>
              <w:rPr>
                <w:noProof/>
                <w:webHidden/>
              </w:rPr>
              <w:fldChar w:fldCharType="begin"/>
            </w:r>
            <w:r w:rsidR="00A70AAB">
              <w:rPr>
                <w:noProof/>
                <w:webHidden/>
              </w:rPr>
              <w:instrText xml:space="preserve"> PAGEREF _Toc359918283 \h </w:instrText>
            </w:r>
            <w:r>
              <w:rPr>
                <w:noProof/>
                <w:webHidden/>
              </w:rPr>
            </w:r>
            <w:r>
              <w:rPr>
                <w:noProof/>
                <w:webHidden/>
              </w:rPr>
              <w:fldChar w:fldCharType="separate"/>
            </w:r>
            <w:r w:rsidR="00BE18D5">
              <w:rPr>
                <w:noProof/>
                <w:webHidden/>
              </w:rPr>
              <w:t>41</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84" w:history="1">
            <w:r w:rsidR="00A70AAB" w:rsidRPr="004937B6">
              <w:rPr>
                <w:rStyle w:val="Hypertextovodkaz"/>
                <w:noProof/>
              </w:rPr>
              <w:t>3. 1. 2 Třetí varianta</w:t>
            </w:r>
            <w:r w:rsidR="00A70AAB">
              <w:rPr>
                <w:noProof/>
                <w:webHidden/>
              </w:rPr>
              <w:tab/>
            </w:r>
            <w:r>
              <w:rPr>
                <w:noProof/>
                <w:webHidden/>
              </w:rPr>
              <w:fldChar w:fldCharType="begin"/>
            </w:r>
            <w:r w:rsidR="00A70AAB">
              <w:rPr>
                <w:noProof/>
                <w:webHidden/>
              </w:rPr>
              <w:instrText xml:space="preserve"> PAGEREF _Toc359918284 \h </w:instrText>
            </w:r>
            <w:r>
              <w:rPr>
                <w:noProof/>
                <w:webHidden/>
              </w:rPr>
            </w:r>
            <w:r>
              <w:rPr>
                <w:noProof/>
                <w:webHidden/>
              </w:rPr>
              <w:fldChar w:fldCharType="separate"/>
            </w:r>
            <w:r w:rsidR="00BE18D5">
              <w:rPr>
                <w:noProof/>
                <w:webHidden/>
              </w:rPr>
              <w:t>43</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85" w:history="1">
            <w:r w:rsidR="00A70AAB" w:rsidRPr="004937B6">
              <w:rPr>
                <w:rStyle w:val="Hypertextovodkaz"/>
                <w:noProof/>
              </w:rPr>
              <w:t>3. 1. 3 Čtvrtá varianta</w:t>
            </w:r>
            <w:r w:rsidR="00A70AAB">
              <w:rPr>
                <w:noProof/>
                <w:webHidden/>
              </w:rPr>
              <w:tab/>
            </w:r>
            <w:r>
              <w:rPr>
                <w:noProof/>
                <w:webHidden/>
              </w:rPr>
              <w:fldChar w:fldCharType="begin"/>
            </w:r>
            <w:r w:rsidR="00A70AAB">
              <w:rPr>
                <w:noProof/>
                <w:webHidden/>
              </w:rPr>
              <w:instrText xml:space="preserve"> PAGEREF _Toc359918285 \h </w:instrText>
            </w:r>
            <w:r>
              <w:rPr>
                <w:noProof/>
                <w:webHidden/>
              </w:rPr>
            </w:r>
            <w:r>
              <w:rPr>
                <w:noProof/>
                <w:webHidden/>
              </w:rPr>
              <w:fldChar w:fldCharType="separate"/>
            </w:r>
            <w:r w:rsidR="00BE18D5">
              <w:rPr>
                <w:noProof/>
                <w:webHidden/>
              </w:rPr>
              <w:t>43</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86" w:history="1">
            <w:r w:rsidR="00A70AAB" w:rsidRPr="004937B6">
              <w:rPr>
                <w:rStyle w:val="Hypertextovodkaz"/>
                <w:noProof/>
              </w:rPr>
              <w:t>3. 1. 4 Zhodnocení</w:t>
            </w:r>
            <w:r w:rsidR="00A70AAB">
              <w:rPr>
                <w:noProof/>
                <w:webHidden/>
              </w:rPr>
              <w:tab/>
            </w:r>
            <w:r>
              <w:rPr>
                <w:noProof/>
                <w:webHidden/>
              </w:rPr>
              <w:fldChar w:fldCharType="begin"/>
            </w:r>
            <w:r w:rsidR="00A70AAB">
              <w:rPr>
                <w:noProof/>
                <w:webHidden/>
              </w:rPr>
              <w:instrText xml:space="preserve"> PAGEREF _Toc359918286 \h </w:instrText>
            </w:r>
            <w:r>
              <w:rPr>
                <w:noProof/>
                <w:webHidden/>
              </w:rPr>
            </w:r>
            <w:r>
              <w:rPr>
                <w:noProof/>
                <w:webHidden/>
              </w:rPr>
              <w:fldChar w:fldCharType="separate"/>
            </w:r>
            <w:r w:rsidR="00BE18D5">
              <w:rPr>
                <w:noProof/>
                <w:webHidden/>
              </w:rPr>
              <w:t>45</w:t>
            </w:r>
            <w:r>
              <w:rPr>
                <w:noProof/>
                <w:webHidden/>
              </w:rPr>
              <w:fldChar w:fldCharType="end"/>
            </w:r>
          </w:hyperlink>
        </w:p>
        <w:p w:rsidR="00A70AAB" w:rsidRDefault="00EE58B6">
          <w:pPr>
            <w:pStyle w:val="Obsah2"/>
            <w:tabs>
              <w:tab w:val="right" w:leader="dot" w:pos="9061"/>
            </w:tabs>
            <w:rPr>
              <w:rFonts w:asciiTheme="minorHAnsi" w:eastAsiaTheme="minorEastAsia" w:hAnsiTheme="minorHAnsi"/>
              <w:noProof/>
              <w:sz w:val="22"/>
              <w:lang w:eastAsia="cs-CZ"/>
            </w:rPr>
          </w:pPr>
          <w:hyperlink w:anchor="_Toc359918287" w:history="1">
            <w:r w:rsidR="00A70AAB" w:rsidRPr="004937B6">
              <w:rPr>
                <w:rStyle w:val="Hypertextovodkaz"/>
                <w:noProof/>
              </w:rPr>
              <w:t>3. 2 Období rozdílných většin 2010–2012</w:t>
            </w:r>
            <w:r w:rsidR="00A70AAB">
              <w:rPr>
                <w:noProof/>
                <w:webHidden/>
              </w:rPr>
              <w:tab/>
            </w:r>
            <w:r>
              <w:rPr>
                <w:noProof/>
                <w:webHidden/>
              </w:rPr>
              <w:fldChar w:fldCharType="begin"/>
            </w:r>
            <w:r w:rsidR="00A70AAB">
              <w:rPr>
                <w:noProof/>
                <w:webHidden/>
              </w:rPr>
              <w:instrText xml:space="preserve"> PAGEREF _Toc359918287 \h </w:instrText>
            </w:r>
            <w:r>
              <w:rPr>
                <w:noProof/>
                <w:webHidden/>
              </w:rPr>
            </w:r>
            <w:r>
              <w:rPr>
                <w:noProof/>
                <w:webHidden/>
              </w:rPr>
              <w:fldChar w:fldCharType="separate"/>
            </w:r>
            <w:r w:rsidR="00BE18D5">
              <w:rPr>
                <w:noProof/>
                <w:webHidden/>
              </w:rPr>
              <w:t>45</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88" w:history="1">
            <w:r w:rsidR="00A70AAB" w:rsidRPr="004937B6">
              <w:rPr>
                <w:rStyle w:val="Hypertextovodkaz"/>
                <w:noProof/>
              </w:rPr>
              <w:t>3. 2. 1 První a druhá varianta</w:t>
            </w:r>
            <w:r w:rsidR="00A70AAB">
              <w:rPr>
                <w:noProof/>
                <w:webHidden/>
              </w:rPr>
              <w:tab/>
            </w:r>
            <w:r>
              <w:rPr>
                <w:noProof/>
                <w:webHidden/>
              </w:rPr>
              <w:fldChar w:fldCharType="begin"/>
            </w:r>
            <w:r w:rsidR="00A70AAB">
              <w:rPr>
                <w:noProof/>
                <w:webHidden/>
              </w:rPr>
              <w:instrText xml:space="preserve"> PAGEREF _Toc359918288 \h </w:instrText>
            </w:r>
            <w:r>
              <w:rPr>
                <w:noProof/>
                <w:webHidden/>
              </w:rPr>
            </w:r>
            <w:r>
              <w:rPr>
                <w:noProof/>
                <w:webHidden/>
              </w:rPr>
              <w:fldChar w:fldCharType="separate"/>
            </w:r>
            <w:r w:rsidR="00BE18D5">
              <w:rPr>
                <w:noProof/>
                <w:webHidden/>
              </w:rPr>
              <w:t>47</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89" w:history="1">
            <w:r w:rsidR="00A70AAB" w:rsidRPr="004937B6">
              <w:rPr>
                <w:rStyle w:val="Hypertextovodkaz"/>
                <w:noProof/>
              </w:rPr>
              <w:t>3. 2. 2 Třetí varianta</w:t>
            </w:r>
            <w:r w:rsidR="00A70AAB">
              <w:rPr>
                <w:noProof/>
                <w:webHidden/>
              </w:rPr>
              <w:tab/>
            </w:r>
            <w:r>
              <w:rPr>
                <w:noProof/>
                <w:webHidden/>
              </w:rPr>
              <w:fldChar w:fldCharType="begin"/>
            </w:r>
            <w:r w:rsidR="00A70AAB">
              <w:rPr>
                <w:noProof/>
                <w:webHidden/>
              </w:rPr>
              <w:instrText xml:space="preserve"> PAGEREF _Toc359918289 \h </w:instrText>
            </w:r>
            <w:r>
              <w:rPr>
                <w:noProof/>
                <w:webHidden/>
              </w:rPr>
            </w:r>
            <w:r>
              <w:rPr>
                <w:noProof/>
                <w:webHidden/>
              </w:rPr>
              <w:fldChar w:fldCharType="separate"/>
            </w:r>
            <w:r w:rsidR="00BE18D5">
              <w:rPr>
                <w:noProof/>
                <w:webHidden/>
              </w:rPr>
              <w:t>48</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90" w:history="1">
            <w:r w:rsidR="00A70AAB" w:rsidRPr="004937B6">
              <w:rPr>
                <w:rStyle w:val="Hypertextovodkaz"/>
                <w:noProof/>
              </w:rPr>
              <w:t>3. 2. 3 Čtvrtá varianta</w:t>
            </w:r>
            <w:r w:rsidR="00A70AAB">
              <w:rPr>
                <w:noProof/>
                <w:webHidden/>
              </w:rPr>
              <w:tab/>
            </w:r>
            <w:r>
              <w:rPr>
                <w:noProof/>
                <w:webHidden/>
              </w:rPr>
              <w:fldChar w:fldCharType="begin"/>
            </w:r>
            <w:r w:rsidR="00A70AAB">
              <w:rPr>
                <w:noProof/>
                <w:webHidden/>
              </w:rPr>
              <w:instrText xml:space="preserve"> PAGEREF _Toc359918290 \h </w:instrText>
            </w:r>
            <w:r>
              <w:rPr>
                <w:noProof/>
                <w:webHidden/>
              </w:rPr>
            </w:r>
            <w:r>
              <w:rPr>
                <w:noProof/>
                <w:webHidden/>
              </w:rPr>
              <w:fldChar w:fldCharType="separate"/>
            </w:r>
            <w:r w:rsidR="00BE18D5">
              <w:rPr>
                <w:noProof/>
                <w:webHidden/>
              </w:rPr>
              <w:t>49</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91" w:history="1">
            <w:r w:rsidR="00A70AAB" w:rsidRPr="004937B6">
              <w:rPr>
                <w:rStyle w:val="Hypertextovodkaz"/>
                <w:noProof/>
              </w:rPr>
              <w:t>3. 2. 4 Zhodnocení</w:t>
            </w:r>
            <w:r w:rsidR="00A70AAB">
              <w:rPr>
                <w:noProof/>
                <w:webHidden/>
              </w:rPr>
              <w:tab/>
            </w:r>
            <w:r>
              <w:rPr>
                <w:noProof/>
                <w:webHidden/>
              </w:rPr>
              <w:fldChar w:fldCharType="begin"/>
            </w:r>
            <w:r w:rsidR="00A70AAB">
              <w:rPr>
                <w:noProof/>
                <w:webHidden/>
              </w:rPr>
              <w:instrText xml:space="preserve"> PAGEREF _Toc359918291 \h </w:instrText>
            </w:r>
            <w:r>
              <w:rPr>
                <w:noProof/>
                <w:webHidden/>
              </w:rPr>
            </w:r>
            <w:r>
              <w:rPr>
                <w:noProof/>
                <w:webHidden/>
              </w:rPr>
              <w:fldChar w:fldCharType="separate"/>
            </w:r>
            <w:r w:rsidR="00BE18D5">
              <w:rPr>
                <w:noProof/>
                <w:webHidden/>
              </w:rPr>
              <w:t>50</w:t>
            </w:r>
            <w:r>
              <w:rPr>
                <w:noProof/>
                <w:webHidden/>
              </w:rPr>
              <w:fldChar w:fldCharType="end"/>
            </w:r>
          </w:hyperlink>
        </w:p>
        <w:p w:rsidR="00A70AAB" w:rsidRDefault="00EE58B6">
          <w:pPr>
            <w:pStyle w:val="Obsah2"/>
            <w:tabs>
              <w:tab w:val="right" w:leader="dot" w:pos="9061"/>
            </w:tabs>
            <w:rPr>
              <w:rFonts w:asciiTheme="minorHAnsi" w:eastAsiaTheme="minorEastAsia" w:hAnsiTheme="minorHAnsi"/>
              <w:noProof/>
              <w:sz w:val="22"/>
              <w:lang w:eastAsia="cs-CZ"/>
            </w:rPr>
          </w:pPr>
          <w:hyperlink w:anchor="_Toc359918292" w:history="1">
            <w:r w:rsidR="00A70AAB" w:rsidRPr="004937B6">
              <w:rPr>
                <w:rStyle w:val="Hypertextovodkaz"/>
                <w:noProof/>
              </w:rPr>
              <w:t>3. 3 Analýza dalších období</w:t>
            </w:r>
            <w:r w:rsidR="00A70AAB">
              <w:rPr>
                <w:noProof/>
                <w:webHidden/>
              </w:rPr>
              <w:tab/>
            </w:r>
            <w:r>
              <w:rPr>
                <w:noProof/>
                <w:webHidden/>
              </w:rPr>
              <w:fldChar w:fldCharType="begin"/>
            </w:r>
            <w:r w:rsidR="00A70AAB">
              <w:rPr>
                <w:noProof/>
                <w:webHidden/>
              </w:rPr>
              <w:instrText xml:space="preserve"> PAGEREF _Toc359918292 \h </w:instrText>
            </w:r>
            <w:r>
              <w:rPr>
                <w:noProof/>
                <w:webHidden/>
              </w:rPr>
            </w:r>
            <w:r>
              <w:rPr>
                <w:noProof/>
                <w:webHidden/>
              </w:rPr>
              <w:fldChar w:fldCharType="separate"/>
            </w:r>
            <w:r w:rsidR="00BE18D5">
              <w:rPr>
                <w:noProof/>
                <w:webHidden/>
              </w:rPr>
              <w:t>50</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93" w:history="1">
            <w:r w:rsidR="00A70AAB" w:rsidRPr="004937B6">
              <w:rPr>
                <w:rStyle w:val="Hypertextovodkaz"/>
                <w:noProof/>
              </w:rPr>
              <w:t>3. 3. 1 Období 2000–2002</w:t>
            </w:r>
            <w:r w:rsidR="00A70AAB">
              <w:rPr>
                <w:noProof/>
                <w:webHidden/>
              </w:rPr>
              <w:tab/>
            </w:r>
            <w:r>
              <w:rPr>
                <w:noProof/>
                <w:webHidden/>
              </w:rPr>
              <w:fldChar w:fldCharType="begin"/>
            </w:r>
            <w:r w:rsidR="00A70AAB">
              <w:rPr>
                <w:noProof/>
                <w:webHidden/>
              </w:rPr>
              <w:instrText xml:space="preserve"> PAGEREF _Toc359918293 \h </w:instrText>
            </w:r>
            <w:r>
              <w:rPr>
                <w:noProof/>
                <w:webHidden/>
              </w:rPr>
            </w:r>
            <w:r>
              <w:rPr>
                <w:noProof/>
                <w:webHidden/>
              </w:rPr>
              <w:fldChar w:fldCharType="separate"/>
            </w:r>
            <w:r w:rsidR="00BE18D5">
              <w:rPr>
                <w:noProof/>
                <w:webHidden/>
              </w:rPr>
              <w:t>51</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94" w:history="1">
            <w:r w:rsidR="00A70AAB" w:rsidRPr="004937B6">
              <w:rPr>
                <w:rStyle w:val="Hypertextovodkaz"/>
                <w:noProof/>
              </w:rPr>
              <w:t>3. 3. 2 Období 2002–2004</w:t>
            </w:r>
            <w:r w:rsidR="00A70AAB">
              <w:rPr>
                <w:noProof/>
                <w:webHidden/>
              </w:rPr>
              <w:tab/>
            </w:r>
            <w:r>
              <w:rPr>
                <w:noProof/>
                <w:webHidden/>
              </w:rPr>
              <w:fldChar w:fldCharType="begin"/>
            </w:r>
            <w:r w:rsidR="00A70AAB">
              <w:rPr>
                <w:noProof/>
                <w:webHidden/>
              </w:rPr>
              <w:instrText xml:space="preserve"> PAGEREF _Toc359918294 \h </w:instrText>
            </w:r>
            <w:r>
              <w:rPr>
                <w:noProof/>
                <w:webHidden/>
              </w:rPr>
            </w:r>
            <w:r>
              <w:rPr>
                <w:noProof/>
                <w:webHidden/>
              </w:rPr>
              <w:fldChar w:fldCharType="separate"/>
            </w:r>
            <w:r w:rsidR="00BE18D5">
              <w:rPr>
                <w:noProof/>
                <w:webHidden/>
              </w:rPr>
              <w:t>53</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95" w:history="1">
            <w:r w:rsidR="00A70AAB" w:rsidRPr="004937B6">
              <w:rPr>
                <w:rStyle w:val="Hypertextovodkaz"/>
                <w:noProof/>
              </w:rPr>
              <w:t>3. 3. 3 Období 2004–2006</w:t>
            </w:r>
            <w:r w:rsidR="00A70AAB">
              <w:rPr>
                <w:noProof/>
                <w:webHidden/>
              </w:rPr>
              <w:tab/>
            </w:r>
            <w:r>
              <w:rPr>
                <w:noProof/>
                <w:webHidden/>
              </w:rPr>
              <w:fldChar w:fldCharType="begin"/>
            </w:r>
            <w:r w:rsidR="00A70AAB">
              <w:rPr>
                <w:noProof/>
                <w:webHidden/>
              </w:rPr>
              <w:instrText xml:space="preserve"> PAGEREF _Toc359918295 \h </w:instrText>
            </w:r>
            <w:r>
              <w:rPr>
                <w:noProof/>
                <w:webHidden/>
              </w:rPr>
            </w:r>
            <w:r>
              <w:rPr>
                <w:noProof/>
                <w:webHidden/>
              </w:rPr>
              <w:fldChar w:fldCharType="separate"/>
            </w:r>
            <w:r w:rsidR="00BE18D5">
              <w:rPr>
                <w:noProof/>
                <w:webHidden/>
              </w:rPr>
              <w:t>56</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96" w:history="1">
            <w:r w:rsidR="00A70AAB" w:rsidRPr="004937B6">
              <w:rPr>
                <w:rStyle w:val="Hypertextovodkaz"/>
                <w:noProof/>
              </w:rPr>
              <w:t>3. 3. 4 Období 2008–2010</w:t>
            </w:r>
            <w:r w:rsidR="00A70AAB">
              <w:rPr>
                <w:noProof/>
                <w:webHidden/>
              </w:rPr>
              <w:tab/>
            </w:r>
            <w:r>
              <w:rPr>
                <w:noProof/>
                <w:webHidden/>
              </w:rPr>
              <w:fldChar w:fldCharType="begin"/>
            </w:r>
            <w:r w:rsidR="00A70AAB">
              <w:rPr>
                <w:noProof/>
                <w:webHidden/>
              </w:rPr>
              <w:instrText xml:space="preserve"> PAGEREF _Toc359918296 \h </w:instrText>
            </w:r>
            <w:r>
              <w:rPr>
                <w:noProof/>
                <w:webHidden/>
              </w:rPr>
            </w:r>
            <w:r>
              <w:rPr>
                <w:noProof/>
                <w:webHidden/>
              </w:rPr>
              <w:fldChar w:fldCharType="separate"/>
            </w:r>
            <w:r w:rsidR="00BE18D5">
              <w:rPr>
                <w:noProof/>
                <w:webHidden/>
              </w:rPr>
              <w:t>58</w:t>
            </w:r>
            <w:r>
              <w:rPr>
                <w:noProof/>
                <w:webHidden/>
              </w:rPr>
              <w:fldChar w:fldCharType="end"/>
            </w:r>
          </w:hyperlink>
        </w:p>
        <w:p w:rsidR="00A70AAB" w:rsidRDefault="00EE58B6">
          <w:pPr>
            <w:pStyle w:val="Obsah2"/>
            <w:tabs>
              <w:tab w:val="right" w:leader="dot" w:pos="9061"/>
            </w:tabs>
            <w:rPr>
              <w:rFonts w:asciiTheme="minorHAnsi" w:eastAsiaTheme="minorEastAsia" w:hAnsiTheme="minorHAnsi"/>
              <w:noProof/>
              <w:sz w:val="22"/>
              <w:lang w:eastAsia="cs-CZ"/>
            </w:rPr>
          </w:pPr>
          <w:hyperlink w:anchor="_Toc359918297" w:history="1">
            <w:r w:rsidR="00A70AAB" w:rsidRPr="004937B6">
              <w:rPr>
                <w:rStyle w:val="Hypertextovodkaz"/>
                <w:noProof/>
              </w:rPr>
              <w:t>3. 4 Srovnání všech období a zhodnocení výsledků</w:t>
            </w:r>
            <w:r w:rsidR="00A70AAB">
              <w:rPr>
                <w:noProof/>
                <w:webHidden/>
              </w:rPr>
              <w:tab/>
            </w:r>
            <w:r>
              <w:rPr>
                <w:noProof/>
                <w:webHidden/>
              </w:rPr>
              <w:fldChar w:fldCharType="begin"/>
            </w:r>
            <w:r w:rsidR="00A70AAB">
              <w:rPr>
                <w:noProof/>
                <w:webHidden/>
              </w:rPr>
              <w:instrText xml:space="preserve"> PAGEREF _Toc359918297 \h </w:instrText>
            </w:r>
            <w:r>
              <w:rPr>
                <w:noProof/>
                <w:webHidden/>
              </w:rPr>
            </w:r>
            <w:r>
              <w:rPr>
                <w:noProof/>
                <w:webHidden/>
              </w:rPr>
              <w:fldChar w:fldCharType="separate"/>
            </w:r>
            <w:r w:rsidR="00BE18D5">
              <w:rPr>
                <w:noProof/>
                <w:webHidden/>
              </w:rPr>
              <w:t>61</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98" w:history="1">
            <w:r w:rsidR="00A70AAB" w:rsidRPr="004937B6">
              <w:rPr>
                <w:rStyle w:val="Hypertextovodkaz"/>
                <w:noProof/>
              </w:rPr>
              <w:t>3. 4. 1 Průměrné hodnoty a směrodatné odchylky pro všechna vybraná období</w:t>
            </w:r>
            <w:r w:rsidR="00A70AAB">
              <w:rPr>
                <w:noProof/>
                <w:webHidden/>
              </w:rPr>
              <w:tab/>
            </w:r>
            <w:r>
              <w:rPr>
                <w:noProof/>
                <w:webHidden/>
              </w:rPr>
              <w:fldChar w:fldCharType="begin"/>
            </w:r>
            <w:r w:rsidR="00A70AAB">
              <w:rPr>
                <w:noProof/>
                <w:webHidden/>
              </w:rPr>
              <w:instrText xml:space="preserve"> PAGEREF _Toc359918298 \h </w:instrText>
            </w:r>
            <w:r>
              <w:rPr>
                <w:noProof/>
                <w:webHidden/>
              </w:rPr>
            </w:r>
            <w:r>
              <w:rPr>
                <w:noProof/>
                <w:webHidden/>
              </w:rPr>
              <w:fldChar w:fldCharType="separate"/>
            </w:r>
            <w:r w:rsidR="00BE18D5">
              <w:rPr>
                <w:noProof/>
                <w:webHidden/>
              </w:rPr>
              <w:t>62</w:t>
            </w:r>
            <w:r>
              <w:rPr>
                <w:noProof/>
                <w:webHidden/>
              </w:rPr>
              <w:fldChar w:fldCharType="end"/>
            </w:r>
          </w:hyperlink>
        </w:p>
        <w:p w:rsidR="00A70AAB" w:rsidRDefault="00EE58B6">
          <w:pPr>
            <w:pStyle w:val="Obsah3"/>
            <w:tabs>
              <w:tab w:val="right" w:leader="dot" w:pos="9061"/>
            </w:tabs>
            <w:rPr>
              <w:rFonts w:asciiTheme="minorHAnsi" w:eastAsiaTheme="minorEastAsia" w:hAnsiTheme="minorHAnsi"/>
              <w:noProof/>
              <w:sz w:val="22"/>
              <w:lang w:eastAsia="cs-CZ"/>
            </w:rPr>
          </w:pPr>
          <w:hyperlink w:anchor="_Toc359918299" w:history="1">
            <w:r w:rsidR="00A70AAB" w:rsidRPr="004937B6">
              <w:rPr>
                <w:rStyle w:val="Hypertextovodkaz"/>
                <w:noProof/>
              </w:rPr>
              <w:t>3. 4. 2 Zhodnocení výsledků práce</w:t>
            </w:r>
            <w:r w:rsidR="00A70AAB">
              <w:rPr>
                <w:noProof/>
                <w:webHidden/>
              </w:rPr>
              <w:tab/>
            </w:r>
            <w:r>
              <w:rPr>
                <w:noProof/>
                <w:webHidden/>
              </w:rPr>
              <w:fldChar w:fldCharType="begin"/>
            </w:r>
            <w:r w:rsidR="00A70AAB">
              <w:rPr>
                <w:noProof/>
                <w:webHidden/>
              </w:rPr>
              <w:instrText xml:space="preserve"> PAGEREF _Toc359918299 \h </w:instrText>
            </w:r>
            <w:r>
              <w:rPr>
                <w:noProof/>
                <w:webHidden/>
              </w:rPr>
            </w:r>
            <w:r>
              <w:rPr>
                <w:noProof/>
                <w:webHidden/>
              </w:rPr>
              <w:fldChar w:fldCharType="separate"/>
            </w:r>
            <w:r w:rsidR="00BE18D5">
              <w:rPr>
                <w:noProof/>
                <w:webHidden/>
              </w:rPr>
              <w:t>67</w:t>
            </w:r>
            <w:r>
              <w:rPr>
                <w:noProof/>
                <w:webHidden/>
              </w:rPr>
              <w:fldChar w:fldCharType="end"/>
            </w:r>
          </w:hyperlink>
        </w:p>
        <w:p w:rsidR="00A70AAB" w:rsidRDefault="00EE58B6">
          <w:pPr>
            <w:pStyle w:val="Obsah1"/>
            <w:tabs>
              <w:tab w:val="right" w:leader="dot" w:pos="9061"/>
            </w:tabs>
            <w:rPr>
              <w:rFonts w:asciiTheme="minorHAnsi" w:eastAsiaTheme="minorEastAsia" w:hAnsiTheme="minorHAnsi"/>
              <w:noProof/>
              <w:sz w:val="22"/>
              <w:lang w:eastAsia="cs-CZ"/>
            </w:rPr>
          </w:pPr>
          <w:hyperlink w:anchor="_Toc359918300" w:history="1">
            <w:r w:rsidR="00A70AAB" w:rsidRPr="004937B6">
              <w:rPr>
                <w:rStyle w:val="Hypertextovodkaz"/>
                <w:noProof/>
              </w:rPr>
              <w:t>Závěr</w:t>
            </w:r>
            <w:r w:rsidR="00A70AAB">
              <w:rPr>
                <w:noProof/>
                <w:webHidden/>
              </w:rPr>
              <w:tab/>
            </w:r>
            <w:r>
              <w:rPr>
                <w:noProof/>
                <w:webHidden/>
              </w:rPr>
              <w:fldChar w:fldCharType="begin"/>
            </w:r>
            <w:r w:rsidR="00A70AAB">
              <w:rPr>
                <w:noProof/>
                <w:webHidden/>
              </w:rPr>
              <w:instrText xml:space="preserve"> PAGEREF _Toc359918300 \h </w:instrText>
            </w:r>
            <w:r>
              <w:rPr>
                <w:noProof/>
                <w:webHidden/>
              </w:rPr>
            </w:r>
            <w:r>
              <w:rPr>
                <w:noProof/>
                <w:webHidden/>
              </w:rPr>
              <w:fldChar w:fldCharType="separate"/>
            </w:r>
            <w:r w:rsidR="00BE18D5">
              <w:rPr>
                <w:noProof/>
                <w:webHidden/>
              </w:rPr>
              <w:t>69</w:t>
            </w:r>
            <w:r>
              <w:rPr>
                <w:noProof/>
                <w:webHidden/>
              </w:rPr>
              <w:fldChar w:fldCharType="end"/>
            </w:r>
          </w:hyperlink>
        </w:p>
        <w:p w:rsidR="00A70AAB" w:rsidRDefault="00EE58B6">
          <w:pPr>
            <w:pStyle w:val="Obsah1"/>
            <w:tabs>
              <w:tab w:val="right" w:leader="dot" w:pos="9061"/>
            </w:tabs>
            <w:rPr>
              <w:rFonts w:asciiTheme="minorHAnsi" w:eastAsiaTheme="minorEastAsia" w:hAnsiTheme="minorHAnsi"/>
              <w:noProof/>
              <w:sz w:val="22"/>
              <w:lang w:eastAsia="cs-CZ"/>
            </w:rPr>
          </w:pPr>
          <w:hyperlink w:anchor="_Toc359918301" w:history="1">
            <w:r w:rsidR="00A70AAB" w:rsidRPr="004937B6">
              <w:rPr>
                <w:rStyle w:val="Hypertextovodkaz"/>
                <w:noProof/>
              </w:rPr>
              <w:t>PRAMENY A LITERATURA</w:t>
            </w:r>
            <w:r w:rsidR="00A70AAB">
              <w:rPr>
                <w:noProof/>
                <w:webHidden/>
              </w:rPr>
              <w:tab/>
            </w:r>
            <w:r>
              <w:rPr>
                <w:noProof/>
                <w:webHidden/>
              </w:rPr>
              <w:fldChar w:fldCharType="begin"/>
            </w:r>
            <w:r w:rsidR="00A70AAB">
              <w:rPr>
                <w:noProof/>
                <w:webHidden/>
              </w:rPr>
              <w:instrText xml:space="preserve"> PAGEREF _Toc359918301 \h </w:instrText>
            </w:r>
            <w:r>
              <w:rPr>
                <w:noProof/>
                <w:webHidden/>
              </w:rPr>
            </w:r>
            <w:r>
              <w:rPr>
                <w:noProof/>
                <w:webHidden/>
              </w:rPr>
              <w:fldChar w:fldCharType="separate"/>
            </w:r>
            <w:r w:rsidR="00BE18D5">
              <w:rPr>
                <w:noProof/>
                <w:webHidden/>
              </w:rPr>
              <w:t>72</w:t>
            </w:r>
            <w:r>
              <w:rPr>
                <w:noProof/>
                <w:webHidden/>
              </w:rPr>
              <w:fldChar w:fldCharType="end"/>
            </w:r>
          </w:hyperlink>
        </w:p>
        <w:p w:rsidR="00A70AAB" w:rsidRDefault="00EE58B6">
          <w:pPr>
            <w:pStyle w:val="Obsah1"/>
            <w:tabs>
              <w:tab w:val="right" w:leader="dot" w:pos="9061"/>
            </w:tabs>
            <w:rPr>
              <w:rFonts w:asciiTheme="minorHAnsi" w:eastAsiaTheme="minorEastAsia" w:hAnsiTheme="minorHAnsi"/>
              <w:noProof/>
              <w:sz w:val="22"/>
              <w:lang w:eastAsia="cs-CZ"/>
            </w:rPr>
          </w:pPr>
          <w:hyperlink w:anchor="_Toc359918302" w:history="1">
            <w:r w:rsidR="00A70AAB" w:rsidRPr="004937B6">
              <w:rPr>
                <w:rStyle w:val="Hypertextovodkaz"/>
                <w:noProof/>
              </w:rPr>
              <w:t>Abstrakt</w:t>
            </w:r>
            <w:r w:rsidR="00A70AAB">
              <w:rPr>
                <w:noProof/>
                <w:webHidden/>
              </w:rPr>
              <w:tab/>
            </w:r>
            <w:r>
              <w:rPr>
                <w:noProof/>
                <w:webHidden/>
              </w:rPr>
              <w:fldChar w:fldCharType="begin"/>
            </w:r>
            <w:r w:rsidR="00A70AAB">
              <w:rPr>
                <w:noProof/>
                <w:webHidden/>
              </w:rPr>
              <w:instrText xml:space="preserve"> PAGEREF _Toc359918302 \h </w:instrText>
            </w:r>
            <w:r>
              <w:rPr>
                <w:noProof/>
                <w:webHidden/>
              </w:rPr>
            </w:r>
            <w:r>
              <w:rPr>
                <w:noProof/>
                <w:webHidden/>
              </w:rPr>
              <w:fldChar w:fldCharType="separate"/>
            </w:r>
            <w:r w:rsidR="00BE18D5">
              <w:rPr>
                <w:noProof/>
                <w:webHidden/>
              </w:rPr>
              <w:t>77</w:t>
            </w:r>
            <w:r>
              <w:rPr>
                <w:noProof/>
                <w:webHidden/>
              </w:rPr>
              <w:fldChar w:fldCharType="end"/>
            </w:r>
          </w:hyperlink>
        </w:p>
        <w:p w:rsidR="00A70AAB" w:rsidRDefault="00EE58B6">
          <w:pPr>
            <w:pStyle w:val="Obsah1"/>
            <w:tabs>
              <w:tab w:val="right" w:leader="dot" w:pos="9061"/>
            </w:tabs>
            <w:rPr>
              <w:rFonts w:asciiTheme="minorHAnsi" w:eastAsiaTheme="minorEastAsia" w:hAnsiTheme="minorHAnsi"/>
              <w:noProof/>
              <w:sz w:val="22"/>
              <w:lang w:eastAsia="cs-CZ"/>
            </w:rPr>
          </w:pPr>
          <w:hyperlink w:anchor="_Toc359918303" w:history="1">
            <w:r w:rsidR="00A70AAB" w:rsidRPr="004937B6">
              <w:rPr>
                <w:rStyle w:val="Hypertextovodkaz"/>
                <w:noProof/>
                <w:lang w:val="en-US"/>
              </w:rPr>
              <w:t>Abstract</w:t>
            </w:r>
            <w:r w:rsidR="00A70AAB">
              <w:rPr>
                <w:noProof/>
                <w:webHidden/>
              </w:rPr>
              <w:tab/>
            </w:r>
            <w:r>
              <w:rPr>
                <w:noProof/>
                <w:webHidden/>
              </w:rPr>
              <w:fldChar w:fldCharType="begin"/>
            </w:r>
            <w:r w:rsidR="00A70AAB">
              <w:rPr>
                <w:noProof/>
                <w:webHidden/>
              </w:rPr>
              <w:instrText xml:space="preserve"> PAGEREF _Toc359918303 \h </w:instrText>
            </w:r>
            <w:r>
              <w:rPr>
                <w:noProof/>
                <w:webHidden/>
              </w:rPr>
            </w:r>
            <w:r>
              <w:rPr>
                <w:noProof/>
                <w:webHidden/>
              </w:rPr>
              <w:fldChar w:fldCharType="separate"/>
            </w:r>
            <w:r w:rsidR="00BE18D5">
              <w:rPr>
                <w:noProof/>
                <w:webHidden/>
              </w:rPr>
              <w:t>78</w:t>
            </w:r>
            <w:r>
              <w:rPr>
                <w:noProof/>
                <w:webHidden/>
              </w:rPr>
              <w:fldChar w:fldCharType="end"/>
            </w:r>
          </w:hyperlink>
        </w:p>
        <w:p w:rsidR="001D0E82" w:rsidRPr="00805964" w:rsidRDefault="00EE58B6" w:rsidP="0029635A">
          <w:pPr>
            <w:spacing w:line="360" w:lineRule="auto"/>
            <w:contextualSpacing/>
            <w:jc w:val="both"/>
            <w:rPr>
              <w:rFonts w:cs="Times New Roman"/>
            </w:rPr>
          </w:pPr>
          <w:r w:rsidRPr="00805964">
            <w:rPr>
              <w:rFonts w:cs="Times New Roman"/>
            </w:rPr>
            <w:fldChar w:fldCharType="end"/>
          </w:r>
        </w:p>
      </w:sdtContent>
    </w:sdt>
    <w:p w:rsidR="002A0CC6" w:rsidRPr="00805964" w:rsidRDefault="002A0CC6" w:rsidP="0029635A">
      <w:pPr>
        <w:pStyle w:val="Nadpis1"/>
        <w:contextualSpacing/>
      </w:pPr>
    </w:p>
    <w:p w:rsidR="002A0CC6" w:rsidRPr="00805964" w:rsidRDefault="002A0CC6" w:rsidP="0029635A">
      <w:pPr>
        <w:pStyle w:val="Nadpis1"/>
        <w:contextualSpacing/>
      </w:pPr>
    </w:p>
    <w:p w:rsidR="002A0CC6" w:rsidRPr="00805964" w:rsidRDefault="002A0CC6" w:rsidP="0029635A">
      <w:pPr>
        <w:pStyle w:val="Nadpis1"/>
        <w:contextualSpacing/>
      </w:pPr>
    </w:p>
    <w:p w:rsidR="002A0CC6" w:rsidRPr="00805964" w:rsidRDefault="002A0CC6" w:rsidP="0029635A">
      <w:pPr>
        <w:pStyle w:val="Nadpis1"/>
        <w:contextualSpacing/>
      </w:pPr>
    </w:p>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F86E2C" w:rsidRPr="00805964" w:rsidRDefault="00F86E2C" w:rsidP="00F86E2C"/>
    <w:p w:rsidR="00080504" w:rsidRPr="00805964" w:rsidRDefault="00080504" w:rsidP="0029635A">
      <w:pPr>
        <w:pStyle w:val="Nadpis1"/>
        <w:contextualSpacing/>
      </w:pPr>
      <w:bookmarkStart w:id="0" w:name="_Toc359918268"/>
      <w:r w:rsidRPr="00805964">
        <w:lastRenderedPageBreak/>
        <w:t>Úvod</w:t>
      </w:r>
      <w:bookmarkEnd w:id="0"/>
    </w:p>
    <w:p w:rsidR="001D0E82" w:rsidRPr="00805964" w:rsidRDefault="001D0E82" w:rsidP="0029635A">
      <w:pPr>
        <w:spacing w:line="360" w:lineRule="auto"/>
        <w:contextualSpacing/>
        <w:jc w:val="both"/>
        <w:rPr>
          <w:rFonts w:cs="Times New Roman"/>
        </w:rPr>
      </w:pPr>
    </w:p>
    <w:p w:rsidR="00B27BFB" w:rsidRPr="00805964" w:rsidRDefault="00B27BFB" w:rsidP="0029635A">
      <w:pPr>
        <w:spacing w:line="360" w:lineRule="auto"/>
        <w:contextualSpacing/>
        <w:jc w:val="both"/>
        <w:rPr>
          <w:rFonts w:cs="Times New Roman"/>
        </w:rPr>
      </w:pPr>
    </w:p>
    <w:p w:rsidR="001A6BA8" w:rsidRPr="00805964" w:rsidRDefault="00652565" w:rsidP="001A6BA8">
      <w:pPr>
        <w:spacing w:line="360" w:lineRule="auto"/>
        <w:contextualSpacing/>
        <w:jc w:val="both"/>
      </w:pPr>
      <w:r w:rsidRPr="00805964">
        <w:rPr>
          <w:rFonts w:cs="Times New Roman"/>
        </w:rPr>
        <w:tab/>
      </w:r>
      <w:r w:rsidR="001A6BA8" w:rsidRPr="00805964">
        <w:t xml:space="preserve">Tématem této diplomové práce je analýza efektivnosti legislativní činnosti horní komory Parlamentu České republiky. Funkce horních komor v ústavních systémech zemí, kde se nacházejí, bývají velmi často nejasné a druhé komory se tak stávají předmětem kritiky. Dvoukomorové parlamenty ve federativně uspořádaných státech jsou považovány za jednu </w:t>
      </w:r>
      <w:r w:rsidR="00A70AAB">
        <w:t>z </w:t>
      </w:r>
      <w:r w:rsidR="001A6BA8" w:rsidRPr="00805964">
        <w:t>podmínek fungování takovýchto systému, protože horní komory zde plní roli obhájce zájmů určitých územních celků či skupin obyvatel. V unitárních státech bývají často druhé komory považovány za zbytečné. Český Senát není výjimkou, a to ani po 17 letech existence dvoukomorového parlamentu v České republice</w:t>
      </w:r>
      <w:r w:rsidR="008A7721">
        <w:t xml:space="preserve"> (ČR)</w:t>
      </w:r>
      <w:r w:rsidR="001A6BA8" w:rsidRPr="00805964">
        <w:t xml:space="preserve"> a předchozích historických zkušenostech </w:t>
      </w:r>
      <w:r w:rsidR="00A70AAB">
        <w:t>s </w:t>
      </w:r>
      <w:proofErr w:type="spellStart"/>
      <w:r w:rsidR="001A6BA8" w:rsidRPr="00805964">
        <w:t>bikameralismem</w:t>
      </w:r>
      <w:proofErr w:type="spellEnd"/>
      <w:r w:rsidR="001A6BA8" w:rsidRPr="00805964">
        <w:t xml:space="preserve"> na našem území.</w:t>
      </w:r>
    </w:p>
    <w:p w:rsidR="001A6BA8" w:rsidRPr="00805964" w:rsidRDefault="001A6BA8" w:rsidP="001A6BA8">
      <w:pPr>
        <w:spacing w:line="360" w:lineRule="auto"/>
        <w:contextualSpacing/>
        <w:jc w:val="both"/>
      </w:pPr>
      <w:r w:rsidRPr="00805964">
        <w:tab/>
        <w:t xml:space="preserve"> Téma práce bylo vybráno ze dvou důvodů. Prvním důvodem je, že otázce druhých komor, zejména v unitárních státech, není věnována dostatečná pozornost a analýzy fungování těchto komor parlamentů jsou často zastaralé či neexistují vůbec. Druhým důvodem je autorův zájem o druhé komory, zejména pak o český Senát, jehož analýze se věnoval již ve své bakalářské práci. Na základě výsledků bakalářské práce lze v komparaci </w:t>
      </w:r>
      <w:r w:rsidR="00A70AAB">
        <w:t>s </w:t>
      </w:r>
      <w:r w:rsidRPr="00805964">
        <w:t xml:space="preserve">jinými druhými komorami považovat český Senát za velmi slabý. Toto zjištění však </w:t>
      </w:r>
      <w:r w:rsidR="00A70AAB">
        <w:t>k </w:t>
      </w:r>
      <w:r w:rsidRPr="00805964">
        <w:t>objektivnímu vyhodnocení prospěšnosti dvoukomorového parlamentu v ČR nestačí, a proto jsem se i v diplomové práci rozhodl zabývat se analýzou Senátu.</w:t>
      </w:r>
    </w:p>
    <w:p w:rsidR="001A6BA8" w:rsidRPr="00805964" w:rsidRDefault="001A6BA8" w:rsidP="001A6BA8">
      <w:pPr>
        <w:spacing w:line="360" w:lineRule="auto"/>
        <w:contextualSpacing/>
        <w:jc w:val="both"/>
      </w:pPr>
      <w:r w:rsidRPr="00805964">
        <w:tab/>
        <w:t>Senátu je přisuzována role revizní komory, což znamená, že by měl kontrolovat kvalitu přijímané legislativy. I přesto, že jsou v ČR aplikovány odlišné volební mechanismy pro obě komory Parlamentu, nelze tvrdit, ž</w:t>
      </w:r>
      <w:r w:rsidR="00FC4143">
        <w:t>e by Senát zastával také územně</w:t>
      </w:r>
      <w:r w:rsidR="003A2CF3">
        <w:t>-</w:t>
      </w:r>
      <w:r w:rsidRPr="00805964">
        <w:t xml:space="preserve">reprezentační či jinou funkci. Z tohoto důvodu si práce klade za cíl analyzovat efektivitu Senátu </w:t>
      </w:r>
      <w:r w:rsidR="00A70AAB">
        <w:t>v </w:t>
      </w:r>
      <w:r w:rsidRPr="00805964">
        <w:t>legislativním procesu, který v rámci Ústavou daných pravomocí reprezentuje hlavní náplň práce Senátu.</w:t>
      </w:r>
    </w:p>
    <w:p w:rsidR="001A6BA8" w:rsidRPr="00805964" w:rsidRDefault="001A6BA8" w:rsidP="001A6BA8">
      <w:pPr>
        <w:spacing w:line="360" w:lineRule="auto"/>
        <w:contextualSpacing/>
        <w:jc w:val="both"/>
      </w:pPr>
      <w:r w:rsidRPr="00805964">
        <w:tab/>
        <w:t>V bakalářské práci byla zkoumána role a síla Senátu ČR v komparaci s déle fungujícími horními komorami. Cílem diplomové práce je zam</w:t>
      </w:r>
      <w:r w:rsidR="00A70AAB">
        <w:t xml:space="preserve">ěřit se výhradně na český Senát </w:t>
      </w:r>
      <w:r w:rsidRPr="00805964">
        <w:t xml:space="preserve">a analyzovat jeho roli v legislativním procesu, tak abychom dokázali potvrdit či vyvrátit hypotézu práce, která říká, že: </w:t>
      </w:r>
      <w:r w:rsidRPr="00805964">
        <w:rPr>
          <w:i/>
        </w:rPr>
        <w:t>Efektivita Senátu v legislativním procesu je ovlivněna složením obou komor Parlamentu</w:t>
      </w:r>
      <w:r w:rsidRPr="00805964">
        <w:t xml:space="preserve">. Předpokladem práce je, že při vzniku stejných většin v obou parlamentních komorách se druhá komora stává neefektivní a tedy zbytečnou. Dalším cílem práce je zodpovědět stanovené výzkumné otázky, které znějí: </w:t>
      </w:r>
      <w:r w:rsidRPr="00805964">
        <w:rPr>
          <w:i/>
        </w:rPr>
        <w:t xml:space="preserve">Jaká je efektivita Senátu </w:t>
      </w:r>
      <w:r w:rsidR="00A70AAB">
        <w:rPr>
          <w:i/>
        </w:rPr>
        <w:t>v </w:t>
      </w:r>
      <w:r w:rsidRPr="00805964">
        <w:rPr>
          <w:i/>
        </w:rPr>
        <w:t>legislativním procesu?</w:t>
      </w:r>
      <w:r w:rsidRPr="00805964">
        <w:t xml:space="preserve"> a </w:t>
      </w:r>
      <w:r w:rsidRPr="00805964">
        <w:rPr>
          <w:i/>
        </w:rPr>
        <w:t>Lze Senát považovat za efektivní a nezbytný?</w:t>
      </w:r>
      <w:r w:rsidRPr="00805964">
        <w:t xml:space="preserve"> K zodpovězení </w:t>
      </w:r>
      <w:r w:rsidRPr="00805964">
        <w:lastRenderedPageBreak/>
        <w:t xml:space="preserve">výzkumných otázek a potvrzení či vyvrácení hypotézy nám poslouží několik variant měření efektivity, které byly pro tuto práci vybrány. Jedná se o specifický model vypracovaný pro tuto diplomovou práci. K tomuto kroku jsem přistoupil, protože měření efektivity politických institucí není běžným předmětem výzkumů. Vzhledem k tomu, že varianty měření jsou čtyři, je představení vybrané metodologie věnována celá druhá část této práce. </w:t>
      </w:r>
    </w:p>
    <w:p w:rsidR="001A6BA8" w:rsidRPr="00805964" w:rsidRDefault="001A6BA8" w:rsidP="001A6BA8">
      <w:pPr>
        <w:spacing w:line="360" w:lineRule="auto"/>
        <w:contextualSpacing/>
        <w:jc w:val="both"/>
      </w:pPr>
      <w:r w:rsidRPr="00805964">
        <w:tab/>
        <w:t xml:space="preserve">Práce je rozdělena do tří kapitol, které jsou následně členěny na menší podkapitoly. První kapitola práce se věnuje teoretickému ukotvení tématu. V této kapitole je nejdříve představena teorie </w:t>
      </w:r>
      <w:proofErr w:type="spellStart"/>
      <w:r w:rsidRPr="00805964">
        <w:t>bikameralismu</w:t>
      </w:r>
      <w:proofErr w:type="spellEnd"/>
      <w:r w:rsidRPr="00805964">
        <w:t xml:space="preserve"> a historie druhých komor, a poté se zde zaměřuji na různé funkce druhých komor zejména pak v unitárních státech. Čtvrtá podkapitola teoretické části se věnuje historickému vývoji </w:t>
      </w:r>
      <w:proofErr w:type="spellStart"/>
      <w:r w:rsidRPr="00805964">
        <w:t>bikameralismu</w:t>
      </w:r>
      <w:proofErr w:type="spellEnd"/>
      <w:r w:rsidRPr="00805964">
        <w:t xml:space="preserve"> v Československé republice a následně v České republice. V závěru kapitoly je představen legislativní proces v České republice se zaměřením na roli Senátu v tomto procesu. Druhá kapitola práce se věnuje již zmiňované metodologii výzkumu a je rozdělena do dvou podkapitol, z nichž každá představuje dvě varianty měření efektivity. Třetí a poslední kapitola práce je zaměřena na samotnou analýzu efektivnosti Senátu v jeho legislativní činnosti. Pro analýzu byla vybrána funkční období stejných </w:t>
      </w:r>
      <w:r w:rsidR="00A70AAB">
        <w:t>a </w:t>
      </w:r>
      <w:r w:rsidRPr="00805964">
        <w:t>rozdílných většin v obou parlamentních komorách, která pokrývají činnost Senátu od roku 2000 do roku 2012. Kapitola je rozdělena do čtyř podkapitol věnujících se analýze vybraných období a srovnání a zhodnocení výsledků analýzy. Práce je tak časově řazena mezi roky 2000 až 2012, respektive mezi třetí až osmé funkční období Senátu.</w:t>
      </w:r>
    </w:p>
    <w:p w:rsidR="001A6BA8" w:rsidRPr="00805964" w:rsidRDefault="001A6BA8" w:rsidP="001A6BA8">
      <w:pPr>
        <w:spacing w:line="360" w:lineRule="auto"/>
        <w:contextualSpacing/>
        <w:jc w:val="both"/>
      </w:pPr>
      <w:r w:rsidRPr="00805964">
        <w:tab/>
        <w:t>Toto téma, tedy analýza efektivnosti činnosti horních komor v legislativním procesu, nebylo doposud zpracováno. Existují studie věnující se druhým komorám, tyto se však nezaobírají měřením efektivnosti druhý</w:t>
      </w:r>
      <w:r w:rsidR="009A301D" w:rsidRPr="00805964">
        <w:t>ch komor, ale spíše teoretickým</w:t>
      </w:r>
      <w:r w:rsidRPr="00805964">
        <w:t xml:space="preserve"> ukotvení</w:t>
      </w:r>
      <w:r w:rsidR="009A301D" w:rsidRPr="00805964">
        <w:t xml:space="preserve">m </w:t>
      </w:r>
      <w:proofErr w:type="spellStart"/>
      <w:r w:rsidRPr="00805964">
        <w:t>bikameralismu</w:t>
      </w:r>
      <w:proofErr w:type="spellEnd"/>
      <w:r w:rsidRPr="00805964">
        <w:t xml:space="preserve"> či interakcí probíhající mezi prvními a druhými komorami, případně možnými řešeními konfliktů mezi komorami. Jedná se tak o první práci analyzující efektivnost Senátu </w:t>
      </w:r>
      <w:r w:rsidR="00A70AAB">
        <w:t>v </w:t>
      </w:r>
      <w:r w:rsidRPr="00805964">
        <w:t>legislativním procesu. Senát každoročně vydává, resp. vydá</w:t>
      </w:r>
      <w:r w:rsidR="00A70AAB">
        <w:t xml:space="preserve">val, výroční zprávy o fungování </w:t>
      </w:r>
      <w:r w:rsidRPr="00805964">
        <w:t xml:space="preserve">a činnosti Senátu za uplynulý rok, avšak tyto zprávy jsou konceptuálně odlišné téměř každý rok, a analýza činnosti Senátu zde probíhá formou výčtu přijatých a odmítnutých zákonů či množstvím podaných pozměňovacích návrhů a jejich úspěšností. </w:t>
      </w:r>
    </w:p>
    <w:p w:rsidR="001A6BA8" w:rsidRPr="00805964" w:rsidRDefault="001A6BA8" w:rsidP="001A6BA8">
      <w:pPr>
        <w:spacing w:line="360" w:lineRule="auto"/>
        <w:contextualSpacing/>
        <w:jc w:val="both"/>
      </w:pPr>
      <w:r w:rsidRPr="00805964">
        <w:tab/>
        <w:t xml:space="preserve">V teoretické kapitole této diplomové práce je využita řada literatury a zdrojů, a to jak </w:t>
      </w:r>
      <w:r w:rsidR="00A70AAB">
        <w:t>z </w:t>
      </w:r>
      <w:r w:rsidRPr="00805964">
        <w:t xml:space="preserve">domácí, tak ze zahraniční produkce. V rámci zahraničních publikací byla pro první kapitolu stěžejní práce </w:t>
      </w:r>
      <w:proofErr w:type="spellStart"/>
      <w:r w:rsidRPr="00805964">
        <w:t>George</w:t>
      </w:r>
      <w:proofErr w:type="spellEnd"/>
      <w:r w:rsidRPr="00805964">
        <w:t xml:space="preserve"> </w:t>
      </w:r>
      <w:proofErr w:type="spellStart"/>
      <w:r w:rsidRPr="00805964">
        <w:t>Tsebelise</w:t>
      </w:r>
      <w:proofErr w:type="spellEnd"/>
      <w:r w:rsidRPr="00805964">
        <w:t xml:space="preserve"> a </w:t>
      </w:r>
      <w:proofErr w:type="spellStart"/>
      <w:r w:rsidRPr="00805964">
        <w:t>Jeannette</w:t>
      </w:r>
      <w:proofErr w:type="spellEnd"/>
      <w:r w:rsidRPr="00805964">
        <w:t xml:space="preserve"> Money </w:t>
      </w:r>
      <w:proofErr w:type="spellStart"/>
      <w:r w:rsidRPr="00805964">
        <w:rPr>
          <w:i/>
        </w:rPr>
        <w:t>Bicameralism</w:t>
      </w:r>
      <w:proofErr w:type="spellEnd"/>
      <w:r w:rsidRPr="00805964">
        <w:t xml:space="preserve"> z roku 1997, která podrobně zachycuje historii </w:t>
      </w:r>
      <w:proofErr w:type="spellStart"/>
      <w:r w:rsidRPr="00805964">
        <w:t>bikameralismu</w:t>
      </w:r>
      <w:proofErr w:type="spellEnd"/>
      <w:r w:rsidRPr="00805964">
        <w:t xml:space="preserve"> a vývoj rolí druhých komor v čase. Kniha se dále zabývá analýzou modelů vyjednávání mezi komorami a uvnitř komor </w:t>
      </w:r>
      <w:r w:rsidR="00A70AAB">
        <w:t xml:space="preserve">parlamentů. I přestože se jedná </w:t>
      </w:r>
      <w:r w:rsidRPr="00805964">
        <w:t xml:space="preserve">o starší zdroj, považuji zpracování částí důležitých pro tuto práci za jedno z nejkvalitnějších. </w:t>
      </w:r>
      <w:r w:rsidRPr="00805964">
        <w:lastRenderedPageBreak/>
        <w:tab/>
        <w:t xml:space="preserve">Dalším důležitým zdrojem byl </w:t>
      </w:r>
      <w:proofErr w:type="spellStart"/>
      <w:r w:rsidRPr="00805964">
        <w:t>článěk</w:t>
      </w:r>
      <w:proofErr w:type="spellEnd"/>
      <w:r w:rsidRPr="00805964">
        <w:t xml:space="preserve"> </w:t>
      </w:r>
      <w:proofErr w:type="spellStart"/>
      <w:r w:rsidRPr="00805964">
        <w:t>Meg</w:t>
      </w:r>
      <w:proofErr w:type="spellEnd"/>
      <w:r w:rsidRPr="00805964">
        <w:t xml:space="preserve"> </w:t>
      </w:r>
      <w:proofErr w:type="spellStart"/>
      <w:r w:rsidRPr="00805964">
        <w:t>Russell</w:t>
      </w:r>
      <w:proofErr w:type="spellEnd"/>
      <w:r w:rsidRPr="00805964">
        <w:t xml:space="preserve"> </w:t>
      </w:r>
      <w:proofErr w:type="spellStart"/>
      <w:r w:rsidRPr="00805964">
        <w:rPr>
          <w:i/>
        </w:rPr>
        <w:t>What</w:t>
      </w:r>
      <w:proofErr w:type="spellEnd"/>
      <w:r w:rsidRPr="00805964">
        <w:rPr>
          <w:i/>
        </w:rPr>
        <w:t xml:space="preserve"> are </w:t>
      </w:r>
      <w:proofErr w:type="spellStart"/>
      <w:r w:rsidRPr="00805964">
        <w:rPr>
          <w:i/>
        </w:rPr>
        <w:t>Second</w:t>
      </w:r>
      <w:proofErr w:type="spellEnd"/>
      <w:r w:rsidRPr="00805964">
        <w:rPr>
          <w:i/>
        </w:rPr>
        <w:t xml:space="preserve"> </w:t>
      </w:r>
      <w:proofErr w:type="spellStart"/>
      <w:r w:rsidRPr="00805964">
        <w:rPr>
          <w:i/>
        </w:rPr>
        <w:t>Chambres</w:t>
      </w:r>
      <w:proofErr w:type="spellEnd"/>
      <w:r w:rsidRPr="00805964">
        <w:rPr>
          <w:i/>
        </w:rPr>
        <w:t xml:space="preserve"> </w:t>
      </w:r>
      <w:proofErr w:type="spellStart"/>
      <w:r w:rsidRPr="00805964">
        <w:rPr>
          <w:i/>
        </w:rPr>
        <w:t>for</w:t>
      </w:r>
      <w:proofErr w:type="spellEnd"/>
      <w:r w:rsidRPr="00805964">
        <w:rPr>
          <w:i/>
        </w:rPr>
        <w:t>?</w:t>
      </w:r>
      <w:r w:rsidRPr="00805964">
        <w:t xml:space="preserve">, který vyšel v periodiku </w:t>
      </w:r>
      <w:proofErr w:type="spellStart"/>
      <w:r w:rsidRPr="00805964">
        <w:rPr>
          <w:i/>
        </w:rPr>
        <w:t>Parliamentary</w:t>
      </w:r>
      <w:proofErr w:type="spellEnd"/>
      <w:r w:rsidRPr="00805964">
        <w:rPr>
          <w:i/>
        </w:rPr>
        <w:t xml:space="preserve"> </w:t>
      </w:r>
      <w:proofErr w:type="spellStart"/>
      <w:r w:rsidRPr="00805964">
        <w:rPr>
          <w:i/>
        </w:rPr>
        <w:t>Affairs</w:t>
      </w:r>
      <w:proofErr w:type="spellEnd"/>
      <w:r w:rsidRPr="00805964">
        <w:rPr>
          <w:i/>
        </w:rPr>
        <w:t xml:space="preserve"> </w:t>
      </w:r>
      <w:r w:rsidRPr="00805964">
        <w:t xml:space="preserve">v roce 2001. Autorka analyzuje vybrané funkce či role druhých komor, avšak článek působí lehce zaujatě ve prospěch druhých komor. Je zdůrazňován zejména možný přínos druhých komor a možným problémům, které se </w:t>
      </w:r>
      <w:r w:rsidR="00A70AAB">
        <w:t>s </w:t>
      </w:r>
      <w:r w:rsidRPr="00805964">
        <w:t>dvoukomorovými parlamenty mohou vázat je věnován pouze závěr článku. Pozitivem článku však je, že se autorka zabývá nejen vztahy mezi komorami parlamentů, ale také vztahem druhé komory a exekutivy.</w:t>
      </w:r>
    </w:p>
    <w:p w:rsidR="001A6BA8" w:rsidRPr="00805964" w:rsidRDefault="001A6BA8" w:rsidP="001A6BA8">
      <w:pPr>
        <w:autoSpaceDE w:val="0"/>
        <w:spacing w:after="0" w:line="360" w:lineRule="auto"/>
        <w:contextualSpacing/>
        <w:jc w:val="both"/>
        <w:rPr>
          <w:szCs w:val="24"/>
        </w:rPr>
      </w:pPr>
      <w:r w:rsidRPr="00805964">
        <w:tab/>
        <w:t xml:space="preserve">Pro studium dvoukomorových systémů je téměř nezbytností vycházet také z prací </w:t>
      </w:r>
      <w:proofErr w:type="spellStart"/>
      <w:r w:rsidRPr="00805964">
        <w:t>Arendta</w:t>
      </w:r>
      <w:proofErr w:type="spellEnd"/>
      <w:r w:rsidRPr="00805964">
        <w:t xml:space="preserve"> </w:t>
      </w:r>
      <w:proofErr w:type="spellStart"/>
      <w:r w:rsidRPr="00805964">
        <w:t>Lijpharta</w:t>
      </w:r>
      <w:proofErr w:type="spellEnd"/>
      <w:r w:rsidRPr="00805964">
        <w:t xml:space="preserve"> </w:t>
      </w:r>
      <w:proofErr w:type="spellStart"/>
      <w:r w:rsidRPr="00805964">
        <w:rPr>
          <w:i/>
          <w:iCs/>
          <w:szCs w:val="24"/>
        </w:rPr>
        <w:t>Democracies</w:t>
      </w:r>
      <w:proofErr w:type="spellEnd"/>
      <w:r w:rsidRPr="00805964">
        <w:rPr>
          <w:i/>
          <w:iCs/>
          <w:szCs w:val="24"/>
        </w:rPr>
        <w:t>:</w:t>
      </w:r>
      <w:proofErr w:type="spellStart"/>
      <w:r w:rsidRPr="00805964">
        <w:rPr>
          <w:i/>
          <w:iCs/>
          <w:szCs w:val="24"/>
        </w:rPr>
        <w:t>Patterns</w:t>
      </w:r>
      <w:proofErr w:type="spellEnd"/>
      <w:r w:rsidRPr="00805964">
        <w:rPr>
          <w:i/>
          <w:iCs/>
          <w:szCs w:val="24"/>
        </w:rPr>
        <w:t xml:space="preserve"> </w:t>
      </w:r>
      <w:proofErr w:type="spellStart"/>
      <w:r w:rsidRPr="00805964">
        <w:rPr>
          <w:i/>
          <w:iCs/>
          <w:szCs w:val="24"/>
        </w:rPr>
        <w:t>of</w:t>
      </w:r>
      <w:proofErr w:type="spellEnd"/>
      <w:r w:rsidRPr="00805964">
        <w:rPr>
          <w:i/>
          <w:iCs/>
          <w:szCs w:val="24"/>
        </w:rPr>
        <w:t xml:space="preserve"> </w:t>
      </w:r>
      <w:proofErr w:type="spellStart"/>
      <w:r w:rsidRPr="00805964">
        <w:rPr>
          <w:i/>
          <w:iCs/>
          <w:szCs w:val="24"/>
        </w:rPr>
        <w:t>Majoritarian</w:t>
      </w:r>
      <w:proofErr w:type="spellEnd"/>
      <w:r w:rsidRPr="00805964">
        <w:rPr>
          <w:i/>
          <w:iCs/>
          <w:szCs w:val="24"/>
        </w:rPr>
        <w:t xml:space="preserve"> </w:t>
      </w:r>
      <w:proofErr w:type="spellStart"/>
      <w:r w:rsidRPr="00805964">
        <w:rPr>
          <w:i/>
          <w:iCs/>
          <w:szCs w:val="24"/>
        </w:rPr>
        <w:t>and</w:t>
      </w:r>
      <w:proofErr w:type="spellEnd"/>
      <w:r w:rsidRPr="00805964">
        <w:rPr>
          <w:i/>
          <w:iCs/>
          <w:szCs w:val="24"/>
        </w:rPr>
        <w:t xml:space="preserve"> </w:t>
      </w:r>
      <w:proofErr w:type="spellStart"/>
      <w:r w:rsidRPr="00805964">
        <w:rPr>
          <w:i/>
          <w:iCs/>
          <w:szCs w:val="24"/>
        </w:rPr>
        <w:t>Consensus</w:t>
      </w:r>
      <w:proofErr w:type="spellEnd"/>
      <w:r w:rsidRPr="00805964">
        <w:rPr>
          <w:i/>
          <w:iCs/>
          <w:szCs w:val="24"/>
        </w:rPr>
        <w:t xml:space="preserve"> </w:t>
      </w:r>
      <w:proofErr w:type="spellStart"/>
      <w:r w:rsidRPr="00805964">
        <w:rPr>
          <w:i/>
          <w:iCs/>
          <w:szCs w:val="24"/>
        </w:rPr>
        <w:t>Government</w:t>
      </w:r>
      <w:proofErr w:type="spellEnd"/>
      <w:r w:rsidRPr="00805964">
        <w:rPr>
          <w:i/>
          <w:iCs/>
          <w:szCs w:val="24"/>
        </w:rPr>
        <w:t xml:space="preserve"> in </w:t>
      </w:r>
      <w:proofErr w:type="spellStart"/>
      <w:r w:rsidRPr="00805964">
        <w:rPr>
          <w:i/>
          <w:iCs/>
          <w:szCs w:val="24"/>
        </w:rPr>
        <w:t>Twenty</w:t>
      </w:r>
      <w:proofErr w:type="spellEnd"/>
      <w:r w:rsidRPr="00805964">
        <w:rPr>
          <w:i/>
          <w:iCs/>
          <w:szCs w:val="24"/>
        </w:rPr>
        <w:t>-</w:t>
      </w:r>
      <w:proofErr w:type="spellStart"/>
      <w:r w:rsidRPr="00805964">
        <w:rPr>
          <w:i/>
          <w:iCs/>
          <w:szCs w:val="24"/>
        </w:rPr>
        <w:t>One</w:t>
      </w:r>
      <w:proofErr w:type="spellEnd"/>
      <w:r w:rsidRPr="00805964">
        <w:rPr>
          <w:i/>
          <w:iCs/>
          <w:szCs w:val="24"/>
        </w:rPr>
        <w:t xml:space="preserve"> </w:t>
      </w:r>
      <w:proofErr w:type="spellStart"/>
      <w:r w:rsidRPr="00805964">
        <w:rPr>
          <w:i/>
          <w:iCs/>
          <w:szCs w:val="24"/>
        </w:rPr>
        <w:t>Countries</w:t>
      </w:r>
      <w:proofErr w:type="spellEnd"/>
      <w:r w:rsidRPr="00805964">
        <w:rPr>
          <w:i/>
          <w:iCs/>
          <w:szCs w:val="24"/>
        </w:rPr>
        <w:t xml:space="preserve"> </w:t>
      </w:r>
      <w:r w:rsidRPr="00805964">
        <w:rPr>
          <w:szCs w:val="24"/>
        </w:rPr>
        <w:t xml:space="preserve">a </w:t>
      </w:r>
      <w:proofErr w:type="spellStart"/>
      <w:r w:rsidRPr="00805964">
        <w:rPr>
          <w:i/>
          <w:iCs/>
          <w:szCs w:val="24"/>
        </w:rPr>
        <w:t>Patterns</w:t>
      </w:r>
      <w:proofErr w:type="spellEnd"/>
      <w:r w:rsidRPr="00805964">
        <w:rPr>
          <w:i/>
          <w:iCs/>
          <w:szCs w:val="24"/>
        </w:rPr>
        <w:t xml:space="preserve"> </w:t>
      </w:r>
      <w:proofErr w:type="spellStart"/>
      <w:r w:rsidRPr="00805964">
        <w:rPr>
          <w:i/>
          <w:iCs/>
          <w:szCs w:val="24"/>
        </w:rPr>
        <w:t>of</w:t>
      </w:r>
      <w:proofErr w:type="spellEnd"/>
      <w:r w:rsidRPr="00805964">
        <w:rPr>
          <w:i/>
          <w:iCs/>
          <w:szCs w:val="24"/>
        </w:rPr>
        <w:t xml:space="preserve"> </w:t>
      </w:r>
      <w:proofErr w:type="spellStart"/>
      <w:r w:rsidRPr="00805964">
        <w:rPr>
          <w:i/>
          <w:iCs/>
          <w:szCs w:val="24"/>
        </w:rPr>
        <w:t>Democracy</w:t>
      </w:r>
      <w:proofErr w:type="spellEnd"/>
      <w:r w:rsidRPr="00805964">
        <w:rPr>
          <w:i/>
          <w:iCs/>
          <w:szCs w:val="24"/>
        </w:rPr>
        <w:t xml:space="preserve">: </w:t>
      </w:r>
      <w:proofErr w:type="spellStart"/>
      <w:r w:rsidRPr="00805964">
        <w:rPr>
          <w:i/>
          <w:iCs/>
          <w:szCs w:val="24"/>
        </w:rPr>
        <w:t>government</w:t>
      </w:r>
      <w:proofErr w:type="spellEnd"/>
      <w:r w:rsidRPr="00805964">
        <w:rPr>
          <w:i/>
          <w:iCs/>
          <w:szCs w:val="24"/>
        </w:rPr>
        <w:t xml:space="preserve"> </w:t>
      </w:r>
      <w:proofErr w:type="spellStart"/>
      <w:r w:rsidRPr="00805964">
        <w:rPr>
          <w:i/>
          <w:iCs/>
          <w:szCs w:val="24"/>
        </w:rPr>
        <w:t>forms</w:t>
      </w:r>
      <w:proofErr w:type="spellEnd"/>
      <w:r w:rsidRPr="00805964">
        <w:rPr>
          <w:i/>
          <w:iCs/>
          <w:szCs w:val="24"/>
        </w:rPr>
        <w:t xml:space="preserve"> </w:t>
      </w:r>
      <w:proofErr w:type="spellStart"/>
      <w:r w:rsidRPr="00805964">
        <w:rPr>
          <w:i/>
          <w:iCs/>
          <w:szCs w:val="24"/>
        </w:rPr>
        <w:t>and</w:t>
      </w:r>
      <w:proofErr w:type="spellEnd"/>
      <w:r w:rsidRPr="00805964">
        <w:rPr>
          <w:i/>
          <w:iCs/>
          <w:szCs w:val="24"/>
        </w:rPr>
        <w:t xml:space="preserve"> performance in </w:t>
      </w:r>
      <w:proofErr w:type="spellStart"/>
      <w:r w:rsidRPr="00805964">
        <w:rPr>
          <w:i/>
          <w:iCs/>
          <w:szCs w:val="24"/>
        </w:rPr>
        <w:t>thirty</w:t>
      </w:r>
      <w:proofErr w:type="spellEnd"/>
      <w:r w:rsidRPr="00805964">
        <w:rPr>
          <w:i/>
          <w:iCs/>
          <w:szCs w:val="24"/>
        </w:rPr>
        <w:t>-</w:t>
      </w:r>
      <w:proofErr w:type="spellStart"/>
      <w:r w:rsidRPr="00805964">
        <w:rPr>
          <w:i/>
          <w:iCs/>
          <w:szCs w:val="24"/>
        </w:rPr>
        <w:t>six</w:t>
      </w:r>
      <w:proofErr w:type="spellEnd"/>
      <w:r w:rsidRPr="00805964">
        <w:rPr>
          <w:i/>
          <w:iCs/>
          <w:szCs w:val="24"/>
        </w:rPr>
        <w:t xml:space="preserve"> </w:t>
      </w:r>
      <w:proofErr w:type="spellStart"/>
      <w:r w:rsidRPr="00805964">
        <w:rPr>
          <w:i/>
          <w:iCs/>
          <w:szCs w:val="24"/>
        </w:rPr>
        <w:t>countries</w:t>
      </w:r>
      <w:proofErr w:type="spellEnd"/>
      <w:r w:rsidRPr="00805964">
        <w:rPr>
          <w:szCs w:val="24"/>
        </w:rPr>
        <w:t xml:space="preserve">. A. </w:t>
      </w:r>
      <w:proofErr w:type="spellStart"/>
      <w:r w:rsidRPr="00805964">
        <w:rPr>
          <w:szCs w:val="24"/>
        </w:rPr>
        <w:t>Lijphart</w:t>
      </w:r>
      <w:proofErr w:type="spellEnd"/>
      <w:r w:rsidRPr="00805964">
        <w:rPr>
          <w:szCs w:val="24"/>
        </w:rPr>
        <w:t xml:space="preserve"> v těchto knihách z let 1984 a 1999 představil doposud nejvlivnější typologii horních komor a rozlišil zde také typy </w:t>
      </w:r>
      <w:proofErr w:type="spellStart"/>
      <w:r w:rsidRPr="00805964">
        <w:rPr>
          <w:szCs w:val="24"/>
        </w:rPr>
        <w:t>bikameralismů</w:t>
      </w:r>
      <w:proofErr w:type="spellEnd"/>
      <w:r w:rsidRPr="00805964">
        <w:rPr>
          <w:szCs w:val="24"/>
        </w:rPr>
        <w:t xml:space="preserve">. I přesto, že jsou knihy staršího data a je tedy třeba ověřovat platnost některých informací, patří mezi základní literaturu při analýze druhých komor či dvoukomorových parlamentů. </w:t>
      </w:r>
    </w:p>
    <w:p w:rsidR="001A6BA8" w:rsidRPr="00805964" w:rsidRDefault="001A6BA8" w:rsidP="001A6BA8">
      <w:pPr>
        <w:autoSpaceDE w:val="0"/>
        <w:spacing w:after="0" w:line="360" w:lineRule="auto"/>
        <w:contextualSpacing/>
        <w:jc w:val="both"/>
        <w:rPr>
          <w:iCs/>
          <w:szCs w:val="24"/>
        </w:rPr>
      </w:pPr>
      <w:r w:rsidRPr="00805964">
        <w:rPr>
          <w:iCs/>
          <w:szCs w:val="24"/>
        </w:rPr>
        <w:tab/>
        <w:t xml:space="preserve">Českých zdrojů věnujícím se dvoukomorovým parlamentům či druhým komorám je velmi málo. Za jediný komplexnější zdroj lze považovat publikaci Jana Kysely </w:t>
      </w:r>
      <w:r w:rsidRPr="00805964">
        <w:rPr>
          <w:i/>
          <w:iCs/>
          <w:szCs w:val="24"/>
        </w:rPr>
        <w:t>Dvoukomorové systémy: Teorie, historie a srovnání dvoukomorových parlamentů</w:t>
      </w:r>
      <w:r w:rsidRPr="00805964">
        <w:rPr>
          <w:iCs/>
          <w:szCs w:val="24"/>
        </w:rPr>
        <w:t xml:space="preserve"> z roku 2004. Po zkušenostech nasbíraných v průběhu psaní bakalářské práce, kdy jsem v této publikaci narazil na řadu nepřesností, jsem se snažil z této knihy příliš nečerpat, případně informace zde získané ověřovat. Jan Kysela je mj. tajemníkem stálé komise Senátu pro Ústavu České republiky a parlamentní procedury, což vytváří dojem zaujatosti vůči tématu, avšak toto nelze objektivně posoudit. Jediným indikátorem tohoto tvrzení je dle mého názoru nedostatečně kritický postoj vůči horní komoře Parlamentu ČR.</w:t>
      </w:r>
    </w:p>
    <w:p w:rsidR="001A6BA8" w:rsidRPr="00805964" w:rsidRDefault="001A6BA8" w:rsidP="001A6BA8">
      <w:pPr>
        <w:spacing w:line="360" w:lineRule="auto"/>
        <w:contextualSpacing/>
        <w:jc w:val="both"/>
      </w:pPr>
      <w:r w:rsidRPr="00805964">
        <w:tab/>
        <w:t xml:space="preserve">Druhým českým zdrojem, který stojí za zmínku, je dílo autorské trojice Aleše </w:t>
      </w:r>
      <w:proofErr w:type="spellStart"/>
      <w:r w:rsidRPr="00805964">
        <w:t>Gerlocha</w:t>
      </w:r>
      <w:proofErr w:type="spellEnd"/>
      <w:r w:rsidRPr="00805964">
        <w:t xml:space="preserve">, Jiřího </w:t>
      </w:r>
      <w:proofErr w:type="spellStart"/>
      <w:r w:rsidRPr="00805964">
        <w:t>Hřebejka</w:t>
      </w:r>
      <w:proofErr w:type="spellEnd"/>
      <w:r w:rsidRPr="00805964">
        <w:t xml:space="preserve"> a Vladimíra Zoubka Ústavní </w:t>
      </w:r>
      <w:r w:rsidRPr="00805964">
        <w:rPr>
          <w:i/>
        </w:rPr>
        <w:t>systém České republiky. Základy českého ústavního práva</w:t>
      </w:r>
      <w:r w:rsidRPr="00805964">
        <w:t xml:space="preserve">, z něhož jsem čerpal hlavně při studiu historie dvoukomorových parlamentů na území ČR a poté v kapitole věnující se legislativnímu procesu v ČR. </w:t>
      </w:r>
      <w:r w:rsidRPr="00805964">
        <w:tab/>
        <w:t xml:space="preserve">Nejdůležitějšími zdroji v oblasti historie </w:t>
      </w:r>
      <w:proofErr w:type="spellStart"/>
      <w:r w:rsidRPr="00805964">
        <w:t>bikameralismu</w:t>
      </w:r>
      <w:proofErr w:type="spellEnd"/>
      <w:r w:rsidRPr="00805964">
        <w:t xml:space="preserve"> a legislativního procesu </w:t>
      </w:r>
      <w:r w:rsidR="00A70AAB">
        <w:t>v </w:t>
      </w:r>
      <w:r w:rsidRPr="00805964">
        <w:t xml:space="preserve">České republice však byly </w:t>
      </w:r>
      <w:r w:rsidRPr="00805964">
        <w:rPr>
          <w:i/>
        </w:rPr>
        <w:t>Ústavní listina Československé republiky</w:t>
      </w:r>
      <w:r w:rsidRPr="00805964">
        <w:t xml:space="preserve"> z roku 1920 a </w:t>
      </w:r>
      <w:r w:rsidRPr="00805964">
        <w:rPr>
          <w:i/>
        </w:rPr>
        <w:t>Ústava České republiky</w:t>
      </w:r>
      <w:r w:rsidRPr="00805964">
        <w:t xml:space="preserve"> z roku 1992, doplněné relevantními zákony. Tyto dva primární zdroje jsou pro první kapitolu stěžejní.</w:t>
      </w:r>
    </w:p>
    <w:p w:rsidR="001A6BA8" w:rsidRPr="00805964" w:rsidRDefault="001A6BA8" w:rsidP="001A6BA8">
      <w:pPr>
        <w:spacing w:line="360" w:lineRule="auto"/>
        <w:contextualSpacing/>
        <w:jc w:val="both"/>
      </w:pPr>
      <w:r w:rsidRPr="00805964">
        <w:tab/>
        <w:t xml:space="preserve">V práci jsem také čerpal ze své bakalářské práce a jejich výsledků. Jedná se </w:t>
      </w:r>
      <w:r w:rsidR="00A70AAB">
        <w:t>o </w:t>
      </w:r>
      <w:r w:rsidRPr="00805964">
        <w:t xml:space="preserve">komparativní analýzu s názvem </w:t>
      </w:r>
      <w:r w:rsidRPr="00805964">
        <w:rPr>
          <w:i/>
        </w:rPr>
        <w:t xml:space="preserve">Role a síla druhých komor parlamentů ve vybraných unitárních státech Evropy </w:t>
      </w:r>
      <w:r w:rsidRPr="00805964">
        <w:t xml:space="preserve">dostupnou v knihovně Univerzity Palackého v Olomouci či </w:t>
      </w:r>
      <w:r w:rsidRPr="00805964">
        <w:lastRenderedPageBreak/>
        <w:t>v</w:t>
      </w:r>
      <w:r w:rsidR="00A70AAB">
        <w:t> </w:t>
      </w:r>
      <w:r w:rsidRPr="00805964">
        <w:t>Informačním systému Univerzity Palackého. Výsledky práce posloužily při stručném srovnání postavení Senátu ČR v legislativním procesu s horními komorami v dalších unitárních státech Evropy. Na informace získané z bakalářské práce je v textu odkazováno.</w:t>
      </w:r>
    </w:p>
    <w:p w:rsidR="001A6BA8" w:rsidRPr="00805964" w:rsidRDefault="001A6BA8" w:rsidP="001A6BA8">
      <w:pPr>
        <w:spacing w:line="360" w:lineRule="auto"/>
        <w:contextualSpacing/>
        <w:jc w:val="both"/>
      </w:pPr>
      <w:r w:rsidRPr="00805964">
        <w:tab/>
        <w:t>Třetí kapitola je věnována měření efektivnosti Senátu, a proto analytická část práce vychází zejména z dat nasbíraných na webových stránkách Senátu (</w:t>
      </w:r>
      <w:hyperlink r:id="rId8" w:history="1">
        <w:r w:rsidRPr="00805964">
          <w:rPr>
            <w:rStyle w:val="Hypertextovodkaz"/>
            <w:color w:val="auto"/>
          </w:rPr>
          <w:t>www.senat.cz</w:t>
        </w:r>
      </w:hyperlink>
      <w:r w:rsidRPr="00805964">
        <w:t>), Poslanecké sněmovny (</w:t>
      </w:r>
      <w:hyperlink r:id="rId9" w:history="1">
        <w:r w:rsidRPr="00805964">
          <w:rPr>
            <w:rStyle w:val="Hypertextovodkaz"/>
            <w:color w:val="auto"/>
          </w:rPr>
          <w:t>www.psp.cz</w:t>
        </w:r>
      </w:hyperlink>
      <w:r w:rsidRPr="00805964">
        <w:t>) a webové stránce Českého statistického úřadu (</w:t>
      </w:r>
      <w:hyperlink r:id="rId10" w:history="1">
        <w:r w:rsidRPr="00805964">
          <w:rPr>
            <w:rStyle w:val="Hypertextovodkaz"/>
            <w:color w:val="auto"/>
          </w:rPr>
          <w:t>www.volby.cz</w:t>
        </w:r>
      </w:hyperlink>
      <w:r w:rsidRPr="00805964">
        <w:t xml:space="preserve">). </w:t>
      </w:r>
    </w:p>
    <w:p w:rsidR="001A6BA8" w:rsidRPr="00805964" w:rsidRDefault="001A6BA8" w:rsidP="001A6BA8">
      <w:pPr>
        <w:spacing w:line="360" w:lineRule="auto"/>
        <w:contextualSpacing/>
        <w:jc w:val="both"/>
      </w:pPr>
      <w:r w:rsidRPr="00805964">
        <w:tab/>
        <w:t xml:space="preserve">Na tomto místě bych rád poděkoval především doc. PhDr. Vlastimilu Fialovi, CSc. </w:t>
      </w:r>
      <w:r w:rsidR="00A70AAB">
        <w:t>a </w:t>
      </w:r>
      <w:r w:rsidRPr="00805964">
        <w:t xml:space="preserve">RNDr. Janu </w:t>
      </w:r>
      <w:proofErr w:type="spellStart"/>
      <w:r w:rsidRPr="00805964">
        <w:t>Ryglovi</w:t>
      </w:r>
      <w:proofErr w:type="spellEnd"/>
      <w:r w:rsidRPr="00805964">
        <w:t xml:space="preserve"> za cenné rady, komentáře a veškerou pomoc, kterou mi v průběhu psaní práce poskytovali. Poděkování patří také rodičům za podporu v průběhu celého studia.</w:t>
      </w:r>
    </w:p>
    <w:p w:rsidR="00371FD9" w:rsidRPr="00805964" w:rsidRDefault="00371FD9" w:rsidP="001A6BA8">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371FD9" w:rsidRPr="00805964" w:rsidRDefault="00371FD9" w:rsidP="0029635A">
      <w:pPr>
        <w:spacing w:line="360" w:lineRule="auto"/>
        <w:contextualSpacing/>
        <w:jc w:val="both"/>
        <w:rPr>
          <w:rFonts w:cs="Times New Roman"/>
        </w:rPr>
      </w:pPr>
    </w:p>
    <w:p w:rsidR="00080504" w:rsidRPr="00805964" w:rsidRDefault="00080504" w:rsidP="0029635A">
      <w:pPr>
        <w:spacing w:line="360" w:lineRule="auto"/>
        <w:contextualSpacing/>
        <w:jc w:val="both"/>
        <w:rPr>
          <w:rFonts w:cs="Times New Roman"/>
        </w:rPr>
      </w:pPr>
    </w:p>
    <w:p w:rsidR="00655AA7" w:rsidRPr="00805964" w:rsidRDefault="00655AA7" w:rsidP="0029635A">
      <w:pPr>
        <w:pStyle w:val="Nadpis1"/>
        <w:spacing w:line="360" w:lineRule="auto"/>
        <w:contextualSpacing/>
        <w:jc w:val="both"/>
        <w:rPr>
          <w:rFonts w:cs="Times New Roman"/>
        </w:rPr>
      </w:pPr>
      <w:bookmarkStart w:id="1" w:name="_Toc359918269"/>
      <w:r w:rsidRPr="00805964">
        <w:rPr>
          <w:rFonts w:cs="Times New Roman"/>
        </w:rPr>
        <w:lastRenderedPageBreak/>
        <w:t xml:space="preserve">1. Teoretické zakotvení: teorie </w:t>
      </w:r>
      <w:proofErr w:type="spellStart"/>
      <w:r w:rsidRPr="00805964">
        <w:rPr>
          <w:rFonts w:cs="Times New Roman"/>
        </w:rPr>
        <w:t>bikameralismu</w:t>
      </w:r>
      <w:proofErr w:type="spellEnd"/>
      <w:r w:rsidRPr="00805964">
        <w:rPr>
          <w:rFonts w:cs="Times New Roman"/>
        </w:rPr>
        <w:t xml:space="preserve"> a druhé komory</w:t>
      </w:r>
      <w:bookmarkEnd w:id="1"/>
    </w:p>
    <w:p w:rsidR="00655AA7" w:rsidRDefault="00655AA7" w:rsidP="0029635A">
      <w:pPr>
        <w:contextualSpacing/>
      </w:pPr>
    </w:p>
    <w:p w:rsidR="00BB7495" w:rsidRPr="00805964" w:rsidRDefault="00BB7495" w:rsidP="0029635A">
      <w:pPr>
        <w:contextualSpacing/>
      </w:pPr>
    </w:p>
    <w:p w:rsidR="008556AC" w:rsidRPr="00805964" w:rsidRDefault="00E62E4D" w:rsidP="0029635A">
      <w:pPr>
        <w:spacing w:line="360" w:lineRule="auto"/>
        <w:contextualSpacing/>
        <w:jc w:val="both"/>
      </w:pPr>
      <w:r w:rsidRPr="00805964">
        <w:rPr>
          <w:rFonts w:cs="Times New Roman"/>
        </w:rPr>
        <w:tab/>
        <w:t xml:space="preserve">Za bikamerální legislativy jsou označovány takové legislativy, které jsou rozděleny do dvou komor. V současné době lze ve světě nalézt 78 dvoukomorových parlamentů a 115 parlamentů jednokomorových neboli </w:t>
      </w:r>
      <w:proofErr w:type="spellStart"/>
      <w:r w:rsidRPr="00805964">
        <w:rPr>
          <w:rFonts w:cs="Times New Roman"/>
        </w:rPr>
        <w:t>unikamerálních</w:t>
      </w:r>
      <w:proofErr w:type="spellEnd"/>
      <w:r w:rsidRPr="00805964">
        <w:rPr>
          <w:rFonts w:cs="Times New Roman"/>
        </w:rPr>
        <w:t>.</w:t>
      </w:r>
      <w:r w:rsidRPr="00805964">
        <w:rPr>
          <w:rStyle w:val="Znakapoznpodarou"/>
          <w:rFonts w:cs="Times New Roman"/>
        </w:rPr>
        <w:footnoteReference w:id="1"/>
      </w:r>
      <w:r w:rsidRPr="00805964">
        <w:rPr>
          <w:rFonts w:cs="Times New Roman"/>
        </w:rPr>
        <w:t xml:space="preserve"> </w:t>
      </w:r>
      <w:r w:rsidRPr="00805964">
        <w:t>Dvoukomorové parlamenty bývají nejčastěji spojovány s federativním uspořádáním země, a proto je většina výzkumů týkající se druhých komor zaměřována zejména na dru</w:t>
      </w:r>
      <w:r w:rsidR="008556AC" w:rsidRPr="00805964">
        <w:t xml:space="preserve">hé komory ve federacích. </w:t>
      </w:r>
    </w:p>
    <w:p w:rsidR="00567A0C" w:rsidRPr="00805964" w:rsidRDefault="00567A0C" w:rsidP="0029635A">
      <w:pPr>
        <w:spacing w:line="360" w:lineRule="auto"/>
        <w:contextualSpacing/>
        <w:jc w:val="both"/>
      </w:pPr>
    </w:p>
    <w:p w:rsidR="00567A0C" w:rsidRPr="00805964" w:rsidRDefault="00567A0C" w:rsidP="00567A0C">
      <w:pPr>
        <w:spacing w:after="0" w:line="360" w:lineRule="auto"/>
        <w:contextualSpacing/>
        <w:jc w:val="center"/>
        <w:rPr>
          <w:rFonts w:cs="Times New Roman"/>
          <w:b/>
          <w:sz w:val="22"/>
          <w:u w:val="single"/>
        </w:rPr>
      </w:pPr>
      <w:r w:rsidRPr="00805964">
        <w:rPr>
          <w:rFonts w:cs="Times New Roman"/>
          <w:b/>
          <w:sz w:val="22"/>
          <w:u w:val="single"/>
        </w:rPr>
        <w:t>Graf č. 1: Struktura parlamentů ve světe</w:t>
      </w:r>
    </w:p>
    <w:p w:rsidR="008556AC" w:rsidRPr="00805964" w:rsidRDefault="008556AC" w:rsidP="0029635A">
      <w:pPr>
        <w:spacing w:line="360" w:lineRule="auto"/>
        <w:contextualSpacing/>
        <w:jc w:val="center"/>
      </w:pPr>
      <w:r w:rsidRPr="00805964">
        <w:rPr>
          <w:rFonts w:cs="Times New Roman"/>
          <w:noProof/>
          <w:lang w:eastAsia="cs-CZ"/>
        </w:rPr>
        <w:drawing>
          <wp:inline distT="0" distB="0" distL="0" distR="0">
            <wp:extent cx="3790950" cy="25146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56AC" w:rsidRPr="00805964" w:rsidRDefault="00567A0C" w:rsidP="0029635A">
      <w:pPr>
        <w:spacing w:after="0" w:line="360" w:lineRule="auto"/>
        <w:contextualSpacing/>
        <w:jc w:val="center"/>
        <w:rPr>
          <w:rFonts w:cs="Times New Roman"/>
          <w:i/>
          <w:sz w:val="22"/>
        </w:rPr>
      </w:pPr>
      <w:r w:rsidRPr="00805964">
        <w:rPr>
          <w:rFonts w:cs="Times New Roman"/>
          <w:i/>
          <w:sz w:val="22"/>
        </w:rPr>
        <w:t>Zdroj: Autor podle</w:t>
      </w:r>
      <w:r w:rsidRPr="00805964">
        <w:t xml:space="preserve"> </w:t>
      </w:r>
      <w:hyperlink r:id="rId12" w:history="1">
        <w:r w:rsidRPr="00805964">
          <w:rPr>
            <w:rStyle w:val="Hypertextovodkaz"/>
            <w:i/>
            <w:color w:val="auto"/>
            <w:sz w:val="22"/>
          </w:rPr>
          <w:t>http://www.ipu.org/parline-e/ParliamentsStructure.asp?REGION=All&amp;LANG=ENG</w:t>
        </w:r>
      </w:hyperlink>
    </w:p>
    <w:p w:rsidR="008556AC" w:rsidRPr="00805964" w:rsidRDefault="008556AC" w:rsidP="0029635A">
      <w:pPr>
        <w:spacing w:line="360" w:lineRule="auto"/>
        <w:contextualSpacing/>
        <w:jc w:val="both"/>
      </w:pPr>
    </w:p>
    <w:p w:rsidR="0023328E" w:rsidRPr="00805964" w:rsidRDefault="008556AC" w:rsidP="0029635A">
      <w:pPr>
        <w:spacing w:line="360" w:lineRule="auto"/>
        <w:contextualSpacing/>
        <w:jc w:val="both"/>
      </w:pPr>
      <w:r w:rsidRPr="00805964">
        <w:tab/>
        <w:t>Cílem</w:t>
      </w:r>
      <w:r w:rsidR="00E62E4D" w:rsidRPr="00805964">
        <w:t xml:space="preserve"> této kapitoly je představení teorie </w:t>
      </w:r>
      <w:proofErr w:type="spellStart"/>
      <w:r w:rsidR="00E62E4D" w:rsidRPr="00805964">
        <w:t>bikameralismu</w:t>
      </w:r>
      <w:proofErr w:type="spellEnd"/>
      <w:r w:rsidR="00E62E4D" w:rsidRPr="00805964">
        <w:t xml:space="preserve">, historie druhých komor </w:t>
      </w:r>
      <w:r w:rsidR="00A70AAB">
        <w:t>a </w:t>
      </w:r>
      <w:r w:rsidR="00E62E4D" w:rsidRPr="00805964">
        <w:t>zejména pak jejich funkci v ústavních systémech</w:t>
      </w:r>
      <w:r w:rsidRPr="00805964">
        <w:t>,</w:t>
      </w:r>
      <w:r w:rsidR="00E62E4D" w:rsidRPr="00805964">
        <w:t xml:space="preserve"> a to se zaměřením na unitární státy. </w:t>
      </w:r>
      <w:r w:rsidR="00EA23FB" w:rsidRPr="00805964">
        <w:t>Čtvrtá podkapitola se věnuje historickému</w:t>
      </w:r>
      <w:r w:rsidR="00E62E4D" w:rsidRPr="00805964">
        <w:t xml:space="preserve"> vývoj</w:t>
      </w:r>
      <w:r w:rsidR="00EA23FB" w:rsidRPr="00805964">
        <w:t>i</w:t>
      </w:r>
      <w:r w:rsidR="00E62E4D" w:rsidRPr="00805964">
        <w:t xml:space="preserve"> </w:t>
      </w:r>
      <w:proofErr w:type="spellStart"/>
      <w:r w:rsidR="00E62E4D" w:rsidRPr="00805964">
        <w:t>bikameralismu</w:t>
      </w:r>
      <w:proofErr w:type="spellEnd"/>
      <w:r w:rsidR="00E62E4D" w:rsidRPr="00805964">
        <w:t xml:space="preserve"> v Československé republice </w:t>
      </w:r>
      <w:r w:rsidR="00A70AAB">
        <w:t>a </w:t>
      </w:r>
      <w:r w:rsidR="00E62E4D" w:rsidRPr="00805964">
        <w:t xml:space="preserve">následně v České </w:t>
      </w:r>
      <w:r w:rsidR="00EA23FB" w:rsidRPr="00805964">
        <w:t>republice. V závěru kapitoly je představen legislativní proces v České republice se zaměřením na roli Senátu ČR v tomto procesu a komparace s některými dalšími druhými komorami nacházejícími se v unitárních státech západní Evropy. Některé informace použité v této kapitole vycházejí z autorovi bakalářské práce a je na ně takto odkazováno.</w:t>
      </w:r>
    </w:p>
    <w:p w:rsidR="0023328E" w:rsidRPr="00805964" w:rsidRDefault="0023328E" w:rsidP="0029635A">
      <w:pPr>
        <w:contextualSpacing/>
      </w:pPr>
    </w:p>
    <w:p w:rsidR="00567A0C" w:rsidRPr="00805964" w:rsidRDefault="00567A0C" w:rsidP="0029635A">
      <w:pPr>
        <w:contextualSpacing/>
      </w:pPr>
    </w:p>
    <w:p w:rsidR="00EE19CE" w:rsidRPr="00805964" w:rsidRDefault="00EE19CE" w:rsidP="0029635A">
      <w:pPr>
        <w:contextualSpacing/>
      </w:pPr>
    </w:p>
    <w:p w:rsidR="001D0E82" w:rsidRPr="00805964" w:rsidRDefault="00216438" w:rsidP="0029635A">
      <w:pPr>
        <w:pStyle w:val="Nadpis2"/>
        <w:contextualSpacing/>
      </w:pPr>
      <w:bookmarkStart w:id="2" w:name="_Toc359918270"/>
      <w:r w:rsidRPr="00805964">
        <w:lastRenderedPageBreak/>
        <w:t>1.</w:t>
      </w:r>
      <w:r w:rsidR="00655AA7" w:rsidRPr="00805964">
        <w:t xml:space="preserve"> 1</w:t>
      </w:r>
      <w:r w:rsidRPr="00805964">
        <w:t xml:space="preserve"> </w:t>
      </w:r>
      <w:proofErr w:type="spellStart"/>
      <w:r w:rsidR="00FE2DA1" w:rsidRPr="00805964">
        <w:t>B</w:t>
      </w:r>
      <w:r w:rsidR="001D0E82" w:rsidRPr="00805964">
        <w:t>ikameralismu</w:t>
      </w:r>
      <w:r w:rsidR="00FE2DA1" w:rsidRPr="00805964">
        <w:t>s</w:t>
      </w:r>
      <w:proofErr w:type="spellEnd"/>
      <w:r w:rsidR="001D0E82" w:rsidRPr="00805964">
        <w:t xml:space="preserve"> a </w:t>
      </w:r>
      <w:r w:rsidR="009675FB" w:rsidRPr="00805964">
        <w:t>druhé komory</w:t>
      </w:r>
      <w:bookmarkEnd w:id="2"/>
    </w:p>
    <w:p w:rsidR="001D0E82" w:rsidRPr="00805964" w:rsidRDefault="001D0E82" w:rsidP="0029635A">
      <w:pPr>
        <w:spacing w:line="360" w:lineRule="auto"/>
        <w:contextualSpacing/>
        <w:jc w:val="both"/>
        <w:rPr>
          <w:rFonts w:cs="Times New Roman"/>
        </w:rPr>
      </w:pPr>
    </w:p>
    <w:p w:rsidR="002B2185" w:rsidRPr="00805964" w:rsidRDefault="00E62E4D" w:rsidP="0029635A">
      <w:pPr>
        <w:spacing w:after="0" w:line="360" w:lineRule="auto"/>
        <w:contextualSpacing/>
        <w:jc w:val="both"/>
        <w:rPr>
          <w:rFonts w:cs="Times New Roman"/>
        </w:rPr>
      </w:pPr>
      <w:r w:rsidRPr="00805964">
        <w:rPr>
          <w:rFonts w:cs="Times New Roman"/>
        </w:rPr>
        <w:tab/>
      </w:r>
      <w:r w:rsidR="00914395" w:rsidRPr="00805964">
        <w:rPr>
          <w:rFonts w:cs="Times New Roman"/>
        </w:rPr>
        <w:t>V literatuře</w:t>
      </w:r>
      <w:r w:rsidRPr="00805964">
        <w:rPr>
          <w:rFonts w:cs="Times New Roman"/>
        </w:rPr>
        <w:t xml:space="preserve"> se</w:t>
      </w:r>
      <w:r w:rsidR="00D80C9B" w:rsidRPr="00805964">
        <w:rPr>
          <w:rFonts w:cs="Times New Roman"/>
        </w:rPr>
        <w:t xml:space="preserve"> ve vztahu k u</w:t>
      </w:r>
      <w:r w:rsidR="001D2F9B" w:rsidRPr="00805964">
        <w:rPr>
          <w:rFonts w:cs="Times New Roman"/>
        </w:rPr>
        <w:t>s</w:t>
      </w:r>
      <w:r w:rsidR="00D80C9B" w:rsidRPr="00805964">
        <w:rPr>
          <w:rFonts w:cs="Times New Roman"/>
        </w:rPr>
        <w:t>pořádání parlamentů</w:t>
      </w:r>
      <w:r w:rsidRPr="00805964">
        <w:rPr>
          <w:rFonts w:cs="Times New Roman"/>
        </w:rPr>
        <w:t xml:space="preserve"> nesetkáváme jen s pojmy </w:t>
      </w:r>
      <w:proofErr w:type="spellStart"/>
      <w:r w:rsidRPr="00805964">
        <w:rPr>
          <w:rFonts w:cs="Times New Roman"/>
        </w:rPr>
        <w:t>unikameralismus</w:t>
      </w:r>
      <w:proofErr w:type="spellEnd"/>
      <w:r w:rsidRPr="00805964">
        <w:rPr>
          <w:rFonts w:cs="Times New Roman"/>
        </w:rPr>
        <w:t xml:space="preserve"> či </w:t>
      </w:r>
      <w:proofErr w:type="spellStart"/>
      <w:r w:rsidRPr="00805964">
        <w:rPr>
          <w:rFonts w:cs="Times New Roman"/>
        </w:rPr>
        <w:t>bikameralismus</w:t>
      </w:r>
      <w:proofErr w:type="spellEnd"/>
      <w:r w:rsidRPr="00805964">
        <w:rPr>
          <w:rFonts w:cs="Times New Roman"/>
        </w:rPr>
        <w:t xml:space="preserve">, avšak </w:t>
      </w:r>
      <w:r w:rsidR="00010CFC" w:rsidRPr="00805964">
        <w:rPr>
          <w:rFonts w:cs="Times New Roman"/>
        </w:rPr>
        <w:t xml:space="preserve">také </w:t>
      </w:r>
      <w:r w:rsidR="00914395" w:rsidRPr="00805964">
        <w:rPr>
          <w:rFonts w:cs="Times New Roman"/>
        </w:rPr>
        <w:t xml:space="preserve">s pojmy modifikovaný </w:t>
      </w:r>
      <w:proofErr w:type="spellStart"/>
      <w:r w:rsidR="00914395" w:rsidRPr="00805964">
        <w:rPr>
          <w:rFonts w:cs="Times New Roman"/>
        </w:rPr>
        <w:t>uni</w:t>
      </w:r>
      <w:r w:rsidR="00DE3D56" w:rsidRPr="00805964">
        <w:rPr>
          <w:rFonts w:cs="Times New Roman"/>
        </w:rPr>
        <w:t>k</w:t>
      </w:r>
      <w:r w:rsidR="008556AC" w:rsidRPr="00805964">
        <w:rPr>
          <w:rFonts w:cs="Times New Roman"/>
        </w:rPr>
        <w:t>ameralismus</w:t>
      </w:r>
      <w:proofErr w:type="spellEnd"/>
      <w:r w:rsidR="008556AC" w:rsidRPr="00805964">
        <w:rPr>
          <w:rFonts w:cs="Times New Roman"/>
        </w:rPr>
        <w:t xml:space="preserve"> </w:t>
      </w:r>
      <w:r w:rsidR="00A70AAB">
        <w:rPr>
          <w:rFonts w:cs="Times New Roman"/>
        </w:rPr>
        <w:t>a </w:t>
      </w:r>
      <w:proofErr w:type="spellStart"/>
      <w:r w:rsidR="008556AC" w:rsidRPr="00805964">
        <w:rPr>
          <w:rFonts w:cs="Times New Roman"/>
        </w:rPr>
        <w:t>polykameralismus</w:t>
      </w:r>
      <w:proofErr w:type="spellEnd"/>
      <w:r w:rsidR="008556AC" w:rsidRPr="00805964">
        <w:rPr>
          <w:rFonts w:cs="Times New Roman"/>
        </w:rPr>
        <w:t xml:space="preserve">. </w:t>
      </w:r>
      <w:proofErr w:type="spellStart"/>
      <w:r w:rsidR="00DE3D56" w:rsidRPr="00805964">
        <w:rPr>
          <w:rFonts w:cs="Times New Roman"/>
        </w:rPr>
        <w:t>P</w:t>
      </w:r>
      <w:r w:rsidR="00914395" w:rsidRPr="00805964">
        <w:rPr>
          <w:rFonts w:cs="Times New Roman"/>
        </w:rPr>
        <w:t>olykameralism</w:t>
      </w:r>
      <w:r w:rsidR="00010CFC" w:rsidRPr="00805964">
        <w:rPr>
          <w:rFonts w:cs="Times New Roman"/>
        </w:rPr>
        <w:t>us</w:t>
      </w:r>
      <w:proofErr w:type="spellEnd"/>
      <w:r w:rsidR="00010CFC" w:rsidRPr="00805964">
        <w:rPr>
          <w:rFonts w:cs="Times New Roman"/>
        </w:rPr>
        <w:t xml:space="preserve"> již zcela vymizel a </w:t>
      </w:r>
      <w:r w:rsidR="00914395" w:rsidRPr="00805964">
        <w:rPr>
          <w:rFonts w:cs="Times New Roman"/>
        </w:rPr>
        <w:t xml:space="preserve">termín modifikovaný </w:t>
      </w:r>
      <w:proofErr w:type="spellStart"/>
      <w:r w:rsidR="00914395" w:rsidRPr="00805964">
        <w:rPr>
          <w:rFonts w:cs="Times New Roman"/>
        </w:rPr>
        <w:t>unikameralis</w:t>
      </w:r>
      <w:r w:rsidR="00E560B0" w:rsidRPr="00805964">
        <w:rPr>
          <w:rFonts w:cs="Times New Roman"/>
        </w:rPr>
        <w:t>mus</w:t>
      </w:r>
      <w:proofErr w:type="spellEnd"/>
      <w:r w:rsidR="00E560B0" w:rsidRPr="00805964">
        <w:rPr>
          <w:rFonts w:cs="Times New Roman"/>
        </w:rPr>
        <w:t xml:space="preserve"> je uznáván jen některými odborníky</w:t>
      </w:r>
      <w:r w:rsidR="00914395" w:rsidRPr="00805964">
        <w:rPr>
          <w:rFonts w:cs="Times New Roman"/>
        </w:rPr>
        <w:t xml:space="preserve">. </w:t>
      </w:r>
      <w:r w:rsidR="00010CFC" w:rsidRPr="00805964">
        <w:rPr>
          <w:rFonts w:cs="Times New Roman"/>
        </w:rPr>
        <w:t>Jan Kysela</w:t>
      </w:r>
      <w:r w:rsidR="00673CC2" w:rsidRPr="00805964">
        <w:rPr>
          <w:rStyle w:val="Znakapoznpodarou"/>
          <w:rFonts w:cs="Times New Roman"/>
        </w:rPr>
        <w:footnoteReference w:id="2"/>
      </w:r>
      <w:r w:rsidR="00010CFC" w:rsidRPr="00805964">
        <w:rPr>
          <w:rFonts w:cs="Times New Roman"/>
        </w:rPr>
        <w:t xml:space="preserve">, Jana </w:t>
      </w:r>
      <w:proofErr w:type="spellStart"/>
      <w:r w:rsidR="00010CFC" w:rsidRPr="00805964">
        <w:rPr>
          <w:rFonts w:cs="Times New Roman"/>
        </w:rPr>
        <w:t>Reschová</w:t>
      </w:r>
      <w:proofErr w:type="spellEnd"/>
      <w:r w:rsidR="00673CC2" w:rsidRPr="00805964">
        <w:rPr>
          <w:rStyle w:val="Znakapoznpodarou"/>
          <w:rFonts w:cs="Times New Roman"/>
        </w:rPr>
        <w:footnoteReference w:id="3"/>
      </w:r>
      <w:r w:rsidR="00010CFC" w:rsidRPr="00805964">
        <w:rPr>
          <w:rFonts w:cs="Times New Roman"/>
        </w:rPr>
        <w:t xml:space="preserve"> či Jindřiška </w:t>
      </w:r>
      <w:proofErr w:type="spellStart"/>
      <w:r w:rsidR="00010CFC" w:rsidRPr="00805964">
        <w:rPr>
          <w:rFonts w:cs="Times New Roman"/>
        </w:rPr>
        <w:t>Syllová</w:t>
      </w:r>
      <w:proofErr w:type="spellEnd"/>
      <w:r w:rsidR="00673CC2" w:rsidRPr="00805964">
        <w:rPr>
          <w:rStyle w:val="Znakapoznpodarou"/>
          <w:rFonts w:cs="Times New Roman"/>
        </w:rPr>
        <w:footnoteReference w:id="4"/>
      </w:r>
      <w:r w:rsidR="00010CFC" w:rsidRPr="00805964">
        <w:rPr>
          <w:rFonts w:cs="Times New Roman"/>
        </w:rPr>
        <w:t xml:space="preserve"> ve svých publikacích tento termín používají, naproti tomu např. </w:t>
      </w:r>
      <w:proofErr w:type="spellStart"/>
      <w:r w:rsidR="00010CFC" w:rsidRPr="00805964">
        <w:rPr>
          <w:rFonts w:cs="Times New Roman"/>
        </w:rPr>
        <w:t>Arendt</w:t>
      </w:r>
      <w:proofErr w:type="spellEnd"/>
      <w:r w:rsidR="00010CFC" w:rsidRPr="00805964">
        <w:rPr>
          <w:rFonts w:cs="Times New Roman"/>
        </w:rPr>
        <w:t xml:space="preserve"> </w:t>
      </w:r>
      <w:proofErr w:type="spellStart"/>
      <w:r w:rsidR="00010CFC" w:rsidRPr="00805964">
        <w:rPr>
          <w:rFonts w:cs="Times New Roman"/>
        </w:rPr>
        <w:t>Lijphart</w:t>
      </w:r>
      <w:proofErr w:type="spellEnd"/>
      <w:r w:rsidR="00673CC2" w:rsidRPr="00805964">
        <w:rPr>
          <w:rStyle w:val="Znakapoznpodarou"/>
          <w:rFonts w:cs="Times New Roman"/>
        </w:rPr>
        <w:footnoteReference w:id="5"/>
      </w:r>
      <w:r w:rsidR="00010CFC" w:rsidRPr="00805964">
        <w:rPr>
          <w:rFonts w:cs="Times New Roman"/>
        </w:rPr>
        <w:t xml:space="preserve"> užívá označení jeden a půl komorový parlament.</w:t>
      </w:r>
      <w:r w:rsidR="00E73719" w:rsidRPr="00805964">
        <w:rPr>
          <w:rFonts w:cs="Times New Roman"/>
        </w:rPr>
        <w:t xml:space="preserve"> Jedná se o parlamenty, které jsou ve volbách voleny jako jedna komora a poté se rozdělí na komory dvě.</w:t>
      </w:r>
      <w:r w:rsidR="00E73719" w:rsidRPr="00805964">
        <w:rPr>
          <w:rStyle w:val="Znakapoznpodarou"/>
          <w:rFonts w:cs="Times New Roman"/>
        </w:rPr>
        <w:footnoteReference w:id="6"/>
      </w:r>
      <w:r w:rsidR="00E73719" w:rsidRPr="00805964">
        <w:rPr>
          <w:rFonts w:cs="Times New Roman"/>
        </w:rPr>
        <w:t xml:space="preserve"> </w:t>
      </w:r>
    </w:p>
    <w:p w:rsidR="001D0E82" w:rsidRPr="00805964" w:rsidRDefault="002B2185" w:rsidP="0029635A">
      <w:pPr>
        <w:spacing w:after="0" w:line="360" w:lineRule="auto"/>
        <w:contextualSpacing/>
        <w:jc w:val="both"/>
        <w:rPr>
          <w:rFonts w:cs="Times New Roman"/>
        </w:rPr>
      </w:pPr>
      <w:r w:rsidRPr="00805964">
        <w:rPr>
          <w:rFonts w:cs="Times New Roman"/>
        </w:rPr>
        <w:tab/>
      </w:r>
      <w:r w:rsidR="00E73719" w:rsidRPr="00805964">
        <w:rPr>
          <w:rFonts w:cs="Times New Roman"/>
        </w:rPr>
        <w:t>Podíváme-li se na historii dvoukomorových parlamentů</w:t>
      </w:r>
      <w:r w:rsidR="001A6BA8" w:rsidRPr="00805964">
        <w:rPr>
          <w:rFonts w:cs="Times New Roman"/>
        </w:rPr>
        <w:t>,</w:t>
      </w:r>
      <w:r w:rsidR="00E73719" w:rsidRPr="00805964">
        <w:rPr>
          <w:rFonts w:cs="Times New Roman"/>
        </w:rPr>
        <w:t xml:space="preserve"> zjistíme, že s</w:t>
      </w:r>
      <w:r w:rsidR="00FE2DA1" w:rsidRPr="00805964">
        <w:rPr>
          <w:rFonts w:cs="Times New Roman"/>
        </w:rPr>
        <w:t xml:space="preserve"> jistými prvky </w:t>
      </w:r>
      <w:proofErr w:type="spellStart"/>
      <w:r w:rsidR="00FE2DA1" w:rsidRPr="00805964">
        <w:rPr>
          <w:rFonts w:cs="Times New Roman"/>
        </w:rPr>
        <w:t>bikameralismu</w:t>
      </w:r>
      <w:proofErr w:type="spellEnd"/>
      <w:r w:rsidR="00FE2DA1" w:rsidRPr="00805964">
        <w:rPr>
          <w:rFonts w:cs="Times New Roman"/>
        </w:rPr>
        <w:t xml:space="preserve"> či spíše </w:t>
      </w:r>
      <w:proofErr w:type="spellStart"/>
      <w:r w:rsidR="00FE2DA1" w:rsidRPr="00805964">
        <w:rPr>
          <w:rFonts w:cs="Times New Roman"/>
        </w:rPr>
        <w:t>pre</w:t>
      </w:r>
      <w:proofErr w:type="spellEnd"/>
      <w:r w:rsidR="00FE2DA1" w:rsidRPr="00805964">
        <w:rPr>
          <w:rFonts w:cs="Times New Roman"/>
        </w:rPr>
        <w:t>-</w:t>
      </w:r>
      <w:proofErr w:type="spellStart"/>
      <w:r w:rsidR="00FE2DA1" w:rsidRPr="00805964">
        <w:rPr>
          <w:rFonts w:cs="Times New Roman"/>
        </w:rPr>
        <w:t>bikameralismu</w:t>
      </w:r>
      <w:proofErr w:type="spellEnd"/>
      <w:r w:rsidR="00E73719" w:rsidRPr="00805964">
        <w:rPr>
          <w:rFonts w:cs="Times New Roman"/>
        </w:rPr>
        <w:t>,</w:t>
      </w:r>
      <w:r w:rsidR="00FE2DA1" w:rsidRPr="00805964">
        <w:rPr>
          <w:rFonts w:cs="Times New Roman"/>
        </w:rPr>
        <w:t xml:space="preserve"> jak o něm hovoří </w:t>
      </w:r>
      <w:proofErr w:type="spellStart"/>
      <w:r w:rsidR="00FE2DA1" w:rsidRPr="00805964">
        <w:rPr>
          <w:rFonts w:cs="Times New Roman"/>
        </w:rPr>
        <w:t>George</w:t>
      </w:r>
      <w:proofErr w:type="spellEnd"/>
      <w:r w:rsidR="00FE2DA1" w:rsidRPr="00805964">
        <w:rPr>
          <w:rFonts w:cs="Times New Roman"/>
        </w:rPr>
        <w:t xml:space="preserve"> </w:t>
      </w:r>
      <w:proofErr w:type="spellStart"/>
      <w:r w:rsidR="00FE2DA1" w:rsidRPr="00805964">
        <w:rPr>
          <w:rFonts w:cs="Times New Roman"/>
        </w:rPr>
        <w:t>Tsebelis</w:t>
      </w:r>
      <w:proofErr w:type="spellEnd"/>
      <w:r w:rsidR="00FE2DA1" w:rsidRPr="00805964">
        <w:rPr>
          <w:rFonts w:cs="Times New Roman"/>
        </w:rPr>
        <w:t xml:space="preserve"> a </w:t>
      </w:r>
      <w:proofErr w:type="spellStart"/>
      <w:r w:rsidR="00FE2DA1" w:rsidRPr="00805964">
        <w:rPr>
          <w:rFonts w:cs="Times New Roman"/>
        </w:rPr>
        <w:t>Jeannette</w:t>
      </w:r>
      <w:proofErr w:type="spellEnd"/>
      <w:r w:rsidR="00FE2DA1" w:rsidRPr="00805964">
        <w:rPr>
          <w:rFonts w:cs="Times New Roman"/>
        </w:rPr>
        <w:t xml:space="preserve"> Money, se můžeme setkat již ve starověkém Řecku či Římě. V těchto zemích často fungovaly jakési</w:t>
      </w:r>
      <w:r w:rsidR="00D06937" w:rsidRPr="00805964">
        <w:rPr>
          <w:rFonts w:cs="Times New Roman"/>
        </w:rPr>
        <w:t xml:space="preserve"> rady, jejichž poradní pravomoci</w:t>
      </w:r>
      <w:r w:rsidR="00FE2DA1" w:rsidRPr="00805964">
        <w:rPr>
          <w:rFonts w:cs="Times New Roman"/>
        </w:rPr>
        <w:t xml:space="preserve"> či funkce</w:t>
      </w:r>
      <w:r w:rsidR="00581267" w:rsidRPr="00805964">
        <w:rPr>
          <w:rFonts w:cs="Times New Roman"/>
        </w:rPr>
        <w:t xml:space="preserve"> </w:t>
      </w:r>
      <w:r w:rsidR="00FE2DA1" w:rsidRPr="00805964">
        <w:rPr>
          <w:rFonts w:cs="Times New Roman"/>
        </w:rPr>
        <w:t>se často překrývaly</w:t>
      </w:r>
      <w:r w:rsidR="001A6BA8" w:rsidRPr="00805964">
        <w:rPr>
          <w:rFonts w:cs="Times New Roman"/>
        </w:rPr>
        <w:t>,</w:t>
      </w:r>
      <w:r w:rsidR="00FE2DA1" w:rsidRPr="00805964">
        <w:rPr>
          <w:rFonts w:cs="Times New Roman"/>
        </w:rPr>
        <w:t xml:space="preserve"> a</w:t>
      </w:r>
      <w:r w:rsidR="00581267" w:rsidRPr="00805964">
        <w:rPr>
          <w:rFonts w:cs="Times New Roman"/>
        </w:rPr>
        <w:t xml:space="preserve"> fungova</w:t>
      </w:r>
      <w:r w:rsidR="008E005B" w:rsidRPr="00805964">
        <w:rPr>
          <w:rFonts w:cs="Times New Roman"/>
        </w:rPr>
        <w:t>ly tak jako předchůdce moderních institucí tvořících základy</w:t>
      </w:r>
      <w:r w:rsidR="00581267" w:rsidRPr="00805964">
        <w:rPr>
          <w:rFonts w:cs="Times New Roman"/>
        </w:rPr>
        <w:t xml:space="preserve"> </w:t>
      </w:r>
      <w:proofErr w:type="spellStart"/>
      <w:r w:rsidR="00581267" w:rsidRPr="00805964">
        <w:rPr>
          <w:rFonts w:cs="Times New Roman"/>
        </w:rPr>
        <w:t>bikameralismu</w:t>
      </w:r>
      <w:proofErr w:type="spellEnd"/>
      <w:r w:rsidR="00581267" w:rsidRPr="00805964">
        <w:rPr>
          <w:rFonts w:cs="Times New Roman"/>
        </w:rPr>
        <w:t>.</w:t>
      </w:r>
      <w:r w:rsidR="00673CC2" w:rsidRPr="00805964">
        <w:rPr>
          <w:rStyle w:val="Znakapoznpodarou"/>
          <w:rFonts w:cs="Times New Roman"/>
        </w:rPr>
        <w:footnoteReference w:id="7"/>
      </w:r>
      <w:r w:rsidR="00581267" w:rsidRPr="00805964">
        <w:rPr>
          <w:rFonts w:cs="Times New Roman"/>
        </w:rPr>
        <w:t xml:space="preserve"> </w:t>
      </w:r>
    </w:p>
    <w:p w:rsidR="001C6539" w:rsidRPr="00805964" w:rsidRDefault="008E005B" w:rsidP="0029635A">
      <w:pPr>
        <w:spacing w:after="0" w:line="360" w:lineRule="auto"/>
        <w:contextualSpacing/>
        <w:jc w:val="both"/>
        <w:rPr>
          <w:rFonts w:cs="Times New Roman"/>
        </w:rPr>
      </w:pPr>
      <w:r w:rsidRPr="00805964">
        <w:rPr>
          <w:rFonts w:cs="Times New Roman"/>
        </w:rPr>
        <w:tab/>
        <w:t>Horní komory parlamentů bývají</w:t>
      </w:r>
      <w:r w:rsidR="00767A02" w:rsidRPr="00805964">
        <w:rPr>
          <w:rFonts w:cs="Times New Roman"/>
        </w:rPr>
        <w:t xml:space="preserve"> označovány různě. V obecném názvosloví se nejčastěji setkáme s termíny: druhá komora, horní komora či senát.</w:t>
      </w:r>
      <w:r w:rsidR="00B06D4C" w:rsidRPr="00805964">
        <w:rPr>
          <w:rFonts w:cs="Times New Roman"/>
        </w:rPr>
        <w:t xml:space="preserve"> V této práci budu pou</w:t>
      </w:r>
      <w:r w:rsidR="00BB39C2" w:rsidRPr="00805964">
        <w:rPr>
          <w:rFonts w:cs="Times New Roman"/>
        </w:rPr>
        <w:t xml:space="preserve">žívat všechny tři označení, a to ze stylistických důvodů. </w:t>
      </w:r>
      <w:r w:rsidR="00B06D4C" w:rsidRPr="00805964">
        <w:rPr>
          <w:rFonts w:cs="Times New Roman"/>
        </w:rPr>
        <w:t>Konkrétní pojmenování jednotlivých horních komor se liší</w:t>
      </w:r>
      <w:r w:rsidR="00525EE1" w:rsidRPr="00805964">
        <w:rPr>
          <w:rFonts w:cs="Times New Roman"/>
        </w:rPr>
        <w:t xml:space="preserve"> dle dané země</w:t>
      </w:r>
      <w:r w:rsidR="00B06D4C" w:rsidRPr="00805964">
        <w:rPr>
          <w:rFonts w:cs="Times New Roman"/>
        </w:rPr>
        <w:t xml:space="preserve">: </w:t>
      </w:r>
      <w:r w:rsidR="00525EE1" w:rsidRPr="00805964">
        <w:rPr>
          <w:rFonts w:cs="Times New Roman"/>
        </w:rPr>
        <w:t xml:space="preserve">např. </w:t>
      </w:r>
      <w:r w:rsidR="00B06D4C" w:rsidRPr="00805964">
        <w:rPr>
          <w:rFonts w:cs="Times New Roman"/>
          <w:i/>
        </w:rPr>
        <w:t xml:space="preserve">Rada národů, Federální rada, Rada republik, Sněmovna lordů, Rada států, </w:t>
      </w:r>
      <w:proofErr w:type="spellStart"/>
      <w:r w:rsidR="00B06D4C" w:rsidRPr="00805964">
        <w:rPr>
          <w:rFonts w:cs="Times New Roman"/>
          <w:i/>
        </w:rPr>
        <w:t>etc</w:t>
      </w:r>
      <w:proofErr w:type="spellEnd"/>
      <w:r w:rsidR="00B06D4C" w:rsidRPr="00805964">
        <w:rPr>
          <w:rFonts w:cs="Times New Roman"/>
          <w:i/>
        </w:rPr>
        <w:t>.</w:t>
      </w:r>
      <w:r w:rsidR="00B06D4C" w:rsidRPr="00805964">
        <w:rPr>
          <w:rFonts w:cs="Times New Roman"/>
        </w:rPr>
        <w:t xml:space="preserve"> </w:t>
      </w:r>
      <w:r w:rsidR="002727A2" w:rsidRPr="00805964">
        <w:rPr>
          <w:rFonts w:cs="Times New Roman"/>
        </w:rPr>
        <w:t>Avšak n</w:t>
      </w:r>
      <w:r w:rsidR="00767A02" w:rsidRPr="00805964">
        <w:rPr>
          <w:rFonts w:cs="Times New Roman"/>
        </w:rPr>
        <w:t>ejstarším a zároveň stále nejvíce využívaný</w:t>
      </w:r>
      <w:r w:rsidR="002727A2" w:rsidRPr="00805964">
        <w:rPr>
          <w:rFonts w:cs="Times New Roman"/>
        </w:rPr>
        <w:t>m pojmenováním druhých komor je</w:t>
      </w:r>
      <w:r w:rsidR="00B06D4C" w:rsidRPr="00805964">
        <w:rPr>
          <w:rFonts w:cs="Times New Roman"/>
        </w:rPr>
        <w:t xml:space="preserve"> </w:t>
      </w:r>
      <w:r w:rsidR="00B06D4C" w:rsidRPr="00805964">
        <w:rPr>
          <w:rFonts w:cs="Times New Roman"/>
          <w:i/>
        </w:rPr>
        <w:t>S</w:t>
      </w:r>
      <w:r w:rsidR="00767A02" w:rsidRPr="00805964">
        <w:rPr>
          <w:rFonts w:cs="Times New Roman"/>
          <w:i/>
        </w:rPr>
        <w:t>enát</w:t>
      </w:r>
      <w:r w:rsidR="00767A02" w:rsidRPr="00805964">
        <w:rPr>
          <w:rFonts w:cs="Times New Roman"/>
        </w:rPr>
        <w:t>.</w:t>
      </w:r>
      <w:r w:rsidR="00767A02" w:rsidRPr="00805964">
        <w:rPr>
          <w:rStyle w:val="Znakapoznpodarou"/>
          <w:rFonts w:cs="Times New Roman"/>
        </w:rPr>
        <w:footnoteReference w:id="8"/>
      </w:r>
      <w:r w:rsidR="00767A02" w:rsidRPr="00805964">
        <w:rPr>
          <w:rFonts w:cs="Times New Roman"/>
        </w:rPr>
        <w:t xml:space="preserve"> Toto označení vzniklo v Římě, kde králové jmenovali radu starších, která fungovala jako jejich poradní orgán a nesla právě označení senát.</w:t>
      </w:r>
      <w:r w:rsidR="00767A02" w:rsidRPr="00805964">
        <w:rPr>
          <w:rStyle w:val="Znakapoznpodarou"/>
          <w:rFonts w:cs="Times New Roman"/>
        </w:rPr>
        <w:footnoteReference w:id="9"/>
      </w:r>
      <w:r w:rsidR="00525EE1" w:rsidRPr="00805964">
        <w:rPr>
          <w:rFonts w:cs="Times New Roman"/>
        </w:rPr>
        <w:t xml:space="preserve"> Označení bylo později </w:t>
      </w:r>
      <w:r w:rsidR="00653FA7" w:rsidRPr="00805964">
        <w:rPr>
          <w:rFonts w:cs="Times New Roman"/>
        </w:rPr>
        <w:t>převzato a dnes ve světě nalezneme 50 Senátů. Vůbec p</w:t>
      </w:r>
      <w:r w:rsidR="00525EE1" w:rsidRPr="00805964">
        <w:rPr>
          <w:rFonts w:cs="Times New Roman"/>
        </w:rPr>
        <w:t>rvním dvoukomorovým parlamentem v dnešním slova smyslu byla Sněmovna lordů v Anglii</w:t>
      </w:r>
      <w:r w:rsidR="00653FA7" w:rsidRPr="00805964">
        <w:rPr>
          <w:rFonts w:cs="Times New Roman"/>
        </w:rPr>
        <w:t>, která je zároveň nejdéle fungující horní komorou.</w:t>
      </w:r>
      <w:r w:rsidR="00525EE1" w:rsidRPr="00805964">
        <w:rPr>
          <w:rStyle w:val="Znakapoznpodarou"/>
          <w:rFonts w:cs="Times New Roman"/>
        </w:rPr>
        <w:footnoteReference w:id="10"/>
      </w:r>
      <w:r w:rsidR="00653FA7" w:rsidRPr="00805964">
        <w:rPr>
          <w:rFonts w:cs="Times New Roman"/>
        </w:rPr>
        <w:t xml:space="preserve"> První federativní horní komorou se stal v roce 1787 Senát Spojených států amerických. Tato horní komora začala plnit úkoly také ve </w:t>
      </w:r>
      <w:r w:rsidR="00653FA7" w:rsidRPr="00805964">
        <w:rPr>
          <w:rFonts w:cs="Times New Roman"/>
        </w:rPr>
        <w:lastRenderedPageBreak/>
        <w:t>vertikální dělbě moci, protože reprezentací států federace jim umožnila podílet se na centrální moci.</w:t>
      </w:r>
      <w:r w:rsidR="00653FA7" w:rsidRPr="00805964">
        <w:rPr>
          <w:rStyle w:val="Znakapoznpodarou"/>
          <w:rFonts w:cs="Times New Roman"/>
        </w:rPr>
        <w:footnoteReference w:id="11"/>
      </w:r>
    </w:p>
    <w:p w:rsidR="00567A0C" w:rsidRPr="00805964" w:rsidRDefault="00567A0C" w:rsidP="0029635A">
      <w:pPr>
        <w:spacing w:after="0" w:line="360" w:lineRule="auto"/>
        <w:contextualSpacing/>
        <w:jc w:val="both"/>
        <w:rPr>
          <w:rFonts w:cs="Times New Roman"/>
        </w:rPr>
      </w:pPr>
    </w:p>
    <w:p w:rsidR="0095784B" w:rsidRPr="00805964" w:rsidRDefault="00EA23FB" w:rsidP="0029635A">
      <w:pPr>
        <w:pStyle w:val="Nadpis2"/>
        <w:contextualSpacing/>
      </w:pPr>
      <w:bookmarkStart w:id="3" w:name="_Toc359918271"/>
      <w:r w:rsidRPr="00805964">
        <w:t>1. 2</w:t>
      </w:r>
      <w:r w:rsidR="0095784B" w:rsidRPr="00805964">
        <w:t xml:space="preserve"> Funkce druhých komor</w:t>
      </w:r>
      <w:bookmarkEnd w:id="3"/>
    </w:p>
    <w:p w:rsidR="0095784B" w:rsidRPr="00805964" w:rsidRDefault="0095784B" w:rsidP="0029635A">
      <w:pPr>
        <w:spacing w:after="0" w:line="360" w:lineRule="auto"/>
        <w:contextualSpacing/>
        <w:jc w:val="both"/>
        <w:rPr>
          <w:rFonts w:cs="Times New Roman"/>
        </w:rPr>
      </w:pPr>
    </w:p>
    <w:p w:rsidR="00BB39C2" w:rsidRPr="00805964" w:rsidRDefault="00DE3D56" w:rsidP="0029635A">
      <w:pPr>
        <w:spacing w:after="0" w:line="360" w:lineRule="auto"/>
        <w:contextualSpacing/>
        <w:jc w:val="both"/>
        <w:rPr>
          <w:rFonts w:cs="Times New Roman"/>
        </w:rPr>
      </w:pPr>
      <w:r w:rsidRPr="00805964">
        <w:rPr>
          <w:rFonts w:cs="Times New Roman"/>
        </w:rPr>
        <w:tab/>
        <w:t>Nesporným faktem je, že v průběhu let exis</w:t>
      </w:r>
      <w:r w:rsidR="008556AC" w:rsidRPr="00805964">
        <w:rPr>
          <w:rFonts w:cs="Times New Roman"/>
        </w:rPr>
        <w:t>tence dvoukomorových parlamentů</w:t>
      </w:r>
      <w:r w:rsidRPr="00805964">
        <w:rPr>
          <w:rFonts w:cs="Times New Roman"/>
        </w:rPr>
        <w:t xml:space="preserve"> vzniklo několik funkcí, které by druhá komora měla plnit. Nad otázkou funkcí druhých komor však nepanuje mezi autory konsenzus. </w:t>
      </w:r>
      <w:r w:rsidR="00810F47" w:rsidRPr="00805964">
        <w:rPr>
          <w:rFonts w:cs="Times New Roman"/>
        </w:rPr>
        <w:t xml:space="preserve">Petr Kolář, Štěpán Pecháček a Jindřiška </w:t>
      </w:r>
      <w:proofErr w:type="spellStart"/>
      <w:r w:rsidR="00810F47" w:rsidRPr="00805964">
        <w:rPr>
          <w:rFonts w:cs="Times New Roman"/>
        </w:rPr>
        <w:t>Syllová</w:t>
      </w:r>
      <w:proofErr w:type="spellEnd"/>
      <w:r w:rsidR="00810F47" w:rsidRPr="00805964">
        <w:rPr>
          <w:rFonts w:cs="Times New Roman"/>
        </w:rPr>
        <w:t xml:space="preserve"> ve své publikaci </w:t>
      </w:r>
      <w:r w:rsidR="00810F47" w:rsidRPr="00805964">
        <w:rPr>
          <w:rFonts w:cs="Times New Roman"/>
          <w:i/>
        </w:rPr>
        <w:t>Parlament České republiky 1993-2001</w:t>
      </w:r>
      <w:r w:rsidR="00810F47" w:rsidRPr="00805964">
        <w:rPr>
          <w:rFonts w:cs="Times New Roman"/>
        </w:rPr>
        <w:t xml:space="preserve"> přisuzují druhým komorám následující funkce</w:t>
      </w:r>
      <w:r w:rsidR="00810F47" w:rsidRPr="00805964">
        <w:rPr>
          <w:rStyle w:val="Znakapoznpodarou"/>
          <w:rFonts w:cs="Times New Roman"/>
        </w:rPr>
        <w:footnoteReference w:id="12"/>
      </w:r>
      <w:r w:rsidR="00810F47" w:rsidRPr="00805964">
        <w:rPr>
          <w:rFonts w:cs="Times New Roman"/>
        </w:rPr>
        <w:t>: ústavodárnou funkci; r</w:t>
      </w:r>
      <w:r w:rsidR="00E04560" w:rsidRPr="00805964">
        <w:rPr>
          <w:rFonts w:cs="Times New Roman"/>
        </w:rPr>
        <w:t>evizi přijímaných zákonů; inici</w:t>
      </w:r>
      <w:r w:rsidR="00810F47" w:rsidRPr="00805964">
        <w:rPr>
          <w:rFonts w:cs="Times New Roman"/>
        </w:rPr>
        <w:t xml:space="preserve">aci nekontroverzního zákonodárství; </w:t>
      </w:r>
      <w:r w:rsidR="00E04560" w:rsidRPr="00805964">
        <w:rPr>
          <w:rFonts w:cs="Times New Roman"/>
        </w:rPr>
        <w:t>iniciování veřejné diskuze; možnost</w:t>
      </w:r>
      <w:r w:rsidR="00810F47" w:rsidRPr="00805964">
        <w:rPr>
          <w:rFonts w:cs="Times New Roman"/>
        </w:rPr>
        <w:t xml:space="preserve"> sloužit jako instituce senzitivní </w:t>
      </w:r>
      <w:r w:rsidR="00A70AAB">
        <w:rPr>
          <w:rFonts w:cs="Times New Roman"/>
        </w:rPr>
        <w:t>k </w:t>
      </w:r>
      <w:r w:rsidR="00810F47" w:rsidRPr="00805964">
        <w:rPr>
          <w:rFonts w:cs="Times New Roman"/>
        </w:rPr>
        <w:t>regionální problematice.</w:t>
      </w:r>
      <w:r w:rsidR="001B7E41" w:rsidRPr="00805964">
        <w:rPr>
          <w:rFonts w:cs="Times New Roman"/>
        </w:rPr>
        <w:t xml:space="preserve"> Jan Kysela řadí druhé komory do systému "</w:t>
      </w:r>
      <w:r w:rsidR="001B7E41" w:rsidRPr="00805964">
        <w:rPr>
          <w:rFonts w:cs="Times New Roman"/>
          <w:i/>
        </w:rPr>
        <w:t>brzd a protivah</w:t>
      </w:r>
      <w:r w:rsidR="001A6BA8" w:rsidRPr="00805964">
        <w:rPr>
          <w:rFonts w:cs="Times New Roman"/>
        </w:rPr>
        <w:t>", protože</w:t>
      </w:r>
      <w:r w:rsidR="001B7E41" w:rsidRPr="00805964">
        <w:rPr>
          <w:rFonts w:cs="Times New Roman"/>
        </w:rPr>
        <w:t xml:space="preserve"> přispívají  k efektivnímu výkonu moci či ochraně menšin.</w:t>
      </w:r>
      <w:r w:rsidR="001B7E41" w:rsidRPr="00805964">
        <w:rPr>
          <w:rStyle w:val="Znakapoznpodarou"/>
          <w:rFonts w:cs="Times New Roman"/>
        </w:rPr>
        <w:footnoteReference w:id="13"/>
      </w:r>
      <w:r w:rsidR="00C434C0" w:rsidRPr="00805964">
        <w:rPr>
          <w:rFonts w:cs="Times New Roman"/>
        </w:rPr>
        <w:t xml:space="preserve"> </w:t>
      </w:r>
      <w:proofErr w:type="spellStart"/>
      <w:r w:rsidR="00C434C0" w:rsidRPr="00805964">
        <w:rPr>
          <w:rFonts w:cs="Times New Roman"/>
        </w:rPr>
        <w:t>Meg</w:t>
      </w:r>
      <w:proofErr w:type="spellEnd"/>
      <w:r w:rsidR="00C434C0" w:rsidRPr="00805964">
        <w:rPr>
          <w:rFonts w:cs="Times New Roman"/>
        </w:rPr>
        <w:t xml:space="preserve"> </w:t>
      </w:r>
      <w:proofErr w:type="spellStart"/>
      <w:r w:rsidR="00C434C0" w:rsidRPr="00805964">
        <w:rPr>
          <w:rFonts w:cs="Times New Roman"/>
        </w:rPr>
        <w:t>Russell</w:t>
      </w:r>
      <w:proofErr w:type="spellEnd"/>
      <w:r w:rsidR="00C434C0" w:rsidRPr="00805964">
        <w:rPr>
          <w:rFonts w:cs="Times New Roman"/>
        </w:rPr>
        <w:t xml:space="preserve"> hovoří </w:t>
      </w:r>
      <w:r w:rsidR="00A70AAB">
        <w:rPr>
          <w:rFonts w:cs="Times New Roman"/>
        </w:rPr>
        <w:t>o </w:t>
      </w:r>
      <w:r w:rsidR="00C434C0" w:rsidRPr="00805964">
        <w:rPr>
          <w:rFonts w:cs="Times New Roman"/>
        </w:rPr>
        <w:t xml:space="preserve">funkci tzv. </w:t>
      </w:r>
      <w:r w:rsidR="00C434C0" w:rsidRPr="00805964">
        <w:rPr>
          <w:rFonts w:cs="Times New Roman"/>
          <w:i/>
        </w:rPr>
        <w:t>hráče veta</w:t>
      </w:r>
      <w:r w:rsidR="00C434C0" w:rsidRPr="00805964">
        <w:rPr>
          <w:rFonts w:cs="Times New Roman"/>
        </w:rPr>
        <w:t>, což znamená, že pokud je to nutné</w:t>
      </w:r>
      <w:r w:rsidR="001A6BA8" w:rsidRPr="00805964">
        <w:rPr>
          <w:rFonts w:cs="Times New Roman"/>
        </w:rPr>
        <w:t>,</w:t>
      </w:r>
      <w:r w:rsidR="00C434C0" w:rsidRPr="00805964">
        <w:rPr>
          <w:rFonts w:cs="Times New Roman"/>
        </w:rPr>
        <w:t xml:space="preserve"> může druhá komora vetovat projednávanou legislativu a zajistit tak větší konsenzus. Jinými slovy se jedná opět o funkci brzd a protivah.</w:t>
      </w:r>
      <w:r w:rsidR="00C434C0" w:rsidRPr="00805964">
        <w:rPr>
          <w:rStyle w:val="Znakapoznpodarou"/>
          <w:rFonts w:cs="Times New Roman"/>
        </w:rPr>
        <w:footnoteReference w:id="14"/>
      </w:r>
      <w:r w:rsidR="0081714E" w:rsidRPr="00805964">
        <w:rPr>
          <w:rFonts w:cs="Times New Roman"/>
        </w:rPr>
        <w:t xml:space="preserve"> </w:t>
      </w:r>
      <w:proofErr w:type="spellStart"/>
      <w:r w:rsidR="0081714E" w:rsidRPr="00805964">
        <w:rPr>
          <w:rFonts w:cs="Times New Roman"/>
        </w:rPr>
        <w:t>Russell</w:t>
      </w:r>
      <w:proofErr w:type="spellEnd"/>
      <w:r w:rsidR="0081714E" w:rsidRPr="00805964">
        <w:rPr>
          <w:rFonts w:cs="Times New Roman"/>
        </w:rPr>
        <w:t xml:space="preserve"> </w:t>
      </w:r>
      <w:r w:rsidR="000177F2" w:rsidRPr="00805964">
        <w:rPr>
          <w:rFonts w:cs="Times New Roman"/>
        </w:rPr>
        <w:t>zároveň dodává, že tato funkce může potencionálně vést ke zvýšení efektivity parlamentního systému, avšak na úkor rychlosti projednávání zákonů.</w:t>
      </w:r>
      <w:r w:rsidR="000177F2" w:rsidRPr="00805964">
        <w:rPr>
          <w:rStyle w:val="Znakapoznpodarou"/>
          <w:rFonts w:cs="Times New Roman"/>
        </w:rPr>
        <w:footnoteReference w:id="15"/>
      </w:r>
      <w:r w:rsidR="00952ADC" w:rsidRPr="00805964">
        <w:rPr>
          <w:rFonts w:cs="Times New Roman"/>
        </w:rPr>
        <w:t xml:space="preserve"> </w:t>
      </w:r>
      <w:proofErr w:type="spellStart"/>
      <w:r w:rsidR="00952ADC" w:rsidRPr="00805964">
        <w:rPr>
          <w:rFonts w:cs="Times New Roman"/>
        </w:rPr>
        <w:t>George</w:t>
      </w:r>
      <w:proofErr w:type="spellEnd"/>
      <w:r w:rsidR="00952ADC" w:rsidRPr="00805964">
        <w:rPr>
          <w:rFonts w:cs="Times New Roman"/>
        </w:rPr>
        <w:t xml:space="preserve"> </w:t>
      </w:r>
      <w:proofErr w:type="spellStart"/>
      <w:r w:rsidR="00952ADC" w:rsidRPr="00805964">
        <w:rPr>
          <w:rFonts w:cs="Times New Roman"/>
        </w:rPr>
        <w:t>Tsebelis</w:t>
      </w:r>
      <w:proofErr w:type="spellEnd"/>
      <w:r w:rsidR="00952ADC" w:rsidRPr="00805964">
        <w:rPr>
          <w:rFonts w:cs="Times New Roman"/>
        </w:rPr>
        <w:t xml:space="preserve"> a </w:t>
      </w:r>
      <w:proofErr w:type="spellStart"/>
      <w:r w:rsidR="00952ADC" w:rsidRPr="00805964">
        <w:rPr>
          <w:rFonts w:cs="Times New Roman"/>
        </w:rPr>
        <w:t>Jeannette</w:t>
      </w:r>
      <w:proofErr w:type="spellEnd"/>
      <w:r w:rsidR="00952ADC" w:rsidRPr="00805964">
        <w:rPr>
          <w:rFonts w:cs="Times New Roman"/>
        </w:rPr>
        <w:t xml:space="preserve"> Money stejně jako například Alexander </w:t>
      </w:r>
      <w:proofErr w:type="spellStart"/>
      <w:r w:rsidR="00952ADC" w:rsidRPr="00805964">
        <w:rPr>
          <w:rFonts w:cs="Times New Roman"/>
        </w:rPr>
        <w:t>Hamilton</w:t>
      </w:r>
      <w:proofErr w:type="spellEnd"/>
      <w:r w:rsidR="00952ADC" w:rsidRPr="00805964">
        <w:rPr>
          <w:rFonts w:cs="Times New Roman"/>
        </w:rPr>
        <w:t xml:space="preserve">, John </w:t>
      </w:r>
      <w:proofErr w:type="spellStart"/>
      <w:r w:rsidR="00952ADC" w:rsidRPr="00805964">
        <w:rPr>
          <w:rFonts w:cs="Times New Roman"/>
        </w:rPr>
        <w:t>Jay</w:t>
      </w:r>
      <w:proofErr w:type="spellEnd"/>
      <w:r w:rsidR="00952ADC" w:rsidRPr="00805964">
        <w:rPr>
          <w:rFonts w:cs="Times New Roman"/>
        </w:rPr>
        <w:t xml:space="preserve">, </w:t>
      </w:r>
      <w:proofErr w:type="spellStart"/>
      <w:r w:rsidR="00952ADC" w:rsidRPr="00805964">
        <w:rPr>
          <w:rFonts w:cs="Times New Roman"/>
        </w:rPr>
        <w:t>James</w:t>
      </w:r>
      <w:proofErr w:type="spellEnd"/>
      <w:r w:rsidR="00952ADC" w:rsidRPr="00805964">
        <w:rPr>
          <w:rFonts w:cs="Times New Roman"/>
        </w:rPr>
        <w:t xml:space="preserve"> </w:t>
      </w:r>
      <w:proofErr w:type="spellStart"/>
      <w:r w:rsidR="00952ADC" w:rsidRPr="00805964">
        <w:rPr>
          <w:rFonts w:cs="Times New Roman"/>
        </w:rPr>
        <w:t>Madison</w:t>
      </w:r>
      <w:proofErr w:type="spellEnd"/>
      <w:r w:rsidR="00952ADC" w:rsidRPr="00805964">
        <w:rPr>
          <w:rFonts w:cs="Times New Roman"/>
        </w:rPr>
        <w:t xml:space="preserve"> či </w:t>
      </w:r>
      <w:proofErr w:type="spellStart"/>
      <w:r w:rsidR="00952ADC" w:rsidRPr="00805964">
        <w:rPr>
          <w:rFonts w:cs="Times New Roman"/>
        </w:rPr>
        <w:t>James</w:t>
      </w:r>
      <w:proofErr w:type="spellEnd"/>
      <w:r w:rsidR="00952ADC" w:rsidRPr="00805964">
        <w:rPr>
          <w:rFonts w:cs="Times New Roman"/>
        </w:rPr>
        <w:t xml:space="preserve"> </w:t>
      </w:r>
      <w:proofErr w:type="spellStart"/>
      <w:r w:rsidR="00952ADC" w:rsidRPr="00805964">
        <w:rPr>
          <w:rFonts w:cs="Times New Roman"/>
        </w:rPr>
        <w:t>Buchanan</w:t>
      </w:r>
      <w:proofErr w:type="spellEnd"/>
      <w:r w:rsidR="00952ADC" w:rsidRPr="00805964">
        <w:rPr>
          <w:rFonts w:cs="Times New Roman"/>
        </w:rPr>
        <w:t xml:space="preserve"> a </w:t>
      </w:r>
      <w:proofErr w:type="spellStart"/>
      <w:r w:rsidR="00952ADC" w:rsidRPr="00805964">
        <w:rPr>
          <w:rFonts w:cs="Times New Roman"/>
        </w:rPr>
        <w:t>Gordon</w:t>
      </w:r>
      <w:proofErr w:type="spellEnd"/>
      <w:r w:rsidR="00952ADC" w:rsidRPr="00805964">
        <w:rPr>
          <w:rFonts w:cs="Times New Roman"/>
        </w:rPr>
        <w:t xml:space="preserve"> </w:t>
      </w:r>
      <w:proofErr w:type="spellStart"/>
      <w:r w:rsidR="00952ADC" w:rsidRPr="00805964">
        <w:rPr>
          <w:rFonts w:cs="Times New Roman"/>
        </w:rPr>
        <w:t>Tullock</w:t>
      </w:r>
      <w:proofErr w:type="spellEnd"/>
      <w:r w:rsidR="00952ADC" w:rsidRPr="00805964">
        <w:rPr>
          <w:rFonts w:cs="Times New Roman"/>
        </w:rPr>
        <w:t xml:space="preserve"> rozeznávají další dvě funkce druhých komor, kterými je zabránění tyrani</w:t>
      </w:r>
      <w:r w:rsidR="00E04560" w:rsidRPr="00805964">
        <w:rPr>
          <w:rFonts w:cs="Times New Roman"/>
        </w:rPr>
        <w:t>e</w:t>
      </w:r>
      <w:r w:rsidR="00952ADC" w:rsidRPr="00805964">
        <w:rPr>
          <w:rFonts w:cs="Times New Roman"/>
        </w:rPr>
        <w:t xml:space="preserve"> menšiny</w:t>
      </w:r>
      <w:r w:rsidR="009667C4" w:rsidRPr="00805964">
        <w:rPr>
          <w:rStyle w:val="Znakapoznpodarou"/>
          <w:rFonts w:cs="Times New Roman"/>
        </w:rPr>
        <w:footnoteReference w:id="16"/>
      </w:r>
      <w:r w:rsidR="00952ADC" w:rsidRPr="00805964">
        <w:rPr>
          <w:rFonts w:cs="Times New Roman"/>
        </w:rPr>
        <w:t xml:space="preserve"> a dále snížení potenciálu pro tyranii individua.</w:t>
      </w:r>
      <w:r w:rsidR="00952ADC" w:rsidRPr="00805964">
        <w:rPr>
          <w:rStyle w:val="Znakapoznpodarou"/>
          <w:rFonts w:cs="Times New Roman"/>
        </w:rPr>
        <w:footnoteReference w:id="17"/>
      </w:r>
      <w:r w:rsidR="00952ADC" w:rsidRPr="00805964">
        <w:rPr>
          <w:rFonts w:cs="Times New Roman"/>
        </w:rPr>
        <w:t xml:space="preserve"> </w:t>
      </w:r>
      <w:proofErr w:type="spellStart"/>
      <w:r w:rsidR="00952ADC" w:rsidRPr="00805964">
        <w:rPr>
          <w:rFonts w:cs="Times New Roman"/>
        </w:rPr>
        <w:t>Meg</w:t>
      </w:r>
      <w:proofErr w:type="spellEnd"/>
      <w:r w:rsidR="00952ADC" w:rsidRPr="00805964">
        <w:rPr>
          <w:rFonts w:cs="Times New Roman"/>
        </w:rPr>
        <w:t xml:space="preserve"> </w:t>
      </w:r>
      <w:proofErr w:type="spellStart"/>
      <w:r w:rsidR="00952ADC" w:rsidRPr="00805964">
        <w:rPr>
          <w:rFonts w:cs="Times New Roman"/>
        </w:rPr>
        <w:t>Russell</w:t>
      </w:r>
      <w:proofErr w:type="spellEnd"/>
      <w:r w:rsidR="00952ADC" w:rsidRPr="00805964">
        <w:rPr>
          <w:rFonts w:cs="Times New Roman"/>
        </w:rPr>
        <w:t xml:space="preserve"> vidí smysl druhých komor také v tom, že mohou reprezentovat jiné zájmy, než ty, které již existují v dolní komoře.</w:t>
      </w:r>
      <w:r w:rsidR="00952ADC" w:rsidRPr="00805964">
        <w:rPr>
          <w:rStyle w:val="Znakapoznpodarou"/>
          <w:rFonts w:cs="Times New Roman"/>
        </w:rPr>
        <w:footnoteReference w:id="18"/>
      </w:r>
      <w:r w:rsidR="00952ADC" w:rsidRPr="00805964">
        <w:rPr>
          <w:rFonts w:cs="Times New Roman"/>
        </w:rPr>
        <w:t xml:space="preserve"> </w:t>
      </w:r>
      <w:proofErr w:type="spellStart"/>
      <w:r w:rsidR="00952ADC" w:rsidRPr="00805964">
        <w:rPr>
          <w:rFonts w:cs="Times New Roman"/>
        </w:rPr>
        <w:t>Buchanan</w:t>
      </w:r>
      <w:proofErr w:type="spellEnd"/>
      <w:r w:rsidR="00952ADC" w:rsidRPr="00805964">
        <w:rPr>
          <w:rFonts w:cs="Times New Roman"/>
        </w:rPr>
        <w:t xml:space="preserve"> a </w:t>
      </w:r>
      <w:proofErr w:type="spellStart"/>
      <w:r w:rsidR="00952ADC" w:rsidRPr="00805964">
        <w:rPr>
          <w:rFonts w:cs="Times New Roman"/>
        </w:rPr>
        <w:t>Tullock</w:t>
      </w:r>
      <w:proofErr w:type="spellEnd"/>
      <w:r w:rsidR="00952ADC" w:rsidRPr="00805964">
        <w:rPr>
          <w:rFonts w:cs="Times New Roman"/>
        </w:rPr>
        <w:t xml:space="preserve"> argumentují, že </w:t>
      </w:r>
      <w:r w:rsidR="00367B34" w:rsidRPr="00805964">
        <w:rPr>
          <w:rFonts w:cs="Times New Roman"/>
        </w:rPr>
        <w:t>v případě, že komory nereprezentují hodně odlišné zájmy či skupiny, existuje jen velmi malé ospravedlnění pro existenci druhé komory.</w:t>
      </w:r>
      <w:r w:rsidR="00367B34" w:rsidRPr="00805964">
        <w:rPr>
          <w:rStyle w:val="Znakapoznpodarou"/>
          <w:rFonts w:cs="Times New Roman"/>
        </w:rPr>
        <w:footnoteReference w:id="19"/>
      </w:r>
      <w:r w:rsidR="00E04560" w:rsidRPr="00805964">
        <w:rPr>
          <w:rFonts w:cs="Times New Roman"/>
        </w:rPr>
        <w:t xml:space="preserve"> </w:t>
      </w:r>
      <w:r w:rsidR="002E6C69" w:rsidRPr="00805964">
        <w:rPr>
          <w:rFonts w:cs="Times New Roman"/>
        </w:rPr>
        <w:t xml:space="preserve">Samuel C. </w:t>
      </w:r>
      <w:proofErr w:type="spellStart"/>
      <w:r w:rsidR="002E6C69" w:rsidRPr="00805964">
        <w:rPr>
          <w:rFonts w:cs="Times New Roman"/>
        </w:rPr>
        <w:t>Patterson</w:t>
      </w:r>
      <w:proofErr w:type="spellEnd"/>
      <w:r w:rsidR="002E6C69" w:rsidRPr="00805964">
        <w:rPr>
          <w:rFonts w:cs="Times New Roman"/>
        </w:rPr>
        <w:t xml:space="preserve"> a </w:t>
      </w:r>
      <w:proofErr w:type="spellStart"/>
      <w:r w:rsidR="002E6C69" w:rsidRPr="00805964">
        <w:rPr>
          <w:rFonts w:cs="Times New Roman"/>
        </w:rPr>
        <w:t>Anthony</w:t>
      </w:r>
      <w:proofErr w:type="spellEnd"/>
      <w:r w:rsidR="002E6C69" w:rsidRPr="00805964">
        <w:rPr>
          <w:rFonts w:cs="Times New Roman"/>
        </w:rPr>
        <w:t xml:space="preserve"> </w:t>
      </w:r>
      <w:proofErr w:type="spellStart"/>
      <w:r w:rsidR="002E6C69" w:rsidRPr="00805964">
        <w:rPr>
          <w:rFonts w:cs="Times New Roman"/>
        </w:rPr>
        <w:t>Mu</w:t>
      </w:r>
      <w:r w:rsidR="00A70AAB">
        <w:rPr>
          <w:rFonts w:cs="Times New Roman"/>
        </w:rPr>
        <w:t>ghan</w:t>
      </w:r>
      <w:proofErr w:type="spellEnd"/>
      <w:r w:rsidR="00A70AAB">
        <w:rPr>
          <w:rFonts w:cs="Times New Roman"/>
        </w:rPr>
        <w:t xml:space="preserve"> spatřují roli druhé komory </w:t>
      </w:r>
      <w:r w:rsidR="002E6C69" w:rsidRPr="00805964">
        <w:rPr>
          <w:rFonts w:cs="Times New Roman"/>
        </w:rPr>
        <w:t>v reprezentaci  a v poskytování druhého názoru.</w:t>
      </w:r>
      <w:r w:rsidR="002E6C69" w:rsidRPr="00805964">
        <w:rPr>
          <w:rStyle w:val="Znakapoznpodarou"/>
          <w:rFonts w:cs="Times New Roman"/>
        </w:rPr>
        <w:footnoteReference w:id="20"/>
      </w:r>
    </w:p>
    <w:p w:rsidR="00796A64" w:rsidRPr="00805964" w:rsidRDefault="00BB39C2" w:rsidP="00572FD7">
      <w:pPr>
        <w:spacing w:after="0" w:line="360" w:lineRule="auto"/>
        <w:contextualSpacing/>
        <w:jc w:val="both"/>
        <w:rPr>
          <w:rFonts w:cs="Times New Roman"/>
        </w:rPr>
      </w:pPr>
      <w:r w:rsidRPr="00805964">
        <w:rPr>
          <w:rFonts w:cs="Times New Roman"/>
        </w:rPr>
        <w:lastRenderedPageBreak/>
        <w:tab/>
      </w:r>
      <w:r w:rsidR="00E04560" w:rsidRPr="00805964">
        <w:rPr>
          <w:rFonts w:cs="Times New Roman"/>
        </w:rPr>
        <w:t>Reprezentace je jednou z nejčastěji zmiňovaných funkcí druhých komor</w:t>
      </w:r>
      <w:r w:rsidR="00A70AAB">
        <w:rPr>
          <w:rFonts w:cs="Times New Roman"/>
        </w:rPr>
        <w:t xml:space="preserve"> a v </w:t>
      </w:r>
      <w:r w:rsidR="00524539" w:rsidRPr="00805964">
        <w:rPr>
          <w:rFonts w:cs="Times New Roman"/>
        </w:rPr>
        <w:t>pod</w:t>
      </w:r>
      <w:r w:rsidR="008C4E7F" w:rsidRPr="00805964">
        <w:rPr>
          <w:rFonts w:cs="Times New Roman"/>
        </w:rPr>
        <w:t xml:space="preserve">kapitole věnující se </w:t>
      </w:r>
      <w:proofErr w:type="spellStart"/>
      <w:r w:rsidR="008C4E7F" w:rsidRPr="00805964">
        <w:rPr>
          <w:rFonts w:cs="Times New Roman"/>
        </w:rPr>
        <w:t>bikameralismu</w:t>
      </w:r>
      <w:proofErr w:type="spellEnd"/>
      <w:r w:rsidR="008C4E7F" w:rsidRPr="00805964">
        <w:rPr>
          <w:rFonts w:cs="Times New Roman"/>
        </w:rPr>
        <w:t xml:space="preserve"> v unitárních státech jí bude věnována větší pozornost.</w:t>
      </w:r>
      <w:r w:rsidR="002E6C69" w:rsidRPr="00805964">
        <w:rPr>
          <w:rFonts w:cs="Times New Roman"/>
        </w:rPr>
        <w:t xml:space="preserve"> </w:t>
      </w:r>
      <w:r w:rsidR="0081714E" w:rsidRPr="00805964">
        <w:rPr>
          <w:rFonts w:cs="Times New Roman"/>
        </w:rPr>
        <w:t xml:space="preserve">Poměrně obsáhlé shrnutí funkcí druhých komor můžeme nalézt v publikaci Jindřišky </w:t>
      </w:r>
      <w:proofErr w:type="spellStart"/>
      <w:r w:rsidR="0081714E" w:rsidRPr="00805964">
        <w:rPr>
          <w:rFonts w:cs="Times New Roman"/>
        </w:rPr>
        <w:t>Syllové</w:t>
      </w:r>
      <w:proofErr w:type="spellEnd"/>
      <w:r w:rsidR="0081714E" w:rsidRPr="00805964">
        <w:rPr>
          <w:rFonts w:cs="Times New Roman"/>
        </w:rPr>
        <w:t xml:space="preserve"> a dalších českých autorů </w:t>
      </w:r>
      <w:r w:rsidR="0081714E" w:rsidRPr="00805964">
        <w:rPr>
          <w:rFonts w:cs="Times New Roman"/>
          <w:i/>
        </w:rPr>
        <w:t>Parlament České republiky</w:t>
      </w:r>
      <w:r w:rsidR="0081714E" w:rsidRPr="00805964">
        <w:rPr>
          <w:rStyle w:val="Znakapoznpodarou"/>
          <w:rFonts w:cs="Times New Roman"/>
        </w:rPr>
        <w:footnoteReference w:id="21"/>
      </w:r>
      <w:r w:rsidR="0081714E" w:rsidRPr="00805964">
        <w:rPr>
          <w:rFonts w:cs="Times New Roman"/>
        </w:rPr>
        <w:t xml:space="preserve">, kteří rozeznávají sedm funkcí horních komor: 1. alternovat princip reprezentace užívaný v komoře první, </w:t>
      </w:r>
      <w:r w:rsidR="00EC5729" w:rsidRPr="00805964">
        <w:rPr>
          <w:rFonts w:cs="Times New Roman"/>
        </w:rPr>
        <w:br/>
      </w:r>
      <w:r w:rsidR="0081714E" w:rsidRPr="00805964">
        <w:rPr>
          <w:rFonts w:cs="Times New Roman"/>
        </w:rPr>
        <w:t>2. brzdit politické strany etablované v první komoře v uskutečňování změn, jež nemusejí odpovídat přání většiny voličů, 3. chránit práva a svobody menšin, třeba i proti vůli většiny voličů, 4. zkvalitňovat zákonodárství, tj. působit jako prevence chyb</w:t>
      </w:r>
      <w:r w:rsidR="007B2C07" w:rsidRPr="00805964">
        <w:rPr>
          <w:rFonts w:cs="Times New Roman"/>
        </w:rPr>
        <w:t>, 5. čelit tyranii většiny, 6. umožňovat dělbu práce mezi komorami v podmínkách pravidelného zahlcení parlamentů, 7. zvyšovat případné náklady lobbistů.</w:t>
      </w:r>
      <w:r w:rsidR="00796A64" w:rsidRPr="00805964">
        <w:rPr>
          <w:rFonts w:cs="Times New Roman"/>
        </w:rPr>
        <w:t xml:space="preserve"> Tento výčet funkcí lz</w:t>
      </w:r>
      <w:r w:rsidR="00A70AAB">
        <w:rPr>
          <w:rFonts w:cs="Times New Roman"/>
        </w:rPr>
        <w:t xml:space="preserve">e považovat za nejkomplexnější, </w:t>
      </w:r>
      <w:r w:rsidR="00796A64" w:rsidRPr="00805964">
        <w:rPr>
          <w:rFonts w:cs="Times New Roman"/>
        </w:rPr>
        <w:t xml:space="preserve">a pro studium druhých komor také nejvhodnější. </w:t>
      </w:r>
    </w:p>
    <w:p w:rsidR="000A7111" w:rsidRPr="00805964" w:rsidRDefault="00796A64" w:rsidP="00572FD7">
      <w:pPr>
        <w:spacing w:after="0" w:line="360" w:lineRule="auto"/>
        <w:contextualSpacing/>
        <w:jc w:val="both"/>
        <w:rPr>
          <w:rFonts w:cs="Times New Roman"/>
        </w:rPr>
      </w:pPr>
      <w:r w:rsidRPr="00805964">
        <w:rPr>
          <w:rFonts w:cs="Times New Roman"/>
        </w:rPr>
        <w:tab/>
        <w:t>Kromě funkcí druhých komor je sporným bodem také jejich typologie.</w:t>
      </w:r>
      <w:r w:rsidR="00524539" w:rsidRPr="00805964">
        <w:rPr>
          <w:rStyle w:val="Znakapoznpodarou"/>
          <w:rFonts w:cs="Times New Roman"/>
        </w:rPr>
        <w:footnoteReference w:id="22"/>
      </w:r>
      <w:r w:rsidRPr="00805964">
        <w:rPr>
          <w:rFonts w:cs="Times New Roman"/>
        </w:rPr>
        <w:t xml:space="preserve"> O rozdělení druhých komor do typologicky stejných skupin se snažilo množství autorů (např. Bohumil </w:t>
      </w:r>
      <w:proofErr w:type="spellStart"/>
      <w:r w:rsidRPr="00805964">
        <w:rPr>
          <w:rFonts w:cs="Times New Roman"/>
        </w:rPr>
        <w:t>Baxa</w:t>
      </w:r>
      <w:proofErr w:type="spellEnd"/>
      <w:r w:rsidR="008D3A6D" w:rsidRPr="00805964">
        <w:rPr>
          <w:rStyle w:val="Znakapoznpodarou"/>
          <w:rFonts w:cs="Times New Roman"/>
        </w:rPr>
        <w:footnoteReference w:id="23"/>
      </w:r>
      <w:r w:rsidRPr="00805964">
        <w:rPr>
          <w:rFonts w:cs="Times New Roman"/>
        </w:rPr>
        <w:t xml:space="preserve">, Pavel </w:t>
      </w:r>
      <w:proofErr w:type="spellStart"/>
      <w:r w:rsidRPr="00805964">
        <w:rPr>
          <w:rFonts w:cs="Times New Roman"/>
        </w:rPr>
        <w:t>Holl</w:t>
      </w:r>
      <w:r w:rsidRPr="00805964">
        <w:rPr>
          <w:rFonts w:cs="Times New Roman"/>
          <w:szCs w:val="24"/>
        </w:rPr>
        <w:t>änder</w:t>
      </w:r>
      <w:proofErr w:type="spellEnd"/>
      <w:r w:rsidR="008D3A6D" w:rsidRPr="00805964">
        <w:rPr>
          <w:rStyle w:val="Znakapoznpodarou"/>
          <w:rFonts w:cs="Times New Roman"/>
          <w:szCs w:val="24"/>
        </w:rPr>
        <w:footnoteReference w:id="24"/>
      </w:r>
      <w:r w:rsidRPr="00805964">
        <w:rPr>
          <w:rFonts w:cs="Times New Roman"/>
          <w:szCs w:val="24"/>
        </w:rPr>
        <w:t xml:space="preserve">, Jiří </w:t>
      </w:r>
      <w:proofErr w:type="spellStart"/>
      <w:r w:rsidRPr="00805964">
        <w:rPr>
          <w:rFonts w:cs="Times New Roman"/>
          <w:szCs w:val="24"/>
        </w:rPr>
        <w:t>Hřebejk</w:t>
      </w:r>
      <w:proofErr w:type="spellEnd"/>
      <w:r w:rsidR="008D3A6D" w:rsidRPr="00805964">
        <w:rPr>
          <w:rStyle w:val="Znakapoznpodarou"/>
          <w:rFonts w:cs="Times New Roman"/>
          <w:szCs w:val="24"/>
        </w:rPr>
        <w:footnoteReference w:id="25"/>
      </w:r>
      <w:r w:rsidRPr="00805964">
        <w:rPr>
          <w:rFonts w:cs="Times New Roman"/>
          <w:szCs w:val="24"/>
        </w:rPr>
        <w:t xml:space="preserve">, </w:t>
      </w:r>
      <w:proofErr w:type="spellStart"/>
      <w:r w:rsidRPr="00805964">
        <w:rPr>
          <w:rFonts w:cs="Times New Roman"/>
          <w:szCs w:val="24"/>
        </w:rPr>
        <w:t>Arendt</w:t>
      </w:r>
      <w:proofErr w:type="spellEnd"/>
      <w:r w:rsidRPr="00805964">
        <w:rPr>
          <w:rFonts w:cs="Times New Roman"/>
          <w:szCs w:val="24"/>
        </w:rPr>
        <w:t xml:space="preserve"> </w:t>
      </w:r>
      <w:proofErr w:type="spellStart"/>
      <w:r w:rsidRPr="00805964">
        <w:rPr>
          <w:rFonts w:cs="Times New Roman"/>
          <w:szCs w:val="24"/>
        </w:rPr>
        <w:t>Lijphart</w:t>
      </w:r>
      <w:proofErr w:type="spellEnd"/>
      <w:r w:rsidR="008D3A6D" w:rsidRPr="00805964">
        <w:rPr>
          <w:rStyle w:val="Znakapoznpodarou"/>
          <w:rFonts w:cs="Times New Roman"/>
          <w:szCs w:val="24"/>
        </w:rPr>
        <w:footnoteReference w:id="26"/>
      </w:r>
      <w:r w:rsidRPr="00805964">
        <w:rPr>
          <w:rFonts w:cs="Times New Roman"/>
          <w:szCs w:val="24"/>
        </w:rPr>
        <w:t xml:space="preserve">), avšak každý z nich </w:t>
      </w:r>
      <w:r w:rsidR="00F76DBE" w:rsidRPr="00805964">
        <w:rPr>
          <w:rFonts w:cs="Times New Roman"/>
          <w:szCs w:val="24"/>
        </w:rPr>
        <w:t xml:space="preserve">rozlišuje typy druhých komor na základě jiných kritérií. Kritérii mohou být např. způsob konstituování druhých komor, druh reprezentace, složení horních komor, pravomoci horních komor ve srovnání s pravomocemi komor dolních, atd. I přesto, že většina autorů pracuje pouze se způsobem konstituování či druhem reprezentace, vznikají odlišné typologické </w:t>
      </w:r>
      <w:r w:rsidR="00E53113" w:rsidRPr="00805964">
        <w:rPr>
          <w:rFonts w:cs="Times New Roman"/>
          <w:szCs w:val="24"/>
        </w:rPr>
        <w:t>skupiny, které většinou nedokážou</w:t>
      </w:r>
      <w:r w:rsidR="00F76DBE" w:rsidRPr="00805964">
        <w:rPr>
          <w:rFonts w:cs="Times New Roman"/>
          <w:szCs w:val="24"/>
        </w:rPr>
        <w:t xml:space="preserve"> obsáhnout všechny druhé komory. Za nejvyužívanější a nejvlivnější typologizaci druhých komor je považováno rozdělení dle </w:t>
      </w:r>
      <w:proofErr w:type="spellStart"/>
      <w:r w:rsidR="00F76DBE" w:rsidRPr="00805964">
        <w:rPr>
          <w:rFonts w:cs="Times New Roman"/>
          <w:szCs w:val="24"/>
        </w:rPr>
        <w:t>Arendta</w:t>
      </w:r>
      <w:proofErr w:type="spellEnd"/>
      <w:r w:rsidR="00F76DBE" w:rsidRPr="00805964">
        <w:rPr>
          <w:rFonts w:cs="Times New Roman"/>
          <w:szCs w:val="24"/>
        </w:rPr>
        <w:t xml:space="preserve"> </w:t>
      </w:r>
      <w:proofErr w:type="spellStart"/>
      <w:r w:rsidR="00F76DBE" w:rsidRPr="00805964">
        <w:rPr>
          <w:rFonts w:cs="Times New Roman"/>
          <w:szCs w:val="24"/>
        </w:rPr>
        <w:t>Lijpharta</w:t>
      </w:r>
      <w:proofErr w:type="spellEnd"/>
      <w:r w:rsidR="00F76DBE" w:rsidRPr="00805964">
        <w:rPr>
          <w:rFonts w:cs="Times New Roman"/>
          <w:szCs w:val="24"/>
        </w:rPr>
        <w:t xml:space="preserve">, s nímž přišel </w:t>
      </w:r>
      <w:r w:rsidR="00EC5729" w:rsidRPr="00805964">
        <w:rPr>
          <w:rFonts w:cs="Times New Roman"/>
          <w:szCs w:val="24"/>
        </w:rPr>
        <w:br/>
      </w:r>
      <w:r w:rsidR="00F76DBE" w:rsidRPr="00805964">
        <w:rPr>
          <w:rFonts w:cs="Times New Roman"/>
          <w:szCs w:val="24"/>
        </w:rPr>
        <w:t xml:space="preserve">v publikaci </w:t>
      </w:r>
      <w:proofErr w:type="spellStart"/>
      <w:r w:rsidR="00F76DBE" w:rsidRPr="00805964">
        <w:rPr>
          <w:rFonts w:cs="Times New Roman"/>
          <w:i/>
          <w:szCs w:val="24"/>
        </w:rPr>
        <w:t>Democracies</w:t>
      </w:r>
      <w:proofErr w:type="spellEnd"/>
      <w:r w:rsidR="00F76DBE" w:rsidRPr="00805964">
        <w:rPr>
          <w:rFonts w:cs="Times New Roman"/>
          <w:i/>
          <w:szCs w:val="24"/>
        </w:rPr>
        <w:t xml:space="preserve">: </w:t>
      </w:r>
      <w:proofErr w:type="spellStart"/>
      <w:r w:rsidR="00F76DBE" w:rsidRPr="00805964">
        <w:rPr>
          <w:rFonts w:cs="Times New Roman"/>
          <w:i/>
          <w:szCs w:val="24"/>
        </w:rPr>
        <w:t>Patterns</w:t>
      </w:r>
      <w:proofErr w:type="spellEnd"/>
      <w:r w:rsidR="00F76DBE" w:rsidRPr="00805964">
        <w:rPr>
          <w:rFonts w:cs="Times New Roman"/>
          <w:i/>
          <w:szCs w:val="24"/>
        </w:rPr>
        <w:t xml:space="preserve"> </w:t>
      </w:r>
      <w:proofErr w:type="spellStart"/>
      <w:r w:rsidR="00F76DBE" w:rsidRPr="00805964">
        <w:rPr>
          <w:rFonts w:cs="Times New Roman"/>
          <w:i/>
          <w:szCs w:val="24"/>
        </w:rPr>
        <w:t>of</w:t>
      </w:r>
      <w:proofErr w:type="spellEnd"/>
      <w:r w:rsidR="00F76DBE" w:rsidRPr="00805964">
        <w:rPr>
          <w:rFonts w:cs="Times New Roman"/>
          <w:i/>
          <w:szCs w:val="24"/>
        </w:rPr>
        <w:t xml:space="preserve"> </w:t>
      </w:r>
      <w:proofErr w:type="spellStart"/>
      <w:r w:rsidR="00F76DBE" w:rsidRPr="00805964">
        <w:rPr>
          <w:rFonts w:cs="Times New Roman"/>
          <w:i/>
          <w:szCs w:val="24"/>
        </w:rPr>
        <w:t>Majoritarian</w:t>
      </w:r>
      <w:proofErr w:type="spellEnd"/>
      <w:r w:rsidR="00F76DBE" w:rsidRPr="00805964">
        <w:rPr>
          <w:rFonts w:cs="Times New Roman"/>
          <w:i/>
          <w:szCs w:val="24"/>
        </w:rPr>
        <w:t xml:space="preserve"> </w:t>
      </w:r>
      <w:proofErr w:type="spellStart"/>
      <w:r w:rsidR="00F76DBE" w:rsidRPr="00805964">
        <w:rPr>
          <w:rFonts w:cs="Times New Roman"/>
          <w:i/>
          <w:szCs w:val="24"/>
        </w:rPr>
        <w:t>and</w:t>
      </w:r>
      <w:proofErr w:type="spellEnd"/>
      <w:r w:rsidR="00F76DBE" w:rsidRPr="00805964">
        <w:rPr>
          <w:rFonts w:cs="Times New Roman"/>
          <w:i/>
          <w:szCs w:val="24"/>
        </w:rPr>
        <w:t xml:space="preserve"> </w:t>
      </w:r>
      <w:proofErr w:type="spellStart"/>
      <w:r w:rsidR="00F76DBE" w:rsidRPr="00805964">
        <w:rPr>
          <w:rFonts w:cs="Times New Roman"/>
          <w:i/>
          <w:szCs w:val="24"/>
        </w:rPr>
        <w:t>Consensus</w:t>
      </w:r>
      <w:proofErr w:type="spellEnd"/>
      <w:r w:rsidR="00F76DBE" w:rsidRPr="00805964">
        <w:rPr>
          <w:rFonts w:cs="Times New Roman"/>
          <w:i/>
          <w:szCs w:val="24"/>
        </w:rPr>
        <w:t xml:space="preserve"> </w:t>
      </w:r>
      <w:proofErr w:type="spellStart"/>
      <w:r w:rsidR="00F76DBE" w:rsidRPr="00805964">
        <w:rPr>
          <w:rFonts w:cs="Times New Roman"/>
          <w:i/>
          <w:szCs w:val="24"/>
        </w:rPr>
        <w:t>Government</w:t>
      </w:r>
      <w:proofErr w:type="spellEnd"/>
      <w:r w:rsidR="00F76DBE" w:rsidRPr="00805964">
        <w:rPr>
          <w:rFonts w:cs="Times New Roman"/>
          <w:i/>
          <w:szCs w:val="24"/>
        </w:rPr>
        <w:t xml:space="preserve"> in </w:t>
      </w:r>
      <w:proofErr w:type="spellStart"/>
      <w:r w:rsidR="00F76DBE" w:rsidRPr="00805964">
        <w:rPr>
          <w:rFonts w:cs="Times New Roman"/>
          <w:i/>
          <w:szCs w:val="24"/>
        </w:rPr>
        <w:t>Twenty</w:t>
      </w:r>
      <w:proofErr w:type="spellEnd"/>
      <w:r w:rsidR="00F76DBE" w:rsidRPr="00805964">
        <w:rPr>
          <w:rFonts w:cs="Times New Roman"/>
          <w:i/>
          <w:szCs w:val="24"/>
        </w:rPr>
        <w:t>-</w:t>
      </w:r>
      <w:proofErr w:type="spellStart"/>
      <w:r w:rsidR="00F76DBE" w:rsidRPr="00805964">
        <w:rPr>
          <w:rFonts w:cs="Times New Roman"/>
          <w:i/>
          <w:szCs w:val="24"/>
        </w:rPr>
        <w:t>One</w:t>
      </w:r>
      <w:proofErr w:type="spellEnd"/>
      <w:r w:rsidR="00F76DBE" w:rsidRPr="00805964">
        <w:rPr>
          <w:rFonts w:cs="Times New Roman"/>
          <w:i/>
          <w:szCs w:val="24"/>
        </w:rPr>
        <w:t xml:space="preserve"> </w:t>
      </w:r>
      <w:proofErr w:type="spellStart"/>
      <w:r w:rsidR="00F76DBE" w:rsidRPr="00805964">
        <w:rPr>
          <w:rFonts w:cs="Times New Roman"/>
          <w:i/>
          <w:szCs w:val="24"/>
        </w:rPr>
        <w:t>Countries</w:t>
      </w:r>
      <w:proofErr w:type="spellEnd"/>
      <w:r w:rsidR="008D3A6D" w:rsidRPr="00805964">
        <w:rPr>
          <w:rFonts w:cs="Times New Roman"/>
          <w:szCs w:val="24"/>
        </w:rPr>
        <w:t xml:space="preserve">. </w:t>
      </w:r>
      <w:proofErr w:type="spellStart"/>
      <w:r w:rsidR="008D3A6D" w:rsidRPr="00805964">
        <w:rPr>
          <w:rFonts w:cs="Times New Roman"/>
          <w:szCs w:val="24"/>
        </w:rPr>
        <w:t>Lijphart</w:t>
      </w:r>
      <w:proofErr w:type="spellEnd"/>
      <w:r w:rsidR="008D3A6D" w:rsidRPr="00805964">
        <w:rPr>
          <w:rFonts w:cs="Times New Roman"/>
          <w:szCs w:val="24"/>
        </w:rPr>
        <w:t xml:space="preserve"> využívá celkem šest různých kritérií, na jejichž základě následně rozlišuje komory symetrické a asymetrické a soudržné a nesoudržné.</w:t>
      </w:r>
      <w:r w:rsidR="008D3A6D" w:rsidRPr="00805964">
        <w:rPr>
          <w:rStyle w:val="Znakapoznpodarou"/>
          <w:rFonts w:cs="Times New Roman"/>
          <w:szCs w:val="24"/>
        </w:rPr>
        <w:footnoteReference w:id="27"/>
      </w:r>
      <w:r w:rsidR="008D3A6D" w:rsidRPr="00805964">
        <w:rPr>
          <w:rFonts w:cs="Times New Roman"/>
          <w:szCs w:val="24"/>
        </w:rPr>
        <w:t xml:space="preserve"> I tato typologie má jisté mezery, avšak vůči ostatním působí nejuceleněji a je tedy právem považována z</w:t>
      </w:r>
      <w:r w:rsidR="0084287F" w:rsidRPr="00805964">
        <w:rPr>
          <w:rFonts w:cs="Times New Roman"/>
          <w:szCs w:val="24"/>
        </w:rPr>
        <w:t>a nejvlivnější.</w:t>
      </w:r>
    </w:p>
    <w:p w:rsidR="000A7111" w:rsidRPr="00805964" w:rsidRDefault="000A7111" w:rsidP="00572FD7">
      <w:pPr>
        <w:contextualSpacing/>
      </w:pPr>
    </w:p>
    <w:p w:rsidR="00EA23FB" w:rsidRPr="00805964" w:rsidRDefault="00EA23FB" w:rsidP="00572FD7">
      <w:pPr>
        <w:contextualSpacing/>
      </w:pPr>
    </w:p>
    <w:p w:rsidR="00567A0C" w:rsidRPr="00805964" w:rsidRDefault="00567A0C" w:rsidP="00572FD7">
      <w:pPr>
        <w:contextualSpacing/>
      </w:pPr>
    </w:p>
    <w:p w:rsidR="001D0E82" w:rsidRPr="00805964" w:rsidRDefault="00EA23FB" w:rsidP="00572FD7">
      <w:pPr>
        <w:pStyle w:val="Nadpis2"/>
        <w:spacing w:line="360" w:lineRule="auto"/>
        <w:contextualSpacing/>
        <w:jc w:val="both"/>
        <w:rPr>
          <w:rFonts w:cs="Times New Roman"/>
        </w:rPr>
      </w:pPr>
      <w:bookmarkStart w:id="4" w:name="_Toc359918272"/>
      <w:r w:rsidRPr="00805964">
        <w:rPr>
          <w:rFonts w:cs="Times New Roman"/>
        </w:rPr>
        <w:lastRenderedPageBreak/>
        <w:t>1. 3</w:t>
      </w:r>
      <w:r w:rsidR="001D0E82" w:rsidRPr="00805964">
        <w:rPr>
          <w:rFonts w:cs="Times New Roman"/>
        </w:rPr>
        <w:t xml:space="preserve"> </w:t>
      </w:r>
      <w:proofErr w:type="spellStart"/>
      <w:r w:rsidR="001D0E82" w:rsidRPr="00805964">
        <w:rPr>
          <w:rFonts w:cs="Times New Roman"/>
        </w:rPr>
        <w:t>Bikameralismus</w:t>
      </w:r>
      <w:proofErr w:type="spellEnd"/>
      <w:r w:rsidR="001D0E82" w:rsidRPr="00805964">
        <w:rPr>
          <w:rFonts w:cs="Times New Roman"/>
        </w:rPr>
        <w:t xml:space="preserve"> v unitárních státech</w:t>
      </w:r>
      <w:bookmarkEnd w:id="4"/>
    </w:p>
    <w:p w:rsidR="007C3625" w:rsidRPr="00805964" w:rsidRDefault="007C3625" w:rsidP="00572FD7">
      <w:pPr>
        <w:autoSpaceDE w:val="0"/>
        <w:autoSpaceDN w:val="0"/>
        <w:adjustRightInd w:val="0"/>
        <w:spacing w:line="360" w:lineRule="auto"/>
        <w:ind w:firstLine="708"/>
        <w:contextualSpacing/>
        <w:jc w:val="both"/>
        <w:rPr>
          <w:rFonts w:cs="Times New Roman"/>
        </w:rPr>
      </w:pPr>
    </w:p>
    <w:p w:rsidR="001D0E82" w:rsidRPr="00805964" w:rsidRDefault="001D0E82" w:rsidP="00572FD7">
      <w:pPr>
        <w:autoSpaceDE w:val="0"/>
        <w:autoSpaceDN w:val="0"/>
        <w:adjustRightInd w:val="0"/>
        <w:spacing w:line="360" w:lineRule="auto"/>
        <w:ind w:firstLine="708"/>
        <w:contextualSpacing/>
        <w:jc w:val="both"/>
        <w:rPr>
          <w:rFonts w:eastAsia="HiddenHorzOCR" w:cs="Times New Roman"/>
          <w:szCs w:val="17"/>
        </w:rPr>
      </w:pPr>
      <w:r w:rsidRPr="00805964">
        <w:rPr>
          <w:rFonts w:cs="Times New Roman"/>
        </w:rPr>
        <w:t>"</w:t>
      </w:r>
      <w:r w:rsidRPr="00805964">
        <w:rPr>
          <w:rFonts w:eastAsia="HiddenHorzOCR" w:cs="Times New Roman"/>
          <w:i/>
          <w:szCs w:val="12"/>
        </w:rPr>
        <w:t xml:space="preserve">Rozdělení </w:t>
      </w:r>
      <w:r w:rsidRPr="00805964">
        <w:rPr>
          <w:rFonts w:eastAsia="HiddenHorzOCR" w:cs="Times New Roman"/>
          <w:i/>
          <w:szCs w:val="17"/>
        </w:rPr>
        <w:t xml:space="preserve">státní mocí je jedním ze základních </w:t>
      </w:r>
      <w:r w:rsidRPr="00805964">
        <w:rPr>
          <w:rFonts w:eastAsia="HiddenHorzOCR" w:cs="Times New Roman"/>
          <w:i/>
          <w:szCs w:val="12"/>
        </w:rPr>
        <w:t xml:space="preserve">požadavků, </w:t>
      </w:r>
      <w:r w:rsidRPr="00805964">
        <w:rPr>
          <w:rFonts w:eastAsia="HiddenHorzOCR" w:cs="Times New Roman"/>
          <w:i/>
          <w:szCs w:val="17"/>
        </w:rPr>
        <w:t xml:space="preserve">které jsou kladeny na demokratický právní stát. Jde </w:t>
      </w:r>
      <w:r w:rsidRPr="00805964">
        <w:rPr>
          <w:rFonts w:eastAsia="HiddenHorzOCR" w:cs="Times New Roman"/>
          <w:i/>
          <w:szCs w:val="12"/>
        </w:rPr>
        <w:t xml:space="preserve">přitom </w:t>
      </w:r>
      <w:r w:rsidRPr="00805964">
        <w:rPr>
          <w:rFonts w:eastAsia="HiddenHorzOCR" w:cs="Times New Roman"/>
          <w:i/>
          <w:szCs w:val="17"/>
        </w:rPr>
        <w:t xml:space="preserve">nejen o </w:t>
      </w:r>
      <w:r w:rsidRPr="00805964">
        <w:rPr>
          <w:rFonts w:eastAsia="HiddenHorzOCR" w:cs="Times New Roman"/>
          <w:i/>
          <w:szCs w:val="12"/>
        </w:rPr>
        <w:t xml:space="preserve">zabránění </w:t>
      </w:r>
      <w:r w:rsidRPr="00805964">
        <w:rPr>
          <w:rFonts w:eastAsia="HiddenHorzOCR" w:cs="Times New Roman"/>
          <w:i/>
          <w:szCs w:val="17"/>
        </w:rPr>
        <w:t xml:space="preserve">koncentrace moci v rukou jednoho státního orgánu, ale o </w:t>
      </w:r>
      <w:r w:rsidRPr="00805964">
        <w:rPr>
          <w:rFonts w:eastAsia="HiddenHorzOCR" w:cs="Times New Roman"/>
          <w:i/>
          <w:szCs w:val="12"/>
        </w:rPr>
        <w:t xml:space="preserve">vytvoření </w:t>
      </w:r>
      <w:r w:rsidRPr="00805964">
        <w:rPr>
          <w:rFonts w:eastAsia="HiddenHorzOCR" w:cs="Times New Roman"/>
          <w:i/>
          <w:szCs w:val="17"/>
        </w:rPr>
        <w:t xml:space="preserve">ústavního systému, v </w:t>
      </w:r>
      <w:r w:rsidRPr="00805964">
        <w:rPr>
          <w:rFonts w:eastAsia="HiddenHorzOCR" w:cs="Times New Roman"/>
          <w:i/>
          <w:szCs w:val="12"/>
        </w:rPr>
        <w:t xml:space="preserve">němž </w:t>
      </w:r>
      <w:r w:rsidRPr="00805964">
        <w:rPr>
          <w:rFonts w:eastAsia="HiddenHorzOCR" w:cs="Times New Roman"/>
          <w:i/>
          <w:szCs w:val="17"/>
        </w:rPr>
        <w:t xml:space="preserve">žádný státní orgán (a tedy ani jeho </w:t>
      </w:r>
      <w:r w:rsidRPr="00805964">
        <w:rPr>
          <w:rFonts w:eastAsia="HiddenHorzOCR" w:cs="Times New Roman"/>
          <w:i/>
          <w:szCs w:val="12"/>
        </w:rPr>
        <w:t xml:space="preserve">představitelé) </w:t>
      </w:r>
      <w:r w:rsidRPr="00805964">
        <w:rPr>
          <w:rFonts w:eastAsia="HiddenHorzOCR" w:cs="Times New Roman"/>
          <w:i/>
          <w:szCs w:val="17"/>
        </w:rPr>
        <w:t xml:space="preserve">nemá dominantní postavení. Nejde tedy o pouhé </w:t>
      </w:r>
      <w:r w:rsidRPr="00805964">
        <w:rPr>
          <w:rFonts w:eastAsia="HiddenHorzOCR" w:cs="Times New Roman"/>
          <w:i/>
          <w:szCs w:val="12"/>
        </w:rPr>
        <w:t xml:space="preserve">rozdělení </w:t>
      </w:r>
      <w:r w:rsidRPr="00805964">
        <w:rPr>
          <w:rFonts w:eastAsia="HiddenHorzOCR" w:cs="Times New Roman"/>
          <w:i/>
          <w:szCs w:val="17"/>
        </w:rPr>
        <w:t xml:space="preserve">kompetencí mezí orgány státu, ale o systém, v </w:t>
      </w:r>
      <w:r w:rsidRPr="00805964">
        <w:rPr>
          <w:rFonts w:eastAsia="HiddenHorzOCR" w:cs="Times New Roman"/>
          <w:i/>
          <w:szCs w:val="12"/>
        </w:rPr>
        <w:t xml:space="preserve">němž </w:t>
      </w:r>
      <w:r w:rsidRPr="00805964">
        <w:rPr>
          <w:rFonts w:eastAsia="HiddenHorzOCR" w:cs="Times New Roman"/>
          <w:i/>
          <w:szCs w:val="17"/>
        </w:rPr>
        <w:t xml:space="preserve">se </w:t>
      </w:r>
      <w:r w:rsidRPr="00805964">
        <w:rPr>
          <w:rFonts w:eastAsia="HiddenHorzOCR" w:cs="Times New Roman"/>
          <w:i/>
          <w:szCs w:val="12"/>
        </w:rPr>
        <w:t xml:space="preserve">uplatňuje rozdělení </w:t>
      </w:r>
      <w:r w:rsidRPr="00805964">
        <w:rPr>
          <w:rFonts w:eastAsia="HiddenHorzOCR" w:cs="Times New Roman"/>
          <w:i/>
          <w:szCs w:val="17"/>
        </w:rPr>
        <w:t xml:space="preserve">pravomocí </w:t>
      </w:r>
      <w:r w:rsidRPr="00805964">
        <w:rPr>
          <w:rFonts w:eastAsia="HiddenHorzOCR" w:cs="Times New Roman"/>
          <w:i/>
          <w:szCs w:val="12"/>
        </w:rPr>
        <w:t xml:space="preserve">(tj. prostředků </w:t>
      </w:r>
      <w:r w:rsidR="00F34A18">
        <w:rPr>
          <w:rFonts w:eastAsia="HiddenHorzOCR" w:cs="Times New Roman"/>
          <w:i/>
          <w:szCs w:val="12"/>
        </w:rPr>
        <w:br/>
      </w:r>
      <w:r w:rsidRPr="00805964">
        <w:rPr>
          <w:rFonts w:eastAsia="HiddenHorzOCR" w:cs="Times New Roman"/>
          <w:i/>
          <w:szCs w:val="17"/>
        </w:rPr>
        <w:t xml:space="preserve">k výkonu </w:t>
      </w:r>
      <w:r w:rsidRPr="00805964">
        <w:rPr>
          <w:rFonts w:eastAsia="HiddenHorzOCR" w:cs="Times New Roman"/>
          <w:i/>
          <w:szCs w:val="12"/>
        </w:rPr>
        <w:t xml:space="preserve">části </w:t>
      </w:r>
      <w:r w:rsidRPr="00805964">
        <w:rPr>
          <w:rFonts w:eastAsia="HiddenHorzOCR" w:cs="Times New Roman"/>
          <w:i/>
          <w:szCs w:val="17"/>
        </w:rPr>
        <w:t>státní moci), rovnováha a vzájemné brzdy mezí nimi</w:t>
      </w:r>
      <w:r w:rsidRPr="00805964">
        <w:rPr>
          <w:rFonts w:eastAsia="HiddenHorzOCR" w:cs="Times New Roman"/>
          <w:szCs w:val="17"/>
        </w:rPr>
        <w:t>."</w:t>
      </w:r>
      <w:r w:rsidRPr="00805964">
        <w:rPr>
          <w:rStyle w:val="Znakapoznpodarou"/>
          <w:rFonts w:eastAsia="HiddenHorzOCR" w:cs="Times New Roman"/>
          <w:szCs w:val="17"/>
        </w:rPr>
        <w:footnoteReference w:id="28"/>
      </w:r>
      <w:r w:rsidRPr="00805964">
        <w:rPr>
          <w:rFonts w:eastAsia="HiddenHorzOCR" w:cs="Times New Roman"/>
          <w:szCs w:val="17"/>
        </w:rPr>
        <w:t xml:space="preserve"> </w:t>
      </w:r>
    </w:p>
    <w:p w:rsidR="001D0E82" w:rsidRPr="00805964" w:rsidRDefault="001D0E82" w:rsidP="00572FD7">
      <w:pPr>
        <w:autoSpaceDE w:val="0"/>
        <w:autoSpaceDN w:val="0"/>
        <w:adjustRightInd w:val="0"/>
        <w:spacing w:line="360" w:lineRule="auto"/>
        <w:ind w:firstLine="708"/>
        <w:contextualSpacing/>
        <w:jc w:val="both"/>
        <w:rPr>
          <w:rFonts w:eastAsia="HiddenHorzOCR" w:cs="Times New Roman"/>
          <w:szCs w:val="17"/>
        </w:rPr>
      </w:pPr>
      <w:r w:rsidRPr="00805964">
        <w:rPr>
          <w:rFonts w:cs="Times New Roman"/>
        </w:rPr>
        <w:t xml:space="preserve">Zatímco ve federativně uspořádaných státech se dvoukomorové parlamenty vyskytují téměř vždy, unitární stát se dále na menší státní útvary nedělí, ale je pouze členěn na administrativně-územní jednotky a existence dvoukomorových legislativních těles zde tedy není brána za samozřejmou. </w:t>
      </w:r>
    </w:p>
    <w:p w:rsidR="001D0E82" w:rsidRPr="00805964" w:rsidRDefault="001D0E82" w:rsidP="00572FD7">
      <w:pPr>
        <w:spacing w:after="0" w:line="360" w:lineRule="auto"/>
        <w:contextualSpacing/>
        <w:jc w:val="both"/>
        <w:rPr>
          <w:rFonts w:cs="Times New Roman"/>
        </w:rPr>
      </w:pPr>
      <w:r w:rsidRPr="00805964">
        <w:rPr>
          <w:rFonts w:cs="Times New Roman"/>
        </w:rPr>
        <w:tab/>
        <w:t>Typickým účelem druhých komor</w:t>
      </w:r>
      <w:r w:rsidR="008C4E7F" w:rsidRPr="00805964">
        <w:rPr>
          <w:rFonts w:cs="Times New Roman"/>
        </w:rPr>
        <w:t>, jak již bylo v práci zmíněno,</w:t>
      </w:r>
      <w:r w:rsidRPr="00805964">
        <w:rPr>
          <w:rFonts w:cs="Times New Roman"/>
        </w:rPr>
        <w:t xml:space="preserve"> je reprezentovat odlišné zájmy než reprezentuje komora první. Tyto zájmy se původně lišily dle třídního rozdělení společnosti.</w:t>
      </w:r>
      <w:r w:rsidRPr="00805964">
        <w:rPr>
          <w:rStyle w:val="Znakapoznpodarou"/>
          <w:rFonts w:cs="Times New Roman"/>
        </w:rPr>
        <w:footnoteReference w:id="29"/>
      </w:r>
      <w:r w:rsidRPr="00805964">
        <w:rPr>
          <w:rFonts w:cs="Times New Roman"/>
        </w:rPr>
        <w:t xml:space="preserve"> Horní komora reprezentovala vyšší vrstvy obyvatel, zatímco dolní komora reprezentovala zájmy obyčejných lidí. Problematickou se role dvoukomorových parlamentů, respektive horních komor v unitárních státech začala stávat s rozšiřováním volebního práva a přijímáním demokratických principů.</w:t>
      </w:r>
      <w:r w:rsidRPr="00805964">
        <w:rPr>
          <w:rStyle w:val="Znakapoznpodarou"/>
          <w:rFonts w:cs="Times New Roman"/>
        </w:rPr>
        <w:footnoteReference w:id="30"/>
      </w:r>
      <w:r w:rsidRPr="00805964">
        <w:rPr>
          <w:rFonts w:cs="Times New Roman"/>
        </w:rPr>
        <w:t xml:space="preserve"> Konkrétním problémem bylo složení horních komor a způsob</w:t>
      </w:r>
      <w:r w:rsidR="00177503" w:rsidRPr="00805964">
        <w:rPr>
          <w:rFonts w:cs="Times New Roman"/>
        </w:rPr>
        <w:t>,</w:t>
      </w:r>
      <w:r w:rsidRPr="00805964">
        <w:rPr>
          <w:rFonts w:cs="Times New Roman"/>
        </w:rPr>
        <w:t xml:space="preserve"> jakým byli zejména zástupci šlechty a duchovenstva na svá místa vybíráni. Řešení spočívalo ve zdůrazňování potřeby silnější hor</w:t>
      </w:r>
      <w:r w:rsidR="007F4AF6" w:rsidRPr="00805964">
        <w:rPr>
          <w:rFonts w:cs="Times New Roman"/>
        </w:rPr>
        <w:t xml:space="preserve">ní komory </w:t>
      </w:r>
      <w:r w:rsidR="00A70AAB">
        <w:rPr>
          <w:rFonts w:cs="Times New Roman"/>
        </w:rPr>
        <w:t>k </w:t>
      </w:r>
      <w:r w:rsidR="007F4AF6" w:rsidRPr="00805964">
        <w:rPr>
          <w:rFonts w:cs="Times New Roman"/>
        </w:rPr>
        <w:t>reprezentaci menšin</w:t>
      </w:r>
      <w:r w:rsidRPr="00805964">
        <w:rPr>
          <w:rFonts w:cs="Times New Roman"/>
        </w:rPr>
        <w:t xml:space="preserve"> spíše než aristokracie. Později byly však horní komory konfrontovány </w:t>
      </w:r>
      <w:r w:rsidR="00A70AAB">
        <w:rPr>
          <w:rFonts w:cs="Times New Roman"/>
        </w:rPr>
        <w:t>s </w:t>
      </w:r>
      <w:r w:rsidRPr="00805964">
        <w:rPr>
          <w:rFonts w:cs="Times New Roman"/>
        </w:rPr>
        <w:t>faktem, že pokud se chtějí postavit lidovým dolním sněmovnám jménem menšin</w:t>
      </w:r>
      <w:r w:rsidR="00177503" w:rsidRPr="00805964">
        <w:rPr>
          <w:rFonts w:cs="Times New Roman"/>
        </w:rPr>
        <w:t>, musí mít demokratickou legitimitu, která</w:t>
      </w:r>
      <w:r w:rsidRPr="00805964">
        <w:rPr>
          <w:rFonts w:cs="Times New Roman"/>
        </w:rPr>
        <w:t xml:space="preserve"> mohl</w:t>
      </w:r>
      <w:r w:rsidR="00177503" w:rsidRPr="00805964">
        <w:rPr>
          <w:rFonts w:cs="Times New Roman"/>
        </w:rPr>
        <w:t>a</w:t>
      </w:r>
      <w:r w:rsidRPr="00805964">
        <w:rPr>
          <w:rFonts w:cs="Times New Roman"/>
        </w:rPr>
        <w:t xml:space="preserve"> být zajištěn</w:t>
      </w:r>
      <w:r w:rsidR="00177503" w:rsidRPr="00805964">
        <w:rPr>
          <w:rFonts w:cs="Times New Roman"/>
        </w:rPr>
        <w:t>a</w:t>
      </w:r>
      <w:r w:rsidRPr="00805964">
        <w:rPr>
          <w:rFonts w:cs="Times New Roman"/>
        </w:rPr>
        <w:t xml:space="preserve"> pouze volbami.</w:t>
      </w:r>
      <w:r w:rsidRPr="00805964">
        <w:rPr>
          <w:rStyle w:val="Znakapoznpodarou"/>
          <w:rFonts w:cs="Times New Roman"/>
        </w:rPr>
        <w:footnoteReference w:id="31"/>
      </w:r>
      <w:r w:rsidRPr="00805964">
        <w:rPr>
          <w:rFonts w:cs="Times New Roman"/>
        </w:rPr>
        <w:t xml:space="preserve"> Horní komory měly dvě možnosti. Přizpůsobit se vývoji a nebo udržovat status quo a odsoudit se tak k výkonu apolitických funkcí.</w:t>
      </w:r>
      <w:r w:rsidRPr="00805964">
        <w:rPr>
          <w:rStyle w:val="Znakapoznpodarou"/>
          <w:rFonts w:cs="Times New Roman"/>
        </w:rPr>
        <w:footnoteReference w:id="32"/>
      </w:r>
    </w:p>
    <w:p w:rsidR="001D0E82" w:rsidRPr="00805964" w:rsidRDefault="001D0E82" w:rsidP="00572FD7">
      <w:pPr>
        <w:spacing w:after="0" w:line="360" w:lineRule="auto"/>
        <w:contextualSpacing/>
        <w:jc w:val="both"/>
        <w:rPr>
          <w:rFonts w:cs="Times New Roman"/>
        </w:rPr>
      </w:pPr>
      <w:r w:rsidRPr="00805964">
        <w:rPr>
          <w:rFonts w:cs="Times New Roman"/>
        </w:rPr>
        <w:tab/>
        <w:t>S existencí horních komor, jejichž členové jsou na svá místa dosazováni či jmenováni na základě příslušnosti k nějaké vrstvě či skupině</w:t>
      </w:r>
      <w:r w:rsidR="007F4AF6" w:rsidRPr="00805964">
        <w:rPr>
          <w:rFonts w:cs="Times New Roman"/>
        </w:rPr>
        <w:t>,</w:t>
      </w:r>
      <w:r w:rsidRPr="00805964">
        <w:rPr>
          <w:rFonts w:cs="Times New Roman"/>
        </w:rPr>
        <w:t xml:space="preserve"> s</w:t>
      </w:r>
      <w:r w:rsidR="00A70AAB">
        <w:rPr>
          <w:rFonts w:cs="Times New Roman"/>
        </w:rPr>
        <w:t>e setkáváme i v současné době. U </w:t>
      </w:r>
      <w:r w:rsidRPr="00805964">
        <w:rPr>
          <w:rFonts w:cs="Times New Roman"/>
        </w:rPr>
        <w:t xml:space="preserve">dvoukomorových systémů nacházejících se v unitárních státech Evropy je toto pravidlo aplikováno např. ve Velké Británii a částečně také v Irsku či Itálii. Zde je však třeba zdůraznit, že tento způsob konstituování horních komor bývá často předmětem kritiky, </w:t>
      </w:r>
      <w:r w:rsidRPr="00805964">
        <w:rPr>
          <w:rFonts w:cs="Times New Roman"/>
        </w:rPr>
        <w:lastRenderedPageBreak/>
        <w:t>zejména s ohledem na jeho nedostatečnou legitimitu. Způsoby konstituování horních komor parlamentů do jisté míry ovlivňují míru legitimity těchto institucí</w:t>
      </w:r>
      <w:r w:rsidR="007F4AF6" w:rsidRPr="00805964">
        <w:rPr>
          <w:rFonts w:cs="Times New Roman"/>
        </w:rPr>
        <w:t>,</w:t>
      </w:r>
      <w:r w:rsidRPr="00805964">
        <w:rPr>
          <w:rFonts w:cs="Times New Roman"/>
        </w:rPr>
        <w:t xml:space="preserve"> a tak je jasné, že přímo volené horní komory disponují větší mírou legitimity než komory jmenované či nepřímo volené.</w:t>
      </w:r>
      <w:r w:rsidRPr="00805964">
        <w:rPr>
          <w:rStyle w:val="Znakapoznpodarou"/>
          <w:rFonts w:cs="Times New Roman"/>
        </w:rPr>
        <w:footnoteReference w:id="33"/>
      </w:r>
      <w:r w:rsidRPr="00805964">
        <w:rPr>
          <w:rFonts w:cs="Times New Roman"/>
        </w:rPr>
        <w:t xml:space="preserve">  </w:t>
      </w:r>
    </w:p>
    <w:p w:rsidR="0084287F" w:rsidRPr="00805964" w:rsidRDefault="001D0E82" w:rsidP="00572FD7">
      <w:pPr>
        <w:spacing w:after="0" w:line="360" w:lineRule="auto"/>
        <w:contextualSpacing/>
        <w:jc w:val="both"/>
        <w:rPr>
          <w:rFonts w:cs="Times New Roman"/>
        </w:rPr>
      </w:pPr>
      <w:r w:rsidRPr="00805964">
        <w:rPr>
          <w:rFonts w:cs="Times New Roman"/>
        </w:rPr>
        <w:tab/>
      </w:r>
      <w:r w:rsidR="006B2A09" w:rsidRPr="00805964">
        <w:rPr>
          <w:rFonts w:cs="Times New Roman"/>
        </w:rPr>
        <w:t xml:space="preserve">Druhé komory bývají rozdělovány také dle typu reprezentace resp. na základě role, kterou v systémech jednotlivých zemí hrají. </w:t>
      </w:r>
      <w:r w:rsidRPr="00805964">
        <w:rPr>
          <w:rFonts w:cs="Times New Roman"/>
        </w:rPr>
        <w:t>Jak již bylo zmíněno, důležitou úlohou horních komor je reprezentace zájmů odlišných od těch, které jsou reprezentovány dolní komorou parlamentu. Zatímco třídní reprezentace je na ústupu již od počátku 20. století, do popředí se dostává reprezentace různých teritoriálních území, etnických skupin či menšin. Všeobecně nejrozšířenější je reprezentace územní, kdy členové horní komory reprezentují jednotlivé oblasti či autonomní celky.</w:t>
      </w:r>
      <w:r w:rsidR="00BB39C2" w:rsidRPr="00805964">
        <w:rPr>
          <w:rFonts w:cs="Times New Roman"/>
        </w:rPr>
        <w:t xml:space="preserve"> </w:t>
      </w:r>
    </w:p>
    <w:p w:rsidR="0084287F" w:rsidRPr="00805964" w:rsidRDefault="0084287F" w:rsidP="00572FD7">
      <w:pPr>
        <w:spacing w:after="0" w:line="360" w:lineRule="auto"/>
        <w:contextualSpacing/>
        <w:jc w:val="both"/>
        <w:rPr>
          <w:rFonts w:cs="Times New Roman"/>
        </w:rPr>
      </w:pPr>
      <w:r w:rsidRPr="00805964">
        <w:rPr>
          <w:rFonts w:cs="Times New Roman"/>
        </w:rPr>
        <w:tab/>
      </w:r>
      <w:r w:rsidR="00F5718F" w:rsidRPr="00805964">
        <w:rPr>
          <w:rFonts w:cs="Times New Roman"/>
        </w:rPr>
        <w:t xml:space="preserve">Právě druh reprezentace je považován za důležitý faktor při analýze funkcí druhých komor. </w:t>
      </w:r>
      <w:r w:rsidR="00BA2710" w:rsidRPr="00805964">
        <w:rPr>
          <w:rFonts w:cs="Times New Roman"/>
        </w:rPr>
        <w:t>Druhé komory, které mají územně-</w:t>
      </w:r>
      <w:r w:rsidR="00F5718F" w:rsidRPr="00805964">
        <w:rPr>
          <w:rFonts w:cs="Times New Roman"/>
        </w:rPr>
        <w:t>reprezentační funkci</w:t>
      </w:r>
      <w:r w:rsidR="007F4AF6" w:rsidRPr="00805964">
        <w:rPr>
          <w:rFonts w:cs="Times New Roman"/>
        </w:rPr>
        <w:t>,</w:t>
      </w:r>
      <w:r w:rsidR="00F5718F" w:rsidRPr="00805964">
        <w:rPr>
          <w:rFonts w:cs="Times New Roman"/>
        </w:rPr>
        <w:t xml:space="preserve"> nejsou tak často předmětem kritiky. V Evropě se s nimi lze setkat např. ve Francii, Itálii či Španělsku.</w:t>
      </w:r>
      <w:r w:rsidR="00BB39C2" w:rsidRPr="00805964">
        <w:rPr>
          <w:rStyle w:val="Znakapoznpodarou"/>
          <w:rFonts w:cs="Times New Roman"/>
        </w:rPr>
        <w:footnoteReference w:id="34"/>
      </w:r>
      <w:r w:rsidR="00F5718F" w:rsidRPr="00805964">
        <w:rPr>
          <w:rFonts w:cs="Times New Roman"/>
        </w:rPr>
        <w:t xml:space="preserve"> Dalším typem reprezentace může být reprezentace určitých skupin obyvatelstva. Příkladem takové druhé komory je irský senát, který zas</w:t>
      </w:r>
      <w:r w:rsidR="007F4AF6" w:rsidRPr="00805964">
        <w:rPr>
          <w:rFonts w:cs="Times New Roman"/>
        </w:rPr>
        <w:t>tupuje profesní skupiny. Český s</w:t>
      </w:r>
      <w:r w:rsidR="00F5718F" w:rsidRPr="00805964">
        <w:rPr>
          <w:rFonts w:cs="Times New Roman"/>
        </w:rPr>
        <w:t xml:space="preserve">enát je poté řazen mezi </w:t>
      </w:r>
      <w:r w:rsidR="00F34A18">
        <w:rPr>
          <w:rFonts w:cs="Times New Roman"/>
        </w:rPr>
        <w:br/>
      </w:r>
      <w:r w:rsidR="00F5718F" w:rsidRPr="00805964">
        <w:rPr>
          <w:rFonts w:cs="Times New Roman"/>
        </w:rPr>
        <w:t xml:space="preserve">tzv. revizní druhé komory, jejichž úlohou je působit jako jakási pojistka demokracie </w:t>
      </w:r>
      <w:r w:rsidR="00A70AAB">
        <w:rPr>
          <w:rFonts w:cs="Times New Roman"/>
        </w:rPr>
        <w:t>a </w:t>
      </w:r>
      <w:r w:rsidR="00F5718F" w:rsidRPr="00805964">
        <w:rPr>
          <w:rFonts w:cs="Times New Roman"/>
        </w:rPr>
        <w:t>kontrolor legislativních návrhů dolních komor.</w:t>
      </w:r>
      <w:r w:rsidRPr="00805964">
        <w:rPr>
          <w:rFonts w:cs="Times New Roman"/>
        </w:rPr>
        <w:t xml:space="preserve"> </w:t>
      </w:r>
    </w:p>
    <w:p w:rsidR="001D0E82" w:rsidRPr="00805964" w:rsidRDefault="0084287F" w:rsidP="00572FD7">
      <w:pPr>
        <w:spacing w:after="0" w:line="360" w:lineRule="auto"/>
        <w:contextualSpacing/>
        <w:jc w:val="both"/>
        <w:rPr>
          <w:rFonts w:cs="Times New Roman"/>
        </w:rPr>
      </w:pPr>
      <w:r w:rsidRPr="00805964">
        <w:rPr>
          <w:rFonts w:cs="Times New Roman"/>
        </w:rPr>
        <w:tab/>
        <w:t>V zásadě se tak rozlišují tři základní typy druhých komor na základě jejich reprezentace či základní funkce v ústavníc</w:t>
      </w:r>
      <w:r w:rsidR="003A2CF3">
        <w:rPr>
          <w:rFonts w:cs="Times New Roman"/>
        </w:rPr>
        <w:t>h</w:t>
      </w:r>
      <w:r w:rsidR="00A70AAB">
        <w:rPr>
          <w:rFonts w:cs="Times New Roman"/>
        </w:rPr>
        <w:t xml:space="preserve"> systémech. Jedná se o</w:t>
      </w:r>
      <w:r w:rsidR="003A2CF3">
        <w:rPr>
          <w:rFonts w:cs="Times New Roman"/>
        </w:rPr>
        <w:t xml:space="preserve"> komory </w:t>
      </w:r>
      <w:r w:rsidR="003A2CF3">
        <w:rPr>
          <w:rFonts w:cs="Times New Roman"/>
        </w:rPr>
        <w:br/>
      </w:r>
      <w:r w:rsidRPr="00805964">
        <w:rPr>
          <w:rFonts w:cs="Times New Roman"/>
        </w:rPr>
        <w:t>s územně</w:t>
      </w:r>
      <w:r w:rsidR="003A2CF3">
        <w:rPr>
          <w:rFonts w:cs="Times New Roman"/>
        </w:rPr>
        <w:t>-</w:t>
      </w:r>
      <w:r w:rsidRPr="00805964">
        <w:rPr>
          <w:rFonts w:cs="Times New Roman"/>
        </w:rPr>
        <w:t xml:space="preserve">reprezentační funkcí, komory zastupující menšiny či určité skupiny obyvatelstva </w:t>
      </w:r>
      <w:r w:rsidR="00A70AAB">
        <w:rPr>
          <w:rFonts w:cs="Times New Roman"/>
        </w:rPr>
        <w:t>a </w:t>
      </w:r>
      <w:r w:rsidRPr="00805964">
        <w:rPr>
          <w:rFonts w:cs="Times New Roman"/>
        </w:rPr>
        <w:t>komory jejichž funkce spočívá v revizi přijímané legislativy. Problematickým je často ospravedlnění existence revizních druhých komor</w:t>
      </w:r>
      <w:r w:rsidR="00524539" w:rsidRPr="00805964">
        <w:rPr>
          <w:rFonts w:cs="Times New Roman"/>
        </w:rPr>
        <w:t xml:space="preserve"> v unitárních státech</w:t>
      </w:r>
      <w:r w:rsidRPr="00805964">
        <w:rPr>
          <w:rFonts w:cs="Times New Roman"/>
        </w:rPr>
        <w:t xml:space="preserve">, a to zejména </w:t>
      </w:r>
      <w:r w:rsidR="00A70AAB">
        <w:rPr>
          <w:rFonts w:cs="Times New Roman"/>
        </w:rPr>
        <w:t>v </w:t>
      </w:r>
      <w:r w:rsidRPr="00805964">
        <w:rPr>
          <w:rFonts w:cs="Times New Roman"/>
        </w:rPr>
        <w:t>případech, kdy</w:t>
      </w:r>
      <w:r w:rsidR="007F4AF6" w:rsidRPr="00805964">
        <w:rPr>
          <w:rFonts w:cs="Times New Roman"/>
        </w:rPr>
        <w:t>ž</w:t>
      </w:r>
      <w:r w:rsidRPr="00805964">
        <w:rPr>
          <w:rFonts w:cs="Times New Roman"/>
        </w:rPr>
        <w:t xml:space="preserve"> mají tyto komory malé pravomoci,</w:t>
      </w:r>
      <w:r w:rsidR="000345B4" w:rsidRPr="00805964">
        <w:rPr>
          <w:rFonts w:cs="Times New Roman"/>
        </w:rPr>
        <w:t xml:space="preserve"> což se odráží na kvalitě výkonu jejich funkce kontrolora.</w:t>
      </w:r>
      <w:r w:rsidR="003A2CF3">
        <w:rPr>
          <w:rFonts w:cs="Times New Roman"/>
        </w:rPr>
        <w:t xml:space="preserve"> </w:t>
      </w:r>
      <w:r w:rsidR="000345B4" w:rsidRPr="00805964">
        <w:rPr>
          <w:rFonts w:cs="Times New Roman"/>
        </w:rPr>
        <w:t xml:space="preserve">S tímto problémem se často setkává právě </w:t>
      </w:r>
      <w:r w:rsidR="00572FD7" w:rsidRPr="00805964">
        <w:rPr>
          <w:rFonts w:cs="Times New Roman"/>
        </w:rPr>
        <w:t>Senát ČR</w:t>
      </w:r>
      <w:r w:rsidR="000345B4" w:rsidRPr="00805964">
        <w:rPr>
          <w:rFonts w:cs="Times New Roman"/>
        </w:rPr>
        <w:t>, který neplní jinou funkci než revizní, což společně s malými pravomocemi vytváří dojem zbytečnosti jeho fungování.</w:t>
      </w:r>
    </w:p>
    <w:p w:rsidR="00517004" w:rsidRPr="00805964" w:rsidRDefault="001D0E82" w:rsidP="00572FD7">
      <w:pPr>
        <w:spacing w:after="0" w:line="360" w:lineRule="auto"/>
        <w:contextualSpacing/>
        <w:jc w:val="both"/>
        <w:rPr>
          <w:rFonts w:cs="Times New Roman"/>
        </w:rPr>
      </w:pPr>
      <w:r w:rsidRPr="00805964">
        <w:rPr>
          <w:rFonts w:cs="Times New Roman"/>
        </w:rPr>
        <w:tab/>
        <w:t xml:space="preserve"> </w:t>
      </w:r>
    </w:p>
    <w:p w:rsidR="00567A0C" w:rsidRPr="00805964" w:rsidRDefault="00567A0C" w:rsidP="00572FD7">
      <w:pPr>
        <w:spacing w:after="0" w:line="360" w:lineRule="auto"/>
        <w:contextualSpacing/>
        <w:jc w:val="both"/>
        <w:rPr>
          <w:rFonts w:cs="Times New Roman"/>
        </w:rPr>
      </w:pPr>
    </w:p>
    <w:p w:rsidR="00567A0C" w:rsidRPr="00805964" w:rsidRDefault="00567A0C" w:rsidP="00572FD7">
      <w:pPr>
        <w:spacing w:after="0" w:line="360" w:lineRule="auto"/>
        <w:contextualSpacing/>
        <w:jc w:val="both"/>
        <w:rPr>
          <w:rFonts w:cs="Times New Roman"/>
        </w:rPr>
      </w:pPr>
    </w:p>
    <w:p w:rsidR="001D0E82" w:rsidRPr="00805964" w:rsidRDefault="00EA23FB" w:rsidP="00572FD7">
      <w:pPr>
        <w:pStyle w:val="Nadpis2"/>
        <w:spacing w:line="360" w:lineRule="auto"/>
        <w:contextualSpacing/>
        <w:jc w:val="both"/>
        <w:rPr>
          <w:rFonts w:cs="Times New Roman"/>
        </w:rPr>
      </w:pPr>
      <w:bookmarkStart w:id="5" w:name="_Toc359918273"/>
      <w:r w:rsidRPr="00805964">
        <w:rPr>
          <w:rFonts w:cs="Times New Roman"/>
        </w:rPr>
        <w:lastRenderedPageBreak/>
        <w:t>1. 4</w:t>
      </w:r>
      <w:r w:rsidR="001D0E82" w:rsidRPr="00805964">
        <w:rPr>
          <w:rFonts w:cs="Times New Roman"/>
        </w:rPr>
        <w:t xml:space="preserve"> </w:t>
      </w:r>
      <w:proofErr w:type="spellStart"/>
      <w:r w:rsidR="001D0E82" w:rsidRPr="00805964">
        <w:rPr>
          <w:rFonts w:cs="Times New Roman"/>
        </w:rPr>
        <w:t>Bikameralismus</w:t>
      </w:r>
      <w:proofErr w:type="spellEnd"/>
      <w:r w:rsidR="001D0E82" w:rsidRPr="00805964">
        <w:rPr>
          <w:rFonts w:cs="Times New Roman"/>
        </w:rPr>
        <w:t xml:space="preserve"> v českých zemích</w:t>
      </w:r>
      <w:bookmarkEnd w:id="5"/>
    </w:p>
    <w:p w:rsidR="001D0E82" w:rsidRPr="00805964" w:rsidRDefault="001D0E82" w:rsidP="00572FD7">
      <w:pPr>
        <w:spacing w:line="360" w:lineRule="auto"/>
        <w:contextualSpacing/>
        <w:jc w:val="both"/>
        <w:rPr>
          <w:rFonts w:cs="Times New Roman"/>
        </w:rPr>
      </w:pPr>
    </w:p>
    <w:p w:rsidR="00572FD7" w:rsidRPr="00805964" w:rsidRDefault="00FE6F25" w:rsidP="00572FD7">
      <w:pPr>
        <w:spacing w:line="360" w:lineRule="auto"/>
        <w:contextualSpacing/>
        <w:jc w:val="both"/>
      </w:pPr>
      <w:r w:rsidRPr="00805964">
        <w:rPr>
          <w:rFonts w:cs="Times New Roman"/>
        </w:rPr>
        <w:tab/>
      </w:r>
      <w:proofErr w:type="spellStart"/>
      <w:r w:rsidR="00572FD7" w:rsidRPr="00805964">
        <w:t>Bikameralismus</w:t>
      </w:r>
      <w:proofErr w:type="spellEnd"/>
      <w:r w:rsidR="00572FD7" w:rsidRPr="00805964">
        <w:t xml:space="preserve"> se na území současné České republiky vyskytl poprvé již v dobách </w:t>
      </w:r>
      <w:proofErr w:type="spellStart"/>
      <w:r w:rsidR="00572FD7" w:rsidRPr="00805964">
        <w:t>Rakouska</w:t>
      </w:r>
      <w:proofErr w:type="spellEnd"/>
      <w:r w:rsidR="00572FD7" w:rsidRPr="00805964">
        <w:t xml:space="preserve">-Uherska, na což později navázali tvůrci Ústavy z roku 1920, která dvoukomorový parlament na našem území zakotvila podruhé. Dvoukomorovost se v průběhu 20. století střídavě v českém či československém prostředí objevovala a mizela a celý vývoj byl poté uzavřen zakotvením dvoukomorového parlamentu do Ústavy z roku 1992. Cílem této podkapitoly je nastínit historický vývoj </w:t>
      </w:r>
      <w:proofErr w:type="spellStart"/>
      <w:r w:rsidR="00572FD7" w:rsidRPr="00805964">
        <w:t>bikameralismu</w:t>
      </w:r>
      <w:proofErr w:type="spellEnd"/>
      <w:r w:rsidR="00572FD7" w:rsidRPr="00805964">
        <w:t xml:space="preserve"> v českých zemích a sice od doby První republiky do vzniku samostatné České republiky. </w:t>
      </w:r>
    </w:p>
    <w:p w:rsidR="00517004" w:rsidRPr="00805964" w:rsidRDefault="00517004" w:rsidP="00572FD7">
      <w:pPr>
        <w:spacing w:line="360" w:lineRule="auto"/>
        <w:contextualSpacing/>
        <w:jc w:val="both"/>
        <w:rPr>
          <w:rFonts w:cs="Times New Roman"/>
        </w:rPr>
      </w:pPr>
    </w:p>
    <w:p w:rsidR="001D0E82" w:rsidRPr="00805964" w:rsidRDefault="00EA23FB" w:rsidP="00572FD7">
      <w:pPr>
        <w:pStyle w:val="Nadpis3"/>
        <w:spacing w:line="360" w:lineRule="auto"/>
        <w:contextualSpacing/>
        <w:jc w:val="both"/>
        <w:rPr>
          <w:rFonts w:cs="Times New Roman"/>
        </w:rPr>
      </w:pPr>
      <w:bookmarkStart w:id="6" w:name="_Toc248123717"/>
      <w:bookmarkStart w:id="7" w:name="_Toc359918274"/>
      <w:r w:rsidRPr="00805964">
        <w:rPr>
          <w:rFonts w:cs="Times New Roman"/>
        </w:rPr>
        <w:t>1. 4</w:t>
      </w:r>
      <w:r w:rsidR="001D0E82" w:rsidRPr="00805964">
        <w:rPr>
          <w:rFonts w:cs="Times New Roman"/>
        </w:rPr>
        <w:t xml:space="preserve">. 1 Ústava z roku 1920 a zakotvení </w:t>
      </w:r>
      <w:proofErr w:type="spellStart"/>
      <w:r w:rsidR="001D0E82" w:rsidRPr="00805964">
        <w:rPr>
          <w:rFonts w:cs="Times New Roman"/>
        </w:rPr>
        <w:t>bikameralismu</w:t>
      </w:r>
      <w:proofErr w:type="spellEnd"/>
      <w:r w:rsidR="001D0E82" w:rsidRPr="00805964">
        <w:rPr>
          <w:rFonts w:cs="Times New Roman"/>
        </w:rPr>
        <w:t xml:space="preserve"> </w:t>
      </w:r>
      <w:bookmarkEnd w:id="6"/>
      <w:r w:rsidR="004D5246" w:rsidRPr="00805964">
        <w:rPr>
          <w:rFonts w:cs="Times New Roman"/>
        </w:rPr>
        <w:t>v ústavním pořádku</w:t>
      </w:r>
      <w:bookmarkEnd w:id="7"/>
    </w:p>
    <w:p w:rsidR="001D0E82" w:rsidRPr="00805964" w:rsidRDefault="001D0E82" w:rsidP="00572FD7">
      <w:pPr>
        <w:spacing w:line="360" w:lineRule="auto"/>
        <w:contextualSpacing/>
        <w:jc w:val="both"/>
        <w:rPr>
          <w:rFonts w:cs="Times New Roman"/>
        </w:rPr>
      </w:pPr>
    </w:p>
    <w:p w:rsidR="00572FD7" w:rsidRPr="00805964" w:rsidRDefault="00572FD7" w:rsidP="00572FD7">
      <w:pPr>
        <w:spacing w:line="360" w:lineRule="auto"/>
        <w:ind w:firstLine="708"/>
        <w:contextualSpacing/>
        <w:jc w:val="both"/>
      </w:pPr>
      <w:r w:rsidRPr="00805964">
        <w:t xml:space="preserve">Zatímco prozatímní Ústava z roku 1918 počítala s jednokomorovým Parlamentem, </w:t>
      </w:r>
      <w:r w:rsidRPr="00805964">
        <w:br/>
        <w:t>§ 6 Ústavní listiny Československé republiky z roku 1920 vyhlášené jako zákon č. 121/1920 Sb. říká, že: "</w:t>
      </w:r>
      <w:r w:rsidRPr="00805964">
        <w:rPr>
          <w:i/>
        </w:rPr>
        <w:t>Moc zákonodárnou vykonává pro celé území Československé republiky Národní shromáždění, skládající se ze dvou sněmoven: sněmovny poslanecké a senátu.</w:t>
      </w:r>
      <w:r w:rsidRPr="00805964">
        <w:t>"</w:t>
      </w:r>
      <w:r w:rsidRPr="00805964">
        <w:rPr>
          <w:rStyle w:val="FootnoteCharacters"/>
        </w:rPr>
        <w:footnoteReference w:id="35"/>
      </w:r>
      <w:r w:rsidRPr="00805964">
        <w:t xml:space="preserve"> Obecná ustanovení týkající se Senátu jsou definována v § 13 – § 17, kde je uvedeno</w:t>
      </w:r>
      <w:r w:rsidRPr="00805964">
        <w:rPr>
          <w:rStyle w:val="FootnoteCharacters"/>
        </w:rPr>
        <w:footnoteReference w:id="36"/>
      </w:r>
      <w:r w:rsidRPr="00805964">
        <w:t>, že S</w:t>
      </w:r>
      <w:r w:rsidR="004B2922">
        <w:t>enát má 150 členů volených na 8</w:t>
      </w:r>
      <w:r w:rsidRPr="00805964">
        <w:t>leté volební období a to stejně jako Poslanecká sněmovna</w:t>
      </w:r>
      <w:r w:rsidR="008A7721">
        <w:t xml:space="preserve"> (PS)</w:t>
      </w:r>
      <w:r w:rsidRPr="00805964">
        <w:t xml:space="preserve"> podle všeobecného, tajného, rovného a přímého hlasovacího práva, podle zásady poměrného zastoupení. Termín voleb byl stanoven na neděli. Aleš </w:t>
      </w:r>
      <w:proofErr w:type="spellStart"/>
      <w:r w:rsidRPr="00805964">
        <w:t>Gerloch</w:t>
      </w:r>
      <w:proofErr w:type="spellEnd"/>
      <w:r w:rsidRPr="00805964">
        <w:t xml:space="preserve"> a Jiří </w:t>
      </w:r>
      <w:proofErr w:type="spellStart"/>
      <w:r w:rsidRPr="00805964">
        <w:t>Hřebejk</w:t>
      </w:r>
      <w:proofErr w:type="spellEnd"/>
      <w:r w:rsidRPr="00805964">
        <w:t xml:space="preserve"> však poznamenávají, že stanovená délka volebního období nebyla dodržována a běžnou ústavní praxí bylo rozpuštění Senátu před skončením jeho volebního období prezidentem republiky, aby se volby do obou komor Národního shromáždění konaly současně.</w:t>
      </w:r>
      <w:r w:rsidRPr="00805964">
        <w:rPr>
          <w:rStyle w:val="FootnoteCharacters"/>
        </w:rPr>
        <w:footnoteReference w:id="37"/>
      </w:r>
      <w:r w:rsidRPr="00805964">
        <w:t xml:space="preserve"> Aktivní volební právo, pokud jde o volby do Senátu, měli všichni státní občané Československé republiky starší 26. let. Pokud jde o pasivní volební právo, do Senátu byli volitelní občané Československé republiky bez rozdílu pohlaví, kteří dosáhli 45. roku, přičemž rovněž samozřejmě museli vyhovovat ostatním podmínkám zákona o složení a pravomoci Senátu.</w:t>
      </w:r>
      <w:r w:rsidR="002265EE">
        <w:rPr>
          <w:rStyle w:val="Znakapoznpodarou"/>
        </w:rPr>
        <w:footnoteReference w:id="38"/>
      </w:r>
      <w:r w:rsidRPr="00805964">
        <w:tab/>
        <w:t xml:space="preserve">Poslanecká sněmovna se skládala z 300 poslanců volených na 6 let. Podle § 13 ústavní listiny z roku 1920 se volby do Senátu konaly podle zásady poměrného zastoupení a Senát byl </w:t>
      </w:r>
      <w:r w:rsidRPr="00805964">
        <w:lastRenderedPageBreak/>
        <w:t>oproti dnešní praxi volen celý najednou. Zasedání obou sněmoven začínala a končila vždy zároveň a prezident republiky měl dokonce pravomoc Senát rozpustit, avšak tohoto práva nesměl využít v posledních šesti měsících volebního období.</w:t>
      </w:r>
      <w:r w:rsidRPr="00805964">
        <w:rPr>
          <w:rStyle w:val="FootnoteCharacters"/>
        </w:rPr>
        <w:footnoteReference w:id="39"/>
      </w:r>
      <w:r w:rsidRPr="00805964">
        <w:t xml:space="preserve"> </w:t>
      </w:r>
    </w:p>
    <w:p w:rsidR="00572FD7" w:rsidRPr="00805964" w:rsidRDefault="00572FD7" w:rsidP="00572FD7">
      <w:pPr>
        <w:spacing w:line="360" w:lineRule="auto"/>
        <w:ind w:firstLine="708"/>
        <w:contextualSpacing/>
        <w:jc w:val="both"/>
      </w:pPr>
      <w:r w:rsidRPr="00805964">
        <w:t>Senát za První republiky měl více pravomocí než má ten dnešní. Jako příklad lze uvést § 43 Ústavní listiny z roku 1920, kde je Senátu přiznána pravomoc vyjadřovat se k návrhu rozpočtového zákonu, či § 52 podle kterého je každá sněmovna oprávněna interpelovat předsedu a členy vlády</w:t>
      </w:r>
      <w:r w:rsidRPr="00805964">
        <w:rPr>
          <w:b/>
          <w:bCs/>
        </w:rPr>
        <w:t xml:space="preserve">, </w:t>
      </w:r>
      <w:r w:rsidRPr="00805964">
        <w:t>což jsou záležitosti, na které Senát České republiky nemá podle Ústavy z roku 1992 právo. Senát byl konstruován jako instituce odborná, kontrolující, zbavená přímého politického vlivu.</w:t>
      </w:r>
      <w:r w:rsidRPr="00805964">
        <w:rPr>
          <w:rStyle w:val="FootnoteCharacters"/>
        </w:rPr>
        <w:footnoteReference w:id="40"/>
      </w:r>
      <w:r w:rsidRPr="00805964">
        <w:t xml:space="preserve"> Měl být spíše korektivem odborným, legislativním, technickým. Tomu ovšem neodpovídalo jeho složení. Senát byl ovládán politickými stranami stejně jako poslanecká sněmovna.</w:t>
      </w:r>
      <w:r w:rsidRPr="00805964">
        <w:rPr>
          <w:rStyle w:val="FootnoteCharacters"/>
        </w:rPr>
        <w:footnoteReference w:id="41"/>
      </w:r>
      <w:r w:rsidRPr="00805964">
        <w:t xml:space="preserve"> Ovšem z hlediska ústavní praxe je nutné přihlížet </w:t>
      </w:r>
      <w:r w:rsidR="00A70AAB">
        <w:t>i </w:t>
      </w:r>
      <w:r w:rsidRPr="00805964">
        <w:t>k působení tzv. Pětky</w:t>
      </w:r>
      <w:r w:rsidRPr="00805964">
        <w:rPr>
          <w:rStyle w:val="FootnoteCharacters"/>
        </w:rPr>
        <w:footnoteReference w:id="42"/>
      </w:r>
      <w:r w:rsidRPr="00805964">
        <w:t>, jejíž existence mohla do jisté míry oslabit pozici horní komory parlamentu 1. republiky. Zkušenosti s reálným fungováním senátu za první republiky nebyly právě uspokojující, ještě v roce 1930 požadovala sociální demokracie ve svém programu jeho zrušení. Senát 17. prosince 1938 klidně ukončil svou 129. schůzi a poté se už nikdy nesešel.</w:t>
      </w:r>
      <w:r w:rsidRPr="00805964">
        <w:rPr>
          <w:rStyle w:val="FootnoteCharacters"/>
        </w:rPr>
        <w:footnoteReference w:id="43"/>
      </w:r>
    </w:p>
    <w:p w:rsidR="001D0E82" w:rsidRPr="00805964" w:rsidRDefault="000266B6" w:rsidP="00572FD7">
      <w:pPr>
        <w:spacing w:line="360" w:lineRule="auto"/>
        <w:ind w:firstLine="708"/>
        <w:contextualSpacing/>
        <w:jc w:val="both"/>
        <w:rPr>
          <w:rFonts w:cs="Times New Roman"/>
        </w:rPr>
      </w:pPr>
      <w:r>
        <w:t>Dvoukomorový p</w:t>
      </w:r>
      <w:r w:rsidR="00572FD7" w:rsidRPr="00805964">
        <w:t xml:space="preserve">arlament se před rokem 1989 ještě jednou na našem území objevil, </w:t>
      </w:r>
      <w:r w:rsidR="00A70AAB">
        <w:t>a </w:t>
      </w:r>
      <w:r w:rsidR="00572FD7" w:rsidRPr="00805964">
        <w:t>to v roce 1968, kdy poslanci dosavadního Národního shromáždění přešli do Sněmovny lidu Federálního shromáždění skládající se ze dvou set poslanců, a jako druhá komora byla zřízena Sněmovna národů, která čítala 150 poslanců.</w:t>
      </w:r>
      <w:r w:rsidR="00572FD7" w:rsidRPr="00805964">
        <w:rPr>
          <w:rStyle w:val="FootnoteCharacters"/>
        </w:rPr>
        <w:footnoteReference w:id="44"/>
      </w:r>
      <w:r w:rsidR="00572FD7" w:rsidRPr="00805964">
        <w:t xml:space="preserve"> Brněnští politologové dodávají, že v tomto období nelze ovšem mluvit o dělbě moci, která je praktikována v demokratických zemích. Socialistické státy pracovaly s tezí o jednotné státní moci, což v praxi znamenalo, že všechny složky moci byly podřízeny KSČ.</w:t>
      </w:r>
      <w:r w:rsidR="00572FD7" w:rsidRPr="00805964">
        <w:rPr>
          <w:rStyle w:val="FootnoteCharacters"/>
        </w:rPr>
        <w:footnoteReference w:id="45"/>
      </w:r>
    </w:p>
    <w:p w:rsidR="001D0E82" w:rsidRPr="00805964" w:rsidRDefault="001D0E82" w:rsidP="00572FD7">
      <w:pPr>
        <w:spacing w:line="360" w:lineRule="auto"/>
        <w:ind w:firstLine="708"/>
        <w:contextualSpacing/>
        <w:jc w:val="both"/>
        <w:rPr>
          <w:rFonts w:cs="Times New Roman"/>
        </w:rPr>
      </w:pPr>
    </w:p>
    <w:p w:rsidR="00567A0C" w:rsidRPr="00805964" w:rsidRDefault="00567A0C" w:rsidP="00572FD7">
      <w:pPr>
        <w:spacing w:line="360" w:lineRule="auto"/>
        <w:ind w:firstLine="708"/>
        <w:contextualSpacing/>
        <w:jc w:val="both"/>
        <w:rPr>
          <w:rFonts w:cs="Times New Roman"/>
        </w:rPr>
      </w:pPr>
    </w:p>
    <w:p w:rsidR="001D0E82" w:rsidRPr="00805964" w:rsidRDefault="00EA23FB" w:rsidP="00572FD7">
      <w:pPr>
        <w:pStyle w:val="Nadpis3"/>
        <w:spacing w:line="360" w:lineRule="auto"/>
        <w:contextualSpacing/>
        <w:jc w:val="both"/>
        <w:rPr>
          <w:rFonts w:cs="Times New Roman"/>
        </w:rPr>
      </w:pPr>
      <w:bookmarkStart w:id="8" w:name="_Toc248123718"/>
      <w:bookmarkStart w:id="9" w:name="_Toc359918275"/>
      <w:r w:rsidRPr="00805964">
        <w:rPr>
          <w:rFonts w:cs="Times New Roman"/>
        </w:rPr>
        <w:lastRenderedPageBreak/>
        <w:t>1. 4</w:t>
      </w:r>
      <w:r w:rsidR="001D0E82" w:rsidRPr="00805964">
        <w:rPr>
          <w:rFonts w:cs="Times New Roman"/>
        </w:rPr>
        <w:t xml:space="preserve">. 2 </w:t>
      </w:r>
      <w:bookmarkEnd w:id="8"/>
      <w:r w:rsidR="002D58CE" w:rsidRPr="00805964">
        <w:rPr>
          <w:rFonts w:cs="Times New Roman"/>
        </w:rPr>
        <w:t xml:space="preserve">Zakotvení </w:t>
      </w:r>
      <w:proofErr w:type="spellStart"/>
      <w:r w:rsidR="002D58CE" w:rsidRPr="00805964">
        <w:rPr>
          <w:rFonts w:cs="Times New Roman"/>
        </w:rPr>
        <w:t>bikameralismu</w:t>
      </w:r>
      <w:proofErr w:type="spellEnd"/>
      <w:r w:rsidR="002D58CE" w:rsidRPr="00805964">
        <w:rPr>
          <w:rFonts w:cs="Times New Roman"/>
        </w:rPr>
        <w:t xml:space="preserve"> v České republice</w:t>
      </w:r>
      <w:bookmarkEnd w:id="9"/>
    </w:p>
    <w:p w:rsidR="001D0E82" w:rsidRPr="00805964" w:rsidRDefault="001D0E82" w:rsidP="00572FD7">
      <w:pPr>
        <w:spacing w:line="360" w:lineRule="auto"/>
        <w:ind w:firstLine="708"/>
        <w:contextualSpacing/>
        <w:jc w:val="both"/>
        <w:rPr>
          <w:rFonts w:cs="Times New Roman"/>
        </w:rPr>
      </w:pPr>
    </w:p>
    <w:p w:rsidR="00572FD7" w:rsidRPr="00805964" w:rsidRDefault="00572FD7" w:rsidP="00572FD7">
      <w:pPr>
        <w:spacing w:line="360" w:lineRule="auto"/>
        <w:ind w:firstLine="708"/>
        <w:contextualSpacing/>
        <w:jc w:val="both"/>
      </w:pPr>
      <w:r w:rsidRPr="00805964">
        <w:t>Ústava České republiky z roku 1992 zakotvuje zřízení dvoukomorového parlamentu.  Inspirací pro zřízení Senátu jako druhé komory Parlamentu</w:t>
      </w:r>
      <w:r w:rsidR="00BA2710" w:rsidRPr="00805964">
        <w:t xml:space="preserve"> ČR</w:t>
      </w:r>
      <w:r w:rsidRPr="00805964">
        <w:t xml:space="preserve"> byl především ústavní model první Československé republiky. Senát však neměl zastánce v levé části politického spektra </w:t>
      </w:r>
      <w:r w:rsidR="00A70AAB">
        <w:t>a </w:t>
      </w:r>
      <w:r w:rsidRPr="00805964">
        <w:t>původně ani u Václava Havla, který byl pro zavedení jednokomorového parlamentu.</w:t>
      </w:r>
      <w:r w:rsidRPr="00805964">
        <w:rPr>
          <w:rStyle w:val="FootnoteCharacters"/>
        </w:rPr>
        <w:footnoteReference w:id="46"/>
      </w:r>
      <w:r w:rsidRPr="00805964">
        <w:t xml:space="preserve"> Argumentoval tím, že pro začínající, nepříliš bohatý stát, jehož parlament bude nucen poměrně rychle přijmout stovky zákonů a vybudovat prakticky celý nový právní řád, je druhá komora velký luxus. Václav Havel zastával názor, že i země se senátní tradicí, což není případ České republiky, začínají pociťovat Senát jako velké břemeno. Vývoj podle něj směřuje ke zjednodušování, zprůhledňování a posilování demokratických institucí, jelikož vyvstává potřeba určité operativnosti a pružnosti rozhodovacích procesů.</w:t>
      </w:r>
      <w:r w:rsidRPr="00805964">
        <w:rPr>
          <w:rStyle w:val="FootnoteCharacters"/>
        </w:rPr>
        <w:footnoteReference w:id="47"/>
      </w:r>
      <w:r w:rsidRPr="00805964">
        <w:t xml:space="preserve"> ,,</w:t>
      </w:r>
      <w:r w:rsidRPr="00805964">
        <w:rPr>
          <w:i/>
          <w:iCs/>
        </w:rPr>
        <w:t>Nejprve je touha po Senátu (strany chtějí mít hodně poslanců a kdekdo by byl rád senátorem) a pak se teprve hledají rozumné důvody pro jeho existenci</w:t>
      </w:r>
      <w:r w:rsidRPr="00805964">
        <w:t>.“</w:t>
      </w:r>
      <w:r w:rsidRPr="00805964">
        <w:rPr>
          <w:rStyle w:val="FootnoteCharacters"/>
        </w:rPr>
        <w:footnoteReference w:id="48"/>
      </w:r>
      <w:r w:rsidRPr="00805964">
        <w:t xml:space="preserve"> </w:t>
      </w:r>
    </w:p>
    <w:p w:rsidR="00572FD7" w:rsidRPr="00805964" w:rsidRDefault="00572FD7" w:rsidP="00572FD7">
      <w:pPr>
        <w:spacing w:line="360" w:lineRule="auto"/>
        <w:ind w:firstLine="708"/>
        <w:contextualSpacing/>
        <w:jc w:val="both"/>
      </w:pPr>
      <w:r w:rsidRPr="00805964">
        <w:t>Václav Havel chápal Senát jako nějakou náhražku spolkové rady, zastupující regiony. Jeho představou ustavení Senátu byla nepřímá volba krajskými zastupitelstvy. Senát by projednával pouze návrhy ústavních zákonů a návrhy těch zákonů, které se dotýkají územního členění, kompetencí regionálních samospráv, práv obcí atd. Dále měl Senát disponovat zákonodárnou iniciativou a oprávněním přijímat zákonná opatření v době rozpuštění Sněmovny.</w:t>
      </w:r>
      <w:r w:rsidRPr="00805964">
        <w:rPr>
          <w:rStyle w:val="FootnoteCharacters"/>
        </w:rPr>
        <w:t xml:space="preserve"> </w:t>
      </w:r>
      <w:r w:rsidRPr="00805964">
        <w:rPr>
          <w:rStyle w:val="FootnoteCharacters"/>
        </w:rPr>
        <w:footnoteReference w:id="49"/>
      </w:r>
      <w:r w:rsidRPr="00805964">
        <w:t xml:space="preserve"> Na tomto příkladu lze pozorovat, že Václav Havel si přál slabý Senát, což také odpovídalo jeho původní představě o jednokomorovém parlamentu a silném prezidentovi republiky. </w:t>
      </w:r>
    </w:p>
    <w:p w:rsidR="00572FD7" w:rsidRPr="00805964" w:rsidRDefault="00572FD7" w:rsidP="00572FD7">
      <w:pPr>
        <w:spacing w:line="360" w:lineRule="auto"/>
        <w:ind w:firstLine="708"/>
        <w:contextualSpacing/>
        <w:jc w:val="both"/>
      </w:pPr>
      <w:r w:rsidRPr="00805964">
        <w:t>Jednotná představa o druhé komoře však nepanovala ani v řadách vládní koalice. V průběhu prvních let existence České republiky bylo dokonce podáno několik návrhů na zrušení Senátu.</w:t>
      </w:r>
      <w:r w:rsidRPr="00805964">
        <w:rPr>
          <w:rStyle w:val="FootnoteCharacters"/>
        </w:rPr>
        <w:footnoteReference w:id="50"/>
      </w:r>
      <w:r w:rsidRPr="00805964">
        <w:t xml:space="preserve"> Senát byl odmítán zejména Sládkovými republikány a zčásti i sociálními demokraty. Debaty ohledně druhé komory vedly k představě, že by pro Senát měl být využit jiný volební systém něž pro Poslaneckou sněmovnu, a zároveň měla být zachována přímá volba. Co se týče počtu senátorů, těch mělo být 99 až 100, měl se uplatňovat parciální systém </w:t>
      </w:r>
      <w:r w:rsidRPr="00805964">
        <w:lastRenderedPageBreak/>
        <w:t>obměny a senátoři měli být starší 40 let. Představy ohledně délky volebního období se pohybovaly v rozmezí šest až osm let.</w:t>
      </w:r>
      <w:r w:rsidR="00037DF5">
        <w:rPr>
          <w:rStyle w:val="Znakapoznpodarou"/>
        </w:rPr>
        <w:footnoteReference w:id="51"/>
      </w:r>
      <w:r w:rsidRPr="00805964">
        <w:t xml:space="preserve"> Jan Kysela dodává další ideje: "</w:t>
      </w:r>
      <w:r w:rsidRPr="00805964">
        <w:rPr>
          <w:i/>
        </w:rPr>
        <w:t>Senát měl být nerozpustitelný, vybavený zákonodárnou iniciativou a právem projednávat všechny zákony,</w:t>
      </w:r>
      <w:r w:rsidR="00A70AAB">
        <w:rPr>
          <w:i/>
        </w:rPr>
        <w:t xml:space="preserve"> s </w:t>
      </w:r>
      <w:r w:rsidRPr="00805964">
        <w:rPr>
          <w:i/>
        </w:rPr>
        <w:t>výjimkou zákona o státním rozpočtu. Senát mohl v určité lhůtě návrh zákona schválit, zamítnout, nebo vrátit s pozměňovacími návrhy, konečné rozhodnutí však náleželo Poslanecké sněmovně.</w:t>
      </w:r>
      <w:r w:rsidRPr="00805964">
        <w:t>"</w:t>
      </w:r>
      <w:r w:rsidRPr="00805964">
        <w:rPr>
          <w:rStyle w:val="FootnoteCharacters"/>
        </w:rPr>
        <w:footnoteReference w:id="52"/>
      </w:r>
      <w:r w:rsidRPr="00805964">
        <w:t xml:space="preserve"> Občanská demokratická aliance chtěla Senát volený na 8 let, přičemž každé </w:t>
      </w:r>
      <w:r w:rsidR="00BA2710" w:rsidRPr="00805964">
        <w:br/>
        <w:t>čtyři</w:t>
      </w:r>
      <w:r w:rsidRPr="00805964">
        <w:t xml:space="preserve"> roky by se obměňovala polovina z celkem 50 až 150 senátorů volených většinovým volebním systémem v jednomandátových obvodech.</w:t>
      </w:r>
      <w:r w:rsidRPr="00805964">
        <w:rPr>
          <w:rStyle w:val="FootnoteCharacters"/>
        </w:rPr>
        <w:footnoteReference w:id="53"/>
      </w:r>
      <w:r w:rsidRPr="00805964">
        <w:t xml:space="preserve"> Zakotvení majoritního systému mělo sloužit k  odlišení obou komor, co do jejich politické struktury, různým způsobem výběru politické reprezentace. Z množství diskutovaných větši</w:t>
      </w:r>
      <w:r w:rsidR="00A70AAB">
        <w:t xml:space="preserve">nových systémů zvítězil nakonec </w:t>
      </w:r>
      <w:r w:rsidRPr="00805964">
        <w:t>v roce 1995 model absolutní většiny se dvěma postupujícími kandidáty do 2. kola při jejím nedosažení v 1. kole.</w:t>
      </w:r>
      <w:r w:rsidRPr="00805964">
        <w:rPr>
          <w:rStyle w:val="FootnoteCharacters"/>
        </w:rPr>
        <w:footnoteReference w:id="54"/>
      </w:r>
      <w:r w:rsidRPr="00805964">
        <w:t xml:space="preserve"> Počet senátorů byl stanoven na 81 s šestiletou délkou volebního období při zavedení systému parciální obměny, kdy je každé dva roky volena třetina senátorů. </w:t>
      </w:r>
    </w:p>
    <w:p w:rsidR="003914E5" w:rsidRPr="00805964" w:rsidRDefault="00572FD7" w:rsidP="00572FD7">
      <w:pPr>
        <w:spacing w:line="360" w:lineRule="auto"/>
        <w:ind w:firstLine="708"/>
        <w:contextualSpacing/>
        <w:jc w:val="both"/>
        <w:rPr>
          <w:rFonts w:cs="Times New Roman"/>
        </w:rPr>
      </w:pPr>
      <w:r w:rsidRPr="00805964">
        <w:t xml:space="preserve">Druhá komora parlamentu má v českých zemích jistou historii, která však byla poznamenána diskontinuitou v jejím fungování. Prvorepublikový senát byl ve svých pravomocích silnější než senát dnešní, avšak idea nadstranické instituce revidující legislativu nebyla naplněna. Je otázkou, do jaké míry bylo správné inspirovat se při vytváření Ústavy </w:t>
      </w:r>
      <w:r w:rsidR="00BA2710" w:rsidRPr="00805964">
        <w:br/>
      </w:r>
      <w:r w:rsidRPr="00805964">
        <w:t xml:space="preserve">z roku 1992 právě touto historickou zkušeností, a to právě vzhledem ke skutečnosti, že prvorepublikový senát nenaplnil očekávání s ním spojená a nedokázal obhájit své místo </w:t>
      </w:r>
      <w:r w:rsidR="00A70AAB">
        <w:t>v </w:t>
      </w:r>
      <w:r w:rsidRPr="00805964">
        <w:t>ústavním systému. Senát České republiky je konstruován jako komora revizní, avšak bez výrazných pravomocí, které by tuto úlohu dostatečně obhájily.</w:t>
      </w:r>
      <w:r w:rsidR="00052C15" w:rsidRPr="00805964">
        <w:rPr>
          <w:rFonts w:cs="Times New Roman"/>
        </w:rPr>
        <w:t xml:space="preserve"> </w:t>
      </w:r>
    </w:p>
    <w:p w:rsidR="00556EC2" w:rsidRPr="00805964" w:rsidRDefault="00556EC2" w:rsidP="00572FD7">
      <w:pPr>
        <w:spacing w:line="360" w:lineRule="auto"/>
        <w:contextualSpacing/>
        <w:jc w:val="both"/>
        <w:rPr>
          <w:rFonts w:cs="Times New Roman"/>
        </w:rPr>
      </w:pPr>
    </w:p>
    <w:p w:rsidR="00FC4729" w:rsidRPr="00805964" w:rsidRDefault="00EA23FB" w:rsidP="00572FD7">
      <w:pPr>
        <w:pStyle w:val="Nadpis2"/>
        <w:spacing w:line="360" w:lineRule="auto"/>
        <w:contextualSpacing/>
        <w:jc w:val="both"/>
        <w:rPr>
          <w:rFonts w:cs="Times New Roman"/>
        </w:rPr>
      </w:pPr>
      <w:bookmarkStart w:id="10" w:name="_Toc359918276"/>
      <w:r w:rsidRPr="00805964">
        <w:rPr>
          <w:rFonts w:cs="Times New Roman"/>
        </w:rPr>
        <w:t>1. 5</w:t>
      </w:r>
      <w:r w:rsidR="00C17005" w:rsidRPr="00805964">
        <w:rPr>
          <w:rFonts w:cs="Times New Roman"/>
        </w:rPr>
        <w:t xml:space="preserve"> </w:t>
      </w:r>
      <w:r w:rsidR="00C9109D" w:rsidRPr="00805964">
        <w:rPr>
          <w:rFonts w:cs="Times New Roman"/>
        </w:rPr>
        <w:t>Senát</w:t>
      </w:r>
      <w:r w:rsidR="0095784B" w:rsidRPr="00805964">
        <w:rPr>
          <w:rFonts w:cs="Times New Roman"/>
        </w:rPr>
        <w:t xml:space="preserve"> České republiky</w:t>
      </w:r>
      <w:r w:rsidR="00C9109D" w:rsidRPr="00805964">
        <w:rPr>
          <w:rFonts w:cs="Times New Roman"/>
        </w:rPr>
        <w:t xml:space="preserve"> v legislativním procesu</w:t>
      </w:r>
      <w:bookmarkEnd w:id="10"/>
    </w:p>
    <w:p w:rsidR="00C17005" w:rsidRPr="00805964" w:rsidRDefault="00C17005" w:rsidP="00572FD7">
      <w:pPr>
        <w:spacing w:line="360" w:lineRule="auto"/>
        <w:contextualSpacing/>
        <w:jc w:val="both"/>
        <w:rPr>
          <w:rFonts w:cs="Times New Roman"/>
        </w:rPr>
      </w:pPr>
    </w:p>
    <w:p w:rsidR="00572FD7" w:rsidRPr="00805964" w:rsidRDefault="00806EFC" w:rsidP="00572FD7">
      <w:pPr>
        <w:spacing w:line="360" w:lineRule="auto"/>
        <w:contextualSpacing/>
        <w:jc w:val="both"/>
      </w:pPr>
      <w:r w:rsidRPr="00805964">
        <w:rPr>
          <w:rFonts w:cs="Times New Roman"/>
        </w:rPr>
        <w:tab/>
      </w:r>
      <w:r w:rsidR="00572FD7" w:rsidRPr="00805964">
        <w:t>Předmětem výzkumu této diplomové práce je postaven</w:t>
      </w:r>
      <w:r w:rsidR="00A70AAB">
        <w:t xml:space="preserve">í a role Senátu České republiky </w:t>
      </w:r>
      <w:r w:rsidR="00572FD7" w:rsidRPr="00805964">
        <w:t xml:space="preserve">v ústavním pořádku ČR, konkrétně jeho postavení v legislativním procesu a výstupy jeho legislativní činnosti. Legislativní proces je jedním z klíčových ukazatelů postavení druhých komor v ústavních systémech zemí s dvoukomorovými parlamenty. I když se na českém území dvoukomorová struktura parlamentu objevila již dříve, je dnešní Senát ve srovnání </w:t>
      </w:r>
      <w:r w:rsidR="00A70AAB">
        <w:t>s </w:t>
      </w:r>
      <w:r w:rsidR="00572FD7" w:rsidRPr="00805964">
        <w:t xml:space="preserve">horními komorami parlamentů v etablovaných demokraciích západní Evropy institucí velmi </w:t>
      </w:r>
      <w:r w:rsidR="00572FD7" w:rsidRPr="00805964">
        <w:lastRenderedPageBreak/>
        <w:t xml:space="preserve">mladou. Cílem této práce je analyzovat a zhodnotit výstup legislativní činnosti českého senátu. Pokud však chceme tuto instituci hodnotit komplexně, je třeba více indikátorů hodnocení jeho existence a funkce. </w:t>
      </w:r>
    </w:p>
    <w:p w:rsidR="00572FD7" w:rsidRPr="00805964" w:rsidRDefault="00572FD7" w:rsidP="00572FD7">
      <w:pPr>
        <w:spacing w:line="360" w:lineRule="auto"/>
        <w:contextualSpacing/>
        <w:jc w:val="both"/>
      </w:pPr>
      <w:r w:rsidRPr="00805964">
        <w:tab/>
        <w:t xml:space="preserve">V této podkapitole proto bude role Senátu ČR v legislativním procesu stručně srovnána také se senáty většiny unitárních států západní Evropy. Některé části podkapitoly tak vychází z výsledků autorovi bakalářské práce, v níž se zabýval právě komparací rolí a sil horních komor parlamentů ve vybraných unitárních státech západní Evropy. Pro komparaci byly vybrány horní komory parlamentů v České republice, Francii, Irsku, Itálii, Nizozemsku </w:t>
      </w:r>
      <w:r w:rsidR="00A70AAB">
        <w:t>a </w:t>
      </w:r>
      <w:r w:rsidRPr="00805964">
        <w:t xml:space="preserve">Španělsku. </w:t>
      </w:r>
    </w:p>
    <w:p w:rsidR="00572FD7" w:rsidRPr="00805964" w:rsidRDefault="00572FD7" w:rsidP="00572FD7">
      <w:pPr>
        <w:spacing w:line="360" w:lineRule="auto"/>
        <w:contextualSpacing/>
        <w:jc w:val="both"/>
      </w:pPr>
      <w:r w:rsidRPr="00805964">
        <w:tab/>
        <w:t>Tímto způsobem bude představeno ústavní ukotvení přijímání legislativy, které poslouží jako výchozí bod pro analytickou část práce, v níž se budu zabývat reálným fungováním legislativního procesu a jeho výstupy. V případě, že není uvedeno jinak, vycházejí informace o českém Senátu v této podkapitole z Ústavy České republiky.</w:t>
      </w:r>
    </w:p>
    <w:p w:rsidR="00572FD7" w:rsidRPr="00805964" w:rsidRDefault="00572FD7" w:rsidP="00572FD7">
      <w:pPr>
        <w:spacing w:line="360" w:lineRule="auto"/>
        <w:contextualSpacing/>
        <w:jc w:val="both"/>
      </w:pPr>
      <w:r w:rsidRPr="00805964">
        <w:tab/>
        <w:t xml:space="preserve">Legislativní proces v České republice je upraven zejména články 39. až 52. Ústavy </w:t>
      </w:r>
      <w:r w:rsidR="00A70AAB">
        <w:t>a </w:t>
      </w:r>
      <w:r w:rsidRPr="00805964">
        <w:t xml:space="preserve">také zákonem č. 90/1995 Sb., o jednacím řádu Poslanecké sněmovny a zákonem </w:t>
      </w:r>
      <w:r w:rsidR="00A70AAB">
        <w:t>č. </w:t>
      </w:r>
      <w:r w:rsidRPr="00805964">
        <w:t xml:space="preserve">107/1999 Sb., o jednacím řádu Senátu. Celý proces lze rozdělit do čtyř hlavních fází, </w:t>
      </w:r>
      <w:r w:rsidR="00A70AAB">
        <w:t>z </w:t>
      </w:r>
      <w:r w:rsidRPr="00805964">
        <w:t xml:space="preserve">nichž první je zákonodárná iniciativa. Zákonodárnou iniciativou se rozumí oprávnění předložit návrh zákona a zároveň povinnost Parlamentu se tímto návrhem zabývat </w:t>
      </w:r>
      <w:r w:rsidR="00A70AAB">
        <w:t>a </w:t>
      </w:r>
      <w:r w:rsidRPr="00805964">
        <w:t>projednávat jej.</w:t>
      </w:r>
      <w:r w:rsidRPr="00805964">
        <w:rPr>
          <w:rStyle w:val="FootnoteCharacters"/>
        </w:rPr>
        <w:footnoteReference w:id="55"/>
      </w:r>
      <w:r w:rsidRPr="00805964">
        <w:t xml:space="preserve"> Návrhy zákonů se na základě čl. 41 Ústavy podávají Poslanecké sněmovně. Návrh zákona může podat poslanec, skupina poslanců, Senát, vláda nebo zastupitelstvo vyššího územního samosprávného celku. Jisté specifikum představují návrh zákona o státním rozpočtu a návrh státního závěrečného účtu, jelikož tyto návrhy předkládá vláda a projednává a usnáší se o nich jen Poslanecká sněmovna. Již v první fázi legislativního procesu je patrná slabší pozice Senátu oproti Poslanecké sněmovně. Důkazem toho je fakt, že zatímco v Poslanecké sněmovně je oprávněn iniciovat návrh zákona poslanec či skupina poslanců, Senát má tuto pravomoc pouze jako celek. Vzhled</w:t>
      </w:r>
      <w:r w:rsidR="00A70AAB">
        <w:t xml:space="preserve">em k rozmanitému složení Senátu </w:t>
      </w:r>
      <w:r w:rsidRPr="00805964">
        <w:t xml:space="preserve">z hlediska politické příslušnosti, tento fakt může v reálném fungování představovat zásadní překážku v iniciaci návrhů zákonů. </w:t>
      </w:r>
    </w:p>
    <w:p w:rsidR="00572FD7" w:rsidRPr="00805964" w:rsidRDefault="00572FD7" w:rsidP="00572FD7">
      <w:pPr>
        <w:spacing w:line="360" w:lineRule="auto"/>
        <w:contextualSpacing/>
        <w:jc w:val="both"/>
      </w:pPr>
      <w:r w:rsidRPr="00805964">
        <w:tab/>
        <w:t xml:space="preserve">Zákonodárná iniciativa může být jedním z ukazatelů role horní komory v ústavním systému analyzovaných zemí. Jak již bylo uvedeno, Senát České republiky disponuje zákonodárnou iniciativou pouze jako celek. Slabší postavení má jen nizozemský senát, který </w:t>
      </w:r>
      <w:r w:rsidRPr="00805964">
        <w:lastRenderedPageBreak/>
        <w:t>zákonodárnou iniciativu nemá vůbec. Ve Francii, Irsku, Itáli</w:t>
      </w:r>
      <w:r w:rsidR="00A70AAB">
        <w:t xml:space="preserve">i a Španělsku jsou horní komory </w:t>
      </w:r>
      <w:r w:rsidRPr="00805964">
        <w:t>v tomto ohledu postaveny na roveň komorám dolním.</w:t>
      </w:r>
      <w:r w:rsidRPr="00805964">
        <w:rPr>
          <w:rStyle w:val="FootnoteCharacters"/>
        </w:rPr>
        <w:footnoteReference w:id="56"/>
      </w:r>
    </w:p>
    <w:p w:rsidR="00572FD7" w:rsidRPr="00805964" w:rsidRDefault="00572FD7" w:rsidP="00572FD7">
      <w:pPr>
        <w:spacing w:line="360" w:lineRule="auto"/>
        <w:contextualSpacing/>
        <w:jc w:val="both"/>
      </w:pPr>
      <w:r w:rsidRPr="00805964">
        <w:tab/>
        <w:t>Postup přípravy návrhů zákonů podávaných Senátem Poslanecké sněmovně a jedn</w:t>
      </w:r>
      <w:r w:rsidR="00A70AAB">
        <w:t xml:space="preserve">ání </w:t>
      </w:r>
      <w:r w:rsidRPr="00805964">
        <w:t>o nich upravuje zákon č. 107/1999 Sb. o jednacím řádu Senátu. Konkrétně se jedná o § 127 až § 131 tohoto zákona, kde je stanoveno, že návrh zákona může k projednání v Senátu navrhnout senátor, skupina senátorů, výbor nebo komise Senátu. Tento návrh je předložen předsedovi Senátu, který jej postupuje organizačnímu výboru a neprodleně jej rozesílá všem senátorům a senátorským klubům. Návrh senátního návrhu z</w:t>
      </w:r>
      <w:r w:rsidR="00A70AAB">
        <w:t xml:space="preserve">ákona poté projde prvním čtením </w:t>
      </w:r>
      <w:r w:rsidRPr="00805964">
        <w:t xml:space="preserve">v Senátu, a v případě, že není podán návrh na jeho zamítnutí či vrácení k přepracování, je přikázán výborům k tomu určeným. Lhůta k projednání návrhu ve výborech je 60 dnů. Tato lhůta může být za Ústavou stanovených podmínek  Senátem zkrácena či prodloužena, a to nejvýše o 30 dnů. Návrh senátního návrhu zákona je poté zařazen na pořad schůze Senátu </w:t>
      </w:r>
      <w:r w:rsidR="00A70AAB">
        <w:t>a v </w:t>
      </w:r>
      <w:r w:rsidRPr="00805964">
        <w:t xml:space="preserve">případě, že je schválen je podán jako iniciativní návrh Poslanecké sněmovně. </w:t>
      </w:r>
    </w:p>
    <w:p w:rsidR="00572FD7" w:rsidRPr="00805964" w:rsidRDefault="00572FD7" w:rsidP="00572FD7">
      <w:pPr>
        <w:spacing w:line="360" w:lineRule="auto"/>
        <w:contextualSpacing/>
        <w:jc w:val="both"/>
      </w:pPr>
      <w:r w:rsidRPr="00805964">
        <w:tab/>
        <w:t xml:space="preserve">Druhou a třetí fází je projednání návrhu zákona a jeho schválení či zamítnutí. Projednání a schvalování návrhů zákonů se odehrává v každé z komor zvlášť a je upraveno Ústavou či jednacími řády jednotlivých komor Parlamentu. Zákon č. 90/1995 Sb., o jednacím řádu Poslanecké sněmovny zavedl k projednání návrhů zákonů trojí čtení. Průběh jednotlivých čtení je předmětem § 90 až § 96 tohoto zákona. Návrh zákona, se kterým Poslanecká sněmovna vyslovila souhlas, postoupí Poslanecká sněmovna Senátu a učiní tak bez zbytečného odkladu. Senát návrh zákona projedná a usnese se k němu do 30 dnů od jeho postoupení. Senát má několik možností, jak s návrhem zákona naložit. Senát může návrh zákona schválit, zamítnout nebo vrátit Poslanecké sněmovně s pozměňovacími návrhy anebo vyjádří vůli nezabývat se jím. V případě, že se Senát nevyjádří ve lhůtě 30 dnů od postoupení návrhu zákona, platí, že je návrh přijat. </w:t>
      </w:r>
    </w:p>
    <w:p w:rsidR="00572FD7" w:rsidRPr="00805964" w:rsidRDefault="00572FD7" w:rsidP="00572FD7">
      <w:pPr>
        <w:spacing w:after="0" w:line="360" w:lineRule="auto"/>
        <w:contextualSpacing/>
        <w:jc w:val="both"/>
      </w:pPr>
      <w:r w:rsidRPr="00805964">
        <w:tab/>
        <w:t xml:space="preserve">Čl. 47 Ústavy definuje různé situace, k nimž může v průběhu schvalování zákonů dojít. Jestliže Senát návrh zákona zamítne, hlasuje o něm Poslanecká sněmovna znovu a návrh zákona je přijat, pokud je schválen nadpoloviční většinou všech poslanců. Jestliže Senát návrh zákona vrátí Poslanecké sněmovně s pozměňovacími návrhy, hlasuje o něm sněmovna ve znění schváleném Senátem a může jej takto schválit či neschválit. V tomto případě však Poslanecká sněmovna na rozdíl od některých jiných dolních komor přijímá či zamítá tyto pozměňovací návrhy jako celek a nemůže tak schválit pouze některé z nich. Pokud Poslanecká sněmovna neschválí návrh zákona ve znění schváleném v Senátu, hlasuje znovu </w:t>
      </w:r>
      <w:r w:rsidR="00A70AAB">
        <w:lastRenderedPageBreak/>
        <w:t>o </w:t>
      </w:r>
      <w:r w:rsidRPr="00805964">
        <w:t xml:space="preserve">návrhu zákona v původním znění, ve kterém byl Senátu podstoupen. Opět je návrh zákona přijat nadpoloviční většinou všech poslanců. I zde se tedy projevuje slabší postavení Senátu vůči Poslanecké sněmovně, jelikož k přehlasování návrhu zákona obsahujícího pozměňovací návrhy Senátu stačí pouze hlasy nadpoloviční většiny všech poslanců, tedy prostá většina. Přijaté zákony jsou poté podepsány předsedou Poslanecké </w:t>
      </w:r>
      <w:r w:rsidR="00A70AAB">
        <w:t xml:space="preserve">sněmovny, prezidentem republiky </w:t>
      </w:r>
      <w:r w:rsidRPr="00805964">
        <w:t>a předsedou vlády a následně vyhlášeny způsobem stanoveným zákonem.</w:t>
      </w:r>
      <w:r w:rsidRPr="00805964">
        <w:br/>
      </w:r>
      <w:r w:rsidRPr="00805964">
        <w:tab/>
        <w:t>Při komparaci zjistíme, že v České republice, Irsku, Nizozemsku a Španělsku jsou návrhy zákonů přednostně projednávány na půdě dolních komor, ve Francii a Itálii je to jinak.</w:t>
      </w:r>
      <w:r w:rsidRPr="00805964">
        <w:rPr>
          <w:rStyle w:val="FootnoteCharacters"/>
        </w:rPr>
        <w:footnoteReference w:id="57"/>
      </w:r>
      <w:r w:rsidRPr="00805964">
        <w:t xml:space="preserve"> Francouzská ústava stanovuje, že návrhy zákonů lze podávat komorám v závislosti na typu těchto zákonů. Horní komora má výsadní postavení při projednávání návrhů zákonů, které se zabývají reprezentací francouzských občanů žijících v zahraničí nebo územní organizací. V těchto případech je návrh zákona předložen nejdříve francouzskému senátu.</w:t>
      </w:r>
      <w:r w:rsidRPr="00805964">
        <w:rPr>
          <w:rStyle w:val="FootnoteCharacters"/>
        </w:rPr>
        <w:footnoteReference w:id="58"/>
      </w:r>
      <w:r w:rsidRPr="00805964">
        <w:t xml:space="preserve"> Vzhledem ke skutečnosti, že v Itálii se nachází tzv. dokonalý </w:t>
      </w:r>
      <w:proofErr w:type="spellStart"/>
      <w:r w:rsidRPr="00805964">
        <w:t>bikameralismus</w:t>
      </w:r>
      <w:proofErr w:type="spellEnd"/>
      <w:r w:rsidRPr="00805964">
        <w:t>, kdy je postavení obou komor parlamentu naprosto rovnocenné, mohou být návrhy zákonů přednostně předkládány, kterékoliv komoře.</w:t>
      </w:r>
      <w:r w:rsidRPr="00805964">
        <w:rPr>
          <w:rStyle w:val="FootnoteCharacters"/>
        </w:rPr>
        <w:footnoteReference w:id="59"/>
      </w:r>
      <w:r w:rsidRPr="00805964">
        <w:t xml:space="preserve"> </w:t>
      </w:r>
    </w:p>
    <w:p w:rsidR="00572FD7" w:rsidRPr="00805964" w:rsidRDefault="00572FD7" w:rsidP="00572FD7">
      <w:pPr>
        <w:spacing w:after="0" w:line="360" w:lineRule="auto"/>
        <w:contextualSpacing/>
        <w:jc w:val="both"/>
      </w:pPr>
      <w:r w:rsidRPr="00805964">
        <w:tab/>
        <w:t>Jedním z hojně využívaných nástrojů při nedosažení shody je tzv. člunek.</w:t>
      </w:r>
      <w:r w:rsidRPr="00805964">
        <w:rPr>
          <w:rStyle w:val="FootnoteCharacters"/>
        </w:rPr>
        <w:footnoteReference w:id="60"/>
      </w:r>
      <w:r w:rsidRPr="00805964">
        <w:t xml:space="preserve"> Jedná se </w:t>
      </w:r>
      <w:r w:rsidR="00F34A18">
        <w:br/>
      </w:r>
      <w:r w:rsidRPr="00805964">
        <w:t xml:space="preserve">o proces, ve kterém schválený návrh zákona postupuje jedna komora druhé, a v případě, že je v jedné z komor podán pozměňovací návrh, je návrh zákona vrácen do komory, která o něm jednala první. Člunek může být časově omezený, jako je tomu např. ve Francii, a nebo časově neomezený, což je případ Itálie, kde jsou si komory parlamentu rovnocenné a musejí se tedy shodnout. Ve Francii může být člunek vládou zastaven po dvou čteních v obou komorách </w:t>
      </w:r>
      <w:r w:rsidR="00A70AAB">
        <w:t>a </w:t>
      </w:r>
      <w:r w:rsidRPr="00805964">
        <w:t>poté je svolán dohodovací výbor, který má za úkol najít kompromisní řešení. V případě, že se tak nestane, může francouzská vláda přistoupit k novému čtení v obou komorách parlamentu a poté požádat dolní komoru, aby o hlasovala o textu předloženém ve finálním čtení. V této fázi má francouzská dolní komora možnost zákon přijmout a senát do tohoto procesu již nemůže zasáhnout.</w:t>
      </w:r>
      <w:r w:rsidRPr="00805964">
        <w:rPr>
          <w:rStyle w:val="FootnoteCharacters"/>
        </w:rPr>
        <w:footnoteReference w:id="61"/>
      </w:r>
      <w:r w:rsidRPr="00805964">
        <w:t xml:space="preserve"> </w:t>
      </w:r>
    </w:p>
    <w:p w:rsidR="00567A0C" w:rsidRPr="00805964" w:rsidRDefault="00572FD7" w:rsidP="00572FD7">
      <w:pPr>
        <w:spacing w:line="360" w:lineRule="auto"/>
        <w:contextualSpacing/>
        <w:jc w:val="both"/>
        <w:rPr>
          <w:rFonts w:cs="Times New Roman"/>
          <w:i/>
          <w:szCs w:val="24"/>
        </w:rPr>
      </w:pPr>
      <w:r w:rsidRPr="00805964">
        <w:tab/>
        <w:t xml:space="preserve">Nizozemský senát nemá právo podávat pozměňovací návrhy a může tak zákon pouze schválit či zamítnout. V tomto procesu je však dále </w:t>
      </w:r>
      <w:proofErr w:type="spellStart"/>
      <w:r w:rsidRPr="00805964">
        <w:t>nepřehlasovatelný</w:t>
      </w:r>
      <w:proofErr w:type="spellEnd"/>
      <w:r w:rsidRPr="00805964">
        <w:t xml:space="preserve">, a proto zamítnutí </w:t>
      </w:r>
      <w:r w:rsidR="00A70AAB">
        <w:lastRenderedPageBreak/>
        <w:t>z </w:t>
      </w:r>
      <w:r w:rsidRPr="00805964">
        <w:t>jeho strany znamená konec legislativního procesu.</w:t>
      </w:r>
      <w:r w:rsidRPr="00805964">
        <w:rPr>
          <w:rStyle w:val="FootnoteCharacters"/>
        </w:rPr>
        <w:footnoteReference w:id="62"/>
      </w:r>
      <w:r w:rsidRPr="00805964">
        <w:t xml:space="preserve"> V Irsku a Španělsku jsou senáty stejně jako v České republice </w:t>
      </w:r>
      <w:proofErr w:type="spellStart"/>
      <w:r w:rsidRPr="00805964">
        <w:t>přehlasovatelné</w:t>
      </w:r>
      <w:proofErr w:type="spellEnd"/>
      <w:r w:rsidRPr="00805964">
        <w:t>, ovšem s tím rozdílem, že dolní komory v těchto dvou zemích nemusejí přijímat jejich pozměňovací návrhy pouze jako celek, jak je tomu v případě ČR, ale mohou schválit pouze část těchto pozměňovacích návrhů nebo je zamítnout.</w:t>
      </w:r>
      <w:r w:rsidRPr="00805964">
        <w:rPr>
          <w:rStyle w:val="FootnoteCharacters"/>
        </w:rPr>
        <w:footnoteReference w:id="63"/>
      </w:r>
      <w:r w:rsidRPr="00805964">
        <w:t xml:space="preserve"> Ve Španělsku je také k přehlasování horní komory potřebná absolutní většina hlasů všech poslanců, což ilustruje silnější postavení španělské horní komory vůči senátům v Irsku </w:t>
      </w:r>
      <w:r w:rsidR="00A70AAB">
        <w:t>a </w:t>
      </w:r>
      <w:r w:rsidRPr="00805964">
        <w:t>České republice.</w:t>
      </w:r>
      <w:r w:rsidRPr="00805964">
        <w:rPr>
          <w:rStyle w:val="FootnoteCharacters"/>
        </w:rPr>
        <w:footnoteReference w:id="64"/>
      </w:r>
      <w:r w:rsidRPr="00805964">
        <w:t xml:space="preserve"> Jan Kysela k tomuto tématu dodává, že:</w:t>
      </w:r>
      <w:r w:rsidRPr="00805964">
        <w:rPr>
          <w:szCs w:val="24"/>
        </w:rPr>
        <w:t xml:space="preserve"> "</w:t>
      </w:r>
      <w:r w:rsidRPr="00805964">
        <w:rPr>
          <w:i/>
          <w:szCs w:val="24"/>
        </w:rPr>
        <w:t>Ve srovnání např. s britskou Sněmovnou lordů, která bývá označována za slabou druhou komoru, je Senát vybaven méně efektivními nástroji. Britští peerové mohou odložit přijetí zákona o rok, resp. o třináct měsíců, formulují často desítky i stovky pozměňovacích návrhů, které poslanci Dolní sněmovny projednávají jednotlivě."</w:t>
      </w:r>
      <w:r w:rsidRPr="00805964">
        <w:rPr>
          <w:rStyle w:val="FootnoteCharacters"/>
          <w:i/>
          <w:szCs w:val="24"/>
        </w:rPr>
        <w:footnoteReference w:id="65"/>
      </w:r>
    </w:p>
    <w:p w:rsidR="00567A0C" w:rsidRPr="00805964" w:rsidRDefault="00567A0C" w:rsidP="00572FD7">
      <w:pPr>
        <w:spacing w:after="0" w:line="360" w:lineRule="auto"/>
        <w:contextualSpacing/>
        <w:jc w:val="both"/>
        <w:rPr>
          <w:rFonts w:cs="Times New Roman"/>
          <w:i/>
          <w:szCs w:val="24"/>
        </w:rPr>
      </w:pPr>
    </w:p>
    <w:p w:rsidR="00567A0C" w:rsidRPr="00805964" w:rsidRDefault="00567A0C" w:rsidP="00572FD7">
      <w:pPr>
        <w:spacing w:after="0" w:line="360" w:lineRule="auto"/>
        <w:contextualSpacing/>
        <w:jc w:val="center"/>
        <w:rPr>
          <w:rFonts w:cs="Times New Roman"/>
          <w:b/>
          <w:sz w:val="22"/>
          <w:u w:val="single"/>
        </w:rPr>
      </w:pPr>
      <w:r w:rsidRPr="00805964">
        <w:rPr>
          <w:rFonts w:cs="Times New Roman"/>
          <w:b/>
          <w:sz w:val="22"/>
          <w:u w:val="single"/>
        </w:rPr>
        <w:t>Obrázek č.1: Legislativní proces v ČR - běžné zákony</w:t>
      </w:r>
    </w:p>
    <w:p w:rsidR="00567A0C" w:rsidRPr="00805964" w:rsidRDefault="00567A0C" w:rsidP="00572FD7">
      <w:pPr>
        <w:spacing w:after="0" w:line="360" w:lineRule="auto"/>
        <w:contextualSpacing/>
        <w:jc w:val="center"/>
        <w:rPr>
          <w:rFonts w:cs="Times New Roman"/>
          <w:b/>
          <w:sz w:val="22"/>
        </w:rPr>
      </w:pPr>
    </w:p>
    <w:p w:rsidR="005639FC" w:rsidRPr="00805964" w:rsidRDefault="005639FC" w:rsidP="00572FD7">
      <w:pPr>
        <w:spacing w:after="0" w:line="360" w:lineRule="auto"/>
        <w:contextualSpacing/>
        <w:jc w:val="both"/>
        <w:rPr>
          <w:rFonts w:cs="Times New Roman"/>
        </w:rPr>
      </w:pPr>
      <w:r w:rsidRPr="00805964">
        <w:rPr>
          <w:rFonts w:cs="Times New Roman"/>
          <w:noProof/>
          <w:lang w:eastAsia="cs-CZ"/>
        </w:rPr>
        <w:drawing>
          <wp:inline distT="0" distB="0" distL="0" distR="0">
            <wp:extent cx="5753100" cy="3438525"/>
            <wp:effectExtent l="1905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753100" cy="3438525"/>
                    </a:xfrm>
                    <a:prstGeom prst="rect">
                      <a:avLst/>
                    </a:prstGeom>
                    <a:noFill/>
                    <a:ln w="9525">
                      <a:noFill/>
                      <a:miter lim="800000"/>
                      <a:headEnd/>
                      <a:tailEnd/>
                    </a:ln>
                  </pic:spPr>
                </pic:pic>
              </a:graphicData>
            </a:graphic>
          </wp:inline>
        </w:drawing>
      </w:r>
    </w:p>
    <w:p w:rsidR="005639FC" w:rsidRPr="00805964" w:rsidRDefault="005639FC" w:rsidP="00572FD7">
      <w:pPr>
        <w:spacing w:line="360" w:lineRule="auto"/>
        <w:contextualSpacing/>
        <w:jc w:val="center"/>
        <w:rPr>
          <w:i/>
          <w:sz w:val="22"/>
        </w:rPr>
      </w:pPr>
      <w:r w:rsidRPr="00805964">
        <w:rPr>
          <w:rFonts w:cs="Times New Roman"/>
          <w:i/>
          <w:sz w:val="22"/>
        </w:rPr>
        <w:t>Zdroj:</w:t>
      </w:r>
      <w:r w:rsidRPr="00805964">
        <w:rPr>
          <w:i/>
          <w:sz w:val="22"/>
        </w:rPr>
        <w:t xml:space="preserve"> </w:t>
      </w:r>
      <w:hyperlink r:id="rId14" w:history="1">
        <w:r w:rsidRPr="00805964">
          <w:rPr>
            <w:rStyle w:val="Hypertextovodkaz"/>
            <w:i/>
            <w:color w:val="auto"/>
            <w:sz w:val="22"/>
          </w:rPr>
          <w:t>http://www.psp.cz/kps/pi/gi/schema_ustavni_zakony.pdf</w:t>
        </w:r>
      </w:hyperlink>
    </w:p>
    <w:p w:rsidR="005639FC" w:rsidRPr="00805964" w:rsidRDefault="005639FC" w:rsidP="00572FD7">
      <w:pPr>
        <w:spacing w:after="0" w:line="360" w:lineRule="auto"/>
        <w:contextualSpacing/>
        <w:jc w:val="both"/>
        <w:rPr>
          <w:rFonts w:cs="Times New Roman"/>
        </w:rPr>
      </w:pPr>
    </w:p>
    <w:p w:rsidR="00572FD7" w:rsidRPr="00805964" w:rsidRDefault="006B6932" w:rsidP="00572FD7">
      <w:pPr>
        <w:spacing w:line="360" w:lineRule="auto"/>
        <w:contextualSpacing/>
        <w:jc w:val="both"/>
      </w:pPr>
      <w:r w:rsidRPr="00805964">
        <w:rPr>
          <w:rFonts w:cs="Times New Roman"/>
        </w:rPr>
        <w:tab/>
      </w:r>
      <w:r w:rsidR="00572FD7" w:rsidRPr="00805964">
        <w:t>Výše popsaný legislativní proces v České republice se nevztahuje na již zmíněné návrhy zákonů o státním rozpočtu a státním závěrečném účtu, které Senát vůbec neprojednává. Ústavní systém ČR je založen na principu kontroly vlády Poslaneckou sněmovnou a nikoliv Senátem. Státní rozpočet je považován za nejdůležitější nástroj státní politiky a je tedy i výrazem odpovědnosti vlády za správu státu.</w:t>
      </w:r>
      <w:r w:rsidR="00572FD7" w:rsidRPr="00805964">
        <w:rPr>
          <w:rStyle w:val="FootnoteCharacters"/>
        </w:rPr>
        <w:footnoteReference w:id="66"/>
      </w:r>
      <w:r w:rsidR="00572FD7" w:rsidRPr="00805964">
        <w:t xml:space="preserve"> V porovnání s ostatními analyzovanými zeměmi tak má v tomto ohledu česká horní komora nejslabší postavení. Rovnocenné postavení obou komor parlamentu v Itálii nerozlišuje běžné zákony od finančních či ústavních a je zde tedy vždy dodržováno stejné pravidlo, a sice, že zákon musí být schválen oběma komorami.</w:t>
      </w:r>
      <w:r w:rsidR="00572FD7" w:rsidRPr="00805964">
        <w:rPr>
          <w:rStyle w:val="FootnoteCharacters"/>
        </w:rPr>
        <w:footnoteReference w:id="67"/>
      </w:r>
      <w:r w:rsidR="00572FD7" w:rsidRPr="00805964">
        <w:t xml:space="preserve"> Druhé nejsilnější postavení v procesu přijímání finančních zákonů má nizozemská horní komora, která má stejně jako u běžných zákonů i v tomto případě právo veta. Ve Francii a Španělsku jsou finanční zákony projednávány v obou komorách parlamentu, avšak horní komory mohou být přehlasovány. Irský senát má pouze pravomoc psát doporučení týkající se projednávaných finančních zákonů. Tato doporučení však dolní komora nemusí brát v potaz a přihlížet k nim.</w:t>
      </w:r>
      <w:r w:rsidR="00572FD7" w:rsidRPr="00805964">
        <w:rPr>
          <w:rStyle w:val="FootnoteCharacters"/>
        </w:rPr>
        <w:footnoteReference w:id="68"/>
      </w:r>
      <w:r w:rsidR="00572FD7" w:rsidRPr="00805964">
        <w:t xml:space="preserve"> Český Senát je tak jedinou horní komorou, která nedisponuje možností projednávat finanční zákony a zasahovat do jejich přijímání.</w:t>
      </w:r>
    </w:p>
    <w:p w:rsidR="00567A0C" w:rsidRPr="00F34A18" w:rsidRDefault="00572FD7" w:rsidP="00572FD7">
      <w:pPr>
        <w:spacing w:line="360" w:lineRule="auto"/>
        <w:contextualSpacing/>
        <w:jc w:val="both"/>
        <w:rPr>
          <w:b/>
          <w:sz w:val="22"/>
          <w:u w:val="single"/>
        </w:rPr>
      </w:pPr>
      <w:r w:rsidRPr="00805964">
        <w:tab/>
        <w:t xml:space="preserve">Druhým případem, na nějž se výše uvedený legislativní postup nevztahuje, je schvalování návrhů ústavních zákonů, kdy jsou si obě komory Parlamentu rovny a Senát nemůže být Poslaneckou sněmovnou přehlasován. Senát u ústavních zákonů není vázán 30 denní lhůtou k vyjádření, a zákon tedy bez jeho souhlasu nemůže být přijat. Jediným omezením je pro Senát nemožnost zákonem se nezabývat, jelikož každý ústavní zákon </w:t>
      </w:r>
      <w:r w:rsidR="00A70AAB">
        <w:t>a i </w:t>
      </w:r>
      <w:r w:rsidRPr="00805964">
        <w:t xml:space="preserve">další typy zákonů uvedené v čl. 40 Ústavy musí být Senátem projednány. Jiří </w:t>
      </w:r>
      <w:proofErr w:type="spellStart"/>
      <w:r w:rsidRPr="00805964">
        <w:t>Hřebejk</w:t>
      </w:r>
      <w:proofErr w:type="spellEnd"/>
      <w:r w:rsidRPr="00805964">
        <w:t xml:space="preserve"> říká, že je zde ovšem také nemožnost formulovat pozměňovací návrhy a tak Senát s návrhem ústavního zákona v předložené verzi souhlasí a zákon je přijat, nebo nesouhlasí a zákon je tak odmítnut.</w:t>
      </w:r>
      <w:r w:rsidRPr="00805964">
        <w:rPr>
          <w:rStyle w:val="FootnoteCharacters"/>
        </w:rPr>
        <w:footnoteReference w:id="69"/>
      </w:r>
      <w:r w:rsidRPr="00805964">
        <w:t xml:space="preserve"> Toto tvrzení však nelze považovat za pravdivé, jelikož </w:t>
      </w:r>
      <w:r w:rsidRPr="00805964">
        <w:rPr>
          <w:szCs w:val="24"/>
          <w:shd w:val="clear" w:color="auto" w:fill="FFFFFF"/>
        </w:rPr>
        <w:t>Senát může návrh takového zákona vrátit Poslanecké sněmovně s pozměňovacími návrhy, protože stále ještě zůstává možnost so</w:t>
      </w:r>
      <w:r w:rsidR="000713F0" w:rsidRPr="00805964">
        <w:rPr>
          <w:szCs w:val="24"/>
          <w:shd w:val="clear" w:color="auto" w:fill="FFFFFF"/>
        </w:rPr>
        <w:t xml:space="preserve">uhlasného usnesení obou komor – </w:t>
      </w:r>
      <w:r w:rsidRPr="00805964">
        <w:rPr>
          <w:szCs w:val="24"/>
          <w:shd w:val="clear" w:color="auto" w:fill="FFFFFF"/>
        </w:rPr>
        <w:t>a to v případě, že Poslanecká sněmovna přijme vrácený návrh zákona ve znění pozměňovacích návrhů Senátu.</w:t>
      </w:r>
      <w:r w:rsidRPr="00805964">
        <w:rPr>
          <w:rStyle w:val="apple-converted-space"/>
          <w:szCs w:val="24"/>
          <w:shd w:val="clear" w:color="auto" w:fill="FFFFFF"/>
        </w:rPr>
        <w:t> </w:t>
      </w:r>
      <w:r w:rsidRPr="00805964">
        <w:rPr>
          <w:szCs w:val="24"/>
          <w:shd w:val="clear" w:color="auto" w:fill="FFFFFF"/>
        </w:rPr>
        <w:t xml:space="preserve">Pokud nepřijme </w:t>
      </w:r>
      <w:r w:rsidRPr="00805964">
        <w:rPr>
          <w:szCs w:val="24"/>
          <w:shd w:val="clear" w:color="auto" w:fill="FFFFFF"/>
        </w:rPr>
        <w:lastRenderedPageBreak/>
        <w:t xml:space="preserve">Sněmovna návrh ústavního zákona v Senátem pozměněném znění, není návrh zákona přijat </w:t>
      </w:r>
      <w:r w:rsidR="00A70AAB">
        <w:rPr>
          <w:szCs w:val="24"/>
          <w:shd w:val="clear" w:color="auto" w:fill="FFFFFF"/>
        </w:rPr>
        <w:t>a </w:t>
      </w:r>
      <w:r w:rsidRPr="00805964">
        <w:rPr>
          <w:szCs w:val="24"/>
          <w:shd w:val="clear" w:color="auto" w:fill="FFFFFF"/>
        </w:rPr>
        <w:t>jeho projednávání končí.</w:t>
      </w:r>
      <w:r w:rsidRPr="00805964">
        <w:rPr>
          <w:rStyle w:val="FootnoteCharacters"/>
          <w:szCs w:val="24"/>
          <w:shd w:val="clear" w:color="auto" w:fill="FFFFFF"/>
        </w:rPr>
        <w:footnoteReference w:id="70"/>
      </w:r>
    </w:p>
    <w:p w:rsidR="00567A0C" w:rsidRPr="00805964" w:rsidRDefault="00567A0C" w:rsidP="00572FD7">
      <w:pPr>
        <w:spacing w:line="360" w:lineRule="auto"/>
        <w:contextualSpacing/>
        <w:jc w:val="center"/>
        <w:rPr>
          <w:rFonts w:cs="Times New Roman"/>
          <w:b/>
          <w:sz w:val="22"/>
          <w:u w:val="single"/>
        </w:rPr>
      </w:pPr>
      <w:r w:rsidRPr="00805964">
        <w:rPr>
          <w:rFonts w:cs="Times New Roman"/>
          <w:b/>
          <w:sz w:val="22"/>
          <w:u w:val="single"/>
        </w:rPr>
        <w:t>Obrázek č. 2: Legislativní proces - ústavní zákony</w:t>
      </w:r>
    </w:p>
    <w:p w:rsidR="00567A0C" w:rsidRPr="00805964" w:rsidRDefault="00567A0C" w:rsidP="00572FD7">
      <w:pPr>
        <w:spacing w:line="360" w:lineRule="auto"/>
        <w:contextualSpacing/>
        <w:jc w:val="both"/>
        <w:rPr>
          <w:rFonts w:cs="Times New Roman"/>
          <w:szCs w:val="24"/>
          <w:shd w:val="clear" w:color="auto" w:fill="FFFFFF"/>
        </w:rPr>
      </w:pPr>
    </w:p>
    <w:p w:rsidR="005639FC" w:rsidRPr="00805964" w:rsidRDefault="005639FC" w:rsidP="00572FD7">
      <w:pPr>
        <w:spacing w:line="360" w:lineRule="auto"/>
        <w:contextualSpacing/>
        <w:jc w:val="both"/>
        <w:rPr>
          <w:rFonts w:cs="Times New Roman"/>
        </w:rPr>
      </w:pPr>
      <w:r w:rsidRPr="00805964">
        <w:rPr>
          <w:rFonts w:cs="Times New Roman"/>
          <w:noProof/>
          <w:lang w:eastAsia="cs-CZ"/>
        </w:rPr>
        <w:drawing>
          <wp:inline distT="0" distB="0" distL="0" distR="0">
            <wp:extent cx="5762625" cy="3581400"/>
            <wp:effectExtent l="19050" t="0" r="9525"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762625" cy="3581400"/>
                    </a:xfrm>
                    <a:prstGeom prst="rect">
                      <a:avLst/>
                    </a:prstGeom>
                    <a:noFill/>
                    <a:ln w="9525">
                      <a:noFill/>
                      <a:miter lim="800000"/>
                      <a:headEnd/>
                      <a:tailEnd/>
                    </a:ln>
                  </pic:spPr>
                </pic:pic>
              </a:graphicData>
            </a:graphic>
          </wp:inline>
        </w:drawing>
      </w:r>
    </w:p>
    <w:p w:rsidR="005639FC" w:rsidRPr="00805964" w:rsidRDefault="005639FC" w:rsidP="00572FD7">
      <w:pPr>
        <w:spacing w:line="360" w:lineRule="auto"/>
        <w:contextualSpacing/>
        <w:jc w:val="center"/>
        <w:rPr>
          <w:i/>
          <w:sz w:val="22"/>
        </w:rPr>
      </w:pPr>
      <w:r w:rsidRPr="00805964">
        <w:rPr>
          <w:rFonts w:cs="Times New Roman"/>
          <w:i/>
          <w:sz w:val="22"/>
        </w:rPr>
        <w:t>Zdroj:</w:t>
      </w:r>
      <w:r w:rsidRPr="00805964">
        <w:rPr>
          <w:i/>
          <w:sz w:val="22"/>
        </w:rPr>
        <w:t xml:space="preserve"> </w:t>
      </w:r>
      <w:hyperlink r:id="rId16" w:history="1">
        <w:r w:rsidRPr="00805964">
          <w:rPr>
            <w:rStyle w:val="Hypertextovodkaz"/>
            <w:i/>
            <w:color w:val="auto"/>
            <w:sz w:val="22"/>
          </w:rPr>
          <w:t>http://www.psp.cz/kps/pi/gi/schema_ustavni_zakony.pdf</w:t>
        </w:r>
      </w:hyperlink>
    </w:p>
    <w:p w:rsidR="003032FB" w:rsidRPr="00805964" w:rsidRDefault="003032FB" w:rsidP="00572FD7">
      <w:pPr>
        <w:spacing w:line="360" w:lineRule="auto"/>
        <w:contextualSpacing/>
        <w:jc w:val="both"/>
        <w:rPr>
          <w:rFonts w:cs="Times New Roman"/>
          <w:szCs w:val="24"/>
        </w:rPr>
      </w:pPr>
    </w:p>
    <w:p w:rsidR="00572FD7" w:rsidRPr="00805964" w:rsidRDefault="003032FB" w:rsidP="00572FD7">
      <w:pPr>
        <w:spacing w:line="360" w:lineRule="auto"/>
        <w:contextualSpacing/>
        <w:jc w:val="both"/>
      </w:pPr>
      <w:r w:rsidRPr="00805964">
        <w:rPr>
          <w:rFonts w:cs="Times New Roman"/>
        </w:rPr>
        <w:tab/>
      </w:r>
      <w:r w:rsidR="00572FD7" w:rsidRPr="00805964">
        <w:t xml:space="preserve">Česká a francouzská ústava se v porovnání s irskou, nizozemskou a španělskou dá považovat za flexibilní. Důvodem tohoto tvrzení je, že ke změně ústavy v ČR je nutná třípětinová většina v obou komorách parlamentu a ve Francii je nutná tatáž většina členů </w:t>
      </w:r>
      <w:r w:rsidR="00F34A18">
        <w:br/>
      </w:r>
      <w:r w:rsidR="00572FD7" w:rsidRPr="00805964">
        <w:t>tzv. Kongresu, což je společné zasedání obou komor, případně schválení v referendu.</w:t>
      </w:r>
      <w:r w:rsidR="00572FD7" w:rsidRPr="00805964">
        <w:rPr>
          <w:rStyle w:val="FootnoteCharacters"/>
        </w:rPr>
        <w:footnoteReference w:id="71"/>
      </w:r>
      <w:r w:rsidR="0014799D" w:rsidRPr="00805964">
        <w:rPr>
          <w:rFonts w:cs="Times New Roman"/>
        </w:rPr>
        <w:t xml:space="preserve"> </w:t>
      </w:r>
      <w:r w:rsidR="00F34A18">
        <w:rPr>
          <w:rFonts w:cs="Times New Roman"/>
        </w:rPr>
        <w:br/>
      </w:r>
      <w:r w:rsidR="0014799D" w:rsidRPr="00805964">
        <w:rPr>
          <w:rFonts w:cs="Times New Roman"/>
        </w:rPr>
        <w:t xml:space="preserve">V Irsku musí být ústavní zákon iniciován na půdě dolní komory a poté co je přijat oběma komorami, nebo se má za to, že byl přijat musí být většinou odevzdaných hlasů schválen ještě </w:t>
      </w:r>
      <w:r w:rsidR="0072336B" w:rsidRPr="00805964">
        <w:rPr>
          <w:rFonts w:cs="Times New Roman"/>
        </w:rPr>
        <w:br/>
      </w:r>
      <w:r w:rsidR="0014799D" w:rsidRPr="00805964">
        <w:rPr>
          <w:rFonts w:cs="Times New Roman"/>
        </w:rPr>
        <w:t>v referendu.</w:t>
      </w:r>
      <w:r w:rsidR="003F4390" w:rsidRPr="00805964">
        <w:rPr>
          <w:rStyle w:val="Znakapoznpodarou"/>
          <w:rFonts w:cs="Times New Roman"/>
        </w:rPr>
        <w:footnoteReference w:id="72"/>
      </w:r>
      <w:r w:rsidR="0014799D" w:rsidRPr="00805964">
        <w:rPr>
          <w:rFonts w:cs="Times New Roman"/>
        </w:rPr>
        <w:t xml:space="preserve"> </w:t>
      </w:r>
      <w:r w:rsidR="00572FD7" w:rsidRPr="00805964">
        <w:t xml:space="preserve">Irský senát je tak jako jediný při změně ústavy </w:t>
      </w:r>
      <w:proofErr w:type="spellStart"/>
      <w:r w:rsidR="00572FD7" w:rsidRPr="00805964">
        <w:t>přehlasovatelný</w:t>
      </w:r>
      <w:proofErr w:type="spellEnd"/>
      <w:r w:rsidR="00572FD7" w:rsidRPr="00805964">
        <w:t xml:space="preserve">. Méně obvyklý způsob přijímání ústavních změn je aplikován v Nizozemsku a Španělsku. K přijetí ústavního zákona v Nizozemsku je třeba jeho schválení prostou většinou v obou komorách parlamentu </w:t>
      </w:r>
      <w:r w:rsidR="00A70AAB">
        <w:lastRenderedPageBreak/>
        <w:t>a </w:t>
      </w:r>
      <w:r w:rsidR="00572FD7" w:rsidRPr="00805964">
        <w:t>následné rozpuštění parlamentu a vypsání nových voleb. Návrh je přijat pokud pro něj hlasuje dvoutřetinová většina nově zvoleného parlamentu.</w:t>
      </w:r>
      <w:r w:rsidR="00572FD7" w:rsidRPr="00805964">
        <w:rPr>
          <w:rStyle w:val="FootnoteCharacters"/>
        </w:rPr>
        <w:footnoteReference w:id="73"/>
      </w:r>
      <w:r w:rsidR="00572FD7" w:rsidRPr="00805964">
        <w:t xml:space="preserve"> Španělská ústava se dá pokládat za nejrigidnější, jelikož k její změně je zapotřebí dvoutřetinová většina hlasů v obou komorách před i po jejich rozpuštění a následných volbách. Návrh ústavního zákona je poté postoupen k finálnímu rozhodnutí lidu, a to prostřednictvím referenda.</w:t>
      </w:r>
      <w:r w:rsidR="00572FD7" w:rsidRPr="00805964">
        <w:rPr>
          <w:rStyle w:val="FootnoteCharacters"/>
        </w:rPr>
        <w:footnoteReference w:id="74"/>
      </w:r>
    </w:p>
    <w:p w:rsidR="00567A0C" w:rsidRPr="00037DF5" w:rsidRDefault="00572FD7" w:rsidP="00037DF5">
      <w:pPr>
        <w:spacing w:line="360" w:lineRule="auto"/>
        <w:contextualSpacing/>
        <w:jc w:val="both"/>
        <w:rPr>
          <w:rFonts w:cs="Times New Roman"/>
          <w:szCs w:val="24"/>
        </w:rPr>
      </w:pPr>
      <w:r w:rsidRPr="00805964">
        <w:tab/>
        <w:t>Třetím, a pro tuto práci důležitým procesem, je schvalování mezinárodních smluv na základě čl. 49 Ústavy</w:t>
      </w:r>
      <w:r w:rsidRPr="00805964">
        <w:rPr>
          <w:szCs w:val="24"/>
        </w:rPr>
        <w:t xml:space="preserve">. </w:t>
      </w:r>
      <w:r w:rsidRPr="00805964">
        <w:rPr>
          <w:szCs w:val="24"/>
          <w:shd w:val="clear" w:color="auto" w:fill="FFFFFF"/>
        </w:rPr>
        <w:t xml:space="preserve">Kromě toho souhlas Parlamentu vyžadují mezinárodní smlouvy </w:t>
      </w:r>
      <w:r w:rsidR="00A70AAB">
        <w:rPr>
          <w:szCs w:val="24"/>
          <w:shd w:val="clear" w:color="auto" w:fill="FFFFFF"/>
        </w:rPr>
        <w:t>o </w:t>
      </w:r>
      <w:r w:rsidRPr="00805964">
        <w:rPr>
          <w:szCs w:val="24"/>
          <w:shd w:val="clear" w:color="auto" w:fill="FFFFFF"/>
        </w:rPr>
        <w:t>státních hranicích, a to ve formě ústavního zákona. Zvláštní postavení mají dále mezinárodní smlouvy, kterými se přenáší některé pravomoci orgánů České republiky na mezinárodní organizaci nebo instituci. Tyto smlouvy musí být schváleny v Parlamentu oběma komorami ústavní většinou nebo musí být schváleny celostátním referendem, pokud to stanoví ústavní zákon.</w:t>
      </w:r>
      <w:r w:rsidRPr="00805964">
        <w:rPr>
          <w:rStyle w:val="FootnoteCharacters"/>
          <w:szCs w:val="24"/>
          <w:shd w:val="clear" w:color="auto" w:fill="FFFFFF"/>
        </w:rPr>
        <w:footnoteReference w:id="75"/>
      </w:r>
      <w:r w:rsidR="00D7190B">
        <w:rPr>
          <w:szCs w:val="24"/>
          <w:shd w:val="clear" w:color="auto" w:fill="FFFFFF"/>
        </w:rPr>
        <w:t xml:space="preserve"> </w:t>
      </w:r>
      <w:r w:rsidRPr="00805964">
        <w:rPr>
          <w:szCs w:val="24"/>
        </w:rPr>
        <w:t>Proces schvalování mezinárodních smluv však není považován za typický legislativní proces.</w:t>
      </w:r>
    </w:p>
    <w:p w:rsidR="00567A0C" w:rsidRPr="00805964" w:rsidRDefault="00567A0C" w:rsidP="00C04525">
      <w:pPr>
        <w:tabs>
          <w:tab w:val="left" w:pos="1701"/>
        </w:tabs>
        <w:spacing w:line="360" w:lineRule="auto"/>
        <w:contextualSpacing/>
        <w:jc w:val="center"/>
        <w:rPr>
          <w:rFonts w:cs="Times New Roman"/>
          <w:b/>
          <w:sz w:val="22"/>
          <w:u w:val="single"/>
        </w:rPr>
      </w:pPr>
      <w:r w:rsidRPr="00805964">
        <w:rPr>
          <w:rFonts w:cs="Times New Roman"/>
          <w:b/>
          <w:sz w:val="22"/>
          <w:u w:val="single"/>
        </w:rPr>
        <w:t>Obrázek č. 3: Legislativní proces - mezinárodní smlouvy podle č. 10 Ústavy</w:t>
      </w:r>
    </w:p>
    <w:p w:rsidR="003032FB" w:rsidRPr="00805964" w:rsidRDefault="003032FB" w:rsidP="0029635A">
      <w:pPr>
        <w:spacing w:line="360" w:lineRule="auto"/>
        <w:contextualSpacing/>
        <w:jc w:val="both"/>
        <w:rPr>
          <w:rFonts w:cs="Times New Roman"/>
          <w:szCs w:val="24"/>
        </w:rPr>
      </w:pPr>
      <w:r w:rsidRPr="00805964">
        <w:rPr>
          <w:rFonts w:cs="Times New Roman"/>
          <w:noProof/>
          <w:szCs w:val="24"/>
          <w:lang w:eastAsia="cs-CZ"/>
        </w:rPr>
        <w:drawing>
          <wp:inline distT="0" distB="0" distL="0" distR="0">
            <wp:extent cx="5753100" cy="3657600"/>
            <wp:effectExtent l="19050" t="0" r="0" b="0"/>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753100" cy="3657600"/>
                    </a:xfrm>
                    <a:prstGeom prst="rect">
                      <a:avLst/>
                    </a:prstGeom>
                    <a:noFill/>
                    <a:ln w="9525">
                      <a:noFill/>
                      <a:miter lim="800000"/>
                      <a:headEnd/>
                      <a:tailEnd/>
                    </a:ln>
                  </pic:spPr>
                </pic:pic>
              </a:graphicData>
            </a:graphic>
          </wp:inline>
        </w:drawing>
      </w:r>
    </w:p>
    <w:p w:rsidR="003032FB" w:rsidRPr="00805964" w:rsidRDefault="003032FB" w:rsidP="0029635A">
      <w:pPr>
        <w:spacing w:line="360" w:lineRule="auto"/>
        <w:contextualSpacing/>
        <w:jc w:val="center"/>
        <w:rPr>
          <w:i/>
          <w:sz w:val="22"/>
        </w:rPr>
      </w:pPr>
      <w:r w:rsidRPr="00805964">
        <w:rPr>
          <w:rFonts w:cs="Times New Roman"/>
          <w:i/>
          <w:sz w:val="22"/>
        </w:rPr>
        <w:t>Zdroj:</w:t>
      </w:r>
      <w:r w:rsidRPr="00805964">
        <w:rPr>
          <w:i/>
          <w:sz w:val="22"/>
        </w:rPr>
        <w:t xml:space="preserve"> </w:t>
      </w:r>
      <w:hyperlink r:id="rId18" w:history="1">
        <w:r w:rsidRPr="00805964">
          <w:rPr>
            <w:rStyle w:val="Hypertextovodkaz"/>
            <w:i/>
            <w:color w:val="auto"/>
            <w:sz w:val="22"/>
          </w:rPr>
          <w:t>http://www.psp.cz/kps/pi/gi/schema_ustavni_zakony.pdf</w:t>
        </w:r>
      </w:hyperlink>
    </w:p>
    <w:p w:rsidR="003032FB" w:rsidRPr="00805964" w:rsidRDefault="003032FB" w:rsidP="0029635A">
      <w:pPr>
        <w:spacing w:line="360" w:lineRule="auto"/>
        <w:contextualSpacing/>
        <w:jc w:val="both"/>
        <w:rPr>
          <w:rFonts w:cs="Times New Roman"/>
        </w:rPr>
      </w:pPr>
    </w:p>
    <w:p w:rsidR="00572FD7" w:rsidRPr="00805964" w:rsidRDefault="0014799D" w:rsidP="00572FD7">
      <w:pPr>
        <w:spacing w:line="360" w:lineRule="auto"/>
        <w:contextualSpacing/>
        <w:jc w:val="both"/>
      </w:pPr>
      <w:r w:rsidRPr="00805964">
        <w:rPr>
          <w:rFonts w:cs="Times New Roman"/>
        </w:rPr>
        <w:tab/>
      </w:r>
      <w:r w:rsidR="00572FD7" w:rsidRPr="00805964">
        <w:t>Specifickým případem v oblasti legislativního procesu je stav legislativní nouze</w:t>
      </w:r>
      <w:r w:rsidR="00572FD7" w:rsidRPr="00805964">
        <w:rPr>
          <w:rStyle w:val="FootnoteCharacters"/>
        </w:rPr>
        <w:footnoteReference w:id="76"/>
      </w:r>
      <w:r w:rsidR="00572FD7" w:rsidRPr="00805964">
        <w:t xml:space="preserve">, který za mimořádných okolností, kdy jsou zásadním způsobem ohrožena základní práva </w:t>
      </w:r>
      <w:r w:rsidR="00A70AAB">
        <w:t>a </w:t>
      </w:r>
      <w:r w:rsidR="00572FD7" w:rsidRPr="00805964">
        <w:t>svobody občanů nebo bezpečnost státu nebo kdy státu hrozí značné hospodářské škody, vyhlásí předseda Sněmovny na návrh vlády tento stav. Stav legislativní nouze je vyhlašován jen na určitou dobu a sněmovna jej může zrušit nebo omezit dobu, na niž byl vyhlášen. Podstatou tohoto stavu je urychlit zákonodárství. Stav legislativní nouze se však může stát politickým nástrojem. Pochyby o jeho vyhlášení panovaly např. v roce 2010, kdy předsedkyně Poslanecké sněmovny Miroslava Němcová tento stav na žádost vlády vyhlásila, aby se tak stihly schválit zákony pro vládu důležité. Premiér Petr Nečas tento krok vysvětloval tím, že neschválení těchto novel by pro stát znamenalo velké hospodářské škody.</w:t>
      </w:r>
      <w:r w:rsidR="00572FD7" w:rsidRPr="00805964">
        <w:rPr>
          <w:rStyle w:val="FootnoteCharacters"/>
        </w:rPr>
        <w:footnoteReference w:id="77"/>
      </w:r>
      <w:r w:rsidR="00572FD7" w:rsidRPr="00805964">
        <w:t xml:space="preserve">  </w:t>
      </w:r>
    </w:p>
    <w:p w:rsidR="009C2B59" w:rsidRPr="00805964" w:rsidRDefault="00572FD7" w:rsidP="00572FD7">
      <w:pPr>
        <w:spacing w:line="360" w:lineRule="auto"/>
        <w:contextualSpacing/>
        <w:jc w:val="both"/>
        <w:rPr>
          <w:rFonts w:cs="Times New Roman"/>
        </w:rPr>
      </w:pPr>
      <w:r w:rsidRPr="00805964">
        <w:tab/>
        <w:t xml:space="preserve">Senát České republiky patří co do pravomocí mezi slabší druhé komory. Má sice právo iniciovat zákony, ovšem toto může činit pouze jako celek. Při schvalování zákonů je Senát snadno </w:t>
      </w:r>
      <w:proofErr w:type="spellStart"/>
      <w:r w:rsidRPr="00805964">
        <w:t>přehlasovatelný</w:t>
      </w:r>
      <w:proofErr w:type="spellEnd"/>
      <w:r w:rsidRPr="00805964">
        <w:t xml:space="preserve"> a na projednávání finančních zákonů se nepodílí. Jediným případem, kdy si je Senát v legislativním procesu rovný s Poslaneckou sněmovnou, je schvalování ústavních zákonů a mezinárodních smluv. Po srovnání s dalšími druhými komorami lze říci, že český Senát je společně se svým irským protějškem nejslabší horní komorou v rámci komparovaných zemí. Ve vybraném vzorku druhých komor je český Senát jedinou komorou </w:t>
      </w:r>
      <w:r w:rsidR="00A70AAB">
        <w:t>s </w:t>
      </w:r>
      <w:r w:rsidRPr="00805964">
        <w:t>čistě revizní úlohou. Kontrolu legislativy však provádějí všechny horní komory, jelikož se jedná o jednu ze základních funkcí druhých komor. Italský, francouzský, nizozemský či španělský senát však mají díky rozsáhlejším pravomocím v legislativním procesu lepší pozici pro plnění svých funkcí. Je třeba také připomenout, že všechny tyto komory mají také jiné než jen revizní úlohy, a jejich funkce v ústavních systémech unitárních států je tak méně zpochybnitelná než v případě ČR.</w:t>
      </w:r>
    </w:p>
    <w:p w:rsidR="003524C5" w:rsidRPr="00805964" w:rsidRDefault="003524C5" w:rsidP="0029635A">
      <w:pPr>
        <w:spacing w:line="360" w:lineRule="auto"/>
        <w:contextualSpacing/>
        <w:jc w:val="both"/>
        <w:rPr>
          <w:rFonts w:cs="Times New Roman"/>
        </w:rPr>
      </w:pPr>
    </w:p>
    <w:p w:rsidR="009C2B59" w:rsidRPr="00805964" w:rsidRDefault="002C45C9" w:rsidP="0029635A">
      <w:pPr>
        <w:pStyle w:val="Nadpis2"/>
        <w:contextualSpacing/>
      </w:pPr>
      <w:bookmarkStart w:id="11" w:name="_Toc359918277"/>
      <w:r w:rsidRPr="00805964">
        <w:t>1.</w:t>
      </w:r>
      <w:r w:rsidR="00267AB1">
        <w:t xml:space="preserve"> </w:t>
      </w:r>
      <w:r w:rsidRPr="00805964">
        <w:t>6</w:t>
      </w:r>
      <w:r w:rsidR="00FB3910" w:rsidRPr="00805964">
        <w:t xml:space="preserve"> </w:t>
      </w:r>
      <w:r w:rsidR="00572FD7" w:rsidRPr="00805964">
        <w:t>Shrnutí</w:t>
      </w:r>
      <w:bookmarkEnd w:id="11"/>
    </w:p>
    <w:p w:rsidR="00FB3910" w:rsidRPr="00805964" w:rsidRDefault="00FB3910" w:rsidP="0029635A">
      <w:pPr>
        <w:contextualSpacing/>
      </w:pPr>
    </w:p>
    <w:p w:rsidR="00572FD7" w:rsidRPr="00805964" w:rsidRDefault="00572FD7" w:rsidP="00572FD7">
      <w:pPr>
        <w:spacing w:line="360" w:lineRule="auto"/>
        <w:ind w:firstLine="708"/>
        <w:contextualSpacing/>
        <w:jc w:val="both"/>
      </w:pPr>
      <w:r w:rsidRPr="00805964">
        <w:t xml:space="preserve">Dvoukomorové parlamenty se v historii na našem území několikrát objevily, avšak nelze tvrdit, že by jejich existence naplnila očekávání a umlčela kritiky. Jak za První Československé republiky, tak později i v České republice se objevily hlasy pro jeho zrušení. </w:t>
      </w:r>
      <w:r w:rsidRPr="00805964">
        <w:lastRenderedPageBreak/>
        <w:t xml:space="preserve">V této kapitole byly představeny funkce druhých komor a jejich typologie. Na základě představení tohoto teoretického rámce společně s některými pravomocemi Senátu ČR můžeme říci, že český Senát patří mezi poměrně slabé horní komory. Je konstruován jako komora revizní, avšak bez výrazných pravomocí, které by tuto úlohu dostatečně obhájily. Revizní úloha je pouze jednou z funkcí, kterou by měly druhé komory v ústavních systémech plnit. Horní komory by měly např. brzdit politické strany etablované v první komoře </w:t>
      </w:r>
      <w:r w:rsidR="00A70AAB">
        <w:t>v </w:t>
      </w:r>
      <w:r w:rsidRPr="00805964">
        <w:t>uskutečňování změn, jež nemusejí odpovídat přání většiny voličů, což však volební systémy aplikované pro parlamentní volby v ČR nezaručují, jelikož odlišnost složení obou komor Parlamentu ČR se pohybuje v průměru kolem 30 %.</w:t>
      </w:r>
      <w:r w:rsidRPr="00805964">
        <w:rPr>
          <w:rStyle w:val="FootnoteCharacters"/>
        </w:rPr>
        <w:footnoteReference w:id="78"/>
      </w:r>
      <w:r w:rsidRPr="00805964">
        <w:t xml:space="preserve"> Navíc je nutné počítat s nezávislými kandidáty, kteří se po volbách přidávají do stranických poslaneckých či senátorských klubů, </w:t>
      </w:r>
      <w:r w:rsidR="00DC2678">
        <w:t>a </w:t>
      </w:r>
      <w:r w:rsidRPr="00805964">
        <w:t xml:space="preserve">rozdílnost ve složení komor tak bude pravděpodobně ještě menší. </w:t>
      </w:r>
    </w:p>
    <w:p w:rsidR="00572FD7" w:rsidRPr="00805964" w:rsidRDefault="00572FD7" w:rsidP="00572FD7">
      <w:pPr>
        <w:spacing w:line="360" w:lineRule="auto"/>
        <w:ind w:firstLine="708"/>
        <w:contextualSpacing/>
        <w:jc w:val="both"/>
      </w:pPr>
      <w:r w:rsidRPr="00805964">
        <w:t xml:space="preserve">Jednou z dalších funkcí horních komor je např. umožňovat dělbu práce mezi komorami v podmínkách pravidelného zahlcení parlamentů. Tuto funkci mohou plnit druhé komory v zemích s dokonalým nebo téměř dokonalým </w:t>
      </w:r>
      <w:proofErr w:type="spellStart"/>
      <w:r w:rsidRPr="00805964">
        <w:t>bikameralismem</w:t>
      </w:r>
      <w:proofErr w:type="spellEnd"/>
      <w:r w:rsidRPr="00805964">
        <w:t>, avšak nelze si představit, že by se druhá komora, výrazně slabší ve svých pravomocích než komora první, mohla v ústavou daných mantinelech podílet na rovnoměrné dělbě práce. Stejné argumenty lze nalézt i pro další uvedené funkce druhých komor.</w:t>
      </w:r>
    </w:p>
    <w:p w:rsidR="00FB3910" w:rsidRPr="00805964" w:rsidRDefault="00572FD7" w:rsidP="00572FD7">
      <w:pPr>
        <w:spacing w:line="360" w:lineRule="auto"/>
        <w:contextualSpacing/>
        <w:jc w:val="both"/>
      </w:pPr>
      <w:r w:rsidRPr="00805964">
        <w:tab/>
        <w:t>Jak jsem již zmínil, tak horní komory zastupující určitá území či skupiny obyvatel nejsou tak často terčem kritik. Z námi představených druhých komor západní Evropy plní všechny revizní funkci stejně jako Senát ČR. Tyto komory však navíc plní další funkce, které jejich existenci v ústavních systémech jednotlivých zemí do jisté míry ospravedlňují. Smyslem této práce je analyzovat jakou úlohu ve své vesměs jediné funkci český Senát zastává a s jakými výsledky. Z tohoto důvodu byl vytvořen metodologický rámec, který je předmětem další kapitoly této práce. Na něj poté navazuje samotná analýza efektivnosti legislativní činnosti Senátu ČR.</w:t>
      </w:r>
    </w:p>
    <w:p w:rsidR="003032FB" w:rsidRPr="00805964" w:rsidRDefault="003032FB" w:rsidP="0029635A">
      <w:pPr>
        <w:contextualSpacing/>
      </w:pPr>
    </w:p>
    <w:p w:rsidR="001C6539" w:rsidRPr="00805964" w:rsidRDefault="001C6539" w:rsidP="0029635A">
      <w:pPr>
        <w:contextualSpacing/>
      </w:pPr>
    </w:p>
    <w:p w:rsidR="001C6539" w:rsidRPr="00805964" w:rsidRDefault="001C6539" w:rsidP="0029635A">
      <w:pPr>
        <w:contextualSpacing/>
      </w:pPr>
    </w:p>
    <w:p w:rsidR="001C6539" w:rsidRPr="00805964" w:rsidRDefault="001C6539" w:rsidP="0029635A">
      <w:pPr>
        <w:contextualSpacing/>
      </w:pPr>
    </w:p>
    <w:p w:rsidR="001C6539" w:rsidRPr="00805964" w:rsidRDefault="001C6539" w:rsidP="0029635A">
      <w:pPr>
        <w:contextualSpacing/>
      </w:pPr>
    </w:p>
    <w:p w:rsidR="001C6539" w:rsidRPr="00805964" w:rsidRDefault="001C6539" w:rsidP="0029635A">
      <w:pPr>
        <w:contextualSpacing/>
      </w:pPr>
    </w:p>
    <w:p w:rsidR="001C6539" w:rsidRPr="00805964" w:rsidRDefault="001C6539" w:rsidP="0029635A">
      <w:pPr>
        <w:contextualSpacing/>
      </w:pPr>
    </w:p>
    <w:p w:rsidR="001C6539" w:rsidRPr="00805964" w:rsidRDefault="001C6539" w:rsidP="0029635A">
      <w:pPr>
        <w:contextualSpacing/>
      </w:pPr>
    </w:p>
    <w:p w:rsidR="001C6539" w:rsidRPr="00805964" w:rsidRDefault="001C6539" w:rsidP="0029635A">
      <w:pPr>
        <w:contextualSpacing/>
      </w:pPr>
    </w:p>
    <w:p w:rsidR="00F5593E" w:rsidRPr="00805964" w:rsidRDefault="00F5593E" w:rsidP="0029635A">
      <w:pPr>
        <w:pStyle w:val="Nadpis1"/>
        <w:contextualSpacing/>
        <w:rPr>
          <w:rFonts w:cs="Times New Roman"/>
        </w:rPr>
      </w:pPr>
      <w:bookmarkStart w:id="12" w:name="_Toc359918278"/>
      <w:r w:rsidRPr="00805964">
        <w:rPr>
          <w:rFonts w:cs="Times New Roman"/>
        </w:rPr>
        <w:lastRenderedPageBreak/>
        <w:t>2 Metodologie výzkumu</w:t>
      </w:r>
      <w:bookmarkEnd w:id="12"/>
    </w:p>
    <w:p w:rsidR="00C25BCA" w:rsidRPr="00805964" w:rsidRDefault="00C25BCA" w:rsidP="0029635A">
      <w:pPr>
        <w:widowControl w:val="0"/>
        <w:tabs>
          <w:tab w:val="left" w:pos="709"/>
        </w:tabs>
        <w:suppressAutoHyphens/>
        <w:autoSpaceDE w:val="0"/>
        <w:autoSpaceDN w:val="0"/>
        <w:adjustRightInd w:val="0"/>
        <w:contextualSpacing/>
        <w:rPr>
          <w:rFonts w:cs="Times New Roman"/>
        </w:rPr>
      </w:pPr>
    </w:p>
    <w:p w:rsidR="0075151B" w:rsidRPr="00805964" w:rsidRDefault="0075151B" w:rsidP="0029635A">
      <w:pPr>
        <w:widowControl w:val="0"/>
        <w:tabs>
          <w:tab w:val="left" w:pos="709"/>
        </w:tabs>
        <w:suppressAutoHyphens/>
        <w:autoSpaceDE w:val="0"/>
        <w:autoSpaceDN w:val="0"/>
        <w:adjustRightInd w:val="0"/>
        <w:contextualSpacing/>
        <w:rPr>
          <w:rFonts w:ascii="Calibri" w:hAnsi="Calibri" w:cs="Calibri"/>
          <w:sz w:val="22"/>
        </w:rPr>
      </w:pPr>
    </w:p>
    <w:p w:rsidR="00F00AA3" w:rsidRPr="00805964" w:rsidRDefault="00C25BCA" w:rsidP="00F00AA3">
      <w:pPr>
        <w:widowControl w:val="0"/>
        <w:tabs>
          <w:tab w:val="left" w:pos="709"/>
        </w:tabs>
        <w:suppressAutoHyphens/>
        <w:autoSpaceDE w:val="0"/>
        <w:spacing w:line="360" w:lineRule="auto"/>
        <w:contextualSpacing/>
        <w:jc w:val="both"/>
        <w:rPr>
          <w:szCs w:val="24"/>
        </w:rPr>
      </w:pPr>
      <w:r w:rsidRPr="00805964">
        <w:rPr>
          <w:rFonts w:cs="Times New Roman"/>
          <w:sz w:val="22"/>
        </w:rPr>
        <w:tab/>
      </w:r>
      <w:r w:rsidR="00F00AA3" w:rsidRPr="00805964">
        <w:rPr>
          <w:szCs w:val="24"/>
        </w:rPr>
        <w:t xml:space="preserve">Cílem této diplomové práce je analyzovat roli Senátu České republiky v legislativním procesu a zjistit tak, zda má druhá komora Parlamentu České republiky z hlediska legislativní činnosti, respektive výstupu z legislativní činnosti, své opodstatnění a zda složení komor Parlamentu má vliv na efektivnost Senátu. Jedná se tak o případovou studii založenou na empiricko-analytickém přístupu. Výzkum efektivnosti parlamentních komor v rámci jejich legislativní činnosti není častým jevem v rámci politické vědy, a proto je třeba vytvořit pro tento konkrétní případ specifický model měření efektivnosti. </w:t>
      </w:r>
    </w:p>
    <w:p w:rsidR="00F00AA3" w:rsidRPr="00805964" w:rsidRDefault="00F00AA3" w:rsidP="00F00AA3">
      <w:pPr>
        <w:widowControl w:val="0"/>
        <w:tabs>
          <w:tab w:val="left" w:pos="709"/>
        </w:tabs>
        <w:suppressAutoHyphens/>
        <w:autoSpaceDE w:val="0"/>
        <w:spacing w:line="360" w:lineRule="auto"/>
        <w:contextualSpacing/>
        <w:jc w:val="both"/>
        <w:rPr>
          <w:szCs w:val="24"/>
        </w:rPr>
      </w:pPr>
      <w:r w:rsidRPr="00805964">
        <w:rPr>
          <w:szCs w:val="24"/>
        </w:rPr>
        <w:tab/>
        <w:t xml:space="preserve">Jedním z problémů měření efektivnosti je absence objektivního systému vyhodnocení efektivity. Nelze jednoznačně určit, co lze považovat za efektivní, resp. neefektivní druhou komoru. Efektivita či efektivnost je sice považována za jedno z hlavních kritérií při hodnocení úspěšnosti, avšak její matematické vyjádření je třeba uzpůsobit konkrétnímu zkoumanému případu. Často se v souvislosti s druhými komorami hovoří o jejich efektivnosti či neefektivnosti, ale tato tvrzení nebývají zpravidla podložena objektivními, resp. měřitelnými důkazy. Za příklad lze uvést několik let trvající diskusi ve Velké Británii o potřebě reformy neefektivní Sněmovny lordů, v níž jednotlivé strany ve své rétorice slovo </w:t>
      </w:r>
      <w:r w:rsidRPr="00805964">
        <w:rPr>
          <w:i/>
          <w:iCs/>
          <w:szCs w:val="24"/>
        </w:rPr>
        <w:t>efektivnost</w:t>
      </w:r>
      <w:r w:rsidRPr="00805964">
        <w:rPr>
          <w:szCs w:val="24"/>
        </w:rPr>
        <w:t xml:space="preserve"> velmi často využívají, ovšem velmi subjektivně. V takovýchto případech je třeba stanovit podmínky či kritéria, na jejichž základě bude efektivnost měřena, a zároveň dopředu stanovit hranice úspěšnosti a neúspěšnosti.</w:t>
      </w:r>
    </w:p>
    <w:p w:rsidR="00F00AA3" w:rsidRPr="00805964" w:rsidRDefault="00F00AA3" w:rsidP="00F00AA3">
      <w:pPr>
        <w:widowControl w:val="0"/>
        <w:tabs>
          <w:tab w:val="left" w:pos="709"/>
        </w:tabs>
        <w:suppressAutoHyphens/>
        <w:autoSpaceDE w:val="0"/>
        <w:spacing w:line="360" w:lineRule="auto"/>
        <w:contextualSpacing/>
        <w:jc w:val="both"/>
        <w:rPr>
          <w:szCs w:val="24"/>
        </w:rPr>
      </w:pPr>
      <w:r w:rsidRPr="00805964">
        <w:rPr>
          <w:szCs w:val="24"/>
        </w:rPr>
        <w:tab/>
        <w:t>Cílem této práce je poskytnout co nejobjektivnější posouzení efektivnosti legis</w:t>
      </w:r>
      <w:r w:rsidR="0072336B" w:rsidRPr="00805964">
        <w:rPr>
          <w:szCs w:val="24"/>
        </w:rPr>
        <w:t>lativní činnosti Senátu. Navrhl jsem</w:t>
      </w:r>
      <w:r w:rsidRPr="00805964">
        <w:rPr>
          <w:szCs w:val="24"/>
        </w:rPr>
        <w:t xml:space="preserve"> proto čtyři varianty výpočtu efektivity senátu, pomocí nichž  prozkoumám šest funkčních období od roku 2000 do roku 2012. Důvodem pro vytváření vlastního metodologického rámce byla neexistence vhodné metodologie měření, která by byla již někdy využita autory zabývajícími se instit</w:t>
      </w:r>
      <w:r w:rsidR="0072336B" w:rsidRPr="00805964">
        <w:rPr>
          <w:szCs w:val="24"/>
        </w:rPr>
        <w:t>ucemi a jejich činností. Abych zamezil</w:t>
      </w:r>
      <w:r w:rsidRPr="00805964">
        <w:rPr>
          <w:szCs w:val="24"/>
        </w:rPr>
        <w:t xml:space="preserve"> zkreslení analýzy zvolením metody, která se chová nestandardně pro</w:t>
      </w:r>
      <w:r w:rsidR="0072336B" w:rsidRPr="00805964">
        <w:rPr>
          <w:szCs w:val="24"/>
        </w:rPr>
        <w:t xml:space="preserve"> nějaké vybrané období, rozhodl jsem</w:t>
      </w:r>
      <w:r w:rsidRPr="00805964">
        <w:rPr>
          <w:szCs w:val="24"/>
        </w:rPr>
        <w:t xml:space="preserve"> se použít čtyři kritéria s různými pohledy na problematiku efektivity. Každé kritérium přináší jiné výhody a nevýhody. Kombinací těchto kritérií jsme získali dostatečně komplexní analýzu, aby byly výsledky dostatečně vypovídající pro zodpovězení stanovených výzkumných otázek a potvrzení či vyvrácení hypotézy práce byla konzistentní s daty.</w:t>
      </w:r>
    </w:p>
    <w:p w:rsidR="00F00AA3" w:rsidRPr="00805964" w:rsidRDefault="00F00AA3" w:rsidP="00F00AA3">
      <w:pPr>
        <w:widowControl w:val="0"/>
        <w:tabs>
          <w:tab w:val="left" w:pos="709"/>
        </w:tabs>
        <w:suppressAutoHyphens/>
        <w:autoSpaceDE w:val="0"/>
        <w:spacing w:line="360" w:lineRule="auto"/>
        <w:contextualSpacing/>
        <w:jc w:val="both"/>
        <w:rPr>
          <w:szCs w:val="24"/>
        </w:rPr>
      </w:pPr>
      <w:r w:rsidRPr="00805964">
        <w:rPr>
          <w:szCs w:val="24"/>
        </w:rPr>
        <w:tab/>
        <w:t xml:space="preserve">Legislativní činnost horní komory je mj. ovlivňována také jejím složením. Vzhledem k hypotéze a cílům práce byla pro detailnější analýzu vybrána dvě různá funkční období. Jedná se o období stejných většin v Poslanecké </w:t>
      </w:r>
      <w:r w:rsidR="002265EE">
        <w:rPr>
          <w:szCs w:val="24"/>
        </w:rPr>
        <w:t>sněmovně a Senátu v letech 2006–</w:t>
      </w:r>
      <w:r w:rsidRPr="00805964">
        <w:rPr>
          <w:szCs w:val="24"/>
        </w:rPr>
        <w:t xml:space="preserve">2008 </w:t>
      </w:r>
      <w:r w:rsidRPr="00805964">
        <w:rPr>
          <w:szCs w:val="24"/>
        </w:rPr>
        <w:lastRenderedPageBreak/>
        <w:t>a</w:t>
      </w:r>
      <w:r w:rsidR="00DC2678">
        <w:rPr>
          <w:szCs w:val="24"/>
        </w:rPr>
        <w:t> </w:t>
      </w:r>
      <w:r w:rsidRPr="00805964">
        <w:rPr>
          <w:szCs w:val="24"/>
        </w:rPr>
        <w:t>období většin opačných v letech 2010</w:t>
      </w:r>
      <w:r w:rsidR="000713F0" w:rsidRPr="00805964">
        <w:rPr>
          <w:szCs w:val="24"/>
        </w:rPr>
        <w:t>–</w:t>
      </w:r>
      <w:r w:rsidRPr="00805964">
        <w:rPr>
          <w:szCs w:val="24"/>
        </w:rPr>
        <w:t>2012. V první</w:t>
      </w:r>
      <w:r w:rsidR="00DC2678">
        <w:rPr>
          <w:szCs w:val="24"/>
        </w:rPr>
        <w:t xml:space="preserve">m zkoumaném období měly většiny </w:t>
      </w:r>
      <w:r w:rsidRPr="00805964">
        <w:rPr>
          <w:szCs w:val="24"/>
        </w:rPr>
        <w:t>v obou komorách Parlamentu ČR pravicové strany, zatímco v obdobím druhém byl Senát složen zejména ze zástupců stran levicových, což kontrastovalo s většinovým pravicovým složením Poslanecké sněmovny. Tato dvě období reprezentují jediné možné situace, které mohou v rámci reprezentace zastoupené v obou komorách Parlamentu nastat. Abychom však mohli říci, které hodnoty efektivity jsou běžné a které se vychylují od normy, budeme na základě námi představených variant měření efektivity analyzovat celkem šest období. Získáme tak statisticky významné údaje o činnosti Senátu a můžeme pak obě období porovnávat nejen mezi sebou, ale i s průměrnými hodnotami za delší časové období.</w:t>
      </w:r>
    </w:p>
    <w:p w:rsidR="00C25BCA" w:rsidRPr="00805964" w:rsidRDefault="00F00AA3" w:rsidP="00F00AA3">
      <w:pPr>
        <w:widowControl w:val="0"/>
        <w:tabs>
          <w:tab w:val="left" w:pos="709"/>
        </w:tabs>
        <w:suppressAutoHyphens/>
        <w:autoSpaceDE w:val="0"/>
        <w:autoSpaceDN w:val="0"/>
        <w:adjustRightInd w:val="0"/>
        <w:spacing w:line="360" w:lineRule="auto"/>
        <w:contextualSpacing/>
        <w:jc w:val="both"/>
        <w:rPr>
          <w:rFonts w:cs="Times New Roman"/>
          <w:szCs w:val="24"/>
        </w:rPr>
      </w:pPr>
      <w:r w:rsidRPr="00805964">
        <w:rPr>
          <w:szCs w:val="24"/>
        </w:rPr>
        <w:tab/>
        <w:t>Projednávané zákony mají různou právní sílu, a proto jsou i v této práci zákony rozlišovány právě na základě své síly. Práce rozezná</w:t>
      </w:r>
      <w:r w:rsidR="00DC2678">
        <w:rPr>
          <w:szCs w:val="24"/>
        </w:rPr>
        <w:t>vá běžné zákony; ústavní zákony a </w:t>
      </w:r>
      <w:r w:rsidRPr="00805964">
        <w:rPr>
          <w:szCs w:val="24"/>
        </w:rPr>
        <w:t>mezinárodní smlouvy, k jejichž ratifikaci je třeba souhlasu obou parlamentních komor. Vynechána byla zákonná opatření Senátu, která prozatím nebyla uplatňována, a evropská legislativa, kterou komory projednávají, avšak výsledke</w:t>
      </w:r>
      <w:r w:rsidR="00DC2678">
        <w:rPr>
          <w:szCs w:val="24"/>
        </w:rPr>
        <w:t>m je „pouze“ doporučení vládě. S </w:t>
      </w:r>
      <w:r w:rsidRPr="00805964">
        <w:rPr>
          <w:szCs w:val="24"/>
        </w:rPr>
        <w:t>jednotlivými typy zákonů bude v každém z aplikovaných měření pracováno odlišným způsobem, který bude vždy představen a odůvodněn.</w:t>
      </w:r>
    </w:p>
    <w:p w:rsidR="00C25BCA" w:rsidRPr="00805964" w:rsidRDefault="00C25BCA" w:rsidP="0029635A">
      <w:pPr>
        <w:widowControl w:val="0"/>
        <w:tabs>
          <w:tab w:val="left" w:pos="709"/>
        </w:tabs>
        <w:suppressAutoHyphens/>
        <w:autoSpaceDE w:val="0"/>
        <w:autoSpaceDN w:val="0"/>
        <w:adjustRightInd w:val="0"/>
        <w:spacing w:line="360" w:lineRule="auto"/>
        <w:contextualSpacing/>
        <w:jc w:val="both"/>
        <w:rPr>
          <w:rFonts w:ascii="Calibri" w:hAnsi="Calibri" w:cs="Calibri"/>
          <w:sz w:val="22"/>
        </w:rPr>
      </w:pPr>
    </w:p>
    <w:p w:rsidR="00F5593E" w:rsidRPr="00805964" w:rsidRDefault="00FC269F" w:rsidP="0029635A">
      <w:pPr>
        <w:pStyle w:val="Nadpis2"/>
        <w:contextualSpacing/>
      </w:pPr>
      <w:bookmarkStart w:id="13" w:name="_Toc359918279"/>
      <w:r w:rsidRPr="00805964">
        <w:t>2. 1 První a druhá varianta</w:t>
      </w:r>
      <w:r w:rsidR="00EE19CE" w:rsidRPr="00805964">
        <w:t xml:space="preserve"> </w:t>
      </w:r>
      <w:r w:rsidR="00F00AA3" w:rsidRPr="00805964">
        <w:t>–</w:t>
      </w:r>
      <w:r w:rsidR="00EE19CE" w:rsidRPr="00805964">
        <w:t xml:space="preserve"> </w:t>
      </w:r>
      <w:r w:rsidR="00F5593E" w:rsidRPr="00805964">
        <w:t>efektivnost za období</w:t>
      </w:r>
      <w:bookmarkEnd w:id="13"/>
    </w:p>
    <w:p w:rsidR="00F5593E" w:rsidRPr="00805964" w:rsidRDefault="00F5593E" w:rsidP="0029635A">
      <w:pPr>
        <w:spacing w:line="360" w:lineRule="auto"/>
        <w:contextualSpacing/>
        <w:jc w:val="both"/>
        <w:rPr>
          <w:rFonts w:cs="Times New Roman"/>
          <w:szCs w:val="24"/>
        </w:rPr>
      </w:pPr>
    </w:p>
    <w:p w:rsidR="00F00AA3" w:rsidRPr="00805964" w:rsidRDefault="00F5593E" w:rsidP="00F00AA3">
      <w:pPr>
        <w:widowControl w:val="0"/>
        <w:tabs>
          <w:tab w:val="left" w:pos="709"/>
        </w:tabs>
        <w:suppressAutoHyphens/>
        <w:autoSpaceDE w:val="0"/>
        <w:spacing w:line="360" w:lineRule="auto"/>
        <w:contextualSpacing/>
        <w:jc w:val="both"/>
        <w:rPr>
          <w:szCs w:val="24"/>
        </w:rPr>
      </w:pPr>
      <w:r w:rsidRPr="00805964">
        <w:rPr>
          <w:rFonts w:cs="Times New Roman"/>
          <w:szCs w:val="24"/>
        </w:rPr>
        <w:tab/>
      </w:r>
      <w:r w:rsidR="00F00AA3" w:rsidRPr="00805964">
        <w:rPr>
          <w:szCs w:val="24"/>
        </w:rPr>
        <w:t xml:space="preserve">V rámci prvního kritéria bude zkoumána efektivita Senátu za funkční období. Jelikož zde zkoumáme počet činností za období, závisí hodnota výsledného skóre nejen na efektivitě Senátu, ale i na činnosti Poslanecké sněmovny. Skóre roste s vyšším počtem zákonů i větší efektivitou Senátu. Bodové ohodnocení u tohoto měření pak znamená, že bude každé možné situaci, která může při projednávání návrhů zákonů v Senátu nastat, přidělen určitý počet bodů (viz. tabulka č. 1). Bodové rozpětí bylo stanoveno na 0 až +3 body. Ohodnocení je odstupňováno mírou vlivu, resp. role, Senátu v daných situacích. Podobné bodové hodnocení využívají ve své práci </w:t>
      </w:r>
      <w:proofErr w:type="spellStart"/>
      <w:r w:rsidR="00F00AA3" w:rsidRPr="00805964">
        <w:rPr>
          <w:i/>
          <w:iCs/>
          <w:szCs w:val="24"/>
        </w:rPr>
        <w:t>Presidents</w:t>
      </w:r>
      <w:proofErr w:type="spellEnd"/>
      <w:r w:rsidR="00F00AA3" w:rsidRPr="00805964">
        <w:rPr>
          <w:i/>
          <w:iCs/>
          <w:szCs w:val="24"/>
        </w:rPr>
        <w:t xml:space="preserve"> </w:t>
      </w:r>
      <w:proofErr w:type="spellStart"/>
      <w:r w:rsidR="00F00AA3" w:rsidRPr="00805964">
        <w:rPr>
          <w:i/>
          <w:iCs/>
          <w:szCs w:val="24"/>
        </w:rPr>
        <w:t>and</w:t>
      </w:r>
      <w:proofErr w:type="spellEnd"/>
      <w:r w:rsidR="00F00AA3" w:rsidRPr="00805964">
        <w:rPr>
          <w:i/>
          <w:iCs/>
          <w:szCs w:val="24"/>
        </w:rPr>
        <w:t xml:space="preserve"> </w:t>
      </w:r>
      <w:proofErr w:type="spellStart"/>
      <w:r w:rsidR="00F00AA3" w:rsidRPr="00805964">
        <w:rPr>
          <w:i/>
          <w:iCs/>
          <w:szCs w:val="24"/>
        </w:rPr>
        <w:t>Assemblies</w:t>
      </w:r>
      <w:proofErr w:type="spellEnd"/>
      <w:r w:rsidR="00F00AA3" w:rsidRPr="00805964">
        <w:rPr>
          <w:i/>
          <w:iCs/>
          <w:szCs w:val="24"/>
        </w:rPr>
        <w:t xml:space="preserve">: </w:t>
      </w:r>
      <w:proofErr w:type="spellStart"/>
      <w:r w:rsidR="00F00AA3" w:rsidRPr="00805964">
        <w:rPr>
          <w:i/>
          <w:iCs/>
          <w:szCs w:val="24"/>
        </w:rPr>
        <w:t>Constitutional</w:t>
      </w:r>
      <w:proofErr w:type="spellEnd"/>
      <w:r w:rsidR="00F00AA3" w:rsidRPr="00805964">
        <w:rPr>
          <w:i/>
          <w:iCs/>
          <w:szCs w:val="24"/>
        </w:rPr>
        <w:t xml:space="preserve"> design </w:t>
      </w:r>
      <w:proofErr w:type="spellStart"/>
      <w:r w:rsidR="00F00AA3" w:rsidRPr="00805964">
        <w:rPr>
          <w:i/>
          <w:iCs/>
          <w:szCs w:val="24"/>
        </w:rPr>
        <w:t>and</w:t>
      </w:r>
      <w:proofErr w:type="spellEnd"/>
      <w:r w:rsidR="00F00AA3" w:rsidRPr="00805964">
        <w:rPr>
          <w:i/>
          <w:iCs/>
          <w:szCs w:val="24"/>
        </w:rPr>
        <w:t xml:space="preserve"> </w:t>
      </w:r>
      <w:proofErr w:type="spellStart"/>
      <w:r w:rsidR="00F00AA3" w:rsidRPr="00805964">
        <w:rPr>
          <w:i/>
          <w:iCs/>
          <w:szCs w:val="24"/>
        </w:rPr>
        <w:t>electoral</w:t>
      </w:r>
      <w:proofErr w:type="spellEnd"/>
      <w:r w:rsidR="00F00AA3" w:rsidRPr="00805964">
        <w:rPr>
          <w:i/>
          <w:iCs/>
          <w:szCs w:val="24"/>
        </w:rPr>
        <w:t xml:space="preserve"> </w:t>
      </w:r>
      <w:proofErr w:type="spellStart"/>
      <w:r w:rsidR="00F00AA3" w:rsidRPr="00805964">
        <w:rPr>
          <w:i/>
          <w:iCs/>
          <w:szCs w:val="24"/>
        </w:rPr>
        <w:t>dynamics</w:t>
      </w:r>
      <w:proofErr w:type="spellEnd"/>
      <w:r w:rsidR="00F00AA3" w:rsidRPr="00805964">
        <w:rPr>
          <w:szCs w:val="24"/>
        </w:rPr>
        <w:t xml:space="preserve"> </w:t>
      </w:r>
      <w:proofErr w:type="spellStart"/>
      <w:r w:rsidR="00F00AA3" w:rsidRPr="00805964">
        <w:rPr>
          <w:szCs w:val="24"/>
        </w:rPr>
        <w:t>Matthew</w:t>
      </w:r>
      <w:proofErr w:type="spellEnd"/>
      <w:r w:rsidR="00F00AA3" w:rsidRPr="00805964">
        <w:rPr>
          <w:szCs w:val="24"/>
        </w:rPr>
        <w:t xml:space="preserve"> S. </w:t>
      </w:r>
      <w:proofErr w:type="spellStart"/>
      <w:r w:rsidR="00F00AA3" w:rsidRPr="00805964">
        <w:rPr>
          <w:szCs w:val="24"/>
        </w:rPr>
        <w:t>Shugart</w:t>
      </w:r>
      <w:proofErr w:type="spellEnd"/>
      <w:r w:rsidR="00F00AA3" w:rsidRPr="00805964">
        <w:rPr>
          <w:szCs w:val="24"/>
        </w:rPr>
        <w:t xml:space="preserve"> a John M. </w:t>
      </w:r>
      <w:proofErr w:type="spellStart"/>
      <w:r w:rsidR="00F00AA3" w:rsidRPr="00805964">
        <w:rPr>
          <w:szCs w:val="24"/>
        </w:rPr>
        <w:t>Carey</w:t>
      </w:r>
      <w:proofErr w:type="spellEnd"/>
      <w:r w:rsidR="00F00AA3" w:rsidRPr="00805964">
        <w:rPr>
          <w:rStyle w:val="FootnoteCharacters"/>
          <w:szCs w:val="24"/>
        </w:rPr>
        <w:footnoteReference w:id="79"/>
      </w:r>
      <w:r w:rsidR="00F00AA3" w:rsidRPr="00805964">
        <w:rPr>
          <w:szCs w:val="24"/>
        </w:rPr>
        <w:t>, kteří se zabývají analýzou prezidentských pravomocí a jejich silou a jejich metoda patří mezi hojně využívané. U této metody se zaměříme na běžnou legislativu, jelikož u ní mohou nastat všechny situace, zde představené.</w:t>
      </w:r>
    </w:p>
    <w:p w:rsidR="00F5593E" w:rsidRPr="00805964" w:rsidRDefault="00F00AA3" w:rsidP="00F00AA3">
      <w:pPr>
        <w:widowControl w:val="0"/>
        <w:tabs>
          <w:tab w:val="left" w:pos="709"/>
        </w:tabs>
        <w:suppressAutoHyphens/>
        <w:autoSpaceDE w:val="0"/>
        <w:autoSpaceDN w:val="0"/>
        <w:adjustRightInd w:val="0"/>
        <w:spacing w:line="360" w:lineRule="auto"/>
        <w:contextualSpacing/>
        <w:jc w:val="both"/>
        <w:rPr>
          <w:rFonts w:cs="Times New Roman"/>
          <w:szCs w:val="24"/>
        </w:rPr>
      </w:pPr>
      <w:r w:rsidRPr="00805964">
        <w:rPr>
          <w:szCs w:val="24"/>
        </w:rPr>
        <w:tab/>
        <w:t xml:space="preserve">Vzhledem k jisté subjektivnosti, která při užití této metody může vznikat, je nutné vysvětlit jednotlivé situace a k nim přiřazenou bodovou kvantifikaci. V případě, že Senát </w:t>
      </w:r>
      <w:r w:rsidRPr="00805964">
        <w:rPr>
          <w:szCs w:val="24"/>
        </w:rPr>
        <w:lastRenderedPageBreak/>
        <w:t>schválí návrh zákona v původním znění předloženém Poslaneckou sněmovnou, je jeho role velmi malá a dává tím najevo, že zákon ne</w:t>
      </w:r>
      <w:r w:rsidR="00747173">
        <w:rPr>
          <w:szCs w:val="24"/>
        </w:rPr>
        <w:t>ní třeba měnit –</w:t>
      </w:r>
      <w:r w:rsidR="00DC2678">
        <w:rPr>
          <w:szCs w:val="24"/>
        </w:rPr>
        <w:t xml:space="preserve"> tedy není třeba druhé komory </w:t>
      </w:r>
      <w:r w:rsidRPr="00805964">
        <w:rPr>
          <w:szCs w:val="24"/>
        </w:rPr>
        <w:t>k opravení legislativy, proto tuto situaci hodnotíme 1 bodem. Pokud Senát podá pozměňovací návrh(y) a Poslanecká sněmovna tyto návrhy přijme, lze Senát hodnotit jako důležitou instituci a jsou mu uděleny 3 body. Ve stejné situaci, avšak s rozdílem, že Poslanecká sněmovna senátní pozměňovací návrh(y) nepřijme a schválí zákon v původním znění, hodnotíme Senát 2 body, jelikož, i když Senát neuspěje, iniciuje určitou diskusi nad projednávanou legislativou a jeho role v legislativním procesu není zcela zanedbatelná. Senát může návrhy zákonů taktéž zamítnout a Sněmovna má poté dvě možnosti. Sněmovna přehlasuje senátní veto a zákon je přijat, což hodnotíme 1 bodem, jelikož je pozice Senátu velmi slabá. Sněmovna přehodnotí svůj původní záměr a veto nepřehlasuje, čímž se Senátu dostává opět silná pozice a je tak hodnocen 3 body. Posledními možnými situacemi jsou vyjádření vůle Senátu se návrhem nezabývat a neusnesení se o návrhu zákona v Ústavou stanovené lhůtě. V těchto chvílích lze Senát v legislativním procesu považovat za zcela zbytečný, jelikož neplní funkci revizní komory a je tak ohodnocen 0 body.</w:t>
      </w:r>
    </w:p>
    <w:p w:rsidR="00567A0C" w:rsidRPr="00805964" w:rsidRDefault="00567A0C" w:rsidP="00567A0C">
      <w:pPr>
        <w:spacing w:line="360" w:lineRule="auto"/>
        <w:contextualSpacing/>
        <w:jc w:val="center"/>
        <w:rPr>
          <w:rFonts w:cs="Times New Roman"/>
          <w:b/>
          <w:sz w:val="22"/>
          <w:u w:val="single"/>
        </w:rPr>
      </w:pPr>
    </w:p>
    <w:p w:rsidR="0029635A" w:rsidRPr="00805964" w:rsidRDefault="00567A0C" w:rsidP="00567A0C">
      <w:pPr>
        <w:spacing w:line="360" w:lineRule="auto"/>
        <w:contextualSpacing/>
        <w:jc w:val="center"/>
        <w:rPr>
          <w:rFonts w:cs="Times New Roman"/>
          <w:b/>
          <w:sz w:val="22"/>
          <w:u w:val="single"/>
        </w:rPr>
      </w:pPr>
      <w:r w:rsidRPr="00805964">
        <w:rPr>
          <w:rFonts w:cs="Times New Roman"/>
          <w:b/>
          <w:sz w:val="22"/>
          <w:u w:val="single"/>
        </w:rPr>
        <w:t>Tabulka č. 1: Bodové ohodnocení</w:t>
      </w:r>
    </w:p>
    <w:tbl>
      <w:tblPr>
        <w:tblStyle w:val="Mkatabulky"/>
        <w:tblpPr w:leftFromText="141" w:rightFromText="141" w:vertAnchor="text" w:horzAnchor="page" w:tblpX="3148" w:tblpY="88"/>
        <w:tblW w:w="0" w:type="auto"/>
        <w:tblLook w:val="04A0"/>
      </w:tblPr>
      <w:tblGrid>
        <w:gridCol w:w="4742"/>
        <w:gridCol w:w="2044"/>
      </w:tblGrid>
      <w:tr w:rsidR="00F5593E" w:rsidRPr="00805964" w:rsidTr="00F5593E">
        <w:trPr>
          <w:trHeight w:val="629"/>
        </w:trPr>
        <w:tc>
          <w:tcPr>
            <w:tcW w:w="4742" w:type="dxa"/>
          </w:tcPr>
          <w:p w:rsidR="00F5593E" w:rsidRPr="00805964" w:rsidRDefault="00F5593E" w:rsidP="0029635A">
            <w:pPr>
              <w:spacing w:line="360" w:lineRule="auto"/>
              <w:contextualSpacing/>
              <w:jc w:val="both"/>
              <w:rPr>
                <w:rFonts w:cs="Times New Roman"/>
                <w:b/>
                <w:sz w:val="24"/>
                <w:szCs w:val="24"/>
                <w:u w:val="single"/>
              </w:rPr>
            </w:pPr>
            <w:r w:rsidRPr="00805964">
              <w:rPr>
                <w:rFonts w:cs="Times New Roman"/>
                <w:b/>
                <w:sz w:val="24"/>
                <w:szCs w:val="24"/>
                <w:u w:val="single"/>
              </w:rPr>
              <w:t>Návrhy zákonů</w:t>
            </w:r>
          </w:p>
        </w:tc>
        <w:tc>
          <w:tcPr>
            <w:tcW w:w="2044" w:type="dxa"/>
          </w:tcPr>
          <w:p w:rsidR="00F5593E" w:rsidRPr="00805964" w:rsidRDefault="00F5593E" w:rsidP="0029635A">
            <w:pPr>
              <w:spacing w:line="360" w:lineRule="auto"/>
              <w:contextualSpacing/>
              <w:jc w:val="both"/>
              <w:rPr>
                <w:rFonts w:cs="Times New Roman"/>
                <w:b/>
                <w:sz w:val="24"/>
                <w:szCs w:val="24"/>
                <w:u w:val="single"/>
              </w:rPr>
            </w:pPr>
            <w:r w:rsidRPr="00805964">
              <w:rPr>
                <w:rFonts w:cs="Times New Roman"/>
                <w:b/>
                <w:sz w:val="24"/>
                <w:szCs w:val="24"/>
                <w:u w:val="single"/>
              </w:rPr>
              <w:t>Počet bodů</w:t>
            </w:r>
          </w:p>
        </w:tc>
      </w:tr>
      <w:tr w:rsidR="00F5593E" w:rsidRPr="00805964" w:rsidTr="00F5593E">
        <w:tc>
          <w:tcPr>
            <w:tcW w:w="4742"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Senát schválí v původním znění</w:t>
            </w:r>
          </w:p>
        </w:tc>
        <w:tc>
          <w:tcPr>
            <w:tcW w:w="2044"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 xml:space="preserve">1 </w:t>
            </w:r>
            <w:proofErr w:type="spellStart"/>
            <w:r w:rsidRPr="00805964">
              <w:rPr>
                <w:rFonts w:cs="Times New Roman"/>
                <w:sz w:val="24"/>
                <w:szCs w:val="24"/>
              </w:rPr>
              <w:t>b</w:t>
            </w:r>
            <w:proofErr w:type="spellEnd"/>
            <w:r w:rsidRPr="00805964">
              <w:rPr>
                <w:rFonts w:cs="Times New Roman"/>
                <w:sz w:val="24"/>
                <w:szCs w:val="24"/>
              </w:rPr>
              <w:t>.</w:t>
            </w:r>
          </w:p>
        </w:tc>
      </w:tr>
      <w:tr w:rsidR="00F5593E" w:rsidRPr="00805964" w:rsidTr="00F5593E">
        <w:tc>
          <w:tcPr>
            <w:tcW w:w="4742"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Senátní pozměňovací návrh - projde</w:t>
            </w:r>
          </w:p>
        </w:tc>
        <w:tc>
          <w:tcPr>
            <w:tcW w:w="2044"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 xml:space="preserve">3 </w:t>
            </w:r>
            <w:proofErr w:type="spellStart"/>
            <w:r w:rsidRPr="00805964">
              <w:rPr>
                <w:rFonts w:cs="Times New Roman"/>
                <w:sz w:val="24"/>
                <w:szCs w:val="24"/>
              </w:rPr>
              <w:t>b</w:t>
            </w:r>
            <w:proofErr w:type="spellEnd"/>
            <w:r w:rsidRPr="00805964">
              <w:rPr>
                <w:rFonts w:cs="Times New Roman"/>
                <w:sz w:val="24"/>
                <w:szCs w:val="24"/>
              </w:rPr>
              <w:t>.</w:t>
            </w:r>
          </w:p>
        </w:tc>
      </w:tr>
      <w:tr w:rsidR="00F5593E" w:rsidRPr="00805964" w:rsidTr="00F5593E">
        <w:tc>
          <w:tcPr>
            <w:tcW w:w="4742"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Senátní pozměňovací návrh - neprojde</w:t>
            </w:r>
          </w:p>
        </w:tc>
        <w:tc>
          <w:tcPr>
            <w:tcW w:w="2044"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 xml:space="preserve">2 </w:t>
            </w:r>
            <w:proofErr w:type="spellStart"/>
            <w:r w:rsidRPr="00805964">
              <w:rPr>
                <w:rFonts w:cs="Times New Roman"/>
                <w:sz w:val="24"/>
                <w:szCs w:val="24"/>
              </w:rPr>
              <w:t>b</w:t>
            </w:r>
            <w:proofErr w:type="spellEnd"/>
            <w:r w:rsidRPr="00805964">
              <w:rPr>
                <w:rFonts w:cs="Times New Roman"/>
                <w:sz w:val="24"/>
                <w:szCs w:val="24"/>
              </w:rPr>
              <w:t>.</w:t>
            </w:r>
          </w:p>
        </w:tc>
      </w:tr>
      <w:tr w:rsidR="00F5593E" w:rsidRPr="00805964" w:rsidTr="00F5593E">
        <w:tc>
          <w:tcPr>
            <w:tcW w:w="4742"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Senát zamítne návrh zákona - PS přehlasuje</w:t>
            </w:r>
          </w:p>
        </w:tc>
        <w:tc>
          <w:tcPr>
            <w:tcW w:w="2044"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 xml:space="preserve">1 </w:t>
            </w:r>
            <w:proofErr w:type="spellStart"/>
            <w:r w:rsidRPr="00805964">
              <w:rPr>
                <w:rFonts w:cs="Times New Roman"/>
                <w:sz w:val="24"/>
                <w:szCs w:val="24"/>
              </w:rPr>
              <w:t>b</w:t>
            </w:r>
            <w:proofErr w:type="spellEnd"/>
            <w:r w:rsidRPr="00805964">
              <w:rPr>
                <w:rFonts w:cs="Times New Roman"/>
                <w:sz w:val="24"/>
                <w:szCs w:val="24"/>
              </w:rPr>
              <w:t>.</w:t>
            </w:r>
          </w:p>
        </w:tc>
      </w:tr>
      <w:tr w:rsidR="00F5593E" w:rsidRPr="00805964" w:rsidTr="00F5593E">
        <w:tc>
          <w:tcPr>
            <w:tcW w:w="4742"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Senát zamítne návrh zákona - PS nepřehlasuje</w:t>
            </w:r>
          </w:p>
        </w:tc>
        <w:tc>
          <w:tcPr>
            <w:tcW w:w="2044"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 xml:space="preserve">3 </w:t>
            </w:r>
            <w:proofErr w:type="spellStart"/>
            <w:r w:rsidRPr="00805964">
              <w:rPr>
                <w:rFonts w:cs="Times New Roman"/>
                <w:sz w:val="24"/>
                <w:szCs w:val="24"/>
              </w:rPr>
              <w:t>b</w:t>
            </w:r>
            <w:proofErr w:type="spellEnd"/>
            <w:r w:rsidRPr="00805964">
              <w:rPr>
                <w:rFonts w:cs="Times New Roman"/>
                <w:sz w:val="24"/>
                <w:szCs w:val="24"/>
              </w:rPr>
              <w:t>.</w:t>
            </w:r>
          </w:p>
        </w:tc>
      </w:tr>
      <w:tr w:rsidR="00F5593E" w:rsidRPr="00805964" w:rsidTr="00F5593E">
        <w:tc>
          <w:tcPr>
            <w:tcW w:w="4742"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Senát se návrhem nezabývá</w:t>
            </w:r>
          </w:p>
        </w:tc>
        <w:tc>
          <w:tcPr>
            <w:tcW w:w="2044"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 xml:space="preserve">0 </w:t>
            </w:r>
            <w:proofErr w:type="spellStart"/>
            <w:r w:rsidRPr="00805964">
              <w:rPr>
                <w:rFonts w:cs="Times New Roman"/>
                <w:sz w:val="24"/>
                <w:szCs w:val="24"/>
              </w:rPr>
              <w:t>b</w:t>
            </w:r>
            <w:proofErr w:type="spellEnd"/>
            <w:r w:rsidRPr="00805964">
              <w:rPr>
                <w:rFonts w:cs="Times New Roman"/>
                <w:sz w:val="24"/>
                <w:szCs w:val="24"/>
              </w:rPr>
              <w:t>.</w:t>
            </w:r>
          </w:p>
        </w:tc>
      </w:tr>
      <w:tr w:rsidR="00F5593E" w:rsidRPr="00805964" w:rsidTr="00F5593E">
        <w:tc>
          <w:tcPr>
            <w:tcW w:w="4742"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Senát se nestihne v určené době usnést</w:t>
            </w:r>
          </w:p>
        </w:tc>
        <w:tc>
          <w:tcPr>
            <w:tcW w:w="2044" w:type="dxa"/>
          </w:tcPr>
          <w:p w:rsidR="00F5593E" w:rsidRPr="00805964" w:rsidRDefault="00F5593E" w:rsidP="0029635A">
            <w:pPr>
              <w:spacing w:line="360" w:lineRule="auto"/>
              <w:contextualSpacing/>
              <w:jc w:val="both"/>
              <w:rPr>
                <w:rFonts w:cs="Times New Roman"/>
                <w:sz w:val="24"/>
                <w:szCs w:val="24"/>
              </w:rPr>
            </w:pPr>
            <w:r w:rsidRPr="00805964">
              <w:rPr>
                <w:rFonts w:cs="Times New Roman"/>
                <w:sz w:val="24"/>
                <w:szCs w:val="24"/>
              </w:rPr>
              <w:t xml:space="preserve">0 </w:t>
            </w:r>
            <w:proofErr w:type="spellStart"/>
            <w:r w:rsidRPr="00805964">
              <w:rPr>
                <w:rFonts w:cs="Times New Roman"/>
                <w:sz w:val="24"/>
                <w:szCs w:val="24"/>
              </w:rPr>
              <w:t>b</w:t>
            </w:r>
            <w:proofErr w:type="spellEnd"/>
            <w:r w:rsidRPr="00805964">
              <w:rPr>
                <w:rFonts w:cs="Times New Roman"/>
                <w:sz w:val="24"/>
                <w:szCs w:val="24"/>
              </w:rPr>
              <w:t>.</w:t>
            </w:r>
          </w:p>
        </w:tc>
      </w:tr>
    </w:tbl>
    <w:p w:rsidR="00F5593E" w:rsidRPr="00805964" w:rsidRDefault="00F5593E" w:rsidP="0029635A">
      <w:pPr>
        <w:spacing w:line="360" w:lineRule="auto"/>
        <w:contextualSpacing/>
        <w:jc w:val="both"/>
        <w:rPr>
          <w:rFonts w:cs="Times New Roman"/>
          <w:szCs w:val="24"/>
        </w:rPr>
      </w:pPr>
    </w:p>
    <w:p w:rsidR="00F5593E" w:rsidRPr="00805964" w:rsidRDefault="00F5593E" w:rsidP="0029635A">
      <w:pPr>
        <w:spacing w:line="360" w:lineRule="auto"/>
        <w:contextualSpacing/>
        <w:jc w:val="both"/>
        <w:rPr>
          <w:rFonts w:cs="Times New Roman"/>
          <w:szCs w:val="24"/>
        </w:rPr>
      </w:pPr>
    </w:p>
    <w:p w:rsidR="00F5593E" w:rsidRPr="00805964" w:rsidRDefault="00F5593E" w:rsidP="0029635A">
      <w:pPr>
        <w:spacing w:line="360" w:lineRule="auto"/>
        <w:contextualSpacing/>
        <w:jc w:val="both"/>
        <w:rPr>
          <w:rFonts w:cs="Times New Roman"/>
          <w:szCs w:val="24"/>
        </w:rPr>
      </w:pPr>
    </w:p>
    <w:p w:rsidR="00F5593E" w:rsidRPr="00805964" w:rsidRDefault="00F5593E" w:rsidP="0029635A">
      <w:pPr>
        <w:spacing w:line="360" w:lineRule="auto"/>
        <w:contextualSpacing/>
        <w:jc w:val="both"/>
        <w:rPr>
          <w:rFonts w:cs="Times New Roman"/>
          <w:szCs w:val="24"/>
        </w:rPr>
      </w:pPr>
    </w:p>
    <w:p w:rsidR="00F5593E" w:rsidRPr="00805964" w:rsidRDefault="00F5593E" w:rsidP="0029635A">
      <w:pPr>
        <w:spacing w:line="360" w:lineRule="auto"/>
        <w:contextualSpacing/>
        <w:jc w:val="both"/>
        <w:rPr>
          <w:rFonts w:cs="Times New Roman"/>
          <w:szCs w:val="24"/>
        </w:rPr>
      </w:pPr>
    </w:p>
    <w:p w:rsidR="00F5593E" w:rsidRPr="00805964" w:rsidRDefault="00F5593E" w:rsidP="0029635A">
      <w:pPr>
        <w:spacing w:line="360" w:lineRule="auto"/>
        <w:contextualSpacing/>
        <w:jc w:val="center"/>
        <w:rPr>
          <w:rFonts w:cs="Times New Roman"/>
          <w:b/>
          <w:szCs w:val="24"/>
          <w:u w:val="single"/>
        </w:rPr>
      </w:pPr>
      <w:r w:rsidRPr="00805964">
        <w:rPr>
          <w:rFonts w:cs="Times New Roman"/>
          <w:szCs w:val="24"/>
        </w:rPr>
        <w:br/>
      </w:r>
    </w:p>
    <w:p w:rsidR="00F5593E" w:rsidRPr="00805964" w:rsidRDefault="00F5593E" w:rsidP="0029635A">
      <w:pPr>
        <w:spacing w:line="360" w:lineRule="auto"/>
        <w:contextualSpacing/>
        <w:jc w:val="center"/>
        <w:rPr>
          <w:rFonts w:cs="Times New Roman"/>
          <w:b/>
          <w:szCs w:val="24"/>
          <w:u w:val="single"/>
        </w:rPr>
      </w:pPr>
    </w:p>
    <w:p w:rsidR="0029635A" w:rsidRPr="00805964" w:rsidRDefault="0029635A" w:rsidP="0029635A">
      <w:pPr>
        <w:spacing w:line="360" w:lineRule="auto"/>
        <w:contextualSpacing/>
        <w:jc w:val="center"/>
        <w:rPr>
          <w:rFonts w:cs="Times New Roman"/>
          <w:b/>
          <w:sz w:val="22"/>
          <w:u w:val="single"/>
        </w:rPr>
      </w:pPr>
    </w:p>
    <w:p w:rsidR="00567A0C" w:rsidRPr="00805964" w:rsidRDefault="00567A0C" w:rsidP="00567A0C">
      <w:pPr>
        <w:spacing w:line="360" w:lineRule="auto"/>
        <w:contextualSpacing/>
        <w:jc w:val="center"/>
        <w:rPr>
          <w:rFonts w:cs="Times New Roman"/>
          <w:b/>
          <w:sz w:val="22"/>
          <w:u w:val="single"/>
        </w:rPr>
      </w:pPr>
    </w:p>
    <w:p w:rsidR="00567A0C" w:rsidRPr="00805964" w:rsidRDefault="00567A0C" w:rsidP="00567A0C">
      <w:pPr>
        <w:spacing w:line="360" w:lineRule="auto"/>
        <w:contextualSpacing/>
        <w:jc w:val="center"/>
        <w:rPr>
          <w:rFonts w:cs="Times New Roman"/>
          <w:b/>
          <w:sz w:val="22"/>
          <w:u w:val="single"/>
        </w:rPr>
      </w:pPr>
    </w:p>
    <w:p w:rsidR="00F5593E" w:rsidRPr="00805964" w:rsidRDefault="00D13842" w:rsidP="00567A0C">
      <w:pPr>
        <w:spacing w:line="360" w:lineRule="auto"/>
        <w:contextualSpacing/>
        <w:jc w:val="center"/>
        <w:rPr>
          <w:rFonts w:cs="Times New Roman"/>
          <w:b/>
          <w:sz w:val="22"/>
          <w:u w:val="single"/>
        </w:rPr>
      </w:pPr>
      <w:r w:rsidRPr="00805964">
        <w:rPr>
          <w:rFonts w:cs="Times New Roman"/>
          <w:i/>
          <w:sz w:val="22"/>
        </w:rPr>
        <w:t xml:space="preserve">Zpracoval: </w:t>
      </w:r>
      <w:r w:rsidR="00F5593E" w:rsidRPr="00805964">
        <w:rPr>
          <w:rFonts w:cs="Times New Roman"/>
          <w:i/>
          <w:sz w:val="22"/>
        </w:rPr>
        <w:t>Autor.</w:t>
      </w:r>
    </w:p>
    <w:p w:rsidR="0029635A" w:rsidRPr="00805964" w:rsidRDefault="00F5593E" w:rsidP="0029635A">
      <w:pPr>
        <w:widowControl w:val="0"/>
        <w:tabs>
          <w:tab w:val="left" w:pos="709"/>
        </w:tabs>
        <w:suppressAutoHyphens/>
        <w:autoSpaceDE w:val="0"/>
        <w:autoSpaceDN w:val="0"/>
        <w:adjustRightInd w:val="0"/>
        <w:spacing w:line="360" w:lineRule="auto"/>
        <w:contextualSpacing/>
        <w:jc w:val="both"/>
        <w:rPr>
          <w:rFonts w:cs="Times New Roman"/>
          <w:szCs w:val="24"/>
        </w:rPr>
      </w:pPr>
      <w:r w:rsidRPr="00805964">
        <w:rPr>
          <w:rFonts w:cs="Times New Roman"/>
          <w:szCs w:val="24"/>
        </w:rPr>
        <w:tab/>
      </w:r>
    </w:p>
    <w:p w:rsidR="00C25BCA" w:rsidRPr="00805964" w:rsidRDefault="0029635A" w:rsidP="0029635A">
      <w:pPr>
        <w:widowControl w:val="0"/>
        <w:tabs>
          <w:tab w:val="left" w:pos="709"/>
        </w:tabs>
        <w:suppressAutoHyphens/>
        <w:autoSpaceDE w:val="0"/>
        <w:autoSpaceDN w:val="0"/>
        <w:adjustRightInd w:val="0"/>
        <w:spacing w:line="360" w:lineRule="auto"/>
        <w:contextualSpacing/>
        <w:jc w:val="both"/>
        <w:rPr>
          <w:rFonts w:ascii="Calibri" w:hAnsi="Calibri" w:cs="Calibri"/>
          <w:sz w:val="22"/>
        </w:rPr>
      </w:pPr>
      <w:r w:rsidRPr="00805964">
        <w:rPr>
          <w:rFonts w:cs="Times New Roman"/>
          <w:szCs w:val="24"/>
        </w:rPr>
        <w:tab/>
      </w:r>
      <w:r w:rsidR="00F00AA3" w:rsidRPr="00805964">
        <w:rPr>
          <w:szCs w:val="24"/>
        </w:rPr>
        <w:t xml:space="preserve">Abychom eliminovali vliv aktivity Poslanecké sněmovny na skóre efektivity, normalizujeme v druhé variantě výslednou hodnotu počtem zákonů. Efektivnost dle této varianty tedy vyjadřuje, jak se Senát prosazuje, a nezávisí na množství zákonů, které předloží Poslanecká sněmovna. Samozřejmě, pokud bude PS podávat zákony, které Senát nemá důvod připomínkovat, bude to mít na efektivitu stále vliv. První varianta závisela nejen na kvalitě </w:t>
      </w:r>
      <w:r w:rsidR="00F00AA3" w:rsidRPr="00805964">
        <w:rPr>
          <w:szCs w:val="24"/>
        </w:rPr>
        <w:lastRenderedPageBreak/>
        <w:t>zákonů předložených PS, ale i na jejich počtu. Druhá varianta normalizací skóre eliminuje vliv kvantity zákonů a závisí na činnosti PS pouze kvalitativně. Výstupem této varianty je průměrný počet bodů, který Senát za každou analyzovanou situaci obdrží.</w:t>
      </w:r>
      <w:r w:rsidR="00C25BCA" w:rsidRPr="00805964">
        <w:rPr>
          <w:rFonts w:cs="Times New Roman"/>
          <w:szCs w:val="24"/>
        </w:rPr>
        <w:t xml:space="preserve"> </w:t>
      </w:r>
    </w:p>
    <w:p w:rsidR="00F5593E" w:rsidRPr="00805964" w:rsidRDefault="00F5593E" w:rsidP="0029635A">
      <w:pPr>
        <w:spacing w:line="360" w:lineRule="auto"/>
        <w:contextualSpacing/>
        <w:jc w:val="both"/>
        <w:rPr>
          <w:rFonts w:cs="Times New Roman"/>
          <w:szCs w:val="24"/>
          <w:shd w:val="clear" w:color="auto" w:fill="FFFFFF"/>
        </w:rPr>
      </w:pPr>
    </w:p>
    <w:p w:rsidR="00F5593E" w:rsidRPr="00805964" w:rsidRDefault="00FC269F" w:rsidP="00F00AA3">
      <w:pPr>
        <w:pStyle w:val="Nadpis2"/>
        <w:contextualSpacing/>
        <w:rPr>
          <w:rFonts w:cs="Times New Roman"/>
        </w:rPr>
      </w:pPr>
      <w:bookmarkStart w:id="14" w:name="_Toc359918280"/>
      <w:r w:rsidRPr="00805964">
        <w:rPr>
          <w:rFonts w:cs="Times New Roman"/>
        </w:rPr>
        <w:t>2.</w:t>
      </w:r>
      <w:r w:rsidR="00267AB1">
        <w:rPr>
          <w:rFonts w:cs="Times New Roman"/>
        </w:rPr>
        <w:t xml:space="preserve"> </w:t>
      </w:r>
      <w:r w:rsidRPr="00805964">
        <w:rPr>
          <w:rFonts w:cs="Times New Roman"/>
        </w:rPr>
        <w:t>2 Třetí a čtvrtá varianta</w:t>
      </w:r>
      <w:r w:rsidR="00EE19CE" w:rsidRPr="00805964">
        <w:rPr>
          <w:rFonts w:cs="Times New Roman"/>
        </w:rPr>
        <w:t xml:space="preserve"> </w:t>
      </w:r>
      <w:r w:rsidR="00F00AA3" w:rsidRPr="00805964">
        <w:rPr>
          <w:rFonts w:cs="Times New Roman"/>
        </w:rPr>
        <w:t>–</w:t>
      </w:r>
      <w:r w:rsidR="00EE19CE" w:rsidRPr="00805964">
        <w:rPr>
          <w:rFonts w:cs="Times New Roman"/>
        </w:rPr>
        <w:t xml:space="preserve"> </w:t>
      </w:r>
      <w:r w:rsidR="00F5593E" w:rsidRPr="00805964">
        <w:rPr>
          <w:rFonts w:cs="Times New Roman"/>
        </w:rPr>
        <w:t>pomě</w:t>
      </w:r>
      <w:r w:rsidR="00F00AA3" w:rsidRPr="00805964">
        <w:rPr>
          <w:rFonts w:cs="Times New Roman"/>
        </w:rPr>
        <w:t xml:space="preserve">rná efektivita a vážená poměrná </w:t>
      </w:r>
      <w:r w:rsidR="00F5593E" w:rsidRPr="00805964">
        <w:rPr>
          <w:rFonts w:cs="Times New Roman"/>
        </w:rPr>
        <w:t>efektivita</w:t>
      </w:r>
      <w:bookmarkEnd w:id="14"/>
    </w:p>
    <w:p w:rsidR="00F5593E" w:rsidRPr="00805964" w:rsidRDefault="00F5593E" w:rsidP="0029635A">
      <w:pPr>
        <w:spacing w:line="360" w:lineRule="auto"/>
        <w:contextualSpacing/>
        <w:jc w:val="both"/>
        <w:rPr>
          <w:rFonts w:cs="Times New Roman"/>
          <w:szCs w:val="24"/>
        </w:rPr>
      </w:pPr>
    </w:p>
    <w:p w:rsidR="00F00AA3" w:rsidRPr="00805964" w:rsidRDefault="00F5593E" w:rsidP="00F00AA3">
      <w:pPr>
        <w:widowControl w:val="0"/>
        <w:tabs>
          <w:tab w:val="left" w:pos="709"/>
        </w:tabs>
        <w:suppressAutoHyphens/>
        <w:autoSpaceDE w:val="0"/>
        <w:spacing w:line="360" w:lineRule="auto"/>
        <w:contextualSpacing/>
        <w:jc w:val="both"/>
        <w:rPr>
          <w:szCs w:val="24"/>
        </w:rPr>
      </w:pPr>
      <w:r w:rsidRPr="00805964">
        <w:rPr>
          <w:rFonts w:cs="Times New Roman"/>
          <w:szCs w:val="24"/>
        </w:rPr>
        <w:tab/>
      </w:r>
      <w:r w:rsidR="00F00AA3" w:rsidRPr="00805964">
        <w:rPr>
          <w:szCs w:val="24"/>
        </w:rPr>
        <w:t>Poslední dvě varianty sledují efektivitu Senátu, pokud se rozhodl využít svých pravomocí a připomínkovat, či zamítnout návrh zákona. Kritéria jsou nastavena tak, aby efektivita přímo nesouvisela s činností Poslanecké sněmovny. Tyto varianty tedy nezávisí ani na četnosti zákonů, ani na jejich kvalitě. Hodnotíme pouze sílu Senátu v případě, ve kterých se rozhodl využít své pravomoci pozměnit, nebo zamítnout zákon.</w:t>
      </w:r>
    </w:p>
    <w:p w:rsidR="00F00AA3" w:rsidRPr="00805964" w:rsidRDefault="00F00AA3" w:rsidP="00F00AA3">
      <w:pPr>
        <w:widowControl w:val="0"/>
        <w:tabs>
          <w:tab w:val="left" w:pos="709"/>
        </w:tabs>
        <w:suppressAutoHyphens/>
        <w:autoSpaceDE w:val="0"/>
        <w:spacing w:line="360" w:lineRule="auto"/>
        <w:contextualSpacing/>
        <w:jc w:val="both"/>
        <w:rPr>
          <w:szCs w:val="24"/>
        </w:rPr>
      </w:pPr>
      <w:r w:rsidRPr="00805964">
        <w:rPr>
          <w:szCs w:val="24"/>
        </w:rPr>
        <w:tab/>
        <w:t>V třetí a čtvrté variantě se při analýze efektivity setkáváme s šesti následujícími situacemi:</w:t>
      </w:r>
    </w:p>
    <w:p w:rsidR="00F00AA3" w:rsidRPr="00805964" w:rsidRDefault="00F00AA3" w:rsidP="00F00AA3">
      <w:pPr>
        <w:pStyle w:val="Odstavecseseznamem"/>
        <w:widowControl w:val="0"/>
        <w:numPr>
          <w:ilvl w:val="0"/>
          <w:numId w:val="6"/>
        </w:numPr>
        <w:tabs>
          <w:tab w:val="left" w:pos="709"/>
        </w:tabs>
        <w:suppressAutoHyphens/>
        <w:autoSpaceDE w:val="0"/>
        <w:spacing w:line="360" w:lineRule="auto"/>
        <w:jc w:val="both"/>
        <w:rPr>
          <w:rFonts w:eastAsia="Times New Roman"/>
          <w:szCs w:val="24"/>
        </w:rPr>
      </w:pPr>
      <w:r w:rsidRPr="00805964">
        <w:rPr>
          <w:szCs w:val="24"/>
        </w:rPr>
        <w:t xml:space="preserve">Senát podá pozměňovací návrh(y) k návrhu běžné legislativy a Poslanecká sněmovna návrh(y) přijme (situaci hodnotíme jako příznivou pro efektivitu Senátu a řadíme v následujících tabulkách do kategorie </w:t>
      </w:r>
      <w:r w:rsidRPr="00805964">
        <w:rPr>
          <w:noProof/>
          <w:position w:val="-4"/>
          <w:lang w:eastAsia="cs-CZ"/>
        </w:rPr>
        <w:drawing>
          <wp:inline distT="0" distB="0" distL="0" distR="0">
            <wp:extent cx="142875" cy="209550"/>
            <wp:effectExtent l="19050" t="0" r="9525" b="0"/>
            <wp:docPr id="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42875" cy="209550"/>
                    </a:xfrm>
                    <a:prstGeom prst="rect">
                      <a:avLst/>
                    </a:prstGeom>
                    <a:solidFill>
                      <a:srgbClr val="FFFFFF"/>
                    </a:solidFill>
                    <a:ln w="9525">
                      <a:noFill/>
                      <a:miter lim="800000"/>
                      <a:headEnd/>
                      <a:tailEnd/>
                    </a:ln>
                  </pic:spPr>
                </pic:pic>
              </a:graphicData>
            </a:graphic>
          </wp:inline>
        </w:drawing>
      </w:r>
      <w:r w:rsidRPr="00805964">
        <w:rPr>
          <w:rFonts w:eastAsia="Times New Roman"/>
          <w:szCs w:val="24"/>
        </w:rPr>
        <w:t>).</w:t>
      </w:r>
    </w:p>
    <w:p w:rsidR="00F00AA3" w:rsidRPr="00805964" w:rsidRDefault="00F00AA3" w:rsidP="00F00AA3">
      <w:pPr>
        <w:pStyle w:val="Odstavecseseznamem"/>
        <w:widowControl w:val="0"/>
        <w:numPr>
          <w:ilvl w:val="0"/>
          <w:numId w:val="6"/>
        </w:numPr>
        <w:tabs>
          <w:tab w:val="left" w:pos="709"/>
        </w:tabs>
        <w:suppressAutoHyphens/>
        <w:autoSpaceDE w:val="0"/>
        <w:spacing w:line="360" w:lineRule="auto"/>
        <w:jc w:val="both"/>
        <w:rPr>
          <w:rFonts w:eastAsia="Times New Roman"/>
          <w:szCs w:val="24"/>
        </w:rPr>
      </w:pPr>
      <w:r w:rsidRPr="00805964">
        <w:rPr>
          <w:rFonts w:eastAsia="Times New Roman"/>
          <w:szCs w:val="24"/>
        </w:rPr>
        <w:t xml:space="preserve"> </w:t>
      </w:r>
      <w:r w:rsidRPr="00805964">
        <w:rPr>
          <w:szCs w:val="24"/>
        </w:rPr>
        <w:t xml:space="preserve">Senát podá pozměňovací návrh(y) k návrhu běžné legislativy a Poslanecká sněmovna návrh(y) nepřijme (konání Senátu považujeme za neefektivní, protože nedokázal prosadit své návrhy; v následujících tabulkách patří situace do kategorie </w:t>
      </w:r>
      <w:r w:rsidRPr="00805964">
        <w:rPr>
          <w:noProof/>
          <w:position w:val="-5"/>
          <w:lang w:eastAsia="cs-CZ"/>
        </w:rPr>
        <w:drawing>
          <wp:inline distT="0" distB="0" distL="0" distR="0">
            <wp:extent cx="142875" cy="219075"/>
            <wp:effectExtent l="19050" t="0" r="9525" b="0"/>
            <wp:docPr id="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142875" cy="219075"/>
                    </a:xfrm>
                    <a:prstGeom prst="rect">
                      <a:avLst/>
                    </a:prstGeom>
                    <a:solidFill>
                      <a:srgbClr val="FFFFFF"/>
                    </a:solidFill>
                    <a:ln w="9525">
                      <a:noFill/>
                      <a:miter lim="800000"/>
                      <a:headEnd/>
                      <a:tailEnd/>
                    </a:ln>
                  </pic:spPr>
                </pic:pic>
              </a:graphicData>
            </a:graphic>
          </wp:inline>
        </w:drawing>
      </w:r>
      <w:r w:rsidRPr="00805964">
        <w:rPr>
          <w:rFonts w:eastAsia="Times New Roman"/>
          <w:szCs w:val="24"/>
        </w:rPr>
        <w:t>).</w:t>
      </w:r>
    </w:p>
    <w:p w:rsidR="00F00AA3" w:rsidRPr="00805964" w:rsidRDefault="00F00AA3" w:rsidP="00F00AA3">
      <w:pPr>
        <w:pStyle w:val="Odstavecseseznamem"/>
        <w:widowControl w:val="0"/>
        <w:numPr>
          <w:ilvl w:val="0"/>
          <w:numId w:val="6"/>
        </w:numPr>
        <w:tabs>
          <w:tab w:val="left" w:pos="709"/>
        </w:tabs>
        <w:suppressAutoHyphens/>
        <w:autoSpaceDE w:val="0"/>
        <w:spacing w:line="360" w:lineRule="auto"/>
        <w:jc w:val="both"/>
        <w:rPr>
          <w:rFonts w:eastAsia="Times New Roman"/>
          <w:szCs w:val="24"/>
        </w:rPr>
      </w:pPr>
      <w:r w:rsidRPr="00805964">
        <w:rPr>
          <w:rFonts w:eastAsia="Times New Roman"/>
          <w:szCs w:val="24"/>
        </w:rPr>
        <w:t xml:space="preserve">Senát podá pozměňovací návrh(y) k návrhu ústavního zákona a Poslanecká sněmovna návrh(y) přijme a ústavní zákon je přijat ve znění schváleném Senátem (jednání Senátu bylo efektivní a situaci řadíme do kategorie </w:t>
      </w:r>
      <w:r w:rsidRPr="00805964">
        <w:rPr>
          <w:noProof/>
          <w:position w:val="-4"/>
          <w:lang w:eastAsia="cs-CZ"/>
        </w:rPr>
        <w:drawing>
          <wp:inline distT="0" distB="0" distL="0" distR="0">
            <wp:extent cx="142875" cy="209550"/>
            <wp:effectExtent l="19050" t="0" r="9525" b="0"/>
            <wp:docPr id="1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42875" cy="209550"/>
                    </a:xfrm>
                    <a:prstGeom prst="rect">
                      <a:avLst/>
                    </a:prstGeom>
                    <a:solidFill>
                      <a:srgbClr val="FFFFFF"/>
                    </a:solidFill>
                    <a:ln w="9525">
                      <a:noFill/>
                      <a:miter lim="800000"/>
                      <a:headEnd/>
                      <a:tailEnd/>
                    </a:ln>
                  </pic:spPr>
                </pic:pic>
              </a:graphicData>
            </a:graphic>
          </wp:inline>
        </w:drawing>
      </w:r>
      <w:r w:rsidRPr="00805964">
        <w:rPr>
          <w:rFonts w:eastAsia="Times New Roman"/>
          <w:szCs w:val="24"/>
        </w:rPr>
        <w:t>).</w:t>
      </w:r>
    </w:p>
    <w:p w:rsidR="00F00AA3" w:rsidRPr="00805964" w:rsidRDefault="00F00AA3" w:rsidP="00F00AA3">
      <w:pPr>
        <w:pStyle w:val="Odstavecseseznamem"/>
        <w:widowControl w:val="0"/>
        <w:numPr>
          <w:ilvl w:val="0"/>
          <w:numId w:val="6"/>
        </w:numPr>
        <w:tabs>
          <w:tab w:val="left" w:pos="709"/>
        </w:tabs>
        <w:suppressAutoHyphens/>
        <w:autoSpaceDE w:val="0"/>
        <w:spacing w:line="360" w:lineRule="auto"/>
        <w:jc w:val="both"/>
        <w:rPr>
          <w:rFonts w:eastAsia="Times New Roman"/>
          <w:szCs w:val="24"/>
        </w:rPr>
      </w:pPr>
      <w:r w:rsidRPr="00805964">
        <w:rPr>
          <w:rFonts w:eastAsia="Times New Roman"/>
          <w:szCs w:val="24"/>
        </w:rPr>
        <w:t xml:space="preserve">Senát zamítne návrh běžné legislativy a Poslanecká sněmovna senátní veto nepřehlasuje a legislativní proces tak končí (Senát byl ve svém jednání efektivní </w:t>
      </w:r>
      <w:r w:rsidR="00F34A18">
        <w:rPr>
          <w:rFonts w:eastAsia="Times New Roman"/>
          <w:szCs w:val="24"/>
        </w:rPr>
        <w:br/>
      </w:r>
      <w:r w:rsidRPr="00805964">
        <w:rPr>
          <w:rFonts w:eastAsia="Times New Roman"/>
          <w:szCs w:val="24"/>
        </w:rPr>
        <w:t xml:space="preserve">a situace spadá do kategorie </w:t>
      </w:r>
      <w:r w:rsidRPr="00805964">
        <w:rPr>
          <w:noProof/>
          <w:position w:val="-4"/>
          <w:lang w:eastAsia="cs-CZ"/>
        </w:rPr>
        <w:drawing>
          <wp:inline distT="0" distB="0" distL="0" distR="0">
            <wp:extent cx="161925" cy="209550"/>
            <wp:effectExtent l="19050" t="0" r="9525" b="0"/>
            <wp:docPr id="1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161925" cy="209550"/>
                    </a:xfrm>
                    <a:prstGeom prst="rect">
                      <a:avLst/>
                    </a:prstGeom>
                    <a:solidFill>
                      <a:srgbClr val="FFFFFF"/>
                    </a:solidFill>
                    <a:ln w="9525">
                      <a:noFill/>
                      <a:miter lim="800000"/>
                      <a:headEnd/>
                      <a:tailEnd/>
                    </a:ln>
                  </pic:spPr>
                </pic:pic>
              </a:graphicData>
            </a:graphic>
          </wp:inline>
        </w:drawing>
      </w:r>
      <w:r w:rsidRPr="00805964">
        <w:rPr>
          <w:rFonts w:eastAsia="Times New Roman"/>
          <w:szCs w:val="24"/>
        </w:rPr>
        <w:t>).</w:t>
      </w:r>
    </w:p>
    <w:p w:rsidR="00F00AA3" w:rsidRPr="00805964" w:rsidRDefault="00F00AA3" w:rsidP="00F00AA3">
      <w:pPr>
        <w:pStyle w:val="Odstavecseseznamem"/>
        <w:widowControl w:val="0"/>
        <w:numPr>
          <w:ilvl w:val="0"/>
          <w:numId w:val="6"/>
        </w:numPr>
        <w:tabs>
          <w:tab w:val="left" w:pos="709"/>
        </w:tabs>
        <w:suppressAutoHyphens/>
        <w:autoSpaceDE w:val="0"/>
        <w:spacing w:line="360" w:lineRule="auto"/>
        <w:jc w:val="both"/>
        <w:rPr>
          <w:rFonts w:eastAsia="Times New Roman"/>
          <w:szCs w:val="24"/>
        </w:rPr>
      </w:pPr>
      <w:r w:rsidRPr="00805964">
        <w:rPr>
          <w:rFonts w:eastAsia="Times New Roman"/>
          <w:szCs w:val="24"/>
        </w:rPr>
        <w:t xml:space="preserve">Senát zamítne návrh běžné legislativy a Poslanecká sněmovna senátní veto přehlasuje a zákon přijme (Senát byl neefektivní a jedná se o kategorii </w:t>
      </w:r>
      <w:r w:rsidRPr="00805964">
        <w:rPr>
          <w:noProof/>
          <w:position w:val="-5"/>
          <w:lang w:eastAsia="cs-CZ"/>
        </w:rPr>
        <w:drawing>
          <wp:inline distT="0" distB="0" distL="0" distR="0">
            <wp:extent cx="161925" cy="219075"/>
            <wp:effectExtent l="19050" t="0" r="9525" b="0"/>
            <wp:docPr id="1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1925" cy="219075"/>
                    </a:xfrm>
                    <a:prstGeom prst="rect">
                      <a:avLst/>
                    </a:prstGeom>
                    <a:solidFill>
                      <a:srgbClr val="FFFFFF"/>
                    </a:solidFill>
                    <a:ln w="9525">
                      <a:noFill/>
                      <a:miter lim="800000"/>
                      <a:headEnd/>
                      <a:tailEnd/>
                    </a:ln>
                  </pic:spPr>
                </pic:pic>
              </a:graphicData>
            </a:graphic>
          </wp:inline>
        </w:drawing>
      </w:r>
      <w:r w:rsidRPr="00805964">
        <w:rPr>
          <w:rFonts w:eastAsia="Times New Roman"/>
          <w:szCs w:val="24"/>
        </w:rPr>
        <w:t>).</w:t>
      </w:r>
    </w:p>
    <w:p w:rsidR="00F00AA3" w:rsidRPr="00805964" w:rsidRDefault="00F00AA3" w:rsidP="00F00AA3">
      <w:pPr>
        <w:pStyle w:val="Odstavecseseznamem"/>
        <w:widowControl w:val="0"/>
        <w:numPr>
          <w:ilvl w:val="0"/>
          <w:numId w:val="6"/>
        </w:numPr>
        <w:tabs>
          <w:tab w:val="left" w:pos="709"/>
        </w:tabs>
        <w:suppressAutoHyphens/>
        <w:autoSpaceDE w:val="0"/>
        <w:spacing w:line="360" w:lineRule="auto"/>
        <w:jc w:val="both"/>
        <w:rPr>
          <w:szCs w:val="24"/>
        </w:rPr>
      </w:pPr>
      <w:r w:rsidRPr="00805964">
        <w:rPr>
          <w:rFonts w:eastAsia="Times New Roman"/>
          <w:szCs w:val="24"/>
        </w:rPr>
        <w:t xml:space="preserve">Senát zamítne návrh ústavního zákona či mezinárodní smlouvy a legislativní proces končí (Senát byl efektivní; tento případ patří do kategorie </w:t>
      </w:r>
      <w:r w:rsidRPr="00805964">
        <w:rPr>
          <w:noProof/>
          <w:position w:val="-4"/>
          <w:lang w:eastAsia="cs-CZ"/>
        </w:rPr>
        <w:drawing>
          <wp:inline distT="0" distB="0" distL="0" distR="0">
            <wp:extent cx="257175" cy="209550"/>
            <wp:effectExtent l="19050" t="0" r="9525" b="0"/>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257175" cy="209550"/>
                    </a:xfrm>
                    <a:prstGeom prst="rect">
                      <a:avLst/>
                    </a:prstGeom>
                    <a:solidFill>
                      <a:srgbClr val="FFFFFF"/>
                    </a:solidFill>
                    <a:ln w="9525">
                      <a:noFill/>
                      <a:miter lim="800000"/>
                      <a:headEnd/>
                      <a:tailEnd/>
                    </a:ln>
                  </pic:spPr>
                </pic:pic>
              </a:graphicData>
            </a:graphic>
          </wp:inline>
        </w:drawing>
      </w:r>
    </w:p>
    <w:p w:rsidR="001A59F3" w:rsidRPr="00805964" w:rsidRDefault="00F00AA3" w:rsidP="00F00AA3">
      <w:pPr>
        <w:widowControl w:val="0"/>
        <w:tabs>
          <w:tab w:val="left" w:pos="709"/>
        </w:tabs>
        <w:suppressAutoHyphens/>
        <w:autoSpaceDE w:val="0"/>
        <w:autoSpaceDN w:val="0"/>
        <w:adjustRightInd w:val="0"/>
        <w:spacing w:line="360" w:lineRule="auto"/>
        <w:contextualSpacing/>
        <w:jc w:val="both"/>
        <w:rPr>
          <w:rFonts w:cs="Times New Roman"/>
          <w:szCs w:val="24"/>
        </w:rPr>
      </w:pPr>
      <w:r w:rsidRPr="00805964">
        <w:rPr>
          <w:szCs w:val="24"/>
        </w:rPr>
        <w:lastRenderedPageBreak/>
        <w:tab/>
        <w:t>Tyto situace mohou nejlépe demonstrovat míru efektivnosti Senátu v legislativním procesu. Případy, ve kterých Senát přijme návrh zákona ve znění předloženém PS anebo vyjádří vůli se návrhem zákona nezabývat, vypovída</w:t>
      </w:r>
      <w:r w:rsidR="00DC2678">
        <w:rPr>
          <w:szCs w:val="24"/>
        </w:rPr>
        <w:t xml:space="preserve">jí spíše o nedůležitosti Senátu </w:t>
      </w:r>
      <w:r w:rsidRPr="00805964">
        <w:rPr>
          <w:szCs w:val="24"/>
        </w:rPr>
        <w:t xml:space="preserve">v legislativním procesu než o jeho efektivnosti, a proto zde nebudou zohledněny. Poslední situací, která může nastat a s níž nebudeme počítat, je situace, v níž Senát podá pozměňovací návrh k návrhu zákona, avšak tento návrh zákona nakonec není přijat v žádném znění </w:t>
      </w:r>
      <w:r w:rsidR="00DC2678">
        <w:rPr>
          <w:szCs w:val="24"/>
        </w:rPr>
        <w:t>a </w:t>
      </w:r>
      <w:r w:rsidRPr="00805964">
        <w:rPr>
          <w:szCs w:val="24"/>
        </w:rPr>
        <w:t>legislativní proces je tak ukončen. S tímto se několikrát setkáme, avšak nebudeme tyto situace uvádět do celkového přehledu pozměňovacích návrhů u třetí a čtvrté varianty, jelikož je těžké posoudit, zda je tato situace pro Senát příznivá či nikoliv. Přehled takovýchto případů je však uveden v tabulce č. 5 představující přehled legislativní činnosti Senátu za všechna období. Ve třetí variantě nebudou zohledněny různé typy zákonů a všechna legislativa tak bude analyzována společně, se stejnou vahou.</w:t>
      </w:r>
    </w:p>
    <w:p w:rsidR="00567A0C" w:rsidRPr="00805964" w:rsidRDefault="00567A0C" w:rsidP="0029635A">
      <w:pPr>
        <w:spacing w:line="360" w:lineRule="auto"/>
        <w:contextualSpacing/>
        <w:jc w:val="both"/>
        <w:rPr>
          <w:rFonts w:cs="Times New Roman"/>
          <w:szCs w:val="24"/>
        </w:rPr>
      </w:pPr>
    </w:p>
    <w:p w:rsidR="00BC0412" w:rsidRPr="00805964" w:rsidRDefault="00567A0C" w:rsidP="00567A0C">
      <w:pPr>
        <w:spacing w:line="360" w:lineRule="auto"/>
        <w:contextualSpacing/>
        <w:jc w:val="center"/>
        <w:rPr>
          <w:rFonts w:cs="Times New Roman"/>
          <w:sz w:val="22"/>
        </w:rPr>
      </w:pPr>
      <w:r w:rsidRPr="00805964">
        <w:rPr>
          <w:rFonts w:cs="Times New Roman"/>
          <w:b/>
          <w:sz w:val="22"/>
          <w:u w:val="single"/>
        </w:rPr>
        <w:t>Tabulka č. 2: Poměrná efektivita</w:t>
      </w:r>
    </w:p>
    <w:tbl>
      <w:tblPr>
        <w:tblStyle w:val="Mkatabulky"/>
        <w:tblpPr w:leftFromText="141" w:rightFromText="141" w:vertAnchor="text" w:horzAnchor="margin" w:tblpY="5"/>
        <w:tblW w:w="0" w:type="auto"/>
        <w:tblLook w:val="04A0"/>
      </w:tblPr>
      <w:tblGrid>
        <w:gridCol w:w="2040"/>
        <w:gridCol w:w="1919"/>
        <w:gridCol w:w="1456"/>
        <w:gridCol w:w="1979"/>
        <w:gridCol w:w="1893"/>
      </w:tblGrid>
      <w:tr w:rsidR="0015712D" w:rsidRPr="00805964" w:rsidTr="001929EA">
        <w:trPr>
          <w:trHeight w:val="519"/>
        </w:trPr>
        <w:tc>
          <w:tcPr>
            <w:tcW w:w="2040" w:type="dxa"/>
            <w:vAlign w:val="center"/>
          </w:tcPr>
          <w:p w:rsidR="0015712D" w:rsidRPr="00805964" w:rsidRDefault="0015712D" w:rsidP="001929EA">
            <w:pPr>
              <w:spacing w:line="360" w:lineRule="auto"/>
              <w:contextualSpacing/>
              <w:jc w:val="center"/>
              <w:rPr>
                <w:rFonts w:cs="Times New Roman"/>
              </w:rPr>
            </w:pPr>
          </w:p>
        </w:tc>
        <w:tc>
          <w:tcPr>
            <w:tcW w:w="1919" w:type="dxa"/>
            <w:vAlign w:val="center"/>
          </w:tcPr>
          <w:p w:rsidR="0015712D" w:rsidRPr="00805964" w:rsidRDefault="0015712D" w:rsidP="001929EA">
            <w:pPr>
              <w:spacing w:line="360" w:lineRule="auto"/>
              <w:contextualSpacing/>
              <w:jc w:val="center"/>
              <w:rPr>
                <w:rFonts w:cs="Times New Roman"/>
                <w:b/>
              </w:rPr>
            </w:pPr>
            <w:r w:rsidRPr="00805964">
              <w:rPr>
                <w:rFonts w:cs="Times New Roman"/>
                <w:b/>
              </w:rPr>
              <w:t>Celkem</w:t>
            </w:r>
          </w:p>
        </w:tc>
        <w:tc>
          <w:tcPr>
            <w:tcW w:w="1456" w:type="dxa"/>
            <w:vAlign w:val="center"/>
          </w:tcPr>
          <w:p w:rsidR="0015712D" w:rsidRPr="00805964" w:rsidRDefault="0015712D" w:rsidP="001929EA">
            <w:pPr>
              <w:spacing w:line="360" w:lineRule="auto"/>
              <w:contextualSpacing/>
              <w:jc w:val="center"/>
              <w:rPr>
                <w:rFonts w:cs="Times New Roman"/>
                <w:b/>
              </w:rPr>
            </w:pPr>
            <w:r w:rsidRPr="00805964">
              <w:rPr>
                <w:rFonts w:cs="Times New Roman"/>
                <w:b/>
              </w:rPr>
              <w:t>Sněmovna přehlasuje</w:t>
            </w:r>
          </w:p>
        </w:tc>
        <w:tc>
          <w:tcPr>
            <w:tcW w:w="1979" w:type="dxa"/>
            <w:vAlign w:val="center"/>
          </w:tcPr>
          <w:p w:rsidR="0015712D" w:rsidRPr="00805964" w:rsidRDefault="0015712D" w:rsidP="001929EA">
            <w:pPr>
              <w:spacing w:line="360" w:lineRule="auto"/>
              <w:contextualSpacing/>
              <w:jc w:val="center"/>
              <w:rPr>
                <w:rFonts w:cs="Times New Roman"/>
                <w:b/>
              </w:rPr>
            </w:pPr>
            <w:r w:rsidRPr="00805964">
              <w:rPr>
                <w:rFonts w:cs="Times New Roman"/>
                <w:b/>
              </w:rPr>
              <w:t>Sněmovna nepřehlasuje</w:t>
            </w:r>
          </w:p>
        </w:tc>
        <w:tc>
          <w:tcPr>
            <w:tcW w:w="1893" w:type="dxa"/>
            <w:vAlign w:val="center"/>
          </w:tcPr>
          <w:p w:rsidR="0015712D" w:rsidRPr="00805964" w:rsidRDefault="0015712D" w:rsidP="001929EA">
            <w:pPr>
              <w:spacing w:line="360" w:lineRule="auto"/>
              <w:contextualSpacing/>
              <w:jc w:val="center"/>
              <w:rPr>
                <w:rFonts w:cs="Times New Roman"/>
                <w:b/>
              </w:rPr>
            </w:pPr>
            <w:r w:rsidRPr="00805964">
              <w:rPr>
                <w:rFonts w:cs="Times New Roman"/>
                <w:b/>
              </w:rPr>
              <w:t>Poměrná efektivita</w:t>
            </w:r>
          </w:p>
        </w:tc>
      </w:tr>
      <w:tr w:rsidR="0015712D" w:rsidRPr="00805964" w:rsidTr="001929EA">
        <w:trPr>
          <w:trHeight w:val="555"/>
        </w:trPr>
        <w:tc>
          <w:tcPr>
            <w:tcW w:w="2040" w:type="dxa"/>
            <w:vAlign w:val="center"/>
          </w:tcPr>
          <w:p w:rsidR="0015712D" w:rsidRPr="00805964" w:rsidRDefault="0015712D" w:rsidP="001929EA">
            <w:pPr>
              <w:spacing w:line="360" w:lineRule="auto"/>
              <w:contextualSpacing/>
              <w:jc w:val="center"/>
              <w:rPr>
                <w:rFonts w:cs="Times New Roman"/>
                <w:b/>
              </w:rPr>
            </w:pPr>
            <w:r w:rsidRPr="00805964">
              <w:rPr>
                <w:rFonts w:cs="Times New Roman"/>
                <w:b/>
              </w:rPr>
              <w:t>Pozměňovací návrhy</w:t>
            </w:r>
          </w:p>
        </w:tc>
        <w:tc>
          <w:tcPr>
            <w:tcW w:w="1919" w:type="dxa"/>
            <w:vAlign w:val="center"/>
          </w:tcPr>
          <w:p w:rsidR="0015712D" w:rsidRPr="00805964" w:rsidRDefault="0015712D" w:rsidP="001929EA">
            <w:pPr>
              <w:spacing w:line="360" w:lineRule="auto"/>
              <w:contextualSpacing/>
              <w:jc w:val="center"/>
              <w:rPr>
                <w:rFonts w:cs="Times New Roman"/>
                <w:i/>
              </w:rPr>
            </w:pPr>
            <m:oMathPara>
              <m:oMath>
                <m:r>
                  <w:rPr>
                    <w:rFonts w:ascii="Cambria Math" w:hAnsi="Cambria Math" w:cs="Times New Roman"/>
                  </w:rPr>
                  <m:t>P</m:t>
                </m:r>
                <m:r>
                  <w:rPr>
                    <w:rFonts w:asci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p</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oMath>
            </m:oMathPara>
          </w:p>
        </w:tc>
        <w:tc>
          <w:tcPr>
            <w:tcW w:w="1456" w:type="dxa"/>
            <w:vAlign w:val="center"/>
          </w:tcPr>
          <w:p w:rsidR="0015712D" w:rsidRPr="00805964" w:rsidRDefault="00EE58B6" w:rsidP="001929EA">
            <w:pPr>
              <w:spacing w:line="360" w:lineRule="auto"/>
              <w:contextualSpacing/>
              <w:jc w:val="center"/>
              <w:rPr>
                <w:rFonts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p</m:t>
                    </m:r>
                  </m:sub>
                </m:sSub>
              </m:oMath>
            </m:oMathPara>
          </w:p>
        </w:tc>
        <w:tc>
          <w:tcPr>
            <w:tcW w:w="1979" w:type="dxa"/>
            <w:vAlign w:val="center"/>
          </w:tcPr>
          <w:p w:rsidR="0015712D" w:rsidRPr="00805964" w:rsidRDefault="00EE58B6" w:rsidP="001929EA">
            <w:pPr>
              <w:spacing w:line="360" w:lineRule="auto"/>
              <w:contextualSpacing/>
              <w:jc w:val="center"/>
              <w:rPr>
                <w:rFonts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oMath>
            </m:oMathPara>
          </w:p>
        </w:tc>
        <w:tc>
          <w:tcPr>
            <w:tcW w:w="1893" w:type="dxa"/>
            <w:vAlign w:val="center"/>
          </w:tcPr>
          <w:p w:rsidR="0015712D" w:rsidRPr="00805964" w:rsidRDefault="00EE58B6" w:rsidP="001929EA">
            <w:pPr>
              <w:spacing w:line="360" w:lineRule="auto"/>
              <w:contextualSpacing/>
              <w:jc w:val="center"/>
              <w:rPr>
                <w:rFonts w:cs="Times New Roman"/>
              </w:rPr>
            </w:pPr>
            <m:oMathPara>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p</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den>
                </m:f>
              </m:oMath>
            </m:oMathPara>
          </w:p>
        </w:tc>
      </w:tr>
      <w:tr w:rsidR="0015712D" w:rsidRPr="00805964" w:rsidTr="001929EA">
        <w:trPr>
          <w:trHeight w:val="689"/>
        </w:trPr>
        <w:tc>
          <w:tcPr>
            <w:tcW w:w="2040" w:type="dxa"/>
            <w:vAlign w:val="center"/>
          </w:tcPr>
          <w:p w:rsidR="0015712D" w:rsidRPr="00805964" w:rsidRDefault="0015712D" w:rsidP="001929EA">
            <w:pPr>
              <w:spacing w:line="360" w:lineRule="auto"/>
              <w:contextualSpacing/>
              <w:jc w:val="center"/>
              <w:rPr>
                <w:rFonts w:cs="Times New Roman"/>
                <w:b/>
              </w:rPr>
            </w:pPr>
            <w:r w:rsidRPr="00805964">
              <w:rPr>
                <w:rFonts w:cs="Times New Roman"/>
                <w:b/>
              </w:rPr>
              <w:t>Zamítnutí</w:t>
            </w:r>
          </w:p>
        </w:tc>
        <w:tc>
          <w:tcPr>
            <w:tcW w:w="1919" w:type="dxa"/>
            <w:vAlign w:val="center"/>
          </w:tcPr>
          <w:p w:rsidR="0015712D" w:rsidRPr="00805964" w:rsidRDefault="0015712D" w:rsidP="001929EA">
            <w:pPr>
              <w:spacing w:line="360" w:lineRule="auto"/>
              <w:contextualSpacing/>
              <w:jc w:val="center"/>
              <w:rPr>
                <w:rFonts w:cs="Times New Roman"/>
                <w:i/>
              </w:rPr>
            </w:pPr>
            <m:oMathPara>
              <m:oMath>
                <m:r>
                  <w:rPr>
                    <w:rFonts w:ascii="Cambria Math" w:hAnsi="Cambria Math" w:cs="Times New Roman"/>
                  </w:rPr>
                  <m:t>Z</m:t>
                </m:r>
                <m:r>
                  <w:rPr>
                    <w:rFonts w:asci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p</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n</m:t>
                    </m:r>
                  </m:sub>
                </m:sSub>
              </m:oMath>
            </m:oMathPara>
          </w:p>
        </w:tc>
        <w:tc>
          <w:tcPr>
            <w:tcW w:w="1456" w:type="dxa"/>
            <w:vAlign w:val="center"/>
          </w:tcPr>
          <w:p w:rsidR="0015712D" w:rsidRPr="00805964" w:rsidRDefault="00EE58B6" w:rsidP="001929EA">
            <w:pPr>
              <w:spacing w:line="360" w:lineRule="auto"/>
              <w:contextualSpacing/>
              <w:jc w:val="center"/>
              <w:rPr>
                <w:rFonts w:cs="Times New Roman"/>
              </w:rPr>
            </w:pPr>
            <m:oMathPara>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p</m:t>
                    </m:r>
                  </m:sub>
                </m:sSub>
              </m:oMath>
            </m:oMathPara>
          </w:p>
        </w:tc>
        <w:tc>
          <w:tcPr>
            <w:tcW w:w="1979" w:type="dxa"/>
            <w:vAlign w:val="center"/>
          </w:tcPr>
          <w:p w:rsidR="0015712D" w:rsidRPr="00805964" w:rsidRDefault="00EE58B6" w:rsidP="001929EA">
            <w:pPr>
              <w:spacing w:line="360" w:lineRule="auto"/>
              <w:contextualSpacing/>
              <w:jc w:val="center"/>
              <w:rPr>
                <w:rFonts w:cs="Times New Roman"/>
              </w:rPr>
            </w:pPr>
            <m:oMathPara>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n</m:t>
                    </m:r>
                  </m:sub>
                </m:sSub>
              </m:oMath>
            </m:oMathPara>
          </w:p>
        </w:tc>
        <w:tc>
          <w:tcPr>
            <w:tcW w:w="1893" w:type="dxa"/>
            <w:vAlign w:val="center"/>
          </w:tcPr>
          <w:p w:rsidR="0015712D" w:rsidRPr="00805964" w:rsidRDefault="00EE58B6" w:rsidP="001929EA">
            <w:pPr>
              <w:spacing w:line="360" w:lineRule="auto"/>
              <w:contextualSpacing/>
              <w:jc w:val="center"/>
              <w:rPr>
                <w:rFonts w:cs="Times New Roman"/>
              </w:rPr>
            </w:pPr>
            <m:oMathPara>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n</m:t>
                        </m:r>
                      </m:sub>
                    </m:sSub>
                  </m:num>
                  <m:den>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p</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n</m:t>
                        </m:r>
                      </m:sub>
                    </m:sSub>
                  </m:den>
                </m:f>
              </m:oMath>
            </m:oMathPara>
          </w:p>
        </w:tc>
      </w:tr>
      <w:tr w:rsidR="0015712D" w:rsidRPr="00805964" w:rsidTr="001929EA">
        <w:trPr>
          <w:trHeight w:val="386"/>
        </w:trPr>
        <w:tc>
          <w:tcPr>
            <w:tcW w:w="2040" w:type="dxa"/>
            <w:vAlign w:val="center"/>
          </w:tcPr>
          <w:p w:rsidR="0015712D" w:rsidRPr="00805964" w:rsidRDefault="0015712D" w:rsidP="001929EA">
            <w:pPr>
              <w:spacing w:line="360" w:lineRule="auto"/>
              <w:contextualSpacing/>
              <w:jc w:val="center"/>
              <w:rPr>
                <w:rFonts w:cs="Times New Roman"/>
                <w:b/>
              </w:rPr>
            </w:pPr>
            <w:r w:rsidRPr="00805964">
              <w:rPr>
                <w:rFonts w:cs="Times New Roman"/>
                <w:b/>
              </w:rPr>
              <w:t>Celkem</w:t>
            </w:r>
          </w:p>
        </w:tc>
        <w:tc>
          <w:tcPr>
            <w:tcW w:w="1919" w:type="dxa"/>
            <w:vAlign w:val="center"/>
          </w:tcPr>
          <w:p w:rsidR="0015712D" w:rsidRPr="00805964" w:rsidRDefault="00EE58B6" w:rsidP="001929EA">
            <w:pPr>
              <w:spacing w:line="360" w:lineRule="auto"/>
              <w:contextualSpacing/>
              <w:jc w:val="center"/>
              <w:rPr>
                <w:rFonts w:cs="Times New Roman"/>
                <w:i/>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p</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p</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n</m:t>
                    </m:r>
                  </m:sub>
                </m:sSub>
              </m:oMath>
            </m:oMathPara>
          </w:p>
        </w:tc>
        <w:tc>
          <w:tcPr>
            <w:tcW w:w="1456" w:type="dxa"/>
            <w:vAlign w:val="center"/>
          </w:tcPr>
          <w:p w:rsidR="0015712D" w:rsidRPr="00805964" w:rsidRDefault="00EE58B6" w:rsidP="001929EA">
            <w:pPr>
              <w:spacing w:line="360" w:lineRule="auto"/>
              <w:contextualSpacing/>
              <w:jc w:val="center"/>
              <w:rPr>
                <w:rFonts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p</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p</m:t>
                    </m:r>
                  </m:sub>
                </m:sSub>
              </m:oMath>
            </m:oMathPara>
          </w:p>
        </w:tc>
        <w:tc>
          <w:tcPr>
            <w:tcW w:w="1979" w:type="dxa"/>
            <w:vAlign w:val="center"/>
          </w:tcPr>
          <w:p w:rsidR="0015712D" w:rsidRPr="00805964" w:rsidRDefault="00EE58B6" w:rsidP="001929EA">
            <w:pPr>
              <w:spacing w:line="360" w:lineRule="auto"/>
              <w:contextualSpacing/>
              <w:jc w:val="center"/>
              <w:rPr>
                <w:rFonts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n</m:t>
                    </m:r>
                  </m:sub>
                </m:sSub>
              </m:oMath>
            </m:oMathPara>
          </w:p>
        </w:tc>
        <w:tc>
          <w:tcPr>
            <w:tcW w:w="1893" w:type="dxa"/>
            <w:vAlign w:val="center"/>
          </w:tcPr>
          <w:p w:rsidR="0015712D" w:rsidRPr="00805964" w:rsidRDefault="00EE58B6" w:rsidP="001929EA">
            <w:pPr>
              <w:spacing w:line="360" w:lineRule="auto"/>
              <w:contextualSpacing/>
              <w:jc w:val="center"/>
              <w:rPr>
                <w:rFonts w:cs="Times New Roman"/>
              </w:rPr>
            </w:pPr>
            <m:oMathPara>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n</m:t>
                        </m:r>
                      </m:sub>
                    </m:sSub>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p</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p</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n</m:t>
                        </m:r>
                      </m:sub>
                    </m:sSub>
                  </m:den>
                </m:f>
              </m:oMath>
            </m:oMathPara>
          </w:p>
        </w:tc>
      </w:tr>
    </w:tbl>
    <w:p w:rsidR="00F5593E" w:rsidRPr="00805964" w:rsidRDefault="00B62DAD" w:rsidP="0029635A">
      <w:pPr>
        <w:spacing w:line="360" w:lineRule="auto"/>
        <w:contextualSpacing/>
        <w:jc w:val="center"/>
        <w:rPr>
          <w:rFonts w:cs="Times New Roman"/>
          <w:i/>
          <w:sz w:val="22"/>
        </w:rPr>
      </w:pPr>
      <w:r w:rsidRPr="00805964">
        <w:rPr>
          <w:rFonts w:cs="Times New Roman"/>
          <w:i/>
          <w:sz w:val="22"/>
        </w:rPr>
        <w:t>Zpracoval</w:t>
      </w:r>
      <w:r w:rsidR="00F5593E" w:rsidRPr="00805964">
        <w:rPr>
          <w:rFonts w:cs="Times New Roman"/>
          <w:i/>
          <w:sz w:val="22"/>
        </w:rPr>
        <w:t>: Autor.</w:t>
      </w:r>
    </w:p>
    <w:p w:rsidR="009D39C4" w:rsidRPr="00805964" w:rsidRDefault="009D39C4" w:rsidP="0029635A">
      <w:pPr>
        <w:spacing w:line="360" w:lineRule="auto"/>
        <w:contextualSpacing/>
        <w:jc w:val="center"/>
        <w:rPr>
          <w:rFonts w:cs="Times New Roman"/>
          <w:i/>
          <w:sz w:val="22"/>
        </w:rPr>
      </w:pPr>
    </w:p>
    <w:p w:rsidR="00F00AA3" w:rsidRPr="00805964" w:rsidRDefault="00F5593E" w:rsidP="00F00AA3">
      <w:pPr>
        <w:widowControl w:val="0"/>
        <w:tabs>
          <w:tab w:val="left" w:pos="709"/>
        </w:tabs>
        <w:suppressAutoHyphens/>
        <w:autoSpaceDE w:val="0"/>
        <w:spacing w:line="360" w:lineRule="auto"/>
        <w:contextualSpacing/>
        <w:jc w:val="both"/>
        <w:rPr>
          <w:szCs w:val="24"/>
        </w:rPr>
      </w:pPr>
      <w:r w:rsidRPr="00805964">
        <w:rPr>
          <w:rFonts w:cs="Times New Roman"/>
        </w:rPr>
        <w:tab/>
      </w:r>
      <w:r w:rsidR="00F00AA3" w:rsidRPr="00805964">
        <w:rPr>
          <w:szCs w:val="24"/>
        </w:rPr>
        <w:t xml:space="preserve">Tabulka č. 2 představuje zvolenou třetí metodu, tj. výpočet poměrné efektivity. Pozměňovací návrhy jsou označeny písmenem P, kterému je přiřazen buď index </w:t>
      </w:r>
      <w:r w:rsidR="00F00AA3" w:rsidRPr="00805964">
        <w:rPr>
          <w:i/>
          <w:iCs/>
          <w:szCs w:val="24"/>
        </w:rPr>
        <w:t>p</w:t>
      </w:r>
      <w:r w:rsidR="00F00AA3" w:rsidRPr="00805964">
        <w:rPr>
          <w:szCs w:val="24"/>
        </w:rPr>
        <w:t xml:space="preserve"> − pro situaci, kdy Sněmovna pozměňovací návrhy přehlasuje − a index </w:t>
      </w:r>
      <w:r w:rsidR="00F00AA3" w:rsidRPr="00805964">
        <w:rPr>
          <w:i/>
          <w:iCs/>
          <w:szCs w:val="24"/>
        </w:rPr>
        <w:t>n</w:t>
      </w:r>
      <w:r w:rsidR="00F00AA3" w:rsidRPr="00805964">
        <w:rPr>
          <w:szCs w:val="24"/>
        </w:rPr>
        <w:t xml:space="preserve"> − pro situaci, kdy Sněmovna pozměňovací návrhy přijme a schválí návrh zákona s připomínkami Senátu. Poměrná efektivita je u pozměňovacích návrhů vyjádřena jako podíl návrhů, které Sněmovna nepřehlasovala, a všech pozměňovacích návrhů podaných Senátem. Stejný princip je aplikován také u procesu zamítnutí s tím rozdílem, že je využíváno označení písmenem </w:t>
      </w:r>
      <w:r w:rsidR="00F34A18">
        <w:rPr>
          <w:szCs w:val="24"/>
        </w:rPr>
        <w:br/>
      </w:r>
      <w:r w:rsidR="00F00AA3" w:rsidRPr="00805964">
        <w:rPr>
          <w:szCs w:val="24"/>
        </w:rPr>
        <w:t xml:space="preserve">Z a výsledná hodnota vyjadřuje podíl Senátem zamítnutých návrhů zákonů, které Sněmovna nepřehlasovala, a všech Senátem zamítnutých návrhů. Poslední řádek tabulky vyjadřuje celkovou poměrnou efektivitu Senátu v legislativním procesu, kdy poměrná efektivita je podíl návrhů a zamítnutí, které Sněmovna nepřehlasovala, a úplně všech návrhů a zamítnutí </w:t>
      </w:r>
      <w:r w:rsidR="00F00AA3" w:rsidRPr="00805964">
        <w:rPr>
          <w:szCs w:val="24"/>
        </w:rPr>
        <w:lastRenderedPageBreak/>
        <w:t>vykonaných Senátem. Výsledkem tohoto měření je procentuální vyjádření případů, v nichž Senát změnil rozhodnutí Poslanecké sněmovny a plnil tak funkci revizní komory.</w:t>
      </w:r>
    </w:p>
    <w:p w:rsidR="00F5593E" w:rsidRPr="00805964" w:rsidRDefault="00F00AA3" w:rsidP="00F00AA3">
      <w:pPr>
        <w:widowControl w:val="0"/>
        <w:tabs>
          <w:tab w:val="left" w:pos="709"/>
        </w:tabs>
        <w:suppressAutoHyphens/>
        <w:autoSpaceDE w:val="0"/>
        <w:autoSpaceDN w:val="0"/>
        <w:adjustRightInd w:val="0"/>
        <w:spacing w:line="360" w:lineRule="auto"/>
        <w:contextualSpacing/>
        <w:jc w:val="both"/>
        <w:rPr>
          <w:rFonts w:cs="Times New Roman"/>
          <w:szCs w:val="24"/>
        </w:rPr>
      </w:pPr>
      <w:r w:rsidRPr="00805964">
        <w:rPr>
          <w:szCs w:val="24"/>
        </w:rPr>
        <w:tab/>
        <w:t>U čtvrtého způsobu měření je počítána vážená poměrná efektivita, a to tak, že každému z jednotlivých typů zákonů je přiřazeno bodové ohodnocení na základě jeho právní síly či váhy. Jedná se o obdobný princip, který byl využit u předešlé varianty, s tím rozdílem, že zde budeme navíc rozlišovat i zákony dle jejich síly či důležitosti, a tyto pak budou započítány větší vahou oproti běžné legislativě. Ve výsledku to znamená, že v případě, že bude Senát úspěšnější ve své činnosti při projednávání např. ústavních zákonů, vzroste tím jeho celková procentuální efektivita (úspěšnost) více než při projednávání běžného zákona. Stupnice hodnocení možných situací dle typu zákonů (bez ohledu na reakci PS) je uvedena v tabulce č. 3.</w:t>
      </w:r>
    </w:p>
    <w:p w:rsidR="00567A0C" w:rsidRPr="00805964" w:rsidRDefault="00567A0C" w:rsidP="0029635A">
      <w:pPr>
        <w:spacing w:line="360" w:lineRule="auto"/>
        <w:contextualSpacing/>
        <w:jc w:val="both"/>
        <w:rPr>
          <w:rFonts w:cs="Times New Roman"/>
          <w:szCs w:val="24"/>
        </w:rPr>
      </w:pPr>
    </w:p>
    <w:p w:rsidR="00B62DAD" w:rsidRPr="00805964" w:rsidRDefault="00567A0C" w:rsidP="0029635A">
      <w:pPr>
        <w:contextualSpacing/>
        <w:jc w:val="center"/>
        <w:rPr>
          <w:rFonts w:cs="Times New Roman"/>
          <w:b/>
          <w:sz w:val="22"/>
          <w:u w:val="single"/>
        </w:rPr>
      </w:pPr>
      <w:r w:rsidRPr="00805964">
        <w:rPr>
          <w:rFonts w:cs="Times New Roman"/>
          <w:b/>
          <w:sz w:val="22"/>
          <w:u w:val="single"/>
        </w:rPr>
        <w:t>Tabulka č. 3: Bodové hodnocení situací dle typu zákonů</w:t>
      </w:r>
    </w:p>
    <w:tbl>
      <w:tblPr>
        <w:tblStyle w:val="Mkatabulky"/>
        <w:tblW w:w="0" w:type="auto"/>
        <w:tblLook w:val="04A0"/>
      </w:tblPr>
      <w:tblGrid>
        <w:gridCol w:w="4606"/>
        <w:gridCol w:w="4606"/>
      </w:tblGrid>
      <w:tr w:rsidR="00B62DAD" w:rsidRPr="00805964" w:rsidTr="00CB74D0">
        <w:tc>
          <w:tcPr>
            <w:tcW w:w="4606" w:type="dxa"/>
          </w:tcPr>
          <w:p w:rsidR="00B62DAD" w:rsidRPr="00805964" w:rsidRDefault="00B62DAD" w:rsidP="00F00AA3">
            <w:pPr>
              <w:contextualSpacing/>
              <w:jc w:val="center"/>
              <w:rPr>
                <w:rFonts w:cs="Times New Roman"/>
                <w:b/>
                <w:sz w:val="24"/>
                <w:szCs w:val="24"/>
              </w:rPr>
            </w:pPr>
            <w:r w:rsidRPr="00805964">
              <w:rPr>
                <w:rFonts w:cs="Times New Roman"/>
                <w:b/>
                <w:sz w:val="24"/>
                <w:szCs w:val="24"/>
              </w:rPr>
              <w:t>Situace</w:t>
            </w:r>
          </w:p>
        </w:tc>
        <w:tc>
          <w:tcPr>
            <w:tcW w:w="4606" w:type="dxa"/>
          </w:tcPr>
          <w:p w:rsidR="00B62DAD" w:rsidRPr="00805964" w:rsidRDefault="00B62DAD" w:rsidP="00F00AA3">
            <w:pPr>
              <w:contextualSpacing/>
              <w:jc w:val="center"/>
              <w:rPr>
                <w:rFonts w:cs="Times New Roman"/>
                <w:b/>
                <w:sz w:val="24"/>
                <w:szCs w:val="24"/>
              </w:rPr>
            </w:pPr>
            <w:r w:rsidRPr="00805964">
              <w:rPr>
                <w:rFonts w:cs="Times New Roman"/>
                <w:b/>
                <w:sz w:val="24"/>
                <w:szCs w:val="24"/>
              </w:rPr>
              <w:t>Bodové ohodnocení</w:t>
            </w:r>
          </w:p>
        </w:tc>
      </w:tr>
      <w:tr w:rsidR="00B62DAD" w:rsidRPr="00805964" w:rsidTr="00CB74D0">
        <w:tc>
          <w:tcPr>
            <w:tcW w:w="4606" w:type="dxa"/>
            <w:vAlign w:val="center"/>
          </w:tcPr>
          <w:p w:rsidR="00B62DAD" w:rsidRPr="00805964" w:rsidRDefault="00B62DAD" w:rsidP="00A443BA">
            <w:pPr>
              <w:spacing w:line="360" w:lineRule="auto"/>
              <w:contextualSpacing/>
              <w:jc w:val="both"/>
              <w:rPr>
                <w:rFonts w:cs="Times New Roman"/>
                <w:sz w:val="24"/>
                <w:szCs w:val="24"/>
              </w:rPr>
            </w:pPr>
            <w:r w:rsidRPr="00805964">
              <w:rPr>
                <w:rFonts w:cs="Times New Roman"/>
                <w:sz w:val="24"/>
                <w:szCs w:val="24"/>
              </w:rPr>
              <w:t>Zamítnutí</w:t>
            </w:r>
            <w:r w:rsidR="002573C4" w:rsidRPr="00805964">
              <w:rPr>
                <w:rFonts w:cs="Times New Roman"/>
                <w:sz w:val="24"/>
                <w:szCs w:val="24"/>
              </w:rPr>
              <w:t xml:space="preserve"> ú</w:t>
            </w:r>
            <w:r w:rsidRPr="00805964">
              <w:rPr>
                <w:rFonts w:cs="Times New Roman"/>
                <w:sz w:val="24"/>
                <w:szCs w:val="24"/>
              </w:rPr>
              <w:t>stavní</w:t>
            </w:r>
            <w:r w:rsidR="002573C4" w:rsidRPr="00805964">
              <w:rPr>
                <w:rFonts w:cs="Times New Roman"/>
                <w:sz w:val="24"/>
                <w:szCs w:val="24"/>
              </w:rPr>
              <w:t>ho</w:t>
            </w:r>
            <w:r w:rsidRPr="00805964">
              <w:rPr>
                <w:rFonts w:cs="Times New Roman"/>
                <w:sz w:val="24"/>
                <w:szCs w:val="24"/>
              </w:rPr>
              <w:t xml:space="preserve"> zákon</w:t>
            </w:r>
            <w:r w:rsidR="002573C4" w:rsidRPr="00805964">
              <w:rPr>
                <w:rFonts w:cs="Times New Roman"/>
                <w:sz w:val="24"/>
                <w:szCs w:val="24"/>
              </w:rPr>
              <w:t>a</w:t>
            </w:r>
          </w:p>
        </w:tc>
        <w:tc>
          <w:tcPr>
            <w:tcW w:w="4606" w:type="dxa"/>
            <w:vAlign w:val="center"/>
          </w:tcPr>
          <w:p w:rsidR="00B62DAD" w:rsidRPr="00805964" w:rsidRDefault="00B62DAD" w:rsidP="00CB74D0">
            <w:pPr>
              <w:spacing w:line="360" w:lineRule="auto"/>
              <w:contextualSpacing/>
              <w:jc w:val="center"/>
              <w:rPr>
                <w:rFonts w:cs="Times New Roman"/>
                <w:sz w:val="24"/>
                <w:szCs w:val="24"/>
              </w:rPr>
            </w:pPr>
            <w:r w:rsidRPr="00805964">
              <w:rPr>
                <w:rFonts w:cs="Times New Roman"/>
                <w:sz w:val="24"/>
                <w:szCs w:val="24"/>
              </w:rPr>
              <w:t>4</w:t>
            </w:r>
          </w:p>
        </w:tc>
      </w:tr>
      <w:tr w:rsidR="002573C4" w:rsidRPr="00805964" w:rsidTr="00CB74D0">
        <w:tc>
          <w:tcPr>
            <w:tcW w:w="4606" w:type="dxa"/>
            <w:vAlign w:val="center"/>
          </w:tcPr>
          <w:p w:rsidR="002573C4" w:rsidRPr="00805964" w:rsidRDefault="002573C4" w:rsidP="00A443BA">
            <w:pPr>
              <w:spacing w:line="360" w:lineRule="auto"/>
              <w:contextualSpacing/>
              <w:jc w:val="both"/>
              <w:rPr>
                <w:rFonts w:cs="Times New Roman"/>
                <w:sz w:val="24"/>
                <w:szCs w:val="24"/>
              </w:rPr>
            </w:pPr>
            <w:r w:rsidRPr="00805964">
              <w:rPr>
                <w:rFonts w:cs="Times New Roman"/>
                <w:sz w:val="24"/>
                <w:szCs w:val="24"/>
              </w:rPr>
              <w:t>Připomínkování ústavního zákona</w:t>
            </w:r>
          </w:p>
        </w:tc>
        <w:tc>
          <w:tcPr>
            <w:tcW w:w="4606" w:type="dxa"/>
            <w:vAlign w:val="center"/>
          </w:tcPr>
          <w:p w:rsidR="002573C4" w:rsidRPr="00805964" w:rsidRDefault="00FC6E88" w:rsidP="00CB74D0">
            <w:pPr>
              <w:spacing w:line="360" w:lineRule="auto"/>
              <w:contextualSpacing/>
              <w:jc w:val="center"/>
              <w:rPr>
                <w:rFonts w:cs="Times New Roman"/>
                <w:sz w:val="24"/>
                <w:szCs w:val="24"/>
              </w:rPr>
            </w:pPr>
            <w:r w:rsidRPr="00805964">
              <w:rPr>
                <w:rFonts w:cs="Times New Roman"/>
                <w:sz w:val="24"/>
                <w:szCs w:val="24"/>
              </w:rPr>
              <w:t>2</w:t>
            </w:r>
          </w:p>
        </w:tc>
      </w:tr>
      <w:tr w:rsidR="00B62DAD" w:rsidRPr="00805964" w:rsidTr="00CB74D0">
        <w:tc>
          <w:tcPr>
            <w:tcW w:w="4606" w:type="dxa"/>
            <w:vAlign w:val="center"/>
          </w:tcPr>
          <w:p w:rsidR="00B62DAD" w:rsidRPr="00805964" w:rsidRDefault="00B62DAD" w:rsidP="00A443BA">
            <w:pPr>
              <w:spacing w:line="360" w:lineRule="auto"/>
              <w:contextualSpacing/>
              <w:jc w:val="both"/>
              <w:rPr>
                <w:rFonts w:cs="Times New Roman"/>
                <w:sz w:val="24"/>
                <w:szCs w:val="24"/>
              </w:rPr>
            </w:pPr>
            <w:r w:rsidRPr="00805964">
              <w:rPr>
                <w:rFonts w:cs="Times New Roman"/>
                <w:sz w:val="24"/>
                <w:szCs w:val="24"/>
              </w:rPr>
              <w:t>Zamítnutí návrhu běžné legislativy</w:t>
            </w:r>
          </w:p>
        </w:tc>
        <w:tc>
          <w:tcPr>
            <w:tcW w:w="4606" w:type="dxa"/>
            <w:vAlign w:val="center"/>
          </w:tcPr>
          <w:p w:rsidR="00B62DAD" w:rsidRPr="00805964" w:rsidRDefault="00B62DAD" w:rsidP="00CB74D0">
            <w:pPr>
              <w:spacing w:line="360" w:lineRule="auto"/>
              <w:contextualSpacing/>
              <w:jc w:val="center"/>
              <w:rPr>
                <w:rFonts w:cs="Times New Roman"/>
                <w:sz w:val="24"/>
                <w:szCs w:val="24"/>
              </w:rPr>
            </w:pPr>
            <w:r w:rsidRPr="00805964">
              <w:rPr>
                <w:rFonts w:cs="Times New Roman"/>
                <w:sz w:val="24"/>
                <w:szCs w:val="24"/>
              </w:rPr>
              <w:t>1</w:t>
            </w:r>
          </w:p>
        </w:tc>
      </w:tr>
      <w:tr w:rsidR="00B62DAD" w:rsidRPr="00805964" w:rsidTr="00CB74D0">
        <w:tc>
          <w:tcPr>
            <w:tcW w:w="4606" w:type="dxa"/>
            <w:vAlign w:val="center"/>
          </w:tcPr>
          <w:p w:rsidR="00B62DAD" w:rsidRPr="00805964" w:rsidRDefault="00B62DAD" w:rsidP="00A443BA">
            <w:pPr>
              <w:spacing w:line="360" w:lineRule="auto"/>
              <w:contextualSpacing/>
              <w:jc w:val="both"/>
              <w:rPr>
                <w:rFonts w:cs="Times New Roman"/>
                <w:sz w:val="24"/>
                <w:szCs w:val="24"/>
              </w:rPr>
            </w:pPr>
            <w:r w:rsidRPr="00805964">
              <w:rPr>
                <w:rFonts w:cs="Times New Roman"/>
                <w:sz w:val="24"/>
                <w:szCs w:val="24"/>
              </w:rPr>
              <w:t>Připomínkování návrhu běžné legislativy</w:t>
            </w:r>
          </w:p>
        </w:tc>
        <w:tc>
          <w:tcPr>
            <w:tcW w:w="4606" w:type="dxa"/>
            <w:vAlign w:val="center"/>
          </w:tcPr>
          <w:p w:rsidR="00B62DAD" w:rsidRPr="00805964" w:rsidRDefault="00B62DAD" w:rsidP="00CB74D0">
            <w:pPr>
              <w:spacing w:line="360" w:lineRule="auto"/>
              <w:contextualSpacing/>
              <w:jc w:val="center"/>
              <w:rPr>
                <w:rFonts w:cs="Times New Roman"/>
                <w:sz w:val="24"/>
                <w:szCs w:val="24"/>
              </w:rPr>
            </w:pPr>
            <w:r w:rsidRPr="00805964">
              <w:rPr>
                <w:rFonts w:cs="Times New Roman"/>
                <w:sz w:val="24"/>
                <w:szCs w:val="24"/>
              </w:rPr>
              <w:t>0,75</w:t>
            </w:r>
          </w:p>
        </w:tc>
      </w:tr>
      <w:tr w:rsidR="00B62DAD" w:rsidRPr="00805964" w:rsidTr="00CB74D0">
        <w:tc>
          <w:tcPr>
            <w:tcW w:w="4606" w:type="dxa"/>
            <w:vAlign w:val="center"/>
          </w:tcPr>
          <w:p w:rsidR="00B62DAD" w:rsidRPr="00805964" w:rsidRDefault="00B62DAD" w:rsidP="00A443BA">
            <w:pPr>
              <w:spacing w:line="360" w:lineRule="auto"/>
              <w:contextualSpacing/>
              <w:jc w:val="both"/>
              <w:rPr>
                <w:rFonts w:cs="Times New Roman"/>
                <w:sz w:val="24"/>
                <w:szCs w:val="24"/>
              </w:rPr>
            </w:pPr>
            <w:r w:rsidRPr="00805964">
              <w:rPr>
                <w:rFonts w:cs="Times New Roman"/>
                <w:sz w:val="24"/>
                <w:szCs w:val="24"/>
              </w:rPr>
              <w:t>Zamítnutí mezinárodní smlouvy</w:t>
            </w:r>
          </w:p>
        </w:tc>
        <w:tc>
          <w:tcPr>
            <w:tcW w:w="4606" w:type="dxa"/>
            <w:vAlign w:val="center"/>
          </w:tcPr>
          <w:p w:rsidR="00B62DAD" w:rsidRPr="00805964" w:rsidRDefault="00B62DAD" w:rsidP="00CB74D0">
            <w:pPr>
              <w:spacing w:line="360" w:lineRule="auto"/>
              <w:contextualSpacing/>
              <w:jc w:val="center"/>
              <w:rPr>
                <w:rFonts w:cs="Times New Roman"/>
                <w:sz w:val="24"/>
                <w:szCs w:val="24"/>
              </w:rPr>
            </w:pPr>
            <w:r w:rsidRPr="00805964">
              <w:rPr>
                <w:rFonts w:cs="Times New Roman"/>
                <w:sz w:val="24"/>
                <w:szCs w:val="24"/>
              </w:rPr>
              <w:t>2</w:t>
            </w:r>
          </w:p>
        </w:tc>
      </w:tr>
    </w:tbl>
    <w:p w:rsidR="002573C4" w:rsidRPr="00805964" w:rsidRDefault="002573C4" w:rsidP="002573C4">
      <w:pPr>
        <w:contextualSpacing/>
        <w:jc w:val="center"/>
        <w:rPr>
          <w:rFonts w:cs="Times New Roman"/>
          <w:i/>
          <w:sz w:val="22"/>
        </w:rPr>
      </w:pPr>
      <w:r w:rsidRPr="00805964">
        <w:rPr>
          <w:rFonts w:cs="Times New Roman"/>
          <w:i/>
          <w:sz w:val="22"/>
        </w:rPr>
        <w:t>Zpracoval: Autor.</w:t>
      </w:r>
    </w:p>
    <w:p w:rsidR="00B62DAD" w:rsidRPr="00805964" w:rsidRDefault="00B62DAD" w:rsidP="0029635A">
      <w:pPr>
        <w:contextualSpacing/>
        <w:jc w:val="center"/>
        <w:rPr>
          <w:rFonts w:cs="Times New Roman"/>
          <w:i/>
        </w:rPr>
      </w:pPr>
    </w:p>
    <w:p w:rsidR="00F00AA3" w:rsidRPr="00805964" w:rsidRDefault="00F5593E" w:rsidP="00F00AA3">
      <w:pPr>
        <w:widowControl w:val="0"/>
        <w:tabs>
          <w:tab w:val="left" w:pos="709"/>
        </w:tabs>
        <w:suppressAutoHyphens/>
        <w:autoSpaceDE w:val="0"/>
        <w:spacing w:line="360" w:lineRule="auto"/>
        <w:contextualSpacing/>
        <w:jc w:val="both"/>
      </w:pPr>
      <w:r w:rsidRPr="00805964">
        <w:tab/>
      </w:r>
      <w:r w:rsidR="00F00AA3" w:rsidRPr="00805964">
        <w:rPr>
          <w:szCs w:val="24"/>
        </w:rPr>
        <w:t>Opět je nutné odůvodnit stanovené bodové roz</w:t>
      </w:r>
      <w:r w:rsidR="00DC2678">
        <w:rPr>
          <w:szCs w:val="24"/>
        </w:rPr>
        <w:t xml:space="preserve">pětí. Maximum, které může Senát </w:t>
      </w:r>
      <w:r w:rsidR="00F00AA3" w:rsidRPr="00805964">
        <w:rPr>
          <w:szCs w:val="24"/>
        </w:rPr>
        <w:t xml:space="preserve">v dané situaci obdržet, jsou čtyři body. Čtyři body Senát obdrží při zamítnutí návrhu ústavního zákona − veto je </w:t>
      </w:r>
      <w:proofErr w:type="spellStart"/>
      <w:r w:rsidR="00F00AA3" w:rsidRPr="00805964">
        <w:rPr>
          <w:szCs w:val="24"/>
        </w:rPr>
        <w:t>nepřehlasovatelné</w:t>
      </w:r>
      <w:proofErr w:type="spellEnd"/>
      <w:r w:rsidR="00F00AA3" w:rsidRPr="00805964">
        <w:rPr>
          <w:szCs w:val="24"/>
        </w:rPr>
        <w:t xml:space="preserve"> a projednávání tohoto zákona tak končí. Dva body obdrží Senát ve dvou situacích, kterými jsou: podání pozměňovacích návrhů k návrhu ústavního zákona (v takové situaci má Sněmovna možnost návrh přijmout i s těmito změnami, nebo jej zamítnout) a vyjádření nesouhlasu Senátu s ratifikací mezinárodní smlouvy (pak tato smlouva nemůže vstoupit v platnost). V případě úspěšného uplatnění práva veta pro běžnou legislativu je Senát hodnocen jedním bodem a v případě přijetí senátních pozměňovacích návrhů u běžné legislativy je hodnocení 0,75 bodu. Připomínkování běžné legislativy, které však není poté Sněmovnou akceptováno, je hodnoceno 0 body, stejně jako situace, kdy je uplatnění veta Senátem neúspěšné. Bodové hodnocení zákonů je založeno na podobném principu, jaký byl využit u prvního kritéria, ovšem bodová kvantifikace byla upravena vzhledem k tomu, že je v tomto případě pracováno se všemi třemi typy zákonů.</w:t>
      </w:r>
      <w:r w:rsidR="00F00AA3" w:rsidRPr="00805964">
        <w:tab/>
      </w:r>
    </w:p>
    <w:p w:rsidR="00CB74D0" w:rsidRPr="00805964" w:rsidRDefault="00F00AA3" w:rsidP="00F00AA3">
      <w:pPr>
        <w:widowControl w:val="0"/>
        <w:tabs>
          <w:tab w:val="left" w:pos="709"/>
        </w:tabs>
        <w:suppressAutoHyphens/>
        <w:autoSpaceDE w:val="0"/>
        <w:autoSpaceDN w:val="0"/>
        <w:adjustRightInd w:val="0"/>
        <w:spacing w:line="360" w:lineRule="auto"/>
        <w:contextualSpacing/>
        <w:jc w:val="both"/>
      </w:pPr>
      <w:r w:rsidRPr="00805964">
        <w:tab/>
        <w:t xml:space="preserve">Samotný výpočet dle čtvrtého kritéria lze uskutečnit s pomocí tabulky č. 4: Spočítáme </w:t>
      </w:r>
      <w:r w:rsidRPr="00805964">
        <w:lastRenderedPageBreak/>
        <w:t>sumu vážených četností situací s pomocí vah z druhého sloupce tabulky (</w:t>
      </w:r>
      <w:r w:rsidRPr="00805964">
        <w:rPr>
          <w:i/>
        </w:rPr>
        <w:t>Bodové hodnocení čitatele podílu</w:t>
      </w:r>
      <w:r w:rsidRPr="00805964">
        <w:t>). Tato  suma značí vážený součet situací, ve kterých byl Senát efektivní. Dále spočítáme sumu vážených četností situací s využitím vah ve třetím sloupci tabulky (</w:t>
      </w:r>
      <w:r w:rsidRPr="00805964">
        <w:rPr>
          <w:i/>
        </w:rPr>
        <w:t>Bodové hodnocení jmenovatele podílu</w:t>
      </w:r>
      <w:r w:rsidRPr="00805964">
        <w:t xml:space="preserve">). Tento součet reprezentuje váženou četnost všech situací, </w:t>
      </w:r>
      <w:r w:rsidR="00F34A18">
        <w:br/>
      </w:r>
      <w:r w:rsidRPr="00805964">
        <w:t>v</w:t>
      </w:r>
      <w:r w:rsidR="00A437D8">
        <w:t>e</w:t>
      </w:r>
      <w:r w:rsidRPr="00805964">
        <w:t xml:space="preserve"> kterých Senát konal. Efektivitu pak získáme jako podíl těchto dvou čísel.</w:t>
      </w:r>
      <w:r w:rsidR="00CB74D0" w:rsidRPr="00805964">
        <w:t xml:space="preserve"> </w:t>
      </w:r>
    </w:p>
    <w:p w:rsidR="00567A0C" w:rsidRPr="00805964" w:rsidRDefault="00567A0C" w:rsidP="0033510A">
      <w:pPr>
        <w:widowControl w:val="0"/>
        <w:tabs>
          <w:tab w:val="left" w:pos="709"/>
        </w:tabs>
        <w:suppressAutoHyphens/>
        <w:autoSpaceDE w:val="0"/>
        <w:autoSpaceDN w:val="0"/>
        <w:adjustRightInd w:val="0"/>
        <w:spacing w:line="360" w:lineRule="auto"/>
        <w:contextualSpacing/>
        <w:jc w:val="both"/>
      </w:pPr>
    </w:p>
    <w:p w:rsidR="00567A0C" w:rsidRPr="00805964" w:rsidRDefault="00567A0C" w:rsidP="00567A0C">
      <w:pPr>
        <w:spacing w:line="360" w:lineRule="auto"/>
        <w:contextualSpacing/>
        <w:jc w:val="center"/>
        <w:rPr>
          <w:b/>
          <w:sz w:val="22"/>
          <w:u w:val="single"/>
        </w:rPr>
      </w:pPr>
      <w:r w:rsidRPr="00805964">
        <w:rPr>
          <w:b/>
          <w:sz w:val="22"/>
          <w:u w:val="single"/>
        </w:rPr>
        <w:t>Tabulka č. 4: Vážená poměrná efektivita</w:t>
      </w:r>
    </w:p>
    <w:tbl>
      <w:tblPr>
        <w:tblStyle w:val="Mkatabulky"/>
        <w:tblW w:w="0" w:type="auto"/>
        <w:jc w:val="center"/>
        <w:tblInd w:w="1384" w:type="dxa"/>
        <w:tblLook w:val="04A0"/>
      </w:tblPr>
      <w:tblGrid>
        <w:gridCol w:w="1350"/>
        <w:gridCol w:w="3406"/>
        <w:gridCol w:w="1624"/>
        <w:gridCol w:w="1523"/>
      </w:tblGrid>
      <w:tr w:rsidR="00CB74D0" w:rsidRPr="00805964" w:rsidTr="00CB74D0">
        <w:trPr>
          <w:trHeight w:val="837"/>
          <w:jc w:val="center"/>
        </w:trPr>
        <w:tc>
          <w:tcPr>
            <w:tcW w:w="1350" w:type="dxa"/>
            <w:vMerge w:val="restart"/>
            <w:textDirection w:val="btLr"/>
          </w:tcPr>
          <w:p w:rsidR="00CB74D0" w:rsidRPr="00805964" w:rsidRDefault="00CB74D0" w:rsidP="0029635A">
            <w:pPr>
              <w:ind w:left="113" w:right="113"/>
              <w:contextualSpacing/>
              <w:jc w:val="center"/>
              <w:rPr>
                <w:sz w:val="36"/>
                <w:szCs w:val="36"/>
              </w:rPr>
            </w:pPr>
            <w:r w:rsidRPr="00805964">
              <w:rPr>
                <w:sz w:val="36"/>
                <w:szCs w:val="36"/>
              </w:rPr>
              <w:t>Funkční období</w:t>
            </w:r>
            <w:r w:rsidRPr="00805964">
              <w:rPr>
                <w:sz w:val="36"/>
                <w:szCs w:val="36"/>
              </w:rPr>
              <w:br/>
            </w:r>
          </w:p>
        </w:tc>
        <w:tc>
          <w:tcPr>
            <w:tcW w:w="3406" w:type="dxa"/>
            <w:vAlign w:val="center"/>
          </w:tcPr>
          <w:p w:rsidR="00CB74D0" w:rsidRPr="00805964" w:rsidRDefault="00CB74D0" w:rsidP="0029635A">
            <w:pPr>
              <w:contextualSpacing/>
              <w:jc w:val="center"/>
            </w:pPr>
          </w:p>
        </w:tc>
        <w:tc>
          <w:tcPr>
            <w:tcW w:w="1624" w:type="dxa"/>
            <w:vAlign w:val="center"/>
          </w:tcPr>
          <w:p w:rsidR="00CB74D0" w:rsidRPr="00805964" w:rsidRDefault="00FC6E88" w:rsidP="0029635A">
            <w:pPr>
              <w:contextualSpacing/>
              <w:jc w:val="center"/>
            </w:pPr>
            <w:r w:rsidRPr="00805964">
              <w:t xml:space="preserve">Bodové </w:t>
            </w:r>
            <w:r w:rsidR="00CB74D0" w:rsidRPr="00805964">
              <w:t>hodnocení čitatele podílu</w:t>
            </w:r>
          </w:p>
        </w:tc>
        <w:tc>
          <w:tcPr>
            <w:tcW w:w="1523" w:type="dxa"/>
          </w:tcPr>
          <w:p w:rsidR="00CB74D0" w:rsidRPr="00805964" w:rsidRDefault="00CB74D0" w:rsidP="0029635A">
            <w:pPr>
              <w:contextualSpacing/>
              <w:jc w:val="center"/>
            </w:pPr>
            <w:r w:rsidRPr="00805964">
              <w:t>Bodové hodnocení jmenovatele podílu</w:t>
            </w:r>
          </w:p>
        </w:tc>
      </w:tr>
      <w:tr w:rsidR="00CB74D0" w:rsidRPr="00805964" w:rsidTr="00CB74D0">
        <w:trPr>
          <w:trHeight w:val="837"/>
          <w:jc w:val="center"/>
        </w:trPr>
        <w:tc>
          <w:tcPr>
            <w:tcW w:w="1350" w:type="dxa"/>
            <w:vMerge/>
          </w:tcPr>
          <w:p w:rsidR="00CB74D0" w:rsidRPr="00805964" w:rsidRDefault="00CB74D0" w:rsidP="0029635A">
            <w:pPr>
              <w:contextualSpacing/>
              <w:jc w:val="center"/>
            </w:pPr>
          </w:p>
        </w:tc>
        <w:tc>
          <w:tcPr>
            <w:tcW w:w="3406" w:type="dxa"/>
            <w:vAlign w:val="center"/>
          </w:tcPr>
          <w:p w:rsidR="00CB74D0" w:rsidRPr="00805964" w:rsidRDefault="00CB74D0" w:rsidP="0029635A">
            <w:pPr>
              <w:contextualSpacing/>
              <w:jc w:val="center"/>
            </w:pPr>
            <w:r w:rsidRPr="00805964">
              <w:rPr>
                <w:rFonts w:cs="Times New Roman"/>
                <w:sz w:val="24"/>
                <w:szCs w:val="24"/>
              </w:rPr>
              <w:t>Zamítnutí ústavního zákona Senátem</w:t>
            </w:r>
          </w:p>
        </w:tc>
        <w:tc>
          <w:tcPr>
            <w:tcW w:w="1624" w:type="dxa"/>
            <w:vAlign w:val="center"/>
          </w:tcPr>
          <w:p w:rsidR="00CB74D0" w:rsidRPr="00805964" w:rsidRDefault="00CB74D0" w:rsidP="0029635A">
            <w:pPr>
              <w:contextualSpacing/>
              <w:jc w:val="center"/>
            </w:pPr>
            <w:r w:rsidRPr="00805964">
              <w:t>4</w:t>
            </w:r>
          </w:p>
        </w:tc>
        <w:tc>
          <w:tcPr>
            <w:tcW w:w="1523" w:type="dxa"/>
            <w:vAlign w:val="center"/>
          </w:tcPr>
          <w:p w:rsidR="00CB74D0" w:rsidRPr="00805964" w:rsidRDefault="00CB74D0" w:rsidP="00CB74D0">
            <w:pPr>
              <w:contextualSpacing/>
              <w:jc w:val="center"/>
            </w:pPr>
            <w:r w:rsidRPr="00805964">
              <w:t>4</w:t>
            </w:r>
          </w:p>
        </w:tc>
      </w:tr>
      <w:tr w:rsidR="00CB74D0" w:rsidRPr="00805964" w:rsidTr="00CB74D0">
        <w:trPr>
          <w:trHeight w:val="837"/>
          <w:jc w:val="center"/>
        </w:trPr>
        <w:tc>
          <w:tcPr>
            <w:tcW w:w="1350" w:type="dxa"/>
            <w:vMerge/>
          </w:tcPr>
          <w:p w:rsidR="00CB74D0" w:rsidRPr="00805964" w:rsidRDefault="00CB74D0" w:rsidP="0029635A">
            <w:pPr>
              <w:contextualSpacing/>
              <w:jc w:val="center"/>
            </w:pPr>
          </w:p>
        </w:tc>
        <w:tc>
          <w:tcPr>
            <w:tcW w:w="3406" w:type="dxa"/>
            <w:vAlign w:val="center"/>
          </w:tcPr>
          <w:p w:rsidR="00CB74D0" w:rsidRPr="00805964" w:rsidRDefault="00CB74D0" w:rsidP="0029635A">
            <w:pPr>
              <w:contextualSpacing/>
              <w:jc w:val="center"/>
            </w:pPr>
            <w:r w:rsidRPr="00805964">
              <w:rPr>
                <w:rFonts w:cs="Times New Roman"/>
                <w:sz w:val="24"/>
                <w:szCs w:val="24"/>
              </w:rPr>
              <w:t>Připomínkování ústavního zákona</w:t>
            </w:r>
            <w:r w:rsidRPr="00805964">
              <w:t xml:space="preserve"> </w:t>
            </w:r>
          </w:p>
        </w:tc>
        <w:tc>
          <w:tcPr>
            <w:tcW w:w="1624" w:type="dxa"/>
            <w:vAlign w:val="center"/>
          </w:tcPr>
          <w:p w:rsidR="00CB74D0" w:rsidRPr="00805964" w:rsidRDefault="00CB74D0" w:rsidP="0029635A">
            <w:pPr>
              <w:contextualSpacing/>
              <w:jc w:val="center"/>
            </w:pPr>
            <w:r w:rsidRPr="00805964">
              <w:t>2</w:t>
            </w:r>
          </w:p>
        </w:tc>
        <w:tc>
          <w:tcPr>
            <w:tcW w:w="1523" w:type="dxa"/>
            <w:vAlign w:val="center"/>
          </w:tcPr>
          <w:p w:rsidR="00CB74D0" w:rsidRPr="00805964" w:rsidRDefault="00CB74D0" w:rsidP="00CB74D0">
            <w:pPr>
              <w:contextualSpacing/>
              <w:jc w:val="center"/>
            </w:pPr>
            <w:r w:rsidRPr="00805964">
              <w:t>2</w:t>
            </w:r>
          </w:p>
        </w:tc>
      </w:tr>
      <w:tr w:rsidR="00CB74D0" w:rsidRPr="00805964" w:rsidTr="00CB74D0">
        <w:trPr>
          <w:trHeight w:val="837"/>
          <w:jc w:val="center"/>
        </w:trPr>
        <w:tc>
          <w:tcPr>
            <w:tcW w:w="1350" w:type="dxa"/>
            <w:vMerge/>
          </w:tcPr>
          <w:p w:rsidR="00CB74D0" w:rsidRPr="00805964" w:rsidRDefault="00CB74D0" w:rsidP="0029635A">
            <w:pPr>
              <w:contextualSpacing/>
              <w:jc w:val="center"/>
            </w:pPr>
          </w:p>
        </w:tc>
        <w:tc>
          <w:tcPr>
            <w:tcW w:w="3406" w:type="dxa"/>
            <w:vAlign w:val="center"/>
          </w:tcPr>
          <w:p w:rsidR="00CB74D0" w:rsidRPr="00805964" w:rsidRDefault="00CB74D0" w:rsidP="0029635A">
            <w:pPr>
              <w:contextualSpacing/>
              <w:jc w:val="center"/>
            </w:pPr>
            <w:r w:rsidRPr="00805964">
              <w:rPr>
                <w:rFonts w:cs="Times New Roman"/>
                <w:sz w:val="24"/>
                <w:szCs w:val="24"/>
              </w:rPr>
              <w:t>Veto běžného zákona - úspěšné</w:t>
            </w:r>
          </w:p>
        </w:tc>
        <w:tc>
          <w:tcPr>
            <w:tcW w:w="1624" w:type="dxa"/>
            <w:vAlign w:val="center"/>
          </w:tcPr>
          <w:p w:rsidR="00CB74D0" w:rsidRPr="00805964" w:rsidRDefault="00CB74D0" w:rsidP="0029635A">
            <w:pPr>
              <w:contextualSpacing/>
              <w:jc w:val="center"/>
            </w:pPr>
            <w:r w:rsidRPr="00805964">
              <w:t>1</w:t>
            </w:r>
          </w:p>
        </w:tc>
        <w:tc>
          <w:tcPr>
            <w:tcW w:w="1523" w:type="dxa"/>
            <w:vAlign w:val="center"/>
          </w:tcPr>
          <w:p w:rsidR="00CB74D0" w:rsidRPr="00805964" w:rsidRDefault="00CB74D0" w:rsidP="00CB74D0">
            <w:pPr>
              <w:contextualSpacing/>
              <w:jc w:val="center"/>
            </w:pPr>
            <w:r w:rsidRPr="00805964">
              <w:t>1</w:t>
            </w:r>
          </w:p>
        </w:tc>
      </w:tr>
      <w:tr w:rsidR="00CB74D0" w:rsidRPr="00805964" w:rsidTr="00CB74D0">
        <w:trPr>
          <w:trHeight w:val="837"/>
          <w:jc w:val="center"/>
        </w:trPr>
        <w:tc>
          <w:tcPr>
            <w:tcW w:w="1350" w:type="dxa"/>
            <w:vMerge/>
          </w:tcPr>
          <w:p w:rsidR="00CB74D0" w:rsidRPr="00805964" w:rsidRDefault="00CB74D0" w:rsidP="0029635A">
            <w:pPr>
              <w:contextualSpacing/>
              <w:jc w:val="center"/>
            </w:pPr>
          </w:p>
        </w:tc>
        <w:tc>
          <w:tcPr>
            <w:tcW w:w="3406" w:type="dxa"/>
            <w:vAlign w:val="center"/>
          </w:tcPr>
          <w:p w:rsidR="00CB74D0" w:rsidRPr="00805964" w:rsidRDefault="00CB74D0" w:rsidP="0029635A">
            <w:pPr>
              <w:contextualSpacing/>
              <w:jc w:val="center"/>
            </w:pPr>
            <w:r w:rsidRPr="00805964">
              <w:rPr>
                <w:rFonts w:cs="Times New Roman"/>
                <w:sz w:val="24"/>
                <w:szCs w:val="24"/>
              </w:rPr>
              <w:t>Veto běžného zákona - přehlasování PS</w:t>
            </w:r>
          </w:p>
        </w:tc>
        <w:tc>
          <w:tcPr>
            <w:tcW w:w="1624" w:type="dxa"/>
            <w:vAlign w:val="center"/>
          </w:tcPr>
          <w:p w:rsidR="00CB74D0" w:rsidRPr="00805964" w:rsidRDefault="00CB74D0" w:rsidP="0029635A">
            <w:pPr>
              <w:contextualSpacing/>
              <w:jc w:val="center"/>
            </w:pPr>
            <w:r w:rsidRPr="00805964">
              <w:t>0</w:t>
            </w:r>
          </w:p>
        </w:tc>
        <w:tc>
          <w:tcPr>
            <w:tcW w:w="1523" w:type="dxa"/>
            <w:vAlign w:val="center"/>
          </w:tcPr>
          <w:p w:rsidR="00CB74D0" w:rsidRPr="00805964" w:rsidRDefault="00CB74D0" w:rsidP="00CB74D0">
            <w:pPr>
              <w:contextualSpacing/>
              <w:jc w:val="center"/>
            </w:pPr>
            <w:r w:rsidRPr="00805964">
              <w:t>1</w:t>
            </w:r>
          </w:p>
        </w:tc>
      </w:tr>
      <w:tr w:rsidR="00CB74D0" w:rsidRPr="00805964" w:rsidTr="00CB74D0">
        <w:trPr>
          <w:trHeight w:val="837"/>
          <w:jc w:val="center"/>
        </w:trPr>
        <w:tc>
          <w:tcPr>
            <w:tcW w:w="1350" w:type="dxa"/>
            <w:vMerge/>
          </w:tcPr>
          <w:p w:rsidR="00CB74D0" w:rsidRPr="00805964" w:rsidRDefault="00CB74D0" w:rsidP="0029635A">
            <w:pPr>
              <w:contextualSpacing/>
              <w:jc w:val="center"/>
            </w:pPr>
          </w:p>
        </w:tc>
        <w:tc>
          <w:tcPr>
            <w:tcW w:w="3406" w:type="dxa"/>
            <w:vAlign w:val="center"/>
          </w:tcPr>
          <w:p w:rsidR="00CB74D0" w:rsidRPr="00805964" w:rsidRDefault="00CB74D0" w:rsidP="0029635A">
            <w:pPr>
              <w:contextualSpacing/>
              <w:jc w:val="center"/>
            </w:pPr>
            <w:r w:rsidRPr="00805964">
              <w:rPr>
                <w:rFonts w:cs="Times New Roman"/>
                <w:sz w:val="24"/>
                <w:szCs w:val="24"/>
              </w:rPr>
              <w:t>Připomínkování běžné legislativy - přehlasování PS</w:t>
            </w:r>
          </w:p>
        </w:tc>
        <w:tc>
          <w:tcPr>
            <w:tcW w:w="1624" w:type="dxa"/>
            <w:vAlign w:val="center"/>
          </w:tcPr>
          <w:p w:rsidR="00CB74D0" w:rsidRPr="00805964" w:rsidRDefault="00CB74D0" w:rsidP="0029635A">
            <w:pPr>
              <w:contextualSpacing/>
              <w:jc w:val="center"/>
            </w:pPr>
            <w:r w:rsidRPr="00805964">
              <w:t>0</w:t>
            </w:r>
          </w:p>
        </w:tc>
        <w:tc>
          <w:tcPr>
            <w:tcW w:w="1523" w:type="dxa"/>
            <w:vAlign w:val="center"/>
          </w:tcPr>
          <w:p w:rsidR="00CB74D0" w:rsidRPr="00805964" w:rsidRDefault="00CB74D0" w:rsidP="00CB74D0">
            <w:pPr>
              <w:contextualSpacing/>
              <w:jc w:val="center"/>
            </w:pPr>
            <w:r w:rsidRPr="00805964">
              <w:t>0,75</w:t>
            </w:r>
          </w:p>
        </w:tc>
      </w:tr>
      <w:tr w:rsidR="00CB74D0" w:rsidRPr="00805964" w:rsidTr="00CB74D0">
        <w:trPr>
          <w:trHeight w:val="837"/>
          <w:jc w:val="center"/>
        </w:trPr>
        <w:tc>
          <w:tcPr>
            <w:tcW w:w="1350" w:type="dxa"/>
            <w:vMerge/>
          </w:tcPr>
          <w:p w:rsidR="00CB74D0" w:rsidRPr="00805964" w:rsidRDefault="00CB74D0" w:rsidP="0029635A">
            <w:pPr>
              <w:contextualSpacing/>
              <w:jc w:val="center"/>
            </w:pPr>
          </w:p>
        </w:tc>
        <w:tc>
          <w:tcPr>
            <w:tcW w:w="3406" w:type="dxa"/>
            <w:vAlign w:val="center"/>
          </w:tcPr>
          <w:p w:rsidR="00CB74D0" w:rsidRPr="00805964" w:rsidRDefault="00CB74D0" w:rsidP="0029635A">
            <w:pPr>
              <w:contextualSpacing/>
              <w:jc w:val="center"/>
            </w:pPr>
            <w:r w:rsidRPr="00805964">
              <w:rPr>
                <w:rFonts w:cs="Times New Roman"/>
                <w:sz w:val="24"/>
                <w:szCs w:val="24"/>
              </w:rPr>
              <w:t>Připomínkování běžné legislativy - přijato ve znění schváleném Senátem</w:t>
            </w:r>
          </w:p>
        </w:tc>
        <w:tc>
          <w:tcPr>
            <w:tcW w:w="1624" w:type="dxa"/>
            <w:vAlign w:val="center"/>
          </w:tcPr>
          <w:p w:rsidR="00CB74D0" w:rsidRPr="00805964" w:rsidRDefault="00CB74D0" w:rsidP="0029635A">
            <w:pPr>
              <w:contextualSpacing/>
              <w:jc w:val="center"/>
            </w:pPr>
            <w:r w:rsidRPr="00805964">
              <w:t>0,75</w:t>
            </w:r>
          </w:p>
        </w:tc>
        <w:tc>
          <w:tcPr>
            <w:tcW w:w="1523" w:type="dxa"/>
            <w:vAlign w:val="center"/>
          </w:tcPr>
          <w:p w:rsidR="00CB74D0" w:rsidRPr="00805964" w:rsidRDefault="00CB74D0" w:rsidP="00CB74D0">
            <w:pPr>
              <w:contextualSpacing/>
              <w:jc w:val="center"/>
            </w:pPr>
            <w:r w:rsidRPr="00805964">
              <w:t>0,75</w:t>
            </w:r>
          </w:p>
        </w:tc>
      </w:tr>
      <w:tr w:rsidR="00CB74D0" w:rsidRPr="00805964" w:rsidTr="00CB74D0">
        <w:trPr>
          <w:trHeight w:val="837"/>
          <w:jc w:val="center"/>
        </w:trPr>
        <w:tc>
          <w:tcPr>
            <w:tcW w:w="1350" w:type="dxa"/>
            <w:vMerge/>
          </w:tcPr>
          <w:p w:rsidR="00CB74D0" w:rsidRPr="00805964" w:rsidRDefault="00CB74D0" w:rsidP="0029635A">
            <w:pPr>
              <w:contextualSpacing/>
              <w:jc w:val="center"/>
            </w:pPr>
          </w:p>
        </w:tc>
        <w:tc>
          <w:tcPr>
            <w:tcW w:w="3406" w:type="dxa"/>
            <w:vAlign w:val="center"/>
          </w:tcPr>
          <w:p w:rsidR="00CB74D0" w:rsidRPr="00805964" w:rsidRDefault="00CB74D0" w:rsidP="0029635A">
            <w:pPr>
              <w:contextualSpacing/>
              <w:jc w:val="center"/>
            </w:pPr>
            <w:r w:rsidRPr="00805964">
              <w:rPr>
                <w:rFonts w:cs="Times New Roman"/>
                <w:sz w:val="24"/>
                <w:szCs w:val="24"/>
              </w:rPr>
              <w:t>Zamítnutí mezinárodní smlouvy</w:t>
            </w:r>
          </w:p>
        </w:tc>
        <w:tc>
          <w:tcPr>
            <w:tcW w:w="1624" w:type="dxa"/>
            <w:vAlign w:val="center"/>
          </w:tcPr>
          <w:p w:rsidR="00CB74D0" w:rsidRPr="00805964" w:rsidRDefault="00CB74D0" w:rsidP="0029635A">
            <w:pPr>
              <w:contextualSpacing/>
              <w:jc w:val="center"/>
            </w:pPr>
            <w:r w:rsidRPr="00805964">
              <w:t>2</w:t>
            </w:r>
          </w:p>
        </w:tc>
        <w:tc>
          <w:tcPr>
            <w:tcW w:w="1523" w:type="dxa"/>
            <w:vAlign w:val="center"/>
          </w:tcPr>
          <w:p w:rsidR="00CB74D0" w:rsidRPr="00805964" w:rsidRDefault="00CB74D0" w:rsidP="00CB74D0">
            <w:pPr>
              <w:contextualSpacing/>
              <w:jc w:val="center"/>
            </w:pPr>
            <w:r w:rsidRPr="00805964">
              <w:t>2</w:t>
            </w:r>
          </w:p>
        </w:tc>
      </w:tr>
    </w:tbl>
    <w:p w:rsidR="00D92B28" w:rsidRPr="00805964" w:rsidRDefault="00D92B28" w:rsidP="00D92B28">
      <w:pPr>
        <w:spacing w:line="360" w:lineRule="auto"/>
        <w:contextualSpacing/>
        <w:jc w:val="center"/>
        <w:rPr>
          <w:i/>
          <w:sz w:val="22"/>
        </w:rPr>
      </w:pPr>
      <w:r w:rsidRPr="00805964">
        <w:rPr>
          <w:i/>
          <w:sz w:val="22"/>
        </w:rPr>
        <w:t>Zpracoval: Autor.</w:t>
      </w:r>
    </w:p>
    <w:p w:rsidR="00D92B28" w:rsidRPr="00805964" w:rsidRDefault="00D92B28" w:rsidP="00D92B28">
      <w:pPr>
        <w:spacing w:line="360" w:lineRule="auto"/>
        <w:contextualSpacing/>
        <w:jc w:val="center"/>
        <w:rPr>
          <w:i/>
          <w:sz w:val="22"/>
        </w:rPr>
      </w:pPr>
    </w:p>
    <w:p w:rsidR="0068761A" w:rsidRPr="00805964" w:rsidRDefault="0068761A" w:rsidP="0029635A">
      <w:pPr>
        <w:spacing w:line="360" w:lineRule="auto"/>
        <w:contextualSpacing/>
        <w:jc w:val="both"/>
      </w:pPr>
      <w:r w:rsidRPr="00805964">
        <w:t>Alternativně lze spočítat efektivitu dle čtvrtého kritéria pomocí následujícího vzorce:</w:t>
      </w:r>
    </w:p>
    <w:p w:rsidR="00F00AA3" w:rsidRPr="00805964" w:rsidRDefault="004B2922" w:rsidP="0029635A">
      <w:pPr>
        <w:spacing w:line="360" w:lineRule="auto"/>
        <w:contextualSpacing/>
        <w:jc w:val="both"/>
      </w:pPr>
      <w:r w:rsidRPr="004B2922">
        <w:rPr>
          <w:noProof/>
          <w:lang w:eastAsia="cs-CZ"/>
        </w:rPr>
        <w:drawing>
          <wp:inline distT="0" distB="0" distL="0" distR="0">
            <wp:extent cx="4857750" cy="476250"/>
            <wp:effectExtent l="19050" t="0" r="0" b="0"/>
            <wp:docPr id="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4857750" cy="476250"/>
                    </a:xfrm>
                    <a:prstGeom prst="rect">
                      <a:avLst/>
                    </a:prstGeom>
                    <a:solidFill>
                      <a:srgbClr val="FFFFFF"/>
                    </a:solidFill>
                    <a:ln w="9525">
                      <a:noFill/>
                      <a:miter lim="800000"/>
                      <a:headEnd/>
                      <a:tailEnd/>
                    </a:ln>
                  </pic:spPr>
                </pic:pic>
              </a:graphicData>
            </a:graphic>
          </wp:inline>
        </w:drawing>
      </w:r>
    </w:p>
    <w:p w:rsidR="00CA0D6C" w:rsidRPr="00805964" w:rsidRDefault="0068761A" w:rsidP="0029635A">
      <w:pPr>
        <w:spacing w:line="360" w:lineRule="auto"/>
        <w:contextualSpacing/>
        <w:jc w:val="both"/>
      </w:pPr>
      <w:r w:rsidRPr="00805964">
        <w:t>Po dosazení vah zákonů:</w:t>
      </w:r>
    </w:p>
    <w:p w:rsidR="00CA0D6C" w:rsidRPr="00805964" w:rsidRDefault="00EF268B" w:rsidP="0029635A">
      <w:pPr>
        <w:spacing w:line="360" w:lineRule="auto"/>
        <w:contextualSpacing/>
        <w:jc w:val="both"/>
      </w:pPr>
      <w:r w:rsidRPr="00EF268B">
        <w:rPr>
          <w:noProof/>
          <w:lang w:eastAsia="cs-CZ"/>
        </w:rPr>
        <w:drawing>
          <wp:inline distT="0" distB="0" distL="0" distR="0">
            <wp:extent cx="3838575" cy="476250"/>
            <wp:effectExtent l="19050" t="0" r="9525" b="0"/>
            <wp:docPr id="20"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3838575" cy="476250"/>
                    </a:xfrm>
                    <a:prstGeom prst="rect">
                      <a:avLst/>
                    </a:prstGeom>
                    <a:solidFill>
                      <a:srgbClr val="FFFFFF"/>
                    </a:solidFill>
                    <a:ln w="9525">
                      <a:noFill/>
                      <a:miter lim="800000"/>
                      <a:headEnd/>
                      <a:tailEnd/>
                    </a:ln>
                  </pic:spPr>
                </pic:pic>
              </a:graphicData>
            </a:graphic>
          </wp:inline>
        </w:drawing>
      </w:r>
    </w:p>
    <w:p w:rsidR="00F00AA3" w:rsidRPr="00805964" w:rsidRDefault="00F00AA3" w:rsidP="0029635A">
      <w:pPr>
        <w:spacing w:line="360" w:lineRule="auto"/>
        <w:contextualSpacing/>
        <w:jc w:val="both"/>
      </w:pPr>
    </w:p>
    <w:p w:rsidR="001B3980" w:rsidRPr="00805964" w:rsidRDefault="00F00AA3" w:rsidP="0029635A">
      <w:pPr>
        <w:spacing w:line="360" w:lineRule="auto"/>
        <w:contextualSpacing/>
        <w:jc w:val="both"/>
      </w:pPr>
      <w:r w:rsidRPr="00805964">
        <w:lastRenderedPageBreak/>
        <w:t xml:space="preserve">kde c(x) je váhová funkce, která dané situaci x (typ zákona, případně i akce </w:t>
      </w:r>
      <w:r w:rsidR="0082380C">
        <w:br/>
      </w:r>
      <w:r w:rsidRPr="00805964">
        <w:t xml:space="preserve">Senátu − připomínkování/zamítnutí) přiřadí bodové ohodnocení na základě jeho právní síly či váhy. Pro zamítnutí běžných zákonů je užíváno označení </w:t>
      </w:r>
      <w:r w:rsidRPr="00805964">
        <w:rPr>
          <w:i/>
        </w:rPr>
        <w:t>(bz)</w:t>
      </w:r>
      <w:r w:rsidRPr="00805964">
        <w:t>, pro pozměňovací návrhy běžných zákonů označení (</w:t>
      </w:r>
      <w:proofErr w:type="spellStart"/>
      <w:r w:rsidRPr="00805964">
        <w:rPr>
          <w:i/>
        </w:rPr>
        <w:t>bp</w:t>
      </w:r>
      <w:proofErr w:type="spellEnd"/>
      <w:r w:rsidRPr="00805964">
        <w:rPr>
          <w:i/>
        </w:rPr>
        <w:t>)</w:t>
      </w:r>
      <w:r w:rsidRPr="00805964">
        <w:t xml:space="preserve">, pro mezinárodní smlouvy označení </w:t>
      </w:r>
      <w:r w:rsidRPr="00805964">
        <w:rPr>
          <w:i/>
        </w:rPr>
        <w:t>(m)</w:t>
      </w:r>
      <w:r w:rsidRPr="00805964">
        <w:t xml:space="preserve"> a pro ústavní zákony označení </w:t>
      </w:r>
      <w:r w:rsidRPr="00805964">
        <w:rPr>
          <w:i/>
        </w:rPr>
        <w:t>(ú)</w:t>
      </w:r>
      <w:r w:rsidRPr="00805964">
        <w:t xml:space="preserve">. Pro pozměňovací návrhy a zamítnuté návrhy zůstává označení stejné jako </w:t>
      </w:r>
      <w:r w:rsidR="00DC2678">
        <w:t>v </w:t>
      </w:r>
      <w:r w:rsidRPr="00805964">
        <w:t xml:space="preserve">předchozí metodě, tedy </w:t>
      </w:r>
      <w:r w:rsidRPr="00805964">
        <w:rPr>
          <w:i/>
        </w:rPr>
        <w:t>(P)</w:t>
      </w:r>
      <w:r w:rsidRPr="00805964">
        <w:t xml:space="preserve"> a </w:t>
      </w:r>
      <w:r w:rsidRPr="00805964">
        <w:rPr>
          <w:i/>
        </w:rPr>
        <w:t>(Z)</w:t>
      </w:r>
      <w:r w:rsidRPr="00805964">
        <w:t xml:space="preserve">. Horní indexy označují typ zákona a situace a dolní indexy označují, zda se jedná o pozměňovací návrhy či senátní veto přehlasované PS </w:t>
      </w:r>
      <w:r w:rsidRPr="00805964">
        <w:rPr>
          <w:i/>
        </w:rPr>
        <w:t>(p)</w:t>
      </w:r>
      <w:r w:rsidRPr="00805964">
        <w:t xml:space="preserve">, a nebo nepřehlasované PS </w:t>
      </w:r>
      <w:r w:rsidRPr="00805964">
        <w:rPr>
          <w:i/>
        </w:rPr>
        <w:t>(n)</w:t>
      </w:r>
      <w:r w:rsidRPr="00805964">
        <w:t>. Výpočet je přizpůsoben možným situacím, do nichž se mohou zákonodárci v průběhu projednávání návrhů různých typů legislativy dostat.</w:t>
      </w:r>
      <w:r w:rsidR="004440A2" w:rsidRPr="00805964">
        <w:t xml:space="preserve"> </w:t>
      </w:r>
    </w:p>
    <w:p w:rsidR="00490436" w:rsidRPr="00805964" w:rsidRDefault="00490436" w:rsidP="0029635A">
      <w:pPr>
        <w:spacing w:line="360" w:lineRule="auto"/>
        <w:contextualSpacing/>
        <w:jc w:val="both"/>
      </w:pPr>
    </w:p>
    <w:p w:rsidR="00490436" w:rsidRPr="00805964" w:rsidRDefault="00490436" w:rsidP="0029635A">
      <w:pPr>
        <w:spacing w:line="360" w:lineRule="auto"/>
        <w:contextualSpacing/>
        <w:jc w:val="both"/>
      </w:pPr>
    </w:p>
    <w:p w:rsidR="00490436" w:rsidRPr="00805964" w:rsidRDefault="00490436" w:rsidP="0029635A">
      <w:pPr>
        <w:spacing w:line="360" w:lineRule="auto"/>
        <w:contextualSpacing/>
        <w:jc w:val="both"/>
      </w:pPr>
    </w:p>
    <w:p w:rsidR="00490436" w:rsidRPr="00805964" w:rsidRDefault="00490436" w:rsidP="0029635A">
      <w:pPr>
        <w:spacing w:line="360" w:lineRule="auto"/>
        <w:contextualSpacing/>
        <w:jc w:val="both"/>
      </w:pPr>
    </w:p>
    <w:p w:rsidR="00490436" w:rsidRPr="00805964" w:rsidRDefault="00490436" w:rsidP="0029635A">
      <w:pPr>
        <w:spacing w:line="360" w:lineRule="auto"/>
        <w:contextualSpacing/>
        <w:jc w:val="both"/>
      </w:pPr>
    </w:p>
    <w:p w:rsidR="00490436" w:rsidRPr="00805964" w:rsidRDefault="00490436" w:rsidP="0029635A">
      <w:pPr>
        <w:spacing w:line="360" w:lineRule="auto"/>
        <w:contextualSpacing/>
        <w:jc w:val="both"/>
      </w:pPr>
    </w:p>
    <w:p w:rsidR="00490436" w:rsidRPr="00805964" w:rsidRDefault="00490436" w:rsidP="0029635A">
      <w:pPr>
        <w:spacing w:line="360" w:lineRule="auto"/>
        <w:contextualSpacing/>
        <w:jc w:val="both"/>
      </w:pPr>
    </w:p>
    <w:p w:rsidR="00490436" w:rsidRPr="00805964" w:rsidRDefault="00490436" w:rsidP="0029635A">
      <w:pPr>
        <w:spacing w:line="360" w:lineRule="auto"/>
        <w:contextualSpacing/>
        <w:jc w:val="both"/>
      </w:pPr>
    </w:p>
    <w:p w:rsidR="00490436" w:rsidRPr="00805964" w:rsidRDefault="00490436" w:rsidP="0029635A">
      <w:pPr>
        <w:spacing w:line="360" w:lineRule="auto"/>
        <w:contextualSpacing/>
        <w:jc w:val="both"/>
      </w:pPr>
    </w:p>
    <w:p w:rsidR="00490436" w:rsidRPr="00805964" w:rsidRDefault="00490436" w:rsidP="0029635A">
      <w:pPr>
        <w:spacing w:line="360" w:lineRule="auto"/>
        <w:contextualSpacing/>
        <w:jc w:val="both"/>
      </w:pPr>
    </w:p>
    <w:p w:rsidR="00490436" w:rsidRPr="00805964" w:rsidRDefault="00490436" w:rsidP="0029635A">
      <w:pPr>
        <w:spacing w:line="360" w:lineRule="auto"/>
        <w:contextualSpacing/>
        <w:jc w:val="both"/>
      </w:pPr>
    </w:p>
    <w:p w:rsidR="00490436" w:rsidRPr="00805964" w:rsidRDefault="00490436" w:rsidP="0029635A">
      <w:pPr>
        <w:spacing w:line="360" w:lineRule="auto"/>
        <w:contextualSpacing/>
        <w:jc w:val="both"/>
        <w:rPr>
          <w:rFonts w:cs="Times New Roman"/>
          <w:i/>
          <w:sz w:val="22"/>
        </w:rPr>
      </w:pPr>
    </w:p>
    <w:p w:rsidR="00BC0412" w:rsidRPr="00805964" w:rsidRDefault="00BC0412" w:rsidP="0029635A">
      <w:pPr>
        <w:spacing w:line="360" w:lineRule="auto"/>
        <w:contextualSpacing/>
        <w:jc w:val="both"/>
        <w:rPr>
          <w:rFonts w:cs="Times New Roman"/>
          <w:i/>
          <w:sz w:val="22"/>
        </w:rPr>
      </w:pPr>
    </w:p>
    <w:p w:rsidR="00BC0412" w:rsidRPr="00805964" w:rsidRDefault="00BC0412" w:rsidP="0029635A">
      <w:pPr>
        <w:spacing w:line="360" w:lineRule="auto"/>
        <w:contextualSpacing/>
        <w:jc w:val="both"/>
        <w:rPr>
          <w:rFonts w:cs="Times New Roman"/>
          <w:i/>
          <w:sz w:val="22"/>
        </w:rPr>
      </w:pPr>
    </w:p>
    <w:p w:rsidR="001C6539" w:rsidRPr="00805964" w:rsidRDefault="001C6539" w:rsidP="0029635A">
      <w:pPr>
        <w:spacing w:line="360" w:lineRule="auto"/>
        <w:contextualSpacing/>
        <w:jc w:val="both"/>
        <w:rPr>
          <w:rFonts w:cs="Times New Roman"/>
          <w:i/>
          <w:sz w:val="22"/>
        </w:rPr>
      </w:pPr>
    </w:p>
    <w:p w:rsidR="001C6539" w:rsidRPr="00805964" w:rsidRDefault="001C6539" w:rsidP="0029635A">
      <w:pPr>
        <w:spacing w:line="360" w:lineRule="auto"/>
        <w:contextualSpacing/>
        <w:jc w:val="both"/>
        <w:rPr>
          <w:rFonts w:cs="Times New Roman"/>
          <w:i/>
          <w:sz w:val="22"/>
        </w:rPr>
      </w:pPr>
    </w:p>
    <w:p w:rsidR="001C6539" w:rsidRPr="00805964" w:rsidRDefault="001C6539" w:rsidP="0029635A">
      <w:pPr>
        <w:spacing w:line="360" w:lineRule="auto"/>
        <w:contextualSpacing/>
        <w:jc w:val="both"/>
        <w:rPr>
          <w:rFonts w:cs="Times New Roman"/>
          <w:i/>
          <w:sz w:val="22"/>
        </w:rPr>
      </w:pPr>
    </w:p>
    <w:p w:rsidR="001C6539" w:rsidRPr="00805964" w:rsidRDefault="001C6539" w:rsidP="0029635A">
      <w:pPr>
        <w:spacing w:line="360" w:lineRule="auto"/>
        <w:contextualSpacing/>
        <w:jc w:val="both"/>
        <w:rPr>
          <w:rFonts w:cs="Times New Roman"/>
          <w:i/>
          <w:sz w:val="22"/>
        </w:rPr>
      </w:pPr>
    </w:p>
    <w:p w:rsidR="001C6539" w:rsidRPr="00805964" w:rsidRDefault="001C6539" w:rsidP="0029635A">
      <w:pPr>
        <w:spacing w:line="360" w:lineRule="auto"/>
        <w:contextualSpacing/>
        <w:jc w:val="both"/>
        <w:rPr>
          <w:rFonts w:cs="Times New Roman"/>
          <w:i/>
          <w:sz w:val="22"/>
        </w:rPr>
      </w:pPr>
    </w:p>
    <w:p w:rsidR="001C6539" w:rsidRPr="00805964" w:rsidRDefault="001C6539" w:rsidP="0029635A">
      <w:pPr>
        <w:spacing w:line="360" w:lineRule="auto"/>
        <w:contextualSpacing/>
        <w:jc w:val="both"/>
        <w:rPr>
          <w:rFonts w:cs="Times New Roman"/>
          <w:i/>
          <w:sz w:val="22"/>
        </w:rPr>
      </w:pPr>
    </w:p>
    <w:p w:rsidR="001C6539" w:rsidRPr="00805964" w:rsidRDefault="001C6539" w:rsidP="0029635A">
      <w:pPr>
        <w:spacing w:line="360" w:lineRule="auto"/>
        <w:contextualSpacing/>
        <w:jc w:val="both"/>
        <w:rPr>
          <w:rFonts w:cs="Times New Roman"/>
          <w:i/>
          <w:sz w:val="22"/>
        </w:rPr>
      </w:pPr>
    </w:p>
    <w:p w:rsidR="001C6539" w:rsidRPr="00805964" w:rsidRDefault="001C6539" w:rsidP="0029635A">
      <w:pPr>
        <w:spacing w:line="360" w:lineRule="auto"/>
        <w:contextualSpacing/>
        <w:jc w:val="both"/>
        <w:rPr>
          <w:rFonts w:cs="Times New Roman"/>
          <w:i/>
          <w:sz w:val="22"/>
        </w:rPr>
      </w:pPr>
    </w:p>
    <w:p w:rsidR="00F71403" w:rsidRPr="00805964" w:rsidRDefault="00F71403" w:rsidP="0029635A">
      <w:pPr>
        <w:spacing w:line="360" w:lineRule="auto"/>
        <w:contextualSpacing/>
        <w:jc w:val="both"/>
        <w:rPr>
          <w:rFonts w:cs="Times New Roman"/>
          <w:i/>
          <w:sz w:val="22"/>
        </w:rPr>
      </w:pPr>
    </w:p>
    <w:p w:rsidR="00F71403" w:rsidRPr="00805964" w:rsidRDefault="00F71403" w:rsidP="0029635A">
      <w:pPr>
        <w:spacing w:line="360" w:lineRule="auto"/>
        <w:contextualSpacing/>
        <w:jc w:val="both"/>
        <w:rPr>
          <w:rFonts w:cs="Times New Roman"/>
          <w:i/>
          <w:sz w:val="22"/>
        </w:rPr>
      </w:pPr>
    </w:p>
    <w:p w:rsidR="00F71403" w:rsidRPr="00805964" w:rsidRDefault="00F71403" w:rsidP="0029635A">
      <w:pPr>
        <w:spacing w:line="360" w:lineRule="auto"/>
        <w:contextualSpacing/>
        <w:jc w:val="both"/>
        <w:rPr>
          <w:rFonts w:cs="Times New Roman"/>
          <w:i/>
          <w:sz w:val="22"/>
        </w:rPr>
      </w:pPr>
    </w:p>
    <w:p w:rsidR="00F71403" w:rsidRPr="00805964" w:rsidRDefault="00F71403" w:rsidP="0029635A">
      <w:pPr>
        <w:spacing w:line="360" w:lineRule="auto"/>
        <w:contextualSpacing/>
        <w:jc w:val="both"/>
        <w:rPr>
          <w:rFonts w:cs="Times New Roman"/>
          <w:i/>
          <w:sz w:val="22"/>
        </w:rPr>
      </w:pPr>
    </w:p>
    <w:p w:rsidR="00F5593E" w:rsidRPr="00805964" w:rsidRDefault="009B7539" w:rsidP="0029635A">
      <w:pPr>
        <w:pStyle w:val="Nadpis1"/>
        <w:contextualSpacing/>
        <w:rPr>
          <w:rFonts w:cs="Times New Roman"/>
        </w:rPr>
      </w:pPr>
      <w:bookmarkStart w:id="15" w:name="_Toc359918281"/>
      <w:r w:rsidRPr="00805964">
        <w:rPr>
          <w:rFonts w:cs="Times New Roman"/>
        </w:rPr>
        <w:lastRenderedPageBreak/>
        <w:t>3 Analyticko</w:t>
      </w:r>
      <w:r w:rsidR="00623721" w:rsidRPr="00805964">
        <w:rPr>
          <w:rFonts w:cs="Times New Roman"/>
        </w:rPr>
        <w:t>-</w:t>
      </w:r>
      <w:r w:rsidRPr="00805964">
        <w:rPr>
          <w:rFonts w:cs="Times New Roman"/>
        </w:rPr>
        <w:t xml:space="preserve">empirická studie: </w:t>
      </w:r>
      <w:r w:rsidR="00F5593E" w:rsidRPr="00805964">
        <w:rPr>
          <w:rFonts w:cs="Times New Roman"/>
        </w:rPr>
        <w:t>případová studie Senátu ČR</w:t>
      </w:r>
      <w:bookmarkEnd w:id="15"/>
      <w:r w:rsidR="00F5593E" w:rsidRPr="00805964">
        <w:rPr>
          <w:rFonts w:cs="Times New Roman"/>
        </w:rPr>
        <w:t xml:space="preserve"> </w:t>
      </w:r>
    </w:p>
    <w:p w:rsidR="00F5593E" w:rsidRPr="00805964" w:rsidRDefault="00F5593E" w:rsidP="0029635A">
      <w:pPr>
        <w:contextualSpacing/>
        <w:rPr>
          <w:rFonts w:cs="Times New Roman"/>
        </w:rPr>
      </w:pPr>
    </w:p>
    <w:p w:rsidR="00F5593E" w:rsidRPr="00805964" w:rsidRDefault="00F5593E" w:rsidP="0029635A">
      <w:pPr>
        <w:contextualSpacing/>
        <w:rPr>
          <w:rFonts w:cs="Times New Roman"/>
        </w:rPr>
      </w:pPr>
    </w:p>
    <w:p w:rsidR="000552DA" w:rsidRPr="00805964" w:rsidRDefault="00F5593E" w:rsidP="000552DA">
      <w:pPr>
        <w:spacing w:line="360" w:lineRule="auto"/>
        <w:contextualSpacing/>
        <w:jc w:val="both"/>
        <w:rPr>
          <w:szCs w:val="24"/>
        </w:rPr>
      </w:pPr>
      <w:r w:rsidRPr="00805964">
        <w:rPr>
          <w:rFonts w:cs="Times New Roman"/>
        </w:rPr>
        <w:tab/>
      </w:r>
      <w:r w:rsidR="000552DA" w:rsidRPr="00805964">
        <w:rPr>
          <w:szCs w:val="24"/>
        </w:rPr>
        <w:t xml:space="preserve">Předmětem poslední části této diplomové práce je samotná analýza efektivnosti legislativní činnosti Senátu, která vychází z metodologického rámce představeného </w:t>
      </w:r>
      <w:r w:rsidR="00DC2678">
        <w:rPr>
          <w:szCs w:val="24"/>
        </w:rPr>
        <w:t>v </w:t>
      </w:r>
      <w:r w:rsidR="000552DA" w:rsidRPr="00805964">
        <w:rPr>
          <w:szCs w:val="24"/>
        </w:rPr>
        <w:t>předchozí kapitole. Tato část je rozdělena do tří větších celků, které jsou reprezentovány dvěma hlavními obdobími a následným srovnáním všech vy</w:t>
      </w:r>
      <w:r w:rsidR="00DC2678">
        <w:rPr>
          <w:szCs w:val="24"/>
        </w:rPr>
        <w:t>braných období. V rámci každého </w:t>
      </w:r>
      <w:r w:rsidR="000552DA" w:rsidRPr="00805964">
        <w:rPr>
          <w:szCs w:val="24"/>
        </w:rPr>
        <w:t xml:space="preserve">z obou detailněji analyzovaných období bude nejprve představena legislativa, která byla </w:t>
      </w:r>
      <w:r w:rsidR="00DC2678">
        <w:rPr>
          <w:szCs w:val="24"/>
        </w:rPr>
        <w:t>v </w:t>
      </w:r>
      <w:r w:rsidR="000552DA" w:rsidRPr="00805964">
        <w:rPr>
          <w:szCs w:val="24"/>
        </w:rPr>
        <w:t>daném období projednávána, a poté budou provedena jednotlivá měření. Tato měření se budou vztahovat pouze na vládní návrhy zákonů či návrhy zákonů pocházejících od Poslanecké sněmovny či dalších institucí k tomu oprávněných, nikoliv však od Senátu. Senátním iniciativám nebude věnována pozornost a to z několika důvodů. Prvním důvodem je malé množství těchto návrhů, s nimiž vyslovila souhlas PS a prošly tak běžným legislativním procesem.</w:t>
      </w:r>
      <w:r w:rsidR="000552DA" w:rsidRPr="00805964">
        <w:rPr>
          <w:rStyle w:val="FootnoteCharacters"/>
          <w:szCs w:val="24"/>
        </w:rPr>
        <w:footnoteReference w:id="80"/>
      </w:r>
      <w:r w:rsidR="000552DA" w:rsidRPr="00805964">
        <w:rPr>
          <w:szCs w:val="24"/>
        </w:rPr>
        <w:t xml:space="preserve"> Druhým důvodem je velký počet možných situací, které mohou při projednávání senátních návrhů zákonů nastat na půdě Senátu, tedy ještě předtím než je legislativní proces jako takový zahájen. Třetím důvodem je pak problematické zařazení těchto iniciativ do jednotlivých období z důvodu poměrně častého přesouvání a odkládání jejich projednávání </w:t>
      </w:r>
      <w:r w:rsidR="00DC2678">
        <w:rPr>
          <w:szCs w:val="24"/>
        </w:rPr>
        <w:t>a </w:t>
      </w:r>
      <w:r w:rsidR="000552DA" w:rsidRPr="00805964">
        <w:rPr>
          <w:szCs w:val="24"/>
        </w:rPr>
        <w:t xml:space="preserve">to napříč obdobími. Samozřejmě nepopíráme specifičnost senátních iniciativ a jejich potencionální vliv na míru efektivity druhé komory Parlamentu ve vztahu ke komoře první. Poměrně malé množství těchto iniciativ, které následně projednává i Poslanecká sněmovna je však faktorem, který jistě neovlivní výsledky této práce.   </w:t>
      </w:r>
    </w:p>
    <w:p w:rsidR="00821F57" w:rsidRPr="00805964" w:rsidRDefault="000552DA" w:rsidP="000552DA">
      <w:pPr>
        <w:spacing w:line="360" w:lineRule="auto"/>
        <w:contextualSpacing/>
        <w:jc w:val="both"/>
        <w:rPr>
          <w:szCs w:val="24"/>
        </w:rPr>
      </w:pPr>
      <w:r w:rsidRPr="00805964">
        <w:rPr>
          <w:szCs w:val="24"/>
        </w:rPr>
        <w:tab/>
        <w:t>Vzhledem k tomu, že se volby do Poslanecké sněmovny v námi vybraných letech konaly v řádných termínech</w:t>
      </w:r>
      <w:r w:rsidR="006573AD">
        <w:rPr>
          <w:szCs w:val="24"/>
        </w:rPr>
        <w:t xml:space="preserve"> a sice 2.–</w:t>
      </w:r>
      <w:r w:rsidR="000713F0" w:rsidRPr="00805964">
        <w:rPr>
          <w:szCs w:val="24"/>
        </w:rPr>
        <w:t>3. června 2006 a 28.</w:t>
      </w:r>
      <w:r w:rsidRPr="00805964">
        <w:rPr>
          <w:szCs w:val="24"/>
        </w:rPr>
        <w:t xml:space="preserve">−29. května 2010, zatímco volby do Senátu se zpravidla konají na podzim, je třeba časově sjednotit námi analyzované funkční období, a v rámci něj projednávanou legislativu, u obou komor. Tato období budou </w:t>
      </w:r>
      <w:r w:rsidR="00DC2678">
        <w:rPr>
          <w:szCs w:val="24"/>
        </w:rPr>
        <w:t>v </w:t>
      </w:r>
      <w:r w:rsidRPr="00805964">
        <w:rPr>
          <w:szCs w:val="24"/>
        </w:rPr>
        <w:t xml:space="preserve">návaznosti na fakt, že se jedná o výzkum efektivnosti Senátu, časově ohraničena začátkem </w:t>
      </w:r>
      <w:r w:rsidR="00DC2678">
        <w:rPr>
          <w:szCs w:val="24"/>
        </w:rPr>
        <w:t>a </w:t>
      </w:r>
      <w:r w:rsidRPr="00805964">
        <w:rPr>
          <w:szCs w:val="24"/>
        </w:rPr>
        <w:t>koncem jednotlivých funkčních období horní komory Parlamentu České republiky.</w:t>
      </w:r>
    </w:p>
    <w:p w:rsidR="00F5593E" w:rsidRPr="00805964" w:rsidRDefault="00821F57" w:rsidP="000552DA">
      <w:pPr>
        <w:spacing w:line="360" w:lineRule="auto"/>
        <w:contextualSpacing/>
        <w:jc w:val="both"/>
        <w:rPr>
          <w:szCs w:val="24"/>
        </w:rPr>
      </w:pPr>
      <w:r w:rsidRPr="00805964">
        <w:rPr>
          <w:szCs w:val="24"/>
        </w:rPr>
        <w:lastRenderedPageBreak/>
        <w:tab/>
      </w:r>
      <w:r w:rsidR="000552DA" w:rsidRPr="00805964">
        <w:rPr>
          <w:szCs w:val="24"/>
        </w:rPr>
        <w:t>Na webových stránkách Senátu Parlamentu ČR jsou téměř každoročně</w:t>
      </w:r>
      <w:r w:rsidR="000552DA" w:rsidRPr="00805964">
        <w:rPr>
          <w:rStyle w:val="FootnoteCharacters"/>
          <w:szCs w:val="24"/>
        </w:rPr>
        <w:footnoteReference w:id="81"/>
      </w:r>
      <w:r w:rsidR="000552DA" w:rsidRPr="00805964">
        <w:rPr>
          <w:szCs w:val="24"/>
        </w:rPr>
        <w:t xml:space="preserve"> uveřejňovány zprávy o činnosti Senátu v daném roce. Vzhledem k tomu, že je pro tuto analýzu třeba pracovat s velkým objemem dat, resp. zákonů, jsou výroční zprávy Senátu z dostupných let vítaným pomocníkem při zpracování potřebných údajů.</w:t>
      </w:r>
      <w:r w:rsidR="000552DA" w:rsidRPr="00805964">
        <w:rPr>
          <w:rStyle w:val="FootnoteCharacters"/>
          <w:szCs w:val="24"/>
        </w:rPr>
        <w:footnoteReference w:id="82"/>
      </w:r>
      <w:r w:rsidR="000552DA" w:rsidRPr="00805964">
        <w:rPr>
          <w:szCs w:val="24"/>
        </w:rPr>
        <w:t xml:space="preserve"> V prvních dvou funkčních obdobích Senátu tyto zprávy nevycházely a činnost Senátu nebyla tak dobře monitorována jako tomu je od 3. funkčního období, tedy od roku 2000. V práci budou analyzována mimo dvou již představených období, také třetí, čtvrté, páté a sedmé funkční období Senátu. Analýza tak pokryje činnost Senátu od roku 2000 do roku 2012.</w:t>
      </w:r>
    </w:p>
    <w:p w:rsidR="00F07250" w:rsidRPr="00805964" w:rsidRDefault="00F07250" w:rsidP="0029635A">
      <w:pPr>
        <w:spacing w:line="360" w:lineRule="auto"/>
        <w:contextualSpacing/>
        <w:jc w:val="both"/>
      </w:pPr>
    </w:p>
    <w:p w:rsidR="007726C0" w:rsidRPr="00805964" w:rsidRDefault="00AA25FA" w:rsidP="0029635A">
      <w:pPr>
        <w:pStyle w:val="Nadpis2"/>
        <w:spacing w:line="360" w:lineRule="auto"/>
        <w:contextualSpacing/>
        <w:jc w:val="both"/>
      </w:pPr>
      <w:bookmarkStart w:id="16" w:name="_Toc359918282"/>
      <w:r w:rsidRPr="00805964">
        <w:t>3</w:t>
      </w:r>
      <w:r w:rsidR="0075151B" w:rsidRPr="00805964">
        <w:t xml:space="preserve">. </w:t>
      </w:r>
      <w:r w:rsidR="000713F0" w:rsidRPr="00805964">
        <w:t>1 Období stejných většin 2006–</w:t>
      </w:r>
      <w:r w:rsidRPr="00805964">
        <w:t>2008</w:t>
      </w:r>
      <w:bookmarkEnd w:id="16"/>
    </w:p>
    <w:p w:rsidR="004C1CF4" w:rsidRPr="00805964" w:rsidRDefault="004C1CF4" w:rsidP="0029635A">
      <w:pPr>
        <w:contextualSpacing/>
      </w:pPr>
    </w:p>
    <w:p w:rsidR="004E35D9" w:rsidRPr="00805964" w:rsidRDefault="007B0039" w:rsidP="0029635A">
      <w:pPr>
        <w:spacing w:line="360" w:lineRule="auto"/>
        <w:contextualSpacing/>
        <w:jc w:val="both"/>
      </w:pPr>
      <w:r w:rsidRPr="00805964">
        <w:tab/>
      </w:r>
      <w:r w:rsidR="000552DA" w:rsidRPr="00805964">
        <w:t>Volby do Poslanecké sněmovny v roce 2006 přinesly do té doby v českém prostředí zcela nevídaný jev, a to patovou situaci, kdy po volbách bylo rozložení sil pravice vůči levici na půdě Sněmovny 100:100. Není předmětem této práce analyzovat volební systémy, volby či povolební vyjednávání, avšak je nutné obhájit výběr období 2006</w:t>
      </w:r>
      <w:r w:rsidR="000713F0" w:rsidRPr="00805964">
        <w:t>–</w:t>
      </w:r>
      <w:r w:rsidR="000552DA" w:rsidRPr="00805964">
        <w:t>2008 a jeho označení za období stejných většin.</w:t>
      </w:r>
    </w:p>
    <w:p w:rsidR="00AB2727" w:rsidRPr="00805964" w:rsidRDefault="00AB2727" w:rsidP="0029635A">
      <w:pPr>
        <w:spacing w:line="360" w:lineRule="auto"/>
        <w:contextualSpacing/>
        <w:jc w:val="both"/>
      </w:pPr>
    </w:p>
    <w:p w:rsidR="004E35D9" w:rsidRPr="00805964" w:rsidRDefault="004E35D9" w:rsidP="004E35D9">
      <w:pPr>
        <w:spacing w:line="360" w:lineRule="auto"/>
        <w:contextualSpacing/>
        <w:jc w:val="center"/>
      </w:pPr>
      <w:r w:rsidRPr="00805964">
        <w:rPr>
          <w:b/>
          <w:sz w:val="22"/>
          <w:u w:val="single"/>
        </w:rPr>
        <w:t>Graf č. 2: Rozdělení mandátů politickým stranám po volbách do PS v roce 2006</w:t>
      </w:r>
    </w:p>
    <w:p w:rsidR="00930E6A" w:rsidRPr="00805964" w:rsidRDefault="0073312F" w:rsidP="0029635A">
      <w:pPr>
        <w:contextualSpacing/>
        <w:jc w:val="center"/>
      </w:pPr>
      <w:r w:rsidRPr="00805964">
        <w:rPr>
          <w:noProof/>
          <w:lang w:eastAsia="cs-CZ"/>
        </w:rPr>
        <w:drawing>
          <wp:inline distT="0" distB="0" distL="0" distR="0">
            <wp:extent cx="4581525" cy="2447925"/>
            <wp:effectExtent l="19050" t="0" r="9525"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30E6A" w:rsidRPr="00805964" w:rsidRDefault="007B0039" w:rsidP="0029635A">
      <w:pPr>
        <w:contextualSpacing/>
        <w:jc w:val="center"/>
        <w:rPr>
          <w:i/>
          <w:sz w:val="22"/>
        </w:rPr>
      </w:pPr>
      <w:r w:rsidRPr="00805964">
        <w:rPr>
          <w:i/>
          <w:sz w:val="22"/>
        </w:rPr>
        <w:t>Zdroj:</w:t>
      </w:r>
      <w:r w:rsidR="000A5B42" w:rsidRPr="00805964">
        <w:rPr>
          <w:i/>
          <w:sz w:val="22"/>
        </w:rPr>
        <w:t xml:space="preserve"> Autor podle</w:t>
      </w:r>
      <w:r w:rsidRPr="00805964">
        <w:rPr>
          <w:i/>
          <w:sz w:val="22"/>
        </w:rPr>
        <w:t xml:space="preserve"> </w:t>
      </w:r>
      <w:hyperlink r:id="rId27" w:history="1">
        <w:r w:rsidRPr="00805964">
          <w:rPr>
            <w:rStyle w:val="Hypertextovodkaz"/>
            <w:i/>
            <w:color w:val="auto"/>
            <w:sz w:val="22"/>
          </w:rPr>
          <w:t>http://volby.cz/pls/ps2006/ps531?xjazyk=CZ</w:t>
        </w:r>
      </w:hyperlink>
    </w:p>
    <w:p w:rsidR="007B0039" w:rsidRPr="00805964" w:rsidRDefault="007B0039" w:rsidP="0029635A">
      <w:pPr>
        <w:contextualSpacing/>
        <w:jc w:val="center"/>
        <w:rPr>
          <w:i/>
          <w:sz w:val="22"/>
        </w:rPr>
      </w:pPr>
    </w:p>
    <w:p w:rsidR="00930E6A" w:rsidRPr="00805964" w:rsidRDefault="00930E6A" w:rsidP="0029635A">
      <w:pPr>
        <w:spacing w:line="360" w:lineRule="auto"/>
        <w:contextualSpacing/>
        <w:jc w:val="both"/>
      </w:pPr>
    </w:p>
    <w:p w:rsidR="000552DA" w:rsidRPr="00805964" w:rsidRDefault="00F92C4F" w:rsidP="000552DA">
      <w:pPr>
        <w:spacing w:line="360" w:lineRule="auto"/>
        <w:contextualSpacing/>
        <w:jc w:val="both"/>
      </w:pPr>
      <w:r w:rsidRPr="00805964">
        <w:lastRenderedPageBreak/>
        <w:tab/>
      </w:r>
      <w:r w:rsidR="000552DA" w:rsidRPr="00805964">
        <w:t>Graf č. 2 ukazuje rozdělení mandátů  politickým stra</w:t>
      </w:r>
      <w:r w:rsidR="00DC2678">
        <w:t>nám, které překonaly 5% hranici </w:t>
      </w:r>
      <w:r w:rsidR="000552DA" w:rsidRPr="00805964">
        <w:t>a dostaly se v roce 2006 do Sněmovny. Levicové strany, za něž jsou obecně považovány Česká strana sociálně demokratická (ČSS</w:t>
      </w:r>
      <w:r w:rsidR="00DC2678">
        <w:t>D) a Komunistická strana Čech a </w:t>
      </w:r>
      <w:r w:rsidR="000552DA" w:rsidRPr="00805964">
        <w:t>Moravy (KSČM), získaly dohromady 100 mandátů. Pravicové strany či strany tíhnoucí k pravici, kterými jsou Občanská demokratická strana (ODS), K</w:t>
      </w:r>
      <w:r w:rsidR="0072336B" w:rsidRPr="00805964">
        <w:t xml:space="preserve">řesťanská a demokratická unie </w:t>
      </w:r>
      <w:r w:rsidR="004E5460" w:rsidRPr="00805964">
        <w:t>–</w:t>
      </w:r>
      <w:r w:rsidR="0072336B" w:rsidRPr="00805964">
        <w:t xml:space="preserve"> </w:t>
      </w:r>
      <w:r w:rsidR="000552DA" w:rsidRPr="00805964">
        <w:t>Československá strana lidová (KDU</w:t>
      </w:r>
      <w:r w:rsidR="004E5460" w:rsidRPr="00805964">
        <w:t>–</w:t>
      </w:r>
      <w:r w:rsidR="000552DA" w:rsidRPr="00805964">
        <w:t>ČSL) a Strana zelených</w:t>
      </w:r>
      <w:r w:rsidR="008A7721">
        <w:t xml:space="preserve"> (SZ)</w:t>
      </w:r>
      <w:r w:rsidR="000552DA" w:rsidRPr="00805964">
        <w:t>, získaly také 100 mandátů. V následujících povolebních vyjednáváních se nakonec podařilo sestavit pravicovou vládu, které byla Poslaneckou sněmovnou vyslovena důvěra. Vzhledem k tomuto faktu tedy považujeme toto období za období pravicové většiny</w:t>
      </w:r>
      <w:r w:rsidR="000552DA" w:rsidRPr="00805964">
        <w:rPr>
          <w:rStyle w:val="FootnoteCharacters"/>
        </w:rPr>
        <w:footnoteReference w:id="83"/>
      </w:r>
      <w:r w:rsidR="000552DA" w:rsidRPr="00805964">
        <w:t xml:space="preserve"> v Poslanecké sněmovně a </w:t>
      </w:r>
      <w:r w:rsidR="00DC2678">
        <w:t>tedy stejné většiny, která byla </w:t>
      </w:r>
      <w:r w:rsidR="000552DA" w:rsidRPr="00805964">
        <w:t>v tu dobu i na půdě horní komory Parlamentu České republiky.</w:t>
      </w:r>
    </w:p>
    <w:p w:rsidR="008B30FE" w:rsidRPr="00805964" w:rsidRDefault="000552DA" w:rsidP="000552DA">
      <w:pPr>
        <w:spacing w:line="360" w:lineRule="auto"/>
        <w:contextualSpacing/>
        <w:jc w:val="both"/>
      </w:pPr>
      <w:r w:rsidRPr="00805964">
        <w:tab/>
        <w:t>Pro volby do horní komory je v ČR aplikován systém parciální obměny, kdy je každé dva roky volena třetina senátorů. V pravidelných volbách konaných ve dnech 20. a 21. října 2006 by</w:t>
      </w:r>
      <w:r w:rsidR="004E5460" w:rsidRPr="00805964">
        <w:t>lo zvoleno 14 senátorů za ODS, šest</w:t>
      </w:r>
      <w:r w:rsidRPr="00805964">
        <w:t xml:space="preserve"> sená</w:t>
      </w:r>
      <w:r w:rsidR="004E5460" w:rsidRPr="00805964">
        <w:t>torů za ČSSD, čtyři senátoři za KDU–</w:t>
      </w:r>
      <w:r w:rsidR="0072336B" w:rsidRPr="00805964">
        <w:t>ČSL, jedna</w:t>
      </w:r>
      <w:r w:rsidRPr="00805964">
        <w:t xml:space="preserve"> senátorka byla zvolena za SOS (Str</w:t>
      </w:r>
      <w:r w:rsidR="00A7709A" w:rsidRPr="00805964">
        <w:t xml:space="preserve">anu pro otevřenou společnost), jeden senátor za </w:t>
      </w:r>
      <w:r w:rsidRPr="00805964">
        <w:t>NSK (Nezávislí starostové pro kraj</w:t>
      </w:r>
      <w:r w:rsidR="00A7709A" w:rsidRPr="00805964">
        <w:t>) a jeden</w:t>
      </w:r>
      <w:r w:rsidRPr="00805964">
        <w:t xml:space="preserve"> senátor kandidoval jako nezávislý.</w:t>
      </w:r>
      <w:r w:rsidRPr="00805964">
        <w:rPr>
          <w:rStyle w:val="FootnoteCharacters"/>
        </w:rPr>
        <w:footnoteReference w:id="84"/>
      </w:r>
      <w:r w:rsidRPr="00805964">
        <w:t xml:space="preserve"> Složení druhé komory po těchto volbách vykazuje jasnou dominanci pravicových stran, zejména pak ODS, která měla v Senátu 41 zástupců.</w:t>
      </w:r>
      <w:r w:rsidRPr="00805964">
        <w:rPr>
          <w:rStyle w:val="FootnoteCharacters"/>
        </w:rPr>
        <w:footnoteReference w:id="85"/>
      </w:r>
      <w:r w:rsidRPr="00805964">
        <w:t xml:space="preserve"> Zastoupení dalších politických stran je znázorněno </w:t>
      </w:r>
      <w:r w:rsidR="00DC2678">
        <w:t>v </w:t>
      </w:r>
      <w:r w:rsidRPr="00805964">
        <w:t>grafu č. 3.</w:t>
      </w:r>
      <w:r w:rsidRPr="00805964">
        <w:rPr>
          <w:rStyle w:val="FootnoteCharacters"/>
        </w:rPr>
        <w:footnoteReference w:id="86"/>
      </w:r>
    </w:p>
    <w:p w:rsidR="00AB2727" w:rsidRPr="00805964" w:rsidRDefault="00AB2727" w:rsidP="0029635A">
      <w:pPr>
        <w:spacing w:line="360" w:lineRule="auto"/>
        <w:contextualSpacing/>
        <w:jc w:val="both"/>
      </w:pPr>
    </w:p>
    <w:p w:rsidR="00A7709A" w:rsidRPr="00805964" w:rsidRDefault="00A7709A" w:rsidP="0029635A">
      <w:pPr>
        <w:spacing w:line="360" w:lineRule="auto"/>
        <w:contextualSpacing/>
        <w:jc w:val="both"/>
      </w:pPr>
    </w:p>
    <w:p w:rsidR="00A7709A" w:rsidRPr="00805964" w:rsidRDefault="00A7709A" w:rsidP="0029635A">
      <w:pPr>
        <w:spacing w:line="360" w:lineRule="auto"/>
        <w:contextualSpacing/>
        <w:jc w:val="both"/>
      </w:pPr>
    </w:p>
    <w:p w:rsidR="00A7709A" w:rsidRPr="00805964" w:rsidRDefault="00A7709A" w:rsidP="0029635A">
      <w:pPr>
        <w:spacing w:line="360" w:lineRule="auto"/>
        <w:contextualSpacing/>
        <w:jc w:val="both"/>
      </w:pPr>
    </w:p>
    <w:p w:rsidR="00A7709A" w:rsidRPr="00805964" w:rsidRDefault="00A7709A" w:rsidP="0029635A">
      <w:pPr>
        <w:spacing w:line="360" w:lineRule="auto"/>
        <w:contextualSpacing/>
        <w:jc w:val="both"/>
      </w:pPr>
    </w:p>
    <w:p w:rsidR="00A7709A" w:rsidRPr="00805964" w:rsidRDefault="00A7709A" w:rsidP="0029635A">
      <w:pPr>
        <w:spacing w:line="360" w:lineRule="auto"/>
        <w:contextualSpacing/>
        <w:jc w:val="both"/>
      </w:pPr>
    </w:p>
    <w:p w:rsidR="00A7709A" w:rsidRPr="00805964" w:rsidRDefault="00A7709A" w:rsidP="0029635A">
      <w:pPr>
        <w:spacing w:line="360" w:lineRule="auto"/>
        <w:contextualSpacing/>
        <w:jc w:val="both"/>
      </w:pPr>
    </w:p>
    <w:p w:rsidR="00A7709A" w:rsidRPr="00805964" w:rsidRDefault="00A7709A" w:rsidP="0029635A">
      <w:pPr>
        <w:spacing w:line="360" w:lineRule="auto"/>
        <w:contextualSpacing/>
        <w:jc w:val="both"/>
      </w:pPr>
    </w:p>
    <w:p w:rsidR="00A7709A" w:rsidRPr="00805964" w:rsidRDefault="00A7709A" w:rsidP="0029635A">
      <w:pPr>
        <w:spacing w:line="360" w:lineRule="auto"/>
        <w:contextualSpacing/>
        <w:jc w:val="both"/>
      </w:pPr>
    </w:p>
    <w:p w:rsidR="00A7709A" w:rsidRPr="00805964" w:rsidRDefault="00A7709A" w:rsidP="0029635A">
      <w:pPr>
        <w:spacing w:line="360" w:lineRule="auto"/>
        <w:contextualSpacing/>
        <w:jc w:val="both"/>
      </w:pPr>
    </w:p>
    <w:p w:rsidR="004E35D9" w:rsidRPr="00805964" w:rsidRDefault="004E35D9" w:rsidP="004E35D9">
      <w:pPr>
        <w:contextualSpacing/>
        <w:jc w:val="center"/>
        <w:rPr>
          <w:b/>
          <w:u w:val="single"/>
        </w:rPr>
      </w:pPr>
      <w:r w:rsidRPr="00805964">
        <w:rPr>
          <w:b/>
          <w:u w:val="single"/>
        </w:rPr>
        <w:lastRenderedPageBreak/>
        <w:t>Graf č. 3: Rozdělení mandátů politickým stranám po volbách do Senátu v roce 2006</w:t>
      </w:r>
    </w:p>
    <w:p w:rsidR="000E6B95" w:rsidRPr="00805964" w:rsidRDefault="000E6B95" w:rsidP="0029635A">
      <w:pPr>
        <w:spacing w:line="360" w:lineRule="auto"/>
        <w:contextualSpacing/>
        <w:jc w:val="center"/>
      </w:pPr>
      <w:r w:rsidRPr="00805964">
        <w:rPr>
          <w:noProof/>
          <w:lang w:eastAsia="cs-CZ"/>
        </w:rPr>
        <w:drawing>
          <wp:inline distT="0" distB="0" distL="0" distR="0">
            <wp:extent cx="4591050" cy="2390775"/>
            <wp:effectExtent l="19050" t="0" r="1905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E6B95" w:rsidRPr="00805964" w:rsidRDefault="000E6B95" w:rsidP="0029635A">
      <w:pPr>
        <w:spacing w:line="360" w:lineRule="auto"/>
        <w:contextualSpacing/>
        <w:jc w:val="center"/>
      </w:pPr>
      <w:r w:rsidRPr="00805964">
        <w:rPr>
          <w:i/>
        </w:rPr>
        <w:t>Zdroj:</w:t>
      </w:r>
      <w:r w:rsidR="000A5B42" w:rsidRPr="00805964">
        <w:t xml:space="preserve"> </w:t>
      </w:r>
      <w:r w:rsidR="000A5B42" w:rsidRPr="00805964">
        <w:rPr>
          <w:i/>
        </w:rPr>
        <w:t>Autor podle</w:t>
      </w:r>
      <w:r w:rsidRPr="00805964">
        <w:rPr>
          <w:i/>
        </w:rPr>
        <w:t xml:space="preserve"> </w:t>
      </w:r>
      <w:hyperlink r:id="rId29" w:history="1">
        <w:r w:rsidRPr="00805964">
          <w:rPr>
            <w:rStyle w:val="Hypertextovodkaz"/>
            <w:i/>
            <w:color w:val="auto"/>
          </w:rPr>
          <w:t>http://www.ods.cz/volebni-vysledky/2006-senatni</w:t>
        </w:r>
      </w:hyperlink>
    </w:p>
    <w:p w:rsidR="00A7709A" w:rsidRPr="00805964" w:rsidRDefault="00A7709A" w:rsidP="0029635A">
      <w:pPr>
        <w:spacing w:line="360" w:lineRule="auto"/>
        <w:contextualSpacing/>
        <w:jc w:val="center"/>
      </w:pPr>
    </w:p>
    <w:p w:rsidR="00273C92" w:rsidRPr="00805964" w:rsidRDefault="003E491E" w:rsidP="00273C92">
      <w:pPr>
        <w:spacing w:line="360" w:lineRule="auto"/>
        <w:contextualSpacing/>
        <w:jc w:val="both"/>
      </w:pPr>
      <w:r w:rsidRPr="00805964">
        <w:tab/>
      </w:r>
      <w:r w:rsidR="00273C92" w:rsidRPr="00805964">
        <w:t>Šesté funkční období Senátu disponující stejnou většinou</w:t>
      </w:r>
      <w:r w:rsidR="006573AD">
        <w:t>,</w:t>
      </w:r>
      <w:r w:rsidR="00273C92" w:rsidRPr="00805964">
        <w:t xml:space="preserve"> jaká byla zastoupena </w:t>
      </w:r>
      <w:r w:rsidR="00DC2678">
        <w:t>v </w:t>
      </w:r>
      <w:r w:rsidR="00273C92" w:rsidRPr="00805964">
        <w:t>Poslanecké sněmovně, trvalo od 29. listopadu 2006 do 30. října 2008.</w:t>
      </w:r>
      <w:r w:rsidR="00273C92" w:rsidRPr="00805964">
        <w:rPr>
          <w:rStyle w:val="FootnoteCharacters"/>
        </w:rPr>
        <w:footnoteReference w:id="87"/>
      </w:r>
      <w:r w:rsidR="00273C92" w:rsidRPr="00805964">
        <w:t xml:space="preserve"> V rámci šestého funkčního období Senátu bylo projednáno 192 návrhů běžných zákonů, z nichž 143 bylo schváleno, u 24 návrhů zákonů vyjádř</w:t>
      </w:r>
      <w:r w:rsidR="006573AD">
        <w:t>il Senát vůli se jimi nezabývat</w:t>
      </w:r>
      <w:r w:rsidR="00273C92" w:rsidRPr="00805964">
        <w:t xml:space="preserve"> a ve 22 případech vrátil Senát návrh zákona s pozměňovacími návrhy zpět do Poslanecké sněmovny.  Dvakrát se Senátu nepodařilo na návrhu zákona usnést ve lhůtě stanovené zákonem a zákony tak byly přijaty. Pouze dva návrhy zákonů horní komora ve svém šestém funkčním období zamítla. </w:t>
      </w:r>
      <w:r w:rsidR="00273C92" w:rsidRPr="00805964">
        <w:tab/>
        <w:t xml:space="preserve">V šestém funkčním období uspělo v Poslanecké sněmovně 12 návrhů zákonů, které obsahovaly pozměňovací návrhy Senátu, naopak v deseti případech byl Senát přehlasován </w:t>
      </w:r>
      <w:r w:rsidR="00DC2678">
        <w:t>a </w:t>
      </w:r>
      <w:r w:rsidR="00273C92" w:rsidRPr="00805964">
        <w:t xml:space="preserve">Poslanecká sněmovna prosadila původní verzi návrhů. V obou dvou případech, kdy Senát vetoval legislativu předloženou Poslaneckou sněmovnou, byl přehlasován a Sněmovna prosadila svoji vůli. Poměrně nesporným bodem bylo schvalování mezinárodních smluv, kde Senát vyslovil v 73 případech souhlas s ratifikací těchto smluv a pouze ve třech případech horní komora nepřijala usnesení ve stanovené lhůtě, čímž nepřímo vyslovila s ratifikací souhlas. </w:t>
      </w:r>
    </w:p>
    <w:p w:rsidR="00805F56" w:rsidRPr="00805964" w:rsidRDefault="00273C92" w:rsidP="00273C92">
      <w:pPr>
        <w:spacing w:line="360" w:lineRule="auto"/>
        <w:contextualSpacing/>
        <w:jc w:val="both"/>
      </w:pPr>
      <w:r w:rsidRPr="00805964">
        <w:tab/>
        <w:t>Pro zpřehlednění informací o jednotlivých legislativních aktech, které jsou předmětem analýzy této práce, byla vytvořena tabulka č. 5</w:t>
      </w:r>
      <w:r w:rsidR="006573AD">
        <w:t>,</w:t>
      </w:r>
      <w:r w:rsidRPr="00805964">
        <w:t xml:space="preserve"> z níž budou čerpána data pro další měření</w:t>
      </w:r>
      <w:r w:rsidR="006573AD">
        <w:t>,</w:t>
      </w:r>
      <w:r w:rsidRPr="00805964">
        <w:t xml:space="preserve"> stejně jako z tabulky č. 6, kde jsou uvedeny zákony, které byly Senátem zamítnuty</w:t>
      </w:r>
      <w:r w:rsidR="006573AD">
        <w:t>,</w:t>
      </w:r>
      <w:r w:rsidR="00DC2678">
        <w:t xml:space="preserve"> a zákony, </w:t>
      </w:r>
      <w:r w:rsidRPr="00805964">
        <w:t xml:space="preserve">k nimž Senát připojil své pozměňovací návrhy. V tabulce č. 6 jsou započítány ústavní zákony pouze u pozměňovacích návrhů, jelikož zamítnutí ústavního zákona či </w:t>
      </w:r>
      <w:r w:rsidRPr="00805964">
        <w:lastRenderedPageBreak/>
        <w:t>mezinárodní smlouvy ze strany Senátu znamená konec legislativního procesu, proto se do této části tabulky promítají pouze běžné zákony. Je zde také uvedeno, v jakém znění byly tyto návrhy zákonů ve finální verzi schváleny. Obě tyto tabulky budou využívány pro všechna další měření.</w:t>
      </w:r>
    </w:p>
    <w:p w:rsidR="000A5B42" w:rsidRPr="00805964" w:rsidRDefault="000A5B42" w:rsidP="0029635A">
      <w:pPr>
        <w:spacing w:line="360" w:lineRule="auto"/>
        <w:contextualSpacing/>
        <w:jc w:val="both"/>
      </w:pPr>
    </w:p>
    <w:p w:rsidR="001C6539" w:rsidRPr="00805964" w:rsidRDefault="004E35D9" w:rsidP="004E35D9">
      <w:pPr>
        <w:spacing w:line="360" w:lineRule="auto"/>
        <w:contextualSpacing/>
        <w:jc w:val="center"/>
        <w:rPr>
          <w:b/>
          <w:sz w:val="22"/>
          <w:u w:val="single"/>
        </w:rPr>
      </w:pPr>
      <w:r w:rsidRPr="00805964">
        <w:rPr>
          <w:b/>
          <w:sz w:val="22"/>
          <w:u w:val="single"/>
        </w:rPr>
        <w:t>Tabulka č. 5: Přehled legislativy za všechna období</w:t>
      </w:r>
    </w:p>
    <w:tbl>
      <w:tblPr>
        <w:tblStyle w:val="Mkatabulky"/>
        <w:tblpPr w:leftFromText="141" w:rightFromText="141" w:vertAnchor="text" w:horzAnchor="margin" w:tblpXSpec="center" w:tblpY="112"/>
        <w:tblW w:w="7228" w:type="dxa"/>
        <w:tblLook w:val="04A0"/>
      </w:tblPr>
      <w:tblGrid>
        <w:gridCol w:w="2801"/>
        <w:gridCol w:w="612"/>
        <w:gridCol w:w="612"/>
        <w:gridCol w:w="612"/>
        <w:gridCol w:w="640"/>
        <w:gridCol w:w="612"/>
        <w:gridCol w:w="612"/>
        <w:gridCol w:w="727"/>
      </w:tblGrid>
      <w:tr w:rsidR="000A5B42" w:rsidRPr="00805964" w:rsidTr="000A5B42">
        <w:trPr>
          <w:cantSplit/>
          <w:trHeight w:val="1125"/>
        </w:trPr>
        <w:tc>
          <w:tcPr>
            <w:tcW w:w="2801" w:type="dxa"/>
            <w:vAlign w:val="center"/>
          </w:tcPr>
          <w:p w:rsidR="000A5B42" w:rsidRPr="00805964" w:rsidRDefault="000A5B42" w:rsidP="0029635A">
            <w:pPr>
              <w:spacing w:line="360" w:lineRule="auto"/>
              <w:contextualSpacing/>
              <w:jc w:val="center"/>
              <w:rPr>
                <w:u w:val="single"/>
              </w:rPr>
            </w:pPr>
          </w:p>
        </w:tc>
        <w:tc>
          <w:tcPr>
            <w:tcW w:w="612" w:type="dxa"/>
            <w:textDirection w:val="tbRl"/>
            <w:vAlign w:val="center"/>
          </w:tcPr>
          <w:p w:rsidR="000A5B42" w:rsidRPr="00805964" w:rsidRDefault="000A5B42" w:rsidP="0029635A">
            <w:pPr>
              <w:spacing w:line="360" w:lineRule="auto"/>
              <w:ind w:left="113" w:right="113"/>
              <w:contextualSpacing/>
              <w:jc w:val="center"/>
            </w:pPr>
            <w:r w:rsidRPr="00805964">
              <w:t>3. období</w:t>
            </w:r>
          </w:p>
        </w:tc>
        <w:tc>
          <w:tcPr>
            <w:tcW w:w="612" w:type="dxa"/>
            <w:textDirection w:val="tbRl"/>
            <w:vAlign w:val="center"/>
          </w:tcPr>
          <w:p w:rsidR="000A5B42" w:rsidRPr="00805964" w:rsidRDefault="000A5B42" w:rsidP="0029635A">
            <w:pPr>
              <w:spacing w:line="360" w:lineRule="auto"/>
              <w:ind w:left="113" w:right="113"/>
              <w:contextualSpacing/>
              <w:jc w:val="center"/>
            </w:pPr>
            <w:r w:rsidRPr="00805964">
              <w:t>4. období</w:t>
            </w:r>
          </w:p>
        </w:tc>
        <w:tc>
          <w:tcPr>
            <w:tcW w:w="612" w:type="dxa"/>
            <w:textDirection w:val="tbRl"/>
            <w:vAlign w:val="center"/>
          </w:tcPr>
          <w:p w:rsidR="000A5B42" w:rsidRPr="00805964" w:rsidRDefault="000A5B42" w:rsidP="0029635A">
            <w:pPr>
              <w:spacing w:line="360" w:lineRule="auto"/>
              <w:ind w:left="113" w:right="113"/>
              <w:contextualSpacing/>
              <w:jc w:val="center"/>
            </w:pPr>
            <w:r w:rsidRPr="00805964">
              <w:t>5. období</w:t>
            </w:r>
          </w:p>
        </w:tc>
        <w:tc>
          <w:tcPr>
            <w:tcW w:w="640" w:type="dxa"/>
            <w:textDirection w:val="tbRl"/>
            <w:vAlign w:val="center"/>
          </w:tcPr>
          <w:p w:rsidR="000A5B42" w:rsidRPr="00805964" w:rsidRDefault="000A5B42" w:rsidP="0029635A">
            <w:pPr>
              <w:spacing w:line="360" w:lineRule="auto"/>
              <w:ind w:left="113" w:right="113"/>
              <w:contextualSpacing/>
              <w:jc w:val="center"/>
            </w:pPr>
            <w:r w:rsidRPr="00805964">
              <w:t>6. období</w:t>
            </w:r>
          </w:p>
        </w:tc>
        <w:tc>
          <w:tcPr>
            <w:tcW w:w="612" w:type="dxa"/>
            <w:textDirection w:val="tbRl"/>
            <w:vAlign w:val="center"/>
          </w:tcPr>
          <w:p w:rsidR="000A5B42" w:rsidRPr="00805964" w:rsidRDefault="000A5B42" w:rsidP="0029635A">
            <w:pPr>
              <w:spacing w:line="360" w:lineRule="auto"/>
              <w:ind w:left="113" w:right="113"/>
              <w:contextualSpacing/>
              <w:jc w:val="center"/>
            </w:pPr>
            <w:r w:rsidRPr="00805964">
              <w:t>7. období</w:t>
            </w:r>
          </w:p>
        </w:tc>
        <w:tc>
          <w:tcPr>
            <w:tcW w:w="612" w:type="dxa"/>
            <w:textDirection w:val="tbRl"/>
            <w:vAlign w:val="center"/>
          </w:tcPr>
          <w:p w:rsidR="000A5B42" w:rsidRPr="00805964" w:rsidRDefault="000A5B42" w:rsidP="0029635A">
            <w:pPr>
              <w:spacing w:line="360" w:lineRule="auto"/>
              <w:ind w:left="113" w:right="113"/>
              <w:contextualSpacing/>
              <w:jc w:val="center"/>
            </w:pPr>
            <w:r w:rsidRPr="00805964">
              <w:t>8. období</w:t>
            </w:r>
          </w:p>
        </w:tc>
        <w:tc>
          <w:tcPr>
            <w:tcW w:w="727" w:type="dxa"/>
            <w:textDirection w:val="tbRl"/>
            <w:vAlign w:val="center"/>
          </w:tcPr>
          <w:p w:rsidR="000A5B42" w:rsidRPr="00805964" w:rsidRDefault="000A5B42" w:rsidP="0029635A">
            <w:pPr>
              <w:spacing w:line="360" w:lineRule="auto"/>
              <w:ind w:left="113" w:right="113"/>
              <w:contextualSpacing/>
              <w:jc w:val="center"/>
              <w:rPr>
                <w:b/>
              </w:rPr>
            </w:pPr>
            <w:r w:rsidRPr="00805964">
              <w:rPr>
                <w:b/>
              </w:rPr>
              <w:t>Celkem</w:t>
            </w:r>
          </w:p>
        </w:tc>
      </w:tr>
      <w:tr w:rsidR="000A5B42" w:rsidRPr="00805964" w:rsidTr="000A5B42">
        <w:trPr>
          <w:trHeight w:val="360"/>
        </w:trPr>
        <w:tc>
          <w:tcPr>
            <w:tcW w:w="2801" w:type="dxa"/>
            <w:vAlign w:val="center"/>
          </w:tcPr>
          <w:p w:rsidR="000A5B42" w:rsidRPr="00805964" w:rsidRDefault="000A5B42" w:rsidP="0029635A">
            <w:pPr>
              <w:spacing w:line="360" w:lineRule="auto"/>
              <w:contextualSpacing/>
              <w:jc w:val="center"/>
              <w:rPr>
                <w:b/>
              </w:rPr>
            </w:pPr>
            <w:r w:rsidRPr="00805964">
              <w:rPr>
                <w:b/>
              </w:rPr>
              <w:t>Ústavní zákony -  celkem</w:t>
            </w:r>
          </w:p>
        </w:tc>
        <w:tc>
          <w:tcPr>
            <w:tcW w:w="612" w:type="dxa"/>
            <w:vAlign w:val="center"/>
          </w:tcPr>
          <w:p w:rsidR="000A5B42" w:rsidRPr="00805964" w:rsidRDefault="000A5B42" w:rsidP="0029635A">
            <w:pPr>
              <w:spacing w:line="360" w:lineRule="auto"/>
              <w:contextualSpacing/>
              <w:jc w:val="center"/>
              <w:rPr>
                <w:b/>
              </w:rPr>
            </w:pPr>
            <w:r w:rsidRPr="00805964">
              <w:rPr>
                <w:b/>
              </w:rPr>
              <w:t>7</w:t>
            </w:r>
          </w:p>
        </w:tc>
        <w:tc>
          <w:tcPr>
            <w:tcW w:w="612" w:type="dxa"/>
            <w:vAlign w:val="center"/>
          </w:tcPr>
          <w:p w:rsidR="000A5B42" w:rsidRPr="00805964" w:rsidRDefault="000A5B42" w:rsidP="0029635A">
            <w:pPr>
              <w:spacing w:line="360" w:lineRule="auto"/>
              <w:contextualSpacing/>
              <w:jc w:val="center"/>
              <w:rPr>
                <w:b/>
              </w:rPr>
            </w:pPr>
            <w:r w:rsidRPr="00805964">
              <w:rPr>
                <w:b/>
              </w:rPr>
              <w:t>3</w:t>
            </w:r>
          </w:p>
        </w:tc>
        <w:tc>
          <w:tcPr>
            <w:tcW w:w="612" w:type="dxa"/>
            <w:vAlign w:val="center"/>
          </w:tcPr>
          <w:p w:rsidR="000A5B42" w:rsidRPr="00805964" w:rsidRDefault="000A5B42" w:rsidP="0029635A">
            <w:pPr>
              <w:spacing w:line="360" w:lineRule="auto"/>
              <w:contextualSpacing/>
              <w:jc w:val="center"/>
              <w:rPr>
                <w:b/>
              </w:rPr>
            </w:pPr>
            <w:r w:rsidRPr="00805964">
              <w:rPr>
                <w:b/>
              </w:rPr>
              <w:t>2</w:t>
            </w:r>
          </w:p>
        </w:tc>
        <w:tc>
          <w:tcPr>
            <w:tcW w:w="640" w:type="dxa"/>
            <w:vAlign w:val="center"/>
          </w:tcPr>
          <w:p w:rsidR="000A5B42" w:rsidRPr="00805964" w:rsidRDefault="000A5B42" w:rsidP="0029635A">
            <w:pPr>
              <w:spacing w:line="360" w:lineRule="auto"/>
              <w:contextualSpacing/>
              <w:jc w:val="center"/>
              <w:rPr>
                <w:b/>
              </w:rPr>
            </w:pPr>
            <w:r w:rsidRPr="00805964">
              <w:rPr>
                <w:b/>
              </w:rPr>
              <w:t>0</w:t>
            </w:r>
          </w:p>
        </w:tc>
        <w:tc>
          <w:tcPr>
            <w:tcW w:w="612" w:type="dxa"/>
            <w:vAlign w:val="center"/>
          </w:tcPr>
          <w:p w:rsidR="000A5B42" w:rsidRPr="00805964" w:rsidRDefault="000A5B42" w:rsidP="0029635A">
            <w:pPr>
              <w:spacing w:line="360" w:lineRule="auto"/>
              <w:contextualSpacing/>
              <w:jc w:val="center"/>
              <w:rPr>
                <w:b/>
              </w:rPr>
            </w:pPr>
            <w:r w:rsidRPr="00805964">
              <w:rPr>
                <w:b/>
              </w:rPr>
              <w:t>2</w:t>
            </w:r>
          </w:p>
        </w:tc>
        <w:tc>
          <w:tcPr>
            <w:tcW w:w="612" w:type="dxa"/>
            <w:vAlign w:val="center"/>
          </w:tcPr>
          <w:p w:rsidR="000A5B42" w:rsidRPr="00805964" w:rsidRDefault="000A5B42" w:rsidP="0029635A">
            <w:pPr>
              <w:spacing w:line="360" w:lineRule="auto"/>
              <w:contextualSpacing/>
              <w:jc w:val="center"/>
              <w:rPr>
                <w:b/>
              </w:rPr>
            </w:pPr>
            <w:r w:rsidRPr="00805964">
              <w:rPr>
                <w:b/>
              </w:rPr>
              <w:t>5</w:t>
            </w:r>
          </w:p>
        </w:tc>
        <w:tc>
          <w:tcPr>
            <w:tcW w:w="727" w:type="dxa"/>
            <w:vAlign w:val="center"/>
          </w:tcPr>
          <w:p w:rsidR="000A5B42" w:rsidRPr="00805964" w:rsidRDefault="000A5B42" w:rsidP="0029635A">
            <w:pPr>
              <w:spacing w:line="360" w:lineRule="auto"/>
              <w:contextualSpacing/>
              <w:jc w:val="center"/>
              <w:rPr>
                <w:b/>
              </w:rPr>
            </w:pPr>
            <w:r w:rsidRPr="00805964">
              <w:rPr>
                <w:b/>
              </w:rPr>
              <w:t>19</w:t>
            </w:r>
          </w:p>
        </w:tc>
      </w:tr>
      <w:tr w:rsidR="000A5B42" w:rsidRPr="00805964" w:rsidTr="000A5B42">
        <w:trPr>
          <w:trHeight w:val="338"/>
        </w:trPr>
        <w:tc>
          <w:tcPr>
            <w:tcW w:w="2801" w:type="dxa"/>
            <w:vAlign w:val="center"/>
          </w:tcPr>
          <w:p w:rsidR="000A5B42" w:rsidRPr="00805964" w:rsidRDefault="000A5B42" w:rsidP="0029635A">
            <w:pPr>
              <w:spacing w:line="360" w:lineRule="auto"/>
              <w:contextualSpacing/>
              <w:jc w:val="center"/>
            </w:pPr>
            <w:r w:rsidRPr="00805964">
              <w:t>schváleno</w:t>
            </w:r>
          </w:p>
        </w:tc>
        <w:tc>
          <w:tcPr>
            <w:tcW w:w="612" w:type="dxa"/>
            <w:vAlign w:val="center"/>
          </w:tcPr>
          <w:p w:rsidR="000A5B42" w:rsidRPr="00805964" w:rsidRDefault="000A5B42" w:rsidP="0029635A">
            <w:pPr>
              <w:spacing w:line="360" w:lineRule="auto"/>
              <w:contextualSpacing/>
              <w:jc w:val="center"/>
            </w:pPr>
            <w:r w:rsidRPr="00805964">
              <w:t>3</w:t>
            </w:r>
          </w:p>
        </w:tc>
        <w:tc>
          <w:tcPr>
            <w:tcW w:w="612" w:type="dxa"/>
            <w:vAlign w:val="center"/>
          </w:tcPr>
          <w:p w:rsidR="000A5B42" w:rsidRPr="00805964" w:rsidRDefault="000A5B42" w:rsidP="0029635A">
            <w:pPr>
              <w:spacing w:line="360" w:lineRule="auto"/>
              <w:contextualSpacing/>
              <w:jc w:val="center"/>
            </w:pPr>
            <w:r w:rsidRPr="00805964">
              <w:t>2</w:t>
            </w:r>
          </w:p>
        </w:tc>
        <w:tc>
          <w:tcPr>
            <w:tcW w:w="612" w:type="dxa"/>
            <w:vAlign w:val="center"/>
          </w:tcPr>
          <w:p w:rsidR="000A5B42" w:rsidRPr="00805964" w:rsidRDefault="000A5B42" w:rsidP="0029635A">
            <w:pPr>
              <w:spacing w:line="360" w:lineRule="auto"/>
              <w:contextualSpacing/>
              <w:jc w:val="center"/>
            </w:pPr>
            <w:r w:rsidRPr="00805964">
              <w:t>0</w:t>
            </w:r>
          </w:p>
        </w:tc>
        <w:tc>
          <w:tcPr>
            <w:tcW w:w="640"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2</w:t>
            </w:r>
          </w:p>
        </w:tc>
        <w:tc>
          <w:tcPr>
            <w:tcW w:w="612" w:type="dxa"/>
            <w:vAlign w:val="center"/>
          </w:tcPr>
          <w:p w:rsidR="000A5B42" w:rsidRPr="00805964" w:rsidRDefault="000A5B42" w:rsidP="0029635A">
            <w:pPr>
              <w:spacing w:line="360" w:lineRule="auto"/>
              <w:contextualSpacing/>
              <w:jc w:val="center"/>
            </w:pPr>
            <w:r w:rsidRPr="00805964">
              <w:t>3</w:t>
            </w:r>
          </w:p>
        </w:tc>
        <w:tc>
          <w:tcPr>
            <w:tcW w:w="727" w:type="dxa"/>
            <w:vAlign w:val="center"/>
          </w:tcPr>
          <w:p w:rsidR="000A5B42" w:rsidRPr="00805964" w:rsidRDefault="000A5B42" w:rsidP="0029635A">
            <w:pPr>
              <w:spacing w:line="360" w:lineRule="auto"/>
              <w:contextualSpacing/>
              <w:jc w:val="center"/>
              <w:rPr>
                <w:b/>
              </w:rPr>
            </w:pPr>
            <w:r w:rsidRPr="00805964">
              <w:rPr>
                <w:b/>
              </w:rPr>
              <w:t>10</w:t>
            </w:r>
          </w:p>
        </w:tc>
      </w:tr>
      <w:tr w:rsidR="000A5B42" w:rsidRPr="00805964" w:rsidTr="000A5B42">
        <w:trPr>
          <w:trHeight w:val="360"/>
        </w:trPr>
        <w:tc>
          <w:tcPr>
            <w:tcW w:w="2801" w:type="dxa"/>
            <w:vAlign w:val="center"/>
          </w:tcPr>
          <w:p w:rsidR="000A5B42" w:rsidRPr="00805964" w:rsidRDefault="000A5B42" w:rsidP="0029635A">
            <w:pPr>
              <w:spacing w:line="360" w:lineRule="auto"/>
              <w:contextualSpacing/>
              <w:jc w:val="center"/>
            </w:pPr>
            <w:r w:rsidRPr="00805964">
              <w:t>zamítnuto</w:t>
            </w:r>
          </w:p>
        </w:tc>
        <w:tc>
          <w:tcPr>
            <w:tcW w:w="612" w:type="dxa"/>
            <w:vAlign w:val="center"/>
          </w:tcPr>
          <w:p w:rsidR="000A5B42" w:rsidRPr="00805964" w:rsidRDefault="000A5B42" w:rsidP="0029635A">
            <w:pPr>
              <w:spacing w:line="360" w:lineRule="auto"/>
              <w:contextualSpacing/>
              <w:jc w:val="center"/>
            </w:pPr>
            <w:r w:rsidRPr="00805964">
              <w:t>3</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2</w:t>
            </w:r>
          </w:p>
        </w:tc>
        <w:tc>
          <w:tcPr>
            <w:tcW w:w="640"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0</w:t>
            </w:r>
          </w:p>
        </w:tc>
        <w:tc>
          <w:tcPr>
            <w:tcW w:w="727" w:type="dxa"/>
            <w:vAlign w:val="center"/>
          </w:tcPr>
          <w:p w:rsidR="000A5B42" w:rsidRPr="00805964" w:rsidRDefault="000A5B42" w:rsidP="0029635A">
            <w:pPr>
              <w:spacing w:line="360" w:lineRule="auto"/>
              <w:contextualSpacing/>
              <w:jc w:val="center"/>
              <w:rPr>
                <w:b/>
              </w:rPr>
            </w:pPr>
            <w:r w:rsidRPr="00805964">
              <w:rPr>
                <w:b/>
              </w:rPr>
              <w:t>5</w:t>
            </w:r>
          </w:p>
        </w:tc>
      </w:tr>
      <w:tr w:rsidR="000A5B42" w:rsidRPr="00805964" w:rsidTr="000A5B42">
        <w:trPr>
          <w:trHeight w:val="360"/>
        </w:trPr>
        <w:tc>
          <w:tcPr>
            <w:tcW w:w="2801" w:type="dxa"/>
            <w:vAlign w:val="center"/>
          </w:tcPr>
          <w:p w:rsidR="000A5B42" w:rsidRPr="00805964" w:rsidRDefault="000A5B42" w:rsidP="0029635A">
            <w:pPr>
              <w:spacing w:line="360" w:lineRule="auto"/>
              <w:contextualSpacing/>
              <w:jc w:val="center"/>
            </w:pPr>
            <w:r w:rsidRPr="00805964">
              <w:t>pozměňovací návrhy</w:t>
            </w:r>
          </w:p>
        </w:tc>
        <w:tc>
          <w:tcPr>
            <w:tcW w:w="612" w:type="dxa"/>
            <w:vAlign w:val="center"/>
          </w:tcPr>
          <w:p w:rsidR="000A5B42" w:rsidRPr="00805964" w:rsidRDefault="000A5B42" w:rsidP="0029635A">
            <w:pPr>
              <w:spacing w:line="360" w:lineRule="auto"/>
              <w:contextualSpacing/>
              <w:jc w:val="center"/>
            </w:pPr>
            <w:r w:rsidRPr="00805964">
              <w:t>1</w:t>
            </w:r>
          </w:p>
        </w:tc>
        <w:tc>
          <w:tcPr>
            <w:tcW w:w="612" w:type="dxa"/>
            <w:vAlign w:val="center"/>
          </w:tcPr>
          <w:p w:rsidR="000A5B42" w:rsidRPr="00805964" w:rsidRDefault="000A5B42" w:rsidP="0029635A">
            <w:pPr>
              <w:spacing w:line="360" w:lineRule="auto"/>
              <w:contextualSpacing/>
              <w:jc w:val="center"/>
            </w:pPr>
            <w:r w:rsidRPr="00805964">
              <w:t>1</w:t>
            </w:r>
          </w:p>
        </w:tc>
        <w:tc>
          <w:tcPr>
            <w:tcW w:w="612" w:type="dxa"/>
            <w:vAlign w:val="center"/>
          </w:tcPr>
          <w:p w:rsidR="000A5B42" w:rsidRPr="00805964" w:rsidRDefault="000A5B42" w:rsidP="0029635A">
            <w:pPr>
              <w:spacing w:line="360" w:lineRule="auto"/>
              <w:contextualSpacing/>
              <w:jc w:val="center"/>
            </w:pPr>
            <w:r w:rsidRPr="00805964">
              <w:t>0</w:t>
            </w:r>
          </w:p>
        </w:tc>
        <w:tc>
          <w:tcPr>
            <w:tcW w:w="640"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0</w:t>
            </w:r>
          </w:p>
        </w:tc>
        <w:tc>
          <w:tcPr>
            <w:tcW w:w="727" w:type="dxa"/>
            <w:vAlign w:val="center"/>
          </w:tcPr>
          <w:p w:rsidR="000A5B42" w:rsidRPr="00805964" w:rsidRDefault="000A5B42" w:rsidP="0029635A">
            <w:pPr>
              <w:spacing w:line="360" w:lineRule="auto"/>
              <w:contextualSpacing/>
              <w:jc w:val="center"/>
              <w:rPr>
                <w:b/>
              </w:rPr>
            </w:pPr>
            <w:r w:rsidRPr="00805964">
              <w:rPr>
                <w:b/>
              </w:rPr>
              <w:t>2</w:t>
            </w:r>
          </w:p>
        </w:tc>
      </w:tr>
      <w:tr w:rsidR="000A5B42" w:rsidRPr="00805964" w:rsidTr="000A5B42">
        <w:trPr>
          <w:trHeight w:val="338"/>
        </w:trPr>
        <w:tc>
          <w:tcPr>
            <w:tcW w:w="2801" w:type="dxa"/>
            <w:vAlign w:val="center"/>
          </w:tcPr>
          <w:p w:rsidR="000A5B42" w:rsidRPr="00805964" w:rsidRDefault="00D7190B" w:rsidP="0029635A">
            <w:pPr>
              <w:spacing w:line="360" w:lineRule="auto"/>
              <w:contextualSpacing/>
              <w:jc w:val="center"/>
            </w:pPr>
            <w:r>
              <w:t>n</w:t>
            </w:r>
            <w:r w:rsidR="000A5B42" w:rsidRPr="00805964">
              <w:t>epřijal usnesení</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0</w:t>
            </w:r>
          </w:p>
        </w:tc>
        <w:tc>
          <w:tcPr>
            <w:tcW w:w="640"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2</w:t>
            </w:r>
          </w:p>
        </w:tc>
        <w:tc>
          <w:tcPr>
            <w:tcW w:w="727" w:type="dxa"/>
            <w:vAlign w:val="center"/>
          </w:tcPr>
          <w:p w:rsidR="000A5B42" w:rsidRPr="00805964" w:rsidRDefault="000A5B42" w:rsidP="0029635A">
            <w:pPr>
              <w:spacing w:line="360" w:lineRule="auto"/>
              <w:contextualSpacing/>
              <w:jc w:val="center"/>
              <w:rPr>
                <w:b/>
              </w:rPr>
            </w:pPr>
            <w:r w:rsidRPr="00805964">
              <w:rPr>
                <w:b/>
              </w:rPr>
              <w:t>2</w:t>
            </w:r>
          </w:p>
        </w:tc>
      </w:tr>
      <w:tr w:rsidR="000A5B42" w:rsidRPr="00805964" w:rsidTr="000A5B42">
        <w:trPr>
          <w:trHeight w:val="360"/>
        </w:trPr>
        <w:tc>
          <w:tcPr>
            <w:tcW w:w="2801" w:type="dxa"/>
            <w:vAlign w:val="center"/>
          </w:tcPr>
          <w:p w:rsidR="000A5B42" w:rsidRPr="00805964" w:rsidRDefault="000A5B42" w:rsidP="0029635A">
            <w:pPr>
              <w:spacing w:line="360" w:lineRule="auto"/>
              <w:contextualSpacing/>
              <w:jc w:val="center"/>
              <w:rPr>
                <w:b/>
              </w:rPr>
            </w:pPr>
            <w:r w:rsidRPr="00805964">
              <w:rPr>
                <w:b/>
              </w:rPr>
              <w:t>Běžné zákony - celkem</w:t>
            </w:r>
          </w:p>
        </w:tc>
        <w:tc>
          <w:tcPr>
            <w:tcW w:w="612" w:type="dxa"/>
            <w:vAlign w:val="center"/>
          </w:tcPr>
          <w:p w:rsidR="000A5B42" w:rsidRPr="00805964" w:rsidRDefault="000A5B42" w:rsidP="0029635A">
            <w:pPr>
              <w:spacing w:line="360" w:lineRule="auto"/>
              <w:contextualSpacing/>
              <w:jc w:val="center"/>
              <w:rPr>
                <w:b/>
              </w:rPr>
            </w:pPr>
            <w:r w:rsidRPr="00805964">
              <w:rPr>
                <w:b/>
              </w:rPr>
              <w:t>244</w:t>
            </w:r>
          </w:p>
        </w:tc>
        <w:tc>
          <w:tcPr>
            <w:tcW w:w="612" w:type="dxa"/>
            <w:vAlign w:val="center"/>
          </w:tcPr>
          <w:p w:rsidR="000A5B42" w:rsidRPr="00805964" w:rsidRDefault="000A5B42" w:rsidP="0029635A">
            <w:pPr>
              <w:spacing w:line="360" w:lineRule="auto"/>
              <w:contextualSpacing/>
              <w:jc w:val="center"/>
              <w:rPr>
                <w:b/>
              </w:rPr>
            </w:pPr>
            <w:r w:rsidRPr="00805964">
              <w:rPr>
                <w:b/>
              </w:rPr>
              <w:t>257</w:t>
            </w:r>
          </w:p>
        </w:tc>
        <w:tc>
          <w:tcPr>
            <w:tcW w:w="612" w:type="dxa"/>
            <w:vAlign w:val="center"/>
          </w:tcPr>
          <w:p w:rsidR="000A5B42" w:rsidRPr="00805964" w:rsidRDefault="000A5B42" w:rsidP="0029635A">
            <w:pPr>
              <w:spacing w:line="360" w:lineRule="auto"/>
              <w:contextualSpacing/>
              <w:jc w:val="center"/>
              <w:rPr>
                <w:b/>
              </w:rPr>
            </w:pPr>
            <w:r w:rsidRPr="00805964">
              <w:rPr>
                <w:b/>
              </w:rPr>
              <w:t>241</w:t>
            </w:r>
          </w:p>
        </w:tc>
        <w:tc>
          <w:tcPr>
            <w:tcW w:w="640" w:type="dxa"/>
            <w:vAlign w:val="center"/>
          </w:tcPr>
          <w:p w:rsidR="000A5B42" w:rsidRPr="00805964" w:rsidRDefault="000A5B42" w:rsidP="0029635A">
            <w:pPr>
              <w:spacing w:line="360" w:lineRule="auto"/>
              <w:contextualSpacing/>
              <w:jc w:val="center"/>
              <w:rPr>
                <w:b/>
              </w:rPr>
            </w:pPr>
            <w:r w:rsidRPr="00805964">
              <w:rPr>
                <w:b/>
              </w:rPr>
              <w:t>192</w:t>
            </w:r>
          </w:p>
        </w:tc>
        <w:tc>
          <w:tcPr>
            <w:tcW w:w="612" w:type="dxa"/>
            <w:vAlign w:val="center"/>
          </w:tcPr>
          <w:p w:rsidR="000A5B42" w:rsidRPr="00805964" w:rsidRDefault="000A5B42" w:rsidP="0029635A">
            <w:pPr>
              <w:spacing w:line="360" w:lineRule="auto"/>
              <w:contextualSpacing/>
              <w:jc w:val="center"/>
              <w:rPr>
                <w:b/>
              </w:rPr>
            </w:pPr>
            <w:r w:rsidRPr="00805964">
              <w:rPr>
                <w:b/>
              </w:rPr>
              <w:t>181</w:t>
            </w:r>
          </w:p>
        </w:tc>
        <w:tc>
          <w:tcPr>
            <w:tcW w:w="612" w:type="dxa"/>
            <w:vAlign w:val="center"/>
          </w:tcPr>
          <w:p w:rsidR="000A5B42" w:rsidRPr="00805964" w:rsidRDefault="000A5B42" w:rsidP="0029635A">
            <w:pPr>
              <w:spacing w:line="360" w:lineRule="auto"/>
              <w:contextualSpacing/>
              <w:jc w:val="center"/>
              <w:rPr>
                <w:b/>
              </w:rPr>
            </w:pPr>
            <w:r w:rsidRPr="00805964">
              <w:rPr>
                <w:b/>
              </w:rPr>
              <w:t>223</w:t>
            </w:r>
          </w:p>
        </w:tc>
        <w:tc>
          <w:tcPr>
            <w:tcW w:w="727" w:type="dxa"/>
            <w:vAlign w:val="center"/>
          </w:tcPr>
          <w:p w:rsidR="000A5B42" w:rsidRPr="00805964" w:rsidRDefault="000A5B42" w:rsidP="0029635A">
            <w:pPr>
              <w:spacing w:line="360" w:lineRule="auto"/>
              <w:contextualSpacing/>
              <w:jc w:val="center"/>
              <w:rPr>
                <w:b/>
              </w:rPr>
            </w:pPr>
            <w:r w:rsidRPr="00805964">
              <w:rPr>
                <w:b/>
              </w:rPr>
              <w:t>1338</w:t>
            </w:r>
          </w:p>
        </w:tc>
      </w:tr>
      <w:tr w:rsidR="000A5B42" w:rsidRPr="00805964" w:rsidTr="000A5B42">
        <w:trPr>
          <w:trHeight w:val="338"/>
        </w:trPr>
        <w:tc>
          <w:tcPr>
            <w:tcW w:w="2801" w:type="dxa"/>
            <w:vAlign w:val="center"/>
          </w:tcPr>
          <w:p w:rsidR="000A5B42" w:rsidRPr="00805964" w:rsidRDefault="000A5B42" w:rsidP="0029635A">
            <w:pPr>
              <w:spacing w:line="360" w:lineRule="auto"/>
              <w:contextualSpacing/>
              <w:jc w:val="center"/>
            </w:pPr>
            <w:r w:rsidRPr="00805964">
              <w:t>schváleno</w:t>
            </w:r>
          </w:p>
        </w:tc>
        <w:tc>
          <w:tcPr>
            <w:tcW w:w="612" w:type="dxa"/>
            <w:vAlign w:val="center"/>
          </w:tcPr>
          <w:p w:rsidR="000A5B42" w:rsidRPr="00805964" w:rsidRDefault="000A5B42" w:rsidP="0029635A">
            <w:pPr>
              <w:spacing w:line="360" w:lineRule="auto"/>
              <w:contextualSpacing/>
              <w:jc w:val="center"/>
            </w:pPr>
            <w:r w:rsidRPr="00805964">
              <w:t>71</w:t>
            </w:r>
          </w:p>
        </w:tc>
        <w:tc>
          <w:tcPr>
            <w:tcW w:w="612" w:type="dxa"/>
            <w:vAlign w:val="center"/>
          </w:tcPr>
          <w:p w:rsidR="000A5B42" w:rsidRPr="00805964" w:rsidRDefault="000A5B42" w:rsidP="0029635A">
            <w:pPr>
              <w:spacing w:line="360" w:lineRule="auto"/>
              <w:contextualSpacing/>
              <w:jc w:val="center"/>
            </w:pPr>
            <w:r w:rsidRPr="00805964">
              <w:t>123</w:t>
            </w:r>
          </w:p>
        </w:tc>
        <w:tc>
          <w:tcPr>
            <w:tcW w:w="612" w:type="dxa"/>
            <w:vAlign w:val="center"/>
          </w:tcPr>
          <w:p w:rsidR="000A5B42" w:rsidRPr="00805964" w:rsidRDefault="000A5B42" w:rsidP="0029635A">
            <w:pPr>
              <w:spacing w:line="360" w:lineRule="auto"/>
              <w:contextualSpacing/>
              <w:jc w:val="center"/>
            </w:pPr>
            <w:r w:rsidRPr="00805964">
              <w:t>61</w:t>
            </w:r>
          </w:p>
        </w:tc>
        <w:tc>
          <w:tcPr>
            <w:tcW w:w="640" w:type="dxa"/>
            <w:vAlign w:val="center"/>
          </w:tcPr>
          <w:p w:rsidR="000A5B42" w:rsidRPr="00805964" w:rsidRDefault="000A5B42" w:rsidP="0029635A">
            <w:pPr>
              <w:spacing w:line="360" w:lineRule="auto"/>
              <w:contextualSpacing/>
              <w:jc w:val="center"/>
            </w:pPr>
            <w:r w:rsidRPr="00805964">
              <w:t>142</w:t>
            </w:r>
          </w:p>
        </w:tc>
        <w:tc>
          <w:tcPr>
            <w:tcW w:w="612" w:type="dxa"/>
            <w:vAlign w:val="center"/>
          </w:tcPr>
          <w:p w:rsidR="000A5B42" w:rsidRPr="00805964" w:rsidRDefault="000A5B42" w:rsidP="0029635A">
            <w:pPr>
              <w:spacing w:line="360" w:lineRule="auto"/>
              <w:contextualSpacing/>
              <w:jc w:val="center"/>
            </w:pPr>
            <w:r w:rsidRPr="00805964">
              <w:t>134</w:t>
            </w:r>
          </w:p>
        </w:tc>
        <w:tc>
          <w:tcPr>
            <w:tcW w:w="612" w:type="dxa"/>
            <w:vAlign w:val="center"/>
          </w:tcPr>
          <w:p w:rsidR="000A5B42" w:rsidRPr="00805964" w:rsidRDefault="000A5B42" w:rsidP="0029635A">
            <w:pPr>
              <w:spacing w:line="360" w:lineRule="auto"/>
              <w:contextualSpacing/>
              <w:jc w:val="center"/>
            </w:pPr>
            <w:r w:rsidRPr="00805964">
              <w:t>120</w:t>
            </w:r>
          </w:p>
        </w:tc>
        <w:tc>
          <w:tcPr>
            <w:tcW w:w="727" w:type="dxa"/>
            <w:vAlign w:val="center"/>
          </w:tcPr>
          <w:p w:rsidR="000A5B42" w:rsidRPr="00805964" w:rsidRDefault="000A5B42" w:rsidP="0029635A">
            <w:pPr>
              <w:spacing w:line="360" w:lineRule="auto"/>
              <w:contextualSpacing/>
              <w:jc w:val="center"/>
              <w:rPr>
                <w:b/>
              </w:rPr>
            </w:pPr>
            <w:r w:rsidRPr="00805964">
              <w:rPr>
                <w:b/>
              </w:rPr>
              <w:t>651</w:t>
            </w:r>
          </w:p>
        </w:tc>
      </w:tr>
      <w:tr w:rsidR="000A5B42" w:rsidRPr="00805964" w:rsidTr="000A5B42">
        <w:trPr>
          <w:trHeight w:val="360"/>
        </w:trPr>
        <w:tc>
          <w:tcPr>
            <w:tcW w:w="2801" w:type="dxa"/>
            <w:vAlign w:val="center"/>
          </w:tcPr>
          <w:p w:rsidR="000A5B42" w:rsidRPr="00805964" w:rsidRDefault="000A5B42" w:rsidP="0029635A">
            <w:pPr>
              <w:spacing w:line="360" w:lineRule="auto"/>
              <w:contextualSpacing/>
              <w:jc w:val="center"/>
            </w:pPr>
            <w:r w:rsidRPr="00805964">
              <w:t>zamítnuto</w:t>
            </w:r>
          </w:p>
        </w:tc>
        <w:tc>
          <w:tcPr>
            <w:tcW w:w="612" w:type="dxa"/>
            <w:vAlign w:val="center"/>
          </w:tcPr>
          <w:p w:rsidR="000A5B42" w:rsidRPr="00805964" w:rsidRDefault="000A5B42" w:rsidP="0029635A">
            <w:pPr>
              <w:spacing w:line="360" w:lineRule="auto"/>
              <w:contextualSpacing/>
              <w:jc w:val="center"/>
            </w:pPr>
            <w:r w:rsidRPr="00805964">
              <w:t>13</w:t>
            </w:r>
          </w:p>
        </w:tc>
        <w:tc>
          <w:tcPr>
            <w:tcW w:w="612" w:type="dxa"/>
            <w:vAlign w:val="center"/>
          </w:tcPr>
          <w:p w:rsidR="000A5B42" w:rsidRPr="00805964" w:rsidRDefault="000A5B42" w:rsidP="0029635A">
            <w:pPr>
              <w:spacing w:line="360" w:lineRule="auto"/>
              <w:contextualSpacing/>
              <w:jc w:val="center"/>
            </w:pPr>
            <w:r w:rsidRPr="00805964">
              <w:t>10</w:t>
            </w:r>
          </w:p>
        </w:tc>
        <w:tc>
          <w:tcPr>
            <w:tcW w:w="612" w:type="dxa"/>
            <w:vAlign w:val="center"/>
          </w:tcPr>
          <w:p w:rsidR="000A5B42" w:rsidRPr="00805964" w:rsidRDefault="000A5B42" w:rsidP="0029635A">
            <w:pPr>
              <w:spacing w:line="360" w:lineRule="auto"/>
              <w:contextualSpacing/>
              <w:jc w:val="center"/>
            </w:pPr>
            <w:r w:rsidRPr="00805964">
              <w:t>36</w:t>
            </w:r>
          </w:p>
        </w:tc>
        <w:tc>
          <w:tcPr>
            <w:tcW w:w="640" w:type="dxa"/>
            <w:vAlign w:val="center"/>
          </w:tcPr>
          <w:p w:rsidR="000A5B42" w:rsidRPr="00805964" w:rsidRDefault="000A5B42" w:rsidP="0029635A">
            <w:pPr>
              <w:spacing w:line="360" w:lineRule="auto"/>
              <w:contextualSpacing/>
              <w:jc w:val="center"/>
            </w:pPr>
            <w:r w:rsidRPr="00805964">
              <w:t>2</w:t>
            </w:r>
          </w:p>
        </w:tc>
        <w:tc>
          <w:tcPr>
            <w:tcW w:w="612" w:type="dxa"/>
            <w:vAlign w:val="center"/>
          </w:tcPr>
          <w:p w:rsidR="000A5B42" w:rsidRPr="00805964" w:rsidRDefault="000A5B42" w:rsidP="0029635A">
            <w:pPr>
              <w:spacing w:line="360" w:lineRule="auto"/>
              <w:contextualSpacing/>
              <w:jc w:val="center"/>
            </w:pPr>
            <w:r w:rsidRPr="00805964">
              <w:t>8</w:t>
            </w:r>
          </w:p>
        </w:tc>
        <w:tc>
          <w:tcPr>
            <w:tcW w:w="612" w:type="dxa"/>
            <w:vAlign w:val="center"/>
          </w:tcPr>
          <w:p w:rsidR="000A5B42" w:rsidRPr="00805964" w:rsidRDefault="000A5B42" w:rsidP="0029635A">
            <w:pPr>
              <w:spacing w:line="360" w:lineRule="auto"/>
              <w:contextualSpacing/>
              <w:jc w:val="center"/>
            </w:pPr>
            <w:r w:rsidRPr="00805964">
              <w:t>30</w:t>
            </w:r>
          </w:p>
        </w:tc>
        <w:tc>
          <w:tcPr>
            <w:tcW w:w="727" w:type="dxa"/>
            <w:vAlign w:val="center"/>
          </w:tcPr>
          <w:p w:rsidR="000A5B42" w:rsidRPr="00805964" w:rsidRDefault="000A5B42" w:rsidP="0029635A">
            <w:pPr>
              <w:spacing w:line="360" w:lineRule="auto"/>
              <w:contextualSpacing/>
              <w:jc w:val="center"/>
              <w:rPr>
                <w:b/>
              </w:rPr>
            </w:pPr>
            <w:r w:rsidRPr="00805964">
              <w:rPr>
                <w:b/>
              </w:rPr>
              <w:t>99</w:t>
            </w:r>
          </w:p>
        </w:tc>
      </w:tr>
      <w:tr w:rsidR="000A5B42" w:rsidRPr="00805964" w:rsidTr="000A5B42">
        <w:trPr>
          <w:trHeight w:val="698"/>
        </w:trPr>
        <w:tc>
          <w:tcPr>
            <w:tcW w:w="2801" w:type="dxa"/>
            <w:vAlign w:val="center"/>
          </w:tcPr>
          <w:p w:rsidR="000A5B42" w:rsidRPr="00805964" w:rsidRDefault="00D7190B" w:rsidP="0029635A">
            <w:pPr>
              <w:spacing w:line="360" w:lineRule="auto"/>
              <w:contextualSpacing/>
              <w:jc w:val="center"/>
            </w:pPr>
            <w:r>
              <w:t>v</w:t>
            </w:r>
            <w:r w:rsidR="000A5B42" w:rsidRPr="00805964">
              <w:t>yjádření vůle se návrhem nezabývat</w:t>
            </w:r>
          </w:p>
        </w:tc>
        <w:tc>
          <w:tcPr>
            <w:tcW w:w="612" w:type="dxa"/>
            <w:vAlign w:val="center"/>
          </w:tcPr>
          <w:p w:rsidR="000A5B42" w:rsidRPr="00805964" w:rsidRDefault="000A5B42" w:rsidP="0029635A">
            <w:pPr>
              <w:spacing w:line="360" w:lineRule="auto"/>
              <w:contextualSpacing/>
              <w:jc w:val="center"/>
            </w:pPr>
            <w:r w:rsidRPr="00805964">
              <w:t>94</w:t>
            </w:r>
          </w:p>
        </w:tc>
        <w:tc>
          <w:tcPr>
            <w:tcW w:w="612" w:type="dxa"/>
            <w:vAlign w:val="center"/>
          </w:tcPr>
          <w:p w:rsidR="000A5B42" w:rsidRPr="00805964" w:rsidRDefault="000A5B42" w:rsidP="0029635A">
            <w:pPr>
              <w:spacing w:line="360" w:lineRule="auto"/>
              <w:contextualSpacing/>
              <w:jc w:val="center"/>
            </w:pPr>
            <w:r w:rsidRPr="00805964">
              <w:t>47</w:t>
            </w:r>
          </w:p>
        </w:tc>
        <w:tc>
          <w:tcPr>
            <w:tcW w:w="612" w:type="dxa"/>
            <w:vAlign w:val="center"/>
          </w:tcPr>
          <w:p w:rsidR="000A5B42" w:rsidRPr="00805964" w:rsidRDefault="000A5B42" w:rsidP="0029635A">
            <w:pPr>
              <w:spacing w:line="360" w:lineRule="auto"/>
              <w:contextualSpacing/>
              <w:jc w:val="center"/>
            </w:pPr>
            <w:r w:rsidRPr="00805964">
              <w:t>32</w:t>
            </w:r>
          </w:p>
        </w:tc>
        <w:tc>
          <w:tcPr>
            <w:tcW w:w="640" w:type="dxa"/>
            <w:vAlign w:val="center"/>
          </w:tcPr>
          <w:p w:rsidR="000A5B42" w:rsidRPr="00805964" w:rsidRDefault="000A5B42" w:rsidP="0029635A">
            <w:pPr>
              <w:spacing w:line="360" w:lineRule="auto"/>
              <w:contextualSpacing/>
              <w:jc w:val="center"/>
            </w:pPr>
            <w:r w:rsidRPr="00805964">
              <w:t>24</w:t>
            </w:r>
          </w:p>
        </w:tc>
        <w:tc>
          <w:tcPr>
            <w:tcW w:w="612" w:type="dxa"/>
            <w:vAlign w:val="center"/>
          </w:tcPr>
          <w:p w:rsidR="000A5B42" w:rsidRPr="00805964" w:rsidRDefault="000A5B42" w:rsidP="0029635A">
            <w:pPr>
              <w:spacing w:line="360" w:lineRule="auto"/>
              <w:contextualSpacing/>
              <w:jc w:val="center"/>
            </w:pPr>
            <w:r w:rsidRPr="00805964">
              <w:t>6</w:t>
            </w:r>
          </w:p>
        </w:tc>
        <w:tc>
          <w:tcPr>
            <w:tcW w:w="612" w:type="dxa"/>
            <w:vAlign w:val="center"/>
          </w:tcPr>
          <w:p w:rsidR="000A5B42" w:rsidRPr="00805964" w:rsidRDefault="000A5B42" w:rsidP="0029635A">
            <w:pPr>
              <w:spacing w:line="360" w:lineRule="auto"/>
              <w:contextualSpacing/>
              <w:jc w:val="center"/>
            </w:pPr>
            <w:r w:rsidRPr="00805964">
              <w:t>5</w:t>
            </w:r>
          </w:p>
        </w:tc>
        <w:tc>
          <w:tcPr>
            <w:tcW w:w="727" w:type="dxa"/>
            <w:vAlign w:val="center"/>
          </w:tcPr>
          <w:p w:rsidR="000A5B42" w:rsidRPr="00805964" w:rsidRDefault="000A5B42" w:rsidP="0029635A">
            <w:pPr>
              <w:spacing w:line="360" w:lineRule="auto"/>
              <w:contextualSpacing/>
              <w:jc w:val="center"/>
              <w:rPr>
                <w:b/>
              </w:rPr>
            </w:pPr>
            <w:r w:rsidRPr="00805964">
              <w:rPr>
                <w:b/>
              </w:rPr>
              <w:t>208</w:t>
            </w:r>
          </w:p>
        </w:tc>
      </w:tr>
      <w:tr w:rsidR="000A5B42" w:rsidRPr="00805964" w:rsidTr="000A5B42">
        <w:trPr>
          <w:trHeight w:val="338"/>
        </w:trPr>
        <w:tc>
          <w:tcPr>
            <w:tcW w:w="2801" w:type="dxa"/>
            <w:vAlign w:val="center"/>
          </w:tcPr>
          <w:p w:rsidR="000A5B42" w:rsidRPr="00805964" w:rsidRDefault="00D7190B" w:rsidP="0029635A">
            <w:pPr>
              <w:spacing w:line="360" w:lineRule="auto"/>
              <w:contextualSpacing/>
              <w:jc w:val="center"/>
            </w:pPr>
            <w:r>
              <w:t>p</w:t>
            </w:r>
            <w:r w:rsidR="000A5B42" w:rsidRPr="00805964">
              <w:t>ozměňovací návrhy</w:t>
            </w:r>
          </w:p>
        </w:tc>
        <w:tc>
          <w:tcPr>
            <w:tcW w:w="612" w:type="dxa"/>
            <w:vAlign w:val="center"/>
          </w:tcPr>
          <w:p w:rsidR="000A5B42" w:rsidRPr="00805964" w:rsidRDefault="000A5B42" w:rsidP="0029635A">
            <w:pPr>
              <w:spacing w:line="360" w:lineRule="auto"/>
              <w:contextualSpacing/>
              <w:jc w:val="center"/>
            </w:pPr>
            <w:r w:rsidRPr="00805964">
              <w:t>57</w:t>
            </w:r>
          </w:p>
        </w:tc>
        <w:tc>
          <w:tcPr>
            <w:tcW w:w="612" w:type="dxa"/>
            <w:vAlign w:val="center"/>
          </w:tcPr>
          <w:p w:rsidR="000A5B42" w:rsidRPr="00805964" w:rsidRDefault="000A5B42" w:rsidP="0029635A">
            <w:pPr>
              <w:spacing w:line="360" w:lineRule="auto"/>
              <w:contextualSpacing/>
              <w:jc w:val="center"/>
            </w:pPr>
            <w:r w:rsidRPr="00805964">
              <w:t>66</w:t>
            </w:r>
          </w:p>
        </w:tc>
        <w:tc>
          <w:tcPr>
            <w:tcW w:w="612" w:type="dxa"/>
            <w:vAlign w:val="center"/>
          </w:tcPr>
          <w:p w:rsidR="000A5B42" w:rsidRPr="00805964" w:rsidRDefault="000A5B42" w:rsidP="0029635A">
            <w:pPr>
              <w:spacing w:line="360" w:lineRule="auto"/>
              <w:contextualSpacing/>
              <w:jc w:val="center"/>
            </w:pPr>
            <w:r w:rsidRPr="00805964">
              <w:t>103</w:t>
            </w:r>
          </w:p>
        </w:tc>
        <w:tc>
          <w:tcPr>
            <w:tcW w:w="640" w:type="dxa"/>
            <w:vAlign w:val="center"/>
          </w:tcPr>
          <w:p w:rsidR="000A5B42" w:rsidRPr="00805964" w:rsidRDefault="000A5B42" w:rsidP="0029635A">
            <w:pPr>
              <w:spacing w:line="360" w:lineRule="auto"/>
              <w:contextualSpacing/>
              <w:jc w:val="center"/>
            </w:pPr>
            <w:r w:rsidRPr="00805964">
              <w:t>22</w:t>
            </w:r>
          </w:p>
        </w:tc>
        <w:tc>
          <w:tcPr>
            <w:tcW w:w="612" w:type="dxa"/>
            <w:vAlign w:val="center"/>
          </w:tcPr>
          <w:p w:rsidR="000A5B42" w:rsidRPr="00805964" w:rsidRDefault="000A5B42" w:rsidP="0029635A">
            <w:pPr>
              <w:spacing w:line="360" w:lineRule="auto"/>
              <w:contextualSpacing/>
              <w:jc w:val="center"/>
            </w:pPr>
            <w:r w:rsidRPr="00805964">
              <w:t>27</w:t>
            </w:r>
          </w:p>
        </w:tc>
        <w:tc>
          <w:tcPr>
            <w:tcW w:w="612" w:type="dxa"/>
            <w:vAlign w:val="center"/>
          </w:tcPr>
          <w:p w:rsidR="000A5B42" w:rsidRPr="00805964" w:rsidRDefault="000A5B42" w:rsidP="0029635A">
            <w:pPr>
              <w:spacing w:line="360" w:lineRule="auto"/>
              <w:contextualSpacing/>
              <w:jc w:val="center"/>
            </w:pPr>
            <w:r w:rsidRPr="00805964">
              <w:t>62</w:t>
            </w:r>
          </w:p>
        </w:tc>
        <w:tc>
          <w:tcPr>
            <w:tcW w:w="727" w:type="dxa"/>
            <w:vAlign w:val="center"/>
          </w:tcPr>
          <w:p w:rsidR="000A5B42" w:rsidRPr="00805964" w:rsidRDefault="000A5B42" w:rsidP="0029635A">
            <w:pPr>
              <w:spacing w:line="360" w:lineRule="auto"/>
              <w:contextualSpacing/>
              <w:jc w:val="center"/>
              <w:rPr>
                <w:b/>
              </w:rPr>
            </w:pPr>
            <w:r w:rsidRPr="00805964">
              <w:rPr>
                <w:b/>
              </w:rPr>
              <w:t>337</w:t>
            </w:r>
          </w:p>
        </w:tc>
      </w:tr>
      <w:tr w:rsidR="000A5B42" w:rsidRPr="00805964" w:rsidTr="000A5B42">
        <w:trPr>
          <w:trHeight w:val="360"/>
        </w:trPr>
        <w:tc>
          <w:tcPr>
            <w:tcW w:w="2801" w:type="dxa"/>
            <w:vAlign w:val="center"/>
          </w:tcPr>
          <w:p w:rsidR="000A5B42" w:rsidRPr="00805964" w:rsidRDefault="00D7190B" w:rsidP="0029635A">
            <w:pPr>
              <w:spacing w:line="360" w:lineRule="auto"/>
              <w:contextualSpacing/>
              <w:jc w:val="center"/>
            </w:pPr>
            <w:r>
              <w:t>n</w:t>
            </w:r>
            <w:r w:rsidR="000A5B42" w:rsidRPr="00805964">
              <w:t>epřijato usnesení</w:t>
            </w:r>
          </w:p>
        </w:tc>
        <w:tc>
          <w:tcPr>
            <w:tcW w:w="612" w:type="dxa"/>
            <w:vAlign w:val="center"/>
          </w:tcPr>
          <w:p w:rsidR="000A5B42" w:rsidRPr="00805964" w:rsidRDefault="000A5B42" w:rsidP="0029635A">
            <w:pPr>
              <w:spacing w:line="360" w:lineRule="auto"/>
              <w:contextualSpacing/>
              <w:jc w:val="center"/>
            </w:pPr>
            <w:r w:rsidRPr="00805964">
              <w:t>9</w:t>
            </w:r>
          </w:p>
        </w:tc>
        <w:tc>
          <w:tcPr>
            <w:tcW w:w="612" w:type="dxa"/>
            <w:vAlign w:val="center"/>
          </w:tcPr>
          <w:p w:rsidR="000A5B42" w:rsidRPr="00805964" w:rsidRDefault="000A5B42" w:rsidP="0029635A">
            <w:pPr>
              <w:spacing w:line="360" w:lineRule="auto"/>
              <w:contextualSpacing/>
              <w:jc w:val="center"/>
            </w:pPr>
            <w:r w:rsidRPr="00805964">
              <w:t>11</w:t>
            </w:r>
          </w:p>
        </w:tc>
        <w:tc>
          <w:tcPr>
            <w:tcW w:w="612" w:type="dxa"/>
            <w:vAlign w:val="center"/>
          </w:tcPr>
          <w:p w:rsidR="000A5B42" w:rsidRPr="00805964" w:rsidRDefault="000A5B42" w:rsidP="0029635A">
            <w:pPr>
              <w:spacing w:line="360" w:lineRule="auto"/>
              <w:contextualSpacing/>
              <w:jc w:val="center"/>
            </w:pPr>
            <w:r w:rsidRPr="00805964">
              <w:t>9</w:t>
            </w:r>
          </w:p>
        </w:tc>
        <w:tc>
          <w:tcPr>
            <w:tcW w:w="640" w:type="dxa"/>
            <w:vAlign w:val="center"/>
          </w:tcPr>
          <w:p w:rsidR="000A5B42" w:rsidRPr="00805964" w:rsidRDefault="000A5B42" w:rsidP="0029635A">
            <w:pPr>
              <w:spacing w:line="360" w:lineRule="auto"/>
              <w:contextualSpacing/>
              <w:jc w:val="center"/>
            </w:pPr>
            <w:r w:rsidRPr="00805964">
              <w:t>2</w:t>
            </w:r>
          </w:p>
        </w:tc>
        <w:tc>
          <w:tcPr>
            <w:tcW w:w="612" w:type="dxa"/>
            <w:vAlign w:val="center"/>
          </w:tcPr>
          <w:p w:rsidR="000A5B42" w:rsidRPr="00805964" w:rsidRDefault="000A5B42" w:rsidP="0029635A">
            <w:pPr>
              <w:spacing w:line="360" w:lineRule="auto"/>
              <w:contextualSpacing/>
              <w:jc w:val="center"/>
            </w:pPr>
            <w:r w:rsidRPr="00805964">
              <w:t>6</w:t>
            </w:r>
          </w:p>
        </w:tc>
        <w:tc>
          <w:tcPr>
            <w:tcW w:w="612" w:type="dxa"/>
            <w:vAlign w:val="center"/>
          </w:tcPr>
          <w:p w:rsidR="000A5B42" w:rsidRPr="00805964" w:rsidRDefault="000A5B42" w:rsidP="0029635A">
            <w:pPr>
              <w:spacing w:line="360" w:lineRule="auto"/>
              <w:contextualSpacing/>
              <w:jc w:val="center"/>
            </w:pPr>
            <w:r w:rsidRPr="00805964">
              <w:t>6</w:t>
            </w:r>
          </w:p>
        </w:tc>
        <w:tc>
          <w:tcPr>
            <w:tcW w:w="727" w:type="dxa"/>
            <w:vAlign w:val="center"/>
          </w:tcPr>
          <w:p w:rsidR="000A5B42" w:rsidRPr="00805964" w:rsidRDefault="000A5B42" w:rsidP="0029635A">
            <w:pPr>
              <w:spacing w:line="360" w:lineRule="auto"/>
              <w:contextualSpacing/>
              <w:jc w:val="center"/>
              <w:rPr>
                <w:b/>
              </w:rPr>
            </w:pPr>
            <w:r w:rsidRPr="00805964">
              <w:rPr>
                <w:b/>
              </w:rPr>
              <w:t>43</w:t>
            </w:r>
          </w:p>
        </w:tc>
      </w:tr>
      <w:tr w:rsidR="000A5B42" w:rsidRPr="00805964" w:rsidTr="000A5B42">
        <w:trPr>
          <w:trHeight w:val="338"/>
        </w:trPr>
        <w:tc>
          <w:tcPr>
            <w:tcW w:w="2801" w:type="dxa"/>
            <w:vAlign w:val="center"/>
          </w:tcPr>
          <w:p w:rsidR="000A5B42" w:rsidRPr="00805964" w:rsidRDefault="000A5B42" w:rsidP="0029635A">
            <w:pPr>
              <w:spacing w:line="360" w:lineRule="auto"/>
              <w:contextualSpacing/>
              <w:jc w:val="center"/>
              <w:rPr>
                <w:b/>
              </w:rPr>
            </w:pPr>
            <w:r w:rsidRPr="00805964">
              <w:rPr>
                <w:b/>
              </w:rPr>
              <w:t>Mezinárodní smlouvy</w:t>
            </w:r>
          </w:p>
        </w:tc>
        <w:tc>
          <w:tcPr>
            <w:tcW w:w="612" w:type="dxa"/>
            <w:vAlign w:val="center"/>
          </w:tcPr>
          <w:p w:rsidR="000A5B42" w:rsidRPr="00805964" w:rsidRDefault="000A5B42" w:rsidP="0029635A">
            <w:pPr>
              <w:spacing w:line="360" w:lineRule="auto"/>
              <w:contextualSpacing/>
              <w:jc w:val="center"/>
              <w:rPr>
                <w:b/>
              </w:rPr>
            </w:pPr>
            <w:r w:rsidRPr="00805964">
              <w:rPr>
                <w:b/>
              </w:rPr>
              <w:t>69</w:t>
            </w:r>
          </w:p>
        </w:tc>
        <w:tc>
          <w:tcPr>
            <w:tcW w:w="612" w:type="dxa"/>
            <w:vAlign w:val="center"/>
          </w:tcPr>
          <w:p w:rsidR="000A5B42" w:rsidRPr="00805964" w:rsidRDefault="000A5B42" w:rsidP="0029635A">
            <w:pPr>
              <w:spacing w:line="360" w:lineRule="auto"/>
              <w:contextualSpacing/>
              <w:jc w:val="center"/>
              <w:rPr>
                <w:b/>
              </w:rPr>
            </w:pPr>
            <w:r w:rsidRPr="00805964">
              <w:rPr>
                <w:b/>
              </w:rPr>
              <w:t>81</w:t>
            </w:r>
          </w:p>
        </w:tc>
        <w:tc>
          <w:tcPr>
            <w:tcW w:w="612" w:type="dxa"/>
            <w:vAlign w:val="center"/>
          </w:tcPr>
          <w:p w:rsidR="000A5B42" w:rsidRPr="00805964" w:rsidRDefault="000A5B42" w:rsidP="0029635A">
            <w:pPr>
              <w:spacing w:line="360" w:lineRule="auto"/>
              <w:contextualSpacing/>
              <w:jc w:val="center"/>
              <w:rPr>
                <w:b/>
              </w:rPr>
            </w:pPr>
            <w:r w:rsidRPr="00805964">
              <w:rPr>
                <w:b/>
              </w:rPr>
              <w:t>69</w:t>
            </w:r>
          </w:p>
        </w:tc>
        <w:tc>
          <w:tcPr>
            <w:tcW w:w="640" w:type="dxa"/>
            <w:vAlign w:val="center"/>
          </w:tcPr>
          <w:p w:rsidR="000A5B42" w:rsidRPr="00805964" w:rsidRDefault="000A5B42" w:rsidP="0029635A">
            <w:pPr>
              <w:spacing w:line="360" w:lineRule="auto"/>
              <w:contextualSpacing/>
              <w:jc w:val="center"/>
              <w:rPr>
                <w:b/>
              </w:rPr>
            </w:pPr>
            <w:r w:rsidRPr="00805964">
              <w:rPr>
                <w:b/>
              </w:rPr>
              <w:t>76</w:t>
            </w:r>
          </w:p>
        </w:tc>
        <w:tc>
          <w:tcPr>
            <w:tcW w:w="612" w:type="dxa"/>
            <w:vAlign w:val="center"/>
          </w:tcPr>
          <w:p w:rsidR="000A5B42" w:rsidRPr="00805964" w:rsidRDefault="000A5B42" w:rsidP="0029635A">
            <w:pPr>
              <w:spacing w:line="360" w:lineRule="auto"/>
              <w:contextualSpacing/>
              <w:jc w:val="center"/>
              <w:rPr>
                <w:b/>
              </w:rPr>
            </w:pPr>
            <w:r w:rsidRPr="00805964">
              <w:rPr>
                <w:b/>
              </w:rPr>
              <w:t>61</w:t>
            </w:r>
          </w:p>
        </w:tc>
        <w:tc>
          <w:tcPr>
            <w:tcW w:w="612" w:type="dxa"/>
            <w:vAlign w:val="center"/>
          </w:tcPr>
          <w:p w:rsidR="000A5B42" w:rsidRPr="00805964" w:rsidRDefault="000A5B42" w:rsidP="0029635A">
            <w:pPr>
              <w:spacing w:line="360" w:lineRule="auto"/>
              <w:contextualSpacing/>
              <w:jc w:val="center"/>
              <w:rPr>
                <w:b/>
              </w:rPr>
            </w:pPr>
            <w:r w:rsidRPr="00805964">
              <w:rPr>
                <w:b/>
              </w:rPr>
              <w:t>101</w:t>
            </w:r>
          </w:p>
        </w:tc>
        <w:tc>
          <w:tcPr>
            <w:tcW w:w="727" w:type="dxa"/>
            <w:vAlign w:val="center"/>
          </w:tcPr>
          <w:p w:rsidR="000A5B42" w:rsidRPr="00805964" w:rsidRDefault="000A5B42" w:rsidP="0029635A">
            <w:pPr>
              <w:spacing w:line="360" w:lineRule="auto"/>
              <w:contextualSpacing/>
              <w:jc w:val="center"/>
              <w:rPr>
                <w:b/>
              </w:rPr>
            </w:pPr>
            <w:r w:rsidRPr="00805964">
              <w:rPr>
                <w:b/>
              </w:rPr>
              <w:t>457</w:t>
            </w:r>
          </w:p>
        </w:tc>
      </w:tr>
      <w:tr w:rsidR="000A5B42" w:rsidRPr="00805964" w:rsidTr="000A5B42">
        <w:trPr>
          <w:trHeight w:val="360"/>
        </w:trPr>
        <w:tc>
          <w:tcPr>
            <w:tcW w:w="2801" w:type="dxa"/>
            <w:vAlign w:val="center"/>
          </w:tcPr>
          <w:p w:rsidR="000A5B42" w:rsidRPr="00805964" w:rsidRDefault="00D7190B" w:rsidP="0029635A">
            <w:pPr>
              <w:spacing w:line="360" w:lineRule="auto"/>
              <w:contextualSpacing/>
              <w:jc w:val="center"/>
            </w:pPr>
            <w:r>
              <w:t>d</w:t>
            </w:r>
            <w:r w:rsidR="000A5B42" w:rsidRPr="00805964">
              <w:t>án souhlas k ratifikaci</w:t>
            </w:r>
          </w:p>
        </w:tc>
        <w:tc>
          <w:tcPr>
            <w:tcW w:w="612" w:type="dxa"/>
            <w:vAlign w:val="center"/>
          </w:tcPr>
          <w:p w:rsidR="000A5B42" w:rsidRPr="00805964" w:rsidRDefault="000A5B42" w:rsidP="0029635A">
            <w:pPr>
              <w:spacing w:line="360" w:lineRule="auto"/>
              <w:contextualSpacing/>
              <w:jc w:val="center"/>
            </w:pPr>
            <w:r w:rsidRPr="00805964">
              <w:t>69</w:t>
            </w:r>
          </w:p>
        </w:tc>
        <w:tc>
          <w:tcPr>
            <w:tcW w:w="612" w:type="dxa"/>
            <w:vAlign w:val="center"/>
          </w:tcPr>
          <w:p w:rsidR="000A5B42" w:rsidRPr="00805964" w:rsidRDefault="000A5B42" w:rsidP="0029635A">
            <w:pPr>
              <w:spacing w:line="360" w:lineRule="auto"/>
              <w:contextualSpacing/>
              <w:jc w:val="center"/>
            </w:pPr>
            <w:r w:rsidRPr="00805964">
              <w:t>80</w:t>
            </w:r>
          </w:p>
        </w:tc>
        <w:tc>
          <w:tcPr>
            <w:tcW w:w="612" w:type="dxa"/>
            <w:vAlign w:val="center"/>
          </w:tcPr>
          <w:p w:rsidR="000A5B42" w:rsidRPr="00805964" w:rsidRDefault="000A5B42" w:rsidP="0029635A">
            <w:pPr>
              <w:spacing w:line="360" w:lineRule="auto"/>
              <w:contextualSpacing/>
              <w:jc w:val="center"/>
            </w:pPr>
            <w:r w:rsidRPr="00805964">
              <w:t>65</w:t>
            </w:r>
          </w:p>
        </w:tc>
        <w:tc>
          <w:tcPr>
            <w:tcW w:w="640" w:type="dxa"/>
            <w:vAlign w:val="center"/>
          </w:tcPr>
          <w:p w:rsidR="000A5B42" w:rsidRPr="00805964" w:rsidRDefault="000A5B42" w:rsidP="0029635A">
            <w:pPr>
              <w:spacing w:line="360" w:lineRule="auto"/>
              <w:contextualSpacing/>
              <w:jc w:val="center"/>
            </w:pPr>
            <w:r w:rsidRPr="00805964">
              <w:t>76</w:t>
            </w:r>
          </w:p>
        </w:tc>
        <w:tc>
          <w:tcPr>
            <w:tcW w:w="612" w:type="dxa"/>
            <w:vAlign w:val="center"/>
          </w:tcPr>
          <w:p w:rsidR="000A5B42" w:rsidRPr="00805964" w:rsidRDefault="000A5B42" w:rsidP="0029635A">
            <w:pPr>
              <w:spacing w:line="360" w:lineRule="auto"/>
              <w:contextualSpacing/>
              <w:jc w:val="center"/>
            </w:pPr>
            <w:r w:rsidRPr="00805964">
              <w:t>61</w:t>
            </w:r>
          </w:p>
        </w:tc>
        <w:tc>
          <w:tcPr>
            <w:tcW w:w="612" w:type="dxa"/>
            <w:vAlign w:val="center"/>
          </w:tcPr>
          <w:p w:rsidR="000A5B42" w:rsidRPr="00805964" w:rsidRDefault="000A5B42" w:rsidP="0029635A">
            <w:pPr>
              <w:spacing w:line="360" w:lineRule="auto"/>
              <w:contextualSpacing/>
              <w:jc w:val="center"/>
            </w:pPr>
            <w:r w:rsidRPr="00805964">
              <w:t>101</w:t>
            </w:r>
          </w:p>
        </w:tc>
        <w:tc>
          <w:tcPr>
            <w:tcW w:w="727" w:type="dxa"/>
            <w:vAlign w:val="center"/>
          </w:tcPr>
          <w:p w:rsidR="000A5B42" w:rsidRPr="00805964" w:rsidRDefault="000A5B42" w:rsidP="0029635A">
            <w:pPr>
              <w:spacing w:line="360" w:lineRule="auto"/>
              <w:contextualSpacing/>
              <w:jc w:val="center"/>
              <w:rPr>
                <w:b/>
              </w:rPr>
            </w:pPr>
            <w:r w:rsidRPr="00805964">
              <w:rPr>
                <w:b/>
              </w:rPr>
              <w:t>452</w:t>
            </w:r>
          </w:p>
        </w:tc>
      </w:tr>
      <w:tr w:rsidR="000A5B42" w:rsidRPr="00805964" w:rsidTr="000A5B42">
        <w:trPr>
          <w:trHeight w:val="360"/>
        </w:trPr>
        <w:tc>
          <w:tcPr>
            <w:tcW w:w="2801" w:type="dxa"/>
            <w:vAlign w:val="center"/>
          </w:tcPr>
          <w:p w:rsidR="000A5B42" w:rsidRPr="00805964" w:rsidRDefault="00D7190B" w:rsidP="0029635A">
            <w:pPr>
              <w:spacing w:line="360" w:lineRule="auto"/>
              <w:contextualSpacing/>
              <w:jc w:val="center"/>
            </w:pPr>
            <w:r>
              <w:t>n</w:t>
            </w:r>
            <w:r w:rsidR="000A5B42" w:rsidRPr="00805964">
              <w:t>edán souhlas k ratifikaci</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1</w:t>
            </w:r>
          </w:p>
        </w:tc>
        <w:tc>
          <w:tcPr>
            <w:tcW w:w="612" w:type="dxa"/>
            <w:vAlign w:val="center"/>
          </w:tcPr>
          <w:p w:rsidR="000A5B42" w:rsidRPr="00805964" w:rsidRDefault="000A5B42" w:rsidP="0029635A">
            <w:pPr>
              <w:spacing w:line="360" w:lineRule="auto"/>
              <w:contextualSpacing/>
              <w:jc w:val="center"/>
            </w:pPr>
            <w:r w:rsidRPr="00805964">
              <w:t>1</w:t>
            </w:r>
          </w:p>
        </w:tc>
        <w:tc>
          <w:tcPr>
            <w:tcW w:w="640"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0</w:t>
            </w:r>
          </w:p>
        </w:tc>
        <w:tc>
          <w:tcPr>
            <w:tcW w:w="727" w:type="dxa"/>
            <w:vAlign w:val="center"/>
          </w:tcPr>
          <w:p w:rsidR="000A5B42" w:rsidRPr="00805964" w:rsidRDefault="000A5B42" w:rsidP="0029635A">
            <w:pPr>
              <w:spacing w:line="360" w:lineRule="auto"/>
              <w:contextualSpacing/>
              <w:jc w:val="center"/>
              <w:rPr>
                <w:b/>
              </w:rPr>
            </w:pPr>
            <w:r w:rsidRPr="00805964">
              <w:rPr>
                <w:b/>
              </w:rPr>
              <w:t>2</w:t>
            </w:r>
          </w:p>
        </w:tc>
      </w:tr>
      <w:tr w:rsidR="000A5B42" w:rsidRPr="00805964" w:rsidTr="000A5B42">
        <w:trPr>
          <w:trHeight w:val="360"/>
        </w:trPr>
        <w:tc>
          <w:tcPr>
            <w:tcW w:w="2801" w:type="dxa"/>
            <w:vAlign w:val="center"/>
          </w:tcPr>
          <w:p w:rsidR="000A5B42" w:rsidRPr="00805964" w:rsidRDefault="00D7190B" w:rsidP="0029635A">
            <w:pPr>
              <w:spacing w:line="360" w:lineRule="auto"/>
              <w:contextualSpacing/>
              <w:jc w:val="center"/>
            </w:pPr>
            <w:r>
              <w:t>v</w:t>
            </w:r>
            <w:r w:rsidR="000A5B42" w:rsidRPr="00805964">
              <w:t>zata zpět či odročena</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3</w:t>
            </w:r>
          </w:p>
        </w:tc>
        <w:tc>
          <w:tcPr>
            <w:tcW w:w="640"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0</w:t>
            </w:r>
          </w:p>
        </w:tc>
        <w:tc>
          <w:tcPr>
            <w:tcW w:w="727" w:type="dxa"/>
            <w:vAlign w:val="center"/>
          </w:tcPr>
          <w:p w:rsidR="000A5B42" w:rsidRPr="00805964" w:rsidRDefault="000A5B42" w:rsidP="0029635A">
            <w:pPr>
              <w:spacing w:line="360" w:lineRule="auto"/>
              <w:contextualSpacing/>
              <w:jc w:val="center"/>
              <w:rPr>
                <w:b/>
              </w:rPr>
            </w:pPr>
            <w:r w:rsidRPr="00805964">
              <w:rPr>
                <w:b/>
              </w:rPr>
              <w:t>3</w:t>
            </w:r>
          </w:p>
        </w:tc>
      </w:tr>
    </w:tbl>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0A5B42" w:rsidRPr="00805964" w:rsidRDefault="000A5B42" w:rsidP="0029635A">
      <w:pPr>
        <w:spacing w:line="360" w:lineRule="auto"/>
        <w:contextualSpacing/>
        <w:jc w:val="center"/>
        <w:rPr>
          <w:i/>
          <w:sz w:val="22"/>
        </w:rPr>
      </w:pPr>
    </w:p>
    <w:p w:rsidR="00F5593E" w:rsidRPr="00805964" w:rsidRDefault="00F5593E" w:rsidP="0029635A">
      <w:pPr>
        <w:spacing w:line="360" w:lineRule="auto"/>
        <w:contextualSpacing/>
        <w:jc w:val="center"/>
        <w:rPr>
          <w:i/>
          <w:sz w:val="22"/>
        </w:rPr>
      </w:pPr>
      <w:r w:rsidRPr="00805964">
        <w:rPr>
          <w:i/>
          <w:sz w:val="22"/>
        </w:rPr>
        <w:t xml:space="preserve">Zdroj: </w:t>
      </w:r>
      <w:r w:rsidR="000A5B42" w:rsidRPr="00805964">
        <w:rPr>
          <w:i/>
          <w:sz w:val="22"/>
        </w:rPr>
        <w:t xml:space="preserve">Autor podle  </w:t>
      </w:r>
      <w:hyperlink r:id="rId30" w:history="1">
        <w:r w:rsidR="000A5B42" w:rsidRPr="00805964">
          <w:rPr>
            <w:rStyle w:val="Hypertextovodkaz"/>
            <w:i/>
            <w:color w:val="auto"/>
          </w:rPr>
          <w:t>http://www.senat.cz/dokumenty/index.php?ke_dni=22.06.2013&amp;O=9</w:t>
        </w:r>
      </w:hyperlink>
    </w:p>
    <w:p w:rsidR="00490436" w:rsidRPr="00805964" w:rsidRDefault="00490436" w:rsidP="0029635A">
      <w:pPr>
        <w:spacing w:line="360" w:lineRule="auto"/>
        <w:contextualSpacing/>
        <w:jc w:val="center"/>
        <w:rPr>
          <w:b/>
          <w:u w:val="single"/>
        </w:rPr>
      </w:pPr>
    </w:p>
    <w:p w:rsidR="001C6539" w:rsidRPr="00805964" w:rsidRDefault="001C6539" w:rsidP="0029635A">
      <w:pPr>
        <w:spacing w:line="360" w:lineRule="auto"/>
        <w:contextualSpacing/>
        <w:jc w:val="center"/>
        <w:rPr>
          <w:b/>
          <w:u w:val="single"/>
        </w:rPr>
      </w:pPr>
    </w:p>
    <w:p w:rsidR="001C6539" w:rsidRPr="00805964" w:rsidRDefault="001C6539" w:rsidP="0029635A">
      <w:pPr>
        <w:spacing w:line="360" w:lineRule="auto"/>
        <w:contextualSpacing/>
        <w:jc w:val="center"/>
        <w:rPr>
          <w:b/>
          <w:u w:val="single"/>
        </w:rPr>
      </w:pPr>
    </w:p>
    <w:p w:rsidR="001C6539" w:rsidRPr="00805964" w:rsidRDefault="001C6539" w:rsidP="0029635A">
      <w:pPr>
        <w:spacing w:line="360" w:lineRule="auto"/>
        <w:contextualSpacing/>
        <w:jc w:val="center"/>
        <w:rPr>
          <w:b/>
          <w:u w:val="single"/>
        </w:rPr>
      </w:pPr>
    </w:p>
    <w:p w:rsidR="001C6539" w:rsidRPr="00805964" w:rsidRDefault="001C6539" w:rsidP="0029635A">
      <w:pPr>
        <w:spacing w:line="360" w:lineRule="auto"/>
        <w:contextualSpacing/>
        <w:jc w:val="center"/>
        <w:rPr>
          <w:b/>
          <w:u w:val="single"/>
        </w:rPr>
      </w:pPr>
    </w:p>
    <w:p w:rsidR="001C6539" w:rsidRPr="00805964" w:rsidRDefault="001C6539" w:rsidP="0029635A">
      <w:pPr>
        <w:spacing w:line="360" w:lineRule="auto"/>
        <w:contextualSpacing/>
        <w:jc w:val="center"/>
        <w:rPr>
          <w:b/>
          <w:u w:val="single"/>
        </w:rPr>
      </w:pPr>
    </w:p>
    <w:p w:rsidR="001C6539" w:rsidRPr="00805964" w:rsidRDefault="001C6539" w:rsidP="0029635A">
      <w:pPr>
        <w:spacing w:line="360" w:lineRule="auto"/>
        <w:contextualSpacing/>
        <w:jc w:val="center"/>
        <w:rPr>
          <w:b/>
          <w:u w:val="single"/>
        </w:rPr>
      </w:pPr>
    </w:p>
    <w:p w:rsidR="004E35D9" w:rsidRPr="00805964" w:rsidRDefault="004E35D9" w:rsidP="0029635A">
      <w:pPr>
        <w:spacing w:line="360" w:lineRule="auto"/>
        <w:contextualSpacing/>
        <w:jc w:val="center"/>
        <w:rPr>
          <w:b/>
          <w:u w:val="single"/>
        </w:rPr>
      </w:pPr>
    </w:p>
    <w:p w:rsidR="000A5B42" w:rsidRPr="00805964" w:rsidRDefault="000A5B42" w:rsidP="0029635A">
      <w:pPr>
        <w:spacing w:line="360" w:lineRule="auto"/>
        <w:contextualSpacing/>
        <w:jc w:val="center"/>
        <w:rPr>
          <w:b/>
          <w:u w:val="single"/>
        </w:rPr>
      </w:pPr>
    </w:p>
    <w:p w:rsidR="004E35D9" w:rsidRPr="00805964" w:rsidRDefault="004E35D9" w:rsidP="0029635A">
      <w:pPr>
        <w:spacing w:line="360" w:lineRule="auto"/>
        <w:contextualSpacing/>
        <w:jc w:val="center"/>
        <w:rPr>
          <w:b/>
          <w:sz w:val="22"/>
          <w:u w:val="single"/>
        </w:rPr>
      </w:pPr>
      <w:r w:rsidRPr="00805964">
        <w:rPr>
          <w:b/>
          <w:sz w:val="22"/>
          <w:u w:val="single"/>
        </w:rPr>
        <w:t>Tabulka č. 6: Přehled pozměňovacích návrhů a zamítnuté legislativy</w:t>
      </w:r>
    </w:p>
    <w:tbl>
      <w:tblPr>
        <w:tblStyle w:val="Mkatabulky"/>
        <w:tblpPr w:leftFromText="141" w:rightFromText="141" w:vertAnchor="text" w:horzAnchor="margin" w:tblpXSpec="center" w:tblpY="91"/>
        <w:tblW w:w="0" w:type="auto"/>
        <w:tblLook w:val="04A0"/>
      </w:tblPr>
      <w:tblGrid>
        <w:gridCol w:w="2621"/>
        <w:gridCol w:w="612"/>
        <w:gridCol w:w="612"/>
        <w:gridCol w:w="612"/>
        <w:gridCol w:w="612"/>
        <w:gridCol w:w="612"/>
        <w:gridCol w:w="612"/>
        <w:gridCol w:w="633"/>
      </w:tblGrid>
      <w:tr w:rsidR="000A5B42" w:rsidRPr="00805964" w:rsidTr="000A5B42">
        <w:trPr>
          <w:cantSplit/>
          <w:trHeight w:val="1402"/>
        </w:trPr>
        <w:tc>
          <w:tcPr>
            <w:tcW w:w="2621" w:type="dxa"/>
            <w:vAlign w:val="center"/>
          </w:tcPr>
          <w:p w:rsidR="000A5B42" w:rsidRPr="00805964" w:rsidRDefault="000A5B42" w:rsidP="0029635A">
            <w:pPr>
              <w:spacing w:line="360" w:lineRule="auto"/>
              <w:contextualSpacing/>
              <w:jc w:val="center"/>
              <w:rPr>
                <w:u w:val="single"/>
              </w:rPr>
            </w:pPr>
          </w:p>
        </w:tc>
        <w:tc>
          <w:tcPr>
            <w:tcW w:w="612" w:type="dxa"/>
            <w:textDirection w:val="tbRl"/>
            <w:vAlign w:val="center"/>
          </w:tcPr>
          <w:p w:rsidR="000A5B42" w:rsidRPr="00805964" w:rsidRDefault="000A5B42" w:rsidP="0029635A">
            <w:pPr>
              <w:spacing w:line="360" w:lineRule="auto"/>
              <w:ind w:left="113" w:right="113"/>
              <w:contextualSpacing/>
              <w:jc w:val="center"/>
            </w:pPr>
            <w:r w:rsidRPr="00805964">
              <w:t>3. období</w:t>
            </w:r>
          </w:p>
        </w:tc>
        <w:tc>
          <w:tcPr>
            <w:tcW w:w="612" w:type="dxa"/>
            <w:textDirection w:val="tbRl"/>
            <w:vAlign w:val="center"/>
          </w:tcPr>
          <w:p w:rsidR="000A5B42" w:rsidRPr="00805964" w:rsidRDefault="000A5B42" w:rsidP="0029635A">
            <w:pPr>
              <w:spacing w:line="360" w:lineRule="auto"/>
              <w:ind w:left="113" w:right="113"/>
              <w:contextualSpacing/>
              <w:jc w:val="center"/>
            </w:pPr>
            <w:r w:rsidRPr="00805964">
              <w:t>4. období</w:t>
            </w:r>
          </w:p>
        </w:tc>
        <w:tc>
          <w:tcPr>
            <w:tcW w:w="612" w:type="dxa"/>
            <w:textDirection w:val="tbRl"/>
            <w:vAlign w:val="center"/>
          </w:tcPr>
          <w:p w:rsidR="000A5B42" w:rsidRPr="00805964" w:rsidRDefault="000A5B42" w:rsidP="0029635A">
            <w:pPr>
              <w:spacing w:line="360" w:lineRule="auto"/>
              <w:ind w:left="113" w:right="113"/>
              <w:contextualSpacing/>
              <w:jc w:val="center"/>
            </w:pPr>
            <w:r w:rsidRPr="00805964">
              <w:t>5. období</w:t>
            </w:r>
          </w:p>
        </w:tc>
        <w:tc>
          <w:tcPr>
            <w:tcW w:w="612" w:type="dxa"/>
            <w:textDirection w:val="tbRl"/>
            <w:vAlign w:val="center"/>
          </w:tcPr>
          <w:p w:rsidR="000A5B42" w:rsidRPr="00805964" w:rsidRDefault="000A5B42" w:rsidP="0029635A">
            <w:pPr>
              <w:spacing w:line="360" w:lineRule="auto"/>
              <w:ind w:left="113" w:right="113"/>
              <w:contextualSpacing/>
              <w:jc w:val="center"/>
            </w:pPr>
            <w:r w:rsidRPr="00805964">
              <w:t>6. období</w:t>
            </w:r>
          </w:p>
        </w:tc>
        <w:tc>
          <w:tcPr>
            <w:tcW w:w="612" w:type="dxa"/>
            <w:textDirection w:val="tbRl"/>
            <w:vAlign w:val="center"/>
          </w:tcPr>
          <w:p w:rsidR="000A5B42" w:rsidRPr="00805964" w:rsidRDefault="000A5B42" w:rsidP="0029635A">
            <w:pPr>
              <w:spacing w:line="360" w:lineRule="auto"/>
              <w:ind w:left="113" w:right="113"/>
              <w:contextualSpacing/>
              <w:jc w:val="center"/>
            </w:pPr>
            <w:r w:rsidRPr="00805964">
              <w:t>7. období</w:t>
            </w:r>
          </w:p>
        </w:tc>
        <w:tc>
          <w:tcPr>
            <w:tcW w:w="612" w:type="dxa"/>
            <w:textDirection w:val="tbRl"/>
            <w:vAlign w:val="center"/>
          </w:tcPr>
          <w:p w:rsidR="000A5B42" w:rsidRPr="00805964" w:rsidRDefault="000A5B42" w:rsidP="0029635A">
            <w:pPr>
              <w:spacing w:line="360" w:lineRule="auto"/>
              <w:ind w:left="113" w:right="113"/>
              <w:contextualSpacing/>
              <w:jc w:val="center"/>
            </w:pPr>
            <w:r w:rsidRPr="00805964">
              <w:t>8. období</w:t>
            </w:r>
          </w:p>
        </w:tc>
        <w:tc>
          <w:tcPr>
            <w:tcW w:w="633" w:type="dxa"/>
            <w:textDirection w:val="tbRl"/>
            <w:vAlign w:val="center"/>
          </w:tcPr>
          <w:p w:rsidR="000A5B42" w:rsidRPr="00805964" w:rsidRDefault="000A5B42" w:rsidP="0029635A">
            <w:pPr>
              <w:spacing w:line="360" w:lineRule="auto"/>
              <w:ind w:left="113" w:right="113"/>
              <w:contextualSpacing/>
              <w:jc w:val="center"/>
              <w:rPr>
                <w:b/>
              </w:rPr>
            </w:pPr>
            <w:r w:rsidRPr="00805964">
              <w:rPr>
                <w:b/>
              </w:rPr>
              <w:t>Celkem</w:t>
            </w:r>
          </w:p>
        </w:tc>
      </w:tr>
      <w:tr w:rsidR="000A5B42" w:rsidRPr="00805964" w:rsidTr="000A5B42">
        <w:trPr>
          <w:trHeight w:val="511"/>
        </w:trPr>
        <w:tc>
          <w:tcPr>
            <w:tcW w:w="2621" w:type="dxa"/>
            <w:vAlign w:val="center"/>
          </w:tcPr>
          <w:p w:rsidR="000A5B42" w:rsidRPr="00805964" w:rsidRDefault="000A5B42" w:rsidP="0029635A">
            <w:pPr>
              <w:spacing w:line="360" w:lineRule="auto"/>
              <w:contextualSpacing/>
              <w:jc w:val="center"/>
              <w:rPr>
                <w:b/>
              </w:rPr>
            </w:pPr>
            <w:r w:rsidRPr="00805964">
              <w:rPr>
                <w:b/>
              </w:rPr>
              <w:t>Pozměňovací návrhy</w:t>
            </w:r>
            <w:r w:rsidRPr="00805964">
              <w:rPr>
                <w:rStyle w:val="Znakapoznpodarou"/>
                <w:b/>
              </w:rPr>
              <w:footnoteReference w:id="88"/>
            </w:r>
          </w:p>
        </w:tc>
        <w:tc>
          <w:tcPr>
            <w:tcW w:w="612" w:type="dxa"/>
            <w:vAlign w:val="center"/>
          </w:tcPr>
          <w:p w:rsidR="000A5B42" w:rsidRPr="00805964" w:rsidRDefault="000A5B42" w:rsidP="0029635A">
            <w:pPr>
              <w:spacing w:line="360" w:lineRule="auto"/>
              <w:contextualSpacing/>
              <w:jc w:val="center"/>
              <w:rPr>
                <w:b/>
              </w:rPr>
            </w:pPr>
            <w:r w:rsidRPr="00805964">
              <w:rPr>
                <w:b/>
              </w:rPr>
              <w:t>58</w:t>
            </w:r>
          </w:p>
        </w:tc>
        <w:tc>
          <w:tcPr>
            <w:tcW w:w="612" w:type="dxa"/>
            <w:vAlign w:val="center"/>
          </w:tcPr>
          <w:p w:rsidR="000A5B42" w:rsidRPr="00805964" w:rsidRDefault="000A5B42" w:rsidP="0029635A">
            <w:pPr>
              <w:spacing w:line="360" w:lineRule="auto"/>
              <w:contextualSpacing/>
              <w:jc w:val="center"/>
              <w:rPr>
                <w:b/>
              </w:rPr>
            </w:pPr>
            <w:r w:rsidRPr="00805964">
              <w:rPr>
                <w:b/>
              </w:rPr>
              <w:t>67</w:t>
            </w:r>
          </w:p>
        </w:tc>
        <w:tc>
          <w:tcPr>
            <w:tcW w:w="612" w:type="dxa"/>
            <w:vAlign w:val="center"/>
          </w:tcPr>
          <w:p w:rsidR="000A5B42" w:rsidRPr="00805964" w:rsidRDefault="000A5B42" w:rsidP="0029635A">
            <w:pPr>
              <w:spacing w:line="360" w:lineRule="auto"/>
              <w:contextualSpacing/>
              <w:jc w:val="center"/>
              <w:rPr>
                <w:b/>
              </w:rPr>
            </w:pPr>
            <w:r w:rsidRPr="00805964">
              <w:rPr>
                <w:b/>
              </w:rPr>
              <w:t>103</w:t>
            </w:r>
          </w:p>
        </w:tc>
        <w:tc>
          <w:tcPr>
            <w:tcW w:w="612" w:type="dxa"/>
            <w:vAlign w:val="center"/>
          </w:tcPr>
          <w:p w:rsidR="000A5B42" w:rsidRPr="00805964" w:rsidRDefault="000A5B42" w:rsidP="0029635A">
            <w:pPr>
              <w:spacing w:line="360" w:lineRule="auto"/>
              <w:contextualSpacing/>
              <w:jc w:val="center"/>
              <w:rPr>
                <w:b/>
              </w:rPr>
            </w:pPr>
            <w:r w:rsidRPr="00805964">
              <w:rPr>
                <w:b/>
              </w:rPr>
              <w:t>22</w:t>
            </w:r>
          </w:p>
        </w:tc>
        <w:tc>
          <w:tcPr>
            <w:tcW w:w="612" w:type="dxa"/>
            <w:vAlign w:val="center"/>
          </w:tcPr>
          <w:p w:rsidR="000A5B42" w:rsidRPr="00805964" w:rsidRDefault="000A5B42" w:rsidP="0029635A">
            <w:pPr>
              <w:spacing w:line="360" w:lineRule="auto"/>
              <w:contextualSpacing/>
              <w:jc w:val="center"/>
              <w:rPr>
                <w:b/>
              </w:rPr>
            </w:pPr>
            <w:r w:rsidRPr="00805964">
              <w:rPr>
                <w:b/>
              </w:rPr>
              <w:t>27</w:t>
            </w:r>
          </w:p>
        </w:tc>
        <w:tc>
          <w:tcPr>
            <w:tcW w:w="612" w:type="dxa"/>
            <w:vAlign w:val="center"/>
          </w:tcPr>
          <w:p w:rsidR="000A5B42" w:rsidRPr="00805964" w:rsidRDefault="000A5B42" w:rsidP="0029635A">
            <w:pPr>
              <w:spacing w:line="360" w:lineRule="auto"/>
              <w:contextualSpacing/>
              <w:jc w:val="center"/>
              <w:rPr>
                <w:b/>
              </w:rPr>
            </w:pPr>
            <w:r w:rsidRPr="00805964">
              <w:rPr>
                <w:b/>
              </w:rPr>
              <w:t>62</w:t>
            </w:r>
          </w:p>
        </w:tc>
        <w:tc>
          <w:tcPr>
            <w:tcW w:w="633" w:type="dxa"/>
            <w:vAlign w:val="center"/>
          </w:tcPr>
          <w:p w:rsidR="000A5B42" w:rsidRPr="00805964" w:rsidRDefault="000A5B42" w:rsidP="0029635A">
            <w:pPr>
              <w:spacing w:line="360" w:lineRule="auto"/>
              <w:contextualSpacing/>
              <w:jc w:val="center"/>
              <w:rPr>
                <w:b/>
              </w:rPr>
            </w:pPr>
            <w:r w:rsidRPr="00805964">
              <w:rPr>
                <w:b/>
              </w:rPr>
              <w:t>339</w:t>
            </w:r>
          </w:p>
        </w:tc>
      </w:tr>
      <w:tr w:rsidR="000A5B42" w:rsidRPr="00805964" w:rsidTr="000A5B42">
        <w:trPr>
          <w:trHeight w:val="511"/>
        </w:trPr>
        <w:tc>
          <w:tcPr>
            <w:tcW w:w="2621" w:type="dxa"/>
            <w:vAlign w:val="center"/>
          </w:tcPr>
          <w:p w:rsidR="000A5B42" w:rsidRPr="00805964" w:rsidRDefault="00EF268B" w:rsidP="0029635A">
            <w:pPr>
              <w:spacing w:line="360" w:lineRule="auto"/>
              <w:contextualSpacing/>
              <w:jc w:val="center"/>
            </w:pPr>
            <w:r>
              <w:t>v</w:t>
            </w:r>
            <w:r w:rsidR="000A5B42" w:rsidRPr="00805964">
              <w:t>e znění Senátu</w:t>
            </w:r>
          </w:p>
        </w:tc>
        <w:tc>
          <w:tcPr>
            <w:tcW w:w="612" w:type="dxa"/>
            <w:vAlign w:val="center"/>
          </w:tcPr>
          <w:p w:rsidR="000A5B42" w:rsidRPr="00805964" w:rsidRDefault="000A5B42" w:rsidP="0029635A">
            <w:pPr>
              <w:spacing w:line="360" w:lineRule="auto"/>
              <w:contextualSpacing/>
              <w:jc w:val="center"/>
            </w:pPr>
            <w:r w:rsidRPr="00805964">
              <w:t>37</w:t>
            </w:r>
          </w:p>
        </w:tc>
        <w:tc>
          <w:tcPr>
            <w:tcW w:w="612" w:type="dxa"/>
            <w:vAlign w:val="center"/>
          </w:tcPr>
          <w:p w:rsidR="000A5B42" w:rsidRPr="00805964" w:rsidRDefault="000A5B42" w:rsidP="0029635A">
            <w:pPr>
              <w:spacing w:line="360" w:lineRule="auto"/>
              <w:contextualSpacing/>
              <w:jc w:val="center"/>
            </w:pPr>
            <w:r w:rsidRPr="00805964">
              <w:t>43</w:t>
            </w:r>
          </w:p>
        </w:tc>
        <w:tc>
          <w:tcPr>
            <w:tcW w:w="612" w:type="dxa"/>
            <w:vAlign w:val="center"/>
          </w:tcPr>
          <w:p w:rsidR="000A5B42" w:rsidRPr="00805964" w:rsidRDefault="000A5B42" w:rsidP="0029635A">
            <w:pPr>
              <w:spacing w:line="360" w:lineRule="auto"/>
              <w:contextualSpacing/>
              <w:jc w:val="center"/>
            </w:pPr>
            <w:r w:rsidRPr="00805964">
              <w:t>56</w:t>
            </w:r>
          </w:p>
        </w:tc>
        <w:tc>
          <w:tcPr>
            <w:tcW w:w="612" w:type="dxa"/>
            <w:vAlign w:val="center"/>
          </w:tcPr>
          <w:p w:rsidR="000A5B42" w:rsidRPr="00805964" w:rsidRDefault="000A5B42" w:rsidP="0029635A">
            <w:pPr>
              <w:spacing w:line="360" w:lineRule="auto"/>
              <w:contextualSpacing/>
              <w:jc w:val="center"/>
            </w:pPr>
            <w:r w:rsidRPr="00805964">
              <w:t>12</w:t>
            </w:r>
          </w:p>
        </w:tc>
        <w:tc>
          <w:tcPr>
            <w:tcW w:w="612" w:type="dxa"/>
            <w:vAlign w:val="center"/>
          </w:tcPr>
          <w:p w:rsidR="000A5B42" w:rsidRPr="00805964" w:rsidRDefault="000A5B42" w:rsidP="0029635A">
            <w:pPr>
              <w:spacing w:line="360" w:lineRule="auto"/>
              <w:contextualSpacing/>
              <w:jc w:val="center"/>
            </w:pPr>
            <w:r w:rsidRPr="00805964">
              <w:t>15</w:t>
            </w:r>
          </w:p>
        </w:tc>
        <w:tc>
          <w:tcPr>
            <w:tcW w:w="612" w:type="dxa"/>
            <w:vAlign w:val="center"/>
          </w:tcPr>
          <w:p w:rsidR="000A5B42" w:rsidRPr="00805964" w:rsidRDefault="000A5B42" w:rsidP="0029635A">
            <w:pPr>
              <w:spacing w:line="360" w:lineRule="auto"/>
              <w:contextualSpacing/>
              <w:jc w:val="center"/>
            </w:pPr>
            <w:r w:rsidRPr="00805964">
              <w:t>30</w:t>
            </w:r>
          </w:p>
        </w:tc>
        <w:tc>
          <w:tcPr>
            <w:tcW w:w="633" w:type="dxa"/>
            <w:vAlign w:val="center"/>
          </w:tcPr>
          <w:p w:rsidR="000A5B42" w:rsidRPr="00805964" w:rsidRDefault="000A5B42" w:rsidP="0029635A">
            <w:pPr>
              <w:spacing w:line="360" w:lineRule="auto"/>
              <w:contextualSpacing/>
              <w:jc w:val="center"/>
              <w:rPr>
                <w:b/>
              </w:rPr>
            </w:pPr>
            <w:r w:rsidRPr="00805964">
              <w:rPr>
                <w:b/>
              </w:rPr>
              <w:t>193</w:t>
            </w:r>
          </w:p>
        </w:tc>
      </w:tr>
      <w:tr w:rsidR="000A5B42" w:rsidRPr="00805964" w:rsidTr="000A5B42">
        <w:trPr>
          <w:trHeight w:val="511"/>
        </w:trPr>
        <w:tc>
          <w:tcPr>
            <w:tcW w:w="2621" w:type="dxa"/>
            <w:vAlign w:val="center"/>
          </w:tcPr>
          <w:p w:rsidR="000A5B42" w:rsidRPr="00805964" w:rsidRDefault="00EF268B" w:rsidP="0029635A">
            <w:pPr>
              <w:spacing w:line="360" w:lineRule="auto"/>
              <w:contextualSpacing/>
              <w:jc w:val="center"/>
            </w:pPr>
            <w:r>
              <w:t>v</w:t>
            </w:r>
            <w:r w:rsidR="000A5B42" w:rsidRPr="00805964">
              <w:t>e znění PS</w:t>
            </w:r>
          </w:p>
        </w:tc>
        <w:tc>
          <w:tcPr>
            <w:tcW w:w="612" w:type="dxa"/>
            <w:vAlign w:val="center"/>
          </w:tcPr>
          <w:p w:rsidR="000A5B42" w:rsidRPr="00805964" w:rsidRDefault="000A5B42" w:rsidP="0029635A">
            <w:pPr>
              <w:spacing w:line="360" w:lineRule="auto"/>
              <w:contextualSpacing/>
              <w:jc w:val="center"/>
            </w:pPr>
            <w:r w:rsidRPr="00805964">
              <w:t>18</w:t>
            </w:r>
          </w:p>
        </w:tc>
        <w:tc>
          <w:tcPr>
            <w:tcW w:w="612" w:type="dxa"/>
            <w:vAlign w:val="center"/>
          </w:tcPr>
          <w:p w:rsidR="000A5B42" w:rsidRPr="00805964" w:rsidRDefault="000A5B42" w:rsidP="0029635A">
            <w:pPr>
              <w:spacing w:line="360" w:lineRule="auto"/>
              <w:contextualSpacing/>
              <w:jc w:val="center"/>
            </w:pPr>
            <w:r w:rsidRPr="00805964">
              <w:t>21</w:t>
            </w:r>
          </w:p>
        </w:tc>
        <w:tc>
          <w:tcPr>
            <w:tcW w:w="612" w:type="dxa"/>
            <w:vAlign w:val="center"/>
          </w:tcPr>
          <w:p w:rsidR="000A5B42" w:rsidRPr="00805964" w:rsidRDefault="000A5B42" w:rsidP="0029635A">
            <w:pPr>
              <w:spacing w:line="360" w:lineRule="auto"/>
              <w:contextualSpacing/>
              <w:jc w:val="center"/>
            </w:pPr>
            <w:r w:rsidRPr="00805964">
              <w:t>47</w:t>
            </w:r>
          </w:p>
        </w:tc>
        <w:tc>
          <w:tcPr>
            <w:tcW w:w="612" w:type="dxa"/>
            <w:vAlign w:val="center"/>
          </w:tcPr>
          <w:p w:rsidR="000A5B42" w:rsidRPr="00805964" w:rsidRDefault="000A5B42" w:rsidP="0029635A">
            <w:pPr>
              <w:spacing w:line="360" w:lineRule="auto"/>
              <w:contextualSpacing/>
              <w:jc w:val="center"/>
            </w:pPr>
            <w:r w:rsidRPr="00805964">
              <w:t>10</w:t>
            </w:r>
          </w:p>
        </w:tc>
        <w:tc>
          <w:tcPr>
            <w:tcW w:w="612" w:type="dxa"/>
            <w:vAlign w:val="center"/>
          </w:tcPr>
          <w:p w:rsidR="000A5B42" w:rsidRPr="00805964" w:rsidRDefault="000A5B42" w:rsidP="0029635A">
            <w:pPr>
              <w:spacing w:line="360" w:lineRule="auto"/>
              <w:contextualSpacing/>
              <w:jc w:val="center"/>
            </w:pPr>
            <w:r w:rsidRPr="00805964">
              <w:t>9</w:t>
            </w:r>
          </w:p>
        </w:tc>
        <w:tc>
          <w:tcPr>
            <w:tcW w:w="612" w:type="dxa"/>
            <w:vAlign w:val="center"/>
          </w:tcPr>
          <w:p w:rsidR="000A5B42" w:rsidRPr="00805964" w:rsidRDefault="000A5B42" w:rsidP="0029635A">
            <w:pPr>
              <w:spacing w:line="360" w:lineRule="auto"/>
              <w:contextualSpacing/>
              <w:jc w:val="center"/>
            </w:pPr>
            <w:r w:rsidRPr="00805964">
              <w:t>31</w:t>
            </w:r>
          </w:p>
        </w:tc>
        <w:tc>
          <w:tcPr>
            <w:tcW w:w="633" w:type="dxa"/>
            <w:vAlign w:val="center"/>
          </w:tcPr>
          <w:p w:rsidR="000A5B42" w:rsidRPr="00805964" w:rsidRDefault="000A5B42" w:rsidP="0029635A">
            <w:pPr>
              <w:spacing w:line="360" w:lineRule="auto"/>
              <w:contextualSpacing/>
              <w:jc w:val="center"/>
              <w:rPr>
                <w:b/>
              </w:rPr>
            </w:pPr>
            <w:r w:rsidRPr="00805964">
              <w:rPr>
                <w:b/>
              </w:rPr>
              <w:t>136</w:t>
            </w:r>
          </w:p>
        </w:tc>
      </w:tr>
      <w:tr w:rsidR="000A5B42" w:rsidRPr="00805964" w:rsidTr="000A5B42">
        <w:trPr>
          <w:trHeight w:val="511"/>
        </w:trPr>
        <w:tc>
          <w:tcPr>
            <w:tcW w:w="2621" w:type="dxa"/>
            <w:vAlign w:val="center"/>
          </w:tcPr>
          <w:p w:rsidR="000A5B42" w:rsidRPr="00805964" w:rsidRDefault="0013537E" w:rsidP="0029635A">
            <w:pPr>
              <w:spacing w:line="360" w:lineRule="auto"/>
              <w:contextualSpacing/>
              <w:jc w:val="center"/>
            </w:pPr>
            <w:r>
              <w:t>n</w:t>
            </w:r>
            <w:r w:rsidR="000A5B42" w:rsidRPr="00805964">
              <w:t>epřijat</w:t>
            </w:r>
          </w:p>
        </w:tc>
        <w:tc>
          <w:tcPr>
            <w:tcW w:w="612" w:type="dxa"/>
            <w:vAlign w:val="center"/>
          </w:tcPr>
          <w:p w:rsidR="000A5B42" w:rsidRPr="00805964" w:rsidRDefault="000A5B42" w:rsidP="0029635A">
            <w:pPr>
              <w:spacing w:line="360" w:lineRule="auto"/>
              <w:contextualSpacing/>
              <w:jc w:val="center"/>
            </w:pPr>
            <w:r w:rsidRPr="00805964">
              <w:t>3</w:t>
            </w:r>
          </w:p>
        </w:tc>
        <w:tc>
          <w:tcPr>
            <w:tcW w:w="612" w:type="dxa"/>
            <w:vAlign w:val="center"/>
          </w:tcPr>
          <w:p w:rsidR="000A5B42" w:rsidRPr="00805964" w:rsidRDefault="000A5B42" w:rsidP="0029635A">
            <w:pPr>
              <w:spacing w:line="360" w:lineRule="auto"/>
              <w:contextualSpacing/>
              <w:jc w:val="center"/>
            </w:pPr>
            <w:r w:rsidRPr="00805964">
              <w:t>3</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3</w:t>
            </w:r>
          </w:p>
        </w:tc>
        <w:tc>
          <w:tcPr>
            <w:tcW w:w="612" w:type="dxa"/>
            <w:vAlign w:val="center"/>
          </w:tcPr>
          <w:p w:rsidR="000A5B42" w:rsidRPr="00805964" w:rsidRDefault="000A5B42" w:rsidP="0029635A">
            <w:pPr>
              <w:spacing w:line="360" w:lineRule="auto"/>
              <w:contextualSpacing/>
              <w:jc w:val="center"/>
            </w:pPr>
            <w:r w:rsidRPr="00805964">
              <w:t>1</w:t>
            </w:r>
          </w:p>
        </w:tc>
        <w:tc>
          <w:tcPr>
            <w:tcW w:w="633" w:type="dxa"/>
            <w:vAlign w:val="center"/>
          </w:tcPr>
          <w:p w:rsidR="000A5B42" w:rsidRPr="00805964" w:rsidRDefault="000A5B42" w:rsidP="0029635A">
            <w:pPr>
              <w:spacing w:line="360" w:lineRule="auto"/>
              <w:contextualSpacing/>
              <w:jc w:val="center"/>
              <w:rPr>
                <w:b/>
              </w:rPr>
            </w:pPr>
            <w:r w:rsidRPr="00805964">
              <w:rPr>
                <w:b/>
              </w:rPr>
              <w:t>10</w:t>
            </w:r>
          </w:p>
        </w:tc>
      </w:tr>
      <w:tr w:rsidR="000A5B42" w:rsidRPr="00805964" w:rsidTr="000A5B42">
        <w:trPr>
          <w:trHeight w:val="511"/>
        </w:trPr>
        <w:tc>
          <w:tcPr>
            <w:tcW w:w="2621" w:type="dxa"/>
            <w:vAlign w:val="center"/>
          </w:tcPr>
          <w:p w:rsidR="000A5B42" w:rsidRPr="00805964" w:rsidRDefault="000A5B42" w:rsidP="0029635A">
            <w:pPr>
              <w:spacing w:line="360" w:lineRule="auto"/>
              <w:contextualSpacing/>
              <w:jc w:val="center"/>
              <w:rPr>
                <w:b/>
              </w:rPr>
            </w:pPr>
            <w:r w:rsidRPr="00805964">
              <w:rPr>
                <w:b/>
              </w:rPr>
              <w:t>Zamítnuté zákony</w:t>
            </w:r>
          </w:p>
        </w:tc>
        <w:tc>
          <w:tcPr>
            <w:tcW w:w="612" w:type="dxa"/>
            <w:vAlign w:val="center"/>
          </w:tcPr>
          <w:p w:rsidR="000A5B42" w:rsidRPr="00805964" w:rsidRDefault="000A5B42" w:rsidP="0029635A">
            <w:pPr>
              <w:spacing w:line="360" w:lineRule="auto"/>
              <w:contextualSpacing/>
              <w:jc w:val="center"/>
              <w:rPr>
                <w:b/>
              </w:rPr>
            </w:pPr>
            <w:r w:rsidRPr="00805964">
              <w:rPr>
                <w:b/>
              </w:rPr>
              <w:t>13</w:t>
            </w:r>
          </w:p>
        </w:tc>
        <w:tc>
          <w:tcPr>
            <w:tcW w:w="612" w:type="dxa"/>
            <w:vAlign w:val="center"/>
          </w:tcPr>
          <w:p w:rsidR="000A5B42" w:rsidRPr="00805964" w:rsidRDefault="000A5B42" w:rsidP="0029635A">
            <w:pPr>
              <w:spacing w:line="360" w:lineRule="auto"/>
              <w:contextualSpacing/>
              <w:jc w:val="center"/>
              <w:rPr>
                <w:b/>
              </w:rPr>
            </w:pPr>
            <w:r w:rsidRPr="00805964">
              <w:rPr>
                <w:b/>
              </w:rPr>
              <w:t>10</w:t>
            </w:r>
          </w:p>
        </w:tc>
        <w:tc>
          <w:tcPr>
            <w:tcW w:w="612" w:type="dxa"/>
            <w:vAlign w:val="center"/>
          </w:tcPr>
          <w:p w:rsidR="000A5B42" w:rsidRPr="00805964" w:rsidRDefault="000A5B42" w:rsidP="0029635A">
            <w:pPr>
              <w:spacing w:line="360" w:lineRule="auto"/>
              <w:contextualSpacing/>
              <w:jc w:val="center"/>
              <w:rPr>
                <w:b/>
              </w:rPr>
            </w:pPr>
            <w:r w:rsidRPr="00805964">
              <w:rPr>
                <w:b/>
              </w:rPr>
              <w:t>36</w:t>
            </w:r>
          </w:p>
        </w:tc>
        <w:tc>
          <w:tcPr>
            <w:tcW w:w="612" w:type="dxa"/>
            <w:vAlign w:val="center"/>
          </w:tcPr>
          <w:p w:rsidR="000A5B42" w:rsidRPr="00805964" w:rsidRDefault="000A5B42" w:rsidP="0029635A">
            <w:pPr>
              <w:spacing w:line="360" w:lineRule="auto"/>
              <w:contextualSpacing/>
              <w:jc w:val="center"/>
              <w:rPr>
                <w:b/>
              </w:rPr>
            </w:pPr>
            <w:r w:rsidRPr="00805964">
              <w:rPr>
                <w:b/>
              </w:rPr>
              <w:t>2</w:t>
            </w:r>
          </w:p>
        </w:tc>
        <w:tc>
          <w:tcPr>
            <w:tcW w:w="612" w:type="dxa"/>
            <w:vAlign w:val="center"/>
          </w:tcPr>
          <w:p w:rsidR="000A5B42" w:rsidRPr="00805964" w:rsidRDefault="000A5B42" w:rsidP="0029635A">
            <w:pPr>
              <w:spacing w:line="360" w:lineRule="auto"/>
              <w:contextualSpacing/>
              <w:jc w:val="center"/>
              <w:rPr>
                <w:b/>
              </w:rPr>
            </w:pPr>
            <w:r w:rsidRPr="00805964">
              <w:rPr>
                <w:b/>
              </w:rPr>
              <w:t>8</w:t>
            </w:r>
          </w:p>
        </w:tc>
        <w:tc>
          <w:tcPr>
            <w:tcW w:w="612" w:type="dxa"/>
            <w:vAlign w:val="center"/>
          </w:tcPr>
          <w:p w:rsidR="000A5B42" w:rsidRPr="00805964" w:rsidRDefault="000A5B42" w:rsidP="0029635A">
            <w:pPr>
              <w:spacing w:line="360" w:lineRule="auto"/>
              <w:contextualSpacing/>
              <w:jc w:val="center"/>
              <w:rPr>
                <w:b/>
              </w:rPr>
            </w:pPr>
            <w:r w:rsidRPr="00805964">
              <w:rPr>
                <w:b/>
              </w:rPr>
              <w:t>30</w:t>
            </w:r>
          </w:p>
        </w:tc>
        <w:tc>
          <w:tcPr>
            <w:tcW w:w="633" w:type="dxa"/>
            <w:vAlign w:val="center"/>
          </w:tcPr>
          <w:p w:rsidR="000A5B42" w:rsidRPr="00805964" w:rsidRDefault="000A5B42" w:rsidP="0029635A">
            <w:pPr>
              <w:spacing w:line="360" w:lineRule="auto"/>
              <w:contextualSpacing/>
              <w:jc w:val="center"/>
              <w:rPr>
                <w:b/>
              </w:rPr>
            </w:pPr>
            <w:r w:rsidRPr="00805964">
              <w:rPr>
                <w:b/>
              </w:rPr>
              <w:t>99</w:t>
            </w:r>
          </w:p>
        </w:tc>
      </w:tr>
      <w:tr w:rsidR="000A5B42" w:rsidRPr="00805964" w:rsidTr="000A5B42">
        <w:trPr>
          <w:trHeight w:val="511"/>
        </w:trPr>
        <w:tc>
          <w:tcPr>
            <w:tcW w:w="2621" w:type="dxa"/>
            <w:vAlign w:val="center"/>
          </w:tcPr>
          <w:p w:rsidR="000A5B42" w:rsidRPr="00805964" w:rsidRDefault="0013537E" w:rsidP="0029635A">
            <w:pPr>
              <w:spacing w:line="360" w:lineRule="auto"/>
              <w:contextualSpacing/>
              <w:jc w:val="center"/>
            </w:pPr>
            <w:r>
              <w:t>v</w:t>
            </w:r>
            <w:r w:rsidR="000A5B42" w:rsidRPr="00805964">
              <w:t>e znění PS</w:t>
            </w:r>
          </w:p>
        </w:tc>
        <w:tc>
          <w:tcPr>
            <w:tcW w:w="612" w:type="dxa"/>
            <w:vAlign w:val="center"/>
          </w:tcPr>
          <w:p w:rsidR="000A5B42" w:rsidRPr="00805964" w:rsidRDefault="000A5B42" w:rsidP="0029635A">
            <w:pPr>
              <w:spacing w:line="360" w:lineRule="auto"/>
              <w:contextualSpacing/>
              <w:jc w:val="center"/>
            </w:pPr>
            <w:r w:rsidRPr="00805964">
              <w:t>6</w:t>
            </w:r>
          </w:p>
        </w:tc>
        <w:tc>
          <w:tcPr>
            <w:tcW w:w="612" w:type="dxa"/>
            <w:vAlign w:val="center"/>
          </w:tcPr>
          <w:p w:rsidR="000A5B42" w:rsidRPr="00805964" w:rsidRDefault="000A5B42" w:rsidP="0029635A">
            <w:pPr>
              <w:spacing w:line="360" w:lineRule="auto"/>
              <w:contextualSpacing/>
              <w:jc w:val="center"/>
            </w:pPr>
            <w:r w:rsidRPr="00805964">
              <w:t>7</w:t>
            </w:r>
          </w:p>
        </w:tc>
        <w:tc>
          <w:tcPr>
            <w:tcW w:w="612" w:type="dxa"/>
            <w:vAlign w:val="center"/>
          </w:tcPr>
          <w:p w:rsidR="000A5B42" w:rsidRPr="00805964" w:rsidRDefault="000A5B42" w:rsidP="0029635A">
            <w:pPr>
              <w:spacing w:line="360" w:lineRule="auto"/>
              <w:contextualSpacing/>
              <w:jc w:val="center"/>
            </w:pPr>
            <w:r w:rsidRPr="00805964">
              <w:t>18</w:t>
            </w:r>
          </w:p>
        </w:tc>
        <w:tc>
          <w:tcPr>
            <w:tcW w:w="612" w:type="dxa"/>
            <w:vAlign w:val="center"/>
          </w:tcPr>
          <w:p w:rsidR="000A5B42" w:rsidRPr="00805964" w:rsidRDefault="000A5B42" w:rsidP="0029635A">
            <w:pPr>
              <w:spacing w:line="360" w:lineRule="auto"/>
              <w:contextualSpacing/>
              <w:jc w:val="center"/>
            </w:pPr>
            <w:r w:rsidRPr="00805964">
              <w:t>2</w:t>
            </w:r>
          </w:p>
        </w:tc>
        <w:tc>
          <w:tcPr>
            <w:tcW w:w="612" w:type="dxa"/>
            <w:vAlign w:val="center"/>
          </w:tcPr>
          <w:p w:rsidR="000A5B42" w:rsidRPr="00805964" w:rsidRDefault="000A5B42" w:rsidP="0029635A">
            <w:pPr>
              <w:spacing w:line="360" w:lineRule="auto"/>
              <w:contextualSpacing/>
              <w:jc w:val="center"/>
            </w:pPr>
            <w:r w:rsidRPr="00805964">
              <w:t>5</w:t>
            </w:r>
          </w:p>
        </w:tc>
        <w:tc>
          <w:tcPr>
            <w:tcW w:w="612" w:type="dxa"/>
            <w:vAlign w:val="center"/>
          </w:tcPr>
          <w:p w:rsidR="000A5B42" w:rsidRPr="00805964" w:rsidRDefault="000A5B42" w:rsidP="0029635A">
            <w:pPr>
              <w:spacing w:line="360" w:lineRule="auto"/>
              <w:contextualSpacing/>
              <w:jc w:val="center"/>
            </w:pPr>
            <w:r w:rsidRPr="00805964">
              <w:t>29</w:t>
            </w:r>
          </w:p>
        </w:tc>
        <w:tc>
          <w:tcPr>
            <w:tcW w:w="633" w:type="dxa"/>
            <w:vAlign w:val="center"/>
          </w:tcPr>
          <w:p w:rsidR="000A5B42" w:rsidRPr="00805964" w:rsidRDefault="000A5B42" w:rsidP="0029635A">
            <w:pPr>
              <w:spacing w:line="360" w:lineRule="auto"/>
              <w:contextualSpacing/>
              <w:jc w:val="center"/>
              <w:rPr>
                <w:b/>
              </w:rPr>
            </w:pPr>
            <w:r w:rsidRPr="00805964">
              <w:rPr>
                <w:b/>
              </w:rPr>
              <w:t>67</w:t>
            </w:r>
          </w:p>
        </w:tc>
      </w:tr>
      <w:tr w:rsidR="000A5B42" w:rsidRPr="00805964" w:rsidTr="000A5B42">
        <w:trPr>
          <w:trHeight w:val="511"/>
        </w:trPr>
        <w:tc>
          <w:tcPr>
            <w:tcW w:w="2621" w:type="dxa"/>
            <w:vAlign w:val="center"/>
          </w:tcPr>
          <w:p w:rsidR="000A5B42" w:rsidRPr="00805964" w:rsidRDefault="000A5B42" w:rsidP="0029635A">
            <w:pPr>
              <w:spacing w:line="360" w:lineRule="auto"/>
              <w:contextualSpacing/>
              <w:jc w:val="center"/>
            </w:pPr>
            <w:r w:rsidRPr="00805964">
              <w:t>zamítnuto</w:t>
            </w:r>
          </w:p>
        </w:tc>
        <w:tc>
          <w:tcPr>
            <w:tcW w:w="612" w:type="dxa"/>
            <w:vAlign w:val="center"/>
          </w:tcPr>
          <w:p w:rsidR="000A5B42" w:rsidRPr="00805964" w:rsidRDefault="000A5B42" w:rsidP="0029635A">
            <w:pPr>
              <w:spacing w:line="360" w:lineRule="auto"/>
              <w:contextualSpacing/>
              <w:jc w:val="center"/>
            </w:pPr>
            <w:r w:rsidRPr="00805964">
              <w:t>7</w:t>
            </w:r>
          </w:p>
        </w:tc>
        <w:tc>
          <w:tcPr>
            <w:tcW w:w="612" w:type="dxa"/>
            <w:vAlign w:val="center"/>
          </w:tcPr>
          <w:p w:rsidR="000A5B42" w:rsidRPr="00805964" w:rsidRDefault="000A5B42" w:rsidP="0029635A">
            <w:pPr>
              <w:spacing w:line="360" w:lineRule="auto"/>
              <w:contextualSpacing/>
              <w:jc w:val="center"/>
            </w:pPr>
            <w:r w:rsidRPr="00805964">
              <w:t>3</w:t>
            </w:r>
          </w:p>
        </w:tc>
        <w:tc>
          <w:tcPr>
            <w:tcW w:w="612" w:type="dxa"/>
            <w:vAlign w:val="center"/>
          </w:tcPr>
          <w:p w:rsidR="000A5B42" w:rsidRPr="00805964" w:rsidRDefault="000A5B42" w:rsidP="0029635A">
            <w:pPr>
              <w:spacing w:line="360" w:lineRule="auto"/>
              <w:contextualSpacing/>
              <w:jc w:val="center"/>
            </w:pPr>
            <w:r w:rsidRPr="00805964">
              <w:t>18</w:t>
            </w:r>
          </w:p>
        </w:tc>
        <w:tc>
          <w:tcPr>
            <w:tcW w:w="612" w:type="dxa"/>
            <w:vAlign w:val="center"/>
          </w:tcPr>
          <w:p w:rsidR="000A5B42" w:rsidRPr="00805964" w:rsidRDefault="000A5B42" w:rsidP="0029635A">
            <w:pPr>
              <w:spacing w:line="360" w:lineRule="auto"/>
              <w:contextualSpacing/>
              <w:jc w:val="center"/>
            </w:pPr>
            <w:r w:rsidRPr="00805964">
              <w:t>0</w:t>
            </w:r>
          </w:p>
        </w:tc>
        <w:tc>
          <w:tcPr>
            <w:tcW w:w="612" w:type="dxa"/>
            <w:vAlign w:val="center"/>
          </w:tcPr>
          <w:p w:rsidR="000A5B42" w:rsidRPr="00805964" w:rsidRDefault="000A5B42" w:rsidP="0029635A">
            <w:pPr>
              <w:spacing w:line="360" w:lineRule="auto"/>
              <w:contextualSpacing/>
              <w:jc w:val="center"/>
            </w:pPr>
            <w:r w:rsidRPr="00805964">
              <w:t>3</w:t>
            </w:r>
          </w:p>
        </w:tc>
        <w:tc>
          <w:tcPr>
            <w:tcW w:w="612" w:type="dxa"/>
            <w:vAlign w:val="center"/>
          </w:tcPr>
          <w:p w:rsidR="000A5B42" w:rsidRPr="00805964" w:rsidRDefault="000A5B42" w:rsidP="0029635A">
            <w:pPr>
              <w:spacing w:line="360" w:lineRule="auto"/>
              <w:contextualSpacing/>
              <w:jc w:val="center"/>
            </w:pPr>
            <w:r w:rsidRPr="00805964">
              <w:t>1</w:t>
            </w:r>
          </w:p>
        </w:tc>
        <w:tc>
          <w:tcPr>
            <w:tcW w:w="633" w:type="dxa"/>
            <w:vAlign w:val="center"/>
          </w:tcPr>
          <w:p w:rsidR="000A5B42" w:rsidRPr="00805964" w:rsidRDefault="000A5B42" w:rsidP="0029635A">
            <w:pPr>
              <w:spacing w:line="360" w:lineRule="auto"/>
              <w:contextualSpacing/>
              <w:jc w:val="center"/>
              <w:rPr>
                <w:b/>
              </w:rPr>
            </w:pPr>
            <w:r w:rsidRPr="00805964">
              <w:rPr>
                <w:b/>
              </w:rPr>
              <w:t>32</w:t>
            </w:r>
          </w:p>
        </w:tc>
      </w:tr>
    </w:tbl>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p>
    <w:p w:rsidR="000A5B42" w:rsidRPr="00805964" w:rsidRDefault="000A5B42" w:rsidP="000A5B42">
      <w:pPr>
        <w:spacing w:line="360" w:lineRule="auto"/>
        <w:contextualSpacing/>
        <w:jc w:val="center"/>
        <w:rPr>
          <w:i/>
          <w:sz w:val="22"/>
        </w:rPr>
      </w:pPr>
      <w:r w:rsidRPr="00805964">
        <w:rPr>
          <w:i/>
          <w:sz w:val="22"/>
        </w:rPr>
        <w:t xml:space="preserve">Zdroj: Autor podle  </w:t>
      </w:r>
      <w:hyperlink r:id="rId31" w:history="1">
        <w:r w:rsidRPr="00805964">
          <w:rPr>
            <w:rStyle w:val="Hypertextovodkaz"/>
            <w:color w:val="auto"/>
          </w:rPr>
          <w:t>http://www.senat.cz/dokumenty/index.php?ke_dni=22.06.2013&amp;O=9</w:t>
        </w:r>
      </w:hyperlink>
    </w:p>
    <w:p w:rsidR="000A5B42" w:rsidRPr="00805964" w:rsidRDefault="000A5B42" w:rsidP="0029635A">
      <w:pPr>
        <w:spacing w:line="360" w:lineRule="auto"/>
        <w:contextualSpacing/>
        <w:jc w:val="center"/>
        <w:rPr>
          <w:b/>
          <w:u w:val="single"/>
        </w:rPr>
      </w:pPr>
    </w:p>
    <w:p w:rsidR="00AA25FA" w:rsidRPr="00805964" w:rsidRDefault="00AA25FA" w:rsidP="0029635A">
      <w:pPr>
        <w:pStyle w:val="Nadpis3"/>
        <w:spacing w:line="360" w:lineRule="auto"/>
        <w:contextualSpacing/>
        <w:jc w:val="both"/>
      </w:pPr>
      <w:bookmarkStart w:id="17" w:name="_Toc359918283"/>
      <w:r w:rsidRPr="00805964">
        <w:t xml:space="preserve">3. 1. 1 První </w:t>
      </w:r>
      <w:r w:rsidR="006508F6" w:rsidRPr="00805964">
        <w:t>a druhá varianta</w:t>
      </w:r>
      <w:bookmarkEnd w:id="17"/>
    </w:p>
    <w:p w:rsidR="005D4A34" w:rsidRPr="00805964" w:rsidRDefault="005D4A34" w:rsidP="0029635A">
      <w:pPr>
        <w:spacing w:line="360" w:lineRule="auto"/>
        <w:contextualSpacing/>
        <w:jc w:val="both"/>
      </w:pPr>
    </w:p>
    <w:p w:rsidR="00F5593E" w:rsidRPr="00805964" w:rsidRDefault="003D201D" w:rsidP="0029635A">
      <w:pPr>
        <w:spacing w:line="360" w:lineRule="auto"/>
        <w:contextualSpacing/>
        <w:jc w:val="both"/>
      </w:pPr>
      <w:r w:rsidRPr="00805964">
        <w:tab/>
      </w:r>
      <w:r w:rsidR="00273C92" w:rsidRPr="00805964">
        <w:t xml:space="preserve">U prvního měření, resp. bodové kvantifikace podaných návrhů zákonů vycházíme </w:t>
      </w:r>
      <w:r w:rsidR="00A437D8">
        <w:br/>
      </w:r>
      <w:r w:rsidR="00273C92" w:rsidRPr="00805964">
        <w:t xml:space="preserve">z tabulky č. 1 uvedené v kapitole věnující se metodologii práce. </w:t>
      </w:r>
      <w:r w:rsidR="00273C92" w:rsidRPr="00805964">
        <w:rPr>
          <w:szCs w:val="24"/>
        </w:rPr>
        <w:t>V rámci prvního kritéria či varianty bude zkoumána efektivita Senátu za funkční období. Jelikož zde zkoumáme počet činností za období, závisí hodnota výsledného skóre nejen na efektivitě Senátu, ale i na činnosti Poslanecké sněmovny. Skóre roste s vyšším počtem zákonů i větší efektivitou Senátu.</w:t>
      </w:r>
    </w:p>
    <w:p w:rsidR="00490436" w:rsidRPr="00805964" w:rsidRDefault="00490436" w:rsidP="0029635A">
      <w:pPr>
        <w:spacing w:line="360" w:lineRule="auto"/>
        <w:contextualSpacing/>
        <w:jc w:val="both"/>
      </w:pPr>
    </w:p>
    <w:p w:rsidR="001C6539" w:rsidRPr="00805964" w:rsidRDefault="001C6539" w:rsidP="0029635A">
      <w:pPr>
        <w:spacing w:line="360" w:lineRule="auto"/>
        <w:contextualSpacing/>
        <w:jc w:val="both"/>
      </w:pPr>
    </w:p>
    <w:p w:rsidR="001C6539" w:rsidRPr="00805964" w:rsidRDefault="001C6539" w:rsidP="0029635A">
      <w:pPr>
        <w:spacing w:line="360" w:lineRule="auto"/>
        <w:contextualSpacing/>
        <w:jc w:val="both"/>
      </w:pPr>
    </w:p>
    <w:p w:rsidR="00821F57" w:rsidRPr="00805964" w:rsidRDefault="00821F57" w:rsidP="0029635A">
      <w:pPr>
        <w:spacing w:line="360" w:lineRule="auto"/>
        <w:contextualSpacing/>
        <w:jc w:val="both"/>
      </w:pPr>
    </w:p>
    <w:p w:rsidR="0075151B" w:rsidRPr="00805964" w:rsidRDefault="0075151B" w:rsidP="0029635A">
      <w:pPr>
        <w:spacing w:line="360" w:lineRule="auto"/>
        <w:contextualSpacing/>
        <w:jc w:val="both"/>
      </w:pPr>
    </w:p>
    <w:p w:rsidR="0075151B" w:rsidRPr="00805964" w:rsidRDefault="0075151B" w:rsidP="0029635A">
      <w:pPr>
        <w:spacing w:line="360" w:lineRule="auto"/>
        <w:contextualSpacing/>
        <w:jc w:val="both"/>
      </w:pPr>
    </w:p>
    <w:p w:rsidR="00A7709A" w:rsidRPr="00805964" w:rsidRDefault="00A7709A" w:rsidP="0029635A">
      <w:pPr>
        <w:spacing w:line="360" w:lineRule="auto"/>
        <w:contextualSpacing/>
        <w:jc w:val="both"/>
      </w:pPr>
    </w:p>
    <w:p w:rsidR="004E35D9" w:rsidRPr="00805964" w:rsidRDefault="004E35D9" w:rsidP="000713F0">
      <w:pPr>
        <w:tabs>
          <w:tab w:val="left" w:pos="6946"/>
        </w:tabs>
        <w:spacing w:line="360" w:lineRule="auto"/>
        <w:contextualSpacing/>
        <w:jc w:val="center"/>
        <w:rPr>
          <w:b/>
          <w:sz w:val="22"/>
          <w:u w:val="single"/>
        </w:rPr>
      </w:pPr>
      <w:r w:rsidRPr="00805964">
        <w:rPr>
          <w:b/>
          <w:sz w:val="22"/>
          <w:u w:val="single"/>
        </w:rPr>
        <w:lastRenderedPageBreak/>
        <w:t>Tabulka č. 7:</w:t>
      </w:r>
      <w:r w:rsidR="0075151B" w:rsidRPr="00805964">
        <w:rPr>
          <w:b/>
          <w:sz w:val="22"/>
          <w:u w:val="single"/>
        </w:rPr>
        <w:t xml:space="preserve"> P</w:t>
      </w:r>
      <w:r w:rsidR="000713F0" w:rsidRPr="00805964">
        <w:rPr>
          <w:b/>
          <w:sz w:val="22"/>
          <w:u w:val="single"/>
        </w:rPr>
        <w:t>rvní varianta pro období 2006–</w:t>
      </w:r>
      <w:r w:rsidRPr="00805964">
        <w:rPr>
          <w:b/>
          <w:sz w:val="22"/>
          <w:u w:val="single"/>
        </w:rPr>
        <w:t>2008</w:t>
      </w:r>
    </w:p>
    <w:tbl>
      <w:tblPr>
        <w:tblStyle w:val="Mkatabulky"/>
        <w:tblW w:w="0" w:type="auto"/>
        <w:tblLook w:val="04A0"/>
      </w:tblPr>
      <w:tblGrid>
        <w:gridCol w:w="3070"/>
        <w:gridCol w:w="3070"/>
        <w:gridCol w:w="3071"/>
      </w:tblGrid>
      <w:tr w:rsidR="00A460DA" w:rsidRPr="00805964" w:rsidTr="00A460DA">
        <w:tc>
          <w:tcPr>
            <w:tcW w:w="3070" w:type="dxa"/>
          </w:tcPr>
          <w:p w:rsidR="00A460DA" w:rsidRPr="00805964" w:rsidRDefault="00A460DA" w:rsidP="0029635A">
            <w:pPr>
              <w:spacing w:line="360" w:lineRule="auto"/>
              <w:contextualSpacing/>
              <w:jc w:val="both"/>
            </w:pPr>
          </w:p>
        </w:tc>
        <w:tc>
          <w:tcPr>
            <w:tcW w:w="3070" w:type="dxa"/>
          </w:tcPr>
          <w:p w:rsidR="00A460DA" w:rsidRPr="00805964" w:rsidRDefault="005C57D1" w:rsidP="0029635A">
            <w:pPr>
              <w:spacing w:line="360" w:lineRule="auto"/>
              <w:contextualSpacing/>
              <w:jc w:val="center"/>
              <w:rPr>
                <w:b/>
              </w:rPr>
            </w:pPr>
            <w:r w:rsidRPr="00805964">
              <w:rPr>
                <w:b/>
              </w:rPr>
              <w:t>počet případů</w:t>
            </w:r>
          </w:p>
        </w:tc>
        <w:tc>
          <w:tcPr>
            <w:tcW w:w="3071" w:type="dxa"/>
          </w:tcPr>
          <w:p w:rsidR="00A460DA" w:rsidRPr="00805964" w:rsidRDefault="00EC00EA" w:rsidP="0029635A">
            <w:pPr>
              <w:spacing w:line="360" w:lineRule="auto"/>
              <w:contextualSpacing/>
              <w:jc w:val="center"/>
              <w:rPr>
                <w:b/>
              </w:rPr>
            </w:pPr>
            <w:r w:rsidRPr="00805964">
              <w:rPr>
                <w:b/>
              </w:rPr>
              <w:t>b</w:t>
            </w:r>
            <w:r w:rsidR="00A460DA" w:rsidRPr="00805964">
              <w:rPr>
                <w:b/>
              </w:rPr>
              <w:t>odové ohodnocení</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 xml:space="preserve">Senát schválil v původním znění (1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142</w:t>
            </w:r>
          </w:p>
        </w:tc>
        <w:tc>
          <w:tcPr>
            <w:tcW w:w="3071" w:type="dxa"/>
            <w:vAlign w:val="center"/>
          </w:tcPr>
          <w:p w:rsidR="00A7709A" w:rsidRPr="00805964" w:rsidRDefault="00A7709A" w:rsidP="0029635A">
            <w:pPr>
              <w:spacing w:line="360" w:lineRule="auto"/>
              <w:contextualSpacing/>
              <w:jc w:val="center"/>
            </w:pPr>
            <w:r w:rsidRPr="00805964">
              <w:t>142</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 xml:space="preserve">Senátní pozměňovací návrh – prošel (3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12</w:t>
            </w:r>
          </w:p>
        </w:tc>
        <w:tc>
          <w:tcPr>
            <w:tcW w:w="3071" w:type="dxa"/>
            <w:vAlign w:val="center"/>
          </w:tcPr>
          <w:p w:rsidR="00A7709A" w:rsidRPr="00805964" w:rsidRDefault="00A7709A" w:rsidP="0029635A">
            <w:pPr>
              <w:spacing w:line="360" w:lineRule="auto"/>
              <w:contextualSpacing/>
              <w:jc w:val="center"/>
            </w:pPr>
            <w:r w:rsidRPr="00805964">
              <w:t>36</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 xml:space="preserve">Senátní pozměňovací návrh – neprošel (2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10</w:t>
            </w:r>
          </w:p>
        </w:tc>
        <w:tc>
          <w:tcPr>
            <w:tcW w:w="3071" w:type="dxa"/>
            <w:vAlign w:val="center"/>
          </w:tcPr>
          <w:p w:rsidR="00A7709A" w:rsidRPr="00805964" w:rsidRDefault="00A7709A" w:rsidP="0029635A">
            <w:pPr>
              <w:spacing w:line="360" w:lineRule="auto"/>
              <w:contextualSpacing/>
              <w:jc w:val="center"/>
            </w:pPr>
            <w:r w:rsidRPr="00805964">
              <w:t>20</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 xml:space="preserve">Senát zamítl návrh zákona – PS přehlasovala (1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2</w:t>
            </w:r>
          </w:p>
        </w:tc>
        <w:tc>
          <w:tcPr>
            <w:tcW w:w="3071" w:type="dxa"/>
            <w:vAlign w:val="center"/>
          </w:tcPr>
          <w:p w:rsidR="00A7709A" w:rsidRPr="00805964" w:rsidRDefault="00A7709A" w:rsidP="0029635A">
            <w:pPr>
              <w:spacing w:line="360" w:lineRule="auto"/>
              <w:contextualSpacing/>
              <w:jc w:val="center"/>
            </w:pPr>
            <w:r w:rsidRPr="00805964">
              <w:t>2</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 xml:space="preserve">Senát zamítl návrh zákona – PS nepřehlasovala (3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0</w:t>
            </w:r>
          </w:p>
        </w:tc>
        <w:tc>
          <w:tcPr>
            <w:tcW w:w="3071" w:type="dxa"/>
            <w:vAlign w:val="center"/>
          </w:tcPr>
          <w:p w:rsidR="00A7709A" w:rsidRPr="00805964" w:rsidRDefault="00A7709A" w:rsidP="0029635A">
            <w:pPr>
              <w:spacing w:line="360" w:lineRule="auto"/>
              <w:contextualSpacing/>
              <w:jc w:val="center"/>
            </w:pPr>
            <w:r w:rsidRPr="00805964">
              <w:t>0</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Senát se návrhem nezabýval</w:t>
            </w:r>
            <w:r w:rsidRPr="00805964">
              <w:br/>
              <w:t xml:space="preserve">(0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24</w:t>
            </w:r>
          </w:p>
        </w:tc>
        <w:tc>
          <w:tcPr>
            <w:tcW w:w="3071" w:type="dxa"/>
            <w:vAlign w:val="center"/>
          </w:tcPr>
          <w:p w:rsidR="00A7709A" w:rsidRPr="00805964" w:rsidRDefault="00A7709A" w:rsidP="0029635A">
            <w:pPr>
              <w:spacing w:line="360" w:lineRule="auto"/>
              <w:contextualSpacing/>
              <w:jc w:val="center"/>
            </w:pPr>
            <w:r w:rsidRPr="00805964">
              <w:t>0</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 xml:space="preserve">Senát se nestihl v určené době usnést (0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2</w:t>
            </w:r>
          </w:p>
        </w:tc>
        <w:tc>
          <w:tcPr>
            <w:tcW w:w="3071" w:type="dxa"/>
            <w:vAlign w:val="center"/>
          </w:tcPr>
          <w:p w:rsidR="00A7709A" w:rsidRPr="00805964" w:rsidRDefault="00A7709A" w:rsidP="0029635A">
            <w:pPr>
              <w:spacing w:line="360" w:lineRule="auto"/>
              <w:contextualSpacing/>
              <w:jc w:val="center"/>
            </w:pPr>
            <w:r w:rsidRPr="00805964">
              <w:t>0</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CELKEM</w:t>
            </w:r>
          </w:p>
        </w:tc>
        <w:tc>
          <w:tcPr>
            <w:tcW w:w="3070" w:type="dxa"/>
            <w:vAlign w:val="center"/>
          </w:tcPr>
          <w:p w:rsidR="00A7709A" w:rsidRPr="00805964" w:rsidRDefault="00A7709A" w:rsidP="0029635A">
            <w:pPr>
              <w:spacing w:line="360" w:lineRule="auto"/>
              <w:contextualSpacing/>
              <w:jc w:val="center"/>
              <w:rPr>
                <w:b/>
              </w:rPr>
            </w:pPr>
            <w:r w:rsidRPr="00805964">
              <w:rPr>
                <w:b/>
              </w:rPr>
              <w:t>192</w:t>
            </w:r>
          </w:p>
        </w:tc>
        <w:tc>
          <w:tcPr>
            <w:tcW w:w="3071" w:type="dxa"/>
            <w:vAlign w:val="center"/>
          </w:tcPr>
          <w:p w:rsidR="00A7709A" w:rsidRPr="00805964" w:rsidRDefault="00A7709A" w:rsidP="0029635A">
            <w:pPr>
              <w:spacing w:line="360" w:lineRule="auto"/>
              <w:contextualSpacing/>
              <w:jc w:val="center"/>
              <w:rPr>
                <w:b/>
              </w:rPr>
            </w:pPr>
            <w:r w:rsidRPr="00805964">
              <w:rPr>
                <w:b/>
              </w:rPr>
              <w:t>200</w:t>
            </w:r>
          </w:p>
        </w:tc>
      </w:tr>
    </w:tbl>
    <w:p w:rsidR="0006559B" w:rsidRPr="00805964" w:rsidRDefault="00265145" w:rsidP="0029635A">
      <w:pPr>
        <w:spacing w:line="360" w:lineRule="auto"/>
        <w:contextualSpacing/>
        <w:jc w:val="center"/>
        <w:rPr>
          <w:i/>
          <w:sz w:val="22"/>
        </w:rPr>
      </w:pPr>
      <w:r w:rsidRPr="00805964">
        <w:rPr>
          <w:i/>
          <w:sz w:val="22"/>
        </w:rPr>
        <w:t>Zpracoval</w:t>
      </w:r>
      <w:r w:rsidR="00C67E5D" w:rsidRPr="00805964">
        <w:rPr>
          <w:i/>
          <w:sz w:val="22"/>
        </w:rPr>
        <w:t>: Autor.</w:t>
      </w:r>
    </w:p>
    <w:p w:rsidR="00475B6B" w:rsidRPr="00805964" w:rsidRDefault="00475B6B" w:rsidP="0029635A">
      <w:pPr>
        <w:spacing w:line="360" w:lineRule="auto"/>
        <w:contextualSpacing/>
        <w:jc w:val="center"/>
        <w:rPr>
          <w:i/>
          <w:sz w:val="22"/>
        </w:rPr>
      </w:pPr>
    </w:p>
    <w:p w:rsidR="003D201D" w:rsidRPr="00805964" w:rsidRDefault="008830E5" w:rsidP="0029635A">
      <w:pPr>
        <w:spacing w:line="360" w:lineRule="auto"/>
        <w:contextualSpacing/>
        <w:jc w:val="both"/>
      </w:pPr>
      <w:r w:rsidRPr="00805964">
        <w:tab/>
      </w:r>
      <w:r w:rsidR="003D201D" w:rsidRPr="00805964">
        <w:t xml:space="preserve">Podíváme-li se na tabulku č. 7, zjistíme, že projednáváno bylo </w:t>
      </w:r>
      <w:r w:rsidR="006508F6" w:rsidRPr="00805964">
        <w:t xml:space="preserve">192 návrhů zákonů, za které Senát obdržel 200 bodů. </w:t>
      </w:r>
      <w:r w:rsidRPr="00805964">
        <w:t>Ve 142 případech Senát schválil návrh zákona ve znění předloženém Poslaneckou sněmovnou a obdržel tak jeden bod za každou takovouto situaci. Ve 12 případech Sněmovna přijala pozměňovací návrhy Senátu a naopak v deseti případech tyto návrhy Sněmovna přehlasovala a přijala zákon v původním znění. Dohromady tak Senát za pozměňovací návrhy dostal 56 bodů. V šestém funkčním období zamítl Senát návrh zákona předložený PS pouze dvakrát a v obou případech byl Sněmovnou přehlasován, což hodnotíme dvěma body. Situace</w:t>
      </w:r>
      <w:r w:rsidR="006573AD">
        <w:t>,</w:t>
      </w:r>
      <w:r w:rsidRPr="00805964">
        <w:t xml:space="preserve"> v nichž považujeme Senát za zbytečný pro legislativní proces, tedy vyjádření vůle se návrhem nezabývat a nedodržení lhůty stanovené zákonem pro projednání návrhu zákona</w:t>
      </w:r>
      <w:r w:rsidR="006573AD">
        <w:t>, nastaly v tomto období 26</w:t>
      </w:r>
      <w:r w:rsidRPr="00805964">
        <w:t>krát a Senát za ně body nedostal.</w:t>
      </w:r>
    </w:p>
    <w:p w:rsidR="008830E5" w:rsidRPr="00805964" w:rsidRDefault="008830E5" w:rsidP="0029635A">
      <w:pPr>
        <w:spacing w:line="360" w:lineRule="auto"/>
        <w:contextualSpacing/>
        <w:jc w:val="both"/>
      </w:pPr>
      <w:r w:rsidRPr="00805964">
        <w:tab/>
        <w:t xml:space="preserve">Jak již bylo popsáno v metodologii práce, tak </w:t>
      </w:r>
      <w:r w:rsidRPr="00805964">
        <w:rPr>
          <w:rFonts w:cs="Times New Roman"/>
          <w:szCs w:val="24"/>
        </w:rPr>
        <w:t xml:space="preserve">abychom eliminovali vliv aktivity Poslanecké sněmovny na skóre efektivity, normalizujeme v druhé variantě výslednou hodnotu počtem zákonů. Efektivnost dle této varianty tedy vyjadřuje, jak se Senát prosazuje, a nezávisí na množství zákonů, které předloží Poslanecká sněmovna. Druhá varianta normalizací skóre eliminuje vliv kvantity zákonů a závisí na činnosti PS pouze kvalitativně. Výstupem této varianty je průměrný počet bodů, který Senát za každou analyzovanou situaci obdrží. </w:t>
      </w:r>
      <w:r w:rsidR="00A437D8">
        <w:rPr>
          <w:rFonts w:cs="Times New Roman"/>
          <w:szCs w:val="24"/>
        </w:rPr>
        <w:br/>
      </w:r>
      <w:r w:rsidRPr="00805964">
        <w:rPr>
          <w:rFonts w:cs="Times New Roman"/>
          <w:szCs w:val="24"/>
        </w:rPr>
        <w:lastRenderedPageBreak/>
        <w:t xml:space="preserve">V našem případě </w:t>
      </w:r>
      <w:r w:rsidR="005D4957" w:rsidRPr="00805964">
        <w:rPr>
          <w:rFonts w:cs="Times New Roman"/>
          <w:szCs w:val="24"/>
        </w:rPr>
        <w:t>je tedy výpočet následující: 200/192</w:t>
      </w:r>
      <w:r w:rsidR="00A9260B" w:rsidRPr="00805964">
        <w:rPr>
          <w:rFonts w:cs="Times New Roman"/>
          <w:szCs w:val="24"/>
        </w:rPr>
        <w:t xml:space="preserve"> </w:t>
      </w:r>
      <w:r w:rsidR="005D4957" w:rsidRPr="00805964">
        <w:rPr>
          <w:rFonts w:cs="Times New Roman"/>
          <w:szCs w:val="24"/>
        </w:rPr>
        <w:t xml:space="preserve">= 1,04 bodu. Senát tedy v průměru za každou zkoumanou situaci v tomto období obdržel 1,04 bodu. </w:t>
      </w:r>
    </w:p>
    <w:p w:rsidR="006508F6" w:rsidRPr="00805964" w:rsidRDefault="006508F6" w:rsidP="0029635A">
      <w:pPr>
        <w:spacing w:line="360" w:lineRule="auto"/>
        <w:contextualSpacing/>
        <w:jc w:val="both"/>
      </w:pPr>
    </w:p>
    <w:p w:rsidR="00AA25FA" w:rsidRPr="00805964" w:rsidRDefault="006508F6" w:rsidP="0029635A">
      <w:pPr>
        <w:pStyle w:val="Nadpis3"/>
        <w:spacing w:line="360" w:lineRule="auto"/>
        <w:contextualSpacing/>
        <w:jc w:val="both"/>
      </w:pPr>
      <w:bookmarkStart w:id="18" w:name="_Toc359918284"/>
      <w:r w:rsidRPr="00805964">
        <w:t>3. 1. 2 Třetí</w:t>
      </w:r>
      <w:r w:rsidR="00AA25FA" w:rsidRPr="00805964">
        <w:t xml:space="preserve"> </w:t>
      </w:r>
      <w:r w:rsidRPr="00805964">
        <w:t>varianta</w:t>
      </w:r>
      <w:bookmarkEnd w:id="18"/>
    </w:p>
    <w:p w:rsidR="0006559B" w:rsidRPr="00805964" w:rsidRDefault="0006559B" w:rsidP="0029635A">
      <w:pPr>
        <w:contextualSpacing/>
      </w:pPr>
    </w:p>
    <w:tbl>
      <w:tblPr>
        <w:tblStyle w:val="Mkatabulky"/>
        <w:tblpPr w:leftFromText="141" w:rightFromText="141" w:vertAnchor="text" w:horzAnchor="margin" w:tblpXSpec="center" w:tblpY="490"/>
        <w:tblW w:w="9287" w:type="dxa"/>
        <w:tblLayout w:type="fixed"/>
        <w:tblLook w:val="04A0"/>
      </w:tblPr>
      <w:tblGrid>
        <w:gridCol w:w="959"/>
        <w:gridCol w:w="1460"/>
        <w:gridCol w:w="1179"/>
        <w:gridCol w:w="1330"/>
        <w:gridCol w:w="1426"/>
        <w:gridCol w:w="1734"/>
        <w:gridCol w:w="1199"/>
      </w:tblGrid>
      <w:tr w:rsidR="00F72468" w:rsidRPr="00805964" w:rsidTr="00924017">
        <w:trPr>
          <w:trHeight w:val="759"/>
        </w:trPr>
        <w:tc>
          <w:tcPr>
            <w:tcW w:w="959" w:type="dxa"/>
            <w:vMerge w:val="restart"/>
            <w:textDirection w:val="btLr"/>
            <w:vAlign w:val="center"/>
          </w:tcPr>
          <w:p w:rsidR="00F72468" w:rsidRPr="00805964" w:rsidRDefault="000713F0" w:rsidP="0029635A">
            <w:pPr>
              <w:spacing w:line="360" w:lineRule="auto"/>
              <w:ind w:left="113" w:right="113"/>
              <w:contextualSpacing/>
              <w:jc w:val="center"/>
              <w:rPr>
                <w:b/>
                <w:u w:val="single"/>
              </w:rPr>
            </w:pPr>
            <w:r w:rsidRPr="00805964">
              <w:rPr>
                <w:b/>
                <w:u w:val="single"/>
              </w:rPr>
              <w:t>6. funkční období 2006–</w:t>
            </w:r>
            <w:r w:rsidR="00924017" w:rsidRPr="00805964">
              <w:rPr>
                <w:b/>
                <w:u w:val="single"/>
              </w:rPr>
              <w:t>2008</w:t>
            </w:r>
          </w:p>
        </w:tc>
        <w:tc>
          <w:tcPr>
            <w:tcW w:w="1460" w:type="dxa"/>
            <w:vAlign w:val="center"/>
          </w:tcPr>
          <w:p w:rsidR="00F72468" w:rsidRPr="00805964" w:rsidRDefault="00F72468" w:rsidP="0029635A">
            <w:pPr>
              <w:spacing w:line="360" w:lineRule="auto"/>
              <w:contextualSpacing/>
              <w:jc w:val="center"/>
            </w:pPr>
          </w:p>
        </w:tc>
        <w:tc>
          <w:tcPr>
            <w:tcW w:w="1179" w:type="dxa"/>
            <w:vAlign w:val="center"/>
          </w:tcPr>
          <w:p w:rsidR="00F72468" w:rsidRPr="00805964" w:rsidRDefault="00F72468" w:rsidP="0029635A">
            <w:pPr>
              <w:spacing w:line="360" w:lineRule="auto"/>
              <w:contextualSpacing/>
              <w:jc w:val="center"/>
              <w:rPr>
                <w:b/>
                <w:u w:val="single"/>
              </w:rPr>
            </w:pPr>
            <w:r w:rsidRPr="00805964">
              <w:rPr>
                <w:b/>
                <w:u w:val="single"/>
              </w:rPr>
              <w:t>Celkem</w:t>
            </w:r>
          </w:p>
        </w:tc>
        <w:tc>
          <w:tcPr>
            <w:tcW w:w="1330" w:type="dxa"/>
            <w:vAlign w:val="center"/>
          </w:tcPr>
          <w:p w:rsidR="00F72468" w:rsidRPr="00805964" w:rsidRDefault="00F72468" w:rsidP="0029635A">
            <w:pPr>
              <w:spacing w:line="360" w:lineRule="auto"/>
              <w:contextualSpacing/>
              <w:jc w:val="center"/>
              <w:rPr>
                <w:b/>
                <w:u w:val="single"/>
              </w:rPr>
            </w:pPr>
            <w:r w:rsidRPr="00805964">
              <w:rPr>
                <w:b/>
                <w:u w:val="single"/>
              </w:rPr>
              <w:t>Sněmovna přehlasuje</w:t>
            </w:r>
          </w:p>
        </w:tc>
        <w:tc>
          <w:tcPr>
            <w:tcW w:w="1426" w:type="dxa"/>
            <w:vAlign w:val="center"/>
          </w:tcPr>
          <w:p w:rsidR="00F72468" w:rsidRPr="00805964" w:rsidRDefault="00F72468" w:rsidP="0029635A">
            <w:pPr>
              <w:spacing w:line="360" w:lineRule="auto"/>
              <w:contextualSpacing/>
              <w:jc w:val="center"/>
              <w:rPr>
                <w:b/>
                <w:u w:val="single"/>
              </w:rPr>
            </w:pPr>
            <w:r w:rsidRPr="00805964">
              <w:rPr>
                <w:b/>
                <w:u w:val="single"/>
              </w:rPr>
              <w:t>Sněmovna nepřehlasuje</w:t>
            </w:r>
          </w:p>
        </w:tc>
        <w:tc>
          <w:tcPr>
            <w:tcW w:w="1734" w:type="dxa"/>
            <w:vAlign w:val="center"/>
          </w:tcPr>
          <w:p w:rsidR="00F72468" w:rsidRPr="00805964" w:rsidRDefault="00F72468" w:rsidP="0029635A">
            <w:pPr>
              <w:spacing w:line="360" w:lineRule="auto"/>
              <w:contextualSpacing/>
              <w:jc w:val="center"/>
              <w:rPr>
                <w:b/>
                <w:u w:val="single"/>
              </w:rPr>
            </w:pPr>
            <w:r w:rsidRPr="00805964">
              <w:rPr>
                <w:b/>
                <w:u w:val="single"/>
              </w:rPr>
              <w:t>Poměrná efektivita</w:t>
            </w:r>
          </w:p>
        </w:tc>
        <w:tc>
          <w:tcPr>
            <w:tcW w:w="1199" w:type="dxa"/>
            <w:vAlign w:val="center"/>
          </w:tcPr>
          <w:p w:rsidR="00F72468" w:rsidRPr="00805964" w:rsidRDefault="00F72468" w:rsidP="0029635A">
            <w:pPr>
              <w:spacing w:line="360" w:lineRule="auto"/>
              <w:contextualSpacing/>
              <w:jc w:val="center"/>
              <w:rPr>
                <w:b/>
                <w:u w:val="single"/>
              </w:rPr>
            </w:pPr>
            <w:r w:rsidRPr="00805964">
              <w:rPr>
                <w:b/>
                <w:u w:val="single"/>
              </w:rPr>
              <w:t>Výsledek</w:t>
            </w:r>
          </w:p>
        </w:tc>
      </w:tr>
      <w:tr w:rsidR="00F72468" w:rsidRPr="00805964" w:rsidTr="00924017">
        <w:trPr>
          <w:trHeight w:val="759"/>
        </w:trPr>
        <w:tc>
          <w:tcPr>
            <w:tcW w:w="959" w:type="dxa"/>
            <w:vMerge/>
            <w:vAlign w:val="center"/>
          </w:tcPr>
          <w:p w:rsidR="00F72468" w:rsidRPr="00805964" w:rsidRDefault="00F72468" w:rsidP="0029635A">
            <w:pPr>
              <w:spacing w:line="360" w:lineRule="auto"/>
              <w:contextualSpacing/>
              <w:jc w:val="center"/>
              <w:rPr>
                <w:b/>
                <w:u w:val="single"/>
              </w:rPr>
            </w:pPr>
          </w:p>
        </w:tc>
        <w:tc>
          <w:tcPr>
            <w:tcW w:w="1460" w:type="dxa"/>
            <w:vAlign w:val="center"/>
          </w:tcPr>
          <w:p w:rsidR="00F72468" w:rsidRPr="00805964" w:rsidRDefault="00F72468" w:rsidP="0029635A">
            <w:pPr>
              <w:spacing w:line="360" w:lineRule="auto"/>
              <w:contextualSpacing/>
              <w:jc w:val="center"/>
              <w:rPr>
                <w:b/>
                <w:u w:val="single"/>
              </w:rPr>
            </w:pPr>
            <w:r w:rsidRPr="00805964">
              <w:rPr>
                <w:b/>
                <w:u w:val="single"/>
              </w:rPr>
              <w:t>Pozměňovací návrhy</w:t>
            </w:r>
          </w:p>
        </w:tc>
        <w:tc>
          <w:tcPr>
            <w:tcW w:w="1179" w:type="dxa"/>
            <w:vAlign w:val="center"/>
          </w:tcPr>
          <w:p w:rsidR="00F72468" w:rsidRPr="00805964" w:rsidRDefault="00F72468" w:rsidP="0029635A">
            <w:pPr>
              <w:spacing w:line="360" w:lineRule="auto"/>
              <w:contextualSpacing/>
              <w:jc w:val="center"/>
              <w:rPr>
                <w:i/>
              </w:rPr>
            </w:pPr>
            <m:oMathPara>
              <m:oMath>
                <m:r>
                  <w:rPr>
                    <w:rFonts w:ascii="Cambria Math" w:hAnsi="Cambria Math"/>
                  </w:rPr>
                  <m:t>22</m:t>
                </m:r>
              </m:oMath>
            </m:oMathPara>
          </w:p>
        </w:tc>
        <w:tc>
          <w:tcPr>
            <w:tcW w:w="1330" w:type="dxa"/>
            <w:vAlign w:val="center"/>
          </w:tcPr>
          <w:p w:rsidR="00F72468" w:rsidRPr="00805964" w:rsidRDefault="00F72468" w:rsidP="0029635A">
            <w:pPr>
              <w:spacing w:line="360" w:lineRule="auto"/>
              <w:contextualSpacing/>
              <w:jc w:val="center"/>
            </w:pPr>
            <m:oMathPara>
              <m:oMath>
                <m:r>
                  <w:rPr>
                    <w:rFonts w:ascii="Cambria Math" w:hAnsi="Cambria Math"/>
                  </w:rPr>
                  <m:t>10</m:t>
                </m:r>
              </m:oMath>
            </m:oMathPara>
          </w:p>
        </w:tc>
        <w:tc>
          <w:tcPr>
            <w:tcW w:w="1426" w:type="dxa"/>
            <w:vAlign w:val="center"/>
          </w:tcPr>
          <w:p w:rsidR="00F72468" w:rsidRPr="00805964" w:rsidRDefault="00F72468" w:rsidP="0029635A">
            <w:pPr>
              <w:spacing w:line="360" w:lineRule="auto"/>
              <w:contextualSpacing/>
              <w:jc w:val="center"/>
            </w:pPr>
            <m:oMathPara>
              <m:oMath>
                <m:r>
                  <w:rPr>
                    <w:rFonts w:ascii="Cambria Math" w:hAnsi="Cambria Math"/>
                  </w:rPr>
                  <m:t>12</m:t>
                </m:r>
              </m:oMath>
            </m:oMathPara>
          </w:p>
        </w:tc>
        <w:tc>
          <w:tcPr>
            <w:tcW w:w="1734" w:type="dxa"/>
            <w:vAlign w:val="center"/>
          </w:tcPr>
          <w:p w:rsidR="00F72468" w:rsidRPr="00805964" w:rsidRDefault="00EE58B6" w:rsidP="0029635A">
            <w:pPr>
              <w:spacing w:line="360" w:lineRule="auto"/>
              <w:contextualSpacing/>
              <w:jc w:val="center"/>
            </w:pPr>
            <m:oMathPara>
              <m:oMath>
                <m:f>
                  <m:fPr>
                    <m:ctrlPr>
                      <w:rPr>
                        <w:rFonts w:ascii="Cambria Math" w:hAnsi="Cambria Math"/>
                        <w:i/>
                      </w:rPr>
                    </m:ctrlPr>
                  </m:fPr>
                  <m:num>
                    <m:r>
                      <w:rPr>
                        <w:rFonts w:ascii="Cambria Math" w:hAnsi="Cambria Math"/>
                      </w:rPr>
                      <m:t>12</m:t>
                    </m:r>
                  </m:num>
                  <m:den>
                    <m:r>
                      <w:rPr>
                        <w:rFonts w:ascii="Cambria Math" w:hAnsi="Cambria Math"/>
                      </w:rPr>
                      <m:t>10+12</m:t>
                    </m:r>
                  </m:den>
                </m:f>
              </m:oMath>
            </m:oMathPara>
          </w:p>
        </w:tc>
        <w:tc>
          <w:tcPr>
            <w:tcW w:w="1199" w:type="dxa"/>
            <w:vAlign w:val="center"/>
          </w:tcPr>
          <w:p w:rsidR="00F72468" w:rsidRPr="00805964" w:rsidRDefault="00F72468" w:rsidP="0029635A">
            <w:pPr>
              <w:spacing w:line="360" w:lineRule="auto"/>
              <w:contextualSpacing/>
              <w:jc w:val="center"/>
              <w:rPr>
                <w:rFonts w:eastAsia="Calibri" w:cs="Times New Roman"/>
                <w:b/>
              </w:rPr>
            </w:pPr>
            <w:r w:rsidRPr="00805964">
              <w:rPr>
                <w:rFonts w:eastAsia="Calibri" w:cs="Times New Roman"/>
                <w:b/>
              </w:rPr>
              <w:t>54,54 %</w:t>
            </w:r>
          </w:p>
        </w:tc>
      </w:tr>
      <w:tr w:rsidR="00F72468" w:rsidRPr="00805964" w:rsidTr="00924017">
        <w:trPr>
          <w:trHeight w:val="759"/>
        </w:trPr>
        <w:tc>
          <w:tcPr>
            <w:tcW w:w="959" w:type="dxa"/>
            <w:vMerge/>
            <w:vAlign w:val="center"/>
          </w:tcPr>
          <w:p w:rsidR="00F72468" w:rsidRPr="00805964" w:rsidRDefault="00F72468" w:rsidP="0029635A">
            <w:pPr>
              <w:spacing w:line="360" w:lineRule="auto"/>
              <w:contextualSpacing/>
              <w:jc w:val="center"/>
              <w:rPr>
                <w:b/>
                <w:u w:val="single"/>
              </w:rPr>
            </w:pPr>
          </w:p>
        </w:tc>
        <w:tc>
          <w:tcPr>
            <w:tcW w:w="1460" w:type="dxa"/>
            <w:tcBorders>
              <w:bottom w:val="single" w:sz="12" w:space="0" w:color="auto"/>
            </w:tcBorders>
            <w:vAlign w:val="center"/>
          </w:tcPr>
          <w:p w:rsidR="00F72468" w:rsidRPr="00805964" w:rsidRDefault="00F72468" w:rsidP="0029635A">
            <w:pPr>
              <w:spacing w:line="360" w:lineRule="auto"/>
              <w:contextualSpacing/>
              <w:jc w:val="center"/>
              <w:rPr>
                <w:b/>
                <w:u w:val="single"/>
              </w:rPr>
            </w:pPr>
            <w:r w:rsidRPr="00805964">
              <w:rPr>
                <w:b/>
                <w:u w:val="single"/>
              </w:rPr>
              <w:t>Zamítnutí</w:t>
            </w:r>
          </w:p>
        </w:tc>
        <w:tc>
          <w:tcPr>
            <w:tcW w:w="1179" w:type="dxa"/>
            <w:tcBorders>
              <w:bottom w:val="single" w:sz="12" w:space="0" w:color="auto"/>
            </w:tcBorders>
            <w:vAlign w:val="center"/>
          </w:tcPr>
          <w:p w:rsidR="00F72468" w:rsidRPr="00805964" w:rsidRDefault="00F72468" w:rsidP="0029635A">
            <w:pPr>
              <w:spacing w:line="360" w:lineRule="auto"/>
              <w:contextualSpacing/>
              <w:jc w:val="center"/>
              <w:rPr>
                <w:i/>
              </w:rPr>
            </w:pPr>
            <m:oMathPara>
              <m:oMath>
                <m:r>
                  <w:rPr>
                    <w:rFonts w:ascii="Cambria Math" w:hAnsi="Cambria Math"/>
                  </w:rPr>
                  <m:t>2</m:t>
                </m:r>
              </m:oMath>
            </m:oMathPara>
          </w:p>
        </w:tc>
        <w:tc>
          <w:tcPr>
            <w:tcW w:w="1330" w:type="dxa"/>
            <w:tcBorders>
              <w:bottom w:val="single" w:sz="12" w:space="0" w:color="auto"/>
            </w:tcBorders>
            <w:vAlign w:val="center"/>
          </w:tcPr>
          <w:p w:rsidR="00F72468" w:rsidRPr="00805964" w:rsidRDefault="00F72468" w:rsidP="0029635A">
            <w:pPr>
              <w:spacing w:line="360" w:lineRule="auto"/>
              <w:contextualSpacing/>
              <w:jc w:val="center"/>
            </w:pPr>
            <m:oMathPara>
              <m:oMath>
                <m:r>
                  <w:rPr>
                    <w:rFonts w:ascii="Cambria Math" w:hAnsi="Cambria Math"/>
                  </w:rPr>
                  <m:t>2</m:t>
                </m:r>
              </m:oMath>
            </m:oMathPara>
          </w:p>
        </w:tc>
        <w:tc>
          <w:tcPr>
            <w:tcW w:w="1426" w:type="dxa"/>
            <w:tcBorders>
              <w:bottom w:val="single" w:sz="12" w:space="0" w:color="auto"/>
            </w:tcBorders>
            <w:vAlign w:val="center"/>
          </w:tcPr>
          <w:p w:rsidR="00F72468" w:rsidRPr="00805964" w:rsidRDefault="00F72468" w:rsidP="0029635A">
            <w:pPr>
              <w:spacing w:line="360" w:lineRule="auto"/>
              <w:contextualSpacing/>
              <w:jc w:val="center"/>
            </w:pPr>
            <m:oMathPara>
              <m:oMath>
                <m:r>
                  <w:rPr>
                    <w:rFonts w:ascii="Cambria Math" w:hAnsi="Cambria Math"/>
                  </w:rPr>
                  <m:t>0</m:t>
                </m:r>
              </m:oMath>
            </m:oMathPara>
          </w:p>
        </w:tc>
        <w:tc>
          <w:tcPr>
            <w:tcW w:w="1734" w:type="dxa"/>
            <w:tcBorders>
              <w:bottom w:val="single" w:sz="12" w:space="0" w:color="auto"/>
            </w:tcBorders>
            <w:vAlign w:val="center"/>
          </w:tcPr>
          <w:p w:rsidR="00F72468" w:rsidRPr="00805964" w:rsidRDefault="00EE58B6" w:rsidP="0029635A">
            <w:pPr>
              <w:spacing w:line="360" w:lineRule="auto"/>
              <w:contextualSpacing/>
              <w:jc w:val="center"/>
            </w:pPr>
            <m:oMathPara>
              <m:oMath>
                <m:f>
                  <m:fPr>
                    <m:ctrlPr>
                      <w:rPr>
                        <w:rFonts w:ascii="Cambria Math" w:hAnsi="Cambria Math"/>
                        <w:i/>
                      </w:rPr>
                    </m:ctrlPr>
                  </m:fPr>
                  <m:num>
                    <m:r>
                      <w:rPr>
                        <w:rFonts w:ascii="Cambria Math" w:hAnsi="Cambria Math"/>
                      </w:rPr>
                      <m:t>0</m:t>
                    </m:r>
                  </m:num>
                  <m:den>
                    <m:r>
                      <w:rPr>
                        <w:rFonts w:ascii="Cambria Math" w:hAnsi="Cambria Math"/>
                      </w:rPr>
                      <m:t>2+0</m:t>
                    </m:r>
                  </m:den>
                </m:f>
              </m:oMath>
            </m:oMathPara>
          </w:p>
        </w:tc>
        <w:tc>
          <w:tcPr>
            <w:tcW w:w="1199" w:type="dxa"/>
            <w:tcBorders>
              <w:bottom w:val="single" w:sz="12" w:space="0" w:color="auto"/>
            </w:tcBorders>
            <w:vAlign w:val="center"/>
          </w:tcPr>
          <w:p w:rsidR="00F72468" w:rsidRPr="00805964" w:rsidRDefault="00F72468" w:rsidP="0029635A">
            <w:pPr>
              <w:spacing w:line="360" w:lineRule="auto"/>
              <w:contextualSpacing/>
              <w:jc w:val="center"/>
              <w:rPr>
                <w:rFonts w:eastAsia="Calibri" w:cs="Times New Roman"/>
                <w:b/>
              </w:rPr>
            </w:pPr>
            <w:r w:rsidRPr="00805964">
              <w:rPr>
                <w:rFonts w:eastAsia="Calibri" w:cs="Times New Roman"/>
                <w:b/>
              </w:rPr>
              <w:t>0 %</w:t>
            </w:r>
          </w:p>
        </w:tc>
      </w:tr>
      <w:tr w:rsidR="00F72468" w:rsidRPr="00805964" w:rsidTr="00924017">
        <w:trPr>
          <w:trHeight w:val="759"/>
        </w:trPr>
        <w:tc>
          <w:tcPr>
            <w:tcW w:w="959" w:type="dxa"/>
            <w:vMerge/>
            <w:vAlign w:val="center"/>
          </w:tcPr>
          <w:p w:rsidR="00F72468" w:rsidRPr="00805964" w:rsidRDefault="00F72468" w:rsidP="0029635A">
            <w:pPr>
              <w:spacing w:line="360" w:lineRule="auto"/>
              <w:contextualSpacing/>
              <w:jc w:val="center"/>
              <w:rPr>
                <w:b/>
                <w:u w:val="single"/>
              </w:rPr>
            </w:pPr>
          </w:p>
        </w:tc>
        <w:tc>
          <w:tcPr>
            <w:tcW w:w="1460" w:type="dxa"/>
            <w:tcBorders>
              <w:top w:val="single" w:sz="12" w:space="0" w:color="auto"/>
            </w:tcBorders>
            <w:vAlign w:val="center"/>
          </w:tcPr>
          <w:p w:rsidR="00F72468" w:rsidRPr="00805964" w:rsidRDefault="00F72468" w:rsidP="0029635A">
            <w:pPr>
              <w:spacing w:line="360" w:lineRule="auto"/>
              <w:contextualSpacing/>
              <w:jc w:val="center"/>
              <w:rPr>
                <w:b/>
                <w:u w:val="single"/>
              </w:rPr>
            </w:pPr>
            <w:r w:rsidRPr="00805964">
              <w:rPr>
                <w:b/>
                <w:u w:val="single"/>
              </w:rPr>
              <w:t>Celkem</w:t>
            </w:r>
          </w:p>
        </w:tc>
        <w:tc>
          <w:tcPr>
            <w:tcW w:w="1179" w:type="dxa"/>
            <w:tcBorders>
              <w:top w:val="single" w:sz="12" w:space="0" w:color="auto"/>
            </w:tcBorders>
            <w:vAlign w:val="center"/>
          </w:tcPr>
          <w:p w:rsidR="00F72468" w:rsidRPr="00805964" w:rsidRDefault="00F72468" w:rsidP="0029635A">
            <w:pPr>
              <w:spacing w:line="360" w:lineRule="auto"/>
              <w:contextualSpacing/>
              <w:jc w:val="center"/>
              <w:rPr>
                <w:i/>
              </w:rPr>
            </w:pPr>
            <m:oMathPara>
              <m:oMath>
                <m:r>
                  <w:rPr>
                    <w:rFonts w:ascii="Cambria Math" w:hAnsi="Cambria Math"/>
                  </w:rPr>
                  <m:t>24</m:t>
                </m:r>
              </m:oMath>
            </m:oMathPara>
          </w:p>
        </w:tc>
        <w:tc>
          <w:tcPr>
            <w:tcW w:w="1330" w:type="dxa"/>
            <w:tcBorders>
              <w:top w:val="single" w:sz="12" w:space="0" w:color="auto"/>
            </w:tcBorders>
            <w:vAlign w:val="center"/>
          </w:tcPr>
          <w:p w:rsidR="00F72468" w:rsidRPr="00805964" w:rsidRDefault="00F72468" w:rsidP="0029635A">
            <w:pPr>
              <w:spacing w:line="360" w:lineRule="auto"/>
              <w:contextualSpacing/>
              <w:jc w:val="center"/>
            </w:pPr>
            <m:oMathPara>
              <m:oMath>
                <m:r>
                  <w:rPr>
                    <w:rFonts w:ascii="Cambria Math" w:hAnsi="Cambria Math"/>
                  </w:rPr>
                  <m:t>12</m:t>
                </m:r>
              </m:oMath>
            </m:oMathPara>
          </w:p>
        </w:tc>
        <w:tc>
          <w:tcPr>
            <w:tcW w:w="1426" w:type="dxa"/>
            <w:tcBorders>
              <w:top w:val="single" w:sz="12" w:space="0" w:color="auto"/>
            </w:tcBorders>
            <w:vAlign w:val="center"/>
          </w:tcPr>
          <w:p w:rsidR="00F72468" w:rsidRPr="00805964" w:rsidRDefault="00F72468" w:rsidP="0029635A">
            <w:pPr>
              <w:spacing w:line="360" w:lineRule="auto"/>
              <w:contextualSpacing/>
              <w:jc w:val="center"/>
            </w:pPr>
            <m:oMathPara>
              <m:oMath>
                <m:r>
                  <w:rPr>
                    <w:rFonts w:ascii="Cambria Math" w:hAnsi="Cambria Math"/>
                  </w:rPr>
                  <m:t>12</m:t>
                </m:r>
              </m:oMath>
            </m:oMathPara>
          </w:p>
        </w:tc>
        <w:tc>
          <w:tcPr>
            <w:tcW w:w="1734" w:type="dxa"/>
            <w:tcBorders>
              <w:top w:val="single" w:sz="12" w:space="0" w:color="auto"/>
            </w:tcBorders>
            <w:vAlign w:val="center"/>
          </w:tcPr>
          <w:p w:rsidR="00F72468" w:rsidRPr="00805964" w:rsidRDefault="00EE58B6" w:rsidP="0029635A">
            <w:pPr>
              <w:spacing w:line="360" w:lineRule="auto"/>
              <w:contextualSpacing/>
              <w:jc w:val="center"/>
            </w:pPr>
            <m:oMathPara>
              <m:oMath>
                <m:f>
                  <m:fPr>
                    <m:ctrlPr>
                      <w:rPr>
                        <w:rFonts w:ascii="Cambria Math" w:hAnsi="Cambria Math"/>
                        <w:i/>
                      </w:rPr>
                    </m:ctrlPr>
                  </m:fPr>
                  <m:num>
                    <m:r>
                      <w:rPr>
                        <w:rFonts w:ascii="Cambria Math" w:hAnsi="Cambria Math"/>
                      </w:rPr>
                      <m:t>12+0</m:t>
                    </m:r>
                  </m:num>
                  <m:den>
                    <m:r>
                      <w:rPr>
                        <w:rFonts w:ascii="Cambria Math" w:hAnsi="Cambria Math"/>
                      </w:rPr>
                      <m:t>10+2+12+0</m:t>
                    </m:r>
                  </m:den>
                </m:f>
              </m:oMath>
            </m:oMathPara>
          </w:p>
        </w:tc>
        <w:tc>
          <w:tcPr>
            <w:tcW w:w="1199" w:type="dxa"/>
            <w:tcBorders>
              <w:top w:val="single" w:sz="12" w:space="0" w:color="auto"/>
            </w:tcBorders>
            <w:vAlign w:val="center"/>
          </w:tcPr>
          <w:p w:rsidR="00F72468" w:rsidRPr="00805964" w:rsidRDefault="00F72468" w:rsidP="0029635A">
            <w:pPr>
              <w:spacing w:line="360" w:lineRule="auto"/>
              <w:contextualSpacing/>
              <w:jc w:val="center"/>
              <w:rPr>
                <w:rFonts w:eastAsia="Calibri" w:cs="Times New Roman"/>
                <w:b/>
              </w:rPr>
            </w:pPr>
            <w:r w:rsidRPr="00805964">
              <w:rPr>
                <w:rFonts w:eastAsia="Calibri" w:cs="Times New Roman"/>
                <w:b/>
              </w:rPr>
              <w:t>50 %</w:t>
            </w:r>
          </w:p>
        </w:tc>
      </w:tr>
    </w:tbl>
    <w:p w:rsidR="004E35D9" w:rsidRPr="00805964" w:rsidRDefault="004E35D9" w:rsidP="004E35D9">
      <w:pPr>
        <w:spacing w:line="360" w:lineRule="auto"/>
        <w:contextualSpacing/>
        <w:jc w:val="center"/>
        <w:rPr>
          <w:b/>
          <w:u w:val="single"/>
        </w:rPr>
      </w:pPr>
      <w:r w:rsidRPr="00805964">
        <w:rPr>
          <w:b/>
          <w:u w:val="single"/>
        </w:rPr>
        <w:t>Tabulka č. 8:</w:t>
      </w:r>
      <w:r w:rsidR="0075151B" w:rsidRPr="00805964">
        <w:rPr>
          <w:b/>
          <w:u w:val="single"/>
        </w:rPr>
        <w:t xml:space="preserve"> T</w:t>
      </w:r>
      <w:r w:rsidR="000713F0" w:rsidRPr="00805964">
        <w:rPr>
          <w:b/>
          <w:u w:val="single"/>
        </w:rPr>
        <w:t>řetí varianta pro období 2006–</w:t>
      </w:r>
      <w:r w:rsidRPr="00805964">
        <w:rPr>
          <w:b/>
          <w:u w:val="single"/>
        </w:rPr>
        <w:t>2008</w:t>
      </w:r>
    </w:p>
    <w:p w:rsidR="00265145" w:rsidRPr="00805964" w:rsidRDefault="00265145" w:rsidP="00265145">
      <w:pPr>
        <w:spacing w:line="360" w:lineRule="auto"/>
        <w:contextualSpacing/>
        <w:jc w:val="center"/>
        <w:rPr>
          <w:i/>
          <w:sz w:val="22"/>
        </w:rPr>
      </w:pPr>
      <w:r w:rsidRPr="00805964">
        <w:rPr>
          <w:i/>
          <w:sz w:val="22"/>
        </w:rPr>
        <w:t>Zpracoval: Autor.</w:t>
      </w:r>
    </w:p>
    <w:p w:rsidR="00A7709A" w:rsidRPr="00805964" w:rsidRDefault="00A7709A" w:rsidP="00265145">
      <w:pPr>
        <w:spacing w:line="360" w:lineRule="auto"/>
        <w:contextualSpacing/>
        <w:jc w:val="center"/>
        <w:rPr>
          <w:i/>
          <w:sz w:val="22"/>
        </w:rPr>
      </w:pPr>
    </w:p>
    <w:p w:rsidR="0006559B" w:rsidRPr="00805964" w:rsidRDefault="006A068D" w:rsidP="0029635A">
      <w:pPr>
        <w:spacing w:line="360" w:lineRule="auto"/>
        <w:contextualSpacing/>
        <w:jc w:val="both"/>
      </w:pPr>
      <w:r w:rsidRPr="00805964">
        <w:tab/>
      </w:r>
      <w:r w:rsidR="009D7891" w:rsidRPr="00805964">
        <w:t xml:space="preserve">Na základě </w:t>
      </w:r>
      <w:r w:rsidR="006508F6" w:rsidRPr="00805964">
        <w:t>třetí varianty</w:t>
      </w:r>
      <w:r w:rsidR="00321EB3" w:rsidRPr="00805964">
        <w:t xml:space="preserve"> počítáme poměrnou efektivitu, tedy procentuální vyjádření případů, v nichž Senát změnil rozhodnutí Poslanecké sněmovny a plnil tak funkci revizní komory.</w:t>
      </w:r>
      <w:r w:rsidR="009D7891" w:rsidRPr="00805964">
        <w:t xml:space="preserve"> Celkem Senát ve svém šestém funkčním období podal 22 pozměňovacích návrhů</w:t>
      </w:r>
      <w:r w:rsidR="006573AD">
        <w:t>,</w:t>
      </w:r>
      <w:r w:rsidR="009D7891" w:rsidRPr="00805964">
        <w:t xml:space="preserve"> </w:t>
      </w:r>
      <w:r w:rsidR="00DC2678">
        <w:t>z </w:t>
      </w:r>
      <w:r w:rsidR="009D7891" w:rsidRPr="00805964">
        <w:t>nichž 12 Sněmovna přijala a v deseti případech naopak trvala na původním znění. Ve stejném období byly Senátem vetovány dva návrhy zákonů, které byly následně Sněmovnou přesto schváleny. Horní ko</w:t>
      </w:r>
      <w:r w:rsidR="006573AD">
        <w:t>mora se tedy pokusila celkem 24</w:t>
      </w:r>
      <w:r w:rsidR="009D7891" w:rsidRPr="00805964">
        <w:t>krát změnit rozhodnutí Poslanecké sněmov</w:t>
      </w:r>
      <w:r w:rsidR="006573AD">
        <w:t>ny, což se jí podařilo pouze 12</w:t>
      </w:r>
      <w:r w:rsidR="009D7891" w:rsidRPr="00805964">
        <w:t>krát, tedy přesně v 50 %</w:t>
      </w:r>
      <w:r w:rsidR="001A6D9B" w:rsidRPr="00805964">
        <w:t xml:space="preserve"> případů. </w:t>
      </w:r>
    </w:p>
    <w:p w:rsidR="0074701B" w:rsidRPr="00805964" w:rsidRDefault="0074701B" w:rsidP="0029635A">
      <w:pPr>
        <w:contextualSpacing/>
      </w:pPr>
    </w:p>
    <w:p w:rsidR="0006559B" w:rsidRPr="00805964" w:rsidRDefault="00AA25FA" w:rsidP="0029635A">
      <w:pPr>
        <w:pStyle w:val="Nadpis3"/>
        <w:spacing w:line="360" w:lineRule="auto"/>
        <w:contextualSpacing/>
        <w:jc w:val="both"/>
      </w:pPr>
      <w:bookmarkStart w:id="19" w:name="_Toc359918285"/>
      <w:r w:rsidRPr="00805964">
        <w:t xml:space="preserve">3. 1. 3 </w:t>
      </w:r>
      <w:r w:rsidR="006508F6" w:rsidRPr="00805964">
        <w:t>Čtvrtá varianta</w:t>
      </w:r>
      <w:bookmarkEnd w:id="19"/>
    </w:p>
    <w:p w:rsidR="00592AB9" w:rsidRPr="00805964" w:rsidRDefault="00592AB9" w:rsidP="0029635A">
      <w:pPr>
        <w:spacing w:line="360" w:lineRule="auto"/>
        <w:contextualSpacing/>
        <w:jc w:val="both"/>
        <w:rPr>
          <w:rFonts w:cs="Times New Roman"/>
          <w:szCs w:val="24"/>
        </w:rPr>
      </w:pPr>
    </w:p>
    <w:p w:rsidR="003535C4" w:rsidRPr="00805964" w:rsidRDefault="00592AB9" w:rsidP="0029635A">
      <w:pPr>
        <w:spacing w:line="360" w:lineRule="auto"/>
        <w:contextualSpacing/>
        <w:jc w:val="both"/>
      </w:pPr>
      <w:r w:rsidRPr="00805964">
        <w:rPr>
          <w:rFonts w:cs="Times New Roman"/>
          <w:szCs w:val="24"/>
        </w:rPr>
        <w:tab/>
        <w:t>U čtvrtého způsobu měření je počítána vážená poměrná efektivita, a to tak, že každému z jednotlivých typů zákonů je přiřazeno bodové ohodnocení na základě jeho právní síly či váhy. Jedná se o podobný princip, který byl využit u předešlé varianty, s tím rozdílem, že zde budeme navíc rozlišovat i zákony dle jejich síly či důležitosti</w:t>
      </w:r>
      <w:r w:rsidR="003535C4" w:rsidRPr="00805964">
        <w:rPr>
          <w:rFonts w:cs="Times New Roman"/>
          <w:szCs w:val="24"/>
        </w:rPr>
        <w:t>.</w:t>
      </w:r>
      <w:r w:rsidR="003535C4" w:rsidRPr="00805964">
        <w:t xml:space="preserve"> Tabulka č. 9 představuje množství případů, kdy k daným situacím došlo</w:t>
      </w:r>
      <w:r w:rsidR="006573AD">
        <w:t>,</w:t>
      </w:r>
      <w:r w:rsidR="003535C4" w:rsidRPr="00805964">
        <w:t xml:space="preserve"> a jejich bodové ohodnocení, na </w:t>
      </w:r>
      <w:r w:rsidR="006573AD">
        <w:t xml:space="preserve">jehož základě </w:t>
      </w:r>
      <w:r w:rsidR="003535C4" w:rsidRPr="00805964">
        <w:t xml:space="preserve"> provedeme výpočet vážené poměrné efektivnosti. </w:t>
      </w:r>
    </w:p>
    <w:p w:rsidR="00EC6317" w:rsidRPr="00805964" w:rsidRDefault="00EC6317" w:rsidP="0029635A">
      <w:pPr>
        <w:spacing w:line="360" w:lineRule="auto"/>
        <w:contextualSpacing/>
        <w:jc w:val="both"/>
      </w:pPr>
    </w:p>
    <w:p w:rsidR="00821F57" w:rsidRPr="00805964" w:rsidRDefault="00821F57" w:rsidP="0029635A">
      <w:pPr>
        <w:spacing w:line="360" w:lineRule="auto"/>
        <w:contextualSpacing/>
        <w:jc w:val="both"/>
      </w:pPr>
    </w:p>
    <w:p w:rsidR="004E35D9" w:rsidRPr="00805964" w:rsidRDefault="004E35D9" w:rsidP="004E35D9">
      <w:pPr>
        <w:spacing w:line="360" w:lineRule="auto"/>
        <w:contextualSpacing/>
        <w:jc w:val="center"/>
        <w:rPr>
          <w:b/>
          <w:sz w:val="22"/>
          <w:u w:val="single"/>
        </w:rPr>
      </w:pPr>
      <w:r w:rsidRPr="00805964">
        <w:rPr>
          <w:b/>
          <w:sz w:val="22"/>
          <w:u w:val="single"/>
        </w:rPr>
        <w:lastRenderedPageBreak/>
        <w:t>Tabulka č. 9:</w:t>
      </w:r>
      <w:r w:rsidRPr="00805964">
        <w:rPr>
          <w:sz w:val="22"/>
          <w:u w:val="single"/>
        </w:rPr>
        <w:t xml:space="preserve"> </w:t>
      </w:r>
      <w:r w:rsidRPr="00805964">
        <w:rPr>
          <w:b/>
          <w:sz w:val="22"/>
          <w:u w:val="single"/>
        </w:rPr>
        <w:t>Čtvrtá</w:t>
      </w:r>
      <w:r w:rsidR="000713F0" w:rsidRPr="00805964">
        <w:rPr>
          <w:b/>
          <w:sz w:val="22"/>
          <w:u w:val="single"/>
        </w:rPr>
        <w:t xml:space="preserve"> varianta pro období 2006–</w:t>
      </w:r>
      <w:r w:rsidRPr="00805964">
        <w:rPr>
          <w:b/>
          <w:sz w:val="22"/>
          <w:u w:val="single"/>
        </w:rPr>
        <w:t>2008</w:t>
      </w:r>
    </w:p>
    <w:tbl>
      <w:tblPr>
        <w:tblStyle w:val="Mkatabulky"/>
        <w:tblW w:w="0" w:type="auto"/>
        <w:jc w:val="center"/>
        <w:tblInd w:w="1384" w:type="dxa"/>
        <w:tblLook w:val="04A0"/>
      </w:tblPr>
      <w:tblGrid>
        <w:gridCol w:w="1121"/>
        <w:gridCol w:w="2816"/>
        <w:gridCol w:w="1308"/>
        <w:gridCol w:w="1389"/>
        <w:gridCol w:w="1269"/>
      </w:tblGrid>
      <w:tr w:rsidR="0074701B" w:rsidRPr="00805964" w:rsidTr="0015712D">
        <w:trPr>
          <w:trHeight w:val="806"/>
          <w:jc w:val="center"/>
        </w:trPr>
        <w:tc>
          <w:tcPr>
            <w:tcW w:w="1121" w:type="dxa"/>
            <w:vMerge w:val="restart"/>
            <w:textDirection w:val="btLr"/>
          </w:tcPr>
          <w:p w:rsidR="0074701B" w:rsidRPr="00805964" w:rsidRDefault="0074701B" w:rsidP="0075151B">
            <w:pPr>
              <w:ind w:left="113" w:right="113"/>
              <w:contextualSpacing/>
              <w:jc w:val="center"/>
              <w:rPr>
                <w:sz w:val="36"/>
                <w:szCs w:val="36"/>
              </w:rPr>
            </w:pPr>
            <w:r w:rsidRPr="00805964">
              <w:rPr>
                <w:sz w:val="36"/>
                <w:szCs w:val="36"/>
              </w:rPr>
              <w:t>6. Funkční období</w:t>
            </w:r>
            <w:r w:rsidRPr="00805964">
              <w:rPr>
                <w:sz w:val="36"/>
                <w:szCs w:val="36"/>
              </w:rPr>
              <w:br/>
            </w:r>
            <w:r w:rsidR="000713F0" w:rsidRPr="00805964">
              <w:rPr>
                <w:sz w:val="36"/>
                <w:szCs w:val="36"/>
              </w:rPr>
              <w:t>2006</w:t>
            </w:r>
            <w:r w:rsidR="0075151B" w:rsidRPr="00805964">
              <w:rPr>
                <w:sz w:val="36"/>
                <w:szCs w:val="36"/>
              </w:rPr>
              <w:t>–</w:t>
            </w:r>
            <w:r w:rsidRPr="00805964">
              <w:rPr>
                <w:sz w:val="36"/>
                <w:szCs w:val="36"/>
              </w:rPr>
              <w:t>2008</w:t>
            </w:r>
          </w:p>
        </w:tc>
        <w:tc>
          <w:tcPr>
            <w:tcW w:w="2816" w:type="dxa"/>
            <w:vAlign w:val="center"/>
          </w:tcPr>
          <w:p w:rsidR="0074701B" w:rsidRPr="00805964" w:rsidRDefault="0074701B" w:rsidP="0029635A">
            <w:pPr>
              <w:contextualSpacing/>
              <w:jc w:val="center"/>
            </w:pPr>
          </w:p>
        </w:tc>
        <w:tc>
          <w:tcPr>
            <w:tcW w:w="1308" w:type="dxa"/>
            <w:vAlign w:val="center"/>
          </w:tcPr>
          <w:p w:rsidR="0074701B" w:rsidRPr="00805964" w:rsidRDefault="0074701B" w:rsidP="0029635A">
            <w:pPr>
              <w:contextualSpacing/>
              <w:jc w:val="center"/>
            </w:pPr>
            <w:r w:rsidRPr="00805964">
              <w:t>Bodové ohodnocení</w:t>
            </w:r>
          </w:p>
        </w:tc>
        <w:tc>
          <w:tcPr>
            <w:tcW w:w="1389" w:type="dxa"/>
            <w:vAlign w:val="center"/>
          </w:tcPr>
          <w:p w:rsidR="0074701B" w:rsidRPr="00805964" w:rsidRDefault="0074701B" w:rsidP="0029635A">
            <w:pPr>
              <w:contextualSpacing/>
              <w:jc w:val="center"/>
            </w:pPr>
            <w:r w:rsidRPr="00805964">
              <w:t>Počet případů</w:t>
            </w:r>
          </w:p>
        </w:tc>
        <w:tc>
          <w:tcPr>
            <w:tcW w:w="1269" w:type="dxa"/>
            <w:vAlign w:val="center"/>
          </w:tcPr>
          <w:p w:rsidR="0074701B" w:rsidRPr="00805964" w:rsidRDefault="0074701B" w:rsidP="0029635A">
            <w:pPr>
              <w:contextualSpacing/>
              <w:jc w:val="center"/>
              <w:rPr>
                <w:b/>
              </w:rPr>
            </w:pPr>
            <w:r w:rsidRPr="00805964">
              <w:rPr>
                <w:b/>
              </w:rPr>
              <w:t>Body celkem</w:t>
            </w:r>
          </w:p>
        </w:tc>
      </w:tr>
      <w:tr w:rsidR="0074701B" w:rsidRPr="00805964" w:rsidTr="0015712D">
        <w:trPr>
          <w:trHeight w:val="806"/>
          <w:jc w:val="center"/>
        </w:trPr>
        <w:tc>
          <w:tcPr>
            <w:tcW w:w="1121" w:type="dxa"/>
            <w:vMerge/>
          </w:tcPr>
          <w:p w:rsidR="0074701B" w:rsidRPr="00805964" w:rsidRDefault="0074701B" w:rsidP="0029635A">
            <w:pPr>
              <w:contextualSpacing/>
              <w:jc w:val="center"/>
            </w:pPr>
          </w:p>
        </w:tc>
        <w:tc>
          <w:tcPr>
            <w:tcW w:w="2816" w:type="dxa"/>
            <w:vAlign w:val="center"/>
          </w:tcPr>
          <w:p w:rsidR="0074701B" w:rsidRPr="00805964" w:rsidRDefault="0074701B" w:rsidP="0029635A">
            <w:pPr>
              <w:contextualSpacing/>
              <w:jc w:val="center"/>
            </w:pPr>
            <w:r w:rsidRPr="00805964">
              <w:rPr>
                <w:rFonts w:cs="Times New Roman"/>
                <w:sz w:val="24"/>
                <w:szCs w:val="24"/>
              </w:rPr>
              <w:t>Zamítnutí ústavního zákona Senátem</w:t>
            </w:r>
          </w:p>
        </w:tc>
        <w:tc>
          <w:tcPr>
            <w:tcW w:w="1308" w:type="dxa"/>
            <w:vAlign w:val="center"/>
          </w:tcPr>
          <w:p w:rsidR="0074701B" w:rsidRPr="00805964" w:rsidRDefault="000F4F0F" w:rsidP="0029635A">
            <w:pPr>
              <w:contextualSpacing/>
              <w:jc w:val="center"/>
            </w:pPr>
            <w:r w:rsidRPr="00805964">
              <w:t>4</w:t>
            </w:r>
          </w:p>
        </w:tc>
        <w:tc>
          <w:tcPr>
            <w:tcW w:w="1389" w:type="dxa"/>
            <w:vAlign w:val="center"/>
          </w:tcPr>
          <w:p w:rsidR="0074701B" w:rsidRPr="00805964" w:rsidRDefault="0074701B" w:rsidP="0029635A">
            <w:pPr>
              <w:contextualSpacing/>
              <w:jc w:val="center"/>
            </w:pPr>
            <w:r w:rsidRPr="00805964">
              <w:t>0</w:t>
            </w:r>
          </w:p>
        </w:tc>
        <w:tc>
          <w:tcPr>
            <w:tcW w:w="1269" w:type="dxa"/>
            <w:vAlign w:val="center"/>
          </w:tcPr>
          <w:p w:rsidR="0074701B" w:rsidRPr="00805964" w:rsidRDefault="0074701B" w:rsidP="0029635A">
            <w:pPr>
              <w:contextualSpacing/>
              <w:jc w:val="center"/>
              <w:rPr>
                <w:b/>
              </w:rPr>
            </w:pPr>
            <w:r w:rsidRPr="00805964">
              <w:rPr>
                <w:b/>
              </w:rPr>
              <w:t>0</w:t>
            </w:r>
          </w:p>
        </w:tc>
      </w:tr>
      <w:tr w:rsidR="0074701B" w:rsidRPr="00805964" w:rsidTr="0015712D">
        <w:trPr>
          <w:trHeight w:val="806"/>
          <w:jc w:val="center"/>
        </w:trPr>
        <w:tc>
          <w:tcPr>
            <w:tcW w:w="1121" w:type="dxa"/>
            <w:vMerge/>
          </w:tcPr>
          <w:p w:rsidR="0074701B" w:rsidRPr="00805964" w:rsidRDefault="0074701B" w:rsidP="0029635A">
            <w:pPr>
              <w:contextualSpacing/>
              <w:jc w:val="center"/>
            </w:pPr>
          </w:p>
        </w:tc>
        <w:tc>
          <w:tcPr>
            <w:tcW w:w="2816" w:type="dxa"/>
            <w:vAlign w:val="center"/>
          </w:tcPr>
          <w:p w:rsidR="0074701B" w:rsidRPr="00805964" w:rsidRDefault="0074701B" w:rsidP="0029635A">
            <w:pPr>
              <w:contextualSpacing/>
              <w:jc w:val="center"/>
            </w:pPr>
            <w:r w:rsidRPr="00805964">
              <w:rPr>
                <w:rFonts w:cs="Times New Roman"/>
                <w:sz w:val="24"/>
                <w:szCs w:val="24"/>
              </w:rPr>
              <w:t>Připomínkování ústavního zákona</w:t>
            </w:r>
            <w:r w:rsidRPr="00805964">
              <w:t xml:space="preserve"> </w:t>
            </w:r>
          </w:p>
        </w:tc>
        <w:tc>
          <w:tcPr>
            <w:tcW w:w="1308" w:type="dxa"/>
            <w:vAlign w:val="center"/>
          </w:tcPr>
          <w:p w:rsidR="0074701B" w:rsidRPr="00805964" w:rsidRDefault="000F4F0F" w:rsidP="0029635A">
            <w:pPr>
              <w:contextualSpacing/>
              <w:jc w:val="center"/>
            </w:pPr>
            <w:r w:rsidRPr="00805964">
              <w:t>2</w:t>
            </w:r>
          </w:p>
        </w:tc>
        <w:tc>
          <w:tcPr>
            <w:tcW w:w="1389" w:type="dxa"/>
            <w:vAlign w:val="center"/>
          </w:tcPr>
          <w:p w:rsidR="0074701B" w:rsidRPr="00805964" w:rsidRDefault="0074701B" w:rsidP="0029635A">
            <w:pPr>
              <w:contextualSpacing/>
              <w:jc w:val="center"/>
            </w:pPr>
            <w:r w:rsidRPr="00805964">
              <w:t>0</w:t>
            </w:r>
          </w:p>
        </w:tc>
        <w:tc>
          <w:tcPr>
            <w:tcW w:w="1269" w:type="dxa"/>
            <w:vAlign w:val="center"/>
          </w:tcPr>
          <w:p w:rsidR="0074701B" w:rsidRPr="00805964" w:rsidRDefault="0074701B" w:rsidP="0029635A">
            <w:pPr>
              <w:contextualSpacing/>
              <w:jc w:val="center"/>
              <w:rPr>
                <w:b/>
              </w:rPr>
            </w:pPr>
            <w:r w:rsidRPr="00805964">
              <w:rPr>
                <w:b/>
              </w:rPr>
              <w:t>0</w:t>
            </w:r>
          </w:p>
        </w:tc>
      </w:tr>
      <w:tr w:rsidR="0074701B" w:rsidRPr="00805964" w:rsidTr="0015712D">
        <w:trPr>
          <w:trHeight w:val="806"/>
          <w:jc w:val="center"/>
        </w:trPr>
        <w:tc>
          <w:tcPr>
            <w:tcW w:w="1121" w:type="dxa"/>
            <w:vMerge/>
          </w:tcPr>
          <w:p w:rsidR="0074701B" w:rsidRPr="00805964" w:rsidRDefault="0074701B" w:rsidP="0029635A">
            <w:pPr>
              <w:contextualSpacing/>
              <w:jc w:val="center"/>
            </w:pPr>
          </w:p>
        </w:tc>
        <w:tc>
          <w:tcPr>
            <w:tcW w:w="2816" w:type="dxa"/>
            <w:vAlign w:val="center"/>
          </w:tcPr>
          <w:p w:rsidR="0074701B" w:rsidRPr="00805964" w:rsidRDefault="0074701B" w:rsidP="00A7709A">
            <w:pPr>
              <w:contextualSpacing/>
              <w:jc w:val="center"/>
            </w:pPr>
            <w:r w:rsidRPr="00805964">
              <w:rPr>
                <w:rFonts w:cs="Times New Roman"/>
                <w:sz w:val="24"/>
                <w:szCs w:val="24"/>
              </w:rPr>
              <w:t xml:space="preserve">Veto běžného zákona </w:t>
            </w:r>
            <w:r w:rsidR="00A7709A" w:rsidRPr="00805964">
              <w:rPr>
                <w:rFonts w:cs="Times New Roman"/>
                <w:sz w:val="24"/>
                <w:szCs w:val="24"/>
              </w:rPr>
              <w:t>–</w:t>
            </w:r>
            <w:r w:rsidRPr="00805964">
              <w:rPr>
                <w:rFonts w:cs="Times New Roman"/>
                <w:sz w:val="24"/>
                <w:szCs w:val="24"/>
              </w:rPr>
              <w:t xml:space="preserve"> úspěšné</w:t>
            </w:r>
          </w:p>
        </w:tc>
        <w:tc>
          <w:tcPr>
            <w:tcW w:w="1308" w:type="dxa"/>
            <w:vAlign w:val="center"/>
          </w:tcPr>
          <w:p w:rsidR="0074701B" w:rsidRPr="00805964" w:rsidRDefault="000F4F0F" w:rsidP="0029635A">
            <w:pPr>
              <w:contextualSpacing/>
              <w:jc w:val="center"/>
            </w:pPr>
            <w:r w:rsidRPr="00805964">
              <w:t>1</w:t>
            </w:r>
          </w:p>
        </w:tc>
        <w:tc>
          <w:tcPr>
            <w:tcW w:w="1389" w:type="dxa"/>
            <w:vAlign w:val="center"/>
          </w:tcPr>
          <w:p w:rsidR="0074701B" w:rsidRPr="00805964" w:rsidRDefault="0074701B" w:rsidP="0029635A">
            <w:pPr>
              <w:contextualSpacing/>
              <w:jc w:val="center"/>
            </w:pPr>
            <w:r w:rsidRPr="00805964">
              <w:t>0</w:t>
            </w:r>
          </w:p>
        </w:tc>
        <w:tc>
          <w:tcPr>
            <w:tcW w:w="1269" w:type="dxa"/>
            <w:vAlign w:val="center"/>
          </w:tcPr>
          <w:p w:rsidR="0074701B" w:rsidRPr="00805964" w:rsidRDefault="0074701B" w:rsidP="0029635A">
            <w:pPr>
              <w:contextualSpacing/>
              <w:jc w:val="center"/>
              <w:rPr>
                <w:b/>
              </w:rPr>
            </w:pPr>
            <w:r w:rsidRPr="00805964">
              <w:rPr>
                <w:b/>
              </w:rPr>
              <w:t>0</w:t>
            </w:r>
          </w:p>
        </w:tc>
      </w:tr>
      <w:tr w:rsidR="0074701B" w:rsidRPr="00805964" w:rsidTr="0015712D">
        <w:trPr>
          <w:trHeight w:val="806"/>
          <w:jc w:val="center"/>
        </w:trPr>
        <w:tc>
          <w:tcPr>
            <w:tcW w:w="1121" w:type="dxa"/>
            <w:vMerge/>
          </w:tcPr>
          <w:p w:rsidR="0074701B" w:rsidRPr="00805964" w:rsidRDefault="0074701B" w:rsidP="0029635A">
            <w:pPr>
              <w:contextualSpacing/>
              <w:jc w:val="center"/>
            </w:pPr>
          </w:p>
        </w:tc>
        <w:tc>
          <w:tcPr>
            <w:tcW w:w="2816" w:type="dxa"/>
            <w:vAlign w:val="center"/>
          </w:tcPr>
          <w:p w:rsidR="0074701B" w:rsidRPr="00805964" w:rsidRDefault="0074701B" w:rsidP="00A7709A">
            <w:pPr>
              <w:contextualSpacing/>
              <w:jc w:val="center"/>
            </w:pPr>
            <w:r w:rsidRPr="00805964">
              <w:rPr>
                <w:rFonts w:cs="Times New Roman"/>
                <w:sz w:val="24"/>
                <w:szCs w:val="24"/>
              </w:rPr>
              <w:t xml:space="preserve">Veto běžného zákona </w:t>
            </w:r>
            <w:r w:rsidR="00A7709A" w:rsidRPr="00805964">
              <w:rPr>
                <w:rFonts w:cs="Times New Roman"/>
                <w:sz w:val="24"/>
                <w:szCs w:val="24"/>
              </w:rPr>
              <w:t>–</w:t>
            </w:r>
            <w:r w:rsidRPr="00805964">
              <w:rPr>
                <w:rFonts w:cs="Times New Roman"/>
                <w:sz w:val="24"/>
                <w:szCs w:val="24"/>
              </w:rPr>
              <w:t xml:space="preserve"> přehlasování PS</w:t>
            </w:r>
          </w:p>
        </w:tc>
        <w:tc>
          <w:tcPr>
            <w:tcW w:w="1308" w:type="dxa"/>
            <w:vAlign w:val="center"/>
          </w:tcPr>
          <w:p w:rsidR="0074701B" w:rsidRPr="00805964" w:rsidRDefault="000F4F0F" w:rsidP="0029635A">
            <w:pPr>
              <w:contextualSpacing/>
              <w:jc w:val="center"/>
            </w:pPr>
            <w:r w:rsidRPr="00805964">
              <w:t>0</w:t>
            </w:r>
          </w:p>
        </w:tc>
        <w:tc>
          <w:tcPr>
            <w:tcW w:w="1389" w:type="dxa"/>
            <w:vAlign w:val="center"/>
          </w:tcPr>
          <w:p w:rsidR="0074701B" w:rsidRPr="00805964" w:rsidRDefault="0074701B" w:rsidP="0029635A">
            <w:pPr>
              <w:contextualSpacing/>
              <w:jc w:val="center"/>
            </w:pPr>
            <w:r w:rsidRPr="00805964">
              <w:t>2</w:t>
            </w:r>
          </w:p>
        </w:tc>
        <w:tc>
          <w:tcPr>
            <w:tcW w:w="1269" w:type="dxa"/>
            <w:vAlign w:val="center"/>
          </w:tcPr>
          <w:p w:rsidR="0074701B" w:rsidRPr="00805964" w:rsidRDefault="000F4F0F" w:rsidP="0029635A">
            <w:pPr>
              <w:contextualSpacing/>
              <w:jc w:val="center"/>
              <w:rPr>
                <w:b/>
              </w:rPr>
            </w:pPr>
            <w:r w:rsidRPr="00805964">
              <w:rPr>
                <w:b/>
              </w:rPr>
              <w:t>0</w:t>
            </w:r>
          </w:p>
        </w:tc>
      </w:tr>
      <w:tr w:rsidR="0074701B" w:rsidRPr="00805964" w:rsidTr="0015712D">
        <w:trPr>
          <w:trHeight w:val="806"/>
          <w:jc w:val="center"/>
        </w:trPr>
        <w:tc>
          <w:tcPr>
            <w:tcW w:w="1121" w:type="dxa"/>
            <w:vMerge/>
          </w:tcPr>
          <w:p w:rsidR="0074701B" w:rsidRPr="00805964" w:rsidRDefault="0074701B" w:rsidP="0029635A">
            <w:pPr>
              <w:contextualSpacing/>
              <w:jc w:val="center"/>
            </w:pPr>
          </w:p>
        </w:tc>
        <w:tc>
          <w:tcPr>
            <w:tcW w:w="2816" w:type="dxa"/>
            <w:vAlign w:val="center"/>
          </w:tcPr>
          <w:p w:rsidR="0074701B" w:rsidRPr="00805964" w:rsidRDefault="0074701B" w:rsidP="0029635A">
            <w:pPr>
              <w:contextualSpacing/>
              <w:jc w:val="center"/>
            </w:pPr>
            <w:r w:rsidRPr="00805964">
              <w:rPr>
                <w:rFonts w:cs="Times New Roman"/>
                <w:sz w:val="24"/>
                <w:szCs w:val="24"/>
              </w:rPr>
              <w:t>Připomínkování běžné legislativy - přehlasování PS</w:t>
            </w:r>
          </w:p>
        </w:tc>
        <w:tc>
          <w:tcPr>
            <w:tcW w:w="1308" w:type="dxa"/>
            <w:vAlign w:val="center"/>
          </w:tcPr>
          <w:p w:rsidR="0074701B" w:rsidRPr="00805964" w:rsidRDefault="000F4F0F" w:rsidP="0029635A">
            <w:pPr>
              <w:contextualSpacing/>
              <w:jc w:val="center"/>
            </w:pPr>
            <w:r w:rsidRPr="00805964">
              <w:t>0</w:t>
            </w:r>
          </w:p>
        </w:tc>
        <w:tc>
          <w:tcPr>
            <w:tcW w:w="1389" w:type="dxa"/>
            <w:vAlign w:val="center"/>
          </w:tcPr>
          <w:p w:rsidR="0074701B" w:rsidRPr="00805964" w:rsidRDefault="0074701B" w:rsidP="0029635A">
            <w:pPr>
              <w:contextualSpacing/>
              <w:jc w:val="center"/>
            </w:pPr>
            <w:r w:rsidRPr="00805964">
              <w:t>10</w:t>
            </w:r>
          </w:p>
        </w:tc>
        <w:tc>
          <w:tcPr>
            <w:tcW w:w="1269" w:type="dxa"/>
            <w:vAlign w:val="center"/>
          </w:tcPr>
          <w:p w:rsidR="0074701B" w:rsidRPr="00805964" w:rsidRDefault="000F4F0F" w:rsidP="0029635A">
            <w:pPr>
              <w:contextualSpacing/>
              <w:jc w:val="center"/>
              <w:rPr>
                <w:b/>
              </w:rPr>
            </w:pPr>
            <w:r w:rsidRPr="00805964">
              <w:rPr>
                <w:b/>
              </w:rPr>
              <w:t>0</w:t>
            </w:r>
          </w:p>
        </w:tc>
      </w:tr>
      <w:tr w:rsidR="0074701B" w:rsidRPr="00805964" w:rsidTr="0015712D">
        <w:trPr>
          <w:trHeight w:val="806"/>
          <w:jc w:val="center"/>
        </w:trPr>
        <w:tc>
          <w:tcPr>
            <w:tcW w:w="1121" w:type="dxa"/>
            <w:vMerge/>
          </w:tcPr>
          <w:p w:rsidR="0074701B" w:rsidRPr="00805964" w:rsidRDefault="0074701B" w:rsidP="0029635A">
            <w:pPr>
              <w:contextualSpacing/>
              <w:jc w:val="center"/>
            </w:pPr>
          </w:p>
        </w:tc>
        <w:tc>
          <w:tcPr>
            <w:tcW w:w="2816" w:type="dxa"/>
            <w:vAlign w:val="center"/>
          </w:tcPr>
          <w:p w:rsidR="0074701B" w:rsidRPr="00805964" w:rsidRDefault="0074701B" w:rsidP="0029635A">
            <w:pPr>
              <w:contextualSpacing/>
              <w:jc w:val="center"/>
            </w:pPr>
            <w:r w:rsidRPr="00805964">
              <w:rPr>
                <w:rFonts w:cs="Times New Roman"/>
                <w:sz w:val="24"/>
                <w:szCs w:val="24"/>
              </w:rPr>
              <w:t>Připomínkování běžné legislativy - přijato ve znění schváleném Senátem</w:t>
            </w:r>
          </w:p>
        </w:tc>
        <w:tc>
          <w:tcPr>
            <w:tcW w:w="1308" w:type="dxa"/>
            <w:vAlign w:val="center"/>
          </w:tcPr>
          <w:p w:rsidR="0074701B" w:rsidRPr="00805964" w:rsidRDefault="0074701B" w:rsidP="0029635A">
            <w:pPr>
              <w:contextualSpacing/>
              <w:jc w:val="center"/>
            </w:pPr>
            <w:r w:rsidRPr="00805964">
              <w:t>0,75</w:t>
            </w:r>
          </w:p>
        </w:tc>
        <w:tc>
          <w:tcPr>
            <w:tcW w:w="1389" w:type="dxa"/>
            <w:vAlign w:val="center"/>
          </w:tcPr>
          <w:p w:rsidR="0074701B" w:rsidRPr="00805964" w:rsidRDefault="0074701B" w:rsidP="0029635A">
            <w:pPr>
              <w:contextualSpacing/>
              <w:jc w:val="center"/>
            </w:pPr>
            <w:r w:rsidRPr="00805964">
              <w:t>12</w:t>
            </w:r>
          </w:p>
        </w:tc>
        <w:tc>
          <w:tcPr>
            <w:tcW w:w="1269" w:type="dxa"/>
            <w:vAlign w:val="center"/>
          </w:tcPr>
          <w:p w:rsidR="0074701B" w:rsidRPr="00805964" w:rsidRDefault="0074701B" w:rsidP="0029635A">
            <w:pPr>
              <w:contextualSpacing/>
              <w:jc w:val="center"/>
              <w:rPr>
                <w:b/>
              </w:rPr>
            </w:pPr>
            <w:r w:rsidRPr="00805964">
              <w:rPr>
                <w:b/>
              </w:rPr>
              <w:t>9</w:t>
            </w:r>
          </w:p>
        </w:tc>
      </w:tr>
      <w:tr w:rsidR="0074701B" w:rsidRPr="00805964" w:rsidTr="0015712D">
        <w:trPr>
          <w:trHeight w:val="806"/>
          <w:jc w:val="center"/>
        </w:trPr>
        <w:tc>
          <w:tcPr>
            <w:tcW w:w="1121" w:type="dxa"/>
            <w:vMerge/>
          </w:tcPr>
          <w:p w:rsidR="0074701B" w:rsidRPr="00805964" w:rsidRDefault="0074701B" w:rsidP="0029635A">
            <w:pPr>
              <w:contextualSpacing/>
              <w:jc w:val="center"/>
            </w:pPr>
          </w:p>
        </w:tc>
        <w:tc>
          <w:tcPr>
            <w:tcW w:w="2816" w:type="dxa"/>
            <w:vAlign w:val="center"/>
          </w:tcPr>
          <w:p w:rsidR="0074701B" w:rsidRPr="00805964" w:rsidRDefault="0074701B" w:rsidP="0029635A">
            <w:pPr>
              <w:contextualSpacing/>
              <w:jc w:val="center"/>
            </w:pPr>
            <w:r w:rsidRPr="00805964">
              <w:rPr>
                <w:rFonts w:cs="Times New Roman"/>
                <w:sz w:val="24"/>
                <w:szCs w:val="24"/>
              </w:rPr>
              <w:t>Zamítnutí mezinárodní smlouvy</w:t>
            </w:r>
          </w:p>
        </w:tc>
        <w:tc>
          <w:tcPr>
            <w:tcW w:w="1308" w:type="dxa"/>
            <w:vAlign w:val="center"/>
          </w:tcPr>
          <w:p w:rsidR="0074701B" w:rsidRPr="00805964" w:rsidRDefault="000F4F0F" w:rsidP="0029635A">
            <w:pPr>
              <w:contextualSpacing/>
              <w:jc w:val="center"/>
            </w:pPr>
            <w:r w:rsidRPr="00805964">
              <w:t>2</w:t>
            </w:r>
          </w:p>
        </w:tc>
        <w:tc>
          <w:tcPr>
            <w:tcW w:w="1389" w:type="dxa"/>
            <w:vAlign w:val="center"/>
          </w:tcPr>
          <w:p w:rsidR="0074701B" w:rsidRPr="00805964" w:rsidRDefault="0074701B" w:rsidP="0029635A">
            <w:pPr>
              <w:contextualSpacing/>
              <w:jc w:val="center"/>
            </w:pPr>
            <w:r w:rsidRPr="00805964">
              <w:t>0</w:t>
            </w:r>
          </w:p>
        </w:tc>
        <w:tc>
          <w:tcPr>
            <w:tcW w:w="1269" w:type="dxa"/>
            <w:vAlign w:val="center"/>
          </w:tcPr>
          <w:p w:rsidR="0074701B" w:rsidRPr="00805964" w:rsidRDefault="0074701B" w:rsidP="0029635A">
            <w:pPr>
              <w:contextualSpacing/>
              <w:jc w:val="center"/>
              <w:rPr>
                <w:b/>
              </w:rPr>
            </w:pPr>
            <w:r w:rsidRPr="00805964">
              <w:rPr>
                <w:b/>
              </w:rPr>
              <w:t>0</w:t>
            </w:r>
          </w:p>
        </w:tc>
      </w:tr>
      <w:tr w:rsidR="0074701B" w:rsidRPr="00805964" w:rsidTr="0015712D">
        <w:trPr>
          <w:trHeight w:val="806"/>
          <w:jc w:val="center"/>
        </w:trPr>
        <w:tc>
          <w:tcPr>
            <w:tcW w:w="1121" w:type="dxa"/>
            <w:vMerge/>
          </w:tcPr>
          <w:p w:rsidR="0074701B" w:rsidRPr="00805964" w:rsidRDefault="0074701B" w:rsidP="0029635A">
            <w:pPr>
              <w:contextualSpacing/>
              <w:jc w:val="center"/>
            </w:pPr>
          </w:p>
        </w:tc>
        <w:tc>
          <w:tcPr>
            <w:tcW w:w="2816" w:type="dxa"/>
            <w:vAlign w:val="center"/>
          </w:tcPr>
          <w:p w:rsidR="0074701B" w:rsidRPr="00805964" w:rsidRDefault="0074701B" w:rsidP="0029635A">
            <w:pPr>
              <w:contextualSpacing/>
              <w:jc w:val="center"/>
              <w:rPr>
                <w:b/>
              </w:rPr>
            </w:pPr>
            <w:r w:rsidRPr="00805964">
              <w:rPr>
                <w:b/>
              </w:rPr>
              <w:t>CELKEM</w:t>
            </w:r>
          </w:p>
        </w:tc>
        <w:tc>
          <w:tcPr>
            <w:tcW w:w="1308" w:type="dxa"/>
            <w:vAlign w:val="center"/>
          </w:tcPr>
          <w:p w:rsidR="0074701B" w:rsidRPr="00805964" w:rsidRDefault="0074701B" w:rsidP="0029635A">
            <w:pPr>
              <w:contextualSpacing/>
              <w:jc w:val="center"/>
              <w:rPr>
                <w:b/>
              </w:rPr>
            </w:pPr>
          </w:p>
        </w:tc>
        <w:tc>
          <w:tcPr>
            <w:tcW w:w="1389" w:type="dxa"/>
            <w:vAlign w:val="center"/>
          </w:tcPr>
          <w:p w:rsidR="0074701B" w:rsidRPr="00805964" w:rsidRDefault="0074701B" w:rsidP="0029635A">
            <w:pPr>
              <w:contextualSpacing/>
              <w:jc w:val="center"/>
              <w:rPr>
                <w:b/>
              </w:rPr>
            </w:pPr>
            <w:r w:rsidRPr="00805964">
              <w:rPr>
                <w:b/>
              </w:rPr>
              <w:t>24</w:t>
            </w:r>
          </w:p>
        </w:tc>
        <w:tc>
          <w:tcPr>
            <w:tcW w:w="1269" w:type="dxa"/>
            <w:vAlign w:val="center"/>
          </w:tcPr>
          <w:p w:rsidR="0074701B" w:rsidRPr="00805964" w:rsidRDefault="000F4F0F" w:rsidP="0029635A">
            <w:pPr>
              <w:contextualSpacing/>
              <w:jc w:val="center"/>
              <w:rPr>
                <w:b/>
              </w:rPr>
            </w:pPr>
            <w:r w:rsidRPr="00805964">
              <w:rPr>
                <w:b/>
              </w:rPr>
              <w:t>9</w:t>
            </w:r>
          </w:p>
        </w:tc>
      </w:tr>
    </w:tbl>
    <w:p w:rsidR="00265145" w:rsidRPr="00805964" w:rsidRDefault="00265145" w:rsidP="00265145">
      <w:pPr>
        <w:spacing w:line="360" w:lineRule="auto"/>
        <w:contextualSpacing/>
        <w:jc w:val="center"/>
        <w:rPr>
          <w:i/>
          <w:sz w:val="22"/>
        </w:rPr>
      </w:pPr>
      <w:r w:rsidRPr="00805964">
        <w:rPr>
          <w:i/>
          <w:sz w:val="22"/>
        </w:rPr>
        <w:t>Zpracoval: Autor.</w:t>
      </w:r>
    </w:p>
    <w:p w:rsidR="00EC6317" w:rsidRPr="00805964" w:rsidRDefault="00EC6317" w:rsidP="0029635A">
      <w:pPr>
        <w:spacing w:line="360" w:lineRule="auto"/>
        <w:contextualSpacing/>
        <w:jc w:val="both"/>
      </w:pPr>
    </w:p>
    <w:p w:rsidR="003535C4" w:rsidRPr="00805964" w:rsidRDefault="003535C4" w:rsidP="0029635A">
      <w:pPr>
        <w:spacing w:line="360" w:lineRule="auto"/>
        <w:contextualSpacing/>
        <w:jc w:val="both"/>
        <w:rPr>
          <w:u w:val="single"/>
        </w:rPr>
      </w:pPr>
    </w:p>
    <w:p w:rsidR="00986A31" w:rsidRPr="00805964" w:rsidRDefault="00986A31" w:rsidP="0029635A">
      <w:pPr>
        <w:spacing w:line="360" w:lineRule="auto"/>
        <w:contextualSpacing/>
        <w:jc w:val="both"/>
        <w:rPr>
          <w:szCs w:val="24"/>
          <w:u w:val="single"/>
        </w:rPr>
      </w:pPr>
      <w:r w:rsidRPr="00805964">
        <w:rPr>
          <w:u w:val="single"/>
        </w:rPr>
        <w:t>Výpočet vážené poměrné efektivity v této variantě je následující</w:t>
      </w:r>
      <w:r w:rsidRPr="00805964">
        <w:rPr>
          <w:szCs w:val="24"/>
          <w:u w:val="single"/>
        </w:rPr>
        <w:t>:</w:t>
      </w:r>
    </w:p>
    <w:p w:rsidR="00986A31" w:rsidRPr="00805964" w:rsidRDefault="00986A31" w:rsidP="0029635A">
      <w:pPr>
        <w:spacing w:line="360" w:lineRule="auto"/>
        <w:contextualSpacing/>
        <w:jc w:val="both"/>
        <w:rPr>
          <w:szCs w:val="24"/>
        </w:rPr>
      </w:pPr>
      <w:r w:rsidRPr="00805964">
        <w:rPr>
          <w:szCs w:val="24"/>
        </w:rPr>
        <w:br/>
      </w:r>
      <m:oMathPara>
        <m:oMath>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0∙4</m:t>
                  </m:r>
                </m:e>
              </m:d>
              <m:r>
                <w:rPr>
                  <w:rFonts w:ascii="Cambria Math" w:hAnsi="Cambria Math"/>
                  <w:szCs w:val="24"/>
                </w:rPr>
                <m:t>+</m:t>
              </m:r>
              <m:d>
                <m:dPr>
                  <m:ctrlPr>
                    <w:rPr>
                      <w:rFonts w:ascii="Cambria Math" w:hAnsi="Cambria Math"/>
                      <w:i/>
                      <w:szCs w:val="24"/>
                    </w:rPr>
                  </m:ctrlPr>
                </m:dPr>
                <m:e>
                  <m:r>
                    <w:rPr>
                      <w:rFonts w:ascii="Cambria Math" w:hAnsi="Cambria Math"/>
                      <w:szCs w:val="24"/>
                    </w:rPr>
                    <m:t>0∙2</m:t>
                  </m:r>
                </m:e>
              </m:d>
              <m:r>
                <w:rPr>
                  <w:rFonts w:ascii="Cambria Math" w:hAnsi="Cambria Math"/>
                  <w:szCs w:val="24"/>
                </w:rPr>
                <m:t>+</m:t>
              </m:r>
              <m:d>
                <m:dPr>
                  <m:ctrlPr>
                    <w:rPr>
                      <w:rFonts w:ascii="Cambria Math" w:hAnsi="Cambria Math"/>
                      <w:i/>
                      <w:szCs w:val="24"/>
                    </w:rPr>
                  </m:ctrlPr>
                </m:dPr>
                <m:e>
                  <m:r>
                    <w:rPr>
                      <w:rFonts w:ascii="Cambria Math" w:hAnsi="Cambria Math"/>
                      <w:szCs w:val="24"/>
                    </w:rPr>
                    <m:t>0∙1</m:t>
                  </m:r>
                </m:e>
              </m:d>
              <m:r>
                <w:rPr>
                  <w:rFonts w:ascii="Cambria Math" w:hAnsi="Cambria Math"/>
                  <w:szCs w:val="24"/>
                </w:rPr>
                <m:t>+</m:t>
              </m:r>
              <m:d>
                <m:dPr>
                  <m:ctrlPr>
                    <w:rPr>
                      <w:rFonts w:ascii="Cambria Math" w:hAnsi="Cambria Math"/>
                      <w:i/>
                      <w:szCs w:val="24"/>
                    </w:rPr>
                  </m:ctrlPr>
                </m:dPr>
                <m:e>
                  <m:r>
                    <w:rPr>
                      <w:rFonts w:ascii="Cambria Math" w:hAnsi="Cambria Math"/>
                      <w:szCs w:val="24"/>
                    </w:rPr>
                    <m:t>2∙0</m:t>
                  </m:r>
                </m:e>
              </m:d>
              <m:r>
                <w:rPr>
                  <w:rFonts w:ascii="Cambria Math" w:hAnsi="Cambria Math"/>
                  <w:szCs w:val="24"/>
                </w:rPr>
                <m:t>+</m:t>
              </m:r>
              <m:d>
                <m:dPr>
                  <m:ctrlPr>
                    <w:rPr>
                      <w:rFonts w:ascii="Cambria Math" w:hAnsi="Cambria Math"/>
                      <w:i/>
                      <w:szCs w:val="24"/>
                    </w:rPr>
                  </m:ctrlPr>
                </m:dPr>
                <m:e>
                  <m:r>
                    <w:rPr>
                      <w:rFonts w:ascii="Cambria Math" w:hAnsi="Cambria Math"/>
                      <w:szCs w:val="24"/>
                    </w:rPr>
                    <m:t>10∙0</m:t>
                  </m:r>
                </m:e>
              </m:d>
              <m:r>
                <w:rPr>
                  <w:rFonts w:ascii="Cambria Math" w:hAnsi="Cambria Math"/>
                  <w:szCs w:val="24"/>
                </w:rPr>
                <m:t>+</m:t>
              </m:r>
              <m:d>
                <m:dPr>
                  <m:ctrlPr>
                    <w:rPr>
                      <w:rFonts w:ascii="Cambria Math" w:hAnsi="Cambria Math"/>
                      <w:i/>
                      <w:szCs w:val="24"/>
                    </w:rPr>
                  </m:ctrlPr>
                </m:dPr>
                <m:e>
                  <m:r>
                    <w:rPr>
                      <w:rFonts w:ascii="Cambria Math" w:hAnsi="Cambria Math"/>
                      <w:szCs w:val="24"/>
                    </w:rPr>
                    <m:t>12∙0,75</m:t>
                  </m:r>
                </m:e>
              </m:d>
              <m:r>
                <w:rPr>
                  <w:rFonts w:ascii="Cambria Math" w:hAnsi="Cambria Math"/>
                  <w:szCs w:val="24"/>
                </w:rPr>
                <m:t>+</m:t>
              </m:r>
              <m:d>
                <m:dPr>
                  <m:ctrlPr>
                    <w:rPr>
                      <w:rFonts w:ascii="Cambria Math" w:hAnsi="Cambria Math"/>
                      <w:i/>
                      <w:szCs w:val="24"/>
                    </w:rPr>
                  </m:ctrlPr>
                </m:dPr>
                <m:e>
                  <m:r>
                    <w:rPr>
                      <w:rFonts w:ascii="Cambria Math" w:hAnsi="Cambria Math"/>
                      <w:szCs w:val="24"/>
                    </w:rPr>
                    <m:t>0∙2</m:t>
                  </m:r>
                </m:e>
              </m:d>
            </m:num>
            <m:den>
              <m:d>
                <m:dPr>
                  <m:ctrlPr>
                    <w:rPr>
                      <w:rFonts w:ascii="Cambria Math" w:hAnsi="Cambria Math"/>
                      <w:i/>
                      <w:szCs w:val="24"/>
                    </w:rPr>
                  </m:ctrlPr>
                </m:dPr>
                <m:e>
                  <m:r>
                    <w:rPr>
                      <w:rFonts w:ascii="Cambria Math" w:hAnsi="Cambria Math"/>
                      <w:szCs w:val="24"/>
                    </w:rPr>
                    <m:t>0∙4</m:t>
                  </m:r>
                </m:e>
              </m:d>
              <m:r>
                <w:rPr>
                  <w:rFonts w:ascii="Cambria Math" w:hAnsi="Cambria Math"/>
                  <w:szCs w:val="24"/>
                </w:rPr>
                <m:t>+</m:t>
              </m:r>
              <m:d>
                <m:dPr>
                  <m:ctrlPr>
                    <w:rPr>
                      <w:rFonts w:ascii="Cambria Math" w:hAnsi="Cambria Math"/>
                      <w:i/>
                      <w:szCs w:val="24"/>
                    </w:rPr>
                  </m:ctrlPr>
                </m:dPr>
                <m:e>
                  <m:r>
                    <w:rPr>
                      <w:rFonts w:ascii="Cambria Math" w:hAnsi="Cambria Math"/>
                      <w:szCs w:val="24"/>
                    </w:rPr>
                    <m:t>0∙2</m:t>
                  </m:r>
                </m:e>
              </m:d>
              <m:r>
                <w:rPr>
                  <w:rFonts w:ascii="Cambria Math" w:hAnsi="Cambria Math"/>
                  <w:szCs w:val="24"/>
                </w:rPr>
                <m:t>+</m:t>
              </m:r>
              <m:d>
                <m:dPr>
                  <m:ctrlPr>
                    <w:rPr>
                      <w:rFonts w:ascii="Cambria Math" w:hAnsi="Cambria Math"/>
                      <w:i/>
                      <w:szCs w:val="24"/>
                    </w:rPr>
                  </m:ctrlPr>
                </m:dPr>
                <m:e>
                  <m:r>
                    <w:rPr>
                      <w:rFonts w:ascii="Cambria Math" w:hAnsi="Cambria Math"/>
                      <w:szCs w:val="24"/>
                    </w:rPr>
                    <m:t>0+2</m:t>
                  </m:r>
                </m:e>
              </m:d>
              <m:r>
                <w:rPr>
                  <w:rFonts w:ascii="Cambria Math" w:hAnsi="Cambria Math"/>
                  <w:szCs w:val="24"/>
                </w:rPr>
                <m:t>∙1+</m:t>
              </m:r>
              <m:d>
                <m:dPr>
                  <m:ctrlPr>
                    <w:rPr>
                      <w:rFonts w:ascii="Cambria Math" w:hAnsi="Cambria Math"/>
                      <w:i/>
                      <w:szCs w:val="24"/>
                    </w:rPr>
                  </m:ctrlPr>
                </m:dPr>
                <m:e>
                  <m:r>
                    <w:rPr>
                      <w:rFonts w:ascii="Cambria Math" w:hAnsi="Cambria Math"/>
                      <w:szCs w:val="24"/>
                    </w:rPr>
                    <m:t>10+12</m:t>
                  </m:r>
                </m:e>
              </m:d>
              <m:r>
                <w:rPr>
                  <w:rFonts w:ascii="Cambria Math" w:hAnsi="Cambria Math"/>
                  <w:szCs w:val="24"/>
                </w:rPr>
                <m:t>∙0,75+</m:t>
              </m:r>
              <m:d>
                <m:dPr>
                  <m:ctrlPr>
                    <w:rPr>
                      <w:rFonts w:ascii="Cambria Math" w:hAnsi="Cambria Math"/>
                      <w:i/>
                      <w:szCs w:val="24"/>
                    </w:rPr>
                  </m:ctrlPr>
                </m:dPr>
                <m:e>
                  <m:r>
                    <w:rPr>
                      <w:rFonts w:ascii="Cambria Math" w:hAnsi="Cambria Math"/>
                      <w:szCs w:val="24"/>
                    </w:rPr>
                    <m:t>0∙2</m:t>
                  </m:r>
                </m:e>
              </m:d>
            </m:den>
          </m:f>
        </m:oMath>
      </m:oMathPara>
    </w:p>
    <w:p w:rsidR="00986A31" w:rsidRPr="00805964" w:rsidRDefault="00986A31" w:rsidP="0029635A">
      <w:pPr>
        <w:spacing w:line="360" w:lineRule="auto"/>
        <w:contextualSpacing/>
        <w:jc w:val="both"/>
        <w:rPr>
          <w:rFonts w:eastAsiaTheme="minorEastAsia"/>
          <w:szCs w:val="24"/>
        </w:rPr>
      </w:pPr>
    </w:p>
    <w:p w:rsidR="00475B6B" w:rsidRPr="00805964" w:rsidRDefault="00986A31" w:rsidP="00475B6B">
      <w:pPr>
        <w:spacing w:line="360" w:lineRule="auto"/>
        <w:contextualSpacing/>
        <w:jc w:val="both"/>
        <w:rPr>
          <w:b/>
          <w:i/>
          <w:szCs w:val="24"/>
        </w:rPr>
      </w:pPr>
      <m:oMathPara>
        <m:oMath>
          <m:r>
            <w:rPr>
              <w:rFonts w:ascii="Cambria Math" w:hAnsi="Cambria Math"/>
              <w:szCs w:val="24"/>
            </w:rPr>
            <m:t>=</m:t>
          </m:r>
          <m:f>
            <m:fPr>
              <m:ctrlPr>
                <w:rPr>
                  <w:rFonts w:ascii="Cambria Math" w:hAnsi="Cambria Math"/>
                  <w:i/>
                  <w:szCs w:val="24"/>
                </w:rPr>
              </m:ctrlPr>
            </m:fPr>
            <m:num>
              <m:r>
                <w:rPr>
                  <w:rFonts w:ascii="Cambria Math" w:hAnsi="Cambria Math"/>
                  <w:szCs w:val="24"/>
                </w:rPr>
                <m:t>0+0+0+0+0+9+0</m:t>
              </m:r>
            </m:num>
            <m:den>
              <m:r>
                <w:rPr>
                  <w:rFonts w:ascii="Cambria Math" w:hAnsi="Cambria Math"/>
                  <w:szCs w:val="24"/>
                </w:rPr>
                <m:t>0+0+2+16,5+0</m:t>
              </m:r>
            </m:den>
          </m:f>
          <m:r>
            <w:rPr>
              <w:rFonts w:ascii="Cambria Math" w:hAnsi="Cambria Math"/>
              <w:szCs w:val="24"/>
            </w:rPr>
            <m:t>=</m:t>
          </m:r>
          <m:f>
            <m:fPr>
              <m:ctrlPr>
                <w:rPr>
                  <w:rFonts w:ascii="Cambria Math" w:hAnsi="Cambria Math"/>
                  <w:i/>
                  <w:szCs w:val="24"/>
                </w:rPr>
              </m:ctrlPr>
            </m:fPr>
            <m:num>
              <m:r>
                <w:rPr>
                  <w:rFonts w:ascii="Cambria Math" w:hAnsi="Cambria Math"/>
                  <w:szCs w:val="24"/>
                </w:rPr>
                <m:t>9</m:t>
              </m:r>
            </m:num>
            <m:den>
              <m:r>
                <w:rPr>
                  <w:rFonts w:ascii="Cambria Math" w:hAnsi="Cambria Math"/>
                  <w:szCs w:val="24"/>
                </w:rPr>
                <m:t>18,5</m:t>
              </m:r>
            </m:den>
          </m:f>
          <m:r>
            <w:rPr>
              <w:rFonts w:ascii="Cambria Math" w:hAnsi="Cambria Math"/>
              <w:szCs w:val="24"/>
            </w:rPr>
            <m:t>=</m:t>
          </m:r>
          <m:r>
            <m:rPr>
              <m:sty m:val="bi"/>
            </m:rPr>
            <w:rPr>
              <w:rFonts w:ascii="Cambria Math" w:hAnsi="Cambria Math"/>
              <w:szCs w:val="24"/>
            </w:rPr>
            <m:t>48,64 %</m:t>
          </m:r>
        </m:oMath>
      </m:oMathPara>
    </w:p>
    <w:p w:rsidR="00475B6B" w:rsidRPr="00805964" w:rsidRDefault="00475B6B" w:rsidP="00475B6B">
      <w:pPr>
        <w:spacing w:line="360" w:lineRule="auto"/>
        <w:contextualSpacing/>
        <w:jc w:val="both"/>
        <w:rPr>
          <w:b/>
          <w:i/>
          <w:szCs w:val="24"/>
        </w:rPr>
      </w:pPr>
    </w:p>
    <w:p w:rsidR="00475B6B" w:rsidRPr="00805964" w:rsidRDefault="00475B6B" w:rsidP="00475B6B">
      <w:pPr>
        <w:spacing w:line="360" w:lineRule="auto"/>
        <w:contextualSpacing/>
        <w:jc w:val="both"/>
        <w:rPr>
          <w:b/>
          <w:i/>
          <w:szCs w:val="24"/>
        </w:rPr>
      </w:pPr>
    </w:p>
    <w:p w:rsidR="00821F57" w:rsidRPr="00805964" w:rsidRDefault="00821F57" w:rsidP="00475B6B">
      <w:pPr>
        <w:spacing w:line="360" w:lineRule="auto"/>
        <w:contextualSpacing/>
        <w:jc w:val="both"/>
        <w:rPr>
          <w:b/>
          <w:i/>
          <w:szCs w:val="24"/>
        </w:rPr>
      </w:pPr>
    </w:p>
    <w:p w:rsidR="00821F57" w:rsidRPr="00805964" w:rsidRDefault="00821F57" w:rsidP="00475B6B">
      <w:pPr>
        <w:spacing w:line="360" w:lineRule="auto"/>
        <w:contextualSpacing/>
        <w:jc w:val="both"/>
        <w:rPr>
          <w:b/>
          <w:i/>
          <w:szCs w:val="24"/>
        </w:rPr>
      </w:pPr>
    </w:p>
    <w:p w:rsidR="005B46E7" w:rsidRPr="00805964" w:rsidRDefault="00F223F2" w:rsidP="0029635A">
      <w:pPr>
        <w:pStyle w:val="Nadpis3"/>
        <w:contextualSpacing/>
      </w:pPr>
      <w:bookmarkStart w:id="20" w:name="_Toc359918286"/>
      <w:r w:rsidRPr="00805964">
        <w:lastRenderedPageBreak/>
        <w:t>3. 1. 4</w:t>
      </w:r>
      <w:r w:rsidR="005B46E7" w:rsidRPr="00805964">
        <w:t xml:space="preserve"> Zhodnocení</w:t>
      </w:r>
      <w:bookmarkEnd w:id="20"/>
    </w:p>
    <w:p w:rsidR="0006559B" w:rsidRPr="00805964" w:rsidRDefault="0006559B" w:rsidP="0029635A">
      <w:pPr>
        <w:contextualSpacing/>
      </w:pPr>
    </w:p>
    <w:p w:rsidR="004E6BC2" w:rsidRPr="00805964" w:rsidRDefault="004E6BC2" w:rsidP="0029635A">
      <w:pPr>
        <w:spacing w:line="360" w:lineRule="auto"/>
        <w:contextualSpacing/>
        <w:jc w:val="both"/>
        <w:rPr>
          <w:rFonts w:cs="Times New Roman"/>
          <w:szCs w:val="24"/>
        </w:rPr>
      </w:pPr>
      <w:r w:rsidRPr="00805964">
        <w:rPr>
          <w:rFonts w:cs="Times New Roman"/>
          <w:szCs w:val="24"/>
        </w:rPr>
        <w:tab/>
        <w:t>V období stejných většin v Poslanecké sněmovně i Senátu Parlamentu České republiky v letech 2006</w:t>
      </w:r>
      <w:r w:rsidR="000713F0" w:rsidRPr="00805964">
        <w:rPr>
          <w:rFonts w:cs="Times New Roman"/>
          <w:szCs w:val="24"/>
        </w:rPr>
        <w:t>–</w:t>
      </w:r>
      <w:r w:rsidRPr="00805964">
        <w:rPr>
          <w:rFonts w:cs="Times New Roman"/>
          <w:szCs w:val="24"/>
        </w:rPr>
        <w:t>2008 obdržel Senát v první variantě 200 bodů. Poté jsme normalizovali výslednou hodnotu počtem zákonů, čímž jsme dosáhli eliminace vlivu aktivit PS na skóre efektivity u druhé varianty, kde výsledná hodnota činí 1,04 bodu. Třetí varianta počítá poměrnou efektivitu Senátu vyjádřenou v procentuální úspěšnosti Senátu při pokusech změnit rozhodnutí Poslanecké sněmovny. V analyzovaném období se horní komoře podařilo přesně v 50 % případů změnit rozhodnutí komory dolní. Poslední varianta zkoumající váženou poměrnou efektivitu přinesla výslednou hodnotu 48,64 %.</w:t>
      </w:r>
    </w:p>
    <w:p w:rsidR="0006559B" w:rsidRPr="00805964" w:rsidRDefault="0076032B" w:rsidP="0029635A">
      <w:pPr>
        <w:spacing w:line="360" w:lineRule="auto"/>
        <w:contextualSpacing/>
        <w:jc w:val="both"/>
      </w:pPr>
      <w:r w:rsidRPr="00805964">
        <w:tab/>
        <w:t>Tato práce předpokládá, že složení komor Parlamentu má vliv na efektivnost Senátu. Na základě tohoto tvrzení jsme tedy předpokládali, že právě v období stejných většin v obou komorách bude činnost Senátu utlumena. Samozřejmě nelze vytvářet závěry na základě analýzy jednoho období, avšak již nyní lze pozorovat, že Senát  v tomto období ze 192 projednávaných běžných zákonů 142 přijal a pouze ve 24 případech se pokusil měnit rozhodnutí PS</w:t>
      </w:r>
      <w:r w:rsidR="00AD6825" w:rsidRPr="00805964">
        <w:t>. Toto jednání může být způsobeno právě složením obou komor Parlamentu</w:t>
      </w:r>
      <w:r w:rsidR="00E2214B" w:rsidRPr="00805964">
        <w:t xml:space="preserve">, avšak je třeba získané výsledné hodnoty porovnat s dalšími obdobími. </w:t>
      </w:r>
    </w:p>
    <w:p w:rsidR="00C230B0" w:rsidRPr="00805964" w:rsidRDefault="00C230B0" w:rsidP="0029635A">
      <w:pPr>
        <w:contextualSpacing/>
      </w:pPr>
    </w:p>
    <w:p w:rsidR="00AA25FA" w:rsidRPr="00805964" w:rsidRDefault="00AA25FA" w:rsidP="0029635A">
      <w:pPr>
        <w:pStyle w:val="Nadpis2"/>
        <w:spacing w:line="360" w:lineRule="auto"/>
        <w:contextualSpacing/>
        <w:jc w:val="both"/>
      </w:pPr>
      <w:bookmarkStart w:id="21" w:name="_Toc359918287"/>
      <w:r w:rsidRPr="00805964">
        <w:t xml:space="preserve">3. </w:t>
      </w:r>
      <w:r w:rsidR="0075151B" w:rsidRPr="00805964">
        <w:t xml:space="preserve">2 </w:t>
      </w:r>
      <w:r w:rsidR="000713F0" w:rsidRPr="00805964">
        <w:t>Období rozdílných většin 2010–</w:t>
      </w:r>
      <w:r w:rsidRPr="00805964">
        <w:t>2012</w:t>
      </w:r>
      <w:bookmarkEnd w:id="21"/>
    </w:p>
    <w:p w:rsidR="0005449C" w:rsidRPr="00805964" w:rsidRDefault="0005449C" w:rsidP="0029635A">
      <w:pPr>
        <w:spacing w:line="360" w:lineRule="auto"/>
        <w:contextualSpacing/>
        <w:jc w:val="both"/>
      </w:pPr>
    </w:p>
    <w:p w:rsidR="001E2FA8" w:rsidRPr="00805964" w:rsidRDefault="00B519C8" w:rsidP="0029635A">
      <w:pPr>
        <w:spacing w:line="360" w:lineRule="auto"/>
        <w:contextualSpacing/>
        <w:jc w:val="both"/>
      </w:pPr>
      <w:r w:rsidRPr="00805964">
        <w:tab/>
      </w:r>
      <w:r w:rsidR="001E2FA8" w:rsidRPr="00805964">
        <w:t xml:space="preserve">Jak je patrné z grafu č. </w:t>
      </w:r>
      <w:r w:rsidRPr="00805964">
        <w:t>4</w:t>
      </w:r>
      <w:r w:rsidR="001E2FA8" w:rsidRPr="00805964">
        <w:t>, tak v</w:t>
      </w:r>
      <w:r w:rsidR="0005449C" w:rsidRPr="00805964">
        <w:t xml:space="preserve">e volbách do Poslanecké sněmovny v roce 2010 </w:t>
      </w:r>
      <w:r w:rsidR="001E2FA8" w:rsidRPr="00805964">
        <w:t>získala nejvíc</w:t>
      </w:r>
      <w:r w:rsidR="006573AD">
        <w:t>e hlasů a mandátů levicová ČSSD</w:t>
      </w:r>
      <w:r w:rsidR="001E2FA8" w:rsidRPr="00805964">
        <w:t xml:space="preserve"> následovaná ODS, TOP 09, KSČM a Věcmi veřejnými (VV). V rámci povolebního vyjednávání o potencionálních koalicích se objevilo několik možností, avšak levicovým stranám se nepodařilo zajistit si většinu a koaliční </w:t>
      </w:r>
      <w:r w:rsidR="0082380C">
        <w:br/>
      </w:r>
      <w:r w:rsidR="001E2FA8" w:rsidRPr="00805964">
        <w:t>středo</w:t>
      </w:r>
      <w:r w:rsidR="002F787E">
        <w:t>-</w:t>
      </w:r>
      <w:r w:rsidR="001E2FA8" w:rsidRPr="00805964">
        <w:t>pravicová vláda byla sestavena ODS, TOP 09 a VV, které</w:t>
      </w:r>
      <w:r w:rsidR="006573AD">
        <w:t xml:space="preserve"> získaly 118 mandátů</w:t>
      </w:r>
      <w:r w:rsidR="00CD4930" w:rsidRPr="00805964">
        <w:t xml:space="preserve"> a měly tedy ve Sněmovně jasnou převahu.</w:t>
      </w:r>
    </w:p>
    <w:p w:rsidR="004E35D9" w:rsidRPr="00805964" w:rsidRDefault="004E35D9" w:rsidP="0029635A">
      <w:pPr>
        <w:spacing w:line="360" w:lineRule="auto"/>
        <w:contextualSpacing/>
        <w:jc w:val="both"/>
      </w:pPr>
    </w:p>
    <w:p w:rsidR="004E35D9" w:rsidRPr="00805964" w:rsidRDefault="004E35D9" w:rsidP="0029635A">
      <w:pPr>
        <w:spacing w:line="360" w:lineRule="auto"/>
        <w:contextualSpacing/>
        <w:jc w:val="both"/>
      </w:pPr>
    </w:p>
    <w:p w:rsidR="004E35D9" w:rsidRPr="00805964" w:rsidRDefault="004E35D9" w:rsidP="0029635A">
      <w:pPr>
        <w:spacing w:line="360" w:lineRule="auto"/>
        <w:contextualSpacing/>
        <w:jc w:val="both"/>
      </w:pPr>
    </w:p>
    <w:p w:rsidR="004E35D9" w:rsidRPr="00805964" w:rsidRDefault="004E35D9" w:rsidP="0029635A">
      <w:pPr>
        <w:spacing w:line="360" w:lineRule="auto"/>
        <w:contextualSpacing/>
        <w:jc w:val="both"/>
      </w:pPr>
    </w:p>
    <w:p w:rsidR="004E35D9" w:rsidRPr="00805964" w:rsidRDefault="004E35D9" w:rsidP="0029635A">
      <w:pPr>
        <w:spacing w:line="360" w:lineRule="auto"/>
        <w:contextualSpacing/>
        <w:jc w:val="both"/>
      </w:pPr>
    </w:p>
    <w:p w:rsidR="004E35D9" w:rsidRDefault="004E35D9" w:rsidP="0029635A">
      <w:pPr>
        <w:spacing w:line="360" w:lineRule="auto"/>
        <w:contextualSpacing/>
        <w:jc w:val="both"/>
      </w:pPr>
    </w:p>
    <w:p w:rsidR="00BB7495" w:rsidRPr="00805964" w:rsidRDefault="00BB7495" w:rsidP="0029635A">
      <w:pPr>
        <w:spacing w:line="360" w:lineRule="auto"/>
        <w:contextualSpacing/>
        <w:jc w:val="both"/>
      </w:pPr>
    </w:p>
    <w:p w:rsidR="00FD16D2" w:rsidRPr="00805964" w:rsidRDefault="00FD16D2" w:rsidP="0029635A">
      <w:pPr>
        <w:spacing w:line="360" w:lineRule="auto"/>
        <w:contextualSpacing/>
        <w:jc w:val="both"/>
      </w:pPr>
    </w:p>
    <w:p w:rsidR="00233CB5" w:rsidRPr="00805964" w:rsidRDefault="004E35D9" w:rsidP="004E35D9">
      <w:pPr>
        <w:spacing w:line="360" w:lineRule="auto"/>
        <w:contextualSpacing/>
        <w:jc w:val="center"/>
        <w:rPr>
          <w:b/>
          <w:sz w:val="22"/>
          <w:u w:val="single"/>
        </w:rPr>
      </w:pPr>
      <w:r w:rsidRPr="00805964">
        <w:rPr>
          <w:b/>
          <w:sz w:val="22"/>
          <w:u w:val="single"/>
        </w:rPr>
        <w:lastRenderedPageBreak/>
        <w:t>Graf č. 4: Rozdělení mandátů politickým stranám po volbách do PS v roce 2010</w:t>
      </w:r>
    </w:p>
    <w:p w:rsidR="00130519" w:rsidRPr="00805964" w:rsidRDefault="00130519" w:rsidP="0029635A">
      <w:pPr>
        <w:spacing w:line="360" w:lineRule="auto"/>
        <w:contextualSpacing/>
        <w:jc w:val="center"/>
      </w:pPr>
      <w:r w:rsidRPr="00805964">
        <w:rPr>
          <w:noProof/>
          <w:lang w:eastAsia="cs-CZ"/>
        </w:rPr>
        <w:drawing>
          <wp:inline distT="0" distB="0" distL="0" distR="0">
            <wp:extent cx="4800600" cy="2609850"/>
            <wp:effectExtent l="19050" t="0" r="1905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30519" w:rsidRPr="00805964" w:rsidRDefault="00DE40E5" w:rsidP="0029635A">
      <w:pPr>
        <w:spacing w:line="360" w:lineRule="auto"/>
        <w:contextualSpacing/>
        <w:jc w:val="center"/>
        <w:rPr>
          <w:i/>
        </w:rPr>
      </w:pPr>
      <w:r w:rsidRPr="00805964">
        <w:rPr>
          <w:i/>
          <w:sz w:val="22"/>
        </w:rPr>
        <w:t xml:space="preserve">Zdroj: </w:t>
      </w:r>
      <w:r w:rsidR="00B11D02" w:rsidRPr="00805964">
        <w:rPr>
          <w:i/>
          <w:sz w:val="22"/>
        </w:rPr>
        <w:t xml:space="preserve">Autor podle </w:t>
      </w:r>
      <w:hyperlink r:id="rId33" w:history="1">
        <w:r w:rsidRPr="00805964">
          <w:rPr>
            <w:rStyle w:val="Hypertextovodkaz"/>
            <w:i/>
            <w:color w:val="auto"/>
            <w:sz w:val="22"/>
          </w:rPr>
          <w:t>http://volby.cz/pls/ps2010/ps53?xjazyk=CZ&amp;xv=1</w:t>
        </w:r>
      </w:hyperlink>
    </w:p>
    <w:p w:rsidR="00B11D02" w:rsidRPr="00805964" w:rsidRDefault="00B11D02" w:rsidP="0029635A">
      <w:pPr>
        <w:spacing w:line="360" w:lineRule="auto"/>
        <w:contextualSpacing/>
        <w:jc w:val="center"/>
        <w:rPr>
          <w:i/>
          <w:sz w:val="22"/>
        </w:rPr>
      </w:pPr>
    </w:p>
    <w:p w:rsidR="00130519" w:rsidRPr="00805964" w:rsidRDefault="00B519C8" w:rsidP="0029635A">
      <w:pPr>
        <w:spacing w:line="360" w:lineRule="auto"/>
        <w:contextualSpacing/>
        <w:jc w:val="both"/>
      </w:pPr>
      <w:r w:rsidRPr="00805964">
        <w:tab/>
      </w:r>
      <w:r w:rsidR="00562A12" w:rsidRPr="00805964">
        <w:t>Po senátních volb</w:t>
      </w:r>
      <w:r w:rsidR="00A437D8">
        <w:t>ách v roce 2008 zaznamenala nárů</w:t>
      </w:r>
      <w:r w:rsidR="00562A12" w:rsidRPr="00805964">
        <w:t xml:space="preserve">st počtu mandátů zejména ČSSD, což vyústilo ve ztrátu dominantního postavení pravice </w:t>
      </w:r>
      <w:r w:rsidR="00B36C7A" w:rsidRPr="00805964">
        <w:t>na půdě druhé komory Parlamentu</w:t>
      </w:r>
      <w:r w:rsidR="00562A12" w:rsidRPr="00805964">
        <w:t xml:space="preserve"> </w:t>
      </w:r>
      <w:r w:rsidR="00DC2678">
        <w:t>v </w:t>
      </w:r>
      <w:r w:rsidR="00562A12" w:rsidRPr="00805964">
        <w:t>letech 2010</w:t>
      </w:r>
      <w:r w:rsidR="000713F0" w:rsidRPr="00805964">
        <w:t>–</w:t>
      </w:r>
      <w:r w:rsidR="00562A12" w:rsidRPr="00805964">
        <w:t>2012</w:t>
      </w:r>
      <w:r w:rsidR="00EA670D">
        <w:t>, kdy</w:t>
      </w:r>
      <w:r w:rsidR="00B36C7A" w:rsidRPr="00805964">
        <w:t xml:space="preserve"> nadpoloviční většinou disponovala levice, a to zejména </w:t>
      </w:r>
      <w:r w:rsidR="00562A12" w:rsidRPr="00805964">
        <w:t xml:space="preserve">právě </w:t>
      </w:r>
      <w:r w:rsidR="00B36C7A" w:rsidRPr="00805964">
        <w:t xml:space="preserve">díky </w:t>
      </w:r>
      <w:r w:rsidRPr="00805964">
        <w:t>41 mandátům ČSSD. Rozdělení mandátů</w:t>
      </w:r>
      <w:r w:rsidR="008C7BB6" w:rsidRPr="00805964">
        <w:t xml:space="preserve"> </w:t>
      </w:r>
      <w:r w:rsidRPr="00805964">
        <w:t xml:space="preserve">mezi jednotlivé politické strany či uskupení </w:t>
      </w:r>
      <w:r w:rsidR="00DC2678">
        <w:t>v </w:t>
      </w:r>
      <w:r w:rsidRPr="00805964">
        <w:t>Senátu</w:t>
      </w:r>
      <w:r w:rsidR="008C7BB6" w:rsidRPr="00805964">
        <w:t xml:space="preserve"> po volbách v roce 2010 </w:t>
      </w:r>
      <w:r w:rsidRPr="00805964">
        <w:t xml:space="preserve"> je znázorněno v grafu č. 5.</w:t>
      </w:r>
      <w:r w:rsidR="008C7BB6" w:rsidRPr="00805964">
        <w:t xml:space="preserve"> V letech 2010</w:t>
      </w:r>
      <w:r w:rsidR="000713F0" w:rsidRPr="00805964">
        <w:t>–</w:t>
      </w:r>
      <w:r w:rsidR="008C7BB6" w:rsidRPr="00805964">
        <w:t>2012 byly komory Parlamentu ČR složeny z opačných většin.</w:t>
      </w:r>
    </w:p>
    <w:p w:rsidR="00B11D02" w:rsidRPr="00805964" w:rsidRDefault="00B11D02" w:rsidP="0029635A">
      <w:pPr>
        <w:spacing w:line="360" w:lineRule="auto"/>
        <w:contextualSpacing/>
        <w:jc w:val="both"/>
      </w:pPr>
    </w:p>
    <w:p w:rsidR="00130519" w:rsidRPr="00805964" w:rsidRDefault="004E35D9" w:rsidP="004E35D9">
      <w:pPr>
        <w:contextualSpacing/>
        <w:jc w:val="center"/>
        <w:rPr>
          <w:b/>
          <w:sz w:val="22"/>
          <w:u w:val="single"/>
        </w:rPr>
      </w:pPr>
      <w:r w:rsidRPr="00805964">
        <w:rPr>
          <w:b/>
          <w:sz w:val="22"/>
          <w:u w:val="single"/>
        </w:rPr>
        <w:t>Graf č. 5: Rozdělení mandátů politickým stranám po volbách do Senátu v roce 2010</w:t>
      </w:r>
    </w:p>
    <w:p w:rsidR="00130519" w:rsidRPr="00805964" w:rsidRDefault="00B519C8" w:rsidP="0029635A">
      <w:pPr>
        <w:spacing w:line="360" w:lineRule="auto"/>
        <w:contextualSpacing/>
        <w:jc w:val="center"/>
      </w:pPr>
      <w:r w:rsidRPr="00805964">
        <w:rPr>
          <w:noProof/>
          <w:lang w:eastAsia="cs-CZ"/>
        </w:rPr>
        <w:drawing>
          <wp:inline distT="0" distB="0" distL="0" distR="0">
            <wp:extent cx="4743450" cy="2628900"/>
            <wp:effectExtent l="19050" t="0" r="1905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223F2" w:rsidRPr="00805964" w:rsidRDefault="00B519C8" w:rsidP="00215DCF">
      <w:pPr>
        <w:spacing w:line="360" w:lineRule="auto"/>
        <w:contextualSpacing/>
        <w:jc w:val="center"/>
        <w:rPr>
          <w:i/>
          <w:sz w:val="22"/>
        </w:rPr>
      </w:pPr>
      <w:r w:rsidRPr="00805964">
        <w:rPr>
          <w:i/>
          <w:sz w:val="22"/>
        </w:rPr>
        <w:t>Zdroj:</w:t>
      </w:r>
      <w:r w:rsidR="00B11D02" w:rsidRPr="00805964">
        <w:rPr>
          <w:i/>
          <w:sz w:val="22"/>
        </w:rPr>
        <w:t xml:space="preserve"> Autor podle</w:t>
      </w:r>
      <w:r w:rsidRPr="00805964">
        <w:rPr>
          <w:i/>
          <w:sz w:val="22"/>
        </w:rPr>
        <w:t xml:space="preserve"> </w:t>
      </w:r>
      <w:hyperlink r:id="rId35" w:history="1">
        <w:r w:rsidRPr="00805964">
          <w:rPr>
            <w:rStyle w:val="Hypertextovodkaz"/>
            <w:i/>
            <w:color w:val="auto"/>
            <w:sz w:val="22"/>
          </w:rPr>
          <w:t>http://www.ods.cz/volebni-vysledky/2010-senatni</w:t>
        </w:r>
      </w:hyperlink>
    </w:p>
    <w:p w:rsidR="00AA25FA" w:rsidRPr="00805964" w:rsidRDefault="00AA25FA" w:rsidP="0029635A">
      <w:pPr>
        <w:pStyle w:val="Nadpis3"/>
        <w:spacing w:line="360" w:lineRule="auto"/>
        <w:contextualSpacing/>
        <w:jc w:val="both"/>
      </w:pPr>
      <w:bookmarkStart w:id="22" w:name="_Toc359918288"/>
      <w:r w:rsidRPr="00805964">
        <w:lastRenderedPageBreak/>
        <w:t xml:space="preserve">3. 2. 1 První </w:t>
      </w:r>
      <w:r w:rsidR="00A80E50" w:rsidRPr="00805964">
        <w:t>a druhá varianta</w:t>
      </w:r>
      <w:bookmarkEnd w:id="22"/>
    </w:p>
    <w:p w:rsidR="00A41FDB" w:rsidRPr="00805964" w:rsidRDefault="00A41FDB" w:rsidP="0029635A">
      <w:pPr>
        <w:spacing w:line="360" w:lineRule="auto"/>
        <w:contextualSpacing/>
        <w:jc w:val="both"/>
      </w:pPr>
    </w:p>
    <w:p w:rsidR="00E2214B" w:rsidRPr="00805964" w:rsidRDefault="00EE5E45" w:rsidP="0029635A">
      <w:pPr>
        <w:spacing w:line="360" w:lineRule="auto"/>
        <w:contextualSpacing/>
        <w:jc w:val="both"/>
      </w:pPr>
      <w:r w:rsidRPr="00805964">
        <w:tab/>
      </w:r>
      <w:r w:rsidR="00A41FDB" w:rsidRPr="00805964">
        <w:t>U první varianty pro 8. funkční období vycházíme stejně jako u před</w:t>
      </w:r>
      <w:r w:rsidR="004E5460" w:rsidRPr="00805964">
        <w:t>ešlého období, tedy období 2006–</w:t>
      </w:r>
      <w:r w:rsidR="00A41FDB" w:rsidRPr="00805964">
        <w:t>2008</w:t>
      </w:r>
      <w:r w:rsidR="00EA670D">
        <w:t>,</w:t>
      </w:r>
      <w:r w:rsidR="00A41FDB" w:rsidRPr="00805964">
        <w:t xml:space="preserve"> z tabulky č. 1, kde je určena bodová kvantifikace pro jednotlivé situace, které mohou nastat při projednávání běžných zákonů. Z níže uvedené tabulky č. 1</w:t>
      </w:r>
      <w:r w:rsidR="004E5460" w:rsidRPr="00805964">
        <w:t>0 lze zjistit, že v letech 2010–</w:t>
      </w:r>
      <w:r w:rsidR="00A41FDB" w:rsidRPr="00805964">
        <w:t>2012 horní komora Parlamentu ČR schválila v původním znění 120 návrhů zákonů</w:t>
      </w:r>
      <w:r w:rsidRPr="00805964">
        <w:t xml:space="preserve"> ohodnocených 120 body. Při prosazování svých pozměňovacích návrhů byl Senát úspěšný ve </w:t>
      </w:r>
      <w:r w:rsidR="002F787E">
        <w:t>30</w:t>
      </w:r>
      <w:r w:rsidRPr="00805964">
        <w:t xml:space="preserve"> případech a naopak neúspěšný ve </w:t>
      </w:r>
      <w:r w:rsidR="002F787E">
        <w:t>31</w:t>
      </w:r>
      <w:r w:rsidRPr="00805964">
        <w:t xml:space="preserve"> případech. Za pozměňovací návrhy je </w:t>
      </w:r>
      <w:r w:rsidR="00A2640F" w:rsidRPr="00805964">
        <w:t xml:space="preserve">tak </w:t>
      </w:r>
      <w:r w:rsidRPr="00805964">
        <w:t xml:space="preserve">druhé komoře přiděleno </w:t>
      </w:r>
      <w:r w:rsidR="002F787E">
        <w:t>152</w:t>
      </w:r>
      <w:r w:rsidRPr="00805964">
        <w:t xml:space="preserve"> bodů. Při využití práva veta Senát již tak úspěšný nebyl. Sněmovna dokázala Senát přehlasovat ve 29 ze 30 případů a pouze jednou Senát dosáhl nepřijetí daného návrhu zákona. Za tyto situace dostal Senát 32 bodů. V 8. funkčním období se Senát pětkrát rozhodl návrhem nezabývat a šestkrát se nedokázal na návrhu zákona usnést v určené době. Celkový počet bodů v první variantě v období 2010</w:t>
      </w:r>
      <w:r w:rsidR="000713F0" w:rsidRPr="00805964">
        <w:t>–</w:t>
      </w:r>
      <w:r w:rsidRPr="00805964">
        <w:t xml:space="preserve">2012 je tedy </w:t>
      </w:r>
      <w:r w:rsidR="002F787E">
        <w:t>304</w:t>
      </w:r>
      <w:r w:rsidRPr="00805964">
        <w:t xml:space="preserve">. </w:t>
      </w:r>
    </w:p>
    <w:p w:rsidR="00B11D02" w:rsidRPr="00805964" w:rsidRDefault="00B11D02" w:rsidP="0029635A">
      <w:pPr>
        <w:spacing w:line="360" w:lineRule="auto"/>
        <w:contextualSpacing/>
        <w:jc w:val="both"/>
      </w:pPr>
    </w:p>
    <w:p w:rsidR="00E2214B" w:rsidRPr="00805964" w:rsidRDefault="004E35D9" w:rsidP="004E35D9">
      <w:pPr>
        <w:spacing w:line="360" w:lineRule="auto"/>
        <w:contextualSpacing/>
        <w:jc w:val="center"/>
      </w:pPr>
      <w:r w:rsidRPr="00805964">
        <w:rPr>
          <w:b/>
          <w:sz w:val="22"/>
          <w:u w:val="single"/>
        </w:rPr>
        <w:t>Tabulka č. 10: První varianta pro období 2010</w:t>
      </w:r>
      <w:r w:rsidR="000713F0" w:rsidRPr="00805964">
        <w:rPr>
          <w:b/>
          <w:sz w:val="22"/>
          <w:u w:val="single"/>
        </w:rPr>
        <w:t>–</w:t>
      </w:r>
      <w:r w:rsidRPr="00805964">
        <w:rPr>
          <w:b/>
          <w:sz w:val="22"/>
          <w:u w:val="single"/>
        </w:rPr>
        <w:t>2012</w:t>
      </w:r>
    </w:p>
    <w:tbl>
      <w:tblPr>
        <w:tblStyle w:val="Mkatabulky"/>
        <w:tblW w:w="0" w:type="auto"/>
        <w:tblLook w:val="04A0"/>
      </w:tblPr>
      <w:tblGrid>
        <w:gridCol w:w="3070"/>
        <w:gridCol w:w="3070"/>
        <w:gridCol w:w="3071"/>
      </w:tblGrid>
      <w:tr w:rsidR="006508F6" w:rsidRPr="00805964" w:rsidTr="00A41FDB">
        <w:tc>
          <w:tcPr>
            <w:tcW w:w="3070" w:type="dxa"/>
            <w:vAlign w:val="center"/>
          </w:tcPr>
          <w:p w:rsidR="006508F6" w:rsidRPr="00805964" w:rsidRDefault="006508F6" w:rsidP="0029635A">
            <w:pPr>
              <w:spacing w:line="360" w:lineRule="auto"/>
              <w:contextualSpacing/>
              <w:jc w:val="center"/>
            </w:pPr>
          </w:p>
        </w:tc>
        <w:tc>
          <w:tcPr>
            <w:tcW w:w="3070" w:type="dxa"/>
            <w:vAlign w:val="center"/>
          </w:tcPr>
          <w:p w:rsidR="006508F6" w:rsidRPr="00805964" w:rsidRDefault="006508F6" w:rsidP="0029635A">
            <w:pPr>
              <w:spacing w:line="360" w:lineRule="auto"/>
              <w:contextualSpacing/>
              <w:jc w:val="center"/>
              <w:rPr>
                <w:b/>
              </w:rPr>
            </w:pPr>
            <w:r w:rsidRPr="00805964">
              <w:rPr>
                <w:b/>
              </w:rPr>
              <w:t>počet případů</w:t>
            </w:r>
          </w:p>
        </w:tc>
        <w:tc>
          <w:tcPr>
            <w:tcW w:w="3071" w:type="dxa"/>
            <w:vAlign w:val="center"/>
          </w:tcPr>
          <w:p w:rsidR="006508F6" w:rsidRPr="00805964" w:rsidRDefault="006508F6" w:rsidP="0029635A">
            <w:pPr>
              <w:spacing w:line="360" w:lineRule="auto"/>
              <w:contextualSpacing/>
              <w:jc w:val="center"/>
              <w:rPr>
                <w:b/>
              </w:rPr>
            </w:pPr>
            <w:r w:rsidRPr="00805964">
              <w:rPr>
                <w:b/>
              </w:rPr>
              <w:t>bodové ohodnocení</w:t>
            </w:r>
          </w:p>
        </w:tc>
      </w:tr>
      <w:tr w:rsidR="006508F6" w:rsidRPr="00805964" w:rsidTr="00A41FDB">
        <w:tc>
          <w:tcPr>
            <w:tcW w:w="3070" w:type="dxa"/>
            <w:vAlign w:val="center"/>
          </w:tcPr>
          <w:p w:rsidR="006508F6" w:rsidRPr="00805964" w:rsidRDefault="006508F6" w:rsidP="00C46069">
            <w:pPr>
              <w:spacing w:line="360" w:lineRule="auto"/>
              <w:contextualSpacing/>
              <w:jc w:val="both"/>
            </w:pPr>
            <w:r w:rsidRPr="00805964">
              <w:t xml:space="preserve">Senát schválil v původním znění (1 </w:t>
            </w:r>
            <w:proofErr w:type="spellStart"/>
            <w:r w:rsidRPr="00805964">
              <w:t>b</w:t>
            </w:r>
            <w:proofErr w:type="spellEnd"/>
            <w:r w:rsidRPr="00805964">
              <w:t>.)</w:t>
            </w:r>
          </w:p>
        </w:tc>
        <w:tc>
          <w:tcPr>
            <w:tcW w:w="3070" w:type="dxa"/>
            <w:vAlign w:val="center"/>
          </w:tcPr>
          <w:p w:rsidR="006508F6" w:rsidRPr="00805964" w:rsidRDefault="006508F6" w:rsidP="0029635A">
            <w:pPr>
              <w:spacing w:line="360" w:lineRule="auto"/>
              <w:contextualSpacing/>
              <w:jc w:val="center"/>
            </w:pPr>
            <w:r w:rsidRPr="00805964">
              <w:t>120</w:t>
            </w:r>
          </w:p>
        </w:tc>
        <w:tc>
          <w:tcPr>
            <w:tcW w:w="3071" w:type="dxa"/>
            <w:vAlign w:val="center"/>
          </w:tcPr>
          <w:p w:rsidR="006508F6" w:rsidRPr="00805964" w:rsidRDefault="00A41FDB" w:rsidP="0029635A">
            <w:pPr>
              <w:spacing w:line="360" w:lineRule="auto"/>
              <w:contextualSpacing/>
              <w:jc w:val="center"/>
            </w:pPr>
            <w:r w:rsidRPr="00805964">
              <w:t>120</w:t>
            </w:r>
          </w:p>
        </w:tc>
      </w:tr>
      <w:tr w:rsidR="006508F6" w:rsidRPr="00805964" w:rsidTr="00A41FDB">
        <w:tc>
          <w:tcPr>
            <w:tcW w:w="3070" w:type="dxa"/>
            <w:vAlign w:val="center"/>
          </w:tcPr>
          <w:p w:rsidR="006508F6" w:rsidRPr="00805964" w:rsidRDefault="006508F6" w:rsidP="00C46069">
            <w:pPr>
              <w:spacing w:line="360" w:lineRule="auto"/>
              <w:contextualSpacing/>
              <w:jc w:val="both"/>
            </w:pPr>
            <w:r w:rsidRPr="00805964">
              <w:t xml:space="preserve">Senátní pozměňovací návrh </w:t>
            </w:r>
            <w:r w:rsidR="00A7709A" w:rsidRPr="00805964">
              <w:t>–</w:t>
            </w:r>
            <w:r w:rsidRPr="00805964">
              <w:t xml:space="preserve"> prošel (3 </w:t>
            </w:r>
            <w:proofErr w:type="spellStart"/>
            <w:r w:rsidRPr="00805964">
              <w:t>b</w:t>
            </w:r>
            <w:proofErr w:type="spellEnd"/>
            <w:r w:rsidRPr="00805964">
              <w:t>.)</w:t>
            </w:r>
          </w:p>
        </w:tc>
        <w:tc>
          <w:tcPr>
            <w:tcW w:w="3070" w:type="dxa"/>
            <w:vAlign w:val="center"/>
          </w:tcPr>
          <w:p w:rsidR="006508F6" w:rsidRPr="00805964" w:rsidRDefault="00903A88" w:rsidP="0029635A">
            <w:pPr>
              <w:spacing w:line="360" w:lineRule="auto"/>
              <w:contextualSpacing/>
              <w:jc w:val="center"/>
            </w:pPr>
            <w:r w:rsidRPr="00805964">
              <w:t>30</w:t>
            </w:r>
          </w:p>
        </w:tc>
        <w:tc>
          <w:tcPr>
            <w:tcW w:w="3071" w:type="dxa"/>
            <w:vAlign w:val="center"/>
          </w:tcPr>
          <w:p w:rsidR="006508F6" w:rsidRPr="00805964" w:rsidRDefault="00903A88" w:rsidP="0029635A">
            <w:pPr>
              <w:spacing w:line="360" w:lineRule="auto"/>
              <w:contextualSpacing/>
              <w:jc w:val="center"/>
            </w:pPr>
            <w:r w:rsidRPr="00805964">
              <w:t>90</w:t>
            </w:r>
          </w:p>
        </w:tc>
      </w:tr>
      <w:tr w:rsidR="006508F6" w:rsidRPr="00805964" w:rsidTr="00A41FDB">
        <w:tc>
          <w:tcPr>
            <w:tcW w:w="3070" w:type="dxa"/>
            <w:vAlign w:val="center"/>
          </w:tcPr>
          <w:p w:rsidR="006508F6" w:rsidRPr="00805964" w:rsidRDefault="006508F6" w:rsidP="00C46069">
            <w:pPr>
              <w:spacing w:line="360" w:lineRule="auto"/>
              <w:contextualSpacing/>
              <w:jc w:val="both"/>
            </w:pPr>
            <w:r w:rsidRPr="00805964">
              <w:t xml:space="preserve">Senátní pozměňovací návrh </w:t>
            </w:r>
            <w:r w:rsidR="00A7709A" w:rsidRPr="00805964">
              <w:t>–</w:t>
            </w:r>
            <w:r w:rsidRPr="00805964">
              <w:t xml:space="preserve"> neprošel (2 </w:t>
            </w:r>
            <w:proofErr w:type="spellStart"/>
            <w:r w:rsidRPr="00805964">
              <w:t>b</w:t>
            </w:r>
            <w:proofErr w:type="spellEnd"/>
            <w:r w:rsidRPr="00805964">
              <w:t>.)</w:t>
            </w:r>
          </w:p>
        </w:tc>
        <w:tc>
          <w:tcPr>
            <w:tcW w:w="3070" w:type="dxa"/>
            <w:vAlign w:val="center"/>
          </w:tcPr>
          <w:p w:rsidR="006508F6" w:rsidRPr="00805964" w:rsidRDefault="00903A88" w:rsidP="0029635A">
            <w:pPr>
              <w:spacing w:line="360" w:lineRule="auto"/>
              <w:contextualSpacing/>
              <w:jc w:val="center"/>
            </w:pPr>
            <w:r w:rsidRPr="00805964">
              <w:t>31</w:t>
            </w:r>
          </w:p>
        </w:tc>
        <w:tc>
          <w:tcPr>
            <w:tcW w:w="3071" w:type="dxa"/>
            <w:vAlign w:val="center"/>
          </w:tcPr>
          <w:p w:rsidR="006508F6" w:rsidRPr="00805964" w:rsidRDefault="00903A88" w:rsidP="0029635A">
            <w:pPr>
              <w:spacing w:line="360" w:lineRule="auto"/>
              <w:contextualSpacing/>
              <w:jc w:val="center"/>
            </w:pPr>
            <w:r w:rsidRPr="00805964">
              <w:t>62</w:t>
            </w:r>
          </w:p>
        </w:tc>
      </w:tr>
      <w:tr w:rsidR="006508F6" w:rsidRPr="00805964" w:rsidTr="00A41FDB">
        <w:tc>
          <w:tcPr>
            <w:tcW w:w="3070" w:type="dxa"/>
            <w:vAlign w:val="center"/>
          </w:tcPr>
          <w:p w:rsidR="006508F6" w:rsidRPr="00805964" w:rsidRDefault="006508F6" w:rsidP="00C46069">
            <w:pPr>
              <w:spacing w:line="360" w:lineRule="auto"/>
              <w:contextualSpacing/>
              <w:jc w:val="both"/>
            </w:pPr>
            <w:r w:rsidRPr="00805964">
              <w:t xml:space="preserve">Senát zamítl návrh zákona </w:t>
            </w:r>
            <w:r w:rsidR="00A7709A" w:rsidRPr="00805964">
              <w:t>–</w:t>
            </w:r>
            <w:r w:rsidRPr="00805964">
              <w:t xml:space="preserve"> PS přehlasovala (1 </w:t>
            </w:r>
            <w:proofErr w:type="spellStart"/>
            <w:r w:rsidRPr="00805964">
              <w:t>b</w:t>
            </w:r>
            <w:proofErr w:type="spellEnd"/>
            <w:r w:rsidRPr="00805964">
              <w:t>.)</w:t>
            </w:r>
          </w:p>
        </w:tc>
        <w:tc>
          <w:tcPr>
            <w:tcW w:w="3070" w:type="dxa"/>
            <w:vAlign w:val="center"/>
          </w:tcPr>
          <w:p w:rsidR="006508F6" w:rsidRPr="00805964" w:rsidRDefault="006508F6" w:rsidP="0029635A">
            <w:pPr>
              <w:spacing w:line="360" w:lineRule="auto"/>
              <w:contextualSpacing/>
              <w:jc w:val="center"/>
            </w:pPr>
            <w:r w:rsidRPr="00805964">
              <w:t>29</w:t>
            </w:r>
          </w:p>
        </w:tc>
        <w:tc>
          <w:tcPr>
            <w:tcW w:w="3071" w:type="dxa"/>
            <w:vAlign w:val="center"/>
          </w:tcPr>
          <w:p w:rsidR="006508F6" w:rsidRPr="00805964" w:rsidRDefault="006508F6" w:rsidP="0029635A">
            <w:pPr>
              <w:spacing w:line="360" w:lineRule="auto"/>
              <w:contextualSpacing/>
              <w:jc w:val="center"/>
            </w:pPr>
            <w:r w:rsidRPr="00805964">
              <w:t>29</w:t>
            </w:r>
          </w:p>
        </w:tc>
      </w:tr>
      <w:tr w:rsidR="006508F6" w:rsidRPr="00805964" w:rsidTr="00A41FDB">
        <w:tc>
          <w:tcPr>
            <w:tcW w:w="3070" w:type="dxa"/>
            <w:vAlign w:val="center"/>
          </w:tcPr>
          <w:p w:rsidR="006508F6" w:rsidRPr="00805964" w:rsidRDefault="006508F6" w:rsidP="00C46069">
            <w:pPr>
              <w:spacing w:line="360" w:lineRule="auto"/>
              <w:contextualSpacing/>
              <w:jc w:val="both"/>
            </w:pPr>
            <w:r w:rsidRPr="00805964">
              <w:t xml:space="preserve">Senát zamítl návrh zákona </w:t>
            </w:r>
            <w:r w:rsidR="00A7709A" w:rsidRPr="00805964">
              <w:t>–</w:t>
            </w:r>
            <w:r w:rsidRPr="00805964">
              <w:t xml:space="preserve"> PS nepřehlasovala (3 </w:t>
            </w:r>
            <w:proofErr w:type="spellStart"/>
            <w:r w:rsidRPr="00805964">
              <w:t>b</w:t>
            </w:r>
            <w:proofErr w:type="spellEnd"/>
            <w:r w:rsidRPr="00805964">
              <w:t>.)</w:t>
            </w:r>
          </w:p>
        </w:tc>
        <w:tc>
          <w:tcPr>
            <w:tcW w:w="3070" w:type="dxa"/>
            <w:vAlign w:val="center"/>
          </w:tcPr>
          <w:p w:rsidR="006508F6" w:rsidRPr="00805964" w:rsidRDefault="006508F6" w:rsidP="0029635A">
            <w:pPr>
              <w:spacing w:line="360" w:lineRule="auto"/>
              <w:contextualSpacing/>
              <w:jc w:val="center"/>
            </w:pPr>
            <w:r w:rsidRPr="00805964">
              <w:t>1</w:t>
            </w:r>
          </w:p>
        </w:tc>
        <w:tc>
          <w:tcPr>
            <w:tcW w:w="3071" w:type="dxa"/>
            <w:vAlign w:val="center"/>
          </w:tcPr>
          <w:p w:rsidR="006508F6" w:rsidRPr="00805964" w:rsidRDefault="006508F6" w:rsidP="0029635A">
            <w:pPr>
              <w:spacing w:line="360" w:lineRule="auto"/>
              <w:contextualSpacing/>
              <w:jc w:val="center"/>
            </w:pPr>
            <w:r w:rsidRPr="00805964">
              <w:t>3</w:t>
            </w:r>
          </w:p>
        </w:tc>
      </w:tr>
      <w:tr w:rsidR="006508F6" w:rsidRPr="00805964" w:rsidTr="00A41FDB">
        <w:tc>
          <w:tcPr>
            <w:tcW w:w="3070" w:type="dxa"/>
            <w:vAlign w:val="center"/>
          </w:tcPr>
          <w:p w:rsidR="006508F6" w:rsidRPr="00805964" w:rsidRDefault="006508F6" w:rsidP="00C46069">
            <w:pPr>
              <w:spacing w:line="360" w:lineRule="auto"/>
              <w:contextualSpacing/>
              <w:jc w:val="both"/>
            </w:pPr>
            <w:r w:rsidRPr="00805964">
              <w:t>Senát se návrhem nezabýval</w:t>
            </w:r>
            <w:r w:rsidRPr="00805964">
              <w:br/>
              <w:t xml:space="preserve">(0 </w:t>
            </w:r>
            <w:proofErr w:type="spellStart"/>
            <w:r w:rsidRPr="00805964">
              <w:t>b</w:t>
            </w:r>
            <w:proofErr w:type="spellEnd"/>
            <w:r w:rsidRPr="00805964">
              <w:t>.)</w:t>
            </w:r>
          </w:p>
        </w:tc>
        <w:tc>
          <w:tcPr>
            <w:tcW w:w="3070" w:type="dxa"/>
            <w:vAlign w:val="center"/>
          </w:tcPr>
          <w:p w:rsidR="006508F6" w:rsidRPr="00805964" w:rsidRDefault="006508F6" w:rsidP="0029635A">
            <w:pPr>
              <w:spacing w:line="360" w:lineRule="auto"/>
              <w:contextualSpacing/>
              <w:jc w:val="center"/>
            </w:pPr>
            <w:r w:rsidRPr="00805964">
              <w:t>5</w:t>
            </w:r>
          </w:p>
        </w:tc>
        <w:tc>
          <w:tcPr>
            <w:tcW w:w="3071" w:type="dxa"/>
            <w:vAlign w:val="center"/>
          </w:tcPr>
          <w:p w:rsidR="006508F6" w:rsidRPr="00805964" w:rsidRDefault="006508F6" w:rsidP="0029635A">
            <w:pPr>
              <w:spacing w:line="360" w:lineRule="auto"/>
              <w:contextualSpacing/>
              <w:jc w:val="center"/>
            </w:pPr>
            <w:r w:rsidRPr="00805964">
              <w:t>0</w:t>
            </w:r>
          </w:p>
        </w:tc>
      </w:tr>
      <w:tr w:rsidR="006508F6" w:rsidRPr="00805964" w:rsidTr="00A41FDB">
        <w:tc>
          <w:tcPr>
            <w:tcW w:w="3070" w:type="dxa"/>
            <w:vAlign w:val="center"/>
          </w:tcPr>
          <w:p w:rsidR="006508F6" w:rsidRPr="00805964" w:rsidRDefault="006508F6" w:rsidP="00C46069">
            <w:pPr>
              <w:spacing w:line="360" w:lineRule="auto"/>
              <w:contextualSpacing/>
              <w:jc w:val="both"/>
            </w:pPr>
            <w:r w:rsidRPr="00805964">
              <w:t xml:space="preserve">Senát se nestihl v určené době usnést (0 </w:t>
            </w:r>
            <w:proofErr w:type="spellStart"/>
            <w:r w:rsidRPr="00805964">
              <w:t>b</w:t>
            </w:r>
            <w:proofErr w:type="spellEnd"/>
            <w:r w:rsidRPr="00805964">
              <w:t>.)</w:t>
            </w:r>
          </w:p>
        </w:tc>
        <w:tc>
          <w:tcPr>
            <w:tcW w:w="3070" w:type="dxa"/>
            <w:vAlign w:val="center"/>
          </w:tcPr>
          <w:p w:rsidR="006508F6" w:rsidRPr="00805964" w:rsidRDefault="006508F6" w:rsidP="0029635A">
            <w:pPr>
              <w:spacing w:line="360" w:lineRule="auto"/>
              <w:contextualSpacing/>
              <w:jc w:val="center"/>
            </w:pPr>
            <w:r w:rsidRPr="00805964">
              <w:t>6</w:t>
            </w:r>
          </w:p>
        </w:tc>
        <w:tc>
          <w:tcPr>
            <w:tcW w:w="3071" w:type="dxa"/>
            <w:vAlign w:val="center"/>
          </w:tcPr>
          <w:p w:rsidR="006508F6" w:rsidRPr="00805964" w:rsidRDefault="006508F6" w:rsidP="0029635A">
            <w:pPr>
              <w:spacing w:line="360" w:lineRule="auto"/>
              <w:contextualSpacing/>
              <w:jc w:val="center"/>
            </w:pPr>
            <w:r w:rsidRPr="00805964">
              <w:t>0</w:t>
            </w:r>
          </w:p>
        </w:tc>
      </w:tr>
      <w:tr w:rsidR="006508F6" w:rsidRPr="00805964" w:rsidTr="00A41FDB">
        <w:tc>
          <w:tcPr>
            <w:tcW w:w="3070" w:type="dxa"/>
            <w:vAlign w:val="center"/>
          </w:tcPr>
          <w:p w:rsidR="006508F6" w:rsidRPr="00805964" w:rsidRDefault="006508F6" w:rsidP="00C46069">
            <w:pPr>
              <w:spacing w:line="360" w:lineRule="auto"/>
              <w:contextualSpacing/>
              <w:jc w:val="both"/>
            </w:pPr>
            <w:r w:rsidRPr="00805964">
              <w:t>CELKEM</w:t>
            </w:r>
          </w:p>
        </w:tc>
        <w:tc>
          <w:tcPr>
            <w:tcW w:w="3070" w:type="dxa"/>
            <w:vAlign w:val="center"/>
          </w:tcPr>
          <w:p w:rsidR="006508F6" w:rsidRPr="00805964" w:rsidRDefault="006508F6" w:rsidP="0029635A">
            <w:pPr>
              <w:spacing w:line="360" w:lineRule="auto"/>
              <w:contextualSpacing/>
              <w:jc w:val="center"/>
              <w:rPr>
                <w:b/>
              </w:rPr>
            </w:pPr>
            <w:r w:rsidRPr="00805964">
              <w:rPr>
                <w:b/>
              </w:rPr>
              <w:t>219</w:t>
            </w:r>
          </w:p>
        </w:tc>
        <w:tc>
          <w:tcPr>
            <w:tcW w:w="3071" w:type="dxa"/>
            <w:vAlign w:val="center"/>
          </w:tcPr>
          <w:p w:rsidR="006508F6" w:rsidRPr="00805964" w:rsidRDefault="00903A88" w:rsidP="0029635A">
            <w:pPr>
              <w:spacing w:line="360" w:lineRule="auto"/>
              <w:contextualSpacing/>
              <w:jc w:val="center"/>
              <w:rPr>
                <w:b/>
              </w:rPr>
            </w:pPr>
            <w:r w:rsidRPr="00805964">
              <w:rPr>
                <w:b/>
              </w:rPr>
              <w:t>304</w:t>
            </w:r>
          </w:p>
        </w:tc>
      </w:tr>
    </w:tbl>
    <w:p w:rsidR="00265145" w:rsidRPr="00805964" w:rsidRDefault="00265145" w:rsidP="00265145">
      <w:pPr>
        <w:spacing w:line="360" w:lineRule="auto"/>
        <w:contextualSpacing/>
        <w:jc w:val="center"/>
        <w:rPr>
          <w:i/>
          <w:sz w:val="22"/>
        </w:rPr>
      </w:pPr>
      <w:r w:rsidRPr="00805964">
        <w:rPr>
          <w:i/>
          <w:sz w:val="22"/>
        </w:rPr>
        <w:t>Zpracoval: Autor.</w:t>
      </w:r>
    </w:p>
    <w:p w:rsidR="00B11D02" w:rsidRPr="00805964" w:rsidRDefault="00B11D02" w:rsidP="00265145">
      <w:pPr>
        <w:spacing w:line="360" w:lineRule="auto"/>
        <w:contextualSpacing/>
        <w:jc w:val="center"/>
        <w:rPr>
          <w:i/>
          <w:sz w:val="22"/>
        </w:rPr>
      </w:pPr>
    </w:p>
    <w:p w:rsidR="0006559B" w:rsidRPr="00805964" w:rsidRDefault="00D51AAC" w:rsidP="0029635A">
      <w:pPr>
        <w:spacing w:line="360" w:lineRule="auto"/>
        <w:contextualSpacing/>
        <w:jc w:val="both"/>
      </w:pPr>
      <w:r w:rsidRPr="00805964">
        <w:tab/>
      </w:r>
      <w:r w:rsidR="002E61C3" w:rsidRPr="00805964">
        <w:t>Aplikujeme-li zde druhou námi zvolenou variantu určující průměrný počet bodů za jednotlivou situaci, zjistíme, že skóre</w:t>
      </w:r>
      <w:r w:rsidRPr="00805964">
        <w:t>,</w:t>
      </w:r>
      <w:r w:rsidR="002E61C3" w:rsidRPr="00805964">
        <w:t xml:space="preserve"> kterého Senát v tomto období dosáhl je vyšší</w:t>
      </w:r>
      <w:r w:rsidRPr="00805964">
        <w:t>,</w:t>
      </w:r>
      <w:r w:rsidR="002E61C3" w:rsidRPr="00805964">
        <w:t xml:space="preserve"> než skóre </w:t>
      </w:r>
      <w:r w:rsidR="0021313A" w:rsidRPr="00805964">
        <w:lastRenderedPageBreak/>
        <w:t>Senátu v období 2006-2008</w:t>
      </w:r>
      <w:r w:rsidRPr="00805964">
        <w:t>. Výpočet opět probíhá tak, že vezmeme celkové bodov</w:t>
      </w:r>
      <w:r w:rsidR="00EA670D">
        <w:t>é ohodnocení a normalizujeme je</w:t>
      </w:r>
      <w:r w:rsidRPr="00805964">
        <w:t xml:space="preserve"> počtem případů. Výsledný počet bodů je tedy </w:t>
      </w:r>
      <w:r w:rsidR="00903A88" w:rsidRPr="00805964">
        <w:t>po zaokrouhlení 1,39</w:t>
      </w:r>
      <w:r w:rsidR="0021313A" w:rsidRPr="00805964">
        <w:t xml:space="preserve">. </w:t>
      </w:r>
    </w:p>
    <w:p w:rsidR="00A80E50" w:rsidRPr="00805964" w:rsidRDefault="00A80E50" w:rsidP="0029635A">
      <w:pPr>
        <w:contextualSpacing/>
      </w:pPr>
    </w:p>
    <w:p w:rsidR="0006559B" w:rsidRPr="00805964" w:rsidRDefault="00AA25FA" w:rsidP="0029635A">
      <w:pPr>
        <w:pStyle w:val="Nadpis3"/>
        <w:spacing w:line="360" w:lineRule="auto"/>
        <w:contextualSpacing/>
        <w:jc w:val="both"/>
      </w:pPr>
      <w:bookmarkStart w:id="23" w:name="_Toc359918289"/>
      <w:r w:rsidRPr="00805964">
        <w:t xml:space="preserve">3. 2. 2 </w:t>
      </w:r>
      <w:r w:rsidR="00A80E50" w:rsidRPr="00805964">
        <w:t>Třetí varianta</w:t>
      </w:r>
      <w:bookmarkEnd w:id="23"/>
    </w:p>
    <w:p w:rsidR="0006559B" w:rsidRPr="00805964" w:rsidRDefault="0006559B" w:rsidP="0029635A">
      <w:pPr>
        <w:spacing w:line="360" w:lineRule="auto"/>
        <w:contextualSpacing/>
        <w:jc w:val="both"/>
      </w:pPr>
    </w:p>
    <w:p w:rsidR="005900B0" w:rsidRPr="00805964" w:rsidRDefault="005900B0" w:rsidP="0029635A">
      <w:pPr>
        <w:spacing w:line="360" w:lineRule="auto"/>
        <w:contextualSpacing/>
        <w:jc w:val="both"/>
      </w:pPr>
      <w:r w:rsidRPr="00805964">
        <w:tab/>
        <w:t>Ve třetí variantě opět počítáme poměrnou efektivitu, tedy procentuální vyjádření případů, v nichž Senát změnil rozhodnutí Poslanecké sněmovny. V osmém funkč</w:t>
      </w:r>
      <w:r w:rsidR="00101AB1" w:rsidRPr="00805964">
        <w:t>ním období podal Senát celkem 62 pozměňovacích návrhů</w:t>
      </w:r>
      <w:r w:rsidR="00EA670D">
        <w:t>,</w:t>
      </w:r>
      <w:r w:rsidR="00101AB1" w:rsidRPr="00805964">
        <w:t xml:space="preserve"> z nichž 30 Sněmovna přijala a naopak 31</w:t>
      </w:r>
      <w:r w:rsidRPr="00805964">
        <w:t xml:space="preserve"> nadpoloviční většinou hlasů přehlasovala a přijala tak návrh zákona ve znění podstoupeném Senátu. </w:t>
      </w:r>
      <w:r w:rsidR="00101AB1" w:rsidRPr="00805964">
        <w:t>Zbývající jeden návrh zákona</w:t>
      </w:r>
      <w:r w:rsidR="00EA670D">
        <w:t>,</w:t>
      </w:r>
      <w:r w:rsidR="00101AB1" w:rsidRPr="00805964">
        <w:t xml:space="preserve"> k němuž byl podán pozměňovací návrh</w:t>
      </w:r>
      <w:r w:rsidR="00EA670D">
        <w:t>,</w:t>
      </w:r>
      <w:r w:rsidR="00101AB1" w:rsidRPr="00805964">
        <w:t xml:space="preserve"> nakonec nebyl přijat v žádném znění, a proto s ním dále nepočítáme. </w:t>
      </w:r>
      <w:r w:rsidRPr="00805964">
        <w:t>Vetováno bylo celkem 30 návrhů zákonů</w:t>
      </w:r>
      <w:r w:rsidR="00EA670D">
        <w:t>,</w:t>
      </w:r>
      <w:r w:rsidRPr="00805964">
        <w:t xml:space="preserve"> z nichž 29 Sněmovna přesto po opakovaném hlasování přijala</w:t>
      </w:r>
      <w:r w:rsidR="00EA670D">
        <w:t>,</w:t>
      </w:r>
      <w:r w:rsidRPr="00805964">
        <w:t xml:space="preserve"> a pouze jeden návrh zákona, který se Senátu podařilo zamítnout. Senát se tedy pokusil změnit roz</w:t>
      </w:r>
      <w:r w:rsidR="00101AB1" w:rsidRPr="00805964">
        <w:t>hodnutí Poslanecké sněmovny v 91</w:t>
      </w:r>
      <w:r w:rsidRPr="00805964">
        <w:t xml:space="preserve"> případech.</w:t>
      </w:r>
      <w:r w:rsidR="005B6758" w:rsidRPr="00805964">
        <w:t xml:space="preserve"> Úspěšná byla druhá komora ve 31</w:t>
      </w:r>
      <w:r w:rsidRPr="00805964">
        <w:t xml:space="preserve"> případech, což znamená, že na základě této varianty byl Senát efektivní ve 3</w:t>
      </w:r>
      <w:r w:rsidR="005B6758" w:rsidRPr="00805964">
        <w:t>4,06</w:t>
      </w:r>
      <w:r w:rsidRPr="00805964">
        <w:t xml:space="preserve"> % případů.</w:t>
      </w:r>
      <w:r w:rsidR="009A265E" w:rsidRPr="00805964">
        <w:t xml:space="preserve"> Postup měření je zobrazen v tabulce č. 11.</w:t>
      </w:r>
    </w:p>
    <w:p w:rsidR="00B11D02" w:rsidRPr="00805964" w:rsidRDefault="00B11D02" w:rsidP="0029635A">
      <w:pPr>
        <w:spacing w:line="360" w:lineRule="auto"/>
        <w:contextualSpacing/>
        <w:jc w:val="both"/>
      </w:pPr>
    </w:p>
    <w:p w:rsidR="004E35D9" w:rsidRPr="00805964" w:rsidRDefault="004E35D9" w:rsidP="004E35D9">
      <w:pPr>
        <w:spacing w:line="360" w:lineRule="auto"/>
        <w:contextualSpacing/>
        <w:jc w:val="center"/>
        <w:rPr>
          <w:b/>
          <w:sz w:val="22"/>
          <w:u w:val="single"/>
        </w:rPr>
      </w:pPr>
      <w:r w:rsidRPr="00805964">
        <w:rPr>
          <w:b/>
          <w:sz w:val="22"/>
          <w:u w:val="single"/>
        </w:rPr>
        <w:t>Tabulka č. 11: Třetí varianta pro období 2010</w:t>
      </w:r>
      <w:r w:rsidR="000713F0" w:rsidRPr="00805964">
        <w:rPr>
          <w:b/>
          <w:sz w:val="22"/>
          <w:u w:val="single"/>
        </w:rPr>
        <w:t>–</w:t>
      </w:r>
      <w:r w:rsidRPr="00805964">
        <w:rPr>
          <w:b/>
          <w:sz w:val="22"/>
          <w:u w:val="single"/>
        </w:rPr>
        <w:t>2012</w:t>
      </w:r>
    </w:p>
    <w:tbl>
      <w:tblPr>
        <w:tblStyle w:val="Mkatabulky"/>
        <w:tblpPr w:leftFromText="141" w:rightFromText="141" w:vertAnchor="text" w:horzAnchor="margin" w:tblpY="143"/>
        <w:tblW w:w="9288" w:type="dxa"/>
        <w:tblLook w:val="04A0"/>
      </w:tblPr>
      <w:tblGrid>
        <w:gridCol w:w="964"/>
        <w:gridCol w:w="1451"/>
        <w:gridCol w:w="1198"/>
        <w:gridCol w:w="1219"/>
        <w:gridCol w:w="1426"/>
        <w:gridCol w:w="1933"/>
        <w:gridCol w:w="1097"/>
      </w:tblGrid>
      <w:tr w:rsidR="00A80E50" w:rsidRPr="00805964" w:rsidTr="00136262">
        <w:trPr>
          <w:trHeight w:val="763"/>
        </w:trPr>
        <w:tc>
          <w:tcPr>
            <w:tcW w:w="964" w:type="dxa"/>
            <w:vMerge w:val="restart"/>
            <w:textDirection w:val="btLr"/>
            <w:vAlign w:val="center"/>
          </w:tcPr>
          <w:p w:rsidR="00A80E50" w:rsidRPr="00805964" w:rsidRDefault="00A80E50" w:rsidP="000713F0">
            <w:pPr>
              <w:spacing w:line="360" w:lineRule="auto"/>
              <w:ind w:left="113" w:right="113"/>
              <w:contextualSpacing/>
              <w:jc w:val="center"/>
            </w:pPr>
            <w:r w:rsidRPr="00805964">
              <w:rPr>
                <w:b/>
                <w:u w:val="single"/>
              </w:rPr>
              <w:t>8. funkční období 2010</w:t>
            </w:r>
            <w:r w:rsidR="000713F0" w:rsidRPr="00805964">
              <w:rPr>
                <w:b/>
                <w:u w:val="single"/>
              </w:rPr>
              <w:t>–</w:t>
            </w:r>
            <w:r w:rsidRPr="00805964">
              <w:rPr>
                <w:b/>
                <w:u w:val="single"/>
              </w:rPr>
              <w:t>2012</w:t>
            </w:r>
          </w:p>
        </w:tc>
        <w:tc>
          <w:tcPr>
            <w:tcW w:w="1451" w:type="dxa"/>
            <w:vAlign w:val="center"/>
          </w:tcPr>
          <w:p w:rsidR="00A80E50" w:rsidRPr="00805964" w:rsidRDefault="00A80E50" w:rsidP="0029635A">
            <w:pPr>
              <w:spacing w:line="360" w:lineRule="auto"/>
              <w:contextualSpacing/>
              <w:jc w:val="center"/>
            </w:pPr>
          </w:p>
        </w:tc>
        <w:tc>
          <w:tcPr>
            <w:tcW w:w="1198" w:type="dxa"/>
            <w:vAlign w:val="center"/>
          </w:tcPr>
          <w:p w:rsidR="00A80E50" w:rsidRPr="00805964" w:rsidRDefault="00A80E50" w:rsidP="0029635A">
            <w:pPr>
              <w:spacing w:line="360" w:lineRule="auto"/>
              <w:contextualSpacing/>
              <w:jc w:val="center"/>
              <w:rPr>
                <w:b/>
                <w:u w:val="single"/>
              </w:rPr>
            </w:pPr>
            <w:r w:rsidRPr="00805964">
              <w:rPr>
                <w:b/>
                <w:u w:val="single"/>
              </w:rPr>
              <w:t>Celkem</w:t>
            </w:r>
          </w:p>
        </w:tc>
        <w:tc>
          <w:tcPr>
            <w:tcW w:w="1219" w:type="dxa"/>
            <w:vAlign w:val="center"/>
          </w:tcPr>
          <w:p w:rsidR="00A80E50" w:rsidRPr="00805964" w:rsidRDefault="00A80E50" w:rsidP="0029635A">
            <w:pPr>
              <w:spacing w:line="360" w:lineRule="auto"/>
              <w:contextualSpacing/>
              <w:jc w:val="center"/>
              <w:rPr>
                <w:b/>
                <w:u w:val="single"/>
              </w:rPr>
            </w:pPr>
            <w:r w:rsidRPr="00805964">
              <w:rPr>
                <w:b/>
                <w:u w:val="single"/>
              </w:rPr>
              <w:t>Sněmovna přehlasuje</w:t>
            </w:r>
          </w:p>
        </w:tc>
        <w:tc>
          <w:tcPr>
            <w:tcW w:w="1426" w:type="dxa"/>
            <w:vAlign w:val="center"/>
          </w:tcPr>
          <w:p w:rsidR="00A80E50" w:rsidRPr="00805964" w:rsidRDefault="00A80E50" w:rsidP="0029635A">
            <w:pPr>
              <w:spacing w:line="360" w:lineRule="auto"/>
              <w:contextualSpacing/>
              <w:jc w:val="center"/>
              <w:rPr>
                <w:b/>
                <w:u w:val="single"/>
              </w:rPr>
            </w:pPr>
            <w:r w:rsidRPr="00805964">
              <w:rPr>
                <w:b/>
                <w:u w:val="single"/>
              </w:rPr>
              <w:t>Sněmovna nepřehlasuje</w:t>
            </w:r>
          </w:p>
        </w:tc>
        <w:tc>
          <w:tcPr>
            <w:tcW w:w="1933" w:type="dxa"/>
            <w:vAlign w:val="center"/>
          </w:tcPr>
          <w:p w:rsidR="00A80E50" w:rsidRPr="00805964" w:rsidRDefault="00A80E50" w:rsidP="0029635A">
            <w:pPr>
              <w:spacing w:line="360" w:lineRule="auto"/>
              <w:contextualSpacing/>
              <w:jc w:val="center"/>
              <w:rPr>
                <w:b/>
                <w:u w:val="single"/>
              </w:rPr>
            </w:pPr>
            <w:r w:rsidRPr="00805964">
              <w:rPr>
                <w:b/>
                <w:u w:val="single"/>
              </w:rPr>
              <w:t>Poměrná efektivita</w:t>
            </w:r>
          </w:p>
        </w:tc>
        <w:tc>
          <w:tcPr>
            <w:tcW w:w="1097" w:type="dxa"/>
            <w:vAlign w:val="center"/>
          </w:tcPr>
          <w:p w:rsidR="00A80E50" w:rsidRPr="00805964" w:rsidRDefault="00A80E50" w:rsidP="0029635A">
            <w:pPr>
              <w:spacing w:line="360" w:lineRule="auto"/>
              <w:contextualSpacing/>
              <w:jc w:val="center"/>
              <w:rPr>
                <w:b/>
                <w:u w:val="single"/>
              </w:rPr>
            </w:pPr>
            <w:r w:rsidRPr="00805964">
              <w:rPr>
                <w:b/>
                <w:u w:val="single"/>
              </w:rPr>
              <w:t>Výsledek</w:t>
            </w:r>
          </w:p>
        </w:tc>
      </w:tr>
      <w:tr w:rsidR="00A80E50" w:rsidRPr="00805964" w:rsidTr="00136262">
        <w:trPr>
          <w:cantSplit/>
          <w:trHeight w:val="763"/>
        </w:trPr>
        <w:tc>
          <w:tcPr>
            <w:tcW w:w="964" w:type="dxa"/>
            <w:vMerge/>
            <w:textDirection w:val="btLr"/>
          </w:tcPr>
          <w:p w:rsidR="00A80E50" w:rsidRPr="00805964" w:rsidRDefault="00A80E50" w:rsidP="0029635A">
            <w:pPr>
              <w:spacing w:line="360" w:lineRule="auto"/>
              <w:ind w:left="113" w:right="113"/>
              <w:contextualSpacing/>
              <w:jc w:val="both"/>
              <w:rPr>
                <w:b/>
                <w:u w:val="single"/>
              </w:rPr>
            </w:pPr>
          </w:p>
        </w:tc>
        <w:tc>
          <w:tcPr>
            <w:tcW w:w="1451" w:type="dxa"/>
            <w:vAlign w:val="center"/>
          </w:tcPr>
          <w:p w:rsidR="00A80E50" w:rsidRPr="00805964" w:rsidRDefault="00A80E50" w:rsidP="0029635A">
            <w:pPr>
              <w:spacing w:line="360" w:lineRule="auto"/>
              <w:contextualSpacing/>
              <w:jc w:val="center"/>
              <w:rPr>
                <w:b/>
                <w:u w:val="single"/>
              </w:rPr>
            </w:pPr>
            <w:r w:rsidRPr="00805964">
              <w:rPr>
                <w:b/>
                <w:u w:val="single"/>
              </w:rPr>
              <w:t>Pozměňovací návrhy</w:t>
            </w:r>
          </w:p>
        </w:tc>
        <w:tc>
          <w:tcPr>
            <w:tcW w:w="1198" w:type="dxa"/>
            <w:vAlign w:val="center"/>
          </w:tcPr>
          <w:p w:rsidR="00A80E50" w:rsidRPr="00805964" w:rsidRDefault="00D51F62" w:rsidP="0029635A">
            <w:pPr>
              <w:spacing w:line="360" w:lineRule="auto"/>
              <w:contextualSpacing/>
              <w:jc w:val="center"/>
            </w:pPr>
            <w:r w:rsidRPr="00805964">
              <w:t>6</w:t>
            </w:r>
            <w:r w:rsidR="00101AB1" w:rsidRPr="00805964">
              <w:t>1</w:t>
            </w:r>
          </w:p>
        </w:tc>
        <w:tc>
          <w:tcPr>
            <w:tcW w:w="1219" w:type="dxa"/>
            <w:vAlign w:val="center"/>
          </w:tcPr>
          <w:p w:rsidR="00A80E50" w:rsidRPr="00805964" w:rsidRDefault="00D51F62" w:rsidP="0029635A">
            <w:pPr>
              <w:spacing w:line="360" w:lineRule="auto"/>
              <w:contextualSpacing/>
              <w:jc w:val="center"/>
            </w:pPr>
            <w:r w:rsidRPr="00805964">
              <w:t>31</w:t>
            </w:r>
          </w:p>
        </w:tc>
        <w:tc>
          <w:tcPr>
            <w:tcW w:w="1426" w:type="dxa"/>
            <w:vAlign w:val="center"/>
          </w:tcPr>
          <w:p w:rsidR="00A80E50" w:rsidRPr="00805964" w:rsidRDefault="00D51F62" w:rsidP="0029635A">
            <w:pPr>
              <w:spacing w:line="360" w:lineRule="auto"/>
              <w:contextualSpacing/>
              <w:jc w:val="center"/>
            </w:pPr>
            <w:r w:rsidRPr="00805964">
              <w:t>30</w:t>
            </w:r>
          </w:p>
        </w:tc>
        <w:tc>
          <w:tcPr>
            <w:tcW w:w="1933" w:type="dxa"/>
            <w:vAlign w:val="center"/>
          </w:tcPr>
          <w:p w:rsidR="00A80E50"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30</m:t>
                    </m:r>
                  </m:num>
                  <m:den>
                    <m:r>
                      <m:rPr>
                        <m:sty m:val="p"/>
                      </m:rPr>
                      <w:rPr>
                        <w:rFonts w:ascii="Cambria Math" w:hAnsi="Cambria Math"/>
                      </w:rPr>
                      <m:t>31+30</m:t>
                    </m:r>
                  </m:den>
                </m:f>
              </m:oMath>
            </m:oMathPara>
          </w:p>
        </w:tc>
        <w:tc>
          <w:tcPr>
            <w:tcW w:w="1097" w:type="dxa"/>
            <w:vAlign w:val="center"/>
          </w:tcPr>
          <w:p w:rsidR="00A80E50" w:rsidRPr="00805964" w:rsidRDefault="00D51F62" w:rsidP="0029635A">
            <w:pPr>
              <w:spacing w:line="360" w:lineRule="auto"/>
              <w:contextualSpacing/>
              <w:jc w:val="center"/>
              <w:rPr>
                <w:rFonts w:eastAsia="Calibri" w:cs="Times New Roman"/>
                <w:b/>
              </w:rPr>
            </w:pPr>
            <w:r w:rsidRPr="00805964">
              <w:rPr>
                <w:rFonts w:eastAsia="Calibri" w:cs="Times New Roman"/>
                <w:b/>
              </w:rPr>
              <w:t>49,18</w:t>
            </w:r>
            <w:r w:rsidR="00A80E50" w:rsidRPr="00805964">
              <w:rPr>
                <w:rFonts w:eastAsia="Calibri" w:cs="Times New Roman"/>
                <w:b/>
              </w:rPr>
              <w:t xml:space="preserve"> %</w:t>
            </w:r>
          </w:p>
        </w:tc>
      </w:tr>
      <w:tr w:rsidR="00A80E50" w:rsidRPr="00805964" w:rsidTr="00136262">
        <w:trPr>
          <w:trHeight w:val="763"/>
        </w:trPr>
        <w:tc>
          <w:tcPr>
            <w:tcW w:w="964" w:type="dxa"/>
            <w:vMerge/>
          </w:tcPr>
          <w:p w:rsidR="00A80E50" w:rsidRPr="00805964" w:rsidRDefault="00A80E50" w:rsidP="0029635A">
            <w:pPr>
              <w:spacing w:line="360" w:lineRule="auto"/>
              <w:contextualSpacing/>
              <w:jc w:val="both"/>
              <w:rPr>
                <w:b/>
                <w:u w:val="single"/>
              </w:rPr>
            </w:pPr>
          </w:p>
        </w:tc>
        <w:tc>
          <w:tcPr>
            <w:tcW w:w="1451" w:type="dxa"/>
            <w:tcBorders>
              <w:bottom w:val="single" w:sz="12" w:space="0" w:color="auto"/>
            </w:tcBorders>
            <w:vAlign w:val="center"/>
          </w:tcPr>
          <w:p w:rsidR="00A80E50" w:rsidRPr="00805964" w:rsidRDefault="00A80E50" w:rsidP="0029635A">
            <w:pPr>
              <w:spacing w:line="360" w:lineRule="auto"/>
              <w:contextualSpacing/>
              <w:jc w:val="center"/>
              <w:rPr>
                <w:b/>
                <w:u w:val="single"/>
              </w:rPr>
            </w:pPr>
            <w:r w:rsidRPr="00805964">
              <w:rPr>
                <w:b/>
                <w:u w:val="single"/>
              </w:rPr>
              <w:t>Zamítnutí</w:t>
            </w:r>
          </w:p>
        </w:tc>
        <w:tc>
          <w:tcPr>
            <w:tcW w:w="1198" w:type="dxa"/>
            <w:tcBorders>
              <w:bottom w:val="single" w:sz="12" w:space="0" w:color="auto"/>
            </w:tcBorders>
            <w:vAlign w:val="center"/>
          </w:tcPr>
          <w:p w:rsidR="00A80E50" w:rsidRPr="00805964" w:rsidRDefault="00A80E50" w:rsidP="0029635A">
            <w:pPr>
              <w:spacing w:line="360" w:lineRule="auto"/>
              <w:contextualSpacing/>
              <w:jc w:val="center"/>
            </w:pPr>
            <w:r w:rsidRPr="00805964">
              <w:t>30</w:t>
            </w:r>
          </w:p>
        </w:tc>
        <w:tc>
          <w:tcPr>
            <w:tcW w:w="1219" w:type="dxa"/>
            <w:tcBorders>
              <w:bottom w:val="single" w:sz="12" w:space="0" w:color="auto"/>
            </w:tcBorders>
            <w:vAlign w:val="center"/>
          </w:tcPr>
          <w:p w:rsidR="00A80E50" w:rsidRPr="00805964" w:rsidRDefault="00A80E50" w:rsidP="0029635A">
            <w:pPr>
              <w:spacing w:line="360" w:lineRule="auto"/>
              <w:contextualSpacing/>
              <w:jc w:val="center"/>
            </w:pPr>
            <w:r w:rsidRPr="00805964">
              <w:t>29</w:t>
            </w:r>
          </w:p>
        </w:tc>
        <w:tc>
          <w:tcPr>
            <w:tcW w:w="1426" w:type="dxa"/>
            <w:tcBorders>
              <w:bottom w:val="single" w:sz="12" w:space="0" w:color="auto"/>
            </w:tcBorders>
            <w:vAlign w:val="center"/>
          </w:tcPr>
          <w:p w:rsidR="00A80E50" w:rsidRPr="00805964" w:rsidRDefault="00A80E50" w:rsidP="0029635A">
            <w:pPr>
              <w:spacing w:line="360" w:lineRule="auto"/>
              <w:contextualSpacing/>
              <w:jc w:val="center"/>
            </w:pPr>
            <w:r w:rsidRPr="00805964">
              <w:t>1</w:t>
            </w:r>
          </w:p>
        </w:tc>
        <w:tc>
          <w:tcPr>
            <w:tcW w:w="1933" w:type="dxa"/>
            <w:tcBorders>
              <w:bottom w:val="single" w:sz="12" w:space="0" w:color="auto"/>
            </w:tcBorders>
            <w:vAlign w:val="center"/>
          </w:tcPr>
          <w:p w:rsidR="00A80E50"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29+1</m:t>
                    </m:r>
                  </m:den>
                </m:f>
              </m:oMath>
            </m:oMathPara>
          </w:p>
        </w:tc>
        <w:tc>
          <w:tcPr>
            <w:tcW w:w="1097" w:type="dxa"/>
            <w:tcBorders>
              <w:bottom w:val="single" w:sz="12" w:space="0" w:color="auto"/>
            </w:tcBorders>
            <w:vAlign w:val="center"/>
          </w:tcPr>
          <w:p w:rsidR="00A80E50" w:rsidRPr="00805964" w:rsidRDefault="00A80E50" w:rsidP="0029635A">
            <w:pPr>
              <w:spacing w:line="360" w:lineRule="auto"/>
              <w:contextualSpacing/>
              <w:jc w:val="center"/>
              <w:rPr>
                <w:rFonts w:eastAsia="Calibri" w:cs="Times New Roman"/>
                <w:b/>
              </w:rPr>
            </w:pPr>
            <w:r w:rsidRPr="00805964">
              <w:rPr>
                <w:rFonts w:eastAsia="Calibri" w:cs="Times New Roman"/>
                <w:b/>
              </w:rPr>
              <w:t>3,33 %</w:t>
            </w:r>
          </w:p>
        </w:tc>
      </w:tr>
      <w:tr w:rsidR="00A80E50" w:rsidRPr="00805964" w:rsidTr="00136262">
        <w:trPr>
          <w:trHeight w:val="763"/>
        </w:trPr>
        <w:tc>
          <w:tcPr>
            <w:tcW w:w="964" w:type="dxa"/>
            <w:vMerge/>
          </w:tcPr>
          <w:p w:rsidR="00A80E50" w:rsidRPr="00805964" w:rsidRDefault="00A80E50" w:rsidP="0029635A">
            <w:pPr>
              <w:spacing w:line="360" w:lineRule="auto"/>
              <w:contextualSpacing/>
              <w:jc w:val="both"/>
              <w:rPr>
                <w:b/>
                <w:u w:val="single"/>
              </w:rPr>
            </w:pPr>
          </w:p>
        </w:tc>
        <w:tc>
          <w:tcPr>
            <w:tcW w:w="1451" w:type="dxa"/>
            <w:tcBorders>
              <w:top w:val="single" w:sz="12" w:space="0" w:color="auto"/>
            </w:tcBorders>
            <w:vAlign w:val="center"/>
          </w:tcPr>
          <w:p w:rsidR="00A80E50" w:rsidRPr="00805964" w:rsidRDefault="00A80E50" w:rsidP="0029635A">
            <w:pPr>
              <w:spacing w:line="360" w:lineRule="auto"/>
              <w:contextualSpacing/>
              <w:jc w:val="center"/>
              <w:rPr>
                <w:b/>
                <w:u w:val="single"/>
              </w:rPr>
            </w:pPr>
            <w:r w:rsidRPr="00805964">
              <w:rPr>
                <w:b/>
                <w:u w:val="single"/>
              </w:rPr>
              <w:t>Celkem</w:t>
            </w:r>
          </w:p>
        </w:tc>
        <w:tc>
          <w:tcPr>
            <w:tcW w:w="1198" w:type="dxa"/>
            <w:tcBorders>
              <w:top w:val="single" w:sz="12" w:space="0" w:color="auto"/>
            </w:tcBorders>
            <w:vAlign w:val="center"/>
          </w:tcPr>
          <w:p w:rsidR="00A80E50" w:rsidRPr="00805964" w:rsidRDefault="00D51F62" w:rsidP="0029635A">
            <w:pPr>
              <w:spacing w:line="360" w:lineRule="auto"/>
              <w:contextualSpacing/>
              <w:jc w:val="center"/>
            </w:pPr>
            <w:r w:rsidRPr="00805964">
              <w:t>9</w:t>
            </w:r>
            <w:r w:rsidR="00101AB1" w:rsidRPr="00805964">
              <w:t>1</w:t>
            </w:r>
          </w:p>
        </w:tc>
        <w:tc>
          <w:tcPr>
            <w:tcW w:w="1219" w:type="dxa"/>
            <w:tcBorders>
              <w:top w:val="single" w:sz="12" w:space="0" w:color="auto"/>
            </w:tcBorders>
            <w:vAlign w:val="center"/>
          </w:tcPr>
          <w:p w:rsidR="00A80E50" w:rsidRPr="00805964" w:rsidRDefault="00D51F62" w:rsidP="0029635A">
            <w:pPr>
              <w:spacing w:line="360" w:lineRule="auto"/>
              <w:contextualSpacing/>
              <w:jc w:val="center"/>
            </w:pPr>
            <w:r w:rsidRPr="00805964">
              <w:t>60</w:t>
            </w:r>
          </w:p>
        </w:tc>
        <w:tc>
          <w:tcPr>
            <w:tcW w:w="1426" w:type="dxa"/>
            <w:tcBorders>
              <w:top w:val="single" w:sz="12" w:space="0" w:color="auto"/>
            </w:tcBorders>
            <w:vAlign w:val="center"/>
          </w:tcPr>
          <w:p w:rsidR="00A80E50" w:rsidRPr="00805964" w:rsidRDefault="00D51F62" w:rsidP="0029635A">
            <w:pPr>
              <w:spacing w:line="360" w:lineRule="auto"/>
              <w:contextualSpacing/>
              <w:jc w:val="center"/>
            </w:pPr>
            <w:r w:rsidRPr="00805964">
              <w:t>31</w:t>
            </w:r>
          </w:p>
        </w:tc>
        <w:tc>
          <w:tcPr>
            <w:tcW w:w="1933" w:type="dxa"/>
            <w:tcBorders>
              <w:top w:val="single" w:sz="12" w:space="0" w:color="auto"/>
            </w:tcBorders>
            <w:vAlign w:val="center"/>
          </w:tcPr>
          <w:p w:rsidR="00A80E50"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30+1</m:t>
                    </m:r>
                  </m:num>
                  <m:den>
                    <m:r>
                      <m:rPr>
                        <m:sty m:val="p"/>
                      </m:rPr>
                      <w:rPr>
                        <w:rFonts w:ascii="Cambria Math" w:hAnsi="Cambria Math"/>
                      </w:rPr>
                      <m:t>31+29+30+1</m:t>
                    </m:r>
                  </m:den>
                </m:f>
              </m:oMath>
            </m:oMathPara>
          </w:p>
        </w:tc>
        <w:tc>
          <w:tcPr>
            <w:tcW w:w="1097" w:type="dxa"/>
            <w:tcBorders>
              <w:top w:val="single" w:sz="12" w:space="0" w:color="auto"/>
            </w:tcBorders>
            <w:vAlign w:val="center"/>
          </w:tcPr>
          <w:p w:rsidR="00A80E50" w:rsidRPr="00805964" w:rsidRDefault="00D51F62" w:rsidP="0029635A">
            <w:pPr>
              <w:spacing w:line="360" w:lineRule="auto"/>
              <w:contextualSpacing/>
              <w:jc w:val="center"/>
              <w:rPr>
                <w:rFonts w:eastAsia="Calibri" w:cs="Times New Roman"/>
                <w:b/>
              </w:rPr>
            </w:pPr>
            <w:r w:rsidRPr="00805964">
              <w:rPr>
                <w:rFonts w:eastAsia="Calibri" w:cs="Times New Roman"/>
                <w:b/>
              </w:rPr>
              <w:t>34,06</w:t>
            </w:r>
            <w:r w:rsidR="00A80E50" w:rsidRPr="00805964">
              <w:rPr>
                <w:rFonts w:eastAsia="Calibri" w:cs="Times New Roman"/>
                <w:b/>
              </w:rPr>
              <w:t xml:space="preserve"> %</w:t>
            </w:r>
          </w:p>
        </w:tc>
      </w:tr>
    </w:tbl>
    <w:p w:rsidR="00265145" w:rsidRPr="00805964" w:rsidRDefault="00265145" w:rsidP="00265145">
      <w:pPr>
        <w:spacing w:line="360" w:lineRule="auto"/>
        <w:contextualSpacing/>
        <w:jc w:val="center"/>
        <w:rPr>
          <w:i/>
          <w:sz w:val="22"/>
        </w:rPr>
      </w:pPr>
      <w:r w:rsidRPr="00805964">
        <w:rPr>
          <w:i/>
          <w:sz w:val="22"/>
        </w:rPr>
        <w:t>Zpracoval: Autor.</w:t>
      </w:r>
    </w:p>
    <w:p w:rsidR="009A265E" w:rsidRPr="00805964" w:rsidRDefault="009A265E" w:rsidP="0029635A">
      <w:pPr>
        <w:spacing w:line="360" w:lineRule="auto"/>
        <w:contextualSpacing/>
        <w:jc w:val="center"/>
        <w:rPr>
          <w:i/>
          <w:sz w:val="22"/>
        </w:rPr>
      </w:pPr>
    </w:p>
    <w:p w:rsidR="009A265E" w:rsidRPr="00805964" w:rsidRDefault="009A265E" w:rsidP="0029635A">
      <w:pPr>
        <w:spacing w:line="360" w:lineRule="auto"/>
        <w:contextualSpacing/>
        <w:jc w:val="center"/>
        <w:rPr>
          <w:i/>
          <w:sz w:val="22"/>
        </w:rPr>
      </w:pPr>
    </w:p>
    <w:p w:rsidR="00475B6B" w:rsidRPr="00805964" w:rsidRDefault="00475B6B" w:rsidP="0029635A">
      <w:pPr>
        <w:spacing w:line="360" w:lineRule="auto"/>
        <w:contextualSpacing/>
        <w:jc w:val="center"/>
        <w:rPr>
          <w:i/>
          <w:sz w:val="22"/>
        </w:rPr>
      </w:pPr>
    </w:p>
    <w:p w:rsidR="00475B6B" w:rsidRPr="00805964" w:rsidRDefault="00475B6B" w:rsidP="0029635A">
      <w:pPr>
        <w:spacing w:line="360" w:lineRule="auto"/>
        <w:contextualSpacing/>
        <w:jc w:val="center"/>
        <w:rPr>
          <w:i/>
          <w:sz w:val="22"/>
        </w:rPr>
      </w:pPr>
    </w:p>
    <w:p w:rsidR="004E35D9" w:rsidRPr="00805964" w:rsidRDefault="004E35D9" w:rsidP="0029635A">
      <w:pPr>
        <w:spacing w:line="360" w:lineRule="auto"/>
        <w:contextualSpacing/>
        <w:jc w:val="center"/>
        <w:rPr>
          <w:i/>
          <w:sz w:val="22"/>
        </w:rPr>
      </w:pPr>
    </w:p>
    <w:p w:rsidR="00AA25FA" w:rsidRPr="00805964" w:rsidRDefault="00AA25FA" w:rsidP="0029635A">
      <w:pPr>
        <w:pStyle w:val="Nadpis3"/>
        <w:spacing w:line="360" w:lineRule="auto"/>
        <w:contextualSpacing/>
        <w:jc w:val="both"/>
      </w:pPr>
      <w:bookmarkStart w:id="24" w:name="_Toc359918290"/>
      <w:r w:rsidRPr="00805964">
        <w:lastRenderedPageBreak/>
        <w:t xml:space="preserve">3. 2. 3 </w:t>
      </w:r>
      <w:r w:rsidR="00A80E50" w:rsidRPr="00805964">
        <w:t>Čtvrtá varianta</w:t>
      </w:r>
      <w:bookmarkEnd w:id="24"/>
    </w:p>
    <w:p w:rsidR="004E35D9" w:rsidRPr="00805964" w:rsidRDefault="004E35D9" w:rsidP="004E35D9"/>
    <w:p w:rsidR="004E35D9" w:rsidRPr="00805964" w:rsidRDefault="004E35D9" w:rsidP="004E35D9">
      <w:pPr>
        <w:spacing w:line="360" w:lineRule="auto"/>
        <w:contextualSpacing/>
        <w:jc w:val="center"/>
        <w:rPr>
          <w:b/>
          <w:sz w:val="22"/>
          <w:u w:val="single"/>
        </w:rPr>
      </w:pPr>
      <w:r w:rsidRPr="00805964">
        <w:rPr>
          <w:b/>
          <w:sz w:val="22"/>
          <w:u w:val="single"/>
        </w:rPr>
        <w:t>Tabulka č. 12: Čtvrtá varianta pro období 2010</w:t>
      </w:r>
      <w:r w:rsidR="000713F0" w:rsidRPr="00805964">
        <w:rPr>
          <w:b/>
          <w:sz w:val="22"/>
          <w:u w:val="single"/>
        </w:rPr>
        <w:t>–</w:t>
      </w:r>
      <w:r w:rsidRPr="00805964">
        <w:rPr>
          <w:b/>
          <w:sz w:val="22"/>
          <w:u w:val="single"/>
        </w:rPr>
        <w:t>2012</w:t>
      </w:r>
    </w:p>
    <w:tbl>
      <w:tblPr>
        <w:tblStyle w:val="Mkatabulky"/>
        <w:tblW w:w="0" w:type="auto"/>
        <w:jc w:val="center"/>
        <w:tblInd w:w="1384" w:type="dxa"/>
        <w:tblLook w:val="04A0"/>
      </w:tblPr>
      <w:tblGrid>
        <w:gridCol w:w="1121"/>
        <w:gridCol w:w="2816"/>
        <w:gridCol w:w="1308"/>
        <w:gridCol w:w="1389"/>
        <w:gridCol w:w="1269"/>
      </w:tblGrid>
      <w:tr w:rsidR="00A80E50" w:rsidRPr="00805964" w:rsidTr="00A80E50">
        <w:trPr>
          <w:trHeight w:val="806"/>
          <w:jc w:val="center"/>
        </w:trPr>
        <w:tc>
          <w:tcPr>
            <w:tcW w:w="1121" w:type="dxa"/>
            <w:vMerge w:val="restart"/>
            <w:textDirection w:val="btLr"/>
          </w:tcPr>
          <w:p w:rsidR="00A80E50" w:rsidRPr="00805964" w:rsidRDefault="00A80E50" w:rsidP="000713F0">
            <w:pPr>
              <w:ind w:left="113" w:right="113"/>
              <w:contextualSpacing/>
              <w:jc w:val="center"/>
              <w:rPr>
                <w:sz w:val="36"/>
                <w:szCs w:val="36"/>
              </w:rPr>
            </w:pPr>
            <w:r w:rsidRPr="00805964">
              <w:rPr>
                <w:sz w:val="36"/>
                <w:szCs w:val="36"/>
              </w:rPr>
              <w:t>8. Funkční období</w:t>
            </w:r>
            <w:r w:rsidRPr="00805964">
              <w:rPr>
                <w:sz w:val="36"/>
                <w:szCs w:val="36"/>
              </w:rPr>
              <w:br/>
              <w:t>2010</w:t>
            </w:r>
            <w:r w:rsidR="000713F0" w:rsidRPr="00805964">
              <w:rPr>
                <w:sz w:val="36"/>
                <w:szCs w:val="36"/>
              </w:rPr>
              <w:t>–</w:t>
            </w:r>
            <w:r w:rsidRPr="00805964">
              <w:rPr>
                <w:sz w:val="36"/>
                <w:szCs w:val="36"/>
              </w:rPr>
              <w:t>2012</w:t>
            </w:r>
          </w:p>
        </w:tc>
        <w:tc>
          <w:tcPr>
            <w:tcW w:w="2816" w:type="dxa"/>
            <w:vAlign w:val="center"/>
          </w:tcPr>
          <w:p w:rsidR="00A80E50" w:rsidRPr="00805964" w:rsidRDefault="00A80E50" w:rsidP="0029635A">
            <w:pPr>
              <w:contextualSpacing/>
              <w:jc w:val="center"/>
            </w:pPr>
          </w:p>
        </w:tc>
        <w:tc>
          <w:tcPr>
            <w:tcW w:w="1308" w:type="dxa"/>
            <w:vAlign w:val="center"/>
          </w:tcPr>
          <w:p w:rsidR="00A80E50" w:rsidRPr="00805964" w:rsidRDefault="00A80E50" w:rsidP="0029635A">
            <w:pPr>
              <w:contextualSpacing/>
              <w:jc w:val="center"/>
            </w:pPr>
            <w:r w:rsidRPr="00805964">
              <w:t>Bodové ohodnocení</w:t>
            </w:r>
          </w:p>
        </w:tc>
        <w:tc>
          <w:tcPr>
            <w:tcW w:w="1389" w:type="dxa"/>
            <w:vAlign w:val="center"/>
          </w:tcPr>
          <w:p w:rsidR="00A80E50" w:rsidRPr="00805964" w:rsidRDefault="00A80E50" w:rsidP="0029635A">
            <w:pPr>
              <w:contextualSpacing/>
              <w:jc w:val="center"/>
            </w:pPr>
            <w:r w:rsidRPr="00805964">
              <w:t>Počet případů</w:t>
            </w:r>
          </w:p>
        </w:tc>
        <w:tc>
          <w:tcPr>
            <w:tcW w:w="1269" w:type="dxa"/>
            <w:vAlign w:val="center"/>
          </w:tcPr>
          <w:p w:rsidR="00A80E50" w:rsidRPr="00805964" w:rsidRDefault="00A80E50" w:rsidP="0029635A">
            <w:pPr>
              <w:contextualSpacing/>
              <w:jc w:val="center"/>
              <w:rPr>
                <w:b/>
              </w:rPr>
            </w:pPr>
            <w:r w:rsidRPr="00805964">
              <w:rPr>
                <w:b/>
              </w:rPr>
              <w:t>Body celkem</w:t>
            </w:r>
          </w:p>
        </w:tc>
      </w:tr>
      <w:tr w:rsidR="00C46069" w:rsidRPr="00805964" w:rsidTr="00A80E50">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Zamítnutí ústavního zákona Senátem</w:t>
            </w:r>
          </w:p>
        </w:tc>
        <w:tc>
          <w:tcPr>
            <w:tcW w:w="1308" w:type="dxa"/>
            <w:vAlign w:val="center"/>
          </w:tcPr>
          <w:p w:rsidR="00C46069" w:rsidRPr="00805964" w:rsidRDefault="00C46069" w:rsidP="0029635A">
            <w:pPr>
              <w:contextualSpacing/>
              <w:jc w:val="center"/>
            </w:pPr>
            <w:r w:rsidRPr="00805964">
              <w:t>4</w:t>
            </w:r>
          </w:p>
        </w:tc>
        <w:tc>
          <w:tcPr>
            <w:tcW w:w="1389" w:type="dxa"/>
            <w:vAlign w:val="center"/>
          </w:tcPr>
          <w:p w:rsidR="00C46069" w:rsidRPr="00805964" w:rsidRDefault="00C46069" w:rsidP="0029635A">
            <w:pPr>
              <w:contextualSpacing/>
              <w:jc w:val="center"/>
            </w:pPr>
            <w:r w:rsidRPr="00805964">
              <w:t>0</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A80E50">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ústavního zákona</w:t>
            </w:r>
            <w:r w:rsidRPr="00805964">
              <w:t xml:space="preserve"> </w:t>
            </w:r>
          </w:p>
        </w:tc>
        <w:tc>
          <w:tcPr>
            <w:tcW w:w="1308" w:type="dxa"/>
            <w:vAlign w:val="center"/>
          </w:tcPr>
          <w:p w:rsidR="00C46069" w:rsidRPr="00805964" w:rsidRDefault="00C46069" w:rsidP="0029635A">
            <w:pPr>
              <w:contextualSpacing/>
              <w:jc w:val="center"/>
            </w:pPr>
            <w:r w:rsidRPr="00805964">
              <w:t>2</w:t>
            </w:r>
          </w:p>
        </w:tc>
        <w:tc>
          <w:tcPr>
            <w:tcW w:w="1389" w:type="dxa"/>
            <w:vAlign w:val="center"/>
          </w:tcPr>
          <w:p w:rsidR="00C46069" w:rsidRPr="00805964" w:rsidRDefault="00C46069" w:rsidP="0029635A">
            <w:pPr>
              <w:contextualSpacing/>
              <w:jc w:val="center"/>
            </w:pPr>
            <w:r w:rsidRPr="00805964">
              <w:t>0</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A80E50">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Veto běžného zákona – úspěšné</w:t>
            </w:r>
          </w:p>
        </w:tc>
        <w:tc>
          <w:tcPr>
            <w:tcW w:w="1308" w:type="dxa"/>
            <w:vAlign w:val="center"/>
          </w:tcPr>
          <w:p w:rsidR="00C46069" w:rsidRPr="00805964" w:rsidRDefault="00C46069" w:rsidP="0029635A">
            <w:pPr>
              <w:contextualSpacing/>
              <w:jc w:val="center"/>
            </w:pPr>
            <w:r w:rsidRPr="00805964">
              <w:t>1</w:t>
            </w:r>
          </w:p>
        </w:tc>
        <w:tc>
          <w:tcPr>
            <w:tcW w:w="1389" w:type="dxa"/>
            <w:vAlign w:val="center"/>
          </w:tcPr>
          <w:p w:rsidR="00C46069" w:rsidRPr="00805964" w:rsidRDefault="00C46069" w:rsidP="0029635A">
            <w:pPr>
              <w:contextualSpacing/>
              <w:jc w:val="center"/>
            </w:pPr>
            <w:r w:rsidRPr="00805964">
              <w:t>1</w:t>
            </w:r>
          </w:p>
        </w:tc>
        <w:tc>
          <w:tcPr>
            <w:tcW w:w="1269" w:type="dxa"/>
            <w:vAlign w:val="center"/>
          </w:tcPr>
          <w:p w:rsidR="00C46069" w:rsidRPr="00805964" w:rsidRDefault="00C46069" w:rsidP="0029635A">
            <w:pPr>
              <w:contextualSpacing/>
              <w:jc w:val="center"/>
              <w:rPr>
                <w:b/>
              </w:rPr>
            </w:pPr>
            <w:r w:rsidRPr="00805964">
              <w:rPr>
                <w:b/>
              </w:rPr>
              <w:t>1</w:t>
            </w:r>
          </w:p>
        </w:tc>
      </w:tr>
      <w:tr w:rsidR="00C46069" w:rsidRPr="00805964" w:rsidTr="00A80E50">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Veto běžného zákona – přehlasování PS</w:t>
            </w:r>
          </w:p>
        </w:tc>
        <w:tc>
          <w:tcPr>
            <w:tcW w:w="1308" w:type="dxa"/>
            <w:vAlign w:val="center"/>
          </w:tcPr>
          <w:p w:rsidR="00C46069" w:rsidRPr="00805964" w:rsidRDefault="00C46069" w:rsidP="0029635A">
            <w:pPr>
              <w:contextualSpacing/>
              <w:jc w:val="center"/>
            </w:pPr>
            <w:r w:rsidRPr="00805964">
              <w:t>0</w:t>
            </w:r>
          </w:p>
        </w:tc>
        <w:tc>
          <w:tcPr>
            <w:tcW w:w="1389" w:type="dxa"/>
            <w:vAlign w:val="center"/>
          </w:tcPr>
          <w:p w:rsidR="00C46069" w:rsidRPr="00805964" w:rsidRDefault="00C46069" w:rsidP="0029635A">
            <w:pPr>
              <w:contextualSpacing/>
              <w:jc w:val="center"/>
            </w:pPr>
            <w:r w:rsidRPr="00805964">
              <w:t>29</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A80E50">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běžné legislativy - přehlasování PS</w:t>
            </w:r>
          </w:p>
        </w:tc>
        <w:tc>
          <w:tcPr>
            <w:tcW w:w="1308" w:type="dxa"/>
            <w:vAlign w:val="center"/>
          </w:tcPr>
          <w:p w:rsidR="00C46069" w:rsidRPr="00805964" w:rsidRDefault="00C46069" w:rsidP="0029635A">
            <w:pPr>
              <w:contextualSpacing/>
              <w:jc w:val="center"/>
            </w:pPr>
            <w:r w:rsidRPr="00805964">
              <w:t>0</w:t>
            </w:r>
          </w:p>
        </w:tc>
        <w:tc>
          <w:tcPr>
            <w:tcW w:w="1389" w:type="dxa"/>
            <w:vAlign w:val="center"/>
          </w:tcPr>
          <w:p w:rsidR="00C46069" w:rsidRPr="00805964" w:rsidRDefault="00C46069" w:rsidP="0029635A">
            <w:pPr>
              <w:contextualSpacing/>
              <w:jc w:val="center"/>
            </w:pPr>
            <w:r w:rsidRPr="00805964">
              <w:t>31</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A80E50">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běžné legislativy - přijato ve znění schváleném Senátem</w:t>
            </w:r>
          </w:p>
        </w:tc>
        <w:tc>
          <w:tcPr>
            <w:tcW w:w="1308" w:type="dxa"/>
            <w:vAlign w:val="center"/>
          </w:tcPr>
          <w:p w:rsidR="00C46069" w:rsidRPr="00805964" w:rsidRDefault="00C46069" w:rsidP="0029635A">
            <w:pPr>
              <w:contextualSpacing/>
              <w:jc w:val="center"/>
            </w:pPr>
            <w:r w:rsidRPr="00805964">
              <w:t>0,75</w:t>
            </w:r>
          </w:p>
        </w:tc>
        <w:tc>
          <w:tcPr>
            <w:tcW w:w="1389" w:type="dxa"/>
            <w:vAlign w:val="center"/>
          </w:tcPr>
          <w:p w:rsidR="00C46069" w:rsidRPr="00805964" w:rsidRDefault="00C46069" w:rsidP="0029635A">
            <w:pPr>
              <w:contextualSpacing/>
              <w:jc w:val="center"/>
            </w:pPr>
            <w:r w:rsidRPr="00805964">
              <w:t>30</w:t>
            </w:r>
          </w:p>
        </w:tc>
        <w:tc>
          <w:tcPr>
            <w:tcW w:w="1269" w:type="dxa"/>
            <w:vAlign w:val="center"/>
          </w:tcPr>
          <w:p w:rsidR="00C46069" w:rsidRPr="00805964" w:rsidRDefault="00C46069" w:rsidP="0029635A">
            <w:pPr>
              <w:contextualSpacing/>
              <w:jc w:val="center"/>
              <w:rPr>
                <w:b/>
              </w:rPr>
            </w:pPr>
            <w:r w:rsidRPr="00805964">
              <w:rPr>
                <w:b/>
              </w:rPr>
              <w:t>22,5</w:t>
            </w:r>
          </w:p>
        </w:tc>
      </w:tr>
      <w:tr w:rsidR="00C46069" w:rsidRPr="00805964" w:rsidTr="00A80E50">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Zamítnutí mezinárodní smlouvy</w:t>
            </w:r>
          </w:p>
        </w:tc>
        <w:tc>
          <w:tcPr>
            <w:tcW w:w="1308" w:type="dxa"/>
            <w:vAlign w:val="center"/>
          </w:tcPr>
          <w:p w:rsidR="00C46069" w:rsidRPr="00805964" w:rsidRDefault="00C46069" w:rsidP="0029635A">
            <w:pPr>
              <w:contextualSpacing/>
              <w:jc w:val="center"/>
            </w:pPr>
            <w:r w:rsidRPr="00805964">
              <w:t>2</w:t>
            </w:r>
          </w:p>
        </w:tc>
        <w:tc>
          <w:tcPr>
            <w:tcW w:w="1389" w:type="dxa"/>
            <w:vAlign w:val="center"/>
          </w:tcPr>
          <w:p w:rsidR="00C46069" w:rsidRPr="00805964" w:rsidRDefault="00C46069" w:rsidP="0029635A">
            <w:pPr>
              <w:contextualSpacing/>
              <w:jc w:val="center"/>
            </w:pPr>
            <w:r w:rsidRPr="00805964">
              <w:t>0</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A80E50">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rPr>
                <w:b/>
              </w:rPr>
            </w:pPr>
            <w:r w:rsidRPr="00805964">
              <w:rPr>
                <w:b/>
              </w:rPr>
              <w:t>CELKEM</w:t>
            </w:r>
          </w:p>
        </w:tc>
        <w:tc>
          <w:tcPr>
            <w:tcW w:w="1308" w:type="dxa"/>
            <w:vAlign w:val="center"/>
          </w:tcPr>
          <w:p w:rsidR="00C46069" w:rsidRPr="00805964" w:rsidRDefault="00C46069" w:rsidP="0029635A">
            <w:pPr>
              <w:contextualSpacing/>
              <w:jc w:val="center"/>
              <w:rPr>
                <w:b/>
              </w:rPr>
            </w:pPr>
          </w:p>
        </w:tc>
        <w:tc>
          <w:tcPr>
            <w:tcW w:w="1389" w:type="dxa"/>
            <w:vAlign w:val="center"/>
          </w:tcPr>
          <w:p w:rsidR="00C46069" w:rsidRPr="00805964" w:rsidRDefault="00C46069" w:rsidP="0029635A">
            <w:pPr>
              <w:contextualSpacing/>
              <w:jc w:val="center"/>
              <w:rPr>
                <w:b/>
              </w:rPr>
            </w:pPr>
            <w:r w:rsidRPr="00805964">
              <w:rPr>
                <w:b/>
              </w:rPr>
              <w:t>91</w:t>
            </w:r>
          </w:p>
        </w:tc>
        <w:tc>
          <w:tcPr>
            <w:tcW w:w="1269" w:type="dxa"/>
            <w:vAlign w:val="center"/>
          </w:tcPr>
          <w:p w:rsidR="00C46069" w:rsidRPr="00805964" w:rsidRDefault="00C46069" w:rsidP="0029635A">
            <w:pPr>
              <w:contextualSpacing/>
              <w:jc w:val="center"/>
              <w:rPr>
                <w:b/>
              </w:rPr>
            </w:pPr>
            <w:r w:rsidRPr="00805964">
              <w:rPr>
                <w:b/>
              </w:rPr>
              <w:t>23,5</w:t>
            </w:r>
          </w:p>
        </w:tc>
      </w:tr>
    </w:tbl>
    <w:p w:rsidR="00265145" w:rsidRPr="00805964" w:rsidRDefault="00265145" w:rsidP="00265145">
      <w:pPr>
        <w:spacing w:line="360" w:lineRule="auto"/>
        <w:contextualSpacing/>
        <w:jc w:val="center"/>
        <w:rPr>
          <w:i/>
          <w:sz w:val="22"/>
        </w:rPr>
      </w:pPr>
      <w:r w:rsidRPr="00805964">
        <w:rPr>
          <w:i/>
          <w:sz w:val="22"/>
        </w:rPr>
        <w:t>Zpracoval: Autor.</w:t>
      </w:r>
    </w:p>
    <w:p w:rsidR="0006559B" w:rsidRPr="00805964" w:rsidRDefault="0006559B" w:rsidP="0029635A">
      <w:pPr>
        <w:contextualSpacing/>
      </w:pPr>
    </w:p>
    <w:p w:rsidR="00986A31" w:rsidRPr="00805964" w:rsidRDefault="000F0E6A" w:rsidP="0029635A">
      <w:pPr>
        <w:spacing w:line="360" w:lineRule="auto"/>
        <w:contextualSpacing/>
        <w:jc w:val="both"/>
        <w:rPr>
          <w:szCs w:val="24"/>
        </w:rPr>
      </w:pPr>
      <w:r w:rsidRPr="00805964">
        <w:rPr>
          <w:u w:val="single"/>
        </w:rPr>
        <w:t xml:space="preserve">Výpočet </w:t>
      </w:r>
      <w:r w:rsidR="00986A31" w:rsidRPr="00805964">
        <w:rPr>
          <w:u w:val="single"/>
        </w:rPr>
        <w:t xml:space="preserve">vážené poměrné </w:t>
      </w:r>
      <w:r w:rsidRPr="00805964">
        <w:rPr>
          <w:u w:val="single"/>
        </w:rPr>
        <w:t>efektivity v této variantě je následující</w:t>
      </w:r>
      <w:r w:rsidRPr="00805964">
        <w:rPr>
          <w:szCs w:val="24"/>
        </w:rPr>
        <w:t>:</w:t>
      </w:r>
    </w:p>
    <w:p w:rsidR="000F0E6A" w:rsidRPr="00805964" w:rsidRDefault="000F0E6A" w:rsidP="0029635A">
      <w:pPr>
        <w:spacing w:line="360" w:lineRule="auto"/>
        <w:contextualSpacing/>
        <w:jc w:val="both"/>
        <w:rPr>
          <w:szCs w:val="24"/>
        </w:rPr>
      </w:pPr>
      <w:r w:rsidRPr="00805964">
        <w:rPr>
          <w:szCs w:val="24"/>
        </w:rPr>
        <w:br/>
      </w:r>
      <m:oMathPara>
        <m:oMath>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0∙4</m:t>
                  </m:r>
                </m:e>
              </m:d>
              <m:r>
                <w:rPr>
                  <w:rFonts w:ascii="Cambria Math" w:hAnsi="Cambria Math"/>
                  <w:szCs w:val="24"/>
                </w:rPr>
                <m:t>+</m:t>
              </m:r>
              <m:d>
                <m:dPr>
                  <m:ctrlPr>
                    <w:rPr>
                      <w:rFonts w:ascii="Cambria Math" w:hAnsi="Cambria Math"/>
                      <w:i/>
                      <w:szCs w:val="24"/>
                    </w:rPr>
                  </m:ctrlPr>
                </m:dPr>
                <m:e>
                  <m:r>
                    <w:rPr>
                      <w:rFonts w:ascii="Cambria Math" w:hAnsi="Cambria Math"/>
                      <w:szCs w:val="24"/>
                    </w:rPr>
                    <m:t>0∙2</m:t>
                  </m:r>
                </m:e>
              </m:d>
              <m:r>
                <w:rPr>
                  <w:rFonts w:ascii="Cambria Math" w:hAnsi="Cambria Math"/>
                  <w:szCs w:val="24"/>
                </w:rPr>
                <m:t>+</m:t>
              </m:r>
              <m:d>
                <m:dPr>
                  <m:ctrlPr>
                    <w:rPr>
                      <w:rFonts w:ascii="Cambria Math" w:hAnsi="Cambria Math"/>
                      <w:i/>
                      <w:szCs w:val="24"/>
                    </w:rPr>
                  </m:ctrlPr>
                </m:dPr>
                <m:e>
                  <m:r>
                    <w:rPr>
                      <w:rFonts w:ascii="Cambria Math" w:hAnsi="Cambria Math"/>
                      <w:szCs w:val="24"/>
                    </w:rPr>
                    <m:t>1∙1</m:t>
                  </m:r>
                </m:e>
              </m:d>
              <m:r>
                <w:rPr>
                  <w:rFonts w:ascii="Cambria Math" w:hAnsi="Cambria Math"/>
                  <w:szCs w:val="24"/>
                </w:rPr>
                <m:t>+</m:t>
              </m:r>
              <m:d>
                <m:dPr>
                  <m:ctrlPr>
                    <w:rPr>
                      <w:rFonts w:ascii="Cambria Math" w:hAnsi="Cambria Math"/>
                      <w:i/>
                      <w:szCs w:val="24"/>
                    </w:rPr>
                  </m:ctrlPr>
                </m:dPr>
                <m:e>
                  <m:r>
                    <w:rPr>
                      <w:rFonts w:ascii="Cambria Math" w:hAnsi="Cambria Math"/>
                      <w:szCs w:val="24"/>
                    </w:rPr>
                    <m:t>29∙0</m:t>
                  </m:r>
                </m:e>
              </m:d>
              <m:r>
                <w:rPr>
                  <w:rFonts w:ascii="Cambria Math" w:hAnsi="Cambria Math"/>
                  <w:szCs w:val="24"/>
                </w:rPr>
                <m:t>+</m:t>
              </m:r>
              <m:d>
                <m:dPr>
                  <m:ctrlPr>
                    <w:rPr>
                      <w:rFonts w:ascii="Cambria Math" w:hAnsi="Cambria Math"/>
                      <w:i/>
                      <w:szCs w:val="24"/>
                    </w:rPr>
                  </m:ctrlPr>
                </m:dPr>
                <m:e>
                  <m:r>
                    <w:rPr>
                      <w:rFonts w:ascii="Cambria Math" w:hAnsi="Cambria Math"/>
                      <w:szCs w:val="24"/>
                    </w:rPr>
                    <m:t>31∙0</m:t>
                  </m:r>
                </m:e>
              </m:d>
              <m:r>
                <w:rPr>
                  <w:rFonts w:ascii="Cambria Math" w:hAnsi="Cambria Math"/>
                  <w:szCs w:val="24"/>
                </w:rPr>
                <m:t>+</m:t>
              </m:r>
              <m:d>
                <m:dPr>
                  <m:ctrlPr>
                    <w:rPr>
                      <w:rFonts w:ascii="Cambria Math" w:hAnsi="Cambria Math"/>
                      <w:i/>
                      <w:szCs w:val="24"/>
                    </w:rPr>
                  </m:ctrlPr>
                </m:dPr>
                <m:e>
                  <m:r>
                    <w:rPr>
                      <w:rFonts w:ascii="Cambria Math" w:hAnsi="Cambria Math"/>
                      <w:szCs w:val="24"/>
                    </w:rPr>
                    <m:t>30∙0,75</m:t>
                  </m:r>
                </m:e>
              </m:d>
              <m:r>
                <w:rPr>
                  <w:rFonts w:ascii="Cambria Math" w:hAnsi="Cambria Math"/>
                  <w:szCs w:val="24"/>
                </w:rPr>
                <m:t>+</m:t>
              </m:r>
              <m:d>
                <m:dPr>
                  <m:ctrlPr>
                    <w:rPr>
                      <w:rFonts w:ascii="Cambria Math" w:hAnsi="Cambria Math"/>
                      <w:i/>
                      <w:szCs w:val="24"/>
                    </w:rPr>
                  </m:ctrlPr>
                </m:dPr>
                <m:e>
                  <m:r>
                    <w:rPr>
                      <w:rFonts w:ascii="Cambria Math" w:hAnsi="Cambria Math"/>
                      <w:szCs w:val="24"/>
                    </w:rPr>
                    <m:t>0∙2</m:t>
                  </m:r>
                </m:e>
              </m:d>
            </m:num>
            <m:den>
              <m:d>
                <m:dPr>
                  <m:ctrlPr>
                    <w:rPr>
                      <w:rFonts w:ascii="Cambria Math" w:hAnsi="Cambria Math"/>
                      <w:i/>
                      <w:szCs w:val="24"/>
                    </w:rPr>
                  </m:ctrlPr>
                </m:dPr>
                <m:e>
                  <m:r>
                    <w:rPr>
                      <w:rFonts w:ascii="Cambria Math" w:hAnsi="Cambria Math"/>
                      <w:szCs w:val="24"/>
                    </w:rPr>
                    <m:t>0∙4</m:t>
                  </m:r>
                </m:e>
              </m:d>
              <m:r>
                <w:rPr>
                  <w:rFonts w:ascii="Cambria Math" w:hAnsi="Cambria Math"/>
                  <w:szCs w:val="24"/>
                </w:rPr>
                <m:t>+</m:t>
              </m:r>
              <m:d>
                <m:dPr>
                  <m:ctrlPr>
                    <w:rPr>
                      <w:rFonts w:ascii="Cambria Math" w:hAnsi="Cambria Math"/>
                      <w:i/>
                      <w:szCs w:val="24"/>
                    </w:rPr>
                  </m:ctrlPr>
                </m:dPr>
                <m:e>
                  <m:r>
                    <w:rPr>
                      <w:rFonts w:ascii="Cambria Math" w:hAnsi="Cambria Math"/>
                      <w:szCs w:val="24"/>
                    </w:rPr>
                    <m:t>0∙2</m:t>
                  </m:r>
                </m:e>
              </m:d>
              <m:r>
                <w:rPr>
                  <w:rFonts w:ascii="Cambria Math" w:hAnsi="Cambria Math"/>
                  <w:szCs w:val="24"/>
                </w:rPr>
                <m:t>+</m:t>
              </m:r>
              <m:d>
                <m:dPr>
                  <m:ctrlPr>
                    <w:rPr>
                      <w:rFonts w:ascii="Cambria Math" w:hAnsi="Cambria Math"/>
                      <w:i/>
                      <w:szCs w:val="24"/>
                    </w:rPr>
                  </m:ctrlPr>
                </m:dPr>
                <m:e>
                  <m:r>
                    <w:rPr>
                      <w:rFonts w:ascii="Cambria Math" w:hAnsi="Cambria Math"/>
                      <w:szCs w:val="24"/>
                    </w:rPr>
                    <m:t>1+29</m:t>
                  </m:r>
                </m:e>
              </m:d>
              <m:r>
                <w:rPr>
                  <w:rFonts w:ascii="Cambria Math" w:hAnsi="Cambria Math"/>
                  <w:szCs w:val="24"/>
                </w:rPr>
                <m:t>∙1+</m:t>
              </m:r>
              <m:d>
                <m:dPr>
                  <m:ctrlPr>
                    <w:rPr>
                      <w:rFonts w:ascii="Cambria Math" w:hAnsi="Cambria Math"/>
                      <w:i/>
                      <w:szCs w:val="24"/>
                    </w:rPr>
                  </m:ctrlPr>
                </m:dPr>
                <m:e>
                  <m:r>
                    <w:rPr>
                      <w:rFonts w:ascii="Cambria Math" w:hAnsi="Cambria Math"/>
                      <w:szCs w:val="24"/>
                    </w:rPr>
                    <m:t>31+30</m:t>
                  </m:r>
                </m:e>
              </m:d>
              <m:r>
                <w:rPr>
                  <w:rFonts w:ascii="Cambria Math" w:hAnsi="Cambria Math"/>
                  <w:szCs w:val="24"/>
                </w:rPr>
                <m:t>∙0,75+</m:t>
              </m:r>
              <m:d>
                <m:dPr>
                  <m:ctrlPr>
                    <w:rPr>
                      <w:rFonts w:ascii="Cambria Math" w:hAnsi="Cambria Math"/>
                      <w:i/>
                      <w:szCs w:val="24"/>
                    </w:rPr>
                  </m:ctrlPr>
                </m:dPr>
                <m:e>
                  <m:r>
                    <w:rPr>
                      <w:rFonts w:ascii="Cambria Math" w:hAnsi="Cambria Math"/>
                      <w:szCs w:val="24"/>
                    </w:rPr>
                    <m:t>0∙2</m:t>
                  </m:r>
                </m:e>
              </m:d>
            </m:den>
          </m:f>
        </m:oMath>
      </m:oMathPara>
    </w:p>
    <w:p w:rsidR="000F0E6A" w:rsidRPr="00805964" w:rsidRDefault="000F0E6A" w:rsidP="0029635A">
      <w:pPr>
        <w:spacing w:line="360" w:lineRule="auto"/>
        <w:contextualSpacing/>
        <w:jc w:val="both"/>
        <w:rPr>
          <w:rFonts w:eastAsiaTheme="minorEastAsia"/>
          <w:szCs w:val="24"/>
        </w:rPr>
      </w:pPr>
    </w:p>
    <w:p w:rsidR="0006559B" w:rsidRPr="00805964" w:rsidRDefault="000F0E6A" w:rsidP="0029635A">
      <w:pPr>
        <w:spacing w:line="360" w:lineRule="auto"/>
        <w:contextualSpacing/>
        <w:jc w:val="both"/>
        <w:rPr>
          <w:b/>
          <w:i/>
          <w:szCs w:val="24"/>
        </w:rPr>
      </w:pPr>
      <m:oMathPara>
        <m:oMath>
          <m:r>
            <w:rPr>
              <w:rFonts w:ascii="Cambria Math" w:hAnsi="Cambria Math"/>
              <w:szCs w:val="24"/>
            </w:rPr>
            <m:t>=</m:t>
          </m:r>
          <m:f>
            <m:fPr>
              <m:ctrlPr>
                <w:rPr>
                  <w:rFonts w:ascii="Cambria Math" w:hAnsi="Cambria Math"/>
                  <w:i/>
                  <w:szCs w:val="24"/>
                </w:rPr>
              </m:ctrlPr>
            </m:fPr>
            <m:num>
              <m:r>
                <w:rPr>
                  <w:rFonts w:ascii="Cambria Math" w:hAnsi="Cambria Math"/>
                  <w:szCs w:val="24"/>
                </w:rPr>
                <m:t>0+0+1+0+0+22,5+0</m:t>
              </m:r>
            </m:num>
            <m:den>
              <m:r>
                <w:rPr>
                  <w:rFonts w:ascii="Cambria Math" w:hAnsi="Cambria Math"/>
                  <w:szCs w:val="24"/>
                </w:rPr>
                <m:t>0+0+30+45,75+0</m:t>
              </m:r>
            </m:den>
          </m:f>
          <m:r>
            <w:rPr>
              <w:rFonts w:ascii="Cambria Math" w:hAnsi="Cambria Math"/>
              <w:szCs w:val="24"/>
            </w:rPr>
            <m:t>=</m:t>
          </m:r>
          <m:f>
            <m:fPr>
              <m:ctrlPr>
                <w:rPr>
                  <w:rFonts w:ascii="Cambria Math" w:hAnsi="Cambria Math"/>
                  <w:i/>
                  <w:szCs w:val="24"/>
                </w:rPr>
              </m:ctrlPr>
            </m:fPr>
            <m:num>
              <m:r>
                <w:rPr>
                  <w:rFonts w:ascii="Cambria Math" w:hAnsi="Cambria Math"/>
                  <w:szCs w:val="24"/>
                </w:rPr>
                <m:t>23,5</m:t>
              </m:r>
            </m:num>
            <m:den>
              <m:r>
                <w:rPr>
                  <w:rFonts w:ascii="Cambria Math" w:hAnsi="Cambria Math"/>
                  <w:szCs w:val="24"/>
                </w:rPr>
                <m:t>75,75</m:t>
              </m:r>
            </m:den>
          </m:f>
          <m:r>
            <w:rPr>
              <w:rFonts w:ascii="Cambria Math" w:hAnsi="Cambria Math"/>
              <w:szCs w:val="24"/>
            </w:rPr>
            <m:t>=</m:t>
          </m:r>
          <m:r>
            <m:rPr>
              <m:sty m:val="bi"/>
            </m:rPr>
            <w:rPr>
              <w:rFonts w:ascii="Cambria Math" w:hAnsi="Cambria Math"/>
              <w:szCs w:val="24"/>
            </w:rPr>
            <m:t>31,02 %</m:t>
          </m:r>
        </m:oMath>
      </m:oMathPara>
    </w:p>
    <w:p w:rsidR="005B46E7" w:rsidRPr="00805964" w:rsidRDefault="005B46E7" w:rsidP="0029635A">
      <w:pPr>
        <w:spacing w:line="360" w:lineRule="auto"/>
        <w:contextualSpacing/>
        <w:jc w:val="both"/>
      </w:pPr>
    </w:p>
    <w:p w:rsidR="00475B6B" w:rsidRPr="00805964" w:rsidRDefault="00475B6B" w:rsidP="0029635A">
      <w:pPr>
        <w:spacing w:line="360" w:lineRule="auto"/>
        <w:contextualSpacing/>
        <w:jc w:val="both"/>
      </w:pPr>
    </w:p>
    <w:p w:rsidR="00233CB5" w:rsidRPr="00805964" w:rsidRDefault="00233CB5" w:rsidP="0029635A">
      <w:pPr>
        <w:spacing w:line="360" w:lineRule="auto"/>
        <w:contextualSpacing/>
        <w:jc w:val="both"/>
      </w:pPr>
    </w:p>
    <w:p w:rsidR="0006559B" w:rsidRPr="00805964" w:rsidRDefault="00F223F2" w:rsidP="00BB7495">
      <w:pPr>
        <w:pStyle w:val="Nadpis3"/>
        <w:contextualSpacing/>
      </w:pPr>
      <w:bookmarkStart w:id="25" w:name="_Toc359918291"/>
      <w:r w:rsidRPr="00805964">
        <w:lastRenderedPageBreak/>
        <w:t>3. 2. 4</w:t>
      </w:r>
      <w:r w:rsidR="005B46E7" w:rsidRPr="00805964">
        <w:t xml:space="preserve"> Zhodnocení</w:t>
      </w:r>
      <w:bookmarkEnd w:id="25"/>
    </w:p>
    <w:p w:rsidR="0006559B" w:rsidRPr="00805964" w:rsidRDefault="0006559B" w:rsidP="0029635A">
      <w:pPr>
        <w:spacing w:line="360" w:lineRule="auto"/>
        <w:contextualSpacing/>
        <w:jc w:val="both"/>
      </w:pPr>
    </w:p>
    <w:p w:rsidR="007726C0" w:rsidRPr="00805964" w:rsidRDefault="00903A88" w:rsidP="0029635A">
      <w:pPr>
        <w:spacing w:line="360" w:lineRule="auto"/>
        <w:contextualSpacing/>
        <w:jc w:val="both"/>
      </w:pPr>
      <w:r w:rsidRPr="00805964">
        <w:tab/>
      </w:r>
      <w:r w:rsidR="00E615C8" w:rsidRPr="00805964">
        <w:t>V 8. funkčním období probíhajícím v letech 2010</w:t>
      </w:r>
      <w:r w:rsidR="000713F0" w:rsidRPr="00805964">
        <w:t>–</w:t>
      </w:r>
      <w:r w:rsidR="00E615C8" w:rsidRPr="00805964">
        <w:t xml:space="preserve">2012, kdy většinové složení </w:t>
      </w:r>
      <w:r w:rsidR="00A437D8">
        <w:br/>
      </w:r>
      <w:r w:rsidR="00E615C8" w:rsidRPr="00805964">
        <w:t>v Poslanecké sněmovně neodpovídalo většinovému složení v Senátu</w:t>
      </w:r>
      <w:r w:rsidR="00EA670D">
        <w:t>,</w:t>
      </w:r>
      <w:r w:rsidR="00E615C8" w:rsidRPr="00805964">
        <w:t xml:space="preserve"> bylo Senátem </w:t>
      </w:r>
      <w:r w:rsidR="00A437D8">
        <w:br/>
      </w:r>
      <w:r w:rsidR="00E615C8" w:rsidRPr="00805964">
        <w:t>z celkových 223 běžných zákonů schváleno pouze 120. Senát se tak oproti předešlému období více snažil měnit rozhodnutí PS</w:t>
      </w:r>
      <w:r w:rsidR="00EA670D">
        <w:t>, a sice v 92 případech, kdy 30</w:t>
      </w:r>
      <w:r w:rsidR="00E615C8" w:rsidRPr="00805964">
        <w:t xml:space="preserve">krát využil práva veta </w:t>
      </w:r>
      <w:r w:rsidR="00DC2678">
        <w:t>a </w:t>
      </w:r>
      <w:r w:rsidR="00E615C8" w:rsidRPr="00805964">
        <w:t>u</w:t>
      </w:r>
      <w:r w:rsidR="00DC2678">
        <w:t> </w:t>
      </w:r>
      <w:r w:rsidR="00F14661" w:rsidRPr="00805964">
        <w:t xml:space="preserve">zbylých 62 návrhů zákonů </w:t>
      </w:r>
      <w:r w:rsidR="00E615C8" w:rsidRPr="00805964">
        <w:t>tyto vrátil do Sněmovny s pozměňovacími návrhy.</w:t>
      </w:r>
      <w:r w:rsidR="00071A7C" w:rsidRPr="00805964">
        <w:t xml:space="preserve"> Úspěšnost pozměňovacích návrhů byla téměř poloviční</w:t>
      </w:r>
      <w:r w:rsidR="00EA670D">
        <w:t>,</w:t>
      </w:r>
      <w:r w:rsidR="00F14661" w:rsidRPr="00805964">
        <w:t xml:space="preserve"> a sice 49,18 %</w:t>
      </w:r>
      <w:r w:rsidR="00071A7C" w:rsidRPr="00805964">
        <w:t>, kdy 30 zákonů bylo přijato ve znění navrženém Senátem a 31 zákonů bylo přijato v původním znění předloženém Senátu Poslaneckou sněmovnou. Při pokusech o zamítnutí projednávané legislativy Senát již tak úspěšný nebyl, jelikož ze zmíněných 30 zamítnutých návrhů zákonů jich Sněmovna 29 přijala navzdory vůli Senátu a pouze jeden tento návrh nebyl přijat</w:t>
      </w:r>
      <w:r w:rsidR="00F14661" w:rsidRPr="00805964">
        <w:t>, což je úspěšnost 3,33 %.</w:t>
      </w:r>
    </w:p>
    <w:p w:rsidR="00762C7C" w:rsidRPr="00805964" w:rsidRDefault="00903A88" w:rsidP="0029635A">
      <w:pPr>
        <w:spacing w:line="360" w:lineRule="auto"/>
        <w:contextualSpacing/>
        <w:jc w:val="both"/>
      </w:pPr>
      <w:r w:rsidRPr="00805964">
        <w:tab/>
      </w:r>
      <w:r w:rsidR="00F14661" w:rsidRPr="00805964">
        <w:t xml:space="preserve">U první varianty měření činí hodnota v tomto období </w:t>
      </w:r>
      <w:r w:rsidR="00FE6C02" w:rsidRPr="00805964">
        <w:t>304</w:t>
      </w:r>
      <w:r w:rsidR="00F14661" w:rsidRPr="00805964">
        <w:t xml:space="preserve"> bodů</w:t>
      </w:r>
      <w:r w:rsidR="00D93831" w:rsidRPr="00805964">
        <w:t>, ze kterých je následně vypočítána varianta druhá, která vypovídá, kolik bodů získal Senát v průměru za jednotlivé představené situace, tato hodnota je v tomto období 1,3</w:t>
      </w:r>
      <w:r w:rsidR="00FE6C02" w:rsidRPr="00805964">
        <w:t>9</w:t>
      </w:r>
      <w:r w:rsidR="00D93831" w:rsidRPr="00805964">
        <w:t xml:space="preserve"> bodů. Jak již bylo zmíněno</w:t>
      </w:r>
      <w:r w:rsidR="000266FA">
        <w:t>,</w:t>
      </w:r>
      <w:r w:rsidR="00D93831" w:rsidRPr="00805964">
        <w:t xml:space="preserve"> Senát byl v tomto období poměrně úspěšný  při prosazování pozměňovacích návrhů, avšak neúspěšný při zamítání návrhů zákonů, což se odrazilo i ve třetí variantě, kde je výsledná hodnota 34,06 %, což znamená, že Senát byl při snaze měnit rozhodnutí PS </w:t>
      </w:r>
      <w:r w:rsidR="00E23E86">
        <w:t>úspěšný ze 34,06 </w:t>
      </w:r>
      <w:r w:rsidR="000D6E08" w:rsidRPr="00805964">
        <w:t xml:space="preserve">%. Poslední čtvrtá varianta přinesla výslednou hodnotu </w:t>
      </w:r>
      <w:r w:rsidR="00FE6C02" w:rsidRPr="00805964">
        <w:t>31,02</w:t>
      </w:r>
      <w:r w:rsidR="000D6E08" w:rsidRPr="00805964">
        <w:t xml:space="preserve"> %.</w:t>
      </w:r>
      <w:r w:rsidR="00D93831" w:rsidRPr="00805964">
        <w:t xml:space="preserve"> </w:t>
      </w:r>
      <w:r w:rsidR="00762C7C" w:rsidRPr="00805964">
        <w:t>Následující kapitola představí analýzu dalších vybraných období</w:t>
      </w:r>
      <w:r w:rsidR="000266FA">
        <w:t>,</w:t>
      </w:r>
      <w:r w:rsidR="00762C7C" w:rsidRPr="00805964">
        <w:t xml:space="preserve"> s nimiž data získaná v této kapitole </w:t>
      </w:r>
      <w:r w:rsidR="00D87D17" w:rsidRPr="00805964">
        <w:t>následně</w:t>
      </w:r>
      <w:r w:rsidR="001673E5" w:rsidRPr="00805964">
        <w:t xml:space="preserve"> </w:t>
      </w:r>
      <w:r w:rsidR="00762C7C" w:rsidRPr="00805964">
        <w:t>porovnáme.</w:t>
      </w:r>
    </w:p>
    <w:p w:rsidR="00844514" w:rsidRPr="00805964" w:rsidRDefault="00762C7C" w:rsidP="0029635A">
      <w:pPr>
        <w:spacing w:line="360" w:lineRule="auto"/>
        <w:contextualSpacing/>
        <w:jc w:val="both"/>
      </w:pPr>
      <w:r w:rsidRPr="00805964">
        <w:tab/>
      </w:r>
    </w:p>
    <w:p w:rsidR="005B46E7" w:rsidRPr="00805964" w:rsidRDefault="00FF1269" w:rsidP="0029635A">
      <w:pPr>
        <w:pStyle w:val="Nadpis2"/>
        <w:contextualSpacing/>
      </w:pPr>
      <w:bookmarkStart w:id="26" w:name="_Toc359918292"/>
      <w:r w:rsidRPr="00805964">
        <w:t>3. 3 Analýza dalších období</w:t>
      </w:r>
      <w:bookmarkEnd w:id="26"/>
    </w:p>
    <w:p w:rsidR="001C6539" w:rsidRPr="00805964" w:rsidRDefault="001C6539" w:rsidP="0029635A">
      <w:pPr>
        <w:spacing w:line="360" w:lineRule="auto"/>
        <w:contextualSpacing/>
        <w:jc w:val="both"/>
      </w:pPr>
    </w:p>
    <w:p w:rsidR="00762C7C" w:rsidRPr="00805964" w:rsidRDefault="00762C7C" w:rsidP="00762C7C">
      <w:pPr>
        <w:spacing w:line="360" w:lineRule="auto"/>
        <w:contextualSpacing/>
        <w:jc w:val="both"/>
      </w:pPr>
      <w:r w:rsidRPr="00805964">
        <w:tab/>
        <w:t>Vzhledem k tomu, že máme potřebná data z vybraných období, je nyní třeba aplikovat námi zvolené varianty i na další funkční období, čímž získáme možnost porovnat výsledné hodnoty a odpovědět tak na výzkumné otázky práce.</w:t>
      </w:r>
      <w:r w:rsidR="001673E5" w:rsidRPr="00805964">
        <w:t xml:space="preserve"> Tato kapitola je rozdělena do menších podkapitol reprezentujících vybraná funkční období. Každé období bude</w:t>
      </w:r>
      <w:r w:rsidR="009A2541" w:rsidRPr="00805964">
        <w:t xml:space="preserve"> stručně</w:t>
      </w:r>
      <w:r w:rsidR="001673E5" w:rsidRPr="00805964">
        <w:t xml:space="preserve"> popsáno </w:t>
      </w:r>
      <w:r w:rsidR="00DC2678">
        <w:t>z </w:t>
      </w:r>
      <w:r w:rsidR="001673E5" w:rsidRPr="00805964">
        <w:t>hlediska složení komor Parlamentu a následně budou provedena všechna čtyři měření, která poslouží při porovnání všech výsledných hodnot a zhodnocení celé analýzy v kapitole 3. 4 této práce.</w:t>
      </w:r>
      <w:r w:rsidR="00A31107" w:rsidRPr="00805964">
        <w:t xml:space="preserve"> Data pro jednotlivá měření vycházejí z tabulek č. 5 a 6. této práce.</w:t>
      </w:r>
    </w:p>
    <w:p w:rsidR="00762C7C" w:rsidRDefault="00762C7C" w:rsidP="0029635A">
      <w:pPr>
        <w:spacing w:line="360" w:lineRule="auto"/>
        <w:contextualSpacing/>
        <w:jc w:val="both"/>
      </w:pPr>
    </w:p>
    <w:p w:rsidR="00BB7495" w:rsidRPr="00805964" w:rsidRDefault="00BB7495" w:rsidP="0029635A">
      <w:pPr>
        <w:spacing w:line="360" w:lineRule="auto"/>
        <w:contextualSpacing/>
        <w:jc w:val="both"/>
      </w:pPr>
    </w:p>
    <w:p w:rsidR="00080504" w:rsidRPr="00805964" w:rsidRDefault="00080504" w:rsidP="0029635A">
      <w:pPr>
        <w:pStyle w:val="Nadpis3"/>
        <w:contextualSpacing/>
      </w:pPr>
      <w:bookmarkStart w:id="27" w:name="_Toc359918293"/>
      <w:r w:rsidRPr="00805964">
        <w:lastRenderedPageBreak/>
        <w:t>3. 3. 1 Období 2000</w:t>
      </w:r>
      <w:r w:rsidR="000713F0" w:rsidRPr="00805964">
        <w:t>–</w:t>
      </w:r>
      <w:r w:rsidRPr="00805964">
        <w:t>2002</w:t>
      </w:r>
      <w:bookmarkEnd w:id="27"/>
    </w:p>
    <w:p w:rsidR="000B7F83" w:rsidRPr="00805964" w:rsidRDefault="000B7F83" w:rsidP="00665CFA">
      <w:pPr>
        <w:spacing w:line="360" w:lineRule="auto"/>
        <w:jc w:val="both"/>
      </w:pPr>
    </w:p>
    <w:p w:rsidR="00B11D02" w:rsidRPr="00805964" w:rsidRDefault="00665CFA" w:rsidP="00665CFA">
      <w:pPr>
        <w:spacing w:line="360" w:lineRule="auto"/>
        <w:jc w:val="both"/>
      </w:pPr>
      <w:r w:rsidRPr="00805964">
        <w:tab/>
      </w:r>
      <w:r w:rsidR="000B7F83" w:rsidRPr="00805964">
        <w:t>Ve třetím funkč</w:t>
      </w:r>
      <w:r w:rsidR="004E5460" w:rsidRPr="00805964">
        <w:t>ním období Senátu v letech 2000–</w:t>
      </w:r>
      <w:r w:rsidR="000B7F83" w:rsidRPr="00805964">
        <w:t xml:space="preserve">2002 držely </w:t>
      </w:r>
      <w:r w:rsidR="00C07DFF" w:rsidRPr="00805964">
        <w:t>většinu v horní komoře pravicové</w:t>
      </w:r>
      <w:r w:rsidR="000B7F83" w:rsidRPr="00805964">
        <w:t xml:space="preserve"> strany. Po volbách v roce 2000 bylo rozdělení mandátů v Senátu takov</w:t>
      </w:r>
      <w:r w:rsidR="004E5460" w:rsidRPr="00805964">
        <w:t>é, že ODS měla 22 senátorů, KDU–</w:t>
      </w:r>
      <w:r w:rsidR="000B7F83" w:rsidRPr="00805964">
        <w:t>ČSL měla 19 senátorů, koaliční uskupení US/ODA</w:t>
      </w:r>
      <w:r w:rsidR="008A7721">
        <w:t xml:space="preserve"> (Unie svobody/Občanská demokratická aliance)</w:t>
      </w:r>
      <w:r w:rsidR="000B7F83" w:rsidRPr="00805964">
        <w:t xml:space="preserve"> mělo 16 zástupců.  Levicové strany ČSSD a KSČM měly 15 a 3 senátory. Zbylých šest křesel bylo rozdělen</w:t>
      </w:r>
      <w:r w:rsidRPr="00805964">
        <w:t>o</w:t>
      </w:r>
      <w:r w:rsidR="000B7F83" w:rsidRPr="00805964">
        <w:t xml:space="preserve"> mezi menší politické subjekty.</w:t>
      </w:r>
      <w:r w:rsidR="00D15376" w:rsidRPr="00805964">
        <w:rPr>
          <w:rStyle w:val="Znakapoznpodarou"/>
        </w:rPr>
        <w:footnoteReference w:id="89"/>
      </w:r>
      <w:r w:rsidR="000B7F83" w:rsidRPr="00805964">
        <w:t xml:space="preserve"> Situace v Poslanecké sněmovně byla stejná, jelikož většinu zde tvořili zástupci stran pravicových</w:t>
      </w:r>
      <w:r w:rsidR="000266FA">
        <w:t>,</w:t>
      </w:r>
      <w:r w:rsidR="000B7F83" w:rsidRPr="00805964">
        <w:t xml:space="preserve"> tedy ODS se 63 poslanci, US s 19 </w:t>
      </w:r>
      <w:r w:rsidR="004E5460" w:rsidRPr="00805964">
        <w:t>poslanci a středo-pravicová KDU–</w:t>
      </w:r>
      <w:r w:rsidR="000B7F83" w:rsidRPr="00805964">
        <w:t>ČSL s 20 poslanci. Levicové strany ČSSD a KSČM měly dohromady 98 poslanců.</w:t>
      </w:r>
      <w:r w:rsidR="00D15376" w:rsidRPr="00805964">
        <w:rPr>
          <w:rStyle w:val="Znakapoznpodarou"/>
        </w:rPr>
        <w:footnoteReference w:id="90"/>
      </w:r>
      <w:r w:rsidR="008A7721">
        <w:t xml:space="preserve"> Vzhledem k </w:t>
      </w:r>
      <w:r w:rsidR="000B7F83" w:rsidRPr="00805964">
        <w:t>politické situaci</w:t>
      </w:r>
      <w:r w:rsidRPr="00805964">
        <w:t xml:space="preserve"> a rozkolu</w:t>
      </w:r>
      <w:r w:rsidR="000266FA">
        <w:t xml:space="preserve"> v pravicovém politickém táboře</w:t>
      </w:r>
      <w:r w:rsidRPr="00805964">
        <w:t xml:space="preserve"> byla však na základě </w:t>
      </w:r>
      <w:r w:rsidR="008A7721">
        <w:rPr>
          <w:i/>
        </w:rPr>
        <w:t>Smlouvy o </w:t>
      </w:r>
      <w:r w:rsidRPr="00805964">
        <w:rPr>
          <w:i/>
        </w:rPr>
        <w:t>vytvoření stabilního politického prostředí v České republice</w:t>
      </w:r>
      <w:r w:rsidRPr="00805964">
        <w:t xml:space="preserve"> sestavena menšinová vláda ČSSD podporovaná ODS. </w:t>
      </w:r>
      <w:r w:rsidR="0015357D" w:rsidRPr="00805964">
        <w:t>Většinu však v obou komorách Parlamentu držela pravice.</w:t>
      </w:r>
    </w:p>
    <w:p w:rsidR="009A2541" w:rsidRPr="00805964" w:rsidRDefault="000D25C7" w:rsidP="000D25C7">
      <w:pPr>
        <w:contextualSpacing/>
        <w:jc w:val="center"/>
      </w:pPr>
      <w:r w:rsidRPr="00805964">
        <w:rPr>
          <w:b/>
          <w:sz w:val="22"/>
          <w:u w:val="single"/>
        </w:rPr>
        <w:t>Tabulka č. 13: První varianta pro období 2000</w:t>
      </w:r>
      <w:r w:rsidR="000713F0" w:rsidRPr="00805964">
        <w:rPr>
          <w:b/>
          <w:sz w:val="22"/>
          <w:u w:val="single"/>
        </w:rPr>
        <w:t>–</w:t>
      </w:r>
      <w:r w:rsidRPr="00805964">
        <w:rPr>
          <w:b/>
          <w:sz w:val="22"/>
          <w:u w:val="single"/>
        </w:rPr>
        <w:t>2002</w:t>
      </w:r>
    </w:p>
    <w:tbl>
      <w:tblPr>
        <w:tblStyle w:val="Mkatabulky"/>
        <w:tblW w:w="0" w:type="auto"/>
        <w:tblLook w:val="04A0"/>
      </w:tblPr>
      <w:tblGrid>
        <w:gridCol w:w="3070"/>
        <w:gridCol w:w="3070"/>
        <w:gridCol w:w="3071"/>
      </w:tblGrid>
      <w:tr w:rsidR="0065529C" w:rsidRPr="00805964" w:rsidTr="00080504">
        <w:tc>
          <w:tcPr>
            <w:tcW w:w="3070" w:type="dxa"/>
          </w:tcPr>
          <w:p w:rsidR="0065529C" w:rsidRPr="00805964" w:rsidRDefault="0065529C" w:rsidP="0029635A">
            <w:pPr>
              <w:spacing w:line="360" w:lineRule="auto"/>
              <w:contextualSpacing/>
              <w:jc w:val="both"/>
            </w:pPr>
          </w:p>
        </w:tc>
        <w:tc>
          <w:tcPr>
            <w:tcW w:w="3070" w:type="dxa"/>
          </w:tcPr>
          <w:p w:rsidR="0065529C" w:rsidRPr="00805964" w:rsidRDefault="0065529C" w:rsidP="0029635A">
            <w:pPr>
              <w:spacing w:line="360" w:lineRule="auto"/>
              <w:contextualSpacing/>
              <w:jc w:val="center"/>
              <w:rPr>
                <w:b/>
              </w:rPr>
            </w:pPr>
            <w:r w:rsidRPr="00805964">
              <w:rPr>
                <w:b/>
              </w:rPr>
              <w:t>počet případů</w:t>
            </w:r>
          </w:p>
        </w:tc>
        <w:tc>
          <w:tcPr>
            <w:tcW w:w="3071" w:type="dxa"/>
          </w:tcPr>
          <w:p w:rsidR="0065529C" w:rsidRPr="00805964" w:rsidRDefault="0065529C" w:rsidP="0029635A">
            <w:pPr>
              <w:spacing w:line="360" w:lineRule="auto"/>
              <w:contextualSpacing/>
              <w:jc w:val="center"/>
              <w:rPr>
                <w:b/>
              </w:rPr>
            </w:pPr>
            <w:r w:rsidRPr="00805964">
              <w:rPr>
                <w:b/>
              </w:rPr>
              <w:t>bodové ohodnocení</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 xml:space="preserve">Senát schválil v původním znění (1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71</w:t>
            </w:r>
          </w:p>
        </w:tc>
        <w:tc>
          <w:tcPr>
            <w:tcW w:w="3071" w:type="dxa"/>
            <w:vAlign w:val="center"/>
          </w:tcPr>
          <w:p w:rsidR="00A7709A" w:rsidRPr="00805964" w:rsidRDefault="00A7709A" w:rsidP="0029635A">
            <w:pPr>
              <w:spacing w:line="360" w:lineRule="auto"/>
              <w:contextualSpacing/>
              <w:jc w:val="center"/>
            </w:pPr>
            <w:r w:rsidRPr="00805964">
              <w:t>71</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 xml:space="preserve">Senátní pozměňovací návrh – prošel (3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37</w:t>
            </w:r>
          </w:p>
        </w:tc>
        <w:tc>
          <w:tcPr>
            <w:tcW w:w="3071" w:type="dxa"/>
            <w:vAlign w:val="center"/>
          </w:tcPr>
          <w:p w:rsidR="00A7709A" w:rsidRPr="00805964" w:rsidRDefault="00A7709A" w:rsidP="0029635A">
            <w:pPr>
              <w:spacing w:line="360" w:lineRule="auto"/>
              <w:contextualSpacing/>
              <w:jc w:val="center"/>
            </w:pPr>
            <w:r w:rsidRPr="00805964">
              <w:t>111</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 xml:space="preserve">Senátní pozměňovací návrh – neprošel (2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18</w:t>
            </w:r>
          </w:p>
        </w:tc>
        <w:tc>
          <w:tcPr>
            <w:tcW w:w="3071" w:type="dxa"/>
            <w:vAlign w:val="center"/>
          </w:tcPr>
          <w:p w:rsidR="00A7709A" w:rsidRPr="00805964" w:rsidRDefault="00A7709A" w:rsidP="0029635A">
            <w:pPr>
              <w:spacing w:line="360" w:lineRule="auto"/>
              <w:contextualSpacing/>
              <w:jc w:val="center"/>
            </w:pPr>
            <w:r w:rsidRPr="00805964">
              <w:t>36</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 xml:space="preserve">Senát zamítl návrh zákona – PS přehlasovala (1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6</w:t>
            </w:r>
          </w:p>
        </w:tc>
        <w:tc>
          <w:tcPr>
            <w:tcW w:w="3071" w:type="dxa"/>
            <w:vAlign w:val="center"/>
          </w:tcPr>
          <w:p w:rsidR="00A7709A" w:rsidRPr="00805964" w:rsidRDefault="00A7709A" w:rsidP="0029635A">
            <w:pPr>
              <w:spacing w:line="360" w:lineRule="auto"/>
              <w:contextualSpacing/>
              <w:jc w:val="center"/>
            </w:pPr>
            <w:r w:rsidRPr="00805964">
              <w:t>6</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 xml:space="preserve">Senát zamítl návrh zákona – PS nepřehlasovala (3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7</w:t>
            </w:r>
          </w:p>
        </w:tc>
        <w:tc>
          <w:tcPr>
            <w:tcW w:w="3071" w:type="dxa"/>
            <w:vAlign w:val="center"/>
          </w:tcPr>
          <w:p w:rsidR="00A7709A" w:rsidRPr="00805964" w:rsidRDefault="00A7709A" w:rsidP="0029635A">
            <w:pPr>
              <w:spacing w:line="360" w:lineRule="auto"/>
              <w:contextualSpacing/>
              <w:jc w:val="center"/>
            </w:pPr>
            <w:r w:rsidRPr="00805964">
              <w:t>21</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Senát se návrhem nezabýval</w:t>
            </w:r>
            <w:r w:rsidRPr="00805964">
              <w:br/>
              <w:t xml:space="preserve">(0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94</w:t>
            </w:r>
          </w:p>
        </w:tc>
        <w:tc>
          <w:tcPr>
            <w:tcW w:w="3071" w:type="dxa"/>
            <w:vAlign w:val="center"/>
          </w:tcPr>
          <w:p w:rsidR="00A7709A" w:rsidRPr="00805964" w:rsidRDefault="00A7709A" w:rsidP="0029635A">
            <w:pPr>
              <w:spacing w:line="360" w:lineRule="auto"/>
              <w:contextualSpacing/>
              <w:jc w:val="center"/>
            </w:pPr>
            <w:r w:rsidRPr="00805964">
              <w:t>0</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 xml:space="preserve">Senát se nestihl v určené době usnést (0 </w:t>
            </w:r>
            <w:proofErr w:type="spellStart"/>
            <w:r w:rsidRPr="00805964">
              <w:t>b</w:t>
            </w:r>
            <w:proofErr w:type="spellEnd"/>
            <w:r w:rsidRPr="00805964">
              <w:t>.)</w:t>
            </w:r>
          </w:p>
        </w:tc>
        <w:tc>
          <w:tcPr>
            <w:tcW w:w="3070" w:type="dxa"/>
            <w:vAlign w:val="center"/>
          </w:tcPr>
          <w:p w:rsidR="00A7709A" w:rsidRPr="00805964" w:rsidRDefault="00A7709A" w:rsidP="0029635A">
            <w:pPr>
              <w:spacing w:line="360" w:lineRule="auto"/>
              <w:contextualSpacing/>
              <w:jc w:val="center"/>
            </w:pPr>
            <w:r w:rsidRPr="00805964">
              <w:t>9</w:t>
            </w:r>
          </w:p>
        </w:tc>
        <w:tc>
          <w:tcPr>
            <w:tcW w:w="3071" w:type="dxa"/>
            <w:vAlign w:val="center"/>
          </w:tcPr>
          <w:p w:rsidR="00A7709A" w:rsidRPr="00805964" w:rsidRDefault="00A7709A" w:rsidP="0029635A">
            <w:pPr>
              <w:spacing w:line="360" w:lineRule="auto"/>
              <w:contextualSpacing/>
              <w:jc w:val="center"/>
            </w:pPr>
            <w:r w:rsidRPr="00805964">
              <w:t>0</w:t>
            </w:r>
          </w:p>
        </w:tc>
      </w:tr>
      <w:tr w:rsidR="00A7709A" w:rsidRPr="00805964" w:rsidTr="00C955E8">
        <w:tc>
          <w:tcPr>
            <w:tcW w:w="3070" w:type="dxa"/>
            <w:vAlign w:val="center"/>
          </w:tcPr>
          <w:p w:rsidR="00A7709A" w:rsidRPr="00805964" w:rsidRDefault="00A7709A" w:rsidP="00C46069">
            <w:pPr>
              <w:spacing w:line="360" w:lineRule="auto"/>
              <w:contextualSpacing/>
              <w:jc w:val="both"/>
            </w:pPr>
            <w:r w:rsidRPr="00805964">
              <w:t>CELKEM</w:t>
            </w:r>
          </w:p>
        </w:tc>
        <w:tc>
          <w:tcPr>
            <w:tcW w:w="3070" w:type="dxa"/>
            <w:vAlign w:val="center"/>
          </w:tcPr>
          <w:p w:rsidR="00A7709A" w:rsidRPr="00805964" w:rsidRDefault="00A7709A" w:rsidP="0029635A">
            <w:pPr>
              <w:spacing w:line="360" w:lineRule="auto"/>
              <w:contextualSpacing/>
              <w:jc w:val="center"/>
              <w:rPr>
                <w:b/>
              </w:rPr>
            </w:pPr>
            <w:r w:rsidRPr="00805964">
              <w:rPr>
                <w:b/>
              </w:rPr>
              <w:t>241</w:t>
            </w:r>
          </w:p>
        </w:tc>
        <w:tc>
          <w:tcPr>
            <w:tcW w:w="3071" w:type="dxa"/>
            <w:vAlign w:val="center"/>
          </w:tcPr>
          <w:p w:rsidR="00A7709A" w:rsidRPr="00805964" w:rsidRDefault="00A7709A" w:rsidP="0029635A">
            <w:pPr>
              <w:spacing w:line="360" w:lineRule="auto"/>
              <w:contextualSpacing/>
              <w:jc w:val="center"/>
              <w:rPr>
                <w:b/>
              </w:rPr>
            </w:pPr>
            <w:r w:rsidRPr="00805964">
              <w:rPr>
                <w:b/>
              </w:rPr>
              <w:t>245</w:t>
            </w:r>
          </w:p>
        </w:tc>
      </w:tr>
    </w:tbl>
    <w:p w:rsidR="00265145" w:rsidRPr="00805964" w:rsidRDefault="00265145" w:rsidP="00265145">
      <w:pPr>
        <w:spacing w:line="360" w:lineRule="auto"/>
        <w:contextualSpacing/>
        <w:jc w:val="center"/>
        <w:rPr>
          <w:i/>
          <w:sz w:val="22"/>
        </w:rPr>
      </w:pPr>
      <w:r w:rsidRPr="00805964">
        <w:rPr>
          <w:i/>
          <w:sz w:val="22"/>
        </w:rPr>
        <w:t>Zpracoval: Autor.</w:t>
      </w:r>
    </w:p>
    <w:p w:rsidR="009A2541" w:rsidRPr="00805964" w:rsidRDefault="009A2541" w:rsidP="0029635A">
      <w:pPr>
        <w:spacing w:line="360" w:lineRule="auto"/>
        <w:contextualSpacing/>
        <w:jc w:val="center"/>
        <w:rPr>
          <w:i/>
          <w:sz w:val="22"/>
        </w:rPr>
      </w:pPr>
    </w:p>
    <w:p w:rsidR="009A2541" w:rsidRPr="00805964" w:rsidRDefault="000D25C7" w:rsidP="0029635A">
      <w:pPr>
        <w:spacing w:line="360" w:lineRule="auto"/>
        <w:contextualSpacing/>
        <w:jc w:val="center"/>
        <w:rPr>
          <w:b/>
          <w:sz w:val="22"/>
          <w:u w:val="single"/>
        </w:rPr>
      </w:pPr>
      <w:r w:rsidRPr="00805964">
        <w:rPr>
          <w:b/>
          <w:sz w:val="22"/>
          <w:u w:val="single"/>
        </w:rPr>
        <w:lastRenderedPageBreak/>
        <w:t>Tabulka č. 14: Třetí varianta pro období 2000</w:t>
      </w:r>
      <w:r w:rsidR="000713F0" w:rsidRPr="00805964">
        <w:rPr>
          <w:b/>
          <w:sz w:val="22"/>
          <w:u w:val="single"/>
        </w:rPr>
        <w:t>–</w:t>
      </w:r>
      <w:r w:rsidRPr="00805964">
        <w:rPr>
          <w:b/>
          <w:sz w:val="22"/>
          <w:u w:val="single"/>
        </w:rPr>
        <w:t>2002</w:t>
      </w:r>
    </w:p>
    <w:tbl>
      <w:tblPr>
        <w:tblStyle w:val="Mkatabulky"/>
        <w:tblpPr w:leftFromText="141" w:rightFromText="141" w:vertAnchor="text" w:horzAnchor="margin" w:tblpY="143"/>
        <w:tblW w:w="9288" w:type="dxa"/>
        <w:tblLook w:val="04A0"/>
      </w:tblPr>
      <w:tblGrid>
        <w:gridCol w:w="964"/>
        <w:gridCol w:w="1451"/>
        <w:gridCol w:w="1198"/>
        <w:gridCol w:w="1219"/>
        <w:gridCol w:w="1426"/>
        <w:gridCol w:w="1933"/>
        <w:gridCol w:w="1097"/>
      </w:tblGrid>
      <w:tr w:rsidR="0065529C" w:rsidRPr="00805964" w:rsidTr="00080504">
        <w:trPr>
          <w:trHeight w:val="763"/>
        </w:trPr>
        <w:tc>
          <w:tcPr>
            <w:tcW w:w="964" w:type="dxa"/>
            <w:vMerge w:val="restart"/>
            <w:textDirection w:val="btLr"/>
            <w:vAlign w:val="center"/>
          </w:tcPr>
          <w:p w:rsidR="0065529C" w:rsidRPr="00805964" w:rsidRDefault="0065529C" w:rsidP="0029635A">
            <w:pPr>
              <w:spacing w:line="360" w:lineRule="auto"/>
              <w:ind w:left="113" w:right="113"/>
              <w:contextualSpacing/>
              <w:jc w:val="center"/>
            </w:pPr>
            <w:r w:rsidRPr="00805964">
              <w:rPr>
                <w:b/>
                <w:u w:val="single"/>
              </w:rPr>
              <w:t>3. funkční období 2000-2002</w:t>
            </w:r>
          </w:p>
        </w:tc>
        <w:tc>
          <w:tcPr>
            <w:tcW w:w="1451" w:type="dxa"/>
            <w:vAlign w:val="center"/>
          </w:tcPr>
          <w:p w:rsidR="0065529C" w:rsidRPr="00805964" w:rsidRDefault="0065529C" w:rsidP="0029635A">
            <w:pPr>
              <w:spacing w:line="360" w:lineRule="auto"/>
              <w:contextualSpacing/>
              <w:jc w:val="center"/>
            </w:pPr>
          </w:p>
        </w:tc>
        <w:tc>
          <w:tcPr>
            <w:tcW w:w="1198" w:type="dxa"/>
            <w:vAlign w:val="center"/>
          </w:tcPr>
          <w:p w:rsidR="0065529C" w:rsidRPr="00805964" w:rsidRDefault="0065529C" w:rsidP="0029635A">
            <w:pPr>
              <w:spacing w:line="360" w:lineRule="auto"/>
              <w:contextualSpacing/>
              <w:jc w:val="center"/>
              <w:rPr>
                <w:b/>
                <w:u w:val="single"/>
              </w:rPr>
            </w:pPr>
            <w:r w:rsidRPr="00805964">
              <w:rPr>
                <w:b/>
                <w:u w:val="single"/>
              </w:rPr>
              <w:t>Celkem</w:t>
            </w:r>
          </w:p>
        </w:tc>
        <w:tc>
          <w:tcPr>
            <w:tcW w:w="1219" w:type="dxa"/>
            <w:vAlign w:val="center"/>
          </w:tcPr>
          <w:p w:rsidR="0065529C" w:rsidRPr="00805964" w:rsidRDefault="0065529C" w:rsidP="0029635A">
            <w:pPr>
              <w:spacing w:line="360" w:lineRule="auto"/>
              <w:contextualSpacing/>
              <w:jc w:val="center"/>
              <w:rPr>
                <w:b/>
                <w:u w:val="single"/>
              </w:rPr>
            </w:pPr>
            <w:r w:rsidRPr="00805964">
              <w:rPr>
                <w:b/>
                <w:u w:val="single"/>
              </w:rPr>
              <w:t>Sněmovna přehlasuje</w:t>
            </w:r>
          </w:p>
        </w:tc>
        <w:tc>
          <w:tcPr>
            <w:tcW w:w="1426" w:type="dxa"/>
            <w:vAlign w:val="center"/>
          </w:tcPr>
          <w:p w:rsidR="0065529C" w:rsidRPr="00805964" w:rsidRDefault="0065529C" w:rsidP="0029635A">
            <w:pPr>
              <w:spacing w:line="360" w:lineRule="auto"/>
              <w:contextualSpacing/>
              <w:jc w:val="center"/>
              <w:rPr>
                <w:b/>
                <w:u w:val="single"/>
              </w:rPr>
            </w:pPr>
            <w:r w:rsidRPr="00805964">
              <w:rPr>
                <w:b/>
                <w:u w:val="single"/>
              </w:rPr>
              <w:t>Sněmovna nepřehlasuje</w:t>
            </w:r>
          </w:p>
        </w:tc>
        <w:tc>
          <w:tcPr>
            <w:tcW w:w="1933" w:type="dxa"/>
            <w:vAlign w:val="center"/>
          </w:tcPr>
          <w:p w:rsidR="0065529C" w:rsidRPr="00805964" w:rsidRDefault="0065529C" w:rsidP="0029635A">
            <w:pPr>
              <w:spacing w:line="360" w:lineRule="auto"/>
              <w:contextualSpacing/>
              <w:jc w:val="center"/>
              <w:rPr>
                <w:b/>
                <w:u w:val="single"/>
              </w:rPr>
            </w:pPr>
            <w:r w:rsidRPr="00805964">
              <w:rPr>
                <w:b/>
                <w:u w:val="single"/>
              </w:rPr>
              <w:t>Poměrná efektivita</w:t>
            </w:r>
          </w:p>
        </w:tc>
        <w:tc>
          <w:tcPr>
            <w:tcW w:w="1097" w:type="dxa"/>
            <w:vAlign w:val="center"/>
          </w:tcPr>
          <w:p w:rsidR="0065529C" w:rsidRPr="00805964" w:rsidRDefault="0065529C" w:rsidP="0029635A">
            <w:pPr>
              <w:spacing w:line="360" w:lineRule="auto"/>
              <w:contextualSpacing/>
              <w:jc w:val="center"/>
              <w:rPr>
                <w:b/>
                <w:u w:val="single"/>
              </w:rPr>
            </w:pPr>
            <w:r w:rsidRPr="00805964">
              <w:rPr>
                <w:b/>
                <w:u w:val="single"/>
              </w:rPr>
              <w:t>Výsledek</w:t>
            </w:r>
          </w:p>
        </w:tc>
      </w:tr>
      <w:tr w:rsidR="0065529C" w:rsidRPr="00805964" w:rsidTr="00080504">
        <w:trPr>
          <w:cantSplit/>
          <w:trHeight w:val="763"/>
        </w:trPr>
        <w:tc>
          <w:tcPr>
            <w:tcW w:w="964" w:type="dxa"/>
            <w:vMerge/>
            <w:textDirection w:val="btLr"/>
          </w:tcPr>
          <w:p w:rsidR="0065529C" w:rsidRPr="00805964" w:rsidRDefault="0065529C" w:rsidP="0029635A">
            <w:pPr>
              <w:spacing w:line="360" w:lineRule="auto"/>
              <w:ind w:left="113" w:right="113"/>
              <w:contextualSpacing/>
              <w:jc w:val="both"/>
              <w:rPr>
                <w:b/>
                <w:u w:val="single"/>
              </w:rPr>
            </w:pPr>
          </w:p>
        </w:tc>
        <w:tc>
          <w:tcPr>
            <w:tcW w:w="1451" w:type="dxa"/>
            <w:vAlign w:val="center"/>
          </w:tcPr>
          <w:p w:rsidR="0065529C" w:rsidRPr="00805964" w:rsidRDefault="0065529C" w:rsidP="0029635A">
            <w:pPr>
              <w:spacing w:line="360" w:lineRule="auto"/>
              <w:contextualSpacing/>
              <w:jc w:val="center"/>
              <w:rPr>
                <w:b/>
                <w:u w:val="single"/>
              </w:rPr>
            </w:pPr>
            <w:r w:rsidRPr="00805964">
              <w:rPr>
                <w:b/>
                <w:u w:val="single"/>
              </w:rPr>
              <w:t>Pozměňovací návrhy</w:t>
            </w:r>
            <w:r w:rsidR="00A2023A" w:rsidRPr="00805964">
              <w:rPr>
                <w:rStyle w:val="Znakapoznpodarou"/>
              </w:rPr>
              <w:footnoteReference w:id="91"/>
            </w:r>
          </w:p>
        </w:tc>
        <w:tc>
          <w:tcPr>
            <w:tcW w:w="1198" w:type="dxa"/>
            <w:vAlign w:val="center"/>
          </w:tcPr>
          <w:p w:rsidR="0065529C" w:rsidRPr="00805964" w:rsidRDefault="0065529C" w:rsidP="0029635A">
            <w:pPr>
              <w:spacing w:line="360" w:lineRule="auto"/>
              <w:contextualSpacing/>
              <w:jc w:val="center"/>
            </w:pPr>
            <w:r w:rsidRPr="00805964">
              <w:t>5</w:t>
            </w:r>
            <w:r w:rsidR="00A2023A" w:rsidRPr="00805964">
              <w:t>5</w:t>
            </w:r>
          </w:p>
        </w:tc>
        <w:tc>
          <w:tcPr>
            <w:tcW w:w="1219" w:type="dxa"/>
            <w:vAlign w:val="center"/>
          </w:tcPr>
          <w:p w:rsidR="0065529C" w:rsidRPr="00805964" w:rsidRDefault="00EA6AA1" w:rsidP="0029635A">
            <w:pPr>
              <w:spacing w:line="360" w:lineRule="auto"/>
              <w:contextualSpacing/>
              <w:jc w:val="center"/>
            </w:pPr>
            <w:r w:rsidRPr="00805964">
              <w:t>18</w:t>
            </w:r>
          </w:p>
        </w:tc>
        <w:tc>
          <w:tcPr>
            <w:tcW w:w="1426" w:type="dxa"/>
            <w:vAlign w:val="center"/>
          </w:tcPr>
          <w:p w:rsidR="0065529C" w:rsidRPr="00805964" w:rsidRDefault="00EA6AA1" w:rsidP="0029635A">
            <w:pPr>
              <w:spacing w:line="360" w:lineRule="auto"/>
              <w:contextualSpacing/>
              <w:jc w:val="center"/>
            </w:pPr>
            <w:r w:rsidRPr="00805964">
              <w:t>3</w:t>
            </w:r>
            <w:r w:rsidR="00A2023A" w:rsidRPr="00805964">
              <w:t>7</w:t>
            </w:r>
          </w:p>
        </w:tc>
        <w:tc>
          <w:tcPr>
            <w:tcW w:w="1933" w:type="dxa"/>
            <w:vAlign w:val="center"/>
          </w:tcPr>
          <w:p w:rsidR="0065529C" w:rsidRPr="00805964" w:rsidRDefault="00EE58B6" w:rsidP="0029635A">
            <w:pPr>
              <w:spacing w:line="360" w:lineRule="auto"/>
              <w:contextualSpacing/>
              <w:jc w:val="center"/>
            </w:pPr>
            <m:oMathPara>
              <m:oMath>
                <m:f>
                  <m:fPr>
                    <m:ctrlPr>
                      <w:rPr>
                        <w:rFonts w:ascii="Cambria Math" w:hAnsi="Cambria Math"/>
                        <w:i/>
                      </w:rPr>
                    </m:ctrlPr>
                  </m:fPr>
                  <m:num>
                    <m:r>
                      <w:rPr>
                        <w:rFonts w:ascii="Cambria Math" w:hAnsi="Cambria Math"/>
                      </w:rPr>
                      <m:t>37</m:t>
                    </m:r>
                  </m:num>
                  <m:den>
                    <m:r>
                      <w:rPr>
                        <w:rFonts w:ascii="Cambria Math" w:hAnsi="Cambria Math"/>
                      </w:rPr>
                      <m:t>18+37</m:t>
                    </m:r>
                  </m:den>
                </m:f>
              </m:oMath>
            </m:oMathPara>
          </w:p>
        </w:tc>
        <w:tc>
          <w:tcPr>
            <w:tcW w:w="1097" w:type="dxa"/>
            <w:vAlign w:val="center"/>
          </w:tcPr>
          <w:p w:rsidR="0065529C" w:rsidRPr="00805964" w:rsidRDefault="00EA6AA1" w:rsidP="0029635A">
            <w:pPr>
              <w:spacing w:line="360" w:lineRule="auto"/>
              <w:contextualSpacing/>
              <w:jc w:val="center"/>
              <w:rPr>
                <w:rFonts w:eastAsia="Calibri" w:cs="Times New Roman"/>
                <w:b/>
              </w:rPr>
            </w:pPr>
            <w:r w:rsidRPr="00805964">
              <w:rPr>
                <w:rFonts w:eastAsia="Calibri" w:cs="Times New Roman"/>
                <w:b/>
              </w:rPr>
              <w:t>6</w:t>
            </w:r>
            <w:r w:rsidR="00A2023A" w:rsidRPr="00805964">
              <w:rPr>
                <w:rFonts w:eastAsia="Calibri" w:cs="Times New Roman"/>
                <w:b/>
              </w:rPr>
              <w:t>7</w:t>
            </w:r>
            <w:r w:rsidRPr="00805964">
              <w:rPr>
                <w:rFonts w:eastAsia="Calibri" w:cs="Times New Roman"/>
                <w:b/>
              </w:rPr>
              <w:t>,</w:t>
            </w:r>
            <w:r w:rsidR="00A2023A" w:rsidRPr="00805964">
              <w:rPr>
                <w:rFonts w:eastAsia="Calibri" w:cs="Times New Roman"/>
                <w:b/>
              </w:rPr>
              <w:t>27</w:t>
            </w:r>
            <w:r w:rsidR="0065529C" w:rsidRPr="00805964">
              <w:rPr>
                <w:rFonts w:eastAsia="Calibri" w:cs="Times New Roman"/>
                <w:b/>
              </w:rPr>
              <w:t xml:space="preserve"> %</w:t>
            </w:r>
          </w:p>
        </w:tc>
      </w:tr>
      <w:tr w:rsidR="0065529C" w:rsidRPr="00805964" w:rsidTr="00080504">
        <w:trPr>
          <w:trHeight w:val="763"/>
        </w:trPr>
        <w:tc>
          <w:tcPr>
            <w:tcW w:w="964" w:type="dxa"/>
            <w:vMerge/>
          </w:tcPr>
          <w:p w:rsidR="0065529C" w:rsidRPr="00805964" w:rsidRDefault="0065529C" w:rsidP="0029635A">
            <w:pPr>
              <w:spacing w:line="360" w:lineRule="auto"/>
              <w:contextualSpacing/>
              <w:jc w:val="both"/>
              <w:rPr>
                <w:b/>
                <w:u w:val="single"/>
              </w:rPr>
            </w:pPr>
          </w:p>
        </w:tc>
        <w:tc>
          <w:tcPr>
            <w:tcW w:w="1451" w:type="dxa"/>
            <w:tcBorders>
              <w:bottom w:val="single" w:sz="12" w:space="0" w:color="auto"/>
            </w:tcBorders>
            <w:vAlign w:val="center"/>
          </w:tcPr>
          <w:p w:rsidR="0065529C" w:rsidRPr="00805964" w:rsidRDefault="0065529C" w:rsidP="0029635A">
            <w:pPr>
              <w:spacing w:line="360" w:lineRule="auto"/>
              <w:contextualSpacing/>
              <w:jc w:val="center"/>
              <w:rPr>
                <w:b/>
                <w:u w:val="single"/>
              </w:rPr>
            </w:pPr>
            <w:r w:rsidRPr="00805964">
              <w:rPr>
                <w:b/>
                <w:u w:val="single"/>
              </w:rPr>
              <w:t>Zamítnutí</w:t>
            </w:r>
          </w:p>
        </w:tc>
        <w:tc>
          <w:tcPr>
            <w:tcW w:w="1198" w:type="dxa"/>
            <w:tcBorders>
              <w:bottom w:val="single" w:sz="12" w:space="0" w:color="auto"/>
            </w:tcBorders>
            <w:vAlign w:val="center"/>
          </w:tcPr>
          <w:p w:rsidR="0065529C" w:rsidRPr="00805964" w:rsidRDefault="00EA6AA1" w:rsidP="0029635A">
            <w:pPr>
              <w:spacing w:line="360" w:lineRule="auto"/>
              <w:contextualSpacing/>
              <w:jc w:val="center"/>
            </w:pPr>
            <w:r w:rsidRPr="00805964">
              <w:t>13</w:t>
            </w:r>
          </w:p>
        </w:tc>
        <w:tc>
          <w:tcPr>
            <w:tcW w:w="1219" w:type="dxa"/>
            <w:tcBorders>
              <w:bottom w:val="single" w:sz="12" w:space="0" w:color="auto"/>
            </w:tcBorders>
            <w:vAlign w:val="center"/>
          </w:tcPr>
          <w:p w:rsidR="0065529C" w:rsidRPr="00805964" w:rsidRDefault="00EA6AA1" w:rsidP="0029635A">
            <w:pPr>
              <w:spacing w:line="360" w:lineRule="auto"/>
              <w:contextualSpacing/>
              <w:jc w:val="center"/>
            </w:pPr>
            <w:r w:rsidRPr="00805964">
              <w:t>6</w:t>
            </w:r>
          </w:p>
        </w:tc>
        <w:tc>
          <w:tcPr>
            <w:tcW w:w="1426" w:type="dxa"/>
            <w:tcBorders>
              <w:bottom w:val="single" w:sz="12" w:space="0" w:color="auto"/>
            </w:tcBorders>
            <w:vAlign w:val="center"/>
          </w:tcPr>
          <w:p w:rsidR="0065529C" w:rsidRPr="00805964" w:rsidRDefault="00EA6AA1" w:rsidP="0029635A">
            <w:pPr>
              <w:spacing w:line="360" w:lineRule="auto"/>
              <w:contextualSpacing/>
              <w:jc w:val="center"/>
            </w:pPr>
            <w:r w:rsidRPr="00805964">
              <w:t>7</w:t>
            </w:r>
          </w:p>
        </w:tc>
        <w:tc>
          <w:tcPr>
            <w:tcW w:w="1933" w:type="dxa"/>
            <w:tcBorders>
              <w:bottom w:val="single" w:sz="12" w:space="0" w:color="auto"/>
            </w:tcBorders>
            <w:vAlign w:val="center"/>
          </w:tcPr>
          <w:p w:rsidR="0065529C"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7</m:t>
                    </m:r>
                  </m:num>
                  <m:den>
                    <m:r>
                      <m:rPr>
                        <m:sty m:val="p"/>
                      </m:rPr>
                      <w:rPr>
                        <w:rFonts w:ascii="Cambria Math" w:hAnsi="Cambria Math"/>
                      </w:rPr>
                      <m:t>7+6</m:t>
                    </m:r>
                  </m:den>
                </m:f>
              </m:oMath>
            </m:oMathPara>
          </w:p>
        </w:tc>
        <w:tc>
          <w:tcPr>
            <w:tcW w:w="1097" w:type="dxa"/>
            <w:tcBorders>
              <w:bottom w:val="single" w:sz="12" w:space="0" w:color="auto"/>
            </w:tcBorders>
            <w:vAlign w:val="center"/>
          </w:tcPr>
          <w:p w:rsidR="0065529C" w:rsidRPr="00805964" w:rsidRDefault="00EA6AA1" w:rsidP="0029635A">
            <w:pPr>
              <w:spacing w:line="360" w:lineRule="auto"/>
              <w:contextualSpacing/>
              <w:jc w:val="center"/>
              <w:rPr>
                <w:rFonts w:eastAsia="Calibri" w:cs="Times New Roman"/>
                <w:b/>
              </w:rPr>
            </w:pPr>
            <w:r w:rsidRPr="00805964">
              <w:rPr>
                <w:rFonts w:eastAsia="Calibri" w:cs="Times New Roman"/>
                <w:b/>
              </w:rPr>
              <w:t>53,84</w:t>
            </w:r>
            <w:r w:rsidR="0065529C" w:rsidRPr="00805964">
              <w:rPr>
                <w:rFonts w:eastAsia="Calibri" w:cs="Times New Roman"/>
                <w:b/>
              </w:rPr>
              <w:t xml:space="preserve"> %</w:t>
            </w:r>
          </w:p>
        </w:tc>
      </w:tr>
      <w:tr w:rsidR="0065529C" w:rsidRPr="00805964" w:rsidTr="00080504">
        <w:trPr>
          <w:trHeight w:val="763"/>
        </w:trPr>
        <w:tc>
          <w:tcPr>
            <w:tcW w:w="964" w:type="dxa"/>
            <w:vMerge/>
          </w:tcPr>
          <w:p w:rsidR="0065529C" w:rsidRPr="00805964" w:rsidRDefault="0065529C" w:rsidP="0029635A">
            <w:pPr>
              <w:spacing w:line="360" w:lineRule="auto"/>
              <w:contextualSpacing/>
              <w:jc w:val="both"/>
              <w:rPr>
                <w:b/>
                <w:u w:val="single"/>
              </w:rPr>
            </w:pPr>
          </w:p>
        </w:tc>
        <w:tc>
          <w:tcPr>
            <w:tcW w:w="1451" w:type="dxa"/>
            <w:tcBorders>
              <w:top w:val="single" w:sz="12" w:space="0" w:color="auto"/>
            </w:tcBorders>
            <w:vAlign w:val="center"/>
          </w:tcPr>
          <w:p w:rsidR="0065529C" w:rsidRPr="00805964" w:rsidRDefault="0065529C" w:rsidP="0029635A">
            <w:pPr>
              <w:spacing w:line="360" w:lineRule="auto"/>
              <w:contextualSpacing/>
              <w:jc w:val="center"/>
              <w:rPr>
                <w:b/>
                <w:u w:val="single"/>
              </w:rPr>
            </w:pPr>
            <w:r w:rsidRPr="00805964">
              <w:rPr>
                <w:b/>
                <w:u w:val="single"/>
              </w:rPr>
              <w:t>Celkem</w:t>
            </w:r>
          </w:p>
        </w:tc>
        <w:tc>
          <w:tcPr>
            <w:tcW w:w="1198" w:type="dxa"/>
            <w:tcBorders>
              <w:top w:val="single" w:sz="12" w:space="0" w:color="auto"/>
            </w:tcBorders>
            <w:vAlign w:val="center"/>
          </w:tcPr>
          <w:p w:rsidR="0065529C" w:rsidRPr="00805964" w:rsidRDefault="00A2023A" w:rsidP="0029635A">
            <w:pPr>
              <w:spacing w:line="360" w:lineRule="auto"/>
              <w:contextualSpacing/>
              <w:jc w:val="center"/>
            </w:pPr>
            <w:r w:rsidRPr="00805964">
              <w:t>68</w:t>
            </w:r>
          </w:p>
        </w:tc>
        <w:tc>
          <w:tcPr>
            <w:tcW w:w="1219" w:type="dxa"/>
            <w:tcBorders>
              <w:top w:val="single" w:sz="12" w:space="0" w:color="auto"/>
            </w:tcBorders>
            <w:vAlign w:val="center"/>
          </w:tcPr>
          <w:p w:rsidR="0065529C" w:rsidRPr="00805964" w:rsidRDefault="00EA6AA1" w:rsidP="0029635A">
            <w:pPr>
              <w:spacing w:line="360" w:lineRule="auto"/>
              <w:contextualSpacing/>
              <w:jc w:val="center"/>
            </w:pPr>
            <w:r w:rsidRPr="00805964">
              <w:t>24</w:t>
            </w:r>
          </w:p>
        </w:tc>
        <w:tc>
          <w:tcPr>
            <w:tcW w:w="1426" w:type="dxa"/>
            <w:tcBorders>
              <w:top w:val="single" w:sz="12" w:space="0" w:color="auto"/>
            </w:tcBorders>
            <w:vAlign w:val="center"/>
          </w:tcPr>
          <w:p w:rsidR="0065529C" w:rsidRPr="00805964" w:rsidRDefault="00EA6AA1" w:rsidP="0029635A">
            <w:pPr>
              <w:spacing w:line="360" w:lineRule="auto"/>
              <w:contextualSpacing/>
              <w:jc w:val="center"/>
            </w:pPr>
            <w:r w:rsidRPr="00805964">
              <w:t>4</w:t>
            </w:r>
            <w:r w:rsidR="00A2023A" w:rsidRPr="00805964">
              <w:t>4</w:t>
            </w:r>
          </w:p>
        </w:tc>
        <w:tc>
          <w:tcPr>
            <w:tcW w:w="1933" w:type="dxa"/>
            <w:tcBorders>
              <w:top w:val="single" w:sz="12" w:space="0" w:color="auto"/>
            </w:tcBorders>
            <w:vAlign w:val="center"/>
          </w:tcPr>
          <w:p w:rsidR="0065529C"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37+7</m:t>
                    </m:r>
                  </m:num>
                  <m:den>
                    <m:r>
                      <m:rPr>
                        <m:sty m:val="p"/>
                      </m:rPr>
                      <w:rPr>
                        <w:rFonts w:ascii="Cambria Math" w:hAnsi="Cambria Math"/>
                      </w:rPr>
                      <m:t>18+6+37+7</m:t>
                    </m:r>
                  </m:den>
                </m:f>
              </m:oMath>
            </m:oMathPara>
          </w:p>
        </w:tc>
        <w:tc>
          <w:tcPr>
            <w:tcW w:w="1097" w:type="dxa"/>
            <w:tcBorders>
              <w:top w:val="single" w:sz="12" w:space="0" w:color="auto"/>
            </w:tcBorders>
            <w:vAlign w:val="center"/>
          </w:tcPr>
          <w:p w:rsidR="0065529C" w:rsidRPr="00805964" w:rsidRDefault="00D51F62" w:rsidP="0029635A">
            <w:pPr>
              <w:spacing w:line="360" w:lineRule="auto"/>
              <w:contextualSpacing/>
              <w:jc w:val="center"/>
              <w:rPr>
                <w:rFonts w:eastAsia="Calibri" w:cs="Times New Roman"/>
                <w:b/>
              </w:rPr>
            </w:pPr>
            <w:r w:rsidRPr="00805964">
              <w:rPr>
                <w:rFonts w:eastAsia="Calibri" w:cs="Times New Roman"/>
                <w:b/>
              </w:rPr>
              <w:t>64,</w:t>
            </w:r>
            <w:r w:rsidR="00A2023A" w:rsidRPr="00805964">
              <w:rPr>
                <w:rFonts w:eastAsia="Calibri" w:cs="Times New Roman"/>
                <w:b/>
              </w:rPr>
              <w:t>70</w:t>
            </w:r>
            <w:r w:rsidR="0065529C" w:rsidRPr="00805964">
              <w:rPr>
                <w:rFonts w:eastAsia="Calibri" w:cs="Times New Roman"/>
                <w:b/>
              </w:rPr>
              <w:t xml:space="preserve"> %</w:t>
            </w:r>
          </w:p>
        </w:tc>
      </w:tr>
    </w:tbl>
    <w:p w:rsidR="00265145" w:rsidRPr="00805964" w:rsidRDefault="00265145" w:rsidP="00265145">
      <w:pPr>
        <w:spacing w:line="360" w:lineRule="auto"/>
        <w:contextualSpacing/>
        <w:jc w:val="center"/>
        <w:rPr>
          <w:i/>
          <w:sz w:val="22"/>
        </w:rPr>
      </w:pPr>
      <w:r w:rsidRPr="00805964">
        <w:rPr>
          <w:i/>
          <w:sz w:val="22"/>
        </w:rPr>
        <w:t>Zpracoval: Autor.</w:t>
      </w:r>
    </w:p>
    <w:p w:rsidR="000D25C7" w:rsidRPr="00805964" w:rsidRDefault="000D25C7" w:rsidP="00265145">
      <w:pPr>
        <w:spacing w:line="360" w:lineRule="auto"/>
        <w:contextualSpacing/>
        <w:jc w:val="center"/>
        <w:rPr>
          <w:i/>
          <w:sz w:val="22"/>
        </w:rPr>
      </w:pPr>
    </w:p>
    <w:p w:rsidR="0065529C" w:rsidRPr="00805964" w:rsidRDefault="000D25C7" w:rsidP="000D25C7">
      <w:pPr>
        <w:spacing w:line="360" w:lineRule="auto"/>
        <w:contextualSpacing/>
        <w:jc w:val="center"/>
        <w:rPr>
          <w:b/>
          <w:sz w:val="22"/>
          <w:u w:val="single"/>
        </w:rPr>
      </w:pPr>
      <w:r w:rsidRPr="00805964">
        <w:rPr>
          <w:b/>
          <w:sz w:val="22"/>
          <w:u w:val="single"/>
        </w:rPr>
        <w:t>Tabulka č. 15: Čtvrtá varianta pro období 2000</w:t>
      </w:r>
      <w:r w:rsidR="000713F0" w:rsidRPr="00805964">
        <w:rPr>
          <w:b/>
          <w:sz w:val="22"/>
          <w:u w:val="single"/>
        </w:rPr>
        <w:t>–</w:t>
      </w:r>
      <w:r w:rsidRPr="00805964">
        <w:rPr>
          <w:b/>
          <w:sz w:val="22"/>
          <w:u w:val="single"/>
        </w:rPr>
        <w:t>2002</w:t>
      </w:r>
    </w:p>
    <w:tbl>
      <w:tblPr>
        <w:tblStyle w:val="Mkatabulky"/>
        <w:tblW w:w="0" w:type="auto"/>
        <w:jc w:val="center"/>
        <w:tblInd w:w="1384" w:type="dxa"/>
        <w:tblLook w:val="04A0"/>
      </w:tblPr>
      <w:tblGrid>
        <w:gridCol w:w="1121"/>
        <w:gridCol w:w="2816"/>
        <w:gridCol w:w="1308"/>
        <w:gridCol w:w="1389"/>
        <w:gridCol w:w="1269"/>
      </w:tblGrid>
      <w:tr w:rsidR="0065529C" w:rsidRPr="00805964" w:rsidTr="00080504">
        <w:trPr>
          <w:trHeight w:val="806"/>
          <w:jc w:val="center"/>
        </w:trPr>
        <w:tc>
          <w:tcPr>
            <w:tcW w:w="1121" w:type="dxa"/>
            <w:vMerge w:val="restart"/>
            <w:textDirection w:val="btLr"/>
          </w:tcPr>
          <w:p w:rsidR="0065529C" w:rsidRPr="00805964" w:rsidRDefault="0065529C" w:rsidP="000713F0">
            <w:pPr>
              <w:ind w:left="113" w:right="113"/>
              <w:contextualSpacing/>
              <w:jc w:val="center"/>
              <w:rPr>
                <w:sz w:val="36"/>
                <w:szCs w:val="36"/>
              </w:rPr>
            </w:pPr>
            <w:r w:rsidRPr="00805964">
              <w:rPr>
                <w:sz w:val="36"/>
                <w:szCs w:val="36"/>
              </w:rPr>
              <w:t>3. Funkční období</w:t>
            </w:r>
            <w:r w:rsidRPr="00805964">
              <w:rPr>
                <w:sz w:val="36"/>
                <w:szCs w:val="36"/>
              </w:rPr>
              <w:br/>
              <w:t>2000</w:t>
            </w:r>
            <w:r w:rsidR="000713F0" w:rsidRPr="00805964">
              <w:rPr>
                <w:sz w:val="36"/>
                <w:szCs w:val="36"/>
              </w:rPr>
              <w:t>–</w:t>
            </w:r>
            <w:r w:rsidRPr="00805964">
              <w:rPr>
                <w:sz w:val="36"/>
                <w:szCs w:val="36"/>
              </w:rPr>
              <w:t>2002</w:t>
            </w:r>
          </w:p>
        </w:tc>
        <w:tc>
          <w:tcPr>
            <w:tcW w:w="2816" w:type="dxa"/>
            <w:vAlign w:val="center"/>
          </w:tcPr>
          <w:p w:rsidR="0065529C" w:rsidRPr="00805964" w:rsidRDefault="0065529C" w:rsidP="0029635A">
            <w:pPr>
              <w:contextualSpacing/>
              <w:jc w:val="center"/>
            </w:pPr>
          </w:p>
        </w:tc>
        <w:tc>
          <w:tcPr>
            <w:tcW w:w="1308" w:type="dxa"/>
            <w:vAlign w:val="center"/>
          </w:tcPr>
          <w:p w:rsidR="0065529C" w:rsidRPr="00805964" w:rsidRDefault="0065529C" w:rsidP="0029635A">
            <w:pPr>
              <w:contextualSpacing/>
              <w:jc w:val="center"/>
            </w:pPr>
            <w:r w:rsidRPr="00805964">
              <w:t>Bodové ohodnocení</w:t>
            </w:r>
          </w:p>
        </w:tc>
        <w:tc>
          <w:tcPr>
            <w:tcW w:w="1389" w:type="dxa"/>
            <w:vAlign w:val="center"/>
          </w:tcPr>
          <w:p w:rsidR="0065529C" w:rsidRPr="00805964" w:rsidRDefault="0065529C" w:rsidP="0029635A">
            <w:pPr>
              <w:contextualSpacing/>
              <w:jc w:val="center"/>
            </w:pPr>
            <w:r w:rsidRPr="00805964">
              <w:t>Počet případů</w:t>
            </w:r>
          </w:p>
        </w:tc>
        <w:tc>
          <w:tcPr>
            <w:tcW w:w="1269" w:type="dxa"/>
            <w:vAlign w:val="center"/>
          </w:tcPr>
          <w:p w:rsidR="0065529C" w:rsidRPr="00805964" w:rsidRDefault="0065529C" w:rsidP="0029635A">
            <w:pPr>
              <w:contextualSpacing/>
              <w:jc w:val="center"/>
              <w:rPr>
                <w:b/>
              </w:rPr>
            </w:pPr>
            <w:r w:rsidRPr="00805964">
              <w:rPr>
                <w:b/>
              </w:rPr>
              <w:t>Body celkem</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Zamítnutí ústavního zákona Senátem</w:t>
            </w:r>
          </w:p>
        </w:tc>
        <w:tc>
          <w:tcPr>
            <w:tcW w:w="1308" w:type="dxa"/>
            <w:vAlign w:val="center"/>
          </w:tcPr>
          <w:p w:rsidR="00C46069" w:rsidRPr="00805964" w:rsidRDefault="00C46069" w:rsidP="0029635A">
            <w:pPr>
              <w:contextualSpacing/>
              <w:jc w:val="center"/>
            </w:pPr>
            <w:r w:rsidRPr="00805964">
              <w:t>4</w:t>
            </w:r>
          </w:p>
        </w:tc>
        <w:tc>
          <w:tcPr>
            <w:tcW w:w="1389" w:type="dxa"/>
            <w:vAlign w:val="center"/>
          </w:tcPr>
          <w:p w:rsidR="00C46069" w:rsidRPr="00805964" w:rsidRDefault="00C46069" w:rsidP="0029635A">
            <w:pPr>
              <w:contextualSpacing/>
              <w:jc w:val="center"/>
            </w:pPr>
            <w:r w:rsidRPr="00805964">
              <w:t>3</w:t>
            </w:r>
          </w:p>
        </w:tc>
        <w:tc>
          <w:tcPr>
            <w:tcW w:w="1269" w:type="dxa"/>
            <w:vAlign w:val="center"/>
          </w:tcPr>
          <w:p w:rsidR="00C46069" w:rsidRPr="00805964" w:rsidRDefault="00C46069" w:rsidP="0029635A">
            <w:pPr>
              <w:contextualSpacing/>
              <w:jc w:val="center"/>
              <w:rPr>
                <w:b/>
              </w:rPr>
            </w:pPr>
            <w:r w:rsidRPr="00805964">
              <w:rPr>
                <w:b/>
              </w:rPr>
              <w:t>12</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ústavního zákona</w:t>
            </w:r>
            <w:r w:rsidRPr="00805964">
              <w:t xml:space="preserve"> </w:t>
            </w:r>
          </w:p>
        </w:tc>
        <w:tc>
          <w:tcPr>
            <w:tcW w:w="1308" w:type="dxa"/>
            <w:vAlign w:val="center"/>
          </w:tcPr>
          <w:p w:rsidR="00C46069" w:rsidRPr="00805964" w:rsidRDefault="00C46069" w:rsidP="0029635A">
            <w:pPr>
              <w:contextualSpacing/>
              <w:jc w:val="center"/>
            </w:pPr>
            <w:r w:rsidRPr="00805964">
              <w:t>2</w:t>
            </w:r>
          </w:p>
        </w:tc>
        <w:tc>
          <w:tcPr>
            <w:tcW w:w="1389" w:type="dxa"/>
            <w:vAlign w:val="center"/>
          </w:tcPr>
          <w:p w:rsidR="00C46069" w:rsidRPr="00805964" w:rsidRDefault="00C46069" w:rsidP="0029635A">
            <w:pPr>
              <w:contextualSpacing/>
              <w:jc w:val="center"/>
            </w:pPr>
            <w:r w:rsidRPr="00805964">
              <w:t>1</w:t>
            </w:r>
          </w:p>
        </w:tc>
        <w:tc>
          <w:tcPr>
            <w:tcW w:w="1269" w:type="dxa"/>
            <w:vAlign w:val="center"/>
          </w:tcPr>
          <w:p w:rsidR="00C46069" w:rsidRPr="00805964" w:rsidRDefault="00C46069" w:rsidP="0029635A">
            <w:pPr>
              <w:contextualSpacing/>
              <w:jc w:val="center"/>
              <w:rPr>
                <w:b/>
              </w:rPr>
            </w:pPr>
            <w:r w:rsidRPr="00805964">
              <w:rPr>
                <w:b/>
              </w:rPr>
              <w:t>2</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Veto běžného zákona – úspěšné</w:t>
            </w:r>
          </w:p>
        </w:tc>
        <w:tc>
          <w:tcPr>
            <w:tcW w:w="1308" w:type="dxa"/>
            <w:vAlign w:val="center"/>
          </w:tcPr>
          <w:p w:rsidR="00C46069" w:rsidRPr="00805964" w:rsidRDefault="00C46069" w:rsidP="0029635A">
            <w:pPr>
              <w:contextualSpacing/>
              <w:jc w:val="center"/>
            </w:pPr>
            <w:r w:rsidRPr="00805964">
              <w:t>1</w:t>
            </w:r>
          </w:p>
        </w:tc>
        <w:tc>
          <w:tcPr>
            <w:tcW w:w="1389" w:type="dxa"/>
            <w:vAlign w:val="center"/>
          </w:tcPr>
          <w:p w:rsidR="00C46069" w:rsidRPr="00805964" w:rsidRDefault="00C46069" w:rsidP="0029635A">
            <w:pPr>
              <w:contextualSpacing/>
              <w:jc w:val="center"/>
            </w:pPr>
            <w:r w:rsidRPr="00805964">
              <w:t>7</w:t>
            </w:r>
          </w:p>
        </w:tc>
        <w:tc>
          <w:tcPr>
            <w:tcW w:w="1269" w:type="dxa"/>
            <w:vAlign w:val="center"/>
          </w:tcPr>
          <w:p w:rsidR="00C46069" w:rsidRPr="00805964" w:rsidRDefault="00C46069" w:rsidP="0029635A">
            <w:pPr>
              <w:contextualSpacing/>
              <w:jc w:val="center"/>
              <w:rPr>
                <w:b/>
              </w:rPr>
            </w:pPr>
            <w:r w:rsidRPr="00805964">
              <w:rPr>
                <w:b/>
              </w:rPr>
              <w:t>7</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Veto běžného zákona – přehlasování PS</w:t>
            </w:r>
          </w:p>
        </w:tc>
        <w:tc>
          <w:tcPr>
            <w:tcW w:w="1308" w:type="dxa"/>
            <w:vAlign w:val="center"/>
          </w:tcPr>
          <w:p w:rsidR="00C46069" w:rsidRPr="00805964" w:rsidRDefault="00C46069" w:rsidP="0029635A">
            <w:pPr>
              <w:contextualSpacing/>
              <w:jc w:val="center"/>
            </w:pPr>
            <w:r w:rsidRPr="00805964">
              <w:t>0</w:t>
            </w:r>
          </w:p>
        </w:tc>
        <w:tc>
          <w:tcPr>
            <w:tcW w:w="1389" w:type="dxa"/>
            <w:vAlign w:val="center"/>
          </w:tcPr>
          <w:p w:rsidR="00C46069" w:rsidRPr="00805964" w:rsidRDefault="00C46069" w:rsidP="0029635A">
            <w:pPr>
              <w:contextualSpacing/>
              <w:jc w:val="center"/>
            </w:pPr>
            <w:r w:rsidRPr="00805964">
              <w:t>6</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běžné legislativy - přehlasování PS</w:t>
            </w:r>
          </w:p>
        </w:tc>
        <w:tc>
          <w:tcPr>
            <w:tcW w:w="1308" w:type="dxa"/>
            <w:vAlign w:val="center"/>
          </w:tcPr>
          <w:p w:rsidR="00C46069" w:rsidRPr="00805964" w:rsidRDefault="00C46069" w:rsidP="0029635A">
            <w:pPr>
              <w:contextualSpacing/>
              <w:jc w:val="center"/>
            </w:pPr>
            <w:r w:rsidRPr="00805964">
              <w:t>0</w:t>
            </w:r>
          </w:p>
        </w:tc>
        <w:tc>
          <w:tcPr>
            <w:tcW w:w="1389" w:type="dxa"/>
            <w:vAlign w:val="center"/>
          </w:tcPr>
          <w:p w:rsidR="00C46069" w:rsidRPr="00805964" w:rsidRDefault="00C46069" w:rsidP="0029635A">
            <w:pPr>
              <w:contextualSpacing/>
              <w:jc w:val="center"/>
            </w:pPr>
            <w:r w:rsidRPr="00805964">
              <w:t>18</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běžné legislativy - přijato ve znění schváleném Senátem</w:t>
            </w:r>
          </w:p>
        </w:tc>
        <w:tc>
          <w:tcPr>
            <w:tcW w:w="1308" w:type="dxa"/>
            <w:vAlign w:val="center"/>
          </w:tcPr>
          <w:p w:rsidR="00C46069" w:rsidRPr="00805964" w:rsidRDefault="00C46069" w:rsidP="0029635A">
            <w:pPr>
              <w:contextualSpacing/>
              <w:jc w:val="center"/>
            </w:pPr>
            <w:r w:rsidRPr="00805964">
              <w:t>0,75</w:t>
            </w:r>
          </w:p>
        </w:tc>
        <w:tc>
          <w:tcPr>
            <w:tcW w:w="1389" w:type="dxa"/>
            <w:vAlign w:val="center"/>
          </w:tcPr>
          <w:p w:rsidR="00C46069" w:rsidRPr="00805964" w:rsidRDefault="00C46069" w:rsidP="0029635A">
            <w:pPr>
              <w:contextualSpacing/>
              <w:jc w:val="center"/>
            </w:pPr>
            <w:r w:rsidRPr="00805964">
              <w:t>36</w:t>
            </w:r>
          </w:p>
        </w:tc>
        <w:tc>
          <w:tcPr>
            <w:tcW w:w="1269" w:type="dxa"/>
            <w:vAlign w:val="center"/>
          </w:tcPr>
          <w:p w:rsidR="00C46069" w:rsidRPr="00805964" w:rsidRDefault="00C46069" w:rsidP="0029635A">
            <w:pPr>
              <w:contextualSpacing/>
              <w:jc w:val="center"/>
              <w:rPr>
                <w:b/>
              </w:rPr>
            </w:pPr>
            <w:r w:rsidRPr="00805964">
              <w:rPr>
                <w:b/>
              </w:rPr>
              <w:t>27</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Zamítnutí mezinárodní smlouvy</w:t>
            </w:r>
          </w:p>
        </w:tc>
        <w:tc>
          <w:tcPr>
            <w:tcW w:w="1308" w:type="dxa"/>
            <w:vAlign w:val="center"/>
          </w:tcPr>
          <w:p w:rsidR="00C46069" w:rsidRPr="00805964" w:rsidRDefault="00C46069" w:rsidP="0029635A">
            <w:pPr>
              <w:contextualSpacing/>
              <w:jc w:val="center"/>
            </w:pPr>
            <w:r w:rsidRPr="00805964">
              <w:t>2</w:t>
            </w:r>
          </w:p>
        </w:tc>
        <w:tc>
          <w:tcPr>
            <w:tcW w:w="1389" w:type="dxa"/>
            <w:vAlign w:val="center"/>
          </w:tcPr>
          <w:p w:rsidR="00C46069" w:rsidRPr="00805964" w:rsidRDefault="00C46069" w:rsidP="0029635A">
            <w:pPr>
              <w:contextualSpacing/>
              <w:jc w:val="center"/>
            </w:pPr>
            <w:r w:rsidRPr="00805964">
              <w:t>0</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rPr>
                <w:b/>
              </w:rPr>
            </w:pPr>
            <w:r w:rsidRPr="00805964">
              <w:rPr>
                <w:b/>
              </w:rPr>
              <w:t>CELKEM</w:t>
            </w:r>
          </w:p>
        </w:tc>
        <w:tc>
          <w:tcPr>
            <w:tcW w:w="1308" w:type="dxa"/>
            <w:vAlign w:val="center"/>
          </w:tcPr>
          <w:p w:rsidR="00C46069" w:rsidRPr="00805964" w:rsidRDefault="00C46069" w:rsidP="0029635A">
            <w:pPr>
              <w:contextualSpacing/>
              <w:jc w:val="center"/>
              <w:rPr>
                <w:b/>
              </w:rPr>
            </w:pPr>
          </w:p>
        </w:tc>
        <w:tc>
          <w:tcPr>
            <w:tcW w:w="1389" w:type="dxa"/>
            <w:vAlign w:val="center"/>
          </w:tcPr>
          <w:p w:rsidR="00C46069" w:rsidRPr="00805964" w:rsidRDefault="00C46069" w:rsidP="0029635A">
            <w:pPr>
              <w:contextualSpacing/>
              <w:jc w:val="center"/>
              <w:rPr>
                <w:b/>
              </w:rPr>
            </w:pPr>
            <w:r w:rsidRPr="00805964">
              <w:rPr>
                <w:b/>
              </w:rPr>
              <w:t>71</w:t>
            </w:r>
          </w:p>
        </w:tc>
        <w:tc>
          <w:tcPr>
            <w:tcW w:w="1269" w:type="dxa"/>
            <w:vAlign w:val="center"/>
          </w:tcPr>
          <w:p w:rsidR="00C46069" w:rsidRPr="00805964" w:rsidRDefault="00C46069" w:rsidP="0029635A">
            <w:pPr>
              <w:contextualSpacing/>
              <w:jc w:val="center"/>
              <w:rPr>
                <w:b/>
              </w:rPr>
            </w:pPr>
            <w:r w:rsidRPr="00805964">
              <w:rPr>
                <w:b/>
              </w:rPr>
              <w:t>48</w:t>
            </w:r>
          </w:p>
        </w:tc>
      </w:tr>
    </w:tbl>
    <w:p w:rsidR="00265145" w:rsidRPr="00805964" w:rsidRDefault="00265145" w:rsidP="00265145">
      <w:pPr>
        <w:spacing w:line="360" w:lineRule="auto"/>
        <w:contextualSpacing/>
        <w:jc w:val="center"/>
        <w:rPr>
          <w:i/>
          <w:sz w:val="22"/>
        </w:rPr>
      </w:pPr>
      <w:r w:rsidRPr="00805964">
        <w:rPr>
          <w:i/>
          <w:sz w:val="22"/>
        </w:rPr>
        <w:t>Zpracoval: Autor.</w:t>
      </w:r>
    </w:p>
    <w:p w:rsidR="0065529C" w:rsidRPr="00805964" w:rsidRDefault="0065529C" w:rsidP="0029635A">
      <w:pPr>
        <w:spacing w:line="360" w:lineRule="auto"/>
        <w:contextualSpacing/>
        <w:jc w:val="both"/>
      </w:pPr>
    </w:p>
    <w:p w:rsidR="00986A31" w:rsidRPr="00805964" w:rsidRDefault="00986A31" w:rsidP="0029635A">
      <w:pPr>
        <w:spacing w:line="360" w:lineRule="auto"/>
        <w:contextualSpacing/>
        <w:jc w:val="both"/>
        <w:rPr>
          <w:szCs w:val="24"/>
          <w:u w:val="single"/>
        </w:rPr>
      </w:pPr>
      <w:r w:rsidRPr="00805964">
        <w:rPr>
          <w:u w:val="single"/>
        </w:rPr>
        <w:lastRenderedPageBreak/>
        <w:t>Výpočet vážené poměrné efektivity v této variantě je následující</w:t>
      </w:r>
      <w:r w:rsidRPr="00805964">
        <w:rPr>
          <w:szCs w:val="24"/>
          <w:u w:val="single"/>
        </w:rPr>
        <w:t>:</w:t>
      </w:r>
    </w:p>
    <w:p w:rsidR="00986A31" w:rsidRPr="00805964" w:rsidRDefault="00986A31" w:rsidP="0029635A">
      <w:pPr>
        <w:spacing w:line="360" w:lineRule="auto"/>
        <w:contextualSpacing/>
        <w:jc w:val="both"/>
        <w:rPr>
          <w:szCs w:val="24"/>
        </w:rPr>
      </w:pPr>
      <w:r w:rsidRPr="00805964">
        <w:rPr>
          <w:szCs w:val="24"/>
        </w:rPr>
        <w:br/>
      </w:r>
      <m:oMathPara>
        <m:oMath>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3∙4</m:t>
                  </m:r>
                </m:e>
              </m:d>
              <m:r>
                <w:rPr>
                  <w:rFonts w:ascii="Cambria Math" w:hAnsi="Cambria Math"/>
                  <w:szCs w:val="24"/>
                </w:rPr>
                <m:t>+</m:t>
              </m:r>
              <m:d>
                <m:dPr>
                  <m:ctrlPr>
                    <w:rPr>
                      <w:rFonts w:ascii="Cambria Math" w:hAnsi="Cambria Math"/>
                      <w:i/>
                      <w:szCs w:val="24"/>
                    </w:rPr>
                  </m:ctrlPr>
                </m:dPr>
                <m:e>
                  <m:r>
                    <w:rPr>
                      <w:rFonts w:ascii="Cambria Math" w:hAnsi="Cambria Math"/>
                      <w:szCs w:val="24"/>
                    </w:rPr>
                    <m:t>1∙2</m:t>
                  </m:r>
                </m:e>
              </m:d>
              <m:r>
                <w:rPr>
                  <w:rFonts w:ascii="Cambria Math" w:hAnsi="Cambria Math"/>
                  <w:szCs w:val="24"/>
                </w:rPr>
                <m:t>+</m:t>
              </m:r>
              <m:d>
                <m:dPr>
                  <m:ctrlPr>
                    <w:rPr>
                      <w:rFonts w:ascii="Cambria Math" w:hAnsi="Cambria Math"/>
                      <w:i/>
                      <w:szCs w:val="24"/>
                    </w:rPr>
                  </m:ctrlPr>
                </m:dPr>
                <m:e>
                  <m:r>
                    <w:rPr>
                      <w:rFonts w:ascii="Cambria Math" w:hAnsi="Cambria Math"/>
                      <w:szCs w:val="24"/>
                    </w:rPr>
                    <m:t>7∙1</m:t>
                  </m:r>
                </m:e>
              </m:d>
              <m:r>
                <w:rPr>
                  <w:rFonts w:ascii="Cambria Math" w:hAnsi="Cambria Math"/>
                  <w:szCs w:val="24"/>
                </w:rPr>
                <m:t>+</m:t>
              </m:r>
              <m:d>
                <m:dPr>
                  <m:ctrlPr>
                    <w:rPr>
                      <w:rFonts w:ascii="Cambria Math" w:hAnsi="Cambria Math"/>
                      <w:i/>
                      <w:szCs w:val="24"/>
                    </w:rPr>
                  </m:ctrlPr>
                </m:dPr>
                <m:e>
                  <m:r>
                    <w:rPr>
                      <w:rFonts w:ascii="Cambria Math" w:hAnsi="Cambria Math"/>
                      <w:szCs w:val="24"/>
                    </w:rPr>
                    <m:t>6∙0</m:t>
                  </m:r>
                </m:e>
              </m:d>
              <m:r>
                <w:rPr>
                  <w:rFonts w:ascii="Cambria Math" w:hAnsi="Cambria Math"/>
                  <w:szCs w:val="24"/>
                </w:rPr>
                <m:t>+</m:t>
              </m:r>
              <m:d>
                <m:dPr>
                  <m:ctrlPr>
                    <w:rPr>
                      <w:rFonts w:ascii="Cambria Math" w:hAnsi="Cambria Math"/>
                      <w:i/>
                      <w:szCs w:val="24"/>
                    </w:rPr>
                  </m:ctrlPr>
                </m:dPr>
                <m:e>
                  <m:r>
                    <w:rPr>
                      <w:rFonts w:ascii="Cambria Math" w:hAnsi="Cambria Math"/>
                      <w:szCs w:val="24"/>
                    </w:rPr>
                    <m:t>18∙0</m:t>
                  </m:r>
                </m:e>
              </m:d>
              <m:r>
                <w:rPr>
                  <w:rFonts w:ascii="Cambria Math" w:hAnsi="Cambria Math"/>
                  <w:szCs w:val="24"/>
                </w:rPr>
                <m:t>+</m:t>
              </m:r>
              <m:d>
                <m:dPr>
                  <m:ctrlPr>
                    <w:rPr>
                      <w:rFonts w:ascii="Cambria Math" w:hAnsi="Cambria Math"/>
                      <w:i/>
                      <w:szCs w:val="24"/>
                    </w:rPr>
                  </m:ctrlPr>
                </m:dPr>
                <m:e>
                  <m:r>
                    <w:rPr>
                      <w:rFonts w:ascii="Cambria Math" w:hAnsi="Cambria Math"/>
                      <w:szCs w:val="24"/>
                    </w:rPr>
                    <m:t>36∙0,75</m:t>
                  </m:r>
                </m:e>
              </m:d>
              <m:r>
                <w:rPr>
                  <w:rFonts w:ascii="Cambria Math" w:hAnsi="Cambria Math"/>
                  <w:szCs w:val="24"/>
                </w:rPr>
                <m:t>+</m:t>
              </m:r>
              <m:d>
                <m:dPr>
                  <m:ctrlPr>
                    <w:rPr>
                      <w:rFonts w:ascii="Cambria Math" w:hAnsi="Cambria Math"/>
                      <w:i/>
                      <w:szCs w:val="24"/>
                    </w:rPr>
                  </m:ctrlPr>
                </m:dPr>
                <m:e>
                  <m:r>
                    <w:rPr>
                      <w:rFonts w:ascii="Cambria Math" w:hAnsi="Cambria Math"/>
                      <w:szCs w:val="24"/>
                    </w:rPr>
                    <m:t>0∙2</m:t>
                  </m:r>
                </m:e>
              </m:d>
            </m:num>
            <m:den>
              <m:d>
                <m:dPr>
                  <m:ctrlPr>
                    <w:rPr>
                      <w:rFonts w:ascii="Cambria Math" w:hAnsi="Cambria Math"/>
                      <w:i/>
                      <w:szCs w:val="24"/>
                    </w:rPr>
                  </m:ctrlPr>
                </m:dPr>
                <m:e>
                  <m:r>
                    <w:rPr>
                      <w:rFonts w:ascii="Cambria Math" w:hAnsi="Cambria Math"/>
                      <w:szCs w:val="24"/>
                    </w:rPr>
                    <m:t>3∙4</m:t>
                  </m:r>
                </m:e>
              </m:d>
              <m:r>
                <w:rPr>
                  <w:rFonts w:ascii="Cambria Math" w:hAnsi="Cambria Math"/>
                  <w:szCs w:val="24"/>
                </w:rPr>
                <m:t>+</m:t>
              </m:r>
              <m:d>
                <m:dPr>
                  <m:ctrlPr>
                    <w:rPr>
                      <w:rFonts w:ascii="Cambria Math" w:hAnsi="Cambria Math"/>
                      <w:i/>
                      <w:szCs w:val="24"/>
                    </w:rPr>
                  </m:ctrlPr>
                </m:dPr>
                <m:e>
                  <m:r>
                    <w:rPr>
                      <w:rFonts w:ascii="Cambria Math" w:hAnsi="Cambria Math"/>
                      <w:szCs w:val="24"/>
                    </w:rPr>
                    <m:t>1∙2</m:t>
                  </m:r>
                </m:e>
              </m:d>
              <m:r>
                <w:rPr>
                  <w:rFonts w:ascii="Cambria Math" w:hAnsi="Cambria Math"/>
                  <w:szCs w:val="24"/>
                </w:rPr>
                <m:t>+</m:t>
              </m:r>
              <m:d>
                <m:dPr>
                  <m:ctrlPr>
                    <w:rPr>
                      <w:rFonts w:ascii="Cambria Math" w:hAnsi="Cambria Math"/>
                      <w:i/>
                      <w:szCs w:val="24"/>
                    </w:rPr>
                  </m:ctrlPr>
                </m:dPr>
                <m:e>
                  <m:r>
                    <w:rPr>
                      <w:rFonts w:ascii="Cambria Math" w:hAnsi="Cambria Math"/>
                      <w:szCs w:val="24"/>
                    </w:rPr>
                    <m:t>7+6</m:t>
                  </m:r>
                </m:e>
              </m:d>
              <m:r>
                <w:rPr>
                  <w:rFonts w:ascii="Cambria Math" w:hAnsi="Cambria Math"/>
                  <w:szCs w:val="24"/>
                </w:rPr>
                <m:t>∙1+</m:t>
              </m:r>
              <m:d>
                <m:dPr>
                  <m:ctrlPr>
                    <w:rPr>
                      <w:rFonts w:ascii="Cambria Math" w:hAnsi="Cambria Math"/>
                      <w:i/>
                      <w:szCs w:val="24"/>
                    </w:rPr>
                  </m:ctrlPr>
                </m:dPr>
                <m:e>
                  <m:r>
                    <w:rPr>
                      <w:rFonts w:ascii="Cambria Math" w:hAnsi="Cambria Math"/>
                      <w:szCs w:val="24"/>
                    </w:rPr>
                    <m:t>18+36</m:t>
                  </m:r>
                </m:e>
              </m:d>
              <m:r>
                <w:rPr>
                  <w:rFonts w:ascii="Cambria Math" w:hAnsi="Cambria Math"/>
                  <w:szCs w:val="24"/>
                </w:rPr>
                <m:t>∙0,75+</m:t>
              </m:r>
              <m:d>
                <m:dPr>
                  <m:ctrlPr>
                    <w:rPr>
                      <w:rFonts w:ascii="Cambria Math" w:hAnsi="Cambria Math"/>
                      <w:i/>
                      <w:szCs w:val="24"/>
                    </w:rPr>
                  </m:ctrlPr>
                </m:dPr>
                <m:e>
                  <m:r>
                    <w:rPr>
                      <w:rFonts w:ascii="Cambria Math" w:hAnsi="Cambria Math"/>
                      <w:szCs w:val="24"/>
                    </w:rPr>
                    <m:t>0∙2</m:t>
                  </m:r>
                </m:e>
              </m:d>
            </m:den>
          </m:f>
        </m:oMath>
      </m:oMathPara>
    </w:p>
    <w:p w:rsidR="00986A31" w:rsidRPr="00805964" w:rsidRDefault="00986A31" w:rsidP="0029635A">
      <w:pPr>
        <w:spacing w:line="360" w:lineRule="auto"/>
        <w:contextualSpacing/>
        <w:jc w:val="both"/>
        <w:rPr>
          <w:rFonts w:eastAsiaTheme="minorEastAsia"/>
          <w:szCs w:val="24"/>
        </w:rPr>
      </w:pPr>
    </w:p>
    <w:p w:rsidR="00986A31" w:rsidRPr="00805964" w:rsidRDefault="00986A31" w:rsidP="0029635A">
      <w:pPr>
        <w:spacing w:line="360" w:lineRule="auto"/>
        <w:contextualSpacing/>
        <w:jc w:val="both"/>
        <w:rPr>
          <w:b/>
          <w:i/>
          <w:szCs w:val="24"/>
        </w:rPr>
      </w:pPr>
      <m:oMathPara>
        <m:oMath>
          <m:r>
            <w:rPr>
              <w:rFonts w:ascii="Cambria Math" w:hAnsi="Cambria Math"/>
              <w:szCs w:val="24"/>
            </w:rPr>
            <m:t>=</m:t>
          </m:r>
          <m:f>
            <m:fPr>
              <m:ctrlPr>
                <w:rPr>
                  <w:rFonts w:ascii="Cambria Math" w:hAnsi="Cambria Math"/>
                  <w:i/>
                  <w:szCs w:val="24"/>
                </w:rPr>
              </m:ctrlPr>
            </m:fPr>
            <m:num>
              <m:r>
                <w:rPr>
                  <w:rFonts w:ascii="Cambria Math" w:hAnsi="Cambria Math"/>
                  <w:szCs w:val="24"/>
                </w:rPr>
                <m:t>12+2+7+0+0+27+0</m:t>
              </m:r>
            </m:num>
            <m:den>
              <m:r>
                <w:rPr>
                  <w:rFonts w:ascii="Cambria Math" w:hAnsi="Cambria Math"/>
                  <w:szCs w:val="24"/>
                </w:rPr>
                <m:t>12+2+13+40,5+0</m:t>
              </m:r>
            </m:den>
          </m:f>
          <m:r>
            <w:rPr>
              <w:rFonts w:ascii="Cambria Math" w:hAnsi="Cambria Math"/>
              <w:szCs w:val="24"/>
            </w:rPr>
            <m:t>=</m:t>
          </m:r>
          <m:f>
            <m:fPr>
              <m:ctrlPr>
                <w:rPr>
                  <w:rFonts w:ascii="Cambria Math" w:hAnsi="Cambria Math"/>
                  <w:i/>
                  <w:szCs w:val="24"/>
                </w:rPr>
              </m:ctrlPr>
            </m:fPr>
            <m:num>
              <m:r>
                <w:rPr>
                  <w:rFonts w:ascii="Cambria Math" w:hAnsi="Cambria Math"/>
                  <w:szCs w:val="24"/>
                </w:rPr>
                <m:t>48</m:t>
              </m:r>
            </m:num>
            <m:den>
              <m:r>
                <w:rPr>
                  <w:rFonts w:ascii="Cambria Math" w:hAnsi="Cambria Math"/>
                  <w:szCs w:val="24"/>
                </w:rPr>
                <m:t>67,5</m:t>
              </m:r>
            </m:den>
          </m:f>
          <m:r>
            <w:rPr>
              <w:rFonts w:ascii="Cambria Math" w:hAnsi="Cambria Math"/>
              <w:szCs w:val="24"/>
            </w:rPr>
            <m:t>=</m:t>
          </m:r>
          <m:r>
            <m:rPr>
              <m:sty m:val="bi"/>
            </m:rPr>
            <w:rPr>
              <w:rFonts w:ascii="Cambria Math" w:hAnsi="Cambria Math"/>
              <w:szCs w:val="24"/>
            </w:rPr>
            <m:t>71,11 %</m:t>
          </m:r>
        </m:oMath>
      </m:oMathPara>
    </w:p>
    <w:p w:rsidR="00036DDA" w:rsidRPr="00805964" w:rsidRDefault="00036DDA" w:rsidP="0029635A">
      <w:pPr>
        <w:spacing w:line="360" w:lineRule="auto"/>
        <w:contextualSpacing/>
        <w:jc w:val="both"/>
      </w:pPr>
    </w:p>
    <w:p w:rsidR="00FE0E27" w:rsidRPr="00805964" w:rsidRDefault="009A2541" w:rsidP="0029635A">
      <w:pPr>
        <w:spacing w:line="360" w:lineRule="auto"/>
        <w:contextualSpacing/>
        <w:jc w:val="both"/>
      </w:pPr>
      <w:r w:rsidRPr="00805964">
        <w:t xml:space="preserve">Ve třetím funkčním období získal Senát </w:t>
      </w:r>
      <w:r w:rsidR="000266FA">
        <w:t xml:space="preserve">245 bodů </w:t>
      </w:r>
      <w:r w:rsidRPr="00805964">
        <w:t>v první variantě</w:t>
      </w:r>
      <w:r w:rsidR="000266FA">
        <w:t>. Z ní</w:t>
      </w:r>
      <w:r w:rsidRPr="00805964">
        <w:t xml:space="preserve"> se následně vypočítala varianta druhá, která činí 1,01 bodu, které Senát v průměru za každou situaci obdržel. U pozměňovacích návrhů a využívání práva veta byl Senát v tomto období poměrně úspěšný. Celkové procento úspěšného využití těchto pravomocí činí 64,70 %. Vážená poměrná efektivita byla na základě varianty čtvrté změřena na 71,11 %.</w:t>
      </w:r>
    </w:p>
    <w:p w:rsidR="00475B6B" w:rsidRPr="00805964" w:rsidRDefault="00475B6B" w:rsidP="0029635A">
      <w:pPr>
        <w:spacing w:line="360" w:lineRule="auto"/>
        <w:contextualSpacing/>
        <w:jc w:val="both"/>
      </w:pPr>
    </w:p>
    <w:p w:rsidR="00080504" w:rsidRPr="00805964" w:rsidRDefault="00EE19CE" w:rsidP="0029635A">
      <w:pPr>
        <w:pStyle w:val="Nadpis3"/>
        <w:contextualSpacing/>
      </w:pPr>
      <w:bookmarkStart w:id="28" w:name="_Toc359918294"/>
      <w:r w:rsidRPr="00805964">
        <w:t>3. 3. 2 Období 2002–</w:t>
      </w:r>
      <w:r w:rsidR="00080504" w:rsidRPr="00805964">
        <w:t>2004</w:t>
      </w:r>
      <w:bookmarkEnd w:id="28"/>
    </w:p>
    <w:p w:rsidR="009A2541" w:rsidRPr="00805964" w:rsidRDefault="009A2541" w:rsidP="009A2541"/>
    <w:p w:rsidR="009A2541" w:rsidRPr="00805964" w:rsidRDefault="00F71FF3" w:rsidP="00E142D4">
      <w:pPr>
        <w:spacing w:line="360" w:lineRule="auto"/>
        <w:jc w:val="both"/>
      </w:pPr>
      <w:r w:rsidRPr="00805964">
        <w:tab/>
      </w:r>
      <w:r w:rsidR="00E142D4" w:rsidRPr="00805964">
        <w:t>Ve</w:t>
      </w:r>
      <w:r w:rsidR="000266FA">
        <w:t xml:space="preserve"> čtvrtém funkčním období Senátu</w:t>
      </w:r>
      <w:r w:rsidR="00E142D4" w:rsidRPr="00805964">
        <w:t xml:space="preserve"> po volbách v roce 2002 měla většinu mandátů </w:t>
      </w:r>
      <w:r w:rsidR="00A437D8">
        <w:br/>
      </w:r>
      <w:r w:rsidR="00E142D4" w:rsidRPr="00805964">
        <w:t xml:space="preserve">v horní komoře Parlamentu opět pravice, když ODS byla reprezentována 26 senátory, </w:t>
      </w:r>
      <w:r w:rsidR="0082380C">
        <w:br/>
      </w:r>
      <w:r w:rsidR="00E142D4" w:rsidRPr="00805964">
        <w:t>KDU</w:t>
      </w:r>
      <w:r w:rsidR="0082380C">
        <w:t>–</w:t>
      </w:r>
      <w:r w:rsidR="00E142D4" w:rsidRPr="00805964">
        <w:t xml:space="preserve">ČSL 15 senátory. Podpory pravici se dostávalo také z řad Klubu otevřené demokracie, který sdružoval zejména nestraníky a měl 16 mandátů. Levicové strany zaznamenaly propad </w:t>
      </w:r>
      <w:r w:rsidR="00DC2678">
        <w:t>a </w:t>
      </w:r>
      <w:r w:rsidR="00E142D4" w:rsidRPr="00805964">
        <w:t>jediným zástupcem levice byla ČSSD s pouhými 11 senátory. Posledních 13 mandátů bylo na základě volebních výsledků přiděleno nezávislým kandidátům a nestraníkům.</w:t>
      </w:r>
      <w:r w:rsidR="00E142D4" w:rsidRPr="00805964">
        <w:rPr>
          <w:rStyle w:val="Znakapoznpodarou"/>
        </w:rPr>
        <w:footnoteReference w:id="92"/>
      </w:r>
      <w:r w:rsidR="00E142D4" w:rsidRPr="00805964">
        <w:t xml:space="preserve"> Na</w:t>
      </w:r>
      <w:r w:rsidRPr="00805964">
        <w:t>o</w:t>
      </w:r>
      <w:r w:rsidR="00E142D4" w:rsidRPr="00805964">
        <w:t>pak Poslaneckou sněmovnu ovládly levicové strany ČSSD a KSČM se 70 a 41 poslanci. Občanská demokratická strana byla zastup</w:t>
      </w:r>
      <w:r w:rsidR="004E5460" w:rsidRPr="00805964">
        <w:t>ována 58 poslanci a koalice KDU–ČSL a US–</w:t>
      </w:r>
      <w:r w:rsidR="00E142D4" w:rsidRPr="00805964">
        <w:t xml:space="preserve">DEU </w:t>
      </w:r>
      <w:r w:rsidR="008A7721">
        <w:t xml:space="preserve">(Unie svobody – Demokratická unie) </w:t>
      </w:r>
      <w:r w:rsidR="00E142D4" w:rsidRPr="00805964">
        <w:t>31 poslanci.</w:t>
      </w:r>
      <w:r w:rsidRPr="00805964">
        <w:rPr>
          <w:rStyle w:val="Znakapoznpodarou"/>
        </w:rPr>
        <w:footnoteReference w:id="93"/>
      </w:r>
      <w:r w:rsidR="00E142D4" w:rsidRPr="00805964">
        <w:t xml:space="preserve"> Jedná se tak o období rozdílných většin.</w:t>
      </w:r>
    </w:p>
    <w:p w:rsidR="0065529C" w:rsidRPr="00805964" w:rsidRDefault="0065529C" w:rsidP="0029635A">
      <w:pPr>
        <w:spacing w:line="360" w:lineRule="auto"/>
        <w:contextualSpacing/>
        <w:jc w:val="both"/>
      </w:pPr>
    </w:p>
    <w:p w:rsidR="000D25C7" w:rsidRPr="00805964" w:rsidRDefault="000D25C7" w:rsidP="0029635A">
      <w:pPr>
        <w:spacing w:line="360" w:lineRule="auto"/>
        <w:contextualSpacing/>
        <w:jc w:val="both"/>
      </w:pPr>
    </w:p>
    <w:p w:rsidR="00233CB5" w:rsidRPr="00805964" w:rsidRDefault="00233CB5" w:rsidP="0029635A">
      <w:pPr>
        <w:spacing w:line="360" w:lineRule="auto"/>
        <w:contextualSpacing/>
        <w:jc w:val="both"/>
      </w:pPr>
    </w:p>
    <w:p w:rsidR="00233CB5" w:rsidRPr="00805964" w:rsidRDefault="00233CB5" w:rsidP="0029635A">
      <w:pPr>
        <w:spacing w:line="360" w:lineRule="auto"/>
        <w:contextualSpacing/>
        <w:jc w:val="both"/>
      </w:pPr>
    </w:p>
    <w:p w:rsidR="000D25C7" w:rsidRPr="00805964" w:rsidRDefault="000D25C7" w:rsidP="0029635A">
      <w:pPr>
        <w:spacing w:line="360" w:lineRule="auto"/>
        <w:contextualSpacing/>
        <w:jc w:val="both"/>
      </w:pPr>
    </w:p>
    <w:p w:rsidR="00475B6B" w:rsidRPr="00805964" w:rsidRDefault="000D25C7" w:rsidP="000D25C7">
      <w:pPr>
        <w:spacing w:line="360" w:lineRule="auto"/>
        <w:contextualSpacing/>
        <w:jc w:val="center"/>
        <w:rPr>
          <w:b/>
          <w:sz w:val="22"/>
          <w:u w:val="single"/>
        </w:rPr>
      </w:pPr>
      <w:r w:rsidRPr="00805964">
        <w:rPr>
          <w:b/>
          <w:sz w:val="22"/>
          <w:u w:val="single"/>
        </w:rPr>
        <w:lastRenderedPageBreak/>
        <w:t>Tabulka č. 16: První varianta pro období 2002</w:t>
      </w:r>
      <w:r w:rsidR="000713F0" w:rsidRPr="00805964">
        <w:rPr>
          <w:b/>
          <w:sz w:val="22"/>
          <w:u w:val="single"/>
        </w:rPr>
        <w:t>–</w:t>
      </w:r>
      <w:r w:rsidRPr="00805964">
        <w:rPr>
          <w:b/>
          <w:sz w:val="22"/>
          <w:u w:val="single"/>
        </w:rPr>
        <w:t>2004</w:t>
      </w:r>
    </w:p>
    <w:tbl>
      <w:tblPr>
        <w:tblStyle w:val="Mkatabulky"/>
        <w:tblW w:w="0" w:type="auto"/>
        <w:tblLook w:val="04A0"/>
      </w:tblPr>
      <w:tblGrid>
        <w:gridCol w:w="3070"/>
        <w:gridCol w:w="3070"/>
        <w:gridCol w:w="3071"/>
      </w:tblGrid>
      <w:tr w:rsidR="0065529C" w:rsidRPr="00805964" w:rsidTr="00080504">
        <w:tc>
          <w:tcPr>
            <w:tcW w:w="3070" w:type="dxa"/>
          </w:tcPr>
          <w:p w:rsidR="0065529C" w:rsidRPr="00805964" w:rsidRDefault="0065529C" w:rsidP="0029635A">
            <w:pPr>
              <w:spacing w:line="360" w:lineRule="auto"/>
              <w:contextualSpacing/>
              <w:jc w:val="both"/>
            </w:pPr>
          </w:p>
        </w:tc>
        <w:tc>
          <w:tcPr>
            <w:tcW w:w="3070" w:type="dxa"/>
          </w:tcPr>
          <w:p w:rsidR="0065529C" w:rsidRPr="00805964" w:rsidRDefault="0065529C" w:rsidP="0029635A">
            <w:pPr>
              <w:spacing w:line="360" w:lineRule="auto"/>
              <w:contextualSpacing/>
              <w:jc w:val="center"/>
              <w:rPr>
                <w:b/>
              </w:rPr>
            </w:pPr>
            <w:r w:rsidRPr="00805964">
              <w:rPr>
                <w:b/>
              </w:rPr>
              <w:t>počet případů</w:t>
            </w:r>
          </w:p>
        </w:tc>
        <w:tc>
          <w:tcPr>
            <w:tcW w:w="3071" w:type="dxa"/>
          </w:tcPr>
          <w:p w:rsidR="0065529C" w:rsidRPr="00805964" w:rsidRDefault="0065529C" w:rsidP="0029635A">
            <w:pPr>
              <w:spacing w:line="360" w:lineRule="auto"/>
              <w:contextualSpacing/>
              <w:jc w:val="center"/>
              <w:rPr>
                <w:b/>
              </w:rPr>
            </w:pPr>
            <w:r w:rsidRPr="00805964">
              <w:rPr>
                <w:b/>
              </w:rPr>
              <w:t>bodové ohodnocení</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 schválil v původním znění (1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123</w:t>
            </w:r>
          </w:p>
        </w:tc>
        <w:tc>
          <w:tcPr>
            <w:tcW w:w="3071" w:type="dxa"/>
            <w:vAlign w:val="center"/>
          </w:tcPr>
          <w:p w:rsidR="00C46069" w:rsidRPr="00805964" w:rsidRDefault="00C46069" w:rsidP="0029635A">
            <w:pPr>
              <w:spacing w:line="360" w:lineRule="auto"/>
              <w:contextualSpacing/>
              <w:jc w:val="center"/>
            </w:pPr>
            <w:r w:rsidRPr="00805964">
              <w:t>123</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Senátní pozměňovací návrh – prošel (3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43</w:t>
            </w:r>
          </w:p>
        </w:tc>
        <w:tc>
          <w:tcPr>
            <w:tcW w:w="3071" w:type="dxa"/>
            <w:vAlign w:val="center"/>
          </w:tcPr>
          <w:p w:rsidR="00C46069" w:rsidRPr="00805964" w:rsidRDefault="00C46069" w:rsidP="0029635A">
            <w:pPr>
              <w:spacing w:line="360" w:lineRule="auto"/>
              <w:contextualSpacing/>
              <w:jc w:val="center"/>
            </w:pPr>
            <w:r w:rsidRPr="00805964">
              <w:t>129</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Senátní pozměňovací návrh – neprošel (2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21</w:t>
            </w:r>
          </w:p>
        </w:tc>
        <w:tc>
          <w:tcPr>
            <w:tcW w:w="3071" w:type="dxa"/>
            <w:vAlign w:val="center"/>
          </w:tcPr>
          <w:p w:rsidR="00C46069" w:rsidRPr="00805964" w:rsidRDefault="00C46069" w:rsidP="0029635A">
            <w:pPr>
              <w:spacing w:line="360" w:lineRule="auto"/>
              <w:contextualSpacing/>
              <w:jc w:val="center"/>
            </w:pPr>
            <w:r w:rsidRPr="00805964">
              <w:t>42</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 zamítl návrh zákona – PS přehlasovala (1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7</w:t>
            </w:r>
          </w:p>
        </w:tc>
        <w:tc>
          <w:tcPr>
            <w:tcW w:w="3071" w:type="dxa"/>
            <w:vAlign w:val="center"/>
          </w:tcPr>
          <w:p w:rsidR="00C46069" w:rsidRPr="00805964" w:rsidRDefault="00C46069" w:rsidP="0029635A">
            <w:pPr>
              <w:spacing w:line="360" w:lineRule="auto"/>
              <w:contextualSpacing/>
              <w:jc w:val="center"/>
            </w:pPr>
            <w:r w:rsidRPr="00805964">
              <w:t>7</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 zamítl návrh zákona – PS nepřehlasovala (3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3</w:t>
            </w:r>
          </w:p>
        </w:tc>
        <w:tc>
          <w:tcPr>
            <w:tcW w:w="3071" w:type="dxa"/>
            <w:vAlign w:val="center"/>
          </w:tcPr>
          <w:p w:rsidR="00C46069" w:rsidRPr="00805964" w:rsidRDefault="00C46069" w:rsidP="0029635A">
            <w:pPr>
              <w:spacing w:line="360" w:lineRule="auto"/>
              <w:contextualSpacing/>
              <w:jc w:val="center"/>
            </w:pPr>
            <w:r w:rsidRPr="00805964">
              <w:t>9</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Senát se návrhem nezabýval</w:t>
            </w:r>
            <w:r w:rsidRPr="00805964">
              <w:br/>
              <w:t xml:space="preserve">(0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47</w:t>
            </w:r>
          </w:p>
        </w:tc>
        <w:tc>
          <w:tcPr>
            <w:tcW w:w="3071" w:type="dxa"/>
            <w:vAlign w:val="center"/>
          </w:tcPr>
          <w:p w:rsidR="00C46069" w:rsidRPr="00805964" w:rsidRDefault="00C46069" w:rsidP="0029635A">
            <w:pPr>
              <w:spacing w:line="360" w:lineRule="auto"/>
              <w:contextualSpacing/>
              <w:jc w:val="center"/>
            </w:pPr>
            <w:r w:rsidRPr="00805964">
              <w:t>0</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 se nestihl v určené době usnést (0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11</w:t>
            </w:r>
          </w:p>
        </w:tc>
        <w:tc>
          <w:tcPr>
            <w:tcW w:w="3071" w:type="dxa"/>
            <w:vAlign w:val="center"/>
          </w:tcPr>
          <w:p w:rsidR="00C46069" w:rsidRPr="00805964" w:rsidRDefault="00C46069" w:rsidP="0029635A">
            <w:pPr>
              <w:spacing w:line="360" w:lineRule="auto"/>
              <w:contextualSpacing/>
              <w:jc w:val="center"/>
            </w:pPr>
            <w:r w:rsidRPr="00805964">
              <w:t>0</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CELKEM</w:t>
            </w:r>
          </w:p>
        </w:tc>
        <w:tc>
          <w:tcPr>
            <w:tcW w:w="3070" w:type="dxa"/>
            <w:vAlign w:val="center"/>
          </w:tcPr>
          <w:p w:rsidR="00C46069" w:rsidRPr="00805964" w:rsidRDefault="00C46069" w:rsidP="0029635A">
            <w:pPr>
              <w:spacing w:line="360" w:lineRule="auto"/>
              <w:contextualSpacing/>
              <w:jc w:val="center"/>
              <w:rPr>
                <w:b/>
              </w:rPr>
            </w:pPr>
            <w:r w:rsidRPr="00805964">
              <w:rPr>
                <w:b/>
              </w:rPr>
              <w:t>255</w:t>
            </w:r>
          </w:p>
        </w:tc>
        <w:tc>
          <w:tcPr>
            <w:tcW w:w="3071" w:type="dxa"/>
            <w:vAlign w:val="center"/>
          </w:tcPr>
          <w:p w:rsidR="00C46069" w:rsidRPr="00805964" w:rsidRDefault="00C46069" w:rsidP="0029635A">
            <w:pPr>
              <w:spacing w:line="360" w:lineRule="auto"/>
              <w:contextualSpacing/>
              <w:jc w:val="center"/>
              <w:rPr>
                <w:b/>
              </w:rPr>
            </w:pPr>
            <w:r w:rsidRPr="00805964">
              <w:rPr>
                <w:b/>
              </w:rPr>
              <w:t>310</w:t>
            </w:r>
          </w:p>
        </w:tc>
      </w:tr>
    </w:tbl>
    <w:p w:rsidR="00E142D4" w:rsidRPr="00805964" w:rsidRDefault="00265145" w:rsidP="00050755">
      <w:pPr>
        <w:spacing w:line="360" w:lineRule="auto"/>
        <w:contextualSpacing/>
        <w:jc w:val="center"/>
        <w:rPr>
          <w:i/>
          <w:sz w:val="22"/>
        </w:rPr>
      </w:pPr>
      <w:r w:rsidRPr="00805964">
        <w:rPr>
          <w:i/>
          <w:sz w:val="22"/>
        </w:rPr>
        <w:t>Zpracoval: Autor.</w:t>
      </w:r>
    </w:p>
    <w:p w:rsidR="000D25C7" w:rsidRPr="00805964" w:rsidRDefault="000D25C7" w:rsidP="00050755">
      <w:pPr>
        <w:spacing w:line="360" w:lineRule="auto"/>
        <w:contextualSpacing/>
        <w:jc w:val="center"/>
        <w:rPr>
          <w:i/>
          <w:sz w:val="22"/>
        </w:rPr>
      </w:pPr>
    </w:p>
    <w:p w:rsidR="000D25C7" w:rsidRPr="00805964" w:rsidRDefault="000D25C7" w:rsidP="00050755">
      <w:pPr>
        <w:spacing w:line="360" w:lineRule="auto"/>
        <w:contextualSpacing/>
        <w:jc w:val="center"/>
        <w:rPr>
          <w:b/>
          <w:sz w:val="22"/>
          <w:u w:val="single"/>
        </w:rPr>
      </w:pPr>
      <w:r w:rsidRPr="00805964">
        <w:rPr>
          <w:b/>
          <w:sz w:val="22"/>
          <w:u w:val="single"/>
        </w:rPr>
        <w:t>Tabulka č. 17: Třetí varianta pro období 2002</w:t>
      </w:r>
      <w:r w:rsidR="000713F0" w:rsidRPr="00805964">
        <w:rPr>
          <w:b/>
          <w:sz w:val="22"/>
          <w:u w:val="single"/>
        </w:rPr>
        <w:t>–</w:t>
      </w:r>
      <w:r w:rsidRPr="00805964">
        <w:rPr>
          <w:b/>
          <w:sz w:val="22"/>
          <w:u w:val="single"/>
        </w:rPr>
        <w:t>2004</w:t>
      </w:r>
    </w:p>
    <w:tbl>
      <w:tblPr>
        <w:tblStyle w:val="Mkatabulky"/>
        <w:tblpPr w:leftFromText="141" w:rightFromText="141" w:vertAnchor="text" w:horzAnchor="margin" w:tblpY="143"/>
        <w:tblW w:w="9288" w:type="dxa"/>
        <w:tblLook w:val="04A0"/>
      </w:tblPr>
      <w:tblGrid>
        <w:gridCol w:w="964"/>
        <w:gridCol w:w="1451"/>
        <w:gridCol w:w="1198"/>
        <w:gridCol w:w="1219"/>
        <w:gridCol w:w="1426"/>
        <w:gridCol w:w="1933"/>
        <w:gridCol w:w="1097"/>
      </w:tblGrid>
      <w:tr w:rsidR="0065529C" w:rsidRPr="00805964" w:rsidTr="00080504">
        <w:trPr>
          <w:trHeight w:val="763"/>
        </w:trPr>
        <w:tc>
          <w:tcPr>
            <w:tcW w:w="964" w:type="dxa"/>
            <w:vMerge w:val="restart"/>
            <w:textDirection w:val="btLr"/>
            <w:vAlign w:val="center"/>
          </w:tcPr>
          <w:p w:rsidR="0065529C" w:rsidRPr="00805964" w:rsidRDefault="0065529C" w:rsidP="000713F0">
            <w:pPr>
              <w:spacing w:line="360" w:lineRule="auto"/>
              <w:ind w:left="113" w:right="113"/>
              <w:contextualSpacing/>
              <w:jc w:val="center"/>
            </w:pPr>
            <w:r w:rsidRPr="00805964">
              <w:rPr>
                <w:b/>
                <w:u w:val="single"/>
              </w:rPr>
              <w:t>4. funkční období 2002</w:t>
            </w:r>
            <w:r w:rsidR="000713F0" w:rsidRPr="00805964">
              <w:rPr>
                <w:b/>
                <w:u w:val="single"/>
              </w:rPr>
              <w:t>–</w:t>
            </w:r>
            <w:r w:rsidRPr="00805964">
              <w:rPr>
                <w:b/>
                <w:u w:val="single"/>
              </w:rPr>
              <w:t>2004</w:t>
            </w:r>
          </w:p>
        </w:tc>
        <w:tc>
          <w:tcPr>
            <w:tcW w:w="1451" w:type="dxa"/>
            <w:vAlign w:val="center"/>
          </w:tcPr>
          <w:p w:rsidR="0065529C" w:rsidRPr="00805964" w:rsidRDefault="0065529C" w:rsidP="0029635A">
            <w:pPr>
              <w:spacing w:line="360" w:lineRule="auto"/>
              <w:contextualSpacing/>
              <w:jc w:val="center"/>
            </w:pPr>
          </w:p>
        </w:tc>
        <w:tc>
          <w:tcPr>
            <w:tcW w:w="1198" w:type="dxa"/>
            <w:vAlign w:val="center"/>
          </w:tcPr>
          <w:p w:rsidR="0065529C" w:rsidRPr="00805964" w:rsidRDefault="0065529C" w:rsidP="0029635A">
            <w:pPr>
              <w:spacing w:line="360" w:lineRule="auto"/>
              <w:contextualSpacing/>
              <w:jc w:val="center"/>
              <w:rPr>
                <w:b/>
                <w:u w:val="single"/>
              </w:rPr>
            </w:pPr>
            <w:r w:rsidRPr="00805964">
              <w:rPr>
                <w:b/>
                <w:u w:val="single"/>
              </w:rPr>
              <w:t>Celkem</w:t>
            </w:r>
          </w:p>
        </w:tc>
        <w:tc>
          <w:tcPr>
            <w:tcW w:w="1219" w:type="dxa"/>
            <w:vAlign w:val="center"/>
          </w:tcPr>
          <w:p w:rsidR="0065529C" w:rsidRPr="00805964" w:rsidRDefault="0065529C" w:rsidP="0029635A">
            <w:pPr>
              <w:spacing w:line="360" w:lineRule="auto"/>
              <w:contextualSpacing/>
              <w:jc w:val="center"/>
              <w:rPr>
                <w:b/>
                <w:u w:val="single"/>
              </w:rPr>
            </w:pPr>
            <w:r w:rsidRPr="00805964">
              <w:rPr>
                <w:b/>
                <w:u w:val="single"/>
              </w:rPr>
              <w:t>Sněmovna přehlasuje</w:t>
            </w:r>
          </w:p>
        </w:tc>
        <w:tc>
          <w:tcPr>
            <w:tcW w:w="1426" w:type="dxa"/>
            <w:vAlign w:val="center"/>
          </w:tcPr>
          <w:p w:rsidR="0065529C" w:rsidRPr="00805964" w:rsidRDefault="0065529C" w:rsidP="0029635A">
            <w:pPr>
              <w:spacing w:line="360" w:lineRule="auto"/>
              <w:contextualSpacing/>
              <w:jc w:val="center"/>
              <w:rPr>
                <w:b/>
                <w:u w:val="single"/>
              </w:rPr>
            </w:pPr>
            <w:r w:rsidRPr="00805964">
              <w:rPr>
                <w:b/>
                <w:u w:val="single"/>
              </w:rPr>
              <w:t>Sněmovna nepřehlasuje</w:t>
            </w:r>
          </w:p>
        </w:tc>
        <w:tc>
          <w:tcPr>
            <w:tcW w:w="1933" w:type="dxa"/>
            <w:vAlign w:val="center"/>
          </w:tcPr>
          <w:p w:rsidR="0065529C" w:rsidRPr="00805964" w:rsidRDefault="0065529C" w:rsidP="0029635A">
            <w:pPr>
              <w:spacing w:line="360" w:lineRule="auto"/>
              <w:contextualSpacing/>
              <w:jc w:val="center"/>
              <w:rPr>
                <w:b/>
                <w:u w:val="single"/>
              </w:rPr>
            </w:pPr>
            <w:r w:rsidRPr="00805964">
              <w:rPr>
                <w:b/>
                <w:u w:val="single"/>
              </w:rPr>
              <w:t>Poměrná efektivita</w:t>
            </w:r>
          </w:p>
        </w:tc>
        <w:tc>
          <w:tcPr>
            <w:tcW w:w="1097" w:type="dxa"/>
            <w:vAlign w:val="center"/>
          </w:tcPr>
          <w:p w:rsidR="0065529C" w:rsidRPr="00805964" w:rsidRDefault="0065529C" w:rsidP="0029635A">
            <w:pPr>
              <w:spacing w:line="360" w:lineRule="auto"/>
              <w:contextualSpacing/>
              <w:jc w:val="center"/>
              <w:rPr>
                <w:b/>
                <w:u w:val="single"/>
              </w:rPr>
            </w:pPr>
            <w:r w:rsidRPr="00805964">
              <w:rPr>
                <w:b/>
                <w:u w:val="single"/>
              </w:rPr>
              <w:t>Výsledek</w:t>
            </w:r>
          </w:p>
        </w:tc>
      </w:tr>
      <w:tr w:rsidR="0065529C" w:rsidRPr="00805964" w:rsidTr="00080504">
        <w:trPr>
          <w:cantSplit/>
          <w:trHeight w:val="763"/>
        </w:trPr>
        <w:tc>
          <w:tcPr>
            <w:tcW w:w="964" w:type="dxa"/>
            <w:vMerge/>
            <w:textDirection w:val="btLr"/>
          </w:tcPr>
          <w:p w:rsidR="0065529C" w:rsidRPr="00805964" w:rsidRDefault="0065529C" w:rsidP="0029635A">
            <w:pPr>
              <w:spacing w:line="360" w:lineRule="auto"/>
              <w:ind w:left="113" w:right="113"/>
              <w:contextualSpacing/>
              <w:jc w:val="both"/>
              <w:rPr>
                <w:b/>
                <w:u w:val="single"/>
              </w:rPr>
            </w:pPr>
          </w:p>
        </w:tc>
        <w:tc>
          <w:tcPr>
            <w:tcW w:w="1451" w:type="dxa"/>
            <w:vAlign w:val="center"/>
          </w:tcPr>
          <w:p w:rsidR="0065529C" w:rsidRPr="00805964" w:rsidRDefault="0065529C" w:rsidP="0029635A">
            <w:pPr>
              <w:spacing w:line="360" w:lineRule="auto"/>
              <w:contextualSpacing/>
              <w:jc w:val="center"/>
              <w:rPr>
                <w:b/>
                <w:u w:val="single"/>
              </w:rPr>
            </w:pPr>
            <w:r w:rsidRPr="00805964">
              <w:rPr>
                <w:b/>
                <w:u w:val="single"/>
              </w:rPr>
              <w:t>Pozměňovací návrhy</w:t>
            </w:r>
            <w:r w:rsidR="001B4C25" w:rsidRPr="00805964">
              <w:rPr>
                <w:rStyle w:val="Znakapoznpodarou"/>
                <w:b/>
                <w:u w:val="single"/>
              </w:rPr>
              <w:footnoteReference w:id="94"/>
            </w:r>
          </w:p>
        </w:tc>
        <w:tc>
          <w:tcPr>
            <w:tcW w:w="1198" w:type="dxa"/>
            <w:vAlign w:val="center"/>
          </w:tcPr>
          <w:p w:rsidR="0065529C" w:rsidRPr="00805964" w:rsidRDefault="001B4C25" w:rsidP="0029635A">
            <w:pPr>
              <w:spacing w:line="360" w:lineRule="auto"/>
              <w:contextualSpacing/>
              <w:jc w:val="center"/>
            </w:pPr>
            <w:r w:rsidRPr="00805964">
              <w:t>64</w:t>
            </w:r>
          </w:p>
        </w:tc>
        <w:tc>
          <w:tcPr>
            <w:tcW w:w="1219" w:type="dxa"/>
            <w:vAlign w:val="center"/>
          </w:tcPr>
          <w:p w:rsidR="0065529C" w:rsidRPr="00805964" w:rsidRDefault="001B4C25" w:rsidP="0029635A">
            <w:pPr>
              <w:spacing w:line="360" w:lineRule="auto"/>
              <w:contextualSpacing/>
              <w:jc w:val="center"/>
            </w:pPr>
            <w:r w:rsidRPr="00805964">
              <w:t>21</w:t>
            </w:r>
          </w:p>
        </w:tc>
        <w:tc>
          <w:tcPr>
            <w:tcW w:w="1426" w:type="dxa"/>
            <w:vAlign w:val="center"/>
          </w:tcPr>
          <w:p w:rsidR="0065529C" w:rsidRPr="00805964" w:rsidRDefault="001B4C25" w:rsidP="0029635A">
            <w:pPr>
              <w:spacing w:line="360" w:lineRule="auto"/>
              <w:contextualSpacing/>
              <w:jc w:val="center"/>
            </w:pPr>
            <w:r w:rsidRPr="00805964">
              <w:t>43</w:t>
            </w:r>
          </w:p>
        </w:tc>
        <w:tc>
          <w:tcPr>
            <w:tcW w:w="1933" w:type="dxa"/>
            <w:vAlign w:val="center"/>
          </w:tcPr>
          <w:p w:rsidR="0065529C"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43</m:t>
                    </m:r>
                  </m:num>
                  <m:den>
                    <m:r>
                      <m:rPr>
                        <m:sty m:val="p"/>
                      </m:rPr>
                      <w:rPr>
                        <w:rFonts w:ascii="Cambria Math" w:hAnsi="Cambria Math"/>
                      </w:rPr>
                      <m:t>43+21</m:t>
                    </m:r>
                  </m:den>
                </m:f>
              </m:oMath>
            </m:oMathPara>
          </w:p>
        </w:tc>
        <w:tc>
          <w:tcPr>
            <w:tcW w:w="1097" w:type="dxa"/>
            <w:vAlign w:val="center"/>
          </w:tcPr>
          <w:p w:rsidR="0065529C" w:rsidRPr="00805964" w:rsidRDefault="001B4C25" w:rsidP="0029635A">
            <w:pPr>
              <w:spacing w:line="360" w:lineRule="auto"/>
              <w:contextualSpacing/>
              <w:jc w:val="center"/>
              <w:rPr>
                <w:rFonts w:eastAsia="Calibri" w:cs="Times New Roman"/>
                <w:b/>
              </w:rPr>
            </w:pPr>
            <w:r w:rsidRPr="00805964">
              <w:rPr>
                <w:rFonts w:eastAsia="Calibri" w:cs="Times New Roman"/>
                <w:b/>
              </w:rPr>
              <w:t>67,18</w:t>
            </w:r>
            <w:r w:rsidR="0065529C" w:rsidRPr="00805964">
              <w:rPr>
                <w:rFonts w:eastAsia="Calibri" w:cs="Times New Roman"/>
                <w:b/>
              </w:rPr>
              <w:t xml:space="preserve"> %</w:t>
            </w:r>
          </w:p>
        </w:tc>
      </w:tr>
      <w:tr w:rsidR="0065529C" w:rsidRPr="00805964" w:rsidTr="00080504">
        <w:trPr>
          <w:trHeight w:val="763"/>
        </w:trPr>
        <w:tc>
          <w:tcPr>
            <w:tcW w:w="964" w:type="dxa"/>
            <w:vMerge/>
          </w:tcPr>
          <w:p w:rsidR="0065529C" w:rsidRPr="00805964" w:rsidRDefault="0065529C" w:rsidP="0029635A">
            <w:pPr>
              <w:spacing w:line="360" w:lineRule="auto"/>
              <w:contextualSpacing/>
              <w:jc w:val="both"/>
              <w:rPr>
                <w:b/>
                <w:u w:val="single"/>
              </w:rPr>
            </w:pPr>
          </w:p>
        </w:tc>
        <w:tc>
          <w:tcPr>
            <w:tcW w:w="1451" w:type="dxa"/>
            <w:tcBorders>
              <w:bottom w:val="single" w:sz="12" w:space="0" w:color="auto"/>
            </w:tcBorders>
            <w:vAlign w:val="center"/>
          </w:tcPr>
          <w:p w:rsidR="0065529C" w:rsidRPr="00805964" w:rsidRDefault="0065529C" w:rsidP="0029635A">
            <w:pPr>
              <w:spacing w:line="360" w:lineRule="auto"/>
              <w:contextualSpacing/>
              <w:jc w:val="center"/>
              <w:rPr>
                <w:b/>
                <w:u w:val="single"/>
              </w:rPr>
            </w:pPr>
            <w:r w:rsidRPr="00805964">
              <w:rPr>
                <w:b/>
                <w:u w:val="single"/>
              </w:rPr>
              <w:t>Zamítnutí</w:t>
            </w:r>
          </w:p>
        </w:tc>
        <w:tc>
          <w:tcPr>
            <w:tcW w:w="1198" w:type="dxa"/>
            <w:tcBorders>
              <w:bottom w:val="single" w:sz="12" w:space="0" w:color="auto"/>
            </w:tcBorders>
            <w:vAlign w:val="center"/>
          </w:tcPr>
          <w:p w:rsidR="0065529C" w:rsidRPr="00805964" w:rsidRDefault="001B4C25" w:rsidP="0029635A">
            <w:pPr>
              <w:spacing w:line="360" w:lineRule="auto"/>
              <w:contextualSpacing/>
              <w:jc w:val="center"/>
            </w:pPr>
            <w:r w:rsidRPr="00805964">
              <w:t>10</w:t>
            </w:r>
          </w:p>
        </w:tc>
        <w:tc>
          <w:tcPr>
            <w:tcW w:w="1219" w:type="dxa"/>
            <w:tcBorders>
              <w:bottom w:val="single" w:sz="12" w:space="0" w:color="auto"/>
            </w:tcBorders>
            <w:vAlign w:val="center"/>
          </w:tcPr>
          <w:p w:rsidR="0065529C" w:rsidRPr="00805964" w:rsidRDefault="001B4C25" w:rsidP="0029635A">
            <w:pPr>
              <w:spacing w:line="360" w:lineRule="auto"/>
              <w:contextualSpacing/>
              <w:jc w:val="center"/>
            </w:pPr>
            <w:r w:rsidRPr="00805964">
              <w:t>7</w:t>
            </w:r>
          </w:p>
        </w:tc>
        <w:tc>
          <w:tcPr>
            <w:tcW w:w="1426" w:type="dxa"/>
            <w:tcBorders>
              <w:bottom w:val="single" w:sz="12" w:space="0" w:color="auto"/>
            </w:tcBorders>
            <w:vAlign w:val="center"/>
          </w:tcPr>
          <w:p w:rsidR="0065529C" w:rsidRPr="00805964" w:rsidRDefault="001B4C25" w:rsidP="0029635A">
            <w:pPr>
              <w:spacing w:line="360" w:lineRule="auto"/>
              <w:contextualSpacing/>
              <w:jc w:val="center"/>
            </w:pPr>
            <w:r w:rsidRPr="00805964">
              <w:t>3</w:t>
            </w:r>
          </w:p>
        </w:tc>
        <w:tc>
          <w:tcPr>
            <w:tcW w:w="1933" w:type="dxa"/>
            <w:tcBorders>
              <w:bottom w:val="single" w:sz="12" w:space="0" w:color="auto"/>
            </w:tcBorders>
            <w:vAlign w:val="center"/>
          </w:tcPr>
          <w:p w:rsidR="0065529C"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3</m:t>
                    </m:r>
                  </m:num>
                  <m:den>
                    <m:r>
                      <m:rPr>
                        <m:sty m:val="p"/>
                      </m:rPr>
                      <w:rPr>
                        <w:rFonts w:ascii="Cambria Math" w:hAnsi="Cambria Math"/>
                      </w:rPr>
                      <m:t>3+7</m:t>
                    </m:r>
                  </m:den>
                </m:f>
              </m:oMath>
            </m:oMathPara>
          </w:p>
        </w:tc>
        <w:tc>
          <w:tcPr>
            <w:tcW w:w="1097" w:type="dxa"/>
            <w:tcBorders>
              <w:bottom w:val="single" w:sz="12" w:space="0" w:color="auto"/>
            </w:tcBorders>
            <w:vAlign w:val="center"/>
          </w:tcPr>
          <w:p w:rsidR="0065529C" w:rsidRPr="00805964" w:rsidRDefault="001B4C25" w:rsidP="0029635A">
            <w:pPr>
              <w:spacing w:line="360" w:lineRule="auto"/>
              <w:contextualSpacing/>
              <w:jc w:val="center"/>
              <w:rPr>
                <w:rFonts w:eastAsia="Calibri" w:cs="Times New Roman"/>
                <w:b/>
              </w:rPr>
            </w:pPr>
            <w:r w:rsidRPr="00805964">
              <w:rPr>
                <w:rFonts w:eastAsia="Calibri" w:cs="Times New Roman"/>
                <w:b/>
              </w:rPr>
              <w:t>30,00</w:t>
            </w:r>
            <w:r w:rsidR="0065529C" w:rsidRPr="00805964">
              <w:rPr>
                <w:rFonts w:eastAsia="Calibri" w:cs="Times New Roman"/>
                <w:b/>
              </w:rPr>
              <w:t xml:space="preserve"> %</w:t>
            </w:r>
          </w:p>
        </w:tc>
      </w:tr>
      <w:tr w:rsidR="0065529C" w:rsidRPr="00805964" w:rsidTr="00080504">
        <w:trPr>
          <w:trHeight w:val="763"/>
        </w:trPr>
        <w:tc>
          <w:tcPr>
            <w:tcW w:w="964" w:type="dxa"/>
            <w:vMerge/>
          </w:tcPr>
          <w:p w:rsidR="0065529C" w:rsidRPr="00805964" w:rsidRDefault="0065529C" w:rsidP="0029635A">
            <w:pPr>
              <w:spacing w:line="360" w:lineRule="auto"/>
              <w:contextualSpacing/>
              <w:jc w:val="both"/>
              <w:rPr>
                <w:b/>
                <w:u w:val="single"/>
              </w:rPr>
            </w:pPr>
          </w:p>
        </w:tc>
        <w:tc>
          <w:tcPr>
            <w:tcW w:w="1451" w:type="dxa"/>
            <w:tcBorders>
              <w:top w:val="single" w:sz="12" w:space="0" w:color="auto"/>
            </w:tcBorders>
            <w:vAlign w:val="center"/>
          </w:tcPr>
          <w:p w:rsidR="0065529C" w:rsidRPr="00805964" w:rsidRDefault="0065529C" w:rsidP="0029635A">
            <w:pPr>
              <w:spacing w:line="360" w:lineRule="auto"/>
              <w:contextualSpacing/>
              <w:jc w:val="center"/>
              <w:rPr>
                <w:b/>
                <w:u w:val="single"/>
              </w:rPr>
            </w:pPr>
            <w:r w:rsidRPr="00805964">
              <w:rPr>
                <w:b/>
                <w:u w:val="single"/>
              </w:rPr>
              <w:t>Celkem</w:t>
            </w:r>
          </w:p>
        </w:tc>
        <w:tc>
          <w:tcPr>
            <w:tcW w:w="1198" w:type="dxa"/>
            <w:tcBorders>
              <w:top w:val="single" w:sz="12" w:space="0" w:color="auto"/>
            </w:tcBorders>
            <w:vAlign w:val="center"/>
          </w:tcPr>
          <w:p w:rsidR="0065529C" w:rsidRPr="00805964" w:rsidRDefault="001B4C25" w:rsidP="0029635A">
            <w:pPr>
              <w:spacing w:line="360" w:lineRule="auto"/>
              <w:contextualSpacing/>
              <w:jc w:val="center"/>
            </w:pPr>
            <w:r w:rsidRPr="00805964">
              <w:t>74</w:t>
            </w:r>
          </w:p>
        </w:tc>
        <w:tc>
          <w:tcPr>
            <w:tcW w:w="1219" w:type="dxa"/>
            <w:tcBorders>
              <w:top w:val="single" w:sz="12" w:space="0" w:color="auto"/>
            </w:tcBorders>
            <w:vAlign w:val="center"/>
          </w:tcPr>
          <w:p w:rsidR="0065529C" w:rsidRPr="00805964" w:rsidRDefault="001B4C25" w:rsidP="0029635A">
            <w:pPr>
              <w:spacing w:line="360" w:lineRule="auto"/>
              <w:contextualSpacing/>
              <w:jc w:val="center"/>
            </w:pPr>
            <w:r w:rsidRPr="00805964">
              <w:t>28</w:t>
            </w:r>
          </w:p>
        </w:tc>
        <w:tc>
          <w:tcPr>
            <w:tcW w:w="1426" w:type="dxa"/>
            <w:tcBorders>
              <w:top w:val="single" w:sz="12" w:space="0" w:color="auto"/>
            </w:tcBorders>
            <w:vAlign w:val="center"/>
          </w:tcPr>
          <w:p w:rsidR="0065529C" w:rsidRPr="00805964" w:rsidRDefault="001B4C25" w:rsidP="0029635A">
            <w:pPr>
              <w:spacing w:line="360" w:lineRule="auto"/>
              <w:contextualSpacing/>
              <w:jc w:val="center"/>
            </w:pPr>
            <w:r w:rsidRPr="00805964">
              <w:t>46</w:t>
            </w:r>
          </w:p>
        </w:tc>
        <w:tc>
          <w:tcPr>
            <w:tcW w:w="1933" w:type="dxa"/>
            <w:tcBorders>
              <w:top w:val="single" w:sz="12" w:space="0" w:color="auto"/>
            </w:tcBorders>
            <w:vAlign w:val="center"/>
          </w:tcPr>
          <w:p w:rsidR="0065529C"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43+3</m:t>
                    </m:r>
                  </m:num>
                  <m:den>
                    <m:r>
                      <m:rPr>
                        <m:sty m:val="p"/>
                      </m:rPr>
                      <w:rPr>
                        <w:rFonts w:ascii="Cambria Math" w:hAnsi="Cambria Math"/>
                      </w:rPr>
                      <m:t>21+7+43+3</m:t>
                    </m:r>
                  </m:den>
                </m:f>
              </m:oMath>
            </m:oMathPara>
          </w:p>
        </w:tc>
        <w:tc>
          <w:tcPr>
            <w:tcW w:w="1097" w:type="dxa"/>
            <w:tcBorders>
              <w:top w:val="single" w:sz="12" w:space="0" w:color="auto"/>
            </w:tcBorders>
            <w:vAlign w:val="center"/>
          </w:tcPr>
          <w:p w:rsidR="0065529C" w:rsidRPr="00805964" w:rsidRDefault="001B4C25" w:rsidP="0029635A">
            <w:pPr>
              <w:spacing w:line="360" w:lineRule="auto"/>
              <w:contextualSpacing/>
              <w:jc w:val="center"/>
              <w:rPr>
                <w:rFonts w:eastAsia="Calibri" w:cs="Times New Roman"/>
                <w:b/>
              </w:rPr>
            </w:pPr>
            <w:r w:rsidRPr="00805964">
              <w:rPr>
                <w:rFonts w:eastAsia="Calibri" w:cs="Times New Roman"/>
                <w:b/>
              </w:rPr>
              <w:t>62,16</w:t>
            </w:r>
            <w:r w:rsidR="0065529C" w:rsidRPr="00805964">
              <w:rPr>
                <w:rFonts w:eastAsia="Calibri" w:cs="Times New Roman"/>
                <w:b/>
              </w:rPr>
              <w:t xml:space="preserve"> %</w:t>
            </w:r>
          </w:p>
        </w:tc>
      </w:tr>
    </w:tbl>
    <w:p w:rsidR="00265145" w:rsidRPr="00805964" w:rsidRDefault="00265145" w:rsidP="00265145">
      <w:pPr>
        <w:spacing w:line="360" w:lineRule="auto"/>
        <w:contextualSpacing/>
        <w:jc w:val="center"/>
        <w:rPr>
          <w:i/>
          <w:sz w:val="22"/>
        </w:rPr>
      </w:pPr>
      <w:r w:rsidRPr="00805964">
        <w:rPr>
          <w:i/>
          <w:sz w:val="22"/>
        </w:rPr>
        <w:t>Zpracoval: Autor.</w:t>
      </w:r>
    </w:p>
    <w:p w:rsidR="00475B6B" w:rsidRPr="00805964" w:rsidRDefault="00475B6B" w:rsidP="0029635A">
      <w:pPr>
        <w:spacing w:line="360" w:lineRule="auto"/>
        <w:contextualSpacing/>
        <w:jc w:val="both"/>
      </w:pPr>
    </w:p>
    <w:p w:rsidR="00475B6B" w:rsidRPr="00805964" w:rsidRDefault="00475B6B" w:rsidP="0029635A">
      <w:pPr>
        <w:spacing w:line="360" w:lineRule="auto"/>
        <w:contextualSpacing/>
        <w:jc w:val="both"/>
      </w:pPr>
    </w:p>
    <w:p w:rsidR="00233CB5" w:rsidRPr="00805964" w:rsidRDefault="00233CB5" w:rsidP="0029635A">
      <w:pPr>
        <w:spacing w:line="360" w:lineRule="auto"/>
        <w:contextualSpacing/>
        <w:jc w:val="both"/>
      </w:pPr>
    </w:p>
    <w:p w:rsidR="00233CB5" w:rsidRPr="00805964" w:rsidRDefault="00233CB5" w:rsidP="0029635A">
      <w:pPr>
        <w:spacing w:line="360" w:lineRule="auto"/>
        <w:contextualSpacing/>
        <w:jc w:val="both"/>
      </w:pPr>
    </w:p>
    <w:p w:rsidR="003961E8" w:rsidRPr="00805964" w:rsidRDefault="003961E8" w:rsidP="003961E8">
      <w:pPr>
        <w:spacing w:line="360" w:lineRule="auto"/>
        <w:contextualSpacing/>
        <w:jc w:val="center"/>
      </w:pPr>
      <w:r w:rsidRPr="00805964">
        <w:rPr>
          <w:b/>
          <w:sz w:val="22"/>
          <w:u w:val="single"/>
        </w:rPr>
        <w:lastRenderedPageBreak/>
        <w:t>Tabulka č. 18: Čtvrtá varianta pro období 2002</w:t>
      </w:r>
      <w:r w:rsidR="000713F0" w:rsidRPr="00805964">
        <w:rPr>
          <w:b/>
          <w:sz w:val="22"/>
          <w:u w:val="single"/>
        </w:rPr>
        <w:t>–</w:t>
      </w:r>
      <w:r w:rsidRPr="00805964">
        <w:rPr>
          <w:b/>
          <w:sz w:val="22"/>
          <w:u w:val="single"/>
        </w:rPr>
        <w:t>2004</w:t>
      </w:r>
    </w:p>
    <w:tbl>
      <w:tblPr>
        <w:tblStyle w:val="Mkatabulky"/>
        <w:tblW w:w="0" w:type="auto"/>
        <w:jc w:val="center"/>
        <w:tblInd w:w="1384" w:type="dxa"/>
        <w:tblLook w:val="04A0"/>
      </w:tblPr>
      <w:tblGrid>
        <w:gridCol w:w="1121"/>
        <w:gridCol w:w="2816"/>
        <w:gridCol w:w="1308"/>
        <w:gridCol w:w="1389"/>
        <w:gridCol w:w="1269"/>
      </w:tblGrid>
      <w:tr w:rsidR="0065529C" w:rsidRPr="00805964" w:rsidTr="00080504">
        <w:trPr>
          <w:trHeight w:val="806"/>
          <w:jc w:val="center"/>
        </w:trPr>
        <w:tc>
          <w:tcPr>
            <w:tcW w:w="1121" w:type="dxa"/>
            <w:vMerge w:val="restart"/>
            <w:textDirection w:val="btLr"/>
          </w:tcPr>
          <w:p w:rsidR="0065529C" w:rsidRPr="00805964" w:rsidRDefault="000713F0" w:rsidP="000713F0">
            <w:pPr>
              <w:ind w:left="113" w:right="113"/>
              <w:contextualSpacing/>
              <w:jc w:val="center"/>
              <w:rPr>
                <w:sz w:val="36"/>
                <w:szCs w:val="36"/>
              </w:rPr>
            </w:pPr>
            <w:r w:rsidRPr="00805964">
              <w:rPr>
                <w:sz w:val="36"/>
                <w:szCs w:val="36"/>
              </w:rPr>
              <w:t>4. Funkční období</w:t>
            </w:r>
            <w:r w:rsidRPr="00805964">
              <w:rPr>
                <w:sz w:val="36"/>
                <w:szCs w:val="36"/>
              </w:rPr>
              <w:br/>
              <w:t>2002–</w:t>
            </w:r>
            <w:r w:rsidR="0065529C" w:rsidRPr="00805964">
              <w:rPr>
                <w:sz w:val="36"/>
                <w:szCs w:val="36"/>
              </w:rPr>
              <w:t>2004</w:t>
            </w:r>
          </w:p>
        </w:tc>
        <w:tc>
          <w:tcPr>
            <w:tcW w:w="2816" w:type="dxa"/>
            <w:vAlign w:val="center"/>
          </w:tcPr>
          <w:p w:rsidR="0065529C" w:rsidRPr="00805964" w:rsidRDefault="0065529C" w:rsidP="0029635A">
            <w:pPr>
              <w:contextualSpacing/>
              <w:jc w:val="center"/>
            </w:pPr>
          </w:p>
        </w:tc>
        <w:tc>
          <w:tcPr>
            <w:tcW w:w="1308" w:type="dxa"/>
            <w:vAlign w:val="center"/>
          </w:tcPr>
          <w:p w:rsidR="0065529C" w:rsidRPr="00805964" w:rsidRDefault="0065529C" w:rsidP="0029635A">
            <w:pPr>
              <w:contextualSpacing/>
              <w:jc w:val="center"/>
            </w:pPr>
            <w:r w:rsidRPr="00805964">
              <w:t>Bodové ohodnocení</w:t>
            </w:r>
          </w:p>
        </w:tc>
        <w:tc>
          <w:tcPr>
            <w:tcW w:w="1389" w:type="dxa"/>
            <w:vAlign w:val="center"/>
          </w:tcPr>
          <w:p w:rsidR="0065529C" w:rsidRPr="00805964" w:rsidRDefault="0065529C" w:rsidP="0029635A">
            <w:pPr>
              <w:contextualSpacing/>
              <w:jc w:val="center"/>
            </w:pPr>
            <w:r w:rsidRPr="00805964">
              <w:t>Počet případů</w:t>
            </w:r>
          </w:p>
        </w:tc>
        <w:tc>
          <w:tcPr>
            <w:tcW w:w="1269" w:type="dxa"/>
            <w:vAlign w:val="center"/>
          </w:tcPr>
          <w:p w:rsidR="0065529C" w:rsidRPr="00805964" w:rsidRDefault="0065529C" w:rsidP="0029635A">
            <w:pPr>
              <w:contextualSpacing/>
              <w:jc w:val="center"/>
              <w:rPr>
                <w:b/>
              </w:rPr>
            </w:pPr>
            <w:r w:rsidRPr="00805964">
              <w:rPr>
                <w:b/>
              </w:rPr>
              <w:t>Body celkem</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Zamítnutí ústavního zákona Senátem</w:t>
            </w:r>
          </w:p>
        </w:tc>
        <w:tc>
          <w:tcPr>
            <w:tcW w:w="1308" w:type="dxa"/>
            <w:vAlign w:val="center"/>
          </w:tcPr>
          <w:p w:rsidR="00C46069" w:rsidRPr="00805964" w:rsidRDefault="00C46069" w:rsidP="0029635A">
            <w:pPr>
              <w:contextualSpacing/>
              <w:jc w:val="center"/>
            </w:pPr>
            <w:r w:rsidRPr="00805964">
              <w:t>4</w:t>
            </w:r>
          </w:p>
        </w:tc>
        <w:tc>
          <w:tcPr>
            <w:tcW w:w="1389" w:type="dxa"/>
            <w:vAlign w:val="center"/>
          </w:tcPr>
          <w:p w:rsidR="00C46069" w:rsidRPr="00805964" w:rsidRDefault="00C46069" w:rsidP="0029635A">
            <w:pPr>
              <w:contextualSpacing/>
              <w:jc w:val="center"/>
            </w:pPr>
            <w:r w:rsidRPr="00805964">
              <w:t>0</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ústavního zákona</w:t>
            </w:r>
            <w:r w:rsidRPr="00805964">
              <w:t xml:space="preserve"> </w:t>
            </w:r>
          </w:p>
        </w:tc>
        <w:tc>
          <w:tcPr>
            <w:tcW w:w="1308" w:type="dxa"/>
            <w:vAlign w:val="center"/>
          </w:tcPr>
          <w:p w:rsidR="00C46069" w:rsidRPr="00805964" w:rsidRDefault="00C46069" w:rsidP="0029635A">
            <w:pPr>
              <w:contextualSpacing/>
              <w:jc w:val="center"/>
            </w:pPr>
            <w:r w:rsidRPr="00805964">
              <w:t>2</w:t>
            </w:r>
          </w:p>
        </w:tc>
        <w:tc>
          <w:tcPr>
            <w:tcW w:w="1389" w:type="dxa"/>
            <w:vAlign w:val="center"/>
          </w:tcPr>
          <w:p w:rsidR="00C46069" w:rsidRPr="00805964" w:rsidRDefault="00C46069" w:rsidP="0029635A">
            <w:pPr>
              <w:contextualSpacing/>
              <w:jc w:val="center"/>
            </w:pPr>
            <w:r w:rsidRPr="00805964">
              <w:t>1</w:t>
            </w:r>
          </w:p>
        </w:tc>
        <w:tc>
          <w:tcPr>
            <w:tcW w:w="1269" w:type="dxa"/>
            <w:vAlign w:val="center"/>
          </w:tcPr>
          <w:p w:rsidR="00C46069" w:rsidRPr="00805964" w:rsidRDefault="00C46069" w:rsidP="0029635A">
            <w:pPr>
              <w:contextualSpacing/>
              <w:jc w:val="center"/>
              <w:rPr>
                <w:b/>
              </w:rPr>
            </w:pPr>
            <w:r w:rsidRPr="00805964">
              <w:rPr>
                <w:b/>
              </w:rPr>
              <w:t>2</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Veto běžného zákona – úspěšné</w:t>
            </w:r>
          </w:p>
        </w:tc>
        <w:tc>
          <w:tcPr>
            <w:tcW w:w="1308" w:type="dxa"/>
            <w:vAlign w:val="center"/>
          </w:tcPr>
          <w:p w:rsidR="00C46069" w:rsidRPr="00805964" w:rsidRDefault="00C46069" w:rsidP="0029635A">
            <w:pPr>
              <w:contextualSpacing/>
              <w:jc w:val="center"/>
            </w:pPr>
            <w:r w:rsidRPr="00805964">
              <w:t>1</w:t>
            </w:r>
          </w:p>
        </w:tc>
        <w:tc>
          <w:tcPr>
            <w:tcW w:w="1389" w:type="dxa"/>
            <w:vAlign w:val="center"/>
          </w:tcPr>
          <w:p w:rsidR="00C46069" w:rsidRPr="00805964" w:rsidRDefault="00C46069" w:rsidP="0029635A">
            <w:pPr>
              <w:contextualSpacing/>
              <w:jc w:val="center"/>
            </w:pPr>
            <w:r w:rsidRPr="00805964">
              <w:t>3</w:t>
            </w:r>
          </w:p>
        </w:tc>
        <w:tc>
          <w:tcPr>
            <w:tcW w:w="1269" w:type="dxa"/>
            <w:vAlign w:val="center"/>
          </w:tcPr>
          <w:p w:rsidR="00C46069" w:rsidRPr="00805964" w:rsidRDefault="00C46069" w:rsidP="0029635A">
            <w:pPr>
              <w:contextualSpacing/>
              <w:jc w:val="center"/>
              <w:rPr>
                <w:b/>
              </w:rPr>
            </w:pPr>
            <w:r w:rsidRPr="00805964">
              <w:rPr>
                <w:b/>
              </w:rPr>
              <w:t>3</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Veto běžného zákona – přehlasování PS</w:t>
            </w:r>
          </w:p>
        </w:tc>
        <w:tc>
          <w:tcPr>
            <w:tcW w:w="1308" w:type="dxa"/>
            <w:vAlign w:val="center"/>
          </w:tcPr>
          <w:p w:rsidR="00C46069" w:rsidRPr="00805964" w:rsidRDefault="00C46069" w:rsidP="0029635A">
            <w:pPr>
              <w:contextualSpacing/>
              <w:jc w:val="center"/>
            </w:pPr>
            <w:r w:rsidRPr="00805964">
              <w:t>0</w:t>
            </w:r>
          </w:p>
        </w:tc>
        <w:tc>
          <w:tcPr>
            <w:tcW w:w="1389" w:type="dxa"/>
            <w:vAlign w:val="center"/>
          </w:tcPr>
          <w:p w:rsidR="00C46069" w:rsidRPr="00805964" w:rsidRDefault="00C46069" w:rsidP="0029635A">
            <w:pPr>
              <w:contextualSpacing/>
              <w:jc w:val="center"/>
            </w:pPr>
            <w:r w:rsidRPr="00805964">
              <w:t>7</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běžné legislativy - přehlasování PS</w:t>
            </w:r>
          </w:p>
        </w:tc>
        <w:tc>
          <w:tcPr>
            <w:tcW w:w="1308" w:type="dxa"/>
            <w:vAlign w:val="center"/>
          </w:tcPr>
          <w:p w:rsidR="00C46069" w:rsidRPr="00805964" w:rsidRDefault="00C46069" w:rsidP="0029635A">
            <w:pPr>
              <w:contextualSpacing/>
              <w:jc w:val="center"/>
            </w:pPr>
            <w:r w:rsidRPr="00805964">
              <w:t>0</w:t>
            </w:r>
          </w:p>
        </w:tc>
        <w:tc>
          <w:tcPr>
            <w:tcW w:w="1389" w:type="dxa"/>
            <w:vAlign w:val="center"/>
          </w:tcPr>
          <w:p w:rsidR="00C46069" w:rsidRPr="00805964" w:rsidRDefault="00C46069" w:rsidP="0029635A">
            <w:pPr>
              <w:contextualSpacing/>
              <w:jc w:val="center"/>
            </w:pPr>
            <w:r w:rsidRPr="00805964">
              <w:t>21</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běžné legislativy - přijato ve znění schváleném Senátem</w:t>
            </w:r>
          </w:p>
        </w:tc>
        <w:tc>
          <w:tcPr>
            <w:tcW w:w="1308" w:type="dxa"/>
            <w:vAlign w:val="center"/>
          </w:tcPr>
          <w:p w:rsidR="00C46069" w:rsidRPr="00805964" w:rsidRDefault="00C46069" w:rsidP="0029635A">
            <w:pPr>
              <w:contextualSpacing/>
              <w:jc w:val="center"/>
            </w:pPr>
            <w:r w:rsidRPr="00805964">
              <w:t>0,75</w:t>
            </w:r>
          </w:p>
        </w:tc>
        <w:tc>
          <w:tcPr>
            <w:tcW w:w="1389" w:type="dxa"/>
            <w:vAlign w:val="center"/>
          </w:tcPr>
          <w:p w:rsidR="00C46069" w:rsidRPr="00805964" w:rsidRDefault="00C46069" w:rsidP="0029635A">
            <w:pPr>
              <w:contextualSpacing/>
              <w:jc w:val="center"/>
            </w:pPr>
            <w:r w:rsidRPr="00805964">
              <w:t>42</w:t>
            </w:r>
          </w:p>
        </w:tc>
        <w:tc>
          <w:tcPr>
            <w:tcW w:w="1269" w:type="dxa"/>
            <w:vAlign w:val="center"/>
          </w:tcPr>
          <w:p w:rsidR="00C46069" w:rsidRPr="00805964" w:rsidRDefault="00C46069" w:rsidP="0029635A">
            <w:pPr>
              <w:contextualSpacing/>
              <w:jc w:val="center"/>
              <w:rPr>
                <w:b/>
              </w:rPr>
            </w:pPr>
            <w:r w:rsidRPr="00805964">
              <w:rPr>
                <w:b/>
              </w:rPr>
              <w:t>31,5</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Zamítnutí mezinárodní smlouvy</w:t>
            </w:r>
          </w:p>
        </w:tc>
        <w:tc>
          <w:tcPr>
            <w:tcW w:w="1308" w:type="dxa"/>
            <w:vAlign w:val="center"/>
          </w:tcPr>
          <w:p w:rsidR="00C46069" w:rsidRPr="00805964" w:rsidRDefault="00C46069" w:rsidP="0029635A">
            <w:pPr>
              <w:contextualSpacing/>
              <w:jc w:val="center"/>
            </w:pPr>
            <w:r w:rsidRPr="00805964">
              <w:t>2</w:t>
            </w:r>
          </w:p>
        </w:tc>
        <w:tc>
          <w:tcPr>
            <w:tcW w:w="1389" w:type="dxa"/>
            <w:vAlign w:val="center"/>
          </w:tcPr>
          <w:p w:rsidR="00C46069" w:rsidRPr="00805964" w:rsidRDefault="00C46069" w:rsidP="0029635A">
            <w:pPr>
              <w:contextualSpacing/>
              <w:jc w:val="center"/>
            </w:pPr>
            <w:r w:rsidRPr="00805964">
              <w:t>1</w:t>
            </w:r>
          </w:p>
        </w:tc>
        <w:tc>
          <w:tcPr>
            <w:tcW w:w="1269" w:type="dxa"/>
            <w:vAlign w:val="center"/>
          </w:tcPr>
          <w:p w:rsidR="00C46069" w:rsidRPr="00805964" w:rsidRDefault="00C46069" w:rsidP="0029635A">
            <w:pPr>
              <w:contextualSpacing/>
              <w:jc w:val="center"/>
              <w:rPr>
                <w:b/>
              </w:rPr>
            </w:pPr>
            <w:r w:rsidRPr="00805964">
              <w:rPr>
                <w:b/>
              </w:rPr>
              <w:t>2</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rPr>
                <w:b/>
              </w:rPr>
            </w:pPr>
            <w:r w:rsidRPr="00805964">
              <w:rPr>
                <w:b/>
              </w:rPr>
              <w:t>CELKEM</w:t>
            </w:r>
          </w:p>
        </w:tc>
        <w:tc>
          <w:tcPr>
            <w:tcW w:w="1308" w:type="dxa"/>
            <w:vAlign w:val="center"/>
          </w:tcPr>
          <w:p w:rsidR="00C46069" w:rsidRPr="00805964" w:rsidRDefault="00C46069" w:rsidP="0029635A">
            <w:pPr>
              <w:contextualSpacing/>
              <w:jc w:val="center"/>
              <w:rPr>
                <w:b/>
              </w:rPr>
            </w:pPr>
          </w:p>
        </w:tc>
        <w:tc>
          <w:tcPr>
            <w:tcW w:w="1389" w:type="dxa"/>
            <w:vAlign w:val="center"/>
          </w:tcPr>
          <w:p w:rsidR="00C46069" w:rsidRPr="00805964" w:rsidRDefault="00C46069" w:rsidP="0029635A">
            <w:pPr>
              <w:contextualSpacing/>
              <w:jc w:val="center"/>
              <w:rPr>
                <w:b/>
              </w:rPr>
            </w:pPr>
            <w:r w:rsidRPr="00805964">
              <w:rPr>
                <w:b/>
              </w:rPr>
              <w:t>75</w:t>
            </w:r>
          </w:p>
        </w:tc>
        <w:tc>
          <w:tcPr>
            <w:tcW w:w="1269" w:type="dxa"/>
            <w:vAlign w:val="center"/>
          </w:tcPr>
          <w:p w:rsidR="00C46069" w:rsidRPr="00805964" w:rsidRDefault="00C46069" w:rsidP="0029635A">
            <w:pPr>
              <w:contextualSpacing/>
              <w:jc w:val="center"/>
              <w:rPr>
                <w:b/>
              </w:rPr>
            </w:pPr>
            <w:r w:rsidRPr="00805964">
              <w:rPr>
                <w:b/>
              </w:rPr>
              <w:t>38,5</w:t>
            </w:r>
          </w:p>
        </w:tc>
      </w:tr>
    </w:tbl>
    <w:p w:rsidR="00F71FF3" w:rsidRPr="00805964" w:rsidRDefault="00265145" w:rsidP="00050755">
      <w:pPr>
        <w:spacing w:line="360" w:lineRule="auto"/>
        <w:contextualSpacing/>
        <w:jc w:val="center"/>
        <w:rPr>
          <w:i/>
          <w:sz w:val="22"/>
        </w:rPr>
      </w:pPr>
      <w:r w:rsidRPr="00805964">
        <w:rPr>
          <w:i/>
          <w:sz w:val="22"/>
        </w:rPr>
        <w:t>Zpracoval: Autor.</w:t>
      </w:r>
    </w:p>
    <w:p w:rsidR="003961E8" w:rsidRPr="00805964" w:rsidRDefault="003961E8" w:rsidP="00050755">
      <w:pPr>
        <w:spacing w:line="360" w:lineRule="auto"/>
        <w:contextualSpacing/>
        <w:jc w:val="center"/>
        <w:rPr>
          <w:i/>
          <w:sz w:val="22"/>
        </w:rPr>
      </w:pPr>
    </w:p>
    <w:p w:rsidR="00986A31" w:rsidRPr="00805964" w:rsidRDefault="00986A31" w:rsidP="0029635A">
      <w:pPr>
        <w:spacing w:line="360" w:lineRule="auto"/>
        <w:contextualSpacing/>
        <w:jc w:val="both"/>
        <w:rPr>
          <w:szCs w:val="24"/>
          <w:u w:val="single"/>
        </w:rPr>
      </w:pPr>
      <w:r w:rsidRPr="00805964">
        <w:rPr>
          <w:u w:val="single"/>
        </w:rPr>
        <w:t>Výpočet vážené poměrné efektivity v této variantě je následující</w:t>
      </w:r>
      <w:r w:rsidRPr="00805964">
        <w:rPr>
          <w:szCs w:val="24"/>
          <w:u w:val="single"/>
        </w:rPr>
        <w:t>:</w:t>
      </w:r>
    </w:p>
    <w:p w:rsidR="0065529C" w:rsidRPr="00805964" w:rsidRDefault="0065529C" w:rsidP="0029635A">
      <w:pPr>
        <w:spacing w:line="360" w:lineRule="auto"/>
        <w:contextualSpacing/>
        <w:jc w:val="both"/>
      </w:pPr>
    </w:p>
    <w:p w:rsidR="00986A31" w:rsidRPr="00805964" w:rsidRDefault="00EE58B6" w:rsidP="0029635A">
      <w:pPr>
        <w:spacing w:line="360" w:lineRule="auto"/>
        <w:contextualSpacing/>
        <w:jc w:val="both"/>
        <w:rPr>
          <w:szCs w:val="24"/>
        </w:rPr>
      </w:pPr>
      <m:oMathPara>
        <m:oMath>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0∙4</m:t>
                  </m:r>
                </m:e>
              </m:d>
              <m:r>
                <w:rPr>
                  <w:rFonts w:ascii="Cambria Math" w:hAnsi="Cambria Math"/>
                  <w:szCs w:val="24"/>
                </w:rPr>
                <m:t>+</m:t>
              </m:r>
              <m:d>
                <m:dPr>
                  <m:ctrlPr>
                    <w:rPr>
                      <w:rFonts w:ascii="Cambria Math" w:hAnsi="Cambria Math"/>
                      <w:i/>
                      <w:szCs w:val="24"/>
                    </w:rPr>
                  </m:ctrlPr>
                </m:dPr>
                <m:e>
                  <m:r>
                    <w:rPr>
                      <w:rFonts w:ascii="Cambria Math" w:hAnsi="Cambria Math"/>
                      <w:szCs w:val="24"/>
                    </w:rPr>
                    <m:t>1∙2</m:t>
                  </m:r>
                </m:e>
              </m:d>
              <m:r>
                <w:rPr>
                  <w:rFonts w:ascii="Cambria Math" w:hAnsi="Cambria Math"/>
                  <w:szCs w:val="24"/>
                </w:rPr>
                <m:t>+</m:t>
              </m:r>
              <m:d>
                <m:dPr>
                  <m:ctrlPr>
                    <w:rPr>
                      <w:rFonts w:ascii="Cambria Math" w:hAnsi="Cambria Math"/>
                      <w:i/>
                      <w:szCs w:val="24"/>
                    </w:rPr>
                  </m:ctrlPr>
                </m:dPr>
                <m:e>
                  <m:r>
                    <w:rPr>
                      <w:rFonts w:ascii="Cambria Math" w:hAnsi="Cambria Math"/>
                      <w:szCs w:val="24"/>
                    </w:rPr>
                    <m:t>3∙1</m:t>
                  </m:r>
                </m:e>
              </m:d>
              <m:r>
                <w:rPr>
                  <w:rFonts w:ascii="Cambria Math" w:hAnsi="Cambria Math"/>
                  <w:szCs w:val="24"/>
                </w:rPr>
                <m:t>+</m:t>
              </m:r>
              <m:d>
                <m:dPr>
                  <m:ctrlPr>
                    <w:rPr>
                      <w:rFonts w:ascii="Cambria Math" w:hAnsi="Cambria Math"/>
                      <w:i/>
                      <w:szCs w:val="24"/>
                    </w:rPr>
                  </m:ctrlPr>
                </m:dPr>
                <m:e>
                  <m:r>
                    <w:rPr>
                      <w:rFonts w:ascii="Cambria Math" w:hAnsi="Cambria Math"/>
                      <w:szCs w:val="24"/>
                    </w:rPr>
                    <m:t>7∙0</m:t>
                  </m:r>
                </m:e>
              </m:d>
              <m:r>
                <w:rPr>
                  <w:rFonts w:ascii="Cambria Math" w:hAnsi="Cambria Math"/>
                  <w:szCs w:val="24"/>
                </w:rPr>
                <m:t>+</m:t>
              </m:r>
              <m:d>
                <m:dPr>
                  <m:ctrlPr>
                    <w:rPr>
                      <w:rFonts w:ascii="Cambria Math" w:hAnsi="Cambria Math"/>
                      <w:i/>
                      <w:szCs w:val="24"/>
                    </w:rPr>
                  </m:ctrlPr>
                </m:dPr>
                <m:e>
                  <m:r>
                    <w:rPr>
                      <w:rFonts w:ascii="Cambria Math" w:hAnsi="Cambria Math"/>
                      <w:szCs w:val="24"/>
                    </w:rPr>
                    <m:t>21∙0</m:t>
                  </m:r>
                </m:e>
              </m:d>
              <m:r>
                <w:rPr>
                  <w:rFonts w:ascii="Cambria Math" w:hAnsi="Cambria Math"/>
                  <w:szCs w:val="24"/>
                </w:rPr>
                <m:t>+</m:t>
              </m:r>
              <m:d>
                <m:dPr>
                  <m:ctrlPr>
                    <w:rPr>
                      <w:rFonts w:ascii="Cambria Math" w:hAnsi="Cambria Math"/>
                      <w:i/>
                      <w:szCs w:val="24"/>
                    </w:rPr>
                  </m:ctrlPr>
                </m:dPr>
                <m:e>
                  <m:r>
                    <w:rPr>
                      <w:rFonts w:ascii="Cambria Math" w:hAnsi="Cambria Math"/>
                      <w:szCs w:val="24"/>
                    </w:rPr>
                    <m:t>42∙0,75</m:t>
                  </m:r>
                </m:e>
              </m:d>
              <m:r>
                <w:rPr>
                  <w:rFonts w:ascii="Cambria Math" w:hAnsi="Cambria Math"/>
                  <w:szCs w:val="24"/>
                </w:rPr>
                <m:t>+</m:t>
              </m:r>
              <m:d>
                <m:dPr>
                  <m:ctrlPr>
                    <w:rPr>
                      <w:rFonts w:ascii="Cambria Math" w:hAnsi="Cambria Math"/>
                      <w:i/>
                      <w:szCs w:val="24"/>
                    </w:rPr>
                  </m:ctrlPr>
                </m:dPr>
                <m:e>
                  <m:r>
                    <w:rPr>
                      <w:rFonts w:ascii="Cambria Math" w:hAnsi="Cambria Math"/>
                      <w:szCs w:val="24"/>
                    </w:rPr>
                    <m:t>1∙2</m:t>
                  </m:r>
                </m:e>
              </m:d>
            </m:num>
            <m:den>
              <m:d>
                <m:dPr>
                  <m:ctrlPr>
                    <w:rPr>
                      <w:rFonts w:ascii="Cambria Math" w:hAnsi="Cambria Math"/>
                      <w:i/>
                      <w:szCs w:val="24"/>
                    </w:rPr>
                  </m:ctrlPr>
                </m:dPr>
                <m:e>
                  <m:r>
                    <w:rPr>
                      <w:rFonts w:ascii="Cambria Math" w:hAnsi="Cambria Math"/>
                      <w:szCs w:val="24"/>
                    </w:rPr>
                    <m:t>0∙4</m:t>
                  </m:r>
                </m:e>
              </m:d>
              <m:r>
                <w:rPr>
                  <w:rFonts w:ascii="Cambria Math" w:hAnsi="Cambria Math"/>
                  <w:szCs w:val="24"/>
                </w:rPr>
                <m:t>+</m:t>
              </m:r>
              <m:d>
                <m:dPr>
                  <m:ctrlPr>
                    <w:rPr>
                      <w:rFonts w:ascii="Cambria Math" w:hAnsi="Cambria Math"/>
                      <w:i/>
                      <w:szCs w:val="24"/>
                    </w:rPr>
                  </m:ctrlPr>
                </m:dPr>
                <m:e>
                  <m:r>
                    <w:rPr>
                      <w:rFonts w:ascii="Cambria Math" w:hAnsi="Cambria Math"/>
                      <w:szCs w:val="24"/>
                    </w:rPr>
                    <m:t>1∙2</m:t>
                  </m:r>
                </m:e>
              </m:d>
              <m:r>
                <w:rPr>
                  <w:rFonts w:ascii="Cambria Math" w:hAnsi="Cambria Math"/>
                  <w:szCs w:val="24"/>
                </w:rPr>
                <m:t>+</m:t>
              </m:r>
              <m:d>
                <m:dPr>
                  <m:ctrlPr>
                    <w:rPr>
                      <w:rFonts w:ascii="Cambria Math" w:hAnsi="Cambria Math"/>
                      <w:i/>
                      <w:szCs w:val="24"/>
                    </w:rPr>
                  </m:ctrlPr>
                </m:dPr>
                <m:e>
                  <m:r>
                    <w:rPr>
                      <w:rFonts w:ascii="Cambria Math" w:hAnsi="Cambria Math"/>
                      <w:szCs w:val="24"/>
                    </w:rPr>
                    <m:t>3+7</m:t>
                  </m:r>
                </m:e>
              </m:d>
              <m:r>
                <w:rPr>
                  <w:rFonts w:ascii="Cambria Math" w:hAnsi="Cambria Math"/>
                  <w:szCs w:val="24"/>
                </w:rPr>
                <m:t>∙1+</m:t>
              </m:r>
              <m:d>
                <m:dPr>
                  <m:ctrlPr>
                    <w:rPr>
                      <w:rFonts w:ascii="Cambria Math" w:hAnsi="Cambria Math"/>
                      <w:i/>
                      <w:szCs w:val="24"/>
                    </w:rPr>
                  </m:ctrlPr>
                </m:dPr>
                <m:e>
                  <m:r>
                    <w:rPr>
                      <w:rFonts w:ascii="Cambria Math" w:hAnsi="Cambria Math"/>
                      <w:szCs w:val="24"/>
                    </w:rPr>
                    <m:t>21+42</m:t>
                  </m:r>
                </m:e>
              </m:d>
              <m:r>
                <w:rPr>
                  <w:rFonts w:ascii="Cambria Math" w:hAnsi="Cambria Math"/>
                  <w:szCs w:val="24"/>
                </w:rPr>
                <m:t>∙0,75+</m:t>
              </m:r>
              <m:d>
                <m:dPr>
                  <m:ctrlPr>
                    <w:rPr>
                      <w:rFonts w:ascii="Cambria Math" w:hAnsi="Cambria Math"/>
                      <w:i/>
                      <w:szCs w:val="24"/>
                    </w:rPr>
                  </m:ctrlPr>
                </m:dPr>
                <m:e>
                  <m:r>
                    <w:rPr>
                      <w:rFonts w:ascii="Cambria Math" w:hAnsi="Cambria Math"/>
                      <w:szCs w:val="24"/>
                    </w:rPr>
                    <m:t>1∙2</m:t>
                  </m:r>
                </m:e>
              </m:d>
            </m:den>
          </m:f>
        </m:oMath>
      </m:oMathPara>
    </w:p>
    <w:p w:rsidR="00986A31" w:rsidRPr="00805964" w:rsidRDefault="00986A31" w:rsidP="0029635A">
      <w:pPr>
        <w:spacing w:line="360" w:lineRule="auto"/>
        <w:contextualSpacing/>
        <w:jc w:val="both"/>
        <w:rPr>
          <w:rFonts w:eastAsiaTheme="minorEastAsia"/>
          <w:szCs w:val="24"/>
        </w:rPr>
      </w:pPr>
    </w:p>
    <w:p w:rsidR="00986A31" w:rsidRPr="00805964" w:rsidRDefault="00986A31" w:rsidP="0029635A">
      <w:pPr>
        <w:spacing w:line="360" w:lineRule="auto"/>
        <w:contextualSpacing/>
        <w:jc w:val="both"/>
        <w:rPr>
          <w:b/>
          <w:i/>
          <w:szCs w:val="24"/>
        </w:rPr>
      </w:pPr>
      <m:oMathPara>
        <m:oMath>
          <m:r>
            <w:rPr>
              <w:rFonts w:ascii="Cambria Math" w:hAnsi="Cambria Math"/>
              <w:szCs w:val="24"/>
            </w:rPr>
            <m:t>=</m:t>
          </m:r>
          <m:f>
            <m:fPr>
              <m:ctrlPr>
                <w:rPr>
                  <w:rFonts w:ascii="Cambria Math" w:hAnsi="Cambria Math"/>
                  <w:i/>
                  <w:szCs w:val="24"/>
                </w:rPr>
              </m:ctrlPr>
            </m:fPr>
            <m:num>
              <m:r>
                <w:rPr>
                  <w:rFonts w:ascii="Cambria Math" w:hAnsi="Cambria Math"/>
                  <w:szCs w:val="24"/>
                </w:rPr>
                <m:t>0+2+3+0+0+31,5+2</m:t>
              </m:r>
            </m:num>
            <m:den>
              <m:r>
                <w:rPr>
                  <w:rFonts w:ascii="Cambria Math" w:hAnsi="Cambria Math"/>
                  <w:szCs w:val="24"/>
                </w:rPr>
                <m:t>0+2+10+47,25+2</m:t>
              </m:r>
            </m:den>
          </m:f>
          <m:r>
            <w:rPr>
              <w:rFonts w:ascii="Cambria Math" w:hAnsi="Cambria Math"/>
              <w:szCs w:val="24"/>
            </w:rPr>
            <m:t>=</m:t>
          </m:r>
          <m:f>
            <m:fPr>
              <m:ctrlPr>
                <w:rPr>
                  <w:rFonts w:ascii="Cambria Math" w:hAnsi="Cambria Math"/>
                  <w:i/>
                  <w:szCs w:val="24"/>
                </w:rPr>
              </m:ctrlPr>
            </m:fPr>
            <m:num>
              <m:r>
                <w:rPr>
                  <w:rFonts w:ascii="Cambria Math" w:hAnsi="Cambria Math"/>
                  <w:szCs w:val="24"/>
                </w:rPr>
                <m:t>38,5</m:t>
              </m:r>
            </m:num>
            <m:den>
              <m:r>
                <w:rPr>
                  <w:rFonts w:ascii="Cambria Math" w:hAnsi="Cambria Math"/>
                  <w:szCs w:val="24"/>
                </w:rPr>
                <m:t>61,25</m:t>
              </m:r>
            </m:den>
          </m:f>
          <m:r>
            <w:rPr>
              <w:rFonts w:ascii="Cambria Math" w:hAnsi="Cambria Math"/>
              <w:szCs w:val="24"/>
            </w:rPr>
            <m:t>=</m:t>
          </m:r>
          <m:r>
            <m:rPr>
              <m:sty m:val="bi"/>
            </m:rPr>
            <w:rPr>
              <w:rFonts w:ascii="Cambria Math" w:hAnsi="Cambria Math"/>
              <w:szCs w:val="24"/>
            </w:rPr>
            <m:t>62,85 %</m:t>
          </m:r>
        </m:oMath>
      </m:oMathPara>
    </w:p>
    <w:p w:rsidR="00773ED6" w:rsidRPr="00805964" w:rsidRDefault="00773ED6" w:rsidP="0029635A">
      <w:pPr>
        <w:spacing w:line="360" w:lineRule="auto"/>
        <w:contextualSpacing/>
        <w:jc w:val="both"/>
      </w:pPr>
    </w:p>
    <w:p w:rsidR="007428F3" w:rsidRPr="00805964" w:rsidRDefault="007428F3" w:rsidP="0029635A">
      <w:pPr>
        <w:spacing w:line="360" w:lineRule="auto"/>
        <w:contextualSpacing/>
        <w:jc w:val="both"/>
      </w:pPr>
    </w:p>
    <w:p w:rsidR="007428F3" w:rsidRPr="00805964" w:rsidRDefault="008E179C" w:rsidP="0029635A">
      <w:pPr>
        <w:spacing w:line="360" w:lineRule="auto"/>
        <w:contextualSpacing/>
        <w:jc w:val="both"/>
      </w:pPr>
      <w:r w:rsidRPr="00805964">
        <w:tab/>
      </w:r>
      <w:r w:rsidR="00E142D4" w:rsidRPr="00805964">
        <w:t xml:space="preserve">Na základě provedených měření u jednotlivých variant bylo dosaženo následujících hodnot. V první variantě získal Senát 310 bodů za 255 hodnocených situací, což znamená výsledek 1,21 bodů pro variantu č. 2. </w:t>
      </w:r>
      <w:r w:rsidRPr="00805964">
        <w:t xml:space="preserve">V 67,18 % případů dokázal Senát uspět se svými pozměňovacími návrhy a ve 30 % případů uspěl se zamítnutím návrhů zákonů. Celkově horní </w:t>
      </w:r>
      <w:r w:rsidRPr="00805964">
        <w:lastRenderedPageBreak/>
        <w:t xml:space="preserve">komora změnila stanovisko komory dolní v 62,16 % případů. Výsledná hodnota u vážené poměrné efektivity v rámci čtvrté varianty je 62, 85 %. </w:t>
      </w:r>
    </w:p>
    <w:p w:rsidR="00FE0E27" w:rsidRPr="00805964" w:rsidRDefault="00FE0E27" w:rsidP="0029635A">
      <w:pPr>
        <w:spacing w:line="360" w:lineRule="auto"/>
        <w:contextualSpacing/>
        <w:jc w:val="both"/>
      </w:pPr>
    </w:p>
    <w:p w:rsidR="00080504" w:rsidRPr="00805964" w:rsidRDefault="00EE19CE" w:rsidP="0029635A">
      <w:pPr>
        <w:pStyle w:val="Nadpis3"/>
        <w:contextualSpacing/>
      </w:pPr>
      <w:bookmarkStart w:id="29" w:name="_Toc359918295"/>
      <w:r w:rsidRPr="00805964">
        <w:t>3. 3. 3 Období 2004–</w:t>
      </w:r>
      <w:r w:rsidR="00080504" w:rsidRPr="00805964">
        <w:t>2006</w:t>
      </w:r>
      <w:bookmarkEnd w:id="29"/>
    </w:p>
    <w:p w:rsidR="0065529C" w:rsidRPr="00805964" w:rsidRDefault="0065529C" w:rsidP="0029635A">
      <w:pPr>
        <w:spacing w:line="360" w:lineRule="auto"/>
        <w:contextualSpacing/>
        <w:jc w:val="both"/>
      </w:pPr>
    </w:p>
    <w:p w:rsidR="00F71FF3" w:rsidRPr="00805964" w:rsidRDefault="008A6F3C" w:rsidP="0029635A">
      <w:pPr>
        <w:spacing w:line="360" w:lineRule="auto"/>
        <w:contextualSpacing/>
        <w:jc w:val="both"/>
      </w:pPr>
      <w:r w:rsidRPr="00805964">
        <w:tab/>
      </w:r>
      <w:r w:rsidR="00F71FF3" w:rsidRPr="00805964">
        <w:t>V pátém funkčním období Senátu bylo po volbách v roce 2004 složení horní komory opět pravicové. O</w:t>
      </w:r>
      <w:r w:rsidR="004E5460" w:rsidRPr="00805964">
        <w:t>DS zastupovalo 35 senátorů, KDU–</w:t>
      </w:r>
      <w:r w:rsidR="00F71FF3" w:rsidRPr="00805964">
        <w:t>ČSL 11 senátorů, US</w:t>
      </w:r>
      <w:r w:rsidR="008A7721">
        <w:t>–</w:t>
      </w:r>
      <w:r w:rsidR="00F71FF3" w:rsidRPr="00805964">
        <w:t>DEU čtyři senátoři. Levicová ČSSD opět oslabila a byla tak zastupována pouze šesti senátory. KSČM se po krátké pauze opět podařilo dostat do Senátu své zástupce, když byli za tuto stranu zvoleni dva senátoři. Senátorů bez politické příslušnosti či nezávislých bylo 23.</w:t>
      </w:r>
      <w:r w:rsidR="00F71FF3" w:rsidRPr="00805964">
        <w:rPr>
          <w:rStyle w:val="Znakapoznpodarou"/>
        </w:rPr>
        <w:footnoteReference w:id="95"/>
      </w:r>
      <w:r w:rsidR="00F71FF3" w:rsidRPr="00805964">
        <w:t xml:space="preserve"> Složení Poslanecké sněmovny se oproti předešlému fu</w:t>
      </w:r>
      <w:r w:rsidR="000266FA">
        <w:t>nkčnímu období Senátu nezměnilo</w:t>
      </w:r>
      <w:r w:rsidR="00F71FF3" w:rsidRPr="00805964">
        <w:t xml:space="preserve"> a stále zde měla většinu levice.</w:t>
      </w:r>
    </w:p>
    <w:p w:rsidR="00B11D02" w:rsidRPr="00805964" w:rsidRDefault="00B11D02" w:rsidP="0029635A">
      <w:pPr>
        <w:spacing w:line="360" w:lineRule="auto"/>
        <w:contextualSpacing/>
        <w:jc w:val="both"/>
      </w:pPr>
    </w:p>
    <w:p w:rsidR="00F71FF3" w:rsidRPr="00805964" w:rsidRDefault="003961E8" w:rsidP="003961E8">
      <w:pPr>
        <w:spacing w:line="360" w:lineRule="auto"/>
        <w:contextualSpacing/>
        <w:jc w:val="center"/>
      </w:pPr>
      <w:r w:rsidRPr="00805964">
        <w:rPr>
          <w:b/>
          <w:sz w:val="22"/>
          <w:u w:val="single"/>
        </w:rPr>
        <w:t>Tabulka č. 19: První varianta pro období 2004</w:t>
      </w:r>
      <w:r w:rsidR="000713F0" w:rsidRPr="00805964">
        <w:rPr>
          <w:b/>
          <w:sz w:val="22"/>
          <w:u w:val="single"/>
        </w:rPr>
        <w:t>–</w:t>
      </w:r>
      <w:r w:rsidRPr="00805964">
        <w:rPr>
          <w:b/>
          <w:sz w:val="22"/>
          <w:u w:val="single"/>
        </w:rPr>
        <w:t>2006</w:t>
      </w:r>
    </w:p>
    <w:tbl>
      <w:tblPr>
        <w:tblStyle w:val="Mkatabulky"/>
        <w:tblW w:w="0" w:type="auto"/>
        <w:tblLook w:val="04A0"/>
      </w:tblPr>
      <w:tblGrid>
        <w:gridCol w:w="3070"/>
        <w:gridCol w:w="3070"/>
        <w:gridCol w:w="3071"/>
      </w:tblGrid>
      <w:tr w:rsidR="0065529C" w:rsidRPr="00805964" w:rsidTr="00080504">
        <w:tc>
          <w:tcPr>
            <w:tcW w:w="3070" w:type="dxa"/>
          </w:tcPr>
          <w:p w:rsidR="0065529C" w:rsidRPr="00805964" w:rsidRDefault="0065529C" w:rsidP="0029635A">
            <w:pPr>
              <w:spacing w:line="360" w:lineRule="auto"/>
              <w:contextualSpacing/>
              <w:jc w:val="both"/>
            </w:pPr>
          </w:p>
        </w:tc>
        <w:tc>
          <w:tcPr>
            <w:tcW w:w="3070" w:type="dxa"/>
          </w:tcPr>
          <w:p w:rsidR="0065529C" w:rsidRPr="00805964" w:rsidRDefault="0065529C" w:rsidP="0029635A">
            <w:pPr>
              <w:spacing w:line="360" w:lineRule="auto"/>
              <w:contextualSpacing/>
              <w:jc w:val="center"/>
              <w:rPr>
                <w:b/>
              </w:rPr>
            </w:pPr>
            <w:r w:rsidRPr="00805964">
              <w:rPr>
                <w:b/>
              </w:rPr>
              <w:t>počet případů</w:t>
            </w:r>
          </w:p>
        </w:tc>
        <w:tc>
          <w:tcPr>
            <w:tcW w:w="3071" w:type="dxa"/>
          </w:tcPr>
          <w:p w:rsidR="0065529C" w:rsidRPr="00805964" w:rsidRDefault="0065529C" w:rsidP="0029635A">
            <w:pPr>
              <w:spacing w:line="360" w:lineRule="auto"/>
              <w:contextualSpacing/>
              <w:jc w:val="center"/>
              <w:rPr>
                <w:b/>
              </w:rPr>
            </w:pPr>
            <w:r w:rsidRPr="00805964">
              <w:rPr>
                <w:b/>
              </w:rPr>
              <w:t>bodové ohodnocení</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 schválil v původním znění (1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61</w:t>
            </w:r>
          </w:p>
        </w:tc>
        <w:tc>
          <w:tcPr>
            <w:tcW w:w="3071" w:type="dxa"/>
            <w:vAlign w:val="center"/>
          </w:tcPr>
          <w:p w:rsidR="00C46069" w:rsidRPr="00805964" w:rsidRDefault="00C46069" w:rsidP="0029635A">
            <w:pPr>
              <w:spacing w:line="360" w:lineRule="auto"/>
              <w:contextualSpacing/>
              <w:jc w:val="center"/>
            </w:pPr>
            <w:r w:rsidRPr="00805964">
              <w:t>61</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Senátní pozměňovací návrh – prošel (3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56</w:t>
            </w:r>
          </w:p>
        </w:tc>
        <w:tc>
          <w:tcPr>
            <w:tcW w:w="3071" w:type="dxa"/>
            <w:vAlign w:val="center"/>
          </w:tcPr>
          <w:p w:rsidR="00C46069" w:rsidRPr="00805964" w:rsidRDefault="00C46069" w:rsidP="0029635A">
            <w:pPr>
              <w:spacing w:line="360" w:lineRule="auto"/>
              <w:contextualSpacing/>
              <w:jc w:val="center"/>
            </w:pPr>
            <w:r w:rsidRPr="00805964">
              <w:t>168</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Senátní pozměňovací návrh – neprošel (2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47</w:t>
            </w:r>
          </w:p>
        </w:tc>
        <w:tc>
          <w:tcPr>
            <w:tcW w:w="3071" w:type="dxa"/>
            <w:vAlign w:val="center"/>
          </w:tcPr>
          <w:p w:rsidR="00C46069" w:rsidRPr="00805964" w:rsidRDefault="00C46069" w:rsidP="0029635A">
            <w:pPr>
              <w:spacing w:line="360" w:lineRule="auto"/>
              <w:contextualSpacing/>
              <w:jc w:val="center"/>
            </w:pPr>
            <w:r w:rsidRPr="00805964">
              <w:t>94</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 zamítl návrh zákona – PS přehlasovala (1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18</w:t>
            </w:r>
          </w:p>
        </w:tc>
        <w:tc>
          <w:tcPr>
            <w:tcW w:w="3071" w:type="dxa"/>
            <w:vAlign w:val="center"/>
          </w:tcPr>
          <w:p w:rsidR="00C46069" w:rsidRPr="00805964" w:rsidRDefault="00C46069" w:rsidP="0029635A">
            <w:pPr>
              <w:spacing w:line="360" w:lineRule="auto"/>
              <w:contextualSpacing/>
              <w:jc w:val="center"/>
            </w:pPr>
            <w:r w:rsidRPr="00805964">
              <w:t>18</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 zamítl návrh zákona – PS nepřehlasovala (3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18</w:t>
            </w:r>
          </w:p>
        </w:tc>
        <w:tc>
          <w:tcPr>
            <w:tcW w:w="3071" w:type="dxa"/>
            <w:vAlign w:val="center"/>
          </w:tcPr>
          <w:p w:rsidR="00C46069" w:rsidRPr="00805964" w:rsidRDefault="00C46069" w:rsidP="0029635A">
            <w:pPr>
              <w:spacing w:line="360" w:lineRule="auto"/>
              <w:contextualSpacing/>
              <w:jc w:val="center"/>
            </w:pPr>
            <w:r w:rsidRPr="00805964">
              <w:t>54</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Senát se návrhem nezabýval</w:t>
            </w:r>
            <w:r w:rsidRPr="00805964">
              <w:br/>
              <w:t xml:space="preserve">(0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32</w:t>
            </w:r>
          </w:p>
        </w:tc>
        <w:tc>
          <w:tcPr>
            <w:tcW w:w="3071" w:type="dxa"/>
            <w:vAlign w:val="center"/>
          </w:tcPr>
          <w:p w:rsidR="00C46069" w:rsidRPr="00805964" w:rsidRDefault="00C46069" w:rsidP="0029635A">
            <w:pPr>
              <w:spacing w:line="360" w:lineRule="auto"/>
              <w:contextualSpacing/>
              <w:jc w:val="center"/>
            </w:pPr>
            <w:r w:rsidRPr="00805964">
              <w:t>0</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 se nestihl v určené době usnést (0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9</w:t>
            </w:r>
          </w:p>
        </w:tc>
        <w:tc>
          <w:tcPr>
            <w:tcW w:w="3071" w:type="dxa"/>
            <w:vAlign w:val="center"/>
          </w:tcPr>
          <w:p w:rsidR="00C46069" w:rsidRPr="00805964" w:rsidRDefault="00C46069" w:rsidP="0029635A">
            <w:pPr>
              <w:spacing w:line="360" w:lineRule="auto"/>
              <w:contextualSpacing/>
              <w:jc w:val="center"/>
            </w:pPr>
            <w:r w:rsidRPr="00805964">
              <w:t>0</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CELKEM</w:t>
            </w:r>
          </w:p>
        </w:tc>
        <w:tc>
          <w:tcPr>
            <w:tcW w:w="3070" w:type="dxa"/>
            <w:vAlign w:val="center"/>
          </w:tcPr>
          <w:p w:rsidR="00C46069" w:rsidRPr="00805964" w:rsidRDefault="00C46069" w:rsidP="0029635A">
            <w:pPr>
              <w:spacing w:line="360" w:lineRule="auto"/>
              <w:contextualSpacing/>
              <w:jc w:val="center"/>
              <w:rPr>
                <w:b/>
              </w:rPr>
            </w:pPr>
            <w:r w:rsidRPr="00805964">
              <w:rPr>
                <w:b/>
              </w:rPr>
              <w:t>241</w:t>
            </w:r>
          </w:p>
        </w:tc>
        <w:tc>
          <w:tcPr>
            <w:tcW w:w="3071" w:type="dxa"/>
            <w:vAlign w:val="center"/>
          </w:tcPr>
          <w:p w:rsidR="00C46069" w:rsidRPr="00805964" w:rsidRDefault="00C46069" w:rsidP="0029635A">
            <w:pPr>
              <w:spacing w:line="360" w:lineRule="auto"/>
              <w:contextualSpacing/>
              <w:jc w:val="center"/>
              <w:rPr>
                <w:b/>
              </w:rPr>
            </w:pPr>
            <w:r w:rsidRPr="00805964">
              <w:rPr>
                <w:b/>
              </w:rPr>
              <w:t>395</w:t>
            </w:r>
          </w:p>
        </w:tc>
      </w:tr>
    </w:tbl>
    <w:p w:rsidR="00265145" w:rsidRPr="00805964" w:rsidRDefault="00265145" w:rsidP="00265145">
      <w:pPr>
        <w:spacing w:line="360" w:lineRule="auto"/>
        <w:contextualSpacing/>
        <w:jc w:val="center"/>
        <w:rPr>
          <w:i/>
          <w:sz w:val="22"/>
        </w:rPr>
      </w:pPr>
      <w:r w:rsidRPr="00805964">
        <w:rPr>
          <w:i/>
          <w:sz w:val="22"/>
        </w:rPr>
        <w:t>Zpracoval: Autor.</w:t>
      </w:r>
    </w:p>
    <w:p w:rsidR="0065529C" w:rsidRPr="00805964" w:rsidRDefault="0065529C" w:rsidP="0029635A">
      <w:pPr>
        <w:spacing w:line="360" w:lineRule="auto"/>
        <w:contextualSpacing/>
        <w:jc w:val="both"/>
      </w:pPr>
    </w:p>
    <w:p w:rsidR="003961E8" w:rsidRPr="00805964" w:rsidRDefault="003961E8" w:rsidP="0029635A">
      <w:pPr>
        <w:spacing w:line="360" w:lineRule="auto"/>
        <w:contextualSpacing/>
        <w:jc w:val="both"/>
      </w:pPr>
    </w:p>
    <w:p w:rsidR="003961E8" w:rsidRPr="00805964" w:rsidRDefault="003961E8" w:rsidP="0029635A">
      <w:pPr>
        <w:spacing w:line="360" w:lineRule="auto"/>
        <w:contextualSpacing/>
        <w:jc w:val="both"/>
      </w:pPr>
    </w:p>
    <w:p w:rsidR="003961E8" w:rsidRPr="00805964" w:rsidRDefault="003961E8" w:rsidP="003961E8">
      <w:pPr>
        <w:spacing w:line="360" w:lineRule="auto"/>
        <w:contextualSpacing/>
        <w:jc w:val="center"/>
        <w:rPr>
          <w:b/>
          <w:sz w:val="22"/>
          <w:u w:val="single"/>
        </w:rPr>
      </w:pPr>
      <w:r w:rsidRPr="00805964">
        <w:rPr>
          <w:b/>
          <w:sz w:val="22"/>
          <w:u w:val="single"/>
        </w:rPr>
        <w:t>Tabulka č. 20: Třetí varianta pro období 2004</w:t>
      </w:r>
      <w:r w:rsidR="000713F0" w:rsidRPr="00805964">
        <w:rPr>
          <w:b/>
          <w:sz w:val="22"/>
          <w:u w:val="single"/>
        </w:rPr>
        <w:t>–</w:t>
      </w:r>
      <w:r w:rsidRPr="00805964">
        <w:rPr>
          <w:b/>
          <w:sz w:val="22"/>
          <w:u w:val="single"/>
        </w:rPr>
        <w:t>2006</w:t>
      </w:r>
    </w:p>
    <w:tbl>
      <w:tblPr>
        <w:tblStyle w:val="Mkatabulky"/>
        <w:tblpPr w:leftFromText="141" w:rightFromText="141" w:vertAnchor="text" w:horzAnchor="margin" w:tblpY="143"/>
        <w:tblW w:w="9288" w:type="dxa"/>
        <w:tblLook w:val="04A0"/>
      </w:tblPr>
      <w:tblGrid>
        <w:gridCol w:w="941"/>
        <w:gridCol w:w="1451"/>
        <w:gridCol w:w="1180"/>
        <w:gridCol w:w="1218"/>
        <w:gridCol w:w="1426"/>
        <w:gridCol w:w="1977"/>
        <w:gridCol w:w="1095"/>
      </w:tblGrid>
      <w:tr w:rsidR="0065529C" w:rsidRPr="00805964" w:rsidTr="00080504">
        <w:trPr>
          <w:trHeight w:val="763"/>
        </w:trPr>
        <w:tc>
          <w:tcPr>
            <w:tcW w:w="964" w:type="dxa"/>
            <w:vMerge w:val="restart"/>
            <w:textDirection w:val="btLr"/>
            <w:vAlign w:val="center"/>
          </w:tcPr>
          <w:p w:rsidR="0065529C" w:rsidRPr="00805964" w:rsidRDefault="0065529C" w:rsidP="000713F0">
            <w:pPr>
              <w:spacing w:line="360" w:lineRule="auto"/>
              <w:ind w:left="113" w:right="113"/>
              <w:contextualSpacing/>
              <w:jc w:val="center"/>
            </w:pPr>
            <w:r w:rsidRPr="00805964">
              <w:rPr>
                <w:b/>
                <w:u w:val="single"/>
              </w:rPr>
              <w:t>5. funkční období 2004</w:t>
            </w:r>
            <w:r w:rsidR="000713F0" w:rsidRPr="00805964">
              <w:rPr>
                <w:b/>
                <w:u w:val="single"/>
              </w:rPr>
              <w:t>–</w:t>
            </w:r>
            <w:r w:rsidRPr="00805964">
              <w:rPr>
                <w:b/>
                <w:u w:val="single"/>
              </w:rPr>
              <w:t>2006</w:t>
            </w:r>
          </w:p>
        </w:tc>
        <w:tc>
          <w:tcPr>
            <w:tcW w:w="1451" w:type="dxa"/>
            <w:vAlign w:val="center"/>
          </w:tcPr>
          <w:p w:rsidR="0065529C" w:rsidRPr="00805964" w:rsidRDefault="0065529C" w:rsidP="0029635A">
            <w:pPr>
              <w:spacing w:line="360" w:lineRule="auto"/>
              <w:contextualSpacing/>
              <w:jc w:val="center"/>
            </w:pPr>
          </w:p>
        </w:tc>
        <w:tc>
          <w:tcPr>
            <w:tcW w:w="1198" w:type="dxa"/>
            <w:vAlign w:val="center"/>
          </w:tcPr>
          <w:p w:rsidR="0065529C" w:rsidRPr="00805964" w:rsidRDefault="0065529C" w:rsidP="0029635A">
            <w:pPr>
              <w:spacing w:line="360" w:lineRule="auto"/>
              <w:contextualSpacing/>
              <w:jc w:val="center"/>
              <w:rPr>
                <w:b/>
                <w:u w:val="single"/>
              </w:rPr>
            </w:pPr>
            <w:r w:rsidRPr="00805964">
              <w:rPr>
                <w:b/>
                <w:u w:val="single"/>
              </w:rPr>
              <w:t>Celkem</w:t>
            </w:r>
          </w:p>
        </w:tc>
        <w:tc>
          <w:tcPr>
            <w:tcW w:w="1219" w:type="dxa"/>
            <w:vAlign w:val="center"/>
          </w:tcPr>
          <w:p w:rsidR="0065529C" w:rsidRPr="00805964" w:rsidRDefault="0065529C" w:rsidP="0029635A">
            <w:pPr>
              <w:spacing w:line="360" w:lineRule="auto"/>
              <w:contextualSpacing/>
              <w:jc w:val="center"/>
              <w:rPr>
                <w:b/>
                <w:u w:val="single"/>
              </w:rPr>
            </w:pPr>
            <w:r w:rsidRPr="00805964">
              <w:rPr>
                <w:b/>
                <w:u w:val="single"/>
              </w:rPr>
              <w:t>Sněmovna přehlasuje</w:t>
            </w:r>
          </w:p>
        </w:tc>
        <w:tc>
          <w:tcPr>
            <w:tcW w:w="1426" w:type="dxa"/>
            <w:vAlign w:val="center"/>
          </w:tcPr>
          <w:p w:rsidR="0065529C" w:rsidRPr="00805964" w:rsidRDefault="0065529C" w:rsidP="0029635A">
            <w:pPr>
              <w:spacing w:line="360" w:lineRule="auto"/>
              <w:contextualSpacing/>
              <w:jc w:val="center"/>
              <w:rPr>
                <w:b/>
                <w:u w:val="single"/>
              </w:rPr>
            </w:pPr>
            <w:r w:rsidRPr="00805964">
              <w:rPr>
                <w:b/>
                <w:u w:val="single"/>
              </w:rPr>
              <w:t>Sněmovna nepřehlasuje</w:t>
            </w:r>
          </w:p>
        </w:tc>
        <w:tc>
          <w:tcPr>
            <w:tcW w:w="1933" w:type="dxa"/>
            <w:vAlign w:val="center"/>
          </w:tcPr>
          <w:p w:rsidR="0065529C" w:rsidRPr="00805964" w:rsidRDefault="0065529C" w:rsidP="0029635A">
            <w:pPr>
              <w:spacing w:line="360" w:lineRule="auto"/>
              <w:contextualSpacing/>
              <w:jc w:val="center"/>
              <w:rPr>
                <w:b/>
                <w:u w:val="single"/>
              </w:rPr>
            </w:pPr>
            <w:r w:rsidRPr="00805964">
              <w:rPr>
                <w:b/>
                <w:u w:val="single"/>
              </w:rPr>
              <w:t>Poměrná efektivita</w:t>
            </w:r>
          </w:p>
        </w:tc>
        <w:tc>
          <w:tcPr>
            <w:tcW w:w="1097" w:type="dxa"/>
            <w:vAlign w:val="center"/>
          </w:tcPr>
          <w:p w:rsidR="0065529C" w:rsidRPr="00805964" w:rsidRDefault="0065529C" w:rsidP="0029635A">
            <w:pPr>
              <w:spacing w:line="360" w:lineRule="auto"/>
              <w:contextualSpacing/>
              <w:jc w:val="center"/>
              <w:rPr>
                <w:b/>
                <w:u w:val="single"/>
              </w:rPr>
            </w:pPr>
            <w:r w:rsidRPr="00805964">
              <w:rPr>
                <w:b/>
                <w:u w:val="single"/>
              </w:rPr>
              <w:t>Výsledek</w:t>
            </w:r>
          </w:p>
        </w:tc>
      </w:tr>
      <w:tr w:rsidR="0065529C" w:rsidRPr="00805964" w:rsidTr="00080504">
        <w:trPr>
          <w:cantSplit/>
          <w:trHeight w:val="763"/>
        </w:trPr>
        <w:tc>
          <w:tcPr>
            <w:tcW w:w="964" w:type="dxa"/>
            <w:vMerge/>
            <w:textDirection w:val="btLr"/>
          </w:tcPr>
          <w:p w:rsidR="0065529C" w:rsidRPr="00805964" w:rsidRDefault="0065529C" w:rsidP="0029635A">
            <w:pPr>
              <w:spacing w:line="360" w:lineRule="auto"/>
              <w:ind w:left="113" w:right="113"/>
              <w:contextualSpacing/>
              <w:jc w:val="both"/>
              <w:rPr>
                <w:b/>
                <w:u w:val="single"/>
              </w:rPr>
            </w:pPr>
          </w:p>
        </w:tc>
        <w:tc>
          <w:tcPr>
            <w:tcW w:w="1451" w:type="dxa"/>
            <w:vAlign w:val="center"/>
          </w:tcPr>
          <w:p w:rsidR="0065529C" w:rsidRPr="00805964" w:rsidRDefault="0065529C" w:rsidP="0029635A">
            <w:pPr>
              <w:spacing w:line="360" w:lineRule="auto"/>
              <w:contextualSpacing/>
              <w:jc w:val="center"/>
              <w:rPr>
                <w:b/>
                <w:u w:val="single"/>
              </w:rPr>
            </w:pPr>
            <w:r w:rsidRPr="00805964">
              <w:rPr>
                <w:b/>
                <w:u w:val="single"/>
              </w:rPr>
              <w:t>Pozměňovací návrhy</w:t>
            </w:r>
          </w:p>
        </w:tc>
        <w:tc>
          <w:tcPr>
            <w:tcW w:w="1198" w:type="dxa"/>
            <w:vAlign w:val="center"/>
          </w:tcPr>
          <w:p w:rsidR="0065529C" w:rsidRPr="00805964" w:rsidRDefault="00796BFE" w:rsidP="0029635A">
            <w:pPr>
              <w:spacing w:line="360" w:lineRule="auto"/>
              <w:contextualSpacing/>
              <w:jc w:val="center"/>
            </w:pPr>
            <w:r w:rsidRPr="00805964">
              <w:t>103</w:t>
            </w:r>
          </w:p>
        </w:tc>
        <w:tc>
          <w:tcPr>
            <w:tcW w:w="1219" w:type="dxa"/>
            <w:vAlign w:val="center"/>
          </w:tcPr>
          <w:p w:rsidR="0065529C" w:rsidRPr="00805964" w:rsidRDefault="00796BFE" w:rsidP="0029635A">
            <w:pPr>
              <w:spacing w:line="360" w:lineRule="auto"/>
              <w:contextualSpacing/>
              <w:jc w:val="center"/>
            </w:pPr>
            <w:r w:rsidRPr="00805964">
              <w:t>47</w:t>
            </w:r>
          </w:p>
        </w:tc>
        <w:tc>
          <w:tcPr>
            <w:tcW w:w="1426" w:type="dxa"/>
            <w:vAlign w:val="center"/>
          </w:tcPr>
          <w:p w:rsidR="0065529C" w:rsidRPr="00805964" w:rsidRDefault="00796BFE" w:rsidP="0029635A">
            <w:pPr>
              <w:spacing w:line="360" w:lineRule="auto"/>
              <w:contextualSpacing/>
              <w:jc w:val="center"/>
            </w:pPr>
            <w:r w:rsidRPr="00805964">
              <w:t>56</w:t>
            </w:r>
          </w:p>
        </w:tc>
        <w:tc>
          <w:tcPr>
            <w:tcW w:w="1933" w:type="dxa"/>
            <w:vAlign w:val="center"/>
          </w:tcPr>
          <w:p w:rsidR="0065529C"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56</m:t>
                    </m:r>
                  </m:num>
                  <m:den>
                    <m:r>
                      <m:rPr>
                        <m:sty m:val="p"/>
                      </m:rPr>
                      <w:rPr>
                        <w:rFonts w:ascii="Cambria Math" w:hAnsi="Cambria Math"/>
                      </w:rPr>
                      <m:t>56+47</m:t>
                    </m:r>
                  </m:den>
                </m:f>
              </m:oMath>
            </m:oMathPara>
          </w:p>
        </w:tc>
        <w:tc>
          <w:tcPr>
            <w:tcW w:w="1097" w:type="dxa"/>
            <w:vAlign w:val="center"/>
          </w:tcPr>
          <w:p w:rsidR="0065529C" w:rsidRPr="00805964" w:rsidRDefault="00796BFE" w:rsidP="0029635A">
            <w:pPr>
              <w:spacing w:line="360" w:lineRule="auto"/>
              <w:contextualSpacing/>
              <w:jc w:val="center"/>
              <w:rPr>
                <w:rFonts w:eastAsia="Calibri" w:cs="Times New Roman"/>
                <w:b/>
              </w:rPr>
            </w:pPr>
            <w:r w:rsidRPr="00805964">
              <w:rPr>
                <w:rFonts w:eastAsia="Calibri" w:cs="Times New Roman"/>
                <w:b/>
              </w:rPr>
              <w:t>54,36</w:t>
            </w:r>
            <w:r w:rsidR="0065529C" w:rsidRPr="00805964">
              <w:rPr>
                <w:rFonts w:eastAsia="Calibri" w:cs="Times New Roman"/>
                <w:b/>
              </w:rPr>
              <w:t xml:space="preserve"> %</w:t>
            </w:r>
          </w:p>
        </w:tc>
      </w:tr>
      <w:tr w:rsidR="0065529C" w:rsidRPr="00805964" w:rsidTr="00080504">
        <w:trPr>
          <w:trHeight w:val="763"/>
        </w:trPr>
        <w:tc>
          <w:tcPr>
            <w:tcW w:w="964" w:type="dxa"/>
            <w:vMerge/>
          </w:tcPr>
          <w:p w:rsidR="0065529C" w:rsidRPr="00805964" w:rsidRDefault="0065529C" w:rsidP="0029635A">
            <w:pPr>
              <w:spacing w:line="360" w:lineRule="auto"/>
              <w:contextualSpacing/>
              <w:jc w:val="both"/>
              <w:rPr>
                <w:b/>
                <w:u w:val="single"/>
              </w:rPr>
            </w:pPr>
          </w:p>
        </w:tc>
        <w:tc>
          <w:tcPr>
            <w:tcW w:w="1451" w:type="dxa"/>
            <w:tcBorders>
              <w:bottom w:val="single" w:sz="12" w:space="0" w:color="auto"/>
            </w:tcBorders>
            <w:vAlign w:val="center"/>
          </w:tcPr>
          <w:p w:rsidR="0065529C" w:rsidRPr="00805964" w:rsidRDefault="0065529C" w:rsidP="0029635A">
            <w:pPr>
              <w:spacing w:line="360" w:lineRule="auto"/>
              <w:contextualSpacing/>
              <w:jc w:val="center"/>
              <w:rPr>
                <w:b/>
                <w:u w:val="single"/>
              </w:rPr>
            </w:pPr>
            <w:r w:rsidRPr="00805964">
              <w:rPr>
                <w:b/>
                <w:u w:val="single"/>
              </w:rPr>
              <w:t>Zamítnutí</w:t>
            </w:r>
          </w:p>
        </w:tc>
        <w:tc>
          <w:tcPr>
            <w:tcW w:w="1198" w:type="dxa"/>
            <w:tcBorders>
              <w:bottom w:val="single" w:sz="12" w:space="0" w:color="auto"/>
            </w:tcBorders>
            <w:vAlign w:val="center"/>
          </w:tcPr>
          <w:p w:rsidR="0065529C" w:rsidRPr="00805964" w:rsidRDefault="00796BFE" w:rsidP="0029635A">
            <w:pPr>
              <w:spacing w:line="360" w:lineRule="auto"/>
              <w:contextualSpacing/>
              <w:jc w:val="center"/>
            </w:pPr>
            <w:r w:rsidRPr="00805964">
              <w:t>36</w:t>
            </w:r>
          </w:p>
        </w:tc>
        <w:tc>
          <w:tcPr>
            <w:tcW w:w="1219" w:type="dxa"/>
            <w:tcBorders>
              <w:bottom w:val="single" w:sz="12" w:space="0" w:color="auto"/>
            </w:tcBorders>
            <w:vAlign w:val="center"/>
          </w:tcPr>
          <w:p w:rsidR="0065529C" w:rsidRPr="00805964" w:rsidRDefault="00796BFE" w:rsidP="0029635A">
            <w:pPr>
              <w:spacing w:line="360" w:lineRule="auto"/>
              <w:contextualSpacing/>
              <w:jc w:val="center"/>
            </w:pPr>
            <w:r w:rsidRPr="00805964">
              <w:t>18</w:t>
            </w:r>
          </w:p>
        </w:tc>
        <w:tc>
          <w:tcPr>
            <w:tcW w:w="1426" w:type="dxa"/>
            <w:tcBorders>
              <w:bottom w:val="single" w:sz="12" w:space="0" w:color="auto"/>
            </w:tcBorders>
            <w:vAlign w:val="center"/>
          </w:tcPr>
          <w:p w:rsidR="0065529C" w:rsidRPr="00805964" w:rsidRDefault="00796BFE" w:rsidP="0029635A">
            <w:pPr>
              <w:spacing w:line="360" w:lineRule="auto"/>
              <w:contextualSpacing/>
              <w:jc w:val="center"/>
            </w:pPr>
            <w:r w:rsidRPr="00805964">
              <w:t>18</w:t>
            </w:r>
          </w:p>
        </w:tc>
        <w:tc>
          <w:tcPr>
            <w:tcW w:w="1933" w:type="dxa"/>
            <w:tcBorders>
              <w:bottom w:val="single" w:sz="12" w:space="0" w:color="auto"/>
            </w:tcBorders>
            <w:vAlign w:val="center"/>
          </w:tcPr>
          <w:p w:rsidR="0065529C"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18</m:t>
                    </m:r>
                  </m:num>
                  <m:den>
                    <m:r>
                      <m:rPr>
                        <m:sty m:val="p"/>
                      </m:rPr>
                      <w:rPr>
                        <w:rFonts w:ascii="Cambria Math" w:hAnsi="Cambria Math"/>
                      </w:rPr>
                      <m:t>18+18</m:t>
                    </m:r>
                  </m:den>
                </m:f>
              </m:oMath>
            </m:oMathPara>
          </w:p>
        </w:tc>
        <w:tc>
          <w:tcPr>
            <w:tcW w:w="1097" w:type="dxa"/>
            <w:tcBorders>
              <w:bottom w:val="single" w:sz="12" w:space="0" w:color="auto"/>
            </w:tcBorders>
            <w:vAlign w:val="center"/>
          </w:tcPr>
          <w:p w:rsidR="0065529C" w:rsidRPr="00805964" w:rsidRDefault="00796BFE" w:rsidP="0029635A">
            <w:pPr>
              <w:spacing w:line="360" w:lineRule="auto"/>
              <w:contextualSpacing/>
              <w:jc w:val="center"/>
              <w:rPr>
                <w:rFonts w:eastAsia="Calibri" w:cs="Times New Roman"/>
                <w:b/>
              </w:rPr>
            </w:pPr>
            <w:r w:rsidRPr="00805964">
              <w:rPr>
                <w:rFonts w:eastAsia="Calibri" w:cs="Times New Roman"/>
                <w:b/>
              </w:rPr>
              <w:t>50,00</w:t>
            </w:r>
            <w:r w:rsidR="0065529C" w:rsidRPr="00805964">
              <w:rPr>
                <w:rFonts w:eastAsia="Calibri" w:cs="Times New Roman"/>
                <w:b/>
              </w:rPr>
              <w:t xml:space="preserve"> %</w:t>
            </w:r>
          </w:p>
        </w:tc>
      </w:tr>
      <w:tr w:rsidR="0065529C" w:rsidRPr="00805964" w:rsidTr="00080504">
        <w:trPr>
          <w:trHeight w:val="763"/>
        </w:trPr>
        <w:tc>
          <w:tcPr>
            <w:tcW w:w="964" w:type="dxa"/>
            <w:vMerge/>
          </w:tcPr>
          <w:p w:rsidR="0065529C" w:rsidRPr="00805964" w:rsidRDefault="0065529C" w:rsidP="0029635A">
            <w:pPr>
              <w:spacing w:line="360" w:lineRule="auto"/>
              <w:contextualSpacing/>
              <w:jc w:val="both"/>
              <w:rPr>
                <w:b/>
                <w:u w:val="single"/>
              </w:rPr>
            </w:pPr>
          </w:p>
        </w:tc>
        <w:tc>
          <w:tcPr>
            <w:tcW w:w="1451" w:type="dxa"/>
            <w:tcBorders>
              <w:top w:val="single" w:sz="12" w:space="0" w:color="auto"/>
            </w:tcBorders>
            <w:vAlign w:val="center"/>
          </w:tcPr>
          <w:p w:rsidR="0065529C" w:rsidRPr="00805964" w:rsidRDefault="0065529C" w:rsidP="0029635A">
            <w:pPr>
              <w:spacing w:line="360" w:lineRule="auto"/>
              <w:contextualSpacing/>
              <w:jc w:val="center"/>
              <w:rPr>
                <w:b/>
                <w:u w:val="single"/>
              </w:rPr>
            </w:pPr>
            <w:r w:rsidRPr="00805964">
              <w:rPr>
                <w:b/>
                <w:u w:val="single"/>
              </w:rPr>
              <w:t>Celkem</w:t>
            </w:r>
          </w:p>
        </w:tc>
        <w:tc>
          <w:tcPr>
            <w:tcW w:w="1198" w:type="dxa"/>
            <w:tcBorders>
              <w:top w:val="single" w:sz="12" w:space="0" w:color="auto"/>
            </w:tcBorders>
            <w:vAlign w:val="center"/>
          </w:tcPr>
          <w:p w:rsidR="0065529C" w:rsidRPr="00805964" w:rsidRDefault="00796BFE" w:rsidP="0029635A">
            <w:pPr>
              <w:spacing w:line="360" w:lineRule="auto"/>
              <w:contextualSpacing/>
              <w:jc w:val="center"/>
            </w:pPr>
            <w:r w:rsidRPr="00805964">
              <w:t>139</w:t>
            </w:r>
          </w:p>
        </w:tc>
        <w:tc>
          <w:tcPr>
            <w:tcW w:w="1219" w:type="dxa"/>
            <w:tcBorders>
              <w:top w:val="single" w:sz="12" w:space="0" w:color="auto"/>
            </w:tcBorders>
            <w:vAlign w:val="center"/>
          </w:tcPr>
          <w:p w:rsidR="0065529C" w:rsidRPr="00805964" w:rsidRDefault="00796BFE" w:rsidP="0029635A">
            <w:pPr>
              <w:spacing w:line="360" w:lineRule="auto"/>
              <w:contextualSpacing/>
              <w:jc w:val="center"/>
            </w:pPr>
            <w:r w:rsidRPr="00805964">
              <w:t>65</w:t>
            </w:r>
          </w:p>
        </w:tc>
        <w:tc>
          <w:tcPr>
            <w:tcW w:w="1426" w:type="dxa"/>
            <w:tcBorders>
              <w:top w:val="single" w:sz="12" w:space="0" w:color="auto"/>
            </w:tcBorders>
            <w:vAlign w:val="center"/>
          </w:tcPr>
          <w:p w:rsidR="0065529C" w:rsidRPr="00805964" w:rsidRDefault="00796BFE" w:rsidP="0029635A">
            <w:pPr>
              <w:spacing w:line="360" w:lineRule="auto"/>
              <w:contextualSpacing/>
              <w:jc w:val="center"/>
            </w:pPr>
            <w:r w:rsidRPr="00805964">
              <w:t>74</w:t>
            </w:r>
          </w:p>
        </w:tc>
        <w:tc>
          <w:tcPr>
            <w:tcW w:w="1933" w:type="dxa"/>
            <w:tcBorders>
              <w:top w:val="single" w:sz="12" w:space="0" w:color="auto"/>
            </w:tcBorders>
            <w:vAlign w:val="center"/>
          </w:tcPr>
          <w:p w:rsidR="0065529C"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56+18</m:t>
                    </m:r>
                  </m:num>
                  <m:den>
                    <m:r>
                      <m:rPr>
                        <m:sty m:val="p"/>
                      </m:rPr>
                      <w:rPr>
                        <w:rFonts w:ascii="Cambria Math" w:hAnsi="Cambria Math"/>
                      </w:rPr>
                      <m:t>47+18+56+18</m:t>
                    </m:r>
                  </m:den>
                </m:f>
              </m:oMath>
            </m:oMathPara>
          </w:p>
        </w:tc>
        <w:tc>
          <w:tcPr>
            <w:tcW w:w="1097" w:type="dxa"/>
            <w:tcBorders>
              <w:top w:val="single" w:sz="12" w:space="0" w:color="auto"/>
            </w:tcBorders>
            <w:vAlign w:val="center"/>
          </w:tcPr>
          <w:p w:rsidR="0065529C" w:rsidRPr="00805964" w:rsidRDefault="00796BFE" w:rsidP="0029635A">
            <w:pPr>
              <w:spacing w:line="360" w:lineRule="auto"/>
              <w:contextualSpacing/>
              <w:jc w:val="center"/>
              <w:rPr>
                <w:rFonts w:eastAsia="Calibri" w:cs="Times New Roman"/>
                <w:b/>
              </w:rPr>
            </w:pPr>
            <w:r w:rsidRPr="00805964">
              <w:rPr>
                <w:rFonts w:eastAsia="Calibri" w:cs="Times New Roman"/>
                <w:b/>
              </w:rPr>
              <w:t>53,23</w:t>
            </w:r>
            <w:r w:rsidR="0065529C" w:rsidRPr="00805964">
              <w:rPr>
                <w:rFonts w:eastAsia="Calibri" w:cs="Times New Roman"/>
                <w:b/>
              </w:rPr>
              <w:t xml:space="preserve"> %</w:t>
            </w:r>
          </w:p>
        </w:tc>
      </w:tr>
    </w:tbl>
    <w:p w:rsidR="00265145" w:rsidRPr="00805964" w:rsidRDefault="00265145" w:rsidP="00265145">
      <w:pPr>
        <w:spacing w:line="360" w:lineRule="auto"/>
        <w:contextualSpacing/>
        <w:jc w:val="center"/>
        <w:rPr>
          <w:i/>
          <w:sz w:val="22"/>
        </w:rPr>
      </w:pPr>
      <w:r w:rsidRPr="00805964">
        <w:rPr>
          <w:i/>
          <w:sz w:val="22"/>
        </w:rPr>
        <w:t>Zpracoval: Autor.</w:t>
      </w:r>
    </w:p>
    <w:p w:rsidR="00F71FF3" w:rsidRPr="00805964" w:rsidRDefault="00F71FF3" w:rsidP="0029635A">
      <w:pPr>
        <w:spacing w:line="360" w:lineRule="auto"/>
        <w:contextualSpacing/>
        <w:jc w:val="both"/>
      </w:pPr>
    </w:p>
    <w:p w:rsidR="0065529C" w:rsidRPr="00805964" w:rsidRDefault="003961E8" w:rsidP="003961E8">
      <w:pPr>
        <w:spacing w:line="360" w:lineRule="auto"/>
        <w:contextualSpacing/>
        <w:jc w:val="center"/>
        <w:rPr>
          <w:b/>
          <w:sz w:val="22"/>
          <w:u w:val="single"/>
        </w:rPr>
      </w:pPr>
      <w:r w:rsidRPr="00805964">
        <w:rPr>
          <w:b/>
          <w:sz w:val="22"/>
          <w:u w:val="single"/>
        </w:rPr>
        <w:t>Tabulka č. 21: Čtvrtá varianta pro období 2004</w:t>
      </w:r>
      <w:r w:rsidR="000713F0" w:rsidRPr="00805964">
        <w:rPr>
          <w:b/>
          <w:sz w:val="22"/>
          <w:u w:val="single"/>
        </w:rPr>
        <w:t>–</w:t>
      </w:r>
      <w:r w:rsidRPr="00805964">
        <w:rPr>
          <w:b/>
          <w:sz w:val="22"/>
          <w:u w:val="single"/>
        </w:rPr>
        <w:t>2006</w:t>
      </w:r>
    </w:p>
    <w:tbl>
      <w:tblPr>
        <w:tblStyle w:val="Mkatabulky"/>
        <w:tblW w:w="0" w:type="auto"/>
        <w:jc w:val="center"/>
        <w:tblInd w:w="1384" w:type="dxa"/>
        <w:tblLook w:val="04A0"/>
      </w:tblPr>
      <w:tblGrid>
        <w:gridCol w:w="1121"/>
        <w:gridCol w:w="2816"/>
        <w:gridCol w:w="1308"/>
        <w:gridCol w:w="1389"/>
        <w:gridCol w:w="1269"/>
      </w:tblGrid>
      <w:tr w:rsidR="0065529C" w:rsidRPr="00805964" w:rsidTr="00080504">
        <w:trPr>
          <w:trHeight w:val="806"/>
          <w:jc w:val="center"/>
        </w:trPr>
        <w:tc>
          <w:tcPr>
            <w:tcW w:w="1121" w:type="dxa"/>
            <w:vMerge w:val="restart"/>
            <w:textDirection w:val="btLr"/>
          </w:tcPr>
          <w:p w:rsidR="0065529C" w:rsidRPr="00805964" w:rsidRDefault="000713F0" w:rsidP="000713F0">
            <w:pPr>
              <w:ind w:left="113" w:right="113"/>
              <w:contextualSpacing/>
              <w:jc w:val="center"/>
              <w:rPr>
                <w:sz w:val="36"/>
                <w:szCs w:val="36"/>
              </w:rPr>
            </w:pPr>
            <w:r w:rsidRPr="00805964">
              <w:rPr>
                <w:sz w:val="36"/>
                <w:szCs w:val="36"/>
              </w:rPr>
              <w:t>5. Funkční období</w:t>
            </w:r>
            <w:r w:rsidRPr="00805964">
              <w:rPr>
                <w:sz w:val="36"/>
                <w:szCs w:val="36"/>
              </w:rPr>
              <w:br/>
              <w:t>2004–</w:t>
            </w:r>
            <w:r w:rsidR="0065529C" w:rsidRPr="00805964">
              <w:rPr>
                <w:sz w:val="36"/>
                <w:szCs w:val="36"/>
              </w:rPr>
              <w:t>2006</w:t>
            </w:r>
          </w:p>
        </w:tc>
        <w:tc>
          <w:tcPr>
            <w:tcW w:w="2816" w:type="dxa"/>
            <w:vAlign w:val="center"/>
          </w:tcPr>
          <w:p w:rsidR="0065529C" w:rsidRPr="00805964" w:rsidRDefault="0065529C" w:rsidP="0029635A">
            <w:pPr>
              <w:contextualSpacing/>
              <w:jc w:val="center"/>
            </w:pPr>
          </w:p>
        </w:tc>
        <w:tc>
          <w:tcPr>
            <w:tcW w:w="1308" w:type="dxa"/>
            <w:vAlign w:val="center"/>
          </w:tcPr>
          <w:p w:rsidR="0065529C" w:rsidRPr="00805964" w:rsidRDefault="0065529C" w:rsidP="0029635A">
            <w:pPr>
              <w:contextualSpacing/>
              <w:jc w:val="center"/>
            </w:pPr>
            <w:r w:rsidRPr="00805964">
              <w:t>Bodové ohodnocení</w:t>
            </w:r>
          </w:p>
        </w:tc>
        <w:tc>
          <w:tcPr>
            <w:tcW w:w="1389" w:type="dxa"/>
            <w:vAlign w:val="center"/>
          </w:tcPr>
          <w:p w:rsidR="0065529C" w:rsidRPr="00805964" w:rsidRDefault="0065529C" w:rsidP="0029635A">
            <w:pPr>
              <w:contextualSpacing/>
              <w:jc w:val="center"/>
            </w:pPr>
            <w:r w:rsidRPr="00805964">
              <w:t>Počet případů</w:t>
            </w:r>
          </w:p>
        </w:tc>
        <w:tc>
          <w:tcPr>
            <w:tcW w:w="1269" w:type="dxa"/>
            <w:vAlign w:val="center"/>
          </w:tcPr>
          <w:p w:rsidR="0065529C" w:rsidRPr="00805964" w:rsidRDefault="0065529C" w:rsidP="0029635A">
            <w:pPr>
              <w:contextualSpacing/>
              <w:jc w:val="center"/>
              <w:rPr>
                <w:b/>
              </w:rPr>
            </w:pPr>
            <w:r w:rsidRPr="00805964">
              <w:rPr>
                <w:b/>
              </w:rPr>
              <w:t>Body celkem</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Zamítnutí ústavního zákona Senátem</w:t>
            </w:r>
          </w:p>
        </w:tc>
        <w:tc>
          <w:tcPr>
            <w:tcW w:w="1308" w:type="dxa"/>
            <w:vAlign w:val="center"/>
          </w:tcPr>
          <w:p w:rsidR="00C46069" w:rsidRPr="00805964" w:rsidRDefault="00C46069" w:rsidP="0029635A">
            <w:pPr>
              <w:contextualSpacing/>
              <w:jc w:val="center"/>
            </w:pPr>
            <w:r w:rsidRPr="00805964">
              <w:t>4</w:t>
            </w:r>
          </w:p>
        </w:tc>
        <w:tc>
          <w:tcPr>
            <w:tcW w:w="1389" w:type="dxa"/>
            <w:vAlign w:val="center"/>
          </w:tcPr>
          <w:p w:rsidR="00C46069" w:rsidRPr="00805964" w:rsidRDefault="00C46069" w:rsidP="0029635A">
            <w:pPr>
              <w:contextualSpacing/>
              <w:jc w:val="center"/>
            </w:pPr>
            <w:r w:rsidRPr="00805964">
              <w:t>2</w:t>
            </w:r>
          </w:p>
        </w:tc>
        <w:tc>
          <w:tcPr>
            <w:tcW w:w="1269" w:type="dxa"/>
            <w:vAlign w:val="center"/>
          </w:tcPr>
          <w:p w:rsidR="00C46069" w:rsidRPr="00805964" w:rsidRDefault="00C46069" w:rsidP="0029635A">
            <w:pPr>
              <w:contextualSpacing/>
              <w:jc w:val="center"/>
              <w:rPr>
                <w:b/>
              </w:rPr>
            </w:pPr>
            <w:r w:rsidRPr="00805964">
              <w:rPr>
                <w:b/>
              </w:rPr>
              <w:t>8</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ústavního zákona</w:t>
            </w:r>
            <w:r w:rsidRPr="00805964">
              <w:t xml:space="preserve"> </w:t>
            </w:r>
          </w:p>
        </w:tc>
        <w:tc>
          <w:tcPr>
            <w:tcW w:w="1308" w:type="dxa"/>
            <w:vAlign w:val="center"/>
          </w:tcPr>
          <w:p w:rsidR="00C46069" w:rsidRPr="00805964" w:rsidRDefault="00C46069" w:rsidP="0029635A">
            <w:pPr>
              <w:contextualSpacing/>
              <w:jc w:val="center"/>
            </w:pPr>
            <w:r w:rsidRPr="00805964">
              <w:t>2</w:t>
            </w:r>
          </w:p>
        </w:tc>
        <w:tc>
          <w:tcPr>
            <w:tcW w:w="1389" w:type="dxa"/>
            <w:vAlign w:val="center"/>
          </w:tcPr>
          <w:p w:rsidR="00C46069" w:rsidRPr="00805964" w:rsidRDefault="00C46069" w:rsidP="0029635A">
            <w:pPr>
              <w:contextualSpacing/>
              <w:jc w:val="center"/>
            </w:pPr>
            <w:r w:rsidRPr="00805964">
              <w:t>0</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Veto běžného zákona – úspěšné</w:t>
            </w:r>
          </w:p>
        </w:tc>
        <w:tc>
          <w:tcPr>
            <w:tcW w:w="1308" w:type="dxa"/>
            <w:vAlign w:val="center"/>
          </w:tcPr>
          <w:p w:rsidR="00C46069" w:rsidRPr="00805964" w:rsidRDefault="00C46069" w:rsidP="0029635A">
            <w:pPr>
              <w:contextualSpacing/>
              <w:jc w:val="center"/>
            </w:pPr>
            <w:r w:rsidRPr="00805964">
              <w:t>1</w:t>
            </w:r>
          </w:p>
        </w:tc>
        <w:tc>
          <w:tcPr>
            <w:tcW w:w="1389" w:type="dxa"/>
            <w:vAlign w:val="center"/>
          </w:tcPr>
          <w:p w:rsidR="00C46069" w:rsidRPr="00805964" w:rsidRDefault="00C46069" w:rsidP="0029635A">
            <w:pPr>
              <w:contextualSpacing/>
              <w:jc w:val="center"/>
            </w:pPr>
            <w:r w:rsidRPr="00805964">
              <w:t>18</w:t>
            </w:r>
          </w:p>
        </w:tc>
        <w:tc>
          <w:tcPr>
            <w:tcW w:w="1269" w:type="dxa"/>
            <w:vAlign w:val="center"/>
          </w:tcPr>
          <w:p w:rsidR="00C46069" w:rsidRPr="00805964" w:rsidRDefault="00C46069" w:rsidP="0029635A">
            <w:pPr>
              <w:contextualSpacing/>
              <w:jc w:val="center"/>
              <w:rPr>
                <w:b/>
              </w:rPr>
            </w:pPr>
            <w:r w:rsidRPr="00805964">
              <w:rPr>
                <w:b/>
              </w:rPr>
              <w:t>18</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Veto běžného zákona – přehlasování PS</w:t>
            </w:r>
          </w:p>
        </w:tc>
        <w:tc>
          <w:tcPr>
            <w:tcW w:w="1308" w:type="dxa"/>
            <w:vAlign w:val="center"/>
          </w:tcPr>
          <w:p w:rsidR="00C46069" w:rsidRPr="00805964" w:rsidRDefault="00C46069" w:rsidP="0029635A">
            <w:pPr>
              <w:contextualSpacing/>
              <w:jc w:val="center"/>
            </w:pPr>
            <w:r w:rsidRPr="00805964">
              <w:t>0</w:t>
            </w:r>
          </w:p>
        </w:tc>
        <w:tc>
          <w:tcPr>
            <w:tcW w:w="1389" w:type="dxa"/>
            <w:vAlign w:val="center"/>
          </w:tcPr>
          <w:p w:rsidR="00C46069" w:rsidRPr="00805964" w:rsidRDefault="00C46069" w:rsidP="0029635A">
            <w:pPr>
              <w:contextualSpacing/>
              <w:jc w:val="center"/>
            </w:pPr>
            <w:r w:rsidRPr="00805964">
              <w:t>18</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běžné legislativy - přehlasování PS</w:t>
            </w:r>
          </w:p>
        </w:tc>
        <w:tc>
          <w:tcPr>
            <w:tcW w:w="1308" w:type="dxa"/>
            <w:vAlign w:val="center"/>
          </w:tcPr>
          <w:p w:rsidR="00C46069" w:rsidRPr="00805964" w:rsidRDefault="00C46069" w:rsidP="0029635A">
            <w:pPr>
              <w:contextualSpacing/>
              <w:jc w:val="center"/>
            </w:pPr>
            <w:r w:rsidRPr="00805964">
              <w:t>0</w:t>
            </w:r>
          </w:p>
        </w:tc>
        <w:tc>
          <w:tcPr>
            <w:tcW w:w="1389" w:type="dxa"/>
            <w:vAlign w:val="center"/>
          </w:tcPr>
          <w:p w:rsidR="00C46069" w:rsidRPr="00805964" w:rsidRDefault="00C46069" w:rsidP="0029635A">
            <w:pPr>
              <w:contextualSpacing/>
              <w:jc w:val="center"/>
            </w:pPr>
            <w:r w:rsidRPr="00805964">
              <w:t>47</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běžné legislativy - přijato ve znění schváleném Senátem</w:t>
            </w:r>
          </w:p>
        </w:tc>
        <w:tc>
          <w:tcPr>
            <w:tcW w:w="1308" w:type="dxa"/>
            <w:vAlign w:val="center"/>
          </w:tcPr>
          <w:p w:rsidR="00C46069" w:rsidRPr="00805964" w:rsidRDefault="00C46069" w:rsidP="0029635A">
            <w:pPr>
              <w:contextualSpacing/>
              <w:jc w:val="center"/>
            </w:pPr>
            <w:r w:rsidRPr="00805964">
              <w:t>0,75</w:t>
            </w:r>
          </w:p>
        </w:tc>
        <w:tc>
          <w:tcPr>
            <w:tcW w:w="1389" w:type="dxa"/>
            <w:vAlign w:val="center"/>
          </w:tcPr>
          <w:p w:rsidR="00C46069" w:rsidRPr="00805964" w:rsidRDefault="00C46069" w:rsidP="0029635A">
            <w:pPr>
              <w:contextualSpacing/>
              <w:jc w:val="center"/>
            </w:pPr>
            <w:r w:rsidRPr="00805964">
              <w:t>56</w:t>
            </w:r>
          </w:p>
        </w:tc>
        <w:tc>
          <w:tcPr>
            <w:tcW w:w="1269" w:type="dxa"/>
            <w:vAlign w:val="center"/>
          </w:tcPr>
          <w:p w:rsidR="00C46069" w:rsidRPr="00805964" w:rsidRDefault="00C46069" w:rsidP="0029635A">
            <w:pPr>
              <w:contextualSpacing/>
              <w:jc w:val="center"/>
              <w:rPr>
                <w:b/>
              </w:rPr>
            </w:pPr>
            <w:r w:rsidRPr="00805964">
              <w:rPr>
                <w:b/>
              </w:rPr>
              <w:t>42</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Zamítnutí mezinárodní smlouvy</w:t>
            </w:r>
          </w:p>
        </w:tc>
        <w:tc>
          <w:tcPr>
            <w:tcW w:w="1308" w:type="dxa"/>
            <w:vAlign w:val="center"/>
          </w:tcPr>
          <w:p w:rsidR="00C46069" w:rsidRPr="00805964" w:rsidRDefault="00C46069" w:rsidP="0029635A">
            <w:pPr>
              <w:contextualSpacing/>
              <w:jc w:val="center"/>
            </w:pPr>
            <w:r w:rsidRPr="00805964">
              <w:t>2</w:t>
            </w:r>
          </w:p>
        </w:tc>
        <w:tc>
          <w:tcPr>
            <w:tcW w:w="1389" w:type="dxa"/>
            <w:vAlign w:val="center"/>
          </w:tcPr>
          <w:p w:rsidR="00C46069" w:rsidRPr="00805964" w:rsidRDefault="00C46069" w:rsidP="0029635A">
            <w:pPr>
              <w:contextualSpacing/>
              <w:jc w:val="center"/>
            </w:pPr>
            <w:r w:rsidRPr="00805964">
              <w:t>1</w:t>
            </w:r>
          </w:p>
        </w:tc>
        <w:tc>
          <w:tcPr>
            <w:tcW w:w="1269" w:type="dxa"/>
            <w:vAlign w:val="center"/>
          </w:tcPr>
          <w:p w:rsidR="00C46069" w:rsidRPr="00805964" w:rsidRDefault="00C46069" w:rsidP="0029635A">
            <w:pPr>
              <w:contextualSpacing/>
              <w:jc w:val="center"/>
              <w:rPr>
                <w:b/>
              </w:rPr>
            </w:pPr>
            <w:r w:rsidRPr="00805964">
              <w:rPr>
                <w:b/>
              </w:rPr>
              <w:t>2</w:t>
            </w:r>
          </w:p>
        </w:tc>
      </w:tr>
      <w:tr w:rsidR="0065529C" w:rsidRPr="00805964" w:rsidTr="00080504">
        <w:trPr>
          <w:trHeight w:val="806"/>
          <w:jc w:val="center"/>
        </w:trPr>
        <w:tc>
          <w:tcPr>
            <w:tcW w:w="1121" w:type="dxa"/>
            <w:vMerge/>
          </w:tcPr>
          <w:p w:rsidR="0065529C" w:rsidRPr="00805964" w:rsidRDefault="0065529C" w:rsidP="0029635A">
            <w:pPr>
              <w:contextualSpacing/>
              <w:jc w:val="center"/>
            </w:pPr>
          </w:p>
        </w:tc>
        <w:tc>
          <w:tcPr>
            <w:tcW w:w="2816" w:type="dxa"/>
            <w:vAlign w:val="center"/>
          </w:tcPr>
          <w:p w:rsidR="0065529C" w:rsidRPr="00805964" w:rsidRDefault="0065529C" w:rsidP="0029635A">
            <w:pPr>
              <w:contextualSpacing/>
              <w:jc w:val="center"/>
              <w:rPr>
                <w:b/>
              </w:rPr>
            </w:pPr>
            <w:r w:rsidRPr="00805964">
              <w:rPr>
                <w:b/>
              </w:rPr>
              <w:t>CELKEM</w:t>
            </w:r>
          </w:p>
        </w:tc>
        <w:tc>
          <w:tcPr>
            <w:tcW w:w="1308" w:type="dxa"/>
            <w:vAlign w:val="center"/>
          </w:tcPr>
          <w:p w:rsidR="0065529C" w:rsidRPr="00805964" w:rsidRDefault="0065529C" w:rsidP="0029635A">
            <w:pPr>
              <w:contextualSpacing/>
              <w:jc w:val="center"/>
              <w:rPr>
                <w:b/>
              </w:rPr>
            </w:pPr>
          </w:p>
        </w:tc>
        <w:tc>
          <w:tcPr>
            <w:tcW w:w="1389" w:type="dxa"/>
            <w:vAlign w:val="center"/>
          </w:tcPr>
          <w:p w:rsidR="0065529C" w:rsidRPr="00805964" w:rsidRDefault="00E41B6A" w:rsidP="0029635A">
            <w:pPr>
              <w:contextualSpacing/>
              <w:jc w:val="center"/>
              <w:rPr>
                <w:b/>
              </w:rPr>
            </w:pPr>
            <w:r w:rsidRPr="00805964">
              <w:rPr>
                <w:b/>
              </w:rPr>
              <w:t>142</w:t>
            </w:r>
          </w:p>
        </w:tc>
        <w:tc>
          <w:tcPr>
            <w:tcW w:w="1269" w:type="dxa"/>
            <w:vAlign w:val="center"/>
          </w:tcPr>
          <w:p w:rsidR="0065529C" w:rsidRPr="00805964" w:rsidRDefault="00E41B6A" w:rsidP="0029635A">
            <w:pPr>
              <w:contextualSpacing/>
              <w:jc w:val="center"/>
              <w:rPr>
                <w:b/>
              </w:rPr>
            </w:pPr>
            <w:r w:rsidRPr="00805964">
              <w:rPr>
                <w:b/>
              </w:rPr>
              <w:t>70</w:t>
            </w:r>
          </w:p>
        </w:tc>
      </w:tr>
    </w:tbl>
    <w:p w:rsidR="00265145" w:rsidRPr="00805964" w:rsidRDefault="00265145" w:rsidP="00265145">
      <w:pPr>
        <w:spacing w:line="360" w:lineRule="auto"/>
        <w:contextualSpacing/>
        <w:jc w:val="center"/>
        <w:rPr>
          <w:i/>
          <w:sz w:val="22"/>
        </w:rPr>
      </w:pPr>
      <w:r w:rsidRPr="00805964">
        <w:rPr>
          <w:i/>
          <w:sz w:val="22"/>
        </w:rPr>
        <w:t>Zpracoval: Autor.</w:t>
      </w:r>
    </w:p>
    <w:p w:rsidR="00A31107" w:rsidRPr="00805964" w:rsidRDefault="00A31107" w:rsidP="0029635A">
      <w:pPr>
        <w:spacing w:line="360" w:lineRule="auto"/>
        <w:contextualSpacing/>
        <w:jc w:val="both"/>
        <w:rPr>
          <w:u w:val="single"/>
        </w:rPr>
      </w:pPr>
    </w:p>
    <w:p w:rsidR="00475B6B" w:rsidRPr="00805964" w:rsidRDefault="00475B6B" w:rsidP="0029635A">
      <w:pPr>
        <w:spacing w:line="360" w:lineRule="auto"/>
        <w:contextualSpacing/>
        <w:jc w:val="both"/>
        <w:rPr>
          <w:u w:val="single"/>
        </w:rPr>
      </w:pPr>
    </w:p>
    <w:p w:rsidR="003961E8" w:rsidRPr="00805964" w:rsidRDefault="003961E8" w:rsidP="0029635A">
      <w:pPr>
        <w:spacing w:line="360" w:lineRule="auto"/>
        <w:contextualSpacing/>
        <w:jc w:val="both"/>
        <w:rPr>
          <w:u w:val="single"/>
        </w:rPr>
      </w:pPr>
    </w:p>
    <w:p w:rsidR="00126FD5" w:rsidRPr="00805964" w:rsidRDefault="00126FD5" w:rsidP="0029635A">
      <w:pPr>
        <w:spacing w:line="360" w:lineRule="auto"/>
        <w:contextualSpacing/>
        <w:jc w:val="both"/>
        <w:rPr>
          <w:szCs w:val="24"/>
          <w:u w:val="single"/>
        </w:rPr>
      </w:pPr>
      <w:r w:rsidRPr="00805964">
        <w:rPr>
          <w:u w:val="single"/>
        </w:rPr>
        <w:t>Výpočet vážené poměrné efektivity v této variantě je následující</w:t>
      </w:r>
      <w:r w:rsidRPr="00805964">
        <w:rPr>
          <w:szCs w:val="24"/>
          <w:u w:val="single"/>
        </w:rPr>
        <w:t>:</w:t>
      </w:r>
    </w:p>
    <w:p w:rsidR="00126FD5" w:rsidRPr="00805964" w:rsidRDefault="00126FD5" w:rsidP="0029635A">
      <w:pPr>
        <w:spacing w:line="360" w:lineRule="auto"/>
        <w:contextualSpacing/>
        <w:jc w:val="both"/>
      </w:pPr>
    </w:p>
    <w:p w:rsidR="00126FD5" w:rsidRPr="00805964" w:rsidRDefault="00EE58B6" w:rsidP="0029635A">
      <w:pPr>
        <w:spacing w:line="360" w:lineRule="auto"/>
        <w:contextualSpacing/>
        <w:jc w:val="both"/>
        <w:rPr>
          <w:szCs w:val="24"/>
        </w:rPr>
      </w:pPr>
      <m:oMathPara>
        <m:oMath>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2∙4</m:t>
                  </m:r>
                </m:e>
              </m:d>
              <m:r>
                <w:rPr>
                  <w:rFonts w:ascii="Cambria Math" w:hAnsi="Cambria Math"/>
                  <w:szCs w:val="24"/>
                </w:rPr>
                <m:t>+</m:t>
              </m:r>
              <m:d>
                <m:dPr>
                  <m:ctrlPr>
                    <w:rPr>
                      <w:rFonts w:ascii="Cambria Math" w:hAnsi="Cambria Math"/>
                      <w:i/>
                      <w:szCs w:val="24"/>
                    </w:rPr>
                  </m:ctrlPr>
                </m:dPr>
                <m:e>
                  <m:r>
                    <w:rPr>
                      <w:rFonts w:ascii="Cambria Math" w:hAnsi="Cambria Math"/>
                      <w:szCs w:val="24"/>
                    </w:rPr>
                    <m:t>0∙2</m:t>
                  </m:r>
                </m:e>
              </m:d>
              <m:r>
                <w:rPr>
                  <w:rFonts w:ascii="Cambria Math" w:hAnsi="Cambria Math"/>
                  <w:szCs w:val="24"/>
                </w:rPr>
                <m:t>+</m:t>
              </m:r>
              <m:d>
                <m:dPr>
                  <m:ctrlPr>
                    <w:rPr>
                      <w:rFonts w:ascii="Cambria Math" w:hAnsi="Cambria Math"/>
                      <w:i/>
                      <w:szCs w:val="24"/>
                    </w:rPr>
                  </m:ctrlPr>
                </m:dPr>
                <m:e>
                  <m:r>
                    <w:rPr>
                      <w:rFonts w:ascii="Cambria Math" w:hAnsi="Cambria Math"/>
                      <w:szCs w:val="24"/>
                    </w:rPr>
                    <m:t>18∙1</m:t>
                  </m:r>
                </m:e>
              </m:d>
              <m:r>
                <w:rPr>
                  <w:rFonts w:ascii="Cambria Math" w:hAnsi="Cambria Math"/>
                  <w:szCs w:val="24"/>
                </w:rPr>
                <m:t>+</m:t>
              </m:r>
              <m:d>
                <m:dPr>
                  <m:ctrlPr>
                    <w:rPr>
                      <w:rFonts w:ascii="Cambria Math" w:hAnsi="Cambria Math"/>
                      <w:i/>
                      <w:szCs w:val="24"/>
                    </w:rPr>
                  </m:ctrlPr>
                </m:dPr>
                <m:e>
                  <m:r>
                    <w:rPr>
                      <w:rFonts w:ascii="Cambria Math" w:hAnsi="Cambria Math"/>
                      <w:szCs w:val="24"/>
                    </w:rPr>
                    <m:t>18∙0</m:t>
                  </m:r>
                </m:e>
              </m:d>
              <m:r>
                <w:rPr>
                  <w:rFonts w:ascii="Cambria Math" w:hAnsi="Cambria Math"/>
                  <w:szCs w:val="24"/>
                </w:rPr>
                <m:t>+</m:t>
              </m:r>
              <m:d>
                <m:dPr>
                  <m:ctrlPr>
                    <w:rPr>
                      <w:rFonts w:ascii="Cambria Math" w:hAnsi="Cambria Math"/>
                      <w:i/>
                      <w:szCs w:val="24"/>
                    </w:rPr>
                  </m:ctrlPr>
                </m:dPr>
                <m:e>
                  <m:r>
                    <w:rPr>
                      <w:rFonts w:ascii="Cambria Math" w:hAnsi="Cambria Math"/>
                      <w:szCs w:val="24"/>
                    </w:rPr>
                    <m:t>47∙0</m:t>
                  </m:r>
                </m:e>
              </m:d>
              <m:r>
                <w:rPr>
                  <w:rFonts w:ascii="Cambria Math" w:hAnsi="Cambria Math"/>
                  <w:szCs w:val="24"/>
                </w:rPr>
                <m:t>+</m:t>
              </m:r>
              <m:d>
                <m:dPr>
                  <m:ctrlPr>
                    <w:rPr>
                      <w:rFonts w:ascii="Cambria Math" w:hAnsi="Cambria Math"/>
                      <w:i/>
                      <w:szCs w:val="24"/>
                    </w:rPr>
                  </m:ctrlPr>
                </m:dPr>
                <m:e>
                  <m:r>
                    <w:rPr>
                      <w:rFonts w:ascii="Cambria Math" w:hAnsi="Cambria Math"/>
                      <w:szCs w:val="24"/>
                    </w:rPr>
                    <m:t>56∙0,75</m:t>
                  </m:r>
                </m:e>
              </m:d>
              <m:r>
                <w:rPr>
                  <w:rFonts w:ascii="Cambria Math" w:hAnsi="Cambria Math"/>
                  <w:szCs w:val="24"/>
                </w:rPr>
                <m:t>+</m:t>
              </m:r>
              <m:d>
                <m:dPr>
                  <m:ctrlPr>
                    <w:rPr>
                      <w:rFonts w:ascii="Cambria Math" w:hAnsi="Cambria Math"/>
                      <w:i/>
                      <w:szCs w:val="24"/>
                    </w:rPr>
                  </m:ctrlPr>
                </m:dPr>
                <m:e>
                  <m:r>
                    <w:rPr>
                      <w:rFonts w:ascii="Cambria Math" w:hAnsi="Cambria Math"/>
                      <w:szCs w:val="24"/>
                    </w:rPr>
                    <m:t>1∙2</m:t>
                  </m:r>
                </m:e>
              </m:d>
            </m:num>
            <m:den>
              <m:d>
                <m:dPr>
                  <m:ctrlPr>
                    <w:rPr>
                      <w:rFonts w:ascii="Cambria Math" w:hAnsi="Cambria Math"/>
                      <w:i/>
                      <w:szCs w:val="24"/>
                    </w:rPr>
                  </m:ctrlPr>
                </m:dPr>
                <m:e>
                  <m:r>
                    <w:rPr>
                      <w:rFonts w:ascii="Cambria Math" w:hAnsi="Cambria Math"/>
                      <w:szCs w:val="24"/>
                    </w:rPr>
                    <m:t>2∙4</m:t>
                  </m:r>
                </m:e>
              </m:d>
              <m:r>
                <w:rPr>
                  <w:rFonts w:ascii="Cambria Math" w:hAnsi="Cambria Math"/>
                  <w:szCs w:val="24"/>
                </w:rPr>
                <m:t>+</m:t>
              </m:r>
              <m:d>
                <m:dPr>
                  <m:ctrlPr>
                    <w:rPr>
                      <w:rFonts w:ascii="Cambria Math" w:hAnsi="Cambria Math"/>
                      <w:i/>
                      <w:szCs w:val="24"/>
                    </w:rPr>
                  </m:ctrlPr>
                </m:dPr>
                <m:e>
                  <m:r>
                    <w:rPr>
                      <w:rFonts w:ascii="Cambria Math" w:hAnsi="Cambria Math"/>
                      <w:szCs w:val="24"/>
                    </w:rPr>
                    <m:t>0∙2</m:t>
                  </m:r>
                </m:e>
              </m:d>
              <m:r>
                <w:rPr>
                  <w:rFonts w:ascii="Cambria Math" w:hAnsi="Cambria Math"/>
                  <w:szCs w:val="24"/>
                </w:rPr>
                <m:t>+</m:t>
              </m:r>
              <m:d>
                <m:dPr>
                  <m:ctrlPr>
                    <w:rPr>
                      <w:rFonts w:ascii="Cambria Math" w:hAnsi="Cambria Math"/>
                      <w:i/>
                      <w:szCs w:val="24"/>
                    </w:rPr>
                  </m:ctrlPr>
                </m:dPr>
                <m:e>
                  <m:r>
                    <w:rPr>
                      <w:rFonts w:ascii="Cambria Math" w:hAnsi="Cambria Math"/>
                      <w:szCs w:val="24"/>
                    </w:rPr>
                    <m:t>18+18</m:t>
                  </m:r>
                </m:e>
              </m:d>
              <m:r>
                <w:rPr>
                  <w:rFonts w:ascii="Cambria Math" w:hAnsi="Cambria Math"/>
                  <w:szCs w:val="24"/>
                </w:rPr>
                <m:t>∙1+</m:t>
              </m:r>
              <m:d>
                <m:dPr>
                  <m:ctrlPr>
                    <w:rPr>
                      <w:rFonts w:ascii="Cambria Math" w:hAnsi="Cambria Math"/>
                      <w:i/>
                      <w:szCs w:val="24"/>
                    </w:rPr>
                  </m:ctrlPr>
                </m:dPr>
                <m:e>
                  <m:r>
                    <w:rPr>
                      <w:rFonts w:ascii="Cambria Math" w:hAnsi="Cambria Math"/>
                      <w:szCs w:val="24"/>
                    </w:rPr>
                    <m:t>47+56</m:t>
                  </m:r>
                </m:e>
              </m:d>
              <m:r>
                <w:rPr>
                  <w:rFonts w:ascii="Cambria Math" w:hAnsi="Cambria Math"/>
                  <w:szCs w:val="24"/>
                </w:rPr>
                <m:t>∙0,75+</m:t>
              </m:r>
              <m:d>
                <m:dPr>
                  <m:ctrlPr>
                    <w:rPr>
                      <w:rFonts w:ascii="Cambria Math" w:hAnsi="Cambria Math"/>
                      <w:i/>
                      <w:szCs w:val="24"/>
                    </w:rPr>
                  </m:ctrlPr>
                </m:dPr>
                <m:e>
                  <m:r>
                    <w:rPr>
                      <w:rFonts w:ascii="Cambria Math" w:hAnsi="Cambria Math"/>
                      <w:szCs w:val="24"/>
                    </w:rPr>
                    <m:t>1∙2</m:t>
                  </m:r>
                </m:e>
              </m:d>
            </m:den>
          </m:f>
        </m:oMath>
      </m:oMathPara>
    </w:p>
    <w:p w:rsidR="00126FD5" w:rsidRPr="00805964" w:rsidRDefault="00126FD5" w:rsidP="0029635A">
      <w:pPr>
        <w:spacing w:line="360" w:lineRule="auto"/>
        <w:contextualSpacing/>
        <w:jc w:val="both"/>
        <w:rPr>
          <w:rFonts w:eastAsiaTheme="minorEastAsia"/>
          <w:szCs w:val="24"/>
        </w:rPr>
      </w:pPr>
    </w:p>
    <w:p w:rsidR="00126FD5" w:rsidRPr="00805964" w:rsidRDefault="00126FD5" w:rsidP="0029635A">
      <w:pPr>
        <w:spacing w:line="360" w:lineRule="auto"/>
        <w:contextualSpacing/>
        <w:jc w:val="both"/>
        <w:rPr>
          <w:b/>
          <w:i/>
          <w:szCs w:val="24"/>
        </w:rPr>
      </w:pPr>
      <m:oMathPara>
        <m:oMath>
          <m:r>
            <w:rPr>
              <w:rFonts w:ascii="Cambria Math" w:hAnsi="Cambria Math"/>
              <w:szCs w:val="24"/>
            </w:rPr>
            <m:t>=</m:t>
          </m:r>
          <m:f>
            <m:fPr>
              <m:ctrlPr>
                <w:rPr>
                  <w:rFonts w:ascii="Cambria Math" w:hAnsi="Cambria Math"/>
                  <w:i/>
                  <w:szCs w:val="24"/>
                </w:rPr>
              </m:ctrlPr>
            </m:fPr>
            <m:num>
              <m:r>
                <w:rPr>
                  <w:rFonts w:ascii="Cambria Math" w:hAnsi="Cambria Math"/>
                  <w:szCs w:val="24"/>
                </w:rPr>
                <m:t>8+0+18+0+0+42+2</m:t>
              </m:r>
            </m:num>
            <m:den>
              <m:r>
                <w:rPr>
                  <w:rFonts w:ascii="Cambria Math" w:hAnsi="Cambria Math"/>
                  <w:szCs w:val="24"/>
                </w:rPr>
                <m:t>8+0+36+77,25+2</m:t>
              </m:r>
            </m:den>
          </m:f>
          <m:r>
            <w:rPr>
              <w:rFonts w:ascii="Cambria Math" w:hAnsi="Cambria Math"/>
              <w:szCs w:val="24"/>
            </w:rPr>
            <m:t>=</m:t>
          </m:r>
          <m:f>
            <m:fPr>
              <m:ctrlPr>
                <w:rPr>
                  <w:rFonts w:ascii="Cambria Math" w:hAnsi="Cambria Math"/>
                  <w:i/>
                  <w:szCs w:val="24"/>
                </w:rPr>
              </m:ctrlPr>
            </m:fPr>
            <m:num>
              <m:r>
                <w:rPr>
                  <w:rFonts w:ascii="Cambria Math" w:hAnsi="Cambria Math"/>
                  <w:szCs w:val="24"/>
                </w:rPr>
                <m:t>70</m:t>
              </m:r>
            </m:num>
            <m:den>
              <m:r>
                <w:rPr>
                  <w:rFonts w:ascii="Cambria Math" w:hAnsi="Cambria Math"/>
                  <w:szCs w:val="24"/>
                </w:rPr>
                <m:t>123,25</m:t>
              </m:r>
            </m:den>
          </m:f>
          <m:r>
            <w:rPr>
              <w:rFonts w:ascii="Cambria Math" w:hAnsi="Cambria Math"/>
              <w:szCs w:val="24"/>
            </w:rPr>
            <m:t>=</m:t>
          </m:r>
          <m:r>
            <m:rPr>
              <m:sty m:val="bi"/>
            </m:rPr>
            <w:rPr>
              <w:rFonts w:ascii="Cambria Math" w:hAnsi="Cambria Math"/>
              <w:szCs w:val="24"/>
            </w:rPr>
            <m:t>56,79 %</m:t>
          </m:r>
        </m:oMath>
      </m:oMathPara>
    </w:p>
    <w:p w:rsidR="0065529C" w:rsidRPr="00805964" w:rsidRDefault="0065529C" w:rsidP="0029635A">
      <w:pPr>
        <w:spacing w:line="360" w:lineRule="auto"/>
        <w:contextualSpacing/>
        <w:jc w:val="both"/>
      </w:pPr>
    </w:p>
    <w:p w:rsidR="00F71FF3" w:rsidRPr="00805964" w:rsidRDefault="000266FA" w:rsidP="0029635A">
      <w:pPr>
        <w:spacing w:line="360" w:lineRule="auto"/>
        <w:contextualSpacing/>
        <w:jc w:val="both"/>
      </w:pPr>
      <w:r>
        <w:tab/>
        <w:t>V pátém funkčním období</w:t>
      </w:r>
      <w:r w:rsidR="00A31107" w:rsidRPr="00805964">
        <w:t xml:space="preserve"> obdržel Senát v první variantě měření 395 bodů</w:t>
      </w:r>
      <w:r>
        <w:t>,</w:t>
      </w:r>
      <w:r w:rsidR="00A31107" w:rsidRPr="00805964">
        <w:t xml:space="preserve"> a to </w:t>
      </w:r>
      <w:r w:rsidR="00DC2678">
        <w:t>z </w:t>
      </w:r>
      <w:r w:rsidR="00A31107" w:rsidRPr="00805964">
        <w:t>celkových 241 případů. V rámci výpočtu varianty číslo dvě je výsledná hodnota oproti předešlým měřením poměrně vysoká</w:t>
      </w:r>
      <w:r>
        <w:t>,</w:t>
      </w:r>
      <w:r w:rsidR="00A31107" w:rsidRPr="00805964">
        <w:t xml:space="preserve"> a sice 1,63 bodu. Ve třetí variantě Senát dosáhl úspěšnosti 53,23 % a u čtvrté varianty byla hodnota změřena na 56,79 %</w:t>
      </w:r>
      <w:r w:rsidR="00103F11" w:rsidRPr="00805964">
        <w:t>.</w:t>
      </w:r>
    </w:p>
    <w:p w:rsidR="00475B6B" w:rsidRPr="00805964" w:rsidRDefault="00475B6B" w:rsidP="0029635A">
      <w:pPr>
        <w:spacing w:line="360" w:lineRule="auto"/>
        <w:contextualSpacing/>
        <w:jc w:val="both"/>
      </w:pPr>
    </w:p>
    <w:p w:rsidR="00080504" w:rsidRPr="00805964" w:rsidRDefault="00EE19CE" w:rsidP="0029635A">
      <w:pPr>
        <w:pStyle w:val="Nadpis3"/>
        <w:contextualSpacing/>
      </w:pPr>
      <w:bookmarkStart w:id="30" w:name="_Toc359918296"/>
      <w:r w:rsidRPr="00805964">
        <w:t>3. 3. 4 Období 2008–</w:t>
      </w:r>
      <w:r w:rsidR="00080504" w:rsidRPr="00805964">
        <w:t>2010</w:t>
      </w:r>
      <w:bookmarkEnd w:id="30"/>
    </w:p>
    <w:p w:rsidR="00A31107" w:rsidRPr="00805964" w:rsidRDefault="00A31107" w:rsidP="00A31107"/>
    <w:p w:rsidR="00A31107" w:rsidRPr="00805964" w:rsidRDefault="00A31107" w:rsidP="00A31107">
      <w:pPr>
        <w:spacing w:line="360" w:lineRule="auto"/>
        <w:jc w:val="both"/>
      </w:pPr>
      <w:r w:rsidRPr="00805964">
        <w:tab/>
        <w:t>Poslední námi analyzované období, je sedmé funkční období S</w:t>
      </w:r>
      <w:r w:rsidR="000713F0" w:rsidRPr="00805964">
        <w:t xml:space="preserve">enátu probíhající </w:t>
      </w:r>
      <w:r w:rsidR="00DC2678">
        <w:t>v </w:t>
      </w:r>
      <w:r w:rsidR="000713F0" w:rsidRPr="00805964">
        <w:t>letech 2008–</w:t>
      </w:r>
      <w:r w:rsidRPr="00805964">
        <w:t>2010. Horní komora byla v tomto období opět převážně pravicová, kdy</w:t>
      </w:r>
      <w:r w:rsidR="004E5460" w:rsidRPr="00805964">
        <w:t>ž zde ODS měla 35 senátorů, KDU–</w:t>
      </w:r>
      <w:r w:rsidRPr="00805964">
        <w:t xml:space="preserve">ČSL sedm senátorů a Strana zelených jednoho senátora. ČSSD byla reprezentována 29 senátory a KSČM třemi senátory. Šest senátorů </w:t>
      </w:r>
      <w:r w:rsidR="00BD0DCB" w:rsidRPr="00805964">
        <w:t>bylo nezávislých či nestraníků.</w:t>
      </w:r>
      <w:r w:rsidRPr="00805964">
        <w:rPr>
          <w:rStyle w:val="Znakapoznpodarou"/>
        </w:rPr>
        <w:footnoteReference w:id="96"/>
      </w:r>
      <w:r w:rsidR="00BD0DCB" w:rsidRPr="00805964">
        <w:t xml:space="preserve"> Složení Poslanecké sněmovny v tomto období již bylo popsáno v rámci šestého funkčního období, jelikož volby do PS se standardně konají každé čtyři roky. Opět toto období tedy považujeme za období stejných většin v obou komorách Parlamentu.</w:t>
      </w:r>
    </w:p>
    <w:p w:rsidR="0065529C" w:rsidRPr="00805964" w:rsidRDefault="0065529C" w:rsidP="00A31107">
      <w:pPr>
        <w:spacing w:line="360" w:lineRule="auto"/>
        <w:contextualSpacing/>
        <w:jc w:val="both"/>
      </w:pPr>
    </w:p>
    <w:p w:rsidR="00475B6B" w:rsidRPr="00805964" w:rsidRDefault="00475B6B" w:rsidP="00A31107">
      <w:pPr>
        <w:spacing w:line="360" w:lineRule="auto"/>
        <w:contextualSpacing/>
        <w:jc w:val="both"/>
      </w:pPr>
    </w:p>
    <w:p w:rsidR="00475B6B" w:rsidRPr="00805964" w:rsidRDefault="00475B6B" w:rsidP="00A31107">
      <w:pPr>
        <w:spacing w:line="360" w:lineRule="auto"/>
        <w:contextualSpacing/>
        <w:jc w:val="both"/>
      </w:pPr>
    </w:p>
    <w:p w:rsidR="00475B6B" w:rsidRPr="00805964" w:rsidRDefault="00475B6B" w:rsidP="00A31107">
      <w:pPr>
        <w:spacing w:line="360" w:lineRule="auto"/>
        <w:contextualSpacing/>
        <w:jc w:val="both"/>
      </w:pPr>
    </w:p>
    <w:p w:rsidR="00475B6B" w:rsidRPr="00805964" w:rsidRDefault="00475B6B" w:rsidP="00A31107">
      <w:pPr>
        <w:spacing w:line="360" w:lineRule="auto"/>
        <w:contextualSpacing/>
        <w:jc w:val="both"/>
      </w:pPr>
    </w:p>
    <w:p w:rsidR="00215DCF" w:rsidRPr="00805964" w:rsidRDefault="00215DCF" w:rsidP="00A31107">
      <w:pPr>
        <w:spacing w:line="360" w:lineRule="auto"/>
        <w:contextualSpacing/>
        <w:jc w:val="both"/>
      </w:pPr>
    </w:p>
    <w:p w:rsidR="00233CB5" w:rsidRPr="00805964" w:rsidRDefault="00233CB5" w:rsidP="00A31107">
      <w:pPr>
        <w:spacing w:line="360" w:lineRule="auto"/>
        <w:contextualSpacing/>
        <w:jc w:val="both"/>
      </w:pPr>
    </w:p>
    <w:p w:rsidR="00475B6B" w:rsidRPr="00805964" w:rsidRDefault="00475B6B" w:rsidP="00A31107">
      <w:pPr>
        <w:spacing w:line="360" w:lineRule="auto"/>
        <w:contextualSpacing/>
        <w:jc w:val="both"/>
      </w:pPr>
    </w:p>
    <w:p w:rsidR="003961E8" w:rsidRPr="00805964" w:rsidRDefault="003961E8" w:rsidP="003961E8">
      <w:pPr>
        <w:spacing w:line="360" w:lineRule="auto"/>
        <w:contextualSpacing/>
        <w:jc w:val="center"/>
      </w:pPr>
      <w:r w:rsidRPr="00805964">
        <w:rPr>
          <w:b/>
          <w:sz w:val="22"/>
          <w:u w:val="single"/>
        </w:rPr>
        <w:lastRenderedPageBreak/>
        <w:t>Tabulka č. 22:</w:t>
      </w:r>
      <w:r w:rsidR="000713F0" w:rsidRPr="00805964">
        <w:rPr>
          <w:b/>
          <w:sz w:val="22"/>
          <w:u w:val="single"/>
        </w:rPr>
        <w:t xml:space="preserve"> První varianta pro období 2008–</w:t>
      </w:r>
      <w:r w:rsidRPr="00805964">
        <w:rPr>
          <w:b/>
          <w:sz w:val="22"/>
          <w:u w:val="single"/>
        </w:rPr>
        <w:t>2010</w:t>
      </w:r>
    </w:p>
    <w:tbl>
      <w:tblPr>
        <w:tblStyle w:val="Mkatabulky"/>
        <w:tblW w:w="0" w:type="auto"/>
        <w:tblLook w:val="04A0"/>
      </w:tblPr>
      <w:tblGrid>
        <w:gridCol w:w="3070"/>
        <w:gridCol w:w="3070"/>
        <w:gridCol w:w="3071"/>
      </w:tblGrid>
      <w:tr w:rsidR="0065529C" w:rsidRPr="00805964" w:rsidTr="00080504">
        <w:tc>
          <w:tcPr>
            <w:tcW w:w="3070" w:type="dxa"/>
          </w:tcPr>
          <w:p w:rsidR="0065529C" w:rsidRPr="00805964" w:rsidRDefault="0065529C" w:rsidP="0029635A">
            <w:pPr>
              <w:spacing w:line="360" w:lineRule="auto"/>
              <w:contextualSpacing/>
              <w:jc w:val="both"/>
            </w:pPr>
          </w:p>
        </w:tc>
        <w:tc>
          <w:tcPr>
            <w:tcW w:w="3070" w:type="dxa"/>
          </w:tcPr>
          <w:p w:rsidR="0065529C" w:rsidRPr="00805964" w:rsidRDefault="0065529C" w:rsidP="0029635A">
            <w:pPr>
              <w:spacing w:line="360" w:lineRule="auto"/>
              <w:contextualSpacing/>
              <w:jc w:val="center"/>
              <w:rPr>
                <w:b/>
              </w:rPr>
            </w:pPr>
            <w:r w:rsidRPr="00805964">
              <w:rPr>
                <w:b/>
              </w:rPr>
              <w:t>počet případů</w:t>
            </w:r>
          </w:p>
        </w:tc>
        <w:tc>
          <w:tcPr>
            <w:tcW w:w="3071" w:type="dxa"/>
          </w:tcPr>
          <w:p w:rsidR="0065529C" w:rsidRPr="00805964" w:rsidRDefault="0065529C" w:rsidP="0029635A">
            <w:pPr>
              <w:spacing w:line="360" w:lineRule="auto"/>
              <w:contextualSpacing/>
              <w:jc w:val="center"/>
              <w:rPr>
                <w:b/>
              </w:rPr>
            </w:pPr>
            <w:r w:rsidRPr="00805964">
              <w:rPr>
                <w:b/>
              </w:rPr>
              <w:t>bodové ohodnocení</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 schválil v původním znění (1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134</w:t>
            </w:r>
          </w:p>
        </w:tc>
        <w:tc>
          <w:tcPr>
            <w:tcW w:w="3071" w:type="dxa"/>
            <w:vAlign w:val="center"/>
          </w:tcPr>
          <w:p w:rsidR="00C46069" w:rsidRPr="00805964" w:rsidRDefault="00C46069" w:rsidP="0029635A">
            <w:pPr>
              <w:spacing w:line="360" w:lineRule="auto"/>
              <w:contextualSpacing/>
              <w:jc w:val="center"/>
            </w:pPr>
            <w:r w:rsidRPr="00805964">
              <w:t>134</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Senátní pozměňovací návrh – prošel (3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15</w:t>
            </w:r>
          </w:p>
        </w:tc>
        <w:tc>
          <w:tcPr>
            <w:tcW w:w="3071" w:type="dxa"/>
            <w:vAlign w:val="center"/>
          </w:tcPr>
          <w:p w:rsidR="00C46069" w:rsidRPr="00805964" w:rsidRDefault="00C46069" w:rsidP="0029635A">
            <w:pPr>
              <w:spacing w:line="360" w:lineRule="auto"/>
              <w:contextualSpacing/>
              <w:jc w:val="center"/>
            </w:pPr>
            <w:r w:rsidRPr="00805964">
              <w:t>45</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Senátní pozměňovací návrh – neprošel (2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9</w:t>
            </w:r>
          </w:p>
        </w:tc>
        <w:tc>
          <w:tcPr>
            <w:tcW w:w="3071" w:type="dxa"/>
            <w:vAlign w:val="center"/>
          </w:tcPr>
          <w:p w:rsidR="00C46069" w:rsidRPr="00805964" w:rsidRDefault="00C46069" w:rsidP="0029635A">
            <w:pPr>
              <w:spacing w:line="360" w:lineRule="auto"/>
              <w:contextualSpacing/>
              <w:jc w:val="center"/>
            </w:pPr>
            <w:r w:rsidRPr="00805964">
              <w:t>18</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 zamítl návrh zákona – PS přehlasovala (1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5</w:t>
            </w:r>
          </w:p>
        </w:tc>
        <w:tc>
          <w:tcPr>
            <w:tcW w:w="3071" w:type="dxa"/>
            <w:vAlign w:val="center"/>
          </w:tcPr>
          <w:p w:rsidR="00C46069" w:rsidRPr="00805964" w:rsidRDefault="00C46069" w:rsidP="0029635A">
            <w:pPr>
              <w:spacing w:line="360" w:lineRule="auto"/>
              <w:contextualSpacing/>
              <w:jc w:val="center"/>
            </w:pPr>
            <w:r w:rsidRPr="00805964">
              <w:t>5</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 zamítl návrh zákona – PS nepřehlasovala (3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3</w:t>
            </w:r>
          </w:p>
        </w:tc>
        <w:tc>
          <w:tcPr>
            <w:tcW w:w="3071" w:type="dxa"/>
            <w:vAlign w:val="center"/>
          </w:tcPr>
          <w:p w:rsidR="00C46069" w:rsidRPr="00805964" w:rsidRDefault="00C46069" w:rsidP="0029635A">
            <w:pPr>
              <w:spacing w:line="360" w:lineRule="auto"/>
              <w:contextualSpacing/>
              <w:jc w:val="center"/>
            </w:pPr>
            <w:r w:rsidRPr="00805964">
              <w:t>9</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Senát se návrhem nezabýval</w:t>
            </w:r>
            <w:r w:rsidRPr="00805964">
              <w:br/>
              <w:t xml:space="preserve">(0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6</w:t>
            </w:r>
          </w:p>
        </w:tc>
        <w:tc>
          <w:tcPr>
            <w:tcW w:w="3071" w:type="dxa"/>
            <w:vAlign w:val="center"/>
          </w:tcPr>
          <w:p w:rsidR="00C46069" w:rsidRPr="00805964" w:rsidRDefault="00C46069" w:rsidP="0029635A">
            <w:pPr>
              <w:spacing w:line="360" w:lineRule="auto"/>
              <w:contextualSpacing/>
              <w:jc w:val="center"/>
            </w:pPr>
            <w:r w:rsidRPr="00805964">
              <w:t>0</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 xml:space="preserve">Senát se nestihl v určené době usnést (0 </w:t>
            </w:r>
            <w:proofErr w:type="spellStart"/>
            <w:r w:rsidRPr="00805964">
              <w:t>b</w:t>
            </w:r>
            <w:proofErr w:type="spellEnd"/>
            <w:r w:rsidRPr="00805964">
              <w:t>.)</w:t>
            </w:r>
          </w:p>
        </w:tc>
        <w:tc>
          <w:tcPr>
            <w:tcW w:w="3070" w:type="dxa"/>
            <w:vAlign w:val="center"/>
          </w:tcPr>
          <w:p w:rsidR="00C46069" w:rsidRPr="00805964" w:rsidRDefault="00C46069" w:rsidP="0029635A">
            <w:pPr>
              <w:spacing w:line="360" w:lineRule="auto"/>
              <w:contextualSpacing/>
              <w:jc w:val="center"/>
            </w:pPr>
            <w:r w:rsidRPr="00805964">
              <w:t>6</w:t>
            </w:r>
          </w:p>
        </w:tc>
        <w:tc>
          <w:tcPr>
            <w:tcW w:w="3071" w:type="dxa"/>
            <w:vAlign w:val="center"/>
          </w:tcPr>
          <w:p w:rsidR="00C46069" w:rsidRPr="00805964" w:rsidRDefault="00C46069" w:rsidP="0029635A">
            <w:pPr>
              <w:spacing w:line="360" w:lineRule="auto"/>
              <w:contextualSpacing/>
              <w:jc w:val="center"/>
            </w:pPr>
            <w:r w:rsidRPr="00805964">
              <w:t>0</w:t>
            </w:r>
          </w:p>
        </w:tc>
      </w:tr>
      <w:tr w:rsidR="00C46069" w:rsidRPr="00805964" w:rsidTr="00C955E8">
        <w:tc>
          <w:tcPr>
            <w:tcW w:w="3070" w:type="dxa"/>
            <w:vAlign w:val="center"/>
          </w:tcPr>
          <w:p w:rsidR="00C46069" w:rsidRPr="00805964" w:rsidRDefault="00C46069" w:rsidP="00C46069">
            <w:pPr>
              <w:spacing w:line="360" w:lineRule="auto"/>
              <w:contextualSpacing/>
              <w:jc w:val="both"/>
            </w:pPr>
            <w:r w:rsidRPr="00805964">
              <w:t>CELKEM</w:t>
            </w:r>
          </w:p>
        </w:tc>
        <w:tc>
          <w:tcPr>
            <w:tcW w:w="3070" w:type="dxa"/>
            <w:vAlign w:val="center"/>
          </w:tcPr>
          <w:p w:rsidR="00C46069" w:rsidRPr="00805964" w:rsidRDefault="00C46069" w:rsidP="0029635A">
            <w:pPr>
              <w:spacing w:line="360" w:lineRule="auto"/>
              <w:contextualSpacing/>
              <w:jc w:val="center"/>
              <w:rPr>
                <w:b/>
              </w:rPr>
            </w:pPr>
            <w:r w:rsidRPr="00805964">
              <w:rPr>
                <w:b/>
              </w:rPr>
              <w:t>178</w:t>
            </w:r>
          </w:p>
        </w:tc>
        <w:tc>
          <w:tcPr>
            <w:tcW w:w="3071" w:type="dxa"/>
            <w:vAlign w:val="center"/>
          </w:tcPr>
          <w:p w:rsidR="00C46069" w:rsidRPr="00805964" w:rsidRDefault="00C46069" w:rsidP="0029635A">
            <w:pPr>
              <w:spacing w:line="360" w:lineRule="auto"/>
              <w:contextualSpacing/>
              <w:jc w:val="center"/>
              <w:rPr>
                <w:b/>
              </w:rPr>
            </w:pPr>
            <w:r w:rsidRPr="00805964">
              <w:rPr>
                <w:b/>
              </w:rPr>
              <w:t>211</w:t>
            </w:r>
          </w:p>
        </w:tc>
      </w:tr>
    </w:tbl>
    <w:p w:rsidR="00265145" w:rsidRPr="00805964" w:rsidRDefault="00265145" w:rsidP="00265145">
      <w:pPr>
        <w:spacing w:line="360" w:lineRule="auto"/>
        <w:contextualSpacing/>
        <w:jc w:val="center"/>
        <w:rPr>
          <w:i/>
          <w:sz w:val="22"/>
        </w:rPr>
      </w:pPr>
      <w:r w:rsidRPr="00805964">
        <w:rPr>
          <w:i/>
          <w:sz w:val="22"/>
        </w:rPr>
        <w:t>Zpracoval: Autor.</w:t>
      </w:r>
    </w:p>
    <w:p w:rsidR="00BD0DCB" w:rsidRPr="00805964" w:rsidRDefault="00BD0DCB" w:rsidP="0029635A">
      <w:pPr>
        <w:spacing w:line="360" w:lineRule="auto"/>
        <w:contextualSpacing/>
        <w:jc w:val="both"/>
      </w:pPr>
    </w:p>
    <w:p w:rsidR="003961E8" w:rsidRPr="00805964" w:rsidRDefault="003961E8" w:rsidP="003961E8">
      <w:pPr>
        <w:spacing w:line="360" w:lineRule="auto"/>
        <w:contextualSpacing/>
        <w:jc w:val="center"/>
      </w:pPr>
      <w:r w:rsidRPr="00805964">
        <w:rPr>
          <w:b/>
          <w:sz w:val="22"/>
          <w:u w:val="single"/>
        </w:rPr>
        <w:t>Tabulka č. 23:</w:t>
      </w:r>
      <w:r w:rsidR="000713F0" w:rsidRPr="00805964">
        <w:rPr>
          <w:b/>
          <w:sz w:val="22"/>
          <w:u w:val="single"/>
        </w:rPr>
        <w:t xml:space="preserve"> Třetí varianta pro období 2008–</w:t>
      </w:r>
      <w:r w:rsidRPr="00805964">
        <w:rPr>
          <w:b/>
          <w:sz w:val="22"/>
          <w:u w:val="single"/>
        </w:rPr>
        <w:t>2010</w:t>
      </w:r>
    </w:p>
    <w:tbl>
      <w:tblPr>
        <w:tblStyle w:val="Mkatabulky"/>
        <w:tblpPr w:leftFromText="141" w:rightFromText="141" w:vertAnchor="text" w:horzAnchor="margin" w:tblpY="143"/>
        <w:tblW w:w="9288" w:type="dxa"/>
        <w:tblLook w:val="04A0"/>
      </w:tblPr>
      <w:tblGrid>
        <w:gridCol w:w="964"/>
        <w:gridCol w:w="1451"/>
        <w:gridCol w:w="1198"/>
        <w:gridCol w:w="1219"/>
        <w:gridCol w:w="1426"/>
        <w:gridCol w:w="1933"/>
        <w:gridCol w:w="1097"/>
      </w:tblGrid>
      <w:tr w:rsidR="0065529C" w:rsidRPr="00805964" w:rsidTr="00080504">
        <w:trPr>
          <w:trHeight w:val="763"/>
        </w:trPr>
        <w:tc>
          <w:tcPr>
            <w:tcW w:w="964" w:type="dxa"/>
            <w:vMerge w:val="restart"/>
            <w:textDirection w:val="btLr"/>
            <w:vAlign w:val="center"/>
          </w:tcPr>
          <w:p w:rsidR="0065529C" w:rsidRPr="00805964" w:rsidRDefault="0065529C" w:rsidP="0029635A">
            <w:pPr>
              <w:spacing w:line="360" w:lineRule="auto"/>
              <w:ind w:left="113" w:right="113"/>
              <w:contextualSpacing/>
              <w:jc w:val="center"/>
            </w:pPr>
            <w:r w:rsidRPr="00805964">
              <w:rPr>
                <w:b/>
                <w:u w:val="single"/>
              </w:rPr>
              <w:t>7. funkční období 2008-2010</w:t>
            </w:r>
          </w:p>
        </w:tc>
        <w:tc>
          <w:tcPr>
            <w:tcW w:w="1451" w:type="dxa"/>
            <w:vAlign w:val="center"/>
          </w:tcPr>
          <w:p w:rsidR="0065529C" w:rsidRPr="00805964" w:rsidRDefault="0065529C" w:rsidP="0029635A">
            <w:pPr>
              <w:spacing w:line="360" w:lineRule="auto"/>
              <w:contextualSpacing/>
              <w:jc w:val="center"/>
            </w:pPr>
          </w:p>
        </w:tc>
        <w:tc>
          <w:tcPr>
            <w:tcW w:w="1198" w:type="dxa"/>
            <w:vAlign w:val="center"/>
          </w:tcPr>
          <w:p w:rsidR="0065529C" w:rsidRPr="00805964" w:rsidRDefault="0065529C" w:rsidP="0029635A">
            <w:pPr>
              <w:spacing w:line="360" w:lineRule="auto"/>
              <w:contextualSpacing/>
              <w:jc w:val="center"/>
              <w:rPr>
                <w:b/>
                <w:u w:val="single"/>
              </w:rPr>
            </w:pPr>
            <w:r w:rsidRPr="00805964">
              <w:rPr>
                <w:b/>
                <w:u w:val="single"/>
              </w:rPr>
              <w:t>Celkem</w:t>
            </w:r>
          </w:p>
        </w:tc>
        <w:tc>
          <w:tcPr>
            <w:tcW w:w="1219" w:type="dxa"/>
            <w:vAlign w:val="center"/>
          </w:tcPr>
          <w:p w:rsidR="0065529C" w:rsidRPr="00805964" w:rsidRDefault="0065529C" w:rsidP="0029635A">
            <w:pPr>
              <w:spacing w:line="360" w:lineRule="auto"/>
              <w:contextualSpacing/>
              <w:jc w:val="center"/>
              <w:rPr>
                <w:b/>
                <w:u w:val="single"/>
              </w:rPr>
            </w:pPr>
            <w:r w:rsidRPr="00805964">
              <w:rPr>
                <w:b/>
                <w:u w:val="single"/>
              </w:rPr>
              <w:t>Sněmovna přehlasuje</w:t>
            </w:r>
          </w:p>
        </w:tc>
        <w:tc>
          <w:tcPr>
            <w:tcW w:w="1426" w:type="dxa"/>
            <w:vAlign w:val="center"/>
          </w:tcPr>
          <w:p w:rsidR="0065529C" w:rsidRPr="00805964" w:rsidRDefault="0065529C" w:rsidP="0029635A">
            <w:pPr>
              <w:spacing w:line="360" w:lineRule="auto"/>
              <w:contextualSpacing/>
              <w:jc w:val="center"/>
              <w:rPr>
                <w:b/>
                <w:u w:val="single"/>
              </w:rPr>
            </w:pPr>
            <w:r w:rsidRPr="00805964">
              <w:rPr>
                <w:b/>
                <w:u w:val="single"/>
              </w:rPr>
              <w:t>Sněmovna nepřehlasuje</w:t>
            </w:r>
          </w:p>
        </w:tc>
        <w:tc>
          <w:tcPr>
            <w:tcW w:w="1933" w:type="dxa"/>
            <w:vAlign w:val="center"/>
          </w:tcPr>
          <w:p w:rsidR="0065529C" w:rsidRPr="00805964" w:rsidRDefault="0065529C" w:rsidP="0029635A">
            <w:pPr>
              <w:spacing w:line="360" w:lineRule="auto"/>
              <w:contextualSpacing/>
              <w:jc w:val="center"/>
              <w:rPr>
                <w:b/>
                <w:u w:val="single"/>
              </w:rPr>
            </w:pPr>
            <w:r w:rsidRPr="00805964">
              <w:rPr>
                <w:b/>
                <w:u w:val="single"/>
              </w:rPr>
              <w:t>Poměrná efektivita</w:t>
            </w:r>
          </w:p>
        </w:tc>
        <w:tc>
          <w:tcPr>
            <w:tcW w:w="1097" w:type="dxa"/>
            <w:vAlign w:val="center"/>
          </w:tcPr>
          <w:p w:rsidR="0065529C" w:rsidRPr="00805964" w:rsidRDefault="0065529C" w:rsidP="0029635A">
            <w:pPr>
              <w:spacing w:line="360" w:lineRule="auto"/>
              <w:contextualSpacing/>
              <w:jc w:val="center"/>
              <w:rPr>
                <w:b/>
                <w:u w:val="single"/>
              </w:rPr>
            </w:pPr>
            <w:r w:rsidRPr="00805964">
              <w:rPr>
                <w:b/>
                <w:u w:val="single"/>
              </w:rPr>
              <w:t>Výsledek</w:t>
            </w:r>
          </w:p>
        </w:tc>
      </w:tr>
      <w:tr w:rsidR="0065529C" w:rsidRPr="00805964" w:rsidTr="00080504">
        <w:trPr>
          <w:cantSplit/>
          <w:trHeight w:val="763"/>
        </w:trPr>
        <w:tc>
          <w:tcPr>
            <w:tcW w:w="964" w:type="dxa"/>
            <w:vMerge/>
            <w:textDirection w:val="btLr"/>
          </w:tcPr>
          <w:p w:rsidR="0065529C" w:rsidRPr="00805964" w:rsidRDefault="0065529C" w:rsidP="0029635A">
            <w:pPr>
              <w:spacing w:line="360" w:lineRule="auto"/>
              <w:ind w:left="113" w:right="113"/>
              <w:contextualSpacing/>
              <w:jc w:val="both"/>
              <w:rPr>
                <w:b/>
                <w:u w:val="single"/>
              </w:rPr>
            </w:pPr>
          </w:p>
        </w:tc>
        <w:tc>
          <w:tcPr>
            <w:tcW w:w="1451" w:type="dxa"/>
            <w:vAlign w:val="center"/>
          </w:tcPr>
          <w:p w:rsidR="0065529C" w:rsidRPr="00805964" w:rsidRDefault="0065529C" w:rsidP="0029635A">
            <w:pPr>
              <w:spacing w:line="360" w:lineRule="auto"/>
              <w:contextualSpacing/>
              <w:jc w:val="center"/>
              <w:rPr>
                <w:b/>
                <w:u w:val="single"/>
              </w:rPr>
            </w:pPr>
            <w:r w:rsidRPr="00805964">
              <w:rPr>
                <w:b/>
                <w:u w:val="single"/>
              </w:rPr>
              <w:t>Pozměňovací návrhy</w:t>
            </w:r>
            <w:r w:rsidR="007842F8" w:rsidRPr="00805964">
              <w:rPr>
                <w:rStyle w:val="Znakapoznpodarou"/>
                <w:b/>
                <w:u w:val="single"/>
              </w:rPr>
              <w:footnoteReference w:id="97"/>
            </w:r>
          </w:p>
        </w:tc>
        <w:tc>
          <w:tcPr>
            <w:tcW w:w="1198" w:type="dxa"/>
            <w:vAlign w:val="center"/>
          </w:tcPr>
          <w:p w:rsidR="0065529C" w:rsidRPr="00805964" w:rsidRDefault="007842F8" w:rsidP="0029635A">
            <w:pPr>
              <w:spacing w:line="360" w:lineRule="auto"/>
              <w:contextualSpacing/>
              <w:jc w:val="center"/>
            </w:pPr>
            <w:r w:rsidRPr="00805964">
              <w:t>24</w:t>
            </w:r>
          </w:p>
        </w:tc>
        <w:tc>
          <w:tcPr>
            <w:tcW w:w="1219" w:type="dxa"/>
            <w:vAlign w:val="center"/>
          </w:tcPr>
          <w:p w:rsidR="0065529C" w:rsidRPr="00805964" w:rsidRDefault="007842F8" w:rsidP="0029635A">
            <w:pPr>
              <w:spacing w:line="360" w:lineRule="auto"/>
              <w:contextualSpacing/>
              <w:jc w:val="center"/>
            </w:pPr>
            <w:r w:rsidRPr="00805964">
              <w:t>9</w:t>
            </w:r>
          </w:p>
        </w:tc>
        <w:tc>
          <w:tcPr>
            <w:tcW w:w="1426" w:type="dxa"/>
            <w:vAlign w:val="center"/>
          </w:tcPr>
          <w:p w:rsidR="0065529C" w:rsidRPr="00805964" w:rsidRDefault="007842F8" w:rsidP="0029635A">
            <w:pPr>
              <w:spacing w:line="360" w:lineRule="auto"/>
              <w:contextualSpacing/>
              <w:jc w:val="center"/>
            </w:pPr>
            <w:r w:rsidRPr="00805964">
              <w:t>15</w:t>
            </w:r>
          </w:p>
        </w:tc>
        <w:tc>
          <w:tcPr>
            <w:tcW w:w="1933" w:type="dxa"/>
            <w:vAlign w:val="center"/>
          </w:tcPr>
          <w:p w:rsidR="0065529C"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15</m:t>
                    </m:r>
                  </m:num>
                  <m:den>
                    <m:r>
                      <m:rPr>
                        <m:sty m:val="p"/>
                      </m:rPr>
                      <w:rPr>
                        <w:rFonts w:ascii="Cambria Math" w:hAnsi="Cambria Math"/>
                      </w:rPr>
                      <m:t>15+9</m:t>
                    </m:r>
                  </m:den>
                </m:f>
              </m:oMath>
            </m:oMathPara>
          </w:p>
        </w:tc>
        <w:tc>
          <w:tcPr>
            <w:tcW w:w="1097" w:type="dxa"/>
            <w:vAlign w:val="center"/>
          </w:tcPr>
          <w:p w:rsidR="0065529C" w:rsidRPr="00805964" w:rsidRDefault="008A645A" w:rsidP="0029635A">
            <w:pPr>
              <w:spacing w:line="360" w:lineRule="auto"/>
              <w:contextualSpacing/>
              <w:jc w:val="center"/>
              <w:rPr>
                <w:rFonts w:eastAsia="Calibri" w:cs="Times New Roman"/>
                <w:b/>
              </w:rPr>
            </w:pPr>
            <w:r w:rsidRPr="00805964">
              <w:rPr>
                <w:rFonts w:eastAsia="Calibri" w:cs="Times New Roman"/>
                <w:b/>
              </w:rPr>
              <w:t>62,50</w:t>
            </w:r>
            <w:r w:rsidR="0065529C" w:rsidRPr="00805964">
              <w:rPr>
                <w:rFonts w:eastAsia="Calibri" w:cs="Times New Roman"/>
                <w:b/>
              </w:rPr>
              <w:t xml:space="preserve"> %</w:t>
            </w:r>
          </w:p>
        </w:tc>
      </w:tr>
      <w:tr w:rsidR="0065529C" w:rsidRPr="00805964" w:rsidTr="00080504">
        <w:trPr>
          <w:trHeight w:val="763"/>
        </w:trPr>
        <w:tc>
          <w:tcPr>
            <w:tcW w:w="964" w:type="dxa"/>
            <w:vMerge/>
          </w:tcPr>
          <w:p w:rsidR="0065529C" w:rsidRPr="00805964" w:rsidRDefault="0065529C" w:rsidP="0029635A">
            <w:pPr>
              <w:spacing w:line="360" w:lineRule="auto"/>
              <w:contextualSpacing/>
              <w:jc w:val="both"/>
              <w:rPr>
                <w:b/>
                <w:u w:val="single"/>
              </w:rPr>
            </w:pPr>
          </w:p>
        </w:tc>
        <w:tc>
          <w:tcPr>
            <w:tcW w:w="1451" w:type="dxa"/>
            <w:tcBorders>
              <w:bottom w:val="single" w:sz="12" w:space="0" w:color="auto"/>
            </w:tcBorders>
            <w:vAlign w:val="center"/>
          </w:tcPr>
          <w:p w:rsidR="0065529C" w:rsidRPr="00805964" w:rsidRDefault="0065529C" w:rsidP="0029635A">
            <w:pPr>
              <w:spacing w:line="360" w:lineRule="auto"/>
              <w:contextualSpacing/>
              <w:jc w:val="center"/>
              <w:rPr>
                <w:b/>
                <w:u w:val="single"/>
              </w:rPr>
            </w:pPr>
            <w:r w:rsidRPr="00805964">
              <w:rPr>
                <w:b/>
                <w:u w:val="single"/>
              </w:rPr>
              <w:t>Zamítnutí</w:t>
            </w:r>
          </w:p>
        </w:tc>
        <w:tc>
          <w:tcPr>
            <w:tcW w:w="1198" w:type="dxa"/>
            <w:tcBorders>
              <w:bottom w:val="single" w:sz="12" w:space="0" w:color="auto"/>
            </w:tcBorders>
            <w:vAlign w:val="center"/>
          </w:tcPr>
          <w:p w:rsidR="0065529C" w:rsidRPr="00805964" w:rsidRDefault="007842F8" w:rsidP="0029635A">
            <w:pPr>
              <w:spacing w:line="360" w:lineRule="auto"/>
              <w:contextualSpacing/>
              <w:jc w:val="center"/>
            </w:pPr>
            <w:r w:rsidRPr="00805964">
              <w:t>8</w:t>
            </w:r>
          </w:p>
        </w:tc>
        <w:tc>
          <w:tcPr>
            <w:tcW w:w="1219" w:type="dxa"/>
            <w:tcBorders>
              <w:bottom w:val="single" w:sz="12" w:space="0" w:color="auto"/>
            </w:tcBorders>
            <w:vAlign w:val="center"/>
          </w:tcPr>
          <w:p w:rsidR="0065529C" w:rsidRPr="00805964" w:rsidRDefault="008A645A" w:rsidP="0029635A">
            <w:pPr>
              <w:spacing w:line="360" w:lineRule="auto"/>
              <w:contextualSpacing/>
              <w:jc w:val="center"/>
            </w:pPr>
            <w:r w:rsidRPr="00805964">
              <w:t>5</w:t>
            </w:r>
          </w:p>
        </w:tc>
        <w:tc>
          <w:tcPr>
            <w:tcW w:w="1426" w:type="dxa"/>
            <w:tcBorders>
              <w:bottom w:val="single" w:sz="12" w:space="0" w:color="auto"/>
            </w:tcBorders>
            <w:vAlign w:val="center"/>
          </w:tcPr>
          <w:p w:rsidR="0065529C" w:rsidRPr="00805964" w:rsidRDefault="008A645A" w:rsidP="0029635A">
            <w:pPr>
              <w:spacing w:line="360" w:lineRule="auto"/>
              <w:contextualSpacing/>
              <w:jc w:val="center"/>
            </w:pPr>
            <w:r w:rsidRPr="00805964">
              <w:t>3</w:t>
            </w:r>
          </w:p>
        </w:tc>
        <w:tc>
          <w:tcPr>
            <w:tcW w:w="1933" w:type="dxa"/>
            <w:tcBorders>
              <w:bottom w:val="single" w:sz="12" w:space="0" w:color="auto"/>
            </w:tcBorders>
            <w:vAlign w:val="center"/>
          </w:tcPr>
          <w:p w:rsidR="0065529C"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3</m:t>
                    </m:r>
                  </m:num>
                  <m:den>
                    <m:r>
                      <m:rPr>
                        <m:sty m:val="p"/>
                      </m:rPr>
                      <w:rPr>
                        <w:rFonts w:ascii="Cambria Math" w:hAnsi="Cambria Math"/>
                      </w:rPr>
                      <m:t>3+5</m:t>
                    </m:r>
                  </m:den>
                </m:f>
              </m:oMath>
            </m:oMathPara>
          </w:p>
        </w:tc>
        <w:tc>
          <w:tcPr>
            <w:tcW w:w="1097" w:type="dxa"/>
            <w:tcBorders>
              <w:bottom w:val="single" w:sz="12" w:space="0" w:color="auto"/>
            </w:tcBorders>
            <w:vAlign w:val="center"/>
          </w:tcPr>
          <w:p w:rsidR="0065529C" w:rsidRPr="00805964" w:rsidRDefault="008A645A" w:rsidP="0029635A">
            <w:pPr>
              <w:spacing w:line="360" w:lineRule="auto"/>
              <w:contextualSpacing/>
              <w:jc w:val="center"/>
              <w:rPr>
                <w:rFonts w:eastAsia="Calibri" w:cs="Times New Roman"/>
                <w:b/>
              </w:rPr>
            </w:pPr>
            <w:r w:rsidRPr="00805964">
              <w:rPr>
                <w:rFonts w:eastAsia="Calibri" w:cs="Times New Roman"/>
                <w:b/>
              </w:rPr>
              <w:t>37,50</w:t>
            </w:r>
            <w:r w:rsidR="0065529C" w:rsidRPr="00805964">
              <w:rPr>
                <w:rFonts w:eastAsia="Calibri" w:cs="Times New Roman"/>
                <w:b/>
              </w:rPr>
              <w:t xml:space="preserve"> %</w:t>
            </w:r>
          </w:p>
        </w:tc>
      </w:tr>
      <w:tr w:rsidR="0065529C" w:rsidRPr="00805964" w:rsidTr="00080504">
        <w:trPr>
          <w:trHeight w:val="763"/>
        </w:trPr>
        <w:tc>
          <w:tcPr>
            <w:tcW w:w="964" w:type="dxa"/>
            <w:vMerge/>
          </w:tcPr>
          <w:p w:rsidR="0065529C" w:rsidRPr="00805964" w:rsidRDefault="0065529C" w:rsidP="0029635A">
            <w:pPr>
              <w:spacing w:line="360" w:lineRule="auto"/>
              <w:contextualSpacing/>
              <w:jc w:val="both"/>
              <w:rPr>
                <w:b/>
                <w:u w:val="single"/>
              </w:rPr>
            </w:pPr>
          </w:p>
        </w:tc>
        <w:tc>
          <w:tcPr>
            <w:tcW w:w="1451" w:type="dxa"/>
            <w:tcBorders>
              <w:top w:val="single" w:sz="12" w:space="0" w:color="auto"/>
            </w:tcBorders>
            <w:vAlign w:val="center"/>
          </w:tcPr>
          <w:p w:rsidR="0065529C" w:rsidRPr="00805964" w:rsidRDefault="0065529C" w:rsidP="0029635A">
            <w:pPr>
              <w:spacing w:line="360" w:lineRule="auto"/>
              <w:contextualSpacing/>
              <w:jc w:val="center"/>
              <w:rPr>
                <w:b/>
                <w:u w:val="single"/>
              </w:rPr>
            </w:pPr>
            <w:r w:rsidRPr="00805964">
              <w:rPr>
                <w:b/>
                <w:u w:val="single"/>
              </w:rPr>
              <w:t>Celkem</w:t>
            </w:r>
          </w:p>
        </w:tc>
        <w:tc>
          <w:tcPr>
            <w:tcW w:w="1198" w:type="dxa"/>
            <w:tcBorders>
              <w:top w:val="single" w:sz="12" w:space="0" w:color="auto"/>
            </w:tcBorders>
            <w:vAlign w:val="center"/>
          </w:tcPr>
          <w:p w:rsidR="0065529C" w:rsidRPr="00805964" w:rsidRDefault="007842F8" w:rsidP="0029635A">
            <w:pPr>
              <w:spacing w:line="360" w:lineRule="auto"/>
              <w:contextualSpacing/>
              <w:jc w:val="center"/>
            </w:pPr>
            <w:r w:rsidRPr="00805964">
              <w:t>32</w:t>
            </w:r>
          </w:p>
        </w:tc>
        <w:tc>
          <w:tcPr>
            <w:tcW w:w="1219" w:type="dxa"/>
            <w:tcBorders>
              <w:top w:val="single" w:sz="12" w:space="0" w:color="auto"/>
            </w:tcBorders>
            <w:vAlign w:val="center"/>
          </w:tcPr>
          <w:p w:rsidR="0065529C" w:rsidRPr="00805964" w:rsidRDefault="008A645A" w:rsidP="0029635A">
            <w:pPr>
              <w:spacing w:line="360" w:lineRule="auto"/>
              <w:contextualSpacing/>
              <w:jc w:val="center"/>
            </w:pPr>
            <w:r w:rsidRPr="00805964">
              <w:t>14</w:t>
            </w:r>
          </w:p>
        </w:tc>
        <w:tc>
          <w:tcPr>
            <w:tcW w:w="1426" w:type="dxa"/>
            <w:tcBorders>
              <w:top w:val="single" w:sz="12" w:space="0" w:color="auto"/>
            </w:tcBorders>
            <w:vAlign w:val="center"/>
          </w:tcPr>
          <w:p w:rsidR="0065529C" w:rsidRPr="00805964" w:rsidRDefault="008A645A" w:rsidP="0029635A">
            <w:pPr>
              <w:spacing w:line="360" w:lineRule="auto"/>
              <w:contextualSpacing/>
              <w:jc w:val="center"/>
            </w:pPr>
            <w:r w:rsidRPr="00805964">
              <w:t>18</w:t>
            </w:r>
          </w:p>
        </w:tc>
        <w:tc>
          <w:tcPr>
            <w:tcW w:w="1933" w:type="dxa"/>
            <w:tcBorders>
              <w:top w:val="single" w:sz="12" w:space="0" w:color="auto"/>
            </w:tcBorders>
            <w:vAlign w:val="center"/>
          </w:tcPr>
          <w:p w:rsidR="0065529C" w:rsidRPr="00805964" w:rsidRDefault="00EE58B6" w:rsidP="0029635A">
            <w:pPr>
              <w:spacing w:line="360" w:lineRule="auto"/>
              <w:contextualSpacing/>
              <w:jc w:val="center"/>
            </w:pPr>
            <m:oMathPara>
              <m:oMath>
                <m:f>
                  <m:fPr>
                    <m:ctrlPr>
                      <w:rPr>
                        <w:rFonts w:ascii="Cambria Math" w:hAnsi="Cambria Math"/>
                      </w:rPr>
                    </m:ctrlPr>
                  </m:fPr>
                  <m:num>
                    <m:r>
                      <m:rPr>
                        <m:sty m:val="p"/>
                      </m:rPr>
                      <w:rPr>
                        <w:rFonts w:ascii="Cambria Math" w:hAnsi="Cambria Math"/>
                      </w:rPr>
                      <m:t>15+3</m:t>
                    </m:r>
                  </m:num>
                  <m:den>
                    <m:r>
                      <m:rPr>
                        <m:sty m:val="p"/>
                      </m:rPr>
                      <w:rPr>
                        <w:rFonts w:ascii="Cambria Math" w:hAnsi="Cambria Math"/>
                      </w:rPr>
                      <m:t>9+5+15+3</m:t>
                    </m:r>
                  </m:den>
                </m:f>
              </m:oMath>
            </m:oMathPara>
          </w:p>
        </w:tc>
        <w:tc>
          <w:tcPr>
            <w:tcW w:w="1097" w:type="dxa"/>
            <w:tcBorders>
              <w:top w:val="single" w:sz="12" w:space="0" w:color="auto"/>
            </w:tcBorders>
            <w:vAlign w:val="center"/>
          </w:tcPr>
          <w:p w:rsidR="0065529C" w:rsidRPr="00805964" w:rsidRDefault="008A645A" w:rsidP="0029635A">
            <w:pPr>
              <w:spacing w:line="360" w:lineRule="auto"/>
              <w:contextualSpacing/>
              <w:jc w:val="center"/>
              <w:rPr>
                <w:rFonts w:eastAsia="Calibri" w:cs="Times New Roman"/>
                <w:b/>
              </w:rPr>
            </w:pPr>
            <w:r w:rsidRPr="00805964">
              <w:rPr>
                <w:rFonts w:eastAsia="Calibri" w:cs="Times New Roman"/>
                <w:b/>
              </w:rPr>
              <w:t>56,25</w:t>
            </w:r>
            <w:r w:rsidR="0065529C" w:rsidRPr="00805964">
              <w:rPr>
                <w:rFonts w:eastAsia="Calibri" w:cs="Times New Roman"/>
                <w:b/>
              </w:rPr>
              <w:t xml:space="preserve"> %</w:t>
            </w:r>
          </w:p>
        </w:tc>
      </w:tr>
    </w:tbl>
    <w:p w:rsidR="00265145" w:rsidRPr="00805964" w:rsidRDefault="00265145" w:rsidP="00265145">
      <w:pPr>
        <w:spacing w:line="360" w:lineRule="auto"/>
        <w:contextualSpacing/>
        <w:jc w:val="center"/>
        <w:rPr>
          <w:i/>
          <w:sz w:val="22"/>
        </w:rPr>
      </w:pPr>
      <w:r w:rsidRPr="00805964">
        <w:rPr>
          <w:i/>
          <w:sz w:val="22"/>
        </w:rPr>
        <w:t>Zpracoval: Autor.</w:t>
      </w:r>
    </w:p>
    <w:p w:rsidR="0065529C" w:rsidRPr="00805964" w:rsidRDefault="0065529C" w:rsidP="0029635A">
      <w:pPr>
        <w:spacing w:line="360" w:lineRule="auto"/>
        <w:contextualSpacing/>
        <w:jc w:val="both"/>
      </w:pPr>
    </w:p>
    <w:p w:rsidR="00475B6B" w:rsidRPr="00805964" w:rsidRDefault="00475B6B" w:rsidP="0029635A">
      <w:pPr>
        <w:spacing w:line="360" w:lineRule="auto"/>
        <w:contextualSpacing/>
        <w:jc w:val="both"/>
      </w:pPr>
    </w:p>
    <w:p w:rsidR="00475B6B" w:rsidRPr="00805964" w:rsidRDefault="00475B6B" w:rsidP="0029635A">
      <w:pPr>
        <w:spacing w:line="360" w:lineRule="auto"/>
        <w:contextualSpacing/>
        <w:jc w:val="both"/>
      </w:pPr>
    </w:p>
    <w:p w:rsidR="00475B6B" w:rsidRPr="00805964" w:rsidRDefault="00475B6B" w:rsidP="0029635A">
      <w:pPr>
        <w:spacing w:line="360" w:lineRule="auto"/>
        <w:contextualSpacing/>
        <w:jc w:val="both"/>
      </w:pPr>
    </w:p>
    <w:p w:rsidR="003961E8" w:rsidRPr="00805964" w:rsidRDefault="003961E8" w:rsidP="0029635A">
      <w:pPr>
        <w:spacing w:line="360" w:lineRule="auto"/>
        <w:contextualSpacing/>
        <w:jc w:val="both"/>
      </w:pPr>
    </w:p>
    <w:p w:rsidR="003961E8" w:rsidRPr="00805964" w:rsidRDefault="003961E8" w:rsidP="003961E8">
      <w:pPr>
        <w:spacing w:line="360" w:lineRule="auto"/>
        <w:contextualSpacing/>
        <w:jc w:val="center"/>
        <w:rPr>
          <w:b/>
          <w:sz w:val="22"/>
          <w:u w:val="single"/>
        </w:rPr>
      </w:pPr>
      <w:r w:rsidRPr="00805964">
        <w:rPr>
          <w:b/>
          <w:sz w:val="22"/>
          <w:u w:val="single"/>
        </w:rPr>
        <w:lastRenderedPageBreak/>
        <w:t xml:space="preserve">Tabulka č. 24: </w:t>
      </w:r>
      <w:r w:rsidR="000713F0" w:rsidRPr="00805964">
        <w:rPr>
          <w:b/>
          <w:sz w:val="22"/>
          <w:u w:val="single"/>
        </w:rPr>
        <w:t>Čtvrtá varianta pro období 2008–</w:t>
      </w:r>
      <w:r w:rsidRPr="00805964">
        <w:rPr>
          <w:b/>
          <w:sz w:val="22"/>
          <w:u w:val="single"/>
        </w:rPr>
        <w:t>2010</w:t>
      </w:r>
    </w:p>
    <w:tbl>
      <w:tblPr>
        <w:tblStyle w:val="Mkatabulky"/>
        <w:tblW w:w="0" w:type="auto"/>
        <w:jc w:val="center"/>
        <w:tblInd w:w="1384" w:type="dxa"/>
        <w:tblLook w:val="04A0"/>
      </w:tblPr>
      <w:tblGrid>
        <w:gridCol w:w="1121"/>
        <w:gridCol w:w="2816"/>
        <w:gridCol w:w="1308"/>
        <w:gridCol w:w="1389"/>
        <w:gridCol w:w="1269"/>
      </w:tblGrid>
      <w:tr w:rsidR="0065529C" w:rsidRPr="00805964" w:rsidTr="00080504">
        <w:trPr>
          <w:trHeight w:val="806"/>
          <w:jc w:val="center"/>
        </w:trPr>
        <w:tc>
          <w:tcPr>
            <w:tcW w:w="1121" w:type="dxa"/>
            <w:vMerge w:val="restart"/>
            <w:textDirection w:val="btLr"/>
          </w:tcPr>
          <w:p w:rsidR="0065529C" w:rsidRPr="00805964" w:rsidRDefault="00FF423A" w:rsidP="00FF423A">
            <w:pPr>
              <w:ind w:left="113" w:right="113"/>
              <w:contextualSpacing/>
              <w:jc w:val="center"/>
              <w:rPr>
                <w:sz w:val="36"/>
                <w:szCs w:val="36"/>
              </w:rPr>
            </w:pPr>
            <w:r w:rsidRPr="00805964">
              <w:rPr>
                <w:sz w:val="36"/>
                <w:szCs w:val="36"/>
              </w:rPr>
              <w:t>7. Funkční období</w:t>
            </w:r>
            <w:r w:rsidRPr="00805964">
              <w:rPr>
                <w:sz w:val="36"/>
                <w:szCs w:val="36"/>
              </w:rPr>
              <w:br/>
              <w:t>2008–</w:t>
            </w:r>
            <w:r w:rsidR="0065529C" w:rsidRPr="00805964">
              <w:rPr>
                <w:sz w:val="36"/>
                <w:szCs w:val="36"/>
              </w:rPr>
              <w:t>2010</w:t>
            </w:r>
          </w:p>
        </w:tc>
        <w:tc>
          <w:tcPr>
            <w:tcW w:w="2816" w:type="dxa"/>
            <w:vAlign w:val="center"/>
          </w:tcPr>
          <w:p w:rsidR="0065529C" w:rsidRPr="00805964" w:rsidRDefault="0065529C" w:rsidP="0029635A">
            <w:pPr>
              <w:contextualSpacing/>
              <w:jc w:val="center"/>
            </w:pPr>
          </w:p>
        </w:tc>
        <w:tc>
          <w:tcPr>
            <w:tcW w:w="1308" w:type="dxa"/>
            <w:vAlign w:val="center"/>
          </w:tcPr>
          <w:p w:rsidR="0065529C" w:rsidRPr="00805964" w:rsidRDefault="0065529C" w:rsidP="0029635A">
            <w:pPr>
              <w:contextualSpacing/>
              <w:jc w:val="center"/>
            </w:pPr>
            <w:r w:rsidRPr="00805964">
              <w:t>Bodové ohodnocení</w:t>
            </w:r>
          </w:p>
        </w:tc>
        <w:tc>
          <w:tcPr>
            <w:tcW w:w="1389" w:type="dxa"/>
            <w:vAlign w:val="center"/>
          </w:tcPr>
          <w:p w:rsidR="0065529C" w:rsidRPr="00805964" w:rsidRDefault="0065529C" w:rsidP="0029635A">
            <w:pPr>
              <w:contextualSpacing/>
              <w:jc w:val="center"/>
            </w:pPr>
            <w:r w:rsidRPr="00805964">
              <w:t>Počet případů</w:t>
            </w:r>
          </w:p>
        </w:tc>
        <w:tc>
          <w:tcPr>
            <w:tcW w:w="1269" w:type="dxa"/>
            <w:vAlign w:val="center"/>
          </w:tcPr>
          <w:p w:rsidR="0065529C" w:rsidRPr="00805964" w:rsidRDefault="0065529C" w:rsidP="0029635A">
            <w:pPr>
              <w:contextualSpacing/>
              <w:jc w:val="center"/>
              <w:rPr>
                <w:b/>
              </w:rPr>
            </w:pPr>
            <w:r w:rsidRPr="00805964">
              <w:rPr>
                <w:b/>
              </w:rPr>
              <w:t>Body celkem</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Zamítnutí ústavního zákona Senátem</w:t>
            </w:r>
          </w:p>
        </w:tc>
        <w:tc>
          <w:tcPr>
            <w:tcW w:w="1308" w:type="dxa"/>
            <w:vAlign w:val="center"/>
          </w:tcPr>
          <w:p w:rsidR="00C46069" w:rsidRPr="00805964" w:rsidRDefault="00C46069" w:rsidP="0029635A">
            <w:pPr>
              <w:contextualSpacing/>
              <w:jc w:val="center"/>
            </w:pPr>
            <w:r w:rsidRPr="00805964">
              <w:t>4</w:t>
            </w:r>
          </w:p>
        </w:tc>
        <w:tc>
          <w:tcPr>
            <w:tcW w:w="1389" w:type="dxa"/>
            <w:vAlign w:val="center"/>
          </w:tcPr>
          <w:p w:rsidR="00C46069" w:rsidRPr="00805964" w:rsidRDefault="00C46069" w:rsidP="0029635A">
            <w:pPr>
              <w:contextualSpacing/>
              <w:jc w:val="center"/>
            </w:pPr>
            <w:r w:rsidRPr="00805964">
              <w:t>0</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ústavního zákona</w:t>
            </w:r>
            <w:r w:rsidRPr="00805964">
              <w:t xml:space="preserve"> </w:t>
            </w:r>
          </w:p>
        </w:tc>
        <w:tc>
          <w:tcPr>
            <w:tcW w:w="1308" w:type="dxa"/>
            <w:vAlign w:val="center"/>
          </w:tcPr>
          <w:p w:rsidR="00C46069" w:rsidRPr="00805964" w:rsidRDefault="00C46069" w:rsidP="0029635A">
            <w:pPr>
              <w:contextualSpacing/>
              <w:jc w:val="center"/>
            </w:pPr>
            <w:r w:rsidRPr="00805964">
              <w:t>2</w:t>
            </w:r>
          </w:p>
        </w:tc>
        <w:tc>
          <w:tcPr>
            <w:tcW w:w="1389" w:type="dxa"/>
            <w:vAlign w:val="center"/>
          </w:tcPr>
          <w:p w:rsidR="00C46069" w:rsidRPr="00805964" w:rsidRDefault="00C46069" w:rsidP="0029635A">
            <w:pPr>
              <w:contextualSpacing/>
              <w:jc w:val="center"/>
            </w:pPr>
            <w:r w:rsidRPr="00805964">
              <w:t>0</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Veto běžného zákona – úspěšné</w:t>
            </w:r>
          </w:p>
        </w:tc>
        <w:tc>
          <w:tcPr>
            <w:tcW w:w="1308" w:type="dxa"/>
            <w:vAlign w:val="center"/>
          </w:tcPr>
          <w:p w:rsidR="00C46069" w:rsidRPr="00805964" w:rsidRDefault="00C46069" w:rsidP="0029635A">
            <w:pPr>
              <w:contextualSpacing/>
              <w:jc w:val="center"/>
            </w:pPr>
            <w:r w:rsidRPr="00805964">
              <w:t>1</w:t>
            </w:r>
          </w:p>
        </w:tc>
        <w:tc>
          <w:tcPr>
            <w:tcW w:w="1389" w:type="dxa"/>
            <w:vAlign w:val="center"/>
          </w:tcPr>
          <w:p w:rsidR="00C46069" w:rsidRPr="00805964" w:rsidRDefault="00C46069" w:rsidP="0029635A">
            <w:pPr>
              <w:contextualSpacing/>
              <w:jc w:val="center"/>
            </w:pPr>
            <w:r w:rsidRPr="00805964">
              <w:t>3</w:t>
            </w:r>
          </w:p>
        </w:tc>
        <w:tc>
          <w:tcPr>
            <w:tcW w:w="1269" w:type="dxa"/>
            <w:vAlign w:val="center"/>
          </w:tcPr>
          <w:p w:rsidR="00C46069" w:rsidRPr="00805964" w:rsidRDefault="00C46069" w:rsidP="0029635A">
            <w:pPr>
              <w:contextualSpacing/>
              <w:jc w:val="center"/>
              <w:rPr>
                <w:b/>
              </w:rPr>
            </w:pPr>
            <w:r w:rsidRPr="00805964">
              <w:rPr>
                <w:b/>
              </w:rPr>
              <w:t>3</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Veto běžného zákona – přehlasování PS</w:t>
            </w:r>
          </w:p>
        </w:tc>
        <w:tc>
          <w:tcPr>
            <w:tcW w:w="1308" w:type="dxa"/>
            <w:vAlign w:val="center"/>
          </w:tcPr>
          <w:p w:rsidR="00C46069" w:rsidRPr="00805964" w:rsidRDefault="00C46069" w:rsidP="0029635A">
            <w:pPr>
              <w:contextualSpacing/>
              <w:jc w:val="center"/>
            </w:pPr>
            <w:r w:rsidRPr="00805964">
              <w:t>0</w:t>
            </w:r>
          </w:p>
        </w:tc>
        <w:tc>
          <w:tcPr>
            <w:tcW w:w="1389" w:type="dxa"/>
            <w:vAlign w:val="center"/>
          </w:tcPr>
          <w:p w:rsidR="00C46069" w:rsidRPr="00805964" w:rsidRDefault="00C46069" w:rsidP="0029635A">
            <w:pPr>
              <w:contextualSpacing/>
              <w:jc w:val="center"/>
            </w:pPr>
            <w:r w:rsidRPr="00805964">
              <w:t>5</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běžné legislativy - přehlasování PS</w:t>
            </w:r>
          </w:p>
        </w:tc>
        <w:tc>
          <w:tcPr>
            <w:tcW w:w="1308" w:type="dxa"/>
            <w:vAlign w:val="center"/>
          </w:tcPr>
          <w:p w:rsidR="00C46069" w:rsidRPr="00805964" w:rsidRDefault="00C46069" w:rsidP="0029635A">
            <w:pPr>
              <w:contextualSpacing/>
              <w:jc w:val="center"/>
            </w:pPr>
            <w:r w:rsidRPr="00805964">
              <w:t>0</w:t>
            </w:r>
          </w:p>
        </w:tc>
        <w:tc>
          <w:tcPr>
            <w:tcW w:w="1389" w:type="dxa"/>
            <w:vAlign w:val="center"/>
          </w:tcPr>
          <w:p w:rsidR="00C46069" w:rsidRPr="00805964" w:rsidRDefault="00C46069" w:rsidP="0029635A">
            <w:pPr>
              <w:contextualSpacing/>
              <w:jc w:val="center"/>
            </w:pPr>
            <w:r w:rsidRPr="00805964">
              <w:t>9</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Připomínkování běžné legislativy - přijato ve znění schváleném Senátem</w:t>
            </w:r>
          </w:p>
        </w:tc>
        <w:tc>
          <w:tcPr>
            <w:tcW w:w="1308" w:type="dxa"/>
            <w:vAlign w:val="center"/>
          </w:tcPr>
          <w:p w:rsidR="00C46069" w:rsidRPr="00805964" w:rsidRDefault="00C46069" w:rsidP="0029635A">
            <w:pPr>
              <w:contextualSpacing/>
              <w:jc w:val="center"/>
            </w:pPr>
            <w:r w:rsidRPr="00805964">
              <w:t>0,75</w:t>
            </w:r>
          </w:p>
        </w:tc>
        <w:tc>
          <w:tcPr>
            <w:tcW w:w="1389" w:type="dxa"/>
            <w:vAlign w:val="center"/>
          </w:tcPr>
          <w:p w:rsidR="00C46069" w:rsidRPr="00805964" w:rsidRDefault="00C46069" w:rsidP="0029635A">
            <w:pPr>
              <w:contextualSpacing/>
              <w:jc w:val="center"/>
            </w:pPr>
            <w:r w:rsidRPr="00805964">
              <w:t>15</w:t>
            </w:r>
          </w:p>
        </w:tc>
        <w:tc>
          <w:tcPr>
            <w:tcW w:w="1269" w:type="dxa"/>
            <w:vAlign w:val="center"/>
          </w:tcPr>
          <w:p w:rsidR="00C46069" w:rsidRPr="00805964" w:rsidRDefault="00C46069" w:rsidP="0029635A">
            <w:pPr>
              <w:contextualSpacing/>
              <w:jc w:val="center"/>
              <w:rPr>
                <w:b/>
              </w:rPr>
            </w:pPr>
            <w:r w:rsidRPr="00805964">
              <w:rPr>
                <w:b/>
              </w:rPr>
              <w:t>11,25</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pPr>
            <w:r w:rsidRPr="00805964">
              <w:rPr>
                <w:rFonts w:cs="Times New Roman"/>
                <w:sz w:val="24"/>
                <w:szCs w:val="24"/>
              </w:rPr>
              <w:t>Zamítnutí mezinárodní smlouvy</w:t>
            </w:r>
          </w:p>
        </w:tc>
        <w:tc>
          <w:tcPr>
            <w:tcW w:w="1308" w:type="dxa"/>
            <w:vAlign w:val="center"/>
          </w:tcPr>
          <w:p w:rsidR="00C46069" w:rsidRPr="00805964" w:rsidRDefault="00C46069" w:rsidP="0029635A">
            <w:pPr>
              <w:contextualSpacing/>
              <w:jc w:val="center"/>
            </w:pPr>
            <w:r w:rsidRPr="00805964">
              <w:t>2</w:t>
            </w:r>
          </w:p>
        </w:tc>
        <w:tc>
          <w:tcPr>
            <w:tcW w:w="1389" w:type="dxa"/>
            <w:vAlign w:val="center"/>
          </w:tcPr>
          <w:p w:rsidR="00C46069" w:rsidRPr="00805964" w:rsidRDefault="00C46069" w:rsidP="0029635A">
            <w:pPr>
              <w:contextualSpacing/>
              <w:jc w:val="center"/>
            </w:pPr>
            <w:r w:rsidRPr="00805964">
              <w:t>0</w:t>
            </w:r>
          </w:p>
        </w:tc>
        <w:tc>
          <w:tcPr>
            <w:tcW w:w="1269" w:type="dxa"/>
            <w:vAlign w:val="center"/>
          </w:tcPr>
          <w:p w:rsidR="00C46069" w:rsidRPr="00805964" w:rsidRDefault="00C46069" w:rsidP="0029635A">
            <w:pPr>
              <w:contextualSpacing/>
              <w:jc w:val="center"/>
              <w:rPr>
                <w:b/>
              </w:rPr>
            </w:pPr>
            <w:r w:rsidRPr="00805964">
              <w:rPr>
                <w:b/>
              </w:rPr>
              <w:t>0</w:t>
            </w:r>
          </w:p>
        </w:tc>
      </w:tr>
      <w:tr w:rsidR="00C46069" w:rsidRPr="00805964" w:rsidTr="00080504">
        <w:trPr>
          <w:trHeight w:val="806"/>
          <w:jc w:val="center"/>
        </w:trPr>
        <w:tc>
          <w:tcPr>
            <w:tcW w:w="1121" w:type="dxa"/>
            <w:vMerge/>
          </w:tcPr>
          <w:p w:rsidR="00C46069" w:rsidRPr="00805964" w:rsidRDefault="00C46069" w:rsidP="0029635A">
            <w:pPr>
              <w:contextualSpacing/>
              <w:jc w:val="center"/>
            </w:pPr>
          </w:p>
        </w:tc>
        <w:tc>
          <w:tcPr>
            <w:tcW w:w="2816" w:type="dxa"/>
            <w:vAlign w:val="center"/>
          </w:tcPr>
          <w:p w:rsidR="00C46069" w:rsidRPr="00805964" w:rsidRDefault="00C46069" w:rsidP="00C955E8">
            <w:pPr>
              <w:contextualSpacing/>
              <w:jc w:val="center"/>
              <w:rPr>
                <w:b/>
              </w:rPr>
            </w:pPr>
            <w:r w:rsidRPr="00805964">
              <w:rPr>
                <w:b/>
              </w:rPr>
              <w:t>CELKEM</w:t>
            </w:r>
          </w:p>
        </w:tc>
        <w:tc>
          <w:tcPr>
            <w:tcW w:w="1308" w:type="dxa"/>
            <w:vAlign w:val="center"/>
          </w:tcPr>
          <w:p w:rsidR="00C46069" w:rsidRPr="00805964" w:rsidRDefault="00C46069" w:rsidP="0029635A">
            <w:pPr>
              <w:contextualSpacing/>
              <w:jc w:val="center"/>
              <w:rPr>
                <w:b/>
              </w:rPr>
            </w:pPr>
          </w:p>
        </w:tc>
        <w:tc>
          <w:tcPr>
            <w:tcW w:w="1389" w:type="dxa"/>
            <w:vAlign w:val="center"/>
          </w:tcPr>
          <w:p w:rsidR="00C46069" w:rsidRPr="00805964" w:rsidRDefault="00C46069" w:rsidP="0029635A">
            <w:pPr>
              <w:contextualSpacing/>
              <w:jc w:val="center"/>
              <w:rPr>
                <w:b/>
              </w:rPr>
            </w:pPr>
            <w:r w:rsidRPr="00805964">
              <w:rPr>
                <w:b/>
              </w:rPr>
              <w:t>32</w:t>
            </w:r>
          </w:p>
        </w:tc>
        <w:tc>
          <w:tcPr>
            <w:tcW w:w="1269" w:type="dxa"/>
            <w:vAlign w:val="center"/>
          </w:tcPr>
          <w:p w:rsidR="00C46069" w:rsidRPr="00805964" w:rsidRDefault="00C46069" w:rsidP="0029635A">
            <w:pPr>
              <w:contextualSpacing/>
              <w:jc w:val="center"/>
              <w:rPr>
                <w:b/>
              </w:rPr>
            </w:pPr>
            <w:r w:rsidRPr="00805964">
              <w:rPr>
                <w:b/>
              </w:rPr>
              <w:t>14,25</w:t>
            </w:r>
          </w:p>
        </w:tc>
      </w:tr>
    </w:tbl>
    <w:p w:rsidR="00265145" w:rsidRPr="00805964" w:rsidRDefault="00265145" w:rsidP="00265145">
      <w:pPr>
        <w:spacing w:line="360" w:lineRule="auto"/>
        <w:contextualSpacing/>
        <w:jc w:val="center"/>
        <w:rPr>
          <w:i/>
          <w:sz w:val="22"/>
        </w:rPr>
      </w:pPr>
      <w:r w:rsidRPr="00805964">
        <w:rPr>
          <w:i/>
          <w:sz w:val="22"/>
        </w:rPr>
        <w:t>Zpracoval: Autor.</w:t>
      </w:r>
    </w:p>
    <w:p w:rsidR="0065529C" w:rsidRPr="00805964" w:rsidRDefault="0065529C" w:rsidP="0029635A">
      <w:pPr>
        <w:spacing w:line="360" w:lineRule="auto"/>
        <w:contextualSpacing/>
        <w:jc w:val="both"/>
      </w:pPr>
    </w:p>
    <w:p w:rsidR="004D1DC7" w:rsidRPr="00805964" w:rsidRDefault="004D1DC7" w:rsidP="0029635A">
      <w:pPr>
        <w:spacing w:line="360" w:lineRule="auto"/>
        <w:contextualSpacing/>
        <w:jc w:val="both"/>
        <w:rPr>
          <w:u w:val="single"/>
        </w:rPr>
      </w:pPr>
    </w:p>
    <w:p w:rsidR="00B22125" w:rsidRPr="00805964" w:rsidRDefault="00B22125" w:rsidP="0029635A">
      <w:pPr>
        <w:spacing w:line="360" w:lineRule="auto"/>
        <w:contextualSpacing/>
        <w:jc w:val="both"/>
        <w:rPr>
          <w:szCs w:val="24"/>
          <w:u w:val="single"/>
        </w:rPr>
      </w:pPr>
      <w:r w:rsidRPr="00805964">
        <w:rPr>
          <w:u w:val="single"/>
        </w:rPr>
        <w:t>Výpočet vážené poměrné efektivity v této variantě je následující</w:t>
      </w:r>
      <w:r w:rsidRPr="00805964">
        <w:rPr>
          <w:szCs w:val="24"/>
          <w:u w:val="single"/>
        </w:rPr>
        <w:t>:</w:t>
      </w:r>
    </w:p>
    <w:p w:rsidR="00B22125" w:rsidRPr="00805964" w:rsidRDefault="00B22125" w:rsidP="0029635A">
      <w:pPr>
        <w:spacing w:line="360" w:lineRule="auto"/>
        <w:contextualSpacing/>
        <w:jc w:val="both"/>
      </w:pPr>
    </w:p>
    <w:p w:rsidR="00B22125" w:rsidRPr="00805964" w:rsidRDefault="00EE58B6" w:rsidP="0029635A">
      <w:pPr>
        <w:spacing w:line="360" w:lineRule="auto"/>
        <w:contextualSpacing/>
        <w:jc w:val="both"/>
        <w:rPr>
          <w:szCs w:val="24"/>
        </w:rPr>
      </w:pPr>
      <m:oMathPara>
        <m:oMath>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0∙4</m:t>
                  </m:r>
                </m:e>
              </m:d>
              <m:r>
                <w:rPr>
                  <w:rFonts w:ascii="Cambria Math" w:hAnsi="Cambria Math"/>
                  <w:szCs w:val="24"/>
                </w:rPr>
                <m:t>+</m:t>
              </m:r>
              <m:d>
                <m:dPr>
                  <m:ctrlPr>
                    <w:rPr>
                      <w:rFonts w:ascii="Cambria Math" w:hAnsi="Cambria Math"/>
                      <w:i/>
                      <w:szCs w:val="24"/>
                    </w:rPr>
                  </m:ctrlPr>
                </m:dPr>
                <m:e>
                  <m:r>
                    <w:rPr>
                      <w:rFonts w:ascii="Cambria Math" w:hAnsi="Cambria Math"/>
                      <w:szCs w:val="24"/>
                    </w:rPr>
                    <m:t>0∙2</m:t>
                  </m:r>
                </m:e>
              </m:d>
              <m:r>
                <w:rPr>
                  <w:rFonts w:ascii="Cambria Math" w:hAnsi="Cambria Math"/>
                  <w:szCs w:val="24"/>
                </w:rPr>
                <m:t>+</m:t>
              </m:r>
              <m:d>
                <m:dPr>
                  <m:ctrlPr>
                    <w:rPr>
                      <w:rFonts w:ascii="Cambria Math" w:hAnsi="Cambria Math"/>
                      <w:i/>
                      <w:szCs w:val="24"/>
                    </w:rPr>
                  </m:ctrlPr>
                </m:dPr>
                <m:e>
                  <m:r>
                    <w:rPr>
                      <w:rFonts w:ascii="Cambria Math" w:hAnsi="Cambria Math"/>
                      <w:szCs w:val="24"/>
                    </w:rPr>
                    <m:t>3∙1</m:t>
                  </m:r>
                </m:e>
              </m:d>
              <m:r>
                <w:rPr>
                  <w:rFonts w:ascii="Cambria Math" w:hAnsi="Cambria Math"/>
                  <w:szCs w:val="24"/>
                </w:rPr>
                <m:t>+</m:t>
              </m:r>
              <m:d>
                <m:dPr>
                  <m:ctrlPr>
                    <w:rPr>
                      <w:rFonts w:ascii="Cambria Math" w:hAnsi="Cambria Math"/>
                      <w:i/>
                      <w:szCs w:val="24"/>
                    </w:rPr>
                  </m:ctrlPr>
                </m:dPr>
                <m:e>
                  <m:r>
                    <w:rPr>
                      <w:rFonts w:ascii="Cambria Math" w:hAnsi="Cambria Math"/>
                      <w:szCs w:val="24"/>
                    </w:rPr>
                    <m:t>5∙0</m:t>
                  </m:r>
                </m:e>
              </m:d>
              <m:r>
                <w:rPr>
                  <w:rFonts w:ascii="Cambria Math" w:hAnsi="Cambria Math"/>
                  <w:szCs w:val="24"/>
                </w:rPr>
                <m:t>+</m:t>
              </m:r>
              <m:d>
                <m:dPr>
                  <m:ctrlPr>
                    <w:rPr>
                      <w:rFonts w:ascii="Cambria Math" w:hAnsi="Cambria Math"/>
                      <w:i/>
                      <w:szCs w:val="24"/>
                    </w:rPr>
                  </m:ctrlPr>
                </m:dPr>
                <m:e>
                  <m:r>
                    <w:rPr>
                      <w:rFonts w:ascii="Cambria Math" w:hAnsi="Cambria Math"/>
                      <w:szCs w:val="24"/>
                    </w:rPr>
                    <m:t>9∙0</m:t>
                  </m:r>
                </m:e>
              </m:d>
              <m:r>
                <w:rPr>
                  <w:rFonts w:ascii="Cambria Math" w:hAnsi="Cambria Math"/>
                  <w:szCs w:val="24"/>
                </w:rPr>
                <m:t>+</m:t>
              </m:r>
              <m:d>
                <m:dPr>
                  <m:ctrlPr>
                    <w:rPr>
                      <w:rFonts w:ascii="Cambria Math" w:hAnsi="Cambria Math"/>
                      <w:i/>
                      <w:szCs w:val="24"/>
                    </w:rPr>
                  </m:ctrlPr>
                </m:dPr>
                <m:e>
                  <m:r>
                    <w:rPr>
                      <w:rFonts w:ascii="Cambria Math" w:hAnsi="Cambria Math"/>
                      <w:szCs w:val="24"/>
                    </w:rPr>
                    <m:t>15∙0,75</m:t>
                  </m:r>
                </m:e>
              </m:d>
              <m:r>
                <w:rPr>
                  <w:rFonts w:ascii="Cambria Math" w:hAnsi="Cambria Math"/>
                  <w:szCs w:val="24"/>
                </w:rPr>
                <m:t>+</m:t>
              </m:r>
              <m:d>
                <m:dPr>
                  <m:ctrlPr>
                    <w:rPr>
                      <w:rFonts w:ascii="Cambria Math" w:hAnsi="Cambria Math"/>
                      <w:i/>
                      <w:szCs w:val="24"/>
                    </w:rPr>
                  </m:ctrlPr>
                </m:dPr>
                <m:e>
                  <m:r>
                    <w:rPr>
                      <w:rFonts w:ascii="Cambria Math" w:hAnsi="Cambria Math"/>
                      <w:szCs w:val="24"/>
                    </w:rPr>
                    <m:t>0∙2</m:t>
                  </m:r>
                </m:e>
              </m:d>
            </m:num>
            <m:den>
              <m:d>
                <m:dPr>
                  <m:ctrlPr>
                    <w:rPr>
                      <w:rFonts w:ascii="Cambria Math" w:hAnsi="Cambria Math"/>
                      <w:i/>
                      <w:szCs w:val="24"/>
                    </w:rPr>
                  </m:ctrlPr>
                </m:dPr>
                <m:e>
                  <m:r>
                    <w:rPr>
                      <w:rFonts w:ascii="Cambria Math" w:hAnsi="Cambria Math"/>
                      <w:szCs w:val="24"/>
                    </w:rPr>
                    <m:t>0∙4</m:t>
                  </m:r>
                </m:e>
              </m:d>
              <m:r>
                <w:rPr>
                  <w:rFonts w:ascii="Cambria Math" w:hAnsi="Cambria Math"/>
                  <w:szCs w:val="24"/>
                </w:rPr>
                <m:t>+</m:t>
              </m:r>
              <m:d>
                <m:dPr>
                  <m:ctrlPr>
                    <w:rPr>
                      <w:rFonts w:ascii="Cambria Math" w:hAnsi="Cambria Math"/>
                      <w:i/>
                      <w:szCs w:val="24"/>
                    </w:rPr>
                  </m:ctrlPr>
                </m:dPr>
                <m:e>
                  <m:r>
                    <w:rPr>
                      <w:rFonts w:ascii="Cambria Math" w:hAnsi="Cambria Math"/>
                      <w:szCs w:val="24"/>
                    </w:rPr>
                    <m:t>0∙2</m:t>
                  </m:r>
                </m:e>
              </m:d>
              <m:r>
                <w:rPr>
                  <w:rFonts w:ascii="Cambria Math" w:hAnsi="Cambria Math"/>
                  <w:szCs w:val="24"/>
                </w:rPr>
                <m:t>+</m:t>
              </m:r>
              <m:d>
                <m:dPr>
                  <m:ctrlPr>
                    <w:rPr>
                      <w:rFonts w:ascii="Cambria Math" w:hAnsi="Cambria Math"/>
                      <w:i/>
                      <w:szCs w:val="24"/>
                    </w:rPr>
                  </m:ctrlPr>
                </m:dPr>
                <m:e>
                  <m:r>
                    <w:rPr>
                      <w:rFonts w:ascii="Cambria Math" w:hAnsi="Cambria Math"/>
                      <w:szCs w:val="24"/>
                    </w:rPr>
                    <m:t>3+5</m:t>
                  </m:r>
                </m:e>
              </m:d>
              <m:r>
                <w:rPr>
                  <w:rFonts w:ascii="Cambria Math" w:hAnsi="Cambria Math"/>
                  <w:szCs w:val="24"/>
                </w:rPr>
                <m:t>∙1+</m:t>
              </m:r>
              <m:d>
                <m:dPr>
                  <m:ctrlPr>
                    <w:rPr>
                      <w:rFonts w:ascii="Cambria Math" w:hAnsi="Cambria Math"/>
                      <w:i/>
                      <w:szCs w:val="24"/>
                    </w:rPr>
                  </m:ctrlPr>
                </m:dPr>
                <m:e>
                  <m:r>
                    <w:rPr>
                      <w:rFonts w:ascii="Cambria Math" w:hAnsi="Cambria Math"/>
                      <w:szCs w:val="24"/>
                    </w:rPr>
                    <m:t>9+15</m:t>
                  </m:r>
                </m:e>
              </m:d>
              <m:r>
                <w:rPr>
                  <w:rFonts w:ascii="Cambria Math" w:hAnsi="Cambria Math"/>
                  <w:szCs w:val="24"/>
                </w:rPr>
                <m:t>∙0,75+</m:t>
              </m:r>
              <m:d>
                <m:dPr>
                  <m:ctrlPr>
                    <w:rPr>
                      <w:rFonts w:ascii="Cambria Math" w:hAnsi="Cambria Math"/>
                      <w:i/>
                      <w:szCs w:val="24"/>
                    </w:rPr>
                  </m:ctrlPr>
                </m:dPr>
                <m:e>
                  <m:r>
                    <w:rPr>
                      <w:rFonts w:ascii="Cambria Math" w:hAnsi="Cambria Math"/>
                      <w:szCs w:val="24"/>
                    </w:rPr>
                    <m:t>0∙2</m:t>
                  </m:r>
                </m:e>
              </m:d>
            </m:den>
          </m:f>
        </m:oMath>
      </m:oMathPara>
    </w:p>
    <w:p w:rsidR="00B22125" w:rsidRPr="00805964" w:rsidRDefault="00B22125" w:rsidP="0029635A">
      <w:pPr>
        <w:spacing w:line="360" w:lineRule="auto"/>
        <w:contextualSpacing/>
        <w:jc w:val="both"/>
        <w:rPr>
          <w:rFonts w:eastAsiaTheme="minorEastAsia"/>
          <w:szCs w:val="24"/>
        </w:rPr>
      </w:pPr>
    </w:p>
    <w:p w:rsidR="00B22125" w:rsidRPr="00805964" w:rsidRDefault="00B22125" w:rsidP="0029635A">
      <w:pPr>
        <w:spacing w:line="360" w:lineRule="auto"/>
        <w:contextualSpacing/>
        <w:jc w:val="both"/>
        <w:rPr>
          <w:b/>
          <w:i/>
          <w:szCs w:val="24"/>
        </w:rPr>
      </w:pPr>
      <m:oMathPara>
        <m:oMath>
          <m:r>
            <w:rPr>
              <w:rFonts w:ascii="Cambria Math" w:hAnsi="Cambria Math"/>
              <w:szCs w:val="24"/>
            </w:rPr>
            <m:t>=</m:t>
          </m:r>
          <m:f>
            <m:fPr>
              <m:ctrlPr>
                <w:rPr>
                  <w:rFonts w:ascii="Cambria Math" w:hAnsi="Cambria Math"/>
                  <w:i/>
                  <w:szCs w:val="24"/>
                </w:rPr>
              </m:ctrlPr>
            </m:fPr>
            <m:num>
              <m:r>
                <w:rPr>
                  <w:rFonts w:ascii="Cambria Math" w:hAnsi="Cambria Math"/>
                  <w:szCs w:val="24"/>
                </w:rPr>
                <m:t>0+0+3+0+0+11,25+0</m:t>
              </m:r>
            </m:num>
            <m:den>
              <m:r>
                <w:rPr>
                  <w:rFonts w:ascii="Cambria Math" w:hAnsi="Cambria Math"/>
                  <w:szCs w:val="24"/>
                </w:rPr>
                <m:t>0+0+8+18+0</m:t>
              </m:r>
            </m:den>
          </m:f>
          <m:r>
            <w:rPr>
              <w:rFonts w:ascii="Cambria Math" w:hAnsi="Cambria Math"/>
              <w:szCs w:val="24"/>
            </w:rPr>
            <m:t>=</m:t>
          </m:r>
          <m:f>
            <m:fPr>
              <m:ctrlPr>
                <w:rPr>
                  <w:rFonts w:ascii="Cambria Math" w:hAnsi="Cambria Math"/>
                  <w:i/>
                  <w:szCs w:val="24"/>
                </w:rPr>
              </m:ctrlPr>
            </m:fPr>
            <m:num>
              <m:r>
                <w:rPr>
                  <w:rFonts w:ascii="Cambria Math" w:hAnsi="Cambria Math"/>
                  <w:szCs w:val="24"/>
                </w:rPr>
                <m:t>14,25</m:t>
              </m:r>
            </m:num>
            <m:den>
              <m:r>
                <w:rPr>
                  <w:rFonts w:ascii="Cambria Math" w:hAnsi="Cambria Math"/>
                  <w:szCs w:val="24"/>
                </w:rPr>
                <m:t>26</m:t>
              </m:r>
            </m:den>
          </m:f>
          <m:r>
            <w:rPr>
              <w:rFonts w:ascii="Cambria Math" w:hAnsi="Cambria Math"/>
              <w:szCs w:val="24"/>
            </w:rPr>
            <m:t>=</m:t>
          </m:r>
          <m:r>
            <m:rPr>
              <m:sty m:val="bi"/>
            </m:rPr>
            <w:rPr>
              <w:rFonts w:ascii="Cambria Math" w:hAnsi="Cambria Math"/>
              <w:szCs w:val="24"/>
            </w:rPr>
            <m:t>54,80 %</m:t>
          </m:r>
        </m:oMath>
      </m:oMathPara>
    </w:p>
    <w:p w:rsidR="0065529C" w:rsidRPr="00805964" w:rsidRDefault="0065529C" w:rsidP="0029635A">
      <w:pPr>
        <w:spacing w:line="360" w:lineRule="auto"/>
        <w:contextualSpacing/>
        <w:jc w:val="both"/>
      </w:pPr>
    </w:p>
    <w:p w:rsidR="00844514" w:rsidRPr="00805964" w:rsidRDefault="00844514" w:rsidP="0029635A">
      <w:pPr>
        <w:spacing w:line="360" w:lineRule="auto"/>
        <w:contextualSpacing/>
        <w:jc w:val="both"/>
      </w:pPr>
    </w:p>
    <w:p w:rsidR="0029635A" w:rsidRPr="00805964" w:rsidRDefault="001A59F3" w:rsidP="0029635A">
      <w:pPr>
        <w:spacing w:line="360" w:lineRule="auto"/>
        <w:contextualSpacing/>
        <w:jc w:val="both"/>
      </w:pPr>
      <w:r w:rsidRPr="00805964">
        <w:tab/>
      </w:r>
      <w:r w:rsidR="00BD0DCB" w:rsidRPr="00805964">
        <w:t xml:space="preserve">Za sedmé funkční období Senát obdržel v první variantě měření 211 bodů ze 178 situací, což ve druhé variantě znamená v průměru 1,18 bodu za každý případ či situaci, která může během legislativního procesu nastat. Senátu se v tomto období podařilo změnit </w:t>
      </w:r>
      <w:r w:rsidR="00BD0DCB" w:rsidRPr="00805964">
        <w:lastRenderedPageBreak/>
        <w:t>rozhodnutí Poslanecké sněmovny v celkem 56,25 % případů. Vážená poměrná efektivita Senátu pak byla vypočtena na 54,80 %.</w:t>
      </w:r>
    </w:p>
    <w:p w:rsidR="0029635A" w:rsidRPr="00805964" w:rsidRDefault="0029635A" w:rsidP="0029635A">
      <w:pPr>
        <w:spacing w:line="360" w:lineRule="auto"/>
        <w:contextualSpacing/>
        <w:jc w:val="both"/>
      </w:pPr>
    </w:p>
    <w:p w:rsidR="00FF1269" w:rsidRPr="00805964" w:rsidRDefault="00FF1269" w:rsidP="0029635A">
      <w:pPr>
        <w:pStyle w:val="Nadpis2"/>
        <w:contextualSpacing/>
      </w:pPr>
      <w:bookmarkStart w:id="31" w:name="_Toc359918297"/>
      <w:r w:rsidRPr="00805964">
        <w:t>3. 4 Srovnání všech období a zhodnocení výsledků</w:t>
      </w:r>
      <w:bookmarkEnd w:id="31"/>
    </w:p>
    <w:p w:rsidR="005B46E7" w:rsidRPr="00805964" w:rsidRDefault="005B46E7" w:rsidP="0029635A">
      <w:pPr>
        <w:spacing w:line="360" w:lineRule="auto"/>
        <w:contextualSpacing/>
        <w:jc w:val="both"/>
      </w:pPr>
    </w:p>
    <w:p w:rsidR="00C230B0" w:rsidRPr="00805964" w:rsidRDefault="00FC0C7C" w:rsidP="0029635A">
      <w:pPr>
        <w:spacing w:line="360" w:lineRule="auto"/>
        <w:contextualSpacing/>
        <w:jc w:val="both"/>
      </w:pPr>
      <w:r w:rsidRPr="00805964">
        <w:tab/>
      </w:r>
      <w:r w:rsidR="006A2CCD" w:rsidRPr="00805964">
        <w:t>Předmětem poslední podkapitoly této práce je srovnání a zhodnocení výsledků měření provedených v předešlých kapitolách. V průběhu analýzy jsme nasbírali velk</w:t>
      </w:r>
      <w:r w:rsidR="00103F11" w:rsidRPr="00805964">
        <w:t xml:space="preserve">ý objem dat, na jejichž základě odpovíme </w:t>
      </w:r>
      <w:r w:rsidR="006A2CCD" w:rsidRPr="00805964">
        <w:t xml:space="preserve">na výzkumné otázky a zároveň </w:t>
      </w:r>
      <w:r w:rsidR="00103F11" w:rsidRPr="00805964">
        <w:t xml:space="preserve">potvrdíme či vyvrátíme </w:t>
      </w:r>
      <w:r w:rsidR="006A2CCD" w:rsidRPr="00805964">
        <w:t>hypotézu stanovenou v úvodu práce. Abychom s výslednými hodnotami mohli pracovat</w:t>
      </w:r>
      <w:r w:rsidR="000266FA">
        <w:t>,</w:t>
      </w:r>
      <w:r w:rsidR="006A2CCD" w:rsidRPr="00805964">
        <w:t xml:space="preserve"> byla vytvořena tabulka č. 25, která přehledně zobrazuje naměřené hodnoty pro všechny varianty u všech námi analyzovaných období. </w:t>
      </w:r>
      <w:r w:rsidR="00695801" w:rsidRPr="00805964">
        <w:t xml:space="preserve">Barevně jsou zde rozlišena období stejných a rozdílných většin v obou komorách Parlamentu. </w:t>
      </w:r>
      <w:r w:rsidR="006A2CCD" w:rsidRPr="00805964">
        <w:t>Na základě této tabulky budeme moci naměřené hodnoty snadněji porovnat a zhodnotit tak výstupy této práce.</w:t>
      </w:r>
    </w:p>
    <w:p w:rsidR="006A2CCD" w:rsidRPr="00805964" w:rsidRDefault="006A2CCD" w:rsidP="0029635A">
      <w:pPr>
        <w:spacing w:line="360" w:lineRule="auto"/>
        <w:contextualSpacing/>
        <w:jc w:val="both"/>
      </w:pPr>
      <w:r w:rsidRPr="00805964">
        <w:tab/>
        <w:t xml:space="preserve">Prvním krokem nezbytným pro další analýzu je </w:t>
      </w:r>
      <w:r w:rsidR="00FC0C7C" w:rsidRPr="00805964">
        <w:t>v</w:t>
      </w:r>
      <w:r w:rsidR="002A0CC6" w:rsidRPr="00805964">
        <w:t xml:space="preserve">ýpočet aritmetického </w:t>
      </w:r>
      <w:r w:rsidR="00FC0C7C" w:rsidRPr="00805964">
        <w:t xml:space="preserve">průměru </w:t>
      </w:r>
      <w:r w:rsidR="00A437D8">
        <w:br/>
      </w:r>
      <w:r w:rsidR="00FC0C7C" w:rsidRPr="00805964">
        <w:t>z naměřených hodnot u jednotlivých variant pro všechna období mimo námi vybraná dvě hlavní období, která budou poté na základě tohoto průměru s ostatními obdobími porovnávána. Abychom dosáhli co nejobjektivnějších výsledků</w:t>
      </w:r>
      <w:r w:rsidR="000266FA">
        <w:t>,</w:t>
      </w:r>
      <w:r w:rsidR="00FC0C7C" w:rsidRPr="00805964">
        <w:t xml:space="preserve"> bude mimo průměru pro každou variantu vypočítána i směrodatn</w:t>
      </w:r>
      <w:r w:rsidR="00F87B13" w:rsidRPr="00805964">
        <w:t>á</w:t>
      </w:r>
      <w:r w:rsidR="00FC0C7C" w:rsidRPr="00805964">
        <w:t xml:space="preserve"> odchylka dle níže uvedené rovnice sloužící k tomuto účelu.</w:t>
      </w:r>
      <w:r w:rsidR="002F1FC0" w:rsidRPr="00805964">
        <w:t xml:space="preserve"> </w:t>
      </w:r>
      <w:r w:rsidR="00F87B13" w:rsidRPr="00805964">
        <w:t>Směrodatná odchylka vypovídá o tom, jak moc se od sebe navzájem liší typické případy v souboru čísel. Pokud je směrodatná odchylka malá</w:t>
      </w:r>
      <w:r w:rsidR="00145E7D" w:rsidRPr="00805964">
        <w:t>, jsou si naměřené hodnoty blízké, naopak pokud je velká</w:t>
      </w:r>
      <w:r w:rsidR="000266FA">
        <w:t>,</w:t>
      </w:r>
      <w:r w:rsidR="00145E7D" w:rsidRPr="00805964">
        <w:t xml:space="preserve"> hodnoty se výrazně liší.</w:t>
      </w:r>
      <w:r w:rsidR="00F87B13" w:rsidRPr="00805964">
        <w:t xml:space="preserve"> </w:t>
      </w:r>
      <w:r w:rsidR="002F1FC0" w:rsidRPr="00805964">
        <w:t xml:space="preserve">Výsledné průměry a směrodatné odchylky pro jednotlivé varianty budou poté porovnány s hodnotami naměřenými v šestém </w:t>
      </w:r>
      <w:r w:rsidR="00DC2678">
        <w:t>a </w:t>
      </w:r>
      <w:r w:rsidR="002F1FC0" w:rsidRPr="00805964">
        <w:t>osmém funkčním období Senátu, tedy s</w:t>
      </w:r>
      <w:r w:rsidR="000266FA">
        <w:t>e</w:t>
      </w:r>
      <w:r w:rsidR="002F1FC0" w:rsidRPr="00805964">
        <w:t xml:space="preserve"> dvěma hlavními obdobími naší analýzy.</w:t>
      </w:r>
    </w:p>
    <w:p w:rsidR="00B11D02" w:rsidRPr="00805964" w:rsidRDefault="00B11D02" w:rsidP="0029635A">
      <w:pPr>
        <w:spacing w:line="360" w:lineRule="auto"/>
        <w:contextualSpacing/>
        <w:jc w:val="both"/>
      </w:pPr>
    </w:p>
    <w:p w:rsidR="00BD0DCB" w:rsidRPr="00805964" w:rsidRDefault="003961E8" w:rsidP="003961E8">
      <w:pPr>
        <w:spacing w:line="360" w:lineRule="auto"/>
        <w:contextualSpacing/>
        <w:jc w:val="center"/>
      </w:pPr>
      <w:r w:rsidRPr="00805964">
        <w:rPr>
          <w:b/>
          <w:sz w:val="22"/>
          <w:u w:val="single"/>
        </w:rPr>
        <w:t>Tabulka č. 25: Výsledné hodnoty všech variant za všechna období</w:t>
      </w:r>
    </w:p>
    <w:tbl>
      <w:tblPr>
        <w:tblStyle w:val="Mkatabulky"/>
        <w:tblW w:w="0" w:type="auto"/>
        <w:tblLook w:val="04A0"/>
      </w:tblPr>
      <w:tblGrid>
        <w:gridCol w:w="1842"/>
        <w:gridCol w:w="1842"/>
        <w:gridCol w:w="1842"/>
        <w:gridCol w:w="1842"/>
        <w:gridCol w:w="1843"/>
      </w:tblGrid>
      <w:tr w:rsidR="00C230B0" w:rsidRPr="00805964" w:rsidTr="00C230B0">
        <w:tc>
          <w:tcPr>
            <w:tcW w:w="1842" w:type="dxa"/>
            <w:vAlign w:val="center"/>
          </w:tcPr>
          <w:p w:rsidR="00C230B0" w:rsidRPr="00805964" w:rsidRDefault="00C230B0" w:rsidP="0029635A">
            <w:pPr>
              <w:spacing w:line="360" w:lineRule="auto"/>
              <w:contextualSpacing/>
              <w:jc w:val="center"/>
            </w:pPr>
          </w:p>
        </w:tc>
        <w:tc>
          <w:tcPr>
            <w:tcW w:w="1842" w:type="dxa"/>
            <w:vAlign w:val="center"/>
          </w:tcPr>
          <w:p w:rsidR="00C230B0" w:rsidRPr="00805964" w:rsidRDefault="00C230B0" w:rsidP="0029635A">
            <w:pPr>
              <w:spacing w:line="360" w:lineRule="auto"/>
              <w:contextualSpacing/>
              <w:jc w:val="center"/>
              <w:rPr>
                <w:b/>
              </w:rPr>
            </w:pPr>
            <w:r w:rsidRPr="00805964">
              <w:rPr>
                <w:b/>
              </w:rPr>
              <w:t>Varianta č. 1</w:t>
            </w:r>
          </w:p>
        </w:tc>
        <w:tc>
          <w:tcPr>
            <w:tcW w:w="1842" w:type="dxa"/>
            <w:vAlign w:val="center"/>
          </w:tcPr>
          <w:p w:rsidR="00C230B0" w:rsidRPr="00805964" w:rsidRDefault="00C230B0" w:rsidP="0029635A">
            <w:pPr>
              <w:spacing w:line="360" w:lineRule="auto"/>
              <w:contextualSpacing/>
              <w:jc w:val="center"/>
              <w:rPr>
                <w:b/>
              </w:rPr>
            </w:pPr>
            <w:r w:rsidRPr="00805964">
              <w:rPr>
                <w:b/>
              </w:rPr>
              <w:t>Varianta č. 2</w:t>
            </w:r>
          </w:p>
        </w:tc>
        <w:tc>
          <w:tcPr>
            <w:tcW w:w="1842" w:type="dxa"/>
            <w:vAlign w:val="center"/>
          </w:tcPr>
          <w:p w:rsidR="00C230B0" w:rsidRPr="00805964" w:rsidRDefault="00C230B0" w:rsidP="0029635A">
            <w:pPr>
              <w:spacing w:line="360" w:lineRule="auto"/>
              <w:contextualSpacing/>
              <w:jc w:val="center"/>
              <w:rPr>
                <w:b/>
              </w:rPr>
            </w:pPr>
            <w:r w:rsidRPr="00805964">
              <w:rPr>
                <w:b/>
              </w:rPr>
              <w:t>Varianta č. 3</w:t>
            </w:r>
          </w:p>
        </w:tc>
        <w:tc>
          <w:tcPr>
            <w:tcW w:w="1843" w:type="dxa"/>
            <w:vAlign w:val="center"/>
          </w:tcPr>
          <w:p w:rsidR="00C230B0" w:rsidRPr="00805964" w:rsidRDefault="00C230B0" w:rsidP="0029635A">
            <w:pPr>
              <w:spacing w:line="360" w:lineRule="auto"/>
              <w:contextualSpacing/>
              <w:jc w:val="center"/>
              <w:rPr>
                <w:b/>
              </w:rPr>
            </w:pPr>
            <w:r w:rsidRPr="00805964">
              <w:rPr>
                <w:b/>
              </w:rPr>
              <w:t>Varianta č. 4</w:t>
            </w:r>
          </w:p>
        </w:tc>
      </w:tr>
      <w:tr w:rsidR="00C230B0" w:rsidRPr="00805964" w:rsidTr="00103F11">
        <w:tc>
          <w:tcPr>
            <w:tcW w:w="1842" w:type="dxa"/>
            <w:shd w:val="clear" w:color="auto" w:fill="8DB3E2" w:themeFill="text2" w:themeFillTint="66"/>
            <w:vAlign w:val="center"/>
          </w:tcPr>
          <w:p w:rsidR="00C230B0" w:rsidRPr="00805964" w:rsidRDefault="00C230B0" w:rsidP="0029635A">
            <w:pPr>
              <w:spacing w:line="360" w:lineRule="auto"/>
              <w:contextualSpacing/>
              <w:jc w:val="center"/>
              <w:rPr>
                <w:b/>
              </w:rPr>
            </w:pPr>
            <w:r w:rsidRPr="00805964">
              <w:rPr>
                <w:b/>
              </w:rPr>
              <w:t>3. období</w:t>
            </w:r>
          </w:p>
        </w:tc>
        <w:tc>
          <w:tcPr>
            <w:tcW w:w="1842" w:type="dxa"/>
            <w:shd w:val="clear" w:color="auto" w:fill="B8CCE4" w:themeFill="accent1" w:themeFillTint="66"/>
            <w:vAlign w:val="center"/>
          </w:tcPr>
          <w:p w:rsidR="00C230B0" w:rsidRPr="00805964" w:rsidRDefault="00C230B0" w:rsidP="0029635A">
            <w:pPr>
              <w:spacing w:line="360" w:lineRule="auto"/>
              <w:contextualSpacing/>
              <w:jc w:val="center"/>
            </w:pPr>
            <w:r w:rsidRPr="00805964">
              <w:t xml:space="preserve">245 </w:t>
            </w:r>
            <w:proofErr w:type="spellStart"/>
            <w:r w:rsidRPr="00805964">
              <w:t>b</w:t>
            </w:r>
            <w:proofErr w:type="spellEnd"/>
            <w:r w:rsidRPr="00805964">
              <w:t>.</w:t>
            </w:r>
          </w:p>
        </w:tc>
        <w:tc>
          <w:tcPr>
            <w:tcW w:w="1842" w:type="dxa"/>
            <w:shd w:val="clear" w:color="auto" w:fill="B8CCE4" w:themeFill="accent1" w:themeFillTint="66"/>
            <w:vAlign w:val="center"/>
          </w:tcPr>
          <w:p w:rsidR="00C230B0" w:rsidRPr="00805964" w:rsidRDefault="00C230B0" w:rsidP="0029635A">
            <w:pPr>
              <w:spacing w:line="360" w:lineRule="auto"/>
              <w:contextualSpacing/>
              <w:jc w:val="center"/>
            </w:pPr>
            <w:r w:rsidRPr="00805964">
              <w:t xml:space="preserve">1,01 </w:t>
            </w:r>
            <w:proofErr w:type="spellStart"/>
            <w:r w:rsidRPr="00805964">
              <w:t>b</w:t>
            </w:r>
            <w:proofErr w:type="spellEnd"/>
            <w:r w:rsidRPr="00805964">
              <w:t>.</w:t>
            </w:r>
          </w:p>
        </w:tc>
        <w:tc>
          <w:tcPr>
            <w:tcW w:w="1842" w:type="dxa"/>
            <w:shd w:val="clear" w:color="auto" w:fill="B8CCE4" w:themeFill="accent1" w:themeFillTint="66"/>
            <w:vAlign w:val="center"/>
          </w:tcPr>
          <w:p w:rsidR="00C230B0" w:rsidRPr="00805964" w:rsidRDefault="00C230B0" w:rsidP="0029635A">
            <w:pPr>
              <w:spacing w:line="360" w:lineRule="auto"/>
              <w:contextualSpacing/>
              <w:jc w:val="center"/>
            </w:pPr>
            <w:r w:rsidRPr="00805964">
              <w:t>64,70 %</w:t>
            </w:r>
          </w:p>
        </w:tc>
        <w:tc>
          <w:tcPr>
            <w:tcW w:w="1843" w:type="dxa"/>
            <w:shd w:val="clear" w:color="auto" w:fill="B8CCE4" w:themeFill="accent1" w:themeFillTint="66"/>
            <w:vAlign w:val="center"/>
          </w:tcPr>
          <w:p w:rsidR="00C230B0" w:rsidRPr="00805964" w:rsidRDefault="00C230B0" w:rsidP="0029635A">
            <w:pPr>
              <w:spacing w:line="360" w:lineRule="auto"/>
              <w:contextualSpacing/>
              <w:jc w:val="center"/>
            </w:pPr>
            <w:r w:rsidRPr="00805964">
              <w:t>71,11 %</w:t>
            </w:r>
          </w:p>
        </w:tc>
      </w:tr>
      <w:tr w:rsidR="00C230B0" w:rsidRPr="00805964" w:rsidTr="00103F11">
        <w:tc>
          <w:tcPr>
            <w:tcW w:w="1842" w:type="dxa"/>
            <w:shd w:val="clear" w:color="auto" w:fill="C2D69B" w:themeFill="accent3" w:themeFillTint="99"/>
            <w:vAlign w:val="center"/>
          </w:tcPr>
          <w:p w:rsidR="00C230B0" w:rsidRPr="00805964" w:rsidRDefault="00C230B0" w:rsidP="0029635A">
            <w:pPr>
              <w:spacing w:line="360" w:lineRule="auto"/>
              <w:contextualSpacing/>
              <w:jc w:val="center"/>
              <w:rPr>
                <w:b/>
              </w:rPr>
            </w:pPr>
            <w:r w:rsidRPr="00805964">
              <w:rPr>
                <w:b/>
              </w:rPr>
              <w:t>4. období</w:t>
            </w:r>
          </w:p>
        </w:tc>
        <w:tc>
          <w:tcPr>
            <w:tcW w:w="1842" w:type="dxa"/>
            <w:shd w:val="clear" w:color="auto" w:fill="D6E3BC" w:themeFill="accent3" w:themeFillTint="66"/>
            <w:vAlign w:val="center"/>
          </w:tcPr>
          <w:p w:rsidR="00C230B0" w:rsidRPr="00805964" w:rsidRDefault="00C230B0" w:rsidP="0029635A">
            <w:pPr>
              <w:spacing w:line="360" w:lineRule="auto"/>
              <w:contextualSpacing/>
              <w:jc w:val="center"/>
            </w:pPr>
            <w:r w:rsidRPr="00805964">
              <w:t xml:space="preserve">310 </w:t>
            </w:r>
            <w:proofErr w:type="spellStart"/>
            <w:r w:rsidRPr="00805964">
              <w:t>b</w:t>
            </w:r>
            <w:proofErr w:type="spellEnd"/>
            <w:r w:rsidRPr="00805964">
              <w:t>.</w:t>
            </w:r>
          </w:p>
        </w:tc>
        <w:tc>
          <w:tcPr>
            <w:tcW w:w="1842" w:type="dxa"/>
            <w:shd w:val="clear" w:color="auto" w:fill="D6E3BC" w:themeFill="accent3" w:themeFillTint="66"/>
            <w:vAlign w:val="center"/>
          </w:tcPr>
          <w:p w:rsidR="00C230B0" w:rsidRPr="00805964" w:rsidRDefault="00C230B0" w:rsidP="0029635A">
            <w:pPr>
              <w:spacing w:line="360" w:lineRule="auto"/>
              <w:contextualSpacing/>
              <w:jc w:val="center"/>
            </w:pPr>
            <w:r w:rsidRPr="00805964">
              <w:t xml:space="preserve">1,21 </w:t>
            </w:r>
            <w:proofErr w:type="spellStart"/>
            <w:r w:rsidRPr="00805964">
              <w:t>b</w:t>
            </w:r>
            <w:proofErr w:type="spellEnd"/>
            <w:r w:rsidRPr="00805964">
              <w:t>.</w:t>
            </w:r>
          </w:p>
        </w:tc>
        <w:tc>
          <w:tcPr>
            <w:tcW w:w="1842" w:type="dxa"/>
            <w:shd w:val="clear" w:color="auto" w:fill="D6E3BC" w:themeFill="accent3" w:themeFillTint="66"/>
            <w:vAlign w:val="center"/>
          </w:tcPr>
          <w:p w:rsidR="00C230B0" w:rsidRPr="00805964" w:rsidRDefault="00C230B0" w:rsidP="0029635A">
            <w:pPr>
              <w:spacing w:line="360" w:lineRule="auto"/>
              <w:contextualSpacing/>
              <w:jc w:val="center"/>
            </w:pPr>
            <w:r w:rsidRPr="00805964">
              <w:t>62,16 %</w:t>
            </w:r>
          </w:p>
        </w:tc>
        <w:tc>
          <w:tcPr>
            <w:tcW w:w="1843" w:type="dxa"/>
            <w:shd w:val="clear" w:color="auto" w:fill="D6E3BC" w:themeFill="accent3" w:themeFillTint="66"/>
            <w:vAlign w:val="center"/>
          </w:tcPr>
          <w:p w:rsidR="00C230B0" w:rsidRPr="00805964" w:rsidRDefault="00C230B0" w:rsidP="0029635A">
            <w:pPr>
              <w:spacing w:line="360" w:lineRule="auto"/>
              <w:contextualSpacing/>
              <w:jc w:val="center"/>
            </w:pPr>
            <w:r w:rsidRPr="00805964">
              <w:t>62,85 %</w:t>
            </w:r>
          </w:p>
        </w:tc>
      </w:tr>
      <w:tr w:rsidR="00C230B0" w:rsidRPr="00805964" w:rsidTr="00103F11">
        <w:tc>
          <w:tcPr>
            <w:tcW w:w="1842" w:type="dxa"/>
            <w:shd w:val="clear" w:color="auto" w:fill="C2D69B" w:themeFill="accent3" w:themeFillTint="99"/>
            <w:vAlign w:val="center"/>
          </w:tcPr>
          <w:p w:rsidR="00C230B0" w:rsidRPr="00805964" w:rsidRDefault="00C230B0" w:rsidP="0029635A">
            <w:pPr>
              <w:spacing w:line="360" w:lineRule="auto"/>
              <w:contextualSpacing/>
              <w:jc w:val="center"/>
              <w:rPr>
                <w:b/>
              </w:rPr>
            </w:pPr>
            <w:r w:rsidRPr="00805964">
              <w:rPr>
                <w:b/>
              </w:rPr>
              <w:t>5. období</w:t>
            </w:r>
          </w:p>
        </w:tc>
        <w:tc>
          <w:tcPr>
            <w:tcW w:w="1842" w:type="dxa"/>
            <w:shd w:val="clear" w:color="auto" w:fill="D6E3BC" w:themeFill="accent3" w:themeFillTint="66"/>
            <w:vAlign w:val="center"/>
          </w:tcPr>
          <w:p w:rsidR="00C230B0" w:rsidRPr="00805964" w:rsidRDefault="00C230B0" w:rsidP="0029635A">
            <w:pPr>
              <w:spacing w:line="360" w:lineRule="auto"/>
              <w:contextualSpacing/>
              <w:jc w:val="center"/>
            </w:pPr>
            <w:r w:rsidRPr="00805964">
              <w:t xml:space="preserve">395 </w:t>
            </w:r>
            <w:proofErr w:type="spellStart"/>
            <w:r w:rsidRPr="00805964">
              <w:t>b</w:t>
            </w:r>
            <w:proofErr w:type="spellEnd"/>
            <w:r w:rsidRPr="00805964">
              <w:t>.</w:t>
            </w:r>
          </w:p>
        </w:tc>
        <w:tc>
          <w:tcPr>
            <w:tcW w:w="1842" w:type="dxa"/>
            <w:shd w:val="clear" w:color="auto" w:fill="D6E3BC" w:themeFill="accent3" w:themeFillTint="66"/>
            <w:vAlign w:val="center"/>
          </w:tcPr>
          <w:p w:rsidR="00C230B0" w:rsidRPr="00805964" w:rsidRDefault="00C230B0" w:rsidP="0029635A">
            <w:pPr>
              <w:spacing w:line="360" w:lineRule="auto"/>
              <w:contextualSpacing/>
              <w:jc w:val="center"/>
            </w:pPr>
            <w:r w:rsidRPr="00805964">
              <w:t xml:space="preserve">1,63 </w:t>
            </w:r>
            <w:proofErr w:type="spellStart"/>
            <w:r w:rsidRPr="00805964">
              <w:t>b</w:t>
            </w:r>
            <w:proofErr w:type="spellEnd"/>
            <w:r w:rsidRPr="00805964">
              <w:t>.</w:t>
            </w:r>
          </w:p>
        </w:tc>
        <w:tc>
          <w:tcPr>
            <w:tcW w:w="1842" w:type="dxa"/>
            <w:shd w:val="clear" w:color="auto" w:fill="D6E3BC" w:themeFill="accent3" w:themeFillTint="66"/>
            <w:vAlign w:val="center"/>
          </w:tcPr>
          <w:p w:rsidR="00C230B0" w:rsidRPr="00805964" w:rsidRDefault="00C230B0" w:rsidP="0029635A">
            <w:pPr>
              <w:spacing w:line="360" w:lineRule="auto"/>
              <w:contextualSpacing/>
              <w:jc w:val="center"/>
            </w:pPr>
            <w:r w:rsidRPr="00805964">
              <w:t>53,23 %</w:t>
            </w:r>
          </w:p>
        </w:tc>
        <w:tc>
          <w:tcPr>
            <w:tcW w:w="1843" w:type="dxa"/>
            <w:shd w:val="clear" w:color="auto" w:fill="D6E3BC" w:themeFill="accent3" w:themeFillTint="66"/>
            <w:vAlign w:val="center"/>
          </w:tcPr>
          <w:p w:rsidR="00C230B0" w:rsidRPr="00805964" w:rsidRDefault="00C230B0" w:rsidP="0029635A">
            <w:pPr>
              <w:spacing w:line="360" w:lineRule="auto"/>
              <w:contextualSpacing/>
              <w:jc w:val="center"/>
            </w:pPr>
            <w:r w:rsidRPr="00805964">
              <w:t>56,79 %</w:t>
            </w:r>
          </w:p>
        </w:tc>
      </w:tr>
      <w:tr w:rsidR="00C230B0" w:rsidRPr="00805964" w:rsidTr="00103F11">
        <w:tc>
          <w:tcPr>
            <w:tcW w:w="1842" w:type="dxa"/>
            <w:shd w:val="clear" w:color="auto" w:fill="8DB3E2" w:themeFill="text2" w:themeFillTint="66"/>
            <w:vAlign w:val="center"/>
          </w:tcPr>
          <w:p w:rsidR="00C230B0" w:rsidRPr="00805964" w:rsidRDefault="00C230B0" w:rsidP="0029635A">
            <w:pPr>
              <w:spacing w:line="360" w:lineRule="auto"/>
              <w:contextualSpacing/>
              <w:jc w:val="center"/>
              <w:rPr>
                <w:b/>
              </w:rPr>
            </w:pPr>
            <w:r w:rsidRPr="00805964">
              <w:rPr>
                <w:b/>
              </w:rPr>
              <w:t>6. období</w:t>
            </w:r>
          </w:p>
        </w:tc>
        <w:tc>
          <w:tcPr>
            <w:tcW w:w="1842" w:type="dxa"/>
            <w:shd w:val="clear" w:color="auto" w:fill="B8CCE4" w:themeFill="accent1" w:themeFillTint="66"/>
            <w:vAlign w:val="center"/>
          </w:tcPr>
          <w:p w:rsidR="00C230B0" w:rsidRPr="00805964" w:rsidRDefault="00C230B0" w:rsidP="0029635A">
            <w:pPr>
              <w:spacing w:line="360" w:lineRule="auto"/>
              <w:contextualSpacing/>
              <w:jc w:val="center"/>
            </w:pPr>
            <w:r w:rsidRPr="00805964">
              <w:t xml:space="preserve">200 </w:t>
            </w:r>
            <w:proofErr w:type="spellStart"/>
            <w:r w:rsidRPr="00805964">
              <w:t>b</w:t>
            </w:r>
            <w:proofErr w:type="spellEnd"/>
            <w:r w:rsidRPr="00805964">
              <w:t>.</w:t>
            </w:r>
          </w:p>
        </w:tc>
        <w:tc>
          <w:tcPr>
            <w:tcW w:w="1842" w:type="dxa"/>
            <w:shd w:val="clear" w:color="auto" w:fill="B8CCE4" w:themeFill="accent1" w:themeFillTint="66"/>
            <w:vAlign w:val="center"/>
          </w:tcPr>
          <w:p w:rsidR="00C230B0" w:rsidRPr="00805964" w:rsidRDefault="00C230B0" w:rsidP="0029635A">
            <w:pPr>
              <w:spacing w:line="360" w:lineRule="auto"/>
              <w:contextualSpacing/>
              <w:jc w:val="center"/>
            </w:pPr>
            <w:r w:rsidRPr="00805964">
              <w:t xml:space="preserve">1,04 </w:t>
            </w:r>
            <w:proofErr w:type="spellStart"/>
            <w:r w:rsidRPr="00805964">
              <w:t>b</w:t>
            </w:r>
            <w:proofErr w:type="spellEnd"/>
            <w:r w:rsidRPr="00805964">
              <w:t>.</w:t>
            </w:r>
          </w:p>
        </w:tc>
        <w:tc>
          <w:tcPr>
            <w:tcW w:w="1842" w:type="dxa"/>
            <w:shd w:val="clear" w:color="auto" w:fill="B8CCE4" w:themeFill="accent1" w:themeFillTint="66"/>
            <w:vAlign w:val="center"/>
          </w:tcPr>
          <w:p w:rsidR="00C230B0" w:rsidRPr="00805964" w:rsidRDefault="00C230B0" w:rsidP="0029635A">
            <w:pPr>
              <w:spacing w:line="360" w:lineRule="auto"/>
              <w:contextualSpacing/>
              <w:jc w:val="center"/>
            </w:pPr>
            <w:r w:rsidRPr="00805964">
              <w:t>50,00 %</w:t>
            </w:r>
          </w:p>
        </w:tc>
        <w:tc>
          <w:tcPr>
            <w:tcW w:w="1843" w:type="dxa"/>
            <w:shd w:val="clear" w:color="auto" w:fill="B8CCE4" w:themeFill="accent1" w:themeFillTint="66"/>
            <w:vAlign w:val="center"/>
          </w:tcPr>
          <w:p w:rsidR="00C230B0" w:rsidRPr="00805964" w:rsidRDefault="00C230B0" w:rsidP="0029635A">
            <w:pPr>
              <w:spacing w:line="360" w:lineRule="auto"/>
              <w:contextualSpacing/>
              <w:jc w:val="center"/>
            </w:pPr>
            <w:r w:rsidRPr="00805964">
              <w:t>48,64 %</w:t>
            </w:r>
          </w:p>
        </w:tc>
      </w:tr>
      <w:tr w:rsidR="00C230B0" w:rsidRPr="00805964" w:rsidTr="00103F11">
        <w:tc>
          <w:tcPr>
            <w:tcW w:w="1842" w:type="dxa"/>
            <w:shd w:val="clear" w:color="auto" w:fill="C2D69B" w:themeFill="accent3" w:themeFillTint="99"/>
            <w:vAlign w:val="center"/>
          </w:tcPr>
          <w:p w:rsidR="00C230B0" w:rsidRPr="00805964" w:rsidRDefault="00C230B0" w:rsidP="0029635A">
            <w:pPr>
              <w:spacing w:line="360" w:lineRule="auto"/>
              <w:contextualSpacing/>
              <w:jc w:val="center"/>
              <w:rPr>
                <w:b/>
              </w:rPr>
            </w:pPr>
            <w:r w:rsidRPr="00805964">
              <w:rPr>
                <w:b/>
              </w:rPr>
              <w:t>7. období</w:t>
            </w:r>
          </w:p>
        </w:tc>
        <w:tc>
          <w:tcPr>
            <w:tcW w:w="1842" w:type="dxa"/>
            <w:shd w:val="clear" w:color="auto" w:fill="D6E3BC" w:themeFill="accent3" w:themeFillTint="66"/>
            <w:vAlign w:val="center"/>
          </w:tcPr>
          <w:p w:rsidR="00C230B0" w:rsidRPr="00805964" w:rsidRDefault="00C230B0" w:rsidP="0029635A">
            <w:pPr>
              <w:spacing w:line="360" w:lineRule="auto"/>
              <w:contextualSpacing/>
              <w:jc w:val="center"/>
            </w:pPr>
            <w:r w:rsidRPr="00805964">
              <w:t xml:space="preserve">211 </w:t>
            </w:r>
            <w:proofErr w:type="spellStart"/>
            <w:r w:rsidRPr="00805964">
              <w:t>b</w:t>
            </w:r>
            <w:proofErr w:type="spellEnd"/>
            <w:r w:rsidRPr="00805964">
              <w:t>.</w:t>
            </w:r>
          </w:p>
        </w:tc>
        <w:tc>
          <w:tcPr>
            <w:tcW w:w="1842" w:type="dxa"/>
            <w:shd w:val="clear" w:color="auto" w:fill="D6E3BC" w:themeFill="accent3" w:themeFillTint="66"/>
            <w:vAlign w:val="center"/>
          </w:tcPr>
          <w:p w:rsidR="00C230B0" w:rsidRPr="00805964" w:rsidRDefault="00C230B0" w:rsidP="0029635A">
            <w:pPr>
              <w:spacing w:line="360" w:lineRule="auto"/>
              <w:contextualSpacing/>
              <w:jc w:val="center"/>
            </w:pPr>
            <w:r w:rsidRPr="00805964">
              <w:t xml:space="preserve">1,18 </w:t>
            </w:r>
            <w:proofErr w:type="spellStart"/>
            <w:r w:rsidRPr="00805964">
              <w:t>b</w:t>
            </w:r>
            <w:proofErr w:type="spellEnd"/>
            <w:r w:rsidRPr="00805964">
              <w:t>.</w:t>
            </w:r>
          </w:p>
        </w:tc>
        <w:tc>
          <w:tcPr>
            <w:tcW w:w="1842" w:type="dxa"/>
            <w:shd w:val="clear" w:color="auto" w:fill="D6E3BC" w:themeFill="accent3" w:themeFillTint="66"/>
            <w:vAlign w:val="center"/>
          </w:tcPr>
          <w:p w:rsidR="00C230B0" w:rsidRPr="00805964" w:rsidRDefault="00C230B0" w:rsidP="0029635A">
            <w:pPr>
              <w:spacing w:line="360" w:lineRule="auto"/>
              <w:contextualSpacing/>
              <w:jc w:val="center"/>
            </w:pPr>
            <w:r w:rsidRPr="00805964">
              <w:t>56,25 %</w:t>
            </w:r>
          </w:p>
        </w:tc>
        <w:tc>
          <w:tcPr>
            <w:tcW w:w="1843" w:type="dxa"/>
            <w:shd w:val="clear" w:color="auto" w:fill="D6E3BC" w:themeFill="accent3" w:themeFillTint="66"/>
            <w:vAlign w:val="center"/>
          </w:tcPr>
          <w:p w:rsidR="00C230B0" w:rsidRPr="00805964" w:rsidRDefault="00C230B0" w:rsidP="0029635A">
            <w:pPr>
              <w:spacing w:line="360" w:lineRule="auto"/>
              <w:contextualSpacing/>
              <w:jc w:val="center"/>
            </w:pPr>
            <w:r w:rsidRPr="00805964">
              <w:t>54,80 %</w:t>
            </w:r>
          </w:p>
        </w:tc>
      </w:tr>
      <w:tr w:rsidR="00C230B0" w:rsidRPr="00805964" w:rsidTr="00103F11">
        <w:tc>
          <w:tcPr>
            <w:tcW w:w="1842" w:type="dxa"/>
            <w:shd w:val="clear" w:color="auto" w:fill="8DB3E2" w:themeFill="text2" w:themeFillTint="66"/>
            <w:vAlign w:val="center"/>
          </w:tcPr>
          <w:p w:rsidR="00C230B0" w:rsidRPr="00805964" w:rsidRDefault="00C230B0" w:rsidP="0029635A">
            <w:pPr>
              <w:spacing w:line="360" w:lineRule="auto"/>
              <w:contextualSpacing/>
              <w:jc w:val="center"/>
              <w:rPr>
                <w:b/>
              </w:rPr>
            </w:pPr>
            <w:r w:rsidRPr="00805964">
              <w:rPr>
                <w:b/>
              </w:rPr>
              <w:t>8. období</w:t>
            </w:r>
          </w:p>
        </w:tc>
        <w:tc>
          <w:tcPr>
            <w:tcW w:w="1842" w:type="dxa"/>
            <w:shd w:val="clear" w:color="auto" w:fill="B8CCE4" w:themeFill="accent1" w:themeFillTint="66"/>
            <w:vAlign w:val="center"/>
          </w:tcPr>
          <w:p w:rsidR="00C230B0" w:rsidRPr="00805964" w:rsidRDefault="0072146E" w:rsidP="0029635A">
            <w:pPr>
              <w:spacing w:line="360" w:lineRule="auto"/>
              <w:contextualSpacing/>
              <w:jc w:val="center"/>
            </w:pPr>
            <w:r w:rsidRPr="00805964">
              <w:t>304</w:t>
            </w:r>
            <w:r w:rsidR="00C230B0" w:rsidRPr="00805964">
              <w:t xml:space="preserve"> </w:t>
            </w:r>
            <w:proofErr w:type="spellStart"/>
            <w:r w:rsidR="00C230B0" w:rsidRPr="00805964">
              <w:t>b</w:t>
            </w:r>
            <w:proofErr w:type="spellEnd"/>
            <w:r w:rsidR="00C230B0" w:rsidRPr="00805964">
              <w:t>.</w:t>
            </w:r>
          </w:p>
        </w:tc>
        <w:tc>
          <w:tcPr>
            <w:tcW w:w="1842" w:type="dxa"/>
            <w:shd w:val="clear" w:color="auto" w:fill="B8CCE4" w:themeFill="accent1" w:themeFillTint="66"/>
            <w:vAlign w:val="center"/>
          </w:tcPr>
          <w:p w:rsidR="00C230B0" w:rsidRPr="00805964" w:rsidRDefault="0072146E" w:rsidP="0029635A">
            <w:pPr>
              <w:spacing w:line="360" w:lineRule="auto"/>
              <w:contextualSpacing/>
              <w:jc w:val="center"/>
            </w:pPr>
            <w:r w:rsidRPr="00805964">
              <w:t>1, 39</w:t>
            </w:r>
            <w:r w:rsidR="00C230B0" w:rsidRPr="00805964">
              <w:t>b.</w:t>
            </w:r>
          </w:p>
        </w:tc>
        <w:tc>
          <w:tcPr>
            <w:tcW w:w="1842" w:type="dxa"/>
            <w:shd w:val="clear" w:color="auto" w:fill="B8CCE4" w:themeFill="accent1" w:themeFillTint="66"/>
            <w:vAlign w:val="center"/>
          </w:tcPr>
          <w:p w:rsidR="00C230B0" w:rsidRPr="00805964" w:rsidRDefault="00C230B0" w:rsidP="0029635A">
            <w:pPr>
              <w:spacing w:line="360" w:lineRule="auto"/>
              <w:contextualSpacing/>
              <w:jc w:val="center"/>
            </w:pPr>
            <w:r w:rsidRPr="00805964">
              <w:t>34,06 %</w:t>
            </w:r>
          </w:p>
        </w:tc>
        <w:tc>
          <w:tcPr>
            <w:tcW w:w="1843" w:type="dxa"/>
            <w:shd w:val="clear" w:color="auto" w:fill="B8CCE4" w:themeFill="accent1" w:themeFillTint="66"/>
            <w:vAlign w:val="center"/>
          </w:tcPr>
          <w:p w:rsidR="00C230B0" w:rsidRPr="00805964" w:rsidRDefault="0072146E" w:rsidP="0029635A">
            <w:pPr>
              <w:spacing w:line="360" w:lineRule="auto"/>
              <w:contextualSpacing/>
              <w:jc w:val="center"/>
            </w:pPr>
            <w:r w:rsidRPr="00805964">
              <w:t>31,02</w:t>
            </w:r>
            <w:r w:rsidR="00C230B0" w:rsidRPr="00805964">
              <w:t xml:space="preserve"> %</w:t>
            </w:r>
          </w:p>
        </w:tc>
      </w:tr>
    </w:tbl>
    <w:p w:rsidR="002A0CC6" w:rsidRPr="00805964" w:rsidRDefault="007428F3" w:rsidP="003734FA">
      <w:pPr>
        <w:spacing w:line="360" w:lineRule="auto"/>
        <w:contextualSpacing/>
        <w:jc w:val="center"/>
        <w:rPr>
          <w:i/>
          <w:sz w:val="22"/>
        </w:rPr>
      </w:pPr>
      <w:r w:rsidRPr="00805964">
        <w:rPr>
          <w:i/>
          <w:sz w:val="22"/>
        </w:rPr>
        <w:t>Zpracoval: Autor.</w:t>
      </w:r>
    </w:p>
    <w:p w:rsidR="002F1FC0" w:rsidRPr="00805964" w:rsidRDefault="00423BCE" w:rsidP="00423BCE">
      <w:pPr>
        <w:pStyle w:val="Nadpis3"/>
      </w:pPr>
      <w:bookmarkStart w:id="32" w:name="_Toc359918298"/>
      <w:r w:rsidRPr="00805964">
        <w:lastRenderedPageBreak/>
        <w:t xml:space="preserve">3. 4. 1 </w:t>
      </w:r>
      <w:r w:rsidR="002A0CC6" w:rsidRPr="00805964">
        <w:t>Průměrné hodnoty a s</w:t>
      </w:r>
      <w:r w:rsidRPr="00805964">
        <w:t>měrodatn</w:t>
      </w:r>
      <w:r w:rsidR="002A0CC6" w:rsidRPr="00805964">
        <w:t>é</w:t>
      </w:r>
      <w:r w:rsidRPr="00805964">
        <w:t xml:space="preserve"> odchylk</w:t>
      </w:r>
      <w:r w:rsidR="002A0CC6" w:rsidRPr="00805964">
        <w:t>y</w:t>
      </w:r>
      <w:r w:rsidR="008A6F3C" w:rsidRPr="00805964">
        <w:t xml:space="preserve"> pro všechna vybraná období</w:t>
      </w:r>
      <w:bookmarkEnd w:id="32"/>
    </w:p>
    <w:p w:rsidR="00423BCE" w:rsidRPr="00805964" w:rsidRDefault="00423BCE" w:rsidP="00423BCE"/>
    <w:p w:rsidR="00903EC2" w:rsidRPr="00805964" w:rsidRDefault="00903EC2" w:rsidP="002F1FC0">
      <w:pPr>
        <w:spacing w:line="360" w:lineRule="auto"/>
        <w:contextualSpacing/>
        <w:jc w:val="both"/>
      </w:pPr>
      <w:r w:rsidRPr="00805964">
        <w:tab/>
        <w:t>Průměrné hodnoty budou vypočítány klasickým způsobem užívaným pro výpočet aritmetického průměru.</w:t>
      </w:r>
      <w:r w:rsidRPr="00805964">
        <w:rPr>
          <w:rFonts w:cs="Times New Roman"/>
          <w:szCs w:val="24"/>
        </w:rPr>
        <w:t xml:space="preserve"> </w:t>
      </w:r>
      <w:r w:rsidR="009A04F9" w:rsidRPr="00805964">
        <w:rPr>
          <w:rFonts w:cs="Times New Roman"/>
          <w:szCs w:val="24"/>
        </w:rPr>
        <w:t>Průměr vypočteme tak, že sečteme všechny hodnoty a vydělíme je počtem hodnot v souboru.</w:t>
      </w:r>
      <w:r w:rsidR="009A04F9" w:rsidRPr="00805964">
        <w:rPr>
          <w:rStyle w:val="apple-converted-space"/>
          <w:rFonts w:cs="Times New Roman"/>
          <w:szCs w:val="24"/>
        </w:rPr>
        <w:t> </w:t>
      </w:r>
      <w:r w:rsidRPr="00805964">
        <w:t xml:space="preserve"> Směrodatné odchylky pro jednotlivé varianty budou pro vybraná čtyři období vypo</w:t>
      </w:r>
      <w:r w:rsidR="009A04F9" w:rsidRPr="00805964">
        <w:t>čítána</w:t>
      </w:r>
      <w:r w:rsidR="00031072" w:rsidRPr="00805964">
        <w:t xml:space="preserve"> za pomoci níže uvedené rovnice, kde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031072" w:rsidRPr="00805964">
        <w:rPr>
          <w:rFonts w:eastAsiaTheme="minorEastAsia"/>
        </w:rPr>
        <w:t xml:space="preserve"> jsou jednotlivé výsledné hodnoty u vybraných čtyř období a </w:t>
      </w:r>
      <m:oMath>
        <m:acc>
          <m:accPr>
            <m:chr m:val="̅"/>
            <m:ctrlPr>
              <w:rPr>
                <w:rFonts w:ascii="Cambria Math" w:eastAsiaTheme="minorEastAsia" w:hAnsi="Cambria Math"/>
                <w:i/>
              </w:rPr>
            </m:ctrlPr>
          </m:accPr>
          <m:e>
            <m:r>
              <w:rPr>
                <w:rFonts w:ascii="Cambria Math" w:eastAsiaTheme="minorEastAsia" w:hAnsi="Cambria Math"/>
              </w:rPr>
              <m:t>x</m:t>
            </m:r>
          </m:e>
        </m:acc>
      </m:oMath>
      <w:r w:rsidR="00031072" w:rsidRPr="00805964">
        <w:rPr>
          <w:rFonts w:eastAsiaTheme="minorEastAsia"/>
        </w:rPr>
        <w:t xml:space="preserve"> je průměrná hodnota pro danou variantu.</w:t>
      </w:r>
    </w:p>
    <w:p w:rsidR="00903EC2" w:rsidRPr="00805964" w:rsidRDefault="00903EC2" w:rsidP="002F1FC0">
      <w:pPr>
        <w:spacing w:line="360" w:lineRule="auto"/>
        <w:contextualSpacing/>
        <w:jc w:val="both"/>
        <w:rPr>
          <w:u w:val="single"/>
        </w:rPr>
      </w:pPr>
    </w:p>
    <w:p w:rsidR="002F1FC0" w:rsidRPr="00F63F22" w:rsidRDefault="002F1FC0" w:rsidP="002F1FC0">
      <w:pPr>
        <w:spacing w:line="360" w:lineRule="auto"/>
        <w:contextualSpacing/>
        <w:jc w:val="both"/>
        <w:rPr>
          <w:b/>
          <w:u w:val="single"/>
        </w:rPr>
      </w:pPr>
      <w:r w:rsidRPr="00F63F22">
        <w:rPr>
          <w:b/>
          <w:u w:val="single"/>
        </w:rPr>
        <w:t>Rovnice pro výpočet směrodatné odchylky</w:t>
      </w:r>
      <w:r w:rsidR="00423BCE" w:rsidRPr="00F63F22">
        <w:rPr>
          <w:b/>
          <w:u w:val="single"/>
        </w:rPr>
        <w:t>:</w:t>
      </w:r>
    </w:p>
    <w:p w:rsidR="002F1FC0" w:rsidRPr="00805964" w:rsidRDefault="002F1FC0" w:rsidP="002F1FC0">
      <w:pPr>
        <w:spacing w:line="360" w:lineRule="auto"/>
        <w:contextualSpacing/>
        <w:jc w:val="both"/>
      </w:pPr>
    </w:p>
    <w:p w:rsidR="002F1FC0" w:rsidRPr="00D674E9" w:rsidRDefault="00EE19CE" w:rsidP="00D674E9">
      <w:pPr>
        <w:rPr>
          <w:i/>
        </w:rPr>
      </w:pPr>
      <m:oMathPara>
        <m:oMathParaPr>
          <m:jc m:val="left"/>
        </m:oMathParaPr>
        <m:oMath>
          <m:r>
            <w:rPr>
              <w:rFonts w:ascii="Cambria Math" w:hAnsi="Cambria Math"/>
            </w:rPr>
            <m:t xml:space="preserve">s= </m:t>
          </m:r>
          <m:rad>
            <m:radPr>
              <m:degHide m:val="on"/>
              <m:ctrlPr>
                <w:rPr>
                  <w:rFonts w:ascii="Cambria Math" w:hAnsi="Cambria Math"/>
                  <w:i/>
                  <w:sz w:val="22"/>
                </w:rPr>
              </m:ctrlPr>
            </m:radPr>
            <m:deg/>
            <m:e>
              <m:f>
                <m:fPr>
                  <m:ctrlPr>
                    <w:rPr>
                      <w:rFonts w:ascii="Cambria Math" w:hAnsi="Cambria Math"/>
                      <w:i/>
                      <w:sz w:val="22"/>
                    </w:rPr>
                  </m:ctrlPr>
                </m:fPr>
                <m:num>
                  <m:r>
                    <w:rPr>
                      <w:rFonts w:ascii="Cambria Math" w:hAnsi="Cambria Math"/>
                    </w:rPr>
                    <m:t>1</m:t>
                  </m:r>
                </m:num>
                <m:den>
                  <m:r>
                    <w:rPr>
                      <w:rFonts w:ascii="Cambria Math" w:hAnsi="Cambria Math"/>
                    </w:rPr>
                    <m:t>N –1</m:t>
                  </m:r>
                </m:den>
              </m:f>
              <m:r>
                <w:rPr>
                  <w:rFonts w:ascii="Cambria Math" w:hAnsi="Cambria Math"/>
                </w:rPr>
                <m:t xml:space="preserve"> </m:t>
              </m:r>
              <m:nary>
                <m:naryPr>
                  <m:chr m:val="∑"/>
                  <m:limLoc m:val="undOvr"/>
                  <m:supHide m:val="on"/>
                  <m:ctrlPr>
                    <w:rPr>
                      <w:rFonts w:ascii="Cambria Math" w:hAnsi="Cambria Math"/>
                      <w:i/>
                      <w:sz w:val="22"/>
                    </w:rPr>
                  </m:ctrlPr>
                </m:naryPr>
                <m:sub>
                  <m:r>
                    <w:rPr>
                      <w:rFonts w:ascii="Cambria Math" w:hAnsi="Cambria Math"/>
                    </w:rPr>
                    <m:t>i=1</m:t>
                  </m:r>
                </m:sub>
                <m:sup/>
                <m:e>
                  <m:r>
                    <w:rPr>
                      <w:rFonts w:ascii="Cambria Math" w:hAnsi="Cambria Math"/>
                    </w:rPr>
                    <m:t>(</m:t>
                  </m:r>
                  <m:sSub>
                    <m:sSubPr>
                      <m:ctrlPr>
                        <w:rPr>
                          <w:rFonts w:ascii="Cambria Math" w:hAnsi="Cambria Math"/>
                          <w:i/>
                          <w:sz w:val="22"/>
                        </w:rPr>
                      </m:ctrlPr>
                    </m:sSubPr>
                    <m:e>
                      <m:r>
                        <w:rPr>
                          <w:rFonts w:ascii="Cambria Math" w:hAnsi="Cambria Math"/>
                        </w:rPr>
                        <m:t>x</m:t>
                      </m:r>
                    </m:e>
                    <m:sub>
                      <m:r>
                        <w:rPr>
                          <w:rFonts w:ascii="Cambria Math" w:hAnsi="Cambria Math"/>
                        </w:rPr>
                        <m:t>i</m:t>
                      </m:r>
                    </m:sub>
                  </m:sSub>
                  <m:r>
                    <w:rPr>
                      <w:rFonts w:ascii="Cambria Math" w:hAnsi="Cambria Math"/>
                    </w:rPr>
                    <m:t xml:space="preserve">– </m:t>
                  </m:r>
                  <m:acc>
                    <m:accPr>
                      <m:chr m:val="̅"/>
                      <m:ctrlPr>
                        <w:rPr>
                          <w:rFonts w:ascii="Cambria Math" w:hAnsi="Cambria Math"/>
                          <w:i/>
                          <w:sz w:val="22"/>
                        </w:rPr>
                      </m:ctrlPr>
                    </m:accPr>
                    <m:e>
                      <m:r>
                        <w:rPr>
                          <w:rFonts w:ascii="Cambria Math" w:hAnsi="Cambria Math"/>
                        </w:rPr>
                        <m:t>x</m:t>
                      </m:r>
                    </m:e>
                  </m:acc>
                  <m:sSup>
                    <m:sSupPr>
                      <m:ctrlPr>
                        <w:rPr>
                          <w:rFonts w:ascii="Cambria Math" w:hAnsi="Cambria Math"/>
                          <w:i/>
                          <w:sz w:val="22"/>
                        </w:rPr>
                      </m:ctrlPr>
                    </m:sSupPr>
                    <m:e>
                      <m:r>
                        <w:rPr>
                          <w:rFonts w:ascii="Cambria Math" w:hAnsi="Cambria Math"/>
                        </w:rPr>
                        <m:t>)</m:t>
                      </m:r>
                    </m:e>
                    <m:sup>
                      <m:r>
                        <w:rPr>
                          <w:rFonts w:ascii="Cambria Math" w:hAnsi="Cambria Math"/>
                        </w:rPr>
                        <m:t>2</m:t>
                      </m:r>
                    </m:sup>
                  </m:sSup>
                </m:e>
              </m:nary>
            </m:e>
          </m:rad>
        </m:oMath>
      </m:oMathPara>
    </w:p>
    <w:p w:rsidR="00280DEE" w:rsidRPr="00805964" w:rsidRDefault="00280DEE" w:rsidP="0029635A">
      <w:pPr>
        <w:spacing w:line="360" w:lineRule="auto"/>
        <w:contextualSpacing/>
        <w:jc w:val="both"/>
        <w:rPr>
          <w:b/>
          <w:u w:val="single"/>
        </w:rPr>
      </w:pPr>
    </w:p>
    <w:p w:rsidR="00D674E9" w:rsidRPr="00805964" w:rsidRDefault="006419BB" w:rsidP="0029635A">
      <w:pPr>
        <w:spacing w:line="360" w:lineRule="auto"/>
        <w:contextualSpacing/>
        <w:jc w:val="both"/>
        <w:rPr>
          <w:b/>
          <w:u w:val="single"/>
        </w:rPr>
      </w:pPr>
      <w:r w:rsidRPr="00805964">
        <w:rPr>
          <w:b/>
          <w:u w:val="single"/>
        </w:rPr>
        <w:t>Varianta</w:t>
      </w:r>
      <w:r w:rsidR="00DC2A35" w:rsidRPr="00805964">
        <w:rPr>
          <w:b/>
          <w:u w:val="single"/>
        </w:rPr>
        <w:t xml:space="preserve"> č. 1: </w:t>
      </w:r>
      <w:r w:rsidR="00CE2FB2" w:rsidRPr="00805964">
        <w:rPr>
          <w:b/>
          <w:u w:val="single"/>
        </w:rPr>
        <w:t>P</w:t>
      </w:r>
      <w:r w:rsidRPr="00805964">
        <w:rPr>
          <w:b/>
          <w:u w:val="single"/>
        </w:rPr>
        <w:t xml:space="preserve">růměr: </w:t>
      </w:r>
      <w:r w:rsidR="00DC2A35" w:rsidRPr="00805964">
        <w:rPr>
          <w:b/>
          <w:u w:val="single"/>
        </w:rPr>
        <w:t>2</w:t>
      </w:r>
      <w:r w:rsidR="00994B54" w:rsidRPr="00805964">
        <w:rPr>
          <w:b/>
          <w:u w:val="single"/>
        </w:rPr>
        <w:t>90,25</w:t>
      </w:r>
    </w:p>
    <w:p w:rsidR="005B46E7" w:rsidRPr="00805964" w:rsidRDefault="00EE58B6" w:rsidP="00B45246">
      <w:pPr>
        <w:spacing w:line="360" w:lineRule="auto"/>
        <w:contextualSpacing/>
        <w:jc w:val="both"/>
        <w:rPr>
          <w:i/>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1</m:t>
              </m:r>
            </m:sub>
          </m:sSub>
          <m:r>
            <w:rPr>
              <w:rFonts w:ascii="Cambria Math" w:eastAsiaTheme="minorEastAsia" w:hAnsi="Cambria Math"/>
              <w:sz w:val="20"/>
              <w:szCs w:val="20"/>
            </w:rPr>
            <m:t>=</m:t>
          </m:r>
          <m:rad>
            <m:radPr>
              <m:degHide m:val="on"/>
              <m:ctrlPr>
                <w:rPr>
                  <w:rFonts w:ascii="Cambria Math" w:eastAsiaTheme="minorEastAsia" w:hAnsi="Cambria Math"/>
                  <w:i/>
                  <w:sz w:val="20"/>
                  <w:szCs w:val="20"/>
                </w:rPr>
              </m:ctrlPr>
            </m:radPr>
            <m:deg/>
            <m:e>
              <m:f>
                <m:fPr>
                  <m:ctrlPr>
                    <w:rPr>
                      <w:rFonts w:ascii="Cambria Math" w:hAnsi="Cambria Math"/>
                      <w:i/>
                      <w:sz w:val="20"/>
                      <w:szCs w:val="20"/>
                    </w:rPr>
                  </m:ctrlPr>
                </m:fPr>
                <m:num>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245-290,25</m:t>
                          </m:r>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310-290,25</m:t>
                          </m:r>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395-290,25</m:t>
                          </m:r>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211-290,25</m:t>
                          </m:r>
                        </m:e>
                      </m:d>
                    </m:e>
                    <m:sup>
                      <m:r>
                        <w:rPr>
                          <w:rFonts w:ascii="Cambria Math" w:hAnsi="Cambria Math"/>
                          <w:sz w:val="20"/>
                          <w:szCs w:val="20"/>
                        </w:rPr>
                        <m:t>2</m:t>
                      </m:r>
                    </m:sup>
                  </m:sSup>
                </m:num>
                <m:den>
                  <m:r>
                    <w:rPr>
                      <w:rFonts w:ascii="Cambria Math" w:hAnsi="Cambria Math"/>
                      <w:sz w:val="20"/>
                      <w:szCs w:val="20"/>
                    </w:rPr>
                    <m:t>4</m:t>
                  </m:r>
                </m:den>
              </m:f>
            </m:e>
          </m:rad>
          <m:r>
            <w:rPr>
              <w:rFonts w:ascii="Cambria Math" w:hAnsi="Cambria Math"/>
              <w:sz w:val="20"/>
              <w:szCs w:val="20"/>
            </w:rPr>
            <m:t>=</m:t>
          </m:r>
        </m:oMath>
      </m:oMathPara>
    </w:p>
    <w:p w:rsidR="005B46E7" w:rsidRPr="00805964" w:rsidRDefault="005B46E7" w:rsidP="00B45246">
      <w:pPr>
        <w:spacing w:line="360" w:lineRule="auto"/>
        <w:contextualSpacing/>
        <w:jc w:val="both"/>
        <w:rPr>
          <w:sz w:val="20"/>
          <w:szCs w:val="20"/>
        </w:rPr>
      </w:pPr>
    </w:p>
    <w:p w:rsidR="002A0CC6" w:rsidRDefault="00624473" w:rsidP="0029635A">
      <w:pPr>
        <w:spacing w:line="360" w:lineRule="auto"/>
        <w:contextualSpacing/>
        <w:jc w:val="both"/>
        <w:rPr>
          <w:rFonts w:eastAsiaTheme="minorEastAsia"/>
          <w:b/>
          <w:sz w:val="20"/>
          <w:szCs w:val="20"/>
        </w:rPr>
      </w:pPr>
      <m:oMathPara>
        <m:oMathParaPr>
          <m:jc m:val="left"/>
        </m:oMathParaPr>
        <m:oMath>
          <m:r>
            <w:rPr>
              <w:rFonts w:ascii="Cambria Math" w:hAnsi="Cambria Math"/>
              <w:sz w:val="20"/>
              <w:szCs w:val="20"/>
            </w:rPr>
            <m:t>=</m:t>
          </m:r>
          <m:rad>
            <m:radPr>
              <m:degHide m:val="on"/>
              <m:ctrlPr>
                <w:rPr>
                  <w:rFonts w:ascii="Cambria Math" w:hAnsi="Cambria Math"/>
                  <w:i/>
                  <w:sz w:val="20"/>
                  <w:szCs w:val="20"/>
                </w:rPr>
              </m:ctrlPr>
            </m:radPr>
            <m:deg/>
            <m:e>
              <m:r>
                <w:rPr>
                  <w:rFonts w:ascii="Cambria Math" w:hAnsi="Cambria Math"/>
                  <w:sz w:val="20"/>
                  <w:szCs w:val="20"/>
                </w:rPr>
                <m:t>4922,68</m:t>
              </m:r>
            </m:e>
          </m:rad>
          <m:r>
            <w:rPr>
              <w:rFonts w:ascii="Cambria Math" w:hAnsi="Cambria Math"/>
              <w:sz w:val="20"/>
              <w:szCs w:val="20"/>
            </w:rPr>
            <m:t>=</m:t>
          </m:r>
          <m:r>
            <m:rPr>
              <m:sty m:val="bi"/>
            </m:rPr>
            <w:rPr>
              <w:rFonts w:ascii="Cambria Math" w:hAnsi="Cambria Math"/>
              <w:sz w:val="20"/>
              <w:szCs w:val="20"/>
            </w:rPr>
            <m:t>70,16</m:t>
          </m:r>
        </m:oMath>
      </m:oMathPara>
    </w:p>
    <w:p w:rsidR="00D674E9" w:rsidRPr="00805964" w:rsidRDefault="00D674E9" w:rsidP="0029635A">
      <w:pPr>
        <w:spacing w:line="360" w:lineRule="auto"/>
        <w:contextualSpacing/>
        <w:jc w:val="both"/>
        <w:rPr>
          <w:rFonts w:eastAsiaTheme="minorEastAsia"/>
          <w:b/>
          <w:sz w:val="20"/>
          <w:szCs w:val="20"/>
        </w:rPr>
      </w:pPr>
    </w:p>
    <w:p w:rsidR="00D674E9" w:rsidRDefault="00CE2FB2" w:rsidP="0029635A">
      <w:pPr>
        <w:spacing w:line="360" w:lineRule="auto"/>
        <w:contextualSpacing/>
        <w:jc w:val="both"/>
        <w:rPr>
          <w:b/>
          <w:u w:val="single"/>
        </w:rPr>
      </w:pPr>
      <w:r w:rsidRPr="00805964">
        <w:rPr>
          <w:b/>
          <w:u w:val="single"/>
        </w:rPr>
        <w:t>Varianta č. 2:</w:t>
      </w:r>
      <w:r w:rsidR="000E5DEE" w:rsidRPr="00805964">
        <w:rPr>
          <w:b/>
          <w:u w:val="single"/>
        </w:rPr>
        <w:t xml:space="preserve"> </w:t>
      </w:r>
      <w:r w:rsidR="007E57E5" w:rsidRPr="00805964">
        <w:rPr>
          <w:b/>
          <w:u w:val="single"/>
        </w:rPr>
        <w:t xml:space="preserve"> </w:t>
      </w:r>
      <w:r w:rsidRPr="00805964">
        <w:rPr>
          <w:b/>
          <w:u w:val="single"/>
        </w:rPr>
        <w:t>Průměr</w:t>
      </w:r>
      <w:r w:rsidR="006419BB" w:rsidRPr="00805964">
        <w:rPr>
          <w:b/>
          <w:u w:val="single"/>
        </w:rPr>
        <w:t xml:space="preserve">: </w:t>
      </w:r>
      <w:r w:rsidR="000E5DEE" w:rsidRPr="00805964">
        <w:rPr>
          <w:b/>
          <w:u w:val="single"/>
        </w:rPr>
        <w:t xml:space="preserve">1,25 </w:t>
      </w:r>
      <w:proofErr w:type="spellStart"/>
      <w:r w:rsidR="000E5DEE" w:rsidRPr="00805964">
        <w:rPr>
          <w:b/>
          <w:u w:val="single"/>
        </w:rPr>
        <w:t>b</w:t>
      </w:r>
      <w:proofErr w:type="spellEnd"/>
      <w:r w:rsidR="000E5DEE" w:rsidRPr="00805964">
        <w:rPr>
          <w:b/>
          <w:u w:val="single"/>
        </w:rPr>
        <w:t>.</w:t>
      </w:r>
    </w:p>
    <w:p w:rsidR="000E5DEE" w:rsidRPr="00D674E9" w:rsidRDefault="00EE58B6" w:rsidP="0029635A">
      <w:pPr>
        <w:spacing w:line="360" w:lineRule="auto"/>
        <w:contextualSpacing/>
        <w:jc w:val="both"/>
        <w:rPr>
          <w:b/>
          <w:u w:val="single"/>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2</m:t>
              </m:r>
            </m:sub>
          </m:sSub>
          <m:r>
            <w:rPr>
              <w:rFonts w:ascii="Cambria Math" w:eastAsiaTheme="minorEastAsia" w:hAnsi="Cambria Math"/>
              <w:sz w:val="20"/>
              <w:szCs w:val="20"/>
            </w:rPr>
            <m:t>=</m:t>
          </m:r>
          <m:rad>
            <m:radPr>
              <m:degHide m:val="on"/>
              <m:ctrlPr>
                <w:rPr>
                  <w:rFonts w:ascii="Cambria Math" w:hAnsi="Cambria Math"/>
                  <w:i/>
                  <w:sz w:val="20"/>
                  <w:szCs w:val="20"/>
                </w:rPr>
              </m:ctrlPr>
            </m:radPr>
            <m:deg/>
            <m:e>
              <m:f>
                <m:fPr>
                  <m:ctrlPr>
                    <w:rPr>
                      <w:rFonts w:ascii="Cambria Math" w:hAnsi="Cambria Math"/>
                      <w:i/>
                      <w:sz w:val="20"/>
                      <w:szCs w:val="20"/>
                    </w:rPr>
                  </m:ctrlPr>
                </m:fPr>
                <m:num>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1,01-1,25</m:t>
                          </m:r>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1,21-1,25</m:t>
                          </m:r>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1,63-1,25</m:t>
                          </m:r>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1,18-1,25</m:t>
                          </m:r>
                        </m:e>
                      </m:d>
                    </m:e>
                    <m:sup>
                      <m:r>
                        <w:rPr>
                          <w:rFonts w:ascii="Cambria Math" w:hAnsi="Cambria Math"/>
                          <w:sz w:val="20"/>
                          <w:szCs w:val="20"/>
                        </w:rPr>
                        <m:t>2</m:t>
                      </m:r>
                    </m:sup>
                  </m:sSup>
                </m:num>
                <m:den>
                  <m:r>
                    <w:rPr>
                      <w:rFonts w:ascii="Cambria Math" w:hAnsi="Cambria Math"/>
                      <w:sz w:val="20"/>
                      <w:szCs w:val="20"/>
                    </w:rPr>
                    <m:t>4</m:t>
                  </m:r>
                </m:den>
              </m:f>
            </m:e>
          </m:rad>
          <m:r>
            <w:rPr>
              <w:rFonts w:ascii="Cambria Math" w:hAnsi="Cambria Math"/>
              <w:sz w:val="20"/>
              <w:szCs w:val="20"/>
            </w:rPr>
            <m:t>=</m:t>
          </m:r>
          <m:rad>
            <m:radPr>
              <m:degHide m:val="on"/>
              <m:ctrlPr>
                <w:rPr>
                  <w:rFonts w:ascii="Cambria Math" w:hAnsi="Cambria Math"/>
                  <w:i/>
                  <w:sz w:val="20"/>
                  <w:szCs w:val="20"/>
                </w:rPr>
              </m:ctrlPr>
            </m:radPr>
            <m:deg/>
            <m:e>
              <m:r>
                <w:rPr>
                  <w:rFonts w:ascii="Cambria Math" w:hAnsi="Cambria Math"/>
                  <w:sz w:val="20"/>
                  <w:szCs w:val="20"/>
                </w:rPr>
                <m:t>0,052125</m:t>
              </m:r>
            </m:e>
          </m:rad>
          <m:r>
            <m:rPr>
              <m:sty m:val="p"/>
            </m:rPr>
            <w:rPr>
              <w:rFonts w:ascii="Cambria Math" w:hAnsi="Cambria Math" w:cs="Arial"/>
              <w:sz w:val="20"/>
              <w:szCs w:val="20"/>
              <w:shd w:val="clear" w:color="auto" w:fill="FFFFFF"/>
            </w:rPr>
            <m:t>≐</m:t>
          </m:r>
          <m:r>
            <m:rPr>
              <m:sty m:val="bi"/>
            </m:rPr>
            <w:rPr>
              <w:rFonts w:ascii="Cambria Math" w:hAnsi="Cambria Math"/>
              <w:sz w:val="20"/>
              <w:szCs w:val="20"/>
            </w:rPr>
            <m:t>0,23</m:t>
          </m:r>
        </m:oMath>
      </m:oMathPara>
    </w:p>
    <w:p w:rsidR="0029635A" w:rsidRPr="00805964" w:rsidRDefault="0029635A" w:rsidP="0029635A">
      <w:pPr>
        <w:spacing w:line="360" w:lineRule="auto"/>
        <w:contextualSpacing/>
        <w:jc w:val="both"/>
        <w:rPr>
          <w:b/>
          <w:u w:val="single"/>
        </w:rPr>
      </w:pPr>
    </w:p>
    <w:p w:rsidR="00844514" w:rsidRPr="00D674E9" w:rsidRDefault="006419BB" w:rsidP="0029635A">
      <w:pPr>
        <w:spacing w:line="360" w:lineRule="auto"/>
        <w:contextualSpacing/>
        <w:jc w:val="both"/>
        <w:rPr>
          <w:rFonts w:ascii="Arial" w:hAnsi="Arial" w:cs="Arial"/>
          <w:b/>
          <w:sz w:val="23"/>
          <w:szCs w:val="23"/>
          <w:u w:val="single"/>
          <w:shd w:val="clear" w:color="auto" w:fill="FFFFFF"/>
        </w:rPr>
      </w:pPr>
      <w:r w:rsidRPr="00805964">
        <w:rPr>
          <w:b/>
          <w:u w:val="single"/>
        </w:rPr>
        <w:t xml:space="preserve">Varianta </w:t>
      </w:r>
      <w:r w:rsidR="00FE3114" w:rsidRPr="00805964">
        <w:rPr>
          <w:b/>
          <w:u w:val="single"/>
        </w:rPr>
        <w:t xml:space="preserve">č. 3: </w:t>
      </w:r>
      <w:r w:rsidR="00CE2FB2" w:rsidRPr="00805964">
        <w:rPr>
          <w:b/>
          <w:u w:val="single"/>
        </w:rPr>
        <w:t>P</w:t>
      </w:r>
      <w:r w:rsidRPr="00805964">
        <w:rPr>
          <w:b/>
          <w:u w:val="single"/>
        </w:rPr>
        <w:t xml:space="preserve">růměr: </w:t>
      </w:r>
      <w:r w:rsidR="000C18BA" w:rsidRPr="008A7721">
        <w:rPr>
          <w:rFonts w:cs="Times New Roman"/>
          <w:b/>
          <w:szCs w:val="24"/>
          <w:u w:val="single"/>
        </w:rPr>
        <w:t>59,085</w:t>
      </w:r>
      <m:oMath>
        <m:r>
          <m:rPr>
            <m:sty m:val="b"/>
          </m:rPr>
          <w:rPr>
            <w:rFonts w:hAnsi="Cambria Math" w:cs="Times New Roman"/>
            <w:szCs w:val="24"/>
            <w:u w:val="single"/>
            <w:shd w:val="clear" w:color="auto" w:fill="FFFFFF"/>
          </w:rPr>
          <m:t>≐</m:t>
        </m:r>
      </m:oMath>
      <w:r w:rsidR="007E57E5" w:rsidRPr="008A7721">
        <w:rPr>
          <w:rFonts w:eastAsiaTheme="minorEastAsia" w:cs="Times New Roman"/>
          <w:b/>
          <w:szCs w:val="24"/>
          <w:u w:val="single"/>
          <w:shd w:val="clear" w:color="auto" w:fill="FFFFFF"/>
        </w:rPr>
        <w:t xml:space="preserve"> </w:t>
      </w:r>
      <w:r w:rsidR="000C18BA" w:rsidRPr="008A7721">
        <w:rPr>
          <w:rFonts w:cs="Times New Roman"/>
          <w:b/>
          <w:szCs w:val="24"/>
          <w:u w:val="single"/>
          <w:shd w:val="clear" w:color="auto" w:fill="FFFFFF"/>
        </w:rPr>
        <w:t>59,09</w:t>
      </w:r>
      <w:r w:rsidR="000C18BA" w:rsidRPr="00805964">
        <w:rPr>
          <w:rFonts w:ascii="Arial" w:hAnsi="Arial" w:cs="Arial"/>
          <w:b/>
          <w:sz w:val="23"/>
          <w:szCs w:val="23"/>
          <w:u w:val="single"/>
          <w:shd w:val="clear" w:color="auto" w:fill="FFFFFF"/>
        </w:rPr>
        <w:t xml:space="preserve"> </w:t>
      </w:r>
    </w:p>
    <w:p w:rsidR="000C18BA" w:rsidRPr="00805964" w:rsidRDefault="00EE58B6" w:rsidP="0029635A">
      <w:pPr>
        <w:spacing w:line="360" w:lineRule="auto"/>
        <w:contextualSpacing/>
        <w:jc w:val="both"/>
        <w:rPr>
          <w:i/>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3</m:t>
              </m:r>
            </m:sub>
          </m:sSub>
          <m:r>
            <w:rPr>
              <w:rFonts w:ascii="Cambria Math" w:eastAsiaTheme="minorEastAsia" w:hAnsi="Cambria Math"/>
              <w:sz w:val="20"/>
              <w:szCs w:val="20"/>
            </w:rPr>
            <m:t>=</m:t>
          </m:r>
          <m:rad>
            <m:radPr>
              <m:degHide m:val="on"/>
              <m:ctrlPr>
                <w:rPr>
                  <w:rFonts w:ascii="Cambria Math" w:hAnsi="Cambria Math"/>
                  <w:i/>
                  <w:sz w:val="20"/>
                  <w:szCs w:val="20"/>
                </w:rPr>
              </m:ctrlPr>
            </m:radPr>
            <m:deg/>
            <m:e>
              <m:f>
                <m:fPr>
                  <m:ctrlPr>
                    <w:rPr>
                      <w:rFonts w:ascii="Cambria Math" w:hAnsi="Cambria Math"/>
                      <w:i/>
                      <w:sz w:val="20"/>
                      <w:szCs w:val="20"/>
                    </w:rPr>
                  </m:ctrlPr>
                </m:fPr>
                <m:num>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64,70-59,09</m:t>
                          </m:r>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62,16-59,09</m:t>
                          </m:r>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53,23-59,09</m:t>
                          </m:r>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56,25-59,09</m:t>
                          </m:r>
                        </m:e>
                      </m:d>
                    </m:e>
                    <m:sup>
                      <m:r>
                        <w:rPr>
                          <w:rFonts w:ascii="Cambria Math" w:hAnsi="Cambria Math"/>
                          <w:sz w:val="20"/>
                          <w:szCs w:val="20"/>
                        </w:rPr>
                        <m:t>2</m:t>
                      </m:r>
                    </m:sup>
                  </m:sSup>
                </m:num>
                <m:den>
                  <m:r>
                    <w:rPr>
                      <w:rFonts w:ascii="Cambria Math" w:hAnsi="Cambria Math"/>
                      <w:sz w:val="20"/>
                      <w:szCs w:val="20"/>
                    </w:rPr>
                    <m:t>4</m:t>
                  </m:r>
                </m:den>
              </m:f>
            </m:e>
          </m:rad>
          <m:r>
            <w:rPr>
              <w:rFonts w:ascii="Cambria Math" w:hAnsi="Cambria Math"/>
              <w:sz w:val="20"/>
              <w:szCs w:val="20"/>
            </w:rPr>
            <m:t>=</m:t>
          </m:r>
          <m:rad>
            <m:radPr>
              <m:degHide m:val="on"/>
              <m:ctrlPr>
                <w:rPr>
                  <w:rFonts w:ascii="Cambria Math" w:hAnsi="Cambria Math"/>
                  <w:i/>
                  <w:sz w:val="20"/>
                  <w:szCs w:val="20"/>
                </w:rPr>
              </m:ctrlPr>
            </m:radPr>
            <m:deg/>
            <m:e>
              <m:r>
                <w:rPr>
                  <w:rFonts w:ascii="Cambria Math" w:hAnsi="Cambria Math"/>
                  <w:sz w:val="20"/>
                  <w:szCs w:val="20"/>
                </w:rPr>
                <m:t>20,825</m:t>
              </m:r>
            </m:e>
          </m:rad>
          <m:r>
            <m:rPr>
              <m:sty m:val="p"/>
            </m:rPr>
            <w:rPr>
              <w:rFonts w:ascii="Cambria Math" w:hAnsi="Cambria Math" w:cs="Arial"/>
              <w:sz w:val="20"/>
              <w:szCs w:val="20"/>
              <w:shd w:val="clear" w:color="auto" w:fill="FFFFFF"/>
            </w:rPr>
            <m:t>≐</m:t>
          </m:r>
          <m:r>
            <m:rPr>
              <m:sty m:val="bi"/>
            </m:rPr>
            <w:rPr>
              <w:rFonts w:ascii="Cambria Math" w:hAnsi="Cambria Math"/>
              <w:sz w:val="20"/>
              <w:szCs w:val="20"/>
            </w:rPr>
            <m:t>4,56</m:t>
          </m:r>
        </m:oMath>
      </m:oMathPara>
    </w:p>
    <w:p w:rsidR="00D674E9" w:rsidRPr="00805964" w:rsidRDefault="00D674E9" w:rsidP="0029635A">
      <w:pPr>
        <w:spacing w:line="360" w:lineRule="auto"/>
        <w:contextualSpacing/>
        <w:jc w:val="both"/>
      </w:pPr>
    </w:p>
    <w:p w:rsidR="00D674E9" w:rsidRPr="00D674E9" w:rsidRDefault="006419BB" w:rsidP="0029635A">
      <w:pPr>
        <w:spacing w:line="360" w:lineRule="auto"/>
        <w:contextualSpacing/>
        <w:jc w:val="both"/>
        <w:rPr>
          <w:b/>
          <w:u w:val="single"/>
        </w:rPr>
      </w:pPr>
      <w:r w:rsidRPr="00805964">
        <w:rPr>
          <w:b/>
          <w:u w:val="single"/>
        </w:rPr>
        <w:t>Varianta</w:t>
      </w:r>
      <w:r w:rsidR="00FC27C0" w:rsidRPr="00805964">
        <w:rPr>
          <w:b/>
          <w:u w:val="single"/>
        </w:rPr>
        <w:t xml:space="preserve"> č. 4: </w:t>
      </w:r>
      <w:r w:rsidR="00CE2FB2" w:rsidRPr="00805964">
        <w:rPr>
          <w:b/>
          <w:u w:val="single"/>
        </w:rPr>
        <w:t>P</w:t>
      </w:r>
      <w:r w:rsidRPr="00805964">
        <w:rPr>
          <w:b/>
          <w:u w:val="single"/>
        </w:rPr>
        <w:t xml:space="preserve">růměr: </w:t>
      </w:r>
      <w:r w:rsidR="00D656F4" w:rsidRPr="008A7721">
        <w:rPr>
          <w:rFonts w:cs="Times New Roman"/>
          <w:b/>
          <w:szCs w:val="24"/>
          <w:u w:val="single"/>
        </w:rPr>
        <w:t>61</w:t>
      </w:r>
      <w:r w:rsidR="00FC27C0" w:rsidRPr="008A7721">
        <w:rPr>
          <w:rFonts w:cs="Times New Roman"/>
          <w:b/>
          <w:szCs w:val="24"/>
          <w:u w:val="single"/>
        </w:rPr>
        <w:t>,</w:t>
      </w:r>
      <w:r w:rsidR="00D656F4" w:rsidRPr="008A7721">
        <w:rPr>
          <w:rFonts w:cs="Times New Roman"/>
          <w:b/>
          <w:szCs w:val="24"/>
          <w:u w:val="single"/>
        </w:rPr>
        <w:t>387</w:t>
      </w:r>
      <m:oMath>
        <m:r>
          <m:rPr>
            <m:sty m:val="b"/>
          </m:rPr>
          <w:rPr>
            <w:rFonts w:hAnsi="Cambria Math" w:cs="Times New Roman"/>
            <w:szCs w:val="24"/>
            <w:u w:val="single"/>
            <w:shd w:val="clear" w:color="auto" w:fill="FFFFFF"/>
          </w:rPr>
          <m:t>≐</m:t>
        </m:r>
      </m:oMath>
      <w:r w:rsidR="007E57E5" w:rsidRPr="008A7721">
        <w:rPr>
          <w:rFonts w:eastAsiaTheme="minorEastAsia" w:cs="Times New Roman"/>
          <w:b/>
          <w:szCs w:val="24"/>
          <w:u w:val="single"/>
          <w:shd w:val="clear" w:color="auto" w:fill="FFFFFF"/>
        </w:rPr>
        <w:t xml:space="preserve"> </w:t>
      </w:r>
      <w:r w:rsidR="00D656F4" w:rsidRPr="008A7721">
        <w:rPr>
          <w:rFonts w:cs="Times New Roman"/>
          <w:b/>
          <w:szCs w:val="24"/>
          <w:u w:val="single"/>
          <w:shd w:val="clear" w:color="auto" w:fill="FFFFFF"/>
        </w:rPr>
        <w:t>61,39</w:t>
      </w:r>
      <w:r w:rsidR="00FC27C0" w:rsidRPr="00805964">
        <w:rPr>
          <w:rFonts w:ascii="Arial" w:hAnsi="Arial" w:cs="Arial"/>
          <w:b/>
          <w:sz w:val="23"/>
          <w:szCs w:val="23"/>
          <w:u w:val="single"/>
          <w:shd w:val="clear" w:color="auto" w:fill="FFFFFF"/>
        </w:rPr>
        <w:t xml:space="preserve"> </w:t>
      </w:r>
    </w:p>
    <w:p w:rsidR="00FC27C0" w:rsidRPr="00805964" w:rsidRDefault="00EE58B6" w:rsidP="0029635A">
      <w:pPr>
        <w:spacing w:line="360" w:lineRule="auto"/>
        <w:contextualSpacing/>
        <w:jc w:val="both"/>
        <w:rPr>
          <w:rFonts w:eastAsiaTheme="minorEastAsia"/>
          <w:b/>
          <w:i/>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4</m:t>
              </m:r>
            </m:sub>
          </m:sSub>
          <m:r>
            <w:rPr>
              <w:rFonts w:ascii="Cambria Math" w:eastAsiaTheme="minorEastAsia" w:hAnsi="Cambria Math"/>
              <w:sz w:val="20"/>
              <w:szCs w:val="20"/>
            </w:rPr>
            <m:t>=</m:t>
          </m:r>
          <m:rad>
            <m:radPr>
              <m:degHide m:val="on"/>
              <m:ctrlPr>
                <w:rPr>
                  <w:rFonts w:ascii="Cambria Math" w:hAnsi="Cambria Math"/>
                  <w:i/>
                  <w:sz w:val="20"/>
                  <w:szCs w:val="20"/>
                </w:rPr>
              </m:ctrlPr>
            </m:radPr>
            <m:deg/>
            <m:e>
              <m:f>
                <m:fPr>
                  <m:ctrlPr>
                    <w:rPr>
                      <w:rFonts w:ascii="Cambria Math" w:hAnsi="Cambria Math"/>
                      <w:i/>
                      <w:sz w:val="20"/>
                      <w:szCs w:val="20"/>
                    </w:rPr>
                  </m:ctrlPr>
                </m:fPr>
                <m:num>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71,11-61,39</m:t>
                          </m:r>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62,85-61,39</m:t>
                          </m:r>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56,79-61,39</m:t>
                          </m:r>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54,80-61,39</m:t>
                          </m:r>
                        </m:e>
                      </m:d>
                    </m:e>
                    <m:sup>
                      <m:r>
                        <w:rPr>
                          <w:rFonts w:ascii="Cambria Math" w:hAnsi="Cambria Math"/>
                          <w:sz w:val="20"/>
                          <w:szCs w:val="20"/>
                        </w:rPr>
                        <m:t>2</m:t>
                      </m:r>
                    </m:sup>
                  </m:sSup>
                </m:num>
                <m:den>
                  <m:r>
                    <w:rPr>
                      <w:rFonts w:ascii="Cambria Math" w:hAnsi="Cambria Math"/>
                      <w:sz w:val="20"/>
                      <w:szCs w:val="20"/>
                    </w:rPr>
                    <m:t>4</m:t>
                  </m:r>
                </m:den>
              </m:f>
            </m:e>
          </m:rad>
          <m:r>
            <w:rPr>
              <w:rFonts w:ascii="Cambria Math" w:hAnsi="Cambria Math"/>
              <w:sz w:val="20"/>
              <w:szCs w:val="20"/>
            </w:rPr>
            <m:t>=</m:t>
          </m:r>
          <m:rad>
            <m:radPr>
              <m:degHide m:val="on"/>
              <m:ctrlPr>
                <w:rPr>
                  <w:rFonts w:ascii="Cambria Math" w:hAnsi="Cambria Math"/>
                  <w:i/>
                  <w:sz w:val="20"/>
                  <w:szCs w:val="20"/>
                </w:rPr>
              </m:ctrlPr>
            </m:radPr>
            <m:deg/>
            <m:e>
              <m:r>
                <w:rPr>
                  <w:rFonts w:ascii="Cambria Math" w:hAnsi="Cambria Math"/>
                  <w:sz w:val="20"/>
                  <w:szCs w:val="20"/>
                </w:rPr>
                <m:t>40,3</m:t>
              </m:r>
            </m:e>
          </m:rad>
          <m:r>
            <m:rPr>
              <m:sty m:val="p"/>
            </m:rPr>
            <w:rPr>
              <w:rFonts w:ascii="Cambria Math" w:hAnsi="Cambria Math" w:cs="Arial"/>
              <w:sz w:val="20"/>
              <w:szCs w:val="20"/>
              <w:shd w:val="clear" w:color="auto" w:fill="FFFFFF"/>
            </w:rPr>
            <m:t>≐</m:t>
          </m:r>
          <m:r>
            <m:rPr>
              <m:sty m:val="bi"/>
            </m:rPr>
            <w:rPr>
              <w:rFonts w:ascii="Cambria Math" w:hAnsi="Cambria Math"/>
              <w:sz w:val="20"/>
              <w:szCs w:val="20"/>
            </w:rPr>
            <m:t>6,35</m:t>
          </m:r>
        </m:oMath>
      </m:oMathPara>
    </w:p>
    <w:p w:rsidR="00103F11" w:rsidRPr="00805964" w:rsidRDefault="00103F11" w:rsidP="0029635A">
      <w:pPr>
        <w:spacing w:line="360" w:lineRule="auto"/>
        <w:contextualSpacing/>
        <w:jc w:val="both"/>
        <w:rPr>
          <w:rFonts w:eastAsiaTheme="minorEastAsia"/>
          <w:b/>
          <w:i/>
          <w:sz w:val="20"/>
          <w:szCs w:val="20"/>
        </w:rPr>
      </w:pPr>
    </w:p>
    <w:p w:rsidR="003961E8" w:rsidRDefault="003961E8" w:rsidP="0029635A">
      <w:pPr>
        <w:spacing w:line="360" w:lineRule="auto"/>
        <w:contextualSpacing/>
        <w:jc w:val="both"/>
        <w:rPr>
          <w:rFonts w:eastAsiaTheme="minorEastAsia"/>
          <w:b/>
          <w:i/>
          <w:sz w:val="20"/>
          <w:szCs w:val="20"/>
        </w:rPr>
      </w:pPr>
    </w:p>
    <w:p w:rsidR="00D674E9" w:rsidRPr="00805964" w:rsidRDefault="00D674E9" w:rsidP="0029635A">
      <w:pPr>
        <w:spacing w:line="360" w:lineRule="auto"/>
        <w:contextualSpacing/>
        <w:jc w:val="both"/>
        <w:rPr>
          <w:rFonts w:eastAsiaTheme="minorEastAsia"/>
          <w:b/>
          <w:i/>
          <w:sz w:val="20"/>
          <w:szCs w:val="20"/>
        </w:rPr>
      </w:pPr>
    </w:p>
    <w:p w:rsidR="003961E8" w:rsidRPr="00805964" w:rsidRDefault="003961E8" w:rsidP="003961E8">
      <w:pPr>
        <w:spacing w:line="360" w:lineRule="auto"/>
        <w:contextualSpacing/>
        <w:jc w:val="center"/>
        <w:rPr>
          <w:b/>
          <w:sz w:val="22"/>
          <w:u w:val="single"/>
        </w:rPr>
      </w:pPr>
      <w:r w:rsidRPr="00805964">
        <w:rPr>
          <w:b/>
          <w:sz w:val="22"/>
          <w:u w:val="single"/>
        </w:rPr>
        <w:lastRenderedPageBreak/>
        <w:t>Tabulka č. 26: Srovnání průměrných hodnot s hodnotami naměřenými v analyzovaných obdobích</w:t>
      </w:r>
    </w:p>
    <w:tbl>
      <w:tblPr>
        <w:tblStyle w:val="Mkatabulky"/>
        <w:tblW w:w="0" w:type="auto"/>
        <w:tblLook w:val="04A0"/>
      </w:tblPr>
      <w:tblGrid>
        <w:gridCol w:w="2302"/>
        <w:gridCol w:w="2303"/>
        <w:gridCol w:w="2303"/>
        <w:gridCol w:w="2303"/>
      </w:tblGrid>
      <w:tr w:rsidR="00C3124E" w:rsidRPr="00805964" w:rsidTr="00243ABF">
        <w:tc>
          <w:tcPr>
            <w:tcW w:w="2302" w:type="dxa"/>
            <w:vAlign w:val="center"/>
          </w:tcPr>
          <w:p w:rsidR="00C3124E" w:rsidRPr="00805964" w:rsidRDefault="00C3124E" w:rsidP="00243ABF">
            <w:pPr>
              <w:spacing w:line="360" w:lineRule="auto"/>
              <w:contextualSpacing/>
              <w:jc w:val="center"/>
            </w:pPr>
          </w:p>
        </w:tc>
        <w:tc>
          <w:tcPr>
            <w:tcW w:w="2303" w:type="dxa"/>
            <w:vAlign w:val="center"/>
          </w:tcPr>
          <w:p w:rsidR="00C3124E" w:rsidRPr="00805964" w:rsidRDefault="00C3124E" w:rsidP="00243ABF">
            <w:pPr>
              <w:spacing w:line="360" w:lineRule="auto"/>
              <w:contextualSpacing/>
              <w:jc w:val="center"/>
              <w:rPr>
                <w:b/>
              </w:rPr>
            </w:pPr>
            <w:r w:rsidRPr="00805964">
              <w:rPr>
                <w:b/>
              </w:rPr>
              <w:t>Průměrná hodnota</w:t>
            </w:r>
          </w:p>
        </w:tc>
        <w:tc>
          <w:tcPr>
            <w:tcW w:w="2303" w:type="dxa"/>
            <w:vAlign w:val="center"/>
          </w:tcPr>
          <w:p w:rsidR="00C3124E" w:rsidRPr="00805964" w:rsidRDefault="00C3124E" w:rsidP="00243ABF">
            <w:pPr>
              <w:spacing w:line="360" w:lineRule="auto"/>
              <w:contextualSpacing/>
              <w:jc w:val="center"/>
              <w:rPr>
                <w:b/>
              </w:rPr>
            </w:pPr>
            <w:r w:rsidRPr="00805964">
              <w:rPr>
                <w:b/>
              </w:rPr>
              <w:t>6.funkční období</w:t>
            </w:r>
          </w:p>
        </w:tc>
        <w:tc>
          <w:tcPr>
            <w:tcW w:w="2303" w:type="dxa"/>
            <w:vAlign w:val="center"/>
          </w:tcPr>
          <w:p w:rsidR="00C3124E" w:rsidRPr="00805964" w:rsidRDefault="00C3124E" w:rsidP="00243ABF">
            <w:pPr>
              <w:spacing w:line="360" w:lineRule="auto"/>
              <w:contextualSpacing/>
              <w:jc w:val="center"/>
              <w:rPr>
                <w:b/>
              </w:rPr>
            </w:pPr>
            <w:r w:rsidRPr="00805964">
              <w:rPr>
                <w:b/>
              </w:rPr>
              <w:t>8.fu</w:t>
            </w:r>
            <w:r w:rsidR="00AC0B44" w:rsidRPr="00805964">
              <w:rPr>
                <w:b/>
              </w:rPr>
              <w:t>n</w:t>
            </w:r>
            <w:r w:rsidRPr="00805964">
              <w:rPr>
                <w:b/>
              </w:rPr>
              <w:t>kční období</w:t>
            </w:r>
          </w:p>
        </w:tc>
      </w:tr>
      <w:tr w:rsidR="00C3124E" w:rsidRPr="00805964" w:rsidTr="00243ABF">
        <w:tc>
          <w:tcPr>
            <w:tcW w:w="2302" w:type="dxa"/>
            <w:vAlign w:val="center"/>
          </w:tcPr>
          <w:p w:rsidR="00C3124E" w:rsidRPr="00805964" w:rsidRDefault="00C3124E" w:rsidP="00243ABF">
            <w:pPr>
              <w:spacing w:line="360" w:lineRule="auto"/>
              <w:contextualSpacing/>
              <w:jc w:val="center"/>
              <w:rPr>
                <w:b/>
              </w:rPr>
            </w:pPr>
            <w:r w:rsidRPr="00805964">
              <w:rPr>
                <w:b/>
              </w:rPr>
              <w:t>Varianta č.1</w:t>
            </w:r>
          </w:p>
        </w:tc>
        <w:tc>
          <w:tcPr>
            <w:tcW w:w="2303" w:type="dxa"/>
            <w:vAlign w:val="center"/>
          </w:tcPr>
          <w:p w:rsidR="00C3124E" w:rsidRPr="00805964" w:rsidRDefault="00C3124E" w:rsidP="00243ABF">
            <w:pPr>
              <w:spacing w:line="360" w:lineRule="auto"/>
              <w:contextualSpacing/>
              <w:jc w:val="center"/>
            </w:pPr>
            <w:r w:rsidRPr="00805964">
              <w:t>290,25</w:t>
            </w:r>
            <m:oMath>
              <m:r>
                <w:rPr>
                  <w:rFonts w:ascii="Cambria Math" w:hAnsi="Cambria Math"/>
                </w:rPr>
                <m:t xml:space="preserve"> ± </m:t>
              </m:r>
            </m:oMath>
            <w:r w:rsidRPr="00805964">
              <w:rPr>
                <w:rFonts w:eastAsiaTheme="minorEastAsia"/>
              </w:rPr>
              <w:t>70,16</w:t>
            </w:r>
          </w:p>
        </w:tc>
        <w:tc>
          <w:tcPr>
            <w:tcW w:w="2303" w:type="dxa"/>
            <w:vAlign w:val="center"/>
          </w:tcPr>
          <w:p w:rsidR="00C3124E" w:rsidRPr="00805964" w:rsidRDefault="00C3124E" w:rsidP="00243ABF">
            <w:pPr>
              <w:spacing w:line="360" w:lineRule="auto"/>
              <w:contextualSpacing/>
              <w:jc w:val="center"/>
            </w:pPr>
            <w:r w:rsidRPr="00805964">
              <w:t>200</w:t>
            </w:r>
          </w:p>
        </w:tc>
        <w:tc>
          <w:tcPr>
            <w:tcW w:w="2303" w:type="dxa"/>
            <w:vAlign w:val="center"/>
          </w:tcPr>
          <w:p w:rsidR="00C3124E" w:rsidRPr="00805964" w:rsidRDefault="00C3124E" w:rsidP="00243ABF">
            <w:pPr>
              <w:spacing w:line="360" w:lineRule="auto"/>
              <w:contextualSpacing/>
              <w:jc w:val="center"/>
            </w:pPr>
            <w:r w:rsidRPr="00805964">
              <w:t>304</w:t>
            </w:r>
          </w:p>
        </w:tc>
      </w:tr>
      <w:tr w:rsidR="00C3124E" w:rsidRPr="00805964" w:rsidTr="00243ABF">
        <w:tc>
          <w:tcPr>
            <w:tcW w:w="2302" w:type="dxa"/>
            <w:vAlign w:val="center"/>
          </w:tcPr>
          <w:p w:rsidR="00C3124E" w:rsidRPr="00805964" w:rsidRDefault="00C3124E" w:rsidP="00243ABF">
            <w:pPr>
              <w:spacing w:line="360" w:lineRule="auto"/>
              <w:contextualSpacing/>
              <w:jc w:val="center"/>
              <w:rPr>
                <w:b/>
              </w:rPr>
            </w:pPr>
            <w:r w:rsidRPr="00805964">
              <w:rPr>
                <w:b/>
              </w:rPr>
              <w:t>Varianta č.2</w:t>
            </w:r>
          </w:p>
        </w:tc>
        <w:tc>
          <w:tcPr>
            <w:tcW w:w="2303" w:type="dxa"/>
            <w:vAlign w:val="center"/>
          </w:tcPr>
          <w:p w:rsidR="00C3124E" w:rsidRPr="00805964" w:rsidRDefault="00C3124E" w:rsidP="00243ABF">
            <w:pPr>
              <w:spacing w:line="360" w:lineRule="auto"/>
              <w:contextualSpacing/>
              <w:jc w:val="center"/>
            </w:pPr>
            <w:r w:rsidRPr="00805964">
              <w:t xml:space="preserve">1,25 </w:t>
            </w:r>
            <m:oMath>
              <m:r>
                <w:rPr>
                  <w:rFonts w:ascii="Cambria Math" w:hAnsi="Cambria Math"/>
                </w:rPr>
                <m:t>±</m:t>
              </m:r>
            </m:oMath>
            <w:r w:rsidRPr="00805964">
              <w:rPr>
                <w:rFonts w:eastAsiaTheme="minorEastAsia"/>
              </w:rPr>
              <w:t xml:space="preserve"> 0,23</w:t>
            </w:r>
          </w:p>
        </w:tc>
        <w:tc>
          <w:tcPr>
            <w:tcW w:w="2303" w:type="dxa"/>
            <w:vAlign w:val="center"/>
          </w:tcPr>
          <w:p w:rsidR="00C3124E" w:rsidRPr="00805964" w:rsidRDefault="00C3124E" w:rsidP="00243ABF">
            <w:pPr>
              <w:spacing w:line="360" w:lineRule="auto"/>
              <w:contextualSpacing/>
              <w:jc w:val="center"/>
            </w:pPr>
            <w:r w:rsidRPr="00805964">
              <w:t>1,04</w:t>
            </w:r>
          </w:p>
        </w:tc>
        <w:tc>
          <w:tcPr>
            <w:tcW w:w="2303" w:type="dxa"/>
            <w:vAlign w:val="center"/>
          </w:tcPr>
          <w:p w:rsidR="00C3124E" w:rsidRPr="00805964" w:rsidRDefault="00C3124E" w:rsidP="00243ABF">
            <w:pPr>
              <w:spacing w:line="360" w:lineRule="auto"/>
              <w:contextualSpacing/>
              <w:jc w:val="center"/>
            </w:pPr>
            <w:r w:rsidRPr="00805964">
              <w:t>1,39</w:t>
            </w:r>
          </w:p>
        </w:tc>
      </w:tr>
      <w:tr w:rsidR="00C3124E" w:rsidRPr="00805964" w:rsidTr="00243ABF">
        <w:tc>
          <w:tcPr>
            <w:tcW w:w="2302" w:type="dxa"/>
            <w:vAlign w:val="center"/>
          </w:tcPr>
          <w:p w:rsidR="00C3124E" w:rsidRPr="00805964" w:rsidRDefault="00C3124E" w:rsidP="00243ABF">
            <w:pPr>
              <w:spacing w:line="360" w:lineRule="auto"/>
              <w:contextualSpacing/>
              <w:jc w:val="center"/>
              <w:rPr>
                <w:b/>
              </w:rPr>
            </w:pPr>
            <w:r w:rsidRPr="00805964">
              <w:rPr>
                <w:b/>
              </w:rPr>
              <w:t>Varianta č.3</w:t>
            </w:r>
          </w:p>
        </w:tc>
        <w:tc>
          <w:tcPr>
            <w:tcW w:w="2303" w:type="dxa"/>
            <w:vAlign w:val="center"/>
          </w:tcPr>
          <w:p w:rsidR="00C3124E" w:rsidRPr="00805964" w:rsidRDefault="00C3124E" w:rsidP="00243ABF">
            <w:pPr>
              <w:spacing w:line="360" w:lineRule="auto"/>
              <w:contextualSpacing/>
              <w:jc w:val="center"/>
            </w:pPr>
            <w:r w:rsidRPr="00805964">
              <w:t xml:space="preserve">59,09 </w:t>
            </w:r>
            <m:oMath>
              <m:r>
                <w:rPr>
                  <w:rFonts w:ascii="Cambria Math" w:hAnsi="Cambria Math"/>
                </w:rPr>
                <m:t>± 4,56</m:t>
              </m:r>
            </m:oMath>
          </w:p>
        </w:tc>
        <w:tc>
          <w:tcPr>
            <w:tcW w:w="2303" w:type="dxa"/>
            <w:vAlign w:val="center"/>
          </w:tcPr>
          <w:p w:rsidR="00C3124E" w:rsidRPr="00805964" w:rsidRDefault="00C3124E" w:rsidP="00243ABF">
            <w:pPr>
              <w:spacing w:line="360" w:lineRule="auto"/>
              <w:contextualSpacing/>
              <w:jc w:val="center"/>
            </w:pPr>
            <w:r w:rsidRPr="00805964">
              <w:t>50,00</w:t>
            </w:r>
          </w:p>
        </w:tc>
        <w:tc>
          <w:tcPr>
            <w:tcW w:w="2303" w:type="dxa"/>
            <w:vAlign w:val="center"/>
          </w:tcPr>
          <w:p w:rsidR="00C3124E" w:rsidRPr="00805964" w:rsidRDefault="00C3124E" w:rsidP="00243ABF">
            <w:pPr>
              <w:spacing w:line="360" w:lineRule="auto"/>
              <w:contextualSpacing/>
              <w:jc w:val="center"/>
            </w:pPr>
            <w:r w:rsidRPr="00805964">
              <w:t>34,06</w:t>
            </w:r>
          </w:p>
        </w:tc>
      </w:tr>
      <w:tr w:rsidR="00C3124E" w:rsidRPr="00805964" w:rsidTr="00243ABF">
        <w:tc>
          <w:tcPr>
            <w:tcW w:w="2302" w:type="dxa"/>
            <w:vAlign w:val="center"/>
          </w:tcPr>
          <w:p w:rsidR="00C3124E" w:rsidRPr="00805964" w:rsidRDefault="00C3124E" w:rsidP="00243ABF">
            <w:pPr>
              <w:spacing w:line="360" w:lineRule="auto"/>
              <w:contextualSpacing/>
              <w:jc w:val="center"/>
              <w:rPr>
                <w:b/>
              </w:rPr>
            </w:pPr>
            <w:r w:rsidRPr="00805964">
              <w:rPr>
                <w:b/>
              </w:rPr>
              <w:t>Varianta č.4</w:t>
            </w:r>
          </w:p>
        </w:tc>
        <w:tc>
          <w:tcPr>
            <w:tcW w:w="2303" w:type="dxa"/>
            <w:vAlign w:val="center"/>
          </w:tcPr>
          <w:p w:rsidR="00C3124E" w:rsidRPr="00805964" w:rsidRDefault="00C3124E" w:rsidP="00243ABF">
            <w:pPr>
              <w:spacing w:line="360" w:lineRule="auto"/>
              <w:contextualSpacing/>
              <w:jc w:val="center"/>
            </w:pPr>
            <w:r w:rsidRPr="00805964">
              <w:t xml:space="preserve">61,39 </w:t>
            </w:r>
            <m:oMath>
              <m:r>
                <w:rPr>
                  <w:rFonts w:ascii="Cambria Math" w:hAnsi="Cambria Math"/>
                </w:rPr>
                <m:t>± 6,35</m:t>
              </m:r>
            </m:oMath>
          </w:p>
        </w:tc>
        <w:tc>
          <w:tcPr>
            <w:tcW w:w="2303" w:type="dxa"/>
            <w:vAlign w:val="center"/>
          </w:tcPr>
          <w:p w:rsidR="00C3124E" w:rsidRPr="00805964" w:rsidRDefault="00C3124E" w:rsidP="00243ABF">
            <w:pPr>
              <w:spacing w:line="360" w:lineRule="auto"/>
              <w:contextualSpacing/>
              <w:jc w:val="center"/>
            </w:pPr>
            <w:r w:rsidRPr="00805964">
              <w:t>48,64</w:t>
            </w:r>
          </w:p>
        </w:tc>
        <w:tc>
          <w:tcPr>
            <w:tcW w:w="2303" w:type="dxa"/>
            <w:vAlign w:val="center"/>
          </w:tcPr>
          <w:p w:rsidR="00C3124E" w:rsidRPr="00805964" w:rsidRDefault="00C3124E" w:rsidP="00243ABF">
            <w:pPr>
              <w:spacing w:line="360" w:lineRule="auto"/>
              <w:contextualSpacing/>
              <w:jc w:val="center"/>
            </w:pPr>
            <w:r w:rsidRPr="00805964">
              <w:t>31,02</w:t>
            </w:r>
          </w:p>
        </w:tc>
      </w:tr>
    </w:tbl>
    <w:p w:rsidR="00C3124E" w:rsidRPr="00805964" w:rsidRDefault="00C3124E" w:rsidP="003734FA">
      <w:pPr>
        <w:spacing w:line="360" w:lineRule="auto"/>
        <w:contextualSpacing/>
        <w:jc w:val="center"/>
        <w:rPr>
          <w:i/>
          <w:sz w:val="22"/>
        </w:rPr>
      </w:pPr>
      <w:r w:rsidRPr="00805964">
        <w:rPr>
          <w:i/>
          <w:sz w:val="22"/>
        </w:rPr>
        <w:t>Zpracoval: Autor.</w:t>
      </w:r>
    </w:p>
    <w:p w:rsidR="00C3124E" w:rsidRPr="00805964" w:rsidRDefault="00C3124E" w:rsidP="0029635A">
      <w:pPr>
        <w:spacing w:line="360" w:lineRule="auto"/>
        <w:contextualSpacing/>
        <w:jc w:val="both"/>
        <w:rPr>
          <w:sz w:val="20"/>
          <w:szCs w:val="20"/>
        </w:rPr>
      </w:pPr>
    </w:p>
    <w:p w:rsidR="003961E8" w:rsidRPr="00805964" w:rsidRDefault="003961E8" w:rsidP="0029635A">
      <w:pPr>
        <w:spacing w:line="360" w:lineRule="auto"/>
        <w:contextualSpacing/>
        <w:jc w:val="both"/>
        <w:rPr>
          <w:b/>
          <w:sz w:val="22"/>
          <w:u w:val="single"/>
        </w:rPr>
      </w:pPr>
      <w:r w:rsidRPr="00805964">
        <w:rPr>
          <w:b/>
          <w:sz w:val="22"/>
          <w:u w:val="single"/>
        </w:rPr>
        <w:t>Tabulka č. 27: Vyhodnocení hodnot analyzovaných období vůči rozmezí průměrných hodnot</w:t>
      </w:r>
    </w:p>
    <w:tbl>
      <w:tblPr>
        <w:tblStyle w:val="Mkatabulky"/>
        <w:tblW w:w="0" w:type="auto"/>
        <w:tblLook w:val="04A0"/>
      </w:tblPr>
      <w:tblGrid>
        <w:gridCol w:w="2302"/>
        <w:gridCol w:w="2303"/>
        <w:gridCol w:w="2303"/>
        <w:gridCol w:w="2303"/>
      </w:tblGrid>
      <w:tr w:rsidR="00C3124E" w:rsidRPr="00805964" w:rsidTr="00243ABF">
        <w:tc>
          <w:tcPr>
            <w:tcW w:w="2302" w:type="dxa"/>
            <w:vAlign w:val="center"/>
          </w:tcPr>
          <w:p w:rsidR="00C3124E" w:rsidRPr="00805964" w:rsidRDefault="00C3124E" w:rsidP="00243ABF">
            <w:pPr>
              <w:spacing w:line="360" w:lineRule="auto"/>
              <w:contextualSpacing/>
              <w:jc w:val="center"/>
            </w:pPr>
          </w:p>
        </w:tc>
        <w:tc>
          <w:tcPr>
            <w:tcW w:w="2303" w:type="dxa"/>
            <w:vAlign w:val="center"/>
          </w:tcPr>
          <w:p w:rsidR="00C3124E" w:rsidRPr="00805964" w:rsidRDefault="00C3124E" w:rsidP="00243ABF">
            <w:pPr>
              <w:spacing w:line="360" w:lineRule="auto"/>
              <w:contextualSpacing/>
              <w:jc w:val="center"/>
            </w:pPr>
            <w:r w:rsidRPr="00805964">
              <w:rPr>
                <w:b/>
              </w:rPr>
              <w:t>Rozmezí průměrných hodnot</w:t>
            </w:r>
          </w:p>
        </w:tc>
        <w:tc>
          <w:tcPr>
            <w:tcW w:w="2303" w:type="dxa"/>
            <w:vAlign w:val="center"/>
          </w:tcPr>
          <w:p w:rsidR="00C3124E" w:rsidRPr="00805964" w:rsidRDefault="00C3124E" w:rsidP="00243ABF">
            <w:pPr>
              <w:spacing w:line="360" w:lineRule="auto"/>
              <w:contextualSpacing/>
              <w:jc w:val="center"/>
            </w:pPr>
            <w:r w:rsidRPr="00805964">
              <w:rPr>
                <w:b/>
              </w:rPr>
              <w:t>6.funkční období</w:t>
            </w:r>
          </w:p>
        </w:tc>
        <w:tc>
          <w:tcPr>
            <w:tcW w:w="2303" w:type="dxa"/>
            <w:vAlign w:val="center"/>
          </w:tcPr>
          <w:p w:rsidR="00C3124E" w:rsidRPr="00805964" w:rsidRDefault="00C3124E" w:rsidP="00243ABF">
            <w:pPr>
              <w:spacing w:line="360" w:lineRule="auto"/>
              <w:contextualSpacing/>
              <w:jc w:val="center"/>
            </w:pPr>
            <w:r w:rsidRPr="00805964">
              <w:rPr>
                <w:b/>
              </w:rPr>
              <w:t>8.fu</w:t>
            </w:r>
            <w:r w:rsidR="00AC0B44" w:rsidRPr="00805964">
              <w:rPr>
                <w:b/>
              </w:rPr>
              <w:t>n</w:t>
            </w:r>
            <w:r w:rsidRPr="00805964">
              <w:rPr>
                <w:b/>
              </w:rPr>
              <w:t>kční období</w:t>
            </w:r>
          </w:p>
        </w:tc>
      </w:tr>
      <w:tr w:rsidR="00C3124E" w:rsidRPr="00805964" w:rsidTr="0013537E">
        <w:trPr>
          <w:trHeight w:val="443"/>
        </w:trPr>
        <w:tc>
          <w:tcPr>
            <w:tcW w:w="2302" w:type="dxa"/>
            <w:vAlign w:val="center"/>
          </w:tcPr>
          <w:p w:rsidR="00C3124E" w:rsidRPr="00805964" w:rsidRDefault="00C3124E" w:rsidP="00243ABF">
            <w:pPr>
              <w:spacing w:line="360" w:lineRule="auto"/>
              <w:contextualSpacing/>
              <w:jc w:val="center"/>
            </w:pPr>
            <w:r w:rsidRPr="00805964">
              <w:rPr>
                <w:b/>
              </w:rPr>
              <w:t>Varianta č.1</w:t>
            </w:r>
          </w:p>
        </w:tc>
        <w:tc>
          <w:tcPr>
            <w:tcW w:w="2303" w:type="dxa"/>
            <w:vAlign w:val="center"/>
          </w:tcPr>
          <w:p w:rsidR="00C3124E" w:rsidRPr="00805964" w:rsidRDefault="00C3124E" w:rsidP="00243ABF">
            <w:pPr>
              <w:spacing w:line="360" w:lineRule="auto"/>
              <w:contextualSpacing/>
              <w:jc w:val="center"/>
            </w:pPr>
            <w:r w:rsidRPr="00805964">
              <w:t xml:space="preserve">220,09 </w:t>
            </w:r>
            <w:r w:rsidRPr="00805964">
              <w:rPr>
                <w:rFonts w:cs="Times New Roman"/>
              </w:rPr>
              <w:t>−</w:t>
            </w:r>
            <w:r w:rsidRPr="00805964">
              <w:t>360,41</w:t>
            </w:r>
          </w:p>
        </w:tc>
        <w:tc>
          <w:tcPr>
            <w:tcW w:w="2303" w:type="dxa"/>
            <w:vAlign w:val="center"/>
          </w:tcPr>
          <w:p w:rsidR="00C3124E" w:rsidRPr="00805964" w:rsidRDefault="00C3124E" w:rsidP="00243ABF">
            <w:pPr>
              <w:spacing w:line="360" w:lineRule="auto"/>
              <w:contextualSpacing/>
              <w:jc w:val="center"/>
            </w:pPr>
            <w:r w:rsidRPr="00805964">
              <w:t>200</w:t>
            </w:r>
          </w:p>
        </w:tc>
        <w:tc>
          <w:tcPr>
            <w:tcW w:w="2303" w:type="dxa"/>
            <w:vAlign w:val="center"/>
          </w:tcPr>
          <w:p w:rsidR="00C3124E" w:rsidRPr="00805964" w:rsidRDefault="00C3124E" w:rsidP="00243ABF">
            <w:pPr>
              <w:pStyle w:val="Odstavecseseznamem"/>
              <w:numPr>
                <w:ilvl w:val="0"/>
                <w:numId w:val="2"/>
              </w:numPr>
              <w:spacing w:line="360" w:lineRule="auto"/>
              <w:jc w:val="center"/>
            </w:pPr>
            <w:r w:rsidRPr="00805964">
              <w:t>304</w:t>
            </w:r>
          </w:p>
        </w:tc>
      </w:tr>
      <w:tr w:rsidR="00C3124E" w:rsidRPr="00805964" w:rsidTr="0013537E">
        <w:trPr>
          <w:trHeight w:val="443"/>
        </w:trPr>
        <w:tc>
          <w:tcPr>
            <w:tcW w:w="2302" w:type="dxa"/>
            <w:vAlign w:val="center"/>
          </w:tcPr>
          <w:p w:rsidR="00C3124E" w:rsidRPr="00805964" w:rsidRDefault="00C3124E" w:rsidP="00243ABF">
            <w:pPr>
              <w:spacing w:line="360" w:lineRule="auto"/>
              <w:contextualSpacing/>
              <w:jc w:val="center"/>
            </w:pPr>
            <w:r w:rsidRPr="00805964">
              <w:rPr>
                <w:b/>
              </w:rPr>
              <w:t>Varianta č.2</w:t>
            </w:r>
          </w:p>
        </w:tc>
        <w:tc>
          <w:tcPr>
            <w:tcW w:w="2303" w:type="dxa"/>
            <w:vAlign w:val="center"/>
          </w:tcPr>
          <w:p w:rsidR="00C3124E" w:rsidRPr="00805964" w:rsidRDefault="00C3124E" w:rsidP="00243ABF">
            <w:pPr>
              <w:spacing w:line="360" w:lineRule="auto"/>
              <w:contextualSpacing/>
              <w:jc w:val="center"/>
            </w:pPr>
            <w:r w:rsidRPr="00805964">
              <w:t>1,02</w:t>
            </w:r>
            <w:r w:rsidRPr="00805964">
              <w:rPr>
                <w:rFonts w:cs="Times New Roman"/>
              </w:rPr>
              <w:t>−</w:t>
            </w:r>
            <w:r w:rsidRPr="00805964">
              <w:t>1,48</w:t>
            </w:r>
          </w:p>
        </w:tc>
        <w:tc>
          <w:tcPr>
            <w:tcW w:w="2303" w:type="dxa"/>
            <w:vAlign w:val="center"/>
          </w:tcPr>
          <w:p w:rsidR="00C3124E" w:rsidRPr="00805964" w:rsidRDefault="00C3124E" w:rsidP="00243ABF">
            <w:pPr>
              <w:pStyle w:val="Odstavecseseznamem"/>
              <w:numPr>
                <w:ilvl w:val="0"/>
                <w:numId w:val="1"/>
              </w:numPr>
              <w:spacing w:line="360" w:lineRule="auto"/>
              <w:jc w:val="center"/>
            </w:pPr>
            <w:r w:rsidRPr="00805964">
              <w:t>1,04</w:t>
            </w:r>
          </w:p>
        </w:tc>
        <w:tc>
          <w:tcPr>
            <w:tcW w:w="2303" w:type="dxa"/>
            <w:vAlign w:val="center"/>
          </w:tcPr>
          <w:p w:rsidR="00C3124E" w:rsidRPr="00805964" w:rsidRDefault="00C3124E" w:rsidP="00243ABF">
            <w:pPr>
              <w:pStyle w:val="Odstavecseseznamem"/>
              <w:numPr>
                <w:ilvl w:val="0"/>
                <w:numId w:val="1"/>
              </w:numPr>
              <w:spacing w:line="360" w:lineRule="auto"/>
              <w:jc w:val="center"/>
            </w:pPr>
            <w:r w:rsidRPr="00805964">
              <w:t>1,39</w:t>
            </w:r>
          </w:p>
        </w:tc>
      </w:tr>
      <w:tr w:rsidR="00C3124E" w:rsidRPr="00805964" w:rsidTr="0013537E">
        <w:trPr>
          <w:trHeight w:val="443"/>
        </w:trPr>
        <w:tc>
          <w:tcPr>
            <w:tcW w:w="2302" w:type="dxa"/>
            <w:vAlign w:val="center"/>
          </w:tcPr>
          <w:p w:rsidR="00C3124E" w:rsidRPr="00805964" w:rsidRDefault="00C3124E" w:rsidP="00243ABF">
            <w:pPr>
              <w:spacing w:line="360" w:lineRule="auto"/>
              <w:contextualSpacing/>
              <w:jc w:val="center"/>
            </w:pPr>
            <w:r w:rsidRPr="00805964">
              <w:rPr>
                <w:b/>
              </w:rPr>
              <w:t>Varianta č.3</w:t>
            </w:r>
          </w:p>
        </w:tc>
        <w:tc>
          <w:tcPr>
            <w:tcW w:w="2303" w:type="dxa"/>
            <w:vAlign w:val="center"/>
          </w:tcPr>
          <w:p w:rsidR="00C3124E" w:rsidRPr="00805964" w:rsidRDefault="00C3124E" w:rsidP="00243ABF">
            <w:pPr>
              <w:spacing w:line="360" w:lineRule="auto"/>
              <w:contextualSpacing/>
              <w:jc w:val="center"/>
            </w:pPr>
            <w:r w:rsidRPr="00805964">
              <w:t>54,53</w:t>
            </w:r>
            <w:r w:rsidRPr="00805964">
              <w:rPr>
                <w:rFonts w:cs="Times New Roman"/>
              </w:rPr>
              <w:t>−</w:t>
            </w:r>
            <w:r w:rsidRPr="00805964">
              <w:t>63,65</w:t>
            </w:r>
          </w:p>
        </w:tc>
        <w:tc>
          <w:tcPr>
            <w:tcW w:w="2303" w:type="dxa"/>
            <w:vAlign w:val="center"/>
          </w:tcPr>
          <w:p w:rsidR="00C3124E" w:rsidRPr="00805964" w:rsidRDefault="00C3124E" w:rsidP="00243ABF">
            <w:pPr>
              <w:spacing w:line="360" w:lineRule="auto"/>
              <w:contextualSpacing/>
              <w:jc w:val="center"/>
            </w:pPr>
            <w:r w:rsidRPr="00805964">
              <w:t>50,00</w:t>
            </w:r>
          </w:p>
        </w:tc>
        <w:tc>
          <w:tcPr>
            <w:tcW w:w="2303" w:type="dxa"/>
            <w:vAlign w:val="center"/>
          </w:tcPr>
          <w:p w:rsidR="00C3124E" w:rsidRPr="00805964" w:rsidRDefault="00C3124E" w:rsidP="00243ABF">
            <w:pPr>
              <w:spacing w:line="360" w:lineRule="auto"/>
              <w:contextualSpacing/>
              <w:jc w:val="center"/>
            </w:pPr>
            <w:r w:rsidRPr="00805964">
              <w:t>34,06</w:t>
            </w:r>
          </w:p>
        </w:tc>
      </w:tr>
      <w:tr w:rsidR="00C3124E" w:rsidRPr="00805964" w:rsidTr="0013537E">
        <w:trPr>
          <w:trHeight w:val="443"/>
        </w:trPr>
        <w:tc>
          <w:tcPr>
            <w:tcW w:w="2302" w:type="dxa"/>
            <w:vAlign w:val="center"/>
          </w:tcPr>
          <w:p w:rsidR="00C3124E" w:rsidRPr="00805964" w:rsidRDefault="00C3124E" w:rsidP="00243ABF">
            <w:pPr>
              <w:spacing w:line="360" w:lineRule="auto"/>
              <w:contextualSpacing/>
              <w:jc w:val="center"/>
            </w:pPr>
            <w:r w:rsidRPr="00805964">
              <w:rPr>
                <w:b/>
              </w:rPr>
              <w:t>Varianta č.4</w:t>
            </w:r>
          </w:p>
        </w:tc>
        <w:tc>
          <w:tcPr>
            <w:tcW w:w="2303" w:type="dxa"/>
            <w:vAlign w:val="center"/>
          </w:tcPr>
          <w:p w:rsidR="00C3124E" w:rsidRPr="00805964" w:rsidRDefault="00C3124E" w:rsidP="00243ABF">
            <w:pPr>
              <w:spacing w:line="360" w:lineRule="auto"/>
              <w:contextualSpacing/>
              <w:jc w:val="center"/>
            </w:pPr>
            <w:r w:rsidRPr="00805964">
              <w:t>55,04</w:t>
            </w:r>
            <w:r w:rsidRPr="00805964">
              <w:rPr>
                <w:rFonts w:cs="Times New Roman"/>
              </w:rPr>
              <w:t>−</w:t>
            </w:r>
            <w:r w:rsidRPr="00805964">
              <w:t>67,74</w:t>
            </w:r>
          </w:p>
        </w:tc>
        <w:tc>
          <w:tcPr>
            <w:tcW w:w="2303" w:type="dxa"/>
            <w:vAlign w:val="center"/>
          </w:tcPr>
          <w:p w:rsidR="00C3124E" w:rsidRPr="00805964" w:rsidRDefault="00C3124E" w:rsidP="00243ABF">
            <w:pPr>
              <w:spacing w:line="360" w:lineRule="auto"/>
              <w:contextualSpacing/>
              <w:jc w:val="center"/>
            </w:pPr>
            <w:r w:rsidRPr="00805964">
              <w:t>48,64</w:t>
            </w:r>
          </w:p>
        </w:tc>
        <w:tc>
          <w:tcPr>
            <w:tcW w:w="2303" w:type="dxa"/>
            <w:vAlign w:val="center"/>
          </w:tcPr>
          <w:p w:rsidR="00C3124E" w:rsidRPr="00805964" w:rsidRDefault="00C3124E" w:rsidP="00243ABF">
            <w:pPr>
              <w:spacing w:line="360" w:lineRule="auto"/>
              <w:contextualSpacing/>
              <w:jc w:val="center"/>
            </w:pPr>
            <w:r w:rsidRPr="00805964">
              <w:t>31,02</w:t>
            </w:r>
          </w:p>
        </w:tc>
      </w:tr>
    </w:tbl>
    <w:p w:rsidR="00C3124E" w:rsidRPr="00805964" w:rsidRDefault="00C3124E" w:rsidP="00C3124E">
      <w:pPr>
        <w:spacing w:line="360" w:lineRule="auto"/>
        <w:contextualSpacing/>
        <w:jc w:val="center"/>
        <w:rPr>
          <w:i/>
          <w:sz w:val="22"/>
        </w:rPr>
      </w:pPr>
      <w:r w:rsidRPr="00805964">
        <w:rPr>
          <w:i/>
          <w:sz w:val="22"/>
        </w:rPr>
        <w:t>Zpracoval: Autor.</w:t>
      </w:r>
    </w:p>
    <w:p w:rsidR="00C3124E" w:rsidRPr="00805964" w:rsidRDefault="00C3124E" w:rsidP="0029635A">
      <w:pPr>
        <w:spacing w:line="360" w:lineRule="auto"/>
        <w:contextualSpacing/>
        <w:jc w:val="both"/>
        <w:rPr>
          <w:szCs w:val="24"/>
        </w:rPr>
      </w:pPr>
    </w:p>
    <w:p w:rsidR="00243ABF" w:rsidRPr="00805964" w:rsidRDefault="00243ABF" w:rsidP="0029635A">
      <w:pPr>
        <w:spacing w:line="360" w:lineRule="auto"/>
        <w:contextualSpacing/>
        <w:jc w:val="both"/>
        <w:rPr>
          <w:szCs w:val="24"/>
        </w:rPr>
      </w:pPr>
      <w:r w:rsidRPr="00805964">
        <w:rPr>
          <w:szCs w:val="24"/>
        </w:rPr>
        <w:tab/>
        <w:t>Abychom mohli odpovědět na výzkumné otázky a ověřit platnost stanovené hypotézy</w:t>
      </w:r>
      <w:r w:rsidR="000266FA">
        <w:rPr>
          <w:szCs w:val="24"/>
        </w:rPr>
        <w:t>,</w:t>
      </w:r>
      <w:r w:rsidRPr="00805964">
        <w:rPr>
          <w:szCs w:val="24"/>
        </w:rPr>
        <w:t xml:space="preserve"> vybrali jsme pro analýzu </w:t>
      </w:r>
      <w:r w:rsidR="00B60869" w:rsidRPr="00805964">
        <w:rPr>
          <w:szCs w:val="24"/>
        </w:rPr>
        <w:t>dvě funkční období Senátu. Jedno období reprezentuje</w:t>
      </w:r>
      <w:r w:rsidRPr="00805964">
        <w:rPr>
          <w:szCs w:val="24"/>
        </w:rPr>
        <w:t xml:space="preserve"> stejné větši</w:t>
      </w:r>
      <w:r w:rsidR="00B60869" w:rsidRPr="00805964">
        <w:rPr>
          <w:szCs w:val="24"/>
        </w:rPr>
        <w:t>ny a druhé období reprezentuje</w:t>
      </w:r>
      <w:r w:rsidRPr="00805964">
        <w:rPr>
          <w:szCs w:val="24"/>
        </w:rPr>
        <w:t xml:space="preserve"> většiny rozdílné. Cílem bylo zjistit, jaká je efektivita Senátu </w:t>
      </w:r>
      <w:r w:rsidR="00A437D8">
        <w:rPr>
          <w:szCs w:val="24"/>
        </w:rPr>
        <w:br/>
      </w:r>
      <w:r w:rsidRPr="00805964">
        <w:rPr>
          <w:szCs w:val="24"/>
        </w:rPr>
        <w:t xml:space="preserve">v rámci různých období, a zda má složení komor Parlamentu vliv na efektivitu Senátu. Abychom dosáhli objektivnějších výsledků analýzy, byla námi vybraná období srovnána </w:t>
      </w:r>
      <w:r w:rsidR="00DC2678">
        <w:rPr>
          <w:szCs w:val="24"/>
        </w:rPr>
        <w:t>s </w:t>
      </w:r>
      <w:r w:rsidRPr="00805964">
        <w:rPr>
          <w:szCs w:val="24"/>
        </w:rPr>
        <w:t xml:space="preserve">dalšími čtyřmi funkčními obdobími horní komory. Měření znázorněná v tabulkách č. 26 </w:t>
      </w:r>
      <w:r w:rsidR="00DC2678">
        <w:rPr>
          <w:szCs w:val="24"/>
        </w:rPr>
        <w:t>a </w:t>
      </w:r>
      <w:r w:rsidRPr="00805964">
        <w:rPr>
          <w:szCs w:val="24"/>
        </w:rPr>
        <w:t xml:space="preserve">27 ukázala, že podle prvních dvou kritérií jsou efektivity v námi analyzovaných obdobích relativně podobné efektivitám v dalších funkčních obdobích Senátu, zatímco dle třetího </w:t>
      </w:r>
      <w:r w:rsidR="00DC2678">
        <w:rPr>
          <w:szCs w:val="24"/>
        </w:rPr>
        <w:t>a </w:t>
      </w:r>
      <w:r w:rsidRPr="00805964">
        <w:rPr>
          <w:szCs w:val="24"/>
        </w:rPr>
        <w:t xml:space="preserve">čtvrtého kritéria se efektivity očekávaným rozmezím či rozsahům vymykaly. Protože </w:t>
      </w:r>
      <w:r w:rsidR="00DC2678">
        <w:rPr>
          <w:szCs w:val="24"/>
        </w:rPr>
        <w:t>z </w:t>
      </w:r>
      <w:r w:rsidRPr="00805964">
        <w:rPr>
          <w:szCs w:val="24"/>
        </w:rPr>
        <w:t>původních</w:t>
      </w:r>
      <w:r w:rsidR="00B60869" w:rsidRPr="00805964">
        <w:rPr>
          <w:szCs w:val="24"/>
        </w:rPr>
        <w:t xml:space="preserve"> výsledků nebylo možné nic bližš</w:t>
      </w:r>
      <w:r w:rsidRPr="00805964">
        <w:rPr>
          <w:szCs w:val="24"/>
        </w:rPr>
        <w:t>ího usuzovat</w:t>
      </w:r>
      <w:r w:rsidR="000266FA">
        <w:rPr>
          <w:szCs w:val="24"/>
        </w:rPr>
        <w:t>,</w:t>
      </w:r>
      <w:r w:rsidRPr="00805964">
        <w:rPr>
          <w:szCs w:val="24"/>
        </w:rPr>
        <w:t xml:space="preserve"> přistoupil jsem k další analýze</w:t>
      </w:r>
      <w:r w:rsidR="000266FA">
        <w:rPr>
          <w:szCs w:val="24"/>
        </w:rPr>
        <w:t>.</w:t>
      </w:r>
      <w:r w:rsidRPr="00805964">
        <w:rPr>
          <w:szCs w:val="24"/>
        </w:rPr>
        <w:t xml:space="preserve"> </w:t>
      </w:r>
      <w:r w:rsidR="00A437D8">
        <w:rPr>
          <w:szCs w:val="24"/>
        </w:rPr>
        <w:br/>
      </w:r>
      <w:r w:rsidR="000266FA">
        <w:rPr>
          <w:szCs w:val="24"/>
        </w:rPr>
        <w:t>R</w:t>
      </w:r>
      <w:r w:rsidRPr="00805964">
        <w:rPr>
          <w:szCs w:val="24"/>
        </w:rPr>
        <w:t>ozdělil j</w:t>
      </w:r>
      <w:r w:rsidR="000266FA">
        <w:rPr>
          <w:szCs w:val="24"/>
        </w:rPr>
        <w:t>sem všechna období podle většin</w:t>
      </w:r>
      <w:r w:rsidRPr="00805964">
        <w:rPr>
          <w:szCs w:val="24"/>
        </w:rPr>
        <w:t xml:space="preserve"> a pro každý ty</w:t>
      </w:r>
      <w:r w:rsidR="00B60869" w:rsidRPr="00805964">
        <w:rPr>
          <w:szCs w:val="24"/>
        </w:rPr>
        <w:t>p</w:t>
      </w:r>
      <w:r w:rsidRPr="00805964">
        <w:rPr>
          <w:szCs w:val="24"/>
        </w:rPr>
        <w:t xml:space="preserve"> většin jsem</w:t>
      </w:r>
      <w:r w:rsidR="006C2B35" w:rsidRPr="00805964">
        <w:rPr>
          <w:szCs w:val="24"/>
        </w:rPr>
        <w:t xml:space="preserve"> na základě stejných principů</w:t>
      </w:r>
      <w:r w:rsidR="0044304A" w:rsidRPr="00805964">
        <w:rPr>
          <w:szCs w:val="24"/>
        </w:rPr>
        <w:t xml:space="preserve"> udělal vlastní analýzu </w:t>
      </w:r>
      <w:r w:rsidR="0044304A" w:rsidRPr="00805964">
        <w:rPr>
          <w:rFonts w:cs="Times New Roman"/>
          <w:szCs w:val="24"/>
        </w:rPr>
        <w:t>−</w:t>
      </w:r>
      <w:r w:rsidR="0044304A" w:rsidRPr="00805964">
        <w:rPr>
          <w:szCs w:val="24"/>
        </w:rPr>
        <w:t xml:space="preserve"> tyto analý</w:t>
      </w:r>
      <w:r w:rsidR="001B334C">
        <w:rPr>
          <w:szCs w:val="24"/>
        </w:rPr>
        <w:t>zy jsou zakresleny do grafů č. 6 až 9</w:t>
      </w:r>
      <w:r w:rsidR="0044304A" w:rsidRPr="00805964">
        <w:rPr>
          <w:szCs w:val="24"/>
        </w:rPr>
        <w:t>.</w:t>
      </w:r>
      <w:r w:rsidRPr="00805964">
        <w:rPr>
          <w:szCs w:val="24"/>
        </w:rPr>
        <w:t xml:space="preserve"> </w:t>
      </w:r>
      <w:r w:rsidR="00622837" w:rsidRPr="00805964">
        <w:rPr>
          <w:szCs w:val="24"/>
        </w:rPr>
        <w:t xml:space="preserve">Tabulky </w:t>
      </w:r>
      <w:r w:rsidR="00DC2678">
        <w:rPr>
          <w:szCs w:val="24"/>
        </w:rPr>
        <w:t>č. </w:t>
      </w:r>
      <w:r w:rsidR="00622837" w:rsidRPr="00805964">
        <w:rPr>
          <w:szCs w:val="24"/>
        </w:rPr>
        <w:t>28 a 29 představují průměrné hodnoty a směrodatné odchylky naměřené v rámci všech tří období stejných většin a všech tří období rozdílných většin.</w:t>
      </w:r>
    </w:p>
    <w:p w:rsidR="003961E8" w:rsidRPr="00805964" w:rsidRDefault="003961E8" w:rsidP="0029635A">
      <w:pPr>
        <w:spacing w:line="360" w:lineRule="auto"/>
        <w:contextualSpacing/>
        <w:jc w:val="both"/>
        <w:rPr>
          <w:szCs w:val="24"/>
        </w:rPr>
      </w:pPr>
    </w:p>
    <w:p w:rsidR="003961E8" w:rsidRPr="00805964" w:rsidRDefault="003961E8" w:rsidP="003961E8">
      <w:pPr>
        <w:spacing w:line="360" w:lineRule="auto"/>
        <w:contextualSpacing/>
        <w:jc w:val="center"/>
        <w:rPr>
          <w:b/>
          <w:sz w:val="22"/>
          <w:u w:val="single"/>
        </w:rPr>
      </w:pPr>
      <w:r w:rsidRPr="00805964">
        <w:rPr>
          <w:b/>
          <w:sz w:val="22"/>
          <w:u w:val="single"/>
        </w:rPr>
        <w:lastRenderedPageBreak/>
        <w:t>Tabulka č. 28: Srovnání průměrných naměřených hodnot v obdobích stejných a rozdílných většin</w:t>
      </w:r>
    </w:p>
    <w:tbl>
      <w:tblPr>
        <w:tblStyle w:val="Mkatabulky"/>
        <w:tblW w:w="0" w:type="auto"/>
        <w:tblLook w:val="04A0"/>
      </w:tblPr>
      <w:tblGrid>
        <w:gridCol w:w="3054"/>
        <w:gridCol w:w="3056"/>
        <w:gridCol w:w="3056"/>
      </w:tblGrid>
      <w:tr w:rsidR="00A80AE2" w:rsidRPr="00805964" w:rsidTr="00A80AE2">
        <w:trPr>
          <w:trHeight w:val="769"/>
        </w:trPr>
        <w:tc>
          <w:tcPr>
            <w:tcW w:w="3054" w:type="dxa"/>
            <w:vAlign w:val="center"/>
          </w:tcPr>
          <w:p w:rsidR="00A80AE2" w:rsidRPr="00805964" w:rsidRDefault="00A80AE2" w:rsidP="00622837">
            <w:pPr>
              <w:spacing w:line="360" w:lineRule="auto"/>
              <w:contextualSpacing/>
              <w:jc w:val="center"/>
            </w:pPr>
          </w:p>
        </w:tc>
        <w:tc>
          <w:tcPr>
            <w:tcW w:w="3056" w:type="dxa"/>
            <w:vAlign w:val="center"/>
          </w:tcPr>
          <w:p w:rsidR="00A80AE2" w:rsidRPr="00805964" w:rsidRDefault="00A80AE2" w:rsidP="00622837">
            <w:pPr>
              <w:spacing w:line="360" w:lineRule="auto"/>
              <w:contextualSpacing/>
              <w:jc w:val="center"/>
              <w:rPr>
                <w:b/>
              </w:rPr>
            </w:pPr>
            <w:r w:rsidRPr="00805964">
              <w:rPr>
                <w:b/>
              </w:rPr>
              <w:t>Období stejných většin</w:t>
            </w:r>
          </w:p>
        </w:tc>
        <w:tc>
          <w:tcPr>
            <w:tcW w:w="3056" w:type="dxa"/>
            <w:vAlign w:val="center"/>
          </w:tcPr>
          <w:p w:rsidR="00A80AE2" w:rsidRPr="00805964" w:rsidRDefault="00A80AE2" w:rsidP="00B60869">
            <w:pPr>
              <w:spacing w:line="360" w:lineRule="auto"/>
              <w:contextualSpacing/>
              <w:jc w:val="center"/>
              <w:rPr>
                <w:b/>
              </w:rPr>
            </w:pPr>
            <w:r w:rsidRPr="00805964">
              <w:rPr>
                <w:b/>
              </w:rPr>
              <w:t>Období r</w:t>
            </w:r>
            <w:r w:rsidR="00B60869" w:rsidRPr="00805964">
              <w:rPr>
                <w:b/>
              </w:rPr>
              <w:t>ozdílných</w:t>
            </w:r>
            <w:r w:rsidRPr="00805964">
              <w:rPr>
                <w:b/>
              </w:rPr>
              <w:t xml:space="preserve"> většin</w:t>
            </w:r>
          </w:p>
        </w:tc>
      </w:tr>
      <w:tr w:rsidR="00A80AE2" w:rsidRPr="00805964" w:rsidTr="00A80AE2">
        <w:trPr>
          <w:trHeight w:val="385"/>
        </w:trPr>
        <w:tc>
          <w:tcPr>
            <w:tcW w:w="3054" w:type="dxa"/>
            <w:vAlign w:val="center"/>
          </w:tcPr>
          <w:p w:rsidR="00A80AE2" w:rsidRPr="00805964" w:rsidRDefault="00A80AE2" w:rsidP="00622837">
            <w:pPr>
              <w:spacing w:line="360" w:lineRule="auto"/>
              <w:contextualSpacing/>
              <w:jc w:val="center"/>
              <w:rPr>
                <w:b/>
              </w:rPr>
            </w:pPr>
            <w:r w:rsidRPr="00805964">
              <w:rPr>
                <w:b/>
              </w:rPr>
              <w:t>Varianta č.1</w:t>
            </w:r>
          </w:p>
        </w:tc>
        <w:tc>
          <w:tcPr>
            <w:tcW w:w="3056" w:type="dxa"/>
            <w:vAlign w:val="center"/>
          </w:tcPr>
          <w:p w:rsidR="00A80AE2" w:rsidRPr="00805964" w:rsidRDefault="00A80AE2" w:rsidP="00622837">
            <w:pPr>
              <w:spacing w:line="360" w:lineRule="auto"/>
              <w:contextualSpacing/>
              <w:jc w:val="center"/>
            </w:pPr>
            <w:r w:rsidRPr="00805964">
              <w:t>218,67</w:t>
            </w:r>
            <m:oMath>
              <m:r>
                <w:rPr>
                  <w:rFonts w:ascii="Cambria Math" w:hAnsi="Cambria Math"/>
                </w:rPr>
                <m:t xml:space="preserve"> ± </m:t>
              </m:r>
            </m:oMath>
            <w:r w:rsidRPr="00805964">
              <w:rPr>
                <w:rFonts w:eastAsiaTheme="minorEastAsia"/>
              </w:rPr>
              <w:t>19,15</w:t>
            </w:r>
          </w:p>
        </w:tc>
        <w:tc>
          <w:tcPr>
            <w:tcW w:w="3056" w:type="dxa"/>
            <w:vAlign w:val="center"/>
          </w:tcPr>
          <w:p w:rsidR="00A80AE2" w:rsidRPr="00805964" w:rsidRDefault="003A2CF3" w:rsidP="00A80AE2">
            <w:pPr>
              <w:spacing w:line="360" w:lineRule="auto"/>
              <w:contextualSpacing/>
              <w:jc w:val="center"/>
            </w:pPr>
            <m:oMath>
              <m:r>
                <w:rPr>
                  <w:rFonts w:ascii="Cambria Math" w:hAnsi="Cambria Math"/>
                </w:rPr>
                <m:t xml:space="preserve">336,33± </m:t>
              </m:r>
            </m:oMath>
            <w:r w:rsidR="00A80AE2" w:rsidRPr="00805964">
              <w:rPr>
                <w:rFonts w:eastAsiaTheme="minorEastAsia"/>
              </w:rPr>
              <w:t>41,55</w:t>
            </w:r>
          </w:p>
        </w:tc>
      </w:tr>
      <w:tr w:rsidR="00A80AE2" w:rsidRPr="00805964" w:rsidTr="00A80AE2">
        <w:trPr>
          <w:trHeight w:val="400"/>
        </w:trPr>
        <w:tc>
          <w:tcPr>
            <w:tcW w:w="3054" w:type="dxa"/>
            <w:vAlign w:val="center"/>
          </w:tcPr>
          <w:p w:rsidR="00A80AE2" w:rsidRPr="00805964" w:rsidRDefault="00A80AE2" w:rsidP="00622837">
            <w:pPr>
              <w:spacing w:line="360" w:lineRule="auto"/>
              <w:contextualSpacing/>
              <w:jc w:val="center"/>
              <w:rPr>
                <w:b/>
              </w:rPr>
            </w:pPr>
            <w:r w:rsidRPr="00805964">
              <w:rPr>
                <w:b/>
              </w:rPr>
              <w:t>Varianta č.2</w:t>
            </w:r>
          </w:p>
        </w:tc>
        <w:tc>
          <w:tcPr>
            <w:tcW w:w="3056" w:type="dxa"/>
            <w:vAlign w:val="center"/>
          </w:tcPr>
          <w:p w:rsidR="00A80AE2" w:rsidRPr="00805964" w:rsidRDefault="00A80AE2" w:rsidP="00622837">
            <w:pPr>
              <w:spacing w:line="360" w:lineRule="auto"/>
              <w:contextualSpacing/>
              <w:jc w:val="center"/>
            </w:pPr>
            <w:r w:rsidRPr="00805964">
              <w:t xml:space="preserve">1,08 </w:t>
            </w:r>
            <m:oMath>
              <m:r>
                <w:rPr>
                  <w:rFonts w:ascii="Cambria Math" w:hAnsi="Cambria Math"/>
                </w:rPr>
                <m:t>±</m:t>
              </m:r>
            </m:oMath>
            <w:r w:rsidRPr="00805964">
              <w:rPr>
                <w:rFonts w:eastAsiaTheme="minorEastAsia"/>
              </w:rPr>
              <w:t xml:space="preserve"> 0,07</w:t>
            </w:r>
          </w:p>
        </w:tc>
        <w:tc>
          <w:tcPr>
            <w:tcW w:w="3056" w:type="dxa"/>
            <w:vAlign w:val="center"/>
          </w:tcPr>
          <w:p w:rsidR="00A80AE2" w:rsidRPr="00805964" w:rsidRDefault="00A80AE2" w:rsidP="00622837">
            <w:pPr>
              <w:spacing w:line="360" w:lineRule="auto"/>
              <w:contextualSpacing/>
              <w:jc w:val="center"/>
            </w:pPr>
            <w:r w:rsidRPr="00805964">
              <w:t xml:space="preserve">1,41 </w:t>
            </w:r>
            <m:oMath>
              <m:r>
                <w:rPr>
                  <w:rFonts w:ascii="Cambria Math" w:hAnsi="Cambria Math"/>
                </w:rPr>
                <m:t>±</m:t>
              </m:r>
            </m:oMath>
            <w:r w:rsidRPr="00805964">
              <w:rPr>
                <w:rFonts w:eastAsiaTheme="minorEastAsia"/>
              </w:rPr>
              <w:t xml:space="preserve"> 0,17</w:t>
            </w:r>
          </w:p>
        </w:tc>
      </w:tr>
      <w:tr w:rsidR="00A80AE2" w:rsidRPr="00805964" w:rsidTr="00A80AE2">
        <w:trPr>
          <w:trHeight w:val="385"/>
        </w:trPr>
        <w:tc>
          <w:tcPr>
            <w:tcW w:w="3054" w:type="dxa"/>
            <w:vAlign w:val="center"/>
          </w:tcPr>
          <w:p w:rsidR="00A80AE2" w:rsidRPr="00805964" w:rsidRDefault="00A80AE2" w:rsidP="00622837">
            <w:pPr>
              <w:spacing w:line="360" w:lineRule="auto"/>
              <w:contextualSpacing/>
              <w:jc w:val="center"/>
              <w:rPr>
                <w:b/>
              </w:rPr>
            </w:pPr>
            <w:r w:rsidRPr="00805964">
              <w:rPr>
                <w:b/>
              </w:rPr>
              <w:t>Varianta č.3</w:t>
            </w:r>
          </w:p>
        </w:tc>
        <w:tc>
          <w:tcPr>
            <w:tcW w:w="3056" w:type="dxa"/>
            <w:vAlign w:val="center"/>
          </w:tcPr>
          <w:p w:rsidR="00A80AE2" w:rsidRPr="00805964" w:rsidRDefault="00A80AE2" w:rsidP="00622837">
            <w:pPr>
              <w:spacing w:line="360" w:lineRule="auto"/>
              <w:contextualSpacing/>
              <w:jc w:val="center"/>
            </w:pPr>
            <w:r w:rsidRPr="00805964">
              <w:t xml:space="preserve">57 </w:t>
            </w:r>
            <m:oMath>
              <m:r>
                <w:rPr>
                  <w:rFonts w:ascii="Cambria Math" w:hAnsi="Cambria Math"/>
                </w:rPr>
                <m:t>± 6</m:t>
              </m:r>
            </m:oMath>
          </w:p>
        </w:tc>
        <w:tc>
          <w:tcPr>
            <w:tcW w:w="3056" w:type="dxa"/>
            <w:vAlign w:val="center"/>
          </w:tcPr>
          <w:p w:rsidR="00A80AE2" w:rsidRPr="00805964" w:rsidRDefault="00A80AE2" w:rsidP="00622837">
            <w:pPr>
              <w:spacing w:line="360" w:lineRule="auto"/>
              <w:contextualSpacing/>
              <w:jc w:val="center"/>
            </w:pPr>
            <w:r w:rsidRPr="00805964">
              <w:t xml:space="preserve">50 </w:t>
            </w:r>
            <m:oMath>
              <m:r>
                <w:rPr>
                  <w:rFonts w:ascii="Cambria Math" w:hAnsi="Cambria Math"/>
                </w:rPr>
                <m:t>± 11</m:t>
              </m:r>
            </m:oMath>
          </w:p>
        </w:tc>
      </w:tr>
      <w:tr w:rsidR="00A80AE2" w:rsidRPr="00805964" w:rsidTr="00A80AE2">
        <w:trPr>
          <w:trHeight w:val="400"/>
        </w:trPr>
        <w:tc>
          <w:tcPr>
            <w:tcW w:w="3054" w:type="dxa"/>
            <w:vAlign w:val="center"/>
          </w:tcPr>
          <w:p w:rsidR="00A80AE2" w:rsidRPr="00805964" w:rsidRDefault="00A80AE2" w:rsidP="00622837">
            <w:pPr>
              <w:spacing w:line="360" w:lineRule="auto"/>
              <w:contextualSpacing/>
              <w:jc w:val="center"/>
              <w:rPr>
                <w:b/>
              </w:rPr>
            </w:pPr>
            <w:r w:rsidRPr="00805964">
              <w:rPr>
                <w:b/>
              </w:rPr>
              <w:t>Varianta č.4</w:t>
            </w:r>
          </w:p>
        </w:tc>
        <w:tc>
          <w:tcPr>
            <w:tcW w:w="3056" w:type="dxa"/>
            <w:vAlign w:val="center"/>
          </w:tcPr>
          <w:p w:rsidR="00A80AE2" w:rsidRPr="00805964" w:rsidRDefault="00A80AE2" w:rsidP="00622837">
            <w:pPr>
              <w:spacing w:line="360" w:lineRule="auto"/>
              <w:contextualSpacing/>
              <w:jc w:val="center"/>
            </w:pPr>
            <w:r w:rsidRPr="00805964">
              <w:t xml:space="preserve">58 </w:t>
            </w:r>
            <m:oMath>
              <m:r>
                <w:rPr>
                  <w:rFonts w:ascii="Cambria Math" w:hAnsi="Cambria Math"/>
                </w:rPr>
                <m:t>± 9</m:t>
              </m:r>
            </m:oMath>
          </w:p>
        </w:tc>
        <w:tc>
          <w:tcPr>
            <w:tcW w:w="3056" w:type="dxa"/>
            <w:vAlign w:val="center"/>
          </w:tcPr>
          <w:p w:rsidR="00A80AE2" w:rsidRPr="00805964" w:rsidRDefault="00A80AE2" w:rsidP="00622837">
            <w:pPr>
              <w:spacing w:line="360" w:lineRule="auto"/>
              <w:contextualSpacing/>
              <w:jc w:val="center"/>
            </w:pPr>
            <w:r w:rsidRPr="00805964">
              <w:t xml:space="preserve">50 </w:t>
            </w:r>
            <m:oMath>
              <m:r>
                <w:rPr>
                  <w:rFonts w:ascii="Cambria Math" w:hAnsi="Cambria Math"/>
                </w:rPr>
                <m:t>± 13</m:t>
              </m:r>
            </m:oMath>
          </w:p>
        </w:tc>
      </w:tr>
    </w:tbl>
    <w:p w:rsidR="00B60869" w:rsidRPr="00805964" w:rsidRDefault="00B60869" w:rsidP="00B60869">
      <w:pPr>
        <w:spacing w:line="360" w:lineRule="auto"/>
        <w:contextualSpacing/>
        <w:jc w:val="center"/>
        <w:rPr>
          <w:i/>
          <w:sz w:val="22"/>
        </w:rPr>
      </w:pPr>
      <w:r w:rsidRPr="00805964">
        <w:rPr>
          <w:i/>
          <w:sz w:val="22"/>
        </w:rPr>
        <w:t>Zpracoval: Autor.</w:t>
      </w:r>
    </w:p>
    <w:p w:rsidR="00B60869" w:rsidRPr="00805964" w:rsidRDefault="00B60869" w:rsidP="0029635A">
      <w:pPr>
        <w:spacing w:line="360" w:lineRule="auto"/>
        <w:contextualSpacing/>
        <w:jc w:val="both"/>
        <w:rPr>
          <w:sz w:val="20"/>
          <w:szCs w:val="20"/>
        </w:rPr>
      </w:pPr>
    </w:p>
    <w:p w:rsidR="003961E8" w:rsidRPr="00805964" w:rsidRDefault="003961E8" w:rsidP="003961E8">
      <w:pPr>
        <w:spacing w:line="360" w:lineRule="auto"/>
        <w:contextualSpacing/>
        <w:jc w:val="center"/>
        <w:rPr>
          <w:b/>
          <w:sz w:val="22"/>
          <w:u w:val="single"/>
        </w:rPr>
      </w:pPr>
      <w:r w:rsidRPr="00805964">
        <w:rPr>
          <w:b/>
          <w:sz w:val="22"/>
          <w:u w:val="single"/>
        </w:rPr>
        <w:t>Tabulka č. 29: Rozmezí průměrných hodnot v obdobích stejných a rozdílných většin</w:t>
      </w:r>
    </w:p>
    <w:tbl>
      <w:tblPr>
        <w:tblStyle w:val="Mkatabulky"/>
        <w:tblW w:w="0" w:type="auto"/>
        <w:tblLook w:val="04A0"/>
      </w:tblPr>
      <w:tblGrid>
        <w:gridCol w:w="3069"/>
        <w:gridCol w:w="3071"/>
        <w:gridCol w:w="3071"/>
      </w:tblGrid>
      <w:tr w:rsidR="00A80AE2" w:rsidRPr="00805964" w:rsidTr="00A80AE2">
        <w:trPr>
          <w:trHeight w:val="759"/>
        </w:trPr>
        <w:tc>
          <w:tcPr>
            <w:tcW w:w="3069" w:type="dxa"/>
            <w:vAlign w:val="center"/>
          </w:tcPr>
          <w:p w:rsidR="00A80AE2" w:rsidRPr="00805964" w:rsidRDefault="00A80AE2" w:rsidP="00622837">
            <w:pPr>
              <w:spacing w:line="360" w:lineRule="auto"/>
              <w:contextualSpacing/>
              <w:jc w:val="center"/>
            </w:pPr>
          </w:p>
        </w:tc>
        <w:tc>
          <w:tcPr>
            <w:tcW w:w="3071" w:type="dxa"/>
            <w:vAlign w:val="center"/>
          </w:tcPr>
          <w:p w:rsidR="00A80AE2" w:rsidRPr="00805964" w:rsidRDefault="00A80AE2" w:rsidP="00622837">
            <w:pPr>
              <w:spacing w:line="360" w:lineRule="auto"/>
              <w:contextualSpacing/>
              <w:jc w:val="center"/>
            </w:pPr>
            <w:r w:rsidRPr="00805964">
              <w:rPr>
                <w:b/>
              </w:rPr>
              <w:t xml:space="preserve">Rozmezí průměrných hodnot </w:t>
            </w:r>
            <w:r w:rsidRPr="00805964">
              <w:rPr>
                <w:rFonts w:cs="Times New Roman"/>
                <w:b/>
              </w:rPr>
              <w:t>−</w:t>
            </w:r>
            <w:r w:rsidRPr="00805964">
              <w:rPr>
                <w:b/>
              </w:rPr>
              <w:t xml:space="preserve"> stejné většiny</w:t>
            </w:r>
          </w:p>
        </w:tc>
        <w:tc>
          <w:tcPr>
            <w:tcW w:w="3071" w:type="dxa"/>
            <w:vAlign w:val="center"/>
          </w:tcPr>
          <w:p w:rsidR="00A80AE2" w:rsidRPr="00805964" w:rsidRDefault="00A80AE2" w:rsidP="00622837">
            <w:pPr>
              <w:spacing w:line="360" w:lineRule="auto"/>
              <w:contextualSpacing/>
              <w:jc w:val="center"/>
            </w:pPr>
            <w:r w:rsidRPr="00805964">
              <w:rPr>
                <w:b/>
              </w:rPr>
              <w:t xml:space="preserve">Rozmezí průměrných hodnot </w:t>
            </w:r>
            <w:r w:rsidRPr="00805964">
              <w:rPr>
                <w:rFonts w:cs="Times New Roman"/>
                <w:b/>
              </w:rPr>
              <w:t>−</w:t>
            </w:r>
            <w:r w:rsidRPr="00805964">
              <w:rPr>
                <w:b/>
              </w:rPr>
              <w:t xml:space="preserve"> r</w:t>
            </w:r>
            <w:r w:rsidR="00B60869" w:rsidRPr="00805964">
              <w:rPr>
                <w:b/>
              </w:rPr>
              <w:t>ozdílné</w:t>
            </w:r>
            <w:r w:rsidRPr="00805964">
              <w:rPr>
                <w:b/>
              </w:rPr>
              <w:t xml:space="preserve"> většiny</w:t>
            </w:r>
          </w:p>
        </w:tc>
      </w:tr>
      <w:tr w:rsidR="004F3A28" w:rsidRPr="00805964" w:rsidTr="0013537E">
        <w:trPr>
          <w:trHeight w:val="446"/>
        </w:trPr>
        <w:tc>
          <w:tcPr>
            <w:tcW w:w="3069" w:type="dxa"/>
            <w:vAlign w:val="center"/>
          </w:tcPr>
          <w:p w:rsidR="004F3A28" w:rsidRPr="00805964" w:rsidRDefault="004F3A28" w:rsidP="00622837">
            <w:pPr>
              <w:spacing w:line="360" w:lineRule="auto"/>
              <w:contextualSpacing/>
              <w:jc w:val="center"/>
            </w:pPr>
            <w:r w:rsidRPr="00805964">
              <w:rPr>
                <w:b/>
              </w:rPr>
              <w:t>Varianta č.1</w:t>
            </w:r>
          </w:p>
        </w:tc>
        <w:tc>
          <w:tcPr>
            <w:tcW w:w="3071" w:type="dxa"/>
            <w:vAlign w:val="center"/>
          </w:tcPr>
          <w:p w:rsidR="004F3A28" w:rsidRPr="00805964" w:rsidRDefault="003A2CF3" w:rsidP="00622837">
            <w:pPr>
              <w:spacing w:line="360" w:lineRule="auto"/>
              <w:contextualSpacing/>
              <w:jc w:val="center"/>
            </w:pPr>
            <w:r>
              <w:t>199,52</w:t>
            </w:r>
            <w:r w:rsidR="004F3A28" w:rsidRPr="00805964">
              <w:rPr>
                <w:rFonts w:cs="Times New Roman"/>
              </w:rPr>
              <w:t>−</w:t>
            </w:r>
            <w:r w:rsidR="004F3A28" w:rsidRPr="00805964">
              <w:t>237,82</w:t>
            </w:r>
          </w:p>
        </w:tc>
        <w:tc>
          <w:tcPr>
            <w:tcW w:w="3071" w:type="dxa"/>
            <w:vAlign w:val="center"/>
          </w:tcPr>
          <w:p w:rsidR="004F3A28" w:rsidRPr="00805964" w:rsidRDefault="003A2CF3" w:rsidP="00622837">
            <w:pPr>
              <w:spacing w:line="360" w:lineRule="auto"/>
              <w:contextualSpacing/>
              <w:jc w:val="center"/>
            </w:pPr>
            <w:r>
              <w:t>294,78</w:t>
            </w:r>
            <w:r w:rsidR="004F3A28" w:rsidRPr="00805964">
              <w:rPr>
                <w:rFonts w:cs="Times New Roman"/>
              </w:rPr>
              <w:t>−</w:t>
            </w:r>
            <w:r w:rsidR="004F3A28" w:rsidRPr="00805964">
              <w:t>377,88</w:t>
            </w:r>
          </w:p>
        </w:tc>
      </w:tr>
      <w:tr w:rsidR="004F3A28" w:rsidRPr="00805964" w:rsidTr="0013537E">
        <w:trPr>
          <w:trHeight w:val="446"/>
        </w:trPr>
        <w:tc>
          <w:tcPr>
            <w:tcW w:w="3069" w:type="dxa"/>
            <w:vAlign w:val="center"/>
          </w:tcPr>
          <w:p w:rsidR="004F3A28" w:rsidRPr="00805964" w:rsidRDefault="004F3A28" w:rsidP="00622837">
            <w:pPr>
              <w:spacing w:line="360" w:lineRule="auto"/>
              <w:contextualSpacing/>
              <w:jc w:val="center"/>
            </w:pPr>
            <w:r w:rsidRPr="00805964">
              <w:rPr>
                <w:b/>
              </w:rPr>
              <w:t>Varianta č.2</w:t>
            </w:r>
          </w:p>
        </w:tc>
        <w:tc>
          <w:tcPr>
            <w:tcW w:w="3071" w:type="dxa"/>
            <w:vAlign w:val="center"/>
          </w:tcPr>
          <w:p w:rsidR="004F3A28" w:rsidRPr="00805964" w:rsidRDefault="004F3A28" w:rsidP="00622837">
            <w:pPr>
              <w:spacing w:line="360" w:lineRule="auto"/>
              <w:contextualSpacing/>
              <w:jc w:val="center"/>
            </w:pPr>
            <w:r w:rsidRPr="00805964">
              <w:t>1,01</w:t>
            </w:r>
            <w:r w:rsidRPr="00805964">
              <w:rPr>
                <w:rFonts w:cs="Times New Roman"/>
              </w:rPr>
              <w:t>−</w:t>
            </w:r>
            <w:r w:rsidRPr="00805964">
              <w:t>1,15</w:t>
            </w:r>
          </w:p>
        </w:tc>
        <w:tc>
          <w:tcPr>
            <w:tcW w:w="3071" w:type="dxa"/>
            <w:vAlign w:val="center"/>
          </w:tcPr>
          <w:p w:rsidR="004F3A28" w:rsidRPr="00805964" w:rsidRDefault="004F3A28" w:rsidP="00622837">
            <w:pPr>
              <w:spacing w:line="360" w:lineRule="auto"/>
              <w:contextualSpacing/>
              <w:jc w:val="center"/>
            </w:pPr>
            <w:r w:rsidRPr="00805964">
              <w:t>1,24</w:t>
            </w:r>
            <w:r w:rsidRPr="00805964">
              <w:rPr>
                <w:rFonts w:cs="Times New Roman"/>
              </w:rPr>
              <w:t>−</w:t>
            </w:r>
            <w:r w:rsidRPr="00805964">
              <w:t>1,58</w:t>
            </w:r>
          </w:p>
        </w:tc>
      </w:tr>
      <w:tr w:rsidR="004F3A28" w:rsidRPr="00805964" w:rsidTr="0013537E">
        <w:trPr>
          <w:trHeight w:val="446"/>
        </w:trPr>
        <w:tc>
          <w:tcPr>
            <w:tcW w:w="3069" w:type="dxa"/>
            <w:vAlign w:val="center"/>
          </w:tcPr>
          <w:p w:rsidR="004F3A28" w:rsidRPr="00805964" w:rsidRDefault="004F3A28" w:rsidP="00622837">
            <w:pPr>
              <w:spacing w:line="360" w:lineRule="auto"/>
              <w:contextualSpacing/>
              <w:jc w:val="center"/>
            </w:pPr>
            <w:r w:rsidRPr="00805964">
              <w:rPr>
                <w:b/>
              </w:rPr>
              <w:t>Varianta č.3</w:t>
            </w:r>
          </w:p>
        </w:tc>
        <w:tc>
          <w:tcPr>
            <w:tcW w:w="3071" w:type="dxa"/>
            <w:vAlign w:val="center"/>
          </w:tcPr>
          <w:p w:rsidR="004F3A28" w:rsidRPr="00805964" w:rsidRDefault="004F3A28" w:rsidP="00622837">
            <w:pPr>
              <w:spacing w:line="360" w:lineRule="auto"/>
              <w:contextualSpacing/>
              <w:jc w:val="center"/>
            </w:pPr>
            <w:r w:rsidRPr="00805964">
              <w:t>51</w:t>
            </w:r>
            <w:r w:rsidRPr="00805964">
              <w:rPr>
                <w:rFonts w:cs="Times New Roman"/>
              </w:rPr>
              <w:t>−</w:t>
            </w:r>
            <w:r w:rsidRPr="00805964">
              <w:t>63</w:t>
            </w:r>
          </w:p>
        </w:tc>
        <w:tc>
          <w:tcPr>
            <w:tcW w:w="3071" w:type="dxa"/>
            <w:vAlign w:val="center"/>
          </w:tcPr>
          <w:p w:rsidR="004F3A28" w:rsidRPr="00805964" w:rsidRDefault="004F3A28" w:rsidP="00622837">
            <w:pPr>
              <w:spacing w:line="360" w:lineRule="auto"/>
              <w:contextualSpacing/>
              <w:jc w:val="center"/>
            </w:pPr>
            <w:r w:rsidRPr="00805964">
              <w:t>39</w:t>
            </w:r>
            <w:r w:rsidRPr="00805964">
              <w:rPr>
                <w:rFonts w:cs="Times New Roman"/>
              </w:rPr>
              <w:t>−</w:t>
            </w:r>
            <w:r w:rsidRPr="00805964">
              <w:t>61</w:t>
            </w:r>
          </w:p>
        </w:tc>
      </w:tr>
      <w:tr w:rsidR="004F3A28" w:rsidRPr="00805964" w:rsidTr="0013537E">
        <w:trPr>
          <w:trHeight w:val="446"/>
        </w:trPr>
        <w:tc>
          <w:tcPr>
            <w:tcW w:w="3069" w:type="dxa"/>
            <w:vAlign w:val="center"/>
          </w:tcPr>
          <w:p w:rsidR="004F3A28" w:rsidRPr="00805964" w:rsidRDefault="004F3A28" w:rsidP="00622837">
            <w:pPr>
              <w:spacing w:line="360" w:lineRule="auto"/>
              <w:contextualSpacing/>
              <w:jc w:val="center"/>
            </w:pPr>
            <w:r w:rsidRPr="00805964">
              <w:rPr>
                <w:b/>
              </w:rPr>
              <w:t>Varianta č.4</w:t>
            </w:r>
          </w:p>
        </w:tc>
        <w:tc>
          <w:tcPr>
            <w:tcW w:w="3071" w:type="dxa"/>
            <w:vAlign w:val="center"/>
          </w:tcPr>
          <w:p w:rsidR="004F3A28" w:rsidRPr="00805964" w:rsidRDefault="004F3A28" w:rsidP="00622837">
            <w:pPr>
              <w:spacing w:line="360" w:lineRule="auto"/>
              <w:contextualSpacing/>
              <w:jc w:val="center"/>
            </w:pPr>
            <w:r w:rsidRPr="00805964">
              <w:t>49</w:t>
            </w:r>
            <w:r w:rsidRPr="00805964">
              <w:rPr>
                <w:rFonts w:cs="Times New Roman"/>
              </w:rPr>
              <w:t>−</w:t>
            </w:r>
            <w:r w:rsidRPr="00805964">
              <w:t>67</w:t>
            </w:r>
          </w:p>
        </w:tc>
        <w:tc>
          <w:tcPr>
            <w:tcW w:w="3071" w:type="dxa"/>
            <w:vAlign w:val="center"/>
          </w:tcPr>
          <w:p w:rsidR="004F3A28" w:rsidRPr="00805964" w:rsidRDefault="004F3A28" w:rsidP="00622837">
            <w:pPr>
              <w:spacing w:line="360" w:lineRule="auto"/>
              <w:contextualSpacing/>
              <w:jc w:val="center"/>
            </w:pPr>
            <w:r w:rsidRPr="00805964">
              <w:t>37</w:t>
            </w:r>
            <w:r w:rsidRPr="00805964">
              <w:rPr>
                <w:rFonts w:cs="Times New Roman"/>
              </w:rPr>
              <w:t>−</w:t>
            </w:r>
            <w:r w:rsidRPr="00805964">
              <w:t>63</w:t>
            </w:r>
          </w:p>
        </w:tc>
      </w:tr>
    </w:tbl>
    <w:p w:rsidR="00B60869" w:rsidRPr="00805964" w:rsidRDefault="00B60869" w:rsidP="00B60869">
      <w:pPr>
        <w:spacing w:line="360" w:lineRule="auto"/>
        <w:contextualSpacing/>
        <w:jc w:val="center"/>
        <w:rPr>
          <w:i/>
          <w:sz w:val="22"/>
        </w:rPr>
      </w:pPr>
      <w:r w:rsidRPr="00805964">
        <w:rPr>
          <w:i/>
          <w:sz w:val="22"/>
        </w:rPr>
        <w:t>Zpracoval: Autor.</w:t>
      </w:r>
    </w:p>
    <w:p w:rsidR="00C3124E" w:rsidRPr="00805964" w:rsidRDefault="00C3124E" w:rsidP="0029635A">
      <w:pPr>
        <w:spacing w:line="360" w:lineRule="auto"/>
        <w:contextualSpacing/>
        <w:jc w:val="both"/>
        <w:rPr>
          <w:sz w:val="20"/>
          <w:szCs w:val="20"/>
        </w:rPr>
      </w:pPr>
    </w:p>
    <w:p w:rsidR="00B60869" w:rsidRPr="00805964" w:rsidRDefault="001B334C" w:rsidP="003961E8">
      <w:pPr>
        <w:spacing w:line="360" w:lineRule="auto"/>
        <w:contextualSpacing/>
        <w:jc w:val="center"/>
        <w:rPr>
          <w:b/>
          <w:sz w:val="22"/>
          <w:u w:val="single"/>
        </w:rPr>
      </w:pPr>
      <w:r>
        <w:rPr>
          <w:b/>
          <w:sz w:val="22"/>
          <w:u w:val="single"/>
        </w:rPr>
        <w:t>Graf č. 6</w:t>
      </w:r>
      <w:r w:rsidR="003961E8" w:rsidRPr="00805964">
        <w:rPr>
          <w:b/>
          <w:sz w:val="22"/>
          <w:u w:val="single"/>
        </w:rPr>
        <w:t>: Varianta č. 1 u období stejných a rozdílných většin</w:t>
      </w:r>
    </w:p>
    <w:p w:rsidR="00844514" w:rsidRPr="00805964" w:rsidRDefault="0086625F" w:rsidP="004F3A28">
      <w:pPr>
        <w:spacing w:line="360" w:lineRule="auto"/>
        <w:contextualSpacing/>
        <w:jc w:val="center"/>
      </w:pPr>
      <w:r w:rsidRPr="00805964">
        <w:rPr>
          <w:noProof/>
          <w:lang w:eastAsia="cs-CZ"/>
        </w:rPr>
        <w:drawing>
          <wp:inline distT="0" distB="0" distL="0" distR="0">
            <wp:extent cx="4540624" cy="2754966"/>
            <wp:effectExtent l="19050" t="0" r="12326" b="7284"/>
            <wp:docPr id="1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F3A28" w:rsidRPr="00805964" w:rsidRDefault="004F3A28" w:rsidP="004F3A28">
      <w:pPr>
        <w:spacing w:line="360" w:lineRule="auto"/>
        <w:contextualSpacing/>
        <w:jc w:val="center"/>
        <w:rPr>
          <w:i/>
          <w:sz w:val="22"/>
        </w:rPr>
      </w:pPr>
      <w:r w:rsidRPr="00805964">
        <w:rPr>
          <w:i/>
          <w:sz w:val="22"/>
        </w:rPr>
        <w:t>Zpracoval: Autor.</w:t>
      </w:r>
    </w:p>
    <w:p w:rsidR="004F3A28" w:rsidRPr="00805964" w:rsidRDefault="004F3A28" w:rsidP="0029635A">
      <w:pPr>
        <w:spacing w:line="360" w:lineRule="auto"/>
        <w:contextualSpacing/>
        <w:jc w:val="both"/>
      </w:pPr>
    </w:p>
    <w:p w:rsidR="00AC0B44" w:rsidRPr="00805964" w:rsidRDefault="00622837" w:rsidP="0029635A">
      <w:pPr>
        <w:spacing w:line="360" w:lineRule="auto"/>
        <w:contextualSpacing/>
        <w:jc w:val="both"/>
        <w:rPr>
          <w:rFonts w:cs="Times New Roman"/>
          <w:szCs w:val="24"/>
        </w:rPr>
      </w:pPr>
      <w:r w:rsidRPr="00805964">
        <w:rPr>
          <w:rFonts w:cs="Times New Roman"/>
          <w:szCs w:val="24"/>
        </w:rPr>
        <w:tab/>
      </w:r>
      <w:r w:rsidR="001B334C">
        <w:rPr>
          <w:rFonts w:cs="Times New Roman"/>
          <w:szCs w:val="24"/>
        </w:rPr>
        <w:t>Na grafu č. 6</w:t>
      </w:r>
      <w:r w:rsidR="00AC0B44" w:rsidRPr="00805964">
        <w:rPr>
          <w:rFonts w:cs="Times New Roman"/>
          <w:szCs w:val="24"/>
        </w:rPr>
        <w:t xml:space="preserve"> jsou zakresleny naměřené hodnoty z první varianty, a to jak u stejných, tak u rozdílných většin. Z grafu je vidět, že hodnoty efektivity pro stejné většiny jsou výrazně </w:t>
      </w:r>
      <w:r w:rsidR="00AC0B44" w:rsidRPr="00805964">
        <w:rPr>
          <w:rFonts w:cs="Times New Roman"/>
          <w:szCs w:val="24"/>
        </w:rPr>
        <w:lastRenderedPageBreak/>
        <w:t xml:space="preserve">nižší než pro rozdílné většiny. Navíc jsou hodnoty pro dané většiny konzistentní, </w:t>
      </w:r>
      <w:r w:rsidR="00A437D8">
        <w:rPr>
          <w:rFonts w:cs="Times New Roman"/>
          <w:szCs w:val="24"/>
        </w:rPr>
        <w:br/>
        <w:t>tj. d</w:t>
      </w:r>
      <w:r w:rsidR="00AC0B44" w:rsidRPr="00805964">
        <w:rPr>
          <w:rFonts w:cs="Times New Roman"/>
          <w:szCs w:val="24"/>
        </w:rPr>
        <w:t xml:space="preserve">okážeme predikovat přibližnou hodnotu efektivity </w:t>
      </w:r>
      <w:r w:rsidR="00E87374" w:rsidRPr="00805964">
        <w:rPr>
          <w:rFonts w:cs="Times New Roman"/>
          <w:szCs w:val="24"/>
        </w:rPr>
        <w:t>Senátu na základě shody, resp. r</w:t>
      </w:r>
      <w:r w:rsidR="00AC0B44" w:rsidRPr="00805964">
        <w:rPr>
          <w:rFonts w:cs="Times New Roman"/>
          <w:szCs w:val="24"/>
        </w:rPr>
        <w:t>ozdílnosti většin.</w:t>
      </w:r>
    </w:p>
    <w:p w:rsidR="00AC0B44" w:rsidRPr="00805964" w:rsidRDefault="00AC0B44" w:rsidP="0029635A">
      <w:pPr>
        <w:spacing w:line="360" w:lineRule="auto"/>
        <w:contextualSpacing/>
        <w:jc w:val="both"/>
        <w:rPr>
          <w:rFonts w:cs="Times New Roman"/>
          <w:szCs w:val="24"/>
        </w:rPr>
      </w:pPr>
    </w:p>
    <w:p w:rsidR="00AC0B44" w:rsidRPr="00805964" w:rsidRDefault="001B334C" w:rsidP="003961E8">
      <w:pPr>
        <w:spacing w:line="360" w:lineRule="auto"/>
        <w:contextualSpacing/>
        <w:jc w:val="center"/>
        <w:rPr>
          <w:rFonts w:cs="Times New Roman"/>
          <w:szCs w:val="24"/>
        </w:rPr>
      </w:pPr>
      <w:r>
        <w:rPr>
          <w:b/>
          <w:sz w:val="22"/>
          <w:u w:val="single"/>
        </w:rPr>
        <w:t>Graf č. 7</w:t>
      </w:r>
      <w:r w:rsidR="003961E8" w:rsidRPr="00805964">
        <w:rPr>
          <w:b/>
          <w:sz w:val="22"/>
          <w:u w:val="single"/>
        </w:rPr>
        <w:t>: Varianta č. 2 u období stejných a rozdílných většin</w:t>
      </w:r>
    </w:p>
    <w:p w:rsidR="004F3A28" w:rsidRPr="00805964" w:rsidRDefault="0086625F" w:rsidP="004F3A28">
      <w:pPr>
        <w:spacing w:line="360" w:lineRule="auto"/>
        <w:contextualSpacing/>
        <w:jc w:val="center"/>
      </w:pPr>
      <w:r w:rsidRPr="00805964">
        <w:rPr>
          <w:noProof/>
          <w:lang w:eastAsia="cs-CZ"/>
        </w:rPr>
        <w:drawing>
          <wp:inline distT="0" distB="0" distL="0" distR="0">
            <wp:extent cx="4540624" cy="2754966"/>
            <wp:effectExtent l="19050" t="0" r="12326" b="7284"/>
            <wp:docPr id="10"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F3A28" w:rsidRPr="00805964" w:rsidRDefault="004F3A28" w:rsidP="004F3A28">
      <w:pPr>
        <w:spacing w:line="360" w:lineRule="auto"/>
        <w:contextualSpacing/>
        <w:jc w:val="center"/>
        <w:rPr>
          <w:i/>
          <w:sz w:val="22"/>
        </w:rPr>
      </w:pPr>
      <w:r w:rsidRPr="00805964">
        <w:rPr>
          <w:i/>
          <w:sz w:val="22"/>
        </w:rPr>
        <w:t>Zpracoval: Autor.</w:t>
      </w:r>
    </w:p>
    <w:p w:rsidR="00280DEE" w:rsidRPr="00805964" w:rsidRDefault="00280DEE" w:rsidP="0029635A">
      <w:pPr>
        <w:spacing w:line="360" w:lineRule="auto"/>
        <w:contextualSpacing/>
        <w:jc w:val="both"/>
      </w:pPr>
    </w:p>
    <w:p w:rsidR="00622837" w:rsidRPr="00805964" w:rsidRDefault="0044304A" w:rsidP="0029635A">
      <w:pPr>
        <w:spacing w:line="360" w:lineRule="auto"/>
        <w:contextualSpacing/>
        <w:jc w:val="both"/>
        <w:rPr>
          <w:rFonts w:cs="Times New Roman"/>
          <w:szCs w:val="24"/>
        </w:rPr>
      </w:pPr>
      <w:r w:rsidRPr="00805964">
        <w:rPr>
          <w:szCs w:val="24"/>
        </w:rPr>
        <w:tab/>
      </w:r>
      <w:r w:rsidR="00AC0B44" w:rsidRPr="00805964">
        <w:rPr>
          <w:rFonts w:cs="Times New Roman"/>
          <w:szCs w:val="24"/>
        </w:rPr>
        <w:t>Na</w:t>
      </w:r>
      <w:r w:rsidR="001B334C">
        <w:rPr>
          <w:rFonts w:cs="Times New Roman"/>
          <w:szCs w:val="24"/>
        </w:rPr>
        <w:t xml:space="preserve"> grafu č. 7</w:t>
      </w:r>
      <w:r w:rsidR="00AC0B44" w:rsidRPr="00805964">
        <w:rPr>
          <w:rFonts w:cs="Times New Roman"/>
          <w:szCs w:val="24"/>
        </w:rPr>
        <w:t xml:space="preserve"> jsou zakresleny naměřené hodnoty ze druhé varianty, a to jak u stejných, tak u rozdílných většin. Měření dopadlo podobně jako v předchozím případě, efektivita různých většin je vyšší než pro stejné většiny, navíc jsou výsledky konzistentní a dokážeme předpovídat efektivitu jen na základě shodných, resp. rozdílných většin.</w:t>
      </w:r>
    </w:p>
    <w:p w:rsidR="003961E8" w:rsidRPr="00805964" w:rsidRDefault="003961E8" w:rsidP="0029635A">
      <w:pPr>
        <w:spacing w:line="360" w:lineRule="auto"/>
        <w:contextualSpacing/>
        <w:jc w:val="both"/>
        <w:rPr>
          <w:rFonts w:cs="Times New Roman"/>
          <w:szCs w:val="24"/>
        </w:rPr>
      </w:pPr>
    </w:p>
    <w:p w:rsidR="003961E8" w:rsidRPr="00805964" w:rsidRDefault="003961E8" w:rsidP="0029635A">
      <w:pPr>
        <w:spacing w:line="360" w:lineRule="auto"/>
        <w:contextualSpacing/>
        <w:jc w:val="both"/>
        <w:rPr>
          <w:rFonts w:cs="Times New Roman"/>
          <w:szCs w:val="24"/>
        </w:rPr>
      </w:pPr>
    </w:p>
    <w:p w:rsidR="003961E8" w:rsidRPr="00805964" w:rsidRDefault="003961E8" w:rsidP="0029635A">
      <w:pPr>
        <w:spacing w:line="360" w:lineRule="auto"/>
        <w:contextualSpacing/>
        <w:jc w:val="both"/>
        <w:rPr>
          <w:rFonts w:cs="Times New Roman"/>
          <w:szCs w:val="24"/>
        </w:rPr>
      </w:pPr>
    </w:p>
    <w:p w:rsidR="003961E8" w:rsidRPr="00805964" w:rsidRDefault="003961E8" w:rsidP="0029635A">
      <w:pPr>
        <w:spacing w:line="360" w:lineRule="auto"/>
        <w:contextualSpacing/>
        <w:jc w:val="both"/>
        <w:rPr>
          <w:rFonts w:cs="Times New Roman"/>
          <w:szCs w:val="24"/>
        </w:rPr>
      </w:pPr>
    </w:p>
    <w:p w:rsidR="003961E8" w:rsidRPr="00805964" w:rsidRDefault="003961E8" w:rsidP="0029635A">
      <w:pPr>
        <w:spacing w:line="360" w:lineRule="auto"/>
        <w:contextualSpacing/>
        <w:jc w:val="both"/>
        <w:rPr>
          <w:rFonts w:cs="Times New Roman"/>
          <w:szCs w:val="24"/>
        </w:rPr>
      </w:pPr>
    </w:p>
    <w:p w:rsidR="003961E8" w:rsidRPr="00805964" w:rsidRDefault="003961E8" w:rsidP="0029635A">
      <w:pPr>
        <w:spacing w:line="360" w:lineRule="auto"/>
        <w:contextualSpacing/>
        <w:jc w:val="both"/>
        <w:rPr>
          <w:rFonts w:cs="Times New Roman"/>
          <w:szCs w:val="24"/>
        </w:rPr>
      </w:pPr>
    </w:p>
    <w:p w:rsidR="003961E8" w:rsidRPr="00805964" w:rsidRDefault="003961E8" w:rsidP="0029635A">
      <w:pPr>
        <w:spacing w:line="360" w:lineRule="auto"/>
        <w:contextualSpacing/>
        <w:jc w:val="both"/>
        <w:rPr>
          <w:rFonts w:cs="Times New Roman"/>
          <w:szCs w:val="24"/>
        </w:rPr>
      </w:pPr>
    </w:p>
    <w:p w:rsidR="003961E8" w:rsidRPr="00805964" w:rsidRDefault="003961E8" w:rsidP="0029635A">
      <w:pPr>
        <w:spacing w:line="360" w:lineRule="auto"/>
        <w:contextualSpacing/>
        <w:jc w:val="both"/>
        <w:rPr>
          <w:rFonts w:cs="Times New Roman"/>
          <w:szCs w:val="24"/>
        </w:rPr>
      </w:pPr>
    </w:p>
    <w:p w:rsidR="003961E8" w:rsidRPr="00805964" w:rsidRDefault="003961E8" w:rsidP="0029635A">
      <w:pPr>
        <w:spacing w:line="360" w:lineRule="auto"/>
        <w:contextualSpacing/>
        <w:jc w:val="both"/>
        <w:rPr>
          <w:rFonts w:cs="Times New Roman"/>
          <w:szCs w:val="24"/>
        </w:rPr>
      </w:pPr>
    </w:p>
    <w:p w:rsidR="003961E8" w:rsidRDefault="003961E8" w:rsidP="0029635A">
      <w:pPr>
        <w:spacing w:line="360" w:lineRule="auto"/>
        <w:contextualSpacing/>
        <w:jc w:val="both"/>
        <w:rPr>
          <w:rFonts w:cs="Times New Roman"/>
          <w:szCs w:val="24"/>
        </w:rPr>
      </w:pPr>
    </w:p>
    <w:p w:rsidR="00BA13EF" w:rsidRDefault="00BA13EF" w:rsidP="0029635A">
      <w:pPr>
        <w:spacing w:line="360" w:lineRule="auto"/>
        <w:contextualSpacing/>
        <w:jc w:val="both"/>
        <w:rPr>
          <w:rFonts w:cs="Times New Roman"/>
          <w:szCs w:val="24"/>
        </w:rPr>
      </w:pPr>
    </w:p>
    <w:p w:rsidR="00BA13EF" w:rsidRPr="00805964" w:rsidRDefault="00BA13EF" w:rsidP="0029635A">
      <w:pPr>
        <w:spacing w:line="360" w:lineRule="auto"/>
        <w:contextualSpacing/>
        <w:jc w:val="both"/>
        <w:rPr>
          <w:rFonts w:cs="Times New Roman"/>
          <w:szCs w:val="24"/>
        </w:rPr>
      </w:pPr>
    </w:p>
    <w:p w:rsidR="003961E8" w:rsidRPr="00805964" w:rsidRDefault="001B334C" w:rsidP="003961E8">
      <w:pPr>
        <w:spacing w:line="360" w:lineRule="auto"/>
        <w:contextualSpacing/>
        <w:jc w:val="center"/>
        <w:rPr>
          <w:b/>
          <w:sz w:val="22"/>
          <w:u w:val="single"/>
        </w:rPr>
      </w:pPr>
      <w:r>
        <w:rPr>
          <w:b/>
          <w:sz w:val="22"/>
          <w:u w:val="single"/>
        </w:rPr>
        <w:lastRenderedPageBreak/>
        <w:t>Graf č. 8</w:t>
      </w:r>
      <w:r w:rsidR="003961E8" w:rsidRPr="00805964">
        <w:rPr>
          <w:b/>
          <w:sz w:val="22"/>
          <w:u w:val="single"/>
        </w:rPr>
        <w:t>: Varianta č. 3 u období stejných a rozdílných většin</w:t>
      </w:r>
    </w:p>
    <w:p w:rsidR="00280DEE" w:rsidRPr="00805964" w:rsidRDefault="0044304A" w:rsidP="004F3A28">
      <w:pPr>
        <w:spacing w:line="360" w:lineRule="auto"/>
        <w:contextualSpacing/>
        <w:jc w:val="center"/>
      </w:pPr>
      <w:r w:rsidRPr="00805964">
        <w:rPr>
          <w:noProof/>
          <w:lang w:eastAsia="cs-CZ"/>
        </w:rPr>
        <w:drawing>
          <wp:inline distT="0" distB="0" distL="0" distR="0">
            <wp:extent cx="4540624" cy="2754966"/>
            <wp:effectExtent l="19050" t="0" r="12326" b="7284"/>
            <wp:docPr id="1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F3A28" w:rsidRPr="00805964" w:rsidRDefault="004F3A28" w:rsidP="004F3A28">
      <w:pPr>
        <w:spacing w:line="360" w:lineRule="auto"/>
        <w:contextualSpacing/>
        <w:jc w:val="center"/>
        <w:rPr>
          <w:i/>
          <w:sz w:val="22"/>
        </w:rPr>
      </w:pPr>
      <w:r w:rsidRPr="00805964">
        <w:rPr>
          <w:i/>
          <w:sz w:val="22"/>
        </w:rPr>
        <w:t>Zpracoval: Autor.</w:t>
      </w:r>
    </w:p>
    <w:p w:rsidR="00280DEE" w:rsidRPr="00805964" w:rsidRDefault="00280DEE" w:rsidP="0029635A">
      <w:pPr>
        <w:spacing w:line="360" w:lineRule="auto"/>
        <w:contextualSpacing/>
        <w:jc w:val="both"/>
      </w:pPr>
    </w:p>
    <w:p w:rsidR="00280DEE" w:rsidRPr="00805964" w:rsidRDefault="001B334C" w:rsidP="0029635A">
      <w:pPr>
        <w:spacing w:line="360" w:lineRule="auto"/>
        <w:contextualSpacing/>
        <w:jc w:val="both"/>
        <w:rPr>
          <w:rFonts w:cs="Times New Roman"/>
          <w:szCs w:val="24"/>
        </w:rPr>
      </w:pPr>
      <w:r>
        <w:rPr>
          <w:rFonts w:cs="Times New Roman"/>
          <w:szCs w:val="24"/>
        </w:rPr>
        <w:t>Na grafu č. 8</w:t>
      </w:r>
      <w:r w:rsidR="00AC0B44" w:rsidRPr="00805964">
        <w:rPr>
          <w:rFonts w:cs="Times New Roman"/>
          <w:szCs w:val="24"/>
        </w:rPr>
        <w:t xml:space="preserve"> jsou zakresleny naměřené hodnoty ze třetí varianty, a to jak u stejných</w:t>
      </w:r>
      <w:r w:rsidR="000266FA">
        <w:rPr>
          <w:rFonts w:cs="Times New Roman"/>
          <w:szCs w:val="24"/>
        </w:rPr>
        <w:t>,</w:t>
      </w:r>
      <w:r w:rsidR="00DC2678">
        <w:rPr>
          <w:rFonts w:cs="Times New Roman"/>
          <w:szCs w:val="24"/>
        </w:rPr>
        <w:t xml:space="preserve"> tak u </w:t>
      </w:r>
      <w:r w:rsidR="00AC0B44" w:rsidRPr="00805964">
        <w:rPr>
          <w:rFonts w:cs="Times New Roman"/>
          <w:szCs w:val="24"/>
        </w:rPr>
        <w:t>rozdílných většin. Oproti předchozím variantám hodno</w:t>
      </w:r>
      <w:r w:rsidR="00B84FBC" w:rsidRPr="00805964">
        <w:rPr>
          <w:rFonts w:cs="Times New Roman"/>
          <w:szCs w:val="24"/>
        </w:rPr>
        <w:t>ty kolísají nezávisle na většiná</w:t>
      </w:r>
      <w:r w:rsidR="00AC0B44" w:rsidRPr="00805964">
        <w:rPr>
          <w:rFonts w:cs="Times New Roman"/>
          <w:szCs w:val="24"/>
        </w:rPr>
        <w:t>ch. Není možné predikovat efektivitu jen na základě většin.</w:t>
      </w:r>
    </w:p>
    <w:p w:rsidR="00AC0B44" w:rsidRPr="00805964" w:rsidRDefault="00AC0B44" w:rsidP="0029635A">
      <w:pPr>
        <w:spacing w:line="360" w:lineRule="auto"/>
        <w:contextualSpacing/>
        <w:jc w:val="both"/>
        <w:rPr>
          <w:rFonts w:cs="Times New Roman"/>
          <w:szCs w:val="24"/>
        </w:rPr>
      </w:pPr>
    </w:p>
    <w:p w:rsidR="00AC0B44" w:rsidRPr="00805964" w:rsidRDefault="001B334C" w:rsidP="003961E8">
      <w:pPr>
        <w:spacing w:line="360" w:lineRule="auto"/>
        <w:contextualSpacing/>
        <w:jc w:val="center"/>
        <w:rPr>
          <w:b/>
          <w:sz w:val="22"/>
          <w:u w:val="single"/>
        </w:rPr>
      </w:pPr>
      <w:r>
        <w:rPr>
          <w:b/>
          <w:sz w:val="22"/>
          <w:u w:val="single"/>
        </w:rPr>
        <w:t>Graf č. 9</w:t>
      </w:r>
      <w:r w:rsidR="003961E8" w:rsidRPr="00805964">
        <w:rPr>
          <w:b/>
          <w:sz w:val="22"/>
          <w:u w:val="single"/>
        </w:rPr>
        <w:t>: Varianta č. 4 u období stejných a rozdílných většin</w:t>
      </w:r>
    </w:p>
    <w:p w:rsidR="00280DEE" w:rsidRPr="00805964" w:rsidRDefault="0086625F" w:rsidP="004F3A28">
      <w:pPr>
        <w:spacing w:line="360" w:lineRule="auto"/>
        <w:contextualSpacing/>
        <w:jc w:val="center"/>
      </w:pPr>
      <w:r w:rsidRPr="00805964">
        <w:rPr>
          <w:noProof/>
          <w:lang w:eastAsia="cs-CZ"/>
        </w:rPr>
        <w:drawing>
          <wp:inline distT="0" distB="0" distL="0" distR="0">
            <wp:extent cx="4540624" cy="2754966"/>
            <wp:effectExtent l="19050" t="0" r="12326" b="7284"/>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F3A28" w:rsidRPr="00805964" w:rsidRDefault="004F3A28" w:rsidP="004F3A28">
      <w:pPr>
        <w:spacing w:line="360" w:lineRule="auto"/>
        <w:contextualSpacing/>
        <w:jc w:val="center"/>
        <w:rPr>
          <w:i/>
          <w:sz w:val="22"/>
        </w:rPr>
      </w:pPr>
      <w:r w:rsidRPr="00805964">
        <w:rPr>
          <w:i/>
          <w:sz w:val="22"/>
        </w:rPr>
        <w:t>Zpracoval: Autor.</w:t>
      </w:r>
    </w:p>
    <w:p w:rsidR="00280DEE" w:rsidRPr="00805964" w:rsidRDefault="00280DEE" w:rsidP="0029635A">
      <w:pPr>
        <w:spacing w:line="360" w:lineRule="auto"/>
        <w:contextualSpacing/>
        <w:jc w:val="both"/>
        <w:rPr>
          <w:rFonts w:cs="Times New Roman"/>
          <w:szCs w:val="24"/>
        </w:rPr>
      </w:pPr>
    </w:p>
    <w:p w:rsidR="004F3A28" w:rsidRPr="00805964" w:rsidRDefault="001B334C" w:rsidP="0029635A">
      <w:pPr>
        <w:spacing w:line="360" w:lineRule="auto"/>
        <w:contextualSpacing/>
        <w:jc w:val="both"/>
        <w:rPr>
          <w:rFonts w:cs="Times New Roman"/>
          <w:szCs w:val="24"/>
        </w:rPr>
      </w:pPr>
      <w:r>
        <w:rPr>
          <w:rFonts w:cs="Times New Roman"/>
          <w:szCs w:val="24"/>
        </w:rPr>
        <w:t>Graf č. 9</w:t>
      </w:r>
      <w:r w:rsidR="00AC0B44" w:rsidRPr="00805964">
        <w:rPr>
          <w:rFonts w:cs="Times New Roman"/>
          <w:szCs w:val="24"/>
        </w:rPr>
        <w:t xml:space="preserve"> znázorňuje naměřené hodnoty získané ze čtvrté va</w:t>
      </w:r>
      <w:r>
        <w:rPr>
          <w:rFonts w:cs="Times New Roman"/>
          <w:szCs w:val="24"/>
        </w:rPr>
        <w:t>rianty. Stejně jako v grafu č. 8</w:t>
      </w:r>
      <w:r w:rsidR="00AC0B44" w:rsidRPr="00805964">
        <w:rPr>
          <w:rFonts w:cs="Times New Roman"/>
          <w:szCs w:val="24"/>
        </w:rPr>
        <w:t xml:space="preserve"> hodnoty nezávisí na většinách, ale velmi kolísají podle různých volebních období</w:t>
      </w:r>
      <w:r w:rsidR="00B11D02" w:rsidRPr="00805964">
        <w:rPr>
          <w:rFonts w:cs="Times New Roman"/>
          <w:szCs w:val="24"/>
        </w:rPr>
        <w:t>.</w:t>
      </w:r>
    </w:p>
    <w:p w:rsidR="004F3A28" w:rsidRPr="00805964" w:rsidRDefault="00741437" w:rsidP="00741437">
      <w:pPr>
        <w:pStyle w:val="Nadpis3"/>
      </w:pPr>
      <w:bookmarkStart w:id="33" w:name="_Toc359918299"/>
      <w:r w:rsidRPr="00805964">
        <w:lastRenderedPageBreak/>
        <w:t xml:space="preserve">3. 4. 2 </w:t>
      </w:r>
      <w:r w:rsidR="0044304A" w:rsidRPr="00805964">
        <w:t xml:space="preserve">Zhodnocení </w:t>
      </w:r>
      <w:r w:rsidRPr="00805964">
        <w:t>výsledků</w:t>
      </w:r>
      <w:r w:rsidR="0044304A" w:rsidRPr="00805964">
        <w:t xml:space="preserve"> práce</w:t>
      </w:r>
      <w:bookmarkEnd w:id="33"/>
    </w:p>
    <w:p w:rsidR="00741437" w:rsidRPr="00805964" w:rsidRDefault="00741437" w:rsidP="00741437"/>
    <w:p w:rsidR="0086625F" w:rsidRPr="00805964" w:rsidRDefault="0044304A" w:rsidP="0029635A">
      <w:pPr>
        <w:spacing w:line="360" w:lineRule="auto"/>
        <w:contextualSpacing/>
        <w:jc w:val="both"/>
      </w:pPr>
      <w:r w:rsidRPr="00805964">
        <w:tab/>
        <w:t>Jak bylo uvedeno výše, první varianta či kritérium závisí jak na počtu zákonů</w:t>
      </w:r>
      <w:r w:rsidR="000266FA">
        <w:t>,</w:t>
      </w:r>
      <w:r w:rsidRPr="00805964">
        <w:t xml:space="preserve"> tak i na jejich kvalitě z pohledu Senátu. U druhého kritéria jsme eliminovali vliv množství projednávané legislativy provedením normalizace, při které se efektivita stanovuje na jeden zákon. </w:t>
      </w:r>
      <w:r w:rsidR="00445DE7" w:rsidRPr="00805964">
        <w:t xml:space="preserve">Z naměřených hodnot je patrné, že výsledky prvního i druhého měření spolu korelují, tudíž můžeme usoudit, že počet zákonů nemá </w:t>
      </w:r>
      <w:r w:rsidR="000266FA">
        <w:t>pro</w:t>
      </w:r>
      <w:r w:rsidR="00B45246" w:rsidRPr="00805964">
        <w:t xml:space="preserve"> efektivitu S</w:t>
      </w:r>
      <w:r w:rsidR="00445DE7" w:rsidRPr="00805964">
        <w:t>enátu zásadní význam</w:t>
      </w:r>
      <w:r w:rsidR="00DC2678">
        <w:t>. Tj. </w:t>
      </w:r>
      <w:r w:rsidRPr="00805964">
        <w:t>efektivita S</w:t>
      </w:r>
      <w:r w:rsidR="00445DE7" w:rsidRPr="00805964">
        <w:t>enátu není ovlivněna množstvím předložených návrhů a závisí především na názoru Senátu, zda je návrh kvalitní.</w:t>
      </w:r>
    </w:p>
    <w:p w:rsidR="00F84CFD" w:rsidRPr="00805964" w:rsidRDefault="00C377DE" w:rsidP="0029635A">
      <w:pPr>
        <w:spacing w:line="360" w:lineRule="auto"/>
        <w:contextualSpacing/>
        <w:jc w:val="both"/>
      </w:pPr>
      <w:r w:rsidRPr="00805964">
        <w:tab/>
      </w:r>
      <w:r w:rsidR="00445DE7" w:rsidRPr="00805964">
        <w:t>Analýzou výstupu měře</w:t>
      </w:r>
      <w:r w:rsidRPr="00805964">
        <w:t xml:space="preserve">ní můžeme dospět k závěru, že v období </w:t>
      </w:r>
      <w:r w:rsidR="00445DE7" w:rsidRPr="00805964">
        <w:t>stejných většin je efekti</w:t>
      </w:r>
      <w:r w:rsidRPr="00805964">
        <w:t xml:space="preserve">vita Senátu výrazně nižší než v období </w:t>
      </w:r>
      <w:r w:rsidR="00445DE7" w:rsidRPr="00805964">
        <w:t xml:space="preserve">rozdílných většin, usuzujeme tak, </w:t>
      </w:r>
      <w:r w:rsidR="0044304A" w:rsidRPr="00805964">
        <w:t>že v období stejných většin v obou komorách Parlamentu Senát považuje zákony</w:t>
      </w:r>
      <w:r w:rsidR="00445DE7" w:rsidRPr="00805964">
        <w:t xml:space="preserve"> za více kvalitní a nemá potřebu tolik konat. Samozřejmě kvalita zákona je subjektivní a </w:t>
      </w:r>
      <w:r w:rsidR="0044304A" w:rsidRPr="00805964">
        <w:t>přijateln</w:t>
      </w:r>
      <w:r w:rsidR="00F84CFD" w:rsidRPr="00805964">
        <w:t>o</w:t>
      </w:r>
      <w:r w:rsidR="0044304A" w:rsidRPr="00805964">
        <w:t>s</w:t>
      </w:r>
      <w:r w:rsidR="00F84CFD" w:rsidRPr="00805964">
        <w:t>t zá</w:t>
      </w:r>
      <w:r w:rsidR="0044304A" w:rsidRPr="00805964">
        <w:t>kona může záviset na tom, zda byl navržen stejnou většinou, která je v Senátu. Tímto je myšleno, že</w:t>
      </w:r>
      <w:r w:rsidRPr="00805964">
        <w:t xml:space="preserve"> např. pravicová většina v Senátu nebude mít s při</w:t>
      </w:r>
      <w:r w:rsidR="000266FA">
        <w:t>jetím návrhu zákona pocházejícího</w:t>
      </w:r>
      <w:r w:rsidRPr="00805964">
        <w:t xml:space="preserve"> od pravicově složené Poslanecké sněmovny takový problém, jaký by mohla m</w:t>
      </w:r>
      <w:r w:rsidR="000266FA">
        <w:t>ít s návrhem zákona pocházejícího</w:t>
      </w:r>
      <w:r w:rsidRPr="00805964">
        <w:t xml:space="preserve"> od levicově složené PS</w:t>
      </w:r>
      <w:r w:rsidR="00212C7A" w:rsidRPr="00805964">
        <w:t>,</w:t>
      </w:r>
      <w:r w:rsidRPr="00805964">
        <w:t xml:space="preserve"> a</w:t>
      </w:r>
      <w:r w:rsidR="00AE5A64" w:rsidRPr="00805964">
        <w:t xml:space="preserve"> to z důvodu </w:t>
      </w:r>
      <w:r w:rsidRPr="00805964">
        <w:t>stejných či podobných</w:t>
      </w:r>
      <w:r w:rsidR="00AE5A64" w:rsidRPr="00805964">
        <w:t xml:space="preserve"> politických preferencí.</w:t>
      </w:r>
    </w:p>
    <w:p w:rsidR="0071317E" w:rsidRPr="00805964" w:rsidRDefault="00AE5A64" w:rsidP="0029635A">
      <w:pPr>
        <w:spacing w:line="360" w:lineRule="auto"/>
        <w:contextualSpacing/>
        <w:jc w:val="both"/>
      </w:pPr>
      <w:r w:rsidRPr="00805964">
        <w:tab/>
      </w:r>
      <w:r w:rsidR="00C96E7C">
        <w:t>Třetí a čtvrté měření byla</w:t>
      </w:r>
      <w:r w:rsidR="00F84CFD" w:rsidRPr="00805964">
        <w:t xml:space="preserve"> zal</w:t>
      </w:r>
      <w:r w:rsidRPr="00805964">
        <w:t>ožen</w:t>
      </w:r>
      <w:r w:rsidR="00C96E7C">
        <w:t>a</w:t>
      </w:r>
      <w:r w:rsidRPr="00805964">
        <w:t xml:space="preserve"> na podobných kritériích –</w:t>
      </w:r>
      <w:r w:rsidR="00F84CFD" w:rsidRPr="00805964">
        <w:t xml:space="preserve"> sledoval</w:t>
      </w:r>
      <w:r w:rsidR="00C96E7C">
        <w:t>a</w:t>
      </w:r>
      <w:r w:rsidR="00F84CFD" w:rsidRPr="00805964">
        <w:t xml:space="preserve"> situaci, ve které se </w:t>
      </w:r>
      <w:r w:rsidR="00C96E7C" w:rsidRPr="00805964">
        <w:t xml:space="preserve">Senát </w:t>
      </w:r>
      <w:r w:rsidR="00F84CFD" w:rsidRPr="00805964">
        <w:t xml:space="preserve">rozhodl korigovat návrhy Sněmovny. Přestože čtvrté kritérium přihlíží </w:t>
      </w:r>
      <w:r w:rsidR="00DC2678">
        <w:t>k </w:t>
      </w:r>
      <w:r w:rsidR="00F84CFD" w:rsidRPr="00805964">
        <w:t xml:space="preserve">důležitosti zákonů na rozdíl od třetího, výsledky opět dopadly velmi </w:t>
      </w:r>
      <w:r w:rsidR="009266C5" w:rsidRPr="00805964">
        <w:t>podobně. Lze tedy usuzovat, že S</w:t>
      </w:r>
      <w:r w:rsidR="00F84CFD" w:rsidRPr="00805964">
        <w:t>enát nedělá velké rozdíly mezi typy zákonů a ke každému návrhu přistupuje jednotlivě bez ohledu na jeho typ.</w:t>
      </w:r>
      <w:r w:rsidR="0071317E" w:rsidRPr="00805964">
        <w:t xml:space="preserve"> </w:t>
      </w:r>
    </w:p>
    <w:p w:rsidR="00F84CFD" w:rsidRPr="00805964" w:rsidRDefault="0071317E" w:rsidP="0029635A">
      <w:pPr>
        <w:spacing w:line="360" w:lineRule="auto"/>
        <w:contextualSpacing/>
        <w:jc w:val="both"/>
      </w:pPr>
      <w:r w:rsidRPr="00805964">
        <w:tab/>
      </w:r>
      <w:r w:rsidR="00F84CFD" w:rsidRPr="00805964">
        <w:t>Zajímavým výsledkem je, že na základě naměřených hodnot podle prvního a druhého kritéria dokážeme o</w:t>
      </w:r>
      <w:r w:rsidRPr="00805964">
        <w:t>hraničit očekávanou efektivitu S</w:t>
      </w:r>
      <w:r w:rsidR="00F84CFD" w:rsidRPr="00805964">
        <w:t>enátu v následujících obdobích podle typu většin, u třetího a čtvrtého kritéria efektiv</w:t>
      </w:r>
      <w:r w:rsidRPr="00805964">
        <w:t xml:space="preserve">ita na většinách vůbec nezávisí, a proto nelze očekávanou efektivitu na základě těchto kritérií stanovit. </w:t>
      </w:r>
      <w:r w:rsidR="00F84CFD" w:rsidRPr="00805964">
        <w:t>Možným výkladem</w:t>
      </w:r>
      <w:r w:rsidRPr="00805964">
        <w:t xml:space="preserve"> nezávislosti efektivity horní komory na typu většin u třetí a čtvrté varianty</w:t>
      </w:r>
      <w:r w:rsidR="00F84CFD" w:rsidRPr="00805964">
        <w:t xml:space="preserve"> je </w:t>
      </w:r>
      <w:r w:rsidRPr="00805964">
        <w:t>skutečnost, že když se dostane S</w:t>
      </w:r>
      <w:r w:rsidR="00F84CFD" w:rsidRPr="00805964">
        <w:t>enát do sporu s PS, nepřihlíží se to</w:t>
      </w:r>
      <w:r w:rsidRPr="00805964">
        <w:t>lik na stranickou příslušnost –</w:t>
      </w:r>
      <w:r w:rsidR="00F84CFD" w:rsidRPr="00805964">
        <w:t xml:space="preserve"> úspěšnost kontrolního mechanismu</w:t>
      </w:r>
      <w:r w:rsidRPr="00805964">
        <w:t xml:space="preserve"> S</w:t>
      </w:r>
      <w:r w:rsidR="00F84CFD" w:rsidRPr="00805964">
        <w:t>enátu zá</w:t>
      </w:r>
      <w:r w:rsidRPr="00805964">
        <w:t>visí více na daném období. Tj. S</w:t>
      </w:r>
      <w:r w:rsidR="00F84CFD" w:rsidRPr="00805964">
        <w:t xml:space="preserve">enát při stejných většinách není ve sporu s PS tak často, ale pokud už se rozhodne připomínkovat či zamítnout nějaký návrh, úspěšnost na většinách nezáleží. </w:t>
      </w:r>
    </w:p>
    <w:p w:rsidR="005308C5" w:rsidRPr="00805964" w:rsidRDefault="0071317E" w:rsidP="0029635A">
      <w:pPr>
        <w:spacing w:line="360" w:lineRule="auto"/>
        <w:contextualSpacing/>
        <w:jc w:val="both"/>
      </w:pPr>
      <w:r w:rsidRPr="00805964">
        <w:tab/>
      </w:r>
      <w:r w:rsidR="005308C5" w:rsidRPr="00805964">
        <w:t xml:space="preserve">Efektivita 3. a 4. kritéria byla v rozsahu </w:t>
      </w:r>
      <w:r w:rsidRPr="00805964">
        <w:t xml:space="preserve">57 </w:t>
      </w:r>
      <m:oMath>
        <m:r>
          <w:rPr>
            <w:rFonts w:ascii="Cambria Math" w:hAnsi="Cambria Math"/>
          </w:rPr>
          <m:t>± 6 %</m:t>
        </m:r>
      </m:oMath>
      <w:r w:rsidRPr="00805964">
        <w:rPr>
          <w:rFonts w:eastAsiaTheme="minorEastAsia"/>
        </w:rPr>
        <w:t xml:space="preserve"> a 58 </w:t>
      </w:r>
      <m:oMath>
        <m:r>
          <w:rPr>
            <w:rFonts w:ascii="Cambria Math" w:hAnsi="Cambria Math"/>
          </w:rPr>
          <m:t>±</m:t>
        </m:r>
      </m:oMath>
      <w:r w:rsidRPr="00805964">
        <w:rPr>
          <w:rFonts w:eastAsiaTheme="minorEastAsia"/>
        </w:rPr>
        <w:t xml:space="preserve"> 9 % </w:t>
      </w:r>
      <w:r w:rsidRPr="00805964">
        <w:t xml:space="preserve">v období stejných většin. U období rozdílných většin se efektivita pohybovala v rozmezí </w:t>
      </w:r>
      <w:r w:rsidR="00984869" w:rsidRPr="00805964">
        <w:t xml:space="preserve">50 </w:t>
      </w:r>
      <m:oMath>
        <m:r>
          <w:rPr>
            <w:rFonts w:ascii="Cambria Math" w:hAnsi="Cambria Math"/>
          </w:rPr>
          <m:t>±</m:t>
        </m:r>
      </m:oMath>
      <w:r w:rsidR="00984869" w:rsidRPr="00805964">
        <w:rPr>
          <w:rFonts w:eastAsiaTheme="minorEastAsia"/>
        </w:rPr>
        <w:t xml:space="preserve"> 11 %</w:t>
      </w:r>
      <w:r w:rsidRPr="00805964">
        <w:t xml:space="preserve"> u třetího </w:t>
      </w:r>
      <w:r w:rsidRPr="00805964">
        <w:lastRenderedPageBreak/>
        <w:t>kritéria a</w:t>
      </w:r>
      <w:r w:rsidR="00984869" w:rsidRPr="00805964">
        <w:t xml:space="preserve"> 50 </w:t>
      </w:r>
      <m:oMath>
        <m:r>
          <w:rPr>
            <w:rFonts w:ascii="Cambria Math" w:hAnsi="Cambria Math"/>
          </w:rPr>
          <m:t>±</m:t>
        </m:r>
      </m:oMath>
      <w:r w:rsidRPr="00805964">
        <w:t xml:space="preserve"> </w:t>
      </w:r>
      <w:r w:rsidR="00984869" w:rsidRPr="00805964">
        <w:t xml:space="preserve">13 % </w:t>
      </w:r>
      <w:r w:rsidRPr="00805964">
        <w:t>u čtvrtého kritéria</w:t>
      </w:r>
      <w:r w:rsidR="00984869" w:rsidRPr="00805964">
        <w:t>. M</w:t>
      </w:r>
      <w:r w:rsidRPr="00805964">
        <w:t>ůžeme tedy usuzovat, že S</w:t>
      </w:r>
      <w:r w:rsidR="005308C5" w:rsidRPr="00805964">
        <w:t>enát byl v některých volebních obdobíc</w:t>
      </w:r>
      <w:r w:rsidRPr="00805964">
        <w:t>h silnější, nedokážeme však sílu Senátu předpovídat na základě rozložení sil v Senátu a Poslanecké sněmovně –</w:t>
      </w:r>
      <w:r w:rsidR="00984869" w:rsidRPr="00805964">
        <w:t xml:space="preserve"> </w:t>
      </w:r>
      <w:r w:rsidRPr="00805964">
        <w:t xml:space="preserve">síla Senátu </w:t>
      </w:r>
      <w:r w:rsidR="00984869" w:rsidRPr="00805964">
        <w:t xml:space="preserve">spíše </w:t>
      </w:r>
      <w:r w:rsidRPr="00805964">
        <w:t>záleží na personálním</w:t>
      </w:r>
      <w:r w:rsidR="005308C5" w:rsidRPr="00805964">
        <w:t xml:space="preserve"> složení obou komor</w:t>
      </w:r>
      <w:r w:rsidRPr="00805964">
        <w:t xml:space="preserve"> Parlamentu.</w:t>
      </w:r>
    </w:p>
    <w:p w:rsidR="00F84CFD" w:rsidRPr="00805964" w:rsidRDefault="00F84CFD" w:rsidP="0029635A">
      <w:pPr>
        <w:spacing w:line="360" w:lineRule="auto"/>
        <w:contextualSpacing/>
        <w:jc w:val="both"/>
      </w:pPr>
    </w:p>
    <w:p w:rsidR="00FC27C0" w:rsidRPr="00805964" w:rsidRDefault="00FC27C0" w:rsidP="00903EC2">
      <w:pPr>
        <w:pStyle w:val="Nadpis3"/>
      </w:pPr>
    </w:p>
    <w:p w:rsidR="004D1DC7" w:rsidRPr="00805964" w:rsidRDefault="004D1DC7"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744870" w:rsidRPr="00805964" w:rsidRDefault="00744870" w:rsidP="0029635A">
      <w:pPr>
        <w:spacing w:line="360" w:lineRule="auto"/>
        <w:contextualSpacing/>
        <w:jc w:val="both"/>
      </w:pPr>
    </w:p>
    <w:p w:rsidR="003961E8" w:rsidRPr="00805964" w:rsidRDefault="003961E8" w:rsidP="0029635A">
      <w:pPr>
        <w:spacing w:line="360" w:lineRule="auto"/>
        <w:contextualSpacing/>
        <w:jc w:val="both"/>
      </w:pPr>
    </w:p>
    <w:p w:rsidR="003961E8" w:rsidRPr="00805964" w:rsidRDefault="003961E8" w:rsidP="0029635A">
      <w:pPr>
        <w:spacing w:line="360" w:lineRule="auto"/>
        <w:contextualSpacing/>
        <w:jc w:val="both"/>
      </w:pPr>
    </w:p>
    <w:p w:rsidR="003961E8" w:rsidRPr="00805964" w:rsidRDefault="003961E8" w:rsidP="0029635A">
      <w:pPr>
        <w:spacing w:line="360" w:lineRule="auto"/>
        <w:contextualSpacing/>
        <w:jc w:val="both"/>
      </w:pPr>
    </w:p>
    <w:p w:rsidR="00233CB5" w:rsidRPr="00805964" w:rsidRDefault="00233CB5" w:rsidP="0029635A">
      <w:pPr>
        <w:spacing w:line="360" w:lineRule="auto"/>
        <w:contextualSpacing/>
        <w:jc w:val="both"/>
      </w:pPr>
    </w:p>
    <w:p w:rsidR="00233CB5" w:rsidRPr="00805964" w:rsidRDefault="00233CB5" w:rsidP="0029635A">
      <w:pPr>
        <w:spacing w:line="360" w:lineRule="auto"/>
        <w:contextualSpacing/>
        <w:jc w:val="both"/>
      </w:pPr>
    </w:p>
    <w:p w:rsidR="005B46E7" w:rsidRPr="00805964" w:rsidRDefault="005B46E7" w:rsidP="0029635A">
      <w:pPr>
        <w:pStyle w:val="Nadpis1"/>
        <w:contextualSpacing/>
      </w:pPr>
      <w:bookmarkStart w:id="34" w:name="_Toc359918300"/>
      <w:r w:rsidRPr="00805964">
        <w:lastRenderedPageBreak/>
        <w:t>Závěr</w:t>
      </w:r>
      <w:bookmarkEnd w:id="34"/>
    </w:p>
    <w:p w:rsidR="00683E3E" w:rsidRPr="00805964" w:rsidRDefault="00683E3E" w:rsidP="0029635A">
      <w:pPr>
        <w:contextualSpacing/>
      </w:pPr>
    </w:p>
    <w:p w:rsidR="00683E3E" w:rsidRPr="00805964" w:rsidRDefault="00683E3E" w:rsidP="00E71CB7">
      <w:pPr>
        <w:spacing w:line="360" w:lineRule="auto"/>
        <w:contextualSpacing/>
        <w:jc w:val="both"/>
      </w:pPr>
    </w:p>
    <w:p w:rsidR="00A52641" w:rsidRPr="00805964" w:rsidRDefault="00C05F86" w:rsidP="00A52641">
      <w:pPr>
        <w:autoSpaceDE w:val="0"/>
        <w:autoSpaceDN w:val="0"/>
        <w:adjustRightInd w:val="0"/>
        <w:spacing w:after="0" w:line="360" w:lineRule="auto"/>
        <w:jc w:val="both"/>
        <w:rPr>
          <w:rFonts w:cs="Times New Roman"/>
        </w:rPr>
      </w:pPr>
      <w:r w:rsidRPr="00805964">
        <w:tab/>
      </w:r>
      <w:r w:rsidR="00A50AE2" w:rsidRPr="00805964">
        <w:rPr>
          <w:rFonts w:cs="Times New Roman"/>
        </w:rPr>
        <w:t xml:space="preserve">Tato diplomová práce se zabývala analýzou </w:t>
      </w:r>
      <w:r w:rsidRPr="00805964">
        <w:rPr>
          <w:rFonts w:cs="Times New Roman"/>
        </w:rPr>
        <w:t xml:space="preserve">efektivnosti </w:t>
      </w:r>
      <w:r w:rsidR="00A50AE2" w:rsidRPr="00805964">
        <w:rPr>
          <w:rFonts w:cs="Times New Roman"/>
        </w:rPr>
        <w:t>legislativní činnosti</w:t>
      </w:r>
      <w:r w:rsidRPr="00805964">
        <w:rPr>
          <w:rFonts w:cs="Times New Roman"/>
        </w:rPr>
        <w:t xml:space="preserve"> horní komory Parlamentu České republiky. V první kapitole práce byla představena teorie </w:t>
      </w:r>
      <w:proofErr w:type="spellStart"/>
      <w:r w:rsidRPr="00805964">
        <w:rPr>
          <w:rFonts w:cs="Times New Roman"/>
        </w:rPr>
        <w:t>bikameralismu</w:t>
      </w:r>
      <w:proofErr w:type="spellEnd"/>
      <w:r w:rsidR="00B6582E" w:rsidRPr="00805964">
        <w:rPr>
          <w:rFonts w:cs="Times New Roman"/>
        </w:rPr>
        <w:t xml:space="preserve">, </w:t>
      </w:r>
      <w:r w:rsidRPr="00805964">
        <w:rPr>
          <w:rFonts w:cs="Times New Roman"/>
        </w:rPr>
        <w:t>historie dvoukomorových systémů a druhých komor parlamentů</w:t>
      </w:r>
      <w:r w:rsidR="001C11FC" w:rsidRPr="00805964">
        <w:rPr>
          <w:rFonts w:cs="Times New Roman"/>
        </w:rPr>
        <w:t>, na což navázala další podkapitola věnující se funkcím druhých komor. V této podkapitole</w:t>
      </w:r>
      <w:r w:rsidR="00B6582E" w:rsidRPr="00805964">
        <w:rPr>
          <w:rFonts w:cs="Times New Roman"/>
        </w:rPr>
        <w:t xml:space="preserve"> byly porovnány různé funkce druhých komor rozeznávané různými autory. Nejčastěji zmiňovanou funkcí je alternovat princip reprezentace užívaný v první komoře. Horní komory by měly reprezentovat odlišné zájmy než jaké reprezentuje komora dolní. Důležitou funkcí horních komor je </w:t>
      </w:r>
      <w:r w:rsidR="00E71CB7" w:rsidRPr="00805964">
        <w:rPr>
          <w:rFonts w:cs="Times New Roman"/>
        </w:rPr>
        <w:t xml:space="preserve">také </w:t>
      </w:r>
      <w:r w:rsidR="00B6582E" w:rsidRPr="00805964">
        <w:rPr>
          <w:rFonts w:cs="Times New Roman"/>
        </w:rPr>
        <w:t>revize přijímané legislativy, přičemž horní komory by měly zkvalitňovat zákonodárství a působit jako prevence chyb.</w:t>
      </w:r>
      <w:r w:rsidR="00E71CB7" w:rsidRPr="00805964">
        <w:rPr>
          <w:rFonts w:cs="Times New Roman"/>
        </w:rPr>
        <w:t xml:space="preserve"> </w:t>
      </w:r>
      <w:r w:rsidR="00D972E2" w:rsidRPr="00805964">
        <w:rPr>
          <w:rFonts w:cs="Times New Roman"/>
        </w:rPr>
        <w:t>I když se většina autorů shodne na několika základních funkcích</w:t>
      </w:r>
      <w:r w:rsidR="00C96E7C">
        <w:rPr>
          <w:rFonts w:cs="Times New Roman"/>
        </w:rPr>
        <w:t>,</w:t>
      </w:r>
      <w:r w:rsidR="00D972E2" w:rsidRPr="00805964">
        <w:rPr>
          <w:rFonts w:cs="Times New Roman"/>
        </w:rPr>
        <w:t xml:space="preserve"> konsenzus ohledně dalších funkcí druhých komor mezi autory nepanuje.</w:t>
      </w:r>
    </w:p>
    <w:p w:rsidR="00A52641" w:rsidRPr="00805964" w:rsidRDefault="00A52641" w:rsidP="00A52641">
      <w:pPr>
        <w:autoSpaceDE w:val="0"/>
        <w:autoSpaceDN w:val="0"/>
        <w:adjustRightInd w:val="0"/>
        <w:spacing w:after="0" w:line="360" w:lineRule="auto"/>
        <w:jc w:val="both"/>
        <w:rPr>
          <w:rFonts w:cs="Times New Roman"/>
          <w:szCs w:val="24"/>
        </w:rPr>
      </w:pPr>
      <w:r w:rsidRPr="00805964">
        <w:rPr>
          <w:rFonts w:cs="Times New Roman"/>
        </w:rPr>
        <w:tab/>
      </w:r>
      <w:r w:rsidR="00E71CB7" w:rsidRPr="00805964">
        <w:rPr>
          <w:rFonts w:cs="Times New Roman"/>
        </w:rPr>
        <w:t xml:space="preserve">V podkapitole zaměřené na </w:t>
      </w:r>
      <w:proofErr w:type="spellStart"/>
      <w:r w:rsidR="00E71CB7" w:rsidRPr="00805964">
        <w:rPr>
          <w:rFonts w:cs="Times New Roman"/>
        </w:rPr>
        <w:t>bikameralismus</w:t>
      </w:r>
      <w:proofErr w:type="spellEnd"/>
      <w:r w:rsidR="00E71CB7" w:rsidRPr="00805964">
        <w:rPr>
          <w:rFonts w:cs="Times New Roman"/>
        </w:rPr>
        <w:t xml:space="preserve"> v unitárních státech jsme se podívali na rozdělení druhých komor dle typu reprezentace či role, kterou v politických systémech hrají. V zásadě jsou takto rozlišovány tři typy druhých komor. </w:t>
      </w:r>
      <w:r w:rsidR="00E71CB7" w:rsidRPr="00805964">
        <w:rPr>
          <w:rFonts w:cs="Times New Roman"/>
          <w:szCs w:val="24"/>
        </w:rPr>
        <w:t>Komory s územně-reprezentační funkcí, komory zastupující menšiny či určité skupiny obyvatelstva a komory</w:t>
      </w:r>
      <w:r w:rsidR="00C96E7C">
        <w:rPr>
          <w:rFonts w:cs="Times New Roman"/>
          <w:szCs w:val="24"/>
        </w:rPr>
        <w:t>, jejichž</w:t>
      </w:r>
      <w:r w:rsidR="00E71CB7" w:rsidRPr="00805964">
        <w:rPr>
          <w:rFonts w:cs="Times New Roman"/>
          <w:szCs w:val="24"/>
        </w:rPr>
        <w:t xml:space="preserve"> funkce spočívá v revizi přijímané legislativy. Předposlední část prvn</w:t>
      </w:r>
      <w:r w:rsidR="00DC2678">
        <w:rPr>
          <w:rFonts w:cs="Times New Roman"/>
          <w:szCs w:val="24"/>
        </w:rPr>
        <w:t>í kapitoly byla určena historii a </w:t>
      </w:r>
      <w:r w:rsidR="00E71CB7" w:rsidRPr="00805964">
        <w:rPr>
          <w:rFonts w:cs="Times New Roman"/>
          <w:szCs w:val="24"/>
        </w:rPr>
        <w:t>zakotvení dvoukomorových parlamentů n</w:t>
      </w:r>
      <w:r w:rsidRPr="00805964">
        <w:rPr>
          <w:rFonts w:cs="Times New Roman"/>
          <w:szCs w:val="24"/>
        </w:rPr>
        <w:t>a území dnešní České republiky. I přesto, že mají druhé komory parlamentů v českých zemích jistou historii, je otázkou</w:t>
      </w:r>
      <w:r w:rsidR="00C96E7C">
        <w:rPr>
          <w:rFonts w:cs="Times New Roman"/>
          <w:szCs w:val="24"/>
        </w:rPr>
        <w:t>,</w:t>
      </w:r>
      <w:r w:rsidRPr="00805964">
        <w:rPr>
          <w:rFonts w:cs="Times New Roman"/>
          <w:szCs w:val="24"/>
        </w:rPr>
        <w:t xml:space="preserve"> do jaké míry bylo správné inspirovat se při vytváření Ústavy z roku 1992 právě touto historickou zkušeností.</w:t>
      </w:r>
    </w:p>
    <w:p w:rsidR="00A52641" w:rsidRPr="00805964" w:rsidRDefault="00A52641" w:rsidP="00A52641">
      <w:pPr>
        <w:autoSpaceDE w:val="0"/>
        <w:autoSpaceDN w:val="0"/>
        <w:adjustRightInd w:val="0"/>
        <w:spacing w:after="0" w:line="360" w:lineRule="auto"/>
        <w:jc w:val="both"/>
        <w:rPr>
          <w:rFonts w:cs="Times New Roman"/>
          <w:szCs w:val="24"/>
        </w:rPr>
      </w:pPr>
      <w:r w:rsidRPr="00805964">
        <w:rPr>
          <w:rFonts w:cs="Times New Roman"/>
          <w:szCs w:val="24"/>
        </w:rPr>
        <w:tab/>
      </w:r>
      <w:r w:rsidR="00E71CB7" w:rsidRPr="00805964">
        <w:rPr>
          <w:rFonts w:cs="Times New Roman"/>
          <w:szCs w:val="24"/>
        </w:rPr>
        <w:t>V poslední podkapitole teoretické části byla popsána role Senátu</w:t>
      </w:r>
      <w:r w:rsidR="00CF434D" w:rsidRPr="00805964">
        <w:rPr>
          <w:rFonts w:cs="Times New Roman"/>
          <w:szCs w:val="24"/>
        </w:rPr>
        <w:t xml:space="preserve"> v legislativním procesu, která byla následně srovnána s rolí vybraných horních komor v některých dalších unitárních státech Evropy.</w:t>
      </w:r>
      <w:r w:rsidR="001B0B1A" w:rsidRPr="00805964">
        <w:rPr>
          <w:rFonts w:cs="Times New Roman"/>
          <w:szCs w:val="24"/>
        </w:rPr>
        <w:t xml:space="preserve"> Český Senát v této komparaci pravomocí oproti svým starším protějškům příliš neobstál a z hlediska míry pravomocí v legislativním procesu je považován za komoru slabou.</w:t>
      </w:r>
      <w:r w:rsidRPr="00805964">
        <w:rPr>
          <w:rFonts w:cs="Times New Roman"/>
          <w:szCs w:val="24"/>
        </w:rPr>
        <w:t xml:space="preserve"> Senát České republiky je konstruován jako komora revizní, avšak bez výrazných pravomocí, které by tuto úlohu dostatečně obhájily.</w:t>
      </w:r>
    </w:p>
    <w:p w:rsidR="00E06FDA" w:rsidRPr="00805964" w:rsidRDefault="00503F1C" w:rsidP="00E06FDA">
      <w:pPr>
        <w:autoSpaceDE w:val="0"/>
        <w:autoSpaceDN w:val="0"/>
        <w:adjustRightInd w:val="0"/>
        <w:spacing w:after="0" w:line="360" w:lineRule="auto"/>
        <w:jc w:val="both"/>
        <w:rPr>
          <w:rFonts w:cs="Times New Roman"/>
          <w:szCs w:val="24"/>
        </w:rPr>
      </w:pPr>
      <w:r w:rsidRPr="00805964">
        <w:rPr>
          <w:rFonts w:cs="Times New Roman"/>
          <w:szCs w:val="24"/>
        </w:rPr>
        <w:tab/>
      </w:r>
      <w:r w:rsidR="00D972E2" w:rsidRPr="00805964">
        <w:rPr>
          <w:rFonts w:cs="Times New Roman"/>
          <w:szCs w:val="24"/>
        </w:rPr>
        <w:t xml:space="preserve">Teoretické uchopení tématu bylo ve druhé kapitole nahrazeno definováním aplikované metody analýzy. </w:t>
      </w:r>
      <w:r w:rsidR="00E06FDA" w:rsidRPr="00805964">
        <w:rPr>
          <w:rFonts w:cs="Times New Roman"/>
          <w:szCs w:val="24"/>
        </w:rPr>
        <w:t xml:space="preserve">Cílem této práce bylo samozřejmě poskytnout co nejobjektivnější zhodnocení efektivnosti legislativní činnosti Senátu. </w:t>
      </w:r>
      <w:r w:rsidR="00D972E2" w:rsidRPr="00805964">
        <w:rPr>
          <w:rFonts w:cs="Times New Roman"/>
          <w:szCs w:val="24"/>
        </w:rPr>
        <w:t>Navrženy</w:t>
      </w:r>
      <w:r w:rsidR="00E06FDA" w:rsidRPr="00805964">
        <w:rPr>
          <w:rFonts w:cs="Times New Roman"/>
          <w:szCs w:val="24"/>
        </w:rPr>
        <w:t xml:space="preserve"> proto </w:t>
      </w:r>
      <w:r w:rsidR="00D972E2" w:rsidRPr="00805964">
        <w:rPr>
          <w:rFonts w:cs="Times New Roman"/>
          <w:szCs w:val="24"/>
        </w:rPr>
        <w:t xml:space="preserve">byly </w:t>
      </w:r>
      <w:r w:rsidR="00E06FDA" w:rsidRPr="00805964">
        <w:rPr>
          <w:rFonts w:cs="Times New Roman"/>
          <w:szCs w:val="24"/>
        </w:rPr>
        <w:t xml:space="preserve">čtyři varianty výpočtu efektivity, pomocí nichž bylo analyzováno šest funkčních období od roku 2000 do roku 2012. Důvodem pro vytváření vlastního metodologického rámce byla neexistence vhodné metodologie měření, která by byla již někdy využita autory zabývajícími se </w:t>
      </w:r>
      <w:r w:rsidR="00E06FDA" w:rsidRPr="00805964">
        <w:rPr>
          <w:rFonts w:cs="Times New Roman"/>
          <w:szCs w:val="24"/>
        </w:rPr>
        <w:lastRenderedPageBreak/>
        <w:t xml:space="preserve">institucemi a jejich činností. Abychom zamezili zkreslení analýzy zvolením metody, která se chová nestandardně pro nějaké vybrané období, rozhodli jsme se použít čtyři kritéria </w:t>
      </w:r>
      <w:r w:rsidR="0037701D" w:rsidRPr="00805964">
        <w:rPr>
          <w:rFonts w:cs="Times New Roman"/>
          <w:szCs w:val="24"/>
        </w:rPr>
        <w:br/>
      </w:r>
      <w:r w:rsidR="00E06FDA" w:rsidRPr="00805964">
        <w:rPr>
          <w:rFonts w:cs="Times New Roman"/>
          <w:szCs w:val="24"/>
        </w:rPr>
        <w:t xml:space="preserve">s různými pohledy na problematiku efektivity. </w:t>
      </w:r>
    </w:p>
    <w:p w:rsidR="00004981" w:rsidRPr="00805964" w:rsidRDefault="004665C6" w:rsidP="00004981">
      <w:pPr>
        <w:autoSpaceDE w:val="0"/>
        <w:autoSpaceDN w:val="0"/>
        <w:adjustRightInd w:val="0"/>
        <w:spacing w:after="0" w:line="360" w:lineRule="auto"/>
        <w:jc w:val="both"/>
        <w:rPr>
          <w:rFonts w:cs="Times New Roman"/>
          <w:szCs w:val="24"/>
        </w:rPr>
      </w:pPr>
      <w:r w:rsidRPr="00805964">
        <w:rPr>
          <w:rFonts w:cs="Times New Roman"/>
          <w:szCs w:val="24"/>
        </w:rPr>
        <w:tab/>
      </w:r>
      <w:r w:rsidR="002F03CF" w:rsidRPr="00805964">
        <w:rPr>
          <w:rFonts w:cs="Times New Roman"/>
          <w:szCs w:val="24"/>
        </w:rPr>
        <w:t xml:space="preserve">V poslední části práce jsme poté aplikovali představenou metodu měření na vybraná období. Pro analýzu bylo původně vybráno jedno období stejných většin v obou komorách Parlamentu a jedno období většin rozdílných. Konkrétně se jednalo o šesté a osmé funkční období Senátu. U každého období byly naměřeny hodnoty na základě všech čtyř představených variant či kritérií měření. V rámci první varianty byla zkoumána efektivita Senátu za funkční </w:t>
      </w:r>
      <w:r w:rsidR="00B15637" w:rsidRPr="00805964">
        <w:rPr>
          <w:rFonts w:cs="Times New Roman"/>
          <w:szCs w:val="24"/>
        </w:rPr>
        <w:t>období a hodnota skóre nezávisela</w:t>
      </w:r>
      <w:r w:rsidR="002F03CF" w:rsidRPr="00805964">
        <w:rPr>
          <w:rFonts w:cs="Times New Roman"/>
          <w:szCs w:val="24"/>
        </w:rPr>
        <w:t xml:space="preserve"> jen na efektivitě Senátu, ale také na množství projednávaných zákonů</w:t>
      </w:r>
      <w:r w:rsidRPr="00805964">
        <w:rPr>
          <w:rFonts w:cs="Times New Roman"/>
          <w:szCs w:val="24"/>
        </w:rPr>
        <w:t>. Efektivita Senátu byla tedy závislá na činnosti Poslanecké sněmovny.</w:t>
      </w:r>
      <w:r w:rsidR="002F03CF" w:rsidRPr="00805964">
        <w:rPr>
          <w:rFonts w:cs="Times New Roman"/>
          <w:szCs w:val="24"/>
        </w:rPr>
        <w:t xml:space="preserve"> </w:t>
      </w:r>
      <w:r w:rsidRPr="00805964">
        <w:rPr>
          <w:rFonts w:cs="Times New Roman"/>
          <w:szCs w:val="24"/>
        </w:rPr>
        <w:t xml:space="preserve">K odstranění vlivu Poslanecké sněmovny na skóre efektivity bylo využito druhé kritérium, které vyjadřovalo, jak se Senát prosazuje nezávisle na množství zákonů. Poslední dvě varianty sledovaly efektivitu Senátu, pokud se rozhodl využít svých pravomocí </w:t>
      </w:r>
      <w:r w:rsidR="0037701D" w:rsidRPr="00805964">
        <w:rPr>
          <w:rFonts w:cs="Times New Roman"/>
          <w:szCs w:val="24"/>
        </w:rPr>
        <w:br/>
      </w:r>
      <w:r w:rsidR="00C96E7C">
        <w:rPr>
          <w:rFonts w:cs="Times New Roman"/>
          <w:szCs w:val="24"/>
        </w:rPr>
        <w:t>a připomínkovat</w:t>
      </w:r>
      <w:r w:rsidRPr="00805964">
        <w:rPr>
          <w:rFonts w:cs="Times New Roman"/>
          <w:szCs w:val="24"/>
        </w:rPr>
        <w:t xml:space="preserve"> či zamítnout návrh zákona. Kritéria byla nastavena tak, aby efektivita přímo nesouvisela s činností Poslanecké sněmovny. Poté</w:t>
      </w:r>
      <w:r w:rsidR="00C96E7C">
        <w:rPr>
          <w:rFonts w:cs="Times New Roman"/>
          <w:szCs w:val="24"/>
        </w:rPr>
        <w:t>,</w:t>
      </w:r>
      <w:r w:rsidRPr="00805964">
        <w:rPr>
          <w:rFonts w:cs="Times New Roman"/>
          <w:szCs w:val="24"/>
        </w:rPr>
        <w:t xml:space="preserve"> co byly změřeny všechny hodnoty u těchto dvou období, bylo to stejné učiněno i s dalšími čtyřmi obdobími, </w:t>
      </w:r>
      <w:r w:rsidR="00004981" w:rsidRPr="00805964">
        <w:rPr>
          <w:rFonts w:cs="Times New Roman"/>
          <w:szCs w:val="24"/>
        </w:rPr>
        <w:t xml:space="preserve">čímž jsme měli dosáhnout objektivnějších výsledků analýzy. Cílem bylo zjistit, jaká je efektivita Senátu v rámci různých období, a zda má složení komor Parlamentu vliv na efektivitu Senátu. </w:t>
      </w:r>
    </w:p>
    <w:p w:rsidR="009C1C0E" w:rsidRPr="00805964" w:rsidRDefault="00004981" w:rsidP="009A525F">
      <w:pPr>
        <w:autoSpaceDE w:val="0"/>
        <w:autoSpaceDN w:val="0"/>
        <w:adjustRightInd w:val="0"/>
        <w:spacing w:after="0" w:line="360" w:lineRule="auto"/>
        <w:jc w:val="both"/>
        <w:rPr>
          <w:rFonts w:cs="Times New Roman"/>
          <w:szCs w:val="24"/>
        </w:rPr>
      </w:pPr>
      <w:r w:rsidRPr="00805964">
        <w:rPr>
          <w:rFonts w:cs="Times New Roman"/>
          <w:szCs w:val="24"/>
        </w:rPr>
        <w:tab/>
        <w:t>Měření ukázala, že podle prvních dvou kritérií byly efektivity v námi analyzovaných obdobích relativně podobné efektivitám v dalších funkčních obdobích Senátu, zatímco dle třetího a čtvrtého kritéria se efektivity očekávaným rozmezím či rozsahům vymykaly. Protože z původních výsledků nebylo možné nic bližšího usuzovat</w:t>
      </w:r>
      <w:r w:rsidR="00C96E7C">
        <w:rPr>
          <w:rFonts w:cs="Times New Roman"/>
          <w:szCs w:val="24"/>
        </w:rPr>
        <w:t>,</w:t>
      </w:r>
      <w:r w:rsidRPr="00805964">
        <w:rPr>
          <w:rFonts w:cs="Times New Roman"/>
          <w:szCs w:val="24"/>
        </w:rPr>
        <w:t xml:space="preserve"> přistoupil jsem k další analýze</w:t>
      </w:r>
      <w:r w:rsidR="00C96E7C">
        <w:rPr>
          <w:rFonts w:cs="Times New Roman"/>
          <w:szCs w:val="24"/>
        </w:rPr>
        <w:t>.</w:t>
      </w:r>
      <w:r w:rsidRPr="00805964">
        <w:rPr>
          <w:rFonts w:cs="Times New Roman"/>
          <w:szCs w:val="24"/>
        </w:rPr>
        <w:t xml:space="preserve"> </w:t>
      </w:r>
      <w:r w:rsidR="0037701D" w:rsidRPr="00805964">
        <w:rPr>
          <w:rFonts w:cs="Times New Roman"/>
          <w:szCs w:val="24"/>
        </w:rPr>
        <w:br/>
      </w:r>
      <w:r w:rsidR="00C96E7C">
        <w:rPr>
          <w:rFonts w:cs="Times New Roman"/>
          <w:szCs w:val="24"/>
        </w:rPr>
        <w:t>R</w:t>
      </w:r>
      <w:r w:rsidRPr="00805964">
        <w:rPr>
          <w:rFonts w:cs="Times New Roman"/>
          <w:szCs w:val="24"/>
        </w:rPr>
        <w:t xml:space="preserve">ozdělil jsem </w:t>
      </w:r>
      <w:r w:rsidR="00C96E7C">
        <w:rPr>
          <w:rFonts w:cs="Times New Roman"/>
          <w:szCs w:val="24"/>
        </w:rPr>
        <w:t>všechna období podle většin</w:t>
      </w:r>
      <w:r w:rsidRPr="00805964">
        <w:rPr>
          <w:rFonts w:cs="Times New Roman"/>
          <w:szCs w:val="24"/>
        </w:rPr>
        <w:t xml:space="preserve"> a pro každý typ většin jsem na základě stejných principů udělal vlastní analýz</w:t>
      </w:r>
      <w:r w:rsidR="00827A7A" w:rsidRPr="00805964">
        <w:rPr>
          <w:rFonts w:cs="Times New Roman"/>
          <w:szCs w:val="24"/>
        </w:rPr>
        <w:t xml:space="preserve">u. </w:t>
      </w:r>
    </w:p>
    <w:p w:rsidR="00683E3E" w:rsidRPr="00805964" w:rsidRDefault="009C1C0E" w:rsidP="009A525F">
      <w:pPr>
        <w:autoSpaceDE w:val="0"/>
        <w:autoSpaceDN w:val="0"/>
        <w:adjustRightInd w:val="0"/>
        <w:spacing w:after="0" w:line="360" w:lineRule="auto"/>
        <w:jc w:val="both"/>
        <w:rPr>
          <w:rFonts w:cs="Times New Roman"/>
          <w:szCs w:val="24"/>
        </w:rPr>
      </w:pPr>
      <w:r w:rsidRPr="00805964">
        <w:rPr>
          <w:rFonts w:cs="Times New Roman"/>
          <w:szCs w:val="24"/>
        </w:rPr>
        <w:tab/>
      </w:r>
      <w:r w:rsidR="00827A7A" w:rsidRPr="00805964">
        <w:rPr>
          <w:rFonts w:cs="Times New Roman"/>
          <w:szCs w:val="24"/>
        </w:rPr>
        <w:t xml:space="preserve">Tato dodatečná analýza </w:t>
      </w:r>
      <w:r w:rsidR="00757B40" w:rsidRPr="00805964">
        <w:rPr>
          <w:rFonts w:cs="Times New Roman"/>
          <w:szCs w:val="24"/>
        </w:rPr>
        <w:t>přinesla několik zajímavých odpovědí.</w:t>
      </w:r>
      <w:r w:rsidR="00B15637" w:rsidRPr="00805964">
        <w:rPr>
          <w:rFonts w:cs="Times New Roman"/>
          <w:szCs w:val="24"/>
        </w:rPr>
        <w:t xml:space="preserve"> Zjistil jsem, že efektivita Senátu není ovlivněna množstvím projednávané legislativy a závisí především na Senátu, zda považuje předloženou legislativu za kvalitní.</w:t>
      </w:r>
      <w:r w:rsidR="009A525F" w:rsidRPr="00805964">
        <w:rPr>
          <w:rFonts w:cs="Times New Roman"/>
          <w:szCs w:val="24"/>
        </w:rPr>
        <w:t xml:space="preserve"> Analýzou výstupu </w:t>
      </w:r>
      <w:r w:rsidR="00AA7D63" w:rsidRPr="00805964">
        <w:rPr>
          <w:rFonts w:cs="Times New Roman"/>
          <w:szCs w:val="24"/>
        </w:rPr>
        <w:t xml:space="preserve">prvního </w:t>
      </w:r>
      <w:r w:rsidR="00A437D8">
        <w:rPr>
          <w:rFonts w:cs="Times New Roman"/>
          <w:szCs w:val="24"/>
        </w:rPr>
        <w:br/>
      </w:r>
      <w:r w:rsidR="00AA7D63" w:rsidRPr="00805964">
        <w:rPr>
          <w:rFonts w:cs="Times New Roman"/>
          <w:szCs w:val="24"/>
        </w:rPr>
        <w:t xml:space="preserve">a druhého </w:t>
      </w:r>
      <w:r w:rsidR="009A525F" w:rsidRPr="00805964">
        <w:rPr>
          <w:rFonts w:cs="Times New Roman"/>
          <w:szCs w:val="24"/>
        </w:rPr>
        <w:t>měření jsem dospěl k závěru, že v období stejných většin je efektivita Senátu výrazně nižší než v období rozdílných většin</w:t>
      </w:r>
      <w:r w:rsidR="00AA7D63" w:rsidRPr="00805964">
        <w:rPr>
          <w:rFonts w:cs="Times New Roman"/>
          <w:szCs w:val="24"/>
        </w:rPr>
        <w:t>. Výsledky u třetího a čtvrtého měření dopadly také velmi podobně. Můžeme tedy soudit, že Senát přistupuje k zákonům jednotlivě bez ohledu na typ zákona. Zajímavým výsledkem analýzy bylo, že na základě naměřených hodnot z první</w:t>
      </w:r>
      <w:r w:rsidR="00A437D8">
        <w:rPr>
          <w:rFonts w:cs="Times New Roman"/>
          <w:szCs w:val="24"/>
        </w:rPr>
        <w:t xml:space="preserve"> </w:t>
      </w:r>
      <w:r w:rsidR="00C96E7C">
        <w:rPr>
          <w:rFonts w:cs="Times New Roman"/>
          <w:szCs w:val="24"/>
        </w:rPr>
        <w:t>a druhé varianty</w:t>
      </w:r>
      <w:r w:rsidR="00AA7D63" w:rsidRPr="00805964">
        <w:rPr>
          <w:rFonts w:cs="Times New Roman"/>
          <w:szCs w:val="24"/>
        </w:rPr>
        <w:t xml:space="preserve"> jsme dokázali ohraničit očekávanou efektivitu Senátu v následujících obdobích dle typu </w:t>
      </w:r>
      <w:r w:rsidR="00AD3BD0" w:rsidRPr="00805964">
        <w:rPr>
          <w:rFonts w:cs="Times New Roman"/>
          <w:szCs w:val="24"/>
        </w:rPr>
        <w:t xml:space="preserve">zastoupené </w:t>
      </w:r>
      <w:r w:rsidR="00AA7D63" w:rsidRPr="00805964">
        <w:rPr>
          <w:rFonts w:cs="Times New Roman"/>
          <w:szCs w:val="24"/>
        </w:rPr>
        <w:t>většiny.</w:t>
      </w:r>
      <w:r w:rsidR="00B27681" w:rsidRPr="00805964">
        <w:rPr>
          <w:rFonts w:cs="Times New Roman"/>
          <w:szCs w:val="24"/>
        </w:rPr>
        <w:t xml:space="preserve"> Dle hodnot naměřených podle třetí a čtvrté varianty efektivita na většinách –</w:t>
      </w:r>
      <w:r w:rsidR="0033740C" w:rsidRPr="00805964">
        <w:rPr>
          <w:rFonts w:cs="Times New Roman"/>
          <w:szCs w:val="24"/>
        </w:rPr>
        <w:t xml:space="preserve"> </w:t>
      </w:r>
      <w:r w:rsidR="00B27681" w:rsidRPr="00805964">
        <w:rPr>
          <w:rFonts w:cs="Times New Roman"/>
          <w:szCs w:val="24"/>
        </w:rPr>
        <w:t>tedy na složení komor Parlamentu</w:t>
      </w:r>
      <w:r w:rsidR="00C96E7C">
        <w:rPr>
          <w:rFonts w:cs="Times New Roman"/>
          <w:szCs w:val="24"/>
        </w:rPr>
        <w:t xml:space="preserve"> –</w:t>
      </w:r>
      <w:r w:rsidR="00B27681" w:rsidRPr="00805964">
        <w:rPr>
          <w:rFonts w:cs="Times New Roman"/>
          <w:szCs w:val="24"/>
        </w:rPr>
        <w:t xml:space="preserve"> nezávisí. Lze usuzovat, že Senát </w:t>
      </w:r>
      <w:r w:rsidR="00B27681" w:rsidRPr="00805964">
        <w:rPr>
          <w:rFonts w:cs="Times New Roman"/>
          <w:szCs w:val="24"/>
        </w:rPr>
        <w:lastRenderedPageBreak/>
        <w:t>byl v některých funkčních obdobích silnější či efektivnější, nelze však efektivnost Senátu předpovídat na základě rozložení sil v Senátu a Poslanecké sněmovně.</w:t>
      </w:r>
    </w:p>
    <w:p w:rsidR="00683E3E" w:rsidRPr="00805964" w:rsidRDefault="00E2055F" w:rsidP="00E71CB7">
      <w:pPr>
        <w:spacing w:line="360" w:lineRule="auto"/>
        <w:contextualSpacing/>
        <w:jc w:val="both"/>
        <w:rPr>
          <w:rFonts w:cs="Times New Roman"/>
        </w:rPr>
      </w:pPr>
      <w:r w:rsidRPr="00805964">
        <w:rPr>
          <w:rFonts w:cs="Times New Roman"/>
        </w:rPr>
        <w:tab/>
        <w:t xml:space="preserve">V této práci byly měřeny dvě efektivity. Bodová efektivita měřila počet akcí Senátu </w:t>
      </w:r>
      <w:r w:rsidR="0037701D" w:rsidRPr="00805964">
        <w:rPr>
          <w:rFonts w:cs="Times New Roman"/>
        </w:rPr>
        <w:br/>
      </w:r>
      <w:r w:rsidRPr="00805964">
        <w:rPr>
          <w:rFonts w:cs="Times New Roman"/>
        </w:rPr>
        <w:t>a relativní efektivita zkoumala úspěšnost Senátu při neshodě s Poslaneckou sněmovnou. Bodová efektivita na většinách závisí a při stejných většinách tato efektivita klesá. Můžeme tedy říci, že Senát jakožto revizní komora v období stejných většin ztrácí význam a může být zbytečný. Relativní efektivita ukazuje, že při neshodě Senátu s PS nezávisí tolik na většinách, a je třeba dalšího výzkumu, abychom dokázali říci, kdy je Senát efektivní a kdy méně. Můžeme předpokládat, že tato efektivita závisí na aktuální politické situaci, personálním složení S</w:t>
      </w:r>
      <w:r w:rsidR="00C96E7C">
        <w:rPr>
          <w:rFonts w:cs="Times New Roman"/>
        </w:rPr>
        <w:t xml:space="preserve">enátu </w:t>
      </w:r>
      <w:r w:rsidRPr="00805964">
        <w:rPr>
          <w:rFonts w:cs="Times New Roman"/>
        </w:rPr>
        <w:t>apod.</w:t>
      </w:r>
      <w:r w:rsidR="00D465E7" w:rsidRPr="00805964">
        <w:rPr>
          <w:rFonts w:cs="Times New Roman"/>
        </w:rPr>
        <w:t xml:space="preserve"> </w:t>
      </w:r>
    </w:p>
    <w:p w:rsidR="00683E3E" w:rsidRPr="00805964" w:rsidRDefault="00D465E7" w:rsidP="00E71CB7">
      <w:pPr>
        <w:spacing w:line="360" w:lineRule="auto"/>
        <w:contextualSpacing/>
        <w:jc w:val="both"/>
        <w:rPr>
          <w:rFonts w:cs="Times New Roman"/>
        </w:rPr>
      </w:pPr>
      <w:r w:rsidRPr="00805964">
        <w:rPr>
          <w:rFonts w:cs="Times New Roman"/>
        </w:rPr>
        <w:tab/>
        <w:t xml:space="preserve">V práci se pravdivost stanovené hypotézy: </w:t>
      </w:r>
      <w:r w:rsidRPr="00805964">
        <w:rPr>
          <w:rFonts w:cs="Times New Roman"/>
          <w:i/>
        </w:rPr>
        <w:t>Efektivita Senátu v legislativním procesu je ovlivněna složením obou komor Parlamentu</w:t>
      </w:r>
      <w:r w:rsidRPr="00805964">
        <w:rPr>
          <w:rFonts w:cs="Times New Roman"/>
        </w:rPr>
        <w:t xml:space="preserve"> podařilo prokázat jen u dvou variant měření, kdy se při vzniku stejných většin v obou komorách horní komora opravdu stává méně efektivní.</w:t>
      </w:r>
      <w:r w:rsidR="00AE6175" w:rsidRPr="00805964">
        <w:rPr>
          <w:rFonts w:cs="Times New Roman"/>
        </w:rPr>
        <w:t xml:space="preserve"> </w:t>
      </w:r>
      <w:r w:rsidR="0082380C">
        <w:rPr>
          <w:rFonts w:cs="Times New Roman"/>
        </w:rPr>
        <w:br/>
      </w:r>
      <w:r w:rsidR="00AE6175" w:rsidRPr="00805964">
        <w:rPr>
          <w:rFonts w:cs="Times New Roman"/>
        </w:rPr>
        <w:t>U dalších variant se pravdivost hypotézy nepotvrdila a lze tedy říci, že se pravdivost hypotézy podařilo prokázat jen z části.</w:t>
      </w:r>
      <w:r w:rsidR="00D863FE" w:rsidRPr="00805964">
        <w:rPr>
          <w:rFonts w:cs="Times New Roman"/>
        </w:rPr>
        <w:t xml:space="preserve"> </w:t>
      </w:r>
      <w:r w:rsidR="00962308" w:rsidRPr="00805964">
        <w:rPr>
          <w:rFonts w:cs="Times New Roman"/>
        </w:rPr>
        <w:t xml:space="preserve">Výstupní hodnotou všech měření pak byla odpověď na otázku </w:t>
      </w:r>
      <w:r w:rsidR="00962308" w:rsidRPr="00805964">
        <w:rPr>
          <w:rFonts w:cs="Times New Roman"/>
          <w:i/>
        </w:rPr>
        <w:t>Jaká je efektivita Senátu v legislativním procesu</w:t>
      </w:r>
      <w:r w:rsidR="00962308" w:rsidRPr="00805964">
        <w:rPr>
          <w:rFonts w:cs="Times New Roman"/>
        </w:rPr>
        <w:t xml:space="preserve">. Naměřené hodnoty všech variant představují efektivitu Senátu v různých situacích a obdobích. </w:t>
      </w:r>
      <w:r w:rsidR="00D863FE" w:rsidRPr="00805964">
        <w:rPr>
          <w:rFonts w:cs="Times New Roman"/>
        </w:rPr>
        <w:t xml:space="preserve">V odpovědi na otázku, zda lze Senát považovat za efektivní a nezbytný, lze říci, že v období stejných většin je Senát neefektivní </w:t>
      </w:r>
      <w:r w:rsidR="0037701D" w:rsidRPr="00805964">
        <w:rPr>
          <w:rFonts w:cs="Times New Roman"/>
        </w:rPr>
        <w:br/>
      </w:r>
      <w:r w:rsidR="00D863FE" w:rsidRPr="00805964">
        <w:rPr>
          <w:rFonts w:cs="Times New Roman"/>
        </w:rPr>
        <w:t>a není tak nezbytný, avšak u období většin rozdílných toto bez další analýzy říci nelze.</w:t>
      </w:r>
      <w:r w:rsidR="00BF64E4" w:rsidRPr="00805964">
        <w:rPr>
          <w:rFonts w:cs="Times New Roman"/>
        </w:rPr>
        <w:t xml:space="preserve"> </w:t>
      </w:r>
      <w:r w:rsidR="005E4484" w:rsidRPr="00805964">
        <w:rPr>
          <w:rFonts w:cs="Times New Roman"/>
        </w:rPr>
        <w:t>Výsled</w:t>
      </w:r>
      <w:r w:rsidR="0037701D" w:rsidRPr="00805964">
        <w:rPr>
          <w:rFonts w:cs="Times New Roman"/>
        </w:rPr>
        <w:t>ky</w:t>
      </w:r>
      <w:r w:rsidR="005E4484" w:rsidRPr="00805964">
        <w:rPr>
          <w:rFonts w:cs="Times New Roman"/>
        </w:rPr>
        <w:t xml:space="preserve"> </w:t>
      </w:r>
      <w:r w:rsidR="0037701D" w:rsidRPr="00805964">
        <w:rPr>
          <w:rFonts w:cs="Times New Roman"/>
        </w:rPr>
        <w:t>měření</w:t>
      </w:r>
      <w:r w:rsidR="005E4484" w:rsidRPr="00805964">
        <w:rPr>
          <w:rFonts w:cs="Times New Roman"/>
        </w:rPr>
        <w:t xml:space="preserve"> </w:t>
      </w:r>
      <w:r w:rsidR="0037701D" w:rsidRPr="00805964">
        <w:rPr>
          <w:rFonts w:cs="Times New Roman"/>
        </w:rPr>
        <w:t>nenabyly takových hodnot</w:t>
      </w:r>
      <w:r w:rsidR="007B71BE" w:rsidRPr="00805964">
        <w:rPr>
          <w:rFonts w:cs="Times New Roman"/>
        </w:rPr>
        <w:t>,</w:t>
      </w:r>
      <w:r w:rsidR="005E4484" w:rsidRPr="00805964">
        <w:rPr>
          <w:rFonts w:cs="Times New Roman"/>
        </w:rPr>
        <w:t xml:space="preserve"> </w:t>
      </w:r>
      <w:r w:rsidR="0037701D" w:rsidRPr="00805964">
        <w:rPr>
          <w:rFonts w:cs="Times New Roman"/>
        </w:rPr>
        <w:t>které by umožnily</w:t>
      </w:r>
      <w:r w:rsidR="005E4484" w:rsidRPr="00805964">
        <w:rPr>
          <w:rFonts w:cs="Times New Roman"/>
        </w:rPr>
        <w:t xml:space="preserve"> utvářet </w:t>
      </w:r>
      <w:r w:rsidR="0037701D" w:rsidRPr="00805964">
        <w:rPr>
          <w:rFonts w:cs="Times New Roman"/>
        </w:rPr>
        <w:t xml:space="preserve">jednoznačné </w:t>
      </w:r>
      <w:r w:rsidR="005E4484" w:rsidRPr="00805964">
        <w:rPr>
          <w:rFonts w:cs="Times New Roman"/>
        </w:rPr>
        <w:t>závěry ohledně potřeby dvoukomorového parlamentu v ČR. Další výzkum v této oblasti by se měl soustředit na další analýzy efektivnosti Senátu, abychom mohli jeho roli v ústavním systému České republiky objektivně zhodnotit.</w:t>
      </w:r>
      <w:r w:rsidR="008120E7">
        <w:rPr>
          <w:rFonts w:cs="Times New Roman"/>
        </w:rPr>
        <w:t xml:space="preserve"> Za zvážení stojí </w:t>
      </w:r>
      <w:r w:rsidR="006543C7" w:rsidRPr="00805964">
        <w:rPr>
          <w:rFonts w:cs="Times New Roman"/>
        </w:rPr>
        <w:t>rozšíření pravomocí Se</w:t>
      </w:r>
      <w:r w:rsidR="00C96E7C">
        <w:rPr>
          <w:rFonts w:cs="Times New Roman"/>
        </w:rPr>
        <w:t>nátu či změna volebního systému</w:t>
      </w:r>
      <w:r w:rsidR="006543C7" w:rsidRPr="00805964">
        <w:rPr>
          <w:rFonts w:cs="Times New Roman"/>
        </w:rPr>
        <w:t xml:space="preserve"> do takové podoby, aby nevznikaly stejné většiny v obou komorách. Role revizní komory by </w:t>
      </w:r>
      <w:r w:rsidR="003A2CF3">
        <w:rPr>
          <w:rFonts w:cs="Times New Roman"/>
        </w:rPr>
        <w:t>mohla být doplněna např. územně-</w:t>
      </w:r>
      <w:r w:rsidR="006543C7" w:rsidRPr="00805964">
        <w:rPr>
          <w:rFonts w:cs="Times New Roman"/>
        </w:rPr>
        <w:t xml:space="preserve">reprezentačním prvkem, což by následně mohlo vést ke zvýšení efektivnosti Senátu a </w:t>
      </w:r>
      <w:r w:rsidR="008866B8">
        <w:rPr>
          <w:rFonts w:cs="Times New Roman"/>
        </w:rPr>
        <w:t xml:space="preserve">možnosti utvářet </w:t>
      </w:r>
      <w:r w:rsidR="006543C7" w:rsidRPr="00805964">
        <w:rPr>
          <w:rFonts w:cs="Times New Roman"/>
        </w:rPr>
        <w:t>jed</w:t>
      </w:r>
      <w:r w:rsidR="008866B8">
        <w:rPr>
          <w:rFonts w:cs="Times New Roman"/>
        </w:rPr>
        <w:t>noznačnější závěry</w:t>
      </w:r>
      <w:r w:rsidR="006543C7" w:rsidRPr="00805964">
        <w:rPr>
          <w:rFonts w:cs="Times New Roman"/>
        </w:rPr>
        <w:t xml:space="preserve"> ohledně jeho existence v České republice.</w:t>
      </w:r>
    </w:p>
    <w:p w:rsidR="00683E3E" w:rsidRPr="00805964" w:rsidRDefault="00683E3E" w:rsidP="00E71CB7">
      <w:pPr>
        <w:spacing w:line="360" w:lineRule="auto"/>
        <w:contextualSpacing/>
        <w:jc w:val="both"/>
        <w:rPr>
          <w:rFonts w:cs="Times New Roman"/>
        </w:rPr>
      </w:pPr>
    </w:p>
    <w:p w:rsidR="00683E3E" w:rsidRPr="00805964" w:rsidRDefault="00683E3E" w:rsidP="00E71CB7">
      <w:pPr>
        <w:spacing w:line="360" w:lineRule="auto"/>
        <w:contextualSpacing/>
        <w:jc w:val="both"/>
        <w:rPr>
          <w:rFonts w:cs="Times New Roman"/>
        </w:rPr>
      </w:pPr>
    </w:p>
    <w:p w:rsidR="00683E3E" w:rsidRPr="00805964" w:rsidRDefault="00683E3E" w:rsidP="00E71CB7">
      <w:pPr>
        <w:spacing w:line="360" w:lineRule="auto"/>
        <w:contextualSpacing/>
        <w:jc w:val="both"/>
        <w:rPr>
          <w:rFonts w:cs="Times New Roman"/>
        </w:rPr>
      </w:pPr>
    </w:p>
    <w:p w:rsidR="00683E3E" w:rsidRPr="00805964" w:rsidRDefault="00683E3E" w:rsidP="00E71CB7">
      <w:pPr>
        <w:spacing w:line="360" w:lineRule="auto"/>
        <w:contextualSpacing/>
        <w:jc w:val="both"/>
        <w:rPr>
          <w:rFonts w:cs="Times New Roman"/>
        </w:rPr>
      </w:pPr>
    </w:p>
    <w:p w:rsidR="00683E3E" w:rsidRPr="00805964" w:rsidRDefault="00683E3E" w:rsidP="00E71CB7">
      <w:pPr>
        <w:spacing w:line="360" w:lineRule="auto"/>
        <w:contextualSpacing/>
        <w:jc w:val="both"/>
      </w:pPr>
    </w:p>
    <w:p w:rsidR="009A265E" w:rsidRPr="00805964" w:rsidRDefault="009A265E" w:rsidP="00E71CB7">
      <w:pPr>
        <w:spacing w:line="360" w:lineRule="auto"/>
        <w:contextualSpacing/>
        <w:jc w:val="both"/>
      </w:pPr>
    </w:p>
    <w:p w:rsidR="00683E3E" w:rsidRPr="00805964" w:rsidRDefault="00683E3E" w:rsidP="00A437D8">
      <w:pPr>
        <w:pStyle w:val="Nadpis1"/>
        <w:contextualSpacing/>
      </w:pPr>
      <w:bookmarkStart w:id="35" w:name="_Toc359918301"/>
      <w:r w:rsidRPr="00805964">
        <w:lastRenderedPageBreak/>
        <w:t>PRAMENY A LITERATURA</w:t>
      </w:r>
      <w:bookmarkEnd w:id="35"/>
    </w:p>
    <w:p w:rsidR="00683E3E" w:rsidRPr="00805964" w:rsidRDefault="00683E3E" w:rsidP="00A437D8">
      <w:pPr>
        <w:contextualSpacing/>
      </w:pPr>
    </w:p>
    <w:p w:rsidR="00F12451" w:rsidRPr="00805964" w:rsidRDefault="00F12451" w:rsidP="00A437D8">
      <w:pPr>
        <w:contextualSpacing/>
      </w:pPr>
    </w:p>
    <w:p w:rsidR="00F12451" w:rsidRPr="00805964" w:rsidRDefault="00F12451" w:rsidP="00A437D8">
      <w:pPr>
        <w:contextualSpacing/>
        <w:rPr>
          <w:b/>
          <w:sz w:val="32"/>
          <w:szCs w:val="32"/>
        </w:rPr>
      </w:pPr>
      <w:r w:rsidRPr="00805964">
        <w:rPr>
          <w:b/>
          <w:sz w:val="32"/>
          <w:szCs w:val="32"/>
        </w:rPr>
        <w:t>PRAMENY</w:t>
      </w:r>
    </w:p>
    <w:p w:rsidR="00F12451" w:rsidRPr="00805964" w:rsidRDefault="00F12451" w:rsidP="00A437D8">
      <w:pPr>
        <w:spacing w:line="360" w:lineRule="auto"/>
        <w:contextualSpacing/>
        <w:jc w:val="both"/>
        <w:rPr>
          <w:rFonts w:cs="Times New Roman"/>
          <w:szCs w:val="24"/>
        </w:rPr>
      </w:pPr>
    </w:p>
    <w:p w:rsidR="005B2D05" w:rsidRPr="00805964" w:rsidRDefault="005B2D05" w:rsidP="00A437D8">
      <w:pPr>
        <w:spacing w:line="360" w:lineRule="auto"/>
        <w:contextualSpacing/>
        <w:jc w:val="both"/>
        <w:rPr>
          <w:rFonts w:cs="Times New Roman"/>
          <w:szCs w:val="24"/>
        </w:rPr>
      </w:pPr>
      <w:proofErr w:type="spellStart"/>
      <w:r w:rsidRPr="00805964">
        <w:rPr>
          <w:rFonts w:cs="Times New Roman"/>
          <w:i/>
          <w:szCs w:val="24"/>
        </w:rPr>
        <w:t>Constitution</w:t>
      </w:r>
      <w:proofErr w:type="spellEnd"/>
      <w:r w:rsidRPr="00805964">
        <w:rPr>
          <w:rFonts w:cs="Times New Roman"/>
          <w:i/>
          <w:szCs w:val="24"/>
        </w:rPr>
        <w:t xml:space="preserve"> </w:t>
      </w:r>
      <w:proofErr w:type="spellStart"/>
      <w:r w:rsidRPr="00805964">
        <w:rPr>
          <w:rFonts w:cs="Times New Roman"/>
          <w:i/>
          <w:szCs w:val="24"/>
        </w:rPr>
        <w:t>of</w:t>
      </w:r>
      <w:proofErr w:type="spellEnd"/>
      <w:r w:rsidRPr="00805964">
        <w:rPr>
          <w:rFonts w:cs="Times New Roman"/>
          <w:i/>
          <w:szCs w:val="24"/>
        </w:rPr>
        <w:t xml:space="preserve"> </w:t>
      </w:r>
      <w:proofErr w:type="spellStart"/>
      <w:r w:rsidRPr="00805964">
        <w:rPr>
          <w:rFonts w:cs="Times New Roman"/>
          <w:i/>
          <w:szCs w:val="24"/>
        </w:rPr>
        <w:t>Ireland</w:t>
      </w:r>
      <w:proofErr w:type="spellEnd"/>
      <w:r w:rsidRPr="00805964">
        <w:rPr>
          <w:rFonts w:cs="Times New Roman"/>
          <w:i/>
          <w:szCs w:val="24"/>
        </w:rPr>
        <w:t xml:space="preserve"> </w:t>
      </w:r>
      <w:r w:rsidRPr="00805964">
        <w:rPr>
          <w:rFonts w:cs="Times New Roman"/>
          <w:szCs w:val="24"/>
        </w:rPr>
        <w:t>[online]. taoiseach.gov, 29. prosince</w:t>
      </w:r>
      <w:r w:rsidR="00DC2678">
        <w:rPr>
          <w:rFonts w:cs="Times New Roman"/>
          <w:szCs w:val="24"/>
        </w:rPr>
        <w:t xml:space="preserve"> 1937 [cit. 15. května 2013]. Do</w:t>
      </w:r>
      <w:r w:rsidRPr="00805964">
        <w:rPr>
          <w:rFonts w:cs="Times New Roman"/>
          <w:szCs w:val="24"/>
        </w:rPr>
        <w:t>stupné na</w:t>
      </w:r>
    </w:p>
    <w:p w:rsidR="005B2D05" w:rsidRPr="00805964" w:rsidRDefault="005B2D05" w:rsidP="00A437D8">
      <w:pPr>
        <w:spacing w:line="360" w:lineRule="auto"/>
        <w:contextualSpacing/>
        <w:jc w:val="both"/>
        <w:rPr>
          <w:rFonts w:cs="Times New Roman"/>
          <w:szCs w:val="24"/>
        </w:rPr>
      </w:pPr>
      <w:r w:rsidRPr="00805964">
        <w:rPr>
          <w:rFonts w:cs="Times New Roman"/>
          <w:szCs w:val="24"/>
        </w:rPr>
        <w:t>&lt;</w:t>
      </w:r>
      <w:hyperlink r:id="rId40" w:history="1">
        <w:r w:rsidRPr="00805964">
          <w:rPr>
            <w:rStyle w:val="Hypertextovodkaz"/>
            <w:rFonts w:cs="Times New Roman"/>
            <w:color w:val="auto"/>
            <w:szCs w:val="24"/>
          </w:rPr>
          <w:t>http://www.taoiseach.gov.ie/attached_files/html%20files/Constitution%20of%20Ireland%20(Eng)Nov2004.htm</w:t>
        </w:r>
      </w:hyperlink>
      <w:r w:rsidRPr="00805964">
        <w:rPr>
          <w:rFonts w:cs="Times New Roman"/>
          <w:szCs w:val="24"/>
        </w:rPr>
        <w:t>&gt;.</w:t>
      </w:r>
    </w:p>
    <w:p w:rsidR="005B2D05" w:rsidRPr="00805964" w:rsidRDefault="005B2D05" w:rsidP="00A437D8">
      <w:pPr>
        <w:spacing w:line="360" w:lineRule="auto"/>
        <w:contextualSpacing/>
        <w:jc w:val="both"/>
        <w:rPr>
          <w:rFonts w:cs="Times New Roman"/>
          <w:szCs w:val="24"/>
        </w:rPr>
      </w:pPr>
    </w:p>
    <w:p w:rsidR="005B2D05" w:rsidRPr="00805964" w:rsidRDefault="005B2D05" w:rsidP="00A437D8">
      <w:pPr>
        <w:spacing w:line="360" w:lineRule="auto"/>
        <w:contextualSpacing/>
        <w:jc w:val="both"/>
        <w:rPr>
          <w:rFonts w:cs="Times New Roman"/>
          <w:szCs w:val="24"/>
        </w:rPr>
      </w:pPr>
      <w:proofErr w:type="spellStart"/>
      <w:r w:rsidRPr="00805964">
        <w:rPr>
          <w:rFonts w:cs="Times New Roman"/>
          <w:i/>
          <w:szCs w:val="24"/>
        </w:rPr>
        <w:t>Constitution</w:t>
      </w:r>
      <w:proofErr w:type="spellEnd"/>
      <w:r w:rsidRPr="00805964">
        <w:rPr>
          <w:rFonts w:cs="Times New Roman"/>
          <w:i/>
          <w:szCs w:val="24"/>
        </w:rPr>
        <w:t xml:space="preserve"> </w:t>
      </w:r>
      <w:proofErr w:type="spellStart"/>
      <w:r w:rsidRPr="00805964">
        <w:rPr>
          <w:rFonts w:cs="Times New Roman"/>
          <w:i/>
          <w:szCs w:val="24"/>
        </w:rPr>
        <w:t>of</w:t>
      </w:r>
      <w:proofErr w:type="spellEnd"/>
      <w:r w:rsidRPr="00805964">
        <w:rPr>
          <w:rFonts w:cs="Times New Roman"/>
          <w:i/>
          <w:szCs w:val="24"/>
        </w:rPr>
        <w:t xml:space="preserve"> </w:t>
      </w:r>
      <w:proofErr w:type="spellStart"/>
      <w:r w:rsidRPr="00805964">
        <w:rPr>
          <w:rFonts w:cs="Times New Roman"/>
          <w:i/>
          <w:szCs w:val="24"/>
        </w:rPr>
        <w:t>the</w:t>
      </w:r>
      <w:proofErr w:type="spellEnd"/>
      <w:r w:rsidRPr="00805964">
        <w:rPr>
          <w:rFonts w:cs="Times New Roman"/>
          <w:i/>
          <w:szCs w:val="24"/>
        </w:rPr>
        <w:t xml:space="preserve"> </w:t>
      </w:r>
      <w:proofErr w:type="spellStart"/>
      <w:r w:rsidRPr="00805964">
        <w:rPr>
          <w:rFonts w:cs="Times New Roman"/>
          <w:i/>
          <w:szCs w:val="24"/>
        </w:rPr>
        <w:t>Italian</w:t>
      </w:r>
      <w:proofErr w:type="spellEnd"/>
      <w:r w:rsidRPr="00805964">
        <w:rPr>
          <w:rFonts w:cs="Times New Roman"/>
          <w:i/>
          <w:szCs w:val="24"/>
        </w:rPr>
        <w:t xml:space="preserve"> </w:t>
      </w:r>
      <w:proofErr w:type="spellStart"/>
      <w:r w:rsidRPr="00805964">
        <w:rPr>
          <w:rFonts w:cs="Times New Roman"/>
          <w:i/>
          <w:szCs w:val="24"/>
        </w:rPr>
        <w:t>Republic</w:t>
      </w:r>
      <w:proofErr w:type="spellEnd"/>
      <w:r w:rsidRPr="00805964">
        <w:rPr>
          <w:rFonts w:cs="Times New Roman"/>
          <w:i/>
          <w:szCs w:val="24"/>
        </w:rPr>
        <w:t xml:space="preserve"> </w:t>
      </w:r>
      <w:r w:rsidRPr="00805964">
        <w:rPr>
          <w:rFonts w:cs="Times New Roman"/>
          <w:szCs w:val="24"/>
        </w:rPr>
        <w:t xml:space="preserve">[online]. </w:t>
      </w:r>
      <w:proofErr w:type="spellStart"/>
      <w:r w:rsidRPr="00805964">
        <w:rPr>
          <w:rFonts w:cs="Times New Roman"/>
          <w:szCs w:val="24"/>
        </w:rPr>
        <w:t>senato.it</w:t>
      </w:r>
      <w:proofErr w:type="spellEnd"/>
      <w:r w:rsidRPr="00805964">
        <w:rPr>
          <w:rFonts w:cs="Times New Roman"/>
          <w:szCs w:val="24"/>
        </w:rPr>
        <w:t xml:space="preserve">,  1. ledna 1948 [cit. 15. května 2013]. Dostupné na </w:t>
      </w:r>
    </w:p>
    <w:p w:rsidR="005B2D05" w:rsidRPr="00805964" w:rsidRDefault="005B2D05" w:rsidP="00A437D8">
      <w:pPr>
        <w:spacing w:line="360" w:lineRule="auto"/>
        <w:contextualSpacing/>
        <w:jc w:val="both"/>
        <w:rPr>
          <w:rFonts w:cs="Times New Roman"/>
          <w:szCs w:val="24"/>
        </w:rPr>
      </w:pPr>
      <w:r w:rsidRPr="00805964">
        <w:rPr>
          <w:rFonts w:cs="Times New Roman"/>
          <w:szCs w:val="24"/>
        </w:rPr>
        <w:t>&lt;</w:t>
      </w:r>
      <w:hyperlink r:id="rId41" w:history="1">
        <w:r w:rsidRPr="00805964">
          <w:rPr>
            <w:rStyle w:val="Hypertextovodkaz"/>
            <w:rFonts w:cs="Times New Roman"/>
            <w:color w:val="auto"/>
            <w:szCs w:val="24"/>
          </w:rPr>
          <w:t>http://www.senato.it/documenti/repository/istituzione/costituzione_inglese.pdf</w:t>
        </w:r>
      </w:hyperlink>
      <w:r w:rsidRPr="00805964">
        <w:rPr>
          <w:rFonts w:cs="Times New Roman"/>
          <w:szCs w:val="24"/>
        </w:rPr>
        <w:t>&gt;.</w:t>
      </w:r>
    </w:p>
    <w:p w:rsidR="005B2D05" w:rsidRPr="00805964" w:rsidRDefault="005B2D05" w:rsidP="00A437D8">
      <w:pPr>
        <w:spacing w:line="360" w:lineRule="auto"/>
        <w:contextualSpacing/>
        <w:jc w:val="both"/>
        <w:rPr>
          <w:rFonts w:cs="Times New Roman"/>
          <w:szCs w:val="24"/>
        </w:rPr>
      </w:pPr>
    </w:p>
    <w:p w:rsidR="005B2D05" w:rsidRPr="00805964" w:rsidRDefault="005B2D05" w:rsidP="00A437D8">
      <w:pPr>
        <w:spacing w:line="360" w:lineRule="auto"/>
        <w:contextualSpacing/>
        <w:jc w:val="both"/>
        <w:rPr>
          <w:rFonts w:cs="Times New Roman"/>
          <w:szCs w:val="24"/>
        </w:rPr>
      </w:pPr>
      <w:proofErr w:type="spellStart"/>
      <w:r w:rsidRPr="00805964">
        <w:rPr>
          <w:rFonts w:cs="Times New Roman"/>
          <w:i/>
          <w:szCs w:val="24"/>
        </w:rPr>
        <w:t>Constitution</w:t>
      </w:r>
      <w:proofErr w:type="spellEnd"/>
      <w:r w:rsidRPr="00805964">
        <w:rPr>
          <w:rFonts w:cs="Times New Roman"/>
          <w:i/>
          <w:szCs w:val="24"/>
        </w:rPr>
        <w:t xml:space="preserve"> </w:t>
      </w:r>
      <w:proofErr w:type="spellStart"/>
      <w:r w:rsidRPr="00805964">
        <w:rPr>
          <w:rFonts w:cs="Times New Roman"/>
          <w:i/>
          <w:szCs w:val="24"/>
        </w:rPr>
        <w:t>of</w:t>
      </w:r>
      <w:proofErr w:type="spellEnd"/>
      <w:r w:rsidRPr="00805964">
        <w:rPr>
          <w:rFonts w:cs="Times New Roman"/>
          <w:i/>
          <w:szCs w:val="24"/>
        </w:rPr>
        <w:t xml:space="preserve"> </w:t>
      </w:r>
      <w:proofErr w:type="spellStart"/>
      <w:r w:rsidRPr="00805964">
        <w:rPr>
          <w:rFonts w:cs="Times New Roman"/>
          <w:i/>
          <w:szCs w:val="24"/>
        </w:rPr>
        <w:t>October</w:t>
      </w:r>
      <w:proofErr w:type="spellEnd"/>
      <w:r w:rsidRPr="00805964">
        <w:rPr>
          <w:rFonts w:cs="Times New Roman"/>
          <w:i/>
          <w:szCs w:val="24"/>
        </w:rPr>
        <w:t xml:space="preserve"> 4, 1958 </w:t>
      </w:r>
      <w:r w:rsidRPr="00805964">
        <w:rPr>
          <w:rFonts w:cs="Times New Roman"/>
          <w:szCs w:val="24"/>
        </w:rPr>
        <w:t xml:space="preserve">[online]. </w:t>
      </w:r>
      <w:proofErr w:type="spellStart"/>
      <w:r w:rsidRPr="00805964">
        <w:rPr>
          <w:rFonts w:cs="Times New Roman"/>
          <w:szCs w:val="24"/>
        </w:rPr>
        <w:t>assemblee</w:t>
      </w:r>
      <w:proofErr w:type="spellEnd"/>
      <w:r w:rsidRPr="00805964">
        <w:rPr>
          <w:rFonts w:cs="Times New Roman"/>
          <w:szCs w:val="24"/>
        </w:rPr>
        <w:t xml:space="preserve">-nationale.fr,  4. října 1958 </w:t>
      </w:r>
      <w:r w:rsidRPr="00805964">
        <w:rPr>
          <w:rFonts w:cs="Times New Roman"/>
          <w:szCs w:val="24"/>
        </w:rPr>
        <w:br/>
        <w:t xml:space="preserve">[cit. 15. května 2013]. Dostupné na &lt; </w:t>
      </w:r>
      <w:hyperlink r:id="rId42" w:history="1">
        <w:r w:rsidRPr="00805964">
          <w:rPr>
            <w:rStyle w:val="Hypertextovodkaz"/>
            <w:rFonts w:cs="Times New Roman"/>
            <w:color w:val="auto"/>
            <w:szCs w:val="24"/>
          </w:rPr>
          <w:t>http://www.assemblee-nationale.fr/english/</w:t>
        </w:r>
      </w:hyperlink>
      <w:r w:rsidRPr="00805964">
        <w:rPr>
          <w:rFonts w:cs="Times New Roman"/>
          <w:szCs w:val="24"/>
        </w:rPr>
        <w:t>&gt;.</w:t>
      </w:r>
    </w:p>
    <w:p w:rsidR="001C5370" w:rsidRPr="00805964" w:rsidRDefault="001C5370" w:rsidP="00A437D8">
      <w:pPr>
        <w:spacing w:line="360" w:lineRule="auto"/>
        <w:contextualSpacing/>
        <w:jc w:val="both"/>
        <w:rPr>
          <w:rFonts w:cs="Times New Roman"/>
          <w:szCs w:val="24"/>
        </w:rPr>
      </w:pPr>
    </w:p>
    <w:p w:rsidR="001C5370" w:rsidRPr="00805964" w:rsidRDefault="001C5370" w:rsidP="00A437D8">
      <w:pPr>
        <w:spacing w:line="360" w:lineRule="auto"/>
        <w:contextualSpacing/>
        <w:jc w:val="both"/>
        <w:rPr>
          <w:rFonts w:cs="Times New Roman"/>
          <w:szCs w:val="24"/>
        </w:rPr>
      </w:pPr>
      <w:r w:rsidRPr="00805964">
        <w:rPr>
          <w:rFonts w:cs="Times New Roman"/>
          <w:i/>
          <w:szCs w:val="24"/>
        </w:rPr>
        <w:t>Legislativní proces v Poslanecké sněmovně</w:t>
      </w:r>
      <w:r w:rsidRPr="00805964">
        <w:rPr>
          <w:rFonts w:cs="Times New Roman"/>
          <w:szCs w:val="24"/>
        </w:rPr>
        <w:t xml:space="preserve"> [online]. [cit. 15. května 2013]. Dostupné na &lt;</w:t>
      </w:r>
      <w:hyperlink r:id="rId43" w:history="1">
        <w:r w:rsidRPr="00805964">
          <w:rPr>
            <w:rStyle w:val="Hypertextovodkaz"/>
            <w:rFonts w:cs="Times New Roman"/>
            <w:color w:val="auto"/>
            <w:szCs w:val="24"/>
          </w:rPr>
          <w:t>http://www.psp.cz/sqw/hp.sqw?k=173</w:t>
        </w:r>
      </w:hyperlink>
      <w:r w:rsidRPr="00805964">
        <w:rPr>
          <w:rFonts w:cs="Times New Roman"/>
          <w:szCs w:val="24"/>
        </w:rPr>
        <w:t>&gt;.</w:t>
      </w:r>
    </w:p>
    <w:p w:rsidR="005B2D05" w:rsidRPr="00805964" w:rsidRDefault="005B2D05" w:rsidP="00A437D8">
      <w:pPr>
        <w:spacing w:line="360" w:lineRule="auto"/>
        <w:contextualSpacing/>
        <w:jc w:val="both"/>
        <w:rPr>
          <w:rFonts w:cs="Times New Roman"/>
          <w:szCs w:val="24"/>
        </w:rPr>
      </w:pPr>
    </w:p>
    <w:p w:rsidR="005B2D05" w:rsidRPr="00805964" w:rsidRDefault="005B2D05" w:rsidP="00A437D8">
      <w:pPr>
        <w:spacing w:line="360" w:lineRule="auto"/>
        <w:contextualSpacing/>
        <w:jc w:val="both"/>
        <w:rPr>
          <w:rFonts w:cs="Times New Roman"/>
          <w:szCs w:val="24"/>
        </w:rPr>
      </w:pPr>
      <w:proofErr w:type="spellStart"/>
      <w:r w:rsidRPr="00805964">
        <w:rPr>
          <w:rFonts w:cs="Times New Roman"/>
          <w:i/>
          <w:szCs w:val="24"/>
        </w:rPr>
        <w:t>Netherlands</w:t>
      </w:r>
      <w:proofErr w:type="spellEnd"/>
      <w:r w:rsidRPr="00805964">
        <w:rPr>
          <w:rFonts w:cs="Times New Roman"/>
          <w:i/>
          <w:szCs w:val="24"/>
        </w:rPr>
        <w:t xml:space="preserve"> – </w:t>
      </w:r>
      <w:proofErr w:type="spellStart"/>
      <w:r w:rsidRPr="00805964">
        <w:rPr>
          <w:rFonts w:cs="Times New Roman"/>
          <w:i/>
          <w:szCs w:val="24"/>
        </w:rPr>
        <w:t>Constitution</w:t>
      </w:r>
      <w:proofErr w:type="spellEnd"/>
      <w:r w:rsidRPr="00805964">
        <w:rPr>
          <w:rFonts w:cs="Times New Roman"/>
          <w:i/>
          <w:szCs w:val="24"/>
        </w:rPr>
        <w:t xml:space="preserve"> </w:t>
      </w:r>
      <w:r w:rsidRPr="00805964">
        <w:rPr>
          <w:rFonts w:cs="Times New Roman"/>
          <w:szCs w:val="24"/>
        </w:rPr>
        <w:t>[online]. servat.unibe.ch,  17. února 1983[cit. 15. května 2013]. Dostupné na &lt;</w:t>
      </w:r>
      <w:hyperlink r:id="rId44" w:history="1">
        <w:r w:rsidRPr="00805964">
          <w:rPr>
            <w:rStyle w:val="Hypertextovodkaz"/>
            <w:rFonts w:cs="Times New Roman"/>
            <w:color w:val="auto"/>
            <w:szCs w:val="24"/>
          </w:rPr>
          <w:t>http://www.servat.unibe.ch/icl/nl00000_.html</w:t>
        </w:r>
      </w:hyperlink>
      <w:r w:rsidRPr="00805964">
        <w:rPr>
          <w:rFonts w:cs="Times New Roman"/>
          <w:szCs w:val="24"/>
        </w:rPr>
        <w:t>&gt;.</w:t>
      </w:r>
    </w:p>
    <w:p w:rsidR="001C5370" w:rsidRPr="00805964" w:rsidRDefault="001C5370" w:rsidP="00A437D8">
      <w:pPr>
        <w:spacing w:line="360" w:lineRule="auto"/>
        <w:contextualSpacing/>
        <w:jc w:val="both"/>
        <w:rPr>
          <w:rFonts w:cs="Times New Roman"/>
          <w:szCs w:val="24"/>
        </w:rPr>
      </w:pPr>
    </w:p>
    <w:p w:rsidR="001C5370" w:rsidRPr="00805964" w:rsidRDefault="00EE58B6" w:rsidP="00A437D8">
      <w:pPr>
        <w:pStyle w:val="Textpoznpodarou"/>
        <w:spacing w:line="360" w:lineRule="auto"/>
        <w:contextualSpacing/>
        <w:jc w:val="both"/>
        <w:rPr>
          <w:rFonts w:cs="Times New Roman"/>
          <w:sz w:val="24"/>
          <w:szCs w:val="24"/>
        </w:rPr>
      </w:pPr>
      <w:hyperlink r:id="rId45" w:history="1">
        <w:r w:rsidR="001C5370" w:rsidRPr="00805964">
          <w:rPr>
            <w:rFonts w:cs="Times New Roman"/>
            <w:i/>
            <w:sz w:val="24"/>
            <w:szCs w:val="24"/>
          </w:rPr>
          <w:t>Němcová vyhlásila stav legislativní nouze, šetřit se bude už od ledna</w:t>
        </w:r>
        <w:r w:rsidR="001C5370" w:rsidRPr="00805964">
          <w:rPr>
            <w:rFonts w:cs="Times New Roman"/>
            <w:sz w:val="24"/>
            <w:szCs w:val="24"/>
          </w:rPr>
          <w:t xml:space="preserve"> [online]. iHNed.cz, 29. října 2010 [cit. 20. května 2013]. Dostupné na &lt;</w:t>
        </w:r>
        <w:r w:rsidR="001C5370" w:rsidRPr="00805964">
          <w:rPr>
            <w:rStyle w:val="Hypertextovodkaz"/>
            <w:rFonts w:cs="Times New Roman"/>
            <w:color w:val="auto"/>
            <w:sz w:val="24"/>
            <w:szCs w:val="24"/>
          </w:rPr>
          <w:t>http://zpravy.ihned.cz/c1-47573500-nemcova-vyhlasila-stav-legislativni-nouze-setrit-se-bude-uz-od-ledna</w:t>
        </w:r>
      </w:hyperlink>
      <w:r w:rsidR="001C5370" w:rsidRPr="00805964">
        <w:rPr>
          <w:rFonts w:cs="Times New Roman"/>
          <w:sz w:val="24"/>
          <w:szCs w:val="24"/>
        </w:rPr>
        <w:t>&gt;.</w:t>
      </w:r>
    </w:p>
    <w:p w:rsidR="00F12451" w:rsidRPr="00805964" w:rsidRDefault="00F12451" w:rsidP="00A437D8">
      <w:pPr>
        <w:spacing w:line="360" w:lineRule="auto"/>
        <w:contextualSpacing/>
        <w:jc w:val="both"/>
        <w:rPr>
          <w:rFonts w:cs="Times New Roman"/>
          <w:szCs w:val="24"/>
        </w:rPr>
      </w:pPr>
    </w:p>
    <w:p w:rsidR="001C5370" w:rsidRPr="00805964" w:rsidRDefault="001C5370" w:rsidP="00A437D8">
      <w:pPr>
        <w:spacing w:line="360" w:lineRule="auto"/>
        <w:contextualSpacing/>
        <w:jc w:val="both"/>
        <w:rPr>
          <w:rFonts w:cs="Times New Roman"/>
          <w:szCs w:val="24"/>
        </w:rPr>
      </w:pPr>
      <w:proofErr w:type="spellStart"/>
      <w:r w:rsidRPr="00805964">
        <w:rPr>
          <w:rFonts w:cs="Times New Roman"/>
          <w:i/>
          <w:szCs w:val="24"/>
        </w:rPr>
        <w:t>Parliaments</w:t>
      </w:r>
      <w:proofErr w:type="spellEnd"/>
      <w:r w:rsidRPr="00805964">
        <w:rPr>
          <w:rFonts w:cs="Times New Roman"/>
          <w:i/>
          <w:szCs w:val="24"/>
        </w:rPr>
        <w:t xml:space="preserve"> </w:t>
      </w:r>
      <w:proofErr w:type="spellStart"/>
      <w:r w:rsidRPr="00805964">
        <w:rPr>
          <w:rFonts w:cs="Times New Roman"/>
          <w:i/>
          <w:szCs w:val="24"/>
        </w:rPr>
        <w:t>at</w:t>
      </w:r>
      <w:proofErr w:type="spellEnd"/>
      <w:r w:rsidRPr="00805964">
        <w:rPr>
          <w:rFonts w:cs="Times New Roman"/>
          <w:i/>
          <w:szCs w:val="24"/>
        </w:rPr>
        <w:t xml:space="preserve"> a </w:t>
      </w:r>
      <w:proofErr w:type="spellStart"/>
      <w:r w:rsidRPr="00805964">
        <w:rPr>
          <w:rFonts w:cs="Times New Roman"/>
          <w:i/>
          <w:szCs w:val="24"/>
        </w:rPr>
        <w:t>glance</w:t>
      </w:r>
      <w:proofErr w:type="spellEnd"/>
      <w:r w:rsidRPr="00805964">
        <w:rPr>
          <w:rFonts w:cs="Times New Roman"/>
          <w:i/>
          <w:szCs w:val="24"/>
        </w:rPr>
        <w:t xml:space="preserve">: </w:t>
      </w:r>
      <w:proofErr w:type="spellStart"/>
      <w:r w:rsidRPr="00805964">
        <w:rPr>
          <w:rFonts w:cs="Times New Roman"/>
          <w:i/>
          <w:szCs w:val="24"/>
        </w:rPr>
        <w:t>Structure</w:t>
      </w:r>
      <w:proofErr w:type="spellEnd"/>
      <w:r w:rsidRPr="00805964">
        <w:rPr>
          <w:rFonts w:cs="Times New Roman"/>
          <w:szCs w:val="24"/>
        </w:rPr>
        <w:t xml:space="preserve"> [online]. ipu.org, 2013 [cit. 26. dubna 2013]. Dostupné na &lt;</w:t>
      </w:r>
      <w:hyperlink r:id="rId46" w:history="1">
        <w:r w:rsidRPr="00805964">
          <w:rPr>
            <w:rStyle w:val="Hypertextovodkaz"/>
            <w:rFonts w:cs="Times New Roman"/>
            <w:color w:val="auto"/>
            <w:szCs w:val="24"/>
          </w:rPr>
          <w:t>http://www.ipu.org/parline-e/ParliamentsStructure.asp?REGION=All&amp;LANG=ENG</w:t>
        </w:r>
      </w:hyperlink>
      <w:r w:rsidRPr="00805964">
        <w:rPr>
          <w:rFonts w:cs="Times New Roman"/>
          <w:szCs w:val="24"/>
        </w:rPr>
        <w:t>&gt;</w:t>
      </w:r>
      <w:r w:rsidR="005B2D05" w:rsidRPr="00805964">
        <w:rPr>
          <w:rFonts w:cs="Times New Roman"/>
          <w:szCs w:val="24"/>
        </w:rPr>
        <w:t>.</w:t>
      </w:r>
    </w:p>
    <w:p w:rsidR="005B2D05" w:rsidRDefault="005B2D05" w:rsidP="00A437D8">
      <w:pPr>
        <w:pStyle w:val="Textpoznpodarou"/>
        <w:spacing w:line="360" w:lineRule="auto"/>
        <w:contextualSpacing/>
        <w:jc w:val="both"/>
        <w:rPr>
          <w:rFonts w:cs="Times New Roman"/>
          <w:i/>
          <w:sz w:val="24"/>
          <w:szCs w:val="24"/>
        </w:rPr>
      </w:pPr>
    </w:p>
    <w:p w:rsidR="00A437D8" w:rsidRDefault="00A437D8" w:rsidP="00A437D8">
      <w:pPr>
        <w:pStyle w:val="Textpoznpodarou"/>
        <w:spacing w:line="360" w:lineRule="auto"/>
        <w:contextualSpacing/>
        <w:jc w:val="both"/>
        <w:rPr>
          <w:rFonts w:cs="Times New Roman"/>
          <w:i/>
          <w:sz w:val="24"/>
          <w:szCs w:val="24"/>
        </w:rPr>
      </w:pPr>
    </w:p>
    <w:p w:rsidR="00A437D8" w:rsidRPr="00805964" w:rsidRDefault="00A437D8" w:rsidP="00A437D8">
      <w:pPr>
        <w:pStyle w:val="Textpoznpodarou"/>
        <w:spacing w:line="360" w:lineRule="auto"/>
        <w:contextualSpacing/>
        <w:jc w:val="both"/>
        <w:rPr>
          <w:rFonts w:cs="Times New Roman"/>
          <w:i/>
          <w:sz w:val="24"/>
          <w:szCs w:val="24"/>
        </w:rPr>
      </w:pPr>
    </w:p>
    <w:p w:rsidR="005B2D05" w:rsidRPr="00805964" w:rsidRDefault="005B2D05" w:rsidP="00A437D8">
      <w:pPr>
        <w:pStyle w:val="Textpoznpodarou"/>
        <w:spacing w:line="360" w:lineRule="auto"/>
        <w:contextualSpacing/>
        <w:jc w:val="both"/>
        <w:rPr>
          <w:rFonts w:cs="Times New Roman"/>
          <w:b/>
          <w:sz w:val="24"/>
          <w:szCs w:val="24"/>
        </w:rPr>
      </w:pPr>
      <w:proofErr w:type="spellStart"/>
      <w:r w:rsidRPr="00805964">
        <w:rPr>
          <w:rFonts w:cs="Times New Roman"/>
          <w:i/>
          <w:sz w:val="24"/>
          <w:szCs w:val="24"/>
        </w:rPr>
        <w:lastRenderedPageBreak/>
        <w:t>Spanish</w:t>
      </w:r>
      <w:proofErr w:type="spellEnd"/>
      <w:r w:rsidRPr="00805964">
        <w:rPr>
          <w:rFonts w:cs="Times New Roman"/>
          <w:i/>
          <w:sz w:val="24"/>
          <w:szCs w:val="24"/>
        </w:rPr>
        <w:t xml:space="preserve"> </w:t>
      </w:r>
      <w:proofErr w:type="spellStart"/>
      <w:r w:rsidRPr="00805964">
        <w:rPr>
          <w:rFonts w:cs="Times New Roman"/>
          <w:i/>
          <w:sz w:val="24"/>
          <w:szCs w:val="24"/>
        </w:rPr>
        <w:t>Constitution</w:t>
      </w:r>
      <w:proofErr w:type="spellEnd"/>
      <w:r w:rsidRPr="00805964">
        <w:rPr>
          <w:rFonts w:cs="Times New Roman"/>
          <w:sz w:val="24"/>
          <w:szCs w:val="24"/>
        </w:rPr>
        <w:t xml:space="preserve"> [online]. </w:t>
      </w:r>
      <w:proofErr w:type="spellStart"/>
      <w:r w:rsidRPr="00805964">
        <w:rPr>
          <w:rFonts w:cs="Times New Roman"/>
          <w:sz w:val="24"/>
          <w:szCs w:val="24"/>
        </w:rPr>
        <w:t>congreso.es</w:t>
      </w:r>
      <w:proofErr w:type="spellEnd"/>
      <w:r w:rsidRPr="00805964">
        <w:rPr>
          <w:rFonts w:cs="Times New Roman"/>
          <w:sz w:val="24"/>
          <w:szCs w:val="24"/>
        </w:rPr>
        <w:t>, 7. prosince 1978 [cit</w:t>
      </w:r>
      <w:r w:rsidR="00A437D8">
        <w:rPr>
          <w:rFonts w:cs="Times New Roman"/>
          <w:sz w:val="24"/>
          <w:szCs w:val="24"/>
        </w:rPr>
        <w:t>. 15. května 2013]. Dostupné na </w:t>
      </w:r>
      <w:r w:rsidRPr="00805964">
        <w:rPr>
          <w:rFonts w:cs="Times New Roman"/>
          <w:sz w:val="24"/>
          <w:szCs w:val="24"/>
        </w:rPr>
        <w:t>&lt;</w:t>
      </w:r>
      <w:hyperlink r:id="rId47" w:history="1">
        <w:r w:rsidRPr="00805964">
          <w:rPr>
            <w:rStyle w:val="Hypertextovodkaz"/>
            <w:rFonts w:cs="Times New Roman"/>
            <w:color w:val="auto"/>
            <w:sz w:val="24"/>
            <w:szCs w:val="24"/>
          </w:rPr>
          <w:t>http://www.congreso.es/portal/page/portal/Congreso/Congreso/Hist_Normas/Norm/const_espa_texto_ingles_0.pdf</w:t>
        </w:r>
      </w:hyperlink>
      <w:r w:rsidRPr="00805964">
        <w:rPr>
          <w:rFonts w:cs="Times New Roman"/>
          <w:sz w:val="24"/>
          <w:szCs w:val="24"/>
        </w:rPr>
        <w:t>&gt;.</w:t>
      </w:r>
    </w:p>
    <w:p w:rsidR="001C5370" w:rsidRPr="00805964" w:rsidRDefault="001C5370" w:rsidP="00A437D8">
      <w:pPr>
        <w:spacing w:line="360" w:lineRule="auto"/>
        <w:contextualSpacing/>
        <w:jc w:val="both"/>
        <w:rPr>
          <w:rFonts w:cs="Times New Roman"/>
          <w:szCs w:val="24"/>
        </w:rPr>
      </w:pPr>
    </w:p>
    <w:p w:rsidR="001C5370" w:rsidRPr="00805964" w:rsidRDefault="001C5370" w:rsidP="00A437D8">
      <w:pPr>
        <w:pStyle w:val="Textpoznpodarou"/>
        <w:spacing w:line="360" w:lineRule="auto"/>
        <w:contextualSpacing/>
        <w:jc w:val="both"/>
        <w:rPr>
          <w:rFonts w:cs="Times New Roman"/>
          <w:sz w:val="24"/>
          <w:szCs w:val="24"/>
        </w:rPr>
      </w:pPr>
      <w:r w:rsidRPr="00805964">
        <w:rPr>
          <w:rFonts w:cs="Times New Roman"/>
          <w:i/>
          <w:sz w:val="24"/>
          <w:szCs w:val="24"/>
        </w:rPr>
        <w:t>Ústavní listina Československé republiky</w:t>
      </w:r>
      <w:r w:rsidRPr="00DC2678">
        <w:rPr>
          <w:rFonts w:cs="Times New Roman"/>
          <w:i/>
          <w:sz w:val="24"/>
          <w:szCs w:val="24"/>
        </w:rPr>
        <w:t xml:space="preserve"> </w:t>
      </w:r>
      <w:r w:rsidRPr="00805964">
        <w:rPr>
          <w:rFonts w:cs="Times New Roman"/>
          <w:sz w:val="24"/>
          <w:szCs w:val="24"/>
        </w:rPr>
        <w:t xml:space="preserve">[online]. psp.cz, 29. února 1920 </w:t>
      </w:r>
      <w:r w:rsidR="005B2D05" w:rsidRPr="00805964">
        <w:rPr>
          <w:rFonts w:cs="Times New Roman"/>
          <w:sz w:val="24"/>
          <w:szCs w:val="24"/>
        </w:rPr>
        <w:br/>
      </w:r>
      <w:r w:rsidRPr="00805964">
        <w:rPr>
          <w:rFonts w:cs="Times New Roman"/>
          <w:sz w:val="24"/>
          <w:szCs w:val="24"/>
        </w:rPr>
        <w:t>[cit. 12. května 2013]. Dostupné na &lt;</w:t>
      </w:r>
      <w:hyperlink r:id="rId48" w:history="1">
        <w:r w:rsidRPr="00805964">
          <w:rPr>
            <w:rStyle w:val="Hypertextovodkaz"/>
            <w:rFonts w:cs="Times New Roman"/>
            <w:color w:val="auto"/>
            <w:sz w:val="24"/>
            <w:szCs w:val="24"/>
          </w:rPr>
          <w:t>http://www.psp.cz/docs/texts/constitution_1920.html</w:t>
        </w:r>
      </w:hyperlink>
      <w:r w:rsidRPr="00805964">
        <w:rPr>
          <w:rFonts w:cs="Times New Roman"/>
          <w:sz w:val="24"/>
          <w:szCs w:val="24"/>
        </w:rPr>
        <w:t>&gt;.</w:t>
      </w:r>
    </w:p>
    <w:p w:rsidR="001C5370" w:rsidRPr="00805964" w:rsidRDefault="001C5370" w:rsidP="00A437D8">
      <w:pPr>
        <w:spacing w:line="360" w:lineRule="auto"/>
        <w:contextualSpacing/>
        <w:jc w:val="both"/>
        <w:rPr>
          <w:rFonts w:cs="Times New Roman"/>
          <w:szCs w:val="24"/>
        </w:rPr>
      </w:pPr>
    </w:p>
    <w:p w:rsidR="005B2D05" w:rsidRPr="00805964" w:rsidRDefault="005B2D05" w:rsidP="00A437D8">
      <w:pPr>
        <w:contextualSpacing/>
        <w:jc w:val="both"/>
      </w:pPr>
      <w:r w:rsidRPr="00805964">
        <w:rPr>
          <w:i/>
        </w:rPr>
        <w:t>Volby do Poslanecké sněmovny Parlamentu České republiky 1998</w:t>
      </w:r>
      <w:r w:rsidRPr="00805964">
        <w:t xml:space="preserve"> [online]. volby.</w:t>
      </w:r>
      <w:proofErr w:type="spellStart"/>
      <w:r w:rsidRPr="00805964">
        <w:t>cz</w:t>
      </w:r>
      <w:proofErr w:type="spellEnd"/>
      <w:r w:rsidRPr="00805964">
        <w:t xml:space="preserve">, </w:t>
      </w:r>
      <w:r w:rsidRPr="00805964">
        <w:br/>
        <w:t>[cit. 4. června 2013]. Dostupné na &lt;</w:t>
      </w:r>
      <w:hyperlink r:id="rId49" w:history="1">
        <w:r w:rsidRPr="00805964">
          <w:rPr>
            <w:rStyle w:val="Hypertextovodkaz"/>
            <w:color w:val="auto"/>
          </w:rPr>
          <w:t>http://volby.cz/pls/ps1998/u610</w:t>
        </w:r>
      </w:hyperlink>
      <w:r w:rsidRPr="00805964">
        <w:t>&gt;.</w:t>
      </w:r>
    </w:p>
    <w:p w:rsidR="005B2D05" w:rsidRPr="00805964" w:rsidRDefault="005B2D05" w:rsidP="00A437D8">
      <w:pPr>
        <w:contextualSpacing/>
        <w:jc w:val="both"/>
      </w:pPr>
    </w:p>
    <w:p w:rsidR="005B2D05" w:rsidRPr="00805964" w:rsidRDefault="005B2D05" w:rsidP="00A437D8">
      <w:pPr>
        <w:contextualSpacing/>
        <w:jc w:val="both"/>
      </w:pPr>
      <w:r w:rsidRPr="00805964">
        <w:rPr>
          <w:i/>
        </w:rPr>
        <w:t>Volby do Poslanecké sněmovny Parlamentu České republiky 2002</w:t>
      </w:r>
      <w:r w:rsidRPr="00805964">
        <w:t xml:space="preserve"> [online]. volby.</w:t>
      </w:r>
      <w:proofErr w:type="spellStart"/>
      <w:r w:rsidRPr="00805964">
        <w:t>cz</w:t>
      </w:r>
      <w:proofErr w:type="spellEnd"/>
      <w:r w:rsidRPr="00805964">
        <w:t xml:space="preserve">, </w:t>
      </w:r>
      <w:r w:rsidRPr="00805964">
        <w:br/>
        <w:t>[cit. 4. června 2013]. Dostupné na &lt;</w:t>
      </w:r>
      <w:hyperlink r:id="rId50" w:history="1">
        <w:r w:rsidRPr="00805964">
          <w:rPr>
            <w:rStyle w:val="Hypertextovodkaz"/>
            <w:color w:val="auto"/>
          </w:rPr>
          <w:t>http://volby.cz/pls/ps2002/ps63?xjazyk=CZ</w:t>
        </w:r>
      </w:hyperlink>
      <w:r w:rsidRPr="00805964">
        <w:t>&gt;.</w:t>
      </w:r>
    </w:p>
    <w:p w:rsidR="005B2D05" w:rsidRPr="00805964" w:rsidRDefault="005B2D05" w:rsidP="00A437D8">
      <w:pPr>
        <w:contextualSpacing/>
        <w:jc w:val="both"/>
      </w:pPr>
    </w:p>
    <w:p w:rsidR="005B2D05" w:rsidRPr="00805964" w:rsidRDefault="005B2D05" w:rsidP="00A437D8">
      <w:pPr>
        <w:contextualSpacing/>
        <w:jc w:val="both"/>
      </w:pPr>
      <w:r w:rsidRPr="00805964">
        <w:rPr>
          <w:i/>
        </w:rPr>
        <w:t>Volby do Senátu Parlamentu České republiky 2000</w:t>
      </w:r>
      <w:r w:rsidRPr="00805964">
        <w:t xml:space="preserve"> [online]. ods.cz, </w:t>
      </w:r>
      <w:r w:rsidRPr="00805964">
        <w:br/>
        <w:t>[cit. 4. června 2013]. Dostupné na &lt;</w:t>
      </w:r>
      <w:hyperlink r:id="rId51" w:history="1">
        <w:r w:rsidRPr="00805964">
          <w:rPr>
            <w:rStyle w:val="Hypertextovodkaz"/>
            <w:color w:val="auto"/>
          </w:rPr>
          <w:t>http://www.ods.cz/volebni-vysledky/2000-senatni</w:t>
        </w:r>
      </w:hyperlink>
      <w:r w:rsidRPr="00805964">
        <w:t>&gt;.</w:t>
      </w:r>
    </w:p>
    <w:p w:rsidR="005B2D05" w:rsidRPr="00805964" w:rsidRDefault="005B2D05" w:rsidP="00A437D8">
      <w:pPr>
        <w:contextualSpacing/>
        <w:jc w:val="both"/>
      </w:pPr>
    </w:p>
    <w:p w:rsidR="005B2D05" w:rsidRPr="00805964" w:rsidRDefault="005B2D05" w:rsidP="00A437D8">
      <w:pPr>
        <w:contextualSpacing/>
        <w:jc w:val="both"/>
      </w:pPr>
      <w:r w:rsidRPr="00805964">
        <w:rPr>
          <w:i/>
        </w:rPr>
        <w:t>Volby do Senátu Parlamentu České republiky 2002</w:t>
      </w:r>
      <w:r w:rsidRPr="00805964">
        <w:t xml:space="preserve"> [online]. ods.cz, [cit. 4. června 2013]. Dostupné na &lt;</w:t>
      </w:r>
      <w:hyperlink r:id="rId52" w:history="1">
        <w:r w:rsidRPr="00805964">
          <w:rPr>
            <w:rStyle w:val="Hypertextovodkaz"/>
            <w:color w:val="auto"/>
          </w:rPr>
          <w:t>http://www.ods.cz/volebni-vysledky/2002-senatni</w:t>
        </w:r>
      </w:hyperlink>
      <w:r w:rsidRPr="00805964">
        <w:t xml:space="preserve"> &gt;.  </w:t>
      </w:r>
    </w:p>
    <w:p w:rsidR="005B2D05" w:rsidRPr="00805964" w:rsidRDefault="005B2D05" w:rsidP="00A437D8">
      <w:pPr>
        <w:contextualSpacing/>
        <w:jc w:val="both"/>
      </w:pPr>
    </w:p>
    <w:p w:rsidR="005B2D05" w:rsidRPr="00805964" w:rsidRDefault="005B2D05" w:rsidP="00A437D8">
      <w:pPr>
        <w:contextualSpacing/>
        <w:jc w:val="both"/>
      </w:pPr>
      <w:r w:rsidRPr="00805964">
        <w:rPr>
          <w:i/>
        </w:rPr>
        <w:t>Volby do Senátu Parlamentu České republiky 2004</w:t>
      </w:r>
      <w:r w:rsidRPr="00805964">
        <w:t xml:space="preserve"> [online]. ods.cz, [cit. 4. června 2013]. Dostupné na &lt;</w:t>
      </w:r>
      <w:hyperlink r:id="rId53" w:history="1">
        <w:r w:rsidRPr="00805964">
          <w:rPr>
            <w:rStyle w:val="Hypertextovodkaz"/>
            <w:color w:val="auto"/>
          </w:rPr>
          <w:t>http://www.ods.cz/volebni-vysledky/2004-senatni</w:t>
        </w:r>
      </w:hyperlink>
      <w:r w:rsidRPr="00805964">
        <w:t xml:space="preserve"> &gt;.   </w:t>
      </w:r>
    </w:p>
    <w:p w:rsidR="005B2D05" w:rsidRPr="00805964" w:rsidRDefault="005B2D05" w:rsidP="00A437D8">
      <w:pPr>
        <w:contextualSpacing/>
        <w:jc w:val="both"/>
      </w:pPr>
    </w:p>
    <w:p w:rsidR="005B2D05" w:rsidRPr="00805964" w:rsidRDefault="005B2D05" w:rsidP="00A437D8">
      <w:pPr>
        <w:contextualSpacing/>
        <w:jc w:val="both"/>
      </w:pPr>
      <w:r w:rsidRPr="00805964">
        <w:rPr>
          <w:i/>
        </w:rPr>
        <w:t>Volby do Senátu Parlamentu České republiky 2006</w:t>
      </w:r>
      <w:r w:rsidRPr="00805964">
        <w:t xml:space="preserve"> [online]. ods.cz, [cit. 2. června 2013]. Dostupné na &lt;</w:t>
      </w:r>
      <w:hyperlink r:id="rId54" w:history="1">
        <w:r w:rsidRPr="00805964">
          <w:rPr>
            <w:rStyle w:val="Hypertextovodkaz"/>
            <w:color w:val="auto"/>
          </w:rPr>
          <w:t>http://www.ods.cz/volebni-vysledky/2006-senatni</w:t>
        </w:r>
      </w:hyperlink>
      <w:r w:rsidRPr="00805964">
        <w:t>&gt;.</w:t>
      </w:r>
    </w:p>
    <w:p w:rsidR="005B2D05" w:rsidRPr="00805964" w:rsidRDefault="005B2D05" w:rsidP="00A437D8">
      <w:pPr>
        <w:contextualSpacing/>
        <w:jc w:val="both"/>
      </w:pPr>
    </w:p>
    <w:p w:rsidR="005B2D05" w:rsidRPr="00805964" w:rsidRDefault="005B2D05" w:rsidP="00A437D8">
      <w:pPr>
        <w:contextualSpacing/>
        <w:jc w:val="both"/>
      </w:pPr>
      <w:r w:rsidRPr="00805964">
        <w:rPr>
          <w:i/>
        </w:rPr>
        <w:t>Volby do Senátu Parlamentu České republiky 2008</w:t>
      </w:r>
      <w:r w:rsidRPr="00805964">
        <w:t xml:space="preserve"> [online]. ods.cz, [cit. 4. června 2013]. Dostupné na &lt;</w:t>
      </w:r>
      <w:hyperlink r:id="rId55" w:history="1">
        <w:r w:rsidRPr="00805964">
          <w:rPr>
            <w:rStyle w:val="Hypertextovodkaz"/>
            <w:color w:val="auto"/>
          </w:rPr>
          <w:t>http://www.ods.cz/volebni-vysledky/2008-senatni</w:t>
        </w:r>
      </w:hyperlink>
      <w:r w:rsidRPr="00805964">
        <w:t>&gt;.</w:t>
      </w:r>
    </w:p>
    <w:p w:rsidR="005B2D05" w:rsidRPr="00805964" w:rsidRDefault="005B2D05" w:rsidP="00A437D8">
      <w:pPr>
        <w:contextualSpacing/>
        <w:jc w:val="both"/>
      </w:pPr>
    </w:p>
    <w:p w:rsidR="00D73745" w:rsidRPr="00805964" w:rsidRDefault="005B2D05" w:rsidP="00A437D8">
      <w:pPr>
        <w:contextualSpacing/>
        <w:jc w:val="both"/>
      </w:pPr>
      <w:r w:rsidRPr="00805964">
        <w:rPr>
          <w:i/>
        </w:rPr>
        <w:t>Zpráva o činnosti Senátu a jeho orgánů 2006 –2007</w:t>
      </w:r>
      <w:r w:rsidRPr="00805964">
        <w:t xml:space="preserve"> [online]. senat.cz, [cit. 2. června 2013]. Dostupné na &lt;</w:t>
      </w:r>
      <w:hyperlink r:id="rId56" w:history="1">
        <w:r w:rsidRPr="00805964">
          <w:rPr>
            <w:rStyle w:val="Hypertextovodkaz"/>
            <w:color w:val="auto"/>
          </w:rPr>
          <w:t>http://www.senat.cz/cinnost/zpravy/vyrzpr2007/vyrzpr07.pdf</w:t>
        </w:r>
      </w:hyperlink>
      <w:r w:rsidRPr="00805964">
        <w:t>&gt;.</w:t>
      </w:r>
    </w:p>
    <w:p w:rsidR="00A437D8" w:rsidRDefault="00A437D8" w:rsidP="00A437D8">
      <w:pPr>
        <w:contextualSpacing/>
        <w:jc w:val="both"/>
        <w:rPr>
          <w:b/>
          <w:sz w:val="32"/>
          <w:szCs w:val="32"/>
        </w:rPr>
      </w:pPr>
    </w:p>
    <w:p w:rsidR="00A437D8" w:rsidRDefault="00A437D8" w:rsidP="00A437D8">
      <w:pPr>
        <w:contextualSpacing/>
        <w:jc w:val="both"/>
        <w:rPr>
          <w:b/>
          <w:sz w:val="32"/>
          <w:szCs w:val="32"/>
        </w:rPr>
      </w:pPr>
    </w:p>
    <w:p w:rsidR="00A437D8" w:rsidRDefault="00A437D8" w:rsidP="00A437D8">
      <w:pPr>
        <w:contextualSpacing/>
        <w:jc w:val="both"/>
        <w:rPr>
          <w:b/>
          <w:sz w:val="32"/>
          <w:szCs w:val="32"/>
        </w:rPr>
      </w:pPr>
    </w:p>
    <w:p w:rsidR="00A437D8" w:rsidRDefault="00A437D8" w:rsidP="00A437D8">
      <w:pPr>
        <w:contextualSpacing/>
        <w:jc w:val="both"/>
        <w:rPr>
          <w:b/>
          <w:sz w:val="32"/>
          <w:szCs w:val="32"/>
        </w:rPr>
      </w:pPr>
    </w:p>
    <w:p w:rsidR="00A437D8" w:rsidRDefault="00A437D8" w:rsidP="00A437D8">
      <w:pPr>
        <w:contextualSpacing/>
        <w:jc w:val="both"/>
        <w:rPr>
          <w:b/>
          <w:sz w:val="32"/>
          <w:szCs w:val="32"/>
        </w:rPr>
      </w:pPr>
    </w:p>
    <w:p w:rsidR="00A437D8" w:rsidRDefault="00A437D8" w:rsidP="00A437D8">
      <w:pPr>
        <w:contextualSpacing/>
        <w:jc w:val="both"/>
        <w:rPr>
          <w:b/>
          <w:sz w:val="32"/>
          <w:szCs w:val="32"/>
        </w:rPr>
      </w:pPr>
    </w:p>
    <w:p w:rsidR="00A437D8" w:rsidRDefault="00A437D8" w:rsidP="00A437D8">
      <w:pPr>
        <w:contextualSpacing/>
        <w:jc w:val="both"/>
        <w:rPr>
          <w:b/>
          <w:sz w:val="32"/>
          <w:szCs w:val="32"/>
        </w:rPr>
      </w:pPr>
    </w:p>
    <w:p w:rsidR="00A437D8" w:rsidRDefault="00A437D8" w:rsidP="00A437D8">
      <w:pPr>
        <w:contextualSpacing/>
        <w:jc w:val="both"/>
        <w:rPr>
          <w:b/>
          <w:sz w:val="32"/>
          <w:szCs w:val="32"/>
        </w:rPr>
      </w:pPr>
    </w:p>
    <w:p w:rsidR="00F12451" w:rsidRPr="00805964" w:rsidRDefault="00F12451" w:rsidP="00A437D8">
      <w:pPr>
        <w:contextualSpacing/>
        <w:jc w:val="both"/>
        <w:rPr>
          <w:b/>
          <w:sz w:val="32"/>
          <w:szCs w:val="32"/>
        </w:rPr>
      </w:pPr>
      <w:r w:rsidRPr="00805964">
        <w:rPr>
          <w:b/>
          <w:sz w:val="32"/>
          <w:szCs w:val="32"/>
        </w:rPr>
        <w:lastRenderedPageBreak/>
        <w:t>LITERATURA</w:t>
      </w:r>
    </w:p>
    <w:p w:rsidR="00F12451" w:rsidRPr="00805964" w:rsidRDefault="00F12451" w:rsidP="00A437D8">
      <w:pPr>
        <w:contextualSpacing/>
        <w:jc w:val="both"/>
        <w:rPr>
          <w:b/>
          <w:sz w:val="32"/>
          <w:szCs w:val="32"/>
        </w:rPr>
      </w:pPr>
    </w:p>
    <w:p w:rsidR="00F12451" w:rsidRPr="00805964" w:rsidRDefault="00F12451" w:rsidP="00A437D8">
      <w:pPr>
        <w:spacing w:line="360" w:lineRule="auto"/>
        <w:contextualSpacing/>
        <w:jc w:val="both"/>
      </w:pPr>
      <w:r w:rsidRPr="00805964">
        <w:t xml:space="preserve">BALÍK, Stanislav a kol. </w:t>
      </w:r>
      <w:r w:rsidRPr="00805964">
        <w:rPr>
          <w:i/>
        </w:rPr>
        <w:t xml:space="preserve">Politický systém českých zemí 1848 – 1989. </w:t>
      </w:r>
      <w:r w:rsidRPr="00805964">
        <w:t xml:space="preserve">Brno: Mezinárodní politologický ústav, </w:t>
      </w:r>
      <w:r w:rsidR="004E2457" w:rsidRPr="00805964">
        <w:t>2003. 180 s.</w:t>
      </w:r>
    </w:p>
    <w:p w:rsidR="00F12451" w:rsidRPr="00805964" w:rsidRDefault="00F12451" w:rsidP="00A437D8">
      <w:pPr>
        <w:spacing w:line="360" w:lineRule="auto"/>
        <w:contextualSpacing/>
        <w:jc w:val="both"/>
      </w:pPr>
    </w:p>
    <w:p w:rsidR="00F12451" w:rsidRPr="00805964" w:rsidRDefault="00F12451" w:rsidP="00A437D8">
      <w:pPr>
        <w:spacing w:line="360" w:lineRule="auto"/>
        <w:contextualSpacing/>
        <w:jc w:val="both"/>
      </w:pPr>
      <w:r w:rsidRPr="00805964">
        <w:t xml:space="preserve">BAXA, Bohumil. </w:t>
      </w:r>
      <w:r w:rsidRPr="00805964">
        <w:rPr>
          <w:i/>
        </w:rPr>
        <w:t xml:space="preserve">Parlament a </w:t>
      </w:r>
      <w:proofErr w:type="spellStart"/>
      <w:r w:rsidRPr="00805964">
        <w:rPr>
          <w:i/>
        </w:rPr>
        <w:t>parlamentarism</w:t>
      </w:r>
      <w:proofErr w:type="spellEnd"/>
      <w:r w:rsidRPr="00805964">
        <w:t>. Praha: Jan Košatka</w:t>
      </w:r>
      <w:r w:rsidR="004E2457" w:rsidRPr="00805964">
        <w:t>.</w:t>
      </w:r>
      <w:r w:rsidRPr="00805964">
        <w:t xml:space="preserve"> 1924</w:t>
      </w:r>
      <w:r w:rsidR="004E2457" w:rsidRPr="00805964">
        <w:t>.</w:t>
      </w:r>
      <w:r w:rsidRPr="00805964">
        <w:t xml:space="preserve">  </w:t>
      </w:r>
      <w:r w:rsidR="004E2457" w:rsidRPr="00805964">
        <w:t>345 s.</w:t>
      </w:r>
    </w:p>
    <w:p w:rsidR="00D73745" w:rsidRPr="00805964" w:rsidRDefault="00D73745" w:rsidP="00A437D8">
      <w:pPr>
        <w:spacing w:line="360" w:lineRule="auto"/>
        <w:contextualSpacing/>
        <w:jc w:val="both"/>
      </w:pPr>
    </w:p>
    <w:p w:rsidR="00F12451" w:rsidRPr="00805964" w:rsidRDefault="00F12451" w:rsidP="00A437D8">
      <w:pPr>
        <w:spacing w:line="360" w:lineRule="auto"/>
        <w:contextualSpacing/>
        <w:jc w:val="both"/>
      </w:pPr>
      <w:r w:rsidRPr="00805964">
        <w:t xml:space="preserve">BUCHANAN, </w:t>
      </w:r>
      <w:proofErr w:type="spellStart"/>
      <w:r w:rsidRPr="00805964">
        <w:t>James</w:t>
      </w:r>
      <w:proofErr w:type="spellEnd"/>
      <w:r w:rsidRPr="00805964">
        <w:t xml:space="preserve"> M., TULLOCK, </w:t>
      </w:r>
      <w:proofErr w:type="spellStart"/>
      <w:r w:rsidRPr="00805964">
        <w:t>Gordon</w:t>
      </w:r>
      <w:proofErr w:type="spellEnd"/>
      <w:r w:rsidRPr="00805964">
        <w:t xml:space="preserve">: </w:t>
      </w:r>
      <w:proofErr w:type="spellStart"/>
      <w:r w:rsidRPr="00805964">
        <w:rPr>
          <w:i/>
        </w:rPr>
        <w:t>The</w:t>
      </w:r>
      <w:proofErr w:type="spellEnd"/>
      <w:r w:rsidRPr="00805964">
        <w:rPr>
          <w:i/>
        </w:rPr>
        <w:t xml:space="preserve"> </w:t>
      </w:r>
      <w:proofErr w:type="spellStart"/>
      <w:r w:rsidRPr="00805964">
        <w:rPr>
          <w:i/>
        </w:rPr>
        <w:t>Calculus</w:t>
      </w:r>
      <w:proofErr w:type="spellEnd"/>
      <w:r w:rsidRPr="00805964">
        <w:rPr>
          <w:i/>
        </w:rPr>
        <w:t xml:space="preserve"> </w:t>
      </w:r>
      <w:proofErr w:type="spellStart"/>
      <w:r w:rsidRPr="00805964">
        <w:rPr>
          <w:i/>
        </w:rPr>
        <w:t>of</w:t>
      </w:r>
      <w:proofErr w:type="spellEnd"/>
      <w:r w:rsidRPr="00805964">
        <w:rPr>
          <w:i/>
        </w:rPr>
        <w:t xml:space="preserve"> </w:t>
      </w:r>
      <w:proofErr w:type="spellStart"/>
      <w:r w:rsidRPr="00805964">
        <w:rPr>
          <w:i/>
        </w:rPr>
        <w:t>Consent</w:t>
      </w:r>
      <w:proofErr w:type="spellEnd"/>
      <w:r w:rsidRPr="00805964">
        <w:rPr>
          <w:i/>
        </w:rPr>
        <w:t xml:space="preserve">: </w:t>
      </w:r>
      <w:proofErr w:type="spellStart"/>
      <w:r w:rsidRPr="00805964">
        <w:rPr>
          <w:i/>
        </w:rPr>
        <w:t>Logical</w:t>
      </w:r>
      <w:proofErr w:type="spellEnd"/>
      <w:r w:rsidRPr="00805964">
        <w:rPr>
          <w:i/>
        </w:rPr>
        <w:t xml:space="preserve"> </w:t>
      </w:r>
      <w:proofErr w:type="spellStart"/>
      <w:r w:rsidRPr="00805964">
        <w:rPr>
          <w:i/>
        </w:rPr>
        <w:t>Foundations</w:t>
      </w:r>
      <w:proofErr w:type="spellEnd"/>
      <w:r w:rsidRPr="00805964">
        <w:rPr>
          <w:i/>
        </w:rPr>
        <w:t xml:space="preserve"> </w:t>
      </w:r>
      <w:proofErr w:type="spellStart"/>
      <w:r w:rsidRPr="00805964">
        <w:rPr>
          <w:i/>
        </w:rPr>
        <w:t>of</w:t>
      </w:r>
      <w:proofErr w:type="spellEnd"/>
      <w:r w:rsidRPr="00805964">
        <w:rPr>
          <w:i/>
        </w:rPr>
        <w:t xml:space="preserve"> </w:t>
      </w:r>
      <w:proofErr w:type="spellStart"/>
      <w:r w:rsidRPr="00805964">
        <w:rPr>
          <w:i/>
        </w:rPr>
        <w:t>Constitutional</w:t>
      </w:r>
      <w:proofErr w:type="spellEnd"/>
      <w:r w:rsidRPr="00805964">
        <w:rPr>
          <w:i/>
        </w:rPr>
        <w:t xml:space="preserve"> </w:t>
      </w:r>
      <w:proofErr w:type="spellStart"/>
      <w:r w:rsidRPr="00805964">
        <w:rPr>
          <w:i/>
        </w:rPr>
        <w:t>Democracy</w:t>
      </w:r>
      <w:proofErr w:type="spellEnd"/>
      <w:r w:rsidRPr="00805964">
        <w:t xml:space="preserve">. </w:t>
      </w:r>
      <w:proofErr w:type="spellStart"/>
      <w:r w:rsidRPr="00805964">
        <w:t>Indianapolis</w:t>
      </w:r>
      <w:proofErr w:type="spellEnd"/>
      <w:r w:rsidRPr="00805964">
        <w:t xml:space="preserve">: Liberty </w:t>
      </w:r>
      <w:proofErr w:type="spellStart"/>
      <w:r w:rsidRPr="00805964">
        <w:t>Fund</w:t>
      </w:r>
      <w:proofErr w:type="spellEnd"/>
      <w:r w:rsidRPr="00805964">
        <w:t xml:space="preserve">, </w:t>
      </w:r>
      <w:proofErr w:type="spellStart"/>
      <w:r w:rsidRPr="00805964">
        <w:t>Inc</w:t>
      </w:r>
      <w:proofErr w:type="spellEnd"/>
      <w:r w:rsidRPr="00805964">
        <w:t>.,</w:t>
      </w:r>
      <w:r w:rsidR="004E2457" w:rsidRPr="00805964">
        <w:t xml:space="preserve"> 1999. 376 s.</w:t>
      </w:r>
    </w:p>
    <w:p w:rsidR="00F12451" w:rsidRPr="00805964" w:rsidRDefault="00F12451" w:rsidP="00A437D8">
      <w:pPr>
        <w:spacing w:line="360" w:lineRule="auto"/>
        <w:contextualSpacing/>
        <w:jc w:val="both"/>
      </w:pPr>
    </w:p>
    <w:p w:rsidR="00F12451" w:rsidRPr="00805964" w:rsidRDefault="00F12451" w:rsidP="00A437D8">
      <w:pPr>
        <w:spacing w:line="360" w:lineRule="auto"/>
        <w:contextualSpacing/>
        <w:jc w:val="both"/>
        <w:rPr>
          <w:shd w:val="clear" w:color="auto" w:fill="FFFFFF"/>
        </w:rPr>
      </w:pPr>
      <w:r w:rsidRPr="00805964">
        <w:rPr>
          <w:shd w:val="clear" w:color="auto" w:fill="FFFFFF"/>
        </w:rPr>
        <w:t>FERDUS, Ondřej.</w:t>
      </w:r>
      <w:r w:rsidRPr="00805964">
        <w:rPr>
          <w:rStyle w:val="apple-converted-space"/>
          <w:rFonts w:cs="Times New Roman"/>
          <w:szCs w:val="24"/>
          <w:shd w:val="clear" w:color="auto" w:fill="FFFFFF"/>
        </w:rPr>
        <w:t> </w:t>
      </w:r>
      <w:r w:rsidRPr="00805964">
        <w:rPr>
          <w:i/>
          <w:iCs/>
          <w:shd w:val="clear" w:color="auto" w:fill="FFFFFF"/>
        </w:rPr>
        <w:t>Role a síla druhých komor parlamentů ve vybraných unitárních státech Evropy</w:t>
      </w:r>
      <w:r w:rsidRPr="00805964">
        <w:rPr>
          <w:shd w:val="clear" w:color="auto" w:fill="FFFFFF"/>
        </w:rPr>
        <w:t>. Olomouc, 2011. Bakalářská práce. Univerzita Palackého v Olomouci, Filozofická fakulta, Katedra politologie a evropských studií</w:t>
      </w:r>
      <w:r w:rsidR="004E2457" w:rsidRPr="00805964">
        <w:rPr>
          <w:shd w:val="clear" w:color="auto" w:fill="FFFFFF"/>
        </w:rPr>
        <w:t>.</w:t>
      </w:r>
      <w:r w:rsidRPr="00805964">
        <w:rPr>
          <w:shd w:val="clear" w:color="auto" w:fill="FFFFFF"/>
        </w:rPr>
        <w:t xml:space="preserve"> </w:t>
      </w:r>
      <w:r w:rsidR="004E2457" w:rsidRPr="00805964">
        <w:rPr>
          <w:shd w:val="clear" w:color="auto" w:fill="FFFFFF"/>
        </w:rPr>
        <w:t>74 s.</w:t>
      </w:r>
    </w:p>
    <w:p w:rsidR="00D73745" w:rsidRPr="00805964" w:rsidRDefault="00D73745" w:rsidP="00A437D8">
      <w:pPr>
        <w:spacing w:line="360" w:lineRule="auto"/>
        <w:contextualSpacing/>
        <w:jc w:val="both"/>
      </w:pPr>
    </w:p>
    <w:p w:rsidR="00F12451" w:rsidRPr="00805964" w:rsidRDefault="00F12451" w:rsidP="00A437D8">
      <w:pPr>
        <w:spacing w:line="360" w:lineRule="auto"/>
        <w:contextualSpacing/>
        <w:jc w:val="both"/>
      </w:pPr>
      <w:r w:rsidRPr="00805964">
        <w:t xml:space="preserve">GERLOCH, Aleš. </w:t>
      </w:r>
      <w:r w:rsidRPr="00805964">
        <w:rPr>
          <w:iCs/>
        </w:rPr>
        <w:t xml:space="preserve">Princip </w:t>
      </w:r>
      <w:r w:rsidRPr="00805964">
        <w:rPr>
          <w:rFonts w:eastAsia="HiddenHorzOCR"/>
          <w:iCs/>
        </w:rPr>
        <w:t xml:space="preserve">dělby </w:t>
      </w:r>
      <w:r w:rsidRPr="00805964">
        <w:rPr>
          <w:iCs/>
        </w:rPr>
        <w:t xml:space="preserve">moci a Ústava </w:t>
      </w:r>
      <w:r w:rsidRPr="00805964">
        <w:rPr>
          <w:rFonts w:eastAsia="HiddenHorzOCR"/>
          <w:iCs/>
        </w:rPr>
        <w:t xml:space="preserve">České </w:t>
      </w:r>
      <w:r w:rsidRPr="00805964">
        <w:rPr>
          <w:iCs/>
        </w:rPr>
        <w:t>republiky</w:t>
      </w:r>
      <w:r w:rsidRPr="00805964">
        <w:t xml:space="preserve">. </w:t>
      </w:r>
      <w:r w:rsidRPr="00805964">
        <w:rPr>
          <w:i/>
        </w:rPr>
        <w:t>Politologická revue</w:t>
      </w:r>
      <w:r w:rsidR="003F2602" w:rsidRPr="00805964">
        <w:t xml:space="preserve">, 1994, </w:t>
      </w:r>
      <w:proofErr w:type="spellStart"/>
      <w:r w:rsidR="003F2602" w:rsidRPr="00805964">
        <w:t>roč</w:t>
      </w:r>
      <w:proofErr w:type="spellEnd"/>
      <w:r w:rsidR="003F2602" w:rsidRPr="00805964">
        <w:t>. 1, č. 4, s. 23 – 36.</w:t>
      </w:r>
    </w:p>
    <w:p w:rsidR="00F12451" w:rsidRPr="00805964" w:rsidRDefault="00F12451" w:rsidP="00A437D8">
      <w:pPr>
        <w:spacing w:line="360" w:lineRule="auto"/>
        <w:contextualSpacing/>
        <w:jc w:val="both"/>
      </w:pPr>
    </w:p>
    <w:p w:rsidR="00F12451" w:rsidRPr="00805964" w:rsidRDefault="00F12451" w:rsidP="00A437D8">
      <w:pPr>
        <w:spacing w:line="360" w:lineRule="auto"/>
        <w:contextualSpacing/>
        <w:jc w:val="both"/>
      </w:pPr>
      <w:r w:rsidRPr="00805964">
        <w:t xml:space="preserve">GERLOCH, Aleš, HŘEBEJK, Jiří, ZOUBEK, Vladimír. Ústavní systém </w:t>
      </w:r>
      <w:r w:rsidRPr="00805964">
        <w:rPr>
          <w:i/>
        </w:rPr>
        <w:t>České republiky – základy českého ústavního práva</w:t>
      </w:r>
      <w:r w:rsidRPr="00805964">
        <w:t xml:space="preserve">. 4. vydání. Praha: </w:t>
      </w:r>
      <w:proofErr w:type="spellStart"/>
      <w:r w:rsidRPr="00805964">
        <w:t>Prospektum</w:t>
      </w:r>
      <w:proofErr w:type="spellEnd"/>
      <w:r w:rsidRPr="00805964">
        <w:t xml:space="preserve"> , 2002</w:t>
      </w:r>
      <w:r w:rsidR="004E2457" w:rsidRPr="00805964">
        <w:t>.</w:t>
      </w:r>
      <w:r w:rsidRPr="00805964">
        <w:t xml:space="preserve"> </w:t>
      </w:r>
      <w:r w:rsidR="004E2457" w:rsidRPr="00805964">
        <w:t>568 s.</w:t>
      </w:r>
    </w:p>
    <w:p w:rsidR="00F12451" w:rsidRPr="00805964" w:rsidRDefault="00F12451" w:rsidP="00A437D8">
      <w:pPr>
        <w:spacing w:line="360" w:lineRule="auto"/>
        <w:contextualSpacing/>
        <w:jc w:val="both"/>
      </w:pPr>
    </w:p>
    <w:p w:rsidR="00F12451" w:rsidRPr="00805964" w:rsidRDefault="00F12451" w:rsidP="00A437D8">
      <w:pPr>
        <w:spacing w:line="360" w:lineRule="auto"/>
        <w:contextualSpacing/>
        <w:jc w:val="both"/>
      </w:pPr>
      <w:r w:rsidRPr="00805964">
        <w:t xml:space="preserve">HOLLӒNDER, Pavel. Základy všeobecné státovědy. Praha: </w:t>
      </w:r>
      <w:proofErr w:type="spellStart"/>
      <w:r w:rsidRPr="00805964">
        <w:t>Všehrd</w:t>
      </w:r>
      <w:proofErr w:type="spellEnd"/>
      <w:r w:rsidRPr="00805964">
        <w:t>, 1995</w:t>
      </w:r>
      <w:r w:rsidR="004E2457" w:rsidRPr="00805964">
        <w:t>.</w:t>
      </w:r>
      <w:r w:rsidRPr="00805964">
        <w:t xml:space="preserve"> </w:t>
      </w:r>
      <w:r w:rsidR="004E2457" w:rsidRPr="00805964">
        <w:t>173 s.</w:t>
      </w:r>
    </w:p>
    <w:p w:rsidR="00D73745" w:rsidRPr="00805964" w:rsidRDefault="00D73745" w:rsidP="00A437D8">
      <w:pPr>
        <w:spacing w:line="360" w:lineRule="auto"/>
        <w:contextualSpacing/>
        <w:jc w:val="both"/>
      </w:pPr>
    </w:p>
    <w:p w:rsidR="00F12451" w:rsidRPr="00805964" w:rsidRDefault="00F12451" w:rsidP="00A437D8">
      <w:pPr>
        <w:spacing w:line="360" w:lineRule="auto"/>
        <w:contextualSpacing/>
        <w:jc w:val="both"/>
      </w:pPr>
      <w:r w:rsidRPr="00805964">
        <w:t xml:space="preserve">KOLÁŘ, Petr a kol. </w:t>
      </w:r>
      <w:r w:rsidRPr="00805964">
        <w:rPr>
          <w:i/>
        </w:rPr>
        <w:t>Parlament České republiky 1993 – 2001</w:t>
      </w:r>
      <w:r w:rsidRPr="00805964">
        <w:t>. Pra</w:t>
      </w:r>
      <w:r w:rsidR="004E2457" w:rsidRPr="00805964">
        <w:t xml:space="preserve">ha: </w:t>
      </w:r>
      <w:proofErr w:type="spellStart"/>
      <w:r w:rsidR="004E2457" w:rsidRPr="00805964">
        <w:t>Linde</w:t>
      </w:r>
      <w:proofErr w:type="spellEnd"/>
      <w:r w:rsidR="004E2457" w:rsidRPr="00805964">
        <w:t xml:space="preserve"> Praha a. s., 2002. 296 s.</w:t>
      </w:r>
    </w:p>
    <w:p w:rsidR="00F12451" w:rsidRPr="00805964" w:rsidRDefault="00F12451" w:rsidP="00A437D8">
      <w:pPr>
        <w:spacing w:line="360" w:lineRule="auto"/>
        <w:contextualSpacing/>
        <w:jc w:val="both"/>
      </w:pPr>
    </w:p>
    <w:p w:rsidR="00F12451" w:rsidRPr="00805964" w:rsidRDefault="00F12451" w:rsidP="00A437D8">
      <w:pPr>
        <w:spacing w:line="360" w:lineRule="auto"/>
        <w:contextualSpacing/>
        <w:jc w:val="both"/>
      </w:pPr>
      <w:r w:rsidRPr="00805964">
        <w:t xml:space="preserve">KYSELA, Jan. </w:t>
      </w:r>
      <w:proofErr w:type="spellStart"/>
      <w:r w:rsidRPr="00805964">
        <w:t>Bikameralismus</w:t>
      </w:r>
      <w:proofErr w:type="spellEnd"/>
      <w:r w:rsidRPr="00805964">
        <w:t>. In KYSELA, Jan (</w:t>
      </w:r>
      <w:proofErr w:type="spellStart"/>
      <w:r w:rsidRPr="00805964">
        <w:t>ed</w:t>
      </w:r>
      <w:proofErr w:type="spellEnd"/>
      <w:r w:rsidRPr="00805964">
        <w:t xml:space="preserve">). </w:t>
      </w:r>
      <w:r w:rsidRPr="00805964">
        <w:rPr>
          <w:i/>
        </w:rPr>
        <w:t xml:space="preserve">Senát v České republice - proč </w:t>
      </w:r>
      <w:r w:rsidR="003A2CF3">
        <w:rPr>
          <w:i/>
        </w:rPr>
        <w:br/>
      </w:r>
      <w:r w:rsidRPr="00805964">
        <w:rPr>
          <w:i/>
        </w:rPr>
        <w:t>a jaký?</w:t>
      </w:r>
      <w:r w:rsidRPr="00805964">
        <w:t>. Praha: Kancelář Senátu, 1</w:t>
      </w:r>
      <w:r w:rsidR="001C20C2" w:rsidRPr="00805964">
        <w:t>999.</w:t>
      </w:r>
      <w:r w:rsidRPr="00805964">
        <w:t xml:space="preserve"> </w:t>
      </w:r>
      <w:r w:rsidR="003A01BE" w:rsidRPr="00805964">
        <w:t>127 s.</w:t>
      </w:r>
    </w:p>
    <w:p w:rsidR="00F12451" w:rsidRPr="00805964" w:rsidRDefault="00F12451" w:rsidP="00A437D8">
      <w:pPr>
        <w:spacing w:line="360" w:lineRule="auto"/>
        <w:contextualSpacing/>
        <w:jc w:val="both"/>
      </w:pPr>
    </w:p>
    <w:p w:rsidR="00F12451" w:rsidRPr="00805964" w:rsidRDefault="00F12451" w:rsidP="00A437D8">
      <w:pPr>
        <w:spacing w:line="360" w:lineRule="auto"/>
        <w:contextualSpacing/>
        <w:jc w:val="both"/>
      </w:pPr>
      <w:r w:rsidRPr="00805964">
        <w:t xml:space="preserve">KYSELA, Jan. </w:t>
      </w:r>
      <w:r w:rsidRPr="00805964">
        <w:rPr>
          <w:i/>
        </w:rPr>
        <w:t>Dvoukomorové systémy: Teorie, historie a srovnání dvoukomorových parlamentů</w:t>
      </w:r>
      <w:r w:rsidRPr="00805964">
        <w:t>. 1. vydání. Praha:</w:t>
      </w:r>
      <w:r w:rsidR="001C20C2" w:rsidRPr="00805964">
        <w:t xml:space="preserve"> EUROLEX BOHEMIA s. r. o., 2004.</w:t>
      </w:r>
      <w:r w:rsidRPr="00805964">
        <w:t xml:space="preserve"> </w:t>
      </w:r>
      <w:r w:rsidR="001C20C2" w:rsidRPr="00805964">
        <w:t>630 s</w:t>
      </w:r>
      <w:r w:rsidRPr="00805964">
        <w:t>.</w:t>
      </w:r>
    </w:p>
    <w:p w:rsidR="00F12451" w:rsidRPr="00805964" w:rsidRDefault="00F12451" w:rsidP="00A437D8">
      <w:pPr>
        <w:spacing w:line="360" w:lineRule="auto"/>
        <w:contextualSpacing/>
        <w:jc w:val="both"/>
      </w:pPr>
    </w:p>
    <w:p w:rsidR="00A437D8" w:rsidRDefault="00A437D8" w:rsidP="00A437D8">
      <w:pPr>
        <w:spacing w:line="360" w:lineRule="auto"/>
        <w:contextualSpacing/>
        <w:jc w:val="both"/>
      </w:pPr>
    </w:p>
    <w:p w:rsidR="00A437D8" w:rsidRDefault="00A437D8" w:rsidP="00A437D8">
      <w:pPr>
        <w:spacing w:line="360" w:lineRule="auto"/>
        <w:contextualSpacing/>
        <w:jc w:val="both"/>
      </w:pPr>
    </w:p>
    <w:p w:rsidR="00F12451" w:rsidRPr="00805964" w:rsidRDefault="00F12451" w:rsidP="00A437D8">
      <w:pPr>
        <w:spacing w:line="360" w:lineRule="auto"/>
        <w:contextualSpacing/>
        <w:jc w:val="both"/>
        <w:rPr>
          <w:iCs/>
        </w:rPr>
      </w:pPr>
      <w:r w:rsidRPr="00805964">
        <w:lastRenderedPageBreak/>
        <w:t xml:space="preserve">KYSELA, Jan. </w:t>
      </w:r>
      <w:r w:rsidRPr="00805964">
        <w:rPr>
          <w:i/>
          <w:iCs/>
        </w:rPr>
        <w:t xml:space="preserve">Senát Parlamentu České republiky v historickém a mezinárodním kontextu. Příspěvek ke studiu dvoukomorových soustav – část třetí – Dvoukomorové parlamenty v naší minulosti </w:t>
      </w:r>
      <w:r w:rsidRPr="00805964">
        <w:rPr>
          <w:iCs/>
        </w:rPr>
        <w:t>[online]. psp.cz, 1. června 2011 [cit. 15. května 2013]. Dostupné na</w:t>
      </w:r>
    </w:p>
    <w:p w:rsidR="00F12451" w:rsidRPr="00805964" w:rsidRDefault="00F12451" w:rsidP="00A437D8">
      <w:pPr>
        <w:spacing w:line="360" w:lineRule="auto"/>
        <w:contextualSpacing/>
        <w:jc w:val="both"/>
      </w:pPr>
      <w:r w:rsidRPr="00805964">
        <w:t xml:space="preserve"> &lt;</w:t>
      </w:r>
      <w:hyperlink r:id="rId57" w:history="1">
        <w:r w:rsidRPr="00805964">
          <w:rPr>
            <w:rStyle w:val="Hypertextovodkaz"/>
            <w:color w:val="auto"/>
            <w:szCs w:val="24"/>
          </w:rPr>
          <w:t>http://www.senat.cz/informace/z_historie/studie/sbornik/c3.php?ke_dni=1.6.2011&amp;O=9</w:t>
        </w:r>
      </w:hyperlink>
      <w:r w:rsidRPr="00805964">
        <w:t xml:space="preserve"> &gt;.</w:t>
      </w:r>
    </w:p>
    <w:p w:rsidR="00D73745" w:rsidRPr="00805964" w:rsidRDefault="00D73745" w:rsidP="00A437D8">
      <w:pPr>
        <w:spacing w:line="360" w:lineRule="auto"/>
        <w:contextualSpacing/>
        <w:jc w:val="both"/>
      </w:pPr>
    </w:p>
    <w:p w:rsidR="00F12451" w:rsidRPr="00805964" w:rsidRDefault="00F12451" w:rsidP="00A437D8">
      <w:pPr>
        <w:spacing w:line="360" w:lineRule="auto"/>
        <w:contextualSpacing/>
        <w:jc w:val="both"/>
      </w:pPr>
      <w:r w:rsidRPr="00805964">
        <w:t xml:space="preserve">KYSELA, Jan. </w:t>
      </w:r>
      <w:r w:rsidRPr="00805964">
        <w:rPr>
          <w:i/>
          <w:iCs/>
        </w:rPr>
        <w:t xml:space="preserve">Senát Parlamentu České republiky v historickém a mezinárodním kontextu. Příspěvek ke studiu dvoukomorových soustav – část čtvrtá – Senát v České republice </w:t>
      </w:r>
      <w:r w:rsidRPr="00805964">
        <w:rPr>
          <w:iCs/>
        </w:rPr>
        <w:t>[online]. psp.cz, 9. srpna 2010 [cit. 16. května 2013]. Dostupné na</w:t>
      </w:r>
      <w:r w:rsidRPr="00805964">
        <w:t xml:space="preserve"> &lt;</w:t>
      </w:r>
      <w:hyperlink r:id="rId58" w:history="1">
        <w:r w:rsidRPr="00805964">
          <w:rPr>
            <w:rStyle w:val="Hypertextovodkaz"/>
            <w:color w:val="auto"/>
            <w:szCs w:val="24"/>
          </w:rPr>
          <w:t>http://www.senat.cz/informace/z_historie/studie/sbornik/c4.php?ke_dni=9.8.2010&amp;O=8</w:t>
        </w:r>
      </w:hyperlink>
      <w:r w:rsidRPr="00805964">
        <w:t>&gt;.</w:t>
      </w:r>
    </w:p>
    <w:p w:rsidR="00F12451" w:rsidRPr="00805964" w:rsidRDefault="00F12451" w:rsidP="00A437D8">
      <w:pPr>
        <w:spacing w:line="360" w:lineRule="auto"/>
        <w:contextualSpacing/>
        <w:jc w:val="both"/>
      </w:pPr>
    </w:p>
    <w:p w:rsidR="00F12451" w:rsidRPr="00805964" w:rsidRDefault="00F12451" w:rsidP="00A437D8">
      <w:pPr>
        <w:spacing w:line="360" w:lineRule="auto"/>
        <w:contextualSpacing/>
        <w:jc w:val="both"/>
      </w:pPr>
      <w:r w:rsidRPr="00805964">
        <w:t xml:space="preserve">LIJPHART, </w:t>
      </w:r>
      <w:proofErr w:type="spellStart"/>
      <w:r w:rsidRPr="00805964">
        <w:t>Arendt</w:t>
      </w:r>
      <w:proofErr w:type="spellEnd"/>
      <w:r w:rsidRPr="00805964">
        <w:t xml:space="preserve">: </w:t>
      </w:r>
      <w:proofErr w:type="spellStart"/>
      <w:r w:rsidRPr="00805964">
        <w:rPr>
          <w:i/>
        </w:rPr>
        <w:t>Democracies</w:t>
      </w:r>
      <w:proofErr w:type="spellEnd"/>
      <w:r w:rsidRPr="00805964">
        <w:rPr>
          <w:i/>
        </w:rPr>
        <w:t xml:space="preserve">: </w:t>
      </w:r>
      <w:proofErr w:type="spellStart"/>
      <w:r w:rsidRPr="00805964">
        <w:rPr>
          <w:i/>
        </w:rPr>
        <w:t>Patterns</w:t>
      </w:r>
      <w:proofErr w:type="spellEnd"/>
      <w:r w:rsidRPr="00805964">
        <w:rPr>
          <w:i/>
        </w:rPr>
        <w:t xml:space="preserve"> </w:t>
      </w:r>
      <w:proofErr w:type="spellStart"/>
      <w:r w:rsidRPr="00805964">
        <w:rPr>
          <w:i/>
        </w:rPr>
        <w:t>of</w:t>
      </w:r>
      <w:proofErr w:type="spellEnd"/>
      <w:r w:rsidRPr="00805964">
        <w:rPr>
          <w:i/>
        </w:rPr>
        <w:t xml:space="preserve"> </w:t>
      </w:r>
      <w:proofErr w:type="spellStart"/>
      <w:r w:rsidRPr="00805964">
        <w:rPr>
          <w:i/>
        </w:rPr>
        <w:t>Majoritarian</w:t>
      </w:r>
      <w:proofErr w:type="spellEnd"/>
      <w:r w:rsidRPr="00805964">
        <w:rPr>
          <w:i/>
        </w:rPr>
        <w:t xml:space="preserve"> </w:t>
      </w:r>
      <w:proofErr w:type="spellStart"/>
      <w:r w:rsidRPr="00805964">
        <w:rPr>
          <w:i/>
        </w:rPr>
        <w:t>and</w:t>
      </w:r>
      <w:proofErr w:type="spellEnd"/>
      <w:r w:rsidRPr="00805964">
        <w:rPr>
          <w:i/>
        </w:rPr>
        <w:t xml:space="preserve"> </w:t>
      </w:r>
      <w:proofErr w:type="spellStart"/>
      <w:r w:rsidRPr="00805964">
        <w:rPr>
          <w:i/>
        </w:rPr>
        <w:t>Consensus</w:t>
      </w:r>
      <w:proofErr w:type="spellEnd"/>
      <w:r w:rsidRPr="00805964">
        <w:rPr>
          <w:i/>
        </w:rPr>
        <w:t xml:space="preserve"> </w:t>
      </w:r>
      <w:proofErr w:type="spellStart"/>
      <w:r w:rsidRPr="00805964">
        <w:rPr>
          <w:i/>
        </w:rPr>
        <w:t>Government</w:t>
      </w:r>
      <w:proofErr w:type="spellEnd"/>
      <w:r w:rsidRPr="00805964">
        <w:rPr>
          <w:i/>
        </w:rPr>
        <w:t xml:space="preserve"> in </w:t>
      </w:r>
      <w:proofErr w:type="spellStart"/>
      <w:r w:rsidRPr="00805964">
        <w:rPr>
          <w:i/>
        </w:rPr>
        <w:t>Twenty</w:t>
      </w:r>
      <w:proofErr w:type="spellEnd"/>
      <w:r w:rsidRPr="00805964">
        <w:rPr>
          <w:i/>
        </w:rPr>
        <w:t>-</w:t>
      </w:r>
      <w:proofErr w:type="spellStart"/>
      <w:r w:rsidRPr="00805964">
        <w:rPr>
          <w:i/>
        </w:rPr>
        <w:t>One</w:t>
      </w:r>
      <w:proofErr w:type="spellEnd"/>
      <w:r w:rsidRPr="00805964">
        <w:rPr>
          <w:i/>
        </w:rPr>
        <w:t xml:space="preserve"> </w:t>
      </w:r>
      <w:proofErr w:type="spellStart"/>
      <w:r w:rsidRPr="00805964">
        <w:rPr>
          <w:i/>
        </w:rPr>
        <w:t>Countries</w:t>
      </w:r>
      <w:proofErr w:type="spellEnd"/>
      <w:r w:rsidRPr="00805964">
        <w:rPr>
          <w:i/>
        </w:rPr>
        <w:t>.</w:t>
      </w:r>
      <w:r w:rsidRPr="00805964">
        <w:t xml:space="preserve"> New </w:t>
      </w:r>
      <w:proofErr w:type="spellStart"/>
      <w:r w:rsidRPr="00805964">
        <w:t>Hav</w:t>
      </w:r>
      <w:r w:rsidR="00886EA1" w:rsidRPr="00805964">
        <w:t>en</w:t>
      </w:r>
      <w:proofErr w:type="spellEnd"/>
      <w:r w:rsidR="00886EA1" w:rsidRPr="00805964">
        <w:t xml:space="preserve">: </w:t>
      </w:r>
      <w:proofErr w:type="spellStart"/>
      <w:r w:rsidR="00886EA1" w:rsidRPr="00805964">
        <w:t>Yale</w:t>
      </w:r>
      <w:proofErr w:type="spellEnd"/>
      <w:r w:rsidR="00886EA1" w:rsidRPr="00805964">
        <w:t xml:space="preserve"> University </w:t>
      </w:r>
      <w:proofErr w:type="spellStart"/>
      <w:r w:rsidR="00886EA1" w:rsidRPr="00805964">
        <w:t>Press</w:t>
      </w:r>
      <w:proofErr w:type="spellEnd"/>
      <w:r w:rsidR="00886EA1" w:rsidRPr="00805964">
        <w:t>, 1984.</w:t>
      </w:r>
      <w:r w:rsidRPr="00805964">
        <w:t xml:space="preserve"> </w:t>
      </w:r>
      <w:r w:rsidR="00886EA1" w:rsidRPr="00805964">
        <w:t>232 s.</w:t>
      </w:r>
    </w:p>
    <w:p w:rsidR="00D73745" w:rsidRPr="00805964" w:rsidRDefault="00D73745" w:rsidP="00A437D8">
      <w:pPr>
        <w:spacing w:line="360" w:lineRule="auto"/>
        <w:contextualSpacing/>
        <w:jc w:val="both"/>
      </w:pPr>
    </w:p>
    <w:p w:rsidR="00F12451" w:rsidRPr="00805964" w:rsidRDefault="00F12451" w:rsidP="00A437D8">
      <w:pPr>
        <w:spacing w:line="360" w:lineRule="auto"/>
        <w:contextualSpacing/>
        <w:jc w:val="both"/>
      </w:pPr>
      <w:r w:rsidRPr="00805964">
        <w:t xml:space="preserve">LIJPHART, </w:t>
      </w:r>
      <w:proofErr w:type="spellStart"/>
      <w:r w:rsidRPr="00805964">
        <w:t>Arendt</w:t>
      </w:r>
      <w:proofErr w:type="spellEnd"/>
      <w:r w:rsidRPr="00805964">
        <w:t xml:space="preserve">. </w:t>
      </w:r>
      <w:proofErr w:type="spellStart"/>
      <w:r w:rsidRPr="00805964">
        <w:rPr>
          <w:i/>
        </w:rPr>
        <w:t>Patterns</w:t>
      </w:r>
      <w:proofErr w:type="spellEnd"/>
      <w:r w:rsidRPr="00805964">
        <w:rPr>
          <w:i/>
        </w:rPr>
        <w:t xml:space="preserve"> </w:t>
      </w:r>
      <w:proofErr w:type="spellStart"/>
      <w:r w:rsidRPr="00805964">
        <w:rPr>
          <w:i/>
        </w:rPr>
        <w:t>of</w:t>
      </w:r>
      <w:proofErr w:type="spellEnd"/>
      <w:r w:rsidRPr="00805964">
        <w:rPr>
          <w:i/>
        </w:rPr>
        <w:t xml:space="preserve"> </w:t>
      </w:r>
      <w:proofErr w:type="spellStart"/>
      <w:r w:rsidRPr="00805964">
        <w:rPr>
          <w:i/>
        </w:rPr>
        <w:t>Democracy</w:t>
      </w:r>
      <w:proofErr w:type="spellEnd"/>
      <w:r w:rsidRPr="00805964">
        <w:rPr>
          <w:i/>
        </w:rPr>
        <w:t xml:space="preserve">: </w:t>
      </w:r>
      <w:proofErr w:type="spellStart"/>
      <w:r w:rsidRPr="00805964">
        <w:rPr>
          <w:i/>
        </w:rPr>
        <w:t>government</w:t>
      </w:r>
      <w:proofErr w:type="spellEnd"/>
      <w:r w:rsidRPr="00805964">
        <w:rPr>
          <w:i/>
        </w:rPr>
        <w:t xml:space="preserve"> </w:t>
      </w:r>
      <w:proofErr w:type="spellStart"/>
      <w:r w:rsidRPr="00805964">
        <w:rPr>
          <w:i/>
        </w:rPr>
        <w:t>forms</w:t>
      </w:r>
      <w:proofErr w:type="spellEnd"/>
      <w:r w:rsidRPr="00805964">
        <w:rPr>
          <w:i/>
        </w:rPr>
        <w:t xml:space="preserve"> </w:t>
      </w:r>
      <w:proofErr w:type="spellStart"/>
      <w:r w:rsidRPr="00805964">
        <w:rPr>
          <w:i/>
        </w:rPr>
        <w:t>and</w:t>
      </w:r>
      <w:proofErr w:type="spellEnd"/>
      <w:r w:rsidRPr="00805964">
        <w:rPr>
          <w:i/>
        </w:rPr>
        <w:t xml:space="preserve"> performance in </w:t>
      </w:r>
      <w:proofErr w:type="spellStart"/>
      <w:r w:rsidRPr="00805964">
        <w:rPr>
          <w:i/>
        </w:rPr>
        <w:t>thirty</w:t>
      </w:r>
      <w:proofErr w:type="spellEnd"/>
      <w:r w:rsidRPr="00805964">
        <w:rPr>
          <w:i/>
        </w:rPr>
        <w:t>-</w:t>
      </w:r>
      <w:proofErr w:type="spellStart"/>
      <w:r w:rsidRPr="00805964">
        <w:rPr>
          <w:i/>
        </w:rPr>
        <w:t>six</w:t>
      </w:r>
      <w:proofErr w:type="spellEnd"/>
      <w:r w:rsidRPr="00805964">
        <w:rPr>
          <w:i/>
        </w:rPr>
        <w:t xml:space="preserve"> </w:t>
      </w:r>
      <w:proofErr w:type="spellStart"/>
      <w:r w:rsidRPr="00805964">
        <w:rPr>
          <w:i/>
        </w:rPr>
        <w:t>countries</w:t>
      </w:r>
      <w:proofErr w:type="spellEnd"/>
      <w:r w:rsidRPr="00805964">
        <w:t xml:space="preserve">. New </w:t>
      </w:r>
      <w:proofErr w:type="spellStart"/>
      <w:r w:rsidRPr="00805964">
        <w:t>Hav</w:t>
      </w:r>
      <w:r w:rsidR="00886EA1" w:rsidRPr="00805964">
        <w:t>en</w:t>
      </w:r>
      <w:proofErr w:type="spellEnd"/>
      <w:r w:rsidR="00886EA1" w:rsidRPr="00805964">
        <w:t xml:space="preserve">: </w:t>
      </w:r>
      <w:proofErr w:type="spellStart"/>
      <w:r w:rsidR="00886EA1" w:rsidRPr="00805964">
        <w:t>Yale</w:t>
      </w:r>
      <w:proofErr w:type="spellEnd"/>
      <w:r w:rsidR="00886EA1" w:rsidRPr="00805964">
        <w:t xml:space="preserve"> University </w:t>
      </w:r>
      <w:proofErr w:type="spellStart"/>
      <w:r w:rsidR="00886EA1" w:rsidRPr="00805964">
        <w:t>Press</w:t>
      </w:r>
      <w:proofErr w:type="spellEnd"/>
      <w:r w:rsidR="00886EA1" w:rsidRPr="00805964">
        <w:t>, 1999.</w:t>
      </w:r>
      <w:r w:rsidRPr="00805964">
        <w:t xml:space="preserve"> </w:t>
      </w:r>
      <w:r w:rsidR="00886EA1" w:rsidRPr="00805964">
        <w:t>368 s.</w:t>
      </w:r>
    </w:p>
    <w:p w:rsidR="00F12451" w:rsidRPr="00805964" w:rsidRDefault="00F12451" w:rsidP="00A437D8">
      <w:pPr>
        <w:spacing w:line="360" w:lineRule="auto"/>
        <w:contextualSpacing/>
        <w:jc w:val="both"/>
      </w:pPr>
    </w:p>
    <w:p w:rsidR="00F12451" w:rsidRPr="00805964" w:rsidRDefault="00F12451" w:rsidP="00A437D8">
      <w:pPr>
        <w:spacing w:line="360" w:lineRule="auto"/>
        <w:contextualSpacing/>
        <w:jc w:val="both"/>
      </w:pPr>
      <w:r w:rsidRPr="00805964">
        <w:t xml:space="preserve">PATTERSON, Samuel C., MUGHAN, </w:t>
      </w:r>
      <w:proofErr w:type="spellStart"/>
      <w:r w:rsidRPr="00805964">
        <w:t>Anthony</w:t>
      </w:r>
      <w:proofErr w:type="spellEnd"/>
      <w:r w:rsidRPr="00805964">
        <w:t xml:space="preserve">. </w:t>
      </w:r>
      <w:proofErr w:type="spellStart"/>
      <w:r w:rsidRPr="00805964">
        <w:t>Senates</w:t>
      </w:r>
      <w:proofErr w:type="spellEnd"/>
      <w:r w:rsidRPr="00805964">
        <w:t xml:space="preserve"> </w:t>
      </w:r>
      <w:proofErr w:type="spellStart"/>
      <w:r w:rsidRPr="00805964">
        <w:t>and</w:t>
      </w:r>
      <w:proofErr w:type="spellEnd"/>
      <w:r w:rsidRPr="00805964">
        <w:t xml:space="preserve"> </w:t>
      </w:r>
      <w:proofErr w:type="spellStart"/>
      <w:r w:rsidRPr="00805964">
        <w:t>the</w:t>
      </w:r>
      <w:proofErr w:type="spellEnd"/>
      <w:r w:rsidRPr="00805964">
        <w:t xml:space="preserve"> </w:t>
      </w:r>
      <w:proofErr w:type="spellStart"/>
      <w:r w:rsidRPr="00805964">
        <w:t>Theory</w:t>
      </w:r>
      <w:proofErr w:type="spellEnd"/>
      <w:r w:rsidRPr="00805964">
        <w:t xml:space="preserve"> </w:t>
      </w:r>
      <w:proofErr w:type="spellStart"/>
      <w:r w:rsidRPr="00805964">
        <w:t>of</w:t>
      </w:r>
      <w:proofErr w:type="spellEnd"/>
      <w:r w:rsidRPr="00805964">
        <w:t xml:space="preserve"> </w:t>
      </w:r>
      <w:proofErr w:type="spellStart"/>
      <w:r w:rsidRPr="00805964">
        <w:t>Bicameralism</w:t>
      </w:r>
      <w:proofErr w:type="spellEnd"/>
      <w:r w:rsidRPr="00805964">
        <w:t xml:space="preserve">. In PATTERSON, Samuel C., MUGHAN, </w:t>
      </w:r>
      <w:proofErr w:type="spellStart"/>
      <w:r w:rsidRPr="00805964">
        <w:t>Anthony</w:t>
      </w:r>
      <w:proofErr w:type="spellEnd"/>
      <w:r w:rsidRPr="00805964">
        <w:t xml:space="preserve"> (</w:t>
      </w:r>
      <w:proofErr w:type="spellStart"/>
      <w:r w:rsidRPr="00805964">
        <w:t>eds</w:t>
      </w:r>
      <w:proofErr w:type="spellEnd"/>
      <w:r w:rsidRPr="00805964">
        <w:t xml:space="preserve">). </w:t>
      </w:r>
      <w:proofErr w:type="spellStart"/>
      <w:r w:rsidRPr="00805964">
        <w:rPr>
          <w:i/>
        </w:rPr>
        <w:t>Senates</w:t>
      </w:r>
      <w:proofErr w:type="spellEnd"/>
      <w:r w:rsidRPr="00805964">
        <w:rPr>
          <w:i/>
        </w:rPr>
        <w:t xml:space="preserve">: </w:t>
      </w:r>
      <w:proofErr w:type="spellStart"/>
      <w:r w:rsidRPr="00805964">
        <w:rPr>
          <w:i/>
        </w:rPr>
        <w:t>Bicameralism</w:t>
      </w:r>
      <w:proofErr w:type="spellEnd"/>
      <w:r w:rsidRPr="00805964">
        <w:rPr>
          <w:i/>
        </w:rPr>
        <w:t xml:space="preserve"> in </w:t>
      </w:r>
      <w:proofErr w:type="spellStart"/>
      <w:r w:rsidRPr="00805964">
        <w:rPr>
          <w:i/>
        </w:rPr>
        <w:t>the</w:t>
      </w:r>
      <w:proofErr w:type="spellEnd"/>
      <w:r w:rsidRPr="00805964">
        <w:rPr>
          <w:i/>
        </w:rPr>
        <w:t xml:space="preserve"> </w:t>
      </w:r>
      <w:proofErr w:type="spellStart"/>
      <w:r w:rsidRPr="00805964">
        <w:rPr>
          <w:i/>
        </w:rPr>
        <w:t>contemporary</w:t>
      </w:r>
      <w:proofErr w:type="spellEnd"/>
      <w:r w:rsidRPr="00805964">
        <w:rPr>
          <w:i/>
        </w:rPr>
        <w:t xml:space="preserve"> </w:t>
      </w:r>
      <w:proofErr w:type="spellStart"/>
      <w:r w:rsidRPr="00805964">
        <w:rPr>
          <w:i/>
        </w:rPr>
        <w:t>world</w:t>
      </w:r>
      <w:proofErr w:type="spellEnd"/>
      <w:r w:rsidRPr="00805964">
        <w:t xml:space="preserve">. </w:t>
      </w:r>
      <w:proofErr w:type="spellStart"/>
      <w:r w:rsidRPr="00805964">
        <w:t>Columbus</w:t>
      </w:r>
      <w:proofErr w:type="spellEnd"/>
      <w:r w:rsidRPr="00805964">
        <w:t xml:space="preserve">: Ohio </w:t>
      </w:r>
      <w:proofErr w:type="spellStart"/>
      <w:r w:rsidRPr="00805964">
        <w:t>State</w:t>
      </w:r>
      <w:proofErr w:type="spellEnd"/>
      <w:r w:rsidRPr="00805964">
        <w:t xml:space="preserve"> Universi</w:t>
      </w:r>
      <w:r w:rsidR="00886EA1" w:rsidRPr="00805964">
        <w:t xml:space="preserve">ty </w:t>
      </w:r>
      <w:proofErr w:type="spellStart"/>
      <w:r w:rsidR="00886EA1" w:rsidRPr="00805964">
        <w:t>Press</w:t>
      </w:r>
      <w:proofErr w:type="spellEnd"/>
      <w:r w:rsidR="00886EA1" w:rsidRPr="00805964">
        <w:t>.</w:t>
      </w:r>
      <w:r w:rsidRPr="00805964">
        <w:t xml:space="preserve"> </w:t>
      </w:r>
      <w:r w:rsidR="00886EA1" w:rsidRPr="00805964">
        <w:t>304 s.</w:t>
      </w:r>
    </w:p>
    <w:p w:rsidR="00F12451" w:rsidRPr="00805964" w:rsidRDefault="00F12451" w:rsidP="00A437D8">
      <w:pPr>
        <w:spacing w:line="360" w:lineRule="auto"/>
        <w:contextualSpacing/>
        <w:jc w:val="both"/>
      </w:pPr>
    </w:p>
    <w:p w:rsidR="00F12451" w:rsidRPr="00805964" w:rsidRDefault="00F12451" w:rsidP="00A437D8">
      <w:pPr>
        <w:spacing w:line="360" w:lineRule="auto"/>
        <w:contextualSpacing/>
        <w:jc w:val="both"/>
      </w:pPr>
      <w:r w:rsidRPr="00805964">
        <w:t xml:space="preserve">RESCHOVÁ, Jana. Druhé komory v evropských parlamentech. </w:t>
      </w:r>
      <w:r w:rsidRPr="00805964">
        <w:rPr>
          <w:i/>
        </w:rPr>
        <w:t>Politologická revue</w:t>
      </w:r>
      <w:r w:rsidRPr="00805964">
        <w:t xml:space="preserve">, 1997, </w:t>
      </w:r>
      <w:proofErr w:type="spellStart"/>
      <w:r w:rsidRPr="00805964">
        <w:t>roč</w:t>
      </w:r>
      <w:proofErr w:type="spellEnd"/>
      <w:r w:rsidRPr="00805964">
        <w:t>. 4, č. 1, s. 2</w:t>
      </w:r>
      <w:r w:rsidR="00886EA1" w:rsidRPr="00805964">
        <w:t>0 – 40.</w:t>
      </w:r>
    </w:p>
    <w:p w:rsidR="00D73745" w:rsidRPr="00805964" w:rsidRDefault="00D73745" w:rsidP="00A437D8">
      <w:pPr>
        <w:spacing w:line="360" w:lineRule="auto"/>
        <w:contextualSpacing/>
        <w:jc w:val="both"/>
      </w:pPr>
    </w:p>
    <w:p w:rsidR="00F12451" w:rsidRPr="00805964" w:rsidRDefault="00F12451" w:rsidP="00A437D8">
      <w:pPr>
        <w:spacing w:line="360" w:lineRule="auto"/>
        <w:contextualSpacing/>
        <w:jc w:val="both"/>
      </w:pPr>
      <w:r w:rsidRPr="00805964">
        <w:t xml:space="preserve">RUSSELL, </w:t>
      </w:r>
      <w:proofErr w:type="spellStart"/>
      <w:r w:rsidRPr="00805964">
        <w:t>Meg</w:t>
      </w:r>
      <w:proofErr w:type="spellEnd"/>
      <w:r w:rsidRPr="00805964">
        <w:t xml:space="preserve">: </w:t>
      </w:r>
      <w:proofErr w:type="spellStart"/>
      <w:r w:rsidRPr="00805964">
        <w:t>What</w:t>
      </w:r>
      <w:proofErr w:type="spellEnd"/>
      <w:r w:rsidRPr="00805964">
        <w:t xml:space="preserve"> are </w:t>
      </w:r>
      <w:proofErr w:type="spellStart"/>
      <w:r w:rsidRPr="00805964">
        <w:t>Second</w:t>
      </w:r>
      <w:proofErr w:type="spellEnd"/>
      <w:r w:rsidRPr="00805964">
        <w:t xml:space="preserve"> </w:t>
      </w:r>
      <w:proofErr w:type="spellStart"/>
      <w:r w:rsidRPr="00805964">
        <w:t>Chambers</w:t>
      </w:r>
      <w:proofErr w:type="spellEnd"/>
      <w:r w:rsidRPr="00805964">
        <w:t xml:space="preserve"> </w:t>
      </w:r>
      <w:proofErr w:type="spellStart"/>
      <w:r w:rsidRPr="00805964">
        <w:t>for</w:t>
      </w:r>
      <w:proofErr w:type="spellEnd"/>
      <w:r w:rsidRPr="00805964">
        <w:t xml:space="preserve">?. </w:t>
      </w:r>
      <w:proofErr w:type="spellStart"/>
      <w:r w:rsidRPr="00805964">
        <w:rPr>
          <w:i/>
        </w:rPr>
        <w:t>Parliamentary</w:t>
      </w:r>
      <w:proofErr w:type="spellEnd"/>
      <w:r w:rsidRPr="00805964">
        <w:rPr>
          <w:i/>
        </w:rPr>
        <w:t xml:space="preserve"> </w:t>
      </w:r>
      <w:proofErr w:type="spellStart"/>
      <w:r w:rsidRPr="00805964">
        <w:rPr>
          <w:i/>
        </w:rPr>
        <w:t>Affairs</w:t>
      </w:r>
      <w:proofErr w:type="spellEnd"/>
      <w:r w:rsidRPr="00805964">
        <w:t xml:space="preserve">, 2001, </w:t>
      </w:r>
      <w:proofErr w:type="spellStart"/>
      <w:r w:rsidRPr="00805964">
        <w:t>roč</w:t>
      </w:r>
      <w:proofErr w:type="spellEnd"/>
      <w:r w:rsidRPr="00805964">
        <w:t xml:space="preserve">. 54, č. 3, s. </w:t>
      </w:r>
      <w:r w:rsidR="00886EA1" w:rsidRPr="00805964">
        <w:t>442 – 458.</w:t>
      </w:r>
    </w:p>
    <w:p w:rsidR="00D73745" w:rsidRPr="00805964" w:rsidRDefault="00D73745" w:rsidP="00A437D8">
      <w:pPr>
        <w:spacing w:line="360" w:lineRule="auto"/>
        <w:contextualSpacing/>
        <w:jc w:val="both"/>
      </w:pPr>
    </w:p>
    <w:p w:rsidR="00F12451" w:rsidRPr="00805964" w:rsidRDefault="00F12451" w:rsidP="00A437D8">
      <w:pPr>
        <w:spacing w:line="360" w:lineRule="auto"/>
        <w:contextualSpacing/>
        <w:jc w:val="both"/>
        <w:rPr>
          <w:iCs/>
        </w:rPr>
      </w:pPr>
      <w:r w:rsidRPr="00805964">
        <w:t xml:space="preserve">SHUGART, </w:t>
      </w:r>
      <w:proofErr w:type="spellStart"/>
      <w:r w:rsidRPr="00805964">
        <w:t>Matthew</w:t>
      </w:r>
      <w:proofErr w:type="spellEnd"/>
      <w:r w:rsidRPr="00805964">
        <w:t xml:space="preserve"> S., CAREY, John M. </w:t>
      </w:r>
      <w:proofErr w:type="spellStart"/>
      <w:r w:rsidRPr="00805964">
        <w:rPr>
          <w:i/>
        </w:rPr>
        <w:t>Presidents</w:t>
      </w:r>
      <w:proofErr w:type="spellEnd"/>
      <w:r w:rsidRPr="00805964">
        <w:rPr>
          <w:i/>
        </w:rPr>
        <w:t xml:space="preserve"> </w:t>
      </w:r>
      <w:proofErr w:type="spellStart"/>
      <w:r w:rsidRPr="00805964">
        <w:rPr>
          <w:i/>
          <w:iCs/>
        </w:rPr>
        <w:t>and</w:t>
      </w:r>
      <w:proofErr w:type="spellEnd"/>
      <w:r w:rsidRPr="00805964">
        <w:rPr>
          <w:i/>
          <w:iCs/>
        </w:rPr>
        <w:t xml:space="preserve"> </w:t>
      </w:r>
      <w:proofErr w:type="spellStart"/>
      <w:r w:rsidRPr="00805964">
        <w:rPr>
          <w:i/>
          <w:iCs/>
        </w:rPr>
        <w:t>Assemblies</w:t>
      </w:r>
      <w:proofErr w:type="spellEnd"/>
      <w:r w:rsidRPr="00805964">
        <w:rPr>
          <w:i/>
          <w:iCs/>
        </w:rPr>
        <w:t xml:space="preserve">: </w:t>
      </w:r>
      <w:proofErr w:type="spellStart"/>
      <w:r w:rsidRPr="00805964">
        <w:rPr>
          <w:i/>
          <w:iCs/>
        </w:rPr>
        <w:t>Constitutional</w:t>
      </w:r>
      <w:proofErr w:type="spellEnd"/>
      <w:r w:rsidRPr="00805964">
        <w:rPr>
          <w:i/>
          <w:iCs/>
        </w:rPr>
        <w:t xml:space="preserve"> design </w:t>
      </w:r>
      <w:proofErr w:type="spellStart"/>
      <w:r w:rsidRPr="00805964">
        <w:rPr>
          <w:i/>
          <w:iCs/>
        </w:rPr>
        <w:t>and</w:t>
      </w:r>
      <w:proofErr w:type="spellEnd"/>
      <w:r w:rsidRPr="00805964">
        <w:rPr>
          <w:i/>
          <w:iCs/>
        </w:rPr>
        <w:t xml:space="preserve"> </w:t>
      </w:r>
      <w:proofErr w:type="spellStart"/>
      <w:r w:rsidRPr="00805964">
        <w:rPr>
          <w:i/>
          <w:iCs/>
        </w:rPr>
        <w:t>electoral</w:t>
      </w:r>
      <w:proofErr w:type="spellEnd"/>
      <w:r w:rsidRPr="00805964">
        <w:rPr>
          <w:i/>
          <w:iCs/>
        </w:rPr>
        <w:t xml:space="preserve"> </w:t>
      </w:r>
      <w:proofErr w:type="spellStart"/>
      <w:r w:rsidRPr="00805964">
        <w:rPr>
          <w:i/>
          <w:iCs/>
        </w:rPr>
        <w:t>dynamics</w:t>
      </w:r>
      <w:proofErr w:type="spellEnd"/>
      <w:r w:rsidRPr="00805964">
        <w:rPr>
          <w:iCs/>
        </w:rPr>
        <w:t>. Cambridge: C</w:t>
      </w:r>
      <w:r w:rsidR="00886EA1" w:rsidRPr="00805964">
        <w:rPr>
          <w:iCs/>
        </w:rPr>
        <w:t xml:space="preserve">ambridge University </w:t>
      </w:r>
      <w:proofErr w:type="spellStart"/>
      <w:r w:rsidR="00886EA1" w:rsidRPr="00805964">
        <w:rPr>
          <w:iCs/>
        </w:rPr>
        <w:t>Press</w:t>
      </w:r>
      <w:proofErr w:type="spellEnd"/>
      <w:r w:rsidR="00886EA1" w:rsidRPr="00805964">
        <w:rPr>
          <w:iCs/>
        </w:rPr>
        <w:t>, 1992.</w:t>
      </w:r>
      <w:r w:rsidRPr="00805964">
        <w:rPr>
          <w:iCs/>
        </w:rPr>
        <w:t xml:space="preserve"> </w:t>
      </w:r>
      <w:r w:rsidR="00886EA1" w:rsidRPr="00805964">
        <w:rPr>
          <w:iCs/>
        </w:rPr>
        <w:t>316 s.</w:t>
      </w:r>
    </w:p>
    <w:p w:rsidR="00F12451" w:rsidRPr="00805964" w:rsidRDefault="00F12451" w:rsidP="00A437D8">
      <w:pPr>
        <w:spacing w:line="360" w:lineRule="auto"/>
        <w:contextualSpacing/>
        <w:jc w:val="both"/>
        <w:rPr>
          <w:iCs/>
        </w:rPr>
      </w:pPr>
    </w:p>
    <w:p w:rsidR="00F12451" w:rsidRPr="00805964" w:rsidRDefault="00F12451" w:rsidP="00A437D8">
      <w:pPr>
        <w:spacing w:line="360" w:lineRule="auto"/>
        <w:contextualSpacing/>
        <w:jc w:val="both"/>
      </w:pPr>
      <w:r w:rsidRPr="00805964">
        <w:t xml:space="preserve">SUCHÁNEK, Radovan,  JIRÁSKOVÁ, Věra a kol. </w:t>
      </w:r>
      <w:r w:rsidRPr="00805964">
        <w:rPr>
          <w:i/>
          <w:iCs/>
        </w:rPr>
        <w:t>Ústava České republiky v praxi. 15 let platnosti základního zákona</w:t>
      </w:r>
      <w:r w:rsidRPr="00805964">
        <w:t xml:space="preserve">. Praha: </w:t>
      </w:r>
      <w:proofErr w:type="spellStart"/>
      <w:r w:rsidRPr="00805964">
        <w:t>Leges</w:t>
      </w:r>
      <w:proofErr w:type="spellEnd"/>
      <w:r w:rsidRPr="00805964">
        <w:t xml:space="preserve">, </w:t>
      </w:r>
      <w:r w:rsidR="00B14AFB" w:rsidRPr="00805964">
        <w:t>2009.</w:t>
      </w:r>
      <w:r w:rsidRPr="00805964">
        <w:t xml:space="preserve"> </w:t>
      </w:r>
      <w:r w:rsidR="00B14AFB" w:rsidRPr="00805964">
        <w:t>384 s.</w:t>
      </w:r>
    </w:p>
    <w:p w:rsidR="00744870" w:rsidRPr="00805964" w:rsidRDefault="00744870" w:rsidP="00A437D8">
      <w:pPr>
        <w:spacing w:line="360" w:lineRule="auto"/>
        <w:contextualSpacing/>
        <w:jc w:val="both"/>
      </w:pPr>
    </w:p>
    <w:p w:rsidR="00744870" w:rsidRPr="00805964" w:rsidRDefault="00744870" w:rsidP="00A437D8">
      <w:pPr>
        <w:spacing w:line="360" w:lineRule="auto"/>
        <w:contextualSpacing/>
        <w:jc w:val="both"/>
      </w:pPr>
      <w:r w:rsidRPr="00805964">
        <w:t xml:space="preserve">SYLLOVÁ, Jindřiška a kol. </w:t>
      </w:r>
      <w:r w:rsidRPr="00805964">
        <w:rPr>
          <w:i/>
        </w:rPr>
        <w:t>Parlament České republiky</w:t>
      </w:r>
      <w:r w:rsidRPr="00805964">
        <w:t xml:space="preserve">. 2. vydání. Praha: </w:t>
      </w:r>
      <w:proofErr w:type="spellStart"/>
      <w:r w:rsidRPr="00805964">
        <w:t>Linde</w:t>
      </w:r>
      <w:proofErr w:type="spellEnd"/>
      <w:r w:rsidRPr="00805964">
        <w:t>, 2008. 477 s.</w:t>
      </w:r>
    </w:p>
    <w:p w:rsidR="00F12451" w:rsidRPr="00805964" w:rsidRDefault="00F12451" w:rsidP="00A437D8">
      <w:pPr>
        <w:spacing w:line="360" w:lineRule="auto"/>
        <w:contextualSpacing/>
        <w:jc w:val="both"/>
      </w:pPr>
    </w:p>
    <w:p w:rsidR="00683E3E" w:rsidRPr="00805964" w:rsidRDefault="00F12451" w:rsidP="00A437D8">
      <w:pPr>
        <w:spacing w:line="360" w:lineRule="auto"/>
        <w:contextualSpacing/>
        <w:jc w:val="both"/>
      </w:pPr>
      <w:r w:rsidRPr="00805964">
        <w:lastRenderedPageBreak/>
        <w:t xml:space="preserve">TSEBELIS, </w:t>
      </w:r>
      <w:proofErr w:type="spellStart"/>
      <w:r w:rsidRPr="00805964">
        <w:t>George</w:t>
      </w:r>
      <w:proofErr w:type="spellEnd"/>
      <w:r w:rsidRPr="00805964">
        <w:t xml:space="preserve">, MONEY, </w:t>
      </w:r>
      <w:proofErr w:type="spellStart"/>
      <w:r w:rsidRPr="00805964">
        <w:t>Jeannette</w:t>
      </w:r>
      <w:proofErr w:type="spellEnd"/>
      <w:r w:rsidRPr="00805964">
        <w:t xml:space="preserve">. </w:t>
      </w:r>
      <w:proofErr w:type="spellStart"/>
      <w:r w:rsidRPr="00805964">
        <w:rPr>
          <w:i/>
        </w:rPr>
        <w:t>Bicameralism</w:t>
      </w:r>
      <w:proofErr w:type="spellEnd"/>
      <w:r w:rsidRPr="00805964">
        <w:t>. Cambridge: Cambridg</w:t>
      </w:r>
      <w:r w:rsidR="00744870" w:rsidRPr="00805964">
        <w:t xml:space="preserve">e University </w:t>
      </w:r>
      <w:proofErr w:type="spellStart"/>
      <w:r w:rsidR="00744870" w:rsidRPr="00805964">
        <w:t>Press</w:t>
      </w:r>
      <w:proofErr w:type="spellEnd"/>
      <w:r w:rsidR="00744870" w:rsidRPr="00805964">
        <w:t>, 1997. 268 s.</w:t>
      </w:r>
    </w:p>
    <w:p w:rsidR="00744870" w:rsidRPr="00805964" w:rsidRDefault="00744870" w:rsidP="00A437D8">
      <w:pPr>
        <w:pStyle w:val="Nadpis1"/>
        <w:contextualSpacing/>
        <w:jc w:val="both"/>
      </w:pPr>
    </w:p>
    <w:p w:rsidR="00744870" w:rsidRPr="00805964" w:rsidRDefault="00744870" w:rsidP="00A437D8">
      <w:pPr>
        <w:pStyle w:val="Nadpis1"/>
        <w:contextualSpacing/>
        <w:jc w:val="both"/>
      </w:pPr>
    </w:p>
    <w:p w:rsidR="00744870" w:rsidRPr="00805964" w:rsidRDefault="00744870" w:rsidP="00A437D8">
      <w:pPr>
        <w:contextualSpacing/>
      </w:pPr>
    </w:p>
    <w:p w:rsidR="00821F57" w:rsidRPr="00805964" w:rsidRDefault="00821F57" w:rsidP="00744870"/>
    <w:p w:rsidR="00821F57" w:rsidRPr="00805964" w:rsidRDefault="00821F57" w:rsidP="00744870"/>
    <w:p w:rsidR="00821F57" w:rsidRPr="00805964" w:rsidRDefault="00821F57" w:rsidP="00744870"/>
    <w:p w:rsidR="00821F57" w:rsidRPr="00805964" w:rsidRDefault="00821F57" w:rsidP="00744870"/>
    <w:p w:rsidR="00821F57" w:rsidRDefault="00821F57" w:rsidP="00744870"/>
    <w:p w:rsidR="00A437D8" w:rsidRDefault="00A437D8" w:rsidP="00744870"/>
    <w:p w:rsidR="00A437D8" w:rsidRDefault="00A437D8" w:rsidP="00744870"/>
    <w:p w:rsidR="00A437D8" w:rsidRDefault="00A437D8" w:rsidP="00744870"/>
    <w:p w:rsidR="00A437D8" w:rsidRDefault="00A437D8" w:rsidP="00744870"/>
    <w:p w:rsidR="00A437D8" w:rsidRDefault="00A437D8" w:rsidP="00744870"/>
    <w:p w:rsidR="00A437D8" w:rsidRDefault="00A437D8" w:rsidP="00744870"/>
    <w:p w:rsidR="00A437D8" w:rsidRDefault="00A437D8" w:rsidP="00744870"/>
    <w:p w:rsidR="00A437D8" w:rsidRDefault="00A437D8" w:rsidP="00744870"/>
    <w:p w:rsidR="00A437D8" w:rsidRDefault="00A437D8" w:rsidP="00744870"/>
    <w:p w:rsidR="00A437D8" w:rsidRDefault="00A437D8" w:rsidP="00744870"/>
    <w:p w:rsidR="00A437D8" w:rsidRDefault="00A437D8" w:rsidP="00744870"/>
    <w:p w:rsidR="00A437D8" w:rsidRDefault="00A437D8" w:rsidP="00744870"/>
    <w:p w:rsidR="00A437D8" w:rsidRDefault="00A437D8" w:rsidP="00744870"/>
    <w:p w:rsidR="00A437D8" w:rsidRDefault="00A437D8" w:rsidP="00744870"/>
    <w:p w:rsidR="00A437D8" w:rsidRDefault="00A437D8" w:rsidP="00744870"/>
    <w:p w:rsidR="00A437D8" w:rsidRPr="00805964" w:rsidRDefault="00A437D8" w:rsidP="00744870"/>
    <w:p w:rsidR="00683E3E" w:rsidRPr="00805964" w:rsidRDefault="009B7539" w:rsidP="009B7539">
      <w:pPr>
        <w:pStyle w:val="Nadpis1"/>
      </w:pPr>
      <w:bookmarkStart w:id="36" w:name="_Toc359918302"/>
      <w:r w:rsidRPr="00805964">
        <w:lastRenderedPageBreak/>
        <w:t>Abstrakt</w:t>
      </w:r>
      <w:bookmarkEnd w:id="36"/>
    </w:p>
    <w:p w:rsidR="00683E3E" w:rsidRPr="00805964" w:rsidRDefault="00683E3E" w:rsidP="0029635A">
      <w:pPr>
        <w:contextualSpacing/>
      </w:pPr>
    </w:p>
    <w:p w:rsidR="00683E3E" w:rsidRPr="00805964" w:rsidRDefault="00105639" w:rsidP="00105639">
      <w:pPr>
        <w:spacing w:line="360" w:lineRule="auto"/>
        <w:contextualSpacing/>
        <w:jc w:val="both"/>
      </w:pPr>
      <w:r w:rsidRPr="00805964">
        <w:tab/>
        <w:t xml:space="preserve">Diplomová práce analyzuje efektivnost horní komory Parlamentu České republiky. První část práce představuje teoretická východiska </w:t>
      </w:r>
      <w:proofErr w:type="spellStart"/>
      <w:r w:rsidRPr="00805964">
        <w:t>bikameralismu</w:t>
      </w:r>
      <w:proofErr w:type="spellEnd"/>
      <w:r w:rsidRPr="00805964">
        <w:t>, funkce druhých komor parlamentů, historii dvoukomorových parlamentů na území dnešní České republiky a na závěr představuje legislativní proces v ČR. Ve druhé části práce je představena vytvořená metodologie měření efektivnosti. Třetí část práce tvoří sam</w:t>
      </w:r>
      <w:r w:rsidR="00E64554">
        <w:t>otná analyticko-</w:t>
      </w:r>
      <w:r w:rsidRPr="00805964">
        <w:t>empirická studie zkoumající efektivnost Senátu na základě čtyř variant měření.</w:t>
      </w:r>
    </w:p>
    <w:p w:rsidR="00105639" w:rsidRPr="00805964" w:rsidRDefault="00105639" w:rsidP="00105639">
      <w:pPr>
        <w:spacing w:line="360" w:lineRule="auto"/>
        <w:contextualSpacing/>
        <w:jc w:val="both"/>
        <w:rPr>
          <w:rFonts w:cs="Times New Roman"/>
          <w:szCs w:val="24"/>
        </w:rPr>
      </w:pPr>
      <w:r w:rsidRPr="00805964">
        <w:rPr>
          <w:rFonts w:cs="Times New Roman"/>
          <w:szCs w:val="24"/>
        </w:rPr>
        <w:tab/>
        <w:t xml:space="preserve">V rámci první varianty byla zkoumána efektivita Senátu za funkční období a hodnota skóre nezávisela jen na efektivitě Senátu, ale také na množství projednávaných zákonů. Efektivita Senátu byla tedy závislá na činnosti Poslanecké sněmovny. K odstranění vlivu Poslanecké sněmovny na skóre efektivity bylo využito druhé kritérium, které vyjadřovalo, jak se Senát prosazuje nezávisle na množství zákonů. Poslední dvě varianty sledovaly efektivitu Senátu, pokud se rozhodl využít </w:t>
      </w:r>
      <w:r w:rsidR="00C96E7C">
        <w:rPr>
          <w:rFonts w:cs="Times New Roman"/>
          <w:szCs w:val="24"/>
        </w:rPr>
        <w:t>svých pravomocí a připomínkovat</w:t>
      </w:r>
      <w:r w:rsidRPr="00805964">
        <w:rPr>
          <w:rFonts w:cs="Times New Roman"/>
          <w:szCs w:val="24"/>
        </w:rPr>
        <w:t xml:space="preserve"> či zamítnout návrh zákona. Kritéria byla nastavena tak, aby efektivita přímo nesouvisela s činností Poslanecké sněmovny. Cílem bylo zjistit, jaká je efektivit</w:t>
      </w:r>
      <w:r w:rsidR="00C96E7C">
        <w:rPr>
          <w:rFonts w:cs="Times New Roman"/>
          <w:szCs w:val="24"/>
        </w:rPr>
        <w:t>a Senátu v rámci různých období</w:t>
      </w:r>
      <w:r w:rsidRPr="00805964">
        <w:rPr>
          <w:rFonts w:cs="Times New Roman"/>
          <w:szCs w:val="24"/>
        </w:rPr>
        <w:t xml:space="preserve"> a zda má složení komor Parlamentu vliv na efektivitu Senátu.</w:t>
      </w:r>
    </w:p>
    <w:p w:rsidR="00105639" w:rsidRPr="00805964" w:rsidRDefault="00105639" w:rsidP="00105639">
      <w:pPr>
        <w:spacing w:line="360" w:lineRule="auto"/>
        <w:contextualSpacing/>
        <w:jc w:val="both"/>
        <w:rPr>
          <w:rFonts w:cs="Times New Roman"/>
          <w:szCs w:val="24"/>
        </w:rPr>
      </w:pPr>
      <w:r w:rsidRPr="00805964">
        <w:rPr>
          <w:rFonts w:cs="Times New Roman"/>
          <w:szCs w:val="24"/>
        </w:rPr>
        <w:tab/>
        <w:t xml:space="preserve">Pro analýzu bylo vybráno šest funkčních období Senátu – od roku 2000 do roku 2012. Jedná se o tři období stejných většin v obou komorách Parlamentu a tři období většin rozdílných. U všech období bylo provedeno měření na základě představených variant </w:t>
      </w:r>
      <w:r w:rsidR="00E64554">
        <w:rPr>
          <w:rFonts w:cs="Times New Roman"/>
          <w:szCs w:val="24"/>
        </w:rPr>
        <w:br/>
      </w:r>
      <w:r w:rsidRPr="00805964">
        <w:rPr>
          <w:rFonts w:cs="Times New Roman"/>
          <w:szCs w:val="24"/>
        </w:rPr>
        <w:t>a výsledné hodnoty byly poté srovnány a zhodnoceny.</w:t>
      </w:r>
    </w:p>
    <w:p w:rsidR="00ED347B" w:rsidRPr="00805964" w:rsidRDefault="00ED347B" w:rsidP="00ED347B">
      <w:pPr>
        <w:autoSpaceDE w:val="0"/>
        <w:autoSpaceDN w:val="0"/>
        <w:adjustRightInd w:val="0"/>
        <w:spacing w:after="0" w:line="360" w:lineRule="auto"/>
        <w:jc w:val="both"/>
        <w:rPr>
          <w:rFonts w:cs="Times New Roman"/>
          <w:szCs w:val="24"/>
        </w:rPr>
      </w:pPr>
      <w:r w:rsidRPr="00805964">
        <w:rPr>
          <w:rFonts w:cs="Times New Roman"/>
          <w:szCs w:val="24"/>
        </w:rPr>
        <w:tab/>
        <w:t xml:space="preserve">Práce přichází k několika závěrům. Efektivita Senátu není ovlivněna množstvím projednávané legislativy a závisí především na Senátu, zda považuje předloženou legislativu za kvalitní. Analýzou výstupu prvního a druhého měření dospíváme k závěru, že v období stejných většin je efektivita Senátu výrazně nižší než v období rozdílných většin. Výsledky </w:t>
      </w:r>
      <w:r w:rsidR="00E64554">
        <w:rPr>
          <w:rFonts w:cs="Times New Roman"/>
          <w:szCs w:val="24"/>
        </w:rPr>
        <w:br/>
      </w:r>
      <w:r w:rsidRPr="00805964">
        <w:rPr>
          <w:rFonts w:cs="Times New Roman"/>
          <w:szCs w:val="24"/>
        </w:rPr>
        <w:t>u třetího a čtvrtého měření dopadly také velmi podobně. Můžeme tedy soudit, že Senát přistupuje k zákonům jednotlivě bez ohledu na typ zákona. Zajímavým výsledkem analýzy bylo, že na základě naměřených hodnot z p</w:t>
      </w:r>
      <w:r w:rsidR="00C96E7C">
        <w:rPr>
          <w:rFonts w:cs="Times New Roman"/>
          <w:szCs w:val="24"/>
        </w:rPr>
        <w:t>rvní a druhé varianty</w:t>
      </w:r>
      <w:r w:rsidRPr="00805964">
        <w:rPr>
          <w:rFonts w:cs="Times New Roman"/>
          <w:szCs w:val="24"/>
        </w:rPr>
        <w:t xml:space="preserve"> jsme dokázali ohraničit očekávanou efektivitu Senátu v následujících obdobích dle typu zastoupené většiny. Dle hodnot naměřených podle třetí a čtvrté varianty efektivita na většinách – tedy na složení komor Parlamentu</w:t>
      </w:r>
      <w:r w:rsidR="00C96E7C">
        <w:rPr>
          <w:rFonts w:cs="Times New Roman"/>
          <w:szCs w:val="24"/>
        </w:rPr>
        <w:t xml:space="preserve"> –</w:t>
      </w:r>
      <w:r w:rsidRPr="00805964">
        <w:rPr>
          <w:rFonts w:cs="Times New Roman"/>
          <w:szCs w:val="24"/>
        </w:rPr>
        <w:t xml:space="preserve"> nezávisí. Lze usuzovat, že Senát byl v některých funkčních obdobích silnější či efektivnější, nelze však efektivnost Senátu předpovídat na základě rozložení sil </w:t>
      </w:r>
      <w:r w:rsidR="00E64554">
        <w:rPr>
          <w:rFonts w:cs="Times New Roman"/>
          <w:szCs w:val="24"/>
        </w:rPr>
        <w:br/>
      </w:r>
      <w:r w:rsidRPr="00805964">
        <w:rPr>
          <w:rFonts w:cs="Times New Roman"/>
          <w:szCs w:val="24"/>
        </w:rPr>
        <w:t>v Senátu a Poslanecké sněmovně.</w:t>
      </w:r>
    </w:p>
    <w:p w:rsidR="00ED347B" w:rsidRPr="006B3893" w:rsidRDefault="00ED347B" w:rsidP="00105639">
      <w:pPr>
        <w:spacing w:line="360" w:lineRule="auto"/>
        <w:contextualSpacing/>
        <w:jc w:val="both"/>
        <w:rPr>
          <w:b/>
        </w:rPr>
      </w:pPr>
      <w:r w:rsidRPr="006B3893">
        <w:rPr>
          <w:b/>
        </w:rPr>
        <w:t xml:space="preserve">Klíčová slova: </w:t>
      </w:r>
      <w:proofErr w:type="spellStart"/>
      <w:r w:rsidRPr="006B3893">
        <w:rPr>
          <w:b/>
        </w:rPr>
        <w:t>bikameralismus</w:t>
      </w:r>
      <w:proofErr w:type="spellEnd"/>
      <w:r w:rsidRPr="006B3893">
        <w:rPr>
          <w:b/>
        </w:rPr>
        <w:t xml:space="preserve">, Česká republika, horní komora, efektivita, Senát. </w:t>
      </w:r>
    </w:p>
    <w:p w:rsidR="00683E3E" w:rsidRPr="006B3893" w:rsidRDefault="00683E3E" w:rsidP="0029635A">
      <w:pPr>
        <w:pStyle w:val="Nadpis1"/>
        <w:contextualSpacing/>
        <w:rPr>
          <w:lang w:val="en-US"/>
        </w:rPr>
      </w:pPr>
      <w:bookmarkStart w:id="37" w:name="_Toc359918303"/>
      <w:r w:rsidRPr="006B3893">
        <w:rPr>
          <w:lang w:val="en-US"/>
        </w:rPr>
        <w:lastRenderedPageBreak/>
        <w:t>Abstract</w:t>
      </w:r>
      <w:bookmarkEnd w:id="37"/>
    </w:p>
    <w:p w:rsidR="00AC48E1" w:rsidRPr="006B3893" w:rsidRDefault="00AC48E1" w:rsidP="0029635A">
      <w:pPr>
        <w:contextualSpacing/>
        <w:rPr>
          <w:lang w:val="en-US"/>
        </w:rPr>
      </w:pPr>
    </w:p>
    <w:p w:rsidR="006B3893" w:rsidRPr="006B3893" w:rsidRDefault="006B3893" w:rsidP="006B3893">
      <w:pPr>
        <w:spacing w:line="360" w:lineRule="auto"/>
        <w:contextualSpacing/>
        <w:jc w:val="both"/>
        <w:rPr>
          <w:rFonts w:cs="Times New Roman"/>
          <w:szCs w:val="24"/>
          <w:lang w:val="en-US"/>
        </w:rPr>
      </w:pPr>
      <w:r w:rsidRPr="006B3893">
        <w:rPr>
          <w:rFonts w:cs="Times New Roman"/>
          <w:szCs w:val="24"/>
          <w:lang w:val="en-US"/>
        </w:rPr>
        <w:tab/>
        <w:t xml:space="preserve">The thesis analyses the effectiveness of the Upper Chamber of Parliament of the Czech Republic. Its first part starts with presentation of theoretical basis of bicameralism, the functions of </w:t>
      </w:r>
      <w:r>
        <w:rPr>
          <w:rFonts w:cs="Times New Roman"/>
          <w:szCs w:val="24"/>
          <w:lang w:val="en-US"/>
        </w:rPr>
        <w:t>s</w:t>
      </w:r>
      <w:r w:rsidRPr="006B3893">
        <w:rPr>
          <w:rFonts w:cs="Times New Roman"/>
          <w:szCs w:val="24"/>
          <w:lang w:val="en-US"/>
        </w:rPr>
        <w:t xml:space="preserve">econd Chambers of Parliaments, the history of bicameral Parliaments within the area of today´s Czech Republic and closes with presentation of legislative process in the Czech Republic. The second part of the thesis presents the created methodology for the measurement of the effectiveness. The third part is an empiric study exploring the effectiveness of the Senate by means of four variants of measurement.  </w:t>
      </w:r>
    </w:p>
    <w:p w:rsidR="006B3893" w:rsidRPr="006B3893" w:rsidRDefault="006B3893" w:rsidP="006B3893">
      <w:pPr>
        <w:spacing w:line="360" w:lineRule="auto"/>
        <w:contextualSpacing/>
        <w:jc w:val="both"/>
        <w:rPr>
          <w:rFonts w:cs="Times New Roman"/>
          <w:szCs w:val="24"/>
          <w:lang w:val="en-US"/>
        </w:rPr>
      </w:pPr>
      <w:r w:rsidRPr="006B3893">
        <w:rPr>
          <w:rFonts w:cs="Times New Roman"/>
          <w:szCs w:val="24"/>
          <w:lang w:val="en-US"/>
        </w:rPr>
        <w:tab/>
        <w:t>The first variant of measurement has explored the effectiveness of the Senate over the parliamentary period where the score value depended not only on the effectiveness of the Senate but also on the number of discussed bills. So the effectiveness of the Senate depended on the activity of Chamber of Deputies of the Czech Republic. I have used the second criterion to eliminate the influence of Chamber of Deputies of the Czech Republic on the score. This criterion showed how</w:t>
      </w:r>
      <w:r w:rsidR="00F9754C">
        <w:rPr>
          <w:rFonts w:cs="Times New Roman"/>
          <w:szCs w:val="24"/>
          <w:lang w:val="en-US"/>
        </w:rPr>
        <w:t xml:space="preserve"> much</w:t>
      </w:r>
      <w:r w:rsidRPr="006B3893">
        <w:rPr>
          <w:rFonts w:cs="Times New Roman"/>
          <w:szCs w:val="24"/>
          <w:lang w:val="en-US"/>
        </w:rPr>
        <w:t xml:space="preserve"> the Senate assert itself regardless of the number of bills. The last two variants examined the effectiveness of the Senate in instances when The Senate used its power and added an amendment or rejected the bill. The criteria were set up so the effectiveness was not directly related to the activity of Chamber of Deputies of the Czech Republic. I aimed to ascertain the extent of effectiveness of the Senate in various periods and find out whether the composition o</w:t>
      </w:r>
      <w:r w:rsidR="00F9754C">
        <w:rPr>
          <w:rFonts w:cs="Times New Roman"/>
          <w:szCs w:val="24"/>
          <w:lang w:val="en-US"/>
        </w:rPr>
        <w:t>f parliament chambers impacts</w:t>
      </w:r>
      <w:r w:rsidRPr="006B3893">
        <w:rPr>
          <w:rFonts w:cs="Times New Roman"/>
          <w:szCs w:val="24"/>
          <w:lang w:val="en-US"/>
        </w:rPr>
        <w:t xml:space="preserve"> the effectiveness of the Senate. </w:t>
      </w:r>
    </w:p>
    <w:p w:rsidR="006B3893" w:rsidRPr="006B3893" w:rsidRDefault="006B3893" w:rsidP="006B3893">
      <w:pPr>
        <w:spacing w:line="360" w:lineRule="auto"/>
        <w:contextualSpacing/>
        <w:jc w:val="both"/>
        <w:rPr>
          <w:rFonts w:cs="Times New Roman"/>
          <w:szCs w:val="24"/>
          <w:lang w:val="en-US"/>
        </w:rPr>
      </w:pPr>
      <w:r w:rsidRPr="006B3893">
        <w:rPr>
          <w:rFonts w:cs="Times New Roman"/>
          <w:szCs w:val="24"/>
          <w:lang w:val="en-US"/>
        </w:rPr>
        <w:tab/>
        <w:t xml:space="preserve">I have chosen six different terms of the Senate – since 2000 to 2012. The chosen period includes three periods of equal majorities and three periods of diverse majorities in both parliamentary chambers.  All periods have been measured by above presented variants of measurement and the final data have been compared and evaluated. </w:t>
      </w:r>
    </w:p>
    <w:p w:rsidR="006B3893" w:rsidRPr="006B3893" w:rsidRDefault="006B3893" w:rsidP="006B3893">
      <w:pPr>
        <w:spacing w:line="360" w:lineRule="auto"/>
        <w:contextualSpacing/>
        <w:jc w:val="both"/>
        <w:rPr>
          <w:rFonts w:cs="Times New Roman"/>
          <w:szCs w:val="24"/>
          <w:lang w:val="en-US"/>
        </w:rPr>
      </w:pPr>
      <w:r w:rsidRPr="006B3893">
        <w:rPr>
          <w:rFonts w:cs="Times New Roman"/>
          <w:szCs w:val="24"/>
          <w:lang w:val="en-US"/>
        </w:rPr>
        <w:tab/>
        <w:t xml:space="preserve">The thesis results in several conclusions. The number of discussed bills has no </w:t>
      </w:r>
      <w:r w:rsidR="003A2CF3">
        <w:rPr>
          <w:rFonts w:cs="Times New Roman"/>
          <w:szCs w:val="24"/>
          <w:lang w:val="en-US"/>
        </w:rPr>
        <w:t>influence</w:t>
      </w:r>
      <w:r w:rsidRPr="006B3893">
        <w:rPr>
          <w:rFonts w:cs="Times New Roman"/>
          <w:szCs w:val="24"/>
          <w:lang w:val="en-US"/>
        </w:rPr>
        <w:t xml:space="preserve"> on the effectiveness of the Senate; it is up to the Senate to consider the submitted leg</w:t>
      </w:r>
      <w:r w:rsidR="003A2CF3">
        <w:rPr>
          <w:rFonts w:cs="Times New Roman"/>
          <w:szCs w:val="24"/>
          <w:lang w:val="en-US"/>
        </w:rPr>
        <w:t xml:space="preserve">islative as a high–quality one. </w:t>
      </w:r>
      <w:r w:rsidRPr="006B3893">
        <w:rPr>
          <w:rFonts w:cs="Times New Roman"/>
          <w:szCs w:val="24"/>
          <w:lang w:val="en-US"/>
        </w:rPr>
        <w:t>The analysis of the output data from the first and the second measurements brings us to the conclusion that the effectiveness of the Senate is significantly lower in the period of equal majorities than in the period of diverse majorities. The third and the fourth measurements</w:t>
      </w:r>
      <w:r w:rsidR="003A2CF3">
        <w:rPr>
          <w:rFonts w:cs="Times New Roman"/>
          <w:szCs w:val="24"/>
          <w:lang w:val="en-US"/>
        </w:rPr>
        <w:t xml:space="preserve"> brought very similar results. </w:t>
      </w:r>
      <w:r w:rsidRPr="006B3893">
        <w:rPr>
          <w:rFonts w:cs="Times New Roman"/>
          <w:szCs w:val="24"/>
          <w:lang w:val="en-US"/>
        </w:rPr>
        <w:t xml:space="preserve">We can then assume that the Senate judges the bills individually without reference to the type of the bill. The entire analysis brought a very interesting outcome. Based on values measured by the first and the second variant, I was able to border the anticipated effectiveness of the Senate in the next periods </w:t>
      </w:r>
      <w:r w:rsidRPr="006B3893">
        <w:rPr>
          <w:rFonts w:cs="Times New Roman"/>
          <w:szCs w:val="24"/>
          <w:lang w:val="en-US"/>
        </w:rPr>
        <w:lastRenderedPageBreak/>
        <w:t xml:space="preserve">based on the type of represented majority. </w:t>
      </w:r>
      <w:r w:rsidR="003A2CF3">
        <w:rPr>
          <w:rFonts w:cs="Times New Roman"/>
          <w:szCs w:val="24"/>
          <w:lang w:val="en-US"/>
        </w:rPr>
        <w:t xml:space="preserve">Values measured </w:t>
      </w:r>
      <w:r w:rsidRPr="006B3893">
        <w:rPr>
          <w:rFonts w:cs="Times New Roman"/>
          <w:szCs w:val="24"/>
          <w:lang w:val="en-US"/>
        </w:rPr>
        <w:t>by the third and the fourth variants show that the effectiveness does not depend on majorities – i.e. on the composition of chambers of Parliament. We can assume that the Senate was more powerful or more effective in some periods however its effectiveness cannot be predicted on the basis of the balance of power in the Senate and Chamber of Deputies of the Czech Republic.</w:t>
      </w:r>
    </w:p>
    <w:p w:rsidR="006B3893" w:rsidRPr="006B3893" w:rsidRDefault="006B3893" w:rsidP="0029635A">
      <w:pPr>
        <w:contextualSpacing/>
        <w:rPr>
          <w:b/>
          <w:lang w:val="en-US"/>
        </w:rPr>
      </w:pPr>
      <w:r w:rsidRPr="006B3893">
        <w:rPr>
          <w:b/>
          <w:lang w:val="en-US"/>
        </w:rPr>
        <w:t xml:space="preserve">Key words: Bicameralism, Czech Republic, Upper Chamber, </w:t>
      </w:r>
      <w:r w:rsidRPr="006B3893">
        <w:rPr>
          <w:rFonts w:cs="Times New Roman"/>
          <w:b/>
          <w:szCs w:val="24"/>
          <w:lang w:val="en-US"/>
        </w:rPr>
        <w:t>effectiveness, Senate.</w:t>
      </w:r>
    </w:p>
    <w:sectPr w:rsidR="006B3893" w:rsidRPr="006B3893" w:rsidSect="00482084">
      <w:footerReference w:type="default" r:id="rId59"/>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DD8" w:rsidRDefault="00626DD8" w:rsidP="00C56718">
      <w:pPr>
        <w:spacing w:after="0" w:line="240" w:lineRule="auto"/>
      </w:pPr>
      <w:r>
        <w:separator/>
      </w:r>
    </w:p>
  </w:endnote>
  <w:endnote w:type="continuationSeparator" w:id="0">
    <w:p w:rsidR="00626DD8" w:rsidRDefault="00626DD8" w:rsidP="00C56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88255"/>
      <w:docPartObj>
        <w:docPartGallery w:val="Page Numbers (Bottom of Page)"/>
        <w:docPartUnique/>
      </w:docPartObj>
    </w:sdtPr>
    <w:sdtContent>
      <w:p w:rsidR="00A70AAB" w:rsidRDefault="00EE58B6">
        <w:pPr>
          <w:pStyle w:val="Zpat"/>
          <w:jc w:val="center"/>
        </w:pPr>
        <w:fldSimple w:instr=" PAGE   \* MERGEFORMAT ">
          <w:r w:rsidR="00BE18D5">
            <w:rPr>
              <w:noProof/>
            </w:rPr>
            <w:t>71</w:t>
          </w:r>
        </w:fldSimple>
      </w:p>
    </w:sdtContent>
  </w:sdt>
  <w:p w:rsidR="00A70AAB" w:rsidRDefault="00A70AA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DD8" w:rsidRDefault="00626DD8" w:rsidP="00C56718">
      <w:pPr>
        <w:spacing w:after="0" w:line="240" w:lineRule="auto"/>
      </w:pPr>
      <w:r>
        <w:separator/>
      </w:r>
    </w:p>
  </w:footnote>
  <w:footnote w:type="continuationSeparator" w:id="0">
    <w:p w:rsidR="00626DD8" w:rsidRDefault="00626DD8" w:rsidP="00C56718">
      <w:pPr>
        <w:spacing w:after="0" w:line="240" w:lineRule="auto"/>
      </w:pPr>
      <w:r>
        <w:continuationSeparator/>
      </w:r>
    </w:p>
  </w:footnote>
  <w:footnote w:id="1">
    <w:p w:rsidR="00A70AAB" w:rsidRPr="0075151B" w:rsidRDefault="00A70AAB" w:rsidP="00131744">
      <w:pPr>
        <w:pStyle w:val="Textpoznpodarou"/>
        <w:jc w:val="both"/>
      </w:pPr>
      <w:r w:rsidRPr="0075151B">
        <w:rPr>
          <w:rStyle w:val="Znakapoznpodarou"/>
        </w:rPr>
        <w:footnoteRef/>
      </w:r>
      <w:r w:rsidRPr="0075151B">
        <w:t xml:space="preserve"> </w:t>
      </w:r>
      <w:r w:rsidRPr="0075151B">
        <w:rPr>
          <w:i/>
        </w:rPr>
        <w:t>Parliaments at a glance: Structure</w:t>
      </w:r>
      <w:r w:rsidRPr="0075151B">
        <w:t xml:space="preserve"> </w:t>
      </w:r>
      <w:r w:rsidRPr="0075151B">
        <w:rPr>
          <w:lang w:val="en-US"/>
        </w:rPr>
        <w:t>[online]. ipu.org, 2013 [ci</w:t>
      </w:r>
      <w:r>
        <w:rPr>
          <w:lang w:val="en-US"/>
        </w:rPr>
        <w:t xml:space="preserve">t. 26. dubna </w:t>
      </w:r>
      <w:r w:rsidR="00BE7028">
        <w:rPr>
          <w:lang w:val="en-US"/>
        </w:rPr>
        <w:t xml:space="preserve">2013]. </w:t>
      </w:r>
      <w:proofErr w:type="spellStart"/>
      <w:r w:rsidR="00BE7028">
        <w:rPr>
          <w:lang w:val="en-US"/>
        </w:rPr>
        <w:t>Dostupné</w:t>
      </w:r>
      <w:proofErr w:type="spellEnd"/>
      <w:r w:rsidR="00BE7028">
        <w:rPr>
          <w:lang w:val="en-US"/>
        </w:rPr>
        <w:t xml:space="preserve"> </w:t>
      </w:r>
      <w:proofErr w:type="spellStart"/>
      <w:r w:rsidR="00BE7028">
        <w:rPr>
          <w:lang w:val="en-US"/>
        </w:rPr>
        <w:t>na</w:t>
      </w:r>
      <w:proofErr w:type="spellEnd"/>
      <w:r w:rsidR="00BE7028">
        <w:rPr>
          <w:lang w:val="en-US"/>
        </w:rPr>
        <w:t xml:space="preserve"> </w:t>
      </w:r>
      <w:r w:rsidRPr="0075151B">
        <w:rPr>
          <w:lang w:val="en-US"/>
        </w:rPr>
        <w:t>&lt;</w:t>
      </w:r>
      <w:hyperlink r:id="rId1" w:history="1">
        <w:r w:rsidRPr="0075151B">
          <w:rPr>
            <w:rStyle w:val="Hypertextovodkaz"/>
            <w:color w:val="auto"/>
          </w:rPr>
          <w:t>http://www.ipu.org/parline-e/ParliamentsStructure.asp?REGION=All&amp;LANG=ENG</w:t>
        </w:r>
      </w:hyperlink>
      <w:r w:rsidRPr="0075151B">
        <w:rPr>
          <w:lang w:val="en-US"/>
        </w:rPr>
        <w:t>&gt;</w:t>
      </w:r>
      <w:r w:rsidRPr="0075151B">
        <w:t>.</w:t>
      </w:r>
    </w:p>
  </w:footnote>
  <w:footnote w:id="2">
    <w:p w:rsidR="00A70AAB" w:rsidRPr="0075151B" w:rsidRDefault="00A70AAB" w:rsidP="00131744">
      <w:pPr>
        <w:pStyle w:val="Textpoznpodarou"/>
        <w:jc w:val="both"/>
      </w:pPr>
      <w:r w:rsidRPr="0075151B">
        <w:rPr>
          <w:rStyle w:val="Znakapoznpodarou"/>
        </w:rPr>
        <w:footnoteRef/>
      </w:r>
      <w:r w:rsidRPr="0075151B">
        <w:t xml:space="preserve"> KYSELA, Jan. </w:t>
      </w:r>
      <w:r w:rsidRPr="0075151B">
        <w:rPr>
          <w:i/>
        </w:rPr>
        <w:t>Dvoukomorové systémy: Teorie, historie a srovnání dvoukomorových parlamentů</w:t>
      </w:r>
      <w:r w:rsidRPr="0075151B">
        <w:t>. 1. vydání. Praha: EUROLEX BOHEMIA s. r. o., 2004, s. 131.</w:t>
      </w:r>
    </w:p>
  </w:footnote>
  <w:footnote w:id="3">
    <w:p w:rsidR="00A70AAB" w:rsidRPr="0075151B" w:rsidRDefault="00A70AAB" w:rsidP="00131744">
      <w:pPr>
        <w:pStyle w:val="Textpoznpodarou"/>
        <w:jc w:val="both"/>
      </w:pPr>
      <w:r w:rsidRPr="0075151B">
        <w:rPr>
          <w:rStyle w:val="Znakapoznpodarou"/>
        </w:rPr>
        <w:footnoteRef/>
      </w:r>
      <w:r w:rsidRPr="0075151B">
        <w:t xml:space="preserve"> RESCHOVÁ, Jana. Druhé komory v evropských parlamentech. </w:t>
      </w:r>
      <w:r w:rsidRPr="0075151B">
        <w:rPr>
          <w:i/>
        </w:rPr>
        <w:t>Politologická revue</w:t>
      </w:r>
      <w:r w:rsidRPr="0075151B">
        <w:t>, 1997, roč. 4, č. 1, s. 29.</w:t>
      </w:r>
    </w:p>
  </w:footnote>
  <w:footnote w:id="4">
    <w:p w:rsidR="00A70AAB" w:rsidRPr="0075151B" w:rsidRDefault="00A70AAB" w:rsidP="00131744">
      <w:pPr>
        <w:pStyle w:val="Textpoznpodarou"/>
        <w:jc w:val="both"/>
      </w:pPr>
      <w:r w:rsidRPr="0075151B">
        <w:rPr>
          <w:rStyle w:val="Znakapoznpodarou"/>
        </w:rPr>
        <w:footnoteRef/>
      </w:r>
      <w:r w:rsidRPr="0075151B">
        <w:t xml:space="preserve"> SYLLOVÁ, Jindřiška a kol. </w:t>
      </w:r>
      <w:r w:rsidRPr="0075151B">
        <w:rPr>
          <w:i/>
        </w:rPr>
        <w:t>Parlament České republiky</w:t>
      </w:r>
      <w:r w:rsidRPr="0075151B">
        <w:t>. 2. vydání. Praha: Linde, 2008, s. 36.</w:t>
      </w:r>
    </w:p>
  </w:footnote>
  <w:footnote w:id="5">
    <w:p w:rsidR="00A70AAB" w:rsidRPr="0075151B" w:rsidRDefault="00A70AAB" w:rsidP="00131744">
      <w:pPr>
        <w:pStyle w:val="Textpoznpodarou"/>
        <w:jc w:val="both"/>
      </w:pPr>
      <w:r w:rsidRPr="0075151B">
        <w:rPr>
          <w:rStyle w:val="Znakapoznpodarou"/>
        </w:rPr>
        <w:footnoteRef/>
      </w:r>
      <w:r w:rsidRPr="0075151B">
        <w:t xml:space="preserve"> LIJPHART, Arendt. </w:t>
      </w:r>
      <w:proofErr w:type="spellStart"/>
      <w:r w:rsidRPr="0075151B">
        <w:rPr>
          <w:i/>
        </w:rPr>
        <w:t>Patterns</w:t>
      </w:r>
      <w:proofErr w:type="spellEnd"/>
      <w:r w:rsidRPr="0075151B">
        <w:rPr>
          <w:i/>
        </w:rPr>
        <w:t xml:space="preserve"> </w:t>
      </w:r>
      <w:proofErr w:type="spellStart"/>
      <w:r w:rsidRPr="0075151B">
        <w:rPr>
          <w:i/>
        </w:rPr>
        <w:t>of</w:t>
      </w:r>
      <w:proofErr w:type="spellEnd"/>
      <w:r w:rsidRPr="0075151B">
        <w:rPr>
          <w:i/>
        </w:rPr>
        <w:t xml:space="preserve"> </w:t>
      </w:r>
      <w:proofErr w:type="spellStart"/>
      <w:r w:rsidRPr="0075151B">
        <w:rPr>
          <w:i/>
        </w:rPr>
        <w:t>Democracy</w:t>
      </w:r>
      <w:proofErr w:type="spellEnd"/>
      <w:r w:rsidRPr="0075151B">
        <w:rPr>
          <w:i/>
        </w:rPr>
        <w:t xml:space="preserve">: </w:t>
      </w:r>
      <w:proofErr w:type="spellStart"/>
      <w:r w:rsidRPr="0075151B">
        <w:rPr>
          <w:i/>
        </w:rPr>
        <w:t>government</w:t>
      </w:r>
      <w:proofErr w:type="spellEnd"/>
      <w:r w:rsidRPr="0075151B">
        <w:rPr>
          <w:i/>
        </w:rPr>
        <w:t xml:space="preserve"> </w:t>
      </w:r>
      <w:proofErr w:type="spellStart"/>
      <w:r w:rsidRPr="0075151B">
        <w:rPr>
          <w:i/>
        </w:rPr>
        <w:t>forms</w:t>
      </w:r>
      <w:proofErr w:type="spellEnd"/>
      <w:r w:rsidRPr="0075151B">
        <w:rPr>
          <w:i/>
        </w:rPr>
        <w:t xml:space="preserve"> </w:t>
      </w:r>
      <w:proofErr w:type="spellStart"/>
      <w:r w:rsidRPr="0075151B">
        <w:rPr>
          <w:i/>
        </w:rPr>
        <w:t>and</w:t>
      </w:r>
      <w:proofErr w:type="spellEnd"/>
      <w:r w:rsidRPr="0075151B">
        <w:rPr>
          <w:i/>
        </w:rPr>
        <w:t xml:space="preserve"> performance in </w:t>
      </w:r>
      <w:proofErr w:type="spellStart"/>
      <w:r w:rsidRPr="0075151B">
        <w:rPr>
          <w:i/>
        </w:rPr>
        <w:t>thirty</w:t>
      </w:r>
      <w:proofErr w:type="spellEnd"/>
      <w:r w:rsidRPr="0075151B">
        <w:rPr>
          <w:i/>
        </w:rPr>
        <w:t>-</w:t>
      </w:r>
      <w:proofErr w:type="spellStart"/>
      <w:r w:rsidRPr="0075151B">
        <w:rPr>
          <w:i/>
        </w:rPr>
        <w:t>six</w:t>
      </w:r>
      <w:proofErr w:type="spellEnd"/>
      <w:r w:rsidRPr="0075151B">
        <w:rPr>
          <w:i/>
        </w:rPr>
        <w:t xml:space="preserve"> </w:t>
      </w:r>
      <w:proofErr w:type="spellStart"/>
      <w:r w:rsidRPr="0075151B">
        <w:rPr>
          <w:i/>
        </w:rPr>
        <w:t>countries</w:t>
      </w:r>
      <w:proofErr w:type="spellEnd"/>
      <w:r w:rsidRPr="0075151B">
        <w:t xml:space="preserve">. New </w:t>
      </w:r>
      <w:proofErr w:type="spellStart"/>
      <w:r w:rsidRPr="0075151B">
        <w:t>Haven</w:t>
      </w:r>
      <w:proofErr w:type="spellEnd"/>
      <w:r w:rsidRPr="0075151B">
        <w:t xml:space="preserve">: </w:t>
      </w:r>
      <w:proofErr w:type="spellStart"/>
      <w:r w:rsidRPr="0075151B">
        <w:t>Yale</w:t>
      </w:r>
      <w:proofErr w:type="spellEnd"/>
      <w:r w:rsidRPr="0075151B">
        <w:t xml:space="preserve"> University </w:t>
      </w:r>
      <w:proofErr w:type="spellStart"/>
      <w:r w:rsidRPr="0075151B">
        <w:t>Press</w:t>
      </w:r>
      <w:proofErr w:type="spellEnd"/>
      <w:r w:rsidRPr="0075151B">
        <w:t>, 1999, s. 213.</w:t>
      </w:r>
    </w:p>
  </w:footnote>
  <w:footnote w:id="6">
    <w:p w:rsidR="00A70AAB" w:rsidRPr="0075151B" w:rsidRDefault="00A70AAB" w:rsidP="00131744">
      <w:pPr>
        <w:pStyle w:val="Textpoznpodarou"/>
        <w:jc w:val="both"/>
      </w:pPr>
      <w:r w:rsidRPr="0075151B">
        <w:rPr>
          <w:rStyle w:val="Znakapoznpodarou"/>
        </w:rPr>
        <w:footnoteRef/>
      </w:r>
      <w:r w:rsidRPr="0075151B">
        <w:t xml:space="preserve"> Příkladem je Norský parlament, který se po volbách dělí na dvě komory: </w:t>
      </w:r>
      <w:proofErr w:type="spellStart"/>
      <w:r w:rsidRPr="0075151B">
        <w:t>Lagting</w:t>
      </w:r>
      <w:proofErr w:type="spellEnd"/>
      <w:r w:rsidRPr="0075151B">
        <w:t xml:space="preserve"> a </w:t>
      </w:r>
      <w:proofErr w:type="spellStart"/>
      <w:r w:rsidRPr="0075151B">
        <w:t>Odelsting</w:t>
      </w:r>
      <w:proofErr w:type="spellEnd"/>
      <w:r w:rsidRPr="0075151B">
        <w:t>.</w:t>
      </w:r>
    </w:p>
  </w:footnote>
  <w:footnote w:id="7">
    <w:p w:rsidR="00A70AAB" w:rsidRPr="0075151B" w:rsidRDefault="00A70AAB" w:rsidP="00131744">
      <w:pPr>
        <w:pStyle w:val="Textpoznpodarou"/>
        <w:jc w:val="both"/>
      </w:pPr>
      <w:r w:rsidRPr="0075151B">
        <w:rPr>
          <w:rStyle w:val="Znakapoznpodarou"/>
        </w:rPr>
        <w:footnoteRef/>
      </w:r>
      <w:r w:rsidRPr="0075151B">
        <w:t xml:space="preserve"> TSEBELIS, </w:t>
      </w:r>
      <w:proofErr w:type="spellStart"/>
      <w:r w:rsidRPr="0075151B">
        <w:t>George</w:t>
      </w:r>
      <w:proofErr w:type="spellEnd"/>
      <w:r w:rsidRPr="0075151B">
        <w:t xml:space="preserve">, MONEY, </w:t>
      </w:r>
      <w:proofErr w:type="spellStart"/>
      <w:r w:rsidRPr="0075151B">
        <w:t>Jeannette</w:t>
      </w:r>
      <w:proofErr w:type="spellEnd"/>
      <w:r w:rsidRPr="0075151B">
        <w:t xml:space="preserve">. </w:t>
      </w:r>
      <w:proofErr w:type="spellStart"/>
      <w:r w:rsidRPr="0075151B">
        <w:rPr>
          <w:i/>
        </w:rPr>
        <w:t>Bicameralism</w:t>
      </w:r>
      <w:proofErr w:type="spellEnd"/>
      <w:r w:rsidRPr="0075151B">
        <w:t xml:space="preserve">. Cambridge: Cambridge University </w:t>
      </w:r>
      <w:proofErr w:type="spellStart"/>
      <w:r w:rsidRPr="0075151B">
        <w:t>Press</w:t>
      </w:r>
      <w:proofErr w:type="spellEnd"/>
      <w:r w:rsidRPr="0075151B">
        <w:t>, 1997, s. 17.</w:t>
      </w:r>
    </w:p>
  </w:footnote>
  <w:footnote w:id="8">
    <w:p w:rsidR="00A70AAB" w:rsidRPr="0075151B" w:rsidRDefault="00A70AAB" w:rsidP="00131744">
      <w:pPr>
        <w:pStyle w:val="Textpoznpodarou"/>
        <w:jc w:val="both"/>
      </w:pPr>
      <w:r w:rsidRPr="0075151B">
        <w:rPr>
          <w:rStyle w:val="Znakapoznpodarou"/>
        </w:rPr>
        <w:footnoteRef/>
      </w:r>
      <w:r w:rsidRPr="0075151B">
        <w:t xml:space="preserve"> </w:t>
      </w:r>
      <w:proofErr w:type="spellStart"/>
      <w:r w:rsidRPr="0075151B">
        <w:rPr>
          <w:i/>
        </w:rPr>
        <w:t>Parliaments</w:t>
      </w:r>
      <w:proofErr w:type="spellEnd"/>
      <w:r w:rsidRPr="0075151B">
        <w:rPr>
          <w:i/>
        </w:rPr>
        <w:t xml:space="preserve"> </w:t>
      </w:r>
      <w:proofErr w:type="spellStart"/>
      <w:r w:rsidRPr="0075151B">
        <w:rPr>
          <w:i/>
        </w:rPr>
        <w:t>at</w:t>
      </w:r>
      <w:proofErr w:type="spellEnd"/>
      <w:r w:rsidRPr="0075151B">
        <w:rPr>
          <w:i/>
        </w:rPr>
        <w:t xml:space="preserve"> a </w:t>
      </w:r>
      <w:proofErr w:type="spellStart"/>
      <w:r w:rsidRPr="0075151B">
        <w:rPr>
          <w:i/>
        </w:rPr>
        <w:t>glance</w:t>
      </w:r>
      <w:proofErr w:type="spellEnd"/>
      <w:r w:rsidRPr="0075151B">
        <w:rPr>
          <w:i/>
        </w:rPr>
        <w:t xml:space="preserve">: </w:t>
      </w:r>
      <w:proofErr w:type="spellStart"/>
      <w:r w:rsidRPr="0075151B">
        <w:rPr>
          <w:i/>
        </w:rPr>
        <w:t>Structure</w:t>
      </w:r>
      <w:proofErr w:type="spellEnd"/>
      <w:r w:rsidRPr="0075151B">
        <w:t xml:space="preserve"> </w:t>
      </w:r>
      <w:r w:rsidRPr="0075151B">
        <w:rPr>
          <w:lang w:val="en-US"/>
        </w:rPr>
        <w:t xml:space="preserve">[online]. ipu.org, 2013 [cit. 26. </w:t>
      </w:r>
      <w:proofErr w:type="spellStart"/>
      <w:r w:rsidRPr="0075151B">
        <w:rPr>
          <w:lang w:val="en-US"/>
        </w:rPr>
        <w:t>dubna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rPr>
          <w:lang w:val="en-US"/>
        </w:rPr>
        <w:t xml:space="preserve"> &lt;</w:t>
      </w:r>
      <w:hyperlink r:id="rId2" w:history="1">
        <w:r w:rsidRPr="0075151B">
          <w:rPr>
            <w:rStyle w:val="Hypertextovodkaz"/>
            <w:color w:val="auto"/>
          </w:rPr>
          <w:t>http://www.ipu.org/parline-e/ParliamentsStructure.asp?REGION=All&amp;LANG=ENG</w:t>
        </w:r>
      </w:hyperlink>
      <w:r w:rsidRPr="0075151B">
        <w:rPr>
          <w:lang w:val="en-US"/>
        </w:rPr>
        <w:t>&gt;</w:t>
      </w:r>
      <w:r w:rsidRPr="0075151B">
        <w:t>.</w:t>
      </w:r>
    </w:p>
  </w:footnote>
  <w:footnote w:id="9">
    <w:p w:rsidR="00A70AAB" w:rsidRPr="0075151B" w:rsidRDefault="00A70AAB" w:rsidP="00131744">
      <w:pPr>
        <w:pStyle w:val="Textpoznpodarou"/>
        <w:jc w:val="both"/>
      </w:pPr>
      <w:r w:rsidRPr="0075151B">
        <w:rPr>
          <w:rStyle w:val="Znakapoznpodarou"/>
        </w:rPr>
        <w:footnoteRef/>
      </w:r>
      <w:r w:rsidRPr="0075151B">
        <w:t xml:space="preserve"> TSEBELIS, MONEY: </w:t>
      </w:r>
      <w:proofErr w:type="spellStart"/>
      <w:r w:rsidRPr="0075151B">
        <w:rPr>
          <w:i/>
        </w:rPr>
        <w:t>Bicameralism</w:t>
      </w:r>
      <w:proofErr w:type="spellEnd"/>
      <w:r w:rsidRPr="0075151B">
        <w:t>, s. 18.</w:t>
      </w:r>
    </w:p>
  </w:footnote>
  <w:footnote w:id="10">
    <w:p w:rsidR="00A70AAB" w:rsidRPr="0075151B" w:rsidRDefault="00A70AAB" w:rsidP="00131744">
      <w:pPr>
        <w:pStyle w:val="Textpoznpodarou"/>
        <w:jc w:val="both"/>
      </w:pPr>
      <w:r w:rsidRPr="0075151B">
        <w:rPr>
          <w:rStyle w:val="Znakapoznpodarou"/>
        </w:rPr>
        <w:footnoteRef/>
      </w:r>
      <w:r w:rsidRPr="0075151B">
        <w:t xml:space="preserve"> Tamtéž, s. 21.</w:t>
      </w:r>
    </w:p>
  </w:footnote>
  <w:footnote w:id="11">
    <w:p w:rsidR="00A70AAB" w:rsidRPr="0075151B" w:rsidRDefault="00A70AAB" w:rsidP="00131744">
      <w:pPr>
        <w:pStyle w:val="Textpoznpodarou"/>
        <w:jc w:val="both"/>
      </w:pPr>
      <w:r w:rsidRPr="0075151B">
        <w:rPr>
          <w:rStyle w:val="Znakapoznpodarou"/>
        </w:rPr>
        <w:footnoteRef/>
      </w:r>
      <w:r w:rsidRPr="0075151B">
        <w:t xml:space="preserve"> SYLLOVÁ a kol: Parlament České republiky..., s. 38.</w:t>
      </w:r>
    </w:p>
  </w:footnote>
  <w:footnote w:id="12">
    <w:p w:rsidR="00A70AAB" w:rsidRPr="0075151B" w:rsidRDefault="00A70AAB" w:rsidP="004B33EC">
      <w:pPr>
        <w:pStyle w:val="Textpoznpodarou"/>
        <w:jc w:val="both"/>
      </w:pPr>
      <w:r w:rsidRPr="0075151B">
        <w:rPr>
          <w:rStyle w:val="Znakapoznpodarou"/>
        </w:rPr>
        <w:footnoteRef/>
      </w:r>
      <w:r w:rsidRPr="0075151B">
        <w:t xml:space="preserve"> KOLÁŘ, Petr a kol. </w:t>
      </w:r>
      <w:r w:rsidRPr="0075151B">
        <w:rPr>
          <w:i/>
        </w:rPr>
        <w:t>Parlament České republiky 1993 – 2001</w:t>
      </w:r>
      <w:r w:rsidRPr="0075151B">
        <w:t xml:space="preserve">. Praha: </w:t>
      </w:r>
      <w:proofErr w:type="spellStart"/>
      <w:r w:rsidRPr="0075151B">
        <w:t>Linde</w:t>
      </w:r>
      <w:proofErr w:type="spellEnd"/>
      <w:r w:rsidRPr="0075151B">
        <w:t xml:space="preserve"> Praha a. s., 2002, s. 102.</w:t>
      </w:r>
    </w:p>
  </w:footnote>
  <w:footnote w:id="13">
    <w:p w:rsidR="00A70AAB" w:rsidRPr="0075151B" w:rsidRDefault="00A70AAB" w:rsidP="004B33EC">
      <w:pPr>
        <w:pStyle w:val="Textpoznpodarou"/>
        <w:jc w:val="both"/>
      </w:pPr>
      <w:r w:rsidRPr="0075151B">
        <w:rPr>
          <w:rStyle w:val="Znakapoznpodarou"/>
        </w:rPr>
        <w:footnoteRef/>
      </w:r>
      <w:r w:rsidRPr="0075151B">
        <w:t xml:space="preserve"> KYSELA, Jan. </w:t>
      </w:r>
      <w:proofErr w:type="spellStart"/>
      <w:r w:rsidRPr="0075151B">
        <w:t>Bikameralismus</w:t>
      </w:r>
      <w:proofErr w:type="spellEnd"/>
      <w:r w:rsidRPr="0075151B">
        <w:t>. In KYSELA, Jan (</w:t>
      </w:r>
      <w:proofErr w:type="spellStart"/>
      <w:r w:rsidRPr="0075151B">
        <w:t>ed</w:t>
      </w:r>
      <w:proofErr w:type="spellEnd"/>
      <w:r w:rsidRPr="0075151B">
        <w:t xml:space="preserve">). </w:t>
      </w:r>
      <w:r w:rsidRPr="0075151B">
        <w:rPr>
          <w:i/>
        </w:rPr>
        <w:t>Senát v České republice - proč a jaký?</w:t>
      </w:r>
      <w:r w:rsidRPr="0075151B">
        <w:t>. Praha: Kancelář Senátu, 1999, s. 65.</w:t>
      </w:r>
    </w:p>
  </w:footnote>
  <w:footnote w:id="14">
    <w:p w:rsidR="00A70AAB" w:rsidRPr="0075151B" w:rsidRDefault="00A70AAB" w:rsidP="004B33EC">
      <w:pPr>
        <w:pStyle w:val="Textpoznpodarou"/>
        <w:jc w:val="both"/>
      </w:pPr>
      <w:r w:rsidRPr="0075151B">
        <w:rPr>
          <w:rStyle w:val="Znakapoznpodarou"/>
        </w:rPr>
        <w:footnoteRef/>
      </w:r>
      <w:r w:rsidRPr="0075151B">
        <w:t xml:space="preserve"> RUSSELL, </w:t>
      </w:r>
      <w:proofErr w:type="spellStart"/>
      <w:r w:rsidRPr="0075151B">
        <w:t>Meg</w:t>
      </w:r>
      <w:proofErr w:type="spellEnd"/>
      <w:r w:rsidRPr="0075151B">
        <w:t xml:space="preserve">: </w:t>
      </w:r>
      <w:proofErr w:type="spellStart"/>
      <w:r w:rsidRPr="0075151B">
        <w:t>What</w:t>
      </w:r>
      <w:proofErr w:type="spellEnd"/>
      <w:r w:rsidRPr="0075151B">
        <w:t xml:space="preserve"> are </w:t>
      </w:r>
      <w:proofErr w:type="spellStart"/>
      <w:r w:rsidRPr="0075151B">
        <w:t>Second</w:t>
      </w:r>
      <w:proofErr w:type="spellEnd"/>
      <w:r w:rsidRPr="0075151B">
        <w:t xml:space="preserve"> </w:t>
      </w:r>
      <w:proofErr w:type="spellStart"/>
      <w:r w:rsidRPr="0075151B">
        <w:t>Chambers</w:t>
      </w:r>
      <w:proofErr w:type="spellEnd"/>
      <w:r w:rsidRPr="0075151B">
        <w:t xml:space="preserve"> </w:t>
      </w:r>
      <w:proofErr w:type="spellStart"/>
      <w:r w:rsidRPr="0075151B">
        <w:t>for</w:t>
      </w:r>
      <w:proofErr w:type="spellEnd"/>
      <w:r w:rsidRPr="0075151B">
        <w:t xml:space="preserve">?. </w:t>
      </w:r>
      <w:proofErr w:type="spellStart"/>
      <w:r w:rsidRPr="0075151B">
        <w:rPr>
          <w:i/>
        </w:rPr>
        <w:t>Parliamentary</w:t>
      </w:r>
      <w:proofErr w:type="spellEnd"/>
      <w:r w:rsidRPr="0075151B">
        <w:rPr>
          <w:i/>
        </w:rPr>
        <w:t xml:space="preserve"> </w:t>
      </w:r>
      <w:proofErr w:type="spellStart"/>
      <w:r w:rsidRPr="0075151B">
        <w:rPr>
          <w:i/>
        </w:rPr>
        <w:t>Affairs</w:t>
      </w:r>
      <w:proofErr w:type="spellEnd"/>
      <w:r w:rsidRPr="0075151B">
        <w:t xml:space="preserve">, 2001, </w:t>
      </w:r>
      <w:proofErr w:type="spellStart"/>
      <w:r w:rsidRPr="0075151B">
        <w:t>roč</w:t>
      </w:r>
      <w:proofErr w:type="spellEnd"/>
      <w:r w:rsidRPr="0075151B">
        <w:t>. 54, č. 3, s. 450.</w:t>
      </w:r>
    </w:p>
  </w:footnote>
  <w:footnote w:id="15">
    <w:p w:rsidR="00A70AAB" w:rsidRPr="0075151B" w:rsidRDefault="00A70AAB" w:rsidP="004B33EC">
      <w:pPr>
        <w:pStyle w:val="Textpoznpodarou"/>
        <w:jc w:val="both"/>
      </w:pPr>
      <w:r w:rsidRPr="0075151B">
        <w:rPr>
          <w:rStyle w:val="Znakapoznpodarou"/>
        </w:rPr>
        <w:footnoteRef/>
      </w:r>
      <w:r w:rsidRPr="0075151B">
        <w:t xml:space="preserve"> Tamtéž.</w:t>
      </w:r>
    </w:p>
  </w:footnote>
  <w:footnote w:id="16">
    <w:p w:rsidR="00A70AAB" w:rsidRPr="0075151B" w:rsidRDefault="00A70AAB" w:rsidP="004B33EC">
      <w:pPr>
        <w:pStyle w:val="Textpoznpodarou"/>
        <w:jc w:val="both"/>
      </w:pPr>
      <w:r w:rsidRPr="0075151B">
        <w:rPr>
          <w:rStyle w:val="Znakapoznpodarou"/>
        </w:rPr>
        <w:footnoteRef/>
      </w:r>
      <w:r w:rsidRPr="0075151B">
        <w:t xml:space="preserve"> Tyranií menšiny je myšlena tyranie jedné komory parlamentu, tedy určité skupiny lidí.</w:t>
      </w:r>
    </w:p>
  </w:footnote>
  <w:footnote w:id="17">
    <w:p w:rsidR="00A70AAB" w:rsidRPr="0075151B" w:rsidRDefault="00A70AAB" w:rsidP="004B33EC">
      <w:pPr>
        <w:pStyle w:val="Textpoznpodarou"/>
        <w:jc w:val="both"/>
      </w:pPr>
      <w:r w:rsidRPr="0075151B">
        <w:rPr>
          <w:rStyle w:val="Znakapoznpodarou"/>
        </w:rPr>
        <w:footnoteRef/>
      </w:r>
      <w:r w:rsidRPr="0075151B">
        <w:t xml:space="preserve"> TSEBELIS, MONEY: </w:t>
      </w:r>
      <w:proofErr w:type="spellStart"/>
      <w:r w:rsidRPr="0075151B">
        <w:rPr>
          <w:i/>
        </w:rPr>
        <w:t>Bicameralism</w:t>
      </w:r>
      <w:proofErr w:type="spellEnd"/>
      <w:r w:rsidRPr="0075151B">
        <w:t>, s. 36.</w:t>
      </w:r>
    </w:p>
  </w:footnote>
  <w:footnote w:id="18">
    <w:p w:rsidR="00A70AAB" w:rsidRPr="0075151B" w:rsidRDefault="00A70AAB" w:rsidP="004B33EC">
      <w:pPr>
        <w:pStyle w:val="Textpoznpodarou"/>
        <w:jc w:val="both"/>
      </w:pPr>
      <w:r w:rsidRPr="0075151B">
        <w:rPr>
          <w:rStyle w:val="Znakapoznpodarou"/>
        </w:rPr>
        <w:footnoteRef/>
      </w:r>
      <w:r w:rsidRPr="0075151B">
        <w:t xml:space="preserve"> RUSSELL: </w:t>
      </w:r>
      <w:proofErr w:type="spellStart"/>
      <w:r w:rsidRPr="0075151B">
        <w:rPr>
          <w:i/>
        </w:rPr>
        <w:t>What</w:t>
      </w:r>
      <w:proofErr w:type="spellEnd"/>
      <w:r w:rsidRPr="0075151B">
        <w:rPr>
          <w:i/>
        </w:rPr>
        <w:t xml:space="preserve"> are </w:t>
      </w:r>
      <w:proofErr w:type="spellStart"/>
      <w:r w:rsidRPr="0075151B">
        <w:rPr>
          <w:i/>
        </w:rPr>
        <w:t>Second</w:t>
      </w:r>
      <w:proofErr w:type="spellEnd"/>
      <w:r w:rsidRPr="0075151B">
        <w:rPr>
          <w:i/>
        </w:rPr>
        <w:t>...</w:t>
      </w:r>
      <w:r w:rsidRPr="0075151B">
        <w:t>, s. 443.</w:t>
      </w:r>
    </w:p>
  </w:footnote>
  <w:footnote w:id="19">
    <w:p w:rsidR="00A70AAB" w:rsidRPr="0075151B" w:rsidRDefault="00A70AAB" w:rsidP="00567A0C">
      <w:pPr>
        <w:pStyle w:val="Nadpis1"/>
        <w:shd w:val="clear" w:color="auto" w:fill="FFFFFF"/>
        <w:spacing w:before="0" w:line="240" w:lineRule="auto"/>
        <w:jc w:val="both"/>
        <w:rPr>
          <w:rFonts w:cs="Times New Roman"/>
          <w:b w:val="0"/>
          <w:sz w:val="20"/>
          <w:szCs w:val="20"/>
        </w:rPr>
      </w:pPr>
      <w:r w:rsidRPr="0075151B">
        <w:rPr>
          <w:rStyle w:val="Znakapoznpodarou"/>
          <w:rFonts w:cs="Times New Roman"/>
          <w:b w:val="0"/>
          <w:sz w:val="20"/>
          <w:szCs w:val="20"/>
        </w:rPr>
        <w:footnoteRef/>
      </w:r>
      <w:r w:rsidRPr="0075151B">
        <w:rPr>
          <w:rFonts w:cs="Times New Roman"/>
          <w:b w:val="0"/>
          <w:sz w:val="20"/>
          <w:szCs w:val="20"/>
        </w:rPr>
        <w:t xml:space="preserve"> BUCHANAN, </w:t>
      </w:r>
      <w:proofErr w:type="spellStart"/>
      <w:r w:rsidRPr="0075151B">
        <w:rPr>
          <w:rFonts w:cs="Times New Roman"/>
          <w:b w:val="0"/>
          <w:sz w:val="20"/>
          <w:szCs w:val="20"/>
        </w:rPr>
        <w:t>James</w:t>
      </w:r>
      <w:proofErr w:type="spellEnd"/>
      <w:r w:rsidRPr="0075151B">
        <w:rPr>
          <w:rFonts w:cs="Times New Roman"/>
          <w:b w:val="0"/>
          <w:sz w:val="20"/>
          <w:szCs w:val="20"/>
        </w:rPr>
        <w:t xml:space="preserve"> M., TULLOCK, </w:t>
      </w:r>
      <w:proofErr w:type="spellStart"/>
      <w:r w:rsidRPr="0075151B">
        <w:rPr>
          <w:rFonts w:cs="Times New Roman"/>
          <w:b w:val="0"/>
          <w:sz w:val="20"/>
          <w:szCs w:val="20"/>
        </w:rPr>
        <w:t>Gordon</w:t>
      </w:r>
      <w:proofErr w:type="spellEnd"/>
      <w:r w:rsidRPr="0075151B">
        <w:rPr>
          <w:rFonts w:cs="Times New Roman"/>
          <w:b w:val="0"/>
          <w:sz w:val="20"/>
          <w:szCs w:val="20"/>
        </w:rPr>
        <w:t xml:space="preserve">: </w:t>
      </w:r>
      <w:proofErr w:type="spellStart"/>
      <w:r w:rsidRPr="0075151B">
        <w:rPr>
          <w:rFonts w:cs="Times New Roman"/>
          <w:b w:val="0"/>
          <w:i/>
          <w:sz w:val="20"/>
          <w:szCs w:val="20"/>
        </w:rPr>
        <w:t>The</w:t>
      </w:r>
      <w:proofErr w:type="spellEnd"/>
      <w:r w:rsidRPr="0075151B">
        <w:rPr>
          <w:rFonts w:cs="Times New Roman"/>
          <w:b w:val="0"/>
          <w:i/>
          <w:sz w:val="20"/>
          <w:szCs w:val="20"/>
        </w:rPr>
        <w:t xml:space="preserve"> </w:t>
      </w:r>
      <w:proofErr w:type="spellStart"/>
      <w:r w:rsidRPr="0075151B">
        <w:rPr>
          <w:rFonts w:cs="Times New Roman"/>
          <w:b w:val="0"/>
          <w:i/>
          <w:sz w:val="20"/>
          <w:szCs w:val="20"/>
        </w:rPr>
        <w:t>Calculus</w:t>
      </w:r>
      <w:proofErr w:type="spellEnd"/>
      <w:r w:rsidRPr="0075151B">
        <w:rPr>
          <w:rFonts w:cs="Times New Roman"/>
          <w:b w:val="0"/>
          <w:i/>
          <w:sz w:val="20"/>
          <w:szCs w:val="20"/>
        </w:rPr>
        <w:t xml:space="preserve"> </w:t>
      </w:r>
      <w:proofErr w:type="spellStart"/>
      <w:r w:rsidRPr="0075151B">
        <w:rPr>
          <w:rFonts w:cs="Times New Roman"/>
          <w:b w:val="0"/>
          <w:i/>
          <w:sz w:val="20"/>
          <w:szCs w:val="20"/>
        </w:rPr>
        <w:t>of</w:t>
      </w:r>
      <w:proofErr w:type="spellEnd"/>
      <w:r w:rsidRPr="0075151B">
        <w:rPr>
          <w:rFonts w:cs="Times New Roman"/>
          <w:b w:val="0"/>
          <w:i/>
          <w:sz w:val="20"/>
          <w:szCs w:val="20"/>
        </w:rPr>
        <w:t xml:space="preserve"> </w:t>
      </w:r>
      <w:proofErr w:type="spellStart"/>
      <w:r w:rsidRPr="0075151B">
        <w:rPr>
          <w:rFonts w:cs="Times New Roman"/>
          <w:b w:val="0"/>
          <w:i/>
          <w:sz w:val="20"/>
          <w:szCs w:val="20"/>
        </w:rPr>
        <w:t>Consent</w:t>
      </w:r>
      <w:proofErr w:type="spellEnd"/>
      <w:r w:rsidRPr="0075151B">
        <w:rPr>
          <w:rFonts w:cs="Times New Roman"/>
          <w:b w:val="0"/>
          <w:i/>
          <w:sz w:val="20"/>
          <w:szCs w:val="20"/>
        </w:rPr>
        <w:t xml:space="preserve">: </w:t>
      </w:r>
      <w:proofErr w:type="spellStart"/>
      <w:r w:rsidRPr="0075151B">
        <w:rPr>
          <w:rFonts w:cs="Times New Roman"/>
          <w:b w:val="0"/>
          <w:i/>
          <w:sz w:val="20"/>
          <w:szCs w:val="20"/>
        </w:rPr>
        <w:t>Logical</w:t>
      </w:r>
      <w:proofErr w:type="spellEnd"/>
      <w:r w:rsidRPr="0075151B">
        <w:rPr>
          <w:rFonts w:cs="Times New Roman"/>
          <w:b w:val="0"/>
          <w:i/>
          <w:sz w:val="20"/>
          <w:szCs w:val="20"/>
        </w:rPr>
        <w:t xml:space="preserve"> </w:t>
      </w:r>
      <w:proofErr w:type="spellStart"/>
      <w:r w:rsidRPr="0075151B">
        <w:rPr>
          <w:rFonts w:cs="Times New Roman"/>
          <w:b w:val="0"/>
          <w:i/>
          <w:sz w:val="20"/>
          <w:szCs w:val="20"/>
        </w:rPr>
        <w:t>Foundations</w:t>
      </w:r>
      <w:proofErr w:type="spellEnd"/>
      <w:r w:rsidRPr="0075151B">
        <w:rPr>
          <w:rFonts w:cs="Times New Roman"/>
          <w:b w:val="0"/>
          <w:i/>
          <w:sz w:val="20"/>
          <w:szCs w:val="20"/>
        </w:rPr>
        <w:t xml:space="preserve"> </w:t>
      </w:r>
      <w:proofErr w:type="spellStart"/>
      <w:r w:rsidRPr="0075151B">
        <w:rPr>
          <w:rFonts w:cs="Times New Roman"/>
          <w:b w:val="0"/>
          <w:i/>
          <w:sz w:val="20"/>
          <w:szCs w:val="20"/>
        </w:rPr>
        <w:t>of</w:t>
      </w:r>
      <w:proofErr w:type="spellEnd"/>
      <w:r w:rsidRPr="0075151B">
        <w:rPr>
          <w:rFonts w:cs="Times New Roman"/>
          <w:b w:val="0"/>
          <w:i/>
          <w:sz w:val="20"/>
          <w:szCs w:val="20"/>
        </w:rPr>
        <w:t xml:space="preserve"> </w:t>
      </w:r>
      <w:proofErr w:type="spellStart"/>
      <w:r w:rsidRPr="0075151B">
        <w:rPr>
          <w:rFonts w:cs="Times New Roman"/>
          <w:b w:val="0"/>
          <w:i/>
          <w:sz w:val="20"/>
          <w:szCs w:val="20"/>
        </w:rPr>
        <w:t>Constitutional</w:t>
      </w:r>
      <w:proofErr w:type="spellEnd"/>
      <w:r w:rsidRPr="0075151B">
        <w:rPr>
          <w:rFonts w:cs="Times New Roman"/>
          <w:b w:val="0"/>
          <w:i/>
          <w:sz w:val="20"/>
          <w:szCs w:val="20"/>
        </w:rPr>
        <w:t xml:space="preserve"> </w:t>
      </w:r>
      <w:proofErr w:type="spellStart"/>
      <w:r w:rsidRPr="0075151B">
        <w:rPr>
          <w:rFonts w:cs="Times New Roman"/>
          <w:b w:val="0"/>
          <w:i/>
          <w:sz w:val="20"/>
          <w:szCs w:val="20"/>
        </w:rPr>
        <w:t>Democracy</w:t>
      </w:r>
      <w:proofErr w:type="spellEnd"/>
      <w:r w:rsidRPr="0075151B">
        <w:rPr>
          <w:rFonts w:cs="Times New Roman"/>
          <w:b w:val="0"/>
          <w:sz w:val="20"/>
          <w:szCs w:val="20"/>
        </w:rPr>
        <w:t xml:space="preserve">. </w:t>
      </w:r>
      <w:proofErr w:type="spellStart"/>
      <w:r w:rsidRPr="0075151B">
        <w:rPr>
          <w:rFonts w:cs="Times New Roman"/>
          <w:b w:val="0"/>
          <w:sz w:val="20"/>
          <w:szCs w:val="20"/>
        </w:rPr>
        <w:t>Indianapolis</w:t>
      </w:r>
      <w:proofErr w:type="spellEnd"/>
      <w:r w:rsidRPr="0075151B">
        <w:rPr>
          <w:rFonts w:cs="Times New Roman"/>
          <w:b w:val="0"/>
          <w:sz w:val="20"/>
          <w:szCs w:val="20"/>
        </w:rPr>
        <w:t xml:space="preserve">: Liberty </w:t>
      </w:r>
      <w:proofErr w:type="spellStart"/>
      <w:r w:rsidRPr="0075151B">
        <w:rPr>
          <w:rFonts w:cs="Times New Roman"/>
          <w:b w:val="0"/>
          <w:sz w:val="20"/>
          <w:szCs w:val="20"/>
        </w:rPr>
        <w:t>Fund</w:t>
      </w:r>
      <w:proofErr w:type="spellEnd"/>
      <w:r w:rsidRPr="0075151B">
        <w:rPr>
          <w:rFonts w:cs="Times New Roman"/>
          <w:b w:val="0"/>
          <w:sz w:val="20"/>
          <w:szCs w:val="20"/>
        </w:rPr>
        <w:t xml:space="preserve">, </w:t>
      </w:r>
      <w:proofErr w:type="spellStart"/>
      <w:r w:rsidRPr="0075151B">
        <w:rPr>
          <w:rFonts w:cs="Times New Roman"/>
          <w:b w:val="0"/>
          <w:sz w:val="20"/>
          <w:szCs w:val="20"/>
        </w:rPr>
        <w:t>Inc</w:t>
      </w:r>
      <w:proofErr w:type="spellEnd"/>
      <w:r w:rsidRPr="0075151B">
        <w:rPr>
          <w:rFonts w:cs="Times New Roman"/>
          <w:b w:val="0"/>
          <w:sz w:val="20"/>
          <w:szCs w:val="20"/>
        </w:rPr>
        <w:t>., 1999, s. 236.</w:t>
      </w:r>
    </w:p>
  </w:footnote>
  <w:footnote w:id="20">
    <w:p w:rsidR="00A70AAB" w:rsidRPr="0075151B" w:rsidRDefault="00A70AAB" w:rsidP="00567A0C">
      <w:pPr>
        <w:pStyle w:val="Textpoznpodarou"/>
        <w:jc w:val="both"/>
      </w:pPr>
      <w:r w:rsidRPr="0075151B">
        <w:rPr>
          <w:rStyle w:val="Znakapoznpodarou"/>
        </w:rPr>
        <w:footnoteRef/>
      </w:r>
      <w:r w:rsidRPr="0075151B">
        <w:t xml:space="preserve"> PATTERSON, Samuel C., MUGHAN, </w:t>
      </w:r>
      <w:proofErr w:type="spellStart"/>
      <w:r w:rsidRPr="0075151B">
        <w:t>Anthony</w:t>
      </w:r>
      <w:proofErr w:type="spellEnd"/>
      <w:r w:rsidRPr="0075151B">
        <w:t xml:space="preserve">. </w:t>
      </w:r>
      <w:proofErr w:type="spellStart"/>
      <w:r w:rsidRPr="0075151B">
        <w:t>Senates</w:t>
      </w:r>
      <w:proofErr w:type="spellEnd"/>
      <w:r w:rsidRPr="0075151B">
        <w:t xml:space="preserve"> </w:t>
      </w:r>
      <w:proofErr w:type="spellStart"/>
      <w:r w:rsidRPr="0075151B">
        <w:t>and</w:t>
      </w:r>
      <w:proofErr w:type="spellEnd"/>
      <w:r w:rsidRPr="0075151B">
        <w:t xml:space="preserve"> </w:t>
      </w:r>
      <w:proofErr w:type="spellStart"/>
      <w:r w:rsidRPr="0075151B">
        <w:t>the</w:t>
      </w:r>
      <w:proofErr w:type="spellEnd"/>
      <w:r w:rsidRPr="0075151B">
        <w:t xml:space="preserve"> </w:t>
      </w:r>
      <w:proofErr w:type="spellStart"/>
      <w:r w:rsidRPr="0075151B">
        <w:t>Theory</w:t>
      </w:r>
      <w:proofErr w:type="spellEnd"/>
      <w:r w:rsidRPr="0075151B">
        <w:t xml:space="preserve"> </w:t>
      </w:r>
      <w:proofErr w:type="spellStart"/>
      <w:r w:rsidRPr="0075151B">
        <w:t>of</w:t>
      </w:r>
      <w:proofErr w:type="spellEnd"/>
      <w:r w:rsidRPr="0075151B">
        <w:t xml:space="preserve"> </w:t>
      </w:r>
      <w:proofErr w:type="spellStart"/>
      <w:r w:rsidRPr="0075151B">
        <w:t>Bicameralism</w:t>
      </w:r>
      <w:proofErr w:type="spellEnd"/>
      <w:r w:rsidRPr="0075151B">
        <w:t xml:space="preserve">. In PATTERSON, Samuel C., MUGHAN, </w:t>
      </w:r>
      <w:proofErr w:type="spellStart"/>
      <w:r w:rsidRPr="0075151B">
        <w:t>Anthony</w:t>
      </w:r>
      <w:proofErr w:type="spellEnd"/>
      <w:r w:rsidRPr="0075151B">
        <w:t xml:space="preserve"> (</w:t>
      </w:r>
      <w:proofErr w:type="spellStart"/>
      <w:r w:rsidRPr="0075151B">
        <w:t>eds</w:t>
      </w:r>
      <w:proofErr w:type="spellEnd"/>
      <w:r w:rsidRPr="0075151B">
        <w:t xml:space="preserve">). </w:t>
      </w:r>
      <w:proofErr w:type="spellStart"/>
      <w:r w:rsidRPr="0075151B">
        <w:rPr>
          <w:i/>
        </w:rPr>
        <w:t>Senates</w:t>
      </w:r>
      <w:proofErr w:type="spellEnd"/>
      <w:r w:rsidRPr="0075151B">
        <w:rPr>
          <w:i/>
        </w:rPr>
        <w:t xml:space="preserve">: </w:t>
      </w:r>
      <w:proofErr w:type="spellStart"/>
      <w:r w:rsidRPr="0075151B">
        <w:rPr>
          <w:i/>
        </w:rPr>
        <w:t>Bicameralism</w:t>
      </w:r>
      <w:proofErr w:type="spellEnd"/>
      <w:r w:rsidRPr="0075151B">
        <w:rPr>
          <w:i/>
        </w:rPr>
        <w:t xml:space="preserve"> in </w:t>
      </w:r>
      <w:proofErr w:type="spellStart"/>
      <w:r w:rsidRPr="0075151B">
        <w:rPr>
          <w:i/>
        </w:rPr>
        <w:t>the</w:t>
      </w:r>
      <w:proofErr w:type="spellEnd"/>
      <w:r w:rsidRPr="0075151B">
        <w:rPr>
          <w:i/>
        </w:rPr>
        <w:t xml:space="preserve"> </w:t>
      </w:r>
      <w:proofErr w:type="spellStart"/>
      <w:r w:rsidRPr="0075151B">
        <w:rPr>
          <w:i/>
        </w:rPr>
        <w:t>contemporary</w:t>
      </w:r>
      <w:proofErr w:type="spellEnd"/>
      <w:r w:rsidRPr="0075151B">
        <w:rPr>
          <w:i/>
        </w:rPr>
        <w:t xml:space="preserve"> </w:t>
      </w:r>
      <w:proofErr w:type="spellStart"/>
      <w:r w:rsidRPr="0075151B">
        <w:rPr>
          <w:i/>
        </w:rPr>
        <w:t>world</w:t>
      </w:r>
      <w:proofErr w:type="spellEnd"/>
      <w:r w:rsidRPr="0075151B">
        <w:t xml:space="preserve">. </w:t>
      </w:r>
      <w:proofErr w:type="spellStart"/>
      <w:r w:rsidRPr="0075151B">
        <w:t>Columbus</w:t>
      </w:r>
      <w:proofErr w:type="spellEnd"/>
      <w:r w:rsidRPr="0075151B">
        <w:t xml:space="preserve">: Ohio </w:t>
      </w:r>
      <w:proofErr w:type="spellStart"/>
      <w:r w:rsidRPr="0075151B">
        <w:t>State</w:t>
      </w:r>
      <w:proofErr w:type="spellEnd"/>
      <w:r w:rsidRPr="0075151B">
        <w:t xml:space="preserve"> University </w:t>
      </w:r>
      <w:proofErr w:type="spellStart"/>
      <w:r w:rsidRPr="0075151B">
        <w:t>Press</w:t>
      </w:r>
      <w:proofErr w:type="spellEnd"/>
      <w:r w:rsidRPr="0075151B">
        <w:t>, s. 10-12.</w:t>
      </w:r>
    </w:p>
  </w:footnote>
  <w:footnote w:id="21">
    <w:p w:rsidR="00A70AAB" w:rsidRPr="0075151B" w:rsidRDefault="00A70AAB" w:rsidP="00567A0C">
      <w:pPr>
        <w:pStyle w:val="Textpoznpodarou"/>
        <w:jc w:val="both"/>
      </w:pPr>
      <w:r w:rsidRPr="0075151B">
        <w:rPr>
          <w:rStyle w:val="Znakapoznpodarou"/>
        </w:rPr>
        <w:footnoteRef/>
      </w:r>
      <w:r w:rsidRPr="0075151B">
        <w:t xml:space="preserve"> SYLLOVÁ a kol: Parlament České republiky..., s. 40.</w:t>
      </w:r>
    </w:p>
  </w:footnote>
  <w:footnote w:id="22">
    <w:p w:rsidR="00A70AAB" w:rsidRPr="0075151B" w:rsidRDefault="00A70AAB" w:rsidP="00567A0C">
      <w:pPr>
        <w:pStyle w:val="Textpoznpodarou"/>
        <w:jc w:val="both"/>
      </w:pPr>
      <w:r w:rsidRPr="0075151B">
        <w:rPr>
          <w:rStyle w:val="Znakapoznpodarou"/>
        </w:rPr>
        <w:footnoteRef/>
      </w:r>
      <w:r w:rsidRPr="0075151B">
        <w:t xml:space="preserve"> Podrobněji k typologii druhých komor v bakalářské práci autora.</w:t>
      </w:r>
    </w:p>
  </w:footnote>
  <w:footnote w:id="23">
    <w:p w:rsidR="00A70AAB" w:rsidRPr="0075151B" w:rsidRDefault="00A70AAB" w:rsidP="00567A0C">
      <w:pPr>
        <w:pStyle w:val="Textpoznpodarou"/>
        <w:jc w:val="both"/>
      </w:pPr>
      <w:r w:rsidRPr="0075151B">
        <w:rPr>
          <w:rStyle w:val="Znakapoznpodarou"/>
        </w:rPr>
        <w:footnoteRef/>
      </w:r>
      <w:r w:rsidRPr="0075151B">
        <w:t xml:space="preserve"> BAXA, Bohumil. </w:t>
      </w:r>
      <w:r w:rsidRPr="0075151B">
        <w:rPr>
          <w:i/>
        </w:rPr>
        <w:t xml:space="preserve">Parlament a </w:t>
      </w:r>
      <w:proofErr w:type="spellStart"/>
      <w:r w:rsidRPr="0075151B">
        <w:rPr>
          <w:i/>
        </w:rPr>
        <w:t>parlamentarism</w:t>
      </w:r>
      <w:proofErr w:type="spellEnd"/>
      <w:r w:rsidRPr="0075151B">
        <w:t>. Praha: Jan Košatka, 1924,  s. 170-171.</w:t>
      </w:r>
    </w:p>
  </w:footnote>
  <w:footnote w:id="24">
    <w:p w:rsidR="00A70AAB" w:rsidRPr="0075151B" w:rsidRDefault="00A70AAB" w:rsidP="00567A0C">
      <w:pPr>
        <w:pStyle w:val="Textpoznpodarou"/>
        <w:jc w:val="both"/>
      </w:pPr>
      <w:r w:rsidRPr="0075151B">
        <w:rPr>
          <w:rStyle w:val="Znakapoznpodarou"/>
        </w:rPr>
        <w:footnoteRef/>
      </w:r>
      <w:r w:rsidRPr="0075151B">
        <w:t xml:space="preserve"> </w:t>
      </w:r>
      <w:r w:rsidRPr="0075151B">
        <w:rPr>
          <w:rFonts w:cs="Times New Roman"/>
          <w:szCs w:val="24"/>
        </w:rPr>
        <w:t>HOLLӒNDER</w:t>
      </w:r>
      <w:r w:rsidRPr="0075151B">
        <w:t xml:space="preserve">, Pavel. Základy všeobecné státovědy. Praha: </w:t>
      </w:r>
      <w:proofErr w:type="spellStart"/>
      <w:r w:rsidRPr="0075151B">
        <w:t>Všehrd</w:t>
      </w:r>
      <w:proofErr w:type="spellEnd"/>
      <w:r w:rsidRPr="0075151B">
        <w:t>, 1995, s. 157-158.</w:t>
      </w:r>
    </w:p>
  </w:footnote>
  <w:footnote w:id="25">
    <w:p w:rsidR="00A70AAB" w:rsidRPr="0075151B" w:rsidRDefault="00A70AAB" w:rsidP="00567A0C">
      <w:pPr>
        <w:pStyle w:val="Textpoznpodarou"/>
        <w:jc w:val="both"/>
      </w:pPr>
      <w:r w:rsidRPr="0075151B">
        <w:rPr>
          <w:rStyle w:val="Znakapoznpodarou"/>
        </w:rPr>
        <w:footnoteRef/>
      </w:r>
      <w:r w:rsidRPr="0075151B">
        <w:t xml:space="preserve"> GERLOCH, Aleš, HŘEBEJK, Jiří, ZOUBEK, Vladimír. Ústavní systém </w:t>
      </w:r>
      <w:r w:rsidRPr="0075151B">
        <w:rPr>
          <w:i/>
        </w:rPr>
        <w:t>České republiky – základy českého ústavního práva</w:t>
      </w:r>
      <w:r w:rsidRPr="0075151B">
        <w:t xml:space="preserve">. 4. vydání. Praha: </w:t>
      </w:r>
      <w:proofErr w:type="spellStart"/>
      <w:r w:rsidRPr="0075151B">
        <w:t>Prospektum</w:t>
      </w:r>
      <w:proofErr w:type="spellEnd"/>
      <w:r w:rsidRPr="0075151B">
        <w:t xml:space="preserve"> , 2002, s. 161.</w:t>
      </w:r>
    </w:p>
  </w:footnote>
  <w:footnote w:id="26">
    <w:p w:rsidR="00A70AAB" w:rsidRPr="0075151B" w:rsidRDefault="00A70AAB" w:rsidP="00567A0C">
      <w:pPr>
        <w:pStyle w:val="Textpoznpodarou"/>
        <w:jc w:val="both"/>
      </w:pPr>
      <w:r w:rsidRPr="0075151B">
        <w:rPr>
          <w:rStyle w:val="Znakapoznpodarou"/>
        </w:rPr>
        <w:footnoteRef/>
      </w:r>
      <w:r w:rsidRPr="0075151B">
        <w:t xml:space="preserve"> LIJPHART, </w:t>
      </w:r>
      <w:proofErr w:type="spellStart"/>
      <w:r w:rsidRPr="0075151B">
        <w:t>Arendt</w:t>
      </w:r>
      <w:proofErr w:type="spellEnd"/>
      <w:r w:rsidRPr="0075151B">
        <w:t xml:space="preserve">: </w:t>
      </w:r>
      <w:proofErr w:type="spellStart"/>
      <w:r w:rsidRPr="0075151B">
        <w:rPr>
          <w:rFonts w:cs="Times New Roman"/>
          <w:i/>
          <w:szCs w:val="24"/>
        </w:rPr>
        <w:t>Democracies</w:t>
      </w:r>
      <w:proofErr w:type="spellEnd"/>
      <w:r w:rsidRPr="0075151B">
        <w:rPr>
          <w:rFonts w:cs="Times New Roman"/>
          <w:i/>
          <w:szCs w:val="24"/>
        </w:rPr>
        <w:t xml:space="preserve">: </w:t>
      </w:r>
      <w:proofErr w:type="spellStart"/>
      <w:r w:rsidRPr="0075151B">
        <w:rPr>
          <w:rFonts w:cs="Times New Roman"/>
          <w:i/>
          <w:szCs w:val="24"/>
        </w:rPr>
        <w:t>Patterns</w:t>
      </w:r>
      <w:proofErr w:type="spellEnd"/>
      <w:r w:rsidRPr="0075151B">
        <w:rPr>
          <w:rFonts w:cs="Times New Roman"/>
          <w:i/>
          <w:szCs w:val="24"/>
        </w:rPr>
        <w:t xml:space="preserve"> </w:t>
      </w:r>
      <w:proofErr w:type="spellStart"/>
      <w:r w:rsidRPr="0075151B">
        <w:rPr>
          <w:rFonts w:cs="Times New Roman"/>
          <w:i/>
          <w:szCs w:val="24"/>
        </w:rPr>
        <w:t>of</w:t>
      </w:r>
      <w:proofErr w:type="spellEnd"/>
      <w:r w:rsidRPr="0075151B">
        <w:rPr>
          <w:rFonts w:cs="Times New Roman"/>
          <w:i/>
          <w:szCs w:val="24"/>
        </w:rPr>
        <w:t xml:space="preserve"> </w:t>
      </w:r>
      <w:proofErr w:type="spellStart"/>
      <w:r w:rsidRPr="0075151B">
        <w:rPr>
          <w:rFonts w:cs="Times New Roman"/>
          <w:i/>
          <w:szCs w:val="24"/>
        </w:rPr>
        <w:t>Majoritarian</w:t>
      </w:r>
      <w:proofErr w:type="spellEnd"/>
      <w:r w:rsidRPr="0075151B">
        <w:rPr>
          <w:rFonts w:cs="Times New Roman"/>
          <w:i/>
          <w:szCs w:val="24"/>
        </w:rPr>
        <w:t xml:space="preserve"> </w:t>
      </w:r>
      <w:proofErr w:type="spellStart"/>
      <w:r w:rsidRPr="0075151B">
        <w:rPr>
          <w:rFonts w:cs="Times New Roman"/>
          <w:i/>
          <w:szCs w:val="24"/>
        </w:rPr>
        <w:t>and</w:t>
      </w:r>
      <w:proofErr w:type="spellEnd"/>
      <w:r w:rsidRPr="0075151B">
        <w:rPr>
          <w:rFonts w:cs="Times New Roman"/>
          <w:i/>
          <w:szCs w:val="24"/>
        </w:rPr>
        <w:t xml:space="preserve"> </w:t>
      </w:r>
      <w:proofErr w:type="spellStart"/>
      <w:r w:rsidRPr="0075151B">
        <w:rPr>
          <w:rFonts w:cs="Times New Roman"/>
          <w:i/>
          <w:szCs w:val="24"/>
        </w:rPr>
        <w:t>Consensus</w:t>
      </w:r>
      <w:proofErr w:type="spellEnd"/>
      <w:r w:rsidRPr="0075151B">
        <w:rPr>
          <w:rFonts w:cs="Times New Roman"/>
          <w:i/>
          <w:szCs w:val="24"/>
        </w:rPr>
        <w:t xml:space="preserve"> </w:t>
      </w:r>
      <w:proofErr w:type="spellStart"/>
      <w:r w:rsidRPr="0075151B">
        <w:rPr>
          <w:rFonts w:cs="Times New Roman"/>
          <w:i/>
          <w:szCs w:val="24"/>
        </w:rPr>
        <w:t>Government</w:t>
      </w:r>
      <w:proofErr w:type="spellEnd"/>
      <w:r w:rsidRPr="0075151B">
        <w:rPr>
          <w:rFonts w:cs="Times New Roman"/>
          <w:i/>
          <w:szCs w:val="24"/>
        </w:rPr>
        <w:t xml:space="preserve"> in </w:t>
      </w:r>
      <w:proofErr w:type="spellStart"/>
      <w:r w:rsidRPr="0075151B">
        <w:rPr>
          <w:rFonts w:cs="Times New Roman"/>
          <w:i/>
          <w:szCs w:val="24"/>
        </w:rPr>
        <w:t>Twenty</w:t>
      </w:r>
      <w:proofErr w:type="spellEnd"/>
      <w:r w:rsidRPr="0075151B">
        <w:rPr>
          <w:rFonts w:cs="Times New Roman"/>
          <w:i/>
          <w:szCs w:val="24"/>
        </w:rPr>
        <w:t>-</w:t>
      </w:r>
      <w:proofErr w:type="spellStart"/>
      <w:r w:rsidRPr="0075151B">
        <w:rPr>
          <w:rFonts w:cs="Times New Roman"/>
          <w:i/>
          <w:szCs w:val="24"/>
        </w:rPr>
        <w:t>One</w:t>
      </w:r>
      <w:proofErr w:type="spellEnd"/>
      <w:r w:rsidRPr="0075151B">
        <w:rPr>
          <w:rFonts w:cs="Times New Roman"/>
          <w:i/>
          <w:szCs w:val="24"/>
        </w:rPr>
        <w:t xml:space="preserve"> </w:t>
      </w:r>
      <w:proofErr w:type="spellStart"/>
      <w:r w:rsidRPr="0075151B">
        <w:rPr>
          <w:rFonts w:cs="Times New Roman"/>
          <w:i/>
          <w:szCs w:val="24"/>
        </w:rPr>
        <w:t>Countries</w:t>
      </w:r>
      <w:proofErr w:type="spellEnd"/>
      <w:r w:rsidRPr="0075151B">
        <w:rPr>
          <w:rFonts w:cs="Times New Roman"/>
          <w:i/>
          <w:szCs w:val="24"/>
        </w:rPr>
        <w:t>.</w:t>
      </w:r>
      <w:r w:rsidRPr="0075151B">
        <w:t xml:space="preserve"> New </w:t>
      </w:r>
      <w:proofErr w:type="spellStart"/>
      <w:r w:rsidRPr="0075151B">
        <w:t>Haven</w:t>
      </w:r>
      <w:proofErr w:type="spellEnd"/>
      <w:r w:rsidRPr="0075151B">
        <w:t xml:space="preserve">: </w:t>
      </w:r>
      <w:proofErr w:type="spellStart"/>
      <w:r w:rsidRPr="0075151B">
        <w:t>Yale</w:t>
      </w:r>
      <w:proofErr w:type="spellEnd"/>
      <w:r w:rsidRPr="0075151B">
        <w:t xml:space="preserve"> University </w:t>
      </w:r>
      <w:proofErr w:type="spellStart"/>
      <w:r w:rsidRPr="0075151B">
        <w:t>Press</w:t>
      </w:r>
      <w:proofErr w:type="spellEnd"/>
      <w:r w:rsidRPr="0075151B">
        <w:t>, 1984, s.</w:t>
      </w:r>
      <w:r w:rsidRPr="0075151B">
        <w:rPr>
          <w:rFonts w:cs="Times New Roman"/>
          <w:i/>
          <w:szCs w:val="24"/>
        </w:rPr>
        <w:t xml:space="preserve"> </w:t>
      </w:r>
      <w:r w:rsidRPr="0075151B">
        <w:rPr>
          <w:rFonts w:cs="Times New Roman"/>
          <w:szCs w:val="24"/>
        </w:rPr>
        <w:t>95 – 100.</w:t>
      </w:r>
    </w:p>
  </w:footnote>
  <w:footnote w:id="27">
    <w:p w:rsidR="00A70AAB" w:rsidRPr="0075151B" w:rsidRDefault="00A70AAB" w:rsidP="00567A0C">
      <w:pPr>
        <w:pStyle w:val="Textpoznpodarou"/>
        <w:contextualSpacing/>
        <w:jc w:val="both"/>
      </w:pPr>
      <w:r w:rsidRPr="0075151B">
        <w:rPr>
          <w:rStyle w:val="Znakapoznpodarou"/>
        </w:rPr>
        <w:footnoteRef/>
      </w:r>
      <w:r w:rsidRPr="0075151B">
        <w:t xml:space="preserve"> Tamtéž, s. 95 – 100.</w:t>
      </w:r>
    </w:p>
  </w:footnote>
  <w:footnote w:id="28">
    <w:p w:rsidR="00A70AAB" w:rsidRPr="0075151B" w:rsidRDefault="00A70AAB" w:rsidP="00BA2710">
      <w:pPr>
        <w:autoSpaceDE w:val="0"/>
        <w:autoSpaceDN w:val="0"/>
        <w:adjustRightInd w:val="0"/>
        <w:spacing w:line="240" w:lineRule="auto"/>
        <w:contextualSpacing/>
        <w:jc w:val="both"/>
        <w:rPr>
          <w:rFonts w:cs="Times New Roman"/>
          <w:sz w:val="20"/>
          <w:szCs w:val="20"/>
        </w:rPr>
      </w:pPr>
      <w:r w:rsidRPr="0075151B">
        <w:rPr>
          <w:rStyle w:val="Znakapoznpodarou"/>
          <w:rFonts w:cs="Times New Roman"/>
          <w:sz w:val="20"/>
          <w:szCs w:val="20"/>
        </w:rPr>
        <w:footnoteRef/>
      </w:r>
      <w:r w:rsidRPr="0075151B">
        <w:rPr>
          <w:rFonts w:cs="Times New Roman"/>
          <w:sz w:val="20"/>
          <w:szCs w:val="20"/>
        </w:rPr>
        <w:t xml:space="preserve"> GERLOCH, Aleš. </w:t>
      </w:r>
      <w:r w:rsidRPr="0075151B">
        <w:rPr>
          <w:rFonts w:cs="Times New Roman"/>
          <w:iCs/>
          <w:sz w:val="20"/>
          <w:szCs w:val="20"/>
        </w:rPr>
        <w:t xml:space="preserve">Princip </w:t>
      </w:r>
      <w:r w:rsidRPr="0075151B">
        <w:rPr>
          <w:rFonts w:eastAsia="HiddenHorzOCR" w:cs="Times New Roman"/>
          <w:iCs/>
          <w:sz w:val="20"/>
          <w:szCs w:val="20"/>
        </w:rPr>
        <w:t xml:space="preserve">dělby </w:t>
      </w:r>
      <w:r w:rsidRPr="0075151B">
        <w:rPr>
          <w:rFonts w:cs="Times New Roman"/>
          <w:iCs/>
          <w:sz w:val="20"/>
          <w:szCs w:val="20"/>
        </w:rPr>
        <w:t xml:space="preserve">moci a Ústava </w:t>
      </w:r>
      <w:r w:rsidRPr="0075151B">
        <w:rPr>
          <w:rFonts w:eastAsia="HiddenHorzOCR" w:cs="Times New Roman"/>
          <w:iCs/>
          <w:sz w:val="20"/>
          <w:szCs w:val="20"/>
        </w:rPr>
        <w:t xml:space="preserve">České </w:t>
      </w:r>
      <w:r w:rsidRPr="0075151B">
        <w:rPr>
          <w:rFonts w:cs="Times New Roman"/>
          <w:iCs/>
          <w:sz w:val="20"/>
          <w:szCs w:val="20"/>
        </w:rPr>
        <w:t>republiky</w:t>
      </w:r>
      <w:r w:rsidRPr="0075151B">
        <w:rPr>
          <w:rFonts w:cs="Times New Roman"/>
          <w:sz w:val="20"/>
          <w:szCs w:val="20"/>
        </w:rPr>
        <w:t xml:space="preserve">. </w:t>
      </w:r>
      <w:r w:rsidRPr="0075151B">
        <w:rPr>
          <w:rFonts w:cs="Times New Roman"/>
          <w:i/>
          <w:sz w:val="20"/>
          <w:szCs w:val="20"/>
        </w:rPr>
        <w:t>Politologická revue</w:t>
      </w:r>
      <w:r w:rsidRPr="0075151B">
        <w:rPr>
          <w:rFonts w:cs="Times New Roman"/>
          <w:sz w:val="20"/>
          <w:szCs w:val="20"/>
        </w:rPr>
        <w:t xml:space="preserve">, 1994, </w:t>
      </w:r>
      <w:proofErr w:type="spellStart"/>
      <w:r w:rsidRPr="0075151B">
        <w:rPr>
          <w:rFonts w:cs="Times New Roman"/>
          <w:sz w:val="20"/>
          <w:szCs w:val="20"/>
        </w:rPr>
        <w:t>roč</w:t>
      </w:r>
      <w:proofErr w:type="spellEnd"/>
      <w:r w:rsidRPr="0075151B">
        <w:rPr>
          <w:rFonts w:cs="Times New Roman"/>
          <w:sz w:val="20"/>
          <w:szCs w:val="20"/>
        </w:rPr>
        <w:t>. 1, č. 4, s. 23.</w:t>
      </w:r>
    </w:p>
  </w:footnote>
  <w:footnote w:id="29">
    <w:p w:rsidR="00A70AAB" w:rsidRPr="0075151B" w:rsidRDefault="00A70AAB" w:rsidP="00BA2710">
      <w:pPr>
        <w:pStyle w:val="Textpoznpodarou"/>
        <w:contextualSpacing/>
        <w:jc w:val="both"/>
        <w:rPr>
          <w:rFonts w:cs="Times New Roman"/>
        </w:rPr>
      </w:pPr>
      <w:r w:rsidRPr="0075151B">
        <w:rPr>
          <w:rStyle w:val="Znakapoznpodarou"/>
          <w:rFonts w:cs="Times New Roman"/>
        </w:rPr>
        <w:footnoteRef/>
      </w:r>
      <w:r w:rsidRPr="0075151B">
        <w:rPr>
          <w:rFonts w:cs="Times New Roman"/>
        </w:rPr>
        <w:t xml:space="preserve"> </w:t>
      </w:r>
      <w:r w:rsidRPr="0075151B">
        <w:t xml:space="preserve">RUSSELL: </w:t>
      </w:r>
      <w:proofErr w:type="spellStart"/>
      <w:r w:rsidRPr="0075151B">
        <w:rPr>
          <w:i/>
        </w:rPr>
        <w:t>What</w:t>
      </w:r>
      <w:proofErr w:type="spellEnd"/>
      <w:r w:rsidRPr="0075151B">
        <w:rPr>
          <w:i/>
        </w:rPr>
        <w:t xml:space="preserve"> are </w:t>
      </w:r>
      <w:proofErr w:type="spellStart"/>
      <w:r w:rsidRPr="0075151B">
        <w:rPr>
          <w:i/>
        </w:rPr>
        <w:t>Second</w:t>
      </w:r>
      <w:proofErr w:type="spellEnd"/>
      <w:r w:rsidRPr="0075151B">
        <w:rPr>
          <w:i/>
        </w:rPr>
        <w:t>...</w:t>
      </w:r>
      <w:r w:rsidRPr="0075151B">
        <w:t>, s. 443.</w:t>
      </w:r>
    </w:p>
  </w:footnote>
  <w:footnote w:id="30">
    <w:p w:rsidR="00A70AAB" w:rsidRPr="0075151B" w:rsidRDefault="00A70AAB" w:rsidP="00BA2710">
      <w:pPr>
        <w:pStyle w:val="Textpoznpodarou"/>
        <w:contextualSpacing/>
        <w:jc w:val="both"/>
        <w:rPr>
          <w:rFonts w:cs="Times New Roman"/>
        </w:rPr>
      </w:pPr>
      <w:r w:rsidRPr="0075151B">
        <w:rPr>
          <w:rStyle w:val="Znakapoznpodarou"/>
          <w:rFonts w:cs="Times New Roman"/>
        </w:rPr>
        <w:footnoteRef/>
      </w:r>
      <w:r w:rsidRPr="0075151B">
        <w:rPr>
          <w:rFonts w:cs="Times New Roman"/>
        </w:rPr>
        <w:t xml:space="preserve"> </w:t>
      </w:r>
      <w:r w:rsidRPr="0075151B">
        <w:t xml:space="preserve">TSEBELIS, MONEY: </w:t>
      </w:r>
      <w:proofErr w:type="spellStart"/>
      <w:r w:rsidRPr="0075151B">
        <w:rPr>
          <w:i/>
        </w:rPr>
        <w:t>Bicameralism</w:t>
      </w:r>
      <w:proofErr w:type="spellEnd"/>
      <w:r w:rsidRPr="0075151B">
        <w:t>, s. 34.</w:t>
      </w:r>
    </w:p>
  </w:footnote>
  <w:footnote w:id="31">
    <w:p w:rsidR="00A70AAB" w:rsidRPr="0075151B" w:rsidRDefault="00A70AAB" w:rsidP="00BA2710">
      <w:pPr>
        <w:pStyle w:val="Textpoznpodarou"/>
        <w:contextualSpacing/>
        <w:jc w:val="both"/>
        <w:rPr>
          <w:rFonts w:cs="Times New Roman"/>
        </w:rPr>
      </w:pPr>
      <w:r w:rsidRPr="0075151B">
        <w:rPr>
          <w:rStyle w:val="Znakapoznpodarou"/>
          <w:rFonts w:cs="Times New Roman"/>
        </w:rPr>
        <w:footnoteRef/>
      </w:r>
      <w:r w:rsidRPr="0075151B">
        <w:rPr>
          <w:rFonts w:cs="Times New Roman"/>
        </w:rPr>
        <w:t xml:space="preserve"> Tamtéž.</w:t>
      </w:r>
    </w:p>
  </w:footnote>
  <w:footnote w:id="32">
    <w:p w:rsidR="00A70AAB" w:rsidRPr="0075151B" w:rsidRDefault="00A70AAB" w:rsidP="00BA2710">
      <w:pPr>
        <w:pStyle w:val="Textpoznpodarou"/>
        <w:contextualSpacing/>
        <w:jc w:val="both"/>
        <w:rPr>
          <w:rFonts w:cs="Times New Roman"/>
        </w:rPr>
      </w:pPr>
      <w:r w:rsidRPr="0075151B">
        <w:rPr>
          <w:rStyle w:val="Znakapoznpodarou"/>
          <w:rFonts w:cs="Times New Roman"/>
        </w:rPr>
        <w:footnoteRef/>
      </w:r>
      <w:r w:rsidRPr="0075151B">
        <w:rPr>
          <w:rFonts w:cs="Times New Roman"/>
        </w:rPr>
        <w:t xml:space="preserve"> Tamtéž.</w:t>
      </w:r>
    </w:p>
  </w:footnote>
  <w:footnote w:id="33">
    <w:p w:rsidR="00A70AAB" w:rsidRPr="0075151B" w:rsidRDefault="00A70AAB" w:rsidP="00131744">
      <w:pPr>
        <w:pStyle w:val="Textpoznpodarou"/>
        <w:jc w:val="both"/>
        <w:rPr>
          <w:rFonts w:cs="Times New Roman"/>
        </w:rPr>
      </w:pPr>
      <w:r w:rsidRPr="0075151B">
        <w:rPr>
          <w:rStyle w:val="Znakapoznpodarou"/>
          <w:rFonts w:cs="Times New Roman"/>
        </w:rPr>
        <w:footnoteRef/>
      </w:r>
      <w:r w:rsidRPr="0075151B">
        <w:rPr>
          <w:rFonts w:cs="Times New Roman"/>
        </w:rPr>
        <w:t xml:space="preserve"> </w:t>
      </w:r>
      <w:r w:rsidRPr="0075151B">
        <w:rPr>
          <w:rFonts w:cs="Times New Roman"/>
          <w:shd w:val="clear" w:color="auto" w:fill="FFFFFF"/>
        </w:rPr>
        <w:t>FERDUS, Ondřej.</w:t>
      </w:r>
      <w:r w:rsidRPr="0075151B">
        <w:rPr>
          <w:rStyle w:val="apple-converted-space"/>
          <w:rFonts w:cs="Times New Roman"/>
          <w:shd w:val="clear" w:color="auto" w:fill="FFFFFF"/>
        </w:rPr>
        <w:t> </w:t>
      </w:r>
      <w:r w:rsidRPr="0075151B">
        <w:rPr>
          <w:rFonts w:cs="Times New Roman"/>
          <w:i/>
          <w:iCs/>
          <w:shd w:val="clear" w:color="auto" w:fill="FFFFFF"/>
        </w:rPr>
        <w:t>Role a síla druhých komor parlamentů ve vybraných unitárních státech Evropy</w:t>
      </w:r>
      <w:r w:rsidRPr="0075151B">
        <w:rPr>
          <w:rFonts w:cs="Times New Roman"/>
          <w:shd w:val="clear" w:color="auto" w:fill="FFFFFF"/>
        </w:rPr>
        <w:t>. Olomouc, 2011. Bakalářská práce. Univerzita Palackého v Olomouci, Filozofická fakulta, Katedra politologie a evropských studií, s. 21.</w:t>
      </w:r>
    </w:p>
  </w:footnote>
  <w:footnote w:id="34">
    <w:p w:rsidR="00A70AAB" w:rsidRPr="0075151B" w:rsidRDefault="00A70AAB" w:rsidP="00131744">
      <w:pPr>
        <w:pStyle w:val="Textpoznpodarou"/>
        <w:jc w:val="both"/>
      </w:pPr>
      <w:r w:rsidRPr="0075151B">
        <w:rPr>
          <w:rStyle w:val="Znakapoznpodarou"/>
        </w:rPr>
        <w:footnoteRef/>
      </w:r>
      <w:r w:rsidRPr="0075151B">
        <w:t xml:space="preserve"> Tamtéž, s. 29.</w:t>
      </w:r>
    </w:p>
  </w:footnote>
  <w:footnote w:id="35">
    <w:p w:rsidR="00A70AAB" w:rsidRPr="0075151B" w:rsidRDefault="00A70AAB" w:rsidP="00572FD7">
      <w:pPr>
        <w:pStyle w:val="Textpoznpodarou"/>
        <w:jc w:val="both"/>
      </w:pPr>
      <w:r w:rsidRPr="0075151B">
        <w:rPr>
          <w:rStyle w:val="FootnoteCharacters"/>
        </w:rPr>
        <w:footnoteRef/>
      </w:r>
      <w:r w:rsidRPr="0075151B">
        <w:t xml:space="preserve"> </w:t>
      </w:r>
      <w:r w:rsidRPr="0075151B">
        <w:rPr>
          <w:i/>
        </w:rPr>
        <w:t xml:space="preserve">Ústavní listina Československé republiky </w:t>
      </w:r>
      <w:r w:rsidRPr="0075151B">
        <w:rPr>
          <w:lang w:val="en-US"/>
        </w:rPr>
        <w:t xml:space="preserve">[online]. psp.cz, 29. </w:t>
      </w:r>
      <w:proofErr w:type="spellStart"/>
      <w:r w:rsidRPr="0075151B">
        <w:rPr>
          <w:lang w:val="en-US"/>
        </w:rPr>
        <w:t>února</w:t>
      </w:r>
      <w:proofErr w:type="spellEnd"/>
      <w:r w:rsidRPr="0075151B">
        <w:rPr>
          <w:lang w:val="en-US"/>
        </w:rPr>
        <w:t xml:space="preserve"> 1920 [cit. 12.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t xml:space="preserve"> </w:t>
      </w:r>
      <w:r w:rsidRPr="0075151B">
        <w:rPr>
          <w:lang w:val="en-US"/>
        </w:rPr>
        <w:t>&lt;</w:t>
      </w:r>
      <w:hyperlink r:id="rId3" w:history="1">
        <w:r w:rsidRPr="0075151B">
          <w:rPr>
            <w:rStyle w:val="Hypertextovodkaz"/>
            <w:color w:val="auto"/>
          </w:rPr>
          <w:t>http://www.psp.cz/docs/texts/constitution_1920.html</w:t>
        </w:r>
      </w:hyperlink>
      <w:r w:rsidRPr="0075151B">
        <w:t>&gt;.</w:t>
      </w:r>
    </w:p>
  </w:footnote>
  <w:footnote w:id="36">
    <w:p w:rsidR="00A70AAB" w:rsidRPr="0075151B" w:rsidRDefault="00A70AAB" w:rsidP="00572FD7">
      <w:pPr>
        <w:pStyle w:val="Textpoznpodarou"/>
        <w:jc w:val="both"/>
      </w:pPr>
      <w:r w:rsidRPr="0075151B">
        <w:rPr>
          <w:rStyle w:val="FootnoteCharacters"/>
        </w:rPr>
        <w:footnoteRef/>
      </w:r>
      <w:r w:rsidRPr="0075151B">
        <w:t xml:space="preserve"> Tamtéž.</w:t>
      </w:r>
    </w:p>
  </w:footnote>
  <w:footnote w:id="37">
    <w:p w:rsidR="00A70AAB" w:rsidRPr="0075151B" w:rsidRDefault="00A70AAB" w:rsidP="00572FD7">
      <w:pPr>
        <w:pStyle w:val="Textpoznpodarou"/>
        <w:jc w:val="both"/>
        <w:rPr>
          <w:szCs w:val="22"/>
        </w:rPr>
      </w:pPr>
      <w:r w:rsidRPr="0075151B">
        <w:rPr>
          <w:rStyle w:val="FootnoteCharacters"/>
        </w:rPr>
        <w:footnoteRef/>
      </w:r>
      <w:r w:rsidRPr="0075151B">
        <w:t xml:space="preserve"> </w:t>
      </w:r>
      <w:r w:rsidRPr="0075151B">
        <w:rPr>
          <w:szCs w:val="22"/>
        </w:rPr>
        <w:t xml:space="preserve">GERLOCH, HŘEBEJK, ZOUBEK: </w:t>
      </w:r>
      <w:r w:rsidRPr="0075151B">
        <w:rPr>
          <w:i/>
          <w:szCs w:val="22"/>
        </w:rPr>
        <w:t>Ústavní systém České republiky</w:t>
      </w:r>
      <w:r w:rsidRPr="0075151B">
        <w:rPr>
          <w:szCs w:val="22"/>
        </w:rPr>
        <w:t>..., s. 22 – 23.</w:t>
      </w:r>
    </w:p>
  </w:footnote>
  <w:footnote w:id="38">
    <w:p w:rsidR="00A70AAB" w:rsidRDefault="00A70AAB">
      <w:pPr>
        <w:pStyle w:val="Textpoznpodarou"/>
      </w:pPr>
      <w:r>
        <w:rPr>
          <w:rStyle w:val="Znakapoznpodarou"/>
        </w:rPr>
        <w:footnoteRef/>
      </w:r>
      <w:r>
        <w:t xml:space="preserve"> </w:t>
      </w:r>
      <w:r w:rsidRPr="0075151B">
        <w:rPr>
          <w:i/>
        </w:rPr>
        <w:t xml:space="preserve">Ústavní listina Československé republiky </w:t>
      </w:r>
      <w:r w:rsidRPr="0075151B">
        <w:rPr>
          <w:lang w:val="en-US"/>
        </w:rPr>
        <w:t xml:space="preserve">[online]. psp.cz, 29. </w:t>
      </w:r>
      <w:proofErr w:type="spellStart"/>
      <w:r w:rsidRPr="0075151B">
        <w:rPr>
          <w:lang w:val="en-US"/>
        </w:rPr>
        <w:t>února</w:t>
      </w:r>
      <w:proofErr w:type="spellEnd"/>
      <w:r w:rsidRPr="0075151B">
        <w:rPr>
          <w:lang w:val="en-US"/>
        </w:rPr>
        <w:t xml:space="preserve"> 1920 [cit. 12.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t xml:space="preserve"> </w:t>
      </w:r>
      <w:r w:rsidRPr="0075151B">
        <w:rPr>
          <w:lang w:val="en-US"/>
        </w:rPr>
        <w:t>&lt;</w:t>
      </w:r>
      <w:hyperlink r:id="rId4" w:history="1">
        <w:r w:rsidRPr="0075151B">
          <w:rPr>
            <w:rStyle w:val="Hypertextovodkaz"/>
            <w:color w:val="auto"/>
          </w:rPr>
          <w:t>http://www.psp.cz/docs/texts/constitution_1920.html</w:t>
        </w:r>
      </w:hyperlink>
      <w:r w:rsidRPr="0075151B">
        <w:t>&gt;.</w:t>
      </w:r>
    </w:p>
  </w:footnote>
  <w:footnote w:id="39">
    <w:p w:rsidR="00A70AAB" w:rsidRPr="0075151B" w:rsidRDefault="00A70AAB" w:rsidP="00572FD7">
      <w:pPr>
        <w:pStyle w:val="Textpoznpodarou"/>
        <w:jc w:val="both"/>
      </w:pPr>
      <w:r w:rsidRPr="0075151B">
        <w:rPr>
          <w:rStyle w:val="FootnoteCharacters"/>
        </w:rPr>
        <w:footnoteRef/>
      </w:r>
      <w:r w:rsidRPr="0075151B">
        <w:t xml:space="preserve"> </w:t>
      </w:r>
      <w:r w:rsidRPr="0075151B">
        <w:rPr>
          <w:i/>
        </w:rPr>
        <w:t xml:space="preserve">Ústavní listina Československé republiky </w:t>
      </w:r>
      <w:r w:rsidRPr="0075151B">
        <w:rPr>
          <w:lang w:val="en-US"/>
        </w:rPr>
        <w:t xml:space="preserve">[online]. psp.cz, 29. </w:t>
      </w:r>
      <w:proofErr w:type="spellStart"/>
      <w:r w:rsidRPr="0075151B">
        <w:rPr>
          <w:lang w:val="en-US"/>
        </w:rPr>
        <w:t>února</w:t>
      </w:r>
      <w:proofErr w:type="spellEnd"/>
      <w:r w:rsidRPr="0075151B">
        <w:rPr>
          <w:lang w:val="en-US"/>
        </w:rPr>
        <w:t xml:space="preserve"> 1920 [cit. 12.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t xml:space="preserve"> </w:t>
      </w:r>
      <w:r w:rsidRPr="0075151B">
        <w:rPr>
          <w:lang w:val="en-US"/>
        </w:rPr>
        <w:t>&lt;</w:t>
      </w:r>
      <w:hyperlink r:id="rId5" w:history="1">
        <w:r w:rsidRPr="0075151B">
          <w:rPr>
            <w:rStyle w:val="Hypertextovodkaz"/>
            <w:color w:val="auto"/>
          </w:rPr>
          <w:t>http://www.psp.cz/docs/texts/constitution_1920.html</w:t>
        </w:r>
      </w:hyperlink>
      <w:r w:rsidRPr="0075151B">
        <w:t>&gt;.</w:t>
      </w:r>
    </w:p>
  </w:footnote>
  <w:footnote w:id="40">
    <w:p w:rsidR="00A70AAB" w:rsidRPr="0075151B" w:rsidRDefault="00A70AAB" w:rsidP="00572FD7">
      <w:pPr>
        <w:pStyle w:val="Textpoznpodarou"/>
        <w:jc w:val="both"/>
        <w:rPr>
          <w:szCs w:val="22"/>
        </w:rPr>
      </w:pPr>
      <w:r w:rsidRPr="0075151B">
        <w:rPr>
          <w:rStyle w:val="FootnoteCharacters"/>
        </w:rPr>
        <w:footnoteRef/>
      </w:r>
      <w:r w:rsidRPr="0075151B">
        <w:rPr>
          <w:szCs w:val="22"/>
        </w:rPr>
        <w:t xml:space="preserve"> GERLOCH, HŘEBEJK, ZOUBEK: </w:t>
      </w:r>
      <w:r w:rsidRPr="0075151B">
        <w:rPr>
          <w:i/>
          <w:szCs w:val="22"/>
        </w:rPr>
        <w:t>Ústavní systém České republiky</w:t>
      </w:r>
      <w:r w:rsidRPr="0075151B">
        <w:rPr>
          <w:szCs w:val="22"/>
        </w:rPr>
        <w:t>..., s. 23.</w:t>
      </w:r>
    </w:p>
  </w:footnote>
  <w:footnote w:id="41">
    <w:p w:rsidR="00A70AAB" w:rsidRPr="0075151B" w:rsidRDefault="00A70AAB" w:rsidP="00572FD7">
      <w:pPr>
        <w:pStyle w:val="Textpoznpodarou"/>
        <w:jc w:val="both"/>
        <w:rPr>
          <w:iCs/>
          <w:szCs w:val="22"/>
          <w:lang w:val="en-US"/>
        </w:rPr>
      </w:pPr>
      <w:r w:rsidRPr="0075151B">
        <w:rPr>
          <w:rStyle w:val="FootnoteCharacters"/>
        </w:rPr>
        <w:footnoteRef/>
      </w:r>
      <w:r w:rsidRPr="0075151B">
        <w:t xml:space="preserve"> </w:t>
      </w:r>
      <w:r w:rsidRPr="0075151B">
        <w:rPr>
          <w:szCs w:val="22"/>
        </w:rPr>
        <w:t xml:space="preserve">KYSELA, Jan. </w:t>
      </w:r>
      <w:r w:rsidRPr="0075151B">
        <w:rPr>
          <w:i/>
          <w:iCs/>
          <w:szCs w:val="22"/>
        </w:rPr>
        <w:t xml:space="preserve">Senát Parlamentu České republiky v historickém a mezinárodním kontextu. Příspěvek ke studiu dvoukomorových soustav – část třetí – Dvoukomorové parlamenty v naší minulosti </w:t>
      </w:r>
      <w:r w:rsidRPr="0075151B">
        <w:rPr>
          <w:iCs/>
          <w:szCs w:val="22"/>
          <w:lang w:val="en-US"/>
        </w:rPr>
        <w:t xml:space="preserve">[online]. psp.cz, 1. </w:t>
      </w:r>
      <w:proofErr w:type="spellStart"/>
      <w:r w:rsidRPr="0075151B">
        <w:rPr>
          <w:iCs/>
          <w:szCs w:val="22"/>
          <w:lang w:val="en-US"/>
        </w:rPr>
        <w:t>června</w:t>
      </w:r>
      <w:proofErr w:type="spellEnd"/>
      <w:r w:rsidRPr="0075151B">
        <w:rPr>
          <w:iCs/>
          <w:szCs w:val="22"/>
          <w:lang w:val="en-US"/>
        </w:rPr>
        <w:t xml:space="preserve"> 2011 [cit. 15. </w:t>
      </w:r>
      <w:proofErr w:type="spellStart"/>
      <w:r w:rsidRPr="0075151B">
        <w:rPr>
          <w:iCs/>
          <w:szCs w:val="22"/>
          <w:lang w:val="en-US"/>
        </w:rPr>
        <w:t>května</w:t>
      </w:r>
      <w:proofErr w:type="spellEnd"/>
      <w:r w:rsidRPr="0075151B">
        <w:rPr>
          <w:iCs/>
          <w:szCs w:val="22"/>
          <w:lang w:val="en-US"/>
        </w:rPr>
        <w:t xml:space="preserve"> 2013]. </w:t>
      </w:r>
      <w:proofErr w:type="spellStart"/>
      <w:r w:rsidRPr="0075151B">
        <w:rPr>
          <w:iCs/>
          <w:szCs w:val="22"/>
          <w:lang w:val="en-US"/>
        </w:rPr>
        <w:t>Dostupné</w:t>
      </w:r>
      <w:proofErr w:type="spellEnd"/>
      <w:r w:rsidRPr="0075151B">
        <w:rPr>
          <w:iCs/>
          <w:szCs w:val="22"/>
          <w:lang w:val="en-US"/>
        </w:rPr>
        <w:t xml:space="preserve"> </w:t>
      </w:r>
      <w:proofErr w:type="spellStart"/>
      <w:r w:rsidRPr="0075151B">
        <w:rPr>
          <w:iCs/>
          <w:szCs w:val="22"/>
          <w:lang w:val="en-US"/>
        </w:rPr>
        <w:t>na</w:t>
      </w:r>
      <w:proofErr w:type="spellEnd"/>
    </w:p>
    <w:p w:rsidR="00A70AAB" w:rsidRPr="0075151B" w:rsidRDefault="00A70AAB" w:rsidP="00572FD7">
      <w:pPr>
        <w:pStyle w:val="Textpoznpodarou"/>
        <w:jc w:val="both"/>
        <w:rPr>
          <w:iCs/>
          <w:szCs w:val="22"/>
          <w:lang w:val="en-US"/>
        </w:rPr>
      </w:pPr>
      <w:r w:rsidRPr="0075151B">
        <w:rPr>
          <w:szCs w:val="22"/>
        </w:rPr>
        <w:t xml:space="preserve"> </w:t>
      </w:r>
      <w:r w:rsidRPr="0075151B">
        <w:rPr>
          <w:szCs w:val="22"/>
          <w:lang w:val="en-US"/>
        </w:rPr>
        <w:t>&lt;</w:t>
      </w:r>
      <w:hyperlink r:id="rId6" w:history="1">
        <w:r w:rsidRPr="0075151B">
          <w:rPr>
            <w:rStyle w:val="Hypertextovodkaz"/>
            <w:color w:val="auto"/>
          </w:rPr>
          <w:t>http://www.senat.cz/informace/z_historie/studie/sbornik/c3.php?ke_dni=1.6.2011&amp;O=9</w:t>
        </w:r>
      </w:hyperlink>
      <w:r w:rsidRPr="0075151B">
        <w:t xml:space="preserve"> &gt;.</w:t>
      </w:r>
    </w:p>
  </w:footnote>
  <w:footnote w:id="42">
    <w:p w:rsidR="00A70AAB" w:rsidRPr="0075151B" w:rsidRDefault="00A70AAB" w:rsidP="00572FD7">
      <w:pPr>
        <w:pStyle w:val="Textpoznpodarou"/>
        <w:jc w:val="both"/>
      </w:pPr>
      <w:r w:rsidRPr="0075151B">
        <w:rPr>
          <w:rStyle w:val="FootnoteCharacters"/>
        </w:rPr>
        <w:footnoteRef/>
      </w:r>
      <w:r w:rsidRPr="0075151B">
        <w:t xml:space="preserve"> Pětka nebo také Velká Pětka bylo neformální uskupení složené z lídrů pěti největších politických stran ČSR. Pětka určovala politiku státu.</w:t>
      </w:r>
    </w:p>
  </w:footnote>
  <w:footnote w:id="43">
    <w:p w:rsidR="00A70AAB" w:rsidRPr="0075151B" w:rsidRDefault="00A70AAB" w:rsidP="00572FD7">
      <w:pPr>
        <w:pStyle w:val="Textpoznpodarou"/>
        <w:jc w:val="both"/>
        <w:rPr>
          <w:iCs/>
          <w:szCs w:val="22"/>
          <w:lang w:val="en-US"/>
        </w:rPr>
      </w:pPr>
      <w:r w:rsidRPr="0075151B">
        <w:rPr>
          <w:rStyle w:val="FootnoteCharacters"/>
        </w:rPr>
        <w:footnoteRef/>
      </w:r>
      <w:r w:rsidRPr="0075151B">
        <w:t xml:space="preserve"> </w:t>
      </w:r>
      <w:r w:rsidRPr="0075151B">
        <w:rPr>
          <w:szCs w:val="22"/>
        </w:rPr>
        <w:t xml:space="preserve">KYSELA, Jan. </w:t>
      </w:r>
      <w:r w:rsidRPr="0075151B">
        <w:rPr>
          <w:i/>
          <w:iCs/>
          <w:szCs w:val="22"/>
        </w:rPr>
        <w:t xml:space="preserve">Senát Parlamentu České republiky v historickém a mezinárodním kontextu. Příspěvek ke studiu dvoukomorových soustav – část třetí – Dvoukomorové parlamenty v naší minulosti </w:t>
      </w:r>
      <w:r w:rsidRPr="0075151B">
        <w:rPr>
          <w:iCs/>
          <w:szCs w:val="22"/>
          <w:lang w:val="en-US"/>
        </w:rPr>
        <w:t xml:space="preserve">[online]. psp.cz, 1. </w:t>
      </w:r>
      <w:proofErr w:type="spellStart"/>
      <w:r w:rsidRPr="0075151B">
        <w:rPr>
          <w:iCs/>
          <w:szCs w:val="22"/>
          <w:lang w:val="en-US"/>
        </w:rPr>
        <w:t>června</w:t>
      </w:r>
      <w:proofErr w:type="spellEnd"/>
      <w:r w:rsidRPr="0075151B">
        <w:rPr>
          <w:iCs/>
          <w:szCs w:val="22"/>
          <w:lang w:val="en-US"/>
        </w:rPr>
        <w:t xml:space="preserve"> 2011 [cit. 15. </w:t>
      </w:r>
      <w:proofErr w:type="spellStart"/>
      <w:r w:rsidRPr="0075151B">
        <w:rPr>
          <w:iCs/>
          <w:szCs w:val="22"/>
          <w:lang w:val="en-US"/>
        </w:rPr>
        <w:t>května</w:t>
      </w:r>
      <w:proofErr w:type="spellEnd"/>
      <w:r w:rsidRPr="0075151B">
        <w:rPr>
          <w:iCs/>
          <w:szCs w:val="22"/>
          <w:lang w:val="en-US"/>
        </w:rPr>
        <w:t xml:space="preserve"> 2013]. </w:t>
      </w:r>
      <w:proofErr w:type="spellStart"/>
      <w:r w:rsidRPr="0075151B">
        <w:rPr>
          <w:iCs/>
          <w:szCs w:val="22"/>
          <w:lang w:val="en-US"/>
        </w:rPr>
        <w:t>Dostupné</w:t>
      </w:r>
      <w:proofErr w:type="spellEnd"/>
      <w:r w:rsidRPr="0075151B">
        <w:rPr>
          <w:iCs/>
          <w:szCs w:val="22"/>
          <w:lang w:val="en-US"/>
        </w:rPr>
        <w:t xml:space="preserve"> </w:t>
      </w:r>
      <w:proofErr w:type="spellStart"/>
      <w:r w:rsidRPr="0075151B">
        <w:rPr>
          <w:iCs/>
          <w:szCs w:val="22"/>
          <w:lang w:val="en-US"/>
        </w:rPr>
        <w:t>na</w:t>
      </w:r>
      <w:proofErr w:type="spellEnd"/>
    </w:p>
    <w:p w:rsidR="00A70AAB" w:rsidRPr="0075151B" w:rsidRDefault="00A70AAB" w:rsidP="00572FD7">
      <w:pPr>
        <w:pStyle w:val="Textpoznpodarou"/>
        <w:jc w:val="both"/>
      </w:pPr>
      <w:r w:rsidRPr="0075151B">
        <w:rPr>
          <w:szCs w:val="22"/>
        </w:rPr>
        <w:t xml:space="preserve"> </w:t>
      </w:r>
      <w:r w:rsidRPr="0075151B">
        <w:rPr>
          <w:szCs w:val="22"/>
          <w:lang w:val="en-US"/>
        </w:rPr>
        <w:t>&lt;</w:t>
      </w:r>
      <w:hyperlink r:id="rId7" w:history="1">
        <w:r w:rsidRPr="0075151B">
          <w:rPr>
            <w:rStyle w:val="Hypertextovodkaz"/>
            <w:color w:val="auto"/>
          </w:rPr>
          <w:t>http://www.senat.cz/informace/z_historie/studie/sbornik/c3.php?ke_dni=1.6.2011&amp;O=9</w:t>
        </w:r>
      </w:hyperlink>
      <w:r w:rsidRPr="0075151B">
        <w:t xml:space="preserve"> &gt;.</w:t>
      </w:r>
    </w:p>
  </w:footnote>
  <w:footnote w:id="44">
    <w:p w:rsidR="00A70AAB" w:rsidRPr="0075151B" w:rsidRDefault="00A70AAB" w:rsidP="00572FD7">
      <w:pPr>
        <w:pStyle w:val="Textpoznpodarou"/>
        <w:jc w:val="both"/>
      </w:pPr>
      <w:r w:rsidRPr="0075151B">
        <w:rPr>
          <w:rStyle w:val="FootnoteCharacters"/>
        </w:rPr>
        <w:footnoteRef/>
      </w:r>
      <w:r w:rsidRPr="0075151B">
        <w:t xml:space="preserve"> BALÍK, Stanislav a kol. </w:t>
      </w:r>
      <w:r w:rsidRPr="0075151B">
        <w:rPr>
          <w:i/>
        </w:rPr>
        <w:t xml:space="preserve">Politický systém českých zemí 1848 – 1989. </w:t>
      </w:r>
      <w:r w:rsidRPr="0075151B">
        <w:t>Brno: Mezinárodní politologický ústav, 2003, s. 166.</w:t>
      </w:r>
    </w:p>
  </w:footnote>
  <w:footnote w:id="45">
    <w:p w:rsidR="00A70AAB" w:rsidRPr="0075151B" w:rsidRDefault="00A70AAB" w:rsidP="00572FD7">
      <w:pPr>
        <w:pStyle w:val="Textpoznpodarou"/>
        <w:jc w:val="both"/>
      </w:pPr>
      <w:r w:rsidRPr="0075151B">
        <w:rPr>
          <w:rStyle w:val="FootnoteCharacters"/>
        </w:rPr>
        <w:footnoteRef/>
      </w:r>
      <w:r w:rsidRPr="0075151B">
        <w:t xml:space="preserve"> Tamtéž.</w:t>
      </w:r>
    </w:p>
  </w:footnote>
  <w:footnote w:id="46">
    <w:p w:rsidR="00A70AAB" w:rsidRPr="0075151B" w:rsidRDefault="00A70AAB" w:rsidP="00572FD7">
      <w:pPr>
        <w:pStyle w:val="Textpoznpodarou"/>
        <w:jc w:val="both"/>
      </w:pPr>
      <w:r w:rsidRPr="0075151B">
        <w:rPr>
          <w:rStyle w:val="FootnoteCharacters"/>
        </w:rPr>
        <w:footnoteRef/>
      </w:r>
      <w:r w:rsidRPr="0075151B">
        <w:t xml:space="preserve"> SUCHÁNEK, Radovan, JIRÁSKOVÁ, Věra a kol. </w:t>
      </w:r>
      <w:r w:rsidRPr="0075151B">
        <w:rPr>
          <w:i/>
          <w:iCs/>
        </w:rPr>
        <w:t>Ústava České republiky v praxi. 15 let platnosti základního zákona</w:t>
      </w:r>
      <w:r w:rsidRPr="0075151B">
        <w:t xml:space="preserve">. Praha: </w:t>
      </w:r>
      <w:proofErr w:type="spellStart"/>
      <w:r w:rsidRPr="0075151B">
        <w:t>Leges</w:t>
      </w:r>
      <w:proofErr w:type="spellEnd"/>
      <w:r w:rsidRPr="0075151B">
        <w:t>, 2009, s. 120.</w:t>
      </w:r>
    </w:p>
  </w:footnote>
  <w:footnote w:id="47">
    <w:p w:rsidR="00A70AAB" w:rsidRPr="0075151B" w:rsidRDefault="00A70AAB" w:rsidP="00572FD7">
      <w:pPr>
        <w:pStyle w:val="Textpoznpodarou"/>
        <w:jc w:val="both"/>
      </w:pPr>
      <w:r w:rsidRPr="0075151B">
        <w:rPr>
          <w:rStyle w:val="FootnoteCharacters"/>
        </w:rPr>
        <w:footnoteRef/>
      </w:r>
      <w:r w:rsidRPr="0075151B">
        <w:t xml:space="preserve"> SUCHÁNEK, JIRÁSKOVÁ: </w:t>
      </w:r>
      <w:r w:rsidRPr="0075151B">
        <w:rPr>
          <w:i/>
          <w:iCs/>
        </w:rPr>
        <w:t xml:space="preserve">Ústava České republiky v praxi..., </w:t>
      </w:r>
      <w:r w:rsidRPr="0075151B">
        <w:t>s. 120-121.</w:t>
      </w:r>
    </w:p>
  </w:footnote>
  <w:footnote w:id="48">
    <w:p w:rsidR="00A70AAB" w:rsidRPr="0075151B" w:rsidRDefault="00A70AAB" w:rsidP="00572FD7">
      <w:pPr>
        <w:pStyle w:val="Textpoznpodarou"/>
        <w:jc w:val="both"/>
      </w:pPr>
      <w:r w:rsidRPr="0075151B">
        <w:rPr>
          <w:rStyle w:val="FootnoteCharacters"/>
        </w:rPr>
        <w:footnoteRef/>
      </w:r>
      <w:r w:rsidRPr="0075151B">
        <w:t xml:space="preserve"> Tamtéž, s. 121.</w:t>
      </w:r>
    </w:p>
  </w:footnote>
  <w:footnote w:id="49">
    <w:p w:rsidR="00A70AAB" w:rsidRPr="0075151B" w:rsidRDefault="00A70AAB" w:rsidP="00572FD7">
      <w:pPr>
        <w:pStyle w:val="Textpoznpodarou"/>
        <w:jc w:val="both"/>
        <w:rPr>
          <w:iCs/>
          <w:szCs w:val="22"/>
          <w:lang w:val="en-US"/>
        </w:rPr>
      </w:pPr>
      <w:r w:rsidRPr="0075151B">
        <w:rPr>
          <w:rStyle w:val="FootnoteCharacters"/>
        </w:rPr>
        <w:footnoteRef/>
      </w:r>
      <w:r w:rsidRPr="0075151B">
        <w:t xml:space="preserve"> </w:t>
      </w:r>
      <w:r w:rsidRPr="0075151B">
        <w:rPr>
          <w:szCs w:val="22"/>
        </w:rPr>
        <w:t xml:space="preserve">KYSELA, Jan. </w:t>
      </w:r>
      <w:r w:rsidRPr="0075151B">
        <w:rPr>
          <w:i/>
          <w:iCs/>
          <w:szCs w:val="22"/>
        </w:rPr>
        <w:t xml:space="preserve">Senát Parlamentu České republiky v historickém a mezinárodním kontextu. Příspěvek ke studiu dvoukomorových soustav – část třetí – Dvoukomorové parlamenty v naší minulosti </w:t>
      </w:r>
      <w:r w:rsidRPr="0075151B">
        <w:rPr>
          <w:iCs/>
          <w:szCs w:val="22"/>
          <w:lang w:val="en-US"/>
        </w:rPr>
        <w:t xml:space="preserve">[online]. psp.cz, 1. </w:t>
      </w:r>
      <w:proofErr w:type="spellStart"/>
      <w:r w:rsidRPr="0075151B">
        <w:rPr>
          <w:iCs/>
          <w:szCs w:val="22"/>
          <w:lang w:val="en-US"/>
        </w:rPr>
        <w:t>června</w:t>
      </w:r>
      <w:proofErr w:type="spellEnd"/>
      <w:r w:rsidRPr="0075151B">
        <w:rPr>
          <w:iCs/>
          <w:szCs w:val="22"/>
          <w:lang w:val="en-US"/>
        </w:rPr>
        <w:t xml:space="preserve"> 2011 [cit. 15. </w:t>
      </w:r>
      <w:proofErr w:type="spellStart"/>
      <w:r w:rsidRPr="0075151B">
        <w:rPr>
          <w:iCs/>
          <w:szCs w:val="22"/>
          <w:lang w:val="en-US"/>
        </w:rPr>
        <w:t>května</w:t>
      </w:r>
      <w:proofErr w:type="spellEnd"/>
      <w:r w:rsidRPr="0075151B">
        <w:rPr>
          <w:iCs/>
          <w:szCs w:val="22"/>
          <w:lang w:val="en-US"/>
        </w:rPr>
        <w:t xml:space="preserve"> 2013]. </w:t>
      </w:r>
      <w:proofErr w:type="spellStart"/>
      <w:r w:rsidRPr="0075151B">
        <w:rPr>
          <w:iCs/>
          <w:szCs w:val="22"/>
          <w:lang w:val="en-US"/>
        </w:rPr>
        <w:t>Dostupné</w:t>
      </w:r>
      <w:proofErr w:type="spellEnd"/>
      <w:r w:rsidRPr="0075151B">
        <w:rPr>
          <w:iCs/>
          <w:szCs w:val="22"/>
          <w:lang w:val="en-US"/>
        </w:rPr>
        <w:t xml:space="preserve"> </w:t>
      </w:r>
      <w:proofErr w:type="spellStart"/>
      <w:r w:rsidRPr="0075151B">
        <w:rPr>
          <w:iCs/>
          <w:szCs w:val="22"/>
          <w:lang w:val="en-US"/>
        </w:rPr>
        <w:t>na</w:t>
      </w:r>
      <w:proofErr w:type="spellEnd"/>
    </w:p>
    <w:p w:rsidR="00A70AAB" w:rsidRPr="0075151B" w:rsidRDefault="00A70AAB" w:rsidP="00572FD7">
      <w:pPr>
        <w:pStyle w:val="Textpoznpodarou"/>
        <w:jc w:val="both"/>
      </w:pPr>
      <w:r w:rsidRPr="0075151B">
        <w:rPr>
          <w:szCs w:val="22"/>
        </w:rPr>
        <w:t xml:space="preserve"> </w:t>
      </w:r>
      <w:r w:rsidRPr="0075151B">
        <w:rPr>
          <w:szCs w:val="22"/>
          <w:lang w:val="en-US"/>
        </w:rPr>
        <w:t>&lt;</w:t>
      </w:r>
      <w:hyperlink r:id="rId8" w:history="1">
        <w:r w:rsidRPr="0075151B">
          <w:rPr>
            <w:rStyle w:val="Hypertextovodkaz"/>
            <w:color w:val="auto"/>
          </w:rPr>
          <w:t>http://www.senat.cz/informace/z_historie/studie/sbornik/c3.php?ke_dni=1.6.2011&amp;O=9</w:t>
        </w:r>
      </w:hyperlink>
      <w:r w:rsidRPr="0075151B">
        <w:t xml:space="preserve"> &gt;.</w:t>
      </w:r>
    </w:p>
  </w:footnote>
  <w:footnote w:id="50">
    <w:p w:rsidR="00A70AAB" w:rsidRPr="0075151B" w:rsidRDefault="00A70AAB" w:rsidP="00572FD7">
      <w:pPr>
        <w:pStyle w:val="Textpoznpodarou"/>
        <w:jc w:val="both"/>
      </w:pPr>
      <w:r w:rsidRPr="0075151B">
        <w:rPr>
          <w:rStyle w:val="FootnoteCharacters"/>
        </w:rPr>
        <w:footnoteRef/>
      </w:r>
      <w:r w:rsidRPr="0075151B">
        <w:t xml:space="preserve"> SUCHÁNEK, JIRÁSKOVÁ: </w:t>
      </w:r>
      <w:r w:rsidRPr="0075151B">
        <w:rPr>
          <w:i/>
          <w:iCs/>
        </w:rPr>
        <w:t xml:space="preserve">Ústava České republiky v praxi..., </w:t>
      </w:r>
      <w:r w:rsidRPr="0075151B">
        <w:t>s. 121.</w:t>
      </w:r>
    </w:p>
  </w:footnote>
  <w:footnote w:id="51">
    <w:p w:rsidR="00037DF5" w:rsidRDefault="00037DF5">
      <w:pPr>
        <w:pStyle w:val="Textpoznpodarou"/>
      </w:pPr>
      <w:r>
        <w:rPr>
          <w:rStyle w:val="Znakapoznpodarou"/>
        </w:rPr>
        <w:footnoteRef/>
      </w:r>
      <w:r>
        <w:t xml:space="preserve"> </w:t>
      </w:r>
      <w:r w:rsidRPr="0075151B">
        <w:rPr>
          <w:szCs w:val="22"/>
        </w:rPr>
        <w:t xml:space="preserve">KYSELA: </w:t>
      </w:r>
      <w:r w:rsidRPr="0075151B">
        <w:rPr>
          <w:i/>
          <w:iCs/>
          <w:szCs w:val="22"/>
        </w:rPr>
        <w:t>Senát Parlamentu České republiky v historickém a mezinárodním kontextu..</w:t>
      </w:r>
    </w:p>
  </w:footnote>
  <w:footnote w:id="52">
    <w:p w:rsidR="00A70AAB" w:rsidRPr="0075151B" w:rsidRDefault="00A70AAB" w:rsidP="00572FD7">
      <w:pPr>
        <w:pStyle w:val="Textpoznpodarou"/>
        <w:jc w:val="both"/>
        <w:rPr>
          <w:i/>
          <w:iCs/>
          <w:szCs w:val="22"/>
        </w:rPr>
      </w:pPr>
      <w:r w:rsidRPr="0075151B">
        <w:rPr>
          <w:rStyle w:val="FootnoteCharacters"/>
        </w:rPr>
        <w:footnoteRef/>
      </w:r>
      <w:r w:rsidRPr="0075151B">
        <w:t xml:space="preserve"> </w:t>
      </w:r>
      <w:r w:rsidR="00037DF5">
        <w:rPr>
          <w:szCs w:val="22"/>
        </w:rPr>
        <w:t>Tamtéž.</w:t>
      </w:r>
    </w:p>
  </w:footnote>
  <w:footnote w:id="53">
    <w:p w:rsidR="00A70AAB" w:rsidRPr="0075151B" w:rsidRDefault="00A70AAB" w:rsidP="00572FD7">
      <w:pPr>
        <w:pStyle w:val="Textpoznpodarou"/>
        <w:jc w:val="both"/>
        <w:rPr>
          <w:szCs w:val="22"/>
        </w:rPr>
      </w:pPr>
      <w:r w:rsidRPr="0075151B">
        <w:rPr>
          <w:rStyle w:val="FootnoteCharacters"/>
        </w:rPr>
        <w:footnoteRef/>
      </w:r>
      <w:r w:rsidRPr="0075151B">
        <w:t xml:space="preserve"> </w:t>
      </w:r>
      <w:r w:rsidRPr="0075151B">
        <w:rPr>
          <w:szCs w:val="22"/>
        </w:rPr>
        <w:t>Tamtéž.</w:t>
      </w:r>
    </w:p>
  </w:footnote>
  <w:footnote w:id="54">
    <w:p w:rsidR="00A70AAB" w:rsidRPr="0075151B" w:rsidRDefault="00A70AAB" w:rsidP="00572FD7">
      <w:pPr>
        <w:pStyle w:val="Textpoznpodarou"/>
        <w:jc w:val="both"/>
      </w:pPr>
      <w:r w:rsidRPr="0075151B">
        <w:rPr>
          <w:rStyle w:val="FootnoteCharacters"/>
        </w:rPr>
        <w:footnoteRef/>
      </w:r>
      <w:r w:rsidRPr="0075151B">
        <w:t xml:space="preserve"> SUCHÁNEK, JIRÁSKOVÁ: </w:t>
      </w:r>
      <w:r w:rsidRPr="0075151B">
        <w:rPr>
          <w:i/>
          <w:iCs/>
        </w:rPr>
        <w:t xml:space="preserve">Ústava České republiky v praxi..., </w:t>
      </w:r>
      <w:r w:rsidRPr="0075151B">
        <w:t>s. 122.</w:t>
      </w:r>
    </w:p>
  </w:footnote>
  <w:footnote w:id="55">
    <w:p w:rsidR="00A70AAB" w:rsidRPr="0075151B" w:rsidRDefault="00A70AAB" w:rsidP="00572FD7">
      <w:pPr>
        <w:pStyle w:val="Textpoznpodarou"/>
        <w:jc w:val="both"/>
      </w:pPr>
      <w:r w:rsidRPr="0075151B">
        <w:rPr>
          <w:rStyle w:val="FootnoteCharacters"/>
        </w:rPr>
        <w:footnoteRef/>
      </w:r>
      <w:r w:rsidRPr="0075151B">
        <w:t xml:space="preserve"> </w:t>
      </w:r>
      <w:r w:rsidRPr="0075151B">
        <w:rPr>
          <w:szCs w:val="22"/>
        </w:rPr>
        <w:t xml:space="preserve">GERLOCH, HŘEBEJK, ZOUBEK: </w:t>
      </w:r>
      <w:r w:rsidRPr="0075151B">
        <w:rPr>
          <w:i/>
          <w:szCs w:val="22"/>
        </w:rPr>
        <w:t>Ústavní systém České republiky</w:t>
      </w:r>
      <w:r w:rsidRPr="0075151B">
        <w:rPr>
          <w:szCs w:val="22"/>
        </w:rPr>
        <w:t xml:space="preserve">..., s. </w:t>
      </w:r>
      <w:r w:rsidRPr="0075151B">
        <w:t>184.</w:t>
      </w:r>
    </w:p>
  </w:footnote>
  <w:footnote w:id="56">
    <w:p w:rsidR="00A70AAB" w:rsidRPr="0075151B" w:rsidRDefault="00A70AAB" w:rsidP="00572FD7">
      <w:pPr>
        <w:pStyle w:val="Textpoznpodarou"/>
        <w:jc w:val="both"/>
      </w:pPr>
      <w:r w:rsidRPr="0075151B">
        <w:rPr>
          <w:rStyle w:val="FootnoteCharacters"/>
        </w:rPr>
        <w:footnoteRef/>
      </w:r>
      <w:r w:rsidRPr="0075151B">
        <w:t xml:space="preserve"> FERDUS: </w:t>
      </w:r>
      <w:r w:rsidRPr="0075151B">
        <w:rPr>
          <w:i/>
        </w:rPr>
        <w:t>Role a síla druhých komor...,</w:t>
      </w:r>
      <w:r w:rsidRPr="0075151B">
        <w:t xml:space="preserve"> s. 43.</w:t>
      </w:r>
    </w:p>
  </w:footnote>
  <w:footnote w:id="57">
    <w:p w:rsidR="00A70AAB" w:rsidRPr="0075151B" w:rsidRDefault="00A70AAB" w:rsidP="00572FD7">
      <w:pPr>
        <w:pStyle w:val="Textpoznpodarou"/>
        <w:jc w:val="both"/>
      </w:pPr>
      <w:r w:rsidRPr="0075151B">
        <w:rPr>
          <w:rStyle w:val="FootnoteCharacters"/>
        </w:rPr>
        <w:footnoteRef/>
      </w:r>
      <w:r w:rsidRPr="0075151B">
        <w:t xml:space="preserve"> FERDUS: </w:t>
      </w:r>
      <w:r w:rsidRPr="0075151B">
        <w:rPr>
          <w:i/>
        </w:rPr>
        <w:t>Role a síla druhých komor...,</w:t>
      </w:r>
      <w:r w:rsidRPr="0075151B">
        <w:t xml:space="preserve"> s. 44.</w:t>
      </w:r>
    </w:p>
  </w:footnote>
  <w:footnote w:id="58">
    <w:p w:rsidR="00A70AAB" w:rsidRPr="0075151B" w:rsidRDefault="00A70AAB" w:rsidP="00572FD7">
      <w:pPr>
        <w:pStyle w:val="Textpoznpodarou"/>
        <w:jc w:val="both"/>
      </w:pPr>
      <w:r w:rsidRPr="0075151B">
        <w:rPr>
          <w:rStyle w:val="FootnoteCharacters"/>
        </w:rPr>
        <w:footnoteRef/>
      </w:r>
      <w:r w:rsidRPr="0075151B">
        <w:t xml:space="preserve"> </w:t>
      </w:r>
      <w:proofErr w:type="spellStart"/>
      <w:r w:rsidRPr="0075151B">
        <w:rPr>
          <w:i/>
        </w:rPr>
        <w:t>Constitution</w:t>
      </w:r>
      <w:proofErr w:type="spellEnd"/>
      <w:r w:rsidRPr="0075151B">
        <w:rPr>
          <w:i/>
        </w:rPr>
        <w:t xml:space="preserve"> </w:t>
      </w:r>
      <w:proofErr w:type="spellStart"/>
      <w:r w:rsidRPr="0075151B">
        <w:rPr>
          <w:i/>
        </w:rPr>
        <w:t>of</w:t>
      </w:r>
      <w:proofErr w:type="spellEnd"/>
      <w:r w:rsidRPr="0075151B">
        <w:rPr>
          <w:i/>
        </w:rPr>
        <w:t xml:space="preserve"> </w:t>
      </w:r>
      <w:proofErr w:type="spellStart"/>
      <w:r w:rsidRPr="0075151B">
        <w:rPr>
          <w:i/>
        </w:rPr>
        <w:t>October</w:t>
      </w:r>
      <w:proofErr w:type="spellEnd"/>
      <w:r w:rsidRPr="0075151B">
        <w:rPr>
          <w:i/>
        </w:rPr>
        <w:t xml:space="preserve"> 4, 1958 </w:t>
      </w:r>
      <w:r w:rsidRPr="0075151B">
        <w:rPr>
          <w:lang w:val="en-US"/>
        </w:rPr>
        <w:t xml:space="preserve">[online]. assemblee-nationale.fr, 4. </w:t>
      </w:r>
      <w:proofErr w:type="spellStart"/>
      <w:r w:rsidRPr="0075151B">
        <w:rPr>
          <w:lang w:val="en-US"/>
        </w:rPr>
        <w:t>října</w:t>
      </w:r>
      <w:proofErr w:type="spellEnd"/>
      <w:r w:rsidRPr="0075151B">
        <w:rPr>
          <w:lang w:val="en-US"/>
        </w:rPr>
        <w:t xml:space="preserve"> 1958 [cit. 15. </w:t>
      </w:r>
      <w:proofErr w:type="spellStart"/>
      <w:r w:rsidRPr="0075151B">
        <w:rPr>
          <w:lang w:val="en-US"/>
        </w:rPr>
        <w:t>května</w:t>
      </w:r>
      <w:proofErr w:type="spellEnd"/>
      <w:r w:rsidRPr="0075151B">
        <w:rPr>
          <w:lang w:val="en-US"/>
        </w:rPr>
        <w:t xml:space="preserve"> 2013]. </w:t>
      </w:r>
      <w:r w:rsidRPr="0075151B">
        <w:rPr>
          <w:lang w:val="en-US"/>
        </w:rPr>
        <w:br/>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rPr>
          <w:lang w:val="en-US"/>
        </w:rPr>
        <w:t xml:space="preserve"> &lt;</w:t>
      </w:r>
      <w:r w:rsidRPr="0075151B">
        <w:t xml:space="preserve"> </w:t>
      </w:r>
      <w:hyperlink r:id="rId9" w:history="1">
        <w:r w:rsidRPr="0075151B">
          <w:rPr>
            <w:rStyle w:val="Hypertextovodkaz"/>
            <w:color w:val="auto"/>
          </w:rPr>
          <w:t>http://www.assemblee-nationale.fr/english/</w:t>
        </w:r>
      </w:hyperlink>
      <w:r w:rsidRPr="0075151B">
        <w:t>&gt;.</w:t>
      </w:r>
    </w:p>
  </w:footnote>
  <w:footnote w:id="59">
    <w:p w:rsidR="00A70AAB" w:rsidRPr="0075151B" w:rsidRDefault="00A70AAB" w:rsidP="00572FD7">
      <w:pPr>
        <w:pStyle w:val="Textpoznpodarou"/>
        <w:jc w:val="both"/>
      </w:pPr>
      <w:r w:rsidRPr="0075151B">
        <w:rPr>
          <w:rStyle w:val="FootnoteCharacters"/>
        </w:rPr>
        <w:footnoteRef/>
      </w:r>
      <w:r w:rsidRPr="0075151B">
        <w:rPr>
          <w:i/>
        </w:rPr>
        <w:t xml:space="preserve"> </w:t>
      </w:r>
      <w:proofErr w:type="spellStart"/>
      <w:r w:rsidRPr="0075151B">
        <w:rPr>
          <w:i/>
        </w:rPr>
        <w:t>Constitution</w:t>
      </w:r>
      <w:proofErr w:type="spellEnd"/>
      <w:r w:rsidRPr="0075151B">
        <w:rPr>
          <w:i/>
        </w:rPr>
        <w:t xml:space="preserve"> </w:t>
      </w:r>
      <w:proofErr w:type="spellStart"/>
      <w:r w:rsidRPr="0075151B">
        <w:rPr>
          <w:i/>
        </w:rPr>
        <w:t>of</w:t>
      </w:r>
      <w:proofErr w:type="spellEnd"/>
      <w:r w:rsidRPr="0075151B">
        <w:rPr>
          <w:i/>
        </w:rPr>
        <w:t xml:space="preserve"> </w:t>
      </w:r>
      <w:proofErr w:type="spellStart"/>
      <w:r w:rsidRPr="0075151B">
        <w:rPr>
          <w:i/>
        </w:rPr>
        <w:t>the</w:t>
      </w:r>
      <w:proofErr w:type="spellEnd"/>
      <w:r w:rsidRPr="0075151B">
        <w:rPr>
          <w:i/>
        </w:rPr>
        <w:t xml:space="preserve"> </w:t>
      </w:r>
      <w:proofErr w:type="spellStart"/>
      <w:r w:rsidRPr="0075151B">
        <w:rPr>
          <w:i/>
        </w:rPr>
        <w:t>Italian</w:t>
      </w:r>
      <w:proofErr w:type="spellEnd"/>
      <w:r w:rsidRPr="0075151B">
        <w:rPr>
          <w:i/>
        </w:rPr>
        <w:t xml:space="preserve"> </w:t>
      </w:r>
      <w:proofErr w:type="spellStart"/>
      <w:r w:rsidRPr="0075151B">
        <w:rPr>
          <w:i/>
        </w:rPr>
        <w:t>Republic</w:t>
      </w:r>
      <w:proofErr w:type="spellEnd"/>
      <w:r w:rsidRPr="0075151B">
        <w:rPr>
          <w:i/>
        </w:rPr>
        <w:t xml:space="preserve"> </w:t>
      </w:r>
      <w:r w:rsidRPr="0075151B">
        <w:rPr>
          <w:lang w:val="en-US"/>
        </w:rPr>
        <w:t xml:space="preserve">[online]. </w:t>
      </w:r>
      <w:proofErr w:type="spellStart"/>
      <w:r w:rsidRPr="0075151B">
        <w:rPr>
          <w:lang w:val="en-US"/>
        </w:rPr>
        <w:t>senato.it</w:t>
      </w:r>
      <w:proofErr w:type="spellEnd"/>
      <w:r w:rsidRPr="0075151B">
        <w:rPr>
          <w:lang w:val="en-US"/>
        </w:rPr>
        <w:t xml:space="preserve">,  1. </w:t>
      </w:r>
      <w:proofErr w:type="spellStart"/>
      <w:r w:rsidRPr="0075151B">
        <w:rPr>
          <w:lang w:val="en-US"/>
        </w:rPr>
        <w:t>ledna</w:t>
      </w:r>
      <w:proofErr w:type="spellEnd"/>
      <w:r w:rsidRPr="0075151B">
        <w:rPr>
          <w:lang w:val="en-US"/>
        </w:rPr>
        <w:t xml:space="preserve"> 1948 [cit. 15.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rPr>
          <w:lang w:val="en-US"/>
        </w:rPr>
        <w:t xml:space="preserve"> &lt;</w:t>
      </w:r>
      <w:hyperlink r:id="rId10" w:history="1">
        <w:r w:rsidRPr="0075151B">
          <w:rPr>
            <w:rStyle w:val="Hypertextovodkaz"/>
            <w:color w:val="auto"/>
          </w:rPr>
          <w:t>http://www.senato.it/documenti/repository/istituzione/costituzione_inglese.pdf</w:t>
        </w:r>
      </w:hyperlink>
      <w:r w:rsidRPr="0075151B">
        <w:rPr>
          <w:lang w:val="en-US"/>
        </w:rPr>
        <w:t>&gt;</w:t>
      </w:r>
      <w:r w:rsidRPr="0075151B">
        <w:t>.</w:t>
      </w:r>
    </w:p>
  </w:footnote>
  <w:footnote w:id="60">
    <w:p w:rsidR="00A70AAB" w:rsidRPr="0075151B" w:rsidRDefault="00A70AAB" w:rsidP="00572FD7">
      <w:pPr>
        <w:pStyle w:val="Textpoznpodarou"/>
        <w:jc w:val="both"/>
      </w:pPr>
      <w:r w:rsidRPr="0075151B">
        <w:rPr>
          <w:rStyle w:val="FootnoteCharacters"/>
        </w:rPr>
        <w:footnoteRef/>
      </w:r>
      <w:r w:rsidRPr="0075151B">
        <w:t xml:space="preserve"> Jeho využití v ČR je předmětem diskusí již několik let.</w:t>
      </w:r>
    </w:p>
  </w:footnote>
  <w:footnote w:id="61">
    <w:p w:rsidR="00A70AAB" w:rsidRPr="0075151B" w:rsidRDefault="00A70AAB" w:rsidP="00572FD7">
      <w:pPr>
        <w:pStyle w:val="Textpoznpodarou"/>
        <w:jc w:val="both"/>
      </w:pPr>
      <w:r w:rsidRPr="0075151B">
        <w:rPr>
          <w:rStyle w:val="FootnoteCharacters"/>
        </w:rPr>
        <w:footnoteRef/>
      </w:r>
      <w:r w:rsidRPr="0075151B">
        <w:t xml:space="preserve"> </w:t>
      </w:r>
      <w:proofErr w:type="spellStart"/>
      <w:r w:rsidRPr="0075151B">
        <w:rPr>
          <w:i/>
        </w:rPr>
        <w:t>Constitution</w:t>
      </w:r>
      <w:proofErr w:type="spellEnd"/>
      <w:r w:rsidRPr="0075151B">
        <w:rPr>
          <w:i/>
        </w:rPr>
        <w:t xml:space="preserve"> </w:t>
      </w:r>
      <w:proofErr w:type="spellStart"/>
      <w:r w:rsidRPr="0075151B">
        <w:rPr>
          <w:i/>
        </w:rPr>
        <w:t>of</w:t>
      </w:r>
      <w:proofErr w:type="spellEnd"/>
      <w:r w:rsidRPr="0075151B">
        <w:rPr>
          <w:i/>
        </w:rPr>
        <w:t xml:space="preserve"> </w:t>
      </w:r>
      <w:proofErr w:type="spellStart"/>
      <w:r w:rsidRPr="0075151B">
        <w:rPr>
          <w:i/>
        </w:rPr>
        <w:t>October</w:t>
      </w:r>
      <w:proofErr w:type="spellEnd"/>
      <w:r w:rsidRPr="0075151B">
        <w:rPr>
          <w:i/>
        </w:rPr>
        <w:t xml:space="preserve"> 4..</w:t>
      </w:r>
      <w:r w:rsidRPr="0075151B">
        <w:t>.</w:t>
      </w:r>
    </w:p>
  </w:footnote>
  <w:footnote w:id="62">
    <w:p w:rsidR="00A70AAB" w:rsidRPr="0075151B" w:rsidRDefault="00A70AAB" w:rsidP="00572FD7">
      <w:pPr>
        <w:pStyle w:val="Textpoznpodarou"/>
        <w:jc w:val="both"/>
      </w:pPr>
      <w:r w:rsidRPr="0075151B">
        <w:rPr>
          <w:rStyle w:val="FootnoteCharacters"/>
        </w:rPr>
        <w:footnoteRef/>
      </w:r>
      <w:r w:rsidRPr="0075151B">
        <w:t xml:space="preserve"> </w:t>
      </w:r>
      <w:proofErr w:type="spellStart"/>
      <w:r w:rsidRPr="0075151B">
        <w:rPr>
          <w:i/>
        </w:rPr>
        <w:t>Netherlands</w:t>
      </w:r>
      <w:proofErr w:type="spellEnd"/>
      <w:r w:rsidRPr="0075151B">
        <w:rPr>
          <w:i/>
        </w:rPr>
        <w:t xml:space="preserve"> – </w:t>
      </w:r>
      <w:proofErr w:type="spellStart"/>
      <w:r w:rsidRPr="0075151B">
        <w:rPr>
          <w:i/>
        </w:rPr>
        <w:t>Constitution</w:t>
      </w:r>
      <w:proofErr w:type="spellEnd"/>
      <w:r w:rsidRPr="0075151B">
        <w:rPr>
          <w:i/>
        </w:rPr>
        <w:t xml:space="preserve"> </w:t>
      </w:r>
      <w:r w:rsidRPr="0075151B">
        <w:rPr>
          <w:lang w:val="en-US"/>
        </w:rPr>
        <w:t xml:space="preserve">[online]. servat.unibe.ch, </w:t>
      </w:r>
      <w:r w:rsidRPr="0075151B">
        <w:t>17. února 1983</w:t>
      </w:r>
      <w:r w:rsidRPr="0075151B">
        <w:rPr>
          <w:lang w:val="en-US"/>
        </w:rPr>
        <w:t xml:space="preserve">[cit. 15.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rPr>
          <w:lang w:val="en-US"/>
        </w:rPr>
        <w:t xml:space="preserve"> &lt;</w:t>
      </w:r>
      <w:hyperlink r:id="rId11" w:history="1">
        <w:r w:rsidRPr="0075151B">
          <w:rPr>
            <w:rStyle w:val="Hypertextovodkaz"/>
            <w:color w:val="auto"/>
          </w:rPr>
          <w:t>http://www.servat.unibe.ch/icl/nl00000_.html</w:t>
        </w:r>
      </w:hyperlink>
      <w:r w:rsidRPr="0075151B">
        <w:t>&gt;.</w:t>
      </w:r>
    </w:p>
  </w:footnote>
  <w:footnote w:id="63">
    <w:p w:rsidR="00A70AAB" w:rsidRPr="0075151B" w:rsidRDefault="00A70AAB" w:rsidP="00572FD7">
      <w:pPr>
        <w:pStyle w:val="Textpoznpodarou"/>
        <w:jc w:val="both"/>
      </w:pPr>
      <w:r w:rsidRPr="0075151B">
        <w:rPr>
          <w:rStyle w:val="FootnoteCharacters"/>
        </w:rPr>
        <w:footnoteRef/>
      </w:r>
      <w:r w:rsidRPr="0075151B">
        <w:t xml:space="preserve"> FERDUS: </w:t>
      </w:r>
      <w:r w:rsidRPr="0075151B">
        <w:rPr>
          <w:i/>
        </w:rPr>
        <w:t>Role a síla druhých komor...,</w:t>
      </w:r>
      <w:r w:rsidRPr="0075151B">
        <w:t xml:space="preserve"> s. 48.</w:t>
      </w:r>
    </w:p>
  </w:footnote>
  <w:footnote w:id="64">
    <w:p w:rsidR="00A70AAB" w:rsidRPr="0075151B" w:rsidRDefault="00A70AAB" w:rsidP="00572FD7">
      <w:pPr>
        <w:pStyle w:val="Textpoznpodarou"/>
        <w:jc w:val="both"/>
      </w:pPr>
      <w:r w:rsidRPr="0075151B">
        <w:rPr>
          <w:rStyle w:val="FootnoteCharacters"/>
        </w:rPr>
        <w:footnoteRef/>
      </w:r>
      <w:r w:rsidRPr="0075151B">
        <w:rPr>
          <w:i/>
        </w:rPr>
        <w:t xml:space="preserve"> </w:t>
      </w:r>
      <w:proofErr w:type="spellStart"/>
      <w:r w:rsidRPr="0075151B">
        <w:rPr>
          <w:i/>
        </w:rPr>
        <w:t>Spanish</w:t>
      </w:r>
      <w:proofErr w:type="spellEnd"/>
      <w:r w:rsidRPr="0075151B">
        <w:rPr>
          <w:i/>
        </w:rPr>
        <w:t xml:space="preserve"> </w:t>
      </w:r>
      <w:proofErr w:type="spellStart"/>
      <w:r w:rsidRPr="0075151B">
        <w:rPr>
          <w:i/>
        </w:rPr>
        <w:t>Constitution</w:t>
      </w:r>
      <w:proofErr w:type="spellEnd"/>
      <w:r w:rsidRPr="0075151B">
        <w:t xml:space="preserve"> </w:t>
      </w:r>
      <w:r w:rsidRPr="0075151B">
        <w:rPr>
          <w:lang w:val="en-US"/>
        </w:rPr>
        <w:t xml:space="preserve">[online]. congreso.es, 7. </w:t>
      </w:r>
      <w:proofErr w:type="spellStart"/>
      <w:r w:rsidRPr="0075151B">
        <w:rPr>
          <w:lang w:val="en-US"/>
        </w:rPr>
        <w:t>prosince</w:t>
      </w:r>
      <w:proofErr w:type="spellEnd"/>
      <w:r w:rsidRPr="0075151B">
        <w:rPr>
          <w:lang w:val="en-US"/>
        </w:rPr>
        <w:t xml:space="preserve"> 1978 [cit. 15.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rPr>
          <w:lang w:val="en-US"/>
        </w:rPr>
        <w:t xml:space="preserve"> &lt;</w:t>
      </w:r>
      <w:hyperlink r:id="rId12" w:history="1">
        <w:r w:rsidRPr="0075151B">
          <w:rPr>
            <w:rStyle w:val="Hypertextovodkaz"/>
            <w:color w:val="auto"/>
          </w:rPr>
          <w:t>http://www.congreso.es/portal/page/portal/Congreso/Congreso/Hist_Normas/Norm/const_espa_texto_ingles_0.pdf</w:t>
        </w:r>
      </w:hyperlink>
      <w:r w:rsidRPr="0075151B">
        <w:t>&gt;.</w:t>
      </w:r>
    </w:p>
  </w:footnote>
  <w:footnote w:id="65">
    <w:p w:rsidR="00A70AAB" w:rsidRPr="0075151B" w:rsidRDefault="00A70AAB" w:rsidP="00572FD7">
      <w:pPr>
        <w:pStyle w:val="Textpoznpodarou"/>
        <w:jc w:val="both"/>
      </w:pPr>
      <w:r w:rsidRPr="0075151B">
        <w:rPr>
          <w:rStyle w:val="FootnoteCharacters"/>
        </w:rPr>
        <w:footnoteRef/>
      </w:r>
      <w:r w:rsidRPr="0075151B">
        <w:t xml:space="preserve"> </w:t>
      </w:r>
      <w:r w:rsidRPr="0075151B">
        <w:rPr>
          <w:szCs w:val="22"/>
        </w:rPr>
        <w:t xml:space="preserve">KYSELA, Jan. </w:t>
      </w:r>
      <w:r w:rsidRPr="0075151B">
        <w:rPr>
          <w:i/>
          <w:iCs/>
          <w:szCs w:val="22"/>
        </w:rPr>
        <w:t xml:space="preserve">Senát Parlamentu České republiky v historickém a mezinárodním kontextu. Příspěvek ke studiu dvoukomorových soustav – část čtvrtá – Senát v České republice </w:t>
      </w:r>
      <w:r w:rsidRPr="0075151B">
        <w:rPr>
          <w:iCs/>
          <w:szCs w:val="22"/>
          <w:lang w:val="en-US"/>
        </w:rPr>
        <w:t xml:space="preserve">[online]. psp.cz, 9. </w:t>
      </w:r>
      <w:proofErr w:type="spellStart"/>
      <w:r w:rsidRPr="0075151B">
        <w:rPr>
          <w:iCs/>
          <w:szCs w:val="22"/>
          <w:lang w:val="en-US"/>
        </w:rPr>
        <w:t>srpna</w:t>
      </w:r>
      <w:proofErr w:type="spellEnd"/>
      <w:r w:rsidRPr="0075151B">
        <w:rPr>
          <w:iCs/>
          <w:szCs w:val="22"/>
          <w:lang w:val="en-US"/>
        </w:rPr>
        <w:t xml:space="preserve"> 2010 [cit. 16. </w:t>
      </w:r>
      <w:proofErr w:type="spellStart"/>
      <w:r w:rsidRPr="0075151B">
        <w:rPr>
          <w:iCs/>
          <w:szCs w:val="22"/>
          <w:lang w:val="en-US"/>
        </w:rPr>
        <w:t>května</w:t>
      </w:r>
      <w:proofErr w:type="spellEnd"/>
      <w:r w:rsidRPr="0075151B">
        <w:rPr>
          <w:iCs/>
          <w:szCs w:val="22"/>
          <w:lang w:val="en-US"/>
        </w:rPr>
        <w:t xml:space="preserve"> 2013]. </w:t>
      </w:r>
      <w:proofErr w:type="spellStart"/>
      <w:r w:rsidRPr="0075151B">
        <w:rPr>
          <w:iCs/>
          <w:szCs w:val="22"/>
          <w:lang w:val="en-US"/>
        </w:rPr>
        <w:t>Dostupné</w:t>
      </w:r>
      <w:proofErr w:type="spellEnd"/>
      <w:r w:rsidRPr="0075151B">
        <w:rPr>
          <w:iCs/>
          <w:szCs w:val="22"/>
          <w:lang w:val="en-US"/>
        </w:rPr>
        <w:t xml:space="preserve"> </w:t>
      </w:r>
      <w:proofErr w:type="spellStart"/>
      <w:r w:rsidRPr="0075151B">
        <w:rPr>
          <w:iCs/>
          <w:szCs w:val="22"/>
          <w:lang w:val="en-US"/>
        </w:rPr>
        <w:t>na</w:t>
      </w:r>
      <w:proofErr w:type="spellEnd"/>
      <w:r w:rsidRPr="0075151B">
        <w:rPr>
          <w:szCs w:val="22"/>
        </w:rPr>
        <w:t xml:space="preserve"> </w:t>
      </w:r>
      <w:r w:rsidRPr="0075151B">
        <w:rPr>
          <w:szCs w:val="22"/>
          <w:lang w:val="en-US"/>
        </w:rPr>
        <w:t>&lt;</w:t>
      </w:r>
      <w:hyperlink r:id="rId13" w:history="1">
        <w:r w:rsidRPr="0075151B">
          <w:rPr>
            <w:rStyle w:val="Hypertextovodkaz"/>
            <w:color w:val="auto"/>
          </w:rPr>
          <w:t>http://www.senat.cz/informace/z_historie/studie/sbornik/c4.php?ke_dni=9.8.2010&amp;O=8</w:t>
        </w:r>
      </w:hyperlink>
      <w:r w:rsidRPr="0075151B">
        <w:t>&gt;.</w:t>
      </w:r>
    </w:p>
  </w:footnote>
  <w:footnote w:id="66">
    <w:p w:rsidR="00A70AAB" w:rsidRPr="0075151B" w:rsidRDefault="00A70AAB" w:rsidP="00572FD7">
      <w:pPr>
        <w:pStyle w:val="Textpoznpodarou"/>
        <w:jc w:val="both"/>
      </w:pPr>
      <w:r w:rsidRPr="0075151B">
        <w:rPr>
          <w:rStyle w:val="FootnoteCharacters"/>
        </w:rPr>
        <w:footnoteRef/>
      </w:r>
      <w:r w:rsidRPr="0075151B">
        <w:t xml:space="preserve"> FERDUS: </w:t>
      </w:r>
      <w:r w:rsidRPr="0075151B">
        <w:rPr>
          <w:i/>
        </w:rPr>
        <w:t>Role a síla druhých komor...,</w:t>
      </w:r>
      <w:r w:rsidRPr="0075151B">
        <w:t xml:space="preserve"> s. 41.</w:t>
      </w:r>
    </w:p>
  </w:footnote>
  <w:footnote w:id="67">
    <w:p w:rsidR="00A70AAB" w:rsidRPr="0075151B" w:rsidRDefault="00A70AAB" w:rsidP="00572FD7">
      <w:pPr>
        <w:pStyle w:val="Textpoznpodarou"/>
        <w:jc w:val="both"/>
      </w:pPr>
      <w:r w:rsidRPr="0075151B">
        <w:rPr>
          <w:rStyle w:val="FootnoteCharacters"/>
        </w:rPr>
        <w:footnoteRef/>
      </w:r>
      <w:r w:rsidRPr="0075151B">
        <w:t xml:space="preserve"> </w:t>
      </w:r>
      <w:proofErr w:type="spellStart"/>
      <w:r w:rsidRPr="0075151B">
        <w:rPr>
          <w:i/>
        </w:rPr>
        <w:t>Constitution</w:t>
      </w:r>
      <w:proofErr w:type="spellEnd"/>
      <w:r w:rsidRPr="0075151B">
        <w:rPr>
          <w:i/>
        </w:rPr>
        <w:t xml:space="preserve"> </w:t>
      </w:r>
      <w:proofErr w:type="spellStart"/>
      <w:r w:rsidRPr="0075151B">
        <w:rPr>
          <w:i/>
        </w:rPr>
        <w:t>of</w:t>
      </w:r>
      <w:proofErr w:type="spellEnd"/>
      <w:r w:rsidRPr="0075151B">
        <w:rPr>
          <w:i/>
        </w:rPr>
        <w:t xml:space="preserve"> </w:t>
      </w:r>
      <w:proofErr w:type="spellStart"/>
      <w:r w:rsidRPr="0075151B">
        <w:rPr>
          <w:i/>
        </w:rPr>
        <w:t>the</w:t>
      </w:r>
      <w:proofErr w:type="spellEnd"/>
      <w:r w:rsidRPr="0075151B">
        <w:rPr>
          <w:i/>
        </w:rPr>
        <w:t xml:space="preserve"> </w:t>
      </w:r>
      <w:proofErr w:type="spellStart"/>
      <w:r w:rsidRPr="0075151B">
        <w:rPr>
          <w:i/>
        </w:rPr>
        <w:t>Italian</w:t>
      </w:r>
      <w:proofErr w:type="spellEnd"/>
      <w:r w:rsidRPr="0075151B">
        <w:rPr>
          <w:i/>
        </w:rPr>
        <w:t xml:space="preserve"> </w:t>
      </w:r>
      <w:proofErr w:type="spellStart"/>
      <w:r w:rsidRPr="0075151B">
        <w:rPr>
          <w:i/>
        </w:rPr>
        <w:t>Republic</w:t>
      </w:r>
      <w:proofErr w:type="spellEnd"/>
      <w:r w:rsidRPr="0075151B">
        <w:rPr>
          <w:i/>
        </w:rPr>
        <w:t xml:space="preserve"> </w:t>
      </w:r>
      <w:r w:rsidRPr="0075151B">
        <w:rPr>
          <w:lang w:val="en-US"/>
        </w:rPr>
        <w:t xml:space="preserve">[online]. </w:t>
      </w:r>
      <w:proofErr w:type="spellStart"/>
      <w:r w:rsidRPr="0075151B">
        <w:rPr>
          <w:lang w:val="en-US"/>
        </w:rPr>
        <w:t>senato.it</w:t>
      </w:r>
      <w:proofErr w:type="spellEnd"/>
      <w:r w:rsidRPr="0075151B">
        <w:rPr>
          <w:lang w:val="en-US"/>
        </w:rPr>
        <w:t xml:space="preserve">, 1. </w:t>
      </w:r>
      <w:proofErr w:type="spellStart"/>
      <w:r w:rsidRPr="0075151B">
        <w:rPr>
          <w:lang w:val="en-US"/>
        </w:rPr>
        <w:t>ledna</w:t>
      </w:r>
      <w:proofErr w:type="spellEnd"/>
      <w:r w:rsidRPr="0075151B">
        <w:rPr>
          <w:lang w:val="en-US"/>
        </w:rPr>
        <w:t xml:space="preserve"> 1948 [cit. 15.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rPr>
          <w:lang w:val="en-US"/>
        </w:rPr>
        <w:t xml:space="preserve"> &lt;</w:t>
      </w:r>
      <w:hyperlink r:id="rId14" w:history="1">
        <w:r w:rsidRPr="0075151B">
          <w:rPr>
            <w:rStyle w:val="Hypertextovodkaz"/>
            <w:color w:val="auto"/>
          </w:rPr>
          <w:t>http://www.senato.it/documenti/repository/istituzione/costituzione_inglese.pdf</w:t>
        </w:r>
      </w:hyperlink>
      <w:r w:rsidRPr="0075151B">
        <w:rPr>
          <w:lang w:val="en-US"/>
        </w:rPr>
        <w:t>&gt;</w:t>
      </w:r>
      <w:r w:rsidRPr="0075151B">
        <w:t>.</w:t>
      </w:r>
    </w:p>
  </w:footnote>
  <w:footnote w:id="68">
    <w:p w:rsidR="00A70AAB" w:rsidRPr="0075151B" w:rsidRDefault="00A70AAB" w:rsidP="00572FD7">
      <w:pPr>
        <w:pStyle w:val="Textpoznpodarou"/>
        <w:jc w:val="both"/>
      </w:pPr>
      <w:r w:rsidRPr="0075151B">
        <w:rPr>
          <w:rStyle w:val="FootnoteCharacters"/>
        </w:rPr>
        <w:footnoteRef/>
      </w:r>
      <w:r w:rsidRPr="0075151B">
        <w:t xml:space="preserve"> </w:t>
      </w:r>
      <w:proofErr w:type="spellStart"/>
      <w:r w:rsidRPr="0075151B">
        <w:rPr>
          <w:i/>
        </w:rPr>
        <w:t>Constitution</w:t>
      </w:r>
      <w:proofErr w:type="spellEnd"/>
      <w:r w:rsidRPr="0075151B">
        <w:rPr>
          <w:i/>
        </w:rPr>
        <w:t xml:space="preserve"> </w:t>
      </w:r>
      <w:proofErr w:type="spellStart"/>
      <w:r w:rsidRPr="0075151B">
        <w:rPr>
          <w:i/>
        </w:rPr>
        <w:t>of</w:t>
      </w:r>
      <w:proofErr w:type="spellEnd"/>
      <w:r w:rsidRPr="0075151B">
        <w:rPr>
          <w:i/>
        </w:rPr>
        <w:t xml:space="preserve"> </w:t>
      </w:r>
      <w:proofErr w:type="spellStart"/>
      <w:r w:rsidRPr="0075151B">
        <w:rPr>
          <w:i/>
        </w:rPr>
        <w:t>Ireland</w:t>
      </w:r>
      <w:proofErr w:type="spellEnd"/>
      <w:r w:rsidRPr="0075151B">
        <w:rPr>
          <w:i/>
        </w:rPr>
        <w:t xml:space="preserve"> </w:t>
      </w:r>
      <w:r w:rsidRPr="0075151B">
        <w:rPr>
          <w:lang w:val="en-US"/>
        </w:rPr>
        <w:t xml:space="preserve">[online]. taoiseach.gov, 29. </w:t>
      </w:r>
      <w:proofErr w:type="spellStart"/>
      <w:r w:rsidRPr="0075151B">
        <w:rPr>
          <w:lang w:val="en-US"/>
        </w:rPr>
        <w:t>prosince</w:t>
      </w:r>
      <w:proofErr w:type="spellEnd"/>
      <w:r w:rsidRPr="0075151B">
        <w:rPr>
          <w:lang w:val="en-US"/>
        </w:rPr>
        <w:t xml:space="preserve"> 1937 [cit. 15.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t xml:space="preserve"> </w:t>
      </w:r>
      <w:r w:rsidRPr="0075151B">
        <w:rPr>
          <w:lang w:val="en-US"/>
        </w:rPr>
        <w:t>&lt;</w:t>
      </w:r>
      <w:hyperlink r:id="rId15" w:history="1">
        <w:r w:rsidRPr="0075151B">
          <w:rPr>
            <w:rStyle w:val="Hypertextovodkaz"/>
            <w:color w:val="auto"/>
          </w:rPr>
          <w:t>http://www.taoiseach.gov.ie/attached_files/html%20files/Constitution%20of%20Ireland%20(Eng)Nov2004.htm</w:t>
        </w:r>
      </w:hyperlink>
      <w:r w:rsidRPr="0075151B">
        <w:t>&gt;.</w:t>
      </w:r>
    </w:p>
  </w:footnote>
  <w:footnote w:id="69">
    <w:p w:rsidR="00A70AAB" w:rsidRPr="0075151B" w:rsidRDefault="00A70AAB" w:rsidP="00572FD7">
      <w:pPr>
        <w:pStyle w:val="Textpoznpodarou"/>
        <w:jc w:val="both"/>
      </w:pPr>
      <w:r w:rsidRPr="0075151B">
        <w:rPr>
          <w:rStyle w:val="FootnoteCharacters"/>
        </w:rPr>
        <w:footnoteRef/>
      </w:r>
      <w:r w:rsidRPr="0075151B">
        <w:t xml:space="preserve"> </w:t>
      </w:r>
      <w:r w:rsidRPr="0075151B">
        <w:rPr>
          <w:szCs w:val="22"/>
        </w:rPr>
        <w:t xml:space="preserve">GERLOCH, HŘEBEJK, ZOUBEK: </w:t>
      </w:r>
      <w:r w:rsidRPr="0075151B">
        <w:rPr>
          <w:i/>
          <w:szCs w:val="22"/>
        </w:rPr>
        <w:t>Ústavní systém České republiky</w:t>
      </w:r>
      <w:r w:rsidRPr="0075151B">
        <w:rPr>
          <w:szCs w:val="22"/>
        </w:rPr>
        <w:t xml:space="preserve">..., s. </w:t>
      </w:r>
      <w:r w:rsidRPr="0075151B">
        <w:t>188.</w:t>
      </w:r>
    </w:p>
  </w:footnote>
  <w:footnote w:id="70">
    <w:p w:rsidR="00A70AAB" w:rsidRPr="0075151B" w:rsidRDefault="00A70AAB" w:rsidP="00572FD7">
      <w:pPr>
        <w:pStyle w:val="Textpoznpodarou"/>
        <w:jc w:val="both"/>
      </w:pPr>
      <w:r w:rsidRPr="0075151B">
        <w:rPr>
          <w:rStyle w:val="FootnoteCharacters"/>
        </w:rPr>
        <w:footnoteRef/>
      </w:r>
      <w:r w:rsidRPr="0075151B">
        <w:rPr>
          <w:i/>
        </w:rPr>
        <w:t xml:space="preserve"> Legislativní proces v Poslanecké sněmovně</w:t>
      </w:r>
      <w:r w:rsidRPr="0075151B">
        <w:t xml:space="preserve"> </w:t>
      </w:r>
      <w:r w:rsidRPr="0075151B">
        <w:rPr>
          <w:lang w:val="en-US"/>
        </w:rPr>
        <w:t xml:space="preserve">[online]. [cit. 15.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rPr>
          <w:lang w:val="en-US"/>
        </w:rPr>
        <w:t xml:space="preserve"> &lt;</w:t>
      </w:r>
      <w:hyperlink r:id="rId16" w:history="1">
        <w:r w:rsidRPr="0075151B">
          <w:rPr>
            <w:rStyle w:val="Hypertextovodkaz"/>
            <w:color w:val="auto"/>
          </w:rPr>
          <w:t>http://www.psp.cz/sqw/hp.sqw?k=173</w:t>
        </w:r>
      </w:hyperlink>
      <w:r w:rsidRPr="0075151B">
        <w:t>&gt;.</w:t>
      </w:r>
    </w:p>
    <w:p w:rsidR="00A70AAB" w:rsidRPr="0075151B" w:rsidRDefault="00A70AAB" w:rsidP="00572FD7">
      <w:pPr>
        <w:pStyle w:val="Textpoznpodarou"/>
      </w:pPr>
    </w:p>
  </w:footnote>
  <w:footnote w:id="71">
    <w:p w:rsidR="00A70AAB" w:rsidRPr="0075151B" w:rsidRDefault="00A70AAB" w:rsidP="00572FD7">
      <w:pPr>
        <w:pStyle w:val="Textpoznpodarou"/>
        <w:jc w:val="both"/>
      </w:pPr>
      <w:r w:rsidRPr="0075151B">
        <w:rPr>
          <w:rStyle w:val="FootnoteCharacters"/>
        </w:rPr>
        <w:footnoteRef/>
      </w:r>
      <w:r w:rsidRPr="0075151B">
        <w:t xml:space="preserve"> </w:t>
      </w:r>
      <w:proofErr w:type="spellStart"/>
      <w:r w:rsidRPr="0075151B">
        <w:rPr>
          <w:i/>
        </w:rPr>
        <w:t>Constitution</w:t>
      </w:r>
      <w:proofErr w:type="spellEnd"/>
      <w:r w:rsidRPr="0075151B">
        <w:rPr>
          <w:i/>
        </w:rPr>
        <w:t xml:space="preserve"> </w:t>
      </w:r>
      <w:proofErr w:type="spellStart"/>
      <w:r w:rsidRPr="0075151B">
        <w:rPr>
          <w:i/>
        </w:rPr>
        <w:t>of</w:t>
      </w:r>
      <w:proofErr w:type="spellEnd"/>
      <w:r w:rsidRPr="0075151B">
        <w:rPr>
          <w:i/>
        </w:rPr>
        <w:t xml:space="preserve"> </w:t>
      </w:r>
      <w:proofErr w:type="spellStart"/>
      <w:r w:rsidRPr="0075151B">
        <w:rPr>
          <w:i/>
        </w:rPr>
        <w:t>October</w:t>
      </w:r>
      <w:proofErr w:type="spellEnd"/>
      <w:r w:rsidRPr="0075151B">
        <w:rPr>
          <w:i/>
        </w:rPr>
        <w:t xml:space="preserve"> 4</w:t>
      </w:r>
      <w:r w:rsidRPr="0075151B">
        <w:rPr>
          <w:lang w:val="en-US"/>
        </w:rPr>
        <w:t xml:space="preserve"> [online]. assemblee-nationale.fr,  4. </w:t>
      </w:r>
      <w:proofErr w:type="spellStart"/>
      <w:r w:rsidRPr="0075151B">
        <w:rPr>
          <w:lang w:val="en-US"/>
        </w:rPr>
        <w:t>října</w:t>
      </w:r>
      <w:proofErr w:type="spellEnd"/>
      <w:r w:rsidRPr="0075151B">
        <w:rPr>
          <w:lang w:val="en-US"/>
        </w:rPr>
        <w:t xml:space="preserve"> 1958 [cit. 15.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rPr>
          <w:lang w:val="en-US"/>
        </w:rPr>
        <w:t xml:space="preserve"> </w:t>
      </w:r>
      <w:r w:rsidRPr="0075151B">
        <w:rPr>
          <w:lang w:val="en-US"/>
        </w:rPr>
        <w:br/>
        <w:t>&lt;</w:t>
      </w:r>
      <w:r w:rsidRPr="0075151B">
        <w:t xml:space="preserve"> </w:t>
      </w:r>
      <w:hyperlink r:id="rId17" w:history="1">
        <w:r w:rsidRPr="0075151B">
          <w:rPr>
            <w:rStyle w:val="Hypertextovodkaz"/>
            <w:color w:val="auto"/>
          </w:rPr>
          <w:t>http://www.assemblee-nationale.fr/english/</w:t>
        </w:r>
      </w:hyperlink>
      <w:r w:rsidRPr="0075151B">
        <w:t>&gt;.</w:t>
      </w:r>
    </w:p>
  </w:footnote>
  <w:footnote w:id="72">
    <w:p w:rsidR="00A70AAB" w:rsidRPr="0075151B" w:rsidRDefault="00A70AAB" w:rsidP="00131744">
      <w:pPr>
        <w:pStyle w:val="Textpoznpodarou"/>
        <w:jc w:val="both"/>
      </w:pPr>
      <w:r w:rsidRPr="0075151B">
        <w:rPr>
          <w:rStyle w:val="Znakapoznpodarou"/>
        </w:rPr>
        <w:footnoteRef/>
      </w:r>
      <w:r w:rsidRPr="0075151B">
        <w:t xml:space="preserve"> </w:t>
      </w:r>
      <w:proofErr w:type="spellStart"/>
      <w:r w:rsidRPr="0075151B">
        <w:rPr>
          <w:i/>
        </w:rPr>
        <w:t>Constitution</w:t>
      </w:r>
      <w:proofErr w:type="spellEnd"/>
      <w:r w:rsidRPr="0075151B">
        <w:rPr>
          <w:i/>
        </w:rPr>
        <w:t xml:space="preserve"> </w:t>
      </w:r>
      <w:proofErr w:type="spellStart"/>
      <w:r w:rsidRPr="0075151B">
        <w:rPr>
          <w:i/>
        </w:rPr>
        <w:t>of</w:t>
      </w:r>
      <w:proofErr w:type="spellEnd"/>
      <w:r w:rsidRPr="0075151B">
        <w:rPr>
          <w:i/>
        </w:rPr>
        <w:t xml:space="preserve"> </w:t>
      </w:r>
      <w:proofErr w:type="spellStart"/>
      <w:r w:rsidRPr="0075151B">
        <w:rPr>
          <w:i/>
        </w:rPr>
        <w:t>Ireland</w:t>
      </w:r>
      <w:proofErr w:type="spellEnd"/>
      <w:r w:rsidRPr="0075151B">
        <w:t xml:space="preserve"> </w:t>
      </w:r>
      <w:r w:rsidRPr="0075151B">
        <w:rPr>
          <w:lang w:val="en-US"/>
        </w:rPr>
        <w:t xml:space="preserve">[online]. taoiseach.gov, 29. </w:t>
      </w:r>
      <w:proofErr w:type="spellStart"/>
      <w:r w:rsidRPr="0075151B">
        <w:rPr>
          <w:lang w:val="en-US"/>
        </w:rPr>
        <w:t>prosince</w:t>
      </w:r>
      <w:proofErr w:type="spellEnd"/>
      <w:r w:rsidRPr="0075151B">
        <w:rPr>
          <w:lang w:val="en-US"/>
        </w:rPr>
        <w:t xml:space="preserve"> 1937 [cit. 15.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t xml:space="preserve"> </w:t>
      </w:r>
      <w:r w:rsidRPr="0075151B">
        <w:rPr>
          <w:lang w:val="en-US"/>
        </w:rPr>
        <w:t>&lt;</w:t>
      </w:r>
      <w:hyperlink r:id="rId18" w:history="1">
        <w:r w:rsidRPr="0075151B">
          <w:rPr>
            <w:rStyle w:val="Hypertextovodkaz"/>
            <w:color w:val="auto"/>
          </w:rPr>
          <w:t>http://www.taoiseach.gov.ie/attached_files/html%20files/Constitution%20of%20Ireland%20(Eng)Nov2004.htm</w:t>
        </w:r>
      </w:hyperlink>
      <w:r w:rsidRPr="0075151B">
        <w:t>&gt;.</w:t>
      </w:r>
    </w:p>
  </w:footnote>
  <w:footnote w:id="73">
    <w:p w:rsidR="00A70AAB" w:rsidRPr="0075151B" w:rsidRDefault="00A70AAB" w:rsidP="00572FD7">
      <w:pPr>
        <w:pStyle w:val="Textpoznpodarou"/>
        <w:jc w:val="both"/>
      </w:pPr>
      <w:r w:rsidRPr="0075151B">
        <w:rPr>
          <w:rStyle w:val="FootnoteCharacters"/>
        </w:rPr>
        <w:footnoteRef/>
      </w:r>
      <w:r w:rsidRPr="0075151B">
        <w:t xml:space="preserve"> </w:t>
      </w:r>
      <w:proofErr w:type="spellStart"/>
      <w:r w:rsidRPr="0075151B">
        <w:rPr>
          <w:i/>
        </w:rPr>
        <w:t>Netherlands</w:t>
      </w:r>
      <w:proofErr w:type="spellEnd"/>
      <w:r w:rsidRPr="0075151B">
        <w:rPr>
          <w:i/>
        </w:rPr>
        <w:t xml:space="preserve"> – </w:t>
      </w:r>
      <w:proofErr w:type="spellStart"/>
      <w:r w:rsidRPr="0075151B">
        <w:rPr>
          <w:i/>
        </w:rPr>
        <w:t>Constitution</w:t>
      </w:r>
      <w:proofErr w:type="spellEnd"/>
      <w:r w:rsidRPr="0075151B">
        <w:rPr>
          <w:i/>
        </w:rPr>
        <w:t xml:space="preserve"> </w:t>
      </w:r>
      <w:r w:rsidRPr="0075151B">
        <w:rPr>
          <w:lang w:val="en-US"/>
        </w:rPr>
        <w:t>[online]. servat.unibe.ch,</w:t>
      </w:r>
      <w:r w:rsidRPr="0075151B">
        <w:t xml:space="preserve"> 17. února 1983</w:t>
      </w:r>
      <w:r w:rsidRPr="0075151B">
        <w:rPr>
          <w:lang w:val="en-US"/>
        </w:rPr>
        <w:t xml:space="preserve">[cit. 15.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rPr>
          <w:lang w:val="en-US"/>
        </w:rPr>
        <w:t xml:space="preserve"> &lt;</w:t>
      </w:r>
      <w:hyperlink r:id="rId19" w:history="1">
        <w:r w:rsidRPr="0075151B">
          <w:rPr>
            <w:rStyle w:val="Hypertextovodkaz"/>
            <w:color w:val="auto"/>
          </w:rPr>
          <w:t>http://www.servat.unibe.ch/icl/nl00000_.html</w:t>
        </w:r>
      </w:hyperlink>
      <w:r w:rsidRPr="0075151B">
        <w:t>&gt;.</w:t>
      </w:r>
    </w:p>
  </w:footnote>
  <w:footnote w:id="74">
    <w:p w:rsidR="00A70AAB" w:rsidRPr="0075151B" w:rsidRDefault="00A70AAB" w:rsidP="00572FD7">
      <w:pPr>
        <w:pStyle w:val="Textpoznpodarou"/>
        <w:jc w:val="both"/>
      </w:pPr>
      <w:r w:rsidRPr="0075151B">
        <w:rPr>
          <w:rStyle w:val="FootnoteCharacters"/>
        </w:rPr>
        <w:footnoteRef/>
      </w:r>
      <w:r w:rsidRPr="0075151B">
        <w:t xml:space="preserve"> </w:t>
      </w:r>
      <w:proofErr w:type="spellStart"/>
      <w:r w:rsidRPr="0075151B">
        <w:rPr>
          <w:i/>
        </w:rPr>
        <w:t>Spanish</w:t>
      </w:r>
      <w:proofErr w:type="spellEnd"/>
      <w:r w:rsidRPr="0075151B">
        <w:rPr>
          <w:i/>
        </w:rPr>
        <w:t xml:space="preserve"> </w:t>
      </w:r>
      <w:proofErr w:type="spellStart"/>
      <w:r w:rsidRPr="0075151B">
        <w:rPr>
          <w:i/>
        </w:rPr>
        <w:t>Constitution</w:t>
      </w:r>
      <w:proofErr w:type="spellEnd"/>
      <w:r w:rsidRPr="0075151B">
        <w:rPr>
          <w:i/>
        </w:rPr>
        <w:t xml:space="preserve"> </w:t>
      </w:r>
      <w:r w:rsidRPr="0075151B">
        <w:rPr>
          <w:lang w:val="en-US"/>
        </w:rPr>
        <w:t xml:space="preserve">[online]. congreso.es, 7. </w:t>
      </w:r>
      <w:proofErr w:type="spellStart"/>
      <w:r w:rsidRPr="0075151B">
        <w:rPr>
          <w:lang w:val="en-US"/>
        </w:rPr>
        <w:t>prosince</w:t>
      </w:r>
      <w:proofErr w:type="spellEnd"/>
      <w:r w:rsidRPr="0075151B">
        <w:rPr>
          <w:lang w:val="en-US"/>
        </w:rPr>
        <w:t xml:space="preserve"> 1978 [cit. 15.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rPr>
          <w:lang w:val="en-US"/>
        </w:rPr>
        <w:t xml:space="preserve"> &lt;</w:t>
      </w:r>
      <w:hyperlink r:id="rId20" w:history="1">
        <w:r w:rsidRPr="0075151B">
          <w:rPr>
            <w:rStyle w:val="Hypertextovodkaz"/>
            <w:color w:val="auto"/>
          </w:rPr>
          <w:t>http://www.congreso.es/portal/page/portal/Congreso/Congreso/Hist_Normas/Norm/const_espa_texto_ingles_0.pdf</w:t>
        </w:r>
      </w:hyperlink>
      <w:r w:rsidRPr="0075151B">
        <w:t>&gt;.</w:t>
      </w:r>
    </w:p>
  </w:footnote>
  <w:footnote w:id="75">
    <w:p w:rsidR="00A70AAB" w:rsidRPr="0075151B" w:rsidRDefault="00A70AAB" w:rsidP="00572FD7">
      <w:pPr>
        <w:pStyle w:val="Textpoznpodarou"/>
        <w:jc w:val="both"/>
      </w:pPr>
      <w:r w:rsidRPr="0075151B">
        <w:rPr>
          <w:rStyle w:val="FootnoteCharacters"/>
        </w:rPr>
        <w:footnoteRef/>
      </w:r>
      <w:r w:rsidRPr="0075151B">
        <w:rPr>
          <w:i/>
        </w:rPr>
        <w:t xml:space="preserve"> Legislativní proces v Poslanecké sněmovně</w:t>
      </w:r>
      <w:r w:rsidRPr="0075151B">
        <w:t xml:space="preserve"> </w:t>
      </w:r>
      <w:r w:rsidRPr="0075151B">
        <w:rPr>
          <w:lang w:val="en-US"/>
        </w:rPr>
        <w:t xml:space="preserve">[online]. [cit. 15. </w:t>
      </w:r>
      <w:proofErr w:type="spellStart"/>
      <w:r w:rsidRPr="0075151B">
        <w:rPr>
          <w:lang w:val="en-US"/>
        </w:rPr>
        <w:t>května</w:t>
      </w:r>
      <w:proofErr w:type="spellEnd"/>
      <w:r w:rsidRPr="0075151B">
        <w:rPr>
          <w:lang w:val="en-US"/>
        </w:rPr>
        <w:t xml:space="preserve"> 2013]. </w:t>
      </w:r>
      <w:proofErr w:type="spellStart"/>
      <w:r w:rsidRPr="0075151B">
        <w:rPr>
          <w:lang w:val="en-US"/>
        </w:rPr>
        <w:t>Dostupné</w:t>
      </w:r>
      <w:proofErr w:type="spellEnd"/>
      <w:r w:rsidRPr="0075151B">
        <w:rPr>
          <w:lang w:val="en-US"/>
        </w:rPr>
        <w:t xml:space="preserve"> </w:t>
      </w:r>
      <w:proofErr w:type="spellStart"/>
      <w:r w:rsidRPr="0075151B">
        <w:rPr>
          <w:lang w:val="en-US"/>
        </w:rPr>
        <w:t>na</w:t>
      </w:r>
      <w:proofErr w:type="spellEnd"/>
      <w:r w:rsidRPr="0075151B">
        <w:rPr>
          <w:lang w:val="en-US"/>
        </w:rPr>
        <w:t xml:space="preserve"> &lt;</w:t>
      </w:r>
      <w:hyperlink r:id="rId21" w:history="1">
        <w:r w:rsidRPr="0075151B">
          <w:rPr>
            <w:rStyle w:val="Hypertextovodkaz"/>
            <w:color w:val="auto"/>
          </w:rPr>
          <w:t>http://www.psp.cz/sqw/hp.sqw?k=173</w:t>
        </w:r>
      </w:hyperlink>
      <w:r w:rsidRPr="0075151B">
        <w:t>&gt;.</w:t>
      </w:r>
    </w:p>
  </w:footnote>
  <w:footnote w:id="76">
    <w:p w:rsidR="00A70AAB" w:rsidRPr="0075151B" w:rsidRDefault="00A70AAB" w:rsidP="00572FD7">
      <w:pPr>
        <w:pStyle w:val="Textpoznpodarou"/>
        <w:jc w:val="both"/>
      </w:pPr>
      <w:r w:rsidRPr="0075151B">
        <w:rPr>
          <w:rStyle w:val="FootnoteCharacters"/>
        </w:rPr>
        <w:footnoteRef/>
      </w:r>
      <w:r w:rsidRPr="0075151B">
        <w:t xml:space="preserve"> Stav legislativní nouze je definován § 99 zákona č. 90/1995 Sb.</w:t>
      </w:r>
    </w:p>
  </w:footnote>
  <w:footnote w:id="77">
    <w:p w:rsidR="00A70AAB" w:rsidRPr="0075151B" w:rsidRDefault="00A70AAB" w:rsidP="00572FD7">
      <w:pPr>
        <w:pStyle w:val="Textpoznpodarou"/>
        <w:jc w:val="both"/>
      </w:pPr>
      <w:r w:rsidRPr="0075151B">
        <w:rPr>
          <w:rStyle w:val="FootnoteCharacters"/>
        </w:rPr>
        <w:footnoteRef/>
      </w:r>
      <w:r w:rsidRPr="0075151B">
        <w:t xml:space="preserve"> </w:t>
      </w:r>
      <w:r w:rsidRPr="0075151B">
        <w:rPr>
          <w:i/>
        </w:rPr>
        <w:t>Němcová vyhlásila stav legislativní nouze, šetřit se bude už od ledna</w:t>
      </w:r>
      <w:r w:rsidRPr="0075151B">
        <w:t xml:space="preserve"> [online]. iHNed.cz, 29. října 2010 </w:t>
      </w:r>
      <w:r w:rsidRPr="0075151B">
        <w:br/>
        <w:t>[cit. 20. května 2013]. Dostupné na &lt;</w:t>
      </w:r>
      <w:hyperlink r:id="rId22" w:history="1">
        <w:r w:rsidRPr="0075151B">
          <w:rPr>
            <w:rStyle w:val="Hypertextovodkaz"/>
            <w:color w:val="auto"/>
          </w:rPr>
          <w:t>http://zpravy.ihned.cz/c1-47573500-nemcova-vyhlasila-stav-legislativni-nouze-setrit-se-bude-uz-od-ledna</w:t>
        </w:r>
      </w:hyperlink>
      <w:r w:rsidRPr="0075151B">
        <w:t>&gt;.</w:t>
      </w:r>
    </w:p>
  </w:footnote>
  <w:footnote w:id="78">
    <w:p w:rsidR="00A70AAB" w:rsidRPr="0075151B" w:rsidRDefault="00A70AAB" w:rsidP="00572FD7">
      <w:pPr>
        <w:pStyle w:val="Textpoznpodarou"/>
        <w:jc w:val="both"/>
      </w:pPr>
      <w:r w:rsidRPr="0075151B">
        <w:rPr>
          <w:rStyle w:val="FootnoteCharacters"/>
        </w:rPr>
        <w:footnoteRef/>
      </w:r>
      <w:r w:rsidRPr="0075151B">
        <w:t xml:space="preserve"> FERDUS: </w:t>
      </w:r>
      <w:r w:rsidRPr="0075151B">
        <w:rPr>
          <w:i/>
        </w:rPr>
        <w:t>Role a síla druhých komor...,</w:t>
      </w:r>
      <w:r w:rsidRPr="0075151B">
        <w:t xml:space="preserve"> s. 59.</w:t>
      </w:r>
    </w:p>
  </w:footnote>
  <w:footnote w:id="79">
    <w:p w:rsidR="00A70AAB" w:rsidRPr="0075151B" w:rsidRDefault="00A70AAB" w:rsidP="00F00AA3">
      <w:pPr>
        <w:pStyle w:val="Textpoznpodarou"/>
        <w:jc w:val="both"/>
        <w:rPr>
          <w:iCs/>
          <w:szCs w:val="24"/>
        </w:rPr>
      </w:pPr>
      <w:r w:rsidRPr="0075151B">
        <w:rPr>
          <w:rStyle w:val="FootnoteCharacters"/>
        </w:rPr>
        <w:footnoteRef/>
      </w:r>
      <w:r w:rsidRPr="0075151B">
        <w:t xml:space="preserve"> SHUGART, </w:t>
      </w:r>
      <w:proofErr w:type="spellStart"/>
      <w:r w:rsidRPr="0075151B">
        <w:t>Matthew</w:t>
      </w:r>
      <w:proofErr w:type="spellEnd"/>
      <w:r w:rsidRPr="0075151B">
        <w:t xml:space="preserve"> S., CAREY, John M. </w:t>
      </w:r>
      <w:proofErr w:type="spellStart"/>
      <w:r w:rsidRPr="0075151B">
        <w:rPr>
          <w:i/>
        </w:rPr>
        <w:t>Presidents</w:t>
      </w:r>
      <w:proofErr w:type="spellEnd"/>
      <w:r w:rsidRPr="0075151B">
        <w:rPr>
          <w:i/>
        </w:rPr>
        <w:t xml:space="preserve"> </w:t>
      </w:r>
      <w:proofErr w:type="spellStart"/>
      <w:r w:rsidRPr="0075151B">
        <w:rPr>
          <w:i/>
          <w:iCs/>
          <w:szCs w:val="24"/>
        </w:rPr>
        <w:t>and</w:t>
      </w:r>
      <w:proofErr w:type="spellEnd"/>
      <w:r w:rsidRPr="0075151B">
        <w:rPr>
          <w:i/>
          <w:iCs/>
          <w:szCs w:val="24"/>
        </w:rPr>
        <w:t xml:space="preserve"> </w:t>
      </w:r>
      <w:proofErr w:type="spellStart"/>
      <w:r w:rsidRPr="0075151B">
        <w:rPr>
          <w:i/>
          <w:iCs/>
          <w:szCs w:val="24"/>
        </w:rPr>
        <w:t>Assemblies</w:t>
      </w:r>
      <w:proofErr w:type="spellEnd"/>
      <w:r w:rsidRPr="0075151B">
        <w:rPr>
          <w:i/>
          <w:iCs/>
          <w:szCs w:val="24"/>
        </w:rPr>
        <w:t xml:space="preserve">: </w:t>
      </w:r>
      <w:proofErr w:type="spellStart"/>
      <w:r w:rsidRPr="0075151B">
        <w:rPr>
          <w:i/>
          <w:iCs/>
          <w:szCs w:val="24"/>
        </w:rPr>
        <w:t>Constitutional</w:t>
      </w:r>
      <w:proofErr w:type="spellEnd"/>
      <w:r w:rsidRPr="0075151B">
        <w:rPr>
          <w:i/>
          <w:iCs/>
          <w:szCs w:val="24"/>
        </w:rPr>
        <w:t xml:space="preserve"> design </w:t>
      </w:r>
      <w:proofErr w:type="spellStart"/>
      <w:r w:rsidRPr="0075151B">
        <w:rPr>
          <w:i/>
          <w:iCs/>
          <w:szCs w:val="24"/>
        </w:rPr>
        <w:t>and</w:t>
      </w:r>
      <w:proofErr w:type="spellEnd"/>
      <w:r w:rsidRPr="0075151B">
        <w:rPr>
          <w:i/>
          <w:iCs/>
          <w:szCs w:val="24"/>
        </w:rPr>
        <w:t xml:space="preserve"> </w:t>
      </w:r>
      <w:proofErr w:type="spellStart"/>
      <w:r w:rsidRPr="0075151B">
        <w:rPr>
          <w:i/>
          <w:iCs/>
          <w:szCs w:val="24"/>
        </w:rPr>
        <w:t>electoral</w:t>
      </w:r>
      <w:proofErr w:type="spellEnd"/>
      <w:r w:rsidRPr="0075151B">
        <w:rPr>
          <w:i/>
          <w:iCs/>
          <w:szCs w:val="24"/>
        </w:rPr>
        <w:t xml:space="preserve"> </w:t>
      </w:r>
      <w:proofErr w:type="spellStart"/>
      <w:r w:rsidRPr="0075151B">
        <w:rPr>
          <w:i/>
          <w:iCs/>
          <w:szCs w:val="24"/>
        </w:rPr>
        <w:t>dynamics</w:t>
      </w:r>
      <w:proofErr w:type="spellEnd"/>
      <w:r w:rsidRPr="0075151B">
        <w:rPr>
          <w:iCs/>
          <w:szCs w:val="24"/>
        </w:rPr>
        <w:t xml:space="preserve">. Cambridge: Cambridge University </w:t>
      </w:r>
      <w:proofErr w:type="spellStart"/>
      <w:r w:rsidRPr="0075151B">
        <w:rPr>
          <w:iCs/>
          <w:szCs w:val="24"/>
        </w:rPr>
        <w:t>Press</w:t>
      </w:r>
      <w:proofErr w:type="spellEnd"/>
      <w:r w:rsidRPr="0075151B">
        <w:rPr>
          <w:iCs/>
          <w:szCs w:val="24"/>
        </w:rPr>
        <w:t>, 1992, s. 150.</w:t>
      </w:r>
    </w:p>
  </w:footnote>
  <w:footnote w:id="80">
    <w:p w:rsidR="00A70AAB" w:rsidRPr="0075151B" w:rsidRDefault="00A70AAB" w:rsidP="000552DA">
      <w:pPr>
        <w:pStyle w:val="Textpoznpodarou"/>
        <w:spacing w:line="360" w:lineRule="auto"/>
        <w:jc w:val="both"/>
      </w:pPr>
      <w:r w:rsidRPr="0075151B">
        <w:rPr>
          <w:rStyle w:val="FootnoteCharacters"/>
        </w:rPr>
        <w:footnoteRef/>
      </w:r>
      <w:r w:rsidRPr="0075151B">
        <w:t xml:space="preserve"> Dle informací uvedených na webových stránkách Senátu ČR bylo Sněmovnou schváleno v námi analyzovaném období od roku 2000 do roku 2012 pouze 15 senátních návrhů zákonů. Tyto informace jsou dostupné na </w:t>
      </w:r>
      <w:r w:rsidRPr="0075151B">
        <w:rPr>
          <w:lang w:val="en-US"/>
        </w:rPr>
        <w:t>&lt;</w:t>
      </w:r>
      <w:hyperlink r:id="rId23" w:history="1">
        <w:r w:rsidRPr="0075151B">
          <w:rPr>
            <w:rStyle w:val="Hypertextovodkaz"/>
            <w:color w:val="auto"/>
          </w:rPr>
          <w:t>http://www.senat.cz/xqw/xervlet/pssenat/historie</w:t>
        </w:r>
      </w:hyperlink>
      <w:r w:rsidRPr="0075151B">
        <w:t>&gt;.</w:t>
      </w:r>
    </w:p>
  </w:footnote>
  <w:footnote w:id="81">
    <w:p w:rsidR="00A70AAB" w:rsidRPr="0075151B" w:rsidRDefault="00A70AAB" w:rsidP="000552DA">
      <w:pPr>
        <w:pStyle w:val="Textpoznpodarou"/>
        <w:spacing w:line="360" w:lineRule="auto"/>
        <w:jc w:val="both"/>
      </w:pPr>
      <w:r w:rsidRPr="0075151B">
        <w:rPr>
          <w:rStyle w:val="FootnoteCharacters"/>
        </w:rPr>
        <w:footnoteRef/>
      </w:r>
      <w:r w:rsidRPr="0075151B">
        <w:t xml:space="preserve"> Poslední dostupnou, je zpráva o činnosti Senátu z roku 2010. Data o dalším funkčním období bylo třeba získávat pomocí vyhledávání jednotlivých projednávaných zákonů a analýzy procesu jejich projednávání v obou komorách Parlamentu ČR. </w:t>
      </w:r>
    </w:p>
  </w:footnote>
  <w:footnote w:id="82">
    <w:p w:rsidR="00A70AAB" w:rsidRPr="0075151B" w:rsidRDefault="00A70AAB" w:rsidP="000552DA">
      <w:pPr>
        <w:pStyle w:val="Textpoznpodarou"/>
      </w:pPr>
      <w:r w:rsidRPr="0075151B">
        <w:rPr>
          <w:rStyle w:val="FootnoteCharacters"/>
        </w:rPr>
        <w:footnoteRef/>
      </w:r>
      <w:r w:rsidRPr="0075151B">
        <w:t xml:space="preserve"> Výroční zprávy o činnosti Senátu jsou dostupné na </w:t>
      </w:r>
      <w:r w:rsidRPr="0075151B">
        <w:rPr>
          <w:lang w:val="en-US"/>
        </w:rPr>
        <w:t>&lt;</w:t>
      </w:r>
      <w:hyperlink r:id="rId24" w:history="1">
        <w:r w:rsidRPr="0075151B">
          <w:rPr>
            <w:rStyle w:val="Hypertextovodkaz"/>
            <w:color w:val="auto"/>
          </w:rPr>
          <w:t>http://www.senat.cz/cinnost/zpravy/</w:t>
        </w:r>
      </w:hyperlink>
      <w:r w:rsidRPr="0075151B">
        <w:t>&gt;.</w:t>
      </w:r>
    </w:p>
  </w:footnote>
  <w:footnote w:id="83">
    <w:p w:rsidR="00A70AAB" w:rsidRPr="00805964" w:rsidRDefault="00A70AAB" w:rsidP="000552DA">
      <w:pPr>
        <w:pStyle w:val="Textpoznpodarou"/>
        <w:jc w:val="both"/>
      </w:pPr>
      <w:r w:rsidRPr="00805964">
        <w:rPr>
          <w:rStyle w:val="FootnoteCharacters"/>
        </w:rPr>
        <w:footnoteRef/>
      </w:r>
      <w:r w:rsidRPr="00805964">
        <w:t xml:space="preserve"> Tato většina se opírala o hlasy tzv. přeběhlíků z levicových stran, což však není pro tuto práci podstatné.</w:t>
      </w:r>
    </w:p>
  </w:footnote>
  <w:footnote w:id="84">
    <w:p w:rsidR="00A70AAB" w:rsidRPr="00805964" w:rsidRDefault="00A70AAB" w:rsidP="000552DA">
      <w:pPr>
        <w:pStyle w:val="Textpoznpodarou"/>
        <w:jc w:val="both"/>
      </w:pPr>
      <w:r w:rsidRPr="00805964">
        <w:rPr>
          <w:rStyle w:val="FootnoteCharacters"/>
        </w:rPr>
        <w:footnoteRef/>
      </w:r>
      <w:r w:rsidRPr="00805964">
        <w:t xml:space="preserve"> </w:t>
      </w:r>
      <w:r w:rsidRPr="00805964">
        <w:rPr>
          <w:i/>
        </w:rPr>
        <w:t>Zpráva o činnosti Senátu a jeho orgánů 2006–2007</w:t>
      </w:r>
      <w:r w:rsidRPr="00805964">
        <w:t xml:space="preserve"> [online]. senat.cz, [cit. 2. června 2013]. Dostupné na &lt;</w:t>
      </w:r>
      <w:hyperlink r:id="rId25" w:history="1">
        <w:r w:rsidRPr="00805964">
          <w:rPr>
            <w:rStyle w:val="Hypertextovodkaz"/>
            <w:color w:val="auto"/>
          </w:rPr>
          <w:t>http://www.senat.cz/cinnost/zpravy/vyrzpr2007/vyrzpr07.pdf</w:t>
        </w:r>
      </w:hyperlink>
      <w:r w:rsidRPr="00805964">
        <w:t>&gt;.</w:t>
      </w:r>
    </w:p>
  </w:footnote>
  <w:footnote w:id="85">
    <w:p w:rsidR="00A70AAB" w:rsidRPr="00805964" w:rsidRDefault="00A70AAB" w:rsidP="000552DA">
      <w:pPr>
        <w:pStyle w:val="Textpoznpodarou"/>
        <w:jc w:val="both"/>
      </w:pPr>
      <w:r w:rsidRPr="00805964">
        <w:rPr>
          <w:rStyle w:val="FootnoteCharacters"/>
        </w:rPr>
        <w:footnoteRef/>
      </w:r>
      <w:r w:rsidRPr="00805964">
        <w:rPr>
          <w:i/>
        </w:rPr>
        <w:t xml:space="preserve"> Volby do Senátu Parlamentu České republiky 2006</w:t>
      </w:r>
      <w:r w:rsidRPr="00805964">
        <w:t xml:space="preserve"> [online]. ods.cz, [cit. 2. června 2013]. Dostupné na &lt;</w:t>
      </w:r>
      <w:hyperlink r:id="rId26" w:history="1">
        <w:r w:rsidRPr="00805964">
          <w:rPr>
            <w:rStyle w:val="Hypertextovodkaz"/>
            <w:color w:val="auto"/>
          </w:rPr>
          <w:t>http://www.ods.cz/volebni-vysledky/2006-senatni</w:t>
        </w:r>
      </w:hyperlink>
      <w:r w:rsidRPr="00805964">
        <w:t>&gt;.</w:t>
      </w:r>
    </w:p>
  </w:footnote>
  <w:footnote w:id="86">
    <w:p w:rsidR="00A70AAB" w:rsidRPr="0075151B" w:rsidRDefault="00A70AAB" w:rsidP="000552DA">
      <w:pPr>
        <w:pStyle w:val="Textpoznpodarou"/>
        <w:jc w:val="both"/>
      </w:pPr>
      <w:r w:rsidRPr="00805964">
        <w:rPr>
          <w:rStyle w:val="FootnoteCharacters"/>
        </w:rPr>
        <w:footnoteRef/>
      </w:r>
      <w:r w:rsidRPr="00805964">
        <w:t xml:space="preserve"> V roce 2007 se konaly doplňovací volby v Přerově poté, co byla senátorka Jitka Seitlová zvolena zástupkyní Veřejného ochránce práv a dne 14. února 2007 složila slib a ujala se funkce neslučitelné s mandátem senátorky. Volby vyhrál Jiří Lajtoch kandidující za ČSSD, která tak získala třináctý mandát. Informace vychází ze zprávy o činnosti Senátu, dostupné na &lt;</w:t>
      </w:r>
      <w:hyperlink r:id="rId27" w:history="1">
        <w:r w:rsidRPr="00805964">
          <w:rPr>
            <w:rStyle w:val="Hypertextovodkaz"/>
            <w:color w:val="auto"/>
          </w:rPr>
          <w:t>http://www.senat.cz/cinnost/zpravy/vyrzpr2007/vyrzpr07.pdf</w:t>
        </w:r>
      </w:hyperlink>
      <w:r w:rsidRPr="00805964">
        <w:t>&gt;.</w:t>
      </w:r>
    </w:p>
  </w:footnote>
  <w:footnote w:id="87">
    <w:p w:rsidR="00A70AAB" w:rsidRPr="0075151B" w:rsidRDefault="00A70AAB" w:rsidP="00273C92">
      <w:pPr>
        <w:pStyle w:val="Textpoznpodarou"/>
        <w:jc w:val="both"/>
      </w:pPr>
      <w:r w:rsidRPr="0075151B">
        <w:rPr>
          <w:rStyle w:val="FootnoteCharacters"/>
        </w:rPr>
        <w:footnoteRef/>
      </w:r>
      <w:r w:rsidRPr="0075151B">
        <w:t xml:space="preserve"> Informace získané z výročních zpráv o činnosti Senátu v letech 2007</w:t>
      </w:r>
      <w:r>
        <w:t>–</w:t>
      </w:r>
      <w:r w:rsidRPr="0075151B">
        <w:t xml:space="preserve">2008. Dostupné na </w:t>
      </w:r>
      <w:r w:rsidRPr="0075151B">
        <w:rPr>
          <w:lang w:val="en-US"/>
        </w:rPr>
        <w:t>&lt;</w:t>
      </w:r>
      <w:hyperlink r:id="rId28" w:history="1">
        <w:r w:rsidRPr="0075151B">
          <w:rPr>
            <w:rStyle w:val="Hypertextovodkaz"/>
            <w:color w:val="auto"/>
          </w:rPr>
          <w:t>http://www.senat.cz/cinnost/zpravy/</w:t>
        </w:r>
      </w:hyperlink>
      <w:r w:rsidRPr="0075151B">
        <w:t>&gt;.</w:t>
      </w:r>
    </w:p>
  </w:footnote>
  <w:footnote w:id="88">
    <w:p w:rsidR="00A70AAB" w:rsidRPr="0075151B" w:rsidRDefault="00A70AAB" w:rsidP="00233CB5">
      <w:pPr>
        <w:pStyle w:val="Textpoznpodarou"/>
        <w:jc w:val="both"/>
      </w:pPr>
      <w:r w:rsidRPr="0075151B">
        <w:rPr>
          <w:rStyle w:val="Znakapoznpodarou"/>
        </w:rPr>
        <w:footnoteRef/>
      </w:r>
      <w:r w:rsidRPr="0075151B">
        <w:t xml:space="preserve"> Započítány jsou i pozměňovací návrhy u ústavních návrhů zákonů.</w:t>
      </w:r>
    </w:p>
  </w:footnote>
  <w:footnote w:id="89">
    <w:p w:rsidR="00A70AAB" w:rsidRPr="0075151B" w:rsidRDefault="00A70AAB" w:rsidP="007B549B">
      <w:pPr>
        <w:pStyle w:val="Textpoznpodarou"/>
        <w:jc w:val="both"/>
      </w:pPr>
      <w:r w:rsidRPr="0075151B">
        <w:rPr>
          <w:rStyle w:val="Znakapoznpodarou"/>
        </w:rPr>
        <w:footnoteRef/>
      </w:r>
      <w:r w:rsidRPr="0075151B">
        <w:t xml:space="preserve"> </w:t>
      </w:r>
      <w:r w:rsidRPr="0075151B">
        <w:rPr>
          <w:i/>
        </w:rPr>
        <w:t>Volby do Senátu Parlamentu České republiky 2000</w:t>
      </w:r>
      <w:r w:rsidRPr="0075151B">
        <w:t xml:space="preserve"> </w:t>
      </w:r>
      <w:r w:rsidRPr="0075151B">
        <w:rPr>
          <w:lang w:val="en-US"/>
        </w:rPr>
        <w:t>[online]. ods.cz, [cit. 4.</w:t>
      </w:r>
      <w:r w:rsidRPr="00805964">
        <w:t xml:space="preserve"> června</w:t>
      </w:r>
      <w:r w:rsidRPr="0075151B">
        <w:rPr>
          <w:lang w:val="en-US"/>
        </w:rPr>
        <w:t xml:space="preserve"> 2013].</w:t>
      </w:r>
      <w:r w:rsidRPr="00805964">
        <w:t xml:space="preserve"> Dostupné na</w:t>
      </w:r>
      <w:r w:rsidRPr="0075151B">
        <w:rPr>
          <w:lang w:val="en-US"/>
        </w:rPr>
        <w:t xml:space="preserve"> &lt;</w:t>
      </w:r>
      <w:hyperlink r:id="rId29" w:history="1">
        <w:r w:rsidRPr="0075151B">
          <w:rPr>
            <w:rStyle w:val="Hypertextovodkaz"/>
            <w:color w:val="auto"/>
          </w:rPr>
          <w:t>http://www.ods.cz/volebni-vysledky/2000-senatni</w:t>
        </w:r>
      </w:hyperlink>
      <w:r w:rsidRPr="0075151B">
        <w:t xml:space="preserve">&gt;. </w:t>
      </w:r>
    </w:p>
  </w:footnote>
  <w:footnote w:id="90">
    <w:p w:rsidR="00A70AAB" w:rsidRPr="0075151B" w:rsidRDefault="00A70AAB" w:rsidP="007B549B">
      <w:pPr>
        <w:pStyle w:val="Textpoznpodarou"/>
        <w:jc w:val="both"/>
      </w:pPr>
      <w:r w:rsidRPr="0075151B">
        <w:rPr>
          <w:rStyle w:val="Znakapoznpodarou"/>
        </w:rPr>
        <w:footnoteRef/>
      </w:r>
      <w:r w:rsidRPr="0075151B">
        <w:t xml:space="preserve"> </w:t>
      </w:r>
      <w:r w:rsidRPr="0075151B">
        <w:rPr>
          <w:i/>
        </w:rPr>
        <w:t>Volby do Poslanecké sněmovny Parlamentu České republiky 1998</w:t>
      </w:r>
      <w:r w:rsidRPr="0075151B">
        <w:t xml:space="preserve"> </w:t>
      </w:r>
      <w:r w:rsidRPr="0075151B">
        <w:rPr>
          <w:lang w:val="en-US"/>
        </w:rPr>
        <w:t>[online]. volby.cz, [cit. 4.</w:t>
      </w:r>
      <w:r w:rsidRPr="00805964">
        <w:t xml:space="preserve"> června</w:t>
      </w:r>
      <w:r w:rsidRPr="0075151B">
        <w:rPr>
          <w:lang w:val="en-US"/>
        </w:rPr>
        <w:t xml:space="preserve"> 2013]. Dostupné na &lt;</w:t>
      </w:r>
      <w:hyperlink r:id="rId30" w:history="1">
        <w:r w:rsidRPr="0075151B">
          <w:rPr>
            <w:rStyle w:val="Hypertextovodkaz"/>
            <w:color w:val="auto"/>
          </w:rPr>
          <w:t>http://volby.cz/pls/ps1998/u610</w:t>
        </w:r>
      </w:hyperlink>
      <w:r w:rsidRPr="0075151B">
        <w:t xml:space="preserve">&gt;. </w:t>
      </w:r>
    </w:p>
  </w:footnote>
  <w:footnote w:id="91">
    <w:p w:rsidR="00A70AAB" w:rsidRPr="0075151B" w:rsidRDefault="00A70AAB" w:rsidP="001B4C25">
      <w:pPr>
        <w:pStyle w:val="Textpoznpodarou"/>
        <w:spacing w:line="360" w:lineRule="auto"/>
        <w:jc w:val="both"/>
      </w:pPr>
      <w:r w:rsidRPr="0075151B">
        <w:rPr>
          <w:rStyle w:val="Znakapoznpodarou"/>
        </w:rPr>
        <w:footnoteRef/>
      </w:r>
      <w:r w:rsidRPr="0075151B">
        <w:t xml:space="preserve"> Součástí jsou pozměňovací návrhy k ústavním zákonům a naopak vynechány byly pozměňovací návrhy k legislativě, která nakonec nebyla přijata.</w:t>
      </w:r>
    </w:p>
  </w:footnote>
  <w:footnote w:id="92">
    <w:p w:rsidR="00A70AAB" w:rsidRPr="0075151B" w:rsidRDefault="00A70AAB">
      <w:pPr>
        <w:pStyle w:val="Textpoznpodarou"/>
      </w:pPr>
      <w:r w:rsidRPr="0075151B">
        <w:rPr>
          <w:rStyle w:val="Znakapoznpodarou"/>
        </w:rPr>
        <w:footnoteRef/>
      </w:r>
      <w:r w:rsidRPr="0075151B">
        <w:t xml:space="preserve"> </w:t>
      </w:r>
      <w:r w:rsidRPr="0075151B">
        <w:rPr>
          <w:i/>
        </w:rPr>
        <w:t>Volby do Senátu Parlamentu České republiky 2002</w:t>
      </w:r>
      <w:r w:rsidRPr="0075151B">
        <w:t xml:space="preserve"> </w:t>
      </w:r>
      <w:r w:rsidRPr="0075151B">
        <w:rPr>
          <w:lang w:val="en-US"/>
        </w:rPr>
        <w:t>[online]. ods.cz, [cit. 4. června 2013]. Dostupné na &lt;</w:t>
      </w:r>
      <w:hyperlink r:id="rId31" w:history="1">
        <w:r w:rsidRPr="0075151B">
          <w:rPr>
            <w:rStyle w:val="Hypertextovodkaz"/>
            <w:color w:val="auto"/>
          </w:rPr>
          <w:t>http://www.ods.cz/volebni-vysledky/2002-senatni</w:t>
        </w:r>
      </w:hyperlink>
      <w:r w:rsidRPr="0075151B">
        <w:t xml:space="preserve"> &gt;.  </w:t>
      </w:r>
    </w:p>
  </w:footnote>
  <w:footnote w:id="93">
    <w:p w:rsidR="00A70AAB" w:rsidRPr="0075151B" w:rsidRDefault="00A70AAB">
      <w:pPr>
        <w:pStyle w:val="Textpoznpodarou"/>
      </w:pPr>
      <w:r w:rsidRPr="0075151B">
        <w:rPr>
          <w:rStyle w:val="Znakapoznpodarou"/>
        </w:rPr>
        <w:footnoteRef/>
      </w:r>
      <w:r w:rsidRPr="0075151B">
        <w:t xml:space="preserve"> </w:t>
      </w:r>
      <w:r w:rsidRPr="0075151B">
        <w:rPr>
          <w:i/>
        </w:rPr>
        <w:t>Volby do Poslanecké sněmovny Parlamentu České republiky 2002</w:t>
      </w:r>
      <w:r w:rsidRPr="0075151B">
        <w:t xml:space="preserve"> </w:t>
      </w:r>
      <w:r w:rsidRPr="0075151B">
        <w:rPr>
          <w:lang w:val="en-US"/>
        </w:rPr>
        <w:t>[online]. volby.cz, [cit. 4. června 2013]. Dostupné na &lt;</w:t>
      </w:r>
      <w:hyperlink r:id="rId32" w:history="1">
        <w:r w:rsidRPr="0075151B">
          <w:rPr>
            <w:rStyle w:val="Hypertextovodkaz"/>
            <w:color w:val="auto"/>
          </w:rPr>
          <w:t>http://volby.cz/pls/ps2002/ps63?xjazyk=CZ</w:t>
        </w:r>
      </w:hyperlink>
      <w:r w:rsidRPr="0075151B">
        <w:t xml:space="preserve">&gt;. </w:t>
      </w:r>
    </w:p>
  </w:footnote>
  <w:footnote w:id="94">
    <w:p w:rsidR="00A70AAB" w:rsidRPr="0075151B" w:rsidRDefault="00A70AAB" w:rsidP="001B4C25">
      <w:pPr>
        <w:pStyle w:val="Textpoznpodarou"/>
        <w:spacing w:line="360" w:lineRule="auto"/>
        <w:jc w:val="both"/>
      </w:pPr>
      <w:r w:rsidRPr="0075151B">
        <w:rPr>
          <w:rStyle w:val="Znakapoznpodarou"/>
        </w:rPr>
        <w:footnoteRef/>
      </w:r>
      <w:r w:rsidRPr="0075151B">
        <w:t xml:space="preserve"> Součástí jsou pozměňovací návrhy k úst</w:t>
      </w:r>
      <w:r>
        <w:t>avním zákonům. Vynechány</w:t>
      </w:r>
      <w:r w:rsidRPr="0075151B">
        <w:t xml:space="preserve"> byly pozměňovací návrhy k legislativě, která nakonec nebyla přijata.</w:t>
      </w:r>
    </w:p>
  </w:footnote>
  <w:footnote w:id="95">
    <w:p w:rsidR="00A70AAB" w:rsidRPr="0075151B" w:rsidRDefault="00A70AAB" w:rsidP="007B549B">
      <w:pPr>
        <w:pStyle w:val="Textpoznpodarou"/>
        <w:jc w:val="both"/>
      </w:pPr>
      <w:r w:rsidRPr="0075151B">
        <w:rPr>
          <w:rStyle w:val="Znakapoznpodarou"/>
        </w:rPr>
        <w:footnoteRef/>
      </w:r>
      <w:r w:rsidRPr="0075151B">
        <w:rPr>
          <w:i/>
        </w:rPr>
        <w:t>Volby do Senátu Parlamentu České republiky 2004</w:t>
      </w:r>
      <w:r w:rsidRPr="0075151B">
        <w:t xml:space="preserve"> </w:t>
      </w:r>
      <w:r w:rsidRPr="0075151B">
        <w:rPr>
          <w:lang w:val="en-US"/>
        </w:rPr>
        <w:t>[online]. ods.cz, [cit. 4. června 2013]. Dostupné na &lt;</w:t>
      </w:r>
      <w:hyperlink r:id="rId33" w:history="1">
        <w:r w:rsidRPr="0075151B">
          <w:rPr>
            <w:rStyle w:val="Hypertextovodkaz"/>
            <w:color w:val="auto"/>
          </w:rPr>
          <w:t>http://www.ods.cz/volebni-vysledky/2004-senatni</w:t>
        </w:r>
      </w:hyperlink>
      <w:r w:rsidRPr="0075151B">
        <w:t xml:space="preserve"> &gt;.   </w:t>
      </w:r>
    </w:p>
  </w:footnote>
  <w:footnote w:id="96">
    <w:p w:rsidR="00A70AAB" w:rsidRPr="0075151B" w:rsidRDefault="00A70AAB" w:rsidP="007B549B">
      <w:pPr>
        <w:pStyle w:val="Textpoznpodarou"/>
        <w:jc w:val="both"/>
      </w:pPr>
      <w:r w:rsidRPr="0075151B">
        <w:rPr>
          <w:rStyle w:val="Znakapoznpodarou"/>
        </w:rPr>
        <w:footnoteRef/>
      </w:r>
      <w:r w:rsidRPr="0075151B">
        <w:t xml:space="preserve"> </w:t>
      </w:r>
      <w:r w:rsidRPr="0075151B">
        <w:rPr>
          <w:i/>
        </w:rPr>
        <w:t>Volby do Senátu Parlamentu České republiky 2008</w:t>
      </w:r>
      <w:r w:rsidRPr="0075151B">
        <w:t xml:space="preserve"> </w:t>
      </w:r>
      <w:r w:rsidRPr="0075151B">
        <w:rPr>
          <w:lang w:val="en-US"/>
        </w:rPr>
        <w:t>[online]. ods.cz, [cit. 4. června 2013]. Dostupné na &lt;</w:t>
      </w:r>
      <w:hyperlink r:id="rId34" w:history="1">
        <w:r w:rsidRPr="0075151B">
          <w:rPr>
            <w:rStyle w:val="Hypertextovodkaz"/>
            <w:color w:val="auto"/>
          </w:rPr>
          <w:t>http://www.ods.cz/volebni-vysledky/2008-senatni</w:t>
        </w:r>
      </w:hyperlink>
      <w:r w:rsidRPr="0075151B">
        <w:t xml:space="preserve">&gt;. </w:t>
      </w:r>
    </w:p>
  </w:footnote>
  <w:footnote w:id="97">
    <w:p w:rsidR="00A70AAB" w:rsidRPr="0075151B" w:rsidRDefault="00A70AAB" w:rsidP="0008123F">
      <w:pPr>
        <w:pStyle w:val="Textpoznpodarou"/>
        <w:jc w:val="both"/>
      </w:pPr>
      <w:r w:rsidRPr="0075151B">
        <w:rPr>
          <w:rStyle w:val="Znakapoznpodarou"/>
        </w:rPr>
        <w:footnoteRef/>
      </w:r>
      <w:r w:rsidRPr="0075151B">
        <w:t xml:space="preserve"> Z celkového přehledu  byly vynechány pozměňovací návrhy k legislativě, která nakonec nebyla přijata.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decimal"/>
      <w:lvlText w:val="%1."/>
      <w:lvlJc w:val="left"/>
      <w:pPr>
        <w:tabs>
          <w:tab w:val="num" w:pos="0"/>
        </w:tabs>
        <w:ind w:left="1080" w:hanging="360"/>
      </w:pPr>
      <w:rPr>
        <w:rFonts w:eastAsia="Calibri"/>
      </w:rPr>
    </w:lvl>
  </w:abstractNum>
  <w:abstractNum w:abstractNumId="1">
    <w:nsid w:val="21822C52"/>
    <w:multiLevelType w:val="hybridMultilevel"/>
    <w:tmpl w:val="91E6A57E"/>
    <w:lvl w:ilvl="0" w:tplc="99A4C07A">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FA2640"/>
    <w:multiLevelType w:val="hybridMultilevel"/>
    <w:tmpl w:val="4D30A90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523101B"/>
    <w:multiLevelType w:val="hybridMultilevel"/>
    <w:tmpl w:val="3548819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36D1C4A"/>
    <w:multiLevelType w:val="hybridMultilevel"/>
    <w:tmpl w:val="104459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F0D5B5B"/>
    <w:multiLevelType w:val="hybridMultilevel"/>
    <w:tmpl w:val="16F2B032"/>
    <w:lvl w:ilvl="0" w:tplc="99A4C07A">
      <w:start w:val="1"/>
      <w:numFmt w:val="decimal"/>
      <w:lvlText w:val="%1."/>
      <w:lvlJc w:val="left"/>
      <w:pPr>
        <w:ind w:left="1080" w:hanging="360"/>
      </w:pPr>
      <w:rPr>
        <w:rFonts w:eastAsiaTheme="minorHAns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56718"/>
    <w:rsid w:val="000011B9"/>
    <w:rsid w:val="00004981"/>
    <w:rsid w:val="00007280"/>
    <w:rsid w:val="00010CFC"/>
    <w:rsid w:val="00013E10"/>
    <w:rsid w:val="00015A43"/>
    <w:rsid w:val="00015D0D"/>
    <w:rsid w:val="000177F2"/>
    <w:rsid w:val="00017DF7"/>
    <w:rsid w:val="000208DE"/>
    <w:rsid w:val="00024E76"/>
    <w:rsid w:val="000257F7"/>
    <w:rsid w:val="000266B6"/>
    <w:rsid w:val="000266FA"/>
    <w:rsid w:val="00031072"/>
    <w:rsid w:val="00032E0F"/>
    <w:rsid w:val="0003343D"/>
    <w:rsid w:val="000345B4"/>
    <w:rsid w:val="00036DDA"/>
    <w:rsid w:val="00037DF5"/>
    <w:rsid w:val="00043324"/>
    <w:rsid w:val="00047DC5"/>
    <w:rsid w:val="00050755"/>
    <w:rsid w:val="000508E1"/>
    <w:rsid w:val="00052C15"/>
    <w:rsid w:val="0005449C"/>
    <w:rsid w:val="000552DA"/>
    <w:rsid w:val="00056C17"/>
    <w:rsid w:val="00063606"/>
    <w:rsid w:val="0006559B"/>
    <w:rsid w:val="00066EAD"/>
    <w:rsid w:val="000713F0"/>
    <w:rsid w:val="00071A7C"/>
    <w:rsid w:val="00074CC4"/>
    <w:rsid w:val="00080504"/>
    <w:rsid w:val="0008123F"/>
    <w:rsid w:val="000828C3"/>
    <w:rsid w:val="0008651E"/>
    <w:rsid w:val="00095910"/>
    <w:rsid w:val="000A01EF"/>
    <w:rsid w:val="000A2F72"/>
    <w:rsid w:val="000A31FA"/>
    <w:rsid w:val="000A5B42"/>
    <w:rsid w:val="000A7111"/>
    <w:rsid w:val="000B1571"/>
    <w:rsid w:val="000B22DD"/>
    <w:rsid w:val="000B49F6"/>
    <w:rsid w:val="000B6F77"/>
    <w:rsid w:val="000B7519"/>
    <w:rsid w:val="000B7F83"/>
    <w:rsid w:val="000C0342"/>
    <w:rsid w:val="000C18BA"/>
    <w:rsid w:val="000C2691"/>
    <w:rsid w:val="000C31A1"/>
    <w:rsid w:val="000C3397"/>
    <w:rsid w:val="000C3880"/>
    <w:rsid w:val="000C78C9"/>
    <w:rsid w:val="000D25C7"/>
    <w:rsid w:val="000D3249"/>
    <w:rsid w:val="000D5018"/>
    <w:rsid w:val="000D6E08"/>
    <w:rsid w:val="000E5DEE"/>
    <w:rsid w:val="000E6B95"/>
    <w:rsid w:val="000E721B"/>
    <w:rsid w:val="000F0E6A"/>
    <w:rsid w:val="000F4F0F"/>
    <w:rsid w:val="00101AB1"/>
    <w:rsid w:val="00103F11"/>
    <w:rsid w:val="001045D3"/>
    <w:rsid w:val="00105639"/>
    <w:rsid w:val="00106705"/>
    <w:rsid w:val="00106DE9"/>
    <w:rsid w:val="00111E57"/>
    <w:rsid w:val="00120F09"/>
    <w:rsid w:val="0012588A"/>
    <w:rsid w:val="00126FD5"/>
    <w:rsid w:val="00127555"/>
    <w:rsid w:val="00130519"/>
    <w:rsid w:val="00131744"/>
    <w:rsid w:val="0013537E"/>
    <w:rsid w:val="00136262"/>
    <w:rsid w:val="0013670C"/>
    <w:rsid w:val="00137438"/>
    <w:rsid w:val="00140665"/>
    <w:rsid w:val="00143D68"/>
    <w:rsid w:val="00145E7D"/>
    <w:rsid w:val="0014709A"/>
    <w:rsid w:val="0014799D"/>
    <w:rsid w:val="001517AA"/>
    <w:rsid w:val="00152273"/>
    <w:rsid w:val="0015357D"/>
    <w:rsid w:val="0015712D"/>
    <w:rsid w:val="0016036A"/>
    <w:rsid w:val="00160F28"/>
    <w:rsid w:val="001672FB"/>
    <w:rsid w:val="001673E5"/>
    <w:rsid w:val="00177503"/>
    <w:rsid w:val="001808DC"/>
    <w:rsid w:val="00184AF6"/>
    <w:rsid w:val="001929EA"/>
    <w:rsid w:val="00196E8B"/>
    <w:rsid w:val="0019730B"/>
    <w:rsid w:val="001A27E5"/>
    <w:rsid w:val="001A59F3"/>
    <w:rsid w:val="001A5DB3"/>
    <w:rsid w:val="001A6BA8"/>
    <w:rsid w:val="001A6D9B"/>
    <w:rsid w:val="001B0B1A"/>
    <w:rsid w:val="001B334C"/>
    <w:rsid w:val="001B3980"/>
    <w:rsid w:val="001B4C25"/>
    <w:rsid w:val="001B6214"/>
    <w:rsid w:val="001B6A9D"/>
    <w:rsid w:val="001B7E41"/>
    <w:rsid w:val="001C11FC"/>
    <w:rsid w:val="001C20C2"/>
    <w:rsid w:val="001C5370"/>
    <w:rsid w:val="001C6539"/>
    <w:rsid w:val="001D0C5D"/>
    <w:rsid w:val="001D0E82"/>
    <w:rsid w:val="001D2F9B"/>
    <w:rsid w:val="001D62CF"/>
    <w:rsid w:val="001D69E0"/>
    <w:rsid w:val="001E09A4"/>
    <w:rsid w:val="001E2FA8"/>
    <w:rsid w:val="001E3568"/>
    <w:rsid w:val="001F0F09"/>
    <w:rsid w:val="001F1227"/>
    <w:rsid w:val="001F17EB"/>
    <w:rsid w:val="00201EA5"/>
    <w:rsid w:val="00202866"/>
    <w:rsid w:val="00203A57"/>
    <w:rsid w:val="002072E3"/>
    <w:rsid w:val="002113FA"/>
    <w:rsid w:val="00212C7A"/>
    <w:rsid w:val="0021313A"/>
    <w:rsid w:val="002144B0"/>
    <w:rsid w:val="00215DCF"/>
    <w:rsid w:val="00216438"/>
    <w:rsid w:val="00220DC8"/>
    <w:rsid w:val="00225218"/>
    <w:rsid w:val="002265EE"/>
    <w:rsid w:val="00227DCB"/>
    <w:rsid w:val="00230AC1"/>
    <w:rsid w:val="0023328E"/>
    <w:rsid w:val="00233CB5"/>
    <w:rsid w:val="00237F90"/>
    <w:rsid w:val="00240814"/>
    <w:rsid w:val="0024221D"/>
    <w:rsid w:val="0024240E"/>
    <w:rsid w:val="00242461"/>
    <w:rsid w:val="00242835"/>
    <w:rsid w:val="00243ABF"/>
    <w:rsid w:val="00243BBC"/>
    <w:rsid w:val="00252EBF"/>
    <w:rsid w:val="0025733C"/>
    <w:rsid w:val="002573C4"/>
    <w:rsid w:val="002579AE"/>
    <w:rsid w:val="002607F3"/>
    <w:rsid w:val="002637A9"/>
    <w:rsid w:val="00265145"/>
    <w:rsid w:val="002661D6"/>
    <w:rsid w:val="00267494"/>
    <w:rsid w:val="00267AB1"/>
    <w:rsid w:val="00267ABA"/>
    <w:rsid w:val="002727A2"/>
    <w:rsid w:val="00273044"/>
    <w:rsid w:val="00273C92"/>
    <w:rsid w:val="00275923"/>
    <w:rsid w:val="00276C1C"/>
    <w:rsid w:val="00280DEE"/>
    <w:rsid w:val="00285746"/>
    <w:rsid w:val="00292D3E"/>
    <w:rsid w:val="0029635A"/>
    <w:rsid w:val="002A0CC6"/>
    <w:rsid w:val="002A150F"/>
    <w:rsid w:val="002A3932"/>
    <w:rsid w:val="002B18F4"/>
    <w:rsid w:val="002B2185"/>
    <w:rsid w:val="002B70CE"/>
    <w:rsid w:val="002C45C9"/>
    <w:rsid w:val="002C75C2"/>
    <w:rsid w:val="002D15E6"/>
    <w:rsid w:val="002D58CE"/>
    <w:rsid w:val="002E0366"/>
    <w:rsid w:val="002E1DED"/>
    <w:rsid w:val="002E24AA"/>
    <w:rsid w:val="002E3E7E"/>
    <w:rsid w:val="002E61C3"/>
    <w:rsid w:val="002E6C69"/>
    <w:rsid w:val="002E771E"/>
    <w:rsid w:val="002E7822"/>
    <w:rsid w:val="002F03CF"/>
    <w:rsid w:val="002F128E"/>
    <w:rsid w:val="002F1FC0"/>
    <w:rsid w:val="002F2751"/>
    <w:rsid w:val="002F787E"/>
    <w:rsid w:val="0030034E"/>
    <w:rsid w:val="003032FB"/>
    <w:rsid w:val="00321EB3"/>
    <w:rsid w:val="003276B8"/>
    <w:rsid w:val="003301CC"/>
    <w:rsid w:val="00330BA9"/>
    <w:rsid w:val="00332D6A"/>
    <w:rsid w:val="0033307B"/>
    <w:rsid w:val="00334EF0"/>
    <w:rsid w:val="0033510A"/>
    <w:rsid w:val="0033740C"/>
    <w:rsid w:val="00344070"/>
    <w:rsid w:val="003506B7"/>
    <w:rsid w:val="003524C5"/>
    <w:rsid w:val="003535C4"/>
    <w:rsid w:val="00356579"/>
    <w:rsid w:val="00363D24"/>
    <w:rsid w:val="00367406"/>
    <w:rsid w:val="00367B34"/>
    <w:rsid w:val="00371FD9"/>
    <w:rsid w:val="003734FA"/>
    <w:rsid w:val="00375158"/>
    <w:rsid w:val="0037701D"/>
    <w:rsid w:val="0038519D"/>
    <w:rsid w:val="0038526D"/>
    <w:rsid w:val="00390F33"/>
    <w:rsid w:val="003914E5"/>
    <w:rsid w:val="003923EC"/>
    <w:rsid w:val="003949CF"/>
    <w:rsid w:val="003953BB"/>
    <w:rsid w:val="003961E8"/>
    <w:rsid w:val="003A01BE"/>
    <w:rsid w:val="003A0CC8"/>
    <w:rsid w:val="003A283B"/>
    <w:rsid w:val="003A2CF3"/>
    <w:rsid w:val="003A2E51"/>
    <w:rsid w:val="003A7543"/>
    <w:rsid w:val="003B09FB"/>
    <w:rsid w:val="003B290C"/>
    <w:rsid w:val="003D1A69"/>
    <w:rsid w:val="003D201D"/>
    <w:rsid w:val="003D60EB"/>
    <w:rsid w:val="003E491E"/>
    <w:rsid w:val="003F038D"/>
    <w:rsid w:val="003F2602"/>
    <w:rsid w:val="003F4390"/>
    <w:rsid w:val="003F6981"/>
    <w:rsid w:val="003F6C3B"/>
    <w:rsid w:val="004025AB"/>
    <w:rsid w:val="00412859"/>
    <w:rsid w:val="004174AE"/>
    <w:rsid w:val="00423BCE"/>
    <w:rsid w:val="00431983"/>
    <w:rsid w:val="00432045"/>
    <w:rsid w:val="00433781"/>
    <w:rsid w:val="004350A6"/>
    <w:rsid w:val="004422D5"/>
    <w:rsid w:val="00442E88"/>
    <w:rsid w:val="0044304A"/>
    <w:rsid w:val="004440A2"/>
    <w:rsid w:val="00445DE7"/>
    <w:rsid w:val="004508BD"/>
    <w:rsid w:val="00452316"/>
    <w:rsid w:val="00454A1A"/>
    <w:rsid w:val="004566BD"/>
    <w:rsid w:val="00456FA3"/>
    <w:rsid w:val="00457BB1"/>
    <w:rsid w:val="004665C6"/>
    <w:rsid w:val="00466F50"/>
    <w:rsid w:val="00475B6B"/>
    <w:rsid w:val="00481747"/>
    <w:rsid w:val="00482084"/>
    <w:rsid w:val="00483059"/>
    <w:rsid w:val="00486042"/>
    <w:rsid w:val="00487354"/>
    <w:rsid w:val="00487570"/>
    <w:rsid w:val="00490436"/>
    <w:rsid w:val="004905DA"/>
    <w:rsid w:val="00490F59"/>
    <w:rsid w:val="004A1964"/>
    <w:rsid w:val="004A4D04"/>
    <w:rsid w:val="004B2922"/>
    <w:rsid w:val="004B33EC"/>
    <w:rsid w:val="004B517D"/>
    <w:rsid w:val="004C1CF4"/>
    <w:rsid w:val="004C33FF"/>
    <w:rsid w:val="004C4881"/>
    <w:rsid w:val="004C626E"/>
    <w:rsid w:val="004C673D"/>
    <w:rsid w:val="004D1DC7"/>
    <w:rsid w:val="004D36B7"/>
    <w:rsid w:val="004D5246"/>
    <w:rsid w:val="004D7942"/>
    <w:rsid w:val="004E2457"/>
    <w:rsid w:val="004E3250"/>
    <w:rsid w:val="004E35D9"/>
    <w:rsid w:val="004E4BDD"/>
    <w:rsid w:val="004E5460"/>
    <w:rsid w:val="004E6BC2"/>
    <w:rsid w:val="004F3A28"/>
    <w:rsid w:val="00502ABF"/>
    <w:rsid w:val="00503F1C"/>
    <w:rsid w:val="00507D2F"/>
    <w:rsid w:val="00513909"/>
    <w:rsid w:val="00517004"/>
    <w:rsid w:val="00520519"/>
    <w:rsid w:val="00520D7F"/>
    <w:rsid w:val="00522CC8"/>
    <w:rsid w:val="00522E8B"/>
    <w:rsid w:val="005231B9"/>
    <w:rsid w:val="00524539"/>
    <w:rsid w:val="00525EE1"/>
    <w:rsid w:val="00527C39"/>
    <w:rsid w:val="005308C5"/>
    <w:rsid w:val="00532614"/>
    <w:rsid w:val="0053353C"/>
    <w:rsid w:val="0054427B"/>
    <w:rsid w:val="00544292"/>
    <w:rsid w:val="005444C1"/>
    <w:rsid w:val="00556EC2"/>
    <w:rsid w:val="00562A12"/>
    <w:rsid w:val="00562AEB"/>
    <w:rsid w:val="005639FC"/>
    <w:rsid w:val="00564459"/>
    <w:rsid w:val="00567341"/>
    <w:rsid w:val="00567A0C"/>
    <w:rsid w:val="005716A1"/>
    <w:rsid w:val="00572FD7"/>
    <w:rsid w:val="00574151"/>
    <w:rsid w:val="0058034E"/>
    <w:rsid w:val="00581267"/>
    <w:rsid w:val="00587457"/>
    <w:rsid w:val="005900B0"/>
    <w:rsid w:val="00592AB9"/>
    <w:rsid w:val="005959D1"/>
    <w:rsid w:val="005A1200"/>
    <w:rsid w:val="005B2D05"/>
    <w:rsid w:val="005B436C"/>
    <w:rsid w:val="005B46E7"/>
    <w:rsid w:val="005B6758"/>
    <w:rsid w:val="005C3814"/>
    <w:rsid w:val="005C57D1"/>
    <w:rsid w:val="005C6A3F"/>
    <w:rsid w:val="005D253F"/>
    <w:rsid w:val="005D4957"/>
    <w:rsid w:val="005D4A34"/>
    <w:rsid w:val="005E1CF1"/>
    <w:rsid w:val="005E4484"/>
    <w:rsid w:val="005E4899"/>
    <w:rsid w:val="005E58EC"/>
    <w:rsid w:val="005E5BA8"/>
    <w:rsid w:val="005E684E"/>
    <w:rsid w:val="005E68E6"/>
    <w:rsid w:val="005E7D00"/>
    <w:rsid w:val="005F05A4"/>
    <w:rsid w:val="005F1488"/>
    <w:rsid w:val="005F2225"/>
    <w:rsid w:val="005F4202"/>
    <w:rsid w:val="005F4767"/>
    <w:rsid w:val="005F697E"/>
    <w:rsid w:val="005F69D3"/>
    <w:rsid w:val="00602C48"/>
    <w:rsid w:val="00603BE5"/>
    <w:rsid w:val="00604F53"/>
    <w:rsid w:val="00606482"/>
    <w:rsid w:val="00616978"/>
    <w:rsid w:val="0061775B"/>
    <w:rsid w:val="0062117F"/>
    <w:rsid w:val="00621E8E"/>
    <w:rsid w:val="00622837"/>
    <w:rsid w:val="00623721"/>
    <w:rsid w:val="00624473"/>
    <w:rsid w:val="00625AC2"/>
    <w:rsid w:val="00626DD8"/>
    <w:rsid w:val="00627430"/>
    <w:rsid w:val="0063056D"/>
    <w:rsid w:val="00631B4B"/>
    <w:rsid w:val="00632C86"/>
    <w:rsid w:val="0063341B"/>
    <w:rsid w:val="00635308"/>
    <w:rsid w:val="00640DA9"/>
    <w:rsid w:val="006419BB"/>
    <w:rsid w:val="006508F6"/>
    <w:rsid w:val="0065198D"/>
    <w:rsid w:val="00652565"/>
    <w:rsid w:val="00653798"/>
    <w:rsid w:val="00653FA7"/>
    <w:rsid w:val="006543C7"/>
    <w:rsid w:val="00654A48"/>
    <w:rsid w:val="0065529C"/>
    <w:rsid w:val="00655AA7"/>
    <w:rsid w:val="006573AD"/>
    <w:rsid w:val="00665CFA"/>
    <w:rsid w:val="006668FA"/>
    <w:rsid w:val="00673CC2"/>
    <w:rsid w:val="00674ACB"/>
    <w:rsid w:val="006757FB"/>
    <w:rsid w:val="006758E2"/>
    <w:rsid w:val="0067783D"/>
    <w:rsid w:val="00683618"/>
    <w:rsid w:val="00683E3E"/>
    <w:rsid w:val="00685CCB"/>
    <w:rsid w:val="0068609A"/>
    <w:rsid w:val="0068761A"/>
    <w:rsid w:val="00687A7A"/>
    <w:rsid w:val="006932A1"/>
    <w:rsid w:val="00695801"/>
    <w:rsid w:val="006A068D"/>
    <w:rsid w:val="006A2462"/>
    <w:rsid w:val="006A27AF"/>
    <w:rsid w:val="006A2CCD"/>
    <w:rsid w:val="006B0472"/>
    <w:rsid w:val="006B2A09"/>
    <w:rsid w:val="006B345C"/>
    <w:rsid w:val="006B3893"/>
    <w:rsid w:val="006B6932"/>
    <w:rsid w:val="006B7E4F"/>
    <w:rsid w:val="006C2442"/>
    <w:rsid w:val="006C2B35"/>
    <w:rsid w:val="006C3694"/>
    <w:rsid w:val="006C4D76"/>
    <w:rsid w:val="006C6C83"/>
    <w:rsid w:val="006D54AA"/>
    <w:rsid w:val="006D58A2"/>
    <w:rsid w:val="006D61A7"/>
    <w:rsid w:val="006E4B50"/>
    <w:rsid w:val="006E66FF"/>
    <w:rsid w:val="006F71A0"/>
    <w:rsid w:val="007002A3"/>
    <w:rsid w:val="00703A35"/>
    <w:rsid w:val="00703A96"/>
    <w:rsid w:val="00704858"/>
    <w:rsid w:val="007067F8"/>
    <w:rsid w:val="0071038C"/>
    <w:rsid w:val="0071317E"/>
    <w:rsid w:val="00714769"/>
    <w:rsid w:val="00714AD9"/>
    <w:rsid w:val="0072063B"/>
    <w:rsid w:val="0072146E"/>
    <w:rsid w:val="0072336B"/>
    <w:rsid w:val="007244FA"/>
    <w:rsid w:val="00725236"/>
    <w:rsid w:val="00725897"/>
    <w:rsid w:val="007324FC"/>
    <w:rsid w:val="00732546"/>
    <w:rsid w:val="0073312F"/>
    <w:rsid w:val="00736574"/>
    <w:rsid w:val="007375AB"/>
    <w:rsid w:val="007409EE"/>
    <w:rsid w:val="00740D09"/>
    <w:rsid w:val="00741437"/>
    <w:rsid w:val="00742860"/>
    <w:rsid w:val="007428F3"/>
    <w:rsid w:val="00744870"/>
    <w:rsid w:val="00746775"/>
    <w:rsid w:val="0074701B"/>
    <w:rsid w:val="00747173"/>
    <w:rsid w:val="0075151B"/>
    <w:rsid w:val="007571ED"/>
    <w:rsid w:val="00757B40"/>
    <w:rsid w:val="0076032B"/>
    <w:rsid w:val="0076084E"/>
    <w:rsid w:val="00762C7C"/>
    <w:rsid w:val="00765A47"/>
    <w:rsid w:val="00767A02"/>
    <w:rsid w:val="00770C46"/>
    <w:rsid w:val="007726C0"/>
    <w:rsid w:val="00773ED6"/>
    <w:rsid w:val="007769A2"/>
    <w:rsid w:val="00783D07"/>
    <w:rsid w:val="007842F8"/>
    <w:rsid w:val="00785E0A"/>
    <w:rsid w:val="00787898"/>
    <w:rsid w:val="0079054A"/>
    <w:rsid w:val="00790623"/>
    <w:rsid w:val="00790913"/>
    <w:rsid w:val="00790E95"/>
    <w:rsid w:val="00795F26"/>
    <w:rsid w:val="00796967"/>
    <w:rsid w:val="00796A64"/>
    <w:rsid w:val="00796BFE"/>
    <w:rsid w:val="00796C15"/>
    <w:rsid w:val="007A10C2"/>
    <w:rsid w:val="007A3404"/>
    <w:rsid w:val="007A474C"/>
    <w:rsid w:val="007A5323"/>
    <w:rsid w:val="007A782D"/>
    <w:rsid w:val="007B0039"/>
    <w:rsid w:val="007B1082"/>
    <w:rsid w:val="007B216D"/>
    <w:rsid w:val="007B2C07"/>
    <w:rsid w:val="007B549B"/>
    <w:rsid w:val="007B6F62"/>
    <w:rsid w:val="007B71BE"/>
    <w:rsid w:val="007B776C"/>
    <w:rsid w:val="007C0116"/>
    <w:rsid w:val="007C3625"/>
    <w:rsid w:val="007C4326"/>
    <w:rsid w:val="007D3853"/>
    <w:rsid w:val="007D3A62"/>
    <w:rsid w:val="007E3FDA"/>
    <w:rsid w:val="007E57E5"/>
    <w:rsid w:val="007E7BD6"/>
    <w:rsid w:val="007F1314"/>
    <w:rsid w:val="007F1BCB"/>
    <w:rsid w:val="007F24E2"/>
    <w:rsid w:val="007F2561"/>
    <w:rsid w:val="007F364D"/>
    <w:rsid w:val="007F4AF6"/>
    <w:rsid w:val="00800997"/>
    <w:rsid w:val="00805743"/>
    <w:rsid w:val="00805964"/>
    <w:rsid w:val="00805E67"/>
    <w:rsid w:val="00805F56"/>
    <w:rsid w:val="00806CCD"/>
    <w:rsid w:val="00806EFC"/>
    <w:rsid w:val="00810F47"/>
    <w:rsid w:val="008120E7"/>
    <w:rsid w:val="00813F00"/>
    <w:rsid w:val="00815BF3"/>
    <w:rsid w:val="00815C7B"/>
    <w:rsid w:val="0081714E"/>
    <w:rsid w:val="00821F57"/>
    <w:rsid w:val="00822D1F"/>
    <w:rsid w:val="00822D4C"/>
    <w:rsid w:val="0082380C"/>
    <w:rsid w:val="00827712"/>
    <w:rsid w:val="00827A7A"/>
    <w:rsid w:val="0083097E"/>
    <w:rsid w:val="00831987"/>
    <w:rsid w:val="00833265"/>
    <w:rsid w:val="00834C06"/>
    <w:rsid w:val="008351D4"/>
    <w:rsid w:val="0084287F"/>
    <w:rsid w:val="00843CF9"/>
    <w:rsid w:val="00844514"/>
    <w:rsid w:val="008525D2"/>
    <w:rsid w:val="00855540"/>
    <w:rsid w:val="008556AC"/>
    <w:rsid w:val="00855D15"/>
    <w:rsid w:val="0086625F"/>
    <w:rsid w:val="0086639A"/>
    <w:rsid w:val="0086730D"/>
    <w:rsid w:val="008704C5"/>
    <w:rsid w:val="00873457"/>
    <w:rsid w:val="00875755"/>
    <w:rsid w:val="00876A89"/>
    <w:rsid w:val="00876FB7"/>
    <w:rsid w:val="008830E5"/>
    <w:rsid w:val="00884F17"/>
    <w:rsid w:val="00885CC4"/>
    <w:rsid w:val="008866B8"/>
    <w:rsid w:val="00886EA1"/>
    <w:rsid w:val="00896018"/>
    <w:rsid w:val="00897E6E"/>
    <w:rsid w:val="008A2FE7"/>
    <w:rsid w:val="008A4ADA"/>
    <w:rsid w:val="008A645A"/>
    <w:rsid w:val="008A6E80"/>
    <w:rsid w:val="008A6F3C"/>
    <w:rsid w:val="008A7721"/>
    <w:rsid w:val="008B30FE"/>
    <w:rsid w:val="008B3352"/>
    <w:rsid w:val="008B41EE"/>
    <w:rsid w:val="008B6AC9"/>
    <w:rsid w:val="008B7869"/>
    <w:rsid w:val="008C3F3F"/>
    <w:rsid w:val="008C4C03"/>
    <w:rsid w:val="008C4E7F"/>
    <w:rsid w:val="008C5633"/>
    <w:rsid w:val="008C7342"/>
    <w:rsid w:val="008C7BB6"/>
    <w:rsid w:val="008D0CD8"/>
    <w:rsid w:val="008D10EC"/>
    <w:rsid w:val="008D35EE"/>
    <w:rsid w:val="008D3A6D"/>
    <w:rsid w:val="008E005B"/>
    <w:rsid w:val="008E179C"/>
    <w:rsid w:val="008E277A"/>
    <w:rsid w:val="008E4515"/>
    <w:rsid w:val="008E602A"/>
    <w:rsid w:val="008E75EF"/>
    <w:rsid w:val="008F1DF8"/>
    <w:rsid w:val="008F35E5"/>
    <w:rsid w:val="00903A88"/>
    <w:rsid w:val="00903EC2"/>
    <w:rsid w:val="00911277"/>
    <w:rsid w:val="00914395"/>
    <w:rsid w:val="00915184"/>
    <w:rsid w:val="00924017"/>
    <w:rsid w:val="009266C5"/>
    <w:rsid w:val="00927DBD"/>
    <w:rsid w:val="00930E6A"/>
    <w:rsid w:val="009322CD"/>
    <w:rsid w:val="00951BCA"/>
    <w:rsid w:val="00952ADC"/>
    <w:rsid w:val="0095784B"/>
    <w:rsid w:val="00962308"/>
    <w:rsid w:val="00962AF7"/>
    <w:rsid w:val="00962E7F"/>
    <w:rsid w:val="009649CC"/>
    <w:rsid w:val="00965CC7"/>
    <w:rsid w:val="00965FFB"/>
    <w:rsid w:val="009667C4"/>
    <w:rsid w:val="009675FB"/>
    <w:rsid w:val="00967F4F"/>
    <w:rsid w:val="00971E54"/>
    <w:rsid w:val="00975585"/>
    <w:rsid w:val="00984869"/>
    <w:rsid w:val="00985733"/>
    <w:rsid w:val="00986A31"/>
    <w:rsid w:val="009872E5"/>
    <w:rsid w:val="00994B54"/>
    <w:rsid w:val="00994C9F"/>
    <w:rsid w:val="00997A4B"/>
    <w:rsid w:val="009A04F9"/>
    <w:rsid w:val="009A07BA"/>
    <w:rsid w:val="009A2541"/>
    <w:rsid w:val="009A265E"/>
    <w:rsid w:val="009A301D"/>
    <w:rsid w:val="009A3041"/>
    <w:rsid w:val="009A3E61"/>
    <w:rsid w:val="009A4318"/>
    <w:rsid w:val="009A525F"/>
    <w:rsid w:val="009B1C72"/>
    <w:rsid w:val="009B305C"/>
    <w:rsid w:val="009B7539"/>
    <w:rsid w:val="009C051C"/>
    <w:rsid w:val="009C0BD2"/>
    <w:rsid w:val="009C1C0E"/>
    <w:rsid w:val="009C287C"/>
    <w:rsid w:val="009C2B59"/>
    <w:rsid w:val="009C35D2"/>
    <w:rsid w:val="009C66C9"/>
    <w:rsid w:val="009D2EC8"/>
    <w:rsid w:val="009D39C4"/>
    <w:rsid w:val="009D4334"/>
    <w:rsid w:val="009D461F"/>
    <w:rsid w:val="009D5507"/>
    <w:rsid w:val="009D5944"/>
    <w:rsid w:val="009D7891"/>
    <w:rsid w:val="009D7B75"/>
    <w:rsid w:val="009E1ED6"/>
    <w:rsid w:val="009E31E7"/>
    <w:rsid w:val="009E3410"/>
    <w:rsid w:val="009E41E6"/>
    <w:rsid w:val="009F3BFC"/>
    <w:rsid w:val="009F4995"/>
    <w:rsid w:val="009F5D8D"/>
    <w:rsid w:val="00A018BF"/>
    <w:rsid w:val="00A03441"/>
    <w:rsid w:val="00A10EB6"/>
    <w:rsid w:val="00A12C85"/>
    <w:rsid w:val="00A12F2B"/>
    <w:rsid w:val="00A1494F"/>
    <w:rsid w:val="00A14CFA"/>
    <w:rsid w:val="00A16DD6"/>
    <w:rsid w:val="00A177DB"/>
    <w:rsid w:val="00A2023A"/>
    <w:rsid w:val="00A226D3"/>
    <w:rsid w:val="00A2640F"/>
    <w:rsid w:val="00A31107"/>
    <w:rsid w:val="00A32FB0"/>
    <w:rsid w:val="00A343E2"/>
    <w:rsid w:val="00A36051"/>
    <w:rsid w:val="00A36FB7"/>
    <w:rsid w:val="00A41FDB"/>
    <w:rsid w:val="00A437D8"/>
    <w:rsid w:val="00A439B5"/>
    <w:rsid w:val="00A443BA"/>
    <w:rsid w:val="00A460DA"/>
    <w:rsid w:val="00A50AE2"/>
    <w:rsid w:val="00A50B22"/>
    <w:rsid w:val="00A52641"/>
    <w:rsid w:val="00A54525"/>
    <w:rsid w:val="00A55C9E"/>
    <w:rsid w:val="00A55EFB"/>
    <w:rsid w:val="00A61841"/>
    <w:rsid w:val="00A675BF"/>
    <w:rsid w:val="00A6798E"/>
    <w:rsid w:val="00A70AAB"/>
    <w:rsid w:val="00A722B1"/>
    <w:rsid w:val="00A7709A"/>
    <w:rsid w:val="00A80AE2"/>
    <w:rsid w:val="00A80E50"/>
    <w:rsid w:val="00A8218B"/>
    <w:rsid w:val="00A8672E"/>
    <w:rsid w:val="00A867B6"/>
    <w:rsid w:val="00A9260B"/>
    <w:rsid w:val="00A94544"/>
    <w:rsid w:val="00A95D37"/>
    <w:rsid w:val="00AA14F0"/>
    <w:rsid w:val="00AA25FA"/>
    <w:rsid w:val="00AA5BDC"/>
    <w:rsid w:val="00AA7512"/>
    <w:rsid w:val="00AA7D63"/>
    <w:rsid w:val="00AB1368"/>
    <w:rsid w:val="00AB2727"/>
    <w:rsid w:val="00AB29A8"/>
    <w:rsid w:val="00AB3A81"/>
    <w:rsid w:val="00AC0B44"/>
    <w:rsid w:val="00AC48E1"/>
    <w:rsid w:val="00AC7A60"/>
    <w:rsid w:val="00AD3BD0"/>
    <w:rsid w:val="00AD6825"/>
    <w:rsid w:val="00AE5A64"/>
    <w:rsid w:val="00AE6175"/>
    <w:rsid w:val="00AF2C35"/>
    <w:rsid w:val="00B06D4C"/>
    <w:rsid w:val="00B07F32"/>
    <w:rsid w:val="00B11D02"/>
    <w:rsid w:val="00B11E94"/>
    <w:rsid w:val="00B123BE"/>
    <w:rsid w:val="00B14AFB"/>
    <w:rsid w:val="00B15637"/>
    <w:rsid w:val="00B22125"/>
    <w:rsid w:val="00B256F0"/>
    <w:rsid w:val="00B267F2"/>
    <w:rsid w:val="00B2700F"/>
    <w:rsid w:val="00B27681"/>
    <w:rsid w:val="00B27BFB"/>
    <w:rsid w:val="00B3376E"/>
    <w:rsid w:val="00B34600"/>
    <w:rsid w:val="00B35477"/>
    <w:rsid w:val="00B36C7A"/>
    <w:rsid w:val="00B41A93"/>
    <w:rsid w:val="00B42B28"/>
    <w:rsid w:val="00B45246"/>
    <w:rsid w:val="00B519C8"/>
    <w:rsid w:val="00B52313"/>
    <w:rsid w:val="00B60869"/>
    <w:rsid w:val="00B624E7"/>
    <w:rsid w:val="00B62CF9"/>
    <w:rsid w:val="00B62DAD"/>
    <w:rsid w:val="00B62FAF"/>
    <w:rsid w:val="00B6582E"/>
    <w:rsid w:val="00B66FE8"/>
    <w:rsid w:val="00B70EBE"/>
    <w:rsid w:val="00B733B1"/>
    <w:rsid w:val="00B75448"/>
    <w:rsid w:val="00B84FBC"/>
    <w:rsid w:val="00B86CF8"/>
    <w:rsid w:val="00B87E11"/>
    <w:rsid w:val="00B94329"/>
    <w:rsid w:val="00BA13EF"/>
    <w:rsid w:val="00BA2710"/>
    <w:rsid w:val="00BA6FEE"/>
    <w:rsid w:val="00BB23A9"/>
    <w:rsid w:val="00BB39C2"/>
    <w:rsid w:val="00BB5C4D"/>
    <w:rsid w:val="00BB7495"/>
    <w:rsid w:val="00BB7775"/>
    <w:rsid w:val="00BC0412"/>
    <w:rsid w:val="00BC57AE"/>
    <w:rsid w:val="00BC7678"/>
    <w:rsid w:val="00BD043E"/>
    <w:rsid w:val="00BD0DCB"/>
    <w:rsid w:val="00BD20CD"/>
    <w:rsid w:val="00BD6185"/>
    <w:rsid w:val="00BE18D5"/>
    <w:rsid w:val="00BE2E26"/>
    <w:rsid w:val="00BE67EC"/>
    <w:rsid w:val="00BE7028"/>
    <w:rsid w:val="00BF4B53"/>
    <w:rsid w:val="00BF5367"/>
    <w:rsid w:val="00BF62B3"/>
    <w:rsid w:val="00BF64E4"/>
    <w:rsid w:val="00C037BC"/>
    <w:rsid w:val="00C04525"/>
    <w:rsid w:val="00C05F86"/>
    <w:rsid w:val="00C061E3"/>
    <w:rsid w:val="00C07827"/>
    <w:rsid w:val="00C07DFF"/>
    <w:rsid w:val="00C07EE2"/>
    <w:rsid w:val="00C17005"/>
    <w:rsid w:val="00C230B0"/>
    <w:rsid w:val="00C25BCA"/>
    <w:rsid w:val="00C27F05"/>
    <w:rsid w:val="00C3124E"/>
    <w:rsid w:val="00C31CAE"/>
    <w:rsid w:val="00C33909"/>
    <w:rsid w:val="00C34B7E"/>
    <w:rsid w:val="00C377DE"/>
    <w:rsid w:val="00C37B7A"/>
    <w:rsid w:val="00C40D50"/>
    <w:rsid w:val="00C434C0"/>
    <w:rsid w:val="00C46069"/>
    <w:rsid w:val="00C47DF2"/>
    <w:rsid w:val="00C5574A"/>
    <w:rsid w:val="00C56384"/>
    <w:rsid w:val="00C56718"/>
    <w:rsid w:val="00C57A6A"/>
    <w:rsid w:val="00C6312B"/>
    <w:rsid w:val="00C63296"/>
    <w:rsid w:val="00C63907"/>
    <w:rsid w:val="00C6793B"/>
    <w:rsid w:val="00C67E5D"/>
    <w:rsid w:val="00C712E0"/>
    <w:rsid w:val="00C73DEB"/>
    <w:rsid w:val="00C75C66"/>
    <w:rsid w:val="00C82840"/>
    <w:rsid w:val="00C84AF4"/>
    <w:rsid w:val="00C90A55"/>
    <w:rsid w:val="00C9109D"/>
    <w:rsid w:val="00C93CA8"/>
    <w:rsid w:val="00C955E8"/>
    <w:rsid w:val="00C96E7C"/>
    <w:rsid w:val="00C97845"/>
    <w:rsid w:val="00CA0D6C"/>
    <w:rsid w:val="00CA7054"/>
    <w:rsid w:val="00CB1F07"/>
    <w:rsid w:val="00CB2000"/>
    <w:rsid w:val="00CB359B"/>
    <w:rsid w:val="00CB74D0"/>
    <w:rsid w:val="00CC6A91"/>
    <w:rsid w:val="00CC70D8"/>
    <w:rsid w:val="00CD15A1"/>
    <w:rsid w:val="00CD3E6C"/>
    <w:rsid w:val="00CD4930"/>
    <w:rsid w:val="00CE0AB7"/>
    <w:rsid w:val="00CE2FB2"/>
    <w:rsid w:val="00CF434D"/>
    <w:rsid w:val="00CF463B"/>
    <w:rsid w:val="00CF4F3B"/>
    <w:rsid w:val="00CF56F5"/>
    <w:rsid w:val="00CF60D1"/>
    <w:rsid w:val="00D06937"/>
    <w:rsid w:val="00D13842"/>
    <w:rsid w:val="00D15376"/>
    <w:rsid w:val="00D2407E"/>
    <w:rsid w:val="00D24ED3"/>
    <w:rsid w:val="00D26F7A"/>
    <w:rsid w:val="00D27C7F"/>
    <w:rsid w:val="00D308B8"/>
    <w:rsid w:val="00D343C1"/>
    <w:rsid w:val="00D36421"/>
    <w:rsid w:val="00D36F37"/>
    <w:rsid w:val="00D3732E"/>
    <w:rsid w:val="00D40C9B"/>
    <w:rsid w:val="00D42A3A"/>
    <w:rsid w:val="00D44579"/>
    <w:rsid w:val="00D465E7"/>
    <w:rsid w:val="00D51AAC"/>
    <w:rsid w:val="00D51F62"/>
    <w:rsid w:val="00D537B2"/>
    <w:rsid w:val="00D54E83"/>
    <w:rsid w:val="00D5660D"/>
    <w:rsid w:val="00D57435"/>
    <w:rsid w:val="00D62DD9"/>
    <w:rsid w:val="00D649D4"/>
    <w:rsid w:val="00D656F4"/>
    <w:rsid w:val="00D674E9"/>
    <w:rsid w:val="00D7190B"/>
    <w:rsid w:val="00D71A8E"/>
    <w:rsid w:val="00D73745"/>
    <w:rsid w:val="00D80C9B"/>
    <w:rsid w:val="00D828E9"/>
    <w:rsid w:val="00D859D2"/>
    <w:rsid w:val="00D862CE"/>
    <w:rsid w:val="00D863FE"/>
    <w:rsid w:val="00D868C0"/>
    <w:rsid w:val="00D87D17"/>
    <w:rsid w:val="00D92B28"/>
    <w:rsid w:val="00D93831"/>
    <w:rsid w:val="00D972E2"/>
    <w:rsid w:val="00DA08D9"/>
    <w:rsid w:val="00DA1D34"/>
    <w:rsid w:val="00DA24C2"/>
    <w:rsid w:val="00DA61C4"/>
    <w:rsid w:val="00DB7F83"/>
    <w:rsid w:val="00DC09EF"/>
    <w:rsid w:val="00DC2678"/>
    <w:rsid w:val="00DC2A35"/>
    <w:rsid w:val="00DC4E69"/>
    <w:rsid w:val="00DC7239"/>
    <w:rsid w:val="00DC7D47"/>
    <w:rsid w:val="00DD08B6"/>
    <w:rsid w:val="00DD3878"/>
    <w:rsid w:val="00DD4424"/>
    <w:rsid w:val="00DE07DF"/>
    <w:rsid w:val="00DE3D56"/>
    <w:rsid w:val="00DE40E5"/>
    <w:rsid w:val="00DE6161"/>
    <w:rsid w:val="00DF33F1"/>
    <w:rsid w:val="00DF7588"/>
    <w:rsid w:val="00E00702"/>
    <w:rsid w:val="00E04560"/>
    <w:rsid w:val="00E04879"/>
    <w:rsid w:val="00E0687B"/>
    <w:rsid w:val="00E06FDA"/>
    <w:rsid w:val="00E11CE4"/>
    <w:rsid w:val="00E142D4"/>
    <w:rsid w:val="00E17964"/>
    <w:rsid w:val="00E2055F"/>
    <w:rsid w:val="00E2214B"/>
    <w:rsid w:val="00E233F0"/>
    <w:rsid w:val="00E23E86"/>
    <w:rsid w:val="00E258C3"/>
    <w:rsid w:val="00E27903"/>
    <w:rsid w:val="00E318B8"/>
    <w:rsid w:val="00E40FC6"/>
    <w:rsid w:val="00E41B6A"/>
    <w:rsid w:val="00E43189"/>
    <w:rsid w:val="00E431A4"/>
    <w:rsid w:val="00E45D11"/>
    <w:rsid w:val="00E50000"/>
    <w:rsid w:val="00E53113"/>
    <w:rsid w:val="00E55AC3"/>
    <w:rsid w:val="00E560B0"/>
    <w:rsid w:val="00E56269"/>
    <w:rsid w:val="00E57C2D"/>
    <w:rsid w:val="00E615C8"/>
    <w:rsid w:val="00E621F2"/>
    <w:rsid w:val="00E62E4D"/>
    <w:rsid w:val="00E631E9"/>
    <w:rsid w:val="00E63E7C"/>
    <w:rsid w:val="00E64554"/>
    <w:rsid w:val="00E64680"/>
    <w:rsid w:val="00E65705"/>
    <w:rsid w:val="00E66CCB"/>
    <w:rsid w:val="00E71CB7"/>
    <w:rsid w:val="00E73501"/>
    <w:rsid w:val="00E73719"/>
    <w:rsid w:val="00E73D0D"/>
    <w:rsid w:val="00E773C4"/>
    <w:rsid w:val="00E77E93"/>
    <w:rsid w:val="00E814A8"/>
    <w:rsid w:val="00E81778"/>
    <w:rsid w:val="00E820C1"/>
    <w:rsid w:val="00E843A4"/>
    <w:rsid w:val="00E851F2"/>
    <w:rsid w:val="00E87374"/>
    <w:rsid w:val="00E8766F"/>
    <w:rsid w:val="00E91CC8"/>
    <w:rsid w:val="00E930E6"/>
    <w:rsid w:val="00E94C7C"/>
    <w:rsid w:val="00EA23FB"/>
    <w:rsid w:val="00EA3B08"/>
    <w:rsid w:val="00EA670D"/>
    <w:rsid w:val="00EA6AA1"/>
    <w:rsid w:val="00EA6D49"/>
    <w:rsid w:val="00EB3F50"/>
    <w:rsid w:val="00EC00EA"/>
    <w:rsid w:val="00EC5729"/>
    <w:rsid w:val="00EC6317"/>
    <w:rsid w:val="00EC68A5"/>
    <w:rsid w:val="00EC7D34"/>
    <w:rsid w:val="00ED1A21"/>
    <w:rsid w:val="00ED2697"/>
    <w:rsid w:val="00ED347B"/>
    <w:rsid w:val="00ED5553"/>
    <w:rsid w:val="00ED7188"/>
    <w:rsid w:val="00EE0E25"/>
    <w:rsid w:val="00EE19CE"/>
    <w:rsid w:val="00EE2270"/>
    <w:rsid w:val="00EE2ECE"/>
    <w:rsid w:val="00EE3CF2"/>
    <w:rsid w:val="00EE3EBE"/>
    <w:rsid w:val="00EE58B6"/>
    <w:rsid w:val="00EE5E45"/>
    <w:rsid w:val="00EE7DFE"/>
    <w:rsid w:val="00EF2079"/>
    <w:rsid w:val="00EF268B"/>
    <w:rsid w:val="00EF33D2"/>
    <w:rsid w:val="00EF5543"/>
    <w:rsid w:val="00F0009E"/>
    <w:rsid w:val="00F00AA3"/>
    <w:rsid w:val="00F03F55"/>
    <w:rsid w:val="00F07250"/>
    <w:rsid w:val="00F10B78"/>
    <w:rsid w:val="00F12451"/>
    <w:rsid w:val="00F14661"/>
    <w:rsid w:val="00F223F2"/>
    <w:rsid w:val="00F24FD8"/>
    <w:rsid w:val="00F261EA"/>
    <w:rsid w:val="00F32F23"/>
    <w:rsid w:val="00F34A18"/>
    <w:rsid w:val="00F42EA2"/>
    <w:rsid w:val="00F44D15"/>
    <w:rsid w:val="00F50214"/>
    <w:rsid w:val="00F51BDB"/>
    <w:rsid w:val="00F535F7"/>
    <w:rsid w:val="00F54977"/>
    <w:rsid w:val="00F5593E"/>
    <w:rsid w:val="00F5718F"/>
    <w:rsid w:val="00F61A6D"/>
    <w:rsid w:val="00F62E9F"/>
    <w:rsid w:val="00F62F01"/>
    <w:rsid w:val="00F62F6D"/>
    <w:rsid w:val="00F63F22"/>
    <w:rsid w:val="00F708C5"/>
    <w:rsid w:val="00F71403"/>
    <w:rsid w:val="00F71FF3"/>
    <w:rsid w:val="00F72468"/>
    <w:rsid w:val="00F72EF1"/>
    <w:rsid w:val="00F73A50"/>
    <w:rsid w:val="00F76221"/>
    <w:rsid w:val="00F76C83"/>
    <w:rsid w:val="00F76DBE"/>
    <w:rsid w:val="00F8185E"/>
    <w:rsid w:val="00F83600"/>
    <w:rsid w:val="00F84CFD"/>
    <w:rsid w:val="00F86E2C"/>
    <w:rsid w:val="00F87B13"/>
    <w:rsid w:val="00F92C4F"/>
    <w:rsid w:val="00F931C2"/>
    <w:rsid w:val="00F9351F"/>
    <w:rsid w:val="00F9464E"/>
    <w:rsid w:val="00F94881"/>
    <w:rsid w:val="00F96F82"/>
    <w:rsid w:val="00F9754C"/>
    <w:rsid w:val="00FA072C"/>
    <w:rsid w:val="00FA68C1"/>
    <w:rsid w:val="00FB1D47"/>
    <w:rsid w:val="00FB257E"/>
    <w:rsid w:val="00FB3910"/>
    <w:rsid w:val="00FB5FC6"/>
    <w:rsid w:val="00FB7C9C"/>
    <w:rsid w:val="00FC0C7C"/>
    <w:rsid w:val="00FC269F"/>
    <w:rsid w:val="00FC27C0"/>
    <w:rsid w:val="00FC4143"/>
    <w:rsid w:val="00FC4729"/>
    <w:rsid w:val="00FC4805"/>
    <w:rsid w:val="00FC4F20"/>
    <w:rsid w:val="00FC6E88"/>
    <w:rsid w:val="00FD1197"/>
    <w:rsid w:val="00FD16D2"/>
    <w:rsid w:val="00FD28E9"/>
    <w:rsid w:val="00FD2FE7"/>
    <w:rsid w:val="00FE0E27"/>
    <w:rsid w:val="00FE11D3"/>
    <w:rsid w:val="00FE2340"/>
    <w:rsid w:val="00FE2DA1"/>
    <w:rsid w:val="00FE3114"/>
    <w:rsid w:val="00FE3DBB"/>
    <w:rsid w:val="00FE48D7"/>
    <w:rsid w:val="00FE6B95"/>
    <w:rsid w:val="00FE6C02"/>
    <w:rsid w:val="00FE6F25"/>
    <w:rsid w:val="00FF1269"/>
    <w:rsid w:val="00FF3221"/>
    <w:rsid w:val="00FF42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2CF9"/>
    <w:rPr>
      <w:rFonts w:ascii="Times New Roman" w:hAnsi="Times New Roman"/>
      <w:sz w:val="24"/>
    </w:rPr>
  </w:style>
  <w:style w:type="paragraph" w:styleId="Nadpis1">
    <w:name w:val="heading 1"/>
    <w:basedOn w:val="Normln"/>
    <w:next w:val="Normln"/>
    <w:link w:val="Nadpis1Char"/>
    <w:uiPriority w:val="9"/>
    <w:qFormat/>
    <w:rsid w:val="00B62CF9"/>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62CF9"/>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F50214"/>
    <w:pPr>
      <w:keepNext/>
      <w:keepLines/>
      <w:spacing w:before="200" w:after="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2CF9"/>
    <w:rPr>
      <w:rFonts w:ascii="Times New Roman" w:eastAsiaTheme="majorEastAsia" w:hAnsi="Times New Roman" w:cstheme="majorBidi"/>
      <w:b/>
      <w:bCs/>
      <w:sz w:val="32"/>
      <w:szCs w:val="28"/>
    </w:rPr>
  </w:style>
  <w:style w:type="paragraph" w:styleId="Zhlav">
    <w:name w:val="header"/>
    <w:basedOn w:val="Normln"/>
    <w:link w:val="ZhlavChar"/>
    <w:uiPriority w:val="99"/>
    <w:semiHidden/>
    <w:unhideWhenUsed/>
    <w:rsid w:val="00C5671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56718"/>
  </w:style>
  <w:style w:type="paragraph" w:styleId="Zpat">
    <w:name w:val="footer"/>
    <w:basedOn w:val="Normln"/>
    <w:link w:val="ZpatChar"/>
    <w:unhideWhenUsed/>
    <w:rsid w:val="00C56718"/>
    <w:pPr>
      <w:tabs>
        <w:tab w:val="center" w:pos="4536"/>
        <w:tab w:val="right" w:pos="9072"/>
      </w:tabs>
      <w:spacing w:after="0" w:line="240" w:lineRule="auto"/>
    </w:pPr>
  </w:style>
  <w:style w:type="character" w:customStyle="1" w:styleId="ZpatChar">
    <w:name w:val="Zápatí Char"/>
    <w:basedOn w:val="Standardnpsmoodstavce"/>
    <w:link w:val="Zpat"/>
    <w:uiPriority w:val="99"/>
    <w:rsid w:val="00C56718"/>
  </w:style>
  <w:style w:type="character" w:customStyle="1" w:styleId="Nadpis2Char">
    <w:name w:val="Nadpis 2 Char"/>
    <w:basedOn w:val="Standardnpsmoodstavce"/>
    <w:link w:val="Nadpis2"/>
    <w:uiPriority w:val="9"/>
    <w:rsid w:val="00B62CF9"/>
    <w:rPr>
      <w:rFonts w:ascii="Times New Roman" w:eastAsiaTheme="majorEastAsia" w:hAnsi="Times New Roman" w:cstheme="majorBidi"/>
      <w:b/>
      <w:bCs/>
      <w:sz w:val="28"/>
      <w:szCs w:val="26"/>
    </w:rPr>
  </w:style>
  <w:style w:type="paragraph" w:styleId="Nzev">
    <w:name w:val="Title"/>
    <w:basedOn w:val="Normln"/>
    <w:next w:val="Normln"/>
    <w:link w:val="NzevChar"/>
    <w:uiPriority w:val="10"/>
    <w:qFormat/>
    <w:rsid w:val="00F502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50214"/>
    <w:rPr>
      <w:rFonts w:asciiTheme="majorHAnsi" w:eastAsiaTheme="majorEastAsia" w:hAnsiTheme="majorHAnsi" w:cstheme="majorBidi"/>
      <w:color w:val="17365D" w:themeColor="text2" w:themeShade="BF"/>
      <w:spacing w:val="5"/>
      <w:kern w:val="28"/>
      <w:sz w:val="52"/>
      <w:szCs w:val="52"/>
    </w:rPr>
  </w:style>
  <w:style w:type="character" w:customStyle="1" w:styleId="Nadpis3Char">
    <w:name w:val="Nadpis 3 Char"/>
    <w:basedOn w:val="Standardnpsmoodstavce"/>
    <w:link w:val="Nadpis3"/>
    <w:uiPriority w:val="9"/>
    <w:rsid w:val="00F50214"/>
    <w:rPr>
      <w:rFonts w:ascii="Times New Roman" w:eastAsiaTheme="majorEastAsia" w:hAnsi="Times New Roman" w:cstheme="majorBidi"/>
      <w:b/>
      <w:bCs/>
      <w:sz w:val="24"/>
    </w:rPr>
  </w:style>
  <w:style w:type="paragraph" w:styleId="Textpoznpodarou">
    <w:name w:val="footnote text"/>
    <w:basedOn w:val="Normln"/>
    <w:link w:val="TextpoznpodarouChar"/>
    <w:unhideWhenUsed/>
    <w:rsid w:val="00EE3EBE"/>
    <w:pPr>
      <w:spacing w:after="0" w:line="240" w:lineRule="auto"/>
    </w:pPr>
    <w:rPr>
      <w:sz w:val="20"/>
      <w:szCs w:val="20"/>
    </w:rPr>
  </w:style>
  <w:style w:type="character" w:customStyle="1" w:styleId="TextpoznpodarouChar">
    <w:name w:val="Text pozn. pod čarou Char"/>
    <w:basedOn w:val="Standardnpsmoodstavce"/>
    <w:link w:val="Textpoznpodarou"/>
    <w:semiHidden/>
    <w:rsid w:val="00EE3EBE"/>
    <w:rPr>
      <w:rFonts w:ascii="Times New Roman" w:hAnsi="Times New Roman"/>
      <w:sz w:val="20"/>
      <w:szCs w:val="20"/>
    </w:rPr>
  </w:style>
  <w:style w:type="character" w:styleId="Znakapoznpodarou">
    <w:name w:val="footnote reference"/>
    <w:basedOn w:val="Standardnpsmoodstavce"/>
    <w:semiHidden/>
    <w:unhideWhenUsed/>
    <w:rsid w:val="00EE3EBE"/>
    <w:rPr>
      <w:vertAlign w:val="superscript"/>
    </w:rPr>
  </w:style>
  <w:style w:type="paragraph" w:styleId="Nadpisobsahu">
    <w:name w:val="TOC Heading"/>
    <w:basedOn w:val="Nadpis1"/>
    <w:next w:val="Normln"/>
    <w:uiPriority w:val="39"/>
    <w:semiHidden/>
    <w:unhideWhenUsed/>
    <w:qFormat/>
    <w:rsid w:val="00714AD9"/>
    <w:p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714AD9"/>
    <w:pPr>
      <w:spacing w:after="100"/>
    </w:pPr>
  </w:style>
  <w:style w:type="paragraph" w:styleId="Obsah2">
    <w:name w:val="toc 2"/>
    <w:basedOn w:val="Normln"/>
    <w:next w:val="Normln"/>
    <w:autoRedefine/>
    <w:uiPriority w:val="39"/>
    <w:unhideWhenUsed/>
    <w:rsid w:val="00714AD9"/>
    <w:pPr>
      <w:spacing w:after="100"/>
      <w:ind w:left="240"/>
    </w:pPr>
  </w:style>
  <w:style w:type="paragraph" w:styleId="Obsah3">
    <w:name w:val="toc 3"/>
    <w:basedOn w:val="Normln"/>
    <w:next w:val="Normln"/>
    <w:autoRedefine/>
    <w:uiPriority w:val="39"/>
    <w:unhideWhenUsed/>
    <w:rsid w:val="00714AD9"/>
    <w:pPr>
      <w:spacing w:after="100"/>
      <w:ind w:left="480"/>
    </w:pPr>
  </w:style>
  <w:style w:type="character" w:styleId="Hypertextovodkaz">
    <w:name w:val="Hyperlink"/>
    <w:basedOn w:val="Standardnpsmoodstavce"/>
    <w:uiPriority w:val="99"/>
    <w:unhideWhenUsed/>
    <w:rsid w:val="00714AD9"/>
    <w:rPr>
      <w:color w:val="0000FF" w:themeColor="hyperlink"/>
      <w:u w:val="single"/>
    </w:rPr>
  </w:style>
  <w:style w:type="paragraph" w:styleId="Textbubliny">
    <w:name w:val="Balloon Text"/>
    <w:basedOn w:val="Normln"/>
    <w:link w:val="TextbublinyChar"/>
    <w:uiPriority w:val="99"/>
    <w:semiHidden/>
    <w:unhideWhenUsed/>
    <w:rsid w:val="00714A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4AD9"/>
    <w:rPr>
      <w:rFonts w:ascii="Tahoma" w:hAnsi="Tahoma" w:cs="Tahoma"/>
      <w:sz w:val="16"/>
      <w:szCs w:val="16"/>
    </w:rPr>
  </w:style>
  <w:style w:type="paragraph" w:styleId="Textvysvtlivek">
    <w:name w:val="endnote text"/>
    <w:basedOn w:val="Normln"/>
    <w:link w:val="TextvysvtlivekChar"/>
    <w:uiPriority w:val="99"/>
    <w:semiHidden/>
    <w:unhideWhenUsed/>
    <w:rsid w:val="004566B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566BD"/>
    <w:rPr>
      <w:rFonts w:ascii="Times New Roman" w:hAnsi="Times New Roman"/>
      <w:sz w:val="20"/>
      <w:szCs w:val="20"/>
    </w:rPr>
  </w:style>
  <w:style w:type="character" w:styleId="Odkaznavysvtlivky">
    <w:name w:val="endnote reference"/>
    <w:basedOn w:val="Standardnpsmoodstavce"/>
    <w:uiPriority w:val="99"/>
    <w:semiHidden/>
    <w:unhideWhenUsed/>
    <w:rsid w:val="004566BD"/>
    <w:rPr>
      <w:vertAlign w:val="superscript"/>
    </w:rPr>
  </w:style>
  <w:style w:type="character" w:styleId="Zstupntext">
    <w:name w:val="Placeholder Text"/>
    <w:basedOn w:val="Standardnpsmoodstavce"/>
    <w:uiPriority w:val="99"/>
    <w:semiHidden/>
    <w:rsid w:val="00332D6A"/>
    <w:rPr>
      <w:color w:val="808080"/>
    </w:rPr>
  </w:style>
  <w:style w:type="character" w:styleId="Odkaznakoment">
    <w:name w:val="annotation reference"/>
    <w:basedOn w:val="Standardnpsmoodstavce"/>
    <w:uiPriority w:val="99"/>
    <w:semiHidden/>
    <w:unhideWhenUsed/>
    <w:rsid w:val="003B290C"/>
    <w:rPr>
      <w:sz w:val="16"/>
      <w:szCs w:val="16"/>
    </w:rPr>
  </w:style>
  <w:style w:type="paragraph" w:styleId="Textkomente">
    <w:name w:val="annotation text"/>
    <w:basedOn w:val="Normln"/>
    <w:link w:val="TextkomenteChar"/>
    <w:uiPriority w:val="99"/>
    <w:semiHidden/>
    <w:unhideWhenUsed/>
    <w:rsid w:val="003B290C"/>
    <w:pPr>
      <w:spacing w:line="240" w:lineRule="auto"/>
    </w:pPr>
    <w:rPr>
      <w:sz w:val="20"/>
      <w:szCs w:val="20"/>
    </w:rPr>
  </w:style>
  <w:style w:type="character" w:customStyle="1" w:styleId="TextkomenteChar">
    <w:name w:val="Text komentáře Char"/>
    <w:basedOn w:val="Standardnpsmoodstavce"/>
    <w:link w:val="Textkomente"/>
    <w:uiPriority w:val="99"/>
    <w:semiHidden/>
    <w:rsid w:val="003B290C"/>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3B290C"/>
    <w:rPr>
      <w:b/>
      <w:bCs/>
    </w:rPr>
  </w:style>
  <w:style w:type="character" w:customStyle="1" w:styleId="PedmtkomenteChar">
    <w:name w:val="Předmět komentáře Char"/>
    <w:basedOn w:val="TextkomenteChar"/>
    <w:link w:val="Pedmtkomente"/>
    <w:uiPriority w:val="99"/>
    <w:semiHidden/>
    <w:rsid w:val="003B290C"/>
    <w:rPr>
      <w:b/>
      <w:bCs/>
    </w:rPr>
  </w:style>
  <w:style w:type="table" w:styleId="Mkatabulky">
    <w:name w:val="Table Grid"/>
    <w:basedOn w:val="Normlntabulka"/>
    <w:uiPriority w:val="59"/>
    <w:rsid w:val="00350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tnovnzvraznn2">
    <w:name w:val="Light Shading Accent 2"/>
    <w:basedOn w:val="Normlntabulka"/>
    <w:uiPriority w:val="60"/>
    <w:rsid w:val="003506B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vtlstnovnzvraznn11">
    <w:name w:val="Světlé stínování – zvýraznění 11"/>
    <w:basedOn w:val="Normlntabulka"/>
    <w:uiPriority w:val="60"/>
    <w:rsid w:val="003506B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3">
    <w:name w:val="Light Shading Accent 3"/>
    <w:basedOn w:val="Normlntabulka"/>
    <w:uiPriority w:val="60"/>
    <w:rsid w:val="003506B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5">
    <w:name w:val="Light Shading Accent 5"/>
    <w:basedOn w:val="Normlntabulka"/>
    <w:uiPriority w:val="60"/>
    <w:rsid w:val="003506B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mkazvraznn4">
    <w:name w:val="Light Grid Accent 4"/>
    <w:basedOn w:val="Normlntabulka"/>
    <w:uiPriority w:val="62"/>
    <w:rsid w:val="003506B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3506B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seznamzvraznn6">
    <w:name w:val="Light List Accent 6"/>
    <w:basedOn w:val="Normlntabulka"/>
    <w:uiPriority w:val="61"/>
    <w:rsid w:val="004E32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apple-converted-space">
    <w:name w:val="apple-converted-space"/>
    <w:basedOn w:val="Standardnpsmoodstavce"/>
    <w:rsid w:val="00EC7D34"/>
  </w:style>
  <w:style w:type="table" w:customStyle="1" w:styleId="Svtlmkazvraznn11">
    <w:name w:val="Světlá mřížka – zvýraznění 11"/>
    <w:basedOn w:val="Normlntabulka"/>
    <w:uiPriority w:val="62"/>
    <w:rsid w:val="0012755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ledovanodkaz">
    <w:name w:val="FollowedHyperlink"/>
    <w:basedOn w:val="Standardnpsmoodstavce"/>
    <w:uiPriority w:val="99"/>
    <w:semiHidden/>
    <w:unhideWhenUsed/>
    <w:rsid w:val="000B7F83"/>
    <w:rPr>
      <w:color w:val="800080" w:themeColor="followedHyperlink"/>
      <w:u w:val="single"/>
    </w:rPr>
  </w:style>
  <w:style w:type="paragraph" w:styleId="Odstavecseseznamem">
    <w:name w:val="List Paragraph"/>
    <w:basedOn w:val="Normln"/>
    <w:qFormat/>
    <w:rsid w:val="00813F00"/>
    <w:pPr>
      <w:ind w:left="720"/>
      <w:contextualSpacing/>
    </w:pPr>
  </w:style>
  <w:style w:type="character" w:customStyle="1" w:styleId="FootnoteCharacters">
    <w:name w:val="Footnote Characters"/>
    <w:basedOn w:val="Standardnpsmoodstavce"/>
    <w:rsid w:val="00572FD7"/>
    <w:rPr>
      <w:vertAlign w:val="superscript"/>
    </w:rPr>
  </w:style>
</w:styles>
</file>

<file path=word/webSettings.xml><?xml version="1.0" encoding="utf-8"?>
<w:webSettings xmlns:r="http://schemas.openxmlformats.org/officeDocument/2006/relationships" xmlns:w="http://schemas.openxmlformats.org/wordprocessingml/2006/main">
  <w:divs>
    <w:div w:id="908996604">
      <w:bodyDiv w:val="1"/>
      <w:marLeft w:val="0"/>
      <w:marRight w:val="0"/>
      <w:marTop w:val="0"/>
      <w:marBottom w:val="0"/>
      <w:divBdr>
        <w:top w:val="none" w:sz="0" w:space="0" w:color="auto"/>
        <w:left w:val="none" w:sz="0" w:space="0" w:color="auto"/>
        <w:bottom w:val="none" w:sz="0" w:space="0" w:color="auto"/>
        <w:right w:val="none" w:sz="0" w:space="0" w:color="auto"/>
      </w:divBdr>
    </w:div>
    <w:div w:id="1423407596">
      <w:bodyDiv w:val="1"/>
      <w:marLeft w:val="0"/>
      <w:marRight w:val="0"/>
      <w:marTop w:val="0"/>
      <w:marBottom w:val="0"/>
      <w:divBdr>
        <w:top w:val="none" w:sz="0" w:space="0" w:color="auto"/>
        <w:left w:val="none" w:sz="0" w:space="0" w:color="auto"/>
        <w:bottom w:val="none" w:sz="0" w:space="0" w:color="auto"/>
        <w:right w:val="none" w:sz="0" w:space="0" w:color="auto"/>
      </w:divBdr>
    </w:div>
    <w:div w:id="20965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psp.cz/kps/pi/gi/schema_ustavni_zakony.pdf" TargetMode="External"/><Relationship Id="rId26" Type="http://schemas.openxmlformats.org/officeDocument/2006/relationships/chart" Target="charts/chart2.xml"/><Relationship Id="rId39" Type="http://schemas.openxmlformats.org/officeDocument/2006/relationships/chart" Target="charts/chart9.xml"/><Relationship Id="rId21" Type="http://schemas.openxmlformats.org/officeDocument/2006/relationships/image" Target="media/image6.png"/><Relationship Id="rId34" Type="http://schemas.openxmlformats.org/officeDocument/2006/relationships/chart" Target="charts/chart5.xml"/><Relationship Id="rId42" Type="http://schemas.openxmlformats.org/officeDocument/2006/relationships/hyperlink" Target="http://www.assemblee-nationale.fr/english/" TargetMode="External"/><Relationship Id="rId47" Type="http://schemas.openxmlformats.org/officeDocument/2006/relationships/hyperlink" Target="http://www.congreso.es/portal/page/portal/Congreso/Congreso/Hist_Normas/Norm/const_espa_texto_ingles_0.pdf" TargetMode="External"/><Relationship Id="rId50" Type="http://schemas.openxmlformats.org/officeDocument/2006/relationships/hyperlink" Target="http://volby.cz/pls/ps2002/ps63?xjazyk=CZ" TargetMode="External"/><Relationship Id="rId55" Type="http://schemas.openxmlformats.org/officeDocument/2006/relationships/hyperlink" Target="http://www.ods.cz/volebni-vysledky/2008-senatn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sp.cz/kps/pi/gi/schema_ustavni_zakony.pdf" TargetMode="External"/><Relationship Id="rId20" Type="http://schemas.openxmlformats.org/officeDocument/2006/relationships/image" Target="media/image5.png"/><Relationship Id="rId29" Type="http://schemas.openxmlformats.org/officeDocument/2006/relationships/hyperlink" Target="http://www.ods.cz/volebni-vysledky/2006-senatni" TargetMode="External"/><Relationship Id="rId41" Type="http://schemas.openxmlformats.org/officeDocument/2006/relationships/hyperlink" Target="http://www.senato.it/documenti/repository/istituzione/costituzione_inglese.pdf" TargetMode="External"/><Relationship Id="rId54" Type="http://schemas.openxmlformats.org/officeDocument/2006/relationships/hyperlink" Target="http://www.ods.cz/volebni-vysledky/2006-senat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9.png"/><Relationship Id="rId32" Type="http://schemas.openxmlformats.org/officeDocument/2006/relationships/chart" Target="charts/chart4.xml"/><Relationship Id="rId37" Type="http://schemas.openxmlformats.org/officeDocument/2006/relationships/chart" Target="charts/chart7.xml"/><Relationship Id="rId40" Type="http://schemas.openxmlformats.org/officeDocument/2006/relationships/hyperlink" Target="http://www.taoiseach.gov.ie/attached_files/html%20files/Constitution%20of%20Ireland%20(Eng)Nov2004.htm" TargetMode="External"/><Relationship Id="rId45" Type="http://schemas.openxmlformats.org/officeDocument/2006/relationships/hyperlink" Target="http://zpravy.ihned.cz/c1-47573500-nemcova-vyhlasila-stav-legislativni-nouze-setrit-se-bude-uz-od-ledna" TargetMode="External"/><Relationship Id="rId53" Type="http://schemas.openxmlformats.org/officeDocument/2006/relationships/hyperlink" Target="http://www.ods.cz/volebni-vysledky/2004-senatni" TargetMode="External"/><Relationship Id="rId58" Type="http://schemas.openxmlformats.org/officeDocument/2006/relationships/hyperlink" Target="http://www.senat.cz/informace/z_historie/studie/sbornik/c4.php?ke_dni=9.8.2010&amp;O=8"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chart" Target="charts/chart3.xml"/><Relationship Id="rId36" Type="http://schemas.openxmlformats.org/officeDocument/2006/relationships/chart" Target="charts/chart6.xml"/><Relationship Id="rId49" Type="http://schemas.openxmlformats.org/officeDocument/2006/relationships/hyperlink" Target="http://volby.cz/pls/ps1998/u610" TargetMode="External"/><Relationship Id="rId57" Type="http://schemas.openxmlformats.org/officeDocument/2006/relationships/hyperlink" Target="http://www.senat.cz/informace/z_historie/studie/sbornik/c3.php?ke_dni=1.6.2011&amp;O=9" TargetMode="External"/><Relationship Id="rId61" Type="http://schemas.openxmlformats.org/officeDocument/2006/relationships/theme" Target="theme/theme1.xml"/><Relationship Id="rId10" Type="http://schemas.openxmlformats.org/officeDocument/2006/relationships/hyperlink" Target="www.volby.cz" TargetMode="External"/><Relationship Id="rId19" Type="http://schemas.openxmlformats.org/officeDocument/2006/relationships/image" Target="media/image4.png"/><Relationship Id="rId31" Type="http://schemas.openxmlformats.org/officeDocument/2006/relationships/hyperlink" Target="http://www.senat.cz/dokumenty/index.php?ke_dni=22.06.2013&amp;O=9" TargetMode="External"/><Relationship Id="rId44" Type="http://schemas.openxmlformats.org/officeDocument/2006/relationships/hyperlink" Target="http://www.servat.unibe.ch/icl/nl00000_.html" TargetMode="External"/><Relationship Id="rId52" Type="http://schemas.openxmlformats.org/officeDocument/2006/relationships/hyperlink" Target="http://www.ods.cz/volebni-vysledky/2002-senatni"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psp.cz" TargetMode="External"/><Relationship Id="rId14" Type="http://schemas.openxmlformats.org/officeDocument/2006/relationships/hyperlink" Target="http://www.psp.cz/kps/pi/gi/schema_ustavni_zakony.pdf" TargetMode="External"/><Relationship Id="rId22" Type="http://schemas.openxmlformats.org/officeDocument/2006/relationships/image" Target="media/image7.png"/><Relationship Id="rId27" Type="http://schemas.openxmlformats.org/officeDocument/2006/relationships/hyperlink" Target="http://volby.cz/pls/ps2006/ps531?xjazyk=CZ" TargetMode="External"/><Relationship Id="rId30" Type="http://schemas.openxmlformats.org/officeDocument/2006/relationships/hyperlink" Target="http://www.senat.cz/dokumenty/index.php?ke_dni=22.06.2013&amp;O=9" TargetMode="External"/><Relationship Id="rId35" Type="http://schemas.openxmlformats.org/officeDocument/2006/relationships/hyperlink" Target="http://www.ods.cz/volebni-vysledky/2010-senatni" TargetMode="External"/><Relationship Id="rId43" Type="http://schemas.openxmlformats.org/officeDocument/2006/relationships/hyperlink" Target="http://www.psp.cz/sqw/hp.sqw?k=173" TargetMode="External"/><Relationship Id="rId48" Type="http://schemas.openxmlformats.org/officeDocument/2006/relationships/hyperlink" Target="http://www.psp.cz/docs/texts/constitution_1920.html" TargetMode="External"/><Relationship Id="rId56" Type="http://schemas.openxmlformats.org/officeDocument/2006/relationships/hyperlink" Target="http://www.senat.cz/cinnost/zpravy/vyrzpr2007/vyrzpr07.pdf" TargetMode="External"/><Relationship Id="rId8" Type="http://schemas.openxmlformats.org/officeDocument/2006/relationships/hyperlink" Target="www.senat.cz" TargetMode="External"/><Relationship Id="rId51" Type="http://schemas.openxmlformats.org/officeDocument/2006/relationships/hyperlink" Target="http://www.ods.cz/volebni-vysledky/2000-senatni" TargetMode="External"/><Relationship Id="rId3" Type="http://schemas.openxmlformats.org/officeDocument/2006/relationships/styles" Target="styles.xml"/><Relationship Id="rId12" Type="http://schemas.openxmlformats.org/officeDocument/2006/relationships/hyperlink" Target="http://www.ipu.org/parline-e/ParliamentsStructure.asp?REGION=All&amp;LANG=ENG"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volby.cz/pls/ps2010/ps53?xjazyk=CZ&amp;xv=1" TargetMode="External"/><Relationship Id="rId38" Type="http://schemas.openxmlformats.org/officeDocument/2006/relationships/chart" Target="charts/chart8.xml"/><Relationship Id="rId46" Type="http://schemas.openxmlformats.org/officeDocument/2006/relationships/hyperlink" Target="http://www.ipu.org/parline-e/ParliamentsStructure.asp?REGION=All&amp;LANG=ENG"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enat.cz/informace/z_historie/studie/sbornik/c3.php?ke_dni=1.6.2011&amp;O=9" TargetMode="External"/><Relationship Id="rId13" Type="http://schemas.openxmlformats.org/officeDocument/2006/relationships/hyperlink" Target="http://www.senat.cz/informace/z_historie/studie/sbornik/c4.php?ke_dni=9.8.2010&amp;O=8" TargetMode="External"/><Relationship Id="rId18" Type="http://schemas.openxmlformats.org/officeDocument/2006/relationships/hyperlink" Target="http://www.taoiseach.gov.ie/attached_files/html%20files/Constitution%20of%20Ireland%20(Eng)Nov2004.htm" TargetMode="External"/><Relationship Id="rId26" Type="http://schemas.openxmlformats.org/officeDocument/2006/relationships/hyperlink" Target="http://www.ods.cz/volebni-vysledky/2006-senatni" TargetMode="External"/><Relationship Id="rId3" Type="http://schemas.openxmlformats.org/officeDocument/2006/relationships/hyperlink" Target="http://www.psp.cz/docs/texts/constitution_1920.html" TargetMode="External"/><Relationship Id="rId21" Type="http://schemas.openxmlformats.org/officeDocument/2006/relationships/hyperlink" Target="http://www.psp.cz/sqw/hp.sqw?k=173" TargetMode="External"/><Relationship Id="rId34" Type="http://schemas.openxmlformats.org/officeDocument/2006/relationships/hyperlink" Target="http://www.ods.cz/volebni-vysledky/2008-senatni" TargetMode="External"/><Relationship Id="rId7" Type="http://schemas.openxmlformats.org/officeDocument/2006/relationships/hyperlink" Target="http://www.senat.cz/informace/z_historie/studie/sbornik/c3.php?ke_dni=1.6.2011&amp;O=9" TargetMode="External"/><Relationship Id="rId12" Type="http://schemas.openxmlformats.org/officeDocument/2006/relationships/hyperlink" Target="http://www.congreso.es/portal/page/portal/Congreso/Congreso/Hist_Normas/Norm/const_espa_texto_ingles_0.pdf" TargetMode="External"/><Relationship Id="rId17" Type="http://schemas.openxmlformats.org/officeDocument/2006/relationships/hyperlink" Target="http://www.assemblee-nationale.fr/english/" TargetMode="External"/><Relationship Id="rId25" Type="http://schemas.openxmlformats.org/officeDocument/2006/relationships/hyperlink" Target="http://www.senat.cz/cinnost/zpravy/vyrzpr2007/vyrzpr07.pdf" TargetMode="External"/><Relationship Id="rId33" Type="http://schemas.openxmlformats.org/officeDocument/2006/relationships/hyperlink" Target="http://www.ods.cz/volebni-vysledky/2004-senatni" TargetMode="External"/><Relationship Id="rId2" Type="http://schemas.openxmlformats.org/officeDocument/2006/relationships/hyperlink" Target="http://www.ipu.org/parline-e/ParliamentsStructure.asp?REGION=All&amp;LANG=ENG" TargetMode="External"/><Relationship Id="rId16" Type="http://schemas.openxmlformats.org/officeDocument/2006/relationships/hyperlink" Target="http://www.psp.cz/sqw/hp.sqw?k=173" TargetMode="External"/><Relationship Id="rId20" Type="http://schemas.openxmlformats.org/officeDocument/2006/relationships/hyperlink" Target="http://www.congreso.es/portal/page/portal/Congreso/Congreso/Hist_Normas/Norm/const_espa_texto_ingles_0.pdf" TargetMode="External"/><Relationship Id="rId29" Type="http://schemas.openxmlformats.org/officeDocument/2006/relationships/hyperlink" Target="http://www.ods.cz/volebni-vysledky/2000-senatni" TargetMode="External"/><Relationship Id="rId1" Type="http://schemas.openxmlformats.org/officeDocument/2006/relationships/hyperlink" Target="http://www.ipu.org/parline-e/ParliamentsStructure.asp?REGION=All&amp;LANG=ENG" TargetMode="External"/><Relationship Id="rId6" Type="http://schemas.openxmlformats.org/officeDocument/2006/relationships/hyperlink" Target="http://www.senat.cz/informace/z_historie/studie/sbornik/c3.php?ke_dni=1.6.2011&amp;O=9" TargetMode="External"/><Relationship Id="rId11" Type="http://schemas.openxmlformats.org/officeDocument/2006/relationships/hyperlink" Target="http://www.servat.unibe.ch/icl/nl00000_.html" TargetMode="External"/><Relationship Id="rId24" Type="http://schemas.openxmlformats.org/officeDocument/2006/relationships/hyperlink" Target="http://www.senat.cz/cinnost/zpravy/" TargetMode="External"/><Relationship Id="rId32" Type="http://schemas.openxmlformats.org/officeDocument/2006/relationships/hyperlink" Target="http://volby.cz/pls/ps2002/ps63?xjazyk=CZ" TargetMode="External"/><Relationship Id="rId5" Type="http://schemas.openxmlformats.org/officeDocument/2006/relationships/hyperlink" Target="http://www.psp.cz/docs/texts/constitution_1920.html" TargetMode="External"/><Relationship Id="rId15" Type="http://schemas.openxmlformats.org/officeDocument/2006/relationships/hyperlink" Target="http://www.taoiseach.gov.ie/attached_files/html%20files/Constitution%20of%20Ireland%20(Eng)Nov2004.htm" TargetMode="External"/><Relationship Id="rId23" Type="http://schemas.openxmlformats.org/officeDocument/2006/relationships/hyperlink" Target="http://www.senat.cz/xqw/xervlet/pssenat/historie" TargetMode="External"/><Relationship Id="rId28" Type="http://schemas.openxmlformats.org/officeDocument/2006/relationships/hyperlink" Target="http://www.senat.cz/cinnost/zpravy/" TargetMode="External"/><Relationship Id="rId10" Type="http://schemas.openxmlformats.org/officeDocument/2006/relationships/hyperlink" Target="http://www.senato.it/documenti/repository/istituzione/costituzione_inglese.pdf" TargetMode="External"/><Relationship Id="rId19" Type="http://schemas.openxmlformats.org/officeDocument/2006/relationships/hyperlink" Target="http://www.servat.unibe.ch/icl/nl00000_.html" TargetMode="External"/><Relationship Id="rId31" Type="http://schemas.openxmlformats.org/officeDocument/2006/relationships/hyperlink" Target="http://www.ods.cz/volebni-vysledky/2002-senatni" TargetMode="External"/><Relationship Id="rId4" Type="http://schemas.openxmlformats.org/officeDocument/2006/relationships/hyperlink" Target="http://www.psp.cz/docs/texts/constitution_1920.html" TargetMode="External"/><Relationship Id="rId9" Type="http://schemas.openxmlformats.org/officeDocument/2006/relationships/hyperlink" Target="http://www.assemblee-nationale.fr/english/" TargetMode="External"/><Relationship Id="rId14" Type="http://schemas.openxmlformats.org/officeDocument/2006/relationships/hyperlink" Target="http://www.senato.it/documenti/repository/istituzione/costituzione_inglese.pdf" TargetMode="External"/><Relationship Id="rId22" Type="http://schemas.openxmlformats.org/officeDocument/2006/relationships/hyperlink" Target="http://zpravy.ihned.cz/c1-47573500-nemcova-vyhlasila-stav-legislativni-nouze-setrit-se-bude-uz-od-ledna" TargetMode="External"/><Relationship Id="rId27" Type="http://schemas.openxmlformats.org/officeDocument/2006/relationships/hyperlink" Target="http://www.senat.cz/cinnost/zpravy/vyrzpr2007/vyrzpr07.pdf" TargetMode="External"/><Relationship Id="rId30" Type="http://schemas.openxmlformats.org/officeDocument/2006/relationships/hyperlink" Target="http://volby.cz/pls/ps1998/u61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Mates\Desktop\graf.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tes\Desktop\graf%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tes\Desktop\graf%2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tes\Desktop\graf%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Struktura parlamentů</a:t>
            </a:r>
            <a:r>
              <a:rPr lang="cs-CZ"/>
              <a:t> ve světě</a:t>
            </a:r>
            <a:endParaRPr lang="en-US"/>
          </a:p>
        </c:rich>
      </c:tx>
      <c:layout>
        <c:manualLayout>
          <c:xMode val="edge"/>
          <c:yMode val="edge"/>
          <c:x val="0.11068676716918036"/>
          <c:y val="3.0303030303030349E-2"/>
        </c:manualLayout>
      </c:layout>
    </c:title>
    <c:plotArea>
      <c:layout/>
      <c:doughnutChart>
        <c:varyColors val="1"/>
        <c:ser>
          <c:idx val="0"/>
          <c:order val="0"/>
          <c:tx>
            <c:strRef>
              <c:f>List1!$B$1</c:f>
              <c:strCache>
                <c:ptCount val="1"/>
                <c:pt idx="0">
                  <c:v>Struktura parlamentů</c:v>
                </c:pt>
              </c:strCache>
            </c:strRef>
          </c:tx>
          <c:explosion val="25"/>
          <c:dLbls>
            <c:showPercent val="1"/>
            <c:showLeaderLines val="1"/>
          </c:dLbls>
          <c:cat>
            <c:strRef>
              <c:f>List1!$A$2:$A$3</c:f>
              <c:strCache>
                <c:ptCount val="2"/>
                <c:pt idx="0">
                  <c:v>Unikameralismus</c:v>
                </c:pt>
                <c:pt idx="1">
                  <c:v>Bikameralismus</c:v>
                </c:pt>
              </c:strCache>
            </c:strRef>
          </c:cat>
          <c:val>
            <c:numRef>
              <c:f>List1!$B$2:$B$3</c:f>
              <c:numCache>
                <c:formatCode>0.00%</c:formatCode>
                <c:ptCount val="2"/>
                <c:pt idx="0">
                  <c:v>0.59590000000000054</c:v>
                </c:pt>
                <c:pt idx="1">
                  <c:v>0.40410000000000001</c:v>
                </c:pt>
              </c:numCache>
            </c:numRef>
          </c:val>
        </c:ser>
        <c:dLbls>
          <c:showPercent val="1"/>
        </c:dLbls>
        <c:firstSliceAng val="0"/>
        <c:holeSize val="50"/>
      </c:doughnut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Rozdělení</a:t>
            </a:r>
            <a:r>
              <a:rPr lang="cs-CZ" baseline="0"/>
              <a:t> mandátů stranám po v</a:t>
            </a:r>
            <a:r>
              <a:rPr lang="en-US"/>
              <a:t>olb</a:t>
            </a:r>
            <a:r>
              <a:rPr lang="cs-CZ"/>
              <a:t>ách</a:t>
            </a:r>
            <a:r>
              <a:rPr lang="en-US"/>
              <a:t> do PS</a:t>
            </a:r>
            <a:r>
              <a:rPr lang="cs-CZ"/>
              <a:t> v roce</a:t>
            </a:r>
            <a:r>
              <a:rPr lang="en-US"/>
              <a:t> 2006</a:t>
            </a:r>
          </a:p>
        </c:rich>
      </c:tx>
    </c:title>
    <c:view3D>
      <c:rotX val="30"/>
      <c:perspective val="30"/>
    </c:view3D>
    <c:plotArea>
      <c:layout/>
      <c:pie3DChart>
        <c:varyColors val="1"/>
        <c:ser>
          <c:idx val="0"/>
          <c:order val="0"/>
          <c:tx>
            <c:strRef>
              <c:f>List1!$B$1</c:f>
              <c:strCache>
                <c:ptCount val="1"/>
                <c:pt idx="0">
                  <c:v>Volby do PS 2006</c:v>
                </c:pt>
              </c:strCache>
            </c:strRef>
          </c:tx>
          <c:dPt>
            <c:idx val="0"/>
            <c:spPr>
              <a:solidFill>
                <a:schemeClr val="accent1"/>
              </a:solidFill>
            </c:spPr>
          </c:dPt>
          <c:dPt>
            <c:idx val="1"/>
            <c:spPr>
              <a:solidFill>
                <a:schemeClr val="accent6">
                  <a:lumMod val="75000"/>
                </a:schemeClr>
              </a:solidFill>
            </c:spPr>
          </c:dPt>
          <c:dPt>
            <c:idx val="2"/>
            <c:spPr>
              <a:solidFill>
                <a:srgbClr val="FF0000"/>
              </a:solidFill>
            </c:spPr>
          </c:dPt>
          <c:dPt>
            <c:idx val="4"/>
            <c:spPr>
              <a:solidFill>
                <a:schemeClr val="accent3"/>
              </a:solidFill>
            </c:spPr>
          </c:dPt>
          <c:dLbls>
            <c:dLbl>
              <c:idx val="0"/>
              <c:layout>
                <c:manualLayout>
                  <c:x val="-0.18198016914552631"/>
                  <c:y val="4.0809273840769912E-2"/>
                </c:manualLayout>
              </c:layout>
              <c:showVal val="1"/>
            </c:dLbl>
            <c:dLbl>
              <c:idx val="1"/>
              <c:layout>
                <c:manualLayout>
                  <c:x val="0.13145432341790644"/>
                  <c:y val="-0.29677634045744755"/>
                </c:manualLayout>
              </c:layout>
              <c:showVal val="1"/>
            </c:dLbl>
            <c:dLbl>
              <c:idx val="2"/>
              <c:layout>
                <c:manualLayout>
                  <c:x val="0.13336504811898511"/>
                  <c:y val="5.3835770528683907E-2"/>
                </c:manualLayout>
              </c:layout>
              <c:showVal val="1"/>
            </c:dLbl>
            <c:dLbl>
              <c:idx val="3"/>
              <c:layout>
                <c:manualLayout>
                  <c:x val="6.5482830271216194E-2"/>
                  <c:y val="9.8505811773528726E-2"/>
                </c:manualLayout>
              </c:layout>
              <c:showVal val="1"/>
            </c:dLbl>
            <c:dLbl>
              <c:idx val="4"/>
              <c:layout>
                <c:manualLayout>
                  <c:x val="1.9808435403908285E-2"/>
                  <c:y val="0.10703287089113862"/>
                </c:manualLayout>
              </c:layout>
              <c:showVal val="1"/>
            </c:dLbl>
            <c:delete val="1"/>
            <c:txPr>
              <a:bodyPr/>
              <a:lstStyle/>
              <a:p>
                <a:pPr>
                  <a:defRPr sz="1100" b="0"/>
                </a:pPr>
                <a:endParaRPr lang="cs-CZ"/>
              </a:p>
            </c:txPr>
          </c:dLbls>
          <c:cat>
            <c:strRef>
              <c:f>List1!$A$2:$A$6</c:f>
              <c:strCache>
                <c:ptCount val="5"/>
                <c:pt idx="0">
                  <c:v>ODS</c:v>
                </c:pt>
                <c:pt idx="1">
                  <c:v>ČSSD</c:v>
                </c:pt>
                <c:pt idx="2">
                  <c:v>KSČM</c:v>
                </c:pt>
                <c:pt idx="3">
                  <c:v>KDU-ČSL</c:v>
                </c:pt>
                <c:pt idx="4">
                  <c:v>SZ</c:v>
                </c:pt>
              </c:strCache>
            </c:strRef>
          </c:cat>
          <c:val>
            <c:numRef>
              <c:f>List1!$B$2:$B$6</c:f>
              <c:numCache>
                <c:formatCode>General</c:formatCode>
                <c:ptCount val="5"/>
                <c:pt idx="0">
                  <c:v>81</c:v>
                </c:pt>
                <c:pt idx="1">
                  <c:v>74</c:v>
                </c:pt>
                <c:pt idx="2">
                  <c:v>26</c:v>
                </c:pt>
                <c:pt idx="3">
                  <c:v>13</c:v>
                </c:pt>
                <c:pt idx="4">
                  <c:v>6</c:v>
                </c:pt>
              </c:numCache>
            </c:numRef>
          </c:val>
        </c:ser>
      </c:pie3DChart>
      <c:spPr>
        <a:effectLst>
          <a:outerShdw blurRad="50800" dist="50800" dir="5400000" algn="ctr" rotWithShape="0">
            <a:srgbClr val="000000">
              <a:alpha val="96000"/>
            </a:srgbClr>
          </a:outerShdw>
        </a:effectLst>
      </c:spPr>
    </c:plotArea>
    <c:legend>
      <c:legendPos val="r"/>
      <c:legendEntry>
        <c:idx val="1"/>
        <c:txPr>
          <a:bodyPr/>
          <a:lstStyle/>
          <a:p>
            <a:pPr>
              <a:defRPr>
                <a:solidFill>
                  <a:sysClr val="windowText" lastClr="000000"/>
                </a:solidFill>
              </a:defRPr>
            </a:pPr>
            <a:endParaRPr lang="cs-CZ"/>
          </a:p>
        </c:txPr>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view3D>
      <c:rotX val="30"/>
      <c:perspective val="30"/>
    </c:view3D>
    <c:plotArea>
      <c:layout/>
      <c:pie3DChart>
        <c:varyColors val="1"/>
        <c:ser>
          <c:idx val="0"/>
          <c:order val="0"/>
          <c:tx>
            <c:strRef>
              <c:f>List1!$B$1</c:f>
              <c:strCache>
                <c:ptCount val="1"/>
                <c:pt idx="0">
                  <c:v>Složení Senátu v roce 2006</c:v>
                </c:pt>
              </c:strCache>
            </c:strRef>
          </c:tx>
          <c:dPt>
            <c:idx val="0"/>
            <c:spPr>
              <a:solidFill>
                <a:schemeClr val="accent1"/>
              </a:solidFill>
            </c:spPr>
          </c:dPt>
          <c:dPt>
            <c:idx val="1"/>
            <c:spPr>
              <a:solidFill>
                <a:schemeClr val="accent6">
                  <a:lumMod val="75000"/>
                </a:schemeClr>
              </a:solidFill>
            </c:spPr>
          </c:dPt>
          <c:dPt>
            <c:idx val="2"/>
            <c:spPr>
              <a:solidFill>
                <a:schemeClr val="accent4"/>
              </a:solidFill>
            </c:spPr>
          </c:dPt>
          <c:dPt>
            <c:idx val="3"/>
            <c:spPr>
              <a:solidFill>
                <a:schemeClr val="bg1">
                  <a:lumMod val="75000"/>
                </a:schemeClr>
              </a:solidFill>
            </c:spPr>
          </c:dPt>
          <c:dPt>
            <c:idx val="4"/>
            <c:spPr>
              <a:solidFill>
                <a:srgbClr val="FF0000"/>
              </a:solidFill>
            </c:spPr>
          </c:dPt>
          <c:dPt>
            <c:idx val="5"/>
            <c:spPr>
              <a:solidFill>
                <a:srgbClr val="00B0F0"/>
              </a:solidFill>
            </c:spPr>
          </c:dPt>
          <c:dLbls>
            <c:dLbl>
              <c:idx val="0"/>
              <c:layout>
                <c:manualLayout>
                  <c:x val="-0.20573445246427902"/>
                  <c:y val="-8.3937320334960694E-2"/>
                </c:manualLayout>
              </c:layout>
              <c:showVal val="1"/>
            </c:dLbl>
            <c:dLbl>
              <c:idx val="1"/>
              <c:layout>
                <c:manualLayout>
                  <c:x val="9.4443988772236823E-2"/>
                  <c:y val="-0.27337957755281583"/>
                </c:manualLayout>
              </c:layout>
              <c:showVal val="1"/>
            </c:dLbl>
            <c:dLbl>
              <c:idx val="2"/>
              <c:layout>
                <c:manualLayout>
                  <c:x val="8.7503645377661268E-2"/>
                  <c:y val="-0.12435695538057742"/>
                </c:manualLayout>
              </c:layout>
              <c:showVal val="1"/>
            </c:dLbl>
            <c:dLbl>
              <c:idx val="3"/>
              <c:layout>
                <c:manualLayout>
                  <c:x val="5.5659252752768396E-2"/>
                  <c:y val="1.6054276234338645E-2"/>
                </c:manualLayout>
              </c:layout>
              <c:showVal val="1"/>
            </c:dLbl>
            <c:dLbl>
              <c:idx val="4"/>
              <c:layout>
                <c:manualLayout>
                  <c:x val="4.8450397883532122E-2"/>
                  <c:y val="2.1751696132323192E-2"/>
                </c:manualLayout>
              </c:layout>
              <c:showVal val="1"/>
            </c:dLbl>
            <c:txPr>
              <a:bodyPr/>
              <a:lstStyle/>
              <a:p>
                <a:pPr>
                  <a:defRPr sz="1100"/>
                </a:pPr>
                <a:endParaRPr lang="cs-CZ"/>
              </a:p>
            </c:txPr>
            <c:showVal val="1"/>
            <c:showLeaderLines val="1"/>
          </c:dLbls>
          <c:cat>
            <c:strRef>
              <c:f>List1!$A$2:$A$7</c:f>
              <c:strCache>
                <c:ptCount val="6"/>
                <c:pt idx="0">
                  <c:v>ODS</c:v>
                </c:pt>
                <c:pt idx="1">
                  <c:v>ČSSD</c:v>
                </c:pt>
                <c:pt idx="2">
                  <c:v>KDU-ČSL</c:v>
                </c:pt>
                <c:pt idx="3">
                  <c:v>SNK</c:v>
                </c:pt>
                <c:pt idx="4">
                  <c:v>KSČM</c:v>
                </c:pt>
                <c:pt idx="5">
                  <c:v>Ostatní</c:v>
                </c:pt>
              </c:strCache>
            </c:strRef>
          </c:cat>
          <c:val>
            <c:numRef>
              <c:f>List1!$B$2:$B$7</c:f>
              <c:numCache>
                <c:formatCode>General</c:formatCode>
                <c:ptCount val="6"/>
                <c:pt idx="0">
                  <c:v>41</c:v>
                </c:pt>
                <c:pt idx="1">
                  <c:v>12</c:v>
                </c:pt>
                <c:pt idx="2">
                  <c:v>11</c:v>
                </c:pt>
                <c:pt idx="3">
                  <c:v>3</c:v>
                </c:pt>
                <c:pt idx="4">
                  <c:v>2</c:v>
                </c:pt>
                <c:pt idx="5">
                  <c:v>12</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800" b="1" i="0" baseline="0"/>
              <a:t>Rozdělení mandátů stranám po v</a:t>
            </a:r>
            <a:r>
              <a:rPr lang="en-US" sz="1800" b="1" i="0" baseline="0"/>
              <a:t>olb</a:t>
            </a:r>
            <a:r>
              <a:rPr lang="cs-CZ" sz="1800" b="1" i="0" baseline="0"/>
              <a:t>ách</a:t>
            </a:r>
            <a:r>
              <a:rPr lang="en-US" sz="1800" b="1" i="0" baseline="0"/>
              <a:t> do PS</a:t>
            </a:r>
            <a:r>
              <a:rPr lang="cs-CZ" sz="1800" b="1" i="0" baseline="0"/>
              <a:t> v roce</a:t>
            </a:r>
            <a:r>
              <a:rPr lang="en-US" sz="1800" b="1" i="0" baseline="0"/>
              <a:t> </a:t>
            </a:r>
            <a:r>
              <a:rPr lang="cs-CZ" sz="1800" b="1" i="0" baseline="0"/>
              <a:t>2010</a:t>
            </a:r>
            <a:endParaRPr lang="cs-CZ"/>
          </a:p>
        </c:rich>
      </c:tx>
    </c:title>
    <c:view3D>
      <c:rotX val="30"/>
      <c:perspective val="30"/>
    </c:view3D>
    <c:plotArea>
      <c:layout/>
      <c:pie3DChart>
        <c:varyColors val="1"/>
        <c:ser>
          <c:idx val="0"/>
          <c:order val="0"/>
          <c:tx>
            <c:strRef>
              <c:f>List1!$B$1</c:f>
              <c:strCache>
                <c:ptCount val="1"/>
                <c:pt idx="0">
                  <c:v>Prodej</c:v>
                </c:pt>
              </c:strCache>
            </c:strRef>
          </c:tx>
          <c:dPt>
            <c:idx val="0"/>
            <c:spPr>
              <a:solidFill>
                <a:schemeClr val="accent6">
                  <a:lumMod val="75000"/>
                </a:schemeClr>
              </a:solidFill>
            </c:spPr>
          </c:dPt>
          <c:dPt>
            <c:idx val="1"/>
            <c:spPr>
              <a:solidFill>
                <a:schemeClr val="accent1"/>
              </a:solidFill>
            </c:spPr>
          </c:dPt>
          <c:dPt>
            <c:idx val="2"/>
            <c:spPr>
              <a:solidFill>
                <a:schemeClr val="accent4"/>
              </a:solidFill>
            </c:spPr>
          </c:dPt>
          <c:dPt>
            <c:idx val="3"/>
            <c:spPr>
              <a:solidFill>
                <a:srgbClr val="FF0000"/>
              </a:solidFill>
            </c:spPr>
          </c:dPt>
          <c:dPt>
            <c:idx val="4"/>
            <c:spPr>
              <a:solidFill>
                <a:srgbClr val="92D050"/>
              </a:solidFill>
            </c:spPr>
          </c:dPt>
          <c:dLbls>
            <c:dLbl>
              <c:idx val="0"/>
              <c:layout>
                <c:manualLayout>
                  <c:x val="-0.12212653105862092"/>
                  <c:y val="5.8549243844519427E-2"/>
                </c:manualLayout>
              </c:layout>
              <c:showVal val="1"/>
            </c:dLbl>
            <c:dLbl>
              <c:idx val="1"/>
              <c:layout>
                <c:manualLayout>
                  <c:x val="-0.13214831219014539"/>
                  <c:y val="-0.26378858892638418"/>
                </c:manualLayout>
              </c:layout>
              <c:showVal val="1"/>
            </c:dLbl>
            <c:dLbl>
              <c:idx val="2"/>
              <c:layout>
                <c:manualLayout>
                  <c:x val="0.15517333770778671"/>
                  <c:y val="-0.19692507186601674"/>
                </c:manualLayout>
              </c:layout>
              <c:showVal val="1"/>
            </c:dLbl>
            <c:dLbl>
              <c:idx val="3"/>
              <c:layout>
                <c:manualLayout>
                  <c:x val="0.12374854184893729"/>
                  <c:y val="2.9694413198350207E-2"/>
                </c:manualLayout>
              </c:layout>
              <c:showVal val="1"/>
            </c:dLbl>
            <c:dLbl>
              <c:idx val="4"/>
              <c:layout>
                <c:manualLayout>
                  <c:x val="6.6150845727617355E-2"/>
                  <c:y val="0.10743438320209973"/>
                </c:manualLayout>
              </c:layout>
              <c:showVal val="1"/>
            </c:dLbl>
            <c:txPr>
              <a:bodyPr/>
              <a:lstStyle/>
              <a:p>
                <a:pPr>
                  <a:defRPr sz="1200"/>
                </a:pPr>
                <a:endParaRPr lang="cs-CZ"/>
              </a:p>
            </c:txPr>
            <c:showVal val="1"/>
            <c:showLeaderLines val="1"/>
          </c:dLbls>
          <c:cat>
            <c:strRef>
              <c:f>List1!$A$2:$A$6</c:f>
              <c:strCache>
                <c:ptCount val="5"/>
                <c:pt idx="0">
                  <c:v>ČSSD</c:v>
                </c:pt>
                <c:pt idx="1">
                  <c:v>ODS</c:v>
                </c:pt>
                <c:pt idx="2">
                  <c:v>TOP 09</c:v>
                </c:pt>
                <c:pt idx="3">
                  <c:v>KSČM</c:v>
                </c:pt>
                <c:pt idx="4">
                  <c:v>VV</c:v>
                </c:pt>
              </c:strCache>
            </c:strRef>
          </c:cat>
          <c:val>
            <c:numRef>
              <c:f>List1!$B$2:$B$6</c:f>
              <c:numCache>
                <c:formatCode>General</c:formatCode>
                <c:ptCount val="5"/>
                <c:pt idx="0">
                  <c:v>56</c:v>
                </c:pt>
                <c:pt idx="1">
                  <c:v>53</c:v>
                </c:pt>
                <c:pt idx="2">
                  <c:v>41</c:v>
                </c:pt>
                <c:pt idx="3">
                  <c:v>26</c:v>
                </c:pt>
                <c:pt idx="4">
                  <c:v>24</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view3D>
      <c:rotX val="30"/>
      <c:perspective val="30"/>
    </c:view3D>
    <c:plotArea>
      <c:layout/>
      <c:pie3DChart>
        <c:varyColors val="1"/>
        <c:ser>
          <c:idx val="0"/>
          <c:order val="0"/>
          <c:tx>
            <c:strRef>
              <c:f>List1!$B$1</c:f>
              <c:strCache>
                <c:ptCount val="1"/>
                <c:pt idx="0">
                  <c:v>Složení Senátu v roce 2010</c:v>
                </c:pt>
              </c:strCache>
            </c:strRef>
          </c:tx>
          <c:dPt>
            <c:idx val="0"/>
            <c:spPr>
              <a:solidFill>
                <a:schemeClr val="accent6">
                  <a:lumMod val="75000"/>
                </a:schemeClr>
              </a:solidFill>
            </c:spPr>
          </c:dPt>
          <c:dPt>
            <c:idx val="1"/>
            <c:spPr>
              <a:solidFill>
                <a:schemeClr val="accent1"/>
              </a:solidFill>
            </c:spPr>
          </c:dPt>
          <c:dPt>
            <c:idx val="2"/>
            <c:spPr>
              <a:solidFill>
                <a:schemeClr val="accent4"/>
              </a:solidFill>
            </c:spPr>
          </c:dPt>
          <c:dPt>
            <c:idx val="3"/>
            <c:spPr>
              <a:solidFill>
                <a:srgbClr val="FF0000"/>
              </a:solidFill>
            </c:spPr>
          </c:dPt>
          <c:dPt>
            <c:idx val="4"/>
            <c:spPr>
              <a:solidFill>
                <a:schemeClr val="bg1">
                  <a:lumMod val="75000"/>
                </a:schemeClr>
              </a:solidFill>
            </c:spPr>
          </c:dPt>
          <c:dLbls>
            <c:dLbl>
              <c:idx val="0"/>
              <c:layout>
                <c:manualLayout>
                  <c:x val="-0.18721593394575844"/>
                  <c:y val="-0.11568335208099002"/>
                </c:manualLayout>
              </c:layout>
              <c:showVal val="1"/>
            </c:dLbl>
            <c:dLbl>
              <c:idx val="1"/>
              <c:layout>
                <c:manualLayout>
                  <c:x val="0.17223343175853295"/>
                  <c:y val="-0.17268122734658167"/>
                </c:manualLayout>
              </c:layout>
              <c:showVal val="1"/>
            </c:dLbl>
            <c:dLbl>
              <c:idx val="2"/>
              <c:layout>
                <c:manualLayout>
                  <c:x val="8.5085939778361042E-2"/>
                  <c:y val="4.1316085489313904E-2"/>
                </c:manualLayout>
              </c:layout>
              <c:showVal val="1"/>
            </c:dLbl>
            <c:dLbl>
              <c:idx val="3"/>
              <c:layout>
                <c:manualLayout>
                  <c:x val="4.3721763695200748E-2"/>
                  <c:y val="4.9169234280497583E-2"/>
                </c:manualLayout>
              </c:layout>
              <c:showVal val="1"/>
            </c:dLbl>
            <c:txPr>
              <a:bodyPr/>
              <a:lstStyle/>
              <a:p>
                <a:pPr>
                  <a:defRPr sz="1200"/>
                </a:pPr>
                <a:endParaRPr lang="cs-CZ"/>
              </a:p>
            </c:txPr>
            <c:showVal val="1"/>
            <c:showLeaderLines val="1"/>
          </c:dLbls>
          <c:cat>
            <c:strRef>
              <c:f>List1!$A$2:$A$6</c:f>
              <c:strCache>
                <c:ptCount val="5"/>
                <c:pt idx="0">
                  <c:v>ČSSD</c:v>
                </c:pt>
                <c:pt idx="1">
                  <c:v>ODS</c:v>
                </c:pt>
                <c:pt idx="2">
                  <c:v>KDU-ČSL</c:v>
                </c:pt>
                <c:pt idx="3">
                  <c:v>KSČM</c:v>
                </c:pt>
                <c:pt idx="4">
                  <c:v>Ostatní</c:v>
                </c:pt>
              </c:strCache>
            </c:strRef>
          </c:cat>
          <c:val>
            <c:numRef>
              <c:f>List1!$B$2:$B$6</c:f>
              <c:numCache>
                <c:formatCode>General</c:formatCode>
                <c:ptCount val="5"/>
                <c:pt idx="0">
                  <c:v>41</c:v>
                </c:pt>
                <c:pt idx="1">
                  <c:v>25</c:v>
                </c:pt>
                <c:pt idx="2">
                  <c:v>6</c:v>
                </c:pt>
                <c:pt idx="3">
                  <c:v>2</c:v>
                </c:pt>
                <c:pt idx="4">
                  <c:v>7</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scatterChart>
        <c:scatterStyle val="lineMarker"/>
        <c:ser>
          <c:idx val="0"/>
          <c:order val="0"/>
          <c:tx>
            <c:v>Stejné většiny</c:v>
          </c:tx>
          <c:spPr>
            <a:ln w="28575">
              <a:noFill/>
            </a:ln>
          </c:spPr>
          <c:marker>
            <c:symbol val="square"/>
            <c:size val="7"/>
          </c:marker>
          <c:trendline>
            <c:name>Proložení hodnot stejné většiny přímkou</c:name>
            <c:spPr>
              <a:ln w="28575">
                <a:solidFill>
                  <a:srgbClr val="0070C0"/>
                </a:solidFill>
              </a:ln>
              <a:effectLst/>
            </c:spPr>
            <c:trendlineType val="linear"/>
          </c:trendline>
          <c:xVal>
            <c:strRef>
              <c:f>List1!$A$7:$A$14</c:f>
              <c:strCache>
                <c:ptCount val="8"/>
                <c:pt idx="2">
                  <c:v>3. období</c:v>
                </c:pt>
                <c:pt idx="3">
                  <c:v>4. období</c:v>
                </c:pt>
                <c:pt idx="4">
                  <c:v>5. období</c:v>
                </c:pt>
                <c:pt idx="5">
                  <c:v>6. období</c:v>
                </c:pt>
                <c:pt idx="6">
                  <c:v>7. období</c:v>
                </c:pt>
                <c:pt idx="7">
                  <c:v>8. období</c:v>
                </c:pt>
              </c:strCache>
            </c:strRef>
          </c:xVal>
          <c:yVal>
            <c:numRef>
              <c:f>List1!$B$7:$B$14</c:f>
              <c:numCache>
                <c:formatCode>General</c:formatCode>
                <c:ptCount val="8"/>
                <c:pt idx="2" formatCode="0.00">
                  <c:v>245</c:v>
                </c:pt>
                <c:pt idx="5" formatCode="0.00">
                  <c:v>200</c:v>
                </c:pt>
                <c:pt idx="6" formatCode="0.00">
                  <c:v>211</c:v>
                </c:pt>
              </c:numCache>
            </c:numRef>
          </c:yVal>
        </c:ser>
        <c:ser>
          <c:idx val="1"/>
          <c:order val="1"/>
          <c:tx>
            <c:v>Rozdílné většiny</c:v>
          </c:tx>
          <c:spPr>
            <a:ln w="28575">
              <a:noFill/>
            </a:ln>
          </c:spPr>
          <c:trendline>
            <c:name>Proložení hodnot rozdílné většiny přímkou</c:name>
            <c:spPr>
              <a:ln w="31750" cmpd="sng">
                <a:solidFill>
                  <a:srgbClr val="C00000"/>
                </a:solidFill>
              </a:ln>
            </c:spPr>
            <c:trendlineType val="linear"/>
          </c:trendline>
          <c:xVal>
            <c:strRef>
              <c:f>List1!$A$7:$A$14</c:f>
              <c:strCache>
                <c:ptCount val="8"/>
                <c:pt idx="2">
                  <c:v>3. období</c:v>
                </c:pt>
                <c:pt idx="3">
                  <c:v>4. období</c:v>
                </c:pt>
                <c:pt idx="4">
                  <c:v>5. období</c:v>
                </c:pt>
                <c:pt idx="5">
                  <c:v>6. období</c:v>
                </c:pt>
                <c:pt idx="6">
                  <c:v>7. období</c:v>
                </c:pt>
                <c:pt idx="7">
                  <c:v>8. období</c:v>
                </c:pt>
              </c:strCache>
            </c:strRef>
          </c:xVal>
          <c:yVal>
            <c:numRef>
              <c:f>List1!$C$7:$C$14</c:f>
              <c:numCache>
                <c:formatCode>General</c:formatCode>
                <c:ptCount val="8"/>
                <c:pt idx="3" formatCode="0.00">
                  <c:v>310</c:v>
                </c:pt>
                <c:pt idx="4" formatCode="0.00">
                  <c:v>395</c:v>
                </c:pt>
                <c:pt idx="7" formatCode="0.00">
                  <c:v>304</c:v>
                </c:pt>
              </c:numCache>
            </c:numRef>
          </c:yVal>
        </c:ser>
        <c:axId val="87640320"/>
        <c:axId val="87678976"/>
      </c:scatterChart>
      <c:valAx>
        <c:axId val="87640320"/>
        <c:scaling>
          <c:orientation val="minMax"/>
          <c:max val="8"/>
          <c:min val="3"/>
        </c:scaling>
        <c:axPos val="b"/>
        <c:numFmt formatCode="@" sourceLinked="1"/>
        <c:tickLblPos val="nextTo"/>
        <c:crossAx val="87678976"/>
        <c:crosses val="autoZero"/>
        <c:crossBetween val="midCat"/>
      </c:valAx>
      <c:valAx>
        <c:axId val="87678976"/>
        <c:scaling>
          <c:orientation val="minMax"/>
        </c:scaling>
        <c:axPos val="l"/>
        <c:majorGridlines/>
        <c:numFmt formatCode="General" sourceLinked="1"/>
        <c:tickLblPos val="nextTo"/>
        <c:crossAx val="87640320"/>
        <c:crosses val="autoZero"/>
        <c:crossBetween val="midCat"/>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plotArea>
      <c:layout/>
      <c:scatterChart>
        <c:scatterStyle val="lineMarker"/>
        <c:ser>
          <c:idx val="0"/>
          <c:order val="0"/>
          <c:tx>
            <c:v>Stejné většiny</c:v>
          </c:tx>
          <c:spPr>
            <a:ln w="28575">
              <a:noFill/>
            </a:ln>
          </c:spPr>
          <c:marker>
            <c:symbol val="square"/>
            <c:size val="7"/>
          </c:marker>
          <c:trendline>
            <c:name>Proložení hodnot stejné většiny přímkou</c:name>
            <c:spPr>
              <a:ln w="28575">
                <a:solidFill>
                  <a:srgbClr val="0070C0"/>
                </a:solidFill>
              </a:ln>
              <a:effectLst/>
            </c:spPr>
            <c:trendlineType val="linear"/>
          </c:trendline>
          <c:xVal>
            <c:strRef>
              <c:f>List1!$A$7:$A$14</c:f>
              <c:strCache>
                <c:ptCount val="8"/>
                <c:pt idx="2">
                  <c:v>3. období</c:v>
                </c:pt>
                <c:pt idx="3">
                  <c:v>4. období</c:v>
                </c:pt>
                <c:pt idx="4">
                  <c:v>5. období</c:v>
                </c:pt>
                <c:pt idx="5">
                  <c:v>6. období</c:v>
                </c:pt>
                <c:pt idx="6">
                  <c:v>7. období</c:v>
                </c:pt>
                <c:pt idx="7">
                  <c:v>8. období</c:v>
                </c:pt>
              </c:strCache>
            </c:strRef>
          </c:xVal>
          <c:yVal>
            <c:numRef>
              <c:f>List1!$B$7:$B$14</c:f>
              <c:numCache>
                <c:formatCode>General</c:formatCode>
                <c:ptCount val="8"/>
                <c:pt idx="2" formatCode="0.00">
                  <c:v>1.01</c:v>
                </c:pt>
                <c:pt idx="5" formatCode="0.00">
                  <c:v>1.04</c:v>
                </c:pt>
                <c:pt idx="6" formatCode="0.00">
                  <c:v>1.180000000000009</c:v>
                </c:pt>
              </c:numCache>
            </c:numRef>
          </c:yVal>
        </c:ser>
        <c:ser>
          <c:idx val="1"/>
          <c:order val="1"/>
          <c:tx>
            <c:v>Rozdílné většiny</c:v>
          </c:tx>
          <c:spPr>
            <a:ln w="28575">
              <a:noFill/>
            </a:ln>
          </c:spPr>
          <c:trendline>
            <c:name>Proložení hodnot rozdílné většiny přímkou</c:name>
            <c:spPr>
              <a:ln w="31750" cmpd="sng">
                <a:solidFill>
                  <a:srgbClr val="C00000"/>
                </a:solidFill>
              </a:ln>
            </c:spPr>
            <c:trendlineType val="linear"/>
          </c:trendline>
          <c:xVal>
            <c:strRef>
              <c:f>List1!$A$7:$A$14</c:f>
              <c:strCache>
                <c:ptCount val="8"/>
                <c:pt idx="2">
                  <c:v>3. období</c:v>
                </c:pt>
                <c:pt idx="3">
                  <c:v>4. období</c:v>
                </c:pt>
                <c:pt idx="4">
                  <c:v>5. období</c:v>
                </c:pt>
                <c:pt idx="5">
                  <c:v>6. období</c:v>
                </c:pt>
                <c:pt idx="6">
                  <c:v>7. období</c:v>
                </c:pt>
                <c:pt idx="7">
                  <c:v>8. období</c:v>
                </c:pt>
              </c:strCache>
            </c:strRef>
          </c:xVal>
          <c:yVal>
            <c:numRef>
              <c:f>List1!$C$7:$C$14</c:f>
              <c:numCache>
                <c:formatCode>General</c:formatCode>
                <c:ptCount val="8"/>
                <c:pt idx="3" formatCode="0.00">
                  <c:v>1.21</c:v>
                </c:pt>
                <c:pt idx="4" formatCode="0.00">
                  <c:v>1.6300000000000001</c:v>
                </c:pt>
                <c:pt idx="7" formatCode="0.00">
                  <c:v>1.3900000000000001</c:v>
                </c:pt>
              </c:numCache>
            </c:numRef>
          </c:yVal>
        </c:ser>
        <c:axId val="88073728"/>
        <c:axId val="88075264"/>
      </c:scatterChart>
      <c:valAx>
        <c:axId val="88073728"/>
        <c:scaling>
          <c:orientation val="minMax"/>
          <c:max val="8"/>
          <c:min val="3"/>
        </c:scaling>
        <c:axPos val="b"/>
        <c:numFmt formatCode="@" sourceLinked="1"/>
        <c:tickLblPos val="nextTo"/>
        <c:crossAx val="88075264"/>
        <c:crosses val="autoZero"/>
        <c:crossBetween val="midCat"/>
      </c:valAx>
      <c:valAx>
        <c:axId val="88075264"/>
        <c:scaling>
          <c:orientation val="minMax"/>
        </c:scaling>
        <c:axPos val="l"/>
        <c:majorGridlines/>
        <c:numFmt formatCode="General" sourceLinked="1"/>
        <c:tickLblPos val="nextTo"/>
        <c:crossAx val="88073728"/>
        <c:crosses val="autoZero"/>
        <c:crossBetween val="midCat"/>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plotArea>
      <c:layout/>
      <c:scatterChart>
        <c:scatterStyle val="lineMarker"/>
        <c:ser>
          <c:idx val="0"/>
          <c:order val="0"/>
          <c:tx>
            <c:v>Stejné většiny</c:v>
          </c:tx>
          <c:spPr>
            <a:ln w="28575">
              <a:noFill/>
            </a:ln>
          </c:spPr>
          <c:marker>
            <c:symbol val="square"/>
            <c:size val="7"/>
          </c:marker>
          <c:trendline>
            <c:name>Proložení hodnot stejné většiny přímkou</c:name>
            <c:spPr>
              <a:ln w="28575">
                <a:solidFill>
                  <a:srgbClr val="0070C0"/>
                </a:solidFill>
              </a:ln>
              <a:effectLst/>
            </c:spPr>
            <c:trendlineType val="linear"/>
          </c:trendline>
          <c:xVal>
            <c:strRef>
              <c:f>List1!$A$7:$A$14</c:f>
              <c:strCache>
                <c:ptCount val="8"/>
                <c:pt idx="2">
                  <c:v>3. období</c:v>
                </c:pt>
                <c:pt idx="3">
                  <c:v>4. období</c:v>
                </c:pt>
                <c:pt idx="4">
                  <c:v>5. období</c:v>
                </c:pt>
                <c:pt idx="5">
                  <c:v>6. období</c:v>
                </c:pt>
                <c:pt idx="6">
                  <c:v>7. období</c:v>
                </c:pt>
                <c:pt idx="7">
                  <c:v>8. období</c:v>
                </c:pt>
              </c:strCache>
            </c:strRef>
          </c:xVal>
          <c:yVal>
            <c:numRef>
              <c:f>List1!$B$7:$B$14</c:f>
              <c:numCache>
                <c:formatCode>General</c:formatCode>
                <c:ptCount val="8"/>
                <c:pt idx="2" formatCode="0.00%">
                  <c:v>0.64700000000000513</c:v>
                </c:pt>
                <c:pt idx="5" formatCode="0.00%">
                  <c:v>0.5</c:v>
                </c:pt>
                <c:pt idx="6" formatCode="0.00%">
                  <c:v>0.5625</c:v>
                </c:pt>
              </c:numCache>
            </c:numRef>
          </c:yVal>
        </c:ser>
        <c:ser>
          <c:idx val="1"/>
          <c:order val="1"/>
          <c:tx>
            <c:v>Rozdílné většiny</c:v>
          </c:tx>
          <c:spPr>
            <a:ln w="28575">
              <a:noFill/>
            </a:ln>
          </c:spPr>
          <c:trendline>
            <c:name>Proložení hodnot rozdílné většiny přímkou</c:name>
            <c:spPr>
              <a:ln w="31750" cmpd="sng">
                <a:solidFill>
                  <a:srgbClr val="C00000"/>
                </a:solidFill>
              </a:ln>
            </c:spPr>
            <c:trendlineType val="linear"/>
          </c:trendline>
          <c:xVal>
            <c:strRef>
              <c:f>List1!$A$7:$A$14</c:f>
              <c:strCache>
                <c:ptCount val="8"/>
                <c:pt idx="2">
                  <c:v>3. období</c:v>
                </c:pt>
                <c:pt idx="3">
                  <c:v>4. období</c:v>
                </c:pt>
                <c:pt idx="4">
                  <c:v>5. období</c:v>
                </c:pt>
                <c:pt idx="5">
                  <c:v>6. období</c:v>
                </c:pt>
                <c:pt idx="6">
                  <c:v>7. období</c:v>
                </c:pt>
                <c:pt idx="7">
                  <c:v>8. období</c:v>
                </c:pt>
              </c:strCache>
            </c:strRef>
          </c:xVal>
          <c:yVal>
            <c:numRef>
              <c:f>List1!$C$7:$C$14</c:f>
              <c:numCache>
                <c:formatCode>General</c:formatCode>
                <c:ptCount val="8"/>
                <c:pt idx="3" formatCode="0.00%">
                  <c:v>0.62160000000000593</c:v>
                </c:pt>
                <c:pt idx="4" formatCode="0.00%">
                  <c:v>0.5323</c:v>
                </c:pt>
                <c:pt idx="7" formatCode="0.00%">
                  <c:v>0.34060000000000001</c:v>
                </c:pt>
              </c:numCache>
            </c:numRef>
          </c:yVal>
        </c:ser>
        <c:axId val="88158976"/>
        <c:axId val="88160512"/>
      </c:scatterChart>
      <c:valAx>
        <c:axId val="88158976"/>
        <c:scaling>
          <c:orientation val="minMax"/>
          <c:max val="8"/>
          <c:min val="3"/>
        </c:scaling>
        <c:axPos val="b"/>
        <c:numFmt formatCode="@" sourceLinked="1"/>
        <c:tickLblPos val="nextTo"/>
        <c:crossAx val="88160512"/>
        <c:crosses val="autoZero"/>
        <c:crossBetween val="midCat"/>
      </c:valAx>
      <c:valAx>
        <c:axId val="88160512"/>
        <c:scaling>
          <c:orientation val="minMax"/>
        </c:scaling>
        <c:axPos val="l"/>
        <c:majorGridlines/>
        <c:numFmt formatCode="General" sourceLinked="1"/>
        <c:tickLblPos val="nextTo"/>
        <c:crossAx val="88158976"/>
        <c:crosses val="autoZero"/>
        <c:crossBetween val="midCat"/>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cs-CZ"/>
  <c:chart>
    <c:plotArea>
      <c:layout/>
      <c:scatterChart>
        <c:scatterStyle val="lineMarker"/>
        <c:ser>
          <c:idx val="0"/>
          <c:order val="0"/>
          <c:tx>
            <c:v>Stejné většiny</c:v>
          </c:tx>
          <c:spPr>
            <a:ln w="28575">
              <a:noFill/>
            </a:ln>
          </c:spPr>
          <c:marker>
            <c:symbol val="square"/>
            <c:size val="7"/>
          </c:marker>
          <c:trendline>
            <c:name>Proložení hodnot stejné většiny přímkou</c:name>
            <c:spPr>
              <a:ln w="28575">
                <a:solidFill>
                  <a:srgbClr val="0070C0"/>
                </a:solidFill>
              </a:ln>
              <a:effectLst/>
            </c:spPr>
            <c:trendlineType val="linear"/>
          </c:trendline>
          <c:xVal>
            <c:strRef>
              <c:f>List1!$A$7:$A$14</c:f>
              <c:strCache>
                <c:ptCount val="8"/>
                <c:pt idx="2">
                  <c:v>3. období</c:v>
                </c:pt>
                <c:pt idx="3">
                  <c:v>4. období</c:v>
                </c:pt>
                <c:pt idx="4">
                  <c:v>5. období</c:v>
                </c:pt>
                <c:pt idx="5">
                  <c:v>6. období</c:v>
                </c:pt>
                <c:pt idx="6">
                  <c:v>7. období</c:v>
                </c:pt>
                <c:pt idx="7">
                  <c:v>8. období</c:v>
                </c:pt>
              </c:strCache>
            </c:strRef>
          </c:xVal>
          <c:yVal>
            <c:numRef>
              <c:f>List1!$B$7:$B$14</c:f>
              <c:numCache>
                <c:formatCode>General</c:formatCode>
                <c:ptCount val="8"/>
                <c:pt idx="2" formatCode="0.00%">
                  <c:v>0.71109999999999995</c:v>
                </c:pt>
                <c:pt idx="5" formatCode="0.00%">
                  <c:v>0.48640000000000227</c:v>
                </c:pt>
                <c:pt idx="6" formatCode="0.00%">
                  <c:v>0.54800000000000004</c:v>
                </c:pt>
              </c:numCache>
            </c:numRef>
          </c:yVal>
        </c:ser>
        <c:ser>
          <c:idx val="1"/>
          <c:order val="1"/>
          <c:tx>
            <c:v>Rozdílné většiny</c:v>
          </c:tx>
          <c:spPr>
            <a:ln w="28575">
              <a:noFill/>
            </a:ln>
          </c:spPr>
          <c:trendline>
            <c:name>Proložení hodnot rozdílné většiny přímkou</c:name>
            <c:spPr>
              <a:ln w="31750" cmpd="sng">
                <a:solidFill>
                  <a:srgbClr val="C00000"/>
                </a:solidFill>
              </a:ln>
            </c:spPr>
            <c:trendlineType val="linear"/>
          </c:trendline>
          <c:xVal>
            <c:strRef>
              <c:f>List1!$A$7:$A$14</c:f>
              <c:strCache>
                <c:ptCount val="8"/>
                <c:pt idx="2">
                  <c:v>3. období</c:v>
                </c:pt>
                <c:pt idx="3">
                  <c:v>4. období</c:v>
                </c:pt>
                <c:pt idx="4">
                  <c:v>5. období</c:v>
                </c:pt>
                <c:pt idx="5">
                  <c:v>6. období</c:v>
                </c:pt>
                <c:pt idx="6">
                  <c:v>7. období</c:v>
                </c:pt>
                <c:pt idx="7">
                  <c:v>8. období</c:v>
                </c:pt>
              </c:strCache>
            </c:strRef>
          </c:xVal>
          <c:yVal>
            <c:numRef>
              <c:f>List1!$C$7:$C$14</c:f>
              <c:numCache>
                <c:formatCode>General</c:formatCode>
                <c:ptCount val="8"/>
                <c:pt idx="3" formatCode="0.00%">
                  <c:v>0.62849999999999995</c:v>
                </c:pt>
                <c:pt idx="4" formatCode="0.00%">
                  <c:v>0.56790000000000063</c:v>
                </c:pt>
                <c:pt idx="7" formatCode="0.00%">
                  <c:v>0.31020000000000031</c:v>
                </c:pt>
              </c:numCache>
            </c:numRef>
          </c:yVal>
        </c:ser>
        <c:axId val="88190976"/>
        <c:axId val="88192512"/>
      </c:scatterChart>
      <c:valAx>
        <c:axId val="88190976"/>
        <c:scaling>
          <c:orientation val="minMax"/>
          <c:max val="8"/>
          <c:min val="3"/>
        </c:scaling>
        <c:axPos val="b"/>
        <c:numFmt formatCode="@" sourceLinked="1"/>
        <c:tickLblPos val="nextTo"/>
        <c:crossAx val="88192512"/>
        <c:crosses val="autoZero"/>
        <c:crossBetween val="midCat"/>
      </c:valAx>
      <c:valAx>
        <c:axId val="88192512"/>
        <c:scaling>
          <c:orientation val="minMax"/>
        </c:scaling>
        <c:axPos val="l"/>
        <c:majorGridlines/>
        <c:numFmt formatCode="General" sourceLinked="1"/>
        <c:tickLblPos val="nextTo"/>
        <c:crossAx val="88190976"/>
        <c:crosses val="autoZero"/>
        <c:crossBetween val="midCat"/>
      </c:valAx>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50E3-33F4-4688-BF5D-4A2C0C82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6592</TotalTime>
  <Pages>79</Pages>
  <Words>18915</Words>
  <Characters>111602</Characters>
  <Application>Microsoft Office Word</Application>
  <DocSecurity>0</DocSecurity>
  <Lines>930</Lines>
  <Paragraphs>260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Mates</dc:creator>
  <cp:lastModifiedBy>Mates</cp:lastModifiedBy>
  <cp:revision>474</cp:revision>
  <cp:lastPrinted>2013-06-25T08:50:00Z</cp:lastPrinted>
  <dcterms:created xsi:type="dcterms:W3CDTF">2013-05-26T13:43:00Z</dcterms:created>
  <dcterms:modified xsi:type="dcterms:W3CDTF">2013-06-25T09:42:00Z</dcterms:modified>
</cp:coreProperties>
</file>