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CEB4" w14:textId="77777777" w:rsidR="00AB776F" w:rsidRPr="00E05C72" w:rsidRDefault="00AB776F" w:rsidP="00AB776F">
      <w:pPr>
        <w:pStyle w:val="Nzev"/>
        <w:spacing w:line="360" w:lineRule="auto"/>
        <w:jc w:val="center"/>
        <w:rPr>
          <w:b w:val="0"/>
          <w:bCs/>
          <w:sz w:val="36"/>
          <w:szCs w:val="36"/>
        </w:rPr>
      </w:pPr>
      <w:r w:rsidRPr="00E05C72">
        <w:rPr>
          <w:b w:val="0"/>
          <w:bCs/>
          <w:sz w:val="36"/>
          <w:szCs w:val="36"/>
        </w:rPr>
        <w:t>Centrum judaistických studií Kurta a Ursuly Schubertových</w:t>
      </w:r>
    </w:p>
    <w:p w14:paraId="77727EAB" w14:textId="77777777" w:rsidR="00AB776F" w:rsidRPr="00E05C72" w:rsidRDefault="00AB776F" w:rsidP="00AB776F">
      <w:pPr>
        <w:jc w:val="center"/>
        <w:rPr>
          <w:sz w:val="32"/>
          <w:szCs w:val="32"/>
        </w:rPr>
      </w:pPr>
      <w:r w:rsidRPr="00E05C72">
        <w:rPr>
          <w:sz w:val="32"/>
          <w:szCs w:val="32"/>
        </w:rPr>
        <w:t>Filozofická fakulta</w:t>
      </w:r>
    </w:p>
    <w:p w14:paraId="7E72578F" w14:textId="77777777" w:rsidR="00AB776F" w:rsidRPr="00E05C72" w:rsidRDefault="00AB776F" w:rsidP="00AB776F">
      <w:pPr>
        <w:jc w:val="center"/>
        <w:rPr>
          <w:sz w:val="32"/>
          <w:szCs w:val="32"/>
        </w:rPr>
      </w:pPr>
      <w:r w:rsidRPr="00E05C72">
        <w:rPr>
          <w:sz w:val="32"/>
          <w:szCs w:val="32"/>
        </w:rPr>
        <w:t>Univerzita Palackého v Olomouci</w:t>
      </w:r>
    </w:p>
    <w:p w14:paraId="03960975" w14:textId="77777777" w:rsidR="00AB776F" w:rsidRPr="00E05C72" w:rsidRDefault="00AB776F" w:rsidP="00AB776F">
      <w:pPr>
        <w:pStyle w:val="Nzev"/>
        <w:spacing w:line="360" w:lineRule="auto"/>
        <w:jc w:val="center"/>
      </w:pPr>
    </w:p>
    <w:p w14:paraId="2DF56E66" w14:textId="77777777" w:rsidR="00AB776F" w:rsidRPr="00E05C72" w:rsidRDefault="00AB776F" w:rsidP="00AB776F"/>
    <w:p w14:paraId="3B990EEE" w14:textId="77777777" w:rsidR="00AB776F" w:rsidRPr="00E05C72" w:rsidRDefault="00AB776F" w:rsidP="00AB776F"/>
    <w:p w14:paraId="79DE8C0F" w14:textId="77777777" w:rsidR="00AB776F" w:rsidRPr="00E05C72" w:rsidRDefault="00AB776F" w:rsidP="00AB776F">
      <w:pPr>
        <w:pStyle w:val="Nzev"/>
        <w:spacing w:line="360" w:lineRule="auto"/>
        <w:jc w:val="center"/>
      </w:pPr>
    </w:p>
    <w:p w14:paraId="69B02637" w14:textId="77777777" w:rsidR="00AB776F" w:rsidRPr="00E05C72" w:rsidRDefault="00AB776F" w:rsidP="00AB776F">
      <w:pPr>
        <w:pStyle w:val="Nzev"/>
        <w:spacing w:line="360" w:lineRule="auto"/>
        <w:ind w:firstLine="708"/>
        <w:jc w:val="center"/>
        <w:rPr>
          <w:b w:val="0"/>
          <w:bCs/>
        </w:rPr>
      </w:pPr>
      <w:r w:rsidRPr="00E05C72">
        <w:rPr>
          <w:b w:val="0"/>
          <w:bCs/>
        </w:rPr>
        <w:t>Bc. Nikola Svobodníková</w:t>
      </w:r>
    </w:p>
    <w:p w14:paraId="25B6F51B" w14:textId="77777777" w:rsidR="00AB776F" w:rsidRPr="00E05C72" w:rsidRDefault="00AB776F" w:rsidP="00AB776F">
      <w:pPr>
        <w:pStyle w:val="Nzev"/>
        <w:spacing w:line="360" w:lineRule="auto"/>
        <w:jc w:val="center"/>
      </w:pPr>
    </w:p>
    <w:p w14:paraId="76E5E093" w14:textId="77777777" w:rsidR="00AB776F" w:rsidRPr="00E05C72" w:rsidRDefault="00AB776F" w:rsidP="00AB776F">
      <w:pPr>
        <w:ind w:left="707" w:firstLine="2"/>
        <w:jc w:val="center"/>
      </w:pPr>
      <w:r w:rsidRPr="00E05C72">
        <w:rPr>
          <w:rFonts w:eastAsiaTheme="majorEastAsia" w:cstheme="majorBidi"/>
          <w:b/>
          <w:spacing w:val="-10"/>
          <w:kern w:val="28"/>
          <w:sz w:val="32"/>
          <w:szCs w:val="56"/>
        </w:rPr>
        <w:t xml:space="preserve">A </w:t>
      </w:r>
      <w:proofErr w:type="spellStart"/>
      <w:r w:rsidRPr="00E05C72">
        <w:rPr>
          <w:rFonts w:eastAsiaTheme="majorEastAsia" w:cstheme="majorBidi"/>
          <w:b/>
          <w:spacing w:val="-10"/>
          <w:kern w:val="28"/>
          <w:sz w:val="32"/>
          <w:szCs w:val="56"/>
        </w:rPr>
        <w:t>Blessing</w:t>
      </w:r>
      <w:proofErr w:type="spellEnd"/>
      <w:r w:rsidRPr="00E05C72">
        <w:rPr>
          <w:rFonts w:eastAsiaTheme="majorEastAsia" w:cstheme="majorBidi"/>
          <w:b/>
          <w:spacing w:val="-10"/>
          <w:kern w:val="28"/>
          <w:sz w:val="32"/>
          <w:szCs w:val="56"/>
        </w:rPr>
        <w:t xml:space="preserve"> and a </w:t>
      </w:r>
      <w:proofErr w:type="spellStart"/>
      <w:r w:rsidRPr="00E05C72">
        <w:rPr>
          <w:rFonts w:eastAsiaTheme="majorEastAsia" w:cstheme="majorBidi"/>
          <w:b/>
          <w:spacing w:val="-10"/>
          <w:kern w:val="28"/>
          <w:sz w:val="32"/>
          <w:szCs w:val="56"/>
        </w:rPr>
        <w:t>Curse</w:t>
      </w:r>
      <w:proofErr w:type="spellEnd"/>
      <w:r w:rsidRPr="00E05C72">
        <w:rPr>
          <w:rFonts w:eastAsiaTheme="majorEastAsia" w:cstheme="majorBidi"/>
          <w:b/>
          <w:spacing w:val="-10"/>
          <w:kern w:val="28"/>
          <w:sz w:val="32"/>
          <w:szCs w:val="56"/>
        </w:rPr>
        <w:t xml:space="preserve">: Divine </w:t>
      </w:r>
      <w:proofErr w:type="spellStart"/>
      <w:r w:rsidRPr="00E05C72">
        <w:rPr>
          <w:rFonts w:eastAsiaTheme="majorEastAsia" w:cstheme="majorBidi"/>
          <w:b/>
          <w:spacing w:val="-10"/>
          <w:kern w:val="28"/>
          <w:sz w:val="32"/>
          <w:szCs w:val="56"/>
        </w:rPr>
        <w:t>Names</w:t>
      </w:r>
      <w:proofErr w:type="spellEnd"/>
      <w:r w:rsidRPr="00E05C72">
        <w:rPr>
          <w:rFonts w:eastAsiaTheme="majorEastAsia" w:cstheme="majorBidi"/>
          <w:b/>
          <w:spacing w:val="-10"/>
          <w:kern w:val="28"/>
          <w:sz w:val="32"/>
          <w:szCs w:val="56"/>
        </w:rPr>
        <w:t xml:space="preserve"> in </w:t>
      </w:r>
      <w:proofErr w:type="spellStart"/>
      <w:r w:rsidRPr="00E05C72">
        <w:rPr>
          <w:rFonts w:eastAsiaTheme="majorEastAsia" w:cstheme="majorBidi"/>
          <w:b/>
          <w:spacing w:val="-10"/>
          <w:kern w:val="28"/>
          <w:sz w:val="32"/>
          <w:szCs w:val="56"/>
        </w:rPr>
        <w:t>Jewish</w:t>
      </w:r>
      <w:proofErr w:type="spellEnd"/>
      <w:r w:rsidRPr="00E05C72">
        <w:rPr>
          <w:rFonts w:eastAsiaTheme="majorEastAsia" w:cstheme="majorBidi"/>
          <w:b/>
          <w:spacing w:val="-10"/>
          <w:kern w:val="28"/>
          <w:sz w:val="32"/>
          <w:szCs w:val="56"/>
        </w:rPr>
        <w:t xml:space="preserve"> </w:t>
      </w:r>
      <w:proofErr w:type="spellStart"/>
      <w:r w:rsidRPr="00E05C72">
        <w:rPr>
          <w:rFonts w:eastAsiaTheme="majorEastAsia" w:cstheme="majorBidi"/>
          <w:b/>
          <w:spacing w:val="-10"/>
          <w:kern w:val="28"/>
          <w:sz w:val="32"/>
          <w:szCs w:val="56"/>
        </w:rPr>
        <w:t>Textual</w:t>
      </w:r>
      <w:proofErr w:type="spellEnd"/>
      <w:r w:rsidRPr="00E05C72">
        <w:rPr>
          <w:rFonts w:eastAsiaTheme="majorEastAsia" w:cstheme="majorBidi"/>
          <w:b/>
          <w:spacing w:val="-10"/>
          <w:kern w:val="28"/>
          <w:sz w:val="32"/>
          <w:szCs w:val="56"/>
        </w:rPr>
        <w:t xml:space="preserve"> </w:t>
      </w:r>
      <w:proofErr w:type="spellStart"/>
      <w:r w:rsidRPr="00E05C72">
        <w:rPr>
          <w:rFonts w:eastAsiaTheme="majorEastAsia" w:cstheme="majorBidi"/>
          <w:b/>
          <w:spacing w:val="-10"/>
          <w:kern w:val="28"/>
          <w:sz w:val="32"/>
          <w:szCs w:val="56"/>
        </w:rPr>
        <w:t>Tradition</w:t>
      </w:r>
      <w:proofErr w:type="spellEnd"/>
    </w:p>
    <w:p w14:paraId="6BE56A73" w14:textId="77777777" w:rsidR="00AB776F" w:rsidRPr="00E05C72" w:rsidRDefault="00AB776F" w:rsidP="00AB776F">
      <w:pPr>
        <w:jc w:val="center"/>
      </w:pPr>
    </w:p>
    <w:p w14:paraId="5B31B224" w14:textId="77777777" w:rsidR="00AB776F" w:rsidRPr="00E05C72" w:rsidRDefault="00AB776F" w:rsidP="00AB776F">
      <w:pPr>
        <w:jc w:val="center"/>
        <w:rPr>
          <w:sz w:val="28"/>
          <w:szCs w:val="28"/>
        </w:rPr>
      </w:pPr>
      <w:r w:rsidRPr="00E05C72">
        <w:rPr>
          <w:sz w:val="28"/>
          <w:szCs w:val="28"/>
        </w:rPr>
        <w:t>Diplomová práce</w:t>
      </w:r>
    </w:p>
    <w:p w14:paraId="1C8BEC5E" w14:textId="77777777" w:rsidR="00AB776F" w:rsidRPr="00E05C72" w:rsidRDefault="00AB776F" w:rsidP="00AB776F">
      <w:pPr>
        <w:ind w:firstLine="993"/>
      </w:pPr>
    </w:p>
    <w:p w14:paraId="3EF78B18" w14:textId="77777777" w:rsidR="00AB776F" w:rsidRPr="00E05C72" w:rsidRDefault="00AB776F" w:rsidP="00AB776F"/>
    <w:p w14:paraId="399FF35B" w14:textId="77777777" w:rsidR="00AB776F" w:rsidRPr="00E05C72" w:rsidRDefault="00AB776F" w:rsidP="00AB776F"/>
    <w:p w14:paraId="4847C984" w14:textId="77777777" w:rsidR="00AB776F" w:rsidRPr="00E05C72" w:rsidRDefault="00AB776F" w:rsidP="00AB776F"/>
    <w:p w14:paraId="050AB688" w14:textId="77777777" w:rsidR="00AB776F" w:rsidRPr="00E05C72" w:rsidRDefault="00AB776F" w:rsidP="00AB776F"/>
    <w:p w14:paraId="07093043" w14:textId="77777777" w:rsidR="00AB776F" w:rsidRPr="00E05C72" w:rsidRDefault="00AB776F" w:rsidP="00AB776F"/>
    <w:p w14:paraId="068D3E4E" w14:textId="77777777" w:rsidR="00AB776F" w:rsidRPr="00E05C72" w:rsidRDefault="00AB776F" w:rsidP="00AB776F"/>
    <w:p w14:paraId="739BE025" w14:textId="77777777" w:rsidR="00AB776F" w:rsidRPr="00E05C72" w:rsidRDefault="00AB776F" w:rsidP="00AB776F"/>
    <w:p w14:paraId="3DF2D2EB" w14:textId="77777777" w:rsidR="00AB776F" w:rsidRPr="00E05C72" w:rsidRDefault="00AB776F" w:rsidP="00AB776F"/>
    <w:p w14:paraId="2792555E" w14:textId="77777777" w:rsidR="00AB776F" w:rsidRPr="00E05C72" w:rsidRDefault="00AB776F" w:rsidP="00AB776F"/>
    <w:p w14:paraId="33E1C261" w14:textId="77777777" w:rsidR="00AB776F" w:rsidRPr="00E05C72" w:rsidRDefault="00AB776F" w:rsidP="00AB776F"/>
    <w:p w14:paraId="76EAC4CC" w14:textId="77777777" w:rsidR="00AB776F" w:rsidRPr="00E05C72" w:rsidRDefault="00AB776F" w:rsidP="00AB776F"/>
    <w:p w14:paraId="278CC3D7" w14:textId="77777777" w:rsidR="00AB776F" w:rsidRPr="00E05C72" w:rsidRDefault="00AB776F" w:rsidP="00AB776F"/>
    <w:p w14:paraId="5E41E127" w14:textId="77777777" w:rsidR="00AB776F" w:rsidRPr="00E05C72" w:rsidRDefault="00AB776F" w:rsidP="00AB776F">
      <w:pPr>
        <w:tabs>
          <w:tab w:val="right" w:pos="8364"/>
        </w:tabs>
        <w:rPr>
          <w:sz w:val="28"/>
          <w:szCs w:val="28"/>
        </w:rPr>
      </w:pPr>
      <w:r w:rsidRPr="00E05C72">
        <w:rPr>
          <w:sz w:val="28"/>
          <w:szCs w:val="28"/>
        </w:rPr>
        <w:t>Olomouc 2021</w:t>
      </w:r>
      <w:r w:rsidRPr="00E05C72">
        <w:rPr>
          <w:sz w:val="28"/>
          <w:szCs w:val="28"/>
        </w:rPr>
        <w:tab/>
        <w:t>Vedoucí diplomové práce</w:t>
      </w:r>
    </w:p>
    <w:p w14:paraId="20676B0A" w14:textId="77777777" w:rsidR="00AB776F" w:rsidRPr="00E05C72" w:rsidRDefault="00AB776F" w:rsidP="00AB776F">
      <w:pPr>
        <w:tabs>
          <w:tab w:val="right" w:pos="8364"/>
        </w:tabs>
        <w:rPr>
          <w:sz w:val="28"/>
          <w:szCs w:val="28"/>
        </w:rPr>
        <w:sectPr w:rsidR="00AB776F" w:rsidRPr="00E05C72" w:rsidSect="00C23C50">
          <w:pgSz w:w="11906" w:h="16838"/>
          <w:pgMar w:top="1985" w:right="1134" w:bottom="1134" w:left="2268" w:header="709" w:footer="709" w:gutter="0"/>
          <w:pgNumType w:start="1"/>
          <w:cols w:space="708"/>
          <w:titlePg/>
          <w:docGrid w:linePitch="360"/>
        </w:sectPr>
      </w:pPr>
      <w:r w:rsidRPr="00E05C72">
        <w:rPr>
          <w:sz w:val="28"/>
          <w:szCs w:val="28"/>
        </w:rPr>
        <w:tab/>
        <w:t xml:space="preserve">Doc. </w:t>
      </w:r>
      <w:proofErr w:type="spellStart"/>
      <w:r w:rsidRPr="00E05C72">
        <w:rPr>
          <w:sz w:val="28"/>
          <w:szCs w:val="28"/>
        </w:rPr>
        <w:t>Tamás</w:t>
      </w:r>
      <w:proofErr w:type="spellEnd"/>
      <w:r w:rsidRPr="00E05C72">
        <w:rPr>
          <w:sz w:val="28"/>
          <w:szCs w:val="28"/>
        </w:rPr>
        <w:t xml:space="preserve"> Visi, Ph.D., </w:t>
      </w:r>
      <w:proofErr w:type="gramStart"/>
      <w:r w:rsidRPr="00E05C72">
        <w:rPr>
          <w:sz w:val="28"/>
          <w:szCs w:val="28"/>
        </w:rPr>
        <w:t>M.A</w:t>
      </w:r>
      <w:proofErr w:type="gramEnd"/>
    </w:p>
    <w:p w14:paraId="3A821841" w14:textId="77777777" w:rsidR="00AB776F" w:rsidRPr="00E05C72" w:rsidRDefault="00AB776F" w:rsidP="00AB776F">
      <w:pPr>
        <w:spacing w:after="200" w:line="276" w:lineRule="auto"/>
        <w:ind w:firstLine="0"/>
        <w:jc w:val="left"/>
      </w:pPr>
    </w:p>
    <w:p w14:paraId="2BE9433E" w14:textId="77777777" w:rsidR="00AB776F" w:rsidRPr="00E05C72" w:rsidRDefault="00AB776F" w:rsidP="00AB776F">
      <w:pPr>
        <w:spacing w:after="200" w:line="276" w:lineRule="auto"/>
        <w:ind w:firstLine="0"/>
        <w:jc w:val="left"/>
      </w:pPr>
      <w:r w:rsidRPr="00E05C72">
        <w:br w:type="page"/>
      </w:r>
    </w:p>
    <w:p w14:paraId="2EC55BE5" w14:textId="77777777" w:rsidR="00AB776F" w:rsidRPr="00E05C72" w:rsidRDefault="00AB776F" w:rsidP="00AB776F">
      <w:pPr>
        <w:tabs>
          <w:tab w:val="right" w:pos="8364"/>
        </w:tabs>
        <w:ind w:firstLine="0"/>
        <w:rPr>
          <w:rFonts w:cstheme="majorBidi"/>
          <w:b/>
          <w:bCs/>
          <w:sz w:val="28"/>
          <w:szCs w:val="28"/>
        </w:rPr>
      </w:pPr>
      <w:r w:rsidRPr="00E05C72">
        <w:rPr>
          <w:rFonts w:cstheme="majorBidi"/>
          <w:b/>
          <w:bCs/>
          <w:sz w:val="28"/>
          <w:szCs w:val="28"/>
        </w:rPr>
        <w:lastRenderedPageBreak/>
        <w:t>Prohlášení</w:t>
      </w:r>
    </w:p>
    <w:p w14:paraId="646326C6" w14:textId="77777777" w:rsidR="00AB776F" w:rsidRPr="00E05C72" w:rsidRDefault="00AB776F" w:rsidP="00AB776F">
      <w:pPr>
        <w:tabs>
          <w:tab w:val="right" w:pos="8364"/>
        </w:tabs>
        <w:ind w:firstLine="0"/>
        <w:rPr>
          <w:rFonts w:cstheme="majorBidi"/>
          <w:szCs w:val="24"/>
        </w:rPr>
      </w:pPr>
      <w:r w:rsidRPr="00E05C72">
        <w:rPr>
          <w:rFonts w:cstheme="majorBidi"/>
          <w:szCs w:val="24"/>
        </w:rPr>
        <w:t>Prohlašuji, že jsem diplomovou práci vypracovala samostatně a uvedla v ní předepsaným způsobem všechny použité prameny a literaturu.</w:t>
      </w:r>
    </w:p>
    <w:p w14:paraId="4AD357D1" w14:textId="77777777" w:rsidR="00AB776F" w:rsidRPr="00E05C72" w:rsidRDefault="00AB776F" w:rsidP="00AB776F">
      <w:pPr>
        <w:tabs>
          <w:tab w:val="right" w:pos="8364"/>
        </w:tabs>
        <w:rPr>
          <w:rFonts w:cstheme="majorBidi"/>
          <w:szCs w:val="24"/>
        </w:rPr>
      </w:pPr>
    </w:p>
    <w:p w14:paraId="28DCB742" w14:textId="2380C7DD" w:rsidR="00AB776F" w:rsidRPr="00E05C72" w:rsidRDefault="00AB776F" w:rsidP="00AB776F">
      <w:pPr>
        <w:tabs>
          <w:tab w:val="right" w:pos="8364"/>
        </w:tabs>
        <w:ind w:firstLine="0"/>
        <w:rPr>
          <w:rFonts w:cstheme="majorBidi"/>
          <w:szCs w:val="24"/>
        </w:rPr>
      </w:pPr>
      <w:r w:rsidRPr="00E05C72">
        <w:rPr>
          <w:rFonts w:cstheme="majorBidi"/>
          <w:szCs w:val="24"/>
        </w:rPr>
        <w:t xml:space="preserve">V </w:t>
      </w:r>
      <w:r w:rsidR="00823F4E" w:rsidRPr="00E05C72">
        <w:rPr>
          <w:rFonts w:cstheme="majorBidi"/>
          <w:szCs w:val="24"/>
        </w:rPr>
        <w:t>Olomouci</w:t>
      </w:r>
      <w:r w:rsidRPr="00E05C72">
        <w:rPr>
          <w:rFonts w:cstheme="majorBidi"/>
          <w:szCs w:val="24"/>
        </w:rPr>
        <w:t xml:space="preserve"> dne </w:t>
      </w:r>
      <w:r w:rsidR="00DE4BCE" w:rsidRPr="00E05C72">
        <w:rPr>
          <w:rFonts w:cstheme="majorBidi"/>
          <w:szCs w:val="24"/>
        </w:rPr>
        <w:t>6. 5. 2021</w:t>
      </w:r>
    </w:p>
    <w:p w14:paraId="4CE75228" w14:textId="77777777" w:rsidR="00E72981" w:rsidRPr="00A32F1B" w:rsidRDefault="00AB776F" w:rsidP="00E72981">
      <w:pPr>
        <w:pStyle w:val="Nadpis1"/>
        <w:rPr>
          <w:lang w:val="en-US"/>
        </w:rPr>
      </w:pPr>
      <w:r w:rsidRPr="00A32F1B">
        <w:rPr>
          <w:lang w:val="en-US"/>
        </w:rPr>
        <w:br w:type="page"/>
      </w:r>
      <w:r w:rsidR="00E72981" w:rsidRPr="00A32F1B">
        <w:rPr>
          <w:lang w:val="en-US"/>
        </w:rPr>
        <w:lastRenderedPageBreak/>
        <w:t>Acknowledgement</w:t>
      </w:r>
    </w:p>
    <w:p w14:paraId="41334C28" w14:textId="77777777" w:rsidR="00BA11CE" w:rsidRDefault="00BA11CE" w:rsidP="00154B32">
      <w:pPr>
        <w:ind w:firstLine="0"/>
        <w:rPr>
          <w:lang w:val="en-US"/>
        </w:rPr>
      </w:pPr>
    </w:p>
    <w:p w14:paraId="75EBF4A6" w14:textId="4F7E73F5" w:rsidR="00460CCB" w:rsidRDefault="00154B32" w:rsidP="00154B32">
      <w:pPr>
        <w:ind w:firstLine="0"/>
        <w:rPr>
          <w:lang w:val="en-US"/>
        </w:rPr>
      </w:pPr>
      <w:r>
        <w:rPr>
          <w:lang w:val="en-US"/>
        </w:rPr>
        <w:t xml:space="preserve">My deepest gratitude </w:t>
      </w:r>
      <w:r w:rsidR="00460CCB">
        <w:rPr>
          <w:lang w:val="en-US"/>
        </w:rPr>
        <w:t>belongs</w:t>
      </w:r>
      <w:r>
        <w:rPr>
          <w:lang w:val="en-US"/>
        </w:rPr>
        <w:t xml:space="preserve"> </w:t>
      </w:r>
      <w:r w:rsidR="00460CCB">
        <w:rPr>
          <w:lang w:val="en-US"/>
        </w:rPr>
        <w:t>to</w:t>
      </w:r>
      <w:r>
        <w:rPr>
          <w:lang w:val="en-US"/>
        </w:rPr>
        <w:t xml:space="preserve"> the amazing</w:t>
      </w:r>
      <w:r w:rsidR="00460CCB">
        <w:rPr>
          <w:lang w:val="en-US"/>
        </w:rPr>
        <w:t xml:space="preserve"> supervisor, but most of all true leader, of my thesis </w:t>
      </w:r>
      <w:proofErr w:type="spellStart"/>
      <w:r w:rsidR="00460CCB">
        <w:rPr>
          <w:lang w:val="en-US"/>
        </w:rPr>
        <w:t>Tamás</w:t>
      </w:r>
      <w:proofErr w:type="spellEnd"/>
      <w:r w:rsidR="00460CCB">
        <w:rPr>
          <w:lang w:val="en-US"/>
        </w:rPr>
        <w:t xml:space="preserve"> </w:t>
      </w:r>
      <w:proofErr w:type="spellStart"/>
      <w:r w:rsidR="00460CCB">
        <w:rPr>
          <w:lang w:val="en-US"/>
        </w:rPr>
        <w:t>Visi</w:t>
      </w:r>
      <w:proofErr w:type="spellEnd"/>
      <w:r w:rsidR="00460CCB">
        <w:rPr>
          <w:lang w:val="en-US"/>
        </w:rPr>
        <w:t xml:space="preserve"> who helped me immensely in the process of thinking and writing and essentially also existing in the currents of this reality. Every consultation full of brainstorming, ideas and inspirations was truly an exceptional and wonderful experience.</w:t>
      </w:r>
    </w:p>
    <w:p w14:paraId="12E3FB3E" w14:textId="77777777" w:rsidR="00B008E7" w:rsidRDefault="00460CCB" w:rsidP="00154B32">
      <w:pPr>
        <w:ind w:firstLine="0"/>
        <w:rPr>
          <w:lang w:val="en-US"/>
        </w:rPr>
      </w:pPr>
      <w:r>
        <w:rPr>
          <w:lang w:val="en-US"/>
        </w:rPr>
        <w:t xml:space="preserve">I am very thankful </w:t>
      </w:r>
      <w:r w:rsidR="00B008E7">
        <w:rPr>
          <w:lang w:val="en-US"/>
        </w:rPr>
        <w:t>to</w:t>
      </w:r>
      <w:r>
        <w:rPr>
          <w:lang w:val="en-US"/>
        </w:rPr>
        <w:t xml:space="preserve"> my family and friends for all the support, kind words, advice and simply for listening to my spontaneous attempts to share new knowledge and </w:t>
      </w:r>
      <w:r w:rsidR="00B008E7">
        <w:rPr>
          <w:lang w:val="en-US"/>
        </w:rPr>
        <w:t>rather miscellaneous associations.</w:t>
      </w:r>
    </w:p>
    <w:p w14:paraId="5446FB5A" w14:textId="0DC3768A" w:rsidR="00AB776F" w:rsidRPr="00A32F1B" w:rsidRDefault="00E72981" w:rsidP="00154B32">
      <w:pPr>
        <w:ind w:firstLine="0"/>
        <w:rPr>
          <w:lang w:val="en-US"/>
        </w:rPr>
      </w:pPr>
      <w:r w:rsidRPr="00A32F1B">
        <w:rPr>
          <w:lang w:val="en-US"/>
        </w:rPr>
        <w:br w:type="page"/>
      </w:r>
    </w:p>
    <w:sdt>
      <w:sdtPr>
        <w:rPr>
          <w:rFonts w:asciiTheme="majorBidi" w:eastAsiaTheme="minorHAnsi" w:hAnsiTheme="majorBidi" w:cstheme="minorBidi"/>
          <w:b/>
          <w:bCs/>
          <w:color w:val="auto"/>
          <w:sz w:val="24"/>
          <w:szCs w:val="22"/>
          <w:lang w:val="en-US" w:eastAsia="en-US"/>
        </w:rPr>
        <w:id w:val="1517732725"/>
        <w:docPartObj>
          <w:docPartGallery w:val="Table of Contents"/>
          <w:docPartUnique/>
        </w:docPartObj>
      </w:sdtPr>
      <w:sdtEndPr>
        <w:rPr>
          <w:rFonts w:ascii="Times New Roman" w:hAnsi="Times New Roman"/>
        </w:rPr>
      </w:sdtEndPr>
      <w:sdtContent>
        <w:p w14:paraId="0918CF02" w14:textId="667E98DA" w:rsidR="00AB776F" w:rsidRPr="00A32F1B" w:rsidRDefault="00AB776F">
          <w:pPr>
            <w:pStyle w:val="Nadpisobsahu"/>
            <w:rPr>
              <w:rFonts w:asciiTheme="majorBidi" w:hAnsiTheme="majorBidi"/>
              <w:b/>
              <w:bCs/>
              <w:color w:val="auto"/>
              <w:lang w:val="en-US"/>
            </w:rPr>
          </w:pPr>
          <w:r w:rsidRPr="00A32F1B">
            <w:rPr>
              <w:rFonts w:asciiTheme="majorBidi" w:hAnsiTheme="majorBidi"/>
              <w:b/>
              <w:bCs/>
              <w:color w:val="auto"/>
              <w:lang w:val="en-US"/>
            </w:rPr>
            <w:t>Table of Contents</w:t>
          </w:r>
        </w:p>
        <w:p w14:paraId="21BAC641" w14:textId="77777777" w:rsidR="00AB776F" w:rsidRPr="00A32F1B" w:rsidRDefault="00AB776F" w:rsidP="00AB776F">
          <w:pPr>
            <w:rPr>
              <w:lang w:val="en-US" w:eastAsia="cs-CZ"/>
            </w:rPr>
          </w:pPr>
        </w:p>
        <w:p w14:paraId="1919110D" w14:textId="7E7725E0" w:rsidR="00AB776F" w:rsidRPr="00A32F1B" w:rsidRDefault="00AB776F" w:rsidP="00AB776F">
          <w:pPr>
            <w:pStyle w:val="Obsah1"/>
            <w:tabs>
              <w:tab w:val="right" w:leader="dot" w:pos="8494"/>
            </w:tabs>
            <w:rPr>
              <w:noProof/>
              <w:lang w:val="en-US"/>
            </w:rPr>
          </w:pPr>
          <w:r w:rsidRPr="00A32F1B">
            <w:rPr>
              <w:lang w:val="en-US"/>
            </w:rPr>
            <w:fldChar w:fldCharType="begin"/>
          </w:r>
          <w:r w:rsidRPr="00A32F1B">
            <w:rPr>
              <w:lang w:val="en-US"/>
            </w:rPr>
            <w:instrText xml:space="preserve"> TOC \o "1-3" \h \z \u </w:instrText>
          </w:r>
          <w:r w:rsidRPr="00A32F1B">
            <w:rPr>
              <w:lang w:val="en-US"/>
            </w:rPr>
            <w:fldChar w:fldCharType="separate"/>
          </w:r>
          <w:hyperlink w:anchor="_Toc70950038" w:history="1">
            <w:r w:rsidRPr="00A32F1B">
              <w:rPr>
                <w:rStyle w:val="Hypertextovodkaz"/>
                <w:noProof/>
                <w:lang w:val="en-US"/>
              </w:rPr>
              <w:t>Introduction</w:t>
            </w:r>
            <w:r w:rsidRPr="00A32F1B">
              <w:rPr>
                <w:noProof/>
                <w:webHidden/>
                <w:lang w:val="en-US"/>
              </w:rPr>
              <w:tab/>
            </w:r>
            <w:r w:rsidRPr="00A32F1B">
              <w:rPr>
                <w:noProof/>
                <w:webHidden/>
                <w:lang w:val="en-US"/>
              </w:rPr>
              <w:fldChar w:fldCharType="begin"/>
            </w:r>
            <w:r w:rsidRPr="00A32F1B">
              <w:rPr>
                <w:noProof/>
                <w:webHidden/>
                <w:lang w:val="en-US"/>
              </w:rPr>
              <w:instrText xml:space="preserve"> PAGEREF _Toc70950038 \h </w:instrText>
            </w:r>
            <w:r w:rsidRPr="00A32F1B">
              <w:rPr>
                <w:noProof/>
                <w:webHidden/>
                <w:lang w:val="en-US"/>
              </w:rPr>
            </w:r>
            <w:r w:rsidRPr="00A32F1B">
              <w:rPr>
                <w:noProof/>
                <w:webHidden/>
                <w:lang w:val="en-US"/>
              </w:rPr>
              <w:fldChar w:fldCharType="separate"/>
            </w:r>
            <w:r w:rsidR="002561E0">
              <w:rPr>
                <w:noProof/>
                <w:webHidden/>
                <w:lang w:val="en-US"/>
              </w:rPr>
              <w:t>1</w:t>
            </w:r>
            <w:r w:rsidRPr="00A32F1B">
              <w:rPr>
                <w:noProof/>
                <w:webHidden/>
                <w:lang w:val="en-US"/>
              </w:rPr>
              <w:fldChar w:fldCharType="end"/>
            </w:r>
          </w:hyperlink>
        </w:p>
        <w:p w14:paraId="71AFF091" w14:textId="06E33B9C" w:rsidR="00AB776F" w:rsidRPr="00A32F1B" w:rsidRDefault="00E1792F">
          <w:pPr>
            <w:pStyle w:val="Obsah1"/>
            <w:tabs>
              <w:tab w:val="left" w:pos="440"/>
              <w:tab w:val="right" w:leader="dot" w:pos="8494"/>
            </w:tabs>
            <w:rPr>
              <w:noProof/>
              <w:lang w:val="en-US"/>
            </w:rPr>
          </w:pPr>
          <w:hyperlink w:anchor="_Toc70950039" w:history="1">
            <w:r w:rsidR="00AB776F" w:rsidRPr="00A32F1B">
              <w:rPr>
                <w:rStyle w:val="Hypertextovodkaz"/>
                <w:noProof/>
                <w:lang w:val="en-US"/>
              </w:rPr>
              <w:t>1</w:t>
            </w:r>
            <w:r w:rsidR="00AB776F" w:rsidRPr="00A32F1B">
              <w:rPr>
                <w:noProof/>
                <w:lang w:val="en-US"/>
              </w:rPr>
              <w:t> </w:t>
            </w:r>
            <w:r w:rsidR="00AB776F" w:rsidRPr="00A32F1B">
              <w:rPr>
                <w:rStyle w:val="Hypertextovodkaz"/>
                <w:noProof/>
                <w:lang w:val="en-US"/>
              </w:rPr>
              <w:t>Syncretism and Translatability</w:t>
            </w:r>
            <w:r w:rsidR="00AB776F" w:rsidRPr="00A32F1B">
              <w:rPr>
                <w:noProof/>
                <w:webHidden/>
                <w:lang w:val="en-US"/>
              </w:rPr>
              <w:tab/>
            </w:r>
            <w:r w:rsidR="00AB776F" w:rsidRPr="00A32F1B">
              <w:rPr>
                <w:noProof/>
                <w:webHidden/>
                <w:lang w:val="en-US"/>
              </w:rPr>
              <w:fldChar w:fldCharType="begin"/>
            </w:r>
            <w:r w:rsidR="00AB776F" w:rsidRPr="00A32F1B">
              <w:rPr>
                <w:noProof/>
                <w:webHidden/>
                <w:lang w:val="en-US"/>
              </w:rPr>
              <w:instrText xml:space="preserve"> PAGEREF _Toc70950039 \h </w:instrText>
            </w:r>
            <w:r w:rsidR="00AB776F" w:rsidRPr="00A32F1B">
              <w:rPr>
                <w:noProof/>
                <w:webHidden/>
                <w:lang w:val="en-US"/>
              </w:rPr>
            </w:r>
            <w:r w:rsidR="00AB776F" w:rsidRPr="00A32F1B">
              <w:rPr>
                <w:noProof/>
                <w:webHidden/>
                <w:lang w:val="en-US"/>
              </w:rPr>
              <w:fldChar w:fldCharType="separate"/>
            </w:r>
            <w:r w:rsidR="002561E0">
              <w:rPr>
                <w:noProof/>
                <w:webHidden/>
                <w:lang w:val="en-US"/>
              </w:rPr>
              <w:t>3</w:t>
            </w:r>
            <w:r w:rsidR="00AB776F" w:rsidRPr="00A32F1B">
              <w:rPr>
                <w:noProof/>
                <w:webHidden/>
                <w:lang w:val="en-US"/>
              </w:rPr>
              <w:fldChar w:fldCharType="end"/>
            </w:r>
          </w:hyperlink>
        </w:p>
        <w:p w14:paraId="05ACEA82" w14:textId="75E74DF3" w:rsidR="00AB776F" w:rsidRPr="00A32F1B" w:rsidRDefault="00E1792F">
          <w:pPr>
            <w:pStyle w:val="Obsah1"/>
            <w:tabs>
              <w:tab w:val="left" w:pos="440"/>
              <w:tab w:val="right" w:leader="dot" w:pos="8494"/>
            </w:tabs>
            <w:rPr>
              <w:noProof/>
              <w:lang w:val="en-US"/>
            </w:rPr>
          </w:pPr>
          <w:hyperlink w:anchor="_Toc70950040" w:history="1">
            <w:r w:rsidR="00AB776F" w:rsidRPr="00A32F1B">
              <w:rPr>
                <w:rStyle w:val="Hypertextovodkaz"/>
                <w:noProof/>
                <w:lang w:val="en-US"/>
              </w:rPr>
              <w:t>2</w:t>
            </w:r>
            <w:r w:rsidR="00AB776F" w:rsidRPr="00A32F1B">
              <w:rPr>
                <w:noProof/>
                <w:lang w:val="en-US"/>
              </w:rPr>
              <w:t> </w:t>
            </w:r>
            <w:r w:rsidR="00AB776F" w:rsidRPr="00A32F1B">
              <w:rPr>
                <w:rStyle w:val="Hypertextovodkaz"/>
                <w:noProof/>
                <w:lang w:val="en-US"/>
              </w:rPr>
              <w:t>Abraxas</w:t>
            </w:r>
            <w:r w:rsidR="00AB776F" w:rsidRPr="00A32F1B">
              <w:rPr>
                <w:noProof/>
                <w:webHidden/>
                <w:lang w:val="en-US"/>
              </w:rPr>
              <w:tab/>
            </w:r>
            <w:r w:rsidR="00AB776F" w:rsidRPr="00A32F1B">
              <w:rPr>
                <w:noProof/>
                <w:webHidden/>
                <w:lang w:val="en-US"/>
              </w:rPr>
              <w:fldChar w:fldCharType="begin"/>
            </w:r>
            <w:r w:rsidR="00AB776F" w:rsidRPr="00A32F1B">
              <w:rPr>
                <w:noProof/>
                <w:webHidden/>
                <w:lang w:val="en-US"/>
              </w:rPr>
              <w:instrText xml:space="preserve"> PAGEREF _Toc70950040 \h </w:instrText>
            </w:r>
            <w:r w:rsidR="00AB776F" w:rsidRPr="00A32F1B">
              <w:rPr>
                <w:noProof/>
                <w:webHidden/>
                <w:lang w:val="en-US"/>
              </w:rPr>
            </w:r>
            <w:r w:rsidR="00AB776F" w:rsidRPr="00A32F1B">
              <w:rPr>
                <w:noProof/>
                <w:webHidden/>
                <w:lang w:val="en-US"/>
              </w:rPr>
              <w:fldChar w:fldCharType="separate"/>
            </w:r>
            <w:r w:rsidR="002561E0">
              <w:rPr>
                <w:noProof/>
                <w:webHidden/>
                <w:lang w:val="en-US"/>
              </w:rPr>
              <w:t>11</w:t>
            </w:r>
            <w:r w:rsidR="00AB776F" w:rsidRPr="00A32F1B">
              <w:rPr>
                <w:noProof/>
                <w:webHidden/>
                <w:lang w:val="en-US"/>
              </w:rPr>
              <w:fldChar w:fldCharType="end"/>
            </w:r>
          </w:hyperlink>
        </w:p>
        <w:p w14:paraId="55AD2C35" w14:textId="55EDD766" w:rsidR="00AB776F" w:rsidRPr="00A32F1B" w:rsidRDefault="00E1792F">
          <w:pPr>
            <w:pStyle w:val="Obsah2"/>
            <w:tabs>
              <w:tab w:val="left" w:pos="880"/>
              <w:tab w:val="right" w:leader="dot" w:pos="8494"/>
            </w:tabs>
            <w:rPr>
              <w:noProof/>
              <w:lang w:val="en-US"/>
            </w:rPr>
          </w:pPr>
          <w:hyperlink w:anchor="_Toc70950041" w:history="1">
            <w:r w:rsidR="00AB776F" w:rsidRPr="00A32F1B">
              <w:rPr>
                <w:rStyle w:val="Hypertextovodkaz"/>
                <w:noProof/>
                <w:lang w:val="en-US"/>
              </w:rPr>
              <w:t>2.1 Gnosticism and Gnostic literature</w:t>
            </w:r>
            <w:r w:rsidR="00AB776F" w:rsidRPr="00A32F1B">
              <w:rPr>
                <w:noProof/>
                <w:webHidden/>
                <w:lang w:val="en-US"/>
              </w:rPr>
              <w:tab/>
            </w:r>
            <w:r w:rsidR="00AB776F" w:rsidRPr="00A32F1B">
              <w:rPr>
                <w:noProof/>
                <w:webHidden/>
                <w:lang w:val="en-US"/>
              </w:rPr>
              <w:fldChar w:fldCharType="begin"/>
            </w:r>
            <w:r w:rsidR="00AB776F" w:rsidRPr="00A32F1B">
              <w:rPr>
                <w:noProof/>
                <w:webHidden/>
                <w:lang w:val="en-US"/>
              </w:rPr>
              <w:instrText xml:space="preserve"> PAGEREF _Toc70950041 \h </w:instrText>
            </w:r>
            <w:r w:rsidR="00AB776F" w:rsidRPr="00A32F1B">
              <w:rPr>
                <w:noProof/>
                <w:webHidden/>
                <w:lang w:val="en-US"/>
              </w:rPr>
            </w:r>
            <w:r w:rsidR="00AB776F" w:rsidRPr="00A32F1B">
              <w:rPr>
                <w:noProof/>
                <w:webHidden/>
                <w:lang w:val="en-US"/>
              </w:rPr>
              <w:fldChar w:fldCharType="separate"/>
            </w:r>
            <w:r w:rsidR="002561E0">
              <w:rPr>
                <w:noProof/>
                <w:webHidden/>
                <w:lang w:val="en-US"/>
              </w:rPr>
              <w:t>23</w:t>
            </w:r>
            <w:r w:rsidR="00AB776F" w:rsidRPr="00A32F1B">
              <w:rPr>
                <w:noProof/>
                <w:webHidden/>
                <w:lang w:val="en-US"/>
              </w:rPr>
              <w:fldChar w:fldCharType="end"/>
            </w:r>
          </w:hyperlink>
        </w:p>
        <w:p w14:paraId="6F85C2D2" w14:textId="14DCFA1F" w:rsidR="00AB776F" w:rsidRPr="00A32F1B" w:rsidRDefault="00E1792F">
          <w:pPr>
            <w:pStyle w:val="Obsah2"/>
            <w:tabs>
              <w:tab w:val="left" w:pos="880"/>
              <w:tab w:val="right" w:leader="dot" w:pos="8494"/>
            </w:tabs>
            <w:rPr>
              <w:noProof/>
              <w:lang w:val="en-US"/>
            </w:rPr>
          </w:pPr>
          <w:hyperlink w:anchor="_Toc70950042" w:history="1">
            <w:r w:rsidR="00AB776F" w:rsidRPr="00A32F1B">
              <w:rPr>
                <w:rStyle w:val="Hypertextovodkaz"/>
                <w:noProof/>
                <w:lang w:val="en-US"/>
              </w:rPr>
              <w:t>2.2 Greek Magical Papyri</w:t>
            </w:r>
            <w:r w:rsidR="00AB776F" w:rsidRPr="00A32F1B">
              <w:rPr>
                <w:noProof/>
                <w:webHidden/>
                <w:lang w:val="en-US"/>
              </w:rPr>
              <w:tab/>
            </w:r>
            <w:r w:rsidR="00AB776F" w:rsidRPr="00A32F1B">
              <w:rPr>
                <w:noProof/>
                <w:webHidden/>
                <w:lang w:val="en-US"/>
              </w:rPr>
              <w:fldChar w:fldCharType="begin"/>
            </w:r>
            <w:r w:rsidR="00AB776F" w:rsidRPr="00A32F1B">
              <w:rPr>
                <w:noProof/>
                <w:webHidden/>
                <w:lang w:val="en-US"/>
              </w:rPr>
              <w:instrText xml:space="preserve"> PAGEREF _Toc70950042 \h </w:instrText>
            </w:r>
            <w:r w:rsidR="00AB776F" w:rsidRPr="00A32F1B">
              <w:rPr>
                <w:noProof/>
                <w:webHidden/>
                <w:lang w:val="en-US"/>
              </w:rPr>
            </w:r>
            <w:r w:rsidR="00AB776F" w:rsidRPr="00A32F1B">
              <w:rPr>
                <w:noProof/>
                <w:webHidden/>
                <w:lang w:val="en-US"/>
              </w:rPr>
              <w:fldChar w:fldCharType="separate"/>
            </w:r>
            <w:r w:rsidR="002561E0">
              <w:rPr>
                <w:noProof/>
                <w:webHidden/>
                <w:lang w:val="en-US"/>
              </w:rPr>
              <w:t>29</w:t>
            </w:r>
            <w:r w:rsidR="00AB776F" w:rsidRPr="00A32F1B">
              <w:rPr>
                <w:noProof/>
                <w:webHidden/>
                <w:lang w:val="en-US"/>
              </w:rPr>
              <w:fldChar w:fldCharType="end"/>
            </w:r>
          </w:hyperlink>
        </w:p>
        <w:p w14:paraId="798FDCC2" w14:textId="7DB1907E" w:rsidR="00AB776F" w:rsidRPr="00A32F1B" w:rsidRDefault="00E1792F">
          <w:pPr>
            <w:pStyle w:val="Obsah2"/>
            <w:tabs>
              <w:tab w:val="left" w:pos="880"/>
              <w:tab w:val="right" w:leader="dot" w:pos="8494"/>
            </w:tabs>
            <w:rPr>
              <w:noProof/>
              <w:lang w:val="en-US"/>
            </w:rPr>
          </w:pPr>
          <w:hyperlink w:anchor="_Toc70950043" w:history="1">
            <w:r w:rsidR="00AB776F" w:rsidRPr="00A32F1B">
              <w:rPr>
                <w:rStyle w:val="Hypertextovodkaz"/>
                <w:noProof/>
                <w:lang w:val="en-US"/>
              </w:rPr>
              <w:t>2.3</w:t>
            </w:r>
            <w:r w:rsidR="00AB776F" w:rsidRPr="00A32F1B">
              <w:rPr>
                <w:noProof/>
                <w:lang w:val="en-US"/>
              </w:rPr>
              <w:t> </w:t>
            </w:r>
            <w:r w:rsidR="00AB776F" w:rsidRPr="00A32F1B">
              <w:rPr>
                <w:rStyle w:val="Hypertextovodkaz"/>
                <w:noProof/>
                <w:lang w:val="en-US"/>
              </w:rPr>
              <w:t>Amulets</w:t>
            </w:r>
            <w:r w:rsidR="00AB776F" w:rsidRPr="00A32F1B">
              <w:rPr>
                <w:noProof/>
                <w:webHidden/>
                <w:lang w:val="en-US"/>
              </w:rPr>
              <w:tab/>
            </w:r>
            <w:r w:rsidR="00AB776F" w:rsidRPr="00A32F1B">
              <w:rPr>
                <w:noProof/>
                <w:webHidden/>
                <w:lang w:val="en-US"/>
              </w:rPr>
              <w:fldChar w:fldCharType="begin"/>
            </w:r>
            <w:r w:rsidR="00AB776F" w:rsidRPr="00A32F1B">
              <w:rPr>
                <w:noProof/>
                <w:webHidden/>
                <w:lang w:val="en-US"/>
              </w:rPr>
              <w:instrText xml:space="preserve"> PAGEREF _Toc70950043 \h </w:instrText>
            </w:r>
            <w:r w:rsidR="00AB776F" w:rsidRPr="00A32F1B">
              <w:rPr>
                <w:noProof/>
                <w:webHidden/>
                <w:lang w:val="en-US"/>
              </w:rPr>
            </w:r>
            <w:r w:rsidR="00AB776F" w:rsidRPr="00A32F1B">
              <w:rPr>
                <w:noProof/>
                <w:webHidden/>
                <w:lang w:val="en-US"/>
              </w:rPr>
              <w:fldChar w:fldCharType="separate"/>
            </w:r>
            <w:r w:rsidR="002561E0">
              <w:rPr>
                <w:noProof/>
                <w:webHidden/>
                <w:lang w:val="en-US"/>
              </w:rPr>
              <w:t>33</w:t>
            </w:r>
            <w:r w:rsidR="00AB776F" w:rsidRPr="00A32F1B">
              <w:rPr>
                <w:noProof/>
                <w:webHidden/>
                <w:lang w:val="en-US"/>
              </w:rPr>
              <w:fldChar w:fldCharType="end"/>
            </w:r>
          </w:hyperlink>
        </w:p>
        <w:p w14:paraId="1F150307" w14:textId="261FBB62" w:rsidR="00AB776F" w:rsidRPr="00A32F1B" w:rsidRDefault="00E1792F">
          <w:pPr>
            <w:pStyle w:val="Obsah2"/>
            <w:tabs>
              <w:tab w:val="left" w:pos="880"/>
              <w:tab w:val="right" w:leader="dot" w:pos="8494"/>
            </w:tabs>
            <w:rPr>
              <w:noProof/>
              <w:lang w:val="en-US"/>
            </w:rPr>
          </w:pPr>
          <w:hyperlink w:anchor="_Toc70950044" w:history="1">
            <w:r w:rsidR="00AB776F" w:rsidRPr="00A32F1B">
              <w:rPr>
                <w:rStyle w:val="Hypertextovodkaz"/>
                <w:noProof/>
                <w:lang w:val="en-US"/>
              </w:rPr>
              <w:t>2.4</w:t>
            </w:r>
            <w:r w:rsidR="00AB776F" w:rsidRPr="00A32F1B">
              <w:rPr>
                <w:noProof/>
                <w:lang w:val="en-US"/>
              </w:rPr>
              <w:t> </w:t>
            </w:r>
            <w:r w:rsidR="00AB776F" w:rsidRPr="00A32F1B">
              <w:rPr>
                <w:rStyle w:val="Hypertextovodkaz"/>
                <w:noProof/>
                <w:lang w:val="en-US"/>
              </w:rPr>
              <w:t>Ḥarba de-Moshe</w:t>
            </w:r>
            <w:r w:rsidR="00AB776F" w:rsidRPr="00A32F1B">
              <w:rPr>
                <w:noProof/>
                <w:webHidden/>
                <w:lang w:val="en-US"/>
              </w:rPr>
              <w:tab/>
            </w:r>
            <w:r w:rsidR="00AB776F" w:rsidRPr="00A32F1B">
              <w:rPr>
                <w:noProof/>
                <w:webHidden/>
                <w:lang w:val="en-US"/>
              </w:rPr>
              <w:fldChar w:fldCharType="begin"/>
            </w:r>
            <w:r w:rsidR="00AB776F" w:rsidRPr="00A32F1B">
              <w:rPr>
                <w:noProof/>
                <w:webHidden/>
                <w:lang w:val="en-US"/>
              </w:rPr>
              <w:instrText xml:space="preserve"> PAGEREF _Toc70950044 \h </w:instrText>
            </w:r>
            <w:r w:rsidR="00AB776F" w:rsidRPr="00A32F1B">
              <w:rPr>
                <w:noProof/>
                <w:webHidden/>
                <w:lang w:val="en-US"/>
              </w:rPr>
            </w:r>
            <w:r w:rsidR="00AB776F" w:rsidRPr="00A32F1B">
              <w:rPr>
                <w:noProof/>
                <w:webHidden/>
                <w:lang w:val="en-US"/>
              </w:rPr>
              <w:fldChar w:fldCharType="separate"/>
            </w:r>
            <w:r w:rsidR="002561E0">
              <w:rPr>
                <w:noProof/>
                <w:webHidden/>
                <w:lang w:val="en-US"/>
              </w:rPr>
              <w:t>39</w:t>
            </w:r>
            <w:r w:rsidR="00AB776F" w:rsidRPr="00A32F1B">
              <w:rPr>
                <w:noProof/>
                <w:webHidden/>
                <w:lang w:val="en-US"/>
              </w:rPr>
              <w:fldChar w:fldCharType="end"/>
            </w:r>
          </w:hyperlink>
        </w:p>
        <w:p w14:paraId="0421E376" w14:textId="79459AFC" w:rsidR="00AB776F" w:rsidRPr="00A32F1B" w:rsidRDefault="00E1792F">
          <w:pPr>
            <w:pStyle w:val="Obsah2"/>
            <w:tabs>
              <w:tab w:val="left" w:pos="880"/>
              <w:tab w:val="right" w:leader="dot" w:pos="8494"/>
            </w:tabs>
            <w:rPr>
              <w:noProof/>
              <w:lang w:val="en-US"/>
            </w:rPr>
          </w:pPr>
          <w:hyperlink w:anchor="_Toc70950045" w:history="1">
            <w:r w:rsidR="00AB776F" w:rsidRPr="00A32F1B">
              <w:rPr>
                <w:rStyle w:val="Hypertextovodkaz"/>
                <w:noProof/>
                <w:lang w:val="en-US"/>
              </w:rPr>
              <w:t>2.5</w:t>
            </w:r>
            <w:r w:rsidR="00AB776F" w:rsidRPr="00A32F1B">
              <w:rPr>
                <w:noProof/>
                <w:lang w:val="en-US"/>
              </w:rPr>
              <w:t> </w:t>
            </w:r>
            <w:r w:rsidR="00AB776F" w:rsidRPr="00A32F1B">
              <w:rPr>
                <w:rStyle w:val="Hypertextovodkaz"/>
                <w:noProof/>
                <w:lang w:val="en-US"/>
              </w:rPr>
              <w:t>Sefer ha-Razim</w:t>
            </w:r>
            <w:r w:rsidR="00AB776F" w:rsidRPr="00A32F1B">
              <w:rPr>
                <w:noProof/>
                <w:webHidden/>
                <w:lang w:val="en-US"/>
              </w:rPr>
              <w:tab/>
            </w:r>
            <w:r w:rsidR="00AB776F" w:rsidRPr="00A32F1B">
              <w:rPr>
                <w:noProof/>
                <w:webHidden/>
                <w:lang w:val="en-US"/>
              </w:rPr>
              <w:fldChar w:fldCharType="begin"/>
            </w:r>
            <w:r w:rsidR="00AB776F" w:rsidRPr="00A32F1B">
              <w:rPr>
                <w:noProof/>
                <w:webHidden/>
                <w:lang w:val="en-US"/>
              </w:rPr>
              <w:instrText xml:space="preserve"> PAGEREF _Toc70950045 \h </w:instrText>
            </w:r>
            <w:r w:rsidR="00AB776F" w:rsidRPr="00A32F1B">
              <w:rPr>
                <w:noProof/>
                <w:webHidden/>
                <w:lang w:val="en-US"/>
              </w:rPr>
            </w:r>
            <w:r w:rsidR="00AB776F" w:rsidRPr="00A32F1B">
              <w:rPr>
                <w:noProof/>
                <w:webHidden/>
                <w:lang w:val="en-US"/>
              </w:rPr>
              <w:fldChar w:fldCharType="separate"/>
            </w:r>
            <w:r w:rsidR="002561E0">
              <w:rPr>
                <w:noProof/>
                <w:webHidden/>
                <w:lang w:val="en-US"/>
              </w:rPr>
              <w:t>44</w:t>
            </w:r>
            <w:r w:rsidR="00AB776F" w:rsidRPr="00A32F1B">
              <w:rPr>
                <w:noProof/>
                <w:webHidden/>
                <w:lang w:val="en-US"/>
              </w:rPr>
              <w:fldChar w:fldCharType="end"/>
            </w:r>
          </w:hyperlink>
        </w:p>
        <w:p w14:paraId="231FD706" w14:textId="2078156C" w:rsidR="00AB776F" w:rsidRPr="00A32F1B" w:rsidRDefault="00E1792F">
          <w:pPr>
            <w:pStyle w:val="Obsah2"/>
            <w:tabs>
              <w:tab w:val="left" w:pos="880"/>
              <w:tab w:val="right" w:leader="dot" w:pos="8494"/>
            </w:tabs>
            <w:rPr>
              <w:noProof/>
              <w:lang w:val="en-US"/>
            </w:rPr>
          </w:pPr>
          <w:hyperlink w:anchor="_Toc70950046" w:history="1">
            <w:r w:rsidR="00AB776F" w:rsidRPr="00A32F1B">
              <w:rPr>
                <w:rStyle w:val="Hypertextovodkaz"/>
                <w:noProof/>
                <w:lang w:val="en-US"/>
              </w:rPr>
              <w:t>2.6</w:t>
            </w:r>
            <w:r w:rsidR="00AB776F" w:rsidRPr="00A32F1B">
              <w:rPr>
                <w:noProof/>
                <w:lang w:val="en-US"/>
              </w:rPr>
              <w:t> </w:t>
            </w:r>
            <w:r w:rsidR="00AB776F" w:rsidRPr="00A32F1B">
              <w:rPr>
                <w:rStyle w:val="Hypertextovodkaz"/>
                <w:noProof/>
                <w:lang w:val="en-US"/>
              </w:rPr>
              <w:t>Aramaic Incantation Bowls</w:t>
            </w:r>
            <w:r w:rsidR="00AB776F" w:rsidRPr="00A32F1B">
              <w:rPr>
                <w:noProof/>
                <w:webHidden/>
                <w:lang w:val="en-US"/>
              </w:rPr>
              <w:tab/>
            </w:r>
            <w:r w:rsidR="00AB776F" w:rsidRPr="00A32F1B">
              <w:rPr>
                <w:noProof/>
                <w:webHidden/>
                <w:lang w:val="en-US"/>
              </w:rPr>
              <w:fldChar w:fldCharType="begin"/>
            </w:r>
            <w:r w:rsidR="00AB776F" w:rsidRPr="00A32F1B">
              <w:rPr>
                <w:noProof/>
                <w:webHidden/>
                <w:lang w:val="en-US"/>
              </w:rPr>
              <w:instrText xml:space="preserve"> PAGEREF _Toc70950046 \h </w:instrText>
            </w:r>
            <w:r w:rsidR="00AB776F" w:rsidRPr="00A32F1B">
              <w:rPr>
                <w:noProof/>
                <w:webHidden/>
                <w:lang w:val="en-US"/>
              </w:rPr>
            </w:r>
            <w:r w:rsidR="00AB776F" w:rsidRPr="00A32F1B">
              <w:rPr>
                <w:noProof/>
                <w:webHidden/>
                <w:lang w:val="en-US"/>
              </w:rPr>
              <w:fldChar w:fldCharType="separate"/>
            </w:r>
            <w:r w:rsidR="002561E0">
              <w:rPr>
                <w:noProof/>
                <w:webHidden/>
                <w:lang w:val="en-US"/>
              </w:rPr>
              <w:t>46</w:t>
            </w:r>
            <w:r w:rsidR="00AB776F" w:rsidRPr="00A32F1B">
              <w:rPr>
                <w:noProof/>
                <w:webHidden/>
                <w:lang w:val="en-US"/>
              </w:rPr>
              <w:fldChar w:fldCharType="end"/>
            </w:r>
          </w:hyperlink>
        </w:p>
        <w:p w14:paraId="1788BAA7" w14:textId="585C6883" w:rsidR="00AB776F" w:rsidRPr="00A32F1B" w:rsidRDefault="00E1792F">
          <w:pPr>
            <w:pStyle w:val="Obsah2"/>
            <w:tabs>
              <w:tab w:val="left" w:pos="880"/>
              <w:tab w:val="right" w:leader="dot" w:pos="8494"/>
            </w:tabs>
            <w:rPr>
              <w:noProof/>
              <w:lang w:val="en-US"/>
            </w:rPr>
          </w:pPr>
          <w:hyperlink w:anchor="_Toc70950047" w:history="1">
            <w:r w:rsidR="00AB776F" w:rsidRPr="00A32F1B">
              <w:rPr>
                <w:rStyle w:val="Hypertextovodkaz"/>
                <w:noProof/>
                <w:lang w:val="en-US"/>
              </w:rPr>
              <w:t>2.7</w:t>
            </w:r>
            <w:r w:rsidR="00AB776F" w:rsidRPr="00A32F1B">
              <w:rPr>
                <w:noProof/>
                <w:lang w:val="en-US"/>
              </w:rPr>
              <w:t> </w:t>
            </w:r>
            <w:r w:rsidR="00AB776F" w:rsidRPr="00A32F1B">
              <w:rPr>
                <w:rStyle w:val="Hypertextovodkaz"/>
                <w:noProof/>
                <w:lang w:val="en-US"/>
              </w:rPr>
              <w:t>Conclusion to Abraxas in the Selected Sources</w:t>
            </w:r>
            <w:r w:rsidR="00AB776F" w:rsidRPr="00A32F1B">
              <w:rPr>
                <w:noProof/>
                <w:webHidden/>
                <w:lang w:val="en-US"/>
              </w:rPr>
              <w:tab/>
            </w:r>
            <w:r w:rsidR="00AB776F" w:rsidRPr="00A32F1B">
              <w:rPr>
                <w:noProof/>
                <w:webHidden/>
                <w:lang w:val="en-US"/>
              </w:rPr>
              <w:fldChar w:fldCharType="begin"/>
            </w:r>
            <w:r w:rsidR="00AB776F" w:rsidRPr="00A32F1B">
              <w:rPr>
                <w:noProof/>
                <w:webHidden/>
                <w:lang w:val="en-US"/>
              </w:rPr>
              <w:instrText xml:space="preserve"> PAGEREF _Toc70950047 \h </w:instrText>
            </w:r>
            <w:r w:rsidR="00AB776F" w:rsidRPr="00A32F1B">
              <w:rPr>
                <w:noProof/>
                <w:webHidden/>
                <w:lang w:val="en-US"/>
              </w:rPr>
            </w:r>
            <w:r w:rsidR="00AB776F" w:rsidRPr="00A32F1B">
              <w:rPr>
                <w:noProof/>
                <w:webHidden/>
                <w:lang w:val="en-US"/>
              </w:rPr>
              <w:fldChar w:fldCharType="separate"/>
            </w:r>
            <w:r w:rsidR="002561E0">
              <w:rPr>
                <w:noProof/>
                <w:webHidden/>
                <w:lang w:val="en-US"/>
              </w:rPr>
              <w:t>48</w:t>
            </w:r>
            <w:r w:rsidR="00AB776F" w:rsidRPr="00A32F1B">
              <w:rPr>
                <w:noProof/>
                <w:webHidden/>
                <w:lang w:val="en-US"/>
              </w:rPr>
              <w:fldChar w:fldCharType="end"/>
            </w:r>
          </w:hyperlink>
        </w:p>
        <w:p w14:paraId="736D585B" w14:textId="5BCB3205" w:rsidR="00AB776F" w:rsidRPr="00A32F1B" w:rsidRDefault="00E1792F">
          <w:pPr>
            <w:pStyle w:val="Obsah1"/>
            <w:tabs>
              <w:tab w:val="right" w:leader="dot" w:pos="8494"/>
            </w:tabs>
            <w:rPr>
              <w:noProof/>
              <w:lang w:val="en-US"/>
            </w:rPr>
          </w:pPr>
          <w:hyperlink w:anchor="_Toc70950048" w:history="1">
            <w:r w:rsidR="00AB776F" w:rsidRPr="00A32F1B">
              <w:rPr>
                <w:rStyle w:val="Hypertextovodkaz"/>
                <w:noProof/>
                <w:lang w:val="en-US"/>
              </w:rPr>
              <w:t>Conclusion</w:t>
            </w:r>
            <w:r w:rsidR="00AB776F" w:rsidRPr="00A32F1B">
              <w:rPr>
                <w:noProof/>
                <w:webHidden/>
                <w:lang w:val="en-US"/>
              </w:rPr>
              <w:tab/>
            </w:r>
            <w:r w:rsidR="00AB776F" w:rsidRPr="00A32F1B">
              <w:rPr>
                <w:noProof/>
                <w:webHidden/>
                <w:lang w:val="en-US"/>
              </w:rPr>
              <w:fldChar w:fldCharType="begin"/>
            </w:r>
            <w:r w:rsidR="00AB776F" w:rsidRPr="00A32F1B">
              <w:rPr>
                <w:noProof/>
                <w:webHidden/>
                <w:lang w:val="en-US"/>
              </w:rPr>
              <w:instrText xml:space="preserve"> PAGEREF _Toc70950048 \h </w:instrText>
            </w:r>
            <w:r w:rsidR="00AB776F" w:rsidRPr="00A32F1B">
              <w:rPr>
                <w:noProof/>
                <w:webHidden/>
                <w:lang w:val="en-US"/>
              </w:rPr>
            </w:r>
            <w:r w:rsidR="00AB776F" w:rsidRPr="00A32F1B">
              <w:rPr>
                <w:noProof/>
                <w:webHidden/>
                <w:lang w:val="en-US"/>
              </w:rPr>
              <w:fldChar w:fldCharType="separate"/>
            </w:r>
            <w:r w:rsidR="002561E0">
              <w:rPr>
                <w:noProof/>
                <w:webHidden/>
                <w:lang w:val="en-US"/>
              </w:rPr>
              <w:t>51</w:t>
            </w:r>
            <w:r w:rsidR="00AB776F" w:rsidRPr="00A32F1B">
              <w:rPr>
                <w:noProof/>
                <w:webHidden/>
                <w:lang w:val="en-US"/>
              </w:rPr>
              <w:fldChar w:fldCharType="end"/>
            </w:r>
          </w:hyperlink>
        </w:p>
        <w:p w14:paraId="44E38408" w14:textId="5D581C6B" w:rsidR="00AB776F" w:rsidRPr="00A32F1B" w:rsidRDefault="00E1792F">
          <w:pPr>
            <w:pStyle w:val="Obsah1"/>
            <w:tabs>
              <w:tab w:val="right" w:leader="dot" w:pos="8494"/>
            </w:tabs>
            <w:rPr>
              <w:noProof/>
              <w:lang w:val="en-US"/>
            </w:rPr>
          </w:pPr>
          <w:hyperlink w:anchor="_Toc70950049" w:history="1">
            <w:r w:rsidR="00AB776F" w:rsidRPr="00A32F1B">
              <w:rPr>
                <w:rStyle w:val="Hypertextovodkaz"/>
                <w:noProof/>
                <w:lang w:val="en-US"/>
              </w:rPr>
              <w:t>Appendix: Transliteration Tables</w:t>
            </w:r>
            <w:r w:rsidR="00AB776F" w:rsidRPr="00A32F1B">
              <w:rPr>
                <w:noProof/>
                <w:webHidden/>
                <w:lang w:val="en-US"/>
              </w:rPr>
              <w:tab/>
            </w:r>
            <w:r w:rsidR="00AB776F" w:rsidRPr="00A32F1B">
              <w:rPr>
                <w:noProof/>
                <w:webHidden/>
                <w:lang w:val="en-US"/>
              </w:rPr>
              <w:fldChar w:fldCharType="begin"/>
            </w:r>
            <w:r w:rsidR="00AB776F" w:rsidRPr="00A32F1B">
              <w:rPr>
                <w:noProof/>
                <w:webHidden/>
                <w:lang w:val="en-US"/>
              </w:rPr>
              <w:instrText xml:space="preserve"> PAGEREF _Toc70950049 \h </w:instrText>
            </w:r>
            <w:r w:rsidR="00AB776F" w:rsidRPr="00A32F1B">
              <w:rPr>
                <w:noProof/>
                <w:webHidden/>
                <w:lang w:val="en-US"/>
              </w:rPr>
            </w:r>
            <w:r w:rsidR="00AB776F" w:rsidRPr="00A32F1B">
              <w:rPr>
                <w:noProof/>
                <w:webHidden/>
                <w:lang w:val="en-US"/>
              </w:rPr>
              <w:fldChar w:fldCharType="separate"/>
            </w:r>
            <w:r w:rsidR="002561E0">
              <w:rPr>
                <w:noProof/>
                <w:webHidden/>
                <w:lang w:val="en-US"/>
              </w:rPr>
              <w:t>51</w:t>
            </w:r>
            <w:r w:rsidR="00AB776F" w:rsidRPr="00A32F1B">
              <w:rPr>
                <w:noProof/>
                <w:webHidden/>
                <w:lang w:val="en-US"/>
              </w:rPr>
              <w:fldChar w:fldCharType="end"/>
            </w:r>
          </w:hyperlink>
        </w:p>
        <w:p w14:paraId="674D132D" w14:textId="57408DDA" w:rsidR="00AB776F" w:rsidRPr="00A32F1B" w:rsidRDefault="00E1792F">
          <w:pPr>
            <w:pStyle w:val="Obsah1"/>
            <w:tabs>
              <w:tab w:val="right" w:leader="dot" w:pos="8494"/>
            </w:tabs>
            <w:rPr>
              <w:noProof/>
              <w:lang w:val="en-US"/>
            </w:rPr>
          </w:pPr>
          <w:hyperlink w:anchor="_Toc70950050" w:history="1">
            <w:r w:rsidR="00AB776F" w:rsidRPr="00A32F1B">
              <w:rPr>
                <w:rStyle w:val="Hypertextovodkaz"/>
                <w:noProof/>
                <w:lang w:val="en-US"/>
              </w:rPr>
              <w:t>Bibliography</w:t>
            </w:r>
            <w:r w:rsidR="00AB776F" w:rsidRPr="00A32F1B">
              <w:rPr>
                <w:noProof/>
                <w:webHidden/>
                <w:lang w:val="en-US"/>
              </w:rPr>
              <w:tab/>
            </w:r>
            <w:r w:rsidR="00AB776F" w:rsidRPr="00A32F1B">
              <w:rPr>
                <w:noProof/>
                <w:webHidden/>
                <w:lang w:val="en-US"/>
              </w:rPr>
              <w:fldChar w:fldCharType="begin"/>
            </w:r>
            <w:r w:rsidR="00AB776F" w:rsidRPr="00A32F1B">
              <w:rPr>
                <w:noProof/>
                <w:webHidden/>
                <w:lang w:val="en-US"/>
              </w:rPr>
              <w:instrText xml:space="preserve"> PAGEREF _Toc70950050 \h </w:instrText>
            </w:r>
            <w:r w:rsidR="00AB776F" w:rsidRPr="00A32F1B">
              <w:rPr>
                <w:noProof/>
                <w:webHidden/>
                <w:lang w:val="en-US"/>
              </w:rPr>
            </w:r>
            <w:r w:rsidR="00AB776F" w:rsidRPr="00A32F1B">
              <w:rPr>
                <w:noProof/>
                <w:webHidden/>
                <w:lang w:val="en-US"/>
              </w:rPr>
              <w:fldChar w:fldCharType="separate"/>
            </w:r>
            <w:r w:rsidR="002561E0">
              <w:rPr>
                <w:noProof/>
                <w:webHidden/>
                <w:lang w:val="en-US"/>
              </w:rPr>
              <w:t>58</w:t>
            </w:r>
            <w:r w:rsidR="00AB776F" w:rsidRPr="00A32F1B">
              <w:rPr>
                <w:noProof/>
                <w:webHidden/>
                <w:lang w:val="en-US"/>
              </w:rPr>
              <w:fldChar w:fldCharType="end"/>
            </w:r>
          </w:hyperlink>
        </w:p>
        <w:p w14:paraId="12E5913F" w14:textId="6BBD8C14" w:rsidR="00AB776F" w:rsidRPr="00A32F1B" w:rsidRDefault="00E1792F">
          <w:pPr>
            <w:pStyle w:val="Obsah1"/>
            <w:tabs>
              <w:tab w:val="right" w:leader="dot" w:pos="8494"/>
            </w:tabs>
            <w:rPr>
              <w:noProof/>
              <w:lang w:val="en-US"/>
            </w:rPr>
          </w:pPr>
          <w:hyperlink w:anchor="_Toc70950051" w:history="1">
            <w:r w:rsidR="00AB776F" w:rsidRPr="00A32F1B">
              <w:rPr>
                <w:rStyle w:val="Hypertextovodkaz"/>
                <w:noProof/>
                <w:lang w:val="en-US"/>
              </w:rPr>
              <w:t>Annotation</w:t>
            </w:r>
            <w:r w:rsidR="00AB776F" w:rsidRPr="00A32F1B">
              <w:rPr>
                <w:noProof/>
                <w:webHidden/>
                <w:lang w:val="en-US"/>
              </w:rPr>
              <w:tab/>
            </w:r>
            <w:r w:rsidR="00AB776F" w:rsidRPr="00A32F1B">
              <w:rPr>
                <w:noProof/>
                <w:webHidden/>
                <w:lang w:val="en-US"/>
              </w:rPr>
              <w:fldChar w:fldCharType="begin"/>
            </w:r>
            <w:r w:rsidR="00AB776F" w:rsidRPr="00A32F1B">
              <w:rPr>
                <w:noProof/>
                <w:webHidden/>
                <w:lang w:val="en-US"/>
              </w:rPr>
              <w:instrText xml:space="preserve"> PAGEREF _Toc70950051 \h </w:instrText>
            </w:r>
            <w:r w:rsidR="00AB776F" w:rsidRPr="00A32F1B">
              <w:rPr>
                <w:noProof/>
                <w:webHidden/>
                <w:lang w:val="en-US"/>
              </w:rPr>
            </w:r>
            <w:r w:rsidR="00AB776F" w:rsidRPr="00A32F1B">
              <w:rPr>
                <w:noProof/>
                <w:webHidden/>
                <w:lang w:val="en-US"/>
              </w:rPr>
              <w:fldChar w:fldCharType="separate"/>
            </w:r>
            <w:r w:rsidR="002561E0">
              <w:rPr>
                <w:noProof/>
                <w:webHidden/>
                <w:lang w:val="en-US"/>
              </w:rPr>
              <w:t>70</w:t>
            </w:r>
            <w:r w:rsidR="00AB776F" w:rsidRPr="00A32F1B">
              <w:rPr>
                <w:noProof/>
                <w:webHidden/>
                <w:lang w:val="en-US"/>
              </w:rPr>
              <w:fldChar w:fldCharType="end"/>
            </w:r>
          </w:hyperlink>
        </w:p>
        <w:p w14:paraId="17CA43C4" w14:textId="57B5183D" w:rsidR="00AB776F" w:rsidRPr="00A32F1B" w:rsidRDefault="00AB776F">
          <w:pPr>
            <w:rPr>
              <w:lang w:val="en-US"/>
            </w:rPr>
          </w:pPr>
          <w:r w:rsidRPr="00A32F1B">
            <w:rPr>
              <w:b/>
              <w:bCs/>
              <w:lang w:val="en-US"/>
            </w:rPr>
            <w:fldChar w:fldCharType="end"/>
          </w:r>
        </w:p>
      </w:sdtContent>
    </w:sdt>
    <w:p w14:paraId="77DFE67E" w14:textId="77777777" w:rsidR="00ED5ECA" w:rsidRPr="00A32F1B" w:rsidRDefault="00ED5ECA" w:rsidP="00ED5ECA">
      <w:pPr>
        <w:pStyle w:val="Nadpis1"/>
        <w:rPr>
          <w:szCs w:val="24"/>
          <w:lang w:val="en-US"/>
        </w:rPr>
        <w:sectPr w:rsidR="00ED5ECA" w:rsidRPr="00A32F1B" w:rsidSect="00AB776F">
          <w:footerReference w:type="default" r:id="rId8"/>
          <w:pgSz w:w="11906" w:h="16838"/>
          <w:pgMar w:top="1985" w:right="1134" w:bottom="1134" w:left="2268" w:header="708" w:footer="708" w:gutter="0"/>
          <w:pgNumType w:start="1"/>
          <w:cols w:space="708"/>
          <w:docGrid w:linePitch="360"/>
        </w:sectPr>
      </w:pPr>
    </w:p>
    <w:p w14:paraId="69D76787" w14:textId="45949AF6" w:rsidR="00CF284D" w:rsidRPr="00A32F1B" w:rsidRDefault="00CF284D" w:rsidP="00AB776F">
      <w:pPr>
        <w:pStyle w:val="Nadpis1"/>
        <w:rPr>
          <w:szCs w:val="24"/>
          <w:lang w:val="en-US"/>
        </w:rPr>
      </w:pPr>
      <w:bookmarkStart w:id="0" w:name="_Toc70950038"/>
      <w:r w:rsidRPr="00A32F1B">
        <w:rPr>
          <w:lang w:val="en-US"/>
        </w:rPr>
        <w:lastRenderedPageBreak/>
        <w:t>Introduction</w:t>
      </w:r>
      <w:bookmarkEnd w:id="0"/>
    </w:p>
    <w:p w14:paraId="262FD910" w14:textId="77777777" w:rsidR="00CF284D" w:rsidRPr="00A32F1B" w:rsidRDefault="00CF284D" w:rsidP="00F51771">
      <w:pPr>
        <w:ind w:left="1276" w:right="1124" w:firstLine="0"/>
        <w:rPr>
          <w:lang w:val="en-US"/>
        </w:rPr>
      </w:pPr>
      <w:r w:rsidRPr="00A32F1B">
        <w:rPr>
          <w:lang w:val="en-US"/>
        </w:rPr>
        <w:t>“</w:t>
      </w:r>
      <w:r w:rsidRPr="00A32F1B">
        <w:rPr>
          <w:i/>
          <w:iCs/>
          <w:lang w:val="en-US"/>
        </w:rPr>
        <w:t xml:space="preserve">But we consist of everything the world consists </w:t>
      </w:r>
      <w:proofErr w:type="gramStart"/>
      <w:r w:rsidRPr="00A32F1B">
        <w:rPr>
          <w:i/>
          <w:iCs/>
          <w:lang w:val="en-US"/>
        </w:rPr>
        <w:t>of,</w:t>
      </w:r>
      <w:proofErr w:type="gramEnd"/>
      <w:r w:rsidRPr="00A32F1B">
        <w:rPr>
          <w:i/>
          <w:iCs/>
          <w:lang w:val="en-US"/>
        </w:rPr>
        <w:t xml:space="preserve"> each of us, and just as our body contains the genealogical table of evolution as far back as the fish and even much further, so we bear everything in our soul that once was alive in the soul of men. Every god and devil that ever existed, be it among the Greeks, Chinese, or Zulus, are within us… gods and demons, paradises, commandments, the Old and New Testament.”</w:t>
      </w:r>
      <w:r w:rsidRPr="00A32F1B">
        <w:rPr>
          <w:rStyle w:val="Znakapoznpodarou"/>
          <w:i/>
          <w:iCs/>
          <w:lang w:val="en-US"/>
        </w:rPr>
        <w:footnoteReference w:id="1"/>
      </w:r>
    </w:p>
    <w:p w14:paraId="77B27464" w14:textId="77777777" w:rsidR="00F51771" w:rsidRPr="00A32F1B" w:rsidRDefault="00F51771" w:rsidP="00990F1E">
      <w:pPr>
        <w:rPr>
          <w:lang w:val="en-US"/>
        </w:rPr>
      </w:pPr>
    </w:p>
    <w:p w14:paraId="2EB70670" w14:textId="65C6F2E1" w:rsidR="00B22F49" w:rsidRPr="00A32F1B" w:rsidRDefault="002E35AC" w:rsidP="00DD617E">
      <w:pPr>
        <w:rPr>
          <w:lang w:val="en-US"/>
        </w:rPr>
      </w:pPr>
      <w:r w:rsidRPr="00A32F1B">
        <w:rPr>
          <w:lang w:val="en-US"/>
        </w:rPr>
        <w:t>My first encounter with Abraxas was rather random</w:t>
      </w:r>
      <w:r w:rsidR="00071D02" w:rsidRPr="00A32F1B">
        <w:rPr>
          <w:lang w:val="en-US"/>
        </w:rPr>
        <w:t xml:space="preserve"> through popular culture, in that time not so known </w:t>
      </w:r>
      <w:r w:rsidR="00723CF4" w:rsidRPr="00A32F1B">
        <w:rPr>
          <w:lang w:val="en-US"/>
        </w:rPr>
        <w:t>pop music group</w:t>
      </w:r>
      <w:r w:rsidR="00071D02" w:rsidRPr="00A32F1B">
        <w:rPr>
          <w:lang w:val="en-US"/>
        </w:rPr>
        <w:t xml:space="preserve"> took an inspiration in Herman Hesse’s novel </w:t>
      </w:r>
      <w:r w:rsidR="00071D02" w:rsidRPr="00A32F1B">
        <w:rPr>
          <w:i/>
          <w:iCs/>
          <w:lang w:val="en-US"/>
        </w:rPr>
        <w:t>Demian</w:t>
      </w:r>
      <w:r w:rsidR="00071D02" w:rsidRPr="00A32F1B">
        <w:rPr>
          <w:lang w:val="en-US"/>
        </w:rPr>
        <w:t xml:space="preserve"> and used Hesse’s symbolism and existential theme. Prompted by the idea of one god being good and evil in its nature who unifies the light and the dark</w:t>
      </w:r>
      <w:r w:rsidR="008033B9" w:rsidRPr="00A32F1B">
        <w:rPr>
          <w:lang w:val="en-US"/>
        </w:rPr>
        <w:t xml:space="preserve"> reflecting the duality of human life</w:t>
      </w:r>
      <w:r w:rsidR="00071D02" w:rsidRPr="00A32F1B">
        <w:rPr>
          <w:lang w:val="en-US"/>
        </w:rPr>
        <w:t>, I read the story vigorously with much personal existential inquiry</w:t>
      </w:r>
      <w:r w:rsidR="00723CF4" w:rsidRPr="00A32F1B">
        <w:rPr>
          <w:lang w:val="en-US"/>
        </w:rPr>
        <w:t xml:space="preserve"> accompanied by Buxtehude’s brooding Passacaglia</w:t>
      </w:r>
      <w:r w:rsidR="00071D02" w:rsidRPr="00A32F1B">
        <w:rPr>
          <w:lang w:val="en-US"/>
        </w:rPr>
        <w:t xml:space="preserve">. And </w:t>
      </w:r>
      <w:r w:rsidR="008033B9" w:rsidRPr="00A32F1B">
        <w:rPr>
          <w:lang w:val="en-US"/>
        </w:rPr>
        <w:t>so,</w:t>
      </w:r>
      <w:r w:rsidR="00071D02" w:rsidRPr="00A32F1B">
        <w:rPr>
          <w:lang w:val="en-US"/>
        </w:rPr>
        <w:t xml:space="preserve"> I met with Abraxas who stayed on the periphery on my mind until I met him again while researching Jewish divine names in several </w:t>
      </w:r>
      <w:r w:rsidR="008033B9" w:rsidRPr="00A32F1B">
        <w:rPr>
          <w:lang w:val="en-US"/>
        </w:rPr>
        <w:t>ancient</w:t>
      </w:r>
      <w:r w:rsidR="00071D02" w:rsidRPr="00A32F1B">
        <w:rPr>
          <w:lang w:val="en-US"/>
        </w:rPr>
        <w:t xml:space="preserve"> sources. The question arrived</w:t>
      </w:r>
      <w:r w:rsidR="00F935EB" w:rsidRPr="00A32F1B">
        <w:rPr>
          <w:lang w:val="en-US"/>
        </w:rPr>
        <w:t>: h</w:t>
      </w:r>
      <w:r w:rsidR="00071D02" w:rsidRPr="00A32F1B">
        <w:rPr>
          <w:lang w:val="en-US"/>
        </w:rPr>
        <w:t xml:space="preserve">ow did a </w:t>
      </w:r>
      <w:r w:rsidR="00F935EB" w:rsidRPr="00A32F1B">
        <w:rPr>
          <w:lang w:val="en-US"/>
        </w:rPr>
        <w:t>20</w:t>
      </w:r>
      <w:r w:rsidR="00F935EB" w:rsidRPr="00A32F1B">
        <w:rPr>
          <w:vertAlign w:val="superscript"/>
          <w:lang w:val="en-US"/>
        </w:rPr>
        <w:t>th</w:t>
      </w:r>
      <w:r w:rsidR="00F935EB" w:rsidRPr="00A32F1B">
        <w:rPr>
          <w:lang w:val="en-US"/>
        </w:rPr>
        <w:t xml:space="preserve"> century literary divine entity appear in the 2</w:t>
      </w:r>
      <w:r w:rsidR="00F935EB" w:rsidRPr="00A32F1B">
        <w:rPr>
          <w:vertAlign w:val="superscript"/>
          <w:lang w:val="en-US"/>
        </w:rPr>
        <w:t>nd</w:t>
      </w:r>
      <w:r w:rsidR="00F935EB" w:rsidRPr="00A32F1B">
        <w:rPr>
          <w:lang w:val="en-US"/>
        </w:rPr>
        <w:t xml:space="preserve"> century magical papyri? During the search of </w:t>
      </w:r>
      <w:r w:rsidR="008033B9" w:rsidRPr="00A32F1B">
        <w:rPr>
          <w:lang w:val="en-US"/>
        </w:rPr>
        <w:t>details,</w:t>
      </w:r>
      <w:r w:rsidR="002D5D59" w:rsidRPr="00A32F1B">
        <w:rPr>
          <w:lang w:val="en-US"/>
        </w:rPr>
        <w:t xml:space="preserve"> I, of course, realized that this is not a moment when I am proving that time travel is </w:t>
      </w:r>
      <w:r w:rsidR="0026769F" w:rsidRPr="00A32F1B">
        <w:rPr>
          <w:lang w:val="en-US"/>
        </w:rPr>
        <w:t>possible, but that I am witness</w:t>
      </w:r>
      <w:r w:rsidR="008033B9" w:rsidRPr="00A32F1B">
        <w:rPr>
          <w:lang w:val="en-US"/>
        </w:rPr>
        <w:t>ing</w:t>
      </w:r>
      <w:r w:rsidR="0026769F" w:rsidRPr="00A32F1B">
        <w:rPr>
          <w:lang w:val="en-US"/>
        </w:rPr>
        <w:t xml:space="preserve"> </w:t>
      </w:r>
      <w:r w:rsidR="001D06D2" w:rsidRPr="00A32F1B">
        <w:rPr>
          <w:lang w:val="en-US"/>
        </w:rPr>
        <w:t>a colorful and fruitful process tried by history – the transmission of tradition between cultures in time and space.</w:t>
      </w:r>
      <w:r w:rsidR="00DD617E" w:rsidRPr="00A32F1B">
        <w:rPr>
          <w:lang w:val="en-US"/>
        </w:rPr>
        <w:t xml:space="preserve"> </w:t>
      </w:r>
      <w:r w:rsidR="00B22F49" w:rsidRPr="00A32F1B">
        <w:rPr>
          <w:lang w:val="en-US"/>
        </w:rPr>
        <w:t xml:space="preserve">Transmission of tradition is a core process in the development of human history and </w:t>
      </w:r>
      <w:r w:rsidR="007F5F54" w:rsidRPr="00A32F1B">
        <w:rPr>
          <w:lang w:val="en-US"/>
        </w:rPr>
        <w:t>society;</w:t>
      </w:r>
      <w:r w:rsidR="00DD617E" w:rsidRPr="00A32F1B">
        <w:rPr>
          <w:lang w:val="en-US"/>
        </w:rPr>
        <w:t xml:space="preserve"> thus</w:t>
      </w:r>
      <w:r w:rsidR="007029DC" w:rsidRPr="00A32F1B">
        <w:rPr>
          <w:lang w:val="en-US"/>
        </w:rPr>
        <w:t>,</w:t>
      </w:r>
      <w:r w:rsidR="00DD617E" w:rsidRPr="00A32F1B">
        <w:rPr>
          <w:lang w:val="en-US"/>
        </w:rPr>
        <w:t xml:space="preserve"> it intrigues researchers and g</w:t>
      </w:r>
      <w:r w:rsidR="00156F9E" w:rsidRPr="00A32F1B">
        <w:rPr>
          <w:lang w:val="en-US"/>
        </w:rPr>
        <w:t>ives</w:t>
      </w:r>
      <w:r w:rsidR="00DD617E" w:rsidRPr="00A32F1B">
        <w:rPr>
          <w:lang w:val="en-US"/>
        </w:rPr>
        <w:t xml:space="preserve"> impetus to historical, cultural, and anthropological research.</w:t>
      </w:r>
    </w:p>
    <w:p w14:paraId="5922C6E0" w14:textId="5EF19D25" w:rsidR="00B22F49" w:rsidRPr="00A32F1B" w:rsidRDefault="00651E35" w:rsidP="00156F9E">
      <w:pPr>
        <w:rPr>
          <w:lang w:val="en-US"/>
        </w:rPr>
      </w:pPr>
      <w:r w:rsidRPr="00A32F1B">
        <w:rPr>
          <w:lang w:val="en-US"/>
        </w:rPr>
        <w:t xml:space="preserve">The quote </w:t>
      </w:r>
      <w:r w:rsidR="00F51771" w:rsidRPr="00A32F1B">
        <w:rPr>
          <w:lang w:val="en-US"/>
        </w:rPr>
        <w:t>above is a part of an existential monologue uttered by one of Hesse’s characters</w:t>
      </w:r>
      <w:r w:rsidR="00156F9E" w:rsidRPr="00A32F1B">
        <w:rPr>
          <w:lang w:val="en-US"/>
        </w:rPr>
        <w:t>.</w:t>
      </w:r>
      <w:r w:rsidR="00C4657E" w:rsidRPr="00A32F1B">
        <w:rPr>
          <w:lang w:val="en-US"/>
        </w:rPr>
        <w:t xml:space="preserve"> </w:t>
      </w:r>
      <w:r w:rsidR="00156F9E" w:rsidRPr="00A32F1B">
        <w:rPr>
          <w:lang w:val="en-US"/>
        </w:rPr>
        <w:t>I</w:t>
      </w:r>
      <w:r w:rsidR="00681758" w:rsidRPr="00A32F1B">
        <w:rPr>
          <w:lang w:val="en-US"/>
        </w:rPr>
        <w:t xml:space="preserve">n </w:t>
      </w:r>
      <w:r w:rsidR="00156F9E" w:rsidRPr="00A32F1B">
        <w:rPr>
          <w:lang w:val="en-US"/>
        </w:rPr>
        <w:t>this monologue</w:t>
      </w:r>
      <w:r w:rsidR="00681758" w:rsidRPr="00A32F1B">
        <w:rPr>
          <w:lang w:val="en-US"/>
        </w:rPr>
        <w:t xml:space="preserve"> he</w:t>
      </w:r>
      <w:r w:rsidR="00C4657E" w:rsidRPr="00A32F1B">
        <w:rPr>
          <w:lang w:val="en-US"/>
        </w:rPr>
        <w:t xml:space="preserve"> presents the entirety of human history, culture, philosophy</w:t>
      </w:r>
      <w:r w:rsidR="00A83301" w:rsidRPr="00A32F1B">
        <w:rPr>
          <w:lang w:val="en-US"/>
        </w:rPr>
        <w:t xml:space="preserve">, </w:t>
      </w:r>
      <w:r w:rsidR="00C4657E" w:rsidRPr="00A32F1B">
        <w:rPr>
          <w:lang w:val="en-US"/>
        </w:rPr>
        <w:t xml:space="preserve">and religion as belonging to everyone, as being </w:t>
      </w:r>
      <w:r w:rsidR="00681758" w:rsidRPr="00A32F1B">
        <w:rPr>
          <w:lang w:val="en-US"/>
        </w:rPr>
        <w:t>a part of everyone’s subconsciou</w:t>
      </w:r>
      <w:r w:rsidR="00EF3E20" w:rsidRPr="00A32F1B">
        <w:rPr>
          <w:lang w:val="en-US"/>
        </w:rPr>
        <w:t xml:space="preserve">sness. By this thought Hesse calls the reader’s attention to the richness of history that we share as </w:t>
      </w:r>
      <w:r w:rsidR="00A83301" w:rsidRPr="00A32F1B">
        <w:rPr>
          <w:lang w:val="en-US"/>
        </w:rPr>
        <w:t xml:space="preserve">its </w:t>
      </w:r>
      <w:r w:rsidR="00EF3E20" w:rsidRPr="00A32F1B">
        <w:rPr>
          <w:lang w:val="en-US"/>
        </w:rPr>
        <w:t xml:space="preserve">heirs and successors continuing the course of life built on remains of all </w:t>
      </w:r>
      <w:r w:rsidR="00A83301" w:rsidRPr="00A32F1B">
        <w:rPr>
          <w:lang w:val="en-US"/>
        </w:rPr>
        <w:t xml:space="preserve">preceding peoples and their cultures </w:t>
      </w:r>
      <w:r w:rsidR="00EF3E20" w:rsidRPr="00A32F1B">
        <w:rPr>
          <w:lang w:val="en-US"/>
        </w:rPr>
        <w:t xml:space="preserve">connected and interwoven. </w:t>
      </w:r>
      <w:r w:rsidR="00A83301" w:rsidRPr="00A32F1B">
        <w:rPr>
          <w:lang w:val="en-US"/>
        </w:rPr>
        <w:t xml:space="preserve">And as the monologue continues it highlights the importance of knowledge – that having roots means </w:t>
      </w:r>
      <w:r w:rsidR="00F33185" w:rsidRPr="00A32F1B">
        <w:rPr>
          <w:lang w:val="en-US"/>
        </w:rPr>
        <w:lastRenderedPageBreak/>
        <w:t>nothing if</w:t>
      </w:r>
      <w:r w:rsidR="00A83301" w:rsidRPr="00A32F1B">
        <w:rPr>
          <w:lang w:val="en-US"/>
        </w:rPr>
        <w:t xml:space="preserve"> one is not aware of </w:t>
      </w:r>
      <w:r w:rsidR="00F33185" w:rsidRPr="00A32F1B">
        <w:rPr>
          <w:lang w:val="en-US"/>
        </w:rPr>
        <w:t>them if</w:t>
      </w:r>
      <w:r w:rsidR="00A83301" w:rsidRPr="00A32F1B">
        <w:rPr>
          <w:lang w:val="en-US"/>
        </w:rPr>
        <w:t xml:space="preserve"> one does not know them</w:t>
      </w:r>
      <w:r w:rsidR="00F33185" w:rsidRPr="00A32F1B">
        <w:rPr>
          <w:lang w:val="en-US"/>
        </w:rPr>
        <w:t>.</w:t>
      </w:r>
      <w:r w:rsidR="00DD617E" w:rsidRPr="00A32F1B">
        <w:rPr>
          <w:lang w:val="en-US"/>
        </w:rPr>
        <w:t xml:space="preserve"> </w:t>
      </w:r>
      <w:r w:rsidR="00A83301" w:rsidRPr="00A32F1B">
        <w:rPr>
          <w:lang w:val="en-US"/>
        </w:rPr>
        <w:t xml:space="preserve">That is in my opinion </w:t>
      </w:r>
      <w:r w:rsidR="00156F9E" w:rsidRPr="00A32F1B">
        <w:rPr>
          <w:lang w:val="en-US"/>
        </w:rPr>
        <w:t>may be the</w:t>
      </w:r>
      <w:r w:rsidR="00A83301" w:rsidRPr="00A32F1B">
        <w:rPr>
          <w:lang w:val="en-US"/>
        </w:rPr>
        <w:t xml:space="preserve"> beginning of scholarship and research and thus shall be </w:t>
      </w:r>
      <w:r w:rsidR="00156F9E" w:rsidRPr="00A32F1B">
        <w:rPr>
          <w:lang w:val="en-US"/>
        </w:rPr>
        <w:t>an</w:t>
      </w:r>
      <w:r w:rsidR="003A6184" w:rsidRPr="00A32F1B">
        <w:rPr>
          <w:lang w:val="en-US"/>
        </w:rPr>
        <w:t xml:space="preserve"> august</w:t>
      </w:r>
      <w:r w:rsidR="00A83301" w:rsidRPr="00A32F1B">
        <w:rPr>
          <w:lang w:val="en-US"/>
        </w:rPr>
        <w:t xml:space="preserve"> beginning of this thesis.</w:t>
      </w:r>
    </w:p>
    <w:p w14:paraId="197590D5" w14:textId="69B0C706" w:rsidR="007B05ED" w:rsidRPr="00A32F1B" w:rsidRDefault="007B05ED" w:rsidP="006C34F6">
      <w:pPr>
        <w:rPr>
          <w:lang w:val="en-US"/>
        </w:rPr>
      </w:pPr>
      <w:r w:rsidRPr="00A32F1B">
        <w:rPr>
          <w:lang w:val="en-US"/>
        </w:rPr>
        <w:t xml:space="preserve">The first chapter explains the terms syncretism and </w:t>
      </w:r>
      <w:r w:rsidR="00990F1E" w:rsidRPr="00A32F1B">
        <w:rPr>
          <w:lang w:val="en-US"/>
        </w:rPr>
        <w:t>translatability and</w:t>
      </w:r>
      <w:r w:rsidRPr="00A32F1B">
        <w:rPr>
          <w:lang w:val="en-US"/>
        </w:rPr>
        <w:t xml:space="preserve"> addresses their aspects</w:t>
      </w:r>
      <w:r w:rsidR="00990F1E" w:rsidRPr="00A32F1B">
        <w:rPr>
          <w:lang w:val="en-US"/>
        </w:rPr>
        <w:t xml:space="preserve"> and</w:t>
      </w:r>
      <w:r w:rsidRPr="00A32F1B">
        <w:rPr>
          <w:lang w:val="en-US"/>
        </w:rPr>
        <w:t xml:space="preserve"> issues which one may encounter when dealing with those topics. Simultaneously, the chapter </w:t>
      </w:r>
      <w:r w:rsidR="00317D32" w:rsidRPr="00A32F1B">
        <w:rPr>
          <w:lang w:val="en-US"/>
        </w:rPr>
        <w:t xml:space="preserve">illustrates several of the aspects and issues </w:t>
      </w:r>
      <w:r w:rsidR="00A535FD" w:rsidRPr="00A32F1B">
        <w:rPr>
          <w:lang w:val="en-US"/>
        </w:rPr>
        <w:t>on</w:t>
      </w:r>
      <w:r w:rsidR="00317D32" w:rsidRPr="00A32F1B">
        <w:rPr>
          <w:lang w:val="en-US"/>
        </w:rPr>
        <w:t xml:space="preserve"> historical and cultural e</w:t>
      </w:r>
      <w:r w:rsidR="00A535FD" w:rsidRPr="00A32F1B">
        <w:rPr>
          <w:lang w:val="en-US"/>
        </w:rPr>
        <w:t xml:space="preserve">xamples. This part of the thesis should establish categories and elements within the two considered topics to enable reflection of the </w:t>
      </w:r>
      <w:r w:rsidR="009A4438" w:rsidRPr="00A32F1B">
        <w:rPr>
          <w:lang w:val="en-US"/>
        </w:rPr>
        <w:t xml:space="preserve">subsequent </w:t>
      </w:r>
      <w:r w:rsidR="00A535FD" w:rsidRPr="00A32F1B">
        <w:rPr>
          <w:lang w:val="en-US"/>
        </w:rPr>
        <w:t xml:space="preserve">Abraxas study. </w:t>
      </w:r>
      <w:r w:rsidR="009A4438" w:rsidRPr="00A32F1B">
        <w:rPr>
          <w:lang w:val="en-US"/>
        </w:rPr>
        <w:t>The f</w:t>
      </w:r>
      <w:r w:rsidR="00A535FD" w:rsidRPr="00A32F1B">
        <w:rPr>
          <w:lang w:val="en-US"/>
        </w:rPr>
        <w:t xml:space="preserve">ollowing chapter introduces Abraxas as seen by scholars from the </w:t>
      </w:r>
      <w:r w:rsidR="009C1A3F" w:rsidRPr="00A32F1B">
        <w:rPr>
          <w:lang w:val="en-US"/>
        </w:rPr>
        <w:t>16</w:t>
      </w:r>
      <w:r w:rsidR="009C1A3F" w:rsidRPr="00A32F1B">
        <w:rPr>
          <w:vertAlign w:val="superscript"/>
          <w:lang w:val="en-US"/>
        </w:rPr>
        <w:t>th</w:t>
      </w:r>
      <w:r w:rsidR="009C1A3F" w:rsidRPr="00A32F1B">
        <w:rPr>
          <w:lang w:val="en-US"/>
        </w:rPr>
        <w:t xml:space="preserve"> century to the present day to show the comprehensive path of how the perception of Abraxas developed and how modern research changed this perception by using newly found ancient sources</w:t>
      </w:r>
      <w:r w:rsidR="009A4438" w:rsidRPr="00A32F1B">
        <w:rPr>
          <w:lang w:val="en-US"/>
        </w:rPr>
        <w:t>.</w:t>
      </w:r>
      <w:r w:rsidR="009C2510" w:rsidRPr="00A32F1B">
        <w:rPr>
          <w:lang w:val="en-US"/>
        </w:rPr>
        <w:t xml:space="preserve"> </w:t>
      </w:r>
      <w:r w:rsidR="009A4438" w:rsidRPr="00A32F1B">
        <w:rPr>
          <w:lang w:val="en-US"/>
        </w:rPr>
        <w:t>O</w:t>
      </w:r>
      <w:r w:rsidR="009C2510" w:rsidRPr="00A32F1B">
        <w:rPr>
          <w:lang w:val="en-US"/>
        </w:rPr>
        <w:t>ther aspects that appeared in the focus of scholars</w:t>
      </w:r>
      <w:r w:rsidR="009A4438" w:rsidRPr="00A32F1B">
        <w:rPr>
          <w:lang w:val="en-US"/>
        </w:rPr>
        <w:t>, and are also presented in this introduction to Abraxas,</w:t>
      </w:r>
      <w:r w:rsidR="009C2510" w:rsidRPr="00A32F1B">
        <w:rPr>
          <w:lang w:val="en-US"/>
        </w:rPr>
        <w:t xml:space="preserve"> involve the etymology and assumption of Abraxas’s origin</w:t>
      </w:r>
      <w:r w:rsidR="009C1A3F" w:rsidRPr="00A32F1B">
        <w:rPr>
          <w:lang w:val="en-US"/>
        </w:rPr>
        <w:t>.</w:t>
      </w:r>
      <w:r w:rsidR="009C2510" w:rsidRPr="00A32F1B">
        <w:rPr>
          <w:lang w:val="en-US"/>
        </w:rPr>
        <w:t xml:space="preserve"> The description of historiography is ensued by the research of primary sources – </w:t>
      </w:r>
      <w:r w:rsidR="009A4438" w:rsidRPr="00A32F1B">
        <w:rPr>
          <w:lang w:val="en-US"/>
        </w:rPr>
        <w:t xml:space="preserve">the </w:t>
      </w:r>
      <w:r w:rsidR="009C2510" w:rsidRPr="00A32F1B">
        <w:rPr>
          <w:lang w:val="en-US"/>
        </w:rPr>
        <w:t xml:space="preserve">Gnostic literature, Greek </w:t>
      </w:r>
      <w:r w:rsidR="00BE0EDE" w:rsidRPr="00A32F1B">
        <w:rPr>
          <w:lang w:val="en-US"/>
        </w:rPr>
        <w:t>m</w:t>
      </w:r>
      <w:r w:rsidR="009C2510" w:rsidRPr="00A32F1B">
        <w:rPr>
          <w:lang w:val="en-US"/>
        </w:rPr>
        <w:t xml:space="preserve">agical </w:t>
      </w:r>
      <w:r w:rsidR="00BE0EDE" w:rsidRPr="00A32F1B">
        <w:rPr>
          <w:lang w:val="en-US"/>
        </w:rPr>
        <w:t>p</w:t>
      </w:r>
      <w:r w:rsidR="009C2510" w:rsidRPr="00A32F1B">
        <w:rPr>
          <w:lang w:val="en-US"/>
        </w:rPr>
        <w:t>apyri, amulets,</w:t>
      </w:r>
      <w:r w:rsidR="00000905" w:rsidRPr="00A32F1B">
        <w:rPr>
          <w:lang w:val="en-US"/>
        </w:rPr>
        <w:t xml:space="preserve"> and Jewish magical texts</w:t>
      </w:r>
      <w:r w:rsidR="009C2510" w:rsidRPr="00A32F1B">
        <w:rPr>
          <w:lang w:val="en-US"/>
        </w:rPr>
        <w:t xml:space="preserve"> </w:t>
      </w:r>
      <w:r w:rsidR="009C2510" w:rsidRPr="00A32F1B">
        <w:rPr>
          <w:i/>
          <w:iCs/>
          <w:lang w:val="en-US"/>
        </w:rPr>
        <w:t>Ḥarba de-Moshe</w:t>
      </w:r>
      <w:r w:rsidR="009C2510" w:rsidRPr="00A32F1B">
        <w:rPr>
          <w:lang w:val="en-US"/>
        </w:rPr>
        <w:t xml:space="preserve">, and </w:t>
      </w:r>
      <w:r w:rsidR="009C2510" w:rsidRPr="00A32F1B">
        <w:rPr>
          <w:i/>
          <w:iCs/>
          <w:lang w:val="en-US"/>
        </w:rPr>
        <w:t>Sefer ha-Razim</w:t>
      </w:r>
      <w:r w:rsidR="009C2510" w:rsidRPr="00A32F1B">
        <w:rPr>
          <w:lang w:val="en-US"/>
        </w:rPr>
        <w:t xml:space="preserve">; which delves into the history of the sources and the </w:t>
      </w:r>
      <w:r w:rsidR="009A4438" w:rsidRPr="00A32F1B">
        <w:rPr>
          <w:lang w:val="en-US"/>
        </w:rPr>
        <w:t xml:space="preserve">sources themselves </w:t>
      </w:r>
      <w:r w:rsidR="0030274B" w:rsidRPr="00A32F1B">
        <w:rPr>
          <w:lang w:val="en-US"/>
        </w:rPr>
        <w:t>to show the orthographic forms in which Abraxas’s name was preserved, context in which the name appeared, and the concept that Abraxas represented.</w:t>
      </w:r>
      <w:r w:rsidR="002D7B77" w:rsidRPr="00A32F1B">
        <w:rPr>
          <w:lang w:val="en-US"/>
        </w:rPr>
        <w:t xml:space="preserve"> The main goal of the thesis is thus to </w:t>
      </w:r>
      <w:r w:rsidR="007075CB" w:rsidRPr="00A32F1B">
        <w:rPr>
          <w:lang w:val="en-US"/>
        </w:rPr>
        <w:t>show</w:t>
      </w:r>
      <w:r w:rsidR="00DA44DA" w:rsidRPr="00A32F1B">
        <w:rPr>
          <w:lang w:val="en-US"/>
        </w:rPr>
        <w:t xml:space="preserve"> one subject present in the set of sources</w:t>
      </w:r>
      <w:r w:rsidR="00651E35" w:rsidRPr="00A32F1B">
        <w:rPr>
          <w:lang w:val="en-US"/>
        </w:rPr>
        <w:t xml:space="preserve">, </w:t>
      </w:r>
      <w:r w:rsidR="00DA44DA" w:rsidRPr="00A32F1B">
        <w:rPr>
          <w:lang w:val="en-US"/>
        </w:rPr>
        <w:t xml:space="preserve">the changing conditions </w:t>
      </w:r>
      <w:r w:rsidR="00651E35" w:rsidRPr="00A32F1B">
        <w:rPr>
          <w:lang w:val="en-US"/>
        </w:rPr>
        <w:t xml:space="preserve">and context </w:t>
      </w:r>
      <w:r w:rsidR="00DA44DA" w:rsidRPr="00A32F1B">
        <w:rPr>
          <w:lang w:val="en-US"/>
        </w:rPr>
        <w:t>in each source</w:t>
      </w:r>
      <w:r w:rsidR="009A4438" w:rsidRPr="00A32F1B">
        <w:rPr>
          <w:lang w:val="en-US"/>
        </w:rPr>
        <w:t xml:space="preserve"> that was show signs of syncretism</w:t>
      </w:r>
      <w:r w:rsidR="00651E35" w:rsidRPr="00A32F1B">
        <w:rPr>
          <w:lang w:val="en-US"/>
        </w:rPr>
        <w:t xml:space="preserve">; </w:t>
      </w:r>
      <w:r w:rsidR="00B22F49" w:rsidRPr="00A32F1B">
        <w:rPr>
          <w:lang w:val="en-US"/>
        </w:rPr>
        <w:t>additionally,</w:t>
      </w:r>
      <w:r w:rsidR="00DA44DA" w:rsidRPr="00A32F1B">
        <w:rPr>
          <w:lang w:val="en-US"/>
        </w:rPr>
        <w:t xml:space="preserve"> the thesis should show the limitation</w:t>
      </w:r>
      <w:r w:rsidR="009A4438" w:rsidRPr="00A32F1B">
        <w:rPr>
          <w:lang w:val="en-US"/>
        </w:rPr>
        <w:t>s</w:t>
      </w:r>
      <w:r w:rsidR="00DA44DA" w:rsidRPr="00A32F1B">
        <w:rPr>
          <w:lang w:val="en-US"/>
        </w:rPr>
        <w:t xml:space="preserve"> of the search for syncretic process</w:t>
      </w:r>
      <w:r w:rsidR="009A4438" w:rsidRPr="00A32F1B">
        <w:rPr>
          <w:lang w:val="en-US"/>
        </w:rPr>
        <w:t xml:space="preserve"> that manifested during the Abraxas presence research.</w:t>
      </w:r>
      <w:r w:rsidR="006C34F6" w:rsidRPr="00A32F1B">
        <w:rPr>
          <w:lang w:val="en-US"/>
        </w:rPr>
        <w:br w:type="page"/>
      </w:r>
    </w:p>
    <w:p w14:paraId="089A476C" w14:textId="5901A9EF" w:rsidR="008D193C" w:rsidRPr="00A32F1B" w:rsidRDefault="008D193C" w:rsidP="0013005A">
      <w:pPr>
        <w:pStyle w:val="Nadpis1"/>
        <w:numPr>
          <w:ilvl w:val="0"/>
          <w:numId w:val="3"/>
        </w:numPr>
        <w:rPr>
          <w:lang w:val="en-US"/>
        </w:rPr>
      </w:pPr>
      <w:bookmarkStart w:id="1" w:name="_Toc70950039"/>
      <w:r w:rsidRPr="00A32F1B">
        <w:rPr>
          <w:lang w:val="en-US"/>
        </w:rPr>
        <w:lastRenderedPageBreak/>
        <w:t>Syncretism and Translatability</w:t>
      </w:r>
      <w:bookmarkEnd w:id="1"/>
    </w:p>
    <w:p w14:paraId="569F4381" w14:textId="0855C4E8" w:rsidR="00FB3C3D" w:rsidRPr="00A32F1B" w:rsidRDefault="0085513B" w:rsidP="00DC211E">
      <w:pPr>
        <w:rPr>
          <w:lang w:val="en-US"/>
        </w:rPr>
      </w:pPr>
      <w:r w:rsidRPr="00A32F1B">
        <w:rPr>
          <w:lang w:val="en-US"/>
        </w:rPr>
        <w:t xml:space="preserve">Two processes interwoven in human history are subjected to analysis – syncretism and translatability </w:t>
      </w:r>
      <w:r w:rsidR="005C7E26" w:rsidRPr="00A32F1B">
        <w:rPr>
          <w:lang w:val="en-US"/>
        </w:rPr>
        <w:t xml:space="preserve">reflected on the </w:t>
      </w:r>
      <w:r w:rsidR="006A037B" w:rsidRPr="00A32F1B">
        <w:rPr>
          <w:lang w:val="en-US"/>
        </w:rPr>
        <w:t>cultural</w:t>
      </w:r>
      <w:r w:rsidR="005C7E26" w:rsidRPr="00A32F1B">
        <w:rPr>
          <w:lang w:val="en-US"/>
        </w:rPr>
        <w:t xml:space="preserve">, religious, and magical background. </w:t>
      </w:r>
      <w:r w:rsidR="00FB3C3D" w:rsidRPr="00A32F1B">
        <w:rPr>
          <w:lang w:val="en-US"/>
        </w:rPr>
        <w:t>S</w:t>
      </w:r>
      <w:r w:rsidR="005C7E26" w:rsidRPr="00A32F1B">
        <w:rPr>
          <w:lang w:val="en-US"/>
        </w:rPr>
        <w:t xml:space="preserve">yncretism </w:t>
      </w:r>
      <w:r w:rsidR="00FB3C3D" w:rsidRPr="00A32F1B">
        <w:rPr>
          <w:lang w:val="en-US"/>
        </w:rPr>
        <w:t>is perceived as</w:t>
      </w:r>
      <w:r w:rsidR="00EB7DBB" w:rsidRPr="00A32F1B">
        <w:rPr>
          <w:lang w:val="en-US"/>
        </w:rPr>
        <w:t xml:space="preserve"> a</w:t>
      </w:r>
      <w:r w:rsidR="00FB3C3D" w:rsidRPr="00A32F1B">
        <w:rPr>
          <w:lang w:val="en-US"/>
        </w:rPr>
        <w:t xml:space="preserve"> process of</w:t>
      </w:r>
      <w:r w:rsidR="00EB7DBB" w:rsidRPr="00A32F1B">
        <w:rPr>
          <w:lang w:val="en-US"/>
        </w:rPr>
        <w:t xml:space="preserve"> </w:t>
      </w:r>
      <w:r w:rsidR="00FB3C3D" w:rsidRPr="00A32F1B">
        <w:rPr>
          <w:lang w:val="en-US"/>
        </w:rPr>
        <w:t xml:space="preserve">one culture (religion, society, or tradition) </w:t>
      </w:r>
      <w:r w:rsidR="00EB7DBB" w:rsidRPr="00A32F1B">
        <w:rPr>
          <w:lang w:val="en-US"/>
        </w:rPr>
        <w:t>adapti</w:t>
      </w:r>
      <w:r w:rsidR="00FB3C3D" w:rsidRPr="00A32F1B">
        <w:rPr>
          <w:lang w:val="en-US"/>
        </w:rPr>
        <w:t xml:space="preserve">ng </w:t>
      </w:r>
      <w:r w:rsidR="00EB7DBB" w:rsidRPr="00A32F1B">
        <w:rPr>
          <w:lang w:val="en-US"/>
        </w:rPr>
        <w:t>symbols and meanings</w:t>
      </w:r>
      <w:r w:rsidR="00FD46DB" w:rsidRPr="00A32F1B">
        <w:rPr>
          <w:lang w:val="en-US"/>
        </w:rPr>
        <w:t xml:space="preserve"> originally</w:t>
      </w:r>
      <w:r w:rsidR="00EB7DBB" w:rsidRPr="00A32F1B">
        <w:rPr>
          <w:lang w:val="en-US"/>
        </w:rPr>
        <w:t xml:space="preserve"> </w:t>
      </w:r>
      <w:r w:rsidR="00FD46DB" w:rsidRPr="00A32F1B">
        <w:rPr>
          <w:lang w:val="en-US"/>
        </w:rPr>
        <w:t>belonging to a different culture</w:t>
      </w:r>
      <w:r w:rsidR="00FB3C3D" w:rsidRPr="00A32F1B">
        <w:rPr>
          <w:lang w:val="en-US"/>
        </w:rPr>
        <w:t xml:space="preserve"> (</w:t>
      </w:r>
      <w:r w:rsidR="00FD46DB" w:rsidRPr="00A32F1B">
        <w:rPr>
          <w:lang w:val="en-US"/>
        </w:rPr>
        <w:t>religion, society, or tradition</w:t>
      </w:r>
      <w:r w:rsidR="00FB3C3D" w:rsidRPr="00A32F1B">
        <w:rPr>
          <w:lang w:val="en-US"/>
        </w:rPr>
        <w:t>).</w:t>
      </w:r>
      <w:r w:rsidR="00DC211E" w:rsidRPr="00A32F1B">
        <w:rPr>
          <w:lang w:val="en-US"/>
        </w:rPr>
        <w:t xml:space="preserve"> </w:t>
      </w:r>
      <w:r w:rsidR="00FD46DB" w:rsidRPr="00A32F1B">
        <w:rPr>
          <w:lang w:val="en-US"/>
        </w:rPr>
        <w:t xml:space="preserve">Syncretic processes might be traced through a substantial part of human history and as a term it often appears in debates </w:t>
      </w:r>
      <w:r w:rsidR="001C5E03" w:rsidRPr="00A32F1B">
        <w:rPr>
          <w:lang w:val="en-US"/>
        </w:rPr>
        <w:t>on</w:t>
      </w:r>
      <w:r w:rsidR="00FD46DB" w:rsidRPr="00A32F1B">
        <w:rPr>
          <w:lang w:val="en-US"/>
        </w:rPr>
        <w:t xml:space="preserve"> world religions and their possible relations, similarities and oppositions which might be based on borrowings</w:t>
      </w:r>
      <w:r w:rsidR="006A037B" w:rsidRPr="00A32F1B">
        <w:rPr>
          <w:lang w:val="en-US"/>
        </w:rPr>
        <w:t>,</w:t>
      </w:r>
      <w:r w:rsidR="00FD46DB" w:rsidRPr="00A32F1B">
        <w:rPr>
          <w:lang w:val="en-US"/>
        </w:rPr>
        <w:t xml:space="preserve"> or </w:t>
      </w:r>
      <w:r w:rsidR="001C5E03" w:rsidRPr="00A32F1B">
        <w:rPr>
          <w:lang w:val="en-US"/>
        </w:rPr>
        <w:t>on the contrary</w:t>
      </w:r>
      <w:r w:rsidR="006A037B" w:rsidRPr="00A32F1B">
        <w:rPr>
          <w:lang w:val="en-US"/>
        </w:rPr>
        <w:t>,</w:t>
      </w:r>
      <w:r w:rsidR="001C5E03" w:rsidRPr="00A32F1B">
        <w:rPr>
          <w:lang w:val="en-US"/>
        </w:rPr>
        <w:t xml:space="preserve"> on demarcation from each other. There are two opposing approaches to the perception of syncretism: </w:t>
      </w:r>
      <w:r w:rsidR="00C73D7D" w:rsidRPr="00A32F1B">
        <w:rPr>
          <w:lang w:val="en-US"/>
        </w:rPr>
        <w:t xml:space="preserve">negative approach talks about the </w:t>
      </w:r>
      <w:r w:rsidR="001C5E03" w:rsidRPr="00A32F1B">
        <w:rPr>
          <w:lang w:val="en-US"/>
        </w:rPr>
        <w:t xml:space="preserve">contamination of original pure tradition, </w:t>
      </w:r>
      <w:r w:rsidR="00C73D7D" w:rsidRPr="00A32F1B">
        <w:rPr>
          <w:lang w:val="en-US"/>
        </w:rPr>
        <w:t xml:space="preserve">positive approach considers syncretism to be an </w:t>
      </w:r>
      <w:r w:rsidR="001C5E03" w:rsidRPr="00A32F1B">
        <w:rPr>
          <w:lang w:val="en-US"/>
        </w:rPr>
        <w:t>element enriching the tradition.</w:t>
      </w:r>
      <w:r w:rsidR="009472C8" w:rsidRPr="00A32F1B">
        <w:rPr>
          <w:rStyle w:val="Znakapoznpodarou"/>
          <w:lang w:val="en-US"/>
        </w:rPr>
        <w:footnoteReference w:id="2"/>
      </w:r>
      <w:r w:rsidR="00763C62" w:rsidRPr="00A32F1B">
        <w:rPr>
          <w:lang w:val="en-US"/>
        </w:rPr>
        <w:t xml:space="preserve"> The term appears in context of other sociological and anthropological terms such as “acculturation”, “culture-contact”, and perhaps also “melting pot”</w:t>
      </w:r>
      <w:r w:rsidR="00763C62" w:rsidRPr="00A32F1B">
        <w:rPr>
          <w:rStyle w:val="Znakapoznpodarou"/>
          <w:lang w:val="en-US"/>
        </w:rPr>
        <w:footnoteReference w:id="3"/>
      </w:r>
      <w:r w:rsidR="00763C62" w:rsidRPr="00A32F1B">
        <w:rPr>
          <w:lang w:val="en-US"/>
        </w:rPr>
        <w:t>, albeit those concepts are thematically relevant, for the purposes of this thesis they remain extant on periphery of our vision.</w:t>
      </w:r>
    </w:p>
    <w:p w14:paraId="7771A1D7" w14:textId="4AF853DA" w:rsidR="001B0C60" w:rsidRPr="00A32F1B" w:rsidRDefault="001B0C60" w:rsidP="007570F5">
      <w:pPr>
        <w:rPr>
          <w:lang w:val="en-US"/>
        </w:rPr>
      </w:pPr>
      <w:r w:rsidRPr="00A32F1B">
        <w:rPr>
          <w:lang w:val="en-US"/>
        </w:rPr>
        <w:t>T</w:t>
      </w:r>
      <w:r w:rsidR="007570F5" w:rsidRPr="00A32F1B">
        <w:rPr>
          <w:lang w:val="en-US"/>
        </w:rPr>
        <w:t xml:space="preserve">he meaning of translatability is transparently accessible in the word – the ability/possibility to be translated. Although the name carries obvious linguistic implication, the use may extend to </w:t>
      </w:r>
      <w:r w:rsidR="00117BD2" w:rsidRPr="00A32F1B">
        <w:rPr>
          <w:lang w:val="en-US"/>
        </w:rPr>
        <w:t xml:space="preserve">the field of concepts, ideas, motifs, and traditions – the possibility to </w:t>
      </w:r>
      <w:r w:rsidR="00781266">
        <w:rPr>
          <w:lang w:val="en-US"/>
        </w:rPr>
        <w:t>transfer</w:t>
      </w:r>
      <w:r w:rsidR="00AC1C20" w:rsidRPr="00A32F1B">
        <w:rPr>
          <w:lang w:val="en-US"/>
        </w:rPr>
        <w:t xml:space="preserve"> (translate)</w:t>
      </w:r>
      <w:r w:rsidR="00117BD2" w:rsidRPr="00A32F1B">
        <w:rPr>
          <w:lang w:val="en-US"/>
        </w:rPr>
        <w:t xml:space="preserve"> </w:t>
      </w:r>
      <w:r w:rsidR="00AC1C20" w:rsidRPr="00A32F1B">
        <w:rPr>
          <w:lang w:val="en-US"/>
        </w:rPr>
        <w:t>the concept into a context of another culture, society, or religion.</w:t>
      </w:r>
      <w:r w:rsidR="00C73D7D" w:rsidRPr="00A32F1B">
        <w:rPr>
          <w:lang w:val="en-US"/>
        </w:rPr>
        <w:t xml:space="preserve">  </w:t>
      </w:r>
      <w:r w:rsidR="00526D30" w:rsidRPr="00A32F1B">
        <w:rPr>
          <w:lang w:val="en-US"/>
        </w:rPr>
        <w:t xml:space="preserve">The definition of both terms introduces important subject of many debates </w:t>
      </w:r>
      <w:r w:rsidR="00EB7887" w:rsidRPr="00A32F1B">
        <w:rPr>
          <w:lang w:val="en-US"/>
        </w:rPr>
        <w:t>–</w:t>
      </w:r>
      <w:r w:rsidR="00C73D7D" w:rsidRPr="00A32F1B">
        <w:rPr>
          <w:lang w:val="en-US"/>
        </w:rPr>
        <w:t>the</w:t>
      </w:r>
      <w:r w:rsidR="00EB7887" w:rsidRPr="00A32F1B">
        <w:rPr>
          <w:lang w:val="en-US"/>
        </w:rPr>
        <w:t xml:space="preserve"> </w:t>
      </w:r>
      <w:r w:rsidR="006A037B" w:rsidRPr="00A32F1B">
        <w:rPr>
          <w:lang w:val="en-US"/>
        </w:rPr>
        <w:t>relationship</w:t>
      </w:r>
      <w:r w:rsidR="00C73D7D" w:rsidRPr="00A32F1B">
        <w:rPr>
          <w:lang w:val="en-US"/>
        </w:rPr>
        <w:t xml:space="preserve"> between a name and concept that is expressed by the name</w:t>
      </w:r>
      <w:r w:rsidR="006A037B" w:rsidRPr="00A32F1B">
        <w:rPr>
          <w:lang w:val="en-US"/>
        </w:rPr>
        <w:t xml:space="preserve">. This relationship </w:t>
      </w:r>
      <w:r w:rsidR="009362EB" w:rsidRPr="00A32F1B">
        <w:rPr>
          <w:lang w:val="en-US"/>
        </w:rPr>
        <w:t xml:space="preserve">recognized two options: </w:t>
      </w:r>
      <w:r w:rsidR="006A037B" w:rsidRPr="00A32F1B">
        <w:rPr>
          <w:lang w:val="en-US"/>
        </w:rPr>
        <w:t xml:space="preserve">the name is perceived as embodying the concept (form and meaning are inseparable), or the relationship </w:t>
      </w:r>
      <w:r w:rsidR="009362EB" w:rsidRPr="00A32F1B">
        <w:rPr>
          <w:lang w:val="en-US"/>
        </w:rPr>
        <w:t>is</w:t>
      </w:r>
      <w:r w:rsidR="006A037B" w:rsidRPr="00A32F1B">
        <w:rPr>
          <w:lang w:val="en-US"/>
        </w:rPr>
        <w:t xml:space="preserve"> arbitrary</w:t>
      </w:r>
      <w:r w:rsidR="00C73D7D" w:rsidRPr="00A32F1B">
        <w:rPr>
          <w:lang w:val="en-US"/>
        </w:rPr>
        <w:t>.</w:t>
      </w:r>
      <w:r w:rsidR="009B569B" w:rsidRPr="00A32F1B">
        <w:rPr>
          <w:rStyle w:val="Znakapoznpodarou"/>
          <w:lang w:val="en-US"/>
        </w:rPr>
        <w:footnoteReference w:id="4"/>
      </w:r>
    </w:p>
    <w:p w14:paraId="129F97B9" w14:textId="78BBFFBD" w:rsidR="00DC211E" w:rsidRPr="00A32F1B" w:rsidRDefault="00DC211E" w:rsidP="00DC211E">
      <w:pPr>
        <w:rPr>
          <w:lang w:val="en-US"/>
        </w:rPr>
      </w:pPr>
      <w:r w:rsidRPr="00A32F1B">
        <w:rPr>
          <w:lang w:val="en-US"/>
        </w:rPr>
        <w:t xml:space="preserve">Following the dichotomy of positive and negative approach, both syncretism and translatability might pose challenges to doctrinal systems – religions, philosophies, but also magic – in terms of establishing and perceiving identity and its potential difference </w:t>
      </w:r>
      <w:r w:rsidRPr="00A32F1B">
        <w:rPr>
          <w:lang w:val="en-US"/>
        </w:rPr>
        <w:lastRenderedPageBreak/>
        <w:t xml:space="preserve">from other </w:t>
      </w:r>
      <w:r w:rsidR="003909D5" w:rsidRPr="00A32F1B">
        <w:rPr>
          <w:lang w:val="en-US"/>
        </w:rPr>
        <w:t>identities and</w:t>
      </w:r>
      <w:r w:rsidRPr="00A32F1B">
        <w:rPr>
          <w:lang w:val="en-US"/>
        </w:rPr>
        <w:t xml:space="preserve"> </w:t>
      </w:r>
      <w:r w:rsidR="00A2234D" w:rsidRPr="00A32F1B">
        <w:rPr>
          <w:lang w:val="en-US"/>
        </w:rPr>
        <w:t>holding the power to identify “true” and “false” motifs, traditions, and practices. The level of self-perception and exercising of power to self-identify might be lost in history translation due to lacking accessible evidence</w:t>
      </w:r>
      <w:r w:rsidR="009B60F6" w:rsidRPr="00A32F1B">
        <w:rPr>
          <w:lang w:val="en-US"/>
        </w:rPr>
        <w:t>, or ongoing development and borrowing process,</w:t>
      </w:r>
      <w:r w:rsidR="00A2234D" w:rsidRPr="00A32F1B">
        <w:rPr>
          <w:lang w:val="en-US"/>
        </w:rPr>
        <w:t xml:space="preserve"> posing methodological problem to the research.</w:t>
      </w:r>
      <w:r w:rsidR="001B0C60" w:rsidRPr="00A32F1B">
        <w:rPr>
          <w:rStyle w:val="Znakapoznpodarou"/>
          <w:lang w:val="en-US"/>
        </w:rPr>
        <w:footnoteReference w:id="5"/>
      </w:r>
      <w:r w:rsidR="001B0C60" w:rsidRPr="00A32F1B">
        <w:rPr>
          <w:lang w:val="en-US"/>
        </w:rPr>
        <w:t xml:space="preserve"> </w:t>
      </w:r>
    </w:p>
    <w:p w14:paraId="1E3CF4B6" w14:textId="53BCE785" w:rsidR="00611DD1" w:rsidRPr="00A32F1B" w:rsidRDefault="0096637D" w:rsidP="003F1858">
      <w:pPr>
        <w:rPr>
          <w:lang w:val="en-US"/>
        </w:rPr>
      </w:pPr>
      <w:r w:rsidRPr="00A32F1B">
        <w:rPr>
          <w:lang w:val="en-US"/>
        </w:rPr>
        <w:t xml:space="preserve">An interesting account of syncretism </w:t>
      </w:r>
      <w:r w:rsidR="004D5733" w:rsidRPr="00A32F1B">
        <w:rPr>
          <w:lang w:val="en-US"/>
        </w:rPr>
        <w:t>in</w:t>
      </w:r>
      <w:r w:rsidRPr="00A32F1B">
        <w:rPr>
          <w:lang w:val="en-US"/>
        </w:rPr>
        <w:t xml:space="preserve"> religious tradition dates to </w:t>
      </w:r>
      <w:r w:rsidR="000875AF" w:rsidRPr="00A32F1B">
        <w:rPr>
          <w:lang w:val="en-US"/>
        </w:rPr>
        <w:t>first two decades of the 3</w:t>
      </w:r>
      <w:r w:rsidR="000875AF" w:rsidRPr="00A32F1B">
        <w:rPr>
          <w:vertAlign w:val="superscript"/>
          <w:lang w:val="en-US"/>
        </w:rPr>
        <w:t>rd</w:t>
      </w:r>
      <w:r w:rsidR="000875AF" w:rsidRPr="00A32F1B">
        <w:rPr>
          <w:lang w:val="en-US"/>
        </w:rPr>
        <w:t xml:space="preserve"> century CE during the rule of emperor Antonius Elagabalus (</w:t>
      </w:r>
      <w:r w:rsidR="005D034B" w:rsidRPr="00A32F1B">
        <w:rPr>
          <w:lang w:val="en-US"/>
        </w:rPr>
        <w:t>formerly Varius Avitus</w:t>
      </w:r>
      <w:r w:rsidR="001C1DED" w:rsidRPr="00A32F1B">
        <w:rPr>
          <w:lang w:val="en-US"/>
        </w:rPr>
        <w:t>, in some sources also Marcus Aurelius Antonius</w:t>
      </w:r>
      <w:r w:rsidR="000875AF" w:rsidRPr="00A32F1B">
        <w:rPr>
          <w:lang w:val="en-US"/>
        </w:rPr>
        <w:t xml:space="preserve">) who encouraged and actively participated in the process of religious and tradition syncretism. </w:t>
      </w:r>
      <w:r w:rsidR="00611DD1" w:rsidRPr="00A32F1B">
        <w:rPr>
          <w:lang w:val="en-US"/>
        </w:rPr>
        <w:t>In his early career Elagabalus served as a priest in Syria to a religion centered around god</w:t>
      </w:r>
      <w:r w:rsidR="007D2036" w:rsidRPr="00A32F1B">
        <w:rPr>
          <w:lang w:val="en-US"/>
        </w:rPr>
        <w:t xml:space="preserve"> </w:t>
      </w:r>
      <w:r w:rsidR="00611DD1" w:rsidRPr="00A32F1B">
        <w:rPr>
          <w:lang w:val="en-US"/>
        </w:rPr>
        <w:t>Elagabal</w:t>
      </w:r>
      <w:r w:rsidR="007D2036" w:rsidRPr="00A32F1B">
        <w:rPr>
          <w:lang w:val="en-US"/>
        </w:rPr>
        <w:t>us</w:t>
      </w:r>
      <w:r w:rsidR="00954FAF" w:rsidRPr="00A32F1B">
        <w:rPr>
          <w:lang w:val="en-US"/>
        </w:rPr>
        <w:t xml:space="preserve"> of Emesa</w:t>
      </w:r>
      <w:r w:rsidR="00611DD1" w:rsidRPr="00A32F1B">
        <w:rPr>
          <w:lang w:val="en-US"/>
        </w:rPr>
        <w:t xml:space="preserve">, </w:t>
      </w:r>
      <w:r w:rsidR="00697D77" w:rsidRPr="00A32F1B">
        <w:rPr>
          <w:lang w:val="en-US"/>
        </w:rPr>
        <w:t>a solar deity</w:t>
      </w:r>
      <w:r w:rsidR="007D2036" w:rsidRPr="00A32F1B">
        <w:rPr>
          <w:lang w:val="en-US"/>
        </w:rPr>
        <w:t>,</w:t>
      </w:r>
      <w:r w:rsidR="004D5733" w:rsidRPr="00A32F1B">
        <w:rPr>
          <w:lang w:val="en-US"/>
        </w:rPr>
        <w:t xml:space="preserve"> </w:t>
      </w:r>
      <w:r w:rsidR="007D2036" w:rsidRPr="00A32F1B">
        <w:rPr>
          <w:lang w:val="en-US"/>
        </w:rPr>
        <w:t xml:space="preserve">whose name became permanently associated with the emperor. After the position of emperor was bestowed on him, Elagabalus (the emperor) </w:t>
      </w:r>
      <w:r w:rsidR="006E6A4F" w:rsidRPr="00A32F1B">
        <w:rPr>
          <w:lang w:val="en-US"/>
        </w:rPr>
        <w:t xml:space="preserve">brought Elagabalus (the god) to Rome and stood him the center of belief. A biographical source </w:t>
      </w:r>
      <w:r w:rsidR="006E6A4F" w:rsidRPr="00A32F1B">
        <w:rPr>
          <w:i/>
          <w:iCs/>
          <w:lang w:val="en-US"/>
        </w:rPr>
        <w:t>Historia</w:t>
      </w:r>
      <w:r w:rsidR="004D5733" w:rsidRPr="00A32F1B">
        <w:rPr>
          <w:i/>
          <w:iCs/>
          <w:lang w:val="en-US"/>
        </w:rPr>
        <w:t>e</w:t>
      </w:r>
      <w:r w:rsidR="006E6A4F" w:rsidRPr="00A32F1B">
        <w:rPr>
          <w:i/>
          <w:iCs/>
          <w:lang w:val="en-US"/>
        </w:rPr>
        <w:t xml:space="preserve"> Augusta</w:t>
      </w:r>
      <w:r w:rsidR="004D5733" w:rsidRPr="00A32F1B">
        <w:rPr>
          <w:i/>
          <w:iCs/>
          <w:lang w:val="en-US"/>
        </w:rPr>
        <w:t>e</w:t>
      </w:r>
      <w:r w:rsidR="004D5733" w:rsidRPr="00A32F1B">
        <w:rPr>
          <w:lang w:val="en-US"/>
        </w:rPr>
        <w:t>, and other historical sources,</w:t>
      </w:r>
      <w:r w:rsidR="006E6A4F" w:rsidRPr="00A32F1B">
        <w:rPr>
          <w:lang w:val="en-US"/>
        </w:rPr>
        <w:t xml:space="preserve"> does not look upon</w:t>
      </w:r>
      <w:r w:rsidR="00745EFB" w:rsidRPr="00A32F1B">
        <w:rPr>
          <w:lang w:val="en-US"/>
        </w:rPr>
        <w:t xml:space="preserve"> Antonius</w:t>
      </w:r>
      <w:r w:rsidR="006E6A4F" w:rsidRPr="00A32F1B">
        <w:rPr>
          <w:lang w:val="en-US"/>
        </w:rPr>
        <w:t xml:space="preserve"> Elagabalus kindly, moreover </w:t>
      </w:r>
      <w:r w:rsidR="004D5733" w:rsidRPr="00A32F1B">
        <w:rPr>
          <w:i/>
          <w:iCs/>
          <w:lang w:val="en-US"/>
        </w:rPr>
        <w:t>Historiae Augustae</w:t>
      </w:r>
      <w:r w:rsidR="004D5733" w:rsidRPr="00A32F1B">
        <w:rPr>
          <w:lang w:val="en-US"/>
        </w:rPr>
        <w:t xml:space="preserve"> </w:t>
      </w:r>
      <w:r w:rsidR="006E6A4F" w:rsidRPr="00A32F1B">
        <w:rPr>
          <w:lang w:val="en-US"/>
        </w:rPr>
        <w:t>compare</w:t>
      </w:r>
      <w:r w:rsidR="004D5733" w:rsidRPr="00A32F1B">
        <w:rPr>
          <w:lang w:val="en-US"/>
        </w:rPr>
        <w:t>s</w:t>
      </w:r>
      <w:r w:rsidR="006E6A4F" w:rsidRPr="00A32F1B">
        <w:rPr>
          <w:lang w:val="en-US"/>
        </w:rPr>
        <w:t xml:space="preserve"> him in escapades and crimes to such tyrants as Caligula or Nero.</w:t>
      </w:r>
      <w:r w:rsidR="006E6A4F" w:rsidRPr="00A32F1B">
        <w:rPr>
          <w:rStyle w:val="Znakapoznpodarou"/>
          <w:lang w:val="en-US"/>
        </w:rPr>
        <w:footnoteReference w:id="6"/>
      </w:r>
      <w:r w:rsidR="006E6A4F" w:rsidRPr="00A32F1B">
        <w:rPr>
          <w:lang w:val="en-US"/>
        </w:rPr>
        <w:t xml:space="preserve"> His attempt to create a syncretic religion was by the same source convicted of desecrating the </w:t>
      </w:r>
      <w:r w:rsidR="004D5733" w:rsidRPr="00A32F1B">
        <w:rPr>
          <w:lang w:val="en-US"/>
        </w:rPr>
        <w:t xml:space="preserve">native </w:t>
      </w:r>
      <w:r w:rsidR="006E6A4F" w:rsidRPr="00A32F1B">
        <w:rPr>
          <w:lang w:val="en-US"/>
        </w:rPr>
        <w:t xml:space="preserve">Roman religious practice. Rome’s temples were consecrated to Elagabalus, and already worshipped emblems </w:t>
      </w:r>
      <w:r w:rsidR="00745EFB" w:rsidRPr="00A32F1B">
        <w:rPr>
          <w:lang w:val="en-US"/>
        </w:rPr>
        <w:t>were brought under the worship of the new cult adding other religions and their rites practiced in the Roman Empire – that of Jews, Christians, and Samaritans – for the god to assume all known mysteries of the world, i.e. connecting the traditions under one umbrella religious worship.</w:t>
      </w:r>
      <w:r w:rsidR="00745EFB" w:rsidRPr="00A32F1B">
        <w:rPr>
          <w:rStyle w:val="Znakapoznpodarou"/>
          <w:lang w:val="en-US"/>
        </w:rPr>
        <w:footnoteReference w:id="7"/>
      </w:r>
      <w:r w:rsidR="00745EFB" w:rsidRPr="00A32F1B">
        <w:rPr>
          <w:lang w:val="en-US"/>
        </w:rPr>
        <w:t xml:space="preserve"> </w:t>
      </w:r>
      <w:r w:rsidR="00745EFB" w:rsidRPr="00A32F1B">
        <w:rPr>
          <w:i/>
          <w:iCs/>
          <w:lang w:val="en-US"/>
        </w:rPr>
        <w:t>Historia</w:t>
      </w:r>
      <w:r w:rsidR="004D5733" w:rsidRPr="00A32F1B">
        <w:rPr>
          <w:i/>
          <w:iCs/>
          <w:lang w:val="en-US"/>
        </w:rPr>
        <w:t>e</w:t>
      </w:r>
      <w:r w:rsidR="00745EFB" w:rsidRPr="00A32F1B">
        <w:rPr>
          <w:i/>
          <w:iCs/>
          <w:lang w:val="en-US"/>
        </w:rPr>
        <w:t xml:space="preserve"> Augusta</w:t>
      </w:r>
      <w:r w:rsidR="004D5733" w:rsidRPr="00A32F1B">
        <w:rPr>
          <w:i/>
          <w:iCs/>
          <w:lang w:val="en-US"/>
        </w:rPr>
        <w:t>e</w:t>
      </w:r>
      <w:r w:rsidR="00745EFB" w:rsidRPr="00A32F1B">
        <w:rPr>
          <w:lang w:val="en-US"/>
        </w:rPr>
        <w:t xml:space="preserve"> accuses the emperor of a deliberate suppression of traditional gods to assume Elagabalus as the highest and only correct god; however, archaeological evidence suggest</w:t>
      </w:r>
      <w:r w:rsidR="004D5733" w:rsidRPr="00A32F1B">
        <w:rPr>
          <w:lang w:val="en-US"/>
        </w:rPr>
        <w:t>s</w:t>
      </w:r>
      <w:r w:rsidR="00745EFB" w:rsidRPr="00A32F1B">
        <w:rPr>
          <w:lang w:val="en-US"/>
        </w:rPr>
        <w:t xml:space="preserve"> that the traditional gods were not simply deleted</w:t>
      </w:r>
      <w:r w:rsidR="003F1858" w:rsidRPr="00A32F1B">
        <w:rPr>
          <w:lang w:val="en-US"/>
        </w:rPr>
        <w:t xml:space="preserve"> but remained as parts of the new cult worship.</w:t>
      </w:r>
      <w:r w:rsidR="006B08EB" w:rsidRPr="00A32F1B">
        <w:rPr>
          <w:rStyle w:val="Znakapoznpodarou"/>
          <w:lang w:val="en-US"/>
        </w:rPr>
        <w:footnoteReference w:id="8"/>
      </w:r>
      <w:r w:rsidR="003F1858" w:rsidRPr="00A32F1B">
        <w:rPr>
          <w:lang w:val="en-US"/>
        </w:rPr>
        <w:t xml:space="preserve"> Concerning the origin of </w:t>
      </w:r>
      <w:r w:rsidR="00F33FA9" w:rsidRPr="00A32F1B">
        <w:rPr>
          <w:lang w:val="en-US"/>
        </w:rPr>
        <w:t xml:space="preserve"> </w:t>
      </w:r>
      <w:r w:rsidR="003F1858" w:rsidRPr="00A32F1B">
        <w:rPr>
          <w:lang w:val="en-US"/>
        </w:rPr>
        <w:t xml:space="preserve">the </w:t>
      </w:r>
      <w:r w:rsidR="00F33FA9" w:rsidRPr="00A32F1B">
        <w:rPr>
          <w:lang w:val="en-US"/>
        </w:rPr>
        <w:t xml:space="preserve">Elagabalus </w:t>
      </w:r>
      <w:r w:rsidR="003F1858" w:rsidRPr="00A32F1B">
        <w:rPr>
          <w:lang w:val="en-US"/>
        </w:rPr>
        <w:t xml:space="preserve">cult, it </w:t>
      </w:r>
      <w:r w:rsidR="00F9468E" w:rsidRPr="00A32F1B">
        <w:rPr>
          <w:lang w:val="en-US"/>
        </w:rPr>
        <w:t xml:space="preserve">is </w:t>
      </w:r>
      <w:r w:rsidR="00F33FA9" w:rsidRPr="00A32F1B">
        <w:rPr>
          <w:lang w:val="en-US"/>
        </w:rPr>
        <w:t>not</w:t>
      </w:r>
      <w:r w:rsidR="00F9468E" w:rsidRPr="00A32F1B">
        <w:rPr>
          <w:lang w:val="en-US"/>
        </w:rPr>
        <w:t xml:space="preserve"> considered to be</w:t>
      </w:r>
      <w:r w:rsidR="00F33FA9" w:rsidRPr="00A32F1B">
        <w:rPr>
          <w:lang w:val="en-US"/>
        </w:rPr>
        <w:t xml:space="preserve"> an original Syrian worship of the </w:t>
      </w:r>
      <w:r w:rsidR="0034642B" w:rsidRPr="00A32F1B">
        <w:rPr>
          <w:lang w:val="en-US"/>
        </w:rPr>
        <w:t>S</w:t>
      </w:r>
      <w:r w:rsidR="00F33FA9" w:rsidRPr="00A32F1B">
        <w:rPr>
          <w:lang w:val="en-US"/>
        </w:rPr>
        <w:t xml:space="preserve">un, but it was already syncretic or appropriated idea of how local Syrian cult was perceived through the lenses of newly </w:t>
      </w:r>
      <w:r w:rsidR="00F33FA9" w:rsidRPr="00A32F1B">
        <w:rPr>
          <w:lang w:val="en-US"/>
        </w:rPr>
        <w:lastRenderedPageBreak/>
        <w:t xml:space="preserve">local </w:t>
      </w:r>
      <w:r w:rsidR="00F9468E" w:rsidRPr="00A32F1B">
        <w:rPr>
          <w:lang w:val="en-US"/>
        </w:rPr>
        <w:t xml:space="preserve">Emesan </w:t>
      </w:r>
      <w:r w:rsidR="00F33FA9" w:rsidRPr="00A32F1B">
        <w:rPr>
          <w:lang w:val="en-US"/>
        </w:rPr>
        <w:t>Greek</w:t>
      </w:r>
      <w:r w:rsidR="00D34E36" w:rsidRPr="00A32F1B">
        <w:rPr>
          <w:lang w:val="en-US"/>
        </w:rPr>
        <w:t xml:space="preserve">s </w:t>
      </w:r>
      <w:r w:rsidR="002E0D4C" w:rsidRPr="00A32F1B">
        <w:rPr>
          <w:lang w:val="en-US"/>
        </w:rPr>
        <w:t>who</w:t>
      </w:r>
      <w:r w:rsidR="00F33FA9" w:rsidRPr="00A32F1B">
        <w:rPr>
          <w:lang w:val="en-US"/>
        </w:rPr>
        <w:t xml:space="preserve"> created the </w:t>
      </w:r>
      <w:r w:rsidR="002E0D4C" w:rsidRPr="00A32F1B">
        <w:rPr>
          <w:lang w:val="en-US"/>
        </w:rPr>
        <w:t xml:space="preserve">Elagabalus </w:t>
      </w:r>
      <w:r w:rsidR="00F33FA9" w:rsidRPr="00A32F1B">
        <w:rPr>
          <w:lang w:val="en-US"/>
        </w:rPr>
        <w:t>cult.</w:t>
      </w:r>
      <w:r w:rsidR="00F33FA9" w:rsidRPr="00A32F1B">
        <w:rPr>
          <w:rStyle w:val="Znakapoznpodarou"/>
          <w:lang w:val="en-US"/>
        </w:rPr>
        <w:footnoteReference w:id="9"/>
      </w:r>
      <w:r w:rsidR="00F33FA9" w:rsidRPr="00A32F1B">
        <w:rPr>
          <w:lang w:val="en-US"/>
        </w:rPr>
        <w:t xml:space="preserve"> </w:t>
      </w:r>
      <w:r w:rsidR="00D34E36" w:rsidRPr="00A32F1B">
        <w:rPr>
          <w:lang w:val="en-US"/>
        </w:rPr>
        <w:t xml:space="preserve">The exchange and development then give an impression of chain </w:t>
      </w:r>
      <w:r w:rsidR="009C31DB" w:rsidRPr="00A32F1B">
        <w:rPr>
          <w:lang w:val="en-US"/>
        </w:rPr>
        <w:t>syncretic process.</w:t>
      </w:r>
    </w:p>
    <w:p w14:paraId="5969D015" w14:textId="23FD9FAD" w:rsidR="00DC6A27" w:rsidRPr="00A32F1B" w:rsidRDefault="00D57377" w:rsidP="00F9468E">
      <w:pPr>
        <w:rPr>
          <w:lang w:val="en-US"/>
        </w:rPr>
      </w:pPr>
      <w:r w:rsidRPr="00A32F1B">
        <w:rPr>
          <w:lang w:val="en-US"/>
        </w:rPr>
        <w:t xml:space="preserve">Elagabalus was a member of the Severan dynasty of Roman emperors that ruled from 193 to 235 CE – turbulent 42 years </w:t>
      </w:r>
      <w:r w:rsidR="00F9468E" w:rsidRPr="00A32F1B">
        <w:rPr>
          <w:lang w:val="en-US"/>
        </w:rPr>
        <w:t>under</w:t>
      </w:r>
      <w:r w:rsidRPr="00A32F1B">
        <w:rPr>
          <w:lang w:val="en-US"/>
        </w:rPr>
        <w:t xml:space="preserve"> five emperors. The period of Severan rule followed and further endowed cultural and social changes within the Roman </w:t>
      </w:r>
      <w:r w:rsidR="002E0D4C" w:rsidRPr="00A32F1B">
        <w:rPr>
          <w:lang w:val="en-US"/>
        </w:rPr>
        <w:t>E</w:t>
      </w:r>
      <w:r w:rsidRPr="00A32F1B">
        <w:rPr>
          <w:lang w:val="en-US"/>
        </w:rPr>
        <w:t>mpire – the relationship between diverse parts of society opened to communication</w:t>
      </w:r>
      <w:r w:rsidR="004336B3" w:rsidRPr="00A32F1B">
        <w:rPr>
          <w:lang w:val="en-US"/>
        </w:rPr>
        <w:t>; another change took place in the individual’s relationship to the emperor, to social hierarchy, to fashion and style that could</w:t>
      </w:r>
      <w:r w:rsidR="00F9468E" w:rsidRPr="00A32F1B">
        <w:rPr>
          <w:lang w:val="en-US"/>
        </w:rPr>
        <w:t xml:space="preserve"> (</w:t>
      </w:r>
      <w:r w:rsidR="004336B3" w:rsidRPr="00A32F1B">
        <w:rPr>
          <w:lang w:val="en-US"/>
        </w:rPr>
        <w:t>and did</w:t>
      </w:r>
      <w:r w:rsidR="00F9468E" w:rsidRPr="00A32F1B">
        <w:rPr>
          <w:lang w:val="en-US"/>
        </w:rPr>
        <w:t>)</w:t>
      </w:r>
      <w:r w:rsidR="004336B3" w:rsidRPr="00A32F1B">
        <w:rPr>
          <w:lang w:val="en-US"/>
        </w:rPr>
        <w:t xml:space="preserve"> show social status, to education and art, and also relationship between oneself and the empire</w:t>
      </w:r>
      <w:r w:rsidR="00885334" w:rsidRPr="00A32F1B">
        <w:rPr>
          <w:lang w:val="en-US"/>
        </w:rPr>
        <w:t>.</w:t>
      </w:r>
      <w:r w:rsidR="00410169" w:rsidRPr="00A32F1B">
        <w:rPr>
          <w:rStyle w:val="Znakapoznpodarou"/>
          <w:lang w:val="en-US"/>
        </w:rPr>
        <w:footnoteReference w:id="10"/>
      </w:r>
      <w:r w:rsidR="00A70AC6" w:rsidRPr="00A32F1B">
        <w:rPr>
          <w:lang w:val="en-US"/>
        </w:rPr>
        <w:t xml:space="preserve"> Among the formal </w:t>
      </w:r>
      <w:r w:rsidR="002E0D4C" w:rsidRPr="00A32F1B">
        <w:rPr>
          <w:lang w:val="en-US"/>
        </w:rPr>
        <w:t>ordinances</w:t>
      </w:r>
      <w:r w:rsidR="00A70AC6" w:rsidRPr="00A32F1B">
        <w:rPr>
          <w:lang w:val="en-US"/>
        </w:rPr>
        <w:t xml:space="preserve"> </w:t>
      </w:r>
      <w:r w:rsidR="009F0AC4" w:rsidRPr="00A32F1B">
        <w:rPr>
          <w:lang w:val="en-US"/>
        </w:rPr>
        <w:t xml:space="preserve">that might have instigated </w:t>
      </w:r>
      <w:r w:rsidR="003F1858" w:rsidRPr="00A32F1B">
        <w:rPr>
          <w:lang w:val="en-US"/>
        </w:rPr>
        <w:t>a certain</w:t>
      </w:r>
      <w:r w:rsidR="009F0AC4" w:rsidRPr="00A32F1B">
        <w:rPr>
          <w:lang w:val="en-US"/>
        </w:rPr>
        <w:t xml:space="preserve"> set of changes </w:t>
      </w:r>
      <w:r w:rsidR="00A70AC6" w:rsidRPr="00A32F1B">
        <w:rPr>
          <w:lang w:val="en-US"/>
        </w:rPr>
        <w:t>was the extension of the Roman citizenship on presumably all citizens living on the territory of Roman Empire</w:t>
      </w:r>
      <w:r w:rsidR="009F0AC4" w:rsidRPr="00A32F1B">
        <w:rPr>
          <w:lang w:val="en-US"/>
        </w:rPr>
        <w:t>.</w:t>
      </w:r>
      <w:r w:rsidR="00A70AC6" w:rsidRPr="00A32F1B">
        <w:rPr>
          <w:rStyle w:val="Znakapoznpodarou"/>
          <w:lang w:val="en-US"/>
        </w:rPr>
        <w:footnoteReference w:id="11"/>
      </w:r>
      <w:r w:rsidR="009F0AC4" w:rsidRPr="00A32F1B">
        <w:rPr>
          <w:lang w:val="en-US"/>
        </w:rPr>
        <w:t xml:space="preserve"> </w:t>
      </w:r>
      <w:r w:rsidR="002E0D4C" w:rsidRPr="00A32F1B">
        <w:rPr>
          <w:lang w:val="en-US"/>
        </w:rPr>
        <w:t>The Severan dynasty preceded the radical transformation of the Roman Empire, a phenomenon referred to as “third-century-crisis”</w:t>
      </w:r>
      <w:r w:rsidR="000E0A22" w:rsidRPr="00A32F1B">
        <w:rPr>
          <w:lang w:val="en-US"/>
        </w:rPr>
        <w:t>. Economic, political, cultural</w:t>
      </w:r>
      <w:r w:rsidR="001A4B57" w:rsidRPr="00A32F1B">
        <w:rPr>
          <w:lang w:val="en-US"/>
        </w:rPr>
        <w:t>,</w:t>
      </w:r>
      <w:r w:rsidR="000E0A22" w:rsidRPr="00A32F1B">
        <w:rPr>
          <w:lang w:val="en-US"/>
        </w:rPr>
        <w:t xml:space="preserve"> and social structures were transformed while influencing the mentality development of citizens and elites. These substantial amendments affected people’s attitude towards religion, and so </w:t>
      </w:r>
      <w:r w:rsidR="001A4B57" w:rsidRPr="00A32F1B">
        <w:rPr>
          <w:lang w:val="en-US"/>
        </w:rPr>
        <w:t>the traditional Roman religion along with established cults were abandoned</w:t>
      </w:r>
      <w:r w:rsidR="00AC6315" w:rsidRPr="00A32F1B">
        <w:rPr>
          <w:lang w:val="en-US"/>
        </w:rPr>
        <w:t xml:space="preserve"> possibly giving space to either establishment of new religious systems</w:t>
      </w:r>
      <w:r w:rsidR="00F9468E" w:rsidRPr="00A32F1B">
        <w:rPr>
          <w:lang w:val="en-US"/>
        </w:rPr>
        <w:t>,</w:t>
      </w:r>
      <w:r w:rsidR="00AC6315" w:rsidRPr="00A32F1B">
        <w:rPr>
          <w:lang w:val="en-US"/>
        </w:rPr>
        <w:t xml:space="preserve"> or fundamental transformation of already existing religions and cults.</w:t>
      </w:r>
      <w:r w:rsidR="00F9468E" w:rsidRPr="00A32F1B">
        <w:rPr>
          <w:rStyle w:val="Znakapoznpodarou"/>
          <w:lang w:val="en-US"/>
        </w:rPr>
        <w:footnoteReference w:id="12"/>
      </w:r>
      <w:r w:rsidR="00F9468E" w:rsidRPr="00A32F1B">
        <w:rPr>
          <w:lang w:val="en-US"/>
        </w:rPr>
        <w:t xml:space="preserve"> </w:t>
      </w:r>
      <w:r w:rsidR="00DC6A27" w:rsidRPr="00A32F1B">
        <w:rPr>
          <w:lang w:val="en-US"/>
        </w:rPr>
        <w:t>The examples of</w:t>
      </w:r>
      <w:r w:rsidR="00F9468E" w:rsidRPr="00A32F1B">
        <w:rPr>
          <w:lang w:val="en-US"/>
        </w:rPr>
        <w:t xml:space="preserve"> </w:t>
      </w:r>
      <w:r w:rsidR="00DC6A27" w:rsidRPr="00A32F1B">
        <w:rPr>
          <w:lang w:val="en-US"/>
        </w:rPr>
        <w:t>emperor Elagabalus, Severan dynasty and the transformative 3</w:t>
      </w:r>
      <w:r w:rsidR="00DC6A27" w:rsidRPr="00A32F1B">
        <w:rPr>
          <w:vertAlign w:val="superscript"/>
          <w:lang w:val="en-US"/>
        </w:rPr>
        <w:t>rd</w:t>
      </w:r>
      <w:r w:rsidR="00DC6A27" w:rsidRPr="00A32F1B">
        <w:rPr>
          <w:lang w:val="en-US"/>
        </w:rPr>
        <w:t xml:space="preserve"> century reflect </w:t>
      </w:r>
      <w:r w:rsidR="00AD17DD" w:rsidRPr="00A32F1B">
        <w:rPr>
          <w:lang w:val="en-US"/>
        </w:rPr>
        <w:t>viable</w:t>
      </w:r>
      <w:r w:rsidR="00DC6A27" w:rsidRPr="00A32F1B">
        <w:rPr>
          <w:lang w:val="en-US"/>
        </w:rPr>
        <w:t xml:space="preserve"> approaches </w:t>
      </w:r>
      <w:r w:rsidR="00AD17DD" w:rsidRPr="00A32F1B">
        <w:rPr>
          <w:lang w:val="en-US"/>
        </w:rPr>
        <w:t xml:space="preserve">leading </w:t>
      </w:r>
      <w:r w:rsidR="00DC6A27" w:rsidRPr="00A32F1B">
        <w:rPr>
          <w:lang w:val="en-US"/>
        </w:rPr>
        <w:t>to syncretism – planned,</w:t>
      </w:r>
      <w:r w:rsidR="00AD17DD" w:rsidRPr="00A32F1B">
        <w:rPr>
          <w:lang w:val="en-US"/>
        </w:rPr>
        <w:t xml:space="preserve"> </w:t>
      </w:r>
      <w:r w:rsidR="00DC6A27" w:rsidRPr="00A32F1B">
        <w:rPr>
          <w:lang w:val="en-US"/>
        </w:rPr>
        <w:t>forced</w:t>
      </w:r>
      <w:r w:rsidR="009E491A" w:rsidRPr="00A32F1B">
        <w:rPr>
          <w:lang w:val="en-US"/>
        </w:rPr>
        <w:t>,</w:t>
      </w:r>
      <w:r w:rsidR="00DC6A27" w:rsidRPr="00A32F1B">
        <w:rPr>
          <w:lang w:val="en-US"/>
        </w:rPr>
        <w:t xml:space="preserve"> and encouraged, or </w:t>
      </w:r>
      <w:r w:rsidR="00AD17DD" w:rsidRPr="00A32F1B">
        <w:rPr>
          <w:lang w:val="en-US"/>
        </w:rPr>
        <w:t>as a consequence of either gradual or abrupt change in society.</w:t>
      </w:r>
    </w:p>
    <w:p w14:paraId="4DCE464E" w14:textId="6907F329" w:rsidR="00AB6A69" w:rsidRPr="00A32F1B" w:rsidRDefault="009E491A" w:rsidP="000C0776">
      <w:pPr>
        <w:rPr>
          <w:lang w:val="en-US"/>
        </w:rPr>
      </w:pPr>
      <w:r w:rsidRPr="00A32F1B">
        <w:rPr>
          <w:lang w:val="en-US"/>
        </w:rPr>
        <w:t>The development during the Severan rule and subsequent radical changes in Roman society are events taking place in context of Hellenization, spread</w:t>
      </w:r>
      <w:r w:rsidR="00677B11" w:rsidRPr="00A32F1B">
        <w:rPr>
          <w:lang w:val="en-US"/>
        </w:rPr>
        <w:t>ing</w:t>
      </w:r>
      <w:r w:rsidRPr="00A32F1B">
        <w:rPr>
          <w:lang w:val="en-US"/>
        </w:rPr>
        <w:t xml:space="preserve"> and </w:t>
      </w:r>
      <w:r w:rsidR="00677B11" w:rsidRPr="00A32F1B">
        <w:rPr>
          <w:lang w:val="en-US"/>
        </w:rPr>
        <w:t>absorption</w:t>
      </w:r>
      <w:r w:rsidRPr="00A32F1B">
        <w:rPr>
          <w:lang w:val="en-US"/>
        </w:rPr>
        <w:t xml:space="preserve"> of the Gre</w:t>
      </w:r>
      <w:r w:rsidR="00677B11" w:rsidRPr="00A32F1B">
        <w:rPr>
          <w:lang w:val="en-US"/>
        </w:rPr>
        <w:t xml:space="preserve">co-Roman </w:t>
      </w:r>
      <w:r w:rsidRPr="00A32F1B">
        <w:rPr>
          <w:lang w:val="en-US"/>
        </w:rPr>
        <w:t xml:space="preserve">culture, </w:t>
      </w:r>
      <w:r w:rsidR="00F9468E" w:rsidRPr="00A32F1B">
        <w:rPr>
          <w:lang w:val="en-US"/>
        </w:rPr>
        <w:t>in</w:t>
      </w:r>
      <w:r w:rsidRPr="00A32F1B">
        <w:rPr>
          <w:lang w:val="en-US"/>
        </w:rPr>
        <w:t xml:space="preserve"> the conquered territories from the 4th century BCE to approximately 5th century CE</w:t>
      </w:r>
      <w:r w:rsidR="00677B11" w:rsidRPr="00A32F1B">
        <w:rPr>
          <w:lang w:val="en-US"/>
        </w:rPr>
        <w:t>.</w:t>
      </w:r>
      <w:r w:rsidR="00616F3C" w:rsidRPr="00A32F1B">
        <w:rPr>
          <w:lang w:val="en-US"/>
        </w:rPr>
        <w:t xml:space="preserve"> </w:t>
      </w:r>
      <w:r w:rsidR="00AC124F" w:rsidRPr="00A32F1B">
        <w:rPr>
          <w:lang w:val="en-US"/>
        </w:rPr>
        <w:t xml:space="preserve">The territory of Near East was during this period exposed and actively participated in Hellenization to some degree. In the first stages of Hellenization, under the Greco-Macedonian rule, Greek language and culture were accepted and not </w:t>
      </w:r>
      <w:r w:rsidR="00DA36C4" w:rsidRPr="00A32F1B">
        <w:rPr>
          <w:lang w:val="en-US"/>
        </w:rPr>
        <w:t>vehemently</w:t>
      </w:r>
      <w:r w:rsidR="00AC124F" w:rsidRPr="00A32F1B">
        <w:rPr>
          <w:lang w:val="en-US"/>
        </w:rPr>
        <w:t xml:space="preserve"> rejected, to show an example, </w:t>
      </w:r>
      <w:r w:rsidR="007021EC" w:rsidRPr="00A32F1B">
        <w:rPr>
          <w:lang w:val="en-US"/>
        </w:rPr>
        <w:t>there is not much evidence in Jewish textual sources that would majorly oppose the Greek culture</w:t>
      </w:r>
      <w:r w:rsidR="00DA36C4" w:rsidRPr="00A32F1B">
        <w:rPr>
          <w:lang w:val="en-US"/>
        </w:rPr>
        <w:t>.</w:t>
      </w:r>
      <w:r w:rsidR="007021EC" w:rsidRPr="00A32F1B">
        <w:rPr>
          <w:lang w:val="en-US"/>
        </w:rPr>
        <w:t xml:space="preserve"> </w:t>
      </w:r>
      <w:r w:rsidR="00DA36C4" w:rsidRPr="00A32F1B">
        <w:rPr>
          <w:lang w:val="en-US"/>
        </w:rPr>
        <w:t>Moreover, a</w:t>
      </w:r>
      <w:r w:rsidR="007021EC" w:rsidRPr="00A32F1B">
        <w:rPr>
          <w:lang w:val="en-US"/>
        </w:rPr>
        <w:t xml:space="preserve"> certain </w:t>
      </w:r>
      <w:r w:rsidR="007021EC" w:rsidRPr="00A32F1B">
        <w:rPr>
          <w:lang w:val="en-US"/>
        </w:rPr>
        <w:lastRenderedPageBreak/>
        <w:t>acceptance appeared between the religious and pious Jews, the Bible was being translated to Greek and possibly traces of Greek philosophy were found in Qohelet and Ben Sira which suggest</w:t>
      </w:r>
      <w:r w:rsidR="00DA36C4" w:rsidRPr="00A32F1B">
        <w:rPr>
          <w:lang w:val="en-US"/>
        </w:rPr>
        <w:t>s</w:t>
      </w:r>
      <w:r w:rsidR="007021EC" w:rsidRPr="00A32F1B">
        <w:rPr>
          <w:lang w:val="en-US"/>
        </w:rPr>
        <w:t xml:space="preserve"> at least a certain degree of conscious syncretism.</w:t>
      </w:r>
      <w:r w:rsidR="00DA36C4" w:rsidRPr="00A32F1B">
        <w:rPr>
          <w:rStyle w:val="Znakapoznpodarou"/>
          <w:lang w:val="en-US"/>
        </w:rPr>
        <w:footnoteReference w:id="13"/>
      </w:r>
      <w:r w:rsidR="00C46012" w:rsidRPr="00A32F1B">
        <w:rPr>
          <w:i/>
          <w:iCs/>
          <w:lang w:val="en-US"/>
        </w:rPr>
        <w:t xml:space="preserve"> </w:t>
      </w:r>
      <w:r w:rsidR="009A3704" w:rsidRPr="00A32F1B">
        <w:rPr>
          <w:lang w:val="en-US"/>
        </w:rPr>
        <w:t xml:space="preserve">However, to say that Hellenism was fully accepted and supported would be an exaggeration. A possible reason for a rather </w:t>
      </w:r>
      <w:r w:rsidR="00AB6A69" w:rsidRPr="00A32F1B">
        <w:rPr>
          <w:lang w:val="en-US"/>
        </w:rPr>
        <w:t>non-problematic attitude toward the Greek culture might have been the scarce presence of Greeks in the territory which might also be a reason for a rather slow process of language adoption.</w:t>
      </w:r>
      <w:r w:rsidR="00AB6A69" w:rsidRPr="00A32F1B">
        <w:rPr>
          <w:rStyle w:val="Znakapoznpodarou"/>
          <w:lang w:val="en-US"/>
        </w:rPr>
        <w:footnoteReference w:id="14"/>
      </w:r>
      <w:r w:rsidR="000C0776" w:rsidRPr="00A32F1B">
        <w:rPr>
          <w:lang w:val="en-US"/>
        </w:rPr>
        <w:t xml:space="preserve"> </w:t>
      </w:r>
      <w:r w:rsidR="00AB6A69" w:rsidRPr="00A32F1B">
        <w:rPr>
          <w:lang w:val="en-US"/>
        </w:rPr>
        <w:t>For the topic of cultural syncretism named Hellenization it is necessary to consider the element of the culture’s will to adapt or to adopt. Although there might have been an internal rejection to subject oneself to a foreign rule, the acceptance of foreign cultural motifs on the other hand might have been less strict and prone to rejection.</w:t>
      </w:r>
      <w:r w:rsidR="000C0776" w:rsidRPr="00A32F1B">
        <w:rPr>
          <w:rStyle w:val="Znakapoznpodarou"/>
          <w:lang w:val="en-US"/>
        </w:rPr>
        <w:footnoteReference w:id="15"/>
      </w:r>
    </w:p>
    <w:p w14:paraId="237B5907" w14:textId="2B0363B2" w:rsidR="00862314" w:rsidRPr="00A32F1B" w:rsidRDefault="000C0776" w:rsidP="00862314">
      <w:pPr>
        <w:rPr>
          <w:lang w:val="en-US"/>
        </w:rPr>
      </w:pPr>
      <w:r w:rsidRPr="00A32F1B">
        <w:rPr>
          <w:lang w:val="en-US"/>
        </w:rPr>
        <w:t xml:space="preserve">Varying attitude toward the reception of foreign cultural influence </w:t>
      </w:r>
      <w:r w:rsidR="00862314" w:rsidRPr="00A32F1B">
        <w:rPr>
          <w:lang w:val="en-US"/>
        </w:rPr>
        <w:t xml:space="preserve">within one society </w:t>
      </w:r>
      <w:r w:rsidRPr="00A32F1B">
        <w:rPr>
          <w:lang w:val="en-US"/>
        </w:rPr>
        <w:t>may result into an internal struggle</w:t>
      </w:r>
      <w:r w:rsidR="00862314" w:rsidRPr="00A32F1B">
        <w:rPr>
          <w:lang w:val="en-US"/>
        </w:rPr>
        <w:t>.  Such case may be illustrated by the Near Eastern events of the 2</w:t>
      </w:r>
      <w:r w:rsidR="00862314" w:rsidRPr="00A32F1B">
        <w:rPr>
          <w:vertAlign w:val="superscript"/>
          <w:lang w:val="en-US"/>
        </w:rPr>
        <w:t>nd</w:t>
      </w:r>
      <w:r w:rsidR="00862314" w:rsidRPr="00A32F1B">
        <w:rPr>
          <w:lang w:val="en-US"/>
        </w:rPr>
        <w:t xml:space="preserve"> century BCE; </w:t>
      </w:r>
      <w:r w:rsidR="00564BC1" w:rsidRPr="00A32F1B">
        <w:rPr>
          <w:lang w:val="en-US"/>
        </w:rPr>
        <w:t xml:space="preserve">the </w:t>
      </w:r>
      <w:r w:rsidR="00626EF8" w:rsidRPr="00A32F1B">
        <w:rPr>
          <w:lang w:val="en-US"/>
        </w:rPr>
        <w:t>growing tension in Jewish society, between the supporters and opposers of social and cultural adaptation,</w:t>
      </w:r>
      <w:r w:rsidR="0015164C" w:rsidRPr="00A32F1B">
        <w:rPr>
          <w:lang w:val="en-US"/>
        </w:rPr>
        <w:t xml:space="preserve"> added to other local problems</w:t>
      </w:r>
      <w:r w:rsidR="00862314" w:rsidRPr="00A32F1B">
        <w:rPr>
          <w:lang w:val="en-US"/>
        </w:rPr>
        <w:t xml:space="preserve"> </w:t>
      </w:r>
      <w:r w:rsidR="00626EF8" w:rsidRPr="00A32F1B">
        <w:rPr>
          <w:lang w:val="en-US"/>
        </w:rPr>
        <w:t>escalated into</w:t>
      </w:r>
      <w:r w:rsidR="00564BC1" w:rsidRPr="00A32F1B">
        <w:rPr>
          <w:lang w:val="en-US"/>
        </w:rPr>
        <w:t xml:space="preserve"> </w:t>
      </w:r>
      <w:r w:rsidR="00626EF8" w:rsidRPr="00A32F1B">
        <w:rPr>
          <w:lang w:val="en-US"/>
        </w:rPr>
        <w:t>the Maccabean Revolt.</w:t>
      </w:r>
      <w:r w:rsidR="00626EF8" w:rsidRPr="00A32F1B">
        <w:rPr>
          <w:rStyle w:val="Znakapoznpodarou"/>
          <w:lang w:val="en-US"/>
        </w:rPr>
        <w:footnoteReference w:id="16"/>
      </w:r>
      <w:r w:rsidR="0015164C" w:rsidRPr="00A32F1B">
        <w:rPr>
          <w:lang w:val="en-US"/>
        </w:rPr>
        <w:t xml:space="preserve"> The revolt is often perceived as a</w:t>
      </w:r>
      <w:r w:rsidR="00A55CBF" w:rsidRPr="00A32F1B">
        <w:rPr>
          <w:lang w:val="en-US"/>
        </w:rPr>
        <w:t> </w:t>
      </w:r>
      <w:r w:rsidR="0015164C" w:rsidRPr="00A32F1B">
        <w:rPr>
          <w:lang w:val="en-US"/>
        </w:rPr>
        <w:t>symbolic event of one culture (religion) protecting itself from foreign culture.</w:t>
      </w:r>
      <w:r w:rsidR="0015164C" w:rsidRPr="00A32F1B">
        <w:rPr>
          <w:rStyle w:val="Znakapoznpodarou"/>
          <w:lang w:val="en-US"/>
        </w:rPr>
        <w:footnoteReference w:id="17"/>
      </w:r>
    </w:p>
    <w:p w14:paraId="1D63FE3D" w14:textId="7A31DD6A" w:rsidR="000279B4" w:rsidRPr="00A32F1B" w:rsidRDefault="003640D4" w:rsidP="000279B4">
      <w:pPr>
        <w:rPr>
          <w:lang w:val="en-US"/>
        </w:rPr>
      </w:pPr>
      <w:r w:rsidRPr="00A32F1B">
        <w:rPr>
          <w:lang w:val="en-US"/>
        </w:rPr>
        <w:t xml:space="preserve">Moving forward several centuries, to the </w:t>
      </w:r>
      <w:r w:rsidR="009077F6" w:rsidRPr="00A32F1B">
        <w:rPr>
          <w:lang w:val="en-US"/>
        </w:rPr>
        <w:t>1</w:t>
      </w:r>
      <w:r w:rsidR="009077F6" w:rsidRPr="00A32F1B">
        <w:rPr>
          <w:vertAlign w:val="superscript"/>
          <w:lang w:val="en-US"/>
        </w:rPr>
        <w:t>st</w:t>
      </w:r>
      <w:r w:rsidR="009077F6" w:rsidRPr="00A32F1B">
        <w:rPr>
          <w:lang w:val="en-US"/>
        </w:rPr>
        <w:t xml:space="preserve"> and </w:t>
      </w:r>
      <w:r w:rsidR="00862314" w:rsidRPr="00A32F1B">
        <w:rPr>
          <w:lang w:val="en-US"/>
        </w:rPr>
        <w:t>2</w:t>
      </w:r>
      <w:r w:rsidR="00862314" w:rsidRPr="00A32F1B">
        <w:rPr>
          <w:vertAlign w:val="superscript"/>
          <w:lang w:val="en-US"/>
        </w:rPr>
        <w:t>nd</w:t>
      </w:r>
      <w:r w:rsidR="00862314" w:rsidRPr="00A32F1B">
        <w:rPr>
          <w:lang w:val="en-US"/>
        </w:rPr>
        <w:t xml:space="preserve"> </w:t>
      </w:r>
      <w:r w:rsidRPr="00A32F1B">
        <w:rPr>
          <w:lang w:val="en-US"/>
        </w:rPr>
        <w:t xml:space="preserve">century CE, after the </w:t>
      </w:r>
      <w:r w:rsidR="009077F6" w:rsidRPr="00A32F1B">
        <w:rPr>
          <w:lang w:val="en-US"/>
        </w:rPr>
        <w:t xml:space="preserve">two </w:t>
      </w:r>
      <w:r w:rsidRPr="00A32F1B">
        <w:rPr>
          <w:lang w:val="en-US"/>
        </w:rPr>
        <w:t>anti-Roman revolt</w:t>
      </w:r>
      <w:r w:rsidR="009077F6" w:rsidRPr="00A32F1B">
        <w:rPr>
          <w:lang w:val="en-US"/>
        </w:rPr>
        <w:t>s</w:t>
      </w:r>
      <w:r w:rsidRPr="00A32F1B">
        <w:rPr>
          <w:lang w:val="en-US"/>
        </w:rPr>
        <w:t xml:space="preserve"> </w:t>
      </w:r>
      <w:r w:rsidR="009077F6" w:rsidRPr="00A32F1B">
        <w:rPr>
          <w:lang w:val="en-US"/>
        </w:rPr>
        <w:t xml:space="preserve">– the Great Revolt and the </w:t>
      </w:r>
      <w:r w:rsidRPr="00A32F1B">
        <w:rPr>
          <w:lang w:val="en-US"/>
        </w:rPr>
        <w:t>Bar Kokhba</w:t>
      </w:r>
      <w:r w:rsidR="0015164C" w:rsidRPr="00A32F1B">
        <w:rPr>
          <w:lang w:val="en-US"/>
        </w:rPr>
        <w:t xml:space="preserve"> Revolt</w:t>
      </w:r>
      <w:r w:rsidRPr="00A32F1B">
        <w:rPr>
          <w:lang w:val="en-US"/>
        </w:rPr>
        <w:t xml:space="preserve">, the local </w:t>
      </w:r>
      <w:r w:rsidR="00844AC4" w:rsidRPr="00A32F1B">
        <w:rPr>
          <w:lang w:val="en-US"/>
        </w:rPr>
        <w:t xml:space="preserve">administration </w:t>
      </w:r>
      <w:r w:rsidRPr="00A32F1B">
        <w:rPr>
          <w:lang w:val="en-US"/>
        </w:rPr>
        <w:t xml:space="preserve">organization </w:t>
      </w:r>
      <w:r w:rsidR="0015164C" w:rsidRPr="00A32F1B">
        <w:rPr>
          <w:lang w:val="en-US"/>
        </w:rPr>
        <w:t>changed,</w:t>
      </w:r>
      <w:r w:rsidRPr="00A32F1B">
        <w:rPr>
          <w:lang w:val="en-US"/>
        </w:rPr>
        <w:t xml:space="preserve"> and the Roman influence strengthened which led to a significant</w:t>
      </w:r>
      <w:r w:rsidR="00126911" w:rsidRPr="00A32F1B">
        <w:rPr>
          <w:lang w:val="en-US"/>
        </w:rPr>
        <w:t xml:space="preserve"> decline and disintegration of Jewish society in the 2</w:t>
      </w:r>
      <w:r w:rsidR="00126911" w:rsidRPr="00A32F1B">
        <w:rPr>
          <w:vertAlign w:val="superscript"/>
          <w:lang w:val="en-US"/>
        </w:rPr>
        <w:t>nd</w:t>
      </w:r>
      <w:r w:rsidR="00126911" w:rsidRPr="00A32F1B">
        <w:rPr>
          <w:lang w:val="en-US"/>
        </w:rPr>
        <w:t xml:space="preserve"> and 3</w:t>
      </w:r>
      <w:r w:rsidR="00126911" w:rsidRPr="00A32F1B">
        <w:rPr>
          <w:vertAlign w:val="superscript"/>
          <w:lang w:val="en-US"/>
        </w:rPr>
        <w:t>rd</w:t>
      </w:r>
      <w:r w:rsidR="00126911" w:rsidRPr="00A32F1B">
        <w:rPr>
          <w:lang w:val="en-US"/>
        </w:rPr>
        <w:t xml:space="preserve"> centuries.</w:t>
      </w:r>
      <w:r w:rsidR="00FC5572" w:rsidRPr="00A32F1B">
        <w:rPr>
          <w:rStyle w:val="Znakapoznpodarou"/>
          <w:lang w:val="en-US"/>
        </w:rPr>
        <w:footnoteReference w:id="18"/>
      </w:r>
      <w:r w:rsidR="00FC5572" w:rsidRPr="00A32F1B">
        <w:rPr>
          <w:lang w:val="en-US"/>
        </w:rPr>
        <w:t xml:space="preserve"> </w:t>
      </w:r>
      <w:r w:rsidR="00126911" w:rsidRPr="00A32F1B">
        <w:rPr>
          <w:lang w:val="en-US"/>
        </w:rPr>
        <w:t xml:space="preserve">The people faced the choice of belonging either to the Greco-Roman cultural and religious hub with its prosperity, or to keep Jewish identity and religion which was preserved by rabbis. </w:t>
      </w:r>
      <w:r w:rsidR="00F97381" w:rsidRPr="00A32F1B">
        <w:rPr>
          <w:lang w:val="en-US"/>
        </w:rPr>
        <w:t xml:space="preserve">Most people chose the combined path of internalized Jewish identity </w:t>
      </w:r>
      <w:r w:rsidR="001B5185" w:rsidRPr="00A32F1B">
        <w:rPr>
          <w:lang w:val="en-US"/>
        </w:rPr>
        <w:t xml:space="preserve">perhaps </w:t>
      </w:r>
      <w:r w:rsidR="00F97381" w:rsidRPr="00A32F1B">
        <w:rPr>
          <w:lang w:val="en-US"/>
        </w:rPr>
        <w:t xml:space="preserve">keeping the basic commandments (not eating pork, circumcision) with external life </w:t>
      </w:r>
      <w:r w:rsidR="001B5185" w:rsidRPr="00A32F1B">
        <w:rPr>
          <w:lang w:val="en-US"/>
        </w:rPr>
        <w:t xml:space="preserve">firmly </w:t>
      </w:r>
      <w:r w:rsidR="00F97381" w:rsidRPr="00A32F1B">
        <w:rPr>
          <w:lang w:val="en-US"/>
        </w:rPr>
        <w:t>based in the Greco-Roman surroundings.</w:t>
      </w:r>
      <w:r w:rsidR="00F97381" w:rsidRPr="00A32F1B">
        <w:rPr>
          <w:rStyle w:val="Znakapoznpodarou"/>
          <w:lang w:val="en-US"/>
        </w:rPr>
        <w:footnoteReference w:id="19"/>
      </w:r>
      <w:r w:rsidR="00F02389" w:rsidRPr="00A32F1B">
        <w:rPr>
          <w:lang w:val="en-US"/>
        </w:rPr>
        <w:t xml:space="preserve"> The authority of rabbis began to increase at the beginning </w:t>
      </w:r>
      <w:r w:rsidR="00F02389" w:rsidRPr="00A32F1B">
        <w:rPr>
          <w:lang w:val="en-US"/>
        </w:rPr>
        <w:lastRenderedPageBreak/>
        <w:t xml:space="preserve">of the </w:t>
      </w:r>
      <w:r w:rsidR="00551F98" w:rsidRPr="00A32F1B">
        <w:rPr>
          <w:lang w:val="en-US"/>
        </w:rPr>
        <w:t>3</w:t>
      </w:r>
      <w:r w:rsidR="00551F98" w:rsidRPr="00A32F1B">
        <w:rPr>
          <w:vertAlign w:val="superscript"/>
          <w:lang w:val="en-US"/>
        </w:rPr>
        <w:t>rd</w:t>
      </w:r>
      <w:r w:rsidR="00551F98" w:rsidRPr="00A32F1B">
        <w:rPr>
          <w:lang w:val="en-US"/>
        </w:rPr>
        <w:t xml:space="preserve"> </w:t>
      </w:r>
      <w:r w:rsidR="00F02389" w:rsidRPr="00A32F1B">
        <w:rPr>
          <w:lang w:val="en-US"/>
        </w:rPr>
        <w:t>century</w:t>
      </w:r>
      <w:r w:rsidR="00551F98" w:rsidRPr="00A32F1B">
        <w:rPr>
          <w:lang w:val="en-US"/>
        </w:rPr>
        <w:t>, albeit it remained limited and marginal to the major society.</w:t>
      </w:r>
      <w:r w:rsidR="00551F98" w:rsidRPr="00A32F1B">
        <w:rPr>
          <w:rStyle w:val="Znakapoznpodarou"/>
          <w:lang w:val="en-US"/>
        </w:rPr>
        <w:footnoteReference w:id="20"/>
      </w:r>
      <w:r w:rsidR="00FC5572" w:rsidRPr="00A32F1B">
        <w:rPr>
          <w:lang w:val="en-US"/>
        </w:rPr>
        <w:t xml:space="preserve"> </w:t>
      </w:r>
      <w:r w:rsidR="00F02389" w:rsidRPr="00A32F1B">
        <w:rPr>
          <w:lang w:val="en-US"/>
        </w:rPr>
        <w:t>The r</w:t>
      </w:r>
      <w:r w:rsidR="00034EC0" w:rsidRPr="00A32F1B">
        <w:rPr>
          <w:lang w:val="en-US"/>
        </w:rPr>
        <w:t>abbi</w:t>
      </w:r>
      <w:r w:rsidR="00F02389" w:rsidRPr="00A32F1B">
        <w:rPr>
          <w:lang w:val="en-US"/>
        </w:rPr>
        <w:t xml:space="preserve">nical movement </w:t>
      </w:r>
      <w:r w:rsidR="00034EC0" w:rsidRPr="00A32F1B">
        <w:rPr>
          <w:lang w:val="en-US"/>
        </w:rPr>
        <w:t>resisted the imperial Greco-Roman syncretism imposed from the 1</w:t>
      </w:r>
      <w:r w:rsidR="00034EC0" w:rsidRPr="00A32F1B">
        <w:rPr>
          <w:vertAlign w:val="superscript"/>
          <w:lang w:val="en-US"/>
        </w:rPr>
        <w:t>st</w:t>
      </w:r>
      <w:r w:rsidR="00326586">
        <w:rPr>
          <w:lang w:val="en-US"/>
        </w:rPr>
        <w:t> </w:t>
      </w:r>
      <w:r w:rsidR="00034EC0" w:rsidRPr="00A32F1B">
        <w:rPr>
          <w:lang w:val="en-US"/>
        </w:rPr>
        <w:t>century CE</w:t>
      </w:r>
      <w:r w:rsidR="000279B4" w:rsidRPr="00A32F1B">
        <w:rPr>
          <w:lang w:val="en-US"/>
        </w:rPr>
        <w:t xml:space="preserve"> onwards</w:t>
      </w:r>
      <w:r w:rsidR="00F76A49" w:rsidRPr="00A32F1B">
        <w:rPr>
          <w:lang w:val="en-US"/>
        </w:rPr>
        <w:t>, supported Judaism through the disintegration of Jewish society</w:t>
      </w:r>
      <w:r w:rsidR="00F02389" w:rsidRPr="00A32F1B">
        <w:rPr>
          <w:lang w:val="en-US"/>
        </w:rPr>
        <w:t>,</w:t>
      </w:r>
      <w:r w:rsidR="00F76A49" w:rsidRPr="00A32F1B">
        <w:rPr>
          <w:lang w:val="en-US"/>
        </w:rPr>
        <w:t xml:space="preserve"> and took part in the opposition to Greco-Roman culture and preservation of the religious system.</w:t>
      </w:r>
    </w:p>
    <w:p w14:paraId="76048215" w14:textId="37900CFA" w:rsidR="00075570" w:rsidRPr="00A32F1B" w:rsidRDefault="004712F7" w:rsidP="000279B4">
      <w:pPr>
        <w:rPr>
          <w:lang w:val="en-US"/>
        </w:rPr>
      </w:pPr>
      <w:r w:rsidRPr="00A32F1B">
        <w:rPr>
          <w:lang w:val="en-US"/>
        </w:rPr>
        <w:t xml:space="preserve">Translatability </w:t>
      </w:r>
      <w:r w:rsidR="00AB714D" w:rsidRPr="00A32F1B">
        <w:rPr>
          <w:lang w:val="en-US"/>
        </w:rPr>
        <w:t xml:space="preserve">often appeared in discussions of philosophy, religion and magic while two aspects were majorly implemented: linguistic and conceptual, </w:t>
      </w:r>
      <w:proofErr w:type="gramStart"/>
      <w:r w:rsidR="00AB714D" w:rsidRPr="00A32F1B">
        <w:rPr>
          <w:lang w:val="en-US"/>
        </w:rPr>
        <w:t>i.e.</w:t>
      </w:r>
      <w:proofErr w:type="gramEnd"/>
      <w:r w:rsidR="00AB714D" w:rsidRPr="00A32F1B">
        <w:rPr>
          <w:lang w:val="en-US"/>
        </w:rPr>
        <w:t xml:space="preserve"> whether the tradition may be translated to another language and whether it is possible to translate the concept into another culture.</w:t>
      </w:r>
      <w:r w:rsidR="00BE104C" w:rsidRPr="00A32F1B">
        <w:rPr>
          <w:lang w:val="en-US"/>
        </w:rPr>
        <w:t xml:space="preserve"> </w:t>
      </w:r>
      <w:r w:rsidR="0066760D" w:rsidRPr="00A32F1B">
        <w:rPr>
          <w:lang w:val="en-US"/>
        </w:rPr>
        <w:t xml:space="preserve"> </w:t>
      </w:r>
      <w:r w:rsidR="002B2E07" w:rsidRPr="00A32F1B">
        <w:rPr>
          <w:lang w:val="en-US"/>
        </w:rPr>
        <w:t xml:space="preserve">Positive attitude, pro-translatability, is attested in the work of </w:t>
      </w:r>
      <w:r w:rsidR="00BE104C" w:rsidRPr="00A32F1B">
        <w:rPr>
          <w:lang w:val="en-US"/>
        </w:rPr>
        <w:t>Greek historian Herodotus (</w:t>
      </w:r>
      <w:r w:rsidR="00DC3F66" w:rsidRPr="00A32F1B">
        <w:rPr>
          <w:lang w:val="en-US"/>
        </w:rPr>
        <w:t>5</w:t>
      </w:r>
      <w:r w:rsidR="00DC3F66" w:rsidRPr="00A32F1B">
        <w:rPr>
          <w:vertAlign w:val="superscript"/>
          <w:lang w:val="en-US"/>
        </w:rPr>
        <w:t>th</w:t>
      </w:r>
      <w:r w:rsidR="00DC3F66" w:rsidRPr="00A32F1B">
        <w:rPr>
          <w:lang w:val="en-US"/>
        </w:rPr>
        <w:t xml:space="preserve"> century BCE</w:t>
      </w:r>
      <w:r w:rsidR="00BE104C" w:rsidRPr="00A32F1B">
        <w:rPr>
          <w:lang w:val="en-US"/>
        </w:rPr>
        <w:t>)</w:t>
      </w:r>
      <w:r w:rsidR="002B2E07" w:rsidRPr="00A32F1B">
        <w:rPr>
          <w:lang w:val="en-US"/>
        </w:rPr>
        <w:t xml:space="preserve"> who wrote </w:t>
      </w:r>
      <w:r w:rsidR="002B2E07" w:rsidRPr="00A32F1B">
        <w:rPr>
          <w:i/>
          <w:iCs/>
          <w:lang w:val="en-US"/>
        </w:rPr>
        <w:t>Histories</w:t>
      </w:r>
      <w:r w:rsidR="002B2E07" w:rsidRPr="00A32F1B">
        <w:rPr>
          <w:lang w:val="en-US"/>
        </w:rPr>
        <w:t xml:space="preserve"> </w:t>
      </w:r>
      <w:r w:rsidR="00EB7887" w:rsidRPr="00A32F1B">
        <w:rPr>
          <w:lang w:val="en-US"/>
        </w:rPr>
        <w:t>–</w:t>
      </w:r>
      <w:r w:rsidR="002B2E07" w:rsidRPr="00A32F1B">
        <w:rPr>
          <w:lang w:val="en-US"/>
        </w:rPr>
        <w:t xml:space="preserve"> a</w:t>
      </w:r>
      <w:r w:rsidR="00EB7887" w:rsidRPr="00A32F1B">
        <w:rPr>
          <w:lang w:val="en-US"/>
        </w:rPr>
        <w:t xml:space="preserve"> </w:t>
      </w:r>
      <w:r w:rsidR="002B2E07" w:rsidRPr="00A32F1B">
        <w:rPr>
          <w:lang w:val="en-US"/>
        </w:rPr>
        <w:t xml:space="preserve">concise text about the history of both Greeks and non-Greeks. While introducing the religions, cults and worship of non-Greek cultures Herodotus </w:t>
      </w:r>
      <w:r w:rsidR="00075570" w:rsidRPr="00A32F1B">
        <w:rPr>
          <w:lang w:val="en-US"/>
        </w:rPr>
        <w:t xml:space="preserve">freely </w:t>
      </w:r>
      <w:r w:rsidR="002B2E07" w:rsidRPr="00A32F1B">
        <w:rPr>
          <w:lang w:val="en-US"/>
        </w:rPr>
        <w:t>translates the foreign divine names to Greek divine names without a failure</w:t>
      </w:r>
      <w:r w:rsidR="00305D21" w:rsidRPr="00A32F1B">
        <w:rPr>
          <w:lang w:val="en-US"/>
        </w:rPr>
        <w:t xml:space="preserve"> –</w:t>
      </w:r>
      <w:r w:rsidR="0045280C" w:rsidRPr="00A32F1B">
        <w:rPr>
          <w:lang w:val="en-US"/>
        </w:rPr>
        <w:t xml:space="preserve"> </w:t>
      </w:r>
      <w:r w:rsidR="00305D21" w:rsidRPr="00A32F1B">
        <w:rPr>
          <w:lang w:val="en-US"/>
        </w:rPr>
        <w:t>Zeus Belus is Assyrian god Baal</w:t>
      </w:r>
      <w:r w:rsidR="00305D21" w:rsidRPr="00A32F1B">
        <w:rPr>
          <w:rStyle w:val="Znakapoznpodarou"/>
          <w:lang w:val="en-US"/>
        </w:rPr>
        <w:footnoteReference w:id="21"/>
      </w:r>
      <w:r w:rsidR="00305D21" w:rsidRPr="00A32F1B">
        <w:rPr>
          <w:lang w:val="en-US"/>
        </w:rPr>
        <w:t>, Theban Zeus is Egyptian Amun</w:t>
      </w:r>
      <w:r w:rsidR="00305D21" w:rsidRPr="00A32F1B">
        <w:rPr>
          <w:rStyle w:val="Znakapoznpodarou"/>
          <w:lang w:val="en-US"/>
        </w:rPr>
        <w:footnoteReference w:id="22"/>
      </w:r>
      <w:r w:rsidR="00305D21" w:rsidRPr="00A32F1B">
        <w:rPr>
          <w:lang w:val="en-US"/>
        </w:rPr>
        <w:t>.</w:t>
      </w:r>
      <w:r w:rsidR="0045280C" w:rsidRPr="00A32F1B">
        <w:rPr>
          <w:lang w:val="en-US"/>
        </w:rPr>
        <w:t xml:space="preserve"> Herodotus himself addresses the translatability of divine names, “</w:t>
      </w:r>
      <w:r w:rsidR="00873335" w:rsidRPr="00A32F1B">
        <w:rPr>
          <w:lang w:val="en-US"/>
        </w:rPr>
        <w:t>Aphrodite…</w:t>
      </w:r>
      <w:r w:rsidR="0045280C" w:rsidRPr="00A32F1B">
        <w:rPr>
          <w:lang w:val="en-US"/>
        </w:rPr>
        <w:t xml:space="preserve"> is called </w:t>
      </w:r>
      <w:r w:rsidR="00873335" w:rsidRPr="00A32F1B">
        <w:rPr>
          <w:lang w:val="en-US"/>
        </w:rPr>
        <w:t xml:space="preserve">by the Assyrians Mylitta, by the Arabians Alilat, by the Persians </w:t>
      </w:r>
      <w:r w:rsidR="0045280C" w:rsidRPr="00A32F1B">
        <w:rPr>
          <w:lang w:val="en-US"/>
        </w:rPr>
        <w:t>Mitra</w:t>
      </w:r>
      <w:r w:rsidR="00873335" w:rsidRPr="00A32F1B">
        <w:rPr>
          <w:lang w:val="en-US"/>
        </w:rPr>
        <w:t>.</w:t>
      </w:r>
      <w:r w:rsidR="0045280C" w:rsidRPr="00A32F1B">
        <w:rPr>
          <w:lang w:val="en-US"/>
        </w:rPr>
        <w:t>”</w:t>
      </w:r>
      <w:r w:rsidR="0045280C" w:rsidRPr="00A32F1B">
        <w:rPr>
          <w:rStyle w:val="Znakapoznpodarou"/>
          <w:lang w:val="en-US"/>
        </w:rPr>
        <w:footnoteReference w:id="23"/>
      </w:r>
    </w:p>
    <w:p w14:paraId="6D3181B9" w14:textId="6FB8F189" w:rsidR="003F3D04" w:rsidRPr="00A32F1B" w:rsidRDefault="00F71A07" w:rsidP="0066760D">
      <w:pPr>
        <w:rPr>
          <w:lang w:val="en-US"/>
        </w:rPr>
      </w:pPr>
      <w:r w:rsidRPr="00A32F1B">
        <w:rPr>
          <w:lang w:val="en-US"/>
        </w:rPr>
        <w:t>Herodotus’s</w:t>
      </w:r>
      <w:r w:rsidR="00075570" w:rsidRPr="00A32F1B">
        <w:rPr>
          <w:lang w:val="en-US"/>
        </w:rPr>
        <w:t xml:space="preserve"> deliberate translation technique might be based on a theory which claims that gods, their names, and their theologies were firstly recognized by one culture from which other cultures drew, thus, to use the name outside of that one original language is already a translation and further interconnections between </w:t>
      </w:r>
      <w:r w:rsidR="00B471DD">
        <w:rPr>
          <w:lang w:val="en-US"/>
        </w:rPr>
        <w:t>diverse</w:t>
      </w:r>
      <w:r w:rsidR="00075570" w:rsidRPr="00A32F1B">
        <w:rPr>
          <w:lang w:val="en-US"/>
        </w:rPr>
        <w:t xml:space="preserve"> cultures are just sensible. </w:t>
      </w:r>
      <w:r w:rsidRPr="00A32F1B">
        <w:rPr>
          <w:lang w:val="en-US"/>
        </w:rPr>
        <w:t>One of such</w:t>
      </w:r>
      <w:r w:rsidR="00075570" w:rsidRPr="00A32F1B">
        <w:rPr>
          <w:lang w:val="en-US"/>
        </w:rPr>
        <w:t xml:space="preserve"> theor</w:t>
      </w:r>
      <w:r w:rsidRPr="00A32F1B">
        <w:rPr>
          <w:lang w:val="en-US"/>
        </w:rPr>
        <w:t>ies</w:t>
      </w:r>
      <w:r w:rsidR="00075570" w:rsidRPr="00A32F1B">
        <w:rPr>
          <w:lang w:val="en-US"/>
        </w:rPr>
        <w:t xml:space="preserve"> </w:t>
      </w:r>
      <w:r w:rsidRPr="00A32F1B">
        <w:rPr>
          <w:lang w:val="en-US"/>
        </w:rPr>
        <w:t>denotes</w:t>
      </w:r>
      <w:r w:rsidR="00075570" w:rsidRPr="00A32F1B">
        <w:rPr>
          <w:lang w:val="en-US"/>
        </w:rPr>
        <w:t xml:space="preserve"> the Egyptians as the original culture that presented the world with the gods; it is mentioned in several ancient sources, such as </w:t>
      </w:r>
      <w:r w:rsidR="00596DF0" w:rsidRPr="00A32F1B">
        <w:rPr>
          <w:i/>
          <w:iCs/>
          <w:lang w:val="en-US"/>
        </w:rPr>
        <w:t>On the Syrian Goddess</w:t>
      </w:r>
      <w:r w:rsidR="00596DF0" w:rsidRPr="00A32F1B">
        <w:rPr>
          <w:lang w:val="en-US"/>
        </w:rPr>
        <w:t xml:space="preserve"> by Lucian</w:t>
      </w:r>
      <w:r w:rsidR="00B17096" w:rsidRPr="00A32F1B">
        <w:rPr>
          <w:rStyle w:val="Znakapoznpodarou"/>
          <w:lang w:val="en-US"/>
        </w:rPr>
        <w:footnoteReference w:id="24"/>
      </w:r>
      <w:r w:rsidR="00596DF0" w:rsidRPr="00A32F1B">
        <w:rPr>
          <w:lang w:val="en-US"/>
        </w:rPr>
        <w:t xml:space="preserve"> or </w:t>
      </w:r>
      <w:r w:rsidR="006303F0" w:rsidRPr="00A32F1B">
        <w:rPr>
          <w:lang w:val="en-US"/>
        </w:rPr>
        <w:t xml:space="preserve">in Herodotus’s </w:t>
      </w:r>
      <w:r w:rsidR="006303F0" w:rsidRPr="00A32F1B">
        <w:rPr>
          <w:i/>
          <w:iCs/>
          <w:lang w:val="en-US"/>
        </w:rPr>
        <w:t>Histories</w:t>
      </w:r>
      <w:r w:rsidR="00B17096" w:rsidRPr="00A32F1B">
        <w:rPr>
          <w:rStyle w:val="Znakapoznpodarou"/>
          <w:i/>
          <w:iCs/>
          <w:lang w:val="en-US"/>
        </w:rPr>
        <w:footnoteReference w:id="25"/>
      </w:r>
      <w:r w:rsidR="006303F0" w:rsidRPr="00A32F1B">
        <w:rPr>
          <w:lang w:val="en-US"/>
        </w:rPr>
        <w:t>.</w:t>
      </w:r>
      <w:r w:rsidR="00E1786E" w:rsidRPr="00A32F1B">
        <w:rPr>
          <w:lang w:val="en-US"/>
        </w:rPr>
        <w:t xml:space="preserve"> For the Egyptians there apparently was quite logical</w:t>
      </w:r>
      <w:r w:rsidR="00CE3DD2" w:rsidRPr="00A32F1B">
        <w:rPr>
          <w:lang w:val="en-US"/>
        </w:rPr>
        <w:t xml:space="preserve"> and correct</w:t>
      </w:r>
      <w:r w:rsidR="00E1786E" w:rsidRPr="00A32F1B">
        <w:rPr>
          <w:lang w:val="en-US"/>
        </w:rPr>
        <w:t xml:space="preserve"> to translate Re as Helios, or Thoth as Hermes.</w:t>
      </w:r>
      <w:r w:rsidR="009F6575" w:rsidRPr="00A32F1B">
        <w:rPr>
          <w:lang w:val="en-US"/>
        </w:rPr>
        <w:t xml:space="preserve"> </w:t>
      </w:r>
      <w:r w:rsidR="00CE3DD2" w:rsidRPr="00A32F1B">
        <w:rPr>
          <w:lang w:val="en-US"/>
        </w:rPr>
        <w:t>Said theory</w:t>
      </w:r>
      <w:r w:rsidR="00F97EF4" w:rsidRPr="00A32F1B">
        <w:rPr>
          <w:lang w:val="en-US"/>
        </w:rPr>
        <w:t xml:space="preserve"> presents the answer to the basic question of syncretism research – the question of the tradition origin; albeit it was suggested that the story might have </w:t>
      </w:r>
      <w:r w:rsidR="008B76E2" w:rsidRPr="00A32F1B">
        <w:rPr>
          <w:lang w:val="en-US"/>
        </w:rPr>
        <w:t>originated in</w:t>
      </w:r>
      <w:r w:rsidR="00F97EF4" w:rsidRPr="00A32F1B">
        <w:rPr>
          <w:lang w:val="en-US"/>
        </w:rPr>
        <w:t xml:space="preserve"> </w:t>
      </w:r>
      <w:r w:rsidR="00F97EF4" w:rsidRPr="00A32F1B">
        <w:rPr>
          <w:lang w:val="en-US"/>
        </w:rPr>
        <w:lastRenderedPageBreak/>
        <w:t>a</w:t>
      </w:r>
      <w:r w:rsidR="00A55CBF" w:rsidRPr="00A32F1B">
        <w:rPr>
          <w:lang w:val="en-US"/>
        </w:rPr>
        <w:t> </w:t>
      </w:r>
      <w:r w:rsidR="00F97EF4" w:rsidRPr="00A32F1B">
        <w:rPr>
          <w:lang w:val="en-US"/>
        </w:rPr>
        <w:t xml:space="preserve">pragmatic </w:t>
      </w:r>
      <w:r w:rsidR="008B76E2" w:rsidRPr="00A32F1B">
        <w:rPr>
          <w:lang w:val="en-US"/>
        </w:rPr>
        <w:t>attempt</w:t>
      </w:r>
      <w:r w:rsidR="00F97EF4" w:rsidRPr="00A32F1B">
        <w:rPr>
          <w:lang w:val="en-US"/>
        </w:rPr>
        <w:t xml:space="preserve"> of trying to compete with other cultures.</w:t>
      </w:r>
      <w:r w:rsidR="00F97EF4" w:rsidRPr="00A32F1B">
        <w:rPr>
          <w:rStyle w:val="Znakapoznpodarou"/>
          <w:lang w:val="en-US"/>
        </w:rPr>
        <w:footnoteReference w:id="26"/>
      </w:r>
      <w:r w:rsidR="0066760D" w:rsidRPr="00A32F1B">
        <w:rPr>
          <w:lang w:val="en-US"/>
        </w:rPr>
        <w:t xml:space="preserve"> </w:t>
      </w:r>
      <w:r w:rsidR="00B70481" w:rsidRPr="00A32F1B">
        <w:rPr>
          <w:lang w:val="en-US"/>
        </w:rPr>
        <w:t>Following the theory</w:t>
      </w:r>
      <w:r w:rsidR="006D119D" w:rsidRPr="00A32F1B">
        <w:rPr>
          <w:lang w:val="en-US"/>
        </w:rPr>
        <w:t>,</w:t>
      </w:r>
      <w:r w:rsidR="00B70481" w:rsidRPr="00A32F1B">
        <w:rPr>
          <w:lang w:val="en-US"/>
        </w:rPr>
        <w:t xml:space="preserve"> one may deduce the opinion of Herodotus and other ancient thinkers on the question of the conceptual translatability – the entity is truly translated as the </w:t>
      </w:r>
      <w:r w:rsidR="006D119D" w:rsidRPr="00A32F1B">
        <w:rPr>
          <w:lang w:val="en-US"/>
        </w:rPr>
        <w:t>identic</w:t>
      </w:r>
      <w:r w:rsidR="00B70481" w:rsidRPr="00A32F1B">
        <w:rPr>
          <w:lang w:val="en-US"/>
        </w:rPr>
        <w:t xml:space="preserve"> entity but under a</w:t>
      </w:r>
      <w:r w:rsidR="00A55CBF" w:rsidRPr="00A32F1B">
        <w:rPr>
          <w:lang w:val="en-US"/>
        </w:rPr>
        <w:t> </w:t>
      </w:r>
      <w:r w:rsidR="00B70481" w:rsidRPr="00A32F1B">
        <w:rPr>
          <w:lang w:val="en-US"/>
        </w:rPr>
        <w:t>different name</w:t>
      </w:r>
      <w:r w:rsidR="006D119D" w:rsidRPr="00A32F1B">
        <w:rPr>
          <w:lang w:val="en-US"/>
        </w:rPr>
        <w:t xml:space="preserve">; </w:t>
      </w:r>
      <w:r w:rsidR="007216CF" w:rsidRPr="00A32F1B">
        <w:rPr>
          <w:lang w:val="en-US"/>
        </w:rPr>
        <w:t xml:space="preserve">in Shakespearean fashion: </w:t>
      </w:r>
      <w:r w:rsidR="007216CF" w:rsidRPr="00A32F1B">
        <w:rPr>
          <w:i/>
          <w:iCs/>
          <w:lang w:val="en-US"/>
        </w:rPr>
        <w:t>“What’s in a name? That which we call a</w:t>
      </w:r>
      <w:r w:rsidR="00A55CBF" w:rsidRPr="00A32F1B">
        <w:rPr>
          <w:i/>
          <w:iCs/>
          <w:lang w:val="en-US"/>
        </w:rPr>
        <w:t> </w:t>
      </w:r>
      <w:r w:rsidR="007216CF" w:rsidRPr="00A32F1B">
        <w:rPr>
          <w:i/>
          <w:iCs/>
          <w:lang w:val="en-US"/>
        </w:rPr>
        <w:t>rose / By any other name would smell as sweet</w:t>
      </w:r>
      <w:r w:rsidR="006D119D" w:rsidRPr="00A32F1B">
        <w:rPr>
          <w:i/>
          <w:iCs/>
          <w:lang w:val="en-US"/>
        </w:rPr>
        <w:t>.</w:t>
      </w:r>
      <w:r w:rsidR="007216CF" w:rsidRPr="00A32F1B">
        <w:rPr>
          <w:i/>
          <w:iCs/>
          <w:lang w:val="en-US"/>
        </w:rPr>
        <w:t>”</w:t>
      </w:r>
      <w:r w:rsidR="006D119D" w:rsidRPr="00A32F1B">
        <w:rPr>
          <w:rStyle w:val="Znakapoznpodarou"/>
          <w:i/>
          <w:iCs/>
          <w:lang w:val="en-US"/>
        </w:rPr>
        <w:footnoteReference w:id="27"/>
      </w:r>
      <w:r w:rsidR="0000105A" w:rsidRPr="00A32F1B">
        <w:rPr>
          <w:lang w:val="en-US"/>
        </w:rPr>
        <w:t xml:space="preserve"> Hence, it seems that Herodotus agreed and employed both aspects of translatability – linguistic and conceptual.</w:t>
      </w:r>
    </w:p>
    <w:p w14:paraId="3B4BBEA0" w14:textId="2C87AA33" w:rsidR="00F40DF7" w:rsidRPr="00A32F1B" w:rsidRDefault="00B626E5" w:rsidP="00B626E5">
      <w:pPr>
        <w:rPr>
          <w:lang w:val="en-US"/>
        </w:rPr>
      </w:pPr>
      <w:r w:rsidRPr="00A32F1B">
        <w:rPr>
          <w:lang w:val="en-US"/>
        </w:rPr>
        <w:t>Fierce</w:t>
      </w:r>
      <w:r w:rsidR="0000105A" w:rsidRPr="00A32F1B">
        <w:rPr>
          <w:lang w:val="en-US"/>
        </w:rPr>
        <w:t xml:space="preserve"> opposition to translatability</w:t>
      </w:r>
      <w:r w:rsidRPr="00A32F1B">
        <w:rPr>
          <w:lang w:val="en-US"/>
        </w:rPr>
        <w:t xml:space="preserve"> </w:t>
      </w:r>
      <w:r w:rsidR="00923C26" w:rsidRPr="00A32F1B">
        <w:rPr>
          <w:lang w:val="en-US"/>
        </w:rPr>
        <w:t>is present in the response of Origen</w:t>
      </w:r>
      <w:r w:rsidR="00CC3A8B" w:rsidRPr="00A32F1B">
        <w:rPr>
          <w:lang w:val="en-US"/>
        </w:rPr>
        <w:t xml:space="preserve"> (2</w:t>
      </w:r>
      <w:r w:rsidR="00CC3A8B" w:rsidRPr="00A32F1B">
        <w:rPr>
          <w:vertAlign w:val="superscript"/>
          <w:lang w:val="en-US"/>
        </w:rPr>
        <w:t>nd</w:t>
      </w:r>
      <w:r w:rsidR="00326586">
        <w:rPr>
          <w:lang w:val="en-US"/>
        </w:rPr>
        <w:t> </w:t>
      </w:r>
      <w:r w:rsidR="00326586" w:rsidRPr="00A32F1B">
        <w:rPr>
          <w:lang w:val="en-US"/>
        </w:rPr>
        <w:t>–</w:t>
      </w:r>
      <w:r w:rsidR="00326586">
        <w:rPr>
          <w:lang w:val="en-US"/>
        </w:rPr>
        <w:t> </w:t>
      </w:r>
      <w:r w:rsidR="00CC3A8B" w:rsidRPr="00A32F1B">
        <w:rPr>
          <w:lang w:val="en-US"/>
        </w:rPr>
        <w:t>3</w:t>
      </w:r>
      <w:r w:rsidR="00CC3A8B" w:rsidRPr="00A32F1B">
        <w:rPr>
          <w:vertAlign w:val="superscript"/>
          <w:lang w:val="en-US"/>
        </w:rPr>
        <w:t>rd</w:t>
      </w:r>
      <w:r w:rsidR="000B1CB0" w:rsidRPr="00A32F1B">
        <w:rPr>
          <w:lang w:val="en-US"/>
        </w:rPr>
        <w:t> </w:t>
      </w:r>
      <w:r w:rsidR="00CC3A8B" w:rsidRPr="00A32F1B">
        <w:rPr>
          <w:lang w:val="en-US"/>
        </w:rPr>
        <w:t xml:space="preserve">century CE, in Alexandria) </w:t>
      </w:r>
      <w:r w:rsidR="00923C26" w:rsidRPr="00A32F1B">
        <w:rPr>
          <w:lang w:val="en-US"/>
        </w:rPr>
        <w:t xml:space="preserve">to anti-Christian treatise by Celsus. Origen’s </w:t>
      </w:r>
      <w:r w:rsidR="00923C26" w:rsidRPr="00A32F1B">
        <w:rPr>
          <w:i/>
          <w:iCs/>
          <w:lang w:val="en-US"/>
        </w:rPr>
        <w:t>Contra Celsum</w:t>
      </w:r>
      <w:r w:rsidR="00923C26" w:rsidRPr="00A32F1B">
        <w:rPr>
          <w:lang w:val="en-US"/>
        </w:rPr>
        <w:t xml:space="preserve"> presents Celsus’s opinion on one entity (God) being worshipped under various names, notwithstanding the origin of the entity and the name used for it, thus the entity being addressed by the names of foreign god, </w:t>
      </w:r>
      <w:proofErr w:type="gramStart"/>
      <w:r w:rsidR="00923C26" w:rsidRPr="00A32F1B">
        <w:rPr>
          <w:lang w:val="en-US"/>
        </w:rPr>
        <w:t>i.e.</w:t>
      </w:r>
      <w:proofErr w:type="gramEnd"/>
      <w:r w:rsidR="00923C26" w:rsidRPr="00A32F1B">
        <w:rPr>
          <w:lang w:val="en-US"/>
        </w:rPr>
        <w:t xml:space="preserve"> the name is not substantial and may be translated directly or indirectly into another language and/or culture</w:t>
      </w:r>
      <w:r w:rsidR="00BF65AD" w:rsidRPr="00A32F1B">
        <w:rPr>
          <w:lang w:val="en-US"/>
        </w:rPr>
        <w:t>. Origen profoundly opposed Celsus’s claims stating the importance of the name and its untranslatability</w:t>
      </w:r>
      <w:r w:rsidR="00F40DF7" w:rsidRPr="00A32F1B">
        <w:rPr>
          <w:lang w:val="en-US"/>
        </w:rPr>
        <w:t xml:space="preserve">; the names are not arbitrarily chosen by people and so they are significant </w:t>
      </w:r>
      <w:r w:rsidR="00F71A07" w:rsidRPr="00A32F1B">
        <w:rPr>
          <w:lang w:val="en-US"/>
        </w:rPr>
        <w:t>in their own nature</w:t>
      </w:r>
      <w:r w:rsidR="00BF65AD" w:rsidRPr="00A32F1B">
        <w:rPr>
          <w:lang w:val="en-US"/>
        </w:rPr>
        <w:t xml:space="preserve">. In his explanation of the matter Origen delves into magic and magical practices arguing </w:t>
      </w:r>
      <w:r w:rsidR="003A51E4" w:rsidRPr="00A32F1B">
        <w:rPr>
          <w:lang w:val="en-US"/>
        </w:rPr>
        <w:t xml:space="preserve">the inability of names to be translated when referring to specific entity for the magical spell is </w:t>
      </w:r>
      <w:r w:rsidR="00F71A07" w:rsidRPr="00A32F1B">
        <w:rPr>
          <w:lang w:val="en-US"/>
        </w:rPr>
        <w:t xml:space="preserve">then </w:t>
      </w:r>
      <w:r w:rsidR="003A51E4" w:rsidRPr="00A32F1B">
        <w:rPr>
          <w:lang w:val="en-US"/>
        </w:rPr>
        <w:t xml:space="preserve">ineffective if other name is used, thus </w:t>
      </w:r>
      <w:r w:rsidR="00BF65AD" w:rsidRPr="00A32F1B">
        <w:rPr>
          <w:lang w:val="en-US"/>
        </w:rPr>
        <w:t>only the name in its native language functions properly as the magical practice desires</w:t>
      </w:r>
      <w:r w:rsidR="0000173C" w:rsidRPr="00A32F1B">
        <w:rPr>
          <w:lang w:val="en-US"/>
        </w:rPr>
        <w:t>.</w:t>
      </w:r>
      <w:r w:rsidR="003F3D04" w:rsidRPr="00A32F1B">
        <w:rPr>
          <w:rStyle w:val="Znakapoznpodarou"/>
          <w:lang w:val="en-US"/>
        </w:rPr>
        <w:footnoteReference w:id="28"/>
      </w:r>
      <w:r w:rsidR="00BF65AD" w:rsidRPr="00A32F1B">
        <w:rPr>
          <w:lang w:val="en-US"/>
        </w:rPr>
        <w:t xml:space="preserve"> </w:t>
      </w:r>
      <w:r w:rsidR="004A27B0" w:rsidRPr="00A32F1B">
        <w:rPr>
          <w:lang w:val="en-US"/>
        </w:rPr>
        <w:t xml:space="preserve">Origen </w:t>
      </w:r>
      <w:r w:rsidR="00D57D1C" w:rsidRPr="00A32F1B">
        <w:rPr>
          <w:lang w:val="en-US"/>
        </w:rPr>
        <w:t>further explains the name’s form importance on the example of human names by indicating the impossibility to translate one’s name, i.e. addressing a person by translated version of their name would not set them in action as it is not their name; the untranslatability of human names Origen compares to divine names.</w:t>
      </w:r>
      <w:r w:rsidR="00D57D1C" w:rsidRPr="00A32F1B">
        <w:rPr>
          <w:rStyle w:val="Znakapoznpodarou"/>
          <w:lang w:val="en-US"/>
        </w:rPr>
        <w:footnoteReference w:id="29"/>
      </w:r>
      <w:r w:rsidR="0000173C" w:rsidRPr="00A32F1B">
        <w:rPr>
          <w:lang w:val="en-US"/>
        </w:rPr>
        <w:t xml:space="preserve"> Moreover, Origen adds another quality that determines the potential power of the name – sound of the pronounced name, therefore the form of the name is essential, if used for magical purposes, to see the desired impact.</w:t>
      </w:r>
      <w:r w:rsidR="0000173C" w:rsidRPr="00A32F1B">
        <w:rPr>
          <w:rStyle w:val="Znakapoznpodarou"/>
          <w:lang w:val="en-US"/>
        </w:rPr>
        <w:footnoteReference w:id="30"/>
      </w:r>
      <w:r w:rsidR="0000173C" w:rsidRPr="00A32F1B">
        <w:rPr>
          <w:lang w:val="en-US"/>
        </w:rPr>
        <w:t xml:space="preserve"> </w:t>
      </w:r>
      <w:r w:rsidR="00E30E0B" w:rsidRPr="00A32F1B">
        <w:rPr>
          <w:lang w:val="en-US"/>
        </w:rPr>
        <w:t xml:space="preserve">The inability to translate divine names </w:t>
      </w:r>
      <w:r w:rsidR="0000173C" w:rsidRPr="00A32F1B">
        <w:rPr>
          <w:lang w:val="en-US"/>
        </w:rPr>
        <w:t>then deems</w:t>
      </w:r>
      <w:r w:rsidR="00E30E0B" w:rsidRPr="00A32F1B">
        <w:rPr>
          <w:lang w:val="en-US"/>
        </w:rPr>
        <w:t xml:space="preserve"> impossibl</w:t>
      </w:r>
      <w:r w:rsidR="0000173C" w:rsidRPr="00A32F1B">
        <w:rPr>
          <w:lang w:val="en-US"/>
        </w:rPr>
        <w:t>e</w:t>
      </w:r>
      <w:r w:rsidR="00E30E0B" w:rsidRPr="00A32F1B">
        <w:rPr>
          <w:lang w:val="en-US"/>
        </w:rPr>
        <w:t xml:space="preserve"> to call the God (as understood by Jews and Christians) </w:t>
      </w:r>
      <w:r w:rsidR="00EE37A7" w:rsidRPr="00A32F1B">
        <w:rPr>
          <w:lang w:val="en-US"/>
        </w:rPr>
        <w:t>by the name of Zeus or any other divine name.</w:t>
      </w:r>
    </w:p>
    <w:p w14:paraId="3F6020D7" w14:textId="0CAF495A" w:rsidR="00781BCE" w:rsidRPr="00A32F1B" w:rsidRDefault="00F40DF7" w:rsidP="00A25C6F">
      <w:pPr>
        <w:rPr>
          <w:lang w:val="en-US"/>
        </w:rPr>
      </w:pPr>
      <w:r w:rsidRPr="00A32F1B">
        <w:rPr>
          <w:lang w:val="en-US"/>
        </w:rPr>
        <w:lastRenderedPageBreak/>
        <w:t xml:space="preserve">The </w:t>
      </w:r>
      <w:r w:rsidR="006F0CF0" w:rsidRPr="00A32F1B">
        <w:rPr>
          <w:lang w:val="en-US"/>
        </w:rPr>
        <w:t xml:space="preserve">dispute </w:t>
      </w:r>
      <w:r w:rsidRPr="00A32F1B">
        <w:rPr>
          <w:lang w:val="en-US"/>
        </w:rPr>
        <w:t xml:space="preserve">of </w:t>
      </w:r>
      <w:r w:rsidRPr="00A32F1B">
        <w:rPr>
          <w:i/>
          <w:iCs/>
          <w:lang w:val="en-US"/>
        </w:rPr>
        <w:t xml:space="preserve">Contra Celsum </w:t>
      </w:r>
      <w:r w:rsidR="006F0CF0" w:rsidRPr="00A32F1B">
        <w:rPr>
          <w:lang w:val="en-US"/>
        </w:rPr>
        <w:t xml:space="preserve">over divine names and their untranslatability includes </w:t>
      </w:r>
      <w:r w:rsidRPr="00A32F1B">
        <w:rPr>
          <w:lang w:val="en-US"/>
        </w:rPr>
        <w:t xml:space="preserve">not only linguistic aspect but also the aspect of conceptual translation. Origen considers the nature of the relationship between the name and the entity signified by the name; he sees the assumed power being </w:t>
      </w:r>
      <w:r w:rsidR="006F0CF0" w:rsidRPr="00A32F1B">
        <w:rPr>
          <w:lang w:val="en-US"/>
        </w:rPr>
        <w:t xml:space="preserve">channeled through the name itself, </w:t>
      </w:r>
      <w:proofErr w:type="gramStart"/>
      <w:r w:rsidR="006F0CF0" w:rsidRPr="00A32F1B">
        <w:rPr>
          <w:lang w:val="en-US"/>
        </w:rPr>
        <w:t>i.e.</w:t>
      </w:r>
      <w:proofErr w:type="gramEnd"/>
      <w:r w:rsidR="006F0CF0" w:rsidRPr="00A32F1B">
        <w:rPr>
          <w:lang w:val="en-US"/>
        </w:rPr>
        <w:t xml:space="preserve"> the name is the </w:t>
      </w:r>
      <w:r w:rsidR="00EC69C3" w:rsidRPr="00A32F1B">
        <w:rPr>
          <w:lang w:val="en-US"/>
        </w:rPr>
        <w:t>entity</w:t>
      </w:r>
      <w:r w:rsidR="006F0CF0" w:rsidRPr="00A32F1B">
        <w:rPr>
          <w:lang w:val="en-US"/>
        </w:rPr>
        <w:t xml:space="preserve"> rather than being a representative of </w:t>
      </w:r>
      <w:r w:rsidR="00EC69C3" w:rsidRPr="00A32F1B">
        <w:rPr>
          <w:lang w:val="en-US"/>
        </w:rPr>
        <w:t xml:space="preserve">the </w:t>
      </w:r>
      <w:r w:rsidR="006F0CF0" w:rsidRPr="00A32F1B">
        <w:rPr>
          <w:lang w:val="en-US"/>
        </w:rPr>
        <w:t>entity.</w:t>
      </w:r>
      <w:r w:rsidR="006F0CF0" w:rsidRPr="00A32F1B">
        <w:rPr>
          <w:rStyle w:val="Znakapoznpodarou"/>
          <w:lang w:val="en-US"/>
        </w:rPr>
        <w:footnoteReference w:id="31"/>
      </w:r>
      <w:r w:rsidR="00EC69C3" w:rsidRPr="00A32F1B">
        <w:rPr>
          <w:lang w:val="en-US"/>
        </w:rPr>
        <w:t xml:space="preserve"> Origen thus directly contradict Herodotus by refusing both aspects, linguistic and conceptual, of translatability.</w:t>
      </w:r>
      <w:r w:rsidR="00A25C6F" w:rsidRPr="00A32F1B">
        <w:rPr>
          <w:lang w:val="en-US"/>
        </w:rPr>
        <w:t xml:space="preserve"> </w:t>
      </w:r>
      <w:r w:rsidR="00781BCE" w:rsidRPr="00A32F1B">
        <w:rPr>
          <w:lang w:val="en-US"/>
        </w:rPr>
        <w:t>Concordant opinion rejecting the translatability of any god’s name was promoted by Syrian philosopher Iamblichus (3</w:t>
      </w:r>
      <w:r w:rsidR="00781BCE" w:rsidRPr="00A32F1B">
        <w:rPr>
          <w:vertAlign w:val="superscript"/>
          <w:lang w:val="en-US"/>
        </w:rPr>
        <w:t>rd</w:t>
      </w:r>
      <w:r w:rsidR="00EB7887" w:rsidRPr="00A32F1B">
        <w:rPr>
          <w:vertAlign w:val="superscript"/>
          <w:lang w:val="en-US"/>
        </w:rPr>
        <w:t xml:space="preserve"> </w:t>
      </w:r>
      <w:r w:rsidR="00EB7887" w:rsidRPr="00A32F1B">
        <w:rPr>
          <w:lang w:val="en-US"/>
        </w:rPr>
        <w:t xml:space="preserve">– </w:t>
      </w:r>
      <w:r w:rsidR="00781BCE" w:rsidRPr="00A32F1B">
        <w:rPr>
          <w:lang w:val="en-US"/>
        </w:rPr>
        <w:t>4</w:t>
      </w:r>
      <w:r w:rsidR="00781BCE" w:rsidRPr="00A32F1B">
        <w:rPr>
          <w:vertAlign w:val="superscript"/>
          <w:lang w:val="en-US"/>
        </w:rPr>
        <w:t>th</w:t>
      </w:r>
      <w:r w:rsidR="00781BCE" w:rsidRPr="00A32F1B">
        <w:rPr>
          <w:lang w:val="en-US"/>
        </w:rPr>
        <w:t xml:space="preserve"> century); he sees the divine name as a symbol that cannot be translated sharing Origen’s thought that the name is </w:t>
      </w:r>
      <w:r w:rsidR="00A25C6F" w:rsidRPr="00A32F1B">
        <w:rPr>
          <w:lang w:val="en-US"/>
        </w:rPr>
        <w:t>significant only in its original form or language.</w:t>
      </w:r>
      <w:r w:rsidR="00E22218" w:rsidRPr="00A32F1B">
        <w:rPr>
          <w:rStyle w:val="Znakapoznpodarou"/>
          <w:lang w:val="en-US"/>
        </w:rPr>
        <w:footnoteReference w:id="32"/>
      </w:r>
    </w:p>
    <w:p w14:paraId="49F4AE9B" w14:textId="0172D812" w:rsidR="00A25C6F" w:rsidRPr="00A32F1B" w:rsidRDefault="00732CD8" w:rsidP="00A25C6F">
      <w:pPr>
        <w:rPr>
          <w:lang w:val="en-US"/>
        </w:rPr>
      </w:pPr>
      <w:r w:rsidRPr="00A32F1B">
        <w:rPr>
          <w:lang w:val="en-US"/>
        </w:rPr>
        <w:t xml:space="preserve">The dual </w:t>
      </w:r>
      <w:r w:rsidR="00700626" w:rsidRPr="00A32F1B">
        <w:rPr>
          <w:lang w:val="en-US"/>
        </w:rPr>
        <w:t>perception</w:t>
      </w:r>
      <w:r w:rsidRPr="00A32F1B">
        <w:rPr>
          <w:lang w:val="en-US"/>
        </w:rPr>
        <w:t xml:space="preserve"> o</w:t>
      </w:r>
      <w:r w:rsidR="00700626" w:rsidRPr="00A32F1B">
        <w:rPr>
          <w:lang w:val="en-US"/>
        </w:rPr>
        <w:t>f</w:t>
      </w:r>
      <w:r w:rsidRPr="00A32F1B">
        <w:rPr>
          <w:lang w:val="en-US"/>
        </w:rPr>
        <w:t xml:space="preserve"> translatability and untranslatability was not only a matter of varying </w:t>
      </w:r>
      <w:r w:rsidR="00895A68" w:rsidRPr="00A32F1B">
        <w:rPr>
          <w:lang w:val="en-US"/>
        </w:rPr>
        <w:t>opinion,</w:t>
      </w:r>
      <w:r w:rsidRPr="00A32F1B">
        <w:rPr>
          <w:lang w:val="en-US"/>
        </w:rPr>
        <w:t xml:space="preserve"> but it may be traced in the course of history. Early cultures (from 3</w:t>
      </w:r>
      <w:r w:rsidRPr="00A32F1B">
        <w:rPr>
          <w:vertAlign w:val="superscript"/>
          <w:lang w:val="en-US"/>
        </w:rPr>
        <w:t>rd</w:t>
      </w:r>
      <w:r w:rsidRPr="00A32F1B">
        <w:rPr>
          <w:lang w:val="en-US"/>
        </w:rPr>
        <w:t xml:space="preserve"> millennium BCE) communicated with each other and for that purpose </w:t>
      </w:r>
      <w:r w:rsidR="00897C37" w:rsidRPr="00A32F1B">
        <w:rPr>
          <w:lang w:val="en-US"/>
        </w:rPr>
        <w:t>mutual understanding was essential</w:t>
      </w:r>
      <w:r w:rsidR="00F71A07" w:rsidRPr="00A32F1B">
        <w:rPr>
          <w:lang w:val="en-US"/>
        </w:rPr>
        <w:t xml:space="preserve">, especially in the core values where religion </w:t>
      </w:r>
      <w:proofErr w:type="gramStart"/>
      <w:r w:rsidR="00F71A07" w:rsidRPr="00A32F1B">
        <w:rPr>
          <w:lang w:val="en-US"/>
        </w:rPr>
        <w:t>definitely belonged</w:t>
      </w:r>
      <w:proofErr w:type="gramEnd"/>
      <w:r w:rsidR="00897C37" w:rsidRPr="00A32F1B">
        <w:rPr>
          <w:lang w:val="en-US"/>
        </w:rPr>
        <w:t>. The endeavors to preserve communication led not only to linguistic translations but extended also to cultural translation including the religious structures and divine names, for easier comprehension foreign god were likened to each other based on their characteristics</w:t>
      </w:r>
      <w:r w:rsidR="00700626" w:rsidRPr="00A32F1B">
        <w:rPr>
          <w:lang w:val="en-US"/>
        </w:rPr>
        <w:t xml:space="preserve">. Jan Assmann offers an example of such intercultural translations found in Ugarit archives – a list of four language (Sumerian, Akkadian, Hurritic, and Ugaritic) translations including divine names, though belonging to </w:t>
      </w:r>
      <w:r w:rsidR="00A27CF0" w:rsidRPr="00A32F1B">
        <w:rPr>
          <w:lang w:val="en-US"/>
        </w:rPr>
        <w:t>different</w:t>
      </w:r>
      <w:r w:rsidR="00700626" w:rsidRPr="00A32F1B">
        <w:rPr>
          <w:lang w:val="en-US"/>
        </w:rPr>
        <w:t xml:space="preserve"> religious systems</w:t>
      </w:r>
      <w:r w:rsidR="005175A5" w:rsidRPr="00A32F1B">
        <w:rPr>
          <w:lang w:val="en-US"/>
        </w:rPr>
        <w:t>. The mutual knowledge of divine names and their place in the religious hierarchy was used when crafting bilateral (or multilateral) treatises as signifying their commitment</w:t>
      </w:r>
      <w:r w:rsidR="00992F5B" w:rsidRPr="00A32F1B">
        <w:rPr>
          <w:lang w:val="en-US"/>
        </w:rPr>
        <w:t>; and accepted grave consequences if the agreement was breached</w:t>
      </w:r>
      <w:r w:rsidR="005175A5" w:rsidRPr="00A32F1B">
        <w:rPr>
          <w:lang w:val="en-US"/>
        </w:rPr>
        <w:t>. The intercultural translation between the gods and divine names suggests that the religion</w:t>
      </w:r>
      <w:r w:rsidR="00A27CF0" w:rsidRPr="00A32F1B">
        <w:rPr>
          <w:lang w:val="en-US"/>
        </w:rPr>
        <w:t>s</w:t>
      </w:r>
      <w:r w:rsidR="005175A5" w:rsidRPr="00A32F1B">
        <w:rPr>
          <w:lang w:val="en-US"/>
        </w:rPr>
        <w:t xml:space="preserve"> w</w:t>
      </w:r>
      <w:r w:rsidR="00A27CF0" w:rsidRPr="00A32F1B">
        <w:rPr>
          <w:lang w:val="en-US"/>
        </w:rPr>
        <w:t>ere</w:t>
      </w:r>
      <w:r w:rsidR="005175A5" w:rsidRPr="00A32F1B">
        <w:rPr>
          <w:lang w:val="en-US"/>
        </w:rPr>
        <w:t xml:space="preserve"> perceived as being built </w:t>
      </w:r>
      <w:r w:rsidR="00A27CF0" w:rsidRPr="00A32F1B">
        <w:rPr>
          <w:lang w:val="en-US"/>
        </w:rPr>
        <w:t>on</w:t>
      </w:r>
      <w:r w:rsidR="005175A5" w:rsidRPr="00A32F1B">
        <w:rPr>
          <w:lang w:val="en-US"/>
        </w:rPr>
        <w:t xml:space="preserve"> similar structures</w:t>
      </w:r>
      <w:r w:rsidR="00A27CF0" w:rsidRPr="00A32F1B">
        <w:rPr>
          <w:lang w:val="en-US"/>
        </w:rPr>
        <w:t xml:space="preserve"> which allowed for the connection. Change in these relations came with the change in religions, or rather development of a religion with individual self-perception as distinct to all other religions surrounding it. Assmann uses the term “counter-identity” which is an identity that developed as a reaction to resistance against the over-ruling identity, </w:t>
      </w:r>
      <w:r w:rsidR="00992F5B" w:rsidRPr="00A32F1B">
        <w:rPr>
          <w:lang w:val="en-US"/>
        </w:rPr>
        <w:t>e</w:t>
      </w:r>
      <w:r w:rsidR="00A27CF0" w:rsidRPr="00A32F1B">
        <w:rPr>
          <w:lang w:val="en-US"/>
        </w:rPr>
        <w:t>.</w:t>
      </w:r>
      <w:r w:rsidR="00992F5B" w:rsidRPr="00A32F1B">
        <w:rPr>
          <w:lang w:val="en-US"/>
        </w:rPr>
        <w:t>g</w:t>
      </w:r>
      <w:r w:rsidR="00A27CF0" w:rsidRPr="00A32F1B">
        <w:rPr>
          <w:lang w:val="en-US"/>
        </w:rPr>
        <w:t xml:space="preserve">. developing Judaism in the hands of rabbis </w:t>
      </w:r>
      <w:r w:rsidR="00E22218" w:rsidRPr="00A32F1B">
        <w:rPr>
          <w:lang w:val="en-US"/>
        </w:rPr>
        <w:t>under the Roman rule.</w:t>
      </w:r>
      <w:r w:rsidR="00E22218" w:rsidRPr="00A32F1B">
        <w:rPr>
          <w:rStyle w:val="Znakapoznpodarou"/>
          <w:lang w:val="en-US"/>
        </w:rPr>
        <w:footnoteReference w:id="33"/>
      </w:r>
      <w:r w:rsidR="00E22218" w:rsidRPr="00A32F1B">
        <w:rPr>
          <w:lang w:val="en-US"/>
        </w:rPr>
        <w:t xml:space="preserve"> In view of Assmann</w:t>
      </w:r>
      <w:r w:rsidR="00992F5B" w:rsidRPr="00A32F1B">
        <w:rPr>
          <w:lang w:val="en-US"/>
        </w:rPr>
        <w:t>’s</w:t>
      </w:r>
      <w:r w:rsidR="00E22218" w:rsidRPr="00A32F1B">
        <w:rPr>
          <w:lang w:val="en-US"/>
        </w:rPr>
        <w:t xml:space="preserve"> claim, translatability </w:t>
      </w:r>
      <w:r w:rsidR="00453DCB" w:rsidRPr="00A32F1B">
        <w:rPr>
          <w:lang w:val="en-US"/>
        </w:rPr>
        <w:t xml:space="preserve">of the divine names </w:t>
      </w:r>
      <w:r w:rsidR="00E22218" w:rsidRPr="00A32F1B">
        <w:rPr>
          <w:lang w:val="en-US"/>
        </w:rPr>
        <w:t xml:space="preserve">served for the </w:t>
      </w:r>
      <w:r w:rsidR="00E22218" w:rsidRPr="00A32F1B">
        <w:rPr>
          <w:lang w:val="en-US"/>
        </w:rPr>
        <w:lastRenderedPageBreak/>
        <w:t>purpose of understanding in communication between cultures, specifically among the cultures that believed in their religions sharing form and structure; on the other hand untranslatability appeared when religions reject th</w:t>
      </w:r>
      <w:r w:rsidR="00453DCB" w:rsidRPr="00A32F1B">
        <w:rPr>
          <w:lang w:val="en-US"/>
        </w:rPr>
        <w:t xml:space="preserve">eir perceived similarities </w:t>
      </w:r>
      <w:r w:rsidR="00E22218" w:rsidRPr="00A32F1B">
        <w:rPr>
          <w:lang w:val="en-US"/>
        </w:rPr>
        <w:t>and refuse for their divine names to be translated.</w:t>
      </w:r>
    </w:p>
    <w:p w14:paraId="550D72F2" w14:textId="13B49EE9" w:rsidR="00992F5B" w:rsidRPr="00A32F1B" w:rsidRDefault="002B440D" w:rsidP="00992F5B">
      <w:pPr>
        <w:rPr>
          <w:lang w:val="en-US"/>
        </w:rPr>
      </w:pPr>
      <w:r w:rsidRPr="00A32F1B">
        <w:rPr>
          <w:lang w:val="en-US"/>
        </w:rPr>
        <w:t xml:space="preserve">In the grey zones </w:t>
      </w:r>
      <w:r w:rsidR="00992F5B" w:rsidRPr="00A32F1B">
        <w:rPr>
          <w:lang w:val="en-US"/>
        </w:rPr>
        <w:t xml:space="preserve">between </w:t>
      </w:r>
      <w:r w:rsidRPr="00A32F1B">
        <w:rPr>
          <w:lang w:val="en-US"/>
        </w:rPr>
        <w:t>culture and religion</w:t>
      </w:r>
      <w:r w:rsidR="00992F5B" w:rsidRPr="00A32F1B">
        <w:rPr>
          <w:lang w:val="en-US"/>
        </w:rPr>
        <w:t>,</w:t>
      </w:r>
      <w:r w:rsidRPr="00A32F1B">
        <w:rPr>
          <w:lang w:val="en-US"/>
        </w:rPr>
        <w:t xml:space="preserve"> magic and magical practices </w:t>
      </w:r>
      <w:r w:rsidR="00C87C0F" w:rsidRPr="00A32F1B">
        <w:rPr>
          <w:lang w:val="en-US"/>
        </w:rPr>
        <w:t xml:space="preserve">bloomed. The syncretism in the context of magic seems to have more fluid boundaries being less influenced by the intercultural differences, especially concerning the deliberate transmission and use of divine names. Much </w:t>
      </w:r>
      <w:r w:rsidR="00973EEE" w:rsidRPr="00A32F1B">
        <w:rPr>
          <w:lang w:val="en-US"/>
        </w:rPr>
        <w:t>evidence suggests borrowing and adopting of divine names within the magical practices, for example, Jewish elements started to enter Greco-Egyptian magical tradition and simultaneously Greco-Egyptian elements, magical structures and practices entered Jewish magical tradition.</w:t>
      </w:r>
      <w:r w:rsidR="00973EEE" w:rsidRPr="00A32F1B">
        <w:rPr>
          <w:rStyle w:val="Znakapoznpodarou"/>
          <w:lang w:val="en-US"/>
        </w:rPr>
        <w:footnoteReference w:id="34"/>
      </w:r>
      <w:r w:rsidR="00C87C0F" w:rsidRPr="00A32F1B">
        <w:rPr>
          <w:lang w:val="en-US"/>
        </w:rPr>
        <w:t xml:space="preserve"> The field of magic research considering syncretism cannot avoid the struggle to assess the origin of individual practices</w:t>
      </w:r>
      <w:r w:rsidR="00992F5B" w:rsidRPr="00A32F1B">
        <w:rPr>
          <w:lang w:val="en-US"/>
        </w:rPr>
        <w:t xml:space="preserve">. Such struggle </w:t>
      </w:r>
      <w:r w:rsidR="00C87C0F" w:rsidRPr="00A32F1B">
        <w:rPr>
          <w:lang w:val="en-US"/>
        </w:rPr>
        <w:t>is usually not the issue with the divine names</w:t>
      </w:r>
      <w:r w:rsidR="00992F5B" w:rsidRPr="00A32F1B">
        <w:rPr>
          <w:lang w:val="en-US"/>
        </w:rPr>
        <w:t>; their</w:t>
      </w:r>
      <w:r w:rsidR="00C87C0F" w:rsidRPr="00A32F1B">
        <w:rPr>
          <w:lang w:val="en-US"/>
        </w:rPr>
        <w:t xml:space="preserve"> origin is oftentimes known or m</w:t>
      </w:r>
      <w:r w:rsidR="00992F5B" w:rsidRPr="00A32F1B">
        <w:rPr>
          <w:lang w:val="en-US"/>
        </w:rPr>
        <w:t>ight be</w:t>
      </w:r>
      <w:r w:rsidR="00C87C0F" w:rsidRPr="00A32F1B">
        <w:rPr>
          <w:lang w:val="en-US"/>
        </w:rPr>
        <w:t xml:space="preserve"> deduced from its form </w:t>
      </w:r>
      <w:r w:rsidR="001F3F2C" w:rsidRPr="00A32F1B">
        <w:rPr>
          <w:lang w:val="en-US"/>
        </w:rPr>
        <w:t>and context in which it appears.</w:t>
      </w:r>
      <w:r w:rsidR="00992F5B" w:rsidRPr="00A32F1B">
        <w:rPr>
          <w:lang w:val="en-US"/>
        </w:rPr>
        <w:t xml:space="preserve"> However, there are of course exceptions, various divine names appear in magical texts whose origin might not be traced, or it is opaque as the syncretism within magic is more benevolent and divine names were being </w:t>
      </w:r>
      <w:r w:rsidR="00781266">
        <w:rPr>
          <w:lang w:val="en-US"/>
        </w:rPr>
        <w:t>transferred</w:t>
      </w:r>
      <w:r w:rsidR="00992F5B" w:rsidRPr="00A32F1B">
        <w:rPr>
          <w:lang w:val="en-US"/>
        </w:rPr>
        <w:t xml:space="preserve"> unapologetically between cultures</w:t>
      </w:r>
      <w:r w:rsidR="00995997" w:rsidRPr="00A32F1B">
        <w:rPr>
          <w:lang w:val="en-US"/>
        </w:rPr>
        <w:t xml:space="preserve"> without preserving the notion from where they originated.</w:t>
      </w:r>
      <w:r w:rsidR="005C509B" w:rsidRPr="00A32F1B">
        <w:rPr>
          <w:lang w:val="en-US"/>
        </w:rPr>
        <w:t xml:space="preserve"> The intercultural exchange in magic may be aptly illustrated on the example of Greco-Egyptian culture rooted in the environment of Greco-Roman presence in Egypt which gave an impetus to social, cultural, and religious syncretism supported by the shared language of practice.</w:t>
      </w:r>
      <w:r w:rsidR="00C4576D" w:rsidRPr="00A32F1B">
        <w:rPr>
          <w:lang w:val="en-US"/>
        </w:rPr>
        <w:t xml:space="preserve"> For example, religious cult of Serapis (Greco-Egyptian god), Hermeticism (</w:t>
      </w:r>
      <w:r w:rsidR="00CA63DB" w:rsidRPr="00A32F1B">
        <w:rPr>
          <w:lang w:val="en-US"/>
        </w:rPr>
        <w:t xml:space="preserve">philosophy </w:t>
      </w:r>
      <w:r w:rsidR="00C4576D" w:rsidRPr="00A32F1B">
        <w:rPr>
          <w:lang w:val="en-US"/>
        </w:rPr>
        <w:t>built around the Greco-Egyptian syncretic god Hermes Trismegistus)</w:t>
      </w:r>
      <w:r w:rsidR="00CA63DB" w:rsidRPr="00A32F1B">
        <w:rPr>
          <w:lang w:val="en-US"/>
        </w:rPr>
        <w:t xml:space="preserve">, Hermanubis and other syncretic Greco-Egyptian gods, Gnosticism (religious movement of Jewish and Christian sects originating in Egypt) etc.; these examples show the influence of variety cultures exchanging ideas and thoughts while residing together in Egypt. The Greco-Egyptian magic interconnected </w:t>
      </w:r>
      <w:r w:rsidR="00B471DD">
        <w:rPr>
          <w:lang w:val="en-US"/>
        </w:rPr>
        <w:t>diverse</w:t>
      </w:r>
      <w:r w:rsidR="00CA63DB" w:rsidRPr="00A32F1B">
        <w:rPr>
          <w:lang w:val="en-US"/>
        </w:rPr>
        <w:t xml:space="preserve"> cultural and religious traditions, evidence shows the employment of Greek, Egyptian, Roman, Jewish, Christian, and other Near Eastern divine names, </w:t>
      </w:r>
      <w:r w:rsidR="00D16DE0" w:rsidRPr="00A32F1B">
        <w:rPr>
          <w:lang w:val="en-US"/>
        </w:rPr>
        <w:t>techniques,</w:t>
      </w:r>
      <w:r w:rsidR="00CA63DB" w:rsidRPr="00A32F1B">
        <w:rPr>
          <w:lang w:val="en-US"/>
        </w:rPr>
        <w:t xml:space="preserve"> and processes in the magical practices.</w:t>
      </w:r>
      <w:r w:rsidR="00A131E1" w:rsidRPr="00A32F1B">
        <w:rPr>
          <w:rStyle w:val="Znakapoznpodarou"/>
          <w:lang w:val="en-US"/>
        </w:rPr>
        <w:footnoteReference w:id="35"/>
      </w:r>
    </w:p>
    <w:p w14:paraId="0EA20028" w14:textId="11DFE2D3" w:rsidR="005F1665" w:rsidRPr="00A32F1B" w:rsidRDefault="001F3F2C" w:rsidP="00992F5B">
      <w:pPr>
        <w:rPr>
          <w:highlight w:val="yellow"/>
          <w:lang w:val="en-US"/>
        </w:rPr>
      </w:pPr>
      <w:r w:rsidRPr="00A32F1B">
        <w:rPr>
          <w:lang w:val="en-US"/>
        </w:rPr>
        <w:lastRenderedPageBreak/>
        <w:t xml:space="preserve"> The linguistic aspect of translatability becomes less of a problem in the magical syncretism and the divine names are often only transliterated in letters of the intended language, sometimes the names undergo transformations to adjust to the forms common in the intended language. However, the conceptual translatability might pose a challenge when being studied as the syncretic intention might be to adopt the name without any </w:t>
      </w:r>
      <w:r w:rsidR="00242C2D" w:rsidRPr="00A32F1B">
        <w:rPr>
          <w:lang w:val="en-US"/>
        </w:rPr>
        <w:t>concept behind it to be placed into a newly created narrative, or it might be adopted solely for the perceived power that the name constitutes.</w:t>
      </w:r>
      <w:r w:rsidRPr="00A32F1B">
        <w:rPr>
          <w:rStyle w:val="Znakapoznpodarou"/>
          <w:lang w:val="en-US"/>
        </w:rPr>
        <w:footnoteReference w:id="36"/>
      </w:r>
      <w:r w:rsidR="009F24D0" w:rsidRPr="00A32F1B">
        <w:rPr>
          <w:lang w:val="en-US"/>
        </w:rPr>
        <w:t xml:space="preserve"> Albeit in the intercultural magic relations the boundaries are more fluid, voices against the translatability appear respectively in the context of magic claiming the magical potential dwells in the divine name and in the name in the original form only and so it should not be translated for it loses the potency.</w:t>
      </w:r>
      <w:r w:rsidR="009F24D0" w:rsidRPr="00A32F1B">
        <w:rPr>
          <w:rStyle w:val="Znakapoznpodarou"/>
          <w:lang w:val="en-US"/>
        </w:rPr>
        <w:footnoteReference w:id="37"/>
      </w:r>
    </w:p>
    <w:p w14:paraId="7E4B1168" w14:textId="2DDC7A86" w:rsidR="00CD4770" w:rsidRPr="00A32F1B" w:rsidRDefault="00D57B91" w:rsidP="00D57B91">
      <w:pPr>
        <w:rPr>
          <w:lang w:val="en-US"/>
        </w:rPr>
      </w:pPr>
      <w:r w:rsidRPr="00A32F1B">
        <w:rPr>
          <w:lang w:val="en-US"/>
        </w:rPr>
        <w:t>H</w:t>
      </w:r>
      <w:r w:rsidR="00731097" w:rsidRPr="00A32F1B">
        <w:rPr>
          <w:lang w:val="en-US"/>
        </w:rPr>
        <w:t xml:space="preserve">istory </w:t>
      </w:r>
      <w:r w:rsidRPr="00A32F1B">
        <w:rPr>
          <w:lang w:val="en-US"/>
        </w:rPr>
        <w:t>facing</w:t>
      </w:r>
      <w:r w:rsidR="00731097" w:rsidRPr="00A32F1B">
        <w:rPr>
          <w:lang w:val="en-US"/>
        </w:rPr>
        <w:t xml:space="preserve"> the social, cultural</w:t>
      </w:r>
      <w:r w:rsidR="00870E7F" w:rsidRPr="00A32F1B">
        <w:rPr>
          <w:lang w:val="en-US"/>
        </w:rPr>
        <w:t>,</w:t>
      </w:r>
      <w:r w:rsidR="00731097" w:rsidRPr="00A32F1B">
        <w:rPr>
          <w:lang w:val="en-US"/>
        </w:rPr>
        <w:t xml:space="preserve"> and religious syncretism experienced various attitudes and approaches by </w:t>
      </w:r>
      <w:r w:rsidR="00B025B8" w:rsidRPr="00A32F1B">
        <w:rPr>
          <w:lang w:val="en-US"/>
        </w:rPr>
        <w:t>respective societies, cultures</w:t>
      </w:r>
      <w:r w:rsidR="00870E7F" w:rsidRPr="00A32F1B">
        <w:rPr>
          <w:lang w:val="en-US"/>
        </w:rPr>
        <w:t>,</w:t>
      </w:r>
      <w:r w:rsidR="00B025B8" w:rsidRPr="00A32F1B">
        <w:rPr>
          <w:lang w:val="en-US"/>
        </w:rPr>
        <w:t xml:space="preserve"> and religions</w:t>
      </w:r>
      <w:r w:rsidR="0026070B" w:rsidRPr="00A32F1B">
        <w:rPr>
          <w:lang w:val="en-US"/>
        </w:rPr>
        <w:t>;</w:t>
      </w:r>
      <w:r w:rsidR="00B025B8" w:rsidRPr="00A32F1B">
        <w:rPr>
          <w:lang w:val="en-US"/>
        </w:rPr>
        <w:t xml:space="preserve"> be it positive or negative approach, utilization or rejection, deliberateness or natural development, </w:t>
      </w:r>
      <w:r w:rsidR="00870E7F" w:rsidRPr="00A32F1B">
        <w:rPr>
          <w:lang w:val="en-US"/>
        </w:rPr>
        <w:t xml:space="preserve">or the ability to translate and convey the </w:t>
      </w:r>
      <w:r w:rsidR="00990BA1" w:rsidRPr="00A32F1B">
        <w:rPr>
          <w:lang w:val="en-US"/>
        </w:rPr>
        <w:t>tradition</w:t>
      </w:r>
      <w:r w:rsidR="00F20BD1" w:rsidRPr="00A32F1B">
        <w:rPr>
          <w:lang w:val="en-US"/>
        </w:rPr>
        <w:t xml:space="preserve"> in language and concept</w:t>
      </w:r>
      <w:r w:rsidR="00C87C0F" w:rsidRPr="00A32F1B">
        <w:rPr>
          <w:lang w:val="en-US"/>
        </w:rPr>
        <w:t>.</w:t>
      </w:r>
      <w:r w:rsidR="00990BA1" w:rsidRPr="00A32F1B">
        <w:rPr>
          <w:lang w:val="en-US"/>
        </w:rPr>
        <w:t xml:space="preserve"> </w:t>
      </w:r>
      <w:r w:rsidR="0026070B" w:rsidRPr="00A32F1B">
        <w:rPr>
          <w:lang w:val="en-US"/>
        </w:rPr>
        <w:t>This</w:t>
      </w:r>
      <w:r w:rsidR="00990BA1" w:rsidRPr="00A32F1B">
        <w:rPr>
          <w:lang w:val="en-US"/>
        </w:rPr>
        <w:t xml:space="preserve"> chapter attempted to concisely illustrate</w:t>
      </w:r>
      <w:r w:rsidR="0026070B" w:rsidRPr="00A32F1B">
        <w:rPr>
          <w:lang w:val="en-US"/>
        </w:rPr>
        <w:t xml:space="preserve"> the variety of aspects and approaches</w:t>
      </w:r>
      <w:r w:rsidR="00990BA1" w:rsidRPr="00A32F1B">
        <w:rPr>
          <w:lang w:val="en-US"/>
        </w:rPr>
        <w:t xml:space="preserve"> on </w:t>
      </w:r>
      <w:r w:rsidR="00F20BD1" w:rsidRPr="00A32F1B">
        <w:rPr>
          <w:lang w:val="en-US"/>
        </w:rPr>
        <w:t>several</w:t>
      </w:r>
      <w:r w:rsidR="00990BA1" w:rsidRPr="00A32F1B">
        <w:rPr>
          <w:lang w:val="en-US"/>
        </w:rPr>
        <w:t xml:space="preserve"> examples</w:t>
      </w:r>
      <w:r w:rsidR="0026070B" w:rsidRPr="00A32F1B">
        <w:rPr>
          <w:lang w:val="en-US"/>
        </w:rPr>
        <w:t xml:space="preserve">, although </w:t>
      </w:r>
      <w:r w:rsidR="00C87C0F" w:rsidRPr="00A32F1B">
        <w:rPr>
          <w:lang w:val="en-US"/>
        </w:rPr>
        <w:t xml:space="preserve">I realize </w:t>
      </w:r>
      <w:r w:rsidR="0026070B" w:rsidRPr="00A32F1B">
        <w:rPr>
          <w:lang w:val="en-US"/>
        </w:rPr>
        <w:t>the topics of syncretism and translatability are complex and deserve the scholars’ attention as th</w:t>
      </w:r>
      <w:r w:rsidR="003D5A21" w:rsidRPr="00A32F1B">
        <w:rPr>
          <w:lang w:val="en-US"/>
        </w:rPr>
        <w:t>ese subjects are not limited by numbers, times</w:t>
      </w:r>
      <w:r w:rsidR="0000173C" w:rsidRPr="00A32F1B">
        <w:rPr>
          <w:lang w:val="en-US"/>
        </w:rPr>
        <w:t>,</w:t>
      </w:r>
      <w:r w:rsidR="003D5A21" w:rsidRPr="00A32F1B">
        <w:rPr>
          <w:lang w:val="en-US"/>
        </w:rPr>
        <w:t xml:space="preserve"> and places.</w:t>
      </w:r>
    </w:p>
    <w:p w14:paraId="6B91BFB9" w14:textId="2CE9B589" w:rsidR="00741037" w:rsidRPr="00A32F1B" w:rsidRDefault="0000436C" w:rsidP="0013005A">
      <w:pPr>
        <w:pStyle w:val="Nadpis1"/>
        <w:numPr>
          <w:ilvl w:val="0"/>
          <w:numId w:val="3"/>
        </w:numPr>
        <w:rPr>
          <w:lang w:val="en-US"/>
        </w:rPr>
      </w:pPr>
      <w:bookmarkStart w:id="2" w:name="_Toc70950040"/>
      <w:r w:rsidRPr="00A32F1B">
        <w:rPr>
          <w:lang w:val="en-US"/>
        </w:rPr>
        <w:t>Abraxas</w:t>
      </w:r>
      <w:bookmarkEnd w:id="2"/>
    </w:p>
    <w:p w14:paraId="0D505312" w14:textId="611D46E6" w:rsidR="004C4DE8" w:rsidRPr="00A32F1B" w:rsidRDefault="00084E1B" w:rsidP="00C32BA6">
      <w:pPr>
        <w:rPr>
          <w:szCs w:val="24"/>
          <w:lang w:val="en-US"/>
        </w:rPr>
      </w:pPr>
      <w:r w:rsidRPr="00A32F1B">
        <w:rPr>
          <w:szCs w:val="24"/>
          <w:lang w:val="en-US"/>
        </w:rPr>
        <w:t>Engraved gemstones and amulets were the media that introduced the character Abraxas to the European history discourse.</w:t>
      </w:r>
      <w:r w:rsidR="004C4DE8" w:rsidRPr="00A32F1B">
        <w:rPr>
          <w:szCs w:val="24"/>
          <w:lang w:val="en-US"/>
        </w:rPr>
        <w:t xml:space="preserve"> During the cultural development of the 15</w:t>
      </w:r>
      <w:r w:rsidR="004C4DE8" w:rsidRPr="00A32F1B">
        <w:rPr>
          <w:szCs w:val="24"/>
          <w:vertAlign w:val="superscript"/>
          <w:lang w:val="en-US"/>
        </w:rPr>
        <w:t>th</w:t>
      </w:r>
      <w:r w:rsidR="00326586">
        <w:rPr>
          <w:szCs w:val="24"/>
          <w:lang w:val="en-US"/>
        </w:rPr>
        <w:t> </w:t>
      </w:r>
      <w:r w:rsidR="004C4DE8" w:rsidRPr="00A32F1B">
        <w:rPr>
          <w:szCs w:val="24"/>
          <w:lang w:val="en-US"/>
        </w:rPr>
        <w:t xml:space="preserve">century </w:t>
      </w:r>
      <w:r w:rsidR="00392ABE" w:rsidRPr="00A32F1B">
        <w:rPr>
          <w:szCs w:val="24"/>
          <w:lang w:val="en-US"/>
        </w:rPr>
        <w:t>engraved gemstones were considered a relic of the classical past of Ancient Greek and Roman Empire, therefore, they received a major attention of collectors and men interested in the research of history.</w:t>
      </w:r>
      <w:r w:rsidR="00460B22" w:rsidRPr="00A32F1B">
        <w:rPr>
          <w:rStyle w:val="Znakapoznpodarou"/>
          <w:szCs w:val="24"/>
          <w:lang w:val="en-US"/>
        </w:rPr>
        <w:footnoteReference w:id="38"/>
      </w:r>
      <w:r w:rsidR="00934FBA" w:rsidRPr="00A32F1B">
        <w:rPr>
          <w:szCs w:val="24"/>
          <w:lang w:val="en-US"/>
        </w:rPr>
        <w:t xml:space="preserve"> Antiquarians used the technique of comparison </w:t>
      </w:r>
      <w:r w:rsidR="00934FBA" w:rsidRPr="00A32F1B">
        <w:rPr>
          <w:szCs w:val="24"/>
          <w:lang w:val="en-US"/>
        </w:rPr>
        <w:lastRenderedPageBreak/>
        <w:t xml:space="preserve">to study the history – physical objects and available texts that dealt with the phenomena; </w:t>
      </w:r>
      <w:r w:rsidR="009A11BF" w:rsidRPr="00A32F1B">
        <w:rPr>
          <w:szCs w:val="24"/>
          <w:lang w:val="en-US"/>
        </w:rPr>
        <w:t>Abraxas amulets were compared with late ancient text by early Christian theologians such as</w:t>
      </w:r>
      <w:r w:rsidR="00307F67" w:rsidRPr="00A32F1B">
        <w:rPr>
          <w:szCs w:val="24"/>
          <w:lang w:val="en-US"/>
        </w:rPr>
        <w:t xml:space="preserve"> </w:t>
      </w:r>
      <w:r w:rsidR="000475E3" w:rsidRPr="00A32F1B">
        <w:rPr>
          <w:szCs w:val="24"/>
          <w:lang w:val="en-US"/>
        </w:rPr>
        <w:t>Irenaeus (2</w:t>
      </w:r>
      <w:r w:rsidR="000475E3" w:rsidRPr="00A32F1B">
        <w:rPr>
          <w:szCs w:val="24"/>
          <w:vertAlign w:val="superscript"/>
          <w:lang w:val="en-US"/>
        </w:rPr>
        <w:t>nd</w:t>
      </w:r>
      <w:r w:rsidR="000475E3" w:rsidRPr="00A32F1B">
        <w:rPr>
          <w:szCs w:val="24"/>
          <w:lang w:val="en-US"/>
        </w:rPr>
        <w:t xml:space="preserve"> century</w:t>
      </w:r>
      <w:r w:rsidR="00307F67" w:rsidRPr="00A32F1B">
        <w:rPr>
          <w:szCs w:val="24"/>
          <w:lang w:val="en-US"/>
        </w:rPr>
        <w:t xml:space="preserve"> CE</w:t>
      </w:r>
      <w:r w:rsidR="000475E3" w:rsidRPr="00A32F1B">
        <w:rPr>
          <w:szCs w:val="24"/>
          <w:lang w:val="en-US"/>
        </w:rPr>
        <w:t>), Epiphanus (4</w:t>
      </w:r>
      <w:r w:rsidR="000475E3" w:rsidRPr="00A32F1B">
        <w:rPr>
          <w:szCs w:val="24"/>
          <w:vertAlign w:val="superscript"/>
          <w:lang w:val="en-US"/>
        </w:rPr>
        <w:t>th</w:t>
      </w:r>
      <w:r w:rsidR="000475E3" w:rsidRPr="00A32F1B">
        <w:rPr>
          <w:szCs w:val="24"/>
          <w:lang w:val="en-US"/>
        </w:rPr>
        <w:t xml:space="preserve"> century</w:t>
      </w:r>
      <w:r w:rsidR="00307F67" w:rsidRPr="00A32F1B">
        <w:rPr>
          <w:szCs w:val="24"/>
          <w:lang w:val="en-US"/>
        </w:rPr>
        <w:t xml:space="preserve"> CE</w:t>
      </w:r>
      <w:r w:rsidR="000475E3" w:rsidRPr="00A32F1B">
        <w:rPr>
          <w:szCs w:val="24"/>
          <w:lang w:val="en-US"/>
        </w:rPr>
        <w:t>)</w:t>
      </w:r>
      <w:r w:rsidR="00307F67" w:rsidRPr="00A32F1B">
        <w:rPr>
          <w:szCs w:val="24"/>
          <w:lang w:val="en-US"/>
        </w:rPr>
        <w:t>, and</w:t>
      </w:r>
      <w:r w:rsidR="000475E3" w:rsidRPr="00A32F1B">
        <w:rPr>
          <w:szCs w:val="24"/>
          <w:lang w:val="en-US"/>
        </w:rPr>
        <w:t xml:space="preserve"> </w:t>
      </w:r>
      <w:r w:rsidR="00307F67" w:rsidRPr="00A32F1B">
        <w:rPr>
          <w:szCs w:val="24"/>
          <w:lang w:val="en-US"/>
        </w:rPr>
        <w:t>St. Jerome (4</w:t>
      </w:r>
      <w:r w:rsidR="00307F67" w:rsidRPr="00A32F1B">
        <w:rPr>
          <w:szCs w:val="24"/>
          <w:vertAlign w:val="superscript"/>
          <w:lang w:val="en-US"/>
        </w:rPr>
        <w:t>th</w:t>
      </w:r>
      <w:r w:rsidR="00B5402C">
        <w:rPr>
          <w:szCs w:val="24"/>
          <w:vertAlign w:val="superscript"/>
          <w:lang w:val="en-US"/>
        </w:rPr>
        <w:t xml:space="preserve"> </w:t>
      </w:r>
      <w:r w:rsidR="00307F67" w:rsidRPr="00A32F1B">
        <w:rPr>
          <w:szCs w:val="24"/>
          <w:lang w:val="en-US"/>
        </w:rPr>
        <w:t>/5</w:t>
      </w:r>
      <w:r w:rsidR="00307F67" w:rsidRPr="00A32F1B">
        <w:rPr>
          <w:szCs w:val="24"/>
          <w:vertAlign w:val="superscript"/>
          <w:lang w:val="en-US"/>
        </w:rPr>
        <w:t>th</w:t>
      </w:r>
      <w:r w:rsidR="00307F67" w:rsidRPr="00A32F1B">
        <w:rPr>
          <w:szCs w:val="24"/>
          <w:lang w:val="en-US"/>
        </w:rPr>
        <w:t xml:space="preserve"> century CE) </w:t>
      </w:r>
      <w:r w:rsidR="000475E3" w:rsidRPr="00A32F1B">
        <w:rPr>
          <w:szCs w:val="24"/>
          <w:lang w:val="en-US"/>
        </w:rPr>
        <w:t xml:space="preserve">who ascribed Abraxas to a heretic </w:t>
      </w:r>
      <w:r w:rsidR="00307F67" w:rsidRPr="00A32F1B">
        <w:rPr>
          <w:szCs w:val="24"/>
          <w:lang w:val="en-US"/>
        </w:rPr>
        <w:t xml:space="preserve">religious </w:t>
      </w:r>
      <w:r w:rsidR="000475E3" w:rsidRPr="00A32F1B">
        <w:rPr>
          <w:szCs w:val="24"/>
          <w:lang w:val="en-US"/>
        </w:rPr>
        <w:t>movement</w:t>
      </w:r>
      <w:r w:rsidR="00307F67" w:rsidRPr="00A32F1B">
        <w:rPr>
          <w:szCs w:val="24"/>
          <w:lang w:val="en-US"/>
        </w:rPr>
        <w:t>,</w:t>
      </w:r>
      <w:r w:rsidR="000475E3" w:rsidRPr="00A32F1B">
        <w:rPr>
          <w:szCs w:val="24"/>
          <w:lang w:val="en-US"/>
        </w:rPr>
        <w:t xml:space="preserve"> Gnosticism; according to their writings Abraxas amulets served as ideological representation as well as a token of religious advertisement. Antiquarians of the 16</w:t>
      </w:r>
      <w:r w:rsidR="000475E3" w:rsidRPr="00A32F1B">
        <w:rPr>
          <w:szCs w:val="24"/>
          <w:vertAlign w:val="superscript"/>
          <w:lang w:val="en-US"/>
        </w:rPr>
        <w:t>th</w:t>
      </w:r>
      <w:r w:rsidR="000475E3" w:rsidRPr="00A32F1B">
        <w:rPr>
          <w:szCs w:val="24"/>
          <w:lang w:val="en-US"/>
        </w:rPr>
        <w:t xml:space="preserve"> and 17</w:t>
      </w:r>
      <w:r w:rsidR="000475E3" w:rsidRPr="00A32F1B">
        <w:rPr>
          <w:szCs w:val="24"/>
          <w:vertAlign w:val="superscript"/>
          <w:lang w:val="en-US"/>
        </w:rPr>
        <w:t>th</w:t>
      </w:r>
      <w:r w:rsidR="000475E3" w:rsidRPr="00A32F1B">
        <w:rPr>
          <w:szCs w:val="24"/>
          <w:lang w:val="en-US"/>
        </w:rPr>
        <w:t xml:space="preserve"> century </w:t>
      </w:r>
      <w:r w:rsidR="002900F8" w:rsidRPr="00A32F1B">
        <w:rPr>
          <w:szCs w:val="24"/>
          <w:lang w:val="en-US"/>
        </w:rPr>
        <w:t>drew from the</w:t>
      </w:r>
      <w:r w:rsidR="00307F67" w:rsidRPr="00A32F1B">
        <w:rPr>
          <w:szCs w:val="24"/>
          <w:lang w:val="en-US"/>
        </w:rPr>
        <w:t>se</w:t>
      </w:r>
      <w:r w:rsidR="002900F8" w:rsidRPr="00A32F1B">
        <w:rPr>
          <w:szCs w:val="24"/>
          <w:lang w:val="en-US"/>
        </w:rPr>
        <w:t xml:space="preserve"> ancient texts and put Abraxas on the border of Christianity and Egyptian paganism</w:t>
      </w:r>
      <w:r w:rsidR="00C74389" w:rsidRPr="00A32F1B">
        <w:rPr>
          <w:szCs w:val="24"/>
          <w:lang w:val="en-US"/>
        </w:rPr>
        <w:t xml:space="preserve">; however, they </w:t>
      </w:r>
      <w:r w:rsidR="00460B22" w:rsidRPr="00A32F1B">
        <w:rPr>
          <w:szCs w:val="24"/>
          <w:lang w:val="en-US"/>
        </w:rPr>
        <w:t>included</w:t>
      </w:r>
      <w:r w:rsidR="00C74389" w:rsidRPr="00A32F1B">
        <w:rPr>
          <w:szCs w:val="24"/>
          <w:lang w:val="en-US"/>
        </w:rPr>
        <w:t xml:space="preserve"> also other possible local cults and movements that might have been involved in the creation of Abraxas amulets</w:t>
      </w:r>
      <w:r w:rsidR="00497D4B" w:rsidRPr="00A32F1B">
        <w:rPr>
          <w:szCs w:val="24"/>
          <w:lang w:val="en-US"/>
        </w:rPr>
        <w:t xml:space="preserve"> – they majorly considered Basilidean and Valentinian heresies, or native Egyptian idolatrous tradition</w:t>
      </w:r>
      <w:r w:rsidR="00C74389" w:rsidRPr="00A32F1B">
        <w:rPr>
          <w:szCs w:val="24"/>
          <w:lang w:val="en-US"/>
        </w:rPr>
        <w:t xml:space="preserve">. Prominent antiquarians </w:t>
      </w:r>
      <w:r w:rsidR="002900F8" w:rsidRPr="00A32F1B">
        <w:rPr>
          <w:szCs w:val="24"/>
          <w:lang w:val="en-US"/>
        </w:rPr>
        <w:t>Pierre-Antoine Rascas de Bagarris (1562-1613)</w:t>
      </w:r>
      <w:r w:rsidR="00C74389" w:rsidRPr="00A32F1B">
        <w:rPr>
          <w:szCs w:val="24"/>
          <w:lang w:val="en-US"/>
        </w:rPr>
        <w:t xml:space="preserve"> </w:t>
      </w:r>
      <w:r w:rsidR="002900F8" w:rsidRPr="00A32F1B">
        <w:rPr>
          <w:szCs w:val="24"/>
          <w:lang w:val="en-US"/>
        </w:rPr>
        <w:t>and Joseph Justus Scaliger (1540-1609)</w:t>
      </w:r>
      <w:r w:rsidR="00C74389" w:rsidRPr="00A32F1B">
        <w:rPr>
          <w:szCs w:val="24"/>
          <w:lang w:val="en-US"/>
        </w:rPr>
        <w:t xml:space="preserve"> were both concerned with the amulets’ content and purpose for which they served; Scaliger deduced amulets to have complex philosophical content presumably serving for religious </w:t>
      </w:r>
      <w:r w:rsidR="0035332A" w:rsidRPr="00A32F1B">
        <w:rPr>
          <w:szCs w:val="24"/>
          <w:lang w:val="en-US"/>
        </w:rPr>
        <w:t>representation, Bagarris presented the thought of magical content, thus, possible magical use of the amulets.</w:t>
      </w:r>
      <w:r w:rsidR="00460B22" w:rsidRPr="00A32F1B">
        <w:rPr>
          <w:rStyle w:val="Znakapoznpodarou"/>
          <w:szCs w:val="24"/>
          <w:lang w:val="en-US"/>
        </w:rPr>
        <w:footnoteReference w:id="39"/>
      </w:r>
      <w:r w:rsidR="0035332A" w:rsidRPr="00A32F1B">
        <w:rPr>
          <w:szCs w:val="24"/>
          <w:lang w:val="en-US"/>
        </w:rPr>
        <w:t xml:space="preserve"> </w:t>
      </w:r>
    </w:p>
    <w:p w14:paraId="4FD18625" w14:textId="425DDA32" w:rsidR="00C80AA5" w:rsidRPr="00A32F1B" w:rsidRDefault="00153EB8" w:rsidP="00A32F1B">
      <w:pPr>
        <w:rPr>
          <w:szCs w:val="24"/>
          <w:lang w:val="en-US"/>
        </w:rPr>
      </w:pPr>
      <w:r w:rsidRPr="00A32F1B">
        <w:rPr>
          <w:szCs w:val="24"/>
          <w:lang w:val="en-US"/>
        </w:rPr>
        <w:t>Jean L’Heureux Macarius (1540-1614)</w:t>
      </w:r>
      <w:r w:rsidR="00BD021E" w:rsidRPr="00A32F1B">
        <w:rPr>
          <w:szCs w:val="24"/>
          <w:lang w:val="en-US"/>
        </w:rPr>
        <w:t xml:space="preserve"> wrote </w:t>
      </w:r>
      <w:r w:rsidR="00460B22" w:rsidRPr="00A32F1B">
        <w:rPr>
          <w:szCs w:val="24"/>
          <w:lang w:val="en-US"/>
        </w:rPr>
        <w:t>for</w:t>
      </w:r>
      <w:r w:rsidR="00BD021E" w:rsidRPr="00A32F1B">
        <w:rPr>
          <w:szCs w:val="24"/>
          <w:lang w:val="en-US"/>
        </w:rPr>
        <w:t xml:space="preserve"> that time the most </w:t>
      </w:r>
      <w:r w:rsidR="00C80AA5" w:rsidRPr="00A32F1B">
        <w:rPr>
          <w:szCs w:val="24"/>
          <w:lang w:val="en-US"/>
        </w:rPr>
        <w:t>comprehensive</w:t>
      </w:r>
      <w:r w:rsidR="00BD021E" w:rsidRPr="00A32F1B">
        <w:rPr>
          <w:szCs w:val="24"/>
          <w:lang w:val="en-US"/>
        </w:rPr>
        <w:t xml:space="preserve"> study of Abraxas gems that</w:t>
      </w:r>
      <w:r w:rsidRPr="00A32F1B">
        <w:rPr>
          <w:szCs w:val="24"/>
          <w:lang w:val="en-US"/>
        </w:rPr>
        <w:t xml:space="preserve"> present</w:t>
      </w:r>
      <w:r w:rsidR="00914C96" w:rsidRPr="00A32F1B">
        <w:rPr>
          <w:szCs w:val="24"/>
          <w:lang w:val="en-US"/>
        </w:rPr>
        <w:t>ed</w:t>
      </w:r>
      <w:r w:rsidRPr="00A32F1B">
        <w:rPr>
          <w:szCs w:val="24"/>
          <w:lang w:val="en-US"/>
        </w:rPr>
        <w:t xml:space="preserve"> complex syncretic picture of Abraxas</w:t>
      </w:r>
      <w:r w:rsidR="00A412FA" w:rsidRPr="00A32F1B">
        <w:rPr>
          <w:szCs w:val="24"/>
          <w:lang w:val="en-US"/>
        </w:rPr>
        <w:t>, “</w:t>
      </w:r>
      <w:r w:rsidR="00A412FA" w:rsidRPr="00A32F1B">
        <w:rPr>
          <w:i/>
          <w:iCs/>
          <w:szCs w:val="24"/>
          <w:lang w:val="en-US"/>
        </w:rPr>
        <w:t>like a Trojan Horse, for just as the Greek heroes emerged from its womb, so Abraxas hides in its womb all the family of the gods, whether Egyptian, Greek, Latin or Persian.”</w:t>
      </w:r>
      <w:r w:rsidR="00A412FA" w:rsidRPr="00A32F1B">
        <w:rPr>
          <w:rStyle w:val="Znakapoznpodarou"/>
          <w:i/>
          <w:iCs/>
          <w:szCs w:val="24"/>
          <w:lang w:val="en-US"/>
        </w:rPr>
        <w:footnoteReference w:id="40"/>
      </w:r>
      <w:r w:rsidR="00A412FA" w:rsidRPr="00A32F1B">
        <w:rPr>
          <w:szCs w:val="24"/>
          <w:lang w:val="en-US"/>
        </w:rPr>
        <w:t xml:space="preserve">; Macarius presumed </w:t>
      </w:r>
      <w:r w:rsidRPr="00A32F1B">
        <w:rPr>
          <w:szCs w:val="24"/>
          <w:lang w:val="en-US"/>
        </w:rPr>
        <w:t>a</w:t>
      </w:r>
      <w:r w:rsidR="002D1FE3" w:rsidRPr="00A32F1B">
        <w:rPr>
          <w:szCs w:val="24"/>
          <w:lang w:val="en-US"/>
        </w:rPr>
        <w:t> </w:t>
      </w:r>
      <w:r w:rsidRPr="00A32F1B">
        <w:rPr>
          <w:szCs w:val="24"/>
          <w:lang w:val="en-US"/>
        </w:rPr>
        <w:t xml:space="preserve">mixture of paganism, Christianity, </w:t>
      </w:r>
      <w:r w:rsidR="00E05C72">
        <w:rPr>
          <w:szCs w:val="24"/>
          <w:lang w:val="en-US"/>
        </w:rPr>
        <w:t>G</w:t>
      </w:r>
      <w:r w:rsidRPr="00A32F1B">
        <w:rPr>
          <w:szCs w:val="24"/>
          <w:lang w:val="en-US"/>
        </w:rPr>
        <w:t>nostic theology</w:t>
      </w:r>
      <w:r w:rsidR="00A412FA" w:rsidRPr="00A32F1B">
        <w:rPr>
          <w:szCs w:val="24"/>
          <w:lang w:val="en-US"/>
        </w:rPr>
        <w:t>,</w:t>
      </w:r>
      <w:r w:rsidRPr="00A32F1B">
        <w:rPr>
          <w:szCs w:val="24"/>
          <w:lang w:val="en-US"/>
        </w:rPr>
        <w:t xml:space="preserve"> and </w:t>
      </w:r>
      <w:r w:rsidR="00A412FA" w:rsidRPr="00A32F1B">
        <w:rPr>
          <w:szCs w:val="24"/>
          <w:lang w:val="en-US"/>
        </w:rPr>
        <w:t xml:space="preserve">cult of Mithras – </w:t>
      </w:r>
      <w:r w:rsidR="009C3267" w:rsidRPr="00A32F1B">
        <w:rPr>
          <w:szCs w:val="24"/>
          <w:lang w:val="en-US"/>
        </w:rPr>
        <w:t>Persian</w:t>
      </w:r>
      <w:r w:rsidR="00A412FA" w:rsidRPr="00A32F1B">
        <w:rPr>
          <w:szCs w:val="24"/>
          <w:lang w:val="en-US"/>
        </w:rPr>
        <w:t xml:space="preserve"> solar deity.</w:t>
      </w:r>
      <w:r w:rsidR="00BD021E" w:rsidRPr="00A32F1B">
        <w:rPr>
          <w:szCs w:val="24"/>
          <w:lang w:val="en-US"/>
        </w:rPr>
        <w:t xml:space="preserve"> Nicolas-Claude Fabri de Peiresc (1580-1637)</w:t>
      </w:r>
      <w:r w:rsidR="00135A21" w:rsidRPr="00A32F1B">
        <w:rPr>
          <w:szCs w:val="24"/>
          <w:lang w:val="en-US"/>
        </w:rPr>
        <w:t>,</w:t>
      </w:r>
      <w:r w:rsidR="00BD021E" w:rsidRPr="00A32F1B">
        <w:rPr>
          <w:szCs w:val="24"/>
          <w:lang w:val="en-US"/>
        </w:rPr>
        <w:t xml:space="preserve"> a</w:t>
      </w:r>
      <w:r w:rsidR="00A55CBF" w:rsidRPr="00A32F1B">
        <w:rPr>
          <w:szCs w:val="24"/>
          <w:lang w:val="en-US"/>
        </w:rPr>
        <w:t> </w:t>
      </w:r>
      <w:r w:rsidR="00BD021E" w:rsidRPr="00A32F1B">
        <w:rPr>
          <w:szCs w:val="24"/>
          <w:lang w:val="en-US"/>
        </w:rPr>
        <w:t>correspondent acquaintance of Macarius</w:t>
      </w:r>
      <w:r w:rsidR="00135A21" w:rsidRPr="00A32F1B">
        <w:rPr>
          <w:szCs w:val="24"/>
          <w:lang w:val="en-US"/>
        </w:rPr>
        <w:t xml:space="preserve">, Bagarris and other antiquarians, continued the syncretic narrative and added a new perspective </w:t>
      </w:r>
      <w:r w:rsidR="00F54688" w:rsidRPr="00A32F1B">
        <w:rPr>
          <w:szCs w:val="24"/>
          <w:lang w:val="en-US"/>
        </w:rPr>
        <w:t xml:space="preserve">based on </w:t>
      </w:r>
      <w:r w:rsidR="00135A21" w:rsidRPr="00A32F1B">
        <w:rPr>
          <w:szCs w:val="24"/>
          <w:lang w:val="en-US"/>
        </w:rPr>
        <w:t xml:space="preserve">the Greek inscriptions </w:t>
      </w:r>
      <w:r w:rsidR="00F54688" w:rsidRPr="00A32F1B">
        <w:rPr>
          <w:szCs w:val="24"/>
          <w:lang w:val="en-US"/>
        </w:rPr>
        <w:t>that were engraved in</w:t>
      </w:r>
      <w:r w:rsidR="00135A21" w:rsidRPr="00A32F1B">
        <w:rPr>
          <w:szCs w:val="24"/>
          <w:lang w:val="en-US"/>
        </w:rPr>
        <w:t xml:space="preserve"> the am</w:t>
      </w:r>
      <w:r w:rsidR="00AD56E2" w:rsidRPr="00A32F1B">
        <w:rPr>
          <w:szCs w:val="24"/>
          <w:lang w:val="en-US"/>
        </w:rPr>
        <w:t>ulets</w:t>
      </w:r>
      <w:r w:rsidR="00F54688" w:rsidRPr="00A32F1B">
        <w:rPr>
          <w:szCs w:val="24"/>
          <w:lang w:val="en-US"/>
        </w:rPr>
        <w:t>.</w:t>
      </w:r>
      <w:r w:rsidR="00C878B2" w:rsidRPr="00A32F1B">
        <w:rPr>
          <w:szCs w:val="24"/>
          <w:lang w:val="en-US"/>
        </w:rPr>
        <w:t xml:space="preserve"> Peiresc presented the idea that there was one common divine being from which other traditions were drawing</w:t>
      </w:r>
      <w:r w:rsidR="00B36D77" w:rsidRPr="00A32F1B">
        <w:rPr>
          <w:szCs w:val="24"/>
          <w:lang w:val="en-US"/>
        </w:rPr>
        <w:t xml:space="preserve">; </w:t>
      </w:r>
      <w:r w:rsidR="00BD1236" w:rsidRPr="00A32F1B">
        <w:rPr>
          <w:szCs w:val="24"/>
          <w:lang w:val="en-US"/>
        </w:rPr>
        <w:t xml:space="preserve">to these traditions Peiresc included the amulets, Gnosticism, Tetragrammaton </w:t>
      </w:r>
      <w:r w:rsidR="00A32F1B" w:rsidRPr="00A32F1B">
        <w:rPr>
          <w:szCs w:val="24"/>
          <w:lang w:val="en-US"/>
        </w:rPr>
        <w:t xml:space="preserve">from both </w:t>
      </w:r>
      <w:r w:rsidR="00A32F1B">
        <w:rPr>
          <w:szCs w:val="24"/>
          <w:lang w:val="en-US"/>
        </w:rPr>
        <w:t xml:space="preserve">Judaism and Christianity, </w:t>
      </w:r>
      <w:r w:rsidR="00C80AA5" w:rsidRPr="00A32F1B">
        <w:rPr>
          <w:szCs w:val="24"/>
          <w:lang w:val="en-US"/>
        </w:rPr>
        <w:t>Near Eastern Baal and Roman Jupiter</w:t>
      </w:r>
      <w:r w:rsidR="00A32F1B">
        <w:rPr>
          <w:szCs w:val="24"/>
          <w:lang w:val="en-US"/>
        </w:rPr>
        <w:t xml:space="preserve">. </w:t>
      </w:r>
      <w:r w:rsidR="00C80AA5" w:rsidRPr="00A32F1B">
        <w:rPr>
          <w:szCs w:val="24"/>
          <w:lang w:val="en-US"/>
        </w:rPr>
        <w:t>Peiresc’s theory was based on a single gemstone and its imagery</w:t>
      </w:r>
      <w:r w:rsidR="00A32F1B">
        <w:rPr>
          <w:szCs w:val="24"/>
          <w:lang w:val="en-US"/>
        </w:rPr>
        <w:t>, however, he was not the first scholar who came up with such proposition. The theory was built on</w:t>
      </w:r>
      <w:r w:rsidR="00C80AA5" w:rsidRPr="00A32F1B">
        <w:rPr>
          <w:szCs w:val="24"/>
          <w:lang w:val="en-US"/>
        </w:rPr>
        <w:t xml:space="preserve"> </w:t>
      </w:r>
      <w:r w:rsidR="008B5B35" w:rsidRPr="00A32F1B">
        <w:rPr>
          <w:szCs w:val="24"/>
          <w:lang w:val="en-US"/>
        </w:rPr>
        <w:t>the</w:t>
      </w:r>
      <w:r w:rsidR="00C80AA5" w:rsidRPr="00A32F1B">
        <w:rPr>
          <w:szCs w:val="24"/>
          <w:lang w:val="en-US"/>
        </w:rPr>
        <w:t xml:space="preserve"> idea of </w:t>
      </w:r>
      <w:r w:rsidR="008B5B35" w:rsidRPr="00A32F1B">
        <w:rPr>
          <w:szCs w:val="24"/>
          <w:lang w:val="en-US"/>
        </w:rPr>
        <w:t>John Selden (1584-1654)</w:t>
      </w:r>
      <w:r w:rsidR="009F2A77" w:rsidRPr="00A32F1B">
        <w:rPr>
          <w:szCs w:val="24"/>
          <w:lang w:val="en-US"/>
        </w:rPr>
        <w:t xml:space="preserve">, Peiresc’s friend and important jurist and </w:t>
      </w:r>
      <w:r w:rsidR="009F2A77" w:rsidRPr="00A32F1B">
        <w:rPr>
          <w:szCs w:val="24"/>
          <w:lang w:val="en-US"/>
        </w:rPr>
        <w:lastRenderedPageBreak/>
        <w:t>Hebraist,</w:t>
      </w:r>
      <w:r w:rsidR="00F227A6" w:rsidRPr="00A32F1B">
        <w:rPr>
          <w:szCs w:val="24"/>
          <w:lang w:val="en-US"/>
        </w:rPr>
        <w:t xml:space="preserve"> that </w:t>
      </w:r>
      <w:r w:rsidR="00C80AA5" w:rsidRPr="00A32F1B">
        <w:rPr>
          <w:szCs w:val="24"/>
          <w:lang w:val="en-US"/>
        </w:rPr>
        <w:t xml:space="preserve">various pagan gods </w:t>
      </w:r>
      <w:r w:rsidR="009B1BD1" w:rsidRPr="00A32F1B">
        <w:rPr>
          <w:szCs w:val="24"/>
          <w:lang w:val="en-US"/>
        </w:rPr>
        <w:t>were only versions of one supreme god that was worshipped under various names in various territories in various periods of time</w:t>
      </w:r>
      <w:r w:rsidR="00DF17D5" w:rsidRPr="00A32F1B">
        <w:rPr>
          <w:szCs w:val="24"/>
          <w:lang w:val="en-US"/>
        </w:rPr>
        <w:t>.</w:t>
      </w:r>
      <w:r w:rsidR="009B1BD1" w:rsidRPr="00A32F1B">
        <w:rPr>
          <w:rStyle w:val="Znakapoznpodarou"/>
          <w:szCs w:val="24"/>
          <w:lang w:val="en-US"/>
        </w:rPr>
        <w:footnoteReference w:id="41"/>
      </w:r>
    </w:p>
    <w:p w14:paraId="21CDEDCC" w14:textId="17D7DEE2" w:rsidR="00DF3158" w:rsidRPr="00A32F1B" w:rsidRDefault="00DF3158" w:rsidP="00C32BA6">
      <w:pPr>
        <w:rPr>
          <w:szCs w:val="24"/>
          <w:lang w:val="en-US"/>
        </w:rPr>
      </w:pPr>
      <w:r w:rsidRPr="00A32F1B">
        <w:rPr>
          <w:szCs w:val="24"/>
          <w:lang w:val="en-US"/>
        </w:rPr>
        <w:t xml:space="preserve">Another peak of Abraxas amulet research came </w:t>
      </w:r>
      <w:r w:rsidR="005354FC" w:rsidRPr="00A32F1B">
        <w:rPr>
          <w:szCs w:val="24"/>
          <w:lang w:val="en-US"/>
        </w:rPr>
        <w:t>at</w:t>
      </w:r>
      <w:r w:rsidRPr="00A32F1B">
        <w:rPr>
          <w:szCs w:val="24"/>
          <w:lang w:val="en-US"/>
        </w:rPr>
        <w:t xml:space="preserve"> the </w:t>
      </w:r>
      <w:r w:rsidR="005354FC" w:rsidRPr="00A32F1B">
        <w:rPr>
          <w:szCs w:val="24"/>
          <w:lang w:val="en-US"/>
        </w:rPr>
        <w:t xml:space="preserve">end of </w:t>
      </w:r>
      <w:r w:rsidRPr="00A32F1B">
        <w:rPr>
          <w:szCs w:val="24"/>
          <w:lang w:val="en-US"/>
        </w:rPr>
        <w:t>19</w:t>
      </w:r>
      <w:r w:rsidRPr="00A32F1B">
        <w:rPr>
          <w:szCs w:val="24"/>
          <w:vertAlign w:val="superscript"/>
          <w:lang w:val="en-US"/>
        </w:rPr>
        <w:t>th</w:t>
      </w:r>
      <w:r w:rsidRPr="00A32F1B">
        <w:rPr>
          <w:szCs w:val="24"/>
          <w:lang w:val="en-US"/>
        </w:rPr>
        <w:t xml:space="preserve"> century in the work of Charles William King</w:t>
      </w:r>
      <w:r w:rsidR="004072DC" w:rsidRPr="00A32F1B">
        <w:rPr>
          <w:szCs w:val="24"/>
          <w:lang w:val="en-US"/>
        </w:rPr>
        <w:t xml:space="preserve"> (1818-1888)</w:t>
      </w:r>
      <w:r w:rsidRPr="00A32F1B">
        <w:rPr>
          <w:szCs w:val="24"/>
          <w:lang w:val="en-US"/>
        </w:rPr>
        <w:t xml:space="preserve"> who focused on Gnosticism</w:t>
      </w:r>
      <w:r w:rsidR="00A32F1B">
        <w:rPr>
          <w:szCs w:val="24"/>
          <w:lang w:val="en-US"/>
        </w:rPr>
        <w:t xml:space="preserve">; </w:t>
      </w:r>
      <w:r w:rsidRPr="00A32F1B">
        <w:rPr>
          <w:szCs w:val="24"/>
          <w:lang w:val="en-US"/>
        </w:rPr>
        <w:t xml:space="preserve">he put Abraxas amulets directly to the Gnostic </w:t>
      </w:r>
      <w:r w:rsidR="00A32F1B">
        <w:rPr>
          <w:szCs w:val="24"/>
          <w:lang w:val="en-US"/>
        </w:rPr>
        <w:t>religious context</w:t>
      </w:r>
      <w:r w:rsidRPr="00A32F1B">
        <w:rPr>
          <w:szCs w:val="24"/>
          <w:lang w:val="en-US"/>
        </w:rPr>
        <w:t xml:space="preserve">. King attempted to </w:t>
      </w:r>
      <w:r w:rsidR="00C75486" w:rsidRPr="00A32F1B">
        <w:rPr>
          <w:szCs w:val="24"/>
          <w:lang w:val="en-US"/>
        </w:rPr>
        <w:t>create wide syncretic picture of Abraxas amulets and their depiction; he connected</w:t>
      </w:r>
      <w:r w:rsidRPr="00A32F1B">
        <w:rPr>
          <w:szCs w:val="24"/>
          <w:lang w:val="en-US"/>
        </w:rPr>
        <w:t xml:space="preserve"> Egyptian, Near Eastern and Greco-Roman divine traditions, also includ</w:t>
      </w:r>
      <w:r w:rsidR="00A32F1B">
        <w:rPr>
          <w:szCs w:val="24"/>
          <w:lang w:val="en-US"/>
        </w:rPr>
        <w:t>ing</w:t>
      </w:r>
      <w:r w:rsidR="00B471DD">
        <w:rPr>
          <w:szCs w:val="24"/>
          <w:lang w:val="en-US"/>
        </w:rPr>
        <w:t xml:space="preserve"> </w:t>
      </w:r>
      <w:r w:rsidRPr="00A32F1B">
        <w:rPr>
          <w:szCs w:val="24"/>
          <w:lang w:val="en-US"/>
        </w:rPr>
        <w:t xml:space="preserve">traditions of Hinduism as </w:t>
      </w:r>
      <w:r w:rsidR="00914C96" w:rsidRPr="00A32F1B">
        <w:rPr>
          <w:szCs w:val="24"/>
          <w:lang w:val="en-US"/>
        </w:rPr>
        <w:t xml:space="preserve">a </w:t>
      </w:r>
      <w:r w:rsidRPr="00A32F1B">
        <w:rPr>
          <w:szCs w:val="24"/>
          <w:lang w:val="en-US"/>
        </w:rPr>
        <w:t>possible co-factor in the development of Abraxas amulet imagery</w:t>
      </w:r>
      <w:r w:rsidR="00792170" w:rsidRPr="00A32F1B">
        <w:rPr>
          <w:szCs w:val="24"/>
          <w:lang w:val="en-US"/>
        </w:rPr>
        <w:t>.</w:t>
      </w:r>
      <w:r w:rsidR="004651EE" w:rsidRPr="00A32F1B">
        <w:rPr>
          <w:rStyle w:val="Znakapoznpodarou"/>
          <w:szCs w:val="24"/>
          <w:lang w:val="en-US"/>
        </w:rPr>
        <w:footnoteReference w:id="42"/>
      </w:r>
    </w:p>
    <w:p w14:paraId="4E39C897" w14:textId="70ABEECD" w:rsidR="00AA39CD" w:rsidRPr="00A32F1B" w:rsidRDefault="0050461D" w:rsidP="00C32BA6">
      <w:pPr>
        <w:rPr>
          <w:szCs w:val="24"/>
          <w:lang w:val="en-US"/>
        </w:rPr>
      </w:pPr>
      <w:r w:rsidRPr="00A32F1B">
        <w:rPr>
          <w:szCs w:val="24"/>
          <w:lang w:val="en-US"/>
        </w:rPr>
        <w:t>Most of the studies, except for Bagarris, put the amulets solely to the role of religious representation; th</w:t>
      </w:r>
      <w:r w:rsidR="0063256D" w:rsidRPr="00A32F1B">
        <w:rPr>
          <w:szCs w:val="24"/>
          <w:lang w:val="en-US"/>
        </w:rPr>
        <w:t>is perception</w:t>
      </w:r>
      <w:r w:rsidRPr="00A32F1B">
        <w:rPr>
          <w:szCs w:val="24"/>
          <w:lang w:val="en-US"/>
        </w:rPr>
        <w:t xml:space="preserve"> </w:t>
      </w:r>
      <w:r w:rsidR="0063256D" w:rsidRPr="00A32F1B">
        <w:rPr>
          <w:szCs w:val="24"/>
          <w:lang w:val="en-US"/>
        </w:rPr>
        <w:t>began to change when the Greco-Egyptian magical papyri were being found</w:t>
      </w:r>
      <w:r w:rsidR="00AB1ACA" w:rsidRPr="00A32F1B">
        <w:rPr>
          <w:szCs w:val="24"/>
          <w:lang w:val="en-US"/>
        </w:rPr>
        <w:t xml:space="preserve">, studied, and published </w:t>
      </w:r>
      <w:r w:rsidR="00142D38" w:rsidRPr="00A32F1B">
        <w:rPr>
          <w:szCs w:val="24"/>
          <w:lang w:val="en-US"/>
        </w:rPr>
        <w:t>continuously since</w:t>
      </w:r>
      <w:r w:rsidR="00AB1ACA" w:rsidRPr="00A32F1B">
        <w:rPr>
          <w:szCs w:val="24"/>
          <w:lang w:val="en-US"/>
        </w:rPr>
        <w:t xml:space="preserve"> the 19</w:t>
      </w:r>
      <w:r w:rsidR="00AB1ACA" w:rsidRPr="00A32F1B">
        <w:rPr>
          <w:szCs w:val="24"/>
          <w:vertAlign w:val="superscript"/>
          <w:lang w:val="en-US"/>
        </w:rPr>
        <w:t>th</w:t>
      </w:r>
      <w:r w:rsidR="00326586">
        <w:rPr>
          <w:szCs w:val="24"/>
          <w:lang w:val="en-US"/>
        </w:rPr>
        <w:t> </w:t>
      </w:r>
      <w:r w:rsidR="00AB1ACA" w:rsidRPr="00A32F1B">
        <w:rPr>
          <w:szCs w:val="24"/>
          <w:lang w:val="en-US"/>
        </w:rPr>
        <w:t>century.</w:t>
      </w:r>
      <w:r w:rsidR="00EF2D74" w:rsidRPr="00A32F1B">
        <w:rPr>
          <w:rStyle w:val="Znakapoznpodarou"/>
          <w:szCs w:val="24"/>
          <w:lang w:val="en-US"/>
        </w:rPr>
        <w:footnoteReference w:id="43"/>
      </w:r>
      <w:r w:rsidR="005354FC" w:rsidRPr="00A32F1B">
        <w:rPr>
          <w:szCs w:val="24"/>
          <w:lang w:val="en-US"/>
        </w:rPr>
        <w:t xml:space="preserve"> </w:t>
      </w:r>
      <w:r w:rsidR="00AB1ACA" w:rsidRPr="00A32F1B">
        <w:rPr>
          <w:szCs w:val="24"/>
          <w:lang w:val="en-US"/>
        </w:rPr>
        <w:t>The papyri arose scholars’ interest in the history of magical traditions of the Greco-Egyptian culture</w:t>
      </w:r>
      <w:r w:rsidR="00914C96" w:rsidRPr="00A32F1B">
        <w:rPr>
          <w:szCs w:val="24"/>
          <w:lang w:val="en-US"/>
        </w:rPr>
        <w:t>, whic</w:t>
      </w:r>
      <w:r w:rsidR="00E21B77" w:rsidRPr="00A32F1B">
        <w:rPr>
          <w:szCs w:val="24"/>
          <w:lang w:val="en-US"/>
        </w:rPr>
        <w:t>h wa</w:t>
      </w:r>
      <w:r w:rsidR="00FD6F6E" w:rsidRPr="00A32F1B">
        <w:rPr>
          <w:szCs w:val="24"/>
          <w:lang w:val="en-US"/>
        </w:rPr>
        <w:t>s prevalent</w:t>
      </w:r>
      <w:r w:rsidR="00E21B77" w:rsidRPr="00A32F1B">
        <w:rPr>
          <w:szCs w:val="24"/>
          <w:lang w:val="en-US"/>
        </w:rPr>
        <w:t>ly developed</w:t>
      </w:r>
      <w:r w:rsidR="00FD6F6E" w:rsidRPr="00A32F1B">
        <w:rPr>
          <w:szCs w:val="24"/>
          <w:lang w:val="en-US"/>
        </w:rPr>
        <w:t xml:space="preserve"> </w:t>
      </w:r>
      <w:r w:rsidR="00E21B77" w:rsidRPr="00A32F1B">
        <w:rPr>
          <w:szCs w:val="24"/>
          <w:lang w:val="en-US"/>
        </w:rPr>
        <w:t xml:space="preserve">after </w:t>
      </w:r>
      <w:r w:rsidR="00FD6F6E" w:rsidRPr="00A32F1B">
        <w:rPr>
          <w:szCs w:val="24"/>
          <w:lang w:val="en-US"/>
        </w:rPr>
        <w:t>Egypt’s</w:t>
      </w:r>
      <w:r w:rsidR="00E21B77" w:rsidRPr="00A32F1B">
        <w:rPr>
          <w:szCs w:val="24"/>
          <w:lang w:val="en-US"/>
        </w:rPr>
        <w:t xml:space="preserve"> conquest by Alexander the Great in the 4</w:t>
      </w:r>
      <w:r w:rsidR="00E21B77" w:rsidRPr="00A32F1B">
        <w:rPr>
          <w:szCs w:val="24"/>
          <w:vertAlign w:val="superscript"/>
          <w:lang w:val="en-US"/>
        </w:rPr>
        <w:t>th</w:t>
      </w:r>
      <w:r w:rsidR="00E21B77" w:rsidRPr="00A32F1B">
        <w:rPr>
          <w:szCs w:val="24"/>
          <w:lang w:val="en-US"/>
        </w:rPr>
        <w:t xml:space="preserve"> century BCE</w:t>
      </w:r>
      <w:r w:rsidR="00FD6F6E" w:rsidRPr="00A32F1B">
        <w:rPr>
          <w:szCs w:val="24"/>
          <w:lang w:val="en-US"/>
        </w:rPr>
        <w:t xml:space="preserve"> and subsequent Hellenization</w:t>
      </w:r>
      <w:r w:rsidR="005354FC" w:rsidRPr="00A32F1B">
        <w:rPr>
          <w:szCs w:val="24"/>
          <w:lang w:val="en-US"/>
        </w:rPr>
        <w:t xml:space="preserve">; and </w:t>
      </w:r>
      <w:r w:rsidR="0050147E" w:rsidRPr="00A32F1B">
        <w:rPr>
          <w:szCs w:val="24"/>
          <w:lang w:val="en-US"/>
        </w:rPr>
        <w:t>withal helped in research of the ancient magical practice and amulets.</w:t>
      </w:r>
      <w:r w:rsidR="00AB1ACA" w:rsidRPr="00A32F1B">
        <w:rPr>
          <w:szCs w:val="24"/>
          <w:lang w:val="en-US"/>
        </w:rPr>
        <w:t xml:space="preserve"> </w:t>
      </w:r>
      <w:r w:rsidR="0050147E" w:rsidRPr="00A32F1B">
        <w:rPr>
          <w:szCs w:val="24"/>
          <w:lang w:val="en-US"/>
        </w:rPr>
        <w:t xml:space="preserve">Substantial role in the development of the papyri research was played by Karl Preisendanz (1883-1968) who translated, edited, and published </w:t>
      </w:r>
      <w:r w:rsidR="0019292F" w:rsidRPr="00A32F1B">
        <w:rPr>
          <w:szCs w:val="24"/>
          <w:lang w:val="en-US"/>
        </w:rPr>
        <w:t>larger number of</w:t>
      </w:r>
      <w:r w:rsidR="0050147E" w:rsidRPr="00A32F1B">
        <w:rPr>
          <w:szCs w:val="24"/>
          <w:lang w:val="en-US"/>
        </w:rPr>
        <w:t xml:space="preserve"> papyri </w:t>
      </w:r>
      <w:r w:rsidR="00394EB8">
        <w:rPr>
          <w:szCs w:val="24"/>
          <w:lang w:val="en-US"/>
        </w:rPr>
        <w:t xml:space="preserve">in two book volumes in </w:t>
      </w:r>
      <w:r w:rsidR="0050147E" w:rsidRPr="00A32F1B">
        <w:rPr>
          <w:szCs w:val="24"/>
          <w:lang w:val="en-US"/>
        </w:rPr>
        <w:t>1928 and 1931.</w:t>
      </w:r>
      <w:r w:rsidR="00C25196" w:rsidRPr="00A32F1B">
        <w:rPr>
          <w:rStyle w:val="Znakapoznpodarou"/>
          <w:szCs w:val="24"/>
          <w:lang w:val="en-US"/>
        </w:rPr>
        <w:footnoteReference w:id="44"/>
      </w:r>
      <w:r w:rsidR="0050147E" w:rsidRPr="00A32F1B">
        <w:rPr>
          <w:szCs w:val="24"/>
          <w:lang w:val="en-US"/>
        </w:rPr>
        <w:t xml:space="preserve"> </w:t>
      </w:r>
      <w:r w:rsidR="00AB1ACA" w:rsidRPr="00A32F1B">
        <w:rPr>
          <w:szCs w:val="24"/>
          <w:lang w:val="en-US"/>
        </w:rPr>
        <w:t xml:space="preserve">Clear rejection of the religious role of </w:t>
      </w:r>
      <w:r w:rsidR="00142D38" w:rsidRPr="00A32F1B">
        <w:rPr>
          <w:szCs w:val="24"/>
          <w:lang w:val="en-US"/>
        </w:rPr>
        <w:t>Abraxas</w:t>
      </w:r>
      <w:r w:rsidR="00AB1ACA" w:rsidRPr="00A32F1B">
        <w:rPr>
          <w:szCs w:val="24"/>
          <w:lang w:val="en-US"/>
        </w:rPr>
        <w:t xml:space="preserve"> amulets</w:t>
      </w:r>
      <w:r w:rsidR="001C131D" w:rsidRPr="00A32F1B">
        <w:rPr>
          <w:szCs w:val="24"/>
          <w:lang w:val="en-US"/>
        </w:rPr>
        <w:t xml:space="preserve"> was</w:t>
      </w:r>
      <w:r w:rsidR="00AB1ACA" w:rsidRPr="00A32F1B">
        <w:rPr>
          <w:szCs w:val="24"/>
          <w:lang w:val="en-US"/>
        </w:rPr>
        <w:t xml:space="preserve"> presented </w:t>
      </w:r>
      <w:r w:rsidR="001C131D" w:rsidRPr="00A32F1B">
        <w:rPr>
          <w:szCs w:val="24"/>
          <w:lang w:val="en-US"/>
        </w:rPr>
        <w:t xml:space="preserve">by </w:t>
      </w:r>
      <w:r w:rsidR="00AB1ACA" w:rsidRPr="00A32F1B">
        <w:rPr>
          <w:szCs w:val="24"/>
          <w:lang w:val="en-US"/>
        </w:rPr>
        <w:t>Armand Delatte</w:t>
      </w:r>
      <w:r w:rsidR="005E4643" w:rsidRPr="00A32F1B">
        <w:rPr>
          <w:szCs w:val="24"/>
          <w:lang w:val="en-US"/>
        </w:rPr>
        <w:t xml:space="preserve"> (1886-1964)</w:t>
      </w:r>
      <w:r w:rsidR="00AB1ACA" w:rsidRPr="00A32F1B">
        <w:rPr>
          <w:szCs w:val="24"/>
          <w:lang w:val="en-US"/>
        </w:rPr>
        <w:t xml:space="preserve"> in 1914; he refused the connection of amulets</w:t>
      </w:r>
      <w:r w:rsidR="0047581C" w:rsidRPr="00A32F1B">
        <w:rPr>
          <w:szCs w:val="24"/>
          <w:lang w:val="en-US"/>
        </w:rPr>
        <w:t xml:space="preserve"> to the </w:t>
      </w:r>
      <w:r w:rsidR="00485D79">
        <w:rPr>
          <w:szCs w:val="24"/>
          <w:lang w:val="en-US"/>
        </w:rPr>
        <w:t>G</w:t>
      </w:r>
      <w:r w:rsidR="0047581C" w:rsidRPr="00A32F1B">
        <w:rPr>
          <w:szCs w:val="24"/>
          <w:lang w:val="en-US"/>
        </w:rPr>
        <w:t>nostic tradition and attributed them to the Greco-Egyptian magical practice</w:t>
      </w:r>
      <w:r w:rsidR="00016569" w:rsidRPr="00A32F1B">
        <w:rPr>
          <w:szCs w:val="24"/>
          <w:lang w:val="en-US"/>
        </w:rPr>
        <w:t>.</w:t>
      </w:r>
      <w:r w:rsidR="00AA39CD" w:rsidRPr="00A32F1B">
        <w:rPr>
          <w:szCs w:val="24"/>
          <w:lang w:val="en-US"/>
        </w:rPr>
        <w:t xml:space="preserve"> </w:t>
      </w:r>
      <w:r w:rsidR="008D34D7" w:rsidRPr="00A32F1B">
        <w:rPr>
          <w:szCs w:val="24"/>
          <w:lang w:val="en-US"/>
        </w:rPr>
        <w:t>Based on</w:t>
      </w:r>
      <w:r w:rsidR="00AA39CD" w:rsidRPr="00A32F1B">
        <w:rPr>
          <w:szCs w:val="24"/>
          <w:lang w:val="en-US"/>
        </w:rPr>
        <w:t xml:space="preserve"> the </w:t>
      </w:r>
      <w:r w:rsidR="008D34D7" w:rsidRPr="00A32F1B">
        <w:rPr>
          <w:szCs w:val="24"/>
          <w:lang w:val="en-US"/>
        </w:rPr>
        <w:t>papyri,</w:t>
      </w:r>
      <w:r w:rsidR="00AA39CD" w:rsidRPr="00A32F1B">
        <w:rPr>
          <w:szCs w:val="24"/>
          <w:lang w:val="en-US"/>
        </w:rPr>
        <w:t xml:space="preserve"> it was interpreted that Abraxas amulets were connected to pagan instruments of magical practice</w:t>
      </w:r>
      <w:r w:rsidR="00485D79">
        <w:rPr>
          <w:szCs w:val="24"/>
          <w:lang w:val="en-US"/>
        </w:rPr>
        <w:t>.</w:t>
      </w:r>
      <w:r w:rsidR="00AA39CD" w:rsidRPr="00A32F1B">
        <w:rPr>
          <w:szCs w:val="24"/>
          <w:lang w:val="en-US"/>
        </w:rPr>
        <w:t xml:space="preserve"> </w:t>
      </w:r>
      <w:r w:rsidR="00485D79">
        <w:rPr>
          <w:szCs w:val="24"/>
          <w:lang w:val="en-US"/>
        </w:rPr>
        <w:t>T</w:t>
      </w:r>
      <w:r w:rsidR="00AA39CD" w:rsidRPr="00A32F1B">
        <w:rPr>
          <w:szCs w:val="24"/>
          <w:lang w:val="en-US"/>
        </w:rPr>
        <w:t>h</w:t>
      </w:r>
      <w:r w:rsidR="00485D79">
        <w:rPr>
          <w:szCs w:val="24"/>
          <w:lang w:val="en-US"/>
        </w:rPr>
        <w:t xml:space="preserve">is interpretation demonstrated the </w:t>
      </w:r>
      <w:r w:rsidR="00142D38" w:rsidRPr="00A32F1B">
        <w:rPr>
          <w:szCs w:val="24"/>
          <w:lang w:val="en-US"/>
        </w:rPr>
        <w:t>varieties</w:t>
      </w:r>
      <w:r w:rsidR="00AA39CD" w:rsidRPr="00A32F1B">
        <w:rPr>
          <w:szCs w:val="24"/>
          <w:lang w:val="en-US"/>
        </w:rPr>
        <w:t xml:space="preserve"> of </w:t>
      </w:r>
      <w:r w:rsidR="00485D79">
        <w:rPr>
          <w:szCs w:val="24"/>
          <w:lang w:val="en-US"/>
        </w:rPr>
        <w:t xml:space="preserve">the </w:t>
      </w:r>
      <w:r w:rsidR="00AA39CD" w:rsidRPr="00A32F1B">
        <w:rPr>
          <w:szCs w:val="24"/>
          <w:lang w:val="en-US"/>
        </w:rPr>
        <w:t>name Abraxas</w:t>
      </w:r>
      <w:r w:rsidR="009D2C9D" w:rsidRPr="00A32F1B">
        <w:rPr>
          <w:szCs w:val="24"/>
          <w:lang w:val="en-US"/>
        </w:rPr>
        <w:t xml:space="preserve">, and similar fashion in which the papyri and amulets were </w:t>
      </w:r>
      <w:r w:rsidR="00485D79">
        <w:rPr>
          <w:szCs w:val="24"/>
          <w:lang w:val="en-US"/>
        </w:rPr>
        <w:t>written</w:t>
      </w:r>
      <w:r w:rsidR="009D2C9D" w:rsidRPr="00A32F1B">
        <w:rPr>
          <w:szCs w:val="24"/>
          <w:lang w:val="en-US"/>
        </w:rPr>
        <w:t xml:space="preserve">, </w:t>
      </w:r>
      <w:proofErr w:type="gramStart"/>
      <w:r w:rsidR="009D2C9D" w:rsidRPr="00A32F1B">
        <w:rPr>
          <w:szCs w:val="24"/>
          <w:lang w:val="en-US"/>
        </w:rPr>
        <w:t>i.e.</w:t>
      </w:r>
      <w:proofErr w:type="gramEnd"/>
      <w:r w:rsidR="009D2C9D" w:rsidRPr="00A32F1B">
        <w:rPr>
          <w:szCs w:val="24"/>
          <w:lang w:val="en-US"/>
        </w:rPr>
        <w:t xml:space="preserve"> </w:t>
      </w:r>
      <w:r w:rsidR="00142D38" w:rsidRPr="00A32F1B">
        <w:rPr>
          <w:szCs w:val="24"/>
          <w:lang w:val="en-US"/>
        </w:rPr>
        <w:t xml:space="preserve">textual </w:t>
      </w:r>
      <w:r w:rsidR="00FD6F6E" w:rsidRPr="00A32F1B">
        <w:rPr>
          <w:szCs w:val="24"/>
          <w:lang w:val="en-US"/>
        </w:rPr>
        <w:t>content</w:t>
      </w:r>
      <w:r w:rsidR="009D2C9D" w:rsidRPr="00A32F1B">
        <w:rPr>
          <w:szCs w:val="24"/>
          <w:lang w:val="en-US"/>
        </w:rPr>
        <w:t>.</w:t>
      </w:r>
      <w:r w:rsidR="00007E4C" w:rsidRPr="00A32F1B">
        <w:rPr>
          <w:rStyle w:val="Znakapoznpodarou"/>
          <w:szCs w:val="24"/>
          <w:lang w:val="en-US"/>
        </w:rPr>
        <w:footnoteReference w:id="45"/>
      </w:r>
    </w:p>
    <w:p w14:paraId="722F99E6" w14:textId="385F2F3B" w:rsidR="00014703" w:rsidRPr="00A32F1B" w:rsidRDefault="00014703" w:rsidP="00C32BA6">
      <w:pPr>
        <w:rPr>
          <w:szCs w:val="24"/>
          <w:lang w:val="en-US"/>
        </w:rPr>
      </w:pPr>
      <w:r w:rsidRPr="00A32F1B">
        <w:rPr>
          <w:szCs w:val="24"/>
          <w:lang w:val="en-US"/>
        </w:rPr>
        <w:lastRenderedPageBreak/>
        <w:t>Professor Morton Smith</w:t>
      </w:r>
      <w:r w:rsidR="00B24769" w:rsidRPr="00A32F1B">
        <w:rPr>
          <w:szCs w:val="24"/>
          <w:lang w:val="en-US"/>
        </w:rPr>
        <w:t xml:space="preserve"> (1915-1991)</w:t>
      </w:r>
      <w:r w:rsidRPr="00A32F1B">
        <w:rPr>
          <w:szCs w:val="24"/>
          <w:lang w:val="en-US"/>
        </w:rPr>
        <w:t xml:space="preserve"> published an influential article concerning the relation of the amulets and magical papyri in 1979</w:t>
      </w:r>
      <w:r w:rsidR="00D650D3" w:rsidRPr="00A32F1B">
        <w:rPr>
          <w:szCs w:val="24"/>
          <w:lang w:val="en-US"/>
        </w:rPr>
        <w:t>.</w:t>
      </w:r>
      <w:r w:rsidR="00D82E48" w:rsidRPr="00A32F1B">
        <w:rPr>
          <w:rStyle w:val="Znakapoznpodarou"/>
          <w:szCs w:val="24"/>
          <w:lang w:val="en-US"/>
        </w:rPr>
        <w:footnoteReference w:id="46"/>
      </w:r>
      <w:r w:rsidR="00D650D3" w:rsidRPr="00A32F1B">
        <w:rPr>
          <w:szCs w:val="24"/>
          <w:lang w:val="en-US"/>
        </w:rPr>
        <w:t xml:space="preserve"> </w:t>
      </w:r>
      <w:r w:rsidRPr="00A32F1B">
        <w:rPr>
          <w:szCs w:val="24"/>
          <w:lang w:val="en-US"/>
        </w:rPr>
        <w:t xml:space="preserve">Smith’s theories and reflections </w:t>
      </w:r>
      <w:r w:rsidR="00E14994" w:rsidRPr="00A32F1B">
        <w:rPr>
          <w:szCs w:val="24"/>
          <w:lang w:val="en-US"/>
        </w:rPr>
        <w:t xml:space="preserve">inspired recent scholarship to </w:t>
      </w:r>
      <w:r w:rsidR="00642FA3" w:rsidRPr="00A32F1B">
        <w:rPr>
          <w:szCs w:val="24"/>
          <w:lang w:val="en-US"/>
        </w:rPr>
        <w:t>continue</w:t>
      </w:r>
      <w:r w:rsidR="00E14994" w:rsidRPr="00A32F1B">
        <w:rPr>
          <w:szCs w:val="24"/>
          <w:lang w:val="en-US"/>
        </w:rPr>
        <w:t xml:space="preserve"> the research of amulets</w:t>
      </w:r>
      <w:r w:rsidR="003148B6">
        <w:rPr>
          <w:szCs w:val="24"/>
          <w:lang w:val="en-US"/>
        </w:rPr>
        <w:t>,</w:t>
      </w:r>
      <w:r w:rsidR="002A12CB" w:rsidRPr="00A32F1B">
        <w:rPr>
          <w:szCs w:val="24"/>
          <w:lang w:val="en-US"/>
        </w:rPr>
        <w:t xml:space="preserve"> </w:t>
      </w:r>
      <w:r w:rsidR="003148B6">
        <w:rPr>
          <w:szCs w:val="24"/>
          <w:lang w:val="en-US"/>
        </w:rPr>
        <w:t>which brought</w:t>
      </w:r>
      <w:r w:rsidR="002A12CB" w:rsidRPr="00A32F1B">
        <w:rPr>
          <w:szCs w:val="24"/>
          <w:lang w:val="en-US"/>
        </w:rPr>
        <w:t xml:space="preserve"> new evidence for his theories</w:t>
      </w:r>
      <w:r w:rsidR="003148B6">
        <w:rPr>
          <w:szCs w:val="24"/>
          <w:lang w:val="en-US"/>
        </w:rPr>
        <w:t>.</w:t>
      </w:r>
      <w:r w:rsidR="002A12CB" w:rsidRPr="00A32F1B">
        <w:rPr>
          <w:szCs w:val="24"/>
          <w:lang w:val="en-US"/>
        </w:rPr>
        <w:t xml:space="preserve"> </w:t>
      </w:r>
      <w:r w:rsidR="003148B6">
        <w:rPr>
          <w:szCs w:val="24"/>
          <w:lang w:val="en-US"/>
        </w:rPr>
        <w:t>F</w:t>
      </w:r>
      <w:r w:rsidR="002A12CB" w:rsidRPr="00A32F1B">
        <w:rPr>
          <w:szCs w:val="24"/>
          <w:lang w:val="en-US"/>
        </w:rPr>
        <w:t>urthermore</w:t>
      </w:r>
      <w:r w:rsidR="003148B6">
        <w:rPr>
          <w:szCs w:val="24"/>
          <w:lang w:val="en-US"/>
        </w:rPr>
        <w:t>,</w:t>
      </w:r>
      <w:r w:rsidR="002A12CB" w:rsidRPr="00A32F1B">
        <w:rPr>
          <w:szCs w:val="24"/>
          <w:lang w:val="en-US"/>
        </w:rPr>
        <w:t xml:space="preserve"> the new research</w:t>
      </w:r>
      <w:r w:rsidR="00E14994" w:rsidRPr="00A32F1B">
        <w:rPr>
          <w:szCs w:val="24"/>
          <w:lang w:val="en-US"/>
        </w:rPr>
        <w:t xml:space="preserve"> </w:t>
      </w:r>
      <w:r w:rsidR="00642FA3" w:rsidRPr="00A32F1B">
        <w:rPr>
          <w:szCs w:val="24"/>
          <w:lang w:val="en-US"/>
        </w:rPr>
        <w:t xml:space="preserve">substantially </w:t>
      </w:r>
      <w:r w:rsidR="00E14994" w:rsidRPr="00A32F1B">
        <w:rPr>
          <w:szCs w:val="24"/>
          <w:lang w:val="en-US"/>
        </w:rPr>
        <w:t>advance</w:t>
      </w:r>
      <w:r w:rsidR="00642FA3" w:rsidRPr="00A32F1B">
        <w:rPr>
          <w:szCs w:val="24"/>
          <w:lang w:val="en-US"/>
        </w:rPr>
        <w:t>d</w:t>
      </w:r>
      <w:r w:rsidR="00E14994" w:rsidRPr="00A32F1B">
        <w:rPr>
          <w:szCs w:val="24"/>
          <w:lang w:val="en-US"/>
        </w:rPr>
        <w:t xml:space="preserve"> the study of </w:t>
      </w:r>
      <w:r w:rsidR="00642FA3" w:rsidRPr="00A32F1B">
        <w:rPr>
          <w:szCs w:val="24"/>
          <w:lang w:val="en-US"/>
        </w:rPr>
        <w:t>ancient religion</w:t>
      </w:r>
      <w:r w:rsidR="003148B6">
        <w:rPr>
          <w:szCs w:val="24"/>
          <w:lang w:val="en-US"/>
        </w:rPr>
        <w:t>s</w:t>
      </w:r>
      <w:r w:rsidRPr="00A32F1B">
        <w:rPr>
          <w:szCs w:val="24"/>
          <w:lang w:val="en-US"/>
        </w:rPr>
        <w:t>.</w:t>
      </w:r>
      <w:r w:rsidR="002A12CB" w:rsidRPr="00A32F1B">
        <w:rPr>
          <w:szCs w:val="24"/>
          <w:lang w:val="en-US"/>
        </w:rPr>
        <w:t xml:space="preserve"> Paolo Vitelloz</w:t>
      </w:r>
      <w:r w:rsidR="0073112B" w:rsidRPr="00A32F1B">
        <w:rPr>
          <w:szCs w:val="24"/>
          <w:lang w:val="en-US"/>
        </w:rPr>
        <w:t>z</w:t>
      </w:r>
      <w:r w:rsidR="002A12CB" w:rsidRPr="00A32F1B">
        <w:rPr>
          <w:szCs w:val="24"/>
          <w:lang w:val="en-US"/>
        </w:rPr>
        <w:t xml:space="preserve">i, </w:t>
      </w:r>
      <w:r w:rsidR="00027E6B" w:rsidRPr="00A32F1B">
        <w:rPr>
          <w:szCs w:val="24"/>
          <w:lang w:val="en-US"/>
        </w:rPr>
        <w:t xml:space="preserve">parallel to Árpád Nagy, </w:t>
      </w:r>
      <w:r w:rsidR="00FD6F6E" w:rsidRPr="00A32F1B">
        <w:rPr>
          <w:szCs w:val="24"/>
          <w:lang w:val="en-US"/>
        </w:rPr>
        <w:t>analyzed</w:t>
      </w:r>
      <w:r w:rsidR="00027E6B" w:rsidRPr="00A32F1B">
        <w:rPr>
          <w:szCs w:val="24"/>
          <w:lang w:val="en-US"/>
        </w:rPr>
        <w:t xml:space="preserve"> and </w:t>
      </w:r>
      <w:r w:rsidR="00FD6F6E" w:rsidRPr="00A32F1B">
        <w:rPr>
          <w:szCs w:val="24"/>
          <w:lang w:val="en-US"/>
        </w:rPr>
        <w:t xml:space="preserve">upheld </w:t>
      </w:r>
      <w:r w:rsidR="00027E6B" w:rsidRPr="00A32F1B">
        <w:rPr>
          <w:szCs w:val="24"/>
          <w:lang w:val="en-US"/>
        </w:rPr>
        <w:t xml:space="preserve">Smith’s theory about the nature of magical practice in both amulets and papyri </w:t>
      </w:r>
      <w:r w:rsidR="00EB7887" w:rsidRPr="00A32F1B">
        <w:rPr>
          <w:lang w:val="en-US"/>
        </w:rPr>
        <w:t>–</w:t>
      </w:r>
      <w:r w:rsidR="00027E6B" w:rsidRPr="00A32F1B">
        <w:rPr>
          <w:szCs w:val="24"/>
          <w:lang w:val="en-US"/>
        </w:rPr>
        <w:t xml:space="preserve"> </w:t>
      </w:r>
      <w:r w:rsidR="00562DC3" w:rsidRPr="00A32F1B">
        <w:rPr>
          <w:szCs w:val="24"/>
          <w:lang w:val="en-US"/>
        </w:rPr>
        <w:t xml:space="preserve">the magical practice, in which amulets were used, has its roots in the magical practice of the </w:t>
      </w:r>
      <w:r w:rsidR="00E14994" w:rsidRPr="00A32F1B">
        <w:rPr>
          <w:szCs w:val="24"/>
          <w:lang w:val="en-US"/>
        </w:rPr>
        <w:t>papyri;</w:t>
      </w:r>
      <w:r w:rsidR="00D14E5F" w:rsidRPr="00A32F1B">
        <w:rPr>
          <w:szCs w:val="24"/>
          <w:lang w:val="en-US"/>
        </w:rPr>
        <w:t xml:space="preserve"> however</w:t>
      </w:r>
      <w:r w:rsidR="00E14994" w:rsidRPr="00A32F1B">
        <w:rPr>
          <w:szCs w:val="24"/>
          <w:lang w:val="en-US"/>
        </w:rPr>
        <w:t>,</w:t>
      </w:r>
      <w:r w:rsidR="00D14E5F" w:rsidRPr="00A32F1B">
        <w:rPr>
          <w:szCs w:val="24"/>
          <w:lang w:val="en-US"/>
        </w:rPr>
        <w:t xml:space="preserve"> the papyri </w:t>
      </w:r>
      <w:r w:rsidR="00FD6F6E" w:rsidRPr="00A32F1B">
        <w:rPr>
          <w:szCs w:val="24"/>
          <w:lang w:val="en-US"/>
        </w:rPr>
        <w:t xml:space="preserve">were </w:t>
      </w:r>
      <w:r w:rsidR="00D14E5F" w:rsidRPr="00A32F1B">
        <w:rPr>
          <w:szCs w:val="24"/>
          <w:lang w:val="en-US"/>
        </w:rPr>
        <w:t>most probably not the source of amulets’ r</w:t>
      </w:r>
      <w:r w:rsidR="00E14994" w:rsidRPr="00A32F1B">
        <w:rPr>
          <w:szCs w:val="24"/>
          <w:lang w:val="en-US"/>
        </w:rPr>
        <w:t>ich imagery</w:t>
      </w:r>
      <w:r w:rsidR="003F4ACA" w:rsidRPr="00A32F1B">
        <w:rPr>
          <w:szCs w:val="24"/>
          <w:lang w:val="en-US"/>
        </w:rPr>
        <w:t>.</w:t>
      </w:r>
      <w:r w:rsidR="003F4ACA" w:rsidRPr="00A32F1B">
        <w:rPr>
          <w:rStyle w:val="Znakapoznpodarou"/>
          <w:szCs w:val="24"/>
          <w:lang w:val="en-US"/>
        </w:rPr>
        <w:footnoteReference w:id="47"/>
      </w:r>
      <w:r w:rsidR="00C9602C" w:rsidRPr="00A32F1B">
        <w:rPr>
          <w:szCs w:val="24"/>
          <w:lang w:val="en-US"/>
        </w:rPr>
        <w:t xml:space="preserve"> Vitellozzi supports Smith’s idea that although the amulets were not engraved and processed based on papyri instructions, they follow some of the papyri patterns mainly in the recurring textual content</w:t>
      </w:r>
      <w:r w:rsidR="0001196B" w:rsidRPr="00A32F1B">
        <w:rPr>
          <w:szCs w:val="24"/>
          <w:lang w:val="en-US"/>
        </w:rPr>
        <w:t xml:space="preserve"> used in similar contexts</w:t>
      </w:r>
      <w:r w:rsidR="00C9602C" w:rsidRPr="00A32F1B">
        <w:rPr>
          <w:szCs w:val="24"/>
          <w:lang w:val="en-US"/>
        </w:rPr>
        <w:t>.</w:t>
      </w:r>
      <w:r w:rsidR="0001196B" w:rsidRPr="00A32F1B">
        <w:rPr>
          <w:szCs w:val="24"/>
          <w:lang w:val="en-US"/>
        </w:rPr>
        <w:t xml:space="preserve"> Smith further proposed the papyri to not to be </w:t>
      </w:r>
      <w:r w:rsidR="00FD6F6E" w:rsidRPr="00A32F1B">
        <w:rPr>
          <w:szCs w:val="24"/>
          <w:lang w:val="en-US"/>
        </w:rPr>
        <w:t xml:space="preserve">the </w:t>
      </w:r>
      <w:r w:rsidR="0001196B" w:rsidRPr="00A32F1B">
        <w:rPr>
          <w:szCs w:val="24"/>
          <w:lang w:val="en-US"/>
        </w:rPr>
        <w:t>original source of the magical texts but to be compilation</w:t>
      </w:r>
      <w:r w:rsidR="003148B6">
        <w:rPr>
          <w:szCs w:val="24"/>
          <w:lang w:val="en-US"/>
        </w:rPr>
        <w:t>s</w:t>
      </w:r>
      <w:r w:rsidR="0001196B" w:rsidRPr="00A32F1B">
        <w:rPr>
          <w:szCs w:val="24"/>
          <w:lang w:val="en-US"/>
        </w:rPr>
        <w:t xml:space="preserve"> of </w:t>
      </w:r>
      <w:r w:rsidR="003148B6">
        <w:rPr>
          <w:szCs w:val="24"/>
          <w:lang w:val="en-US"/>
        </w:rPr>
        <w:t xml:space="preserve">much </w:t>
      </w:r>
      <w:r w:rsidR="0001196B" w:rsidRPr="00A32F1B">
        <w:rPr>
          <w:szCs w:val="24"/>
          <w:lang w:val="en-US"/>
        </w:rPr>
        <w:t>older source</w:t>
      </w:r>
      <w:r w:rsidR="003148B6">
        <w:rPr>
          <w:szCs w:val="24"/>
          <w:lang w:val="en-US"/>
        </w:rPr>
        <w:t>,</w:t>
      </w:r>
      <w:r w:rsidR="0001196B" w:rsidRPr="00A32F1B">
        <w:rPr>
          <w:szCs w:val="24"/>
          <w:lang w:val="en-US"/>
        </w:rPr>
        <w:t xml:space="preserve"> which is not known</w:t>
      </w:r>
      <w:r w:rsidR="004D7F8E">
        <w:rPr>
          <w:szCs w:val="24"/>
          <w:lang w:val="en-US"/>
        </w:rPr>
        <w:t xml:space="preserve"> yet.</w:t>
      </w:r>
      <w:r w:rsidR="003148B6">
        <w:rPr>
          <w:szCs w:val="24"/>
          <w:lang w:val="en-US"/>
        </w:rPr>
        <w:t xml:space="preserve"> </w:t>
      </w:r>
      <w:r w:rsidR="0001196B" w:rsidRPr="00A32F1B">
        <w:rPr>
          <w:szCs w:val="24"/>
          <w:lang w:val="en-US"/>
        </w:rPr>
        <w:t xml:space="preserve">Vitellozzi agreed with </w:t>
      </w:r>
      <w:r w:rsidR="003148B6">
        <w:rPr>
          <w:szCs w:val="24"/>
          <w:lang w:val="en-US"/>
        </w:rPr>
        <w:t>Smith’s</w:t>
      </w:r>
      <w:r w:rsidR="0001196B" w:rsidRPr="00A32F1B">
        <w:rPr>
          <w:szCs w:val="24"/>
          <w:lang w:val="en-US"/>
        </w:rPr>
        <w:t xml:space="preserve"> proposition</w:t>
      </w:r>
      <w:r w:rsidR="004D7F8E">
        <w:rPr>
          <w:szCs w:val="24"/>
          <w:lang w:val="en-US"/>
        </w:rPr>
        <w:t xml:space="preserve">, however, he </w:t>
      </w:r>
      <w:r w:rsidR="003148B6">
        <w:rPr>
          <w:szCs w:val="24"/>
          <w:lang w:val="en-US"/>
        </w:rPr>
        <w:t>introduced</w:t>
      </w:r>
      <w:r w:rsidR="0001196B" w:rsidRPr="00A32F1B">
        <w:rPr>
          <w:szCs w:val="24"/>
          <w:lang w:val="en-US"/>
        </w:rPr>
        <w:t xml:space="preserve"> </w:t>
      </w:r>
      <w:r w:rsidR="003148B6">
        <w:rPr>
          <w:szCs w:val="24"/>
          <w:lang w:val="en-US"/>
        </w:rPr>
        <w:t>a</w:t>
      </w:r>
      <w:r w:rsidR="0001196B" w:rsidRPr="00A32F1B">
        <w:rPr>
          <w:szCs w:val="24"/>
          <w:lang w:val="en-US"/>
        </w:rPr>
        <w:t xml:space="preserve"> methodological problem</w:t>
      </w:r>
      <w:r w:rsidR="003148B6">
        <w:rPr>
          <w:szCs w:val="24"/>
          <w:lang w:val="en-US"/>
        </w:rPr>
        <w:t xml:space="preserve"> related to the study of relationship amulets </w:t>
      </w:r>
      <w:r w:rsidR="004D7F8E">
        <w:rPr>
          <w:szCs w:val="24"/>
          <w:lang w:val="en-US"/>
        </w:rPr>
        <w:t>–</w:t>
      </w:r>
      <w:r w:rsidR="003148B6">
        <w:rPr>
          <w:szCs w:val="24"/>
          <w:lang w:val="en-US"/>
        </w:rPr>
        <w:t xml:space="preserve"> papyri: </w:t>
      </w:r>
      <w:r w:rsidR="0001196B" w:rsidRPr="00A32F1B">
        <w:rPr>
          <w:szCs w:val="24"/>
          <w:lang w:val="en-US"/>
        </w:rPr>
        <w:t xml:space="preserve">the known papyri come by a majority from one source, </w:t>
      </w:r>
      <w:r w:rsidR="00B04C00" w:rsidRPr="00A32F1B">
        <w:rPr>
          <w:szCs w:val="24"/>
          <w:lang w:val="en-US"/>
        </w:rPr>
        <w:t xml:space="preserve">the </w:t>
      </w:r>
      <w:r w:rsidR="0001196B" w:rsidRPr="00A32F1B">
        <w:rPr>
          <w:szCs w:val="24"/>
          <w:lang w:val="en-US"/>
        </w:rPr>
        <w:t xml:space="preserve">Theban </w:t>
      </w:r>
      <w:r w:rsidR="00B04C00" w:rsidRPr="00A32F1B">
        <w:rPr>
          <w:szCs w:val="24"/>
          <w:lang w:val="en-US"/>
        </w:rPr>
        <w:t>Magical L</w:t>
      </w:r>
      <w:r w:rsidR="0001196B" w:rsidRPr="00A32F1B">
        <w:rPr>
          <w:szCs w:val="24"/>
          <w:lang w:val="en-US"/>
        </w:rPr>
        <w:t xml:space="preserve">ibrary, contrarily the amulets </w:t>
      </w:r>
      <w:r w:rsidR="002A09DE" w:rsidRPr="00A32F1B">
        <w:rPr>
          <w:szCs w:val="24"/>
          <w:lang w:val="en-US"/>
        </w:rPr>
        <w:t xml:space="preserve">are assumed to have diverse </w:t>
      </w:r>
      <w:r w:rsidR="003148B6">
        <w:rPr>
          <w:szCs w:val="24"/>
          <w:lang w:val="en-US"/>
        </w:rPr>
        <w:t xml:space="preserve">origin, and so theorizing about their relations might be complicated by not being </w:t>
      </w:r>
      <w:r w:rsidR="0019681E">
        <w:rPr>
          <w:szCs w:val="24"/>
          <w:lang w:val="en-US"/>
        </w:rPr>
        <w:t>able</w:t>
      </w:r>
      <w:r w:rsidR="003148B6">
        <w:rPr>
          <w:szCs w:val="24"/>
          <w:lang w:val="en-US"/>
        </w:rPr>
        <w:t xml:space="preserve"> t</w:t>
      </w:r>
      <w:r w:rsidR="004D7F8E">
        <w:rPr>
          <w:szCs w:val="24"/>
          <w:lang w:val="en-US"/>
        </w:rPr>
        <w:t>o establish their shared origin</w:t>
      </w:r>
      <w:r w:rsidR="0019681E">
        <w:rPr>
          <w:szCs w:val="24"/>
          <w:lang w:val="en-US"/>
        </w:rPr>
        <w:t xml:space="preserve"> with evidence</w:t>
      </w:r>
      <w:r w:rsidR="002A09DE" w:rsidRPr="00A32F1B">
        <w:rPr>
          <w:szCs w:val="24"/>
          <w:lang w:val="en-US"/>
        </w:rPr>
        <w:t>.</w:t>
      </w:r>
      <w:r w:rsidR="002A09DE" w:rsidRPr="00A32F1B">
        <w:rPr>
          <w:rStyle w:val="Znakapoznpodarou"/>
          <w:szCs w:val="24"/>
          <w:lang w:val="en-US"/>
        </w:rPr>
        <w:footnoteReference w:id="48"/>
      </w:r>
    </w:p>
    <w:p w14:paraId="6A15D28F" w14:textId="5956CB00" w:rsidR="004C1B3F" w:rsidRPr="00A32F1B" w:rsidRDefault="00D946E1" w:rsidP="00C32BA6">
      <w:pPr>
        <w:rPr>
          <w:szCs w:val="24"/>
          <w:lang w:val="en-US"/>
        </w:rPr>
      </w:pPr>
      <w:r w:rsidRPr="00A32F1B">
        <w:rPr>
          <w:szCs w:val="24"/>
          <w:lang w:val="en-US"/>
        </w:rPr>
        <w:t>The end of the 19</w:t>
      </w:r>
      <w:r w:rsidRPr="00A32F1B">
        <w:rPr>
          <w:szCs w:val="24"/>
          <w:vertAlign w:val="superscript"/>
          <w:lang w:val="en-US"/>
        </w:rPr>
        <w:t>th</w:t>
      </w:r>
      <w:r w:rsidRPr="00A32F1B">
        <w:rPr>
          <w:szCs w:val="24"/>
          <w:lang w:val="en-US"/>
        </w:rPr>
        <w:t xml:space="preserve"> century brought another media in which the name Abraxas appeared – </w:t>
      </w:r>
      <w:r w:rsidR="00390E0D">
        <w:rPr>
          <w:szCs w:val="24"/>
          <w:lang w:val="en-US"/>
        </w:rPr>
        <w:t xml:space="preserve">Jewish </w:t>
      </w:r>
      <w:r w:rsidRPr="00A32F1B">
        <w:rPr>
          <w:szCs w:val="24"/>
          <w:lang w:val="en-US"/>
        </w:rPr>
        <w:t xml:space="preserve">magical text of </w:t>
      </w:r>
      <w:r w:rsidR="00656FB6" w:rsidRPr="00A32F1B">
        <w:rPr>
          <w:i/>
          <w:iCs/>
          <w:lang w:val="en-US"/>
        </w:rPr>
        <w:t>Ḥarba de-Moshe</w:t>
      </w:r>
      <w:r w:rsidR="00656FB6" w:rsidRPr="00A32F1B">
        <w:rPr>
          <w:szCs w:val="24"/>
          <w:lang w:val="en-US"/>
        </w:rPr>
        <w:t xml:space="preserve"> (</w:t>
      </w:r>
      <w:r w:rsidR="00656FB6" w:rsidRPr="00675C21">
        <w:rPr>
          <w:i/>
          <w:iCs/>
          <w:szCs w:val="24"/>
          <w:lang w:val="en-US"/>
        </w:rPr>
        <w:t>The Sword of Moses</w:t>
      </w:r>
      <w:r w:rsidR="00656FB6" w:rsidRPr="00A32F1B">
        <w:rPr>
          <w:szCs w:val="24"/>
          <w:lang w:val="en-US"/>
        </w:rPr>
        <w:t xml:space="preserve">) </w:t>
      </w:r>
      <w:r w:rsidRPr="00A32F1B">
        <w:rPr>
          <w:szCs w:val="24"/>
          <w:lang w:val="en-US"/>
        </w:rPr>
        <w:t xml:space="preserve">which was </w:t>
      </w:r>
      <w:r w:rsidR="004C1B3F" w:rsidRPr="00A32F1B">
        <w:rPr>
          <w:szCs w:val="24"/>
          <w:lang w:val="en-US"/>
        </w:rPr>
        <w:t>studied and translated</w:t>
      </w:r>
      <w:r w:rsidRPr="00A32F1B">
        <w:rPr>
          <w:szCs w:val="24"/>
          <w:lang w:val="en-US"/>
        </w:rPr>
        <w:t xml:space="preserve"> by Moses Gaster (1856-1939)</w:t>
      </w:r>
      <w:r w:rsidR="00246AC0" w:rsidRPr="00A32F1B">
        <w:rPr>
          <w:szCs w:val="24"/>
          <w:lang w:val="en-US"/>
        </w:rPr>
        <w:t>.</w:t>
      </w:r>
      <w:r w:rsidR="004C1B3F" w:rsidRPr="00A32F1B">
        <w:rPr>
          <w:szCs w:val="24"/>
          <w:lang w:val="en-US"/>
        </w:rPr>
        <w:t xml:space="preserve"> The text is concerned with recipes for magical remedies</w:t>
      </w:r>
      <w:r w:rsidR="000148AC" w:rsidRPr="00A32F1B">
        <w:rPr>
          <w:szCs w:val="24"/>
          <w:lang w:val="en-US"/>
        </w:rPr>
        <w:t xml:space="preserve"> and other magical practices affecting oneself or others, on several occasions the text employs the character of Abraxas as a</w:t>
      </w:r>
      <w:r w:rsidR="002D1FE3" w:rsidRPr="00A32F1B">
        <w:rPr>
          <w:szCs w:val="24"/>
          <w:lang w:val="en-US"/>
        </w:rPr>
        <w:t> </w:t>
      </w:r>
      <w:r w:rsidR="000148AC" w:rsidRPr="00A32F1B">
        <w:rPr>
          <w:szCs w:val="24"/>
          <w:lang w:val="en-US"/>
        </w:rPr>
        <w:t xml:space="preserve">part of </w:t>
      </w:r>
      <w:r w:rsidR="00675C21">
        <w:rPr>
          <w:szCs w:val="24"/>
          <w:lang w:val="en-US"/>
        </w:rPr>
        <w:t xml:space="preserve">potent </w:t>
      </w:r>
      <w:r w:rsidR="000148AC" w:rsidRPr="00A32F1B">
        <w:rPr>
          <w:szCs w:val="24"/>
          <w:lang w:val="en-US"/>
        </w:rPr>
        <w:t>magical formulas</w:t>
      </w:r>
      <w:r w:rsidR="00215782" w:rsidRPr="00A32F1B">
        <w:rPr>
          <w:szCs w:val="24"/>
          <w:lang w:val="en-US"/>
        </w:rPr>
        <w:t>.</w:t>
      </w:r>
      <w:r w:rsidR="00215782" w:rsidRPr="00A32F1B">
        <w:rPr>
          <w:rStyle w:val="Znakapoznpodarou"/>
          <w:szCs w:val="24"/>
          <w:lang w:val="en-US"/>
        </w:rPr>
        <w:footnoteReference w:id="49"/>
      </w:r>
    </w:p>
    <w:p w14:paraId="4C59D0F5" w14:textId="5DC06A8B" w:rsidR="00CB7E86" w:rsidRPr="00A32F1B" w:rsidRDefault="00860CA3" w:rsidP="00C32BA6">
      <w:pPr>
        <w:rPr>
          <w:szCs w:val="24"/>
          <w:lang w:val="en-US"/>
        </w:rPr>
      </w:pPr>
      <w:r w:rsidRPr="00A32F1B">
        <w:rPr>
          <w:szCs w:val="24"/>
          <w:lang w:val="en-US"/>
        </w:rPr>
        <w:lastRenderedPageBreak/>
        <w:t xml:space="preserve">In the study </w:t>
      </w:r>
      <w:r w:rsidR="004C1184" w:rsidRPr="00A32F1B">
        <w:rPr>
          <w:szCs w:val="24"/>
          <w:lang w:val="en-US"/>
        </w:rPr>
        <w:t>preceding the text of</w:t>
      </w:r>
      <w:r w:rsidRPr="00A32F1B">
        <w:rPr>
          <w:szCs w:val="24"/>
          <w:lang w:val="en-US"/>
        </w:rPr>
        <w:t xml:space="preserve"> </w:t>
      </w:r>
      <w:r w:rsidR="00656FB6" w:rsidRPr="00A32F1B">
        <w:rPr>
          <w:i/>
          <w:iCs/>
          <w:lang w:val="en-US"/>
        </w:rPr>
        <w:t>Ḥarba de-Moshe</w:t>
      </w:r>
      <w:r w:rsidR="00656FB6" w:rsidRPr="00A32F1B">
        <w:rPr>
          <w:szCs w:val="24"/>
          <w:lang w:val="en-US"/>
        </w:rPr>
        <w:t xml:space="preserve"> </w:t>
      </w:r>
      <w:r w:rsidRPr="00A32F1B">
        <w:rPr>
          <w:szCs w:val="24"/>
          <w:lang w:val="en-US"/>
        </w:rPr>
        <w:t xml:space="preserve">Gaster addresses a serious methodological problem of ancient texts’ research, specifically the problematics of transliteration of proper names. </w:t>
      </w:r>
      <w:r w:rsidR="00246AC0" w:rsidRPr="00A32F1B">
        <w:rPr>
          <w:szCs w:val="24"/>
          <w:lang w:val="en-US"/>
        </w:rPr>
        <w:t>Although Gaster did not focus particularly on Abraxas, he assigned Abraxas to a group of</w:t>
      </w:r>
      <w:r w:rsidR="005D1448" w:rsidRPr="00A32F1B">
        <w:rPr>
          <w:szCs w:val="24"/>
          <w:lang w:val="en-US"/>
        </w:rPr>
        <w:t xml:space="preserve"> </w:t>
      </w:r>
      <w:r w:rsidR="00246AC0" w:rsidRPr="00A32F1B">
        <w:rPr>
          <w:szCs w:val="24"/>
          <w:lang w:val="en-US"/>
        </w:rPr>
        <w:t>deities</w:t>
      </w:r>
      <w:r w:rsidR="005D1448" w:rsidRPr="00A32F1B">
        <w:rPr>
          <w:szCs w:val="24"/>
          <w:lang w:val="en-US"/>
        </w:rPr>
        <w:t xml:space="preserve"> </w:t>
      </w:r>
      <w:r w:rsidRPr="00A32F1B">
        <w:rPr>
          <w:szCs w:val="24"/>
          <w:lang w:val="en-US"/>
        </w:rPr>
        <w:t>who</w:t>
      </w:r>
      <w:r w:rsidR="005D1448" w:rsidRPr="00A32F1B">
        <w:rPr>
          <w:szCs w:val="24"/>
          <w:lang w:val="en-US"/>
        </w:rPr>
        <w:t>se names appeared in variety of transliterations across ancient texts</w:t>
      </w:r>
      <w:r w:rsidR="00675C21">
        <w:rPr>
          <w:szCs w:val="24"/>
          <w:lang w:val="en-US"/>
        </w:rPr>
        <w:t>.</w:t>
      </w:r>
      <w:r w:rsidR="005D1448" w:rsidRPr="00A32F1B">
        <w:rPr>
          <w:szCs w:val="24"/>
          <w:lang w:val="en-US"/>
        </w:rPr>
        <w:t xml:space="preserve"> Gaster stated that researchers should be cautious in this matter as any addition, omission or exchange of one letter in proper names might be misleading in two directions: in every such case either assuming that the difference in spelling is significant and so the name does not signify the same entity, or assuming that any similarity is significant and so the name in variations signifies the same entity; both directions Gaster denotes as dangerous and urges researchers to proceed with caution when working with ancient texts.</w:t>
      </w:r>
      <w:r w:rsidR="005D1448" w:rsidRPr="00A32F1B">
        <w:rPr>
          <w:rStyle w:val="Znakapoznpodarou"/>
          <w:szCs w:val="24"/>
          <w:lang w:val="en-US"/>
        </w:rPr>
        <w:footnoteReference w:id="50"/>
      </w:r>
    </w:p>
    <w:p w14:paraId="44748078" w14:textId="37B010AE" w:rsidR="00D17728" w:rsidRPr="00A32F1B" w:rsidRDefault="00D17728" w:rsidP="001711C6">
      <w:pPr>
        <w:rPr>
          <w:szCs w:val="24"/>
          <w:lang w:val="en-US"/>
        </w:rPr>
      </w:pPr>
      <w:r w:rsidRPr="00A32F1B">
        <w:rPr>
          <w:szCs w:val="24"/>
          <w:lang w:val="en-US"/>
        </w:rPr>
        <w:t>New opportunities for the research of magic appeared with the discovery of the Cairo Genizah in 1896 as the Genizah presented numerous textual materials of various topics and content.</w:t>
      </w:r>
      <w:r w:rsidRPr="00A32F1B">
        <w:rPr>
          <w:rStyle w:val="Znakapoznpodarou"/>
          <w:szCs w:val="24"/>
          <w:lang w:val="en-US"/>
        </w:rPr>
        <w:footnoteReference w:id="51"/>
      </w:r>
      <w:r w:rsidRPr="00A32F1B">
        <w:rPr>
          <w:szCs w:val="24"/>
          <w:lang w:val="en-US"/>
        </w:rPr>
        <w:t xml:space="preserve"> </w:t>
      </w:r>
      <w:r w:rsidR="00954F41" w:rsidRPr="00A32F1B">
        <w:rPr>
          <w:szCs w:val="24"/>
          <w:lang w:val="en-US"/>
        </w:rPr>
        <w:t>The Genizah contained not only fully preserved texts but also a vast number of fragments which scholars have tried to assemble since their discovery</w:t>
      </w:r>
      <w:r w:rsidR="00675C21">
        <w:rPr>
          <w:szCs w:val="24"/>
          <w:lang w:val="en-US"/>
        </w:rPr>
        <w:t>.</w:t>
      </w:r>
      <w:r w:rsidR="00954F41" w:rsidRPr="00A32F1B">
        <w:rPr>
          <w:szCs w:val="24"/>
          <w:lang w:val="en-US"/>
        </w:rPr>
        <w:t xml:space="preserve"> </w:t>
      </w:r>
      <w:r w:rsidR="00675C21">
        <w:rPr>
          <w:szCs w:val="24"/>
          <w:lang w:val="en-US"/>
        </w:rPr>
        <w:t>O</w:t>
      </w:r>
      <w:r w:rsidR="00954F41" w:rsidRPr="00A32F1B">
        <w:rPr>
          <w:szCs w:val="24"/>
          <w:lang w:val="en-US"/>
        </w:rPr>
        <w:t xml:space="preserve">ne of those scholars was </w:t>
      </w:r>
      <w:r w:rsidRPr="00A32F1B">
        <w:rPr>
          <w:szCs w:val="24"/>
          <w:lang w:val="en-US"/>
        </w:rPr>
        <w:t xml:space="preserve">Mordecai Margalioth (1909-1968) </w:t>
      </w:r>
      <w:r w:rsidR="00954F41" w:rsidRPr="00A32F1B">
        <w:rPr>
          <w:szCs w:val="24"/>
          <w:lang w:val="en-US"/>
        </w:rPr>
        <w:t xml:space="preserve">who </w:t>
      </w:r>
      <w:r w:rsidRPr="00A32F1B">
        <w:rPr>
          <w:szCs w:val="24"/>
          <w:lang w:val="en-US"/>
        </w:rPr>
        <w:t>assembl</w:t>
      </w:r>
      <w:r w:rsidR="00FB5AB0" w:rsidRPr="00A32F1B">
        <w:rPr>
          <w:szCs w:val="24"/>
          <w:lang w:val="en-US"/>
        </w:rPr>
        <w:t>ed</w:t>
      </w:r>
      <w:r w:rsidR="00954F41" w:rsidRPr="00A32F1B">
        <w:rPr>
          <w:szCs w:val="24"/>
          <w:lang w:val="en-US"/>
        </w:rPr>
        <w:t xml:space="preserve"> </w:t>
      </w:r>
      <w:r w:rsidRPr="00A32F1B">
        <w:rPr>
          <w:szCs w:val="24"/>
          <w:lang w:val="en-US"/>
        </w:rPr>
        <w:t xml:space="preserve">the text of </w:t>
      </w:r>
      <w:r w:rsidR="00390E0D">
        <w:rPr>
          <w:szCs w:val="24"/>
          <w:lang w:val="en-US"/>
        </w:rPr>
        <w:t xml:space="preserve">Jewish </w:t>
      </w:r>
      <w:r w:rsidRPr="00A32F1B">
        <w:rPr>
          <w:szCs w:val="24"/>
          <w:lang w:val="en-US"/>
        </w:rPr>
        <w:t xml:space="preserve">magical treatise </w:t>
      </w:r>
      <w:r w:rsidRPr="00A32F1B">
        <w:rPr>
          <w:i/>
          <w:iCs/>
          <w:szCs w:val="24"/>
          <w:lang w:val="en-US"/>
        </w:rPr>
        <w:t>Sefer ha-Razim</w:t>
      </w:r>
      <w:r w:rsidRPr="00A32F1B">
        <w:rPr>
          <w:szCs w:val="24"/>
          <w:lang w:val="en-US"/>
        </w:rPr>
        <w:t xml:space="preserve"> (</w:t>
      </w:r>
      <w:r w:rsidR="00656FB6" w:rsidRPr="00390E0D">
        <w:rPr>
          <w:i/>
          <w:iCs/>
          <w:szCs w:val="24"/>
          <w:lang w:val="en-US"/>
        </w:rPr>
        <w:t xml:space="preserve">The </w:t>
      </w:r>
      <w:r w:rsidRPr="00390E0D">
        <w:rPr>
          <w:i/>
          <w:iCs/>
          <w:szCs w:val="24"/>
          <w:lang w:val="en-US"/>
        </w:rPr>
        <w:t>Book of Secrets</w:t>
      </w:r>
      <w:r w:rsidRPr="00A32F1B">
        <w:rPr>
          <w:szCs w:val="24"/>
          <w:lang w:val="en-US"/>
        </w:rPr>
        <w:t>)</w:t>
      </w:r>
      <w:r w:rsidR="00C23EF1" w:rsidRPr="00A32F1B">
        <w:rPr>
          <w:rStyle w:val="Znakapoznpodarou"/>
          <w:szCs w:val="24"/>
          <w:lang w:val="en-US"/>
        </w:rPr>
        <w:footnoteReference w:id="52"/>
      </w:r>
      <w:r w:rsidRPr="00A32F1B">
        <w:rPr>
          <w:szCs w:val="24"/>
          <w:lang w:val="en-US"/>
        </w:rPr>
        <w:t xml:space="preserve"> </w:t>
      </w:r>
      <w:r w:rsidR="00272097" w:rsidRPr="00A32F1B">
        <w:rPr>
          <w:szCs w:val="24"/>
          <w:lang w:val="en-US"/>
        </w:rPr>
        <w:t xml:space="preserve">based on </w:t>
      </w:r>
      <w:r w:rsidR="007F38CF" w:rsidRPr="00A32F1B">
        <w:rPr>
          <w:szCs w:val="24"/>
          <w:lang w:val="en-US"/>
        </w:rPr>
        <w:t xml:space="preserve">newly found </w:t>
      </w:r>
      <w:r w:rsidR="00954F41" w:rsidRPr="00A32F1B">
        <w:rPr>
          <w:szCs w:val="24"/>
          <w:lang w:val="en-US"/>
        </w:rPr>
        <w:t xml:space="preserve">fragments from the Cairo Genizah and from </w:t>
      </w:r>
      <w:r w:rsidR="007F38CF" w:rsidRPr="00A32F1B">
        <w:rPr>
          <w:szCs w:val="24"/>
          <w:lang w:val="en-US"/>
        </w:rPr>
        <w:t xml:space="preserve">already known and accessible </w:t>
      </w:r>
      <w:r w:rsidR="00954F41" w:rsidRPr="00A32F1B">
        <w:rPr>
          <w:szCs w:val="24"/>
          <w:lang w:val="en-US"/>
        </w:rPr>
        <w:t>manuscripts in Hebrew, Arabic and Latin</w:t>
      </w:r>
      <w:r w:rsidR="00272097" w:rsidRPr="00A32F1B">
        <w:rPr>
          <w:szCs w:val="24"/>
          <w:lang w:val="en-US"/>
        </w:rPr>
        <w:t>;</w:t>
      </w:r>
      <w:r w:rsidR="00954F41" w:rsidRPr="00A32F1B">
        <w:rPr>
          <w:szCs w:val="24"/>
          <w:lang w:val="en-US"/>
        </w:rPr>
        <w:t xml:space="preserve"> the final text was </w:t>
      </w:r>
      <w:r w:rsidR="004A7F4B" w:rsidRPr="00A32F1B">
        <w:rPr>
          <w:szCs w:val="24"/>
          <w:lang w:val="en-US"/>
        </w:rPr>
        <w:t xml:space="preserve">edited and </w:t>
      </w:r>
      <w:r w:rsidR="00954F41" w:rsidRPr="00A32F1B">
        <w:rPr>
          <w:szCs w:val="24"/>
          <w:lang w:val="en-US"/>
        </w:rPr>
        <w:t>published in 1966.</w:t>
      </w:r>
      <w:r w:rsidR="004A7F4B" w:rsidRPr="00A32F1B">
        <w:rPr>
          <w:szCs w:val="24"/>
          <w:lang w:val="en-US"/>
        </w:rPr>
        <w:t xml:space="preserve"> Marg</w:t>
      </w:r>
      <w:r w:rsidR="00ED523A" w:rsidRPr="00A32F1B">
        <w:rPr>
          <w:szCs w:val="24"/>
          <w:lang w:val="en-US"/>
        </w:rPr>
        <w:t>a</w:t>
      </w:r>
      <w:r w:rsidR="004A7F4B" w:rsidRPr="00A32F1B">
        <w:rPr>
          <w:szCs w:val="24"/>
          <w:lang w:val="en-US"/>
        </w:rPr>
        <w:t xml:space="preserve">lioth’s </w:t>
      </w:r>
      <w:r w:rsidR="004A7F4B" w:rsidRPr="00A32F1B">
        <w:rPr>
          <w:i/>
          <w:iCs/>
          <w:szCs w:val="24"/>
          <w:lang w:val="en-US"/>
        </w:rPr>
        <w:t>Sefer ha-Razim</w:t>
      </w:r>
      <w:r w:rsidR="004A7F4B" w:rsidRPr="00A32F1B">
        <w:rPr>
          <w:szCs w:val="24"/>
          <w:lang w:val="en-US"/>
        </w:rPr>
        <w:t xml:space="preserve"> </w:t>
      </w:r>
      <w:proofErr w:type="gramStart"/>
      <w:r w:rsidR="00C27D18" w:rsidRPr="00A32F1B">
        <w:rPr>
          <w:szCs w:val="24"/>
          <w:lang w:val="en-US"/>
        </w:rPr>
        <w:t>is considered to be</w:t>
      </w:r>
      <w:proofErr w:type="gramEnd"/>
      <w:r w:rsidR="004A7F4B" w:rsidRPr="00A32F1B">
        <w:rPr>
          <w:szCs w:val="24"/>
          <w:lang w:val="en-US"/>
        </w:rPr>
        <w:t xml:space="preserve"> highly significant in enabling modern researchers to access and understand Jewish culture of the Late Antiquity and Early Middle Ages.</w:t>
      </w:r>
      <w:r w:rsidR="00954F41" w:rsidRPr="00A32F1B">
        <w:rPr>
          <w:rStyle w:val="Znakapoznpodarou"/>
          <w:szCs w:val="24"/>
          <w:lang w:val="en-US"/>
        </w:rPr>
        <w:footnoteReference w:id="53"/>
      </w:r>
      <w:r w:rsidR="007F38CF" w:rsidRPr="00A32F1B">
        <w:rPr>
          <w:szCs w:val="24"/>
          <w:lang w:val="en-US"/>
        </w:rPr>
        <w:t xml:space="preserve"> </w:t>
      </w:r>
      <w:r w:rsidR="00820786" w:rsidRPr="00A32F1B">
        <w:rPr>
          <w:szCs w:val="24"/>
          <w:lang w:val="en-US"/>
        </w:rPr>
        <w:t xml:space="preserve">The text of </w:t>
      </w:r>
      <w:r w:rsidR="00820786" w:rsidRPr="00A32F1B">
        <w:rPr>
          <w:i/>
          <w:iCs/>
          <w:szCs w:val="24"/>
          <w:lang w:val="en-US"/>
        </w:rPr>
        <w:t>Sefer ha-Razim</w:t>
      </w:r>
      <w:r w:rsidR="00820786" w:rsidRPr="00A32F1B">
        <w:rPr>
          <w:szCs w:val="24"/>
          <w:lang w:val="en-US"/>
        </w:rPr>
        <w:t xml:space="preserve"> involves </w:t>
      </w:r>
      <w:r w:rsidR="00390E0D">
        <w:rPr>
          <w:szCs w:val="24"/>
          <w:lang w:val="en-US"/>
        </w:rPr>
        <w:t xml:space="preserve">a </w:t>
      </w:r>
      <w:r w:rsidR="00820786" w:rsidRPr="00A32F1B">
        <w:rPr>
          <w:szCs w:val="24"/>
          <w:lang w:val="en-US"/>
        </w:rPr>
        <w:t xml:space="preserve">description of mystical celestial system, referring also to Abraxas, and a variety of magic </w:t>
      </w:r>
      <w:r w:rsidR="001711C6" w:rsidRPr="00A32F1B">
        <w:rPr>
          <w:szCs w:val="24"/>
          <w:lang w:val="en-US"/>
        </w:rPr>
        <w:t xml:space="preserve">practices, </w:t>
      </w:r>
      <w:r w:rsidR="00895A68" w:rsidRPr="00A32F1B">
        <w:rPr>
          <w:szCs w:val="24"/>
          <w:lang w:val="en-US"/>
        </w:rPr>
        <w:t>incantations,</w:t>
      </w:r>
      <w:r w:rsidR="00895A68">
        <w:rPr>
          <w:szCs w:val="24"/>
          <w:lang w:val="en-US"/>
        </w:rPr>
        <w:t xml:space="preserve"> and ma</w:t>
      </w:r>
      <w:r w:rsidR="001711C6" w:rsidRPr="00A32F1B">
        <w:rPr>
          <w:szCs w:val="24"/>
          <w:lang w:val="en-US"/>
        </w:rPr>
        <w:t>gical remedies</w:t>
      </w:r>
      <w:r w:rsidR="00C27D18" w:rsidRPr="00A32F1B">
        <w:rPr>
          <w:szCs w:val="24"/>
          <w:lang w:val="en-US"/>
        </w:rPr>
        <w:t>.</w:t>
      </w:r>
      <w:r w:rsidR="006E3F62" w:rsidRPr="00A32F1B">
        <w:rPr>
          <w:rStyle w:val="Znakapoznpodarou"/>
          <w:szCs w:val="24"/>
          <w:lang w:val="en-US"/>
        </w:rPr>
        <w:footnoteReference w:id="54"/>
      </w:r>
      <w:r w:rsidR="00664627" w:rsidRPr="00A32F1B">
        <w:rPr>
          <w:szCs w:val="24"/>
          <w:lang w:val="en-US"/>
        </w:rPr>
        <w:t xml:space="preserve"> </w:t>
      </w:r>
    </w:p>
    <w:p w14:paraId="0CE8336E" w14:textId="6DD6028F" w:rsidR="0088144A" w:rsidRPr="00A32F1B" w:rsidRDefault="00CB7E86" w:rsidP="0003301B">
      <w:pPr>
        <w:rPr>
          <w:szCs w:val="24"/>
          <w:lang w:val="en-US"/>
        </w:rPr>
      </w:pPr>
      <w:r w:rsidRPr="00A32F1B">
        <w:rPr>
          <w:szCs w:val="24"/>
          <w:lang w:val="en-US"/>
        </w:rPr>
        <w:lastRenderedPageBreak/>
        <w:t xml:space="preserve">The research of </w:t>
      </w:r>
      <w:r w:rsidR="00390E0D">
        <w:rPr>
          <w:szCs w:val="24"/>
          <w:lang w:val="en-US"/>
        </w:rPr>
        <w:t xml:space="preserve">Jewish </w:t>
      </w:r>
      <w:r w:rsidRPr="00A32F1B">
        <w:rPr>
          <w:szCs w:val="24"/>
          <w:lang w:val="en-US"/>
        </w:rPr>
        <w:t xml:space="preserve">magical texts flourished considerably </w:t>
      </w:r>
      <w:r w:rsidR="006407CA" w:rsidRPr="00A32F1B">
        <w:rPr>
          <w:szCs w:val="24"/>
          <w:lang w:val="en-US"/>
        </w:rPr>
        <w:t>during the</w:t>
      </w:r>
      <w:r w:rsidRPr="00A32F1B">
        <w:rPr>
          <w:szCs w:val="24"/>
          <w:lang w:val="en-US"/>
        </w:rPr>
        <w:t xml:space="preserve"> 20</w:t>
      </w:r>
      <w:r w:rsidRPr="00A32F1B">
        <w:rPr>
          <w:szCs w:val="24"/>
          <w:vertAlign w:val="superscript"/>
          <w:lang w:val="en-US"/>
        </w:rPr>
        <w:t>th</w:t>
      </w:r>
      <w:r w:rsidR="00326586">
        <w:rPr>
          <w:szCs w:val="24"/>
          <w:lang w:val="en-US"/>
        </w:rPr>
        <w:t> </w:t>
      </w:r>
      <w:r w:rsidRPr="00A32F1B">
        <w:rPr>
          <w:szCs w:val="24"/>
          <w:lang w:val="en-US"/>
        </w:rPr>
        <w:t>century, one of the direction</w:t>
      </w:r>
      <w:r w:rsidR="00814F8C" w:rsidRPr="00A32F1B">
        <w:rPr>
          <w:szCs w:val="24"/>
          <w:lang w:val="en-US"/>
        </w:rPr>
        <w:t>s</w:t>
      </w:r>
      <w:r w:rsidRPr="00A32F1B">
        <w:rPr>
          <w:szCs w:val="24"/>
          <w:lang w:val="en-US"/>
        </w:rPr>
        <w:t xml:space="preserve"> was a research of Aramaic magical texts </w:t>
      </w:r>
      <w:r w:rsidR="007D3F8C" w:rsidRPr="00A32F1B">
        <w:rPr>
          <w:szCs w:val="24"/>
          <w:lang w:val="en-US"/>
        </w:rPr>
        <w:t>that</w:t>
      </w:r>
      <w:r w:rsidRPr="00A32F1B">
        <w:rPr>
          <w:szCs w:val="24"/>
          <w:lang w:val="en-US"/>
        </w:rPr>
        <w:t xml:space="preserve"> </w:t>
      </w:r>
      <w:r w:rsidR="00390E0D">
        <w:rPr>
          <w:szCs w:val="24"/>
          <w:lang w:val="en-US"/>
        </w:rPr>
        <w:t xml:space="preserve">studied </w:t>
      </w:r>
      <w:r w:rsidRPr="00A32F1B">
        <w:rPr>
          <w:szCs w:val="24"/>
          <w:lang w:val="en-US"/>
        </w:rPr>
        <w:t>Aramaic manuscripts</w:t>
      </w:r>
      <w:r w:rsidR="00814F8C" w:rsidRPr="00A32F1B">
        <w:rPr>
          <w:szCs w:val="24"/>
          <w:lang w:val="en-US"/>
        </w:rPr>
        <w:t>, along with the Aramaic incantation bowls</w:t>
      </w:r>
      <w:r w:rsidR="007D3F8C" w:rsidRPr="00A32F1B">
        <w:rPr>
          <w:szCs w:val="24"/>
          <w:lang w:val="en-US"/>
        </w:rPr>
        <w:t>, also called Aramaic magical bowls</w:t>
      </w:r>
      <w:r w:rsidR="0003301B" w:rsidRPr="00A32F1B">
        <w:rPr>
          <w:szCs w:val="24"/>
          <w:lang w:val="en-US"/>
        </w:rPr>
        <w:t xml:space="preserve">. </w:t>
      </w:r>
      <w:r w:rsidR="006407CA" w:rsidRPr="00A32F1B">
        <w:rPr>
          <w:szCs w:val="24"/>
          <w:lang w:val="en-US"/>
        </w:rPr>
        <w:t>The bowl</w:t>
      </w:r>
      <w:r w:rsidR="007D3F8C" w:rsidRPr="00A32F1B">
        <w:rPr>
          <w:szCs w:val="24"/>
          <w:lang w:val="en-US"/>
        </w:rPr>
        <w:t>s</w:t>
      </w:r>
      <w:r w:rsidR="006407CA" w:rsidRPr="00A32F1B">
        <w:rPr>
          <w:szCs w:val="24"/>
          <w:lang w:val="en-US"/>
        </w:rPr>
        <w:t xml:space="preserve"> as media of magical practice</w:t>
      </w:r>
      <w:r w:rsidR="00B82F03" w:rsidRPr="00A32F1B">
        <w:rPr>
          <w:szCs w:val="24"/>
          <w:lang w:val="en-US"/>
        </w:rPr>
        <w:t xml:space="preserve"> could </w:t>
      </w:r>
      <w:r w:rsidR="002F5BA1" w:rsidRPr="00A32F1B">
        <w:rPr>
          <w:szCs w:val="24"/>
          <w:lang w:val="en-US"/>
        </w:rPr>
        <w:t xml:space="preserve">have </w:t>
      </w:r>
      <w:r w:rsidR="00B82F03" w:rsidRPr="00A32F1B">
        <w:rPr>
          <w:szCs w:val="24"/>
          <w:lang w:val="en-US"/>
        </w:rPr>
        <w:t>be</w:t>
      </w:r>
      <w:r w:rsidR="002F5BA1" w:rsidRPr="00A32F1B">
        <w:rPr>
          <w:szCs w:val="24"/>
          <w:lang w:val="en-US"/>
        </w:rPr>
        <w:t xml:space="preserve">en previously </w:t>
      </w:r>
      <w:r w:rsidR="00B82F03" w:rsidRPr="00A32F1B">
        <w:rPr>
          <w:szCs w:val="24"/>
          <w:lang w:val="en-US"/>
        </w:rPr>
        <w:t xml:space="preserve">found </w:t>
      </w:r>
      <w:r w:rsidR="006407CA" w:rsidRPr="00A32F1B">
        <w:rPr>
          <w:szCs w:val="24"/>
          <w:lang w:val="en-US"/>
        </w:rPr>
        <w:t>in hands of private collectors</w:t>
      </w:r>
      <w:r w:rsidR="00B82F03" w:rsidRPr="00A32F1B">
        <w:rPr>
          <w:szCs w:val="24"/>
          <w:lang w:val="en-US"/>
        </w:rPr>
        <w:t>;</w:t>
      </w:r>
      <w:r w:rsidR="006407CA" w:rsidRPr="00A32F1B">
        <w:rPr>
          <w:szCs w:val="24"/>
          <w:lang w:val="en-US"/>
        </w:rPr>
        <w:t xml:space="preserve"> however, </w:t>
      </w:r>
      <w:r w:rsidR="00B82F03" w:rsidRPr="00A32F1B">
        <w:rPr>
          <w:szCs w:val="24"/>
          <w:lang w:val="en-US"/>
        </w:rPr>
        <w:t>only the end of 20</w:t>
      </w:r>
      <w:r w:rsidR="00B82F03" w:rsidRPr="00A32F1B">
        <w:rPr>
          <w:szCs w:val="24"/>
          <w:vertAlign w:val="superscript"/>
          <w:lang w:val="en-US"/>
        </w:rPr>
        <w:t>th</w:t>
      </w:r>
      <w:r w:rsidR="00B82F03" w:rsidRPr="00A32F1B">
        <w:rPr>
          <w:szCs w:val="24"/>
          <w:lang w:val="en-US"/>
        </w:rPr>
        <w:t xml:space="preserve"> century brought them to attention of scholars. </w:t>
      </w:r>
      <w:r w:rsidR="002F5BA1" w:rsidRPr="00A32F1B">
        <w:rPr>
          <w:szCs w:val="24"/>
          <w:lang w:val="en-US"/>
        </w:rPr>
        <w:t xml:space="preserve">Significant source in the study of Aramaic magical bowls was the Schøyen </w:t>
      </w:r>
      <w:r w:rsidR="006F1A91" w:rsidRPr="00A32F1B">
        <w:rPr>
          <w:szCs w:val="24"/>
          <w:lang w:val="en-US"/>
        </w:rPr>
        <w:t>Collection,</w:t>
      </w:r>
      <w:r w:rsidR="002F5BA1" w:rsidRPr="00A32F1B">
        <w:rPr>
          <w:szCs w:val="24"/>
          <w:lang w:val="en-US"/>
        </w:rPr>
        <w:t xml:space="preserve"> which was the primary focus of Shaul Shaked</w:t>
      </w:r>
      <w:r w:rsidR="00C44F72" w:rsidRPr="00A32F1B">
        <w:rPr>
          <w:szCs w:val="24"/>
          <w:lang w:val="en-US"/>
        </w:rPr>
        <w:t xml:space="preserve"> (b.</w:t>
      </w:r>
      <w:r w:rsidR="002D1FE3" w:rsidRPr="00A32F1B">
        <w:rPr>
          <w:szCs w:val="24"/>
          <w:lang w:val="en-US"/>
        </w:rPr>
        <w:t> </w:t>
      </w:r>
      <w:r w:rsidR="00C44F72" w:rsidRPr="00A32F1B">
        <w:rPr>
          <w:szCs w:val="24"/>
          <w:lang w:val="en-US"/>
        </w:rPr>
        <w:t>1933)</w:t>
      </w:r>
      <w:r w:rsidR="002F5BA1" w:rsidRPr="00A32F1B">
        <w:rPr>
          <w:szCs w:val="24"/>
          <w:lang w:val="en-US"/>
        </w:rPr>
        <w:t xml:space="preserve">, professor at the Hebrew University and the authority </w:t>
      </w:r>
      <w:r w:rsidR="00C44F72" w:rsidRPr="00A32F1B">
        <w:rPr>
          <w:szCs w:val="24"/>
          <w:lang w:val="en-US"/>
        </w:rPr>
        <w:t>in the field of</w:t>
      </w:r>
      <w:r w:rsidR="002F5BA1" w:rsidRPr="00A32F1B">
        <w:rPr>
          <w:szCs w:val="24"/>
          <w:lang w:val="en-US"/>
        </w:rPr>
        <w:t xml:space="preserve"> magical bowls</w:t>
      </w:r>
      <w:r w:rsidR="002A465C" w:rsidRPr="00A32F1B">
        <w:rPr>
          <w:rStyle w:val="Znakapoznpodarou"/>
          <w:szCs w:val="24"/>
          <w:lang w:val="en-US"/>
        </w:rPr>
        <w:footnoteReference w:id="55"/>
      </w:r>
      <w:r w:rsidR="002A465C" w:rsidRPr="00A32F1B">
        <w:rPr>
          <w:szCs w:val="24"/>
          <w:lang w:val="en-US"/>
        </w:rPr>
        <w:t xml:space="preserve">  who participated in the publication of incantation bowls’ collection to public with commentary and linguistic and historical background.</w:t>
      </w:r>
      <w:r w:rsidR="002A465C" w:rsidRPr="00A32F1B">
        <w:rPr>
          <w:rStyle w:val="Znakapoznpodarou"/>
          <w:szCs w:val="24"/>
          <w:lang w:val="en-US"/>
        </w:rPr>
        <w:footnoteReference w:id="56"/>
      </w:r>
      <w:r w:rsidR="00390A1C" w:rsidRPr="00A32F1B">
        <w:rPr>
          <w:szCs w:val="24"/>
          <w:lang w:val="en-US"/>
        </w:rPr>
        <w:t xml:space="preserve"> </w:t>
      </w:r>
    </w:p>
    <w:p w14:paraId="6DE11259" w14:textId="4C19E11F" w:rsidR="00AA2F3E" w:rsidRPr="00A32F1B" w:rsidRDefault="0049495E" w:rsidP="00C32BA6">
      <w:pPr>
        <w:rPr>
          <w:szCs w:val="24"/>
          <w:lang w:val="en-US"/>
        </w:rPr>
      </w:pPr>
      <w:r w:rsidRPr="00A32F1B">
        <w:rPr>
          <w:szCs w:val="24"/>
          <w:lang w:val="en-US"/>
        </w:rPr>
        <w:t xml:space="preserve">As it was already mentioned, </w:t>
      </w:r>
      <w:r w:rsidR="00807072" w:rsidRPr="00A32F1B">
        <w:rPr>
          <w:szCs w:val="24"/>
          <w:lang w:val="en-US"/>
        </w:rPr>
        <w:t xml:space="preserve">Abraxas was an entity that appeared in the </w:t>
      </w:r>
      <w:r w:rsidR="00CE5FF8" w:rsidRPr="00A32F1B">
        <w:rPr>
          <w:szCs w:val="24"/>
          <w:lang w:val="en-US"/>
        </w:rPr>
        <w:t>research</w:t>
      </w:r>
      <w:r w:rsidR="00807072" w:rsidRPr="00A32F1B">
        <w:rPr>
          <w:szCs w:val="24"/>
          <w:lang w:val="en-US"/>
        </w:rPr>
        <w:t xml:space="preserve"> until the 20</w:t>
      </w:r>
      <w:r w:rsidR="00807072" w:rsidRPr="00A32F1B">
        <w:rPr>
          <w:szCs w:val="24"/>
          <w:vertAlign w:val="superscript"/>
          <w:lang w:val="en-US"/>
        </w:rPr>
        <w:t>th</w:t>
      </w:r>
      <w:r w:rsidR="00807072" w:rsidRPr="00A32F1B">
        <w:rPr>
          <w:szCs w:val="24"/>
          <w:lang w:val="en-US"/>
        </w:rPr>
        <w:t xml:space="preserve"> century mainly </w:t>
      </w:r>
      <w:r w:rsidRPr="00A32F1B">
        <w:rPr>
          <w:szCs w:val="24"/>
          <w:lang w:val="en-US"/>
        </w:rPr>
        <w:t>in</w:t>
      </w:r>
      <w:r w:rsidR="00807072" w:rsidRPr="00A32F1B">
        <w:rPr>
          <w:szCs w:val="24"/>
          <w:lang w:val="en-US"/>
        </w:rPr>
        <w:t xml:space="preserve"> religious </w:t>
      </w:r>
      <w:r w:rsidRPr="00A32F1B">
        <w:rPr>
          <w:szCs w:val="24"/>
          <w:lang w:val="en-US"/>
        </w:rPr>
        <w:t>context</w:t>
      </w:r>
      <w:r w:rsidR="00390E0D">
        <w:rPr>
          <w:szCs w:val="24"/>
          <w:lang w:val="en-US"/>
        </w:rPr>
        <w:t>,</w:t>
      </w:r>
      <w:r w:rsidR="00807072" w:rsidRPr="00A32F1B">
        <w:rPr>
          <w:szCs w:val="24"/>
          <w:lang w:val="en-US"/>
        </w:rPr>
        <w:t xml:space="preserve"> </w:t>
      </w:r>
      <w:r w:rsidR="00390E0D">
        <w:rPr>
          <w:szCs w:val="24"/>
          <w:lang w:val="en-US"/>
        </w:rPr>
        <w:t xml:space="preserve">and </w:t>
      </w:r>
      <w:r w:rsidR="00807072" w:rsidRPr="00A32F1B">
        <w:rPr>
          <w:szCs w:val="24"/>
          <w:lang w:val="en-US"/>
        </w:rPr>
        <w:t>from the 20</w:t>
      </w:r>
      <w:r w:rsidR="00807072" w:rsidRPr="00A32F1B">
        <w:rPr>
          <w:szCs w:val="24"/>
          <w:vertAlign w:val="superscript"/>
          <w:lang w:val="en-US"/>
        </w:rPr>
        <w:t>th</w:t>
      </w:r>
      <w:r w:rsidR="00807072" w:rsidRPr="00A32F1B">
        <w:rPr>
          <w:szCs w:val="24"/>
          <w:lang w:val="en-US"/>
        </w:rPr>
        <w:t xml:space="preserve"> century </w:t>
      </w:r>
      <w:r w:rsidR="00390E0D">
        <w:rPr>
          <w:szCs w:val="24"/>
          <w:lang w:val="en-US"/>
        </w:rPr>
        <w:t xml:space="preserve">onward </w:t>
      </w:r>
      <w:r w:rsidR="00807072" w:rsidRPr="00A32F1B">
        <w:rPr>
          <w:szCs w:val="24"/>
          <w:lang w:val="en-US"/>
        </w:rPr>
        <w:t xml:space="preserve">primarily </w:t>
      </w:r>
      <w:r w:rsidRPr="00A32F1B">
        <w:rPr>
          <w:szCs w:val="24"/>
          <w:lang w:val="en-US"/>
        </w:rPr>
        <w:t>in the context of magical practices</w:t>
      </w:r>
      <w:r w:rsidR="006E0EF5" w:rsidRPr="00A32F1B">
        <w:rPr>
          <w:szCs w:val="24"/>
          <w:lang w:val="en-US"/>
        </w:rPr>
        <w:t xml:space="preserve">. </w:t>
      </w:r>
      <w:r w:rsidRPr="00A32F1B">
        <w:rPr>
          <w:szCs w:val="24"/>
          <w:lang w:val="en-US"/>
        </w:rPr>
        <w:t>Exceptions</w:t>
      </w:r>
      <w:r w:rsidR="006E0EF5" w:rsidRPr="00A32F1B">
        <w:rPr>
          <w:szCs w:val="24"/>
          <w:lang w:val="en-US"/>
        </w:rPr>
        <w:t xml:space="preserve"> to these premises</w:t>
      </w:r>
      <w:r w:rsidRPr="00A32F1B">
        <w:rPr>
          <w:szCs w:val="24"/>
          <w:lang w:val="en-US"/>
        </w:rPr>
        <w:t xml:space="preserve"> were </w:t>
      </w:r>
      <w:r w:rsidR="006E0EF5" w:rsidRPr="00A32F1B">
        <w:rPr>
          <w:szCs w:val="24"/>
          <w:lang w:val="en-US"/>
        </w:rPr>
        <w:t>the writings by Carl Gustav Jung (1875-1961) and Hermann Hesse (1877-1962), written at the beginning of the 20</w:t>
      </w:r>
      <w:r w:rsidR="006E0EF5" w:rsidRPr="00A32F1B">
        <w:rPr>
          <w:szCs w:val="24"/>
          <w:vertAlign w:val="superscript"/>
          <w:lang w:val="en-US"/>
        </w:rPr>
        <w:t>th</w:t>
      </w:r>
      <w:r w:rsidR="006E0EF5" w:rsidRPr="00A32F1B">
        <w:rPr>
          <w:szCs w:val="24"/>
          <w:lang w:val="en-US"/>
        </w:rPr>
        <w:t xml:space="preserve"> century, </w:t>
      </w:r>
      <w:r w:rsidRPr="00A32F1B">
        <w:rPr>
          <w:szCs w:val="24"/>
          <w:lang w:val="en-US"/>
        </w:rPr>
        <w:t xml:space="preserve">which </w:t>
      </w:r>
      <w:r w:rsidR="006E0EF5" w:rsidRPr="00A32F1B">
        <w:rPr>
          <w:szCs w:val="24"/>
          <w:lang w:val="en-US"/>
        </w:rPr>
        <w:t xml:space="preserve">drew from the former, </w:t>
      </w:r>
      <w:r w:rsidR="00390E0D">
        <w:rPr>
          <w:szCs w:val="24"/>
          <w:lang w:val="en-US"/>
        </w:rPr>
        <w:t xml:space="preserve">standing </w:t>
      </w:r>
      <w:r w:rsidR="006E0EF5" w:rsidRPr="00A32F1B">
        <w:rPr>
          <w:szCs w:val="24"/>
          <w:lang w:val="en-US"/>
        </w:rPr>
        <w:t xml:space="preserve">on the verge of religion and mysticism. In the 1910s Jung started to record </w:t>
      </w:r>
      <w:r w:rsidR="00A60A7C" w:rsidRPr="00A32F1B">
        <w:rPr>
          <w:szCs w:val="24"/>
          <w:lang w:val="en-US"/>
        </w:rPr>
        <w:t>his dreams and visions and later</w:t>
      </w:r>
      <w:r w:rsidR="00C254D1" w:rsidRPr="00A32F1B">
        <w:rPr>
          <w:szCs w:val="24"/>
          <w:lang w:val="en-US"/>
        </w:rPr>
        <w:t xml:space="preserve"> partially</w:t>
      </w:r>
      <w:r w:rsidR="00A60A7C" w:rsidRPr="00A32F1B">
        <w:rPr>
          <w:szCs w:val="24"/>
          <w:lang w:val="en-US"/>
        </w:rPr>
        <w:t xml:space="preserve"> compiled them into manuscript known as </w:t>
      </w:r>
      <w:r w:rsidR="00A60A7C" w:rsidRPr="00A32F1B">
        <w:rPr>
          <w:i/>
          <w:iCs/>
          <w:szCs w:val="24"/>
          <w:lang w:val="en-US"/>
        </w:rPr>
        <w:t>The Red Book</w:t>
      </w:r>
      <w:r w:rsidR="00A60A7C" w:rsidRPr="00A32F1B">
        <w:rPr>
          <w:szCs w:val="24"/>
          <w:lang w:val="en-US"/>
        </w:rPr>
        <w:t xml:space="preserve"> (or also </w:t>
      </w:r>
      <w:r w:rsidR="00A60A7C" w:rsidRPr="00A32F1B">
        <w:rPr>
          <w:i/>
          <w:iCs/>
          <w:szCs w:val="24"/>
          <w:lang w:val="en-US"/>
        </w:rPr>
        <w:t>Liber Novus</w:t>
      </w:r>
      <w:r w:rsidR="00A60A7C" w:rsidRPr="00A32F1B">
        <w:rPr>
          <w:szCs w:val="24"/>
          <w:lang w:val="en-US"/>
        </w:rPr>
        <w:t xml:space="preserve">) which was in its entirety published only in 2009 by Sonu Shamdasani with detailed analysis and translation to English. Only one part of </w:t>
      </w:r>
      <w:r w:rsidR="00A60A7C" w:rsidRPr="00A32F1B">
        <w:rPr>
          <w:i/>
          <w:iCs/>
          <w:szCs w:val="24"/>
          <w:lang w:val="en-US"/>
        </w:rPr>
        <w:t>The Red Book</w:t>
      </w:r>
      <w:r w:rsidR="00A60A7C" w:rsidRPr="00A32F1B">
        <w:rPr>
          <w:szCs w:val="24"/>
          <w:lang w:val="en-US"/>
        </w:rPr>
        <w:t xml:space="preserve"> was to a</w:t>
      </w:r>
      <w:r w:rsidR="00326586">
        <w:rPr>
          <w:szCs w:val="24"/>
          <w:lang w:val="en-US"/>
        </w:rPr>
        <w:t> </w:t>
      </w:r>
      <w:r w:rsidR="00A60A7C" w:rsidRPr="00A32F1B">
        <w:rPr>
          <w:szCs w:val="24"/>
          <w:lang w:val="en-US"/>
        </w:rPr>
        <w:t xml:space="preserve">certain extent known </w:t>
      </w:r>
      <w:r w:rsidRPr="00A32F1B">
        <w:rPr>
          <w:szCs w:val="24"/>
          <w:lang w:val="en-US"/>
        </w:rPr>
        <w:t>to</w:t>
      </w:r>
      <w:r w:rsidR="00A60A7C" w:rsidRPr="00A32F1B">
        <w:rPr>
          <w:szCs w:val="24"/>
          <w:lang w:val="en-US"/>
        </w:rPr>
        <w:t xml:space="preserve"> public – </w:t>
      </w:r>
      <w:r w:rsidR="00A60A7C" w:rsidRPr="00A32F1B">
        <w:rPr>
          <w:i/>
          <w:iCs/>
          <w:szCs w:val="24"/>
          <w:lang w:val="en-US"/>
        </w:rPr>
        <w:t xml:space="preserve">Seven Sermons to the Dead </w:t>
      </w:r>
      <w:r w:rsidR="00A60A7C" w:rsidRPr="00A32F1B">
        <w:rPr>
          <w:szCs w:val="24"/>
          <w:lang w:val="en-US"/>
        </w:rPr>
        <w:t>(</w:t>
      </w:r>
      <w:r w:rsidR="00A60A7C" w:rsidRPr="00A32F1B">
        <w:rPr>
          <w:i/>
          <w:iCs/>
          <w:szCs w:val="24"/>
          <w:lang w:val="en-US"/>
        </w:rPr>
        <w:t>Septem Sermones ad Mortuos</w:t>
      </w:r>
      <w:r w:rsidR="00A60A7C" w:rsidRPr="00A32F1B">
        <w:rPr>
          <w:szCs w:val="24"/>
          <w:lang w:val="en-US"/>
        </w:rPr>
        <w:t xml:space="preserve">) was privately published by Jung in 1916 and distributed among </w:t>
      </w:r>
      <w:r w:rsidR="00C254D1" w:rsidRPr="00A32F1B">
        <w:rPr>
          <w:szCs w:val="24"/>
          <w:lang w:val="en-US"/>
        </w:rPr>
        <w:t>the chosen ones, close family members, friends, and colleagues</w:t>
      </w:r>
      <w:r w:rsidR="00A60A7C" w:rsidRPr="00A32F1B">
        <w:rPr>
          <w:szCs w:val="24"/>
          <w:lang w:val="en-US"/>
        </w:rPr>
        <w:t>.</w:t>
      </w:r>
      <w:r w:rsidR="00C254D1" w:rsidRPr="00A32F1B">
        <w:rPr>
          <w:rStyle w:val="Znakapoznpodarou"/>
          <w:szCs w:val="24"/>
          <w:lang w:val="en-US"/>
        </w:rPr>
        <w:footnoteReference w:id="57"/>
      </w:r>
      <w:r w:rsidR="00A60A7C" w:rsidRPr="00A32F1B">
        <w:rPr>
          <w:szCs w:val="24"/>
          <w:lang w:val="en-US"/>
        </w:rPr>
        <w:t xml:space="preserve"> </w:t>
      </w:r>
      <w:r w:rsidR="00A60A7C" w:rsidRPr="00A32F1B">
        <w:rPr>
          <w:i/>
          <w:iCs/>
          <w:szCs w:val="24"/>
          <w:lang w:val="en-US"/>
        </w:rPr>
        <w:t xml:space="preserve">Seven Sermons </w:t>
      </w:r>
      <w:r w:rsidR="00A60A7C" w:rsidRPr="00A32F1B">
        <w:rPr>
          <w:szCs w:val="24"/>
          <w:lang w:val="en-US"/>
        </w:rPr>
        <w:t xml:space="preserve">were inspired by Gnosticism as Jung studied it in preparation for his psychoanalytical studies of libido; the </w:t>
      </w:r>
      <w:r w:rsidR="00997C82" w:rsidRPr="00A32F1B">
        <w:rPr>
          <w:szCs w:val="24"/>
          <w:lang w:val="en-US"/>
        </w:rPr>
        <w:t xml:space="preserve">text directly refers to Abraxas as the </w:t>
      </w:r>
      <w:r w:rsidRPr="00A32F1B">
        <w:rPr>
          <w:szCs w:val="24"/>
          <w:lang w:val="en-US"/>
        </w:rPr>
        <w:t xml:space="preserve">Gnostic </w:t>
      </w:r>
      <w:r w:rsidR="00997C82" w:rsidRPr="00A32F1B">
        <w:rPr>
          <w:szCs w:val="24"/>
          <w:lang w:val="en-US"/>
        </w:rPr>
        <w:t>supreme deity and assigns him the qualities of both good and evil</w:t>
      </w:r>
      <w:r w:rsidR="00390E0D">
        <w:rPr>
          <w:szCs w:val="24"/>
          <w:lang w:val="en-US"/>
        </w:rPr>
        <w:t xml:space="preserve"> (</w:t>
      </w:r>
      <w:r w:rsidR="007D324A" w:rsidRPr="00A32F1B">
        <w:rPr>
          <w:szCs w:val="24"/>
          <w:lang w:val="en-US"/>
        </w:rPr>
        <w:t>symbolic unity of God and Satan</w:t>
      </w:r>
      <w:r w:rsidR="00390E0D">
        <w:rPr>
          <w:szCs w:val="24"/>
          <w:lang w:val="en-US"/>
        </w:rPr>
        <w:t>)</w:t>
      </w:r>
      <w:r w:rsidR="007D324A" w:rsidRPr="00A32F1B">
        <w:rPr>
          <w:szCs w:val="24"/>
          <w:lang w:val="en-US"/>
        </w:rPr>
        <w:t>. Jung’s perception</w:t>
      </w:r>
      <w:r w:rsidR="001435F8" w:rsidRPr="00A32F1B">
        <w:rPr>
          <w:szCs w:val="24"/>
          <w:lang w:val="en-US"/>
        </w:rPr>
        <w:t xml:space="preserve"> </w:t>
      </w:r>
      <w:r w:rsidR="007D324A" w:rsidRPr="00A32F1B">
        <w:rPr>
          <w:szCs w:val="24"/>
          <w:lang w:val="en-US"/>
        </w:rPr>
        <w:t xml:space="preserve">of Abraxas </w:t>
      </w:r>
      <w:r w:rsidR="002B4A91" w:rsidRPr="00A32F1B">
        <w:rPr>
          <w:szCs w:val="24"/>
          <w:lang w:val="en-US"/>
        </w:rPr>
        <w:t>wa</w:t>
      </w:r>
      <w:r w:rsidR="007D324A" w:rsidRPr="00A32F1B">
        <w:rPr>
          <w:szCs w:val="24"/>
          <w:lang w:val="en-US"/>
        </w:rPr>
        <w:t>s based on Abraxas as a</w:t>
      </w:r>
      <w:r w:rsidR="002D1FE3" w:rsidRPr="00A32F1B">
        <w:rPr>
          <w:szCs w:val="24"/>
          <w:lang w:val="en-US"/>
        </w:rPr>
        <w:t> </w:t>
      </w:r>
      <w:r w:rsidR="007D324A" w:rsidRPr="00A32F1B">
        <w:rPr>
          <w:szCs w:val="24"/>
          <w:lang w:val="en-US"/>
        </w:rPr>
        <w:t xml:space="preserve">symbol of Gnosticism and on the earlier works by Albrecht </w:t>
      </w:r>
      <w:r w:rsidR="007D324A" w:rsidRPr="00A32F1B">
        <w:rPr>
          <w:szCs w:val="24"/>
          <w:lang w:val="en-US"/>
        </w:rPr>
        <w:lastRenderedPageBreak/>
        <w:t>Diet</w:t>
      </w:r>
      <w:r w:rsidR="00DF2D87" w:rsidRPr="00A32F1B">
        <w:rPr>
          <w:szCs w:val="24"/>
          <w:lang w:val="en-US"/>
        </w:rPr>
        <w:t>e</w:t>
      </w:r>
      <w:r w:rsidR="007D324A" w:rsidRPr="00A32F1B">
        <w:rPr>
          <w:szCs w:val="24"/>
          <w:lang w:val="en-US"/>
        </w:rPr>
        <w:t>ric</w:t>
      </w:r>
      <w:r w:rsidR="00DF2D87" w:rsidRPr="00A32F1B">
        <w:rPr>
          <w:szCs w:val="24"/>
          <w:lang w:val="en-US"/>
        </w:rPr>
        <w:t>h (1866-1908)</w:t>
      </w:r>
      <w:r w:rsidR="00DF2D87" w:rsidRPr="00A32F1B">
        <w:rPr>
          <w:rStyle w:val="Znakapoznpodarou"/>
          <w:szCs w:val="24"/>
          <w:lang w:val="en-US"/>
        </w:rPr>
        <w:footnoteReference w:id="58"/>
      </w:r>
      <w:r w:rsidR="007D324A" w:rsidRPr="00A32F1B">
        <w:rPr>
          <w:szCs w:val="24"/>
          <w:lang w:val="en-US"/>
        </w:rPr>
        <w:t xml:space="preserve">, </w:t>
      </w:r>
      <w:r w:rsidR="00390E0D">
        <w:rPr>
          <w:szCs w:val="24"/>
          <w:lang w:val="en-US"/>
        </w:rPr>
        <w:t>that</w:t>
      </w:r>
      <w:r w:rsidR="007D324A" w:rsidRPr="00A32F1B">
        <w:rPr>
          <w:szCs w:val="24"/>
          <w:lang w:val="en-US"/>
        </w:rPr>
        <w:t xml:space="preserve"> </w:t>
      </w:r>
      <w:r w:rsidR="00390E0D">
        <w:rPr>
          <w:szCs w:val="24"/>
          <w:lang w:val="en-US"/>
        </w:rPr>
        <w:t>focused on the</w:t>
      </w:r>
      <w:r w:rsidR="007D324A" w:rsidRPr="00A32F1B">
        <w:rPr>
          <w:szCs w:val="24"/>
          <w:lang w:val="en-US"/>
        </w:rPr>
        <w:t xml:space="preserve"> </w:t>
      </w:r>
      <w:r w:rsidR="00556113" w:rsidRPr="00A32F1B">
        <w:rPr>
          <w:szCs w:val="24"/>
          <w:lang w:val="en-US"/>
        </w:rPr>
        <w:t>Greek religion and</w:t>
      </w:r>
      <w:r w:rsidR="00046D6B" w:rsidRPr="00A32F1B">
        <w:rPr>
          <w:szCs w:val="24"/>
          <w:lang w:val="en-US"/>
        </w:rPr>
        <w:t xml:space="preserve"> Greek</w:t>
      </w:r>
      <w:r w:rsidR="00556113" w:rsidRPr="00A32F1B">
        <w:rPr>
          <w:szCs w:val="24"/>
          <w:lang w:val="en-US"/>
        </w:rPr>
        <w:t xml:space="preserve"> magical </w:t>
      </w:r>
      <w:r w:rsidR="007D324A" w:rsidRPr="00A32F1B">
        <w:rPr>
          <w:szCs w:val="24"/>
          <w:lang w:val="en-US"/>
        </w:rPr>
        <w:t>papyr</w:t>
      </w:r>
      <w:r w:rsidR="00556113" w:rsidRPr="00A32F1B">
        <w:rPr>
          <w:szCs w:val="24"/>
          <w:lang w:val="en-US"/>
        </w:rPr>
        <w:t>i</w:t>
      </w:r>
      <w:r w:rsidR="007D324A" w:rsidRPr="00A32F1B">
        <w:rPr>
          <w:szCs w:val="24"/>
          <w:lang w:val="en-US"/>
        </w:rPr>
        <w:t xml:space="preserve"> and Ch. W. King</w:t>
      </w:r>
      <w:r w:rsidR="00DF2D87" w:rsidRPr="00A32F1B">
        <w:rPr>
          <w:rStyle w:val="Znakapoznpodarou"/>
          <w:szCs w:val="24"/>
          <w:lang w:val="en-US"/>
        </w:rPr>
        <w:footnoteReference w:id="59"/>
      </w:r>
      <w:r w:rsidR="007D324A" w:rsidRPr="00A32F1B">
        <w:rPr>
          <w:szCs w:val="24"/>
          <w:lang w:val="en-US"/>
        </w:rPr>
        <w:t xml:space="preserve">, who </w:t>
      </w:r>
      <w:r w:rsidR="00A420EC" w:rsidRPr="00A32F1B">
        <w:rPr>
          <w:szCs w:val="24"/>
          <w:lang w:val="en-US"/>
        </w:rPr>
        <w:t>studied the magical amulets as relics of Gnosticism</w:t>
      </w:r>
      <w:r w:rsidR="001435F8" w:rsidRPr="00A32F1B">
        <w:rPr>
          <w:szCs w:val="24"/>
          <w:lang w:val="en-US"/>
        </w:rPr>
        <w:t>.</w:t>
      </w:r>
      <w:r w:rsidR="000365D1" w:rsidRPr="00A32F1B">
        <w:rPr>
          <w:rStyle w:val="Znakapoznpodarou"/>
          <w:szCs w:val="24"/>
          <w:lang w:val="en-US"/>
        </w:rPr>
        <w:footnoteReference w:id="60"/>
      </w:r>
      <w:r w:rsidR="001435F8" w:rsidRPr="00A32F1B">
        <w:rPr>
          <w:szCs w:val="24"/>
          <w:lang w:val="en-US"/>
        </w:rPr>
        <w:t xml:space="preserve"> Jung created a separate narrative</w:t>
      </w:r>
      <w:r w:rsidR="002B4A91" w:rsidRPr="00A32F1B">
        <w:rPr>
          <w:szCs w:val="24"/>
          <w:lang w:val="en-US"/>
        </w:rPr>
        <w:t xml:space="preserve"> founded on previous scholarship of Gnosticism and the discussion of his consciousness and unconsciousness. Interpretation of Hermann Hesse’s </w:t>
      </w:r>
      <w:r w:rsidR="00370EFA" w:rsidRPr="00A32F1B">
        <w:rPr>
          <w:szCs w:val="24"/>
          <w:lang w:val="en-US"/>
        </w:rPr>
        <w:t xml:space="preserve">literary </w:t>
      </w:r>
      <w:r w:rsidR="002B4A91" w:rsidRPr="00A32F1B">
        <w:rPr>
          <w:szCs w:val="24"/>
          <w:lang w:val="en-US"/>
        </w:rPr>
        <w:t>universe is seemingly not possible without recognizing the influence of Jung</w:t>
      </w:r>
      <w:r w:rsidR="006B10F6" w:rsidRPr="00A32F1B">
        <w:rPr>
          <w:szCs w:val="24"/>
          <w:lang w:val="en-US"/>
        </w:rPr>
        <w:t xml:space="preserve"> and </w:t>
      </w:r>
      <w:r w:rsidR="002B4A91" w:rsidRPr="00A32F1B">
        <w:rPr>
          <w:szCs w:val="24"/>
          <w:lang w:val="en-US"/>
        </w:rPr>
        <w:t>his psychological theories</w:t>
      </w:r>
      <w:r w:rsidR="006B10F6" w:rsidRPr="00A32F1B">
        <w:rPr>
          <w:szCs w:val="24"/>
          <w:lang w:val="en-US"/>
        </w:rPr>
        <w:t xml:space="preserve">, particularly Jung’s archetypes were of Hesse’s interest. Hesse’s novel </w:t>
      </w:r>
      <w:r w:rsidR="006B10F6" w:rsidRPr="00A32F1B">
        <w:rPr>
          <w:i/>
          <w:iCs/>
          <w:szCs w:val="24"/>
          <w:lang w:val="en-US"/>
        </w:rPr>
        <w:t xml:space="preserve">Demian </w:t>
      </w:r>
      <w:r w:rsidR="006B10F6" w:rsidRPr="00A32F1B">
        <w:rPr>
          <w:szCs w:val="24"/>
          <w:lang w:val="en-US"/>
        </w:rPr>
        <w:t xml:space="preserve">is often analyzed on the basis of Jung’s archetypes and symbols from his earlier writings; it is assumed that Hesse had the access to Jung’s </w:t>
      </w:r>
      <w:r w:rsidR="006B10F6" w:rsidRPr="00A32F1B">
        <w:rPr>
          <w:i/>
          <w:iCs/>
          <w:szCs w:val="24"/>
          <w:lang w:val="en-US"/>
        </w:rPr>
        <w:t>Seven Sermons</w:t>
      </w:r>
      <w:r w:rsidR="006B10F6" w:rsidRPr="00A32F1B">
        <w:rPr>
          <w:szCs w:val="24"/>
          <w:lang w:val="en-US"/>
        </w:rPr>
        <w:t xml:space="preserve"> as Hesse participated in the psychoanalytical treatment in the care of Dr. J. B. Lang, one of Jung’s </w:t>
      </w:r>
      <w:r w:rsidR="00370EFA" w:rsidRPr="00A32F1B">
        <w:rPr>
          <w:szCs w:val="24"/>
          <w:lang w:val="en-US"/>
        </w:rPr>
        <w:t>colleagues</w:t>
      </w:r>
      <w:r w:rsidR="006B10F6" w:rsidRPr="00A32F1B">
        <w:rPr>
          <w:szCs w:val="24"/>
          <w:lang w:val="en-US"/>
        </w:rPr>
        <w:t xml:space="preserve">, in </w:t>
      </w:r>
      <w:r w:rsidR="0055297F" w:rsidRPr="00A32F1B">
        <w:rPr>
          <w:szCs w:val="24"/>
          <w:lang w:val="en-US"/>
        </w:rPr>
        <w:t>1916,</w:t>
      </w:r>
      <w:r w:rsidR="006B10F6" w:rsidRPr="00A32F1B">
        <w:rPr>
          <w:szCs w:val="24"/>
          <w:lang w:val="en-US"/>
        </w:rPr>
        <w:t xml:space="preserve"> and afterward came </w:t>
      </w:r>
      <w:r w:rsidR="004B68FD" w:rsidRPr="00A32F1B">
        <w:rPr>
          <w:szCs w:val="24"/>
          <w:lang w:val="en-US"/>
        </w:rPr>
        <w:t>in</w:t>
      </w:r>
      <w:r w:rsidR="006B10F6" w:rsidRPr="00A32F1B">
        <w:rPr>
          <w:szCs w:val="24"/>
          <w:lang w:val="en-US"/>
        </w:rPr>
        <w:t xml:space="preserve"> contact with Jung himself </w:t>
      </w:r>
      <w:r w:rsidR="0055297F" w:rsidRPr="00A32F1B">
        <w:rPr>
          <w:szCs w:val="24"/>
          <w:lang w:val="en-US"/>
        </w:rPr>
        <w:t>in 1917.</w:t>
      </w:r>
      <w:r w:rsidR="003A6E36" w:rsidRPr="00A32F1B">
        <w:rPr>
          <w:rStyle w:val="Znakapoznpodarou"/>
          <w:szCs w:val="24"/>
          <w:lang w:val="en-US"/>
        </w:rPr>
        <w:footnoteReference w:id="61"/>
      </w:r>
      <w:r w:rsidR="006B10F6" w:rsidRPr="00A32F1B">
        <w:rPr>
          <w:szCs w:val="24"/>
          <w:lang w:val="en-US"/>
        </w:rPr>
        <w:t xml:space="preserve"> </w:t>
      </w:r>
      <w:r w:rsidR="006B10F6" w:rsidRPr="00A32F1B">
        <w:rPr>
          <w:i/>
          <w:iCs/>
          <w:szCs w:val="24"/>
          <w:lang w:val="en-US"/>
        </w:rPr>
        <w:t>Demian</w:t>
      </w:r>
      <w:r w:rsidR="006B10F6" w:rsidRPr="00A32F1B">
        <w:rPr>
          <w:szCs w:val="24"/>
          <w:lang w:val="en-US"/>
        </w:rPr>
        <w:t xml:space="preserve"> was </w:t>
      </w:r>
      <w:r w:rsidR="0055297F" w:rsidRPr="00A32F1B">
        <w:rPr>
          <w:szCs w:val="24"/>
          <w:lang w:val="en-US"/>
        </w:rPr>
        <w:t xml:space="preserve">written in 1917 and </w:t>
      </w:r>
      <w:r w:rsidR="006B10F6" w:rsidRPr="00A32F1B">
        <w:rPr>
          <w:szCs w:val="24"/>
          <w:lang w:val="en-US"/>
        </w:rPr>
        <w:t>published in 191</w:t>
      </w:r>
      <w:r w:rsidR="0055297F" w:rsidRPr="00A32F1B">
        <w:rPr>
          <w:szCs w:val="24"/>
          <w:lang w:val="en-US"/>
        </w:rPr>
        <w:t xml:space="preserve">9, which </w:t>
      </w:r>
      <w:r w:rsidR="00B5402C">
        <w:rPr>
          <w:szCs w:val="24"/>
          <w:lang w:val="en-US"/>
        </w:rPr>
        <w:t>enables</w:t>
      </w:r>
      <w:r w:rsidR="0055297F" w:rsidRPr="00A32F1B">
        <w:rPr>
          <w:szCs w:val="24"/>
          <w:lang w:val="en-US"/>
        </w:rPr>
        <w:t xml:space="preserve"> the assumption that Hesse’s writing was directly influenced by Jung’s, by then not published, ideas.</w:t>
      </w:r>
      <w:r w:rsidR="006636BF" w:rsidRPr="00A32F1B">
        <w:rPr>
          <w:szCs w:val="24"/>
          <w:lang w:val="en-US"/>
        </w:rPr>
        <w:t xml:space="preserve"> </w:t>
      </w:r>
      <w:r w:rsidR="004B68FD" w:rsidRPr="00A32F1B">
        <w:rPr>
          <w:szCs w:val="24"/>
          <w:lang w:val="en-US"/>
        </w:rPr>
        <w:t xml:space="preserve">Influential and till today often highlighted quotation from </w:t>
      </w:r>
      <w:r w:rsidR="004B68FD" w:rsidRPr="00A32F1B">
        <w:rPr>
          <w:i/>
          <w:iCs/>
          <w:szCs w:val="24"/>
          <w:lang w:val="en-US"/>
        </w:rPr>
        <w:t>Demian</w:t>
      </w:r>
      <w:r w:rsidR="004B68FD" w:rsidRPr="00A32F1B">
        <w:rPr>
          <w:szCs w:val="24"/>
          <w:lang w:val="en-US"/>
        </w:rPr>
        <w:t xml:space="preserve"> is: </w:t>
      </w:r>
      <w:r w:rsidR="006636BF" w:rsidRPr="00A32F1B">
        <w:rPr>
          <w:i/>
          <w:iCs/>
          <w:szCs w:val="24"/>
          <w:lang w:val="en-US"/>
        </w:rPr>
        <w:t xml:space="preserve">“The bird fights its way out of the egg. The egg is the world. Who would be born must first destroy a </w:t>
      </w:r>
      <w:proofErr w:type="gramStart"/>
      <w:r w:rsidR="006636BF" w:rsidRPr="00A32F1B">
        <w:rPr>
          <w:i/>
          <w:iCs/>
          <w:szCs w:val="24"/>
          <w:lang w:val="en-US"/>
        </w:rPr>
        <w:t>world.</w:t>
      </w:r>
      <w:proofErr w:type="gramEnd"/>
      <w:r w:rsidR="006636BF" w:rsidRPr="00A32F1B">
        <w:rPr>
          <w:i/>
          <w:iCs/>
          <w:szCs w:val="24"/>
          <w:lang w:val="en-US"/>
        </w:rPr>
        <w:t xml:space="preserve"> The bird flies to God. The God’s name is Abraxas.”</w:t>
      </w:r>
      <w:r w:rsidR="006636BF" w:rsidRPr="00A32F1B">
        <w:rPr>
          <w:rStyle w:val="Znakapoznpodarou"/>
          <w:szCs w:val="24"/>
          <w:lang w:val="en-US"/>
        </w:rPr>
        <w:footnoteReference w:id="62"/>
      </w:r>
      <w:r w:rsidR="006636BF" w:rsidRPr="00A32F1B">
        <w:rPr>
          <w:szCs w:val="24"/>
          <w:lang w:val="en-US"/>
        </w:rPr>
        <w:t xml:space="preserve"> Hesse saw Abraxas </w:t>
      </w:r>
      <w:r w:rsidR="00466CA6" w:rsidRPr="00A32F1B">
        <w:rPr>
          <w:szCs w:val="24"/>
          <w:lang w:val="en-US"/>
        </w:rPr>
        <w:t xml:space="preserve">as an all-mighty deity which in </w:t>
      </w:r>
      <w:r w:rsidR="00CA3855" w:rsidRPr="00A32F1B">
        <w:rPr>
          <w:szCs w:val="24"/>
          <w:lang w:val="en-US"/>
        </w:rPr>
        <w:t>him</w:t>
      </w:r>
      <w:r w:rsidR="00466CA6" w:rsidRPr="00A32F1B">
        <w:rPr>
          <w:szCs w:val="24"/>
          <w:lang w:val="en-US"/>
        </w:rPr>
        <w:t xml:space="preserve">self is connection of the good and the evil which serves as </w:t>
      </w:r>
      <w:r w:rsidR="00CA3855" w:rsidRPr="00A32F1B">
        <w:rPr>
          <w:szCs w:val="24"/>
          <w:lang w:val="en-US"/>
        </w:rPr>
        <w:t>illustration of two absolutes</w:t>
      </w:r>
      <w:r w:rsidR="00CA3855" w:rsidRPr="00A32F1B">
        <w:rPr>
          <w:rStyle w:val="Znakapoznpodarou"/>
          <w:szCs w:val="24"/>
          <w:lang w:val="en-US"/>
        </w:rPr>
        <w:footnoteReference w:id="63"/>
      </w:r>
      <w:r w:rsidR="00B5402C">
        <w:rPr>
          <w:szCs w:val="24"/>
          <w:lang w:val="en-US"/>
        </w:rPr>
        <w:t xml:space="preserve">, </w:t>
      </w:r>
      <w:r w:rsidR="00466CA6" w:rsidRPr="00A32F1B">
        <w:rPr>
          <w:szCs w:val="24"/>
          <w:lang w:val="en-US"/>
        </w:rPr>
        <w:t>a</w:t>
      </w:r>
      <w:r w:rsidR="002D1FE3" w:rsidRPr="00A32F1B">
        <w:rPr>
          <w:szCs w:val="24"/>
          <w:lang w:val="en-US"/>
        </w:rPr>
        <w:t> </w:t>
      </w:r>
      <w:r w:rsidR="00466CA6" w:rsidRPr="00A32F1B">
        <w:rPr>
          <w:szCs w:val="24"/>
          <w:lang w:val="en-US"/>
        </w:rPr>
        <w:t xml:space="preserve">reconciliation of agitated </w:t>
      </w:r>
      <w:r w:rsidR="00FF233D" w:rsidRPr="00A32F1B">
        <w:rPr>
          <w:szCs w:val="24"/>
          <w:lang w:val="en-US"/>
        </w:rPr>
        <w:t>thought and vision of the young protagonist of the novel.</w:t>
      </w:r>
    </w:p>
    <w:p w14:paraId="19ABAFCB" w14:textId="418A8E24" w:rsidR="00366F6C" w:rsidRPr="00A32F1B" w:rsidRDefault="00366F6C" w:rsidP="00C32BA6">
      <w:pPr>
        <w:rPr>
          <w:lang w:val="en-US"/>
        </w:rPr>
      </w:pPr>
      <w:r w:rsidRPr="00A32F1B">
        <w:rPr>
          <w:lang w:val="en-US"/>
        </w:rPr>
        <w:t>Although Jung and Hesse created the literary momentum for the character Abraxas, they were not the pioneers of such endeavor in the field of philosophical literature. The name, formed as “Abraxa”</w:t>
      </w:r>
      <w:r w:rsidR="000B57DE" w:rsidRPr="00A32F1B">
        <w:rPr>
          <w:lang w:val="en-US"/>
        </w:rPr>
        <w:t>,</w:t>
      </w:r>
      <w:r w:rsidRPr="00A32F1B">
        <w:rPr>
          <w:lang w:val="en-US"/>
        </w:rPr>
        <w:t xml:space="preserve"> deemed to be an allusion to Abraxas, was chosen by </w:t>
      </w:r>
      <w:r w:rsidR="000B57DE" w:rsidRPr="00A32F1B">
        <w:rPr>
          <w:lang w:val="en-US"/>
        </w:rPr>
        <w:t>the</w:t>
      </w:r>
      <w:r w:rsidRPr="00A32F1B">
        <w:rPr>
          <w:lang w:val="en-US"/>
        </w:rPr>
        <w:t xml:space="preserve"> humanist Thomas More (1478-1535) as a former name of an island which became the iconic locus of Utopia.</w:t>
      </w:r>
      <w:r w:rsidRPr="00A32F1B">
        <w:rPr>
          <w:rStyle w:val="Znakapoznpodarou"/>
          <w:lang w:val="en-US"/>
        </w:rPr>
        <w:footnoteReference w:id="64"/>
      </w:r>
      <w:r w:rsidRPr="00A32F1B">
        <w:rPr>
          <w:lang w:val="en-US"/>
        </w:rPr>
        <w:t xml:space="preserve"> In his utopic fiction More employed several motives </w:t>
      </w:r>
      <w:r w:rsidRPr="00A32F1B">
        <w:rPr>
          <w:lang w:val="en-US"/>
        </w:rPr>
        <w:lastRenderedPageBreak/>
        <w:t xml:space="preserve">from the antiquity, most prominent of them the entity known as Mithras who </w:t>
      </w:r>
      <w:r w:rsidR="00B5402C">
        <w:rPr>
          <w:lang w:val="en-US"/>
        </w:rPr>
        <w:t>appeared</w:t>
      </w:r>
      <w:r w:rsidRPr="00A32F1B">
        <w:rPr>
          <w:lang w:val="en-US"/>
        </w:rPr>
        <w:t xml:space="preserve"> in More’s fiction as “Mithra”, the supreme god of Utopians, taken from the ancient Roman cult of Mithras which was primarily inspired by previous Persian cult of identi</w:t>
      </w:r>
      <w:r w:rsidR="00B5402C">
        <w:rPr>
          <w:lang w:val="en-US"/>
        </w:rPr>
        <w:t xml:space="preserve">c </w:t>
      </w:r>
      <w:r w:rsidRPr="00A32F1B">
        <w:rPr>
          <w:lang w:val="en-US"/>
        </w:rPr>
        <w:t>name.</w:t>
      </w:r>
      <w:r w:rsidRPr="00A32F1B">
        <w:rPr>
          <w:rStyle w:val="Znakapoznpodarou"/>
          <w:lang w:val="en-US"/>
        </w:rPr>
        <w:footnoteReference w:id="65"/>
      </w:r>
      <w:r w:rsidRPr="00A32F1B">
        <w:rPr>
          <w:lang w:val="en-US"/>
        </w:rPr>
        <w:t xml:space="preserve"> The humanist society was fascinated by the ancient religions and their relics as it was apparent in previous part discussing the amulet research of antiquarians. Both characters Abraxas and Mithras were of humanists’ interest and often associated one with the other, if not considered to be two names for one entity; this relationship was promoted by Macarius in the 17</w:t>
      </w:r>
      <w:r w:rsidRPr="00A32F1B">
        <w:rPr>
          <w:vertAlign w:val="superscript"/>
          <w:lang w:val="en-US"/>
        </w:rPr>
        <w:t>th</w:t>
      </w:r>
      <w:r w:rsidRPr="00A32F1B">
        <w:rPr>
          <w:lang w:val="en-US"/>
        </w:rPr>
        <w:t xml:space="preserve"> century, and later they were both considered to belong to Gnostic tradition by C. W. King. The</w:t>
      </w:r>
      <w:r w:rsidR="00B5402C">
        <w:rPr>
          <w:lang w:val="en-US"/>
        </w:rPr>
        <w:t>se</w:t>
      </w:r>
      <w:r w:rsidRPr="00A32F1B">
        <w:rPr>
          <w:lang w:val="en-US"/>
        </w:rPr>
        <w:t xml:space="preserve"> </w:t>
      </w:r>
      <w:r w:rsidR="00B5402C">
        <w:rPr>
          <w:lang w:val="en-US"/>
        </w:rPr>
        <w:t>mutual</w:t>
      </w:r>
      <w:r w:rsidRPr="00A32F1B">
        <w:rPr>
          <w:lang w:val="en-US"/>
        </w:rPr>
        <w:t xml:space="preserve"> associations were derived from the shared numerical value of their Greek names, their relations to </w:t>
      </w:r>
      <w:r w:rsidR="0034642B" w:rsidRPr="00A32F1B">
        <w:rPr>
          <w:lang w:val="en-US"/>
        </w:rPr>
        <w:t>the S</w:t>
      </w:r>
      <w:r w:rsidRPr="00A32F1B">
        <w:rPr>
          <w:lang w:val="en-US"/>
        </w:rPr>
        <w:t xml:space="preserve">un, and from the writings </w:t>
      </w:r>
      <w:r w:rsidR="00B5402C">
        <w:rPr>
          <w:lang w:val="en-US"/>
        </w:rPr>
        <w:t xml:space="preserve">of </w:t>
      </w:r>
      <w:r w:rsidRPr="00A32F1B">
        <w:rPr>
          <w:lang w:val="en-US"/>
        </w:rPr>
        <w:t xml:space="preserve">early Christian thinkers, </w:t>
      </w:r>
      <w:proofErr w:type="gramStart"/>
      <w:r w:rsidRPr="00A32F1B">
        <w:rPr>
          <w:lang w:val="en-US"/>
        </w:rPr>
        <w:t>e.g.</w:t>
      </w:r>
      <w:proofErr w:type="gramEnd"/>
      <w:r w:rsidR="002D1FE3" w:rsidRPr="00A32F1B">
        <w:rPr>
          <w:lang w:val="en-US"/>
        </w:rPr>
        <w:t> </w:t>
      </w:r>
      <w:r w:rsidRPr="00A32F1B">
        <w:rPr>
          <w:lang w:val="en-US"/>
        </w:rPr>
        <w:t>St.</w:t>
      </w:r>
      <w:r w:rsidR="002D1FE3" w:rsidRPr="00A32F1B">
        <w:rPr>
          <w:lang w:val="en-US"/>
        </w:rPr>
        <w:t> </w:t>
      </w:r>
      <w:r w:rsidRPr="00A32F1B">
        <w:rPr>
          <w:lang w:val="en-US"/>
        </w:rPr>
        <w:t>Jerome.</w:t>
      </w:r>
      <w:r w:rsidRPr="00A32F1B">
        <w:rPr>
          <w:rStyle w:val="Znakapoznpodarou"/>
          <w:lang w:val="en-US"/>
        </w:rPr>
        <w:footnoteReference w:id="66"/>
      </w:r>
    </w:p>
    <w:p w14:paraId="714474BC" w14:textId="061DA9E6" w:rsidR="00293B32" w:rsidRPr="00A32F1B" w:rsidRDefault="0000436C" w:rsidP="00C32BA6">
      <w:pPr>
        <w:rPr>
          <w:szCs w:val="24"/>
          <w:lang w:val="en-US"/>
        </w:rPr>
      </w:pPr>
      <w:r w:rsidRPr="00A32F1B">
        <w:rPr>
          <w:szCs w:val="24"/>
          <w:lang w:val="en-US"/>
        </w:rPr>
        <w:t>The research of Abraxas as an historical religious and magical entity might be potentially complicated by the variety of name</w:t>
      </w:r>
      <w:r w:rsidR="00840268" w:rsidRPr="00A32F1B">
        <w:rPr>
          <w:szCs w:val="24"/>
          <w:lang w:val="en-US"/>
        </w:rPr>
        <w:t xml:space="preserve"> forms</w:t>
      </w:r>
      <w:r w:rsidRPr="00A32F1B">
        <w:rPr>
          <w:szCs w:val="24"/>
          <w:lang w:val="en-US"/>
        </w:rPr>
        <w:t xml:space="preserve"> under which the entity </w:t>
      </w:r>
      <w:r w:rsidR="00EB0651" w:rsidRPr="00A32F1B">
        <w:rPr>
          <w:szCs w:val="24"/>
          <w:lang w:val="en-US"/>
        </w:rPr>
        <w:t>can be found</w:t>
      </w:r>
      <w:r w:rsidR="00840268" w:rsidRPr="00A32F1B">
        <w:rPr>
          <w:szCs w:val="24"/>
          <w:lang w:val="en-US"/>
        </w:rPr>
        <w:t xml:space="preserve"> in the textual sources</w:t>
      </w:r>
      <w:r w:rsidRPr="00A32F1B">
        <w:rPr>
          <w:szCs w:val="24"/>
          <w:lang w:val="en-US"/>
        </w:rPr>
        <w:t xml:space="preserve">. </w:t>
      </w:r>
      <w:r w:rsidR="00EB0651" w:rsidRPr="00A32F1B">
        <w:rPr>
          <w:szCs w:val="24"/>
          <w:lang w:val="en-US"/>
        </w:rPr>
        <w:t xml:space="preserve">The form “Abraxas” is by a majority used in modern scholarship </w:t>
      </w:r>
      <w:r w:rsidR="00781E9C" w:rsidRPr="00A32F1B">
        <w:rPr>
          <w:szCs w:val="24"/>
          <w:lang w:val="en-US"/>
        </w:rPr>
        <w:t>due to its vast use in the Abraxas historiography</w:t>
      </w:r>
      <w:r w:rsidR="00B5402C">
        <w:rPr>
          <w:szCs w:val="24"/>
          <w:lang w:val="en-US"/>
        </w:rPr>
        <w:t>;</w:t>
      </w:r>
      <w:r w:rsidR="00781E9C" w:rsidRPr="00A32F1B">
        <w:rPr>
          <w:szCs w:val="24"/>
          <w:lang w:val="en-US"/>
        </w:rPr>
        <w:t xml:space="preserve"> this form also entered publics’ eye in the writings </w:t>
      </w:r>
      <w:r w:rsidR="00B5402C">
        <w:rPr>
          <w:szCs w:val="24"/>
          <w:lang w:val="en-US"/>
        </w:rPr>
        <w:t>of</w:t>
      </w:r>
      <w:r w:rsidR="00781E9C" w:rsidRPr="00A32F1B">
        <w:rPr>
          <w:szCs w:val="24"/>
          <w:lang w:val="en-US"/>
        </w:rPr>
        <w:t xml:space="preserve"> Jung and Hesse. Another very prominent form of the name is “Abrasax” which was </w:t>
      </w:r>
      <w:r w:rsidR="00866A44" w:rsidRPr="00A32F1B">
        <w:rPr>
          <w:szCs w:val="24"/>
          <w:lang w:val="en-US"/>
        </w:rPr>
        <w:t>promoted</w:t>
      </w:r>
      <w:r w:rsidR="00781E9C" w:rsidRPr="00A32F1B">
        <w:rPr>
          <w:szCs w:val="24"/>
          <w:lang w:val="en-US"/>
        </w:rPr>
        <w:t xml:space="preserve"> </w:t>
      </w:r>
      <w:r w:rsidR="00866A44" w:rsidRPr="00A32F1B">
        <w:rPr>
          <w:szCs w:val="24"/>
          <w:lang w:val="en-US"/>
        </w:rPr>
        <w:t xml:space="preserve">as the original form of the name </w:t>
      </w:r>
      <w:r w:rsidR="00781E9C" w:rsidRPr="00A32F1B">
        <w:rPr>
          <w:szCs w:val="24"/>
          <w:lang w:val="en-US"/>
        </w:rPr>
        <w:t xml:space="preserve">by C. W. King who, based on his thorough study of amulets, addressed the issue of two varying consonants – </w:t>
      </w:r>
      <w:r w:rsidR="00FF02CE" w:rsidRPr="00A32F1B">
        <w:rPr>
          <w:szCs w:val="24"/>
          <w:lang w:val="en-US"/>
        </w:rPr>
        <w:t>King</w:t>
      </w:r>
      <w:r w:rsidR="00781E9C" w:rsidRPr="00A32F1B">
        <w:rPr>
          <w:szCs w:val="24"/>
          <w:lang w:val="en-US"/>
        </w:rPr>
        <w:t xml:space="preserve"> </w:t>
      </w:r>
      <w:r w:rsidR="00FF02CE" w:rsidRPr="00A32F1B">
        <w:rPr>
          <w:szCs w:val="24"/>
          <w:lang w:val="en-US"/>
        </w:rPr>
        <w:t xml:space="preserve">claims that the confusion in </w:t>
      </w:r>
      <w:r w:rsidR="001C0158" w:rsidRPr="00A32F1B">
        <w:rPr>
          <w:szCs w:val="24"/>
          <w:lang w:val="en-US"/>
        </w:rPr>
        <w:t>the consonants</w:t>
      </w:r>
      <w:r w:rsidR="00FF02CE" w:rsidRPr="00A32F1B">
        <w:rPr>
          <w:szCs w:val="24"/>
          <w:lang w:val="en-US"/>
        </w:rPr>
        <w:t xml:space="preserve"> was most probably caused by the similarity of Greek letters </w:t>
      </w:r>
      <w:r w:rsidR="00FF02CE" w:rsidRPr="00A32F1B">
        <w:rPr>
          <w:i/>
          <w:iCs/>
          <w:szCs w:val="24"/>
          <w:lang w:val="en-US"/>
        </w:rPr>
        <w:t>sigma (</w:t>
      </w:r>
      <w:r w:rsidR="00FF02CE" w:rsidRPr="00A32F1B">
        <w:rPr>
          <w:szCs w:val="24"/>
          <w:lang w:val="en-US"/>
        </w:rPr>
        <w:t>Σ</w:t>
      </w:r>
      <w:r w:rsidR="00FF02CE" w:rsidRPr="00A32F1B">
        <w:rPr>
          <w:i/>
          <w:iCs/>
          <w:szCs w:val="24"/>
          <w:lang w:val="en-US"/>
        </w:rPr>
        <w:t xml:space="preserve">) </w:t>
      </w:r>
      <w:r w:rsidR="00FF02CE" w:rsidRPr="00A32F1B">
        <w:rPr>
          <w:szCs w:val="24"/>
          <w:lang w:val="en-US"/>
        </w:rPr>
        <w:t xml:space="preserve">and </w:t>
      </w:r>
      <w:r w:rsidR="00FF02CE" w:rsidRPr="00A32F1B">
        <w:rPr>
          <w:i/>
          <w:iCs/>
          <w:szCs w:val="24"/>
          <w:lang w:val="en-US"/>
        </w:rPr>
        <w:t>xi (</w:t>
      </w:r>
      <w:r w:rsidR="00FF02CE" w:rsidRPr="00A32F1B">
        <w:rPr>
          <w:szCs w:val="24"/>
          <w:lang w:val="en-US"/>
        </w:rPr>
        <w:t>Ξ</w:t>
      </w:r>
      <w:r w:rsidR="00FF02CE" w:rsidRPr="00A32F1B">
        <w:rPr>
          <w:i/>
          <w:iCs/>
          <w:szCs w:val="24"/>
          <w:lang w:val="en-US"/>
        </w:rPr>
        <w:t xml:space="preserve">): </w:t>
      </w:r>
      <w:r w:rsidR="00B5402C" w:rsidRPr="00A32F1B">
        <w:rPr>
          <w:szCs w:val="24"/>
          <w:lang w:val="en-US"/>
        </w:rPr>
        <w:t>ABRAXAS</w:t>
      </w:r>
      <w:r w:rsidR="00FF02CE" w:rsidRPr="00A32F1B">
        <w:rPr>
          <w:i/>
          <w:iCs/>
          <w:szCs w:val="24"/>
          <w:lang w:val="en-US"/>
        </w:rPr>
        <w:t xml:space="preserve"> (</w:t>
      </w:r>
      <w:bookmarkStart w:id="4" w:name="_Hlk67518606"/>
      <w:r w:rsidR="00FF02CE" w:rsidRPr="00A32F1B">
        <w:rPr>
          <w:szCs w:val="24"/>
          <w:lang w:val="en-US"/>
        </w:rPr>
        <w:t>ΑΒΡΑΞΑΣ</w:t>
      </w:r>
      <w:bookmarkEnd w:id="4"/>
      <w:r w:rsidR="00FF02CE" w:rsidRPr="00A32F1B">
        <w:rPr>
          <w:i/>
          <w:iCs/>
          <w:szCs w:val="24"/>
          <w:lang w:val="en-US"/>
        </w:rPr>
        <w:t>)</w:t>
      </w:r>
      <w:r w:rsidR="00FF02CE" w:rsidRPr="00A32F1B">
        <w:rPr>
          <w:szCs w:val="24"/>
          <w:lang w:val="en-US"/>
        </w:rPr>
        <w:t xml:space="preserve"> and </w:t>
      </w:r>
      <w:r w:rsidR="00B5402C" w:rsidRPr="00A32F1B">
        <w:rPr>
          <w:szCs w:val="24"/>
          <w:lang w:val="en-US"/>
        </w:rPr>
        <w:t>ABRASAX</w:t>
      </w:r>
      <w:r w:rsidR="00B5402C" w:rsidRPr="00A32F1B">
        <w:rPr>
          <w:i/>
          <w:iCs/>
          <w:szCs w:val="24"/>
          <w:lang w:val="en-US"/>
        </w:rPr>
        <w:t xml:space="preserve"> </w:t>
      </w:r>
      <w:r w:rsidR="00FF02CE" w:rsidRPr="00A32F1B">
        <w:rPr>
          <w:i/>
          <w:iCs/>
          <w:szCs w:val="24"/>
          <w:lang w:val="en-US"/>
        </w:rPr>
        <w:t>(</w:t>
      </w:r>
      <w:r w:rsidR="00FF02CE" w:rsidRPr="00A32F1B">
        <w:rPr>
          <w:szCs w:val="24"/>
          <w:lang w:val="en-US"/>
        </w:rPr>
        <w:t>ΑΒΡΑΣΑΞ</w:t>
      </w:r>
      <w:r w:rsidR="00FF02CE" w:rsidRPr="00A32F1B">
        <w:rPr>
          <w:i/>
          <w:iCs/>
          <w:szCs w:val="24"/>
          <w:lang w:val="en-US"/>
        </w:rPr>
        <w:t>)</w:t>
      </w:r>
      <w:r w:rsidR="001C0158" w:rsidRPr="00A32F1B">
        <w:rPr>
          <w:szCs w:val="24"/>
          <w:lang w:val="en-US"/>
        </w:rPr>
        <w:t>; and that</w:t>
      </w:r>
      <w:r w:rsidR="00FF02CE" w:rsidRPr="00A32F1B">
        <w:rPr>
          <w:szCs w:val="24"/>
          <w:lang w:val="en-US"/>
        </w:rPr>
        <w:t xml:space="preserve"> this confusion might have been heightened by the quality</w:t>
      </w:r>
      <w:r w:rsidR="00B9715A" w:rsidRPr="00A32F1B">
        <w:rPr>
          <w:szCs w:val="24"/>
          <w:lang w:val="en-US"/>
        </w:rPr>
        <w:t xml:space="preserve">, </w:t>
      </w:r>
      <w:r w:rsidR="00FF02CE" w:rsidRPr="00A32F1B">
        <w:rPr>
          <w:szCs w:val="24"/>
          <w:lang w:val="en-US"/>
        </w:rPr>
        <w:t>preservation</w:t>
      </w:r>
      <w:r w:rsidR="00B9715A" w:rsidRPr="00A32F1B">
        <w:rPr>
          <w:szCs w:val="24"/>
          <w:lang w:val="en-US"/>
        </w:rPr>
        <w:t>, or possible damage</w:t>
      </w:r>
      <w:r w:rsidR="00FF02CE" w:rsidRPr="00A32F1B">
        <w:rPr>
          <w:szCs w:val="24"/>
          <w:lang w:val="en-US"/>
        </w:rPr>
        <w:t xml:space="preserve"> of the engraved text</w:t>
      </w:r>
      <w:r w:rsidR="00840268" w:rsidRPr="00A32F1B">
        <w:rPr>
          <w:szCs w:val="24"/>
          <w:lang w:val="en-US"/>
        </w:rPr>
        <w:t xml:space="preserve"> on amulets</w:t>
      </w:r>
      <w:r w:rsidR="00FF02CE" w:rsidRPr="00A32F1B">
        <w:rPr>
          <w:szCs w:val="24"/>
          <w:lang w:val="en-US"/>
        </w:rPr>
        <w:t>.</w:t>
      </w:r>
      <w:r w:rsidR="00206C05" w:rsidRPr="00A32F1B">
        <w:rPr>
          <w:rStyle w:val="Znakapoznpodarou"/>
          <w:szCs w:val="24"/>
          <w:lang w:val="en-US"/>
        </w:rPr>
        <w:footnoteReference w:id="67"/>
      </w:r>
      <w:r w:rsidR="00C74781" w:rsidRPr="00A32F1B">
        <w:rPr>
          <w:szCs w:val="24"/>
          <w:lang w:val="en-US"/>
        </w:rPr>
        <w:t xml:space="preserve"> Other forms of the name </w:t>
      </w:r>
      <w:r w:rsidR="00EC424F" w:rsidRPr="00A32F1B">
        <w:rPr>
          <w:szCs w:val="24"/>
          <w:lang w:val="en-US"/>
        </w:rPr>
        <w:t>often differ in transliteration</w:t>
      </w:r>
      <w:r w:rsidR="00955E7F" w:rsidRPr="00A32F1B">
        <w:rPr>
          <w:szCs w:val="24"/>
          <w:lang w:val="en-US"/>
        </w:rPr>
        <w:t xml:space="preserve">, moreover the transliteration may vary </w:t>
      </w:r>
      <w:r w:rsidR="007C1B49" w:rsidRPr="00A32F1B">
        <w:rPr>
          <w:szCs w:val="24"/>
          <w:lang w:val="en-US"/>
        </w:rPr>
        <w:t>in several cases in</w:t>
      </w:r>
      <w:r w:rsidR="00955E7F" w:rsidRPr="00A32F1B">
        <w:rPr>
          <w:szCs w:val="24"/>
          <w:lang w:val="en-US"/>
        </w:rPr>
        <w:t xml:space="preserve"> one textual source.</w:t>
      </w:r>
      <w:r w:rsidR="00EC424F" w:rsidRPr="00A32F1B">
        <w:rPr>
          <w:szCs w:val="24"/>
          <w:lang w:val="en-US"/>
        </w:rPr>
        <w:t xml:space="preserve"> </w:t>
      </w:r>
      <w:r w:rsidR="00955E7F" w:rsidRPr="00A32F1B">
        <w:rPr>
          <w:szCs w:val="24"/>
          <w:lang w:val="en-US"/>
        </w:rPr>
        <w:t>The transliteration variations include:</w:t>
      </w:r>
      <w:r w:rsidR="00EC424F" w:rsidRPr="00A32F1B">
        <w:rPr>
          <w:szCs w:val="24"/>
          <w:lang w:val="en-US"/>
        </w:rPr>
        <w:t xml:space="preserve"> ABKSS, ABRS</w:t>
      </w:r>
      <w:r w:rsidR="007C7E28">
        <w:rPr>
          <w:szCs w:val="24"/>
          <w:lang w:val="en-US"/>
        </w:rPr>
        <w:t>K</w:t>
      </w:r>
      <w:r w:rsidR="00EC424F" w:rsidRPr="00A32F1B">
        <w:rPr>
          <w:szCs w:val="24"/>
          <w:lang w:val="en-US"/>
        </w:rPr>
        <w:t>, ABRKSS, ABRASKS</w:t>
      </w:r>
      <w:r w:rsidR="007C7E28">
        <w:rPr>
          <w:szCs w:val="24"/>
          <w:lang w:val="en-US"/>
        </w:rPr>
        <w:t xml:space="preserve">, ABRASAKS </w:t>
      </w:r>
      <w:r w:rsidR="00955E7F" w:rsidRPr="00A32F1B">
        <w:rPr>
          <w:szCs w:val="24"/>
          <w:lang w:val="en-US"/>
        </w:rPr>
        <w:t>etc.</w:t>
      </w:r>
      <w:r w:rsidR="000272A2" w:rsidRPr="00A32F1B">
        <w:rPr>
          <w:szCs w:val="24"/>
          <w:lang w:val="en-US"/>
        </w:rPr>
        <w:t xml:space="preserve"> </w:t>
      </w:r>
      <w:r w:rsidR="007410E9" w:rsidRPr="00A32F1B">
        <w:rPr>
          <w:szCs w:val="24"/>
          <w:lang w:val="en-US"/>
        </w:rPr>
        <w:t>The methodological problem of the transliteration of proper names and the concern of correct, incorrect, or misleading identification of entities behind the names was already discussed in the study of Moses Gaster.</w:t>
      </w:r>
      <w:r w:rsidR="00293B32" w:rsidRPr="00A32F1B">
        <w:rPr>
          <w:szCs w:val="24"/>
          <w:lang w:val="en-US"/>
        </w:rPr>
        <w:t xml:space="preserve"> As the author of this </w:t>
      </w:r>
      <w:r w:rsidR="00A55895" w:rsidRPr="00A32F1B">
        <w:rPr>
          <w:szCs w:val="24"/>
          <w:lang w:val="en-US"/>
        </w:rPr>
        <w:t>thesis,</w:t>
      </w:r>
      <w:r w:rsidR="00293B32" w:rsidRPr="00A32F1B">
        <w:rPr>
          <w:szCs w:val="24"/>
          <w:lang w:val="en-US"/>
        </w:rPr>
        <w:t xml:space="preserve"> I am cautious of possible misidentifications; therefore, this thesis includes textual sources that </w:t>
      </w:r>
      <w:r w:rsidR="00293B32" w:rsidRPr="00A32F1B">
        <w:rPr>
          <w:szCs w:val="24"/>
          <w:lang w:val="en-US"/>
        </w:rPr>
        <w:lastRenderedPageBreak/>
        <w:t>were either considered as referring to the entity of Abraxas by previous scholars, or the context analysis indicates Abraxas reference.</w:t>
      </w:r>
    </w:p>
    <w:p w14:paraId="4C06636F" w14:textId="00A72351" w:rsidR="00F64438" w:rsidRPr="00A32F1B" w:rsidRDefault="00F64438" w:rsidP="00C32BA6">
      <w:pPr>
        <w:rPr>
          <w:szCs w:val="24"/>
          <w:lang w:val="en-US"/>
        </w:rPr>
      </w:pPr>
      <w:r w:rsidRPr="00A32F1B">
        <w:rPr>
          <w:szCs w:val="24"/>
          <w:lang w:val="en-US"/>
        </w:rPr>
        <w:t>During the humanist questioning of the amulets and their content Abraxas entered the</w:t>
      </w:r>
      <w:r w:rsidR="00163C59" w:rsidRPr="00A32F1B">
        <w:rPr>
          <w:szCs w:val="24"/>
          <w:lang w:val="en-US"/>
        </w:rPr>
        <w:t xml:space="preserve"> </w:t>
      </w:r>
      <w:r w:rsidRPr="00A32F1B">
        <w:rPr>
          <w:szCs w:val="24"/>
          <w:lang w:val="en-US"/>
        </w:rPr>
        <w:t xml:space="preserve">secondary literature inquiries and remained a part of it continuously </w:t>
      </w:r>
      <w:r w:rsidR="00CC02D3">
        <w:rPr>
          <w:szCs w:val="24"/>
          <w:lang w:val="en-US"/>
        </w:rPr>
        <w:t>until</w:t>
      </w:r>
      <w:r w:rsidRPr="00A32F1B">
        <w:rPr>
          <w:szCs w:val="24"/>
          <w:lang w:val="en-US"/>
        </w:rPr>
        <w:t xml:space="preserve"> the contemporary research. One of scholars’ endeavor was to explore the etymology of the name leading to extensive process of analysis and comparison of accessible ancient textual sources in which similar or identical entities appeared. Widespread and commonly accepted etymology of the name Abraxas was pioneered in 1896 by Moritz Güdemann (1835-1918) who claimed the existence of connection between the name Abraxas and Greek word </w:t>
      </w:r>
      <w:r w:rsidR="00A5430E" w:rsidRPr="00A32F1B">
        <w:rPr>
          <w:szCs w:val="24"/>
          <w:lang w:val="en-US"/>
        </w:rPr>
        <w:t>ARBATHIA</w:t>
      </w:r>
      <w:r w:rsidR="003225C4" w:rsidRPr="00A32F1B">
        <w:rPr>
          <w:szCs w:val="24"/>
          <w:lang w:val="en-US"/>
        </w:rPr>
        <w:t>Ō</w:t>
      </w:r>
      <w:r w:rsidR="00A5430E" w:rsidRPr="00A32F1B">
        <w:rPr>
          <w:szCs w:val="24"/>
          <w:lang w:val="en-US"/>
        </w:rPr>
        <w:t>TH (</w:t>
      </w:r>
      <w:r w:rsidRPr="00A32F1B">
        <w:rPr>
          <w:szCs w:val="24"/>
          <w:lang w:val="en-US"/>
        </w:rPr>
        <w:t>ΑΡΒΑΘΙΑΩΘ</w:t>
      </w:r>
      <w:r w:rsidR="00A5430E" w:rsidRPr="00A32F1B">
        <w:rPr>
          <w:szCs w:val="24"/>
          <w:lang w:val="en-US"/>
        </w:rPr>
        <w:t>)</w:t>
      </w:r>
      <w:r w:rsidRPr="00A32F1B">
        <w:rPr>
          <w:szCs w:val="24"/>
          <w:lang w:val="en-US"/>
        </w:rPr>
        <w:t xml:space="preserve"> which appears in Greek magical papyri</w:t>
      </w:r>
      <w:r w:rsidR="00CC02D3">
        <w:rPr>
          <w:szCs w:val="24"/>
          <w:lang w:val="en-US"/>
        </w:rPr>
        <w:t>.</w:t>
      </w:r>
      <w:r w:rsidRPr="00A32F1B">
        <w:rPr>
          <w:szCs w:val="24"/>
          <w:lang w:val="en-US"/>
        </w:rPr>
        <w:t xml:space="preserve"> </w:t>
      </w:r>
      <w:r w:rsidR="00CC02D3">
        <w:rPr>
          <w:szCs w:val="24"/>
          <w:lang w:val="en-US"/>
        </w:rPr>
        <w:t>T</w:t>
      </w:r>
      <w:r w:rsidRPr="00A32F1B">
        <w:rPr>
          <w:szCs w:val="24"/>
          <w:lang w:val="en-US"/>
        </w:rPr>
        <w:t>he Greek word Güdemann denoted as a translation of Hebrew phrase</w:t>
      </w:r>
      <w:r w:rsidR="008A6E37" w:rsidRPr="00A32F1B">
        <w:rPr>
          <w:szCs w:val="24"/>
          <w:lang w:val="en-US"/>
        </w:rPr>
        <w:t xml:space="preserve"> “arba otiot</w:t>
      </w:r>
      <w:r w:rsidRPr="00A32F1B">
        <w:rPr>
          <w:szCs w:val="24"/>
          <w:lang w:val="en-US"/>
        </w:rPr>
        <w:t>” (four letters) which is being connected to the Tetragrammaton.</w:t>
      </w:r>
      <w:r w:rsidRPr="00A32F1B">
        <w:rPr>
          <w:rStyle w:val="Znakapoznpodarou"/>
          <w:szCs w:val="24"/>
          <w:lang w:val="en-US"/>
        </w:rPr>
        <w:footnoteReference w:id="68"/>
      </w:r>
      <w:r w:rsidRPr="00A32F1B">
        <w:rPr>
          <w:szCs w:val="24"/>
          <w:lang w:val="en-US"/>
        </w:rPr>
        <w:t xml:space="preserve"> In 1898 the allusion of “arba” </w:t>
      </w:r>
      <w:r w:rsidR="00163C59" w:rsidRPr="00A32F1B">
        <w:rPr>
          <w:szCs w:val="24"/>
          <w:lang w:val="en-US"/>
        </w:rPr>
        <w:t xml:space="preserve">(four) </w:t>
      </w:r>
      <w:r w:rsidRPr="00A32F1B">
        <w:rPr>
          <w:szCs w:val="24"/>
          <w:lang w:val="en-US"/>
        </w:rPr>
        <w:t xml:space="preserve">to the Tetragrammaton was suspected also by </w:t>
      </w:r>
      <w:r w:rsidR="00D11B21" w:rsidRPr="00A32F1B">
        <w:rPr>
          <w:szCs w:val="24"/>
          <w:lang w:val="en-US"/>
        </w:rPr>
        <w:t>Ludwig</w:t>
      </w:r>
      <w:r w:rsidRPr="00A32F1B">
        <w:rPr>
          <w:szCs w:val="24"/>
          <w:lang w:val="en-US"/>
        </w:rPr>
        <w:t xml:space="preserve"> Blau in his study of Jewish magic.</w:t>
      </w:r>
      <w:r w:rsidRPr="00A32F1B">
        <w:rPr>
          <w:rStyle w:val="Znakapoznpodarou"/>
          <w:szCs w:val="24"/>
          <w:lang w:val="en-US"/>
        </w:rPr>
        <w:footnoteReference w:id="69"/>
      </w:r>
    </w:p>
    <w:p w14:paraId="2C2177A9" w14:textId="0F1026E7" w:rsidR="00F64438" w:rsidRPr="00A32F1B" w:rsidRDefault="00F64438" w:rsidP="00C32BA6">
      <w:pPr>
        <w:rPr>
          <w:szCs w:val="24"/>
          <w:lang w:val="en-US"/>
        </w:rPr>
      </w:pPr>
      <w:r w:rsidRPr="00A32F1B">
        <w:rPr>
          <w:szCs w:val="24"/>
          <w:lang w:val="en-US"/>
        </w:rPr>
        <w:t xml:space="preserve">Güdemann’s theory was developed and supported by evidence from Greek sources – amulets, papyri etc. One of the magical papyri text uses the formula </w:t>
      </w:r>
      <w:r w:rsidR="00A5430E" w:rsidRPr="00A32F1B">
        <w:rPr>
          <w:szCs w:val="24"/>
          <w:lang w:val="en-US"/>
        </w:rPr>
        <w:t>ABRA ABRA SABA</w:t>
      </w:r>
      <w:r w:rsidR="003225C4" w:rsidRPr="00A32F1B">
        <w:rPr>
          <w:szCs w:val="24"/>
          <w:lang w:val="en-US"/>
        </w:rPr>
        <w:t>Ō</w:t>
      </w:r>
      <w:r w:rsidR="00A5430E" w:rsidRPr="00A32F1B">
        <w:rPr>
          <w:szCs w:val="24"/>
          <w:lang w:val="en-US"/>
        </w:rPr>
        <w:t>TH (</w:t>
      </w:r>
      <w:r w:rsidR="008912ED" w:rsidRPr="00A32F1B">
        <w:rPr>
          <w:szCs w:val="24"/>
          <w:lang w:val="en-US"/>
        </w:rPr>
        <w:t xml:space="preserve">original in Coptic </w:t>
      </w:r>
      <w:r w:rsidR="009841DA" w:rsidRPr="00A32F1B">
        <w:rPr>
          <w:rFonts w:ascii="Segoe UI Historic" w:hAnsi="Segoe UI Historic" w:cs="Segoe UI Historic"/>
          <w:szCs w:val="24"/>
          <w:lang w:val="en-US"/>
        </w:rPr>
        <w:t>ⲀⲂⲢⲀ</w:t>
      </w:r>
      <w:r w:rsidR="009841DA" w:rsidRPr="00A32F1B">
        <w:rPr>
          <w:szCs w:val="24"/>
          <w:lang w:val="en-US"/>
        </w:rPr>
        <w:t xml:space="preserve"> </w:t>
      </w:r>
      <w:r w:rsidR="009841DA" w:rsidRPr="00A32F1B">
        <w:rPr>
          <w:rFonts w:ascii="Segoe UI Historic" w:hAnsi="Segoe UI Historic" w:cs="Segoe UI Historic"/>
          <w:szCs w:val="24"/>
          <w:lang w:val="en-US"/>
        </w:rPr>
        <w:t>ⲀⲂⲢⲀ</w:t>
      </w:r>
      <w:r w:rsidR="009841DA" w:rsidRPr="00A32F1B">
        <w:rPr>
          <w:szCs w:val="24"/>
          <w:lang w:val="en-US"/>
        </w:rPr>
        <w:t xml:space="preserve"> </w:t>
      </w:r>
      <w:r w:rsidR="009841DA" w:rsidRPr="00A32F1B">
        <w:rPr>
          <w:rFonts w:ascii="Segoe UI Historic" w:hAnsi="Segoe UI Historic" w:cs="Segoe UI Historic"/>
          <w:szCs w:val="24"/>
          <w:lang w:val="en-US"/>
        </w:rPr>
        <w:t>ⲤⲀⲂⲀⲰⲐ</w:t>
      </w:r>
      <w:r w:rsidR="008912ED" w:rsidRPr="00A32F1B">
        <w:rPr>
          <w:rFonts w:ascii="Segoe UI Historic" w:hAnsi="Segoe UI Historic" w:cs="Segoe UI Historic"/>
          <w:szCs w:val="24"/>
          <w:lang w:val="en-US"/>
        </w:rPr>
        <w:t xml:space="preserve">, </w:t>
      </w:r>
      <w:r w:rsidR="008912ED" w:rsidRPr="00A32F1B">
        <w:rPr>
          <w:rFonts w:asciiTheme="majorBidi" w:hAnsiTheme="majorBidi" w:cstheme="majorBidi"/>
          <w:szCs w:val="24"/>
          <w:lang w:val="en-US"/>
        </w:rPr>
        <w:t>in Greek</w:t>
      </w:r>
      <w:r w:rsidR="008912ED" w:rsidRPr="00A32F1B">
        <w:rPr>
          <w:szCs w:val="24"/>
          <w:lang w:val="en-US"/>
        </w:rPr>
        <w:t xml:space="preserve"> ΑΒΡΑ ΑΒΡΑ ΣΑΒΑΩΘ</w:t>
      </w:r>
      <w:r w:rsidR="00A5430E" w:rsidRPr="00A32F1B">
        <w:rPr>
          <w:szCs w:val="24"/>
          <w:lang w:val="en-US"/>
        </w:rPr>
        <w:t>)</w:t>
      </w:r>
      <w:r w:rsidR="006D3504" w:rsidRPr="00A32F1B">
        <w:rPr>
          <w:rStyle w:val="Znakapoznpodarou"/>
          <w:szCs w:val="24"/>
          <w:lang w:val="en-US"/>
        </w:rPr>
        <w:footnoteReference w:id="70"/>
      </w:r>
      <w:r w:rsidRPr="00A32F1B">
        <w:rPr>
          <w:szCs w:val="24"/>
          <w:lang w:val="en-US"/>
        </w:rPr>
        <w:t xml:space="preserve"> which, according to Preisendanz, refers to the Tetragrammaton deduced from the phrase “YHWH Sabaoth” which is often found in magical texts</w:t>
      </w:r>
      <w:r w:rsidR="00CC02D3">
        <w:rPr>
          <w:szCs w:val="24"/>
          <w:lang w:val="en-US"/>
        </w:rPr>
        <w:t>.</w:t>
      </w:r>
      <w:r w:rsidRPr="00A32F1B">
        <w:rPr>
          <w:szCs w:val="24"/>
          <w:lang w:val="en-US"/>
        </w:rPr>
        <w:t xml:space="preserve"> </w:t>
      </w:r>
      <w:r w:rsidR="00CC02D3">
        <w:rPr>
          <w:szCs w:val="24"/>
          <w:lang w:val="en-US"/>
        </w:rPr>
        <w:t>T</w:t>
      </w:r>
      <w:r w:rsidRPr="00A32F1B">
        <w:rPr>
          <w:szCs w:val="24"/>
          <w:lang w:val="en-US"/>
        </w:rPr>
        <w:t>hus, Preisendanz argued, “ABPA” is a variation of “arba”</w:t>
      </w:r>
      <w:r w:rsidR="00BF059A">
        <w:rPr>
          <w:szCs w:val="24"/>
          <w:lang w:val="en-US"/>
        </w:rPr>
        <w:t>. T</w:t>
      </w:r>
      <w:r w:rsidRPr="00A32F1B">
        <w:rPr>
          <w:szCs w:val="24"/>
          <w:lang w:val="en-US"/>
        </w:rPr>
        <w:t xml:space="preserve">his example </w:t>
      </w:r>
      <w:r w:rsidR="00163C59" w:rsidRPr="00A32F1B">
        <w:rPr>
          <w:szCs w:val="24"/>
          <w:lang w:val="en-US"/>
        </w:rPr>
        <w:t xml:space="preserve">also </w:t>
      </w:r>
      <w:r w:rsidRPr="00A32F1B">
        <w:rPr>
          <w:szCs w:val="24"/>
          <w:lang w:val="en-US"/>
        </w:rPr>
        <w:t>suggests the connection of the name Abraxas to both number four and the Tetragrammaton.</w:t>
      </w:r>
      <w:r w:rsidRPr="00A32F1B">
        <w:rPr>
          <w:rStyle w:val="Znakapoznpodarou"/>
          <w:szCs w:val="24"/>
          <w:lang w:val="en-US"/>
        </w:rPr>
        <w:footnoteReference w:id="71"/>
      </w:r>
      <w:r w:rsidRPr="00A32F1B">
        <w:rPr>
          <w:szCs w:val="24"/>
          <w:lang w:val="en-US"/>
        </w:rPr>
        <w:t xml:space="preserve"> Another Greek source suggesting such a connection is found with the amulets, in a number of amulets the word</w:t>
      </w:r>
      <w:r w:rsidR="00A5430E" w:rsidRPr="00A32F1B">
        <w:rPr>
          <w:szCs w:val="24"/>
          <w:lang w:val="en-US"/>
        </w:rPr>
        <w:t xml:space="preserve"> ARBATHIA</w:t>
      </w:r>
      <w:r w:rsidR="003225C4" w:rsidRPr="00A32F1B">
        <w:rPr>
          <w:szCs w:val="24"/>
          <w:lang w:val="en-US"/>
        </w:rPr>
        <w:t>Ō</w:t>
      </w:r>
      <w:r w:rsidR="00A5430E" w:rsidRPr="00A32F1B">
        <w:rPr>
          <w:szCs w:val="24"/>
          <w:lang w:val="en-US"/>
        </w:rPr>
        <w:t xml:space="preserve"> (</w:t>
      </w:r>
      <w:r w:rsidRPr="00A32F1B">
        <w:rPr>
          <w:szCs w:val="24"/>
          <w:lang w:val="en-US"/>
        </w:rPr>
        <w:t>ΑΡΒΑΘΙΑΩ</w:t>
      </w:r>
      <w:r w:rsidR="00A5430E" w:rsidRPr="00A32F1B">
        <w:rPr>
          <w:szCs w:val="24"/>
          <w:lang w:val="en-US"/>
        </w:rPr>
        <w:t>)</w:t>
      </w:r>
      <w:r w:rsidRPr="00A32F1B">
        <w:rPr>
          <w:szCs w:val="24"/>
          <w:lang w:val="en-US"/>
        </w:rPr>
        <w:t xml:space="preserve"> and its varieties, for example</w:t>
      </w:r>
      <w:r w:rsidR="00A5430E" w:rsidRPr="00A32F1B">
        <w:rPr>
          <w:szCs w:val="24"/>
          <w:lang w:val="en-US"/>
        </w:rPr>
        <w:t xml:space="preserve"> ARBATIA</w:t>
      </w:r>
      <w:r w:rsidR="003225C4" w:rsidRPr="00A32F1B">
        <w:rPr>
          <w:szCs w:val="24"/>
          <w:lang w:val="en-US"/>
        </w:rPr>
        <w:t>Ō</w:t>
      </w:r>
      <w:r w:rsidR="00A5430E" w:rsidRPr="00A32F1B">
        <w:rPr>
          <w:szCs w:val="24"/>
          <w:lang w:val="en-US"/>
        </w:rPr>
        <w:t xml:space="preserve"> </w:t>
      </w:r>
      <w:r w:rsidRPr="00A32F1B">
        <w:rPr>
          <w:szCs w:val="24"/>
          <w:lang w:val="en-US"/>
        </w:rPr>
        <w:t xml:space="preserve"> </w:t>
      </w:r>
      <w:r w:rsidR="00A5430E" w:rsidRPr="00A32F1B">
        <w:rPr>
          <w:szCs w:val="24"/>
          <w:lang w:val="en-US"/>
        </w:rPr>
        <w:t>(</w:t>
      </w:r>
      <w:r w:rsidRPr="00A32F1B">
        <w:rPr>
          <w:szCs w:val="24"/>
          <w:lang w:val="en-US"/>
        </w:rPr>
        <w:t>ΑΡΒΑTΙΑΩ</w:t>
      </w:r>
      <w:r w:rsidR="00A5430E" w:rsidRPr="00A32F1B">
        <w:rPr>
          <w:szCs w:val="24"/>
          <w:lang w:val="en-US"/>
        </w:rPr>
        <w:t>),</w:t>
      </w:r>
      <w:r w:rsidR="003E3747" w:rsidRPr="00A32F1B">
        <w:rPr>
          <w:szCs w:val="24"/>
          <w:lang w:val="en-US"/>
        </w:rPr>
        <w:t xml:space="preserve"> ABRATHIA</w:t>
      </w:r>
      <w:r w:rsidR="003225C4" w:rsidRPr="00A32F1B">
        <w:rPr>
          <w:szCs w:val="24"/>
          <w:lang w:val="en-US"/>
        </w:rPr>
        <w:t>Ō</w:t>
      </w:r>
      <w:r w:rsidR="00A5430E" w:rsidRPr="00A32F1B">
        <w:rPr>
          <w:szCs w:val="24"/>
          <w:lang w:val="en-US"/>
        </w:rPr>
        <w:t xml:space="preserve"> (ΑΒΡΑΘΙΑΩ)</w:t>
      </w:r>
      <w:r w:rsidRPr="00A32F1B">
        <w:rPr>
          <w:szCs w:val="24"/>
          <w:lang w:val="en-US"/>
        </w:rPr>
        <w:t xml:space="preserve"> or </w:t>
      </w:r>
      <w:r w:rsidR="003E3747" w:rsidRPr="00A32F1B">
        <w:rPr>
          <w:szCs w:val="24"/>
          <w:lang w:val="en-US"/>
        </w:rPr>
        <w:t>ABRATIA</w:t>
      </w:r>
      <w:r w:rsidR="003225C4" w:rsidRPr="00A32F1B">
        <w:rPr>
          <w:szCs w:val="24"/>
          <w:lang w:val="en-US"/>
        </w:rPr>
        <w:t>Ō</w:t>
      </w:r>
      <w:r w:rsidR="003E3747" w:rsidRPr="00A32F1B">
        <w:rPr>
          <w:szCs w:val="24"/>
          <w:lang w:val="en-US"/>
        </w:rPr>
        <w:t>TH</w:t>
      </w:r>
      <w:r w:rsidR="00A5430E" w:rsidRPr="00A32F1B">
        <w:rPr>
          <w:szCs w:val="24"/>
          <w:lang w:val="en-US"/>
        </w:rPr>
        <w:t xml:space="preserve"> (ΑΒΡΑTΙΑΩΘ)</w:t>
      </w:r>
      <w:r w:rsidRPr="00A32F1B">
        <w:rPr>
          <w:szCs w:val="24"/>
          <w:lang w:val="en-US"/>
        </w:rPr>
        <w:t>, appear as noted by professor Herbert C. Youtie (1904-1980); the variations utilizing the word “arba” were linked on the grounds of orthographic similarity and textual context of the words.</w:t>
      </w:r>
      <w:r w:rsidRPr="00A32F1B">
        <w:rPr>
          <w:rStyle w:val="Znakapoznpodarou"/>
          <w:szCs w:val="24"/>
          <w:lang w:val="en-US"/>
        </w:rPr>
        <w:footnoteReference w:id="72"/>
      </w:r>
      <w:r w:rsidRPr="00A32F1B">
        <w:rPr>
          <w:szCs w:val="24"/>
          <w:lang w:val="en-US"/>
        </w:rPr>
        <w:t xml:space="preserve">  Walter Shandruk explains </w:t>
      </w:r>
      <w:r w:rsidR="008A6E37" w:rsidRPr="00A32F1B">
        <w:rPr>
          <w:szCs w:val="24"/>
          <w:lang w:val="en-US"/>
        </w:rPr>
        <w:t>Arbathiao</w:t>
      </w:r>
      <w:r w:rsidRPr="00A32F1B">
        <w:rPr>
          <w:szCs w:val="24"/>
          <w:lang w:val="en-US"/>
        </w:rPr>
        <w:t xml:space="preserve"> as a construct of </w:t>
      </w:r>
      <w:r w:rsidRPr="00A32F1B">
        <w:rPr>
          <w:szCs w:val="24"/>
          <w:lang w:val="en-US"/>
        </w:rPr>
        <w:lastRenderedPageBreak/>
        <w:t>“</w:t>
      </w:r>
      <w:r w:rsidR="00163C59" w:rsidRPr="00A32F1B">
        <w:rPr>
          <w:szCs w:val="24"/>
          <w:lang w:val="en-US"/>
        </w:rPr>
        <w:t>arba</w:t>
      </w:r>
      <w:r w:rsidRPr="00A32F1B">
        <w:rPr>
          <w:szCs w:val="24"/>
          <w:lang w:val="en-US"/>
        </w:rPr>
        <w:t xml:space="preserve">” and “Iao” which is then possible to translate as “four of Yahweh”. Following the translation Shandruk insists on the “genetic relationship” between </w:t>
      </w:r>
      <w:r w:rsidR="008A6E37" w:rsidRPr="00A32F1B">
        <w:rPr>
          <w:szCs w:val="24"/>
          <w:lang w:val="en-US"/>
        </w:rPr>
        <w:t xml:space="preserve">Arbathiao </w:t>
      </w:r>
      <w:r w:rsidRPr="00A32F1B">
        <w:rPr>
          <w:szCs w:val="24"/>
          <w:lang w:val="en-US"/>
        </w:rPr>
        <w:t>and Abraxas, ultimately resulting in connecting the number four to the Tetragrammaton.</w:t>
      </w:r>
      <w:r w:rsidRPr="00A32F1B">
        <w:rPr>
          <w:rStyle w:val="Znakapoznpodarou"/>
          <w:szCs w:val="24"/>
          <w:lang w:val="en-US"/>
        </w:rPr>
        <w:footnoteReference w:id="73"/>
      </w:r>
      <w:r w:rsidRPr="00A32F1B">
        <w:rPr>
          <w:szCs w:val="24"/>
          <w:lang w:val="en-US"/>
        </w:rPr>
        <w:t xml:space="preserve"> </w:t>
      </w:r>
    </w:p>
    <w:p w14:paraId="1AF85C2C" w14:textId="7A10E2E1" w:rsidR="00F64438" w:rsidRPr="00A32F1B" w:rsidRDefault="00F64438" w:rsidP="00C32BA6">
      <w:pPr>
        <w:rPr>
          <w:szCs w:val="24"/>
          <w:lang w:val="en-US"/>
        </w:rPr>
      </w:pPr>
      <w:r w:rsidRPr="00A32F1B">
        <w:rPr>
          <w:szCs w:val="24"/>
          <w:lang w:val="en-US"/>
        </w:rPr>
        <w:t xml:space="preserve">Following the etymology oriented on Hebrew, Abraham Geiger (1810-1974) presented the word </w:t>
      </w:r>
      <w:r w:rsidR="00A5430E" w:rsidRPr="00A32F1B">
        <w:rPr>
          <w:szCs w:val="24"/>
          <w:lang w:val="en-US"/>
        </w:rPr>
        <w:t>H</w:t>
      </w:r>
      <w:r w:rsidRPr="00A32F1B">
        <w:rPr>
          <w:szCs w:val="24"/>
          <w:lang w:val="en-US"/>
        </w:rPr>
        <w:t>a</w:t>
      </w:r>
      <w:r w:rsidR="00A5430E" w:rsidRPr="00A32F1B">
        <w:rPr>
          <w:szCs w:val="24"/>
          <w:lang w:val="en-US"/>
        </w:rPr>
        <w:t>-</w:t>
      </w:r>
      <w:r w:rsidRPr="00A32F1B">
        <w:rPr>
          <w:szCs w:val="24"/>
          <w:lang w:val="en-US"/>
        </w:rPr>
        <w:t>Brakhah</w:t>
      </w:r>
      <w:r w:rsidR="00A5430E" w:rsidRPr="00A32F1B">
        <w:rPr>
          <w:szCs w:val="24"/>
          <w:lang w:val="en-US"/>
        </w:rPr>
        <w:t xml:space="preserve"> (</w:t>
      </w:r>
      <w:r w:rsidR="00A5430E" w:rsidRPr="00A32F1B">
        <w:rPr>
          <w:rFonts w:cs="Times New Roman"/>
          <w:sz w:val="28"/>
          <w:szCs w:val="28"/>
          <w:rtl/>
          <w:lang w:val="en-US"/>
        </w:rPr>
        <w:t>הברכה</w:t>
      </w:r>
      <w:r w:rsidR="00A5430E" w:rsidRPr="00A32F1B">
        <w:rPr>
          <w:szCs w:val="24"/>
          <w:lang w:val="en-US"/>
        </w:rPr>
        <w:t xml:space="preserve">) </w:t>
      </w:r>
      <w:r w:rsidRPr="00A32F1B">
        <w:rPr>
          <w:szCs w:val="24"/>
          <w:lang w:val="en-US"/>
        </w:rPr>
        <w:t>meaning “the blessing” as a probable source of origin. Geiger’s idea was approved by C. W. King; however, it is not widely accepted, moreover it was previously rejected.</w:t>
      </w:r>
      <w:r w:rsidRPr="00A32F1B">
        <w:rPr>
          <w:rStyle w:val="Znakapoznpodarou"/>
          <w:szCs w:val="24"/>
          <w:lang w:val="en-US"/>
        </w:rPr>
        <w:footnoteReference w:id="74"/>
      </w:r>
    </w:p>
    <w:p w14:paraId="44F4CC4A" w14:textId="11D77E4D" w:rsidR="00F64438" w:rsidRPr="00A32F1B" w:rsidRDefault="00F64438" w:rsidP="00C32BA6">
      <w:pPr>
        <w:rPr>
          <w:szCs w:val="24"/>
          <w:lang w:val="en-US"/>
        </w:rPr>
      </w:pPr>
      <w:r w:rsidRPr="00A32F1B">
        <w:rPr>
          <w:szCs w:val="24"/>
          <w:lang w:val="en-US"/>
        </w:rPr>
        <w:t xml:space="preserve">Another major source which was inquired for the Abraxas etymology was the Gnostic tradition which was a sensible assumption given to the amount of time Abraxas remained </w:t>
      </w:r>
      <w:r w:rsidR="007641A4" w:rsidRPr="00A32F1B">
        <w:rPr>
          <w:szCs w:val="24"/>
          <w:lang w:val="en-US"/>
        </w:rPr>
        <w:t xml:space="preserve">being perceived </w:t>
      </w:r>
      <w:r w:rsidRPr="00A32F1B">
        <w:rPr>
          <w:szCs w:val="24"/>
          <w:lang w:val="en-US"/>
        </w:rPr>
        <w:t>as a</w:t>
      </w:r>
      <w:r w:rsidR="002D1FE3" w:rsidRPr="00A32F1B">
        <w:rPr>
          <w:szCs w:val="24"/>
          <w:lang w:val="en-US"/>
        </w:rPr>
        <w:t> </w:t>
      </w:r>
      <w:r w:rsidRPr="00A32F1B">
        <w:rPr>
          <w:szCs w:val="24"/>
          <w:lang w:val="en-US"/>
        </w:rPr>
        <w:t>part of Gnostic legacy. The central idea was the number 365, the numerical value of the letters in Abraxas in Greek ΑΒΡΑΞΑΣ</w:t>
      </w:r>
      <w:r w:rsidR="00EC5FFD" w:rsidRPr="00A32F1B">
        <w:rPr>
          <w:szCs w:val="24"/>
          <w:lang w:val="en-US"/>
        </w:rPr>
        <w:t xml:space="preserve"> (Α=1, Β=2, Ρ=100, Α=1, Ξ=60, Α=1, Σ=</w:t>
      </w:r>
      <w:r w:rsidR="00F340AA" w:rsidRPr="00A32F1B">
        <w:rPr>
          <w:szCs w:val="24"/>
          <w:lang w:val="en-US"/>
        </w:rPr>
        <w:t>200</w:t>
      </w:r>
      <w:r w:rsidR="00EC5FFD" w:rsidRPr="00A32F1B">
        <w:rPr>
          <w:szCs w:val="24"/>
          <w:lang w:val="en-US"/>
        </w:rPr>
        <w:t>)</w:t>
      </w:r>
      <w:r w:rsidR="00BF059A">
        <w:rPr>
          <w:szCs w:val="24"/>
          <w:lang w:val="en-US"/>
        </w:rPr>
        <w:t>.</w:t>
      </w:r>
      <w:r w:rsidRPr="00A32F1B">
        <w:rPr>
          <w:szCs w:val="24"/>
          <w:lang w:val="en-US"/>
        </w:rPr>
        <w:t xml:space="preserve"> </w:t>
      </w:r>
      <w:r w:rsidR="00BF059A">
        <w:rPr>
          <w:szCs w:val="24"/>
          <w:lang w:val="en-US"/>
        </w:rPr>
        <w:t>The number</w:t>
      </w:r>
      <w:r w:rsidRPr="00A32F1B">
        <w:rPr>
          <w:szCs w:val="24"/>
          <w:lang w:val="en-US"/>
        </w:rPr>
        <w:t xml:space="preserve"> </w:t>
      </w:r>
      <w:r w:rsidR="00BF059A">
        <w:rPr>
          <w:szCs w:val="24"/>
          <w:lang w:val="en-US"/>
        </w:rPr>
        <w:t xml:space="preserve">should </w:t>
      </w:r>
      <w:r w:rsidRPr="00A32F1B">
        <w:rPr>
          <w:szCs w:val="24"/>
          <w:lang w:val="en-US"/>
        </w:rPr>
        <w:t>symbolize the number of heavens, to which Abraxas is the ruler, and the number of bones in human body as records by Irenaeus and Hippolytus ascribed to the teaching of Basilides and his followers.</w:t>
      </w:r>
      <w:r w:rsidRPr="00A32F1B">
        <w:rPr>
          <w:rStyle w:val="Znakapoznpodarou"/>
          <w:szCs w:val="24"/>
          <w:lang w:val="en-US"/>
        </w:rPr>
        <w:footnoteReference w:id="75"/>
      </w:r>
      <w:r w:rsidRPr="00A32F1B">
        <w:rPr>
          <w:szCs w:val="24"/>
          <w:lang w:val="en-US"/>
        </w:rPr>
        <w:t xml:space="preserve"> The number 365 is also said to signify the solar cycle of the year associating Abraxas with the </w:t>
      </w:r>
      <w:r w:rsidR="0034642B" w:rsidRPr="00A32F1B">
        <w:rPr>
          <w:szCs w:val="24"/>
          <w:lang w:val="en-US"/>
        </w:rPr>
        <w:t>S</w:t>
      </w:r>
      <w:r w:rsidRPr="00A32F1B">
        <w:rPr>
          <w:szCs w:val="24"/>
          <w:lang w:val="en-US"/>
        </w:rPr>
        <w:t>un</w:t>
      </w:r>
      <w:r w:rsidR="00BF059A">
        <w:rPr>
          <w:szCs w:val="24"/>
          <w:lang w:val="en-US"/>
        </w:rPr>
        <w:t>.</w:t>
      </w:r>
      <w:r w:rsidR="002140C2" w:rsidRPr="00A32F1B">
        <w:rPr>
          <w:szCs w:val="24"/>
          <w:lang w:val="en-US"/>
        </w:rPr>
        <w:t xml:space="preserve"> </w:t>
      </w:r>
      <w:r w:rsidR="00BF059A">
        <w:rPr>
          <w:szCs w:val="24"/>
          <w:lang w:val="en-US"/>
        </w:rPr>
        <w:t>S</w:t>
      </w:r>
      <w:r w:rsidR="002140C2" w:rsidRPr="00A32F1B">
        <w:rPr>
          <w:szCs w:val="24"/>
          <w:lang w:val="en-US"/>
        </w:rPr>
        <w:t xml:space="preserve">aid correlation of the solar </w:t>
      </w:r>
      <w:r w:rsidR="000C28D6">
        <w:rPr>
          <w:szCs w:val="24"/>
          <w:lang w:val="en-US"/>
        </w:rPr>
        <w:t>attributes</w:t>
      </w:r>
      <w:r w:rsidR="002140C2" w:rsidRPr="00A32F1B">
        <w:rPr>
          <w:szCs w:val="24"/>
          <w:lang w:val="en-US"/>
        </w:rPr>
        <w:t xml:space="preserve"> and Abraxas manifested in </w:t>
      </w:r>
      <w:r w:rsidR="003D48D7" w:rsidRPr="00A32F1B">
        <w:rPr>
          <w:szCs w:val="24"/>
          <w:lang w:val="en-US"/>
        </w:rPr>
        <w:t>a number</w:t>
      </w:r>
      <w:r w:rsidR="002140C2" w:rsidRPr="00A32F1B">
        <w:rPr>
          <w:szCs w:val="24"/>
          <w:lang w:val="en-US"/>
        </w:rPr>
        <w:t xml:space="preserve"> of the sources subjected to further analysis in this thesis,</w:t>
      </w:r>
      <w:r w:rsidR="003D48D7" w:rsidRPr="00A32F1B">
        <w:rPr>
          <w:szCs w:val="24"/>
          <w:lang w:val="en-US"/>
        </w:rPr>
        <w:t xml:space="preserve"> therefore the details are discussed in following subchapters concerned with relevant sources</w:t>
      </w:r>
      <w:r w:rsidR="002140C2" w:rsidRPr="00A32F1B">
        <w:rPr>
          <w:szCs w:val="24"/>
          <w:lang w:val="en-US"/>
        </w:rPr>
        <w:t>.</w:t>
      </w:r>
      <w:r w:rsidR="00905F86" w:rsidRPr="00A32F1B">
        <w:rPr>
          <w:rStyle w:val="Znakapoznpodarou"/>
          <w:szCs w:val="24"/>
          <w:lang w:val="en-US"/>
        </w:rPr>
        <w:footnoteReference w:id="76"/>
      </w:r>
    </w:p>
    <w:p w14:paraId="26F8B91C" w14:textId="58586DF5" w:rsidR="003A5169" w:rsidRPr="00A32F1B" w:rsidRDefault="00F64438" w:rsidP="00F11D36">
      <w:pPr>
        <w:rPr>
          <w:szCs w:val="24"/>
          <w:lang w:val="en-US"/>
        </w:rPr>
      </w:pPr>
      <w:r w:rsidRPr="00A32F1B">
        <w:rPr>
          <w:szCs w:val="24"/>
          <w:lang w:val="en-US"/>
        </w:rPr>
        <w:t>The examples of Abraxas</w:t>
      </w:r>
      <w:r w:rsidR="000C28D6">
        <w:rPr>
          <w:szCs w:val="24"/>
          <w:lang w:val="en-US"/>
        </w:rPr>
        <w:t>’s</w:t>
      </w:r>
      <w:r w:rsidRPr="00A32F1B">
        <w:rPr>
          <w:szCs w:val="24"/>
          <w:lang w:val="en-US"/>
        </w:rPr>
        <w:t xml:space="preserve"> etymology illustrate the inconclusive nature of the research. In his study of Jewish magic Gideon Bohak offers his view on the attempts of Hebrew and Aramaic etymology</w:t>
      </w:r>
      <w:r w:rsidR="000C28D6">
        <w:rPr>
          <w:szCs w:val="24"/>
          <w:lang w:val="en-US"/>
        </w:rPr>
        <w:t>.</w:t>
      </w:r>
      <w:r w:rsidRPr="00A32F1B">
        <w:rPr>
          <w:szCs w:val="24"/>
          <w:lang w:val="en-US"/>
        </w:rPr>
        <w:t xml:space="preserve"> </w:t>
      </w:r>
      <w:r w:rsidR="000C28D6">
        <w:rPr>
          <w:szCs w:val="24"/>
          <w:lang w:val="en-US"/>
        </w:rPr>
        <w:t>H</w:t>
      </w:r>
      <w:r w:rsidRPr="00A32F1B">
        <w:rPr>
          <w:szCs w:val="24"/>
          <w:lang w:val="en-US"/>
        </w:rPr>
        <w:t>e suspects the entity of Abraxas entering the discourse of Jewish magical texts through the tradition of Greco-Egyptian magical practices, rather than the one of pre-ancient assumably forgotten Jewish rituals – that is, Bohak proposes that the source of Abraxas origin was not that of Hebrew language.</w:t>
      </w:r>
      <w:r w:rsidR="00807C1A" w:rsidRPr="00A32F1B">
        <w:rPr>
          <w:szCs w:val="24"/>
          <w:lang w:val="en-US"/>
        </w:rPr>
        <w:t xml:space="preserve"> Bohak comments also</w:t>
      </w:r>
      <w:r w:rsidR="000C28D6">
        <w:rPr>
          <w:szCs w:val="24"/>
          <w:lang w:val="en-US"/>
        </w:rPr>
        <w:t xml:space="preserve"> </w:t>
      </w:r>
      <w:r w:rsidR="00807C1A" w:rsidRPr="00A32F1B">
        <w:rPr>
          <w:szCs w:val="24"/>
          <w:lang w:val="en-US"/>
        </w:rPr>
        <w:t xml:space="preserve">the 365 (solar) characteristics of Abraxas and points out that this attribute was not transferred in any of the Hebrew versions of Abraxas name – in gematria Abraxas does </w:t>
      </w:r>
      <w:r w:rsidR="00807C1A" w:rsidRPr="00A32F1B">
        <w:rPr>
          <w:szCs w:val="24"/>
          <w:lang w:val="en-US"/>
        </w:rPr>
        <w:lastRenderedPageBreak/>
        <w:t>not amount to such a number.</w:t>
      </w:r>
      <w:r w:rsidR="00807C1A" w:rsidRPr="00A32F1B">
        <w:rPr>
          <w:rStyle w:val="Znakapoznpodarou"/>
          <w:szCs w:val="24"/>
          <w:lang w:val="en-US"/>
        </w:rPr>
        <w:footnoteReference w:id="77"/>
      </w:r>
      <w:r w:rsidR="00807C1A" w:rsidRPr="00A32F1B">
        <w:rPr>
          <w:szCs w:val="24"/>
          <w:lang w:val="en-US"/>
        </w:rPr>
        <w:t xml:space="preserve"> Hence a question</w:t>
      </w:r>
      <w:r w:rsidR="00C61CF1" w:rsidRPr="00A32F1B">
        <w:rPr>
          <w:szCs w:val="24"/>
          <w:lang w:val="en-US"/>
        </w:rPr>
        <w:t>, which shall be discussed in further source analysis,</w:t>
      </w:r>
      <w:r w:rsidR="00807C1A" w:rsidRPr="00A32F1B">
        <w:rPr>
          <w:szCs w:val="24"/>
          <w:lang w:val="en-US"/>
        </w:rPr>
        <w:t xml:space="preserve"> arises, if the solar property plays a role both in Greek and Hebrew </w:t>
      </w:r>
      <w:r w:rsidR="005F6F49" w:rsidRPr="00A32F1B">
        <w:rPr>
          <w:szCs w:val="24"/>
          <w:lang w:val="en-US"/>
        </w:rPr>
        <w:t>texts</w:t>
      </w:r>
      <w:r w:rsidR="00807C1A" w:rsidRPr="00A32F1B">
        <w:rPr>
          <w:szCs w:val="24"/>
          <w:lang w:val="en-US"/>
        </w:rPr>
        <w:t xml:space="preserve">, what was its source for the Hebrew use? </w:t>
      </w:r>
    </w:p>
    <w:p w14:paraId="5EA7699A" w14:textId="77777777" w:rsidR="00DF049A" w:rsidRDefault="000E534B" w:rsidP="00DF049A">
      <w:pPr>
        <w:rPr>
          <w:szCs w:val="24"/>
          <w:lang w:val="en-US"/>
        </w:rPr>
      </w:pPr>
      <w:r w:rsidRPr="00A32F1B">
        <w:rPr>
          <w:szCs w:val="24"/>
          <w:lang w:val="en-US"/>
        </w:rPr>
        <w:t>Parallel to the complex nature of Abraxas etymology is the origin of the well-known magical formulae “Abracadabra”. One branch of the existing explanations perceives “Abraxas” as a possible source due to the similarity of the opening syllables</w:t>
      </w:r>
      <w:r w:rsidR="002B24E8">
        <w:rPr>
          <w:szCs w:val="24"/>
          <w:lang w:val="en-US"/>
        </w:rPr>
        <w:t xml:space="preserve"> </w:t>
      </w:r>
      <w:r w:rsidRPr="00A32F1B">
        <w:rPr>
          <w:szCs w:val="24"/>
          <w:lang w:val="en-US"/>
        </w:rPr>
        <w:t xml:space="preserve">and perhaps due to the occurrence of both the word and </w:t>
      </w:r>
      <w:r w:rsidR="002B24E8">
        <w:rPr>
          <w:szCs w:val="24"/>
          <w:lang w:val="en-US"/>
        </w:rPr>
        <w:t>the</w:t>
      </w:r>
      <w:r w:rsidRPr="00A32F1B">
        <w:rPr>
          <w:szCs w:val="24"/>
          <w:lang w:val="en-US"/>
        </w:rPr>
        <w:t xml:space="preserve"> formula</w:t>
      </w:r>
      <w:r w:rsidR="002B24E8">
        <w:rPr>
          <w:szCs w:val="24"/>
          <w:lang w:val="en-US"/>
        </w:rPr>
        <w:t xml:space="preserve"> (although only in its perceived renditions</w:t>
      </w:r>
      <w:r w:rsidR="0060029F" w:rsidRPr="0060029F">
        <w:rPr>
          <w:szCs w:val="24"/>
          <w:lang w:val="en-US"/>
        </w:rPr>
        <w:t xml:space="preserve"> </w:t>
      </w:r>
      <w:r w:rsidR="0060029F" w:rsidRPr="00A32F1B">
        <w:rPr>
          <w:szCs w:val="24"/>
          <w:lang w:val="en-US"/>
        </w:rPr>
        <w:t>ABLATHANALBA (ABΛΑΘΑΝΑΛΒΑ)</w:t>
      </w:r>
      <w:r w:rsidR="0060029F" w:rsidRPr="00A32F1B">
        <w:rPr>
          <w:rStyle w:val="Znakapoznpodarou"/>
          <w:szCs w:val="24"/>
          <w:lang w:val="en-US"/>
        </w:rPr>
        <w:footnoteReference w:id="78"/>
      </w:r>
      <w:r w:rsidR="0060029F" w:rsidRPr="00A32F1B">
        <w:rPr>
          <w:szCs w:val="24"/>
          <w:lang w:val="en-US"/>
        </w:rPr>
        <w:t>, or AKRAKANARBA (ΑΚΡΑΚΑΝAPBA)</w:t>
      </w:r>
      <w:r w:rsidR="0060029F" w:rsidRPr="00A32F1B">
        <w:rPr>
          <w:rStyle w:val="Znakapoznpodarou"/>
          <w:szCs w:val="24"/>
          <w:lang w:val="en-US"/>
        </w:rPr>
        <w:footnoteReference w:id="79"/>
      </w:r>
      <w:r w:rsidR="002B24E8">
        <w:rPr>
          <w:szCs w:val="24"/>
          <w:lang w:val="en-US"/>
        </w:rPr>
        <w:t>)</w:t>
      </w:r>
      <w:r w:rsidRPr="00A32F1B">
        <w:rPr>
          <w:szCs w:val="24"/>
          <w:lang w:val="en-US"/>
        </w:rPr>
        <w:t xml:space="preserve"> in</w:t>
      </w:r>
      <w:r w:rsidR="006C3FFF" w:rsidRPr="00A32F1B">
        <w:rPr>
          <w:szCs w:val="24"/>
          <w:lang w:val="en-US"/>
        </w:rPr>
        <w:t xml:space="preserve"> the Greek magical papyri</w:t>
      </w:r>
      <w:r w:rsidR="00DF049A">
        <w:rPr>
          <w:szCs w:val="24"/>
          <w:lang w:val="en-US"/>
        </w:rPr>
        <w:t>. T</w:t>
      </w:r>
      <w:r w:rsidR="006C3FFF" w:rsidRPr="00A32F1B">
        <w:rPr>
          <w:szCs w:val="24"/>
          <w:lang w:val="en-US"/>
        </w:rPr>
        <w:t>he</w:t>
      </w:r>
      <w:r w:rsidR="00DF049A">
        <w:rPr>
          <w:szCs w:val="24"/>
          <w:lang w:val="en-US"/>
        </w:rPr>
        <w:t xml:space="preserve"> renditions </w:t>
      </w:r>
      <w:r w:rsidR="006C3FFF" w:rsidRPr="00A32F1B">
        <w:rPr>
          <w:szCs w:val="24"/>
          <w:lang w:val="en-US"/>
        </w:rPr>
        <w:t>appear either in the context with Abraxas, or in the</w:t>
      </w:r>
      <w:r w:rsidR="006C3FFF">
        <w:rPr>
          <w:szCs w:val="24"/>
          <w:lang w:val="en-US"/>
        </w:rPr>
        <w:t xml:space="preserve"> </w:t>
      </w:r>
      <w:r w:rsidR="006C3FFF" w:rsidRPr="00A32F1B">
        <w:rPr>
          <w:szCs w:val="24"/>
          <w:lang w:val="en-US"/>
        </w:rPr>
        <w:t xml:space="preserve">parallel context without the word Abraxas. </w:t>
      </w:r>
    </w:p>
    <w:p w14:paraId="342ED571" w14:textId="705CB0C1" w:rsidR="000E534B" w:rsidRPr="00A32F1B" w:rsidRDefault="000E534B" w:rsidP="00DF049A">
      <w:pPr>
        <w:rPr>
          <w:szCs w:val="24"/>
          <w:lang w:val="en-US"/>
        </w:rPr>
      </w:pPr>
      <w:r w:rsidRPr="00A32F1B">
        <w:rPr>
          <w:szCs w:val="24"/>
          <w:lang w:val="en-US"/>
        </w:rPr>
        <w:t xml:space="preserve">Other theories try to find the etymology in Aramaic deriving from the word “dabrah” meaning </w:t>
      </w:r>
      <w:r w:rsidR="00A61B90">
        <w:rPr>
          <w:szCs w:val="24"/>
          <w:lang w:val="en-US"/>
        </w:rPr>
        <w:t>“</w:t>
      </w:r>
      <w:r w:rsidRPr="00A32F1B">
        <w:rPr>
          <w:szCs w:val="24"/>
          <w:lang w:val="en-US"/>
        </w:rPr>
        <w:t>speech or words</w:t>
      </w:r>
      <w:r w:rsidR="00A61B90">
        <w:rPr>
          <w:szCs w:val="24"/>
          <w:lang w:val="en-US"/>
        </w:rPr>
        <w:t>”</w:t>
      </w:r>
      <w:r w:rsidRPr="00A32F1B">
        <w:rPr>
          <w:szCs w:val="24"/>
          <w:lang w:val="en-US"/>
        </w:rPr>
        <w:t xml:space="preserve">; however, the form of the word given in the theory points toward Hebrew rather than to Aramaic, furthermore the theories have no unequivocal supporting evidence in the ancient sources. Although no theory of “Abracadabra” etymology with roots in Aramaic, or Hebrew for that matter, was approved, it is widely spread, and often accepted, notion in </w:t>
      </w:r>
      <w:r w:rsidR="00B471DD">
        <w:rPr>
          <w:szCs w:val="24"/>
          <w:lang w:val="en-US"/>
        </w:rPr>
        <w:t>diverse</w:t>
      </w:r>
      <w:r w:rsidRPr="00A32F1B">
        <w:rPr>
          <w:szCs w:val="24"/>
          <w:lang w:val="en-US"/>
        </w:rPr>
        <w:t xml:space="preserve"> texts.</w:t>
      </w:r>
      <w:r w:rsidRPr="00A32F1B">
        <w:rPr>
          <w:rStyle w:val="Znakapoznpodarou"/>
          <w:szCs w:val="24"/>
          <w:lang w:val="en-US"/>
        </w:rPr>
        <w:footnoteReference w:id="80"/>
      </w:r>
    </w:p>
    <w:p w14:paraId="7B294076" w14:textId="77777777" w:rsidR="007416CA" w:rsidRDefault="000E534B" w:rsidP="00C32BA6">
      <w:pPr>
        <w:rPr>
          <w:szCs w:val="24"/>
          <w:lang w:val="en-US"/>
        </w:rPr>
      </w:pPr>
      <w:r w:rsidRPr="00A32F1B">
        <w:rPr>
          <w:szCs w:val="24"/>
          <w:lang w:val="en-US"/>
        </w:rPr>
        <w:t xml:space="preserve">First known use of the formula in the European context was discovered in </w:t>
      </w:r>
      <w:r w:rsidRPr="00A32F1B">
        <w:rPr>
          <w:i/>
          <w:iCs/>
          <w:szCs w:val="24"/>
          <w:lang w:val="en-US"/>
        </w:rPr>
        <w:t>Liber medicinalis</w:t>
      </w:r>
      <w:r w:rsidR="00A61B90">
        <w:rPr>
          <w:szCs w:val="24"/>
          <w:lang w:val="en-US"/>
        </w:rPr>
        <w:t>,</w:t>
      </w:r>
      <w:r w:rsidRPr="00A32F1B">
        <w:rPr>
          <w:szCs w:val="24"/>
          <w:lang w:val="en-US"/>
        </w:rPr>
        <w:t xml:space="preserve"> Latin </w:t>
      </w:r>
      <w:r w:rsidR="00A61B90">
        <w:rPr>
          <w:szCs w:val="24"/>
          <w:lang w:val="en-US"/>
        </w:rPr>
        <w:t>text authored by</w:t>
      </w:r>
      <w:r w:rsidRPr="00A32F1B">
        <w:rPr>
          <w:szCs w:val="24"/>
          <w:lang w:val="en-US"/>
        </w:rPr>
        <w:t xml:space="preserve"> Quintus Serenus Sammonicus (ca. 2</w:t>
      </w:r>
      <w:r w:rsidRPr="00A32F1B">
        <w:rPr>
          <w:szCs w:val="24"/>
          <w:vertAlign w:val="superscript"/>
          <w:lang w:val="en-US"/>
        </w:rPr>
        <w:t>nd</w:t>
      </w:r>
      <w:r w:rsidRPr="00A32F1B">
        <w:rPr>
          <w:szCs w:val="24"/>
          <w:lang w:val="en-US"/>
        </w:rPr>
        <w:t xml:space="preserve"> century</w:t>
      </w:r>
      <w:r w:rsidR="00A61B90">
        <w:rPr>
          <w:szCs w:val="24"/>
          <w:lang w:val="en-US"/>
        </w:rPr>
        <w:t xml:space="preserve"> CE</w:t>
      </w:r>
      <w:r w:rsidRPr="00A32F1B">
        <w:rPr>
          <w:szCs w:val="24"/>
          <w:lang w:val="en-US"/>
        </w:rPr>
        <w:t>), Roman physician</w:t>
      </w:r>
      <w:r w:rsidR="00A61B90">
        <w:rPr>
          <w:szCs w:val="24"/>
          <w:lang w:val="en-US"/>
        </w:rPr>
        <w:t>.</w:t>
      </w:r>
      <w:r w:rsidRPr="00A32F1B">
        <w:rPr>
          <w:szCs w:val="24"/>
          <w:lang w:val="en-US"/>
        </w:rPr>
        <w:t xml:space="preserve"> </w:t>
      </w:r>
      <w:r w:rsidR="00A61B90">
        <w:rPr>
          <w:szCs w:val="24"/>
          <w:lang w:val="en-US"/>
        </w:rPr>
        <w:t>The book</w:t>
      </w:r>
      <w:r w:rsidRPr="00A32F1B">
        <w:rPr>
          <w:szCs w:val="24"/>
          <w:lang w:val="en-US"/>
        </w:rPr>
        <w:t xml:space="preserve"> proposed t</w:t>
      </w:r>
      <w:r w:rsidR="00A61B90">
        <w:rPr>
          <w:szCs w:val="24"/>
          <w:lang w:val="en-US"/>
        </w:rPr>
        <w:t>o</w:t>
      </w:r>
      <w:r w:rsidRPr="00A32F1B">
        <w:rPr>
          <w:szCs w:val="24"/>
          <w:lang w:val="en-US"/>
        </w:rPr>
        <w:t xml:space="preserve"> use an amulet with “Abracadabra” as a treatment of fever; written on a</w:t>
      </w:r>
      <w:r w:rsidR="002D1FE3" w:rsidRPr="00A32F1B">
        <w:rPr>
          <w:szCs w:val="24"/>
          <w:lang w:val="en-US"/>
        </w:rPr>
        <w:t> </w:t>
      </w:r>
      <w:r w:rsidRPr="00A32F1B">
        <w:rPr>
          <w:szCs w:val="24"/>
          <w:lang w:val="en-US"/>
        </w:rPr>
        <w:t>parchment in triangular shape reducing the formula</w:t>
      </w:r>
      <w:r w:rsidR="00A61B90">
        <w:rPr>
          <w:szCs w:val="24"/>
          <w:lang w:val="en-US"/>
        </w:rPr>
        <w:t xml:space="preserve"> from both directions</w:t>
      </w:r>
      <w:r w:rsidRPr="00A32F1B">
        <w:rPr>
          <w:szCs w:val="24"/>
          <w:lang w:val="en-US"/>
        </w:rPr>
        <w:t xml:space="preserve"> till </w:t>
      </w:r>
      <w:r w:rsidR="00A61B90">
        <w:rPr>
          <w:szCs w:val="24"/>
          <w:lang w:val="en-US"/>
        </w:rPr>
        <w:t xml:space="preserve">only </w:t>
      </w:r>
      <w:r w:rsidRPr="00A32F1B">
        <w:rPr>
          <w:szCs w:val="24"/>
          <w:lang w:val="en-US"/>
        </w:rPr>
        <w:t>the letter A</w:t>
      </w:r>
      <w:r w:rsidR="00A61B90">
        <w:rPr>
          <w:szCs w:val="24"/>
          <w:lang w:val="en-US"/>
        </w:rPr>
        <w:t xml:space="preserve"> remains</w:t>
      </w:r>
      <w:r w:rsidRPr="00A32F1B">
        <w:rPr>
          <w:szCs w:val="24"/>
          <w:lang w:val="en-US"/>
        </w:rPr>
        <w:t>.</w:t>
      </w:r>
      <w:r w:rsidRPr="00A32F1B">
        <w:rPr>
          <w:rStyle w:val="Znakapoznpodarou"/>
          <w:szCs w:val="24"/>
          <w:lang w:val="en-US"/>
        </w:rPr>
        <w:footnoteReference w:id="81"/>
      </w:r>
    </w:p>
    <w:p w14:paraId="529E2DAD" w14:textId="2A8032C1" w:rsidR="005B592F" w:rsidRPr="00A32F1B" w:rsidRDefault="000E534B" w:rsidP="00C32BA6">
      <w:pPr>
        <w:rPr>
          <w:szCs w:val="24"/>
          <w:lang w:val="en-US"/>
        </w:rPr>
      </w:pPr>
      <w:r w:rsidRPr="00A32F1B">
        <w:rPr>
          <w:szCs w:val="24"/>
          <w:lang w:val="en-US"/>
        </w:rPr>
        <w:t>Since the 2</w:t>
      </w:r>
      <w:r w:rsidRPr="00A32F1B">
        <w:rPr>
          <w:szCs w:val="24"/>
          <w:vertAlign w:val="superscript"/>
          <w:lang w:val="en-US"/>
        </w:rPr>
        <w:t>nd</w:t>
      </w:r>
      <w:r w:rsidRPr="00A32F1B">
        <w:rPr>
          <w:szCs w:val="24"/>
          <w:lang w:val="en-US"/>
        </w:rPr>
        <w:t xml:space="preserve"> century the word “Abraxas” and the formula “Abracadabra” and their variations were found on variety of amulets and they were comprehended as </w:t>
      </w:r>
      <w:r w:rsidRPr="00A32F1B">
        <w:rPr>
          <w:i/>
          <w:iCs/>
          <w:szCs w:val="24"/>
          <w:lang w:val="en-US"/>
        </w:rPr>
        <w:t>voces magicae</w:t>
      </w:r>
      <w:r w:rsidRPr="00A32F1B">
        <w:rPr>
          <w:szCs w:val="24"/>
          <w:lang w:val="en-US"/>
        </w:rPr>
        <w:t xml:space="preserve"> – magical words that entered standard knowledge and use in magical practices; the use of various alterations of “</w:t>
      </w:r>
      <w:r w:rsidR="007416CA">
        <w:rPr>
          <w:szCs w:val="24"/>
          <w:lang w:val="en-US"/>
        </w:rPr>
        <w:t>A</w:t>
      </w:r>
      <w:r w:rsidRPr="00A32F1B">
        <w:rPr>
          <w:szCs w:val="24"/>
          <w:lang w:val="en-US"/>
        </w:rPr>
        <w:t>bracadabra” on amulets, similar to Sammonicus’s practice, can be traced at least to the 17</w:t>
      </w:r>
      <w:r w:rsidRPr="00A32F1B">
        <w:rPr>
          <w:szCs w:val="24"/>
          <w:vertAlign w:val="superscript"/>
          <w:lang w:val="en-US"/>
        </w:rPr>
        <w:t>th</w:t>
      </w:r>
      <w:r w:rsidRPr="00A32F1B">
        <w:rPr>
          <w:szCs w:val="24"/>
          <w:lang w:val="en-US"/>
        </w:rPr>
        <w:t xml:space="preserve"> century, </w:t>
      </w:r>
      <w:r w:rsidR="007416CA">
        <w:rPr>
          <w:szCs w:val="24"/>
          <w:lang w:val="en-US"/>
        </w:rPr>
        <w:t>when</w:t>
      </w:r>
      <w:r w:rsidRPr="00A32F1B">
        <w:rPr>
          <w:szCs w:val="24"/>
          <w:lang w:val="en-US"/>
        </w:rPr>
        <w:t xml:space="preserve"> it </w:t>
      </w:r>
      <w:r w:rsidR="007416CA">
        <w:rPr>
          <w:szCs w:val="24"/>
          <w:lang w:val="en-US"/>
        </w:rPr>
        <w:t xml:space="preserve">was </w:t>
      </w:r>
      <w:r w:rsidR="007652DE">
        <w:rPr>
          <w:szCs w:val="24"/>
          <w:lang w:val="en-US"/>
        </w:rPr>
        <w:t>prescribed as a medical</w:t>
      </w:r>
      <w:r w:rsidR="007416CA">
        <w:rPr>
          <w:szCs w:val="24"/>
          <w:lang w:val="en-US"/>
        </w:rPr>
        <w:t xml:space="preserve"> </w:t>
      </w:r>
      <w:r w:rsidR="007652DE">
        <w:rPr>
          <w:szCs w:val="24"/>
          <w:lang w:val="en-US"/>
        </w:rPr>
        <w:lastRenderedPageBreak/>
        <w:t xml:space="preserve">remedy </w:t>
      </w:r>
      <w:r w:rsidR="007416CA">
        <w:rPr>
          <w:szCs w:val="24"/>
          <w:lang w:val="en-US"/>
        </w:rPr>
        <w:t xml:space="preserve">to cure and protect from </w:t>
      </w:r>
      <w:r w:rsidRPr="00A32F1B">
        <w:rPr>
          <w:szCs w:val="24"/>
          <w:lang w:val="en-US"/>
        </w:rPr>
        <w:t>plague.</w:t>
      </w:r>
      <w:r w:rsidRPr="00A32F1B">
        <w:rPr>
          <w:rStyle w:val="Znakapoznpodarou"/>
          <w:szCs w:val="24"/>
          <w:lang w:val="en-US"/>
        </w:rPr>
        <w:footnoteReference w:id="82"/>
      </w:r>
      <w:r w:rsidRPr="00A32F1B">
        <w:rPr>
          <w:szCs w:val="24"/>
          <w:lang w:val="en-US"/>
        </w:rPr>
        <w:t xml:space="preserve"> Renditions of the formula appeared and reappeared in medieval Italy, in Columbia, in Wiccan culture created in the 20</w:t>
      </w:r>
      <w:r w:rsidRPr="00A32F1B">
        <w:rPr>
          <w:szCs w:val="24"/>
          <w:vertAlign w:val="superscript"/>
          <w:lang w:val="en-US"/>
        </w:rPr>
        <w:t>th</w:t>
      </w:r>
      <w:r w:rsidRPr="00A32F1B">
        <w:rPr>
          <w:szCs w:val="24"/>
          <w:lang w:val="en-US"/>
        </w:rPr>
        <w:t xml:space="preserve"> century, and again in modern pop-culture in books by Dan Brown or J. K. Rowling.</w:t>
      </w:r>
      <w:r w:rsidRPr="00A32F1B">
        <w:rPr>
          <w:rStyle w:val="Znakapoznpodarou"/>
          <w:szCs w:val="24"/>
          <w:lang w:val="en-US"/>
        </w:rPr>
        <w:footnoteReference w:id="83"/>
      </w:r>
      <w:r w:rsidRPr="00A32F1B">
        <w:rPr>
          <w:szCs w:val="24"/>
          <w:lang w:val="en-US"/>
        </w:rPr>
        <w:t xml:space="preserve"> In addition, the formula is universally perceived as a stereotypical </w:t>
      </w:r>
      <w:r w:rsidR="00A80A00" w:rsidRPr="00A32F1B">
        <w:rPr>
          <w:szCs w:val="24"/>
          <w:lang w:val="en-US"/>
        </w:rPr>
        <w:t>element introducing</w:t>
      </w:r>
      <w:r w:rsidRPr="00A32F1B">
        <w:rPr>
          <w:szCs w:val="24"/>
          <w:lang w:val="en-US"/>
        </w:rPr>
        <w:t xml:space="preserve"> magical practices.</w:t>
      </w:r>
    </w:p>
    <w:p w14:paraId="2D0979EF" w14:textId="71E64E01" w:rsidR="00B71E92" w:rsidRPr="00A32F1B" w:rsidRDefault="00CE1DA8" w:rsidP="00C32BA6">
      <w:pPr>
        <w:rPr>
          <w:szCs w:val="24"/>
          <w:highlight w:val="cyan"/>
          <w:lang w:val="en-US"/>
        </w:rPr>
      </w:pPr>
      <w:r w:rsidRPr="00A32F1B">
        <w:rPr>
          <w:szCs w:val="24"/>
          <w:lang w:val="en-US"/>
        </w:rPr>
        <w:t>From a formula of dubious origin but effective magical use</w:t>
      </w:r>
      <w:r w:rsidR="000B57DE" w:rsidRPr="00A32F1B">
        <w:rPr>
          <w:szCs w:val="24"/>
          <w:lang w:val="en-US"/>
        </w:rPr>
        <w:t xml:space="preserve"> </w:t>
      </w:r>
      <w:r w:rsidRPr="00A32F1B">
        <w:rPr>
          <w:szCs w:val="24"/>
          <w:lang w:val="en-US"/>
        </w:rPr>
        <w:t>“Abracadabra” became a</w:t>
      </w:r>
      <w:r w:rsidR="002D1FE3" w:rsidRPr="00A32F1B">
        <w:rPr>
          <w:szCs w:val="24"/>
          <w:lang w:val="en-US"/>
        </w:rPr>
        <w:t> </w:t>
      </w:r>
      <w:r w:rsidRPr="00A32F1B">
        <w:rPr>
          <w:szCs w:val="24"/>
          <w:lang w:val="en-US"/>
        </w:rPr>
        <w:t>category of formulas</w:t>
      </w:r>
      <w:r w:rsidR="004B65FF" w:rsidRPr="00A32F1B">
        <w:rPr>
          <w:szCs w:val="24"/>
          <w:lang w:val="en-US"/>
        </w:rPr>
        <w:t xml:space="preserve"> used in magical practices </w:t>
      </w:r>
      <w:r w:rsidRPr="00A32F1B">
        <w:rPr>
          <w:szCs w:val="24"/>
          <w:lang w:val="en-US"/>
        </w:rPr>
        <w:t xml:space="preserve">that have a function but do not carry lexical meaning – “an expression which certainly </w:t>
      </w:r>
      <w:r w:rsidRPr="00A32F1B">
        <w:rPr>
          <w:i/>
          <w:iCs/>
          <w:szCs w:val="24"/>
          <w:lang w:val="en-US"/>
        </w:rPr>
        <w:t>has</w:t>
      </w:r>
      <w:r w:rsidRPr="00A32F1B">
        <w:rPr>
          <w:szCs w:val="24"/>
          <w:lang w:val="en-US"/>
        </w:rPr>
        <w:t xml:space="preserve"> a sense …, but which does not </w:t>
      </w:r>
      <w:r w:rsidRPr="00A32F1B">
        <w:rPr>
          <w:i/>
          <w:iCs/>
          <w:szCs w:val="24"/>
          <w:lang w:val="en-US"/>
        </w:rPr>
        <w:t>make</w:t>
      </w:r>
      <w:r w:rsidRPr="00A32F1B">
        <w:rPr>
          <w:szCs w:val="24"/>
          <w:lang w:val="en-US"/>
        </w:rPr>
        <w:t xml:space="preserve"> a sense.”</w:t>
      </w:r>
      <w:r w:rsidRPr="00A32F1B">
        <w:rPr>
          <w:rStyle w:val="Znakapoznpodarou"/>
          <w:szCs w:val="24"/>
          <w:lang w:val="en-US"/>
        </w:rPr>
        <w:footnoteReference w:id="84"/>
      </w:r>
      <w:r w:rsidR="00055E07" w:rsidRPr="00A32F1B">
        <w:rPr>
          <w:szCs w:val="24"/>
          <w:lang w:val="en-US"/>
        </w:rPr>
        <w:t xml:space="preserve"> </w:t>
      </w:r>
      <w:r w:rsidR="004B65FF" w:rsidRPr="00A32F1B">
        <w:rPr>
          <w:szCs w:val="24"/>
          <w:lang w:val="en-US"/>
        </w:rPr>
        <w:t xml:space="preserve">Discussion of the possible or probable origin of such formulas led to various conclusions, one </w:t>
      </w:r>
      <w:r w:rsidR="00513230" w:rsidRPr="00A32F1B">
        <w:rPr>
          <w:szCs w:val="24"/>
          <w:lang w:val="en-US"/>
        </w:rPr>
        <w:t>of which presented</w:t>
      </w:r>
      <w:r w:rsidR="004B65FF" w:rsidRPr="00A32F1B">
        <w:rPr>
          <w:szCs w:val="24"/>
          <w:lang w:val="en-US"/>
        </w:rPr>
        <w:t xml:space="preserve"> a theory that the formulas </w:t>
      </w:r>
      <w:r w:rsidR="00055E07" w:rsidRPr="00A32F1B">
        <w:rPr>
          <w:szCs w:val="24"/>
          <w:lang w:val="en-US"/>
        </w:rPr>
        <w:t>could have a</w:t>
      </w:r>
      <w:r w:rsidR="00B234A3" w:rsidRPr="00A32F1B">
        <w:rPr>
          <w:szCs w:val="24"/>
          <w:lang w:val="en-US"/>
        </w:rPr>
        <w:t> </w:t>
      </w:r>
      <w:r w:rsidR="00055E07" w:rsidRPr="00A32F1B">
        <w:rPr>
          <w:szCs w:val="24"/>
          <w:lang w:val="en-US"/>
        </w:rPr>
        <w:t>lexical meaning previously</w:t>
      </w:r>
      <w:r w:rsidR="00513230" w:rsidRPr="00A32F1B">
        <w:rPr>
          <w:szCs w:val="24"/>
          <w:lang w:val="en-US"/>
        </w:rPr>
        <w:t xml:space="preserve"> but it was lost due to prolonged time period or </w:t>
      </w:r>
      <w:r w:rsidR="007652DE">
        <w:rPr>
          <w:szCs w:val="24"/>
          <w:lang w:val="en-US"/>
        </w:rPr>
        <w:t xml:space="preserve">it comes from </w:t>
      </w:r>
      <w:r w:rsidR="00513230" w:rsidRPr="00A32F1B">
        <w:rPr>
          <w:szCs w:val="24"/>
          <w:lang w:val="en-US"/>
        </w:rPr>
        <w:t>forgotten</w:t>
      </w:r>
      <w:r w:rsidR="003A5169" w:rsidRPr="00A32F1B">
        <w:rPr>
          <w:szCs w:val="24"/>
          <w:lang w:val="en-US"/>
        </w:rPr>
        <w:t>/dead</w:t>
      </w:r>
      <w:r w:rsidR="00513230" w:rsidRPr="00A32F1B">
        <w:rPr>
          <w:szCs w:val="24"/>
          <w:lang w:val="en-US"/>
        </w:rPr>
        <w:t xml:space="preserve"> language, </w:t>
      </w:r>
      <w:r w:rsidR="00055E07" w:rsidRPr="00A32F1B">
        <w:rPr>
          <w:szCs w:val="24"/>
          <w:lang w:val="en-US"/>
        </w:rPr>
        <w:t xml:space="preserve">or </w:t>
      </w:r>
      <w:r w:rsidR="007652DE">
        <w:rPr>
          <w:szCs w:val="24"/>
          <w:lang w:val="en-US"/>
        </w:rPr>
        <w:t xml:space="preserve">at least </w:t>
      </w:r>
      <w:r w:rsidR="00055E07" w:rsidRPr="00A32F1B">
        <w:rPr>
          <w:szCs w:val="24"/>
          <w:lang w:val="en-US"/>
        </w:rPr>
        <w:t xml:space="preserve">a part of </w:t>
      </w:r>
      <w:r w:rsidR="00513230" w:rsidRPr="00A32F1B">
        <w:rPr>
          <w:szCs w:val="24"/>
          <w:lang w:val="en-US"/>
        </w:rPr>
        <w:t>the formula</w:t>
      </w:r>
      <w:r w:rsidR="00055E07" w:rsidRPr="00A32F1B">
        <w:rPr>
          <w:szCs w:val="24"/>
          <w:lang w:val="en-US"/>
        </w:rPr>
        <w:t xml:space="preserve"> could have a previous lexical meaning.</w:t>
      </w:r>
      <w:r w:rsidR="00513230" w:rsidRPr="00A32F1B">
        <w:rPr>
          <w:rStyle w:val="Znakapoznpodarou"/>
          <w:szCs w:val="24"/>
          <w:lang w:val="en-US"/>
        </w:rPr>
        <w:footnoteReference w:id="85"/>
      </w:r>
      <w:r w:rsidR="00513230" w:rsidRPr="00A32F1B">
        <w:rPr>
          <w:szCs w:val="24"/>
          <w:lang w:val="en-US"/>
        </w:rPr>
        <w:t xml:space="preserve"> </w:t>
      </w:r>
      <w:r w:rsidR="00B14AF0" w:rsidRPr="00A32F1B">
        <w:rPr>
          <w:szCs w:val="24"/>
          <w:lang w:val="en-US"/>
        </w:rPr>
        <w:t>Modern linguistics accepted this category and use</w:t>
      </w:r>
      <w:r w:rsidR="007652DE">
        <w:rPr>
          <w:szCs w:val="24"/>
          <w:lang w:val="en-US"/>
        </w:rPr>
        <w:t>s</w:t>
      </w:r>
      <w:r w:rsidR="00B14AF0" w:rsidRPr="00A32F1B">
        <w:rPr>
          <w:szCs w:val="24"/>
          <w:lang w:val="en-US"/>
        </w:rPr>
        <w:t xml:space="preserve"> it as </w:t>
      </w:r>
      <w:r w:rsidR="00C27725" w:rsidRPr="00A32F1B">
        <w:rPr>
          <w:szCs w:val="24"/>
          <w:lang w:val="en-US"/>
        </w:rPr>
        <w:t>an</w:t>
      </w:r>
      <w:r w:rsidR="00B14AF0" w:rsidRPr="00A32F1B">
        <w:rPr>
          <w:szCs w:val="24"/>
          <w:lang w:val="en-US"/>
        </w:rPr>
        <w:t xml:space="preserve"> exemplary category in the research of reduplicative constructions putting “Abracadabra” on the level of </w:t>
      </w:r>
      <w:r w:rsidR="00B14AF0" w:rsidRPr="00A32F1B">
        <w:rPr>
          <w:i/>
          <w:iCs/>
          <w:szCs w:val="24"/>
          <w:lang w:val="en-US"/>
        </w:rPr>
        <w:t>voces magicae</w:t>
      </w:r>
      <w:r w:rsidR="00B14AF0" w:rsidRPr="00A32F1B">
        <w:rPr>
          <w:szCs w:val="24"/>
          <w:lang w:val="en-US"/>
        </w:rPr>
        <w:t xml:space="preserve"> and </w:t>
      </w:r>
      <w:r w:rsidR="00B14AF0" w:rsidRPr="00A32F1B">
        <w:rPr>
          <w:i/>
          <w:iCs/>
          <w:szCs w:val="24"/>
          <w:lang w:val="en-US"/>
        </w:rPr>
        <w:t>nomina barbara</w:t>
      </w:r>
      <w:r w:rsidR="00B14AF0" w:rsidRPr="00A32F1B">
        <w:rPr>
          <w:szCs w:val="24"/>
          <w:lang w:val="en-US"/>
        </w:rPr>
        <w:t>.</w:t>
      </w:r>
      <w:r w:rsidR="00B14AF0" w:rsidRPr="00A32F1B">
        <w:rPr>
          <w:rStyle w:val="Znakapoznpodarou"/>
          <w:szCs w:val="24"/>
          <w:lang w:val="en-US"/>
        </w:rPr>
        <w:footnoteReference w:id="86"/>
      </w:r>
      <w:r w:rsidR="00B71E92" w:rsidRPr="00A32F1B">
        <w:rPr>
          <w:szCs w:val="24"/>
          <w:highlight w:val="cyan"/>
          <w:lang w:val="en-US"/>
        </w:rPr>
        <w:t xml:space="preserve"> </w:t>
      </w:r>
    </w:p>
    <w:p w14:paraId="456E61E1" w14:textId="060E456F" w:rsidR="00B14AF0" w:rsidRPr="00A32F1B" w:rsidRDefault="00B71E92" w:rsidP="00C32BA6">
      <w:pPr>
        <w:rPr>
          <w:szCs w:val="24"/>
          <w:lang w:val="en-US"/>
        </w:rPr>
      </w:pPr>
      <w:r w:rsidRPr="00A32F1B">
        <w:rPr>
          <w:szCs w:val="24"/>
          <w:lang w:val="en-US"/>
        </w:rPr>
        <w:t xml:space="preserve">The etymology was not the only essential point that was of interest in the assessment of Abraxas, simultaneously scholars were debating the key character of the name – whether it is a proper name of an entity, or it is a word with magical properties but without a self-evident entity behind it; for </w:t>
      </w:r>
      <w:r w:rsidR="009E41D4" w:rsidRPr="00A32F1B">
        <w:rPr>
          <w:szCs w:val="24"/>
          <w:lang w:val="en-US"/>
        </w:rPr>
        <w:t>example,</w:t>
      </w:r>
      <w:r w:rsidRPr="00A32F1B">
        <w:rPr>
          <w:szCs w:val="24"/>
          <w:lang w:val="en-US"/>
        </w:rPr>
        <w:t xml:space="preserve"> the Greek magical papyri present combination of both</w:t>
      </w:r>
      <w:r w:rsidR="00EB7887" w:rsidRPr="00A32F1B">
        <w:rPr>
          <w:szCs w:val="24"/>
          <w:lang w:val="en-US"/>
        </w:rPr>
        <w:t xml:space="preserve"> </w:t>
      </w:r>
      <w:r w:rsidR="00EB7887" w:rsidRPr="00A32F1B">
        <w:rPr>
          <w:lang w:val="en-US"/>
        </w:rPr>
        <w:t>–</w:t>
      </w:r>
      <w:r w:rsidR="00EB7887" w:rsidRPr="00A32F1B">
        <w:rPr>
          <w:szCs w:val="24"/>
          <w:lang w:val="en-US"/>
        </w:rPr>
        <w:t xml:space="preserve"> </w:t>
      </w:r>
      <w:r w:rsidRPr="00A32F1B">
        <w:rPr>
          <w:szCs w:val="24"/>
          <w:lang w:val="en-US"/>
        </w:rPr>
        <w:t>“for I am Abrasax”</w:t>
      </w:r>
      <w:r w:rsidRPr="00A32F1B">
        <w:rPr>
          <w:rStyle w:val="Znakapoznpodarou"/>
          <w:szCs w:val="24"/>
          <w:lang w:val="en-US"/>
        </w:rPr>
        <w:footnoteReference w:id="87"/>
      </w:r>
      <w:r w:rsidRPr="00A32F1B">
        <w:rPr>
          <w:szCs w:val="24"/>
          <w:lang w:val="en-US"/>
        </w:rPr>
        <w:t>, “I, Abrasax, shall deliver. Abrasax am I!”</w:t>
      </w:r>
      <w:r w:rsidRPr="00A32F1B">
        <w:rPr>
          <w:rStyle w:val="Znakapoznpodarou"/>
          <w:szCs w:val="24"/>
          <w:lang w:val="en-US"/>
        </w:rPr>
        <w:footnoteReference w:id="88"/>
      </w:r>
      <w:r w:rsidRPr="00A32F1B">
        <w:rPr>
          <w:szCs w:val="24"/>
          <w:lang w:val="en-US"/>
        </w:rPr>
        <w:t>, or Abraxas present in an illegible list of words and/or names.</w:t>
      </w:r>
      <w:r w:rsidRPr="00A32F1B">
        <w:rPr>
          <w:rStyle w:val="Znakapoznpodarou"/>
          <w:szCs w:val="24"/>
          <w:lang w:val="en-US"/>
        </w:rPr>
        <w:footnoteReference w:id="89"/>
      </w:r>
      <w:r w:rsidRPr="00A32F1B">
        <w:rPr>
          <w:szCs w:val="24"/>
          <w:lang w:val="en-US"/>
        </w:rPr>
        <w:t xml:space="preserve"> </w:t>
      </w:r>
    </w:p>
    <w:p w14:paraId="080103DF" w14:textId="5D2A0D1D" w:rsidR="00113A70" w:rsidRPr="00A32F1B" w:rsidRDefault="00EC7854" w:rsidP="00C32BA6">
      <w:pPr>
        <w:rPr>
          <w:szCs w:val="24"/>
          <w:lang w:val="en-US"/>
        </w:rPr>
      </w:pPr>
      <w:r w:rsidRPr="00A32F1B">
        <w:rPr>
          <w:szCs w:val="24"/>
          <w:lang w:val="en-US"/>
        </w:rPr>
        <w:t xml:space="preserve">The essential external dispositions, </w:t>
      </w:r>
      <w:proofErr w:type="gramStart"/>
      <w:r w:rsidRPr="00A32F1B">
        <w:rPr>
          <w:szCs w:val="24"/>
          <w:lang w:val="en-US"/>
        </w:rPr>
        <w:t>i.e.</w:t>
      </w:r>
      <w:proofErr w:type="gramEnd"/>
      <w:r w:rsidRPr="00A32F1B">
        <w:rPr>
          <w:szCs w:val="24"/>
          <w:lang w:val="en-US"/>
        </w:rPr>
        <w:t xml:space="preserve"> how Abraxas was</w:t>
      </w:r>
      <w:r w:rsidR="002E55D6">
        <w:rPr>
          <w:szCs w:val="24"/>
          <w:lang w:val="en-US"/>
        </w:rPr>
        <w:t xml:space="preserve"> and still is</w:t>
      </w:r>
      <w:r w:rsidRPr="00A32F1B">
        <w:rPr>
          <w:szCs w:val="24"/>
          <w:lang w:val="en-US"/>
        </w:rPr>
        <w:t xml:space="preserve"> perceived by inquiring scholars, has been explored</w:t>
      </w:r>
      <w:r w:rsidR="002E55D6">
        <w:rPr>
          <w:szCs w:val="24"/>
          <w:lang w:val="en-US"/>
        </w:rPr>
        <w:t>;</w:t>
      </w:r>
      <w:r w:rsidRPr="00A32F1B">
        <w:rPr>
          <w:szCs w:val="24"/>
          <w:lang w:val="en-US"/>
        </w:rPr>
        <w:t xml:space="preserve"> and now the question of internal dispositions, i.e.</w:t>
      </w:r>
      <w:r w:rsidR="00B234A3" w:rsidRPr="00A32F1B">
        <w:rPr>
          <w:szCs w:val="24"/>
          <w:lang w:val="en-US"/>
        </w:rPr>
        <w:t> </w:t>
      </w:r>
      <w:r w:rsidRPr="00A32F1B">
        <w:rPr>
          <w:szCs w:val="24"/>
          <w:lang w:val="en-US"/>
        </w:rPr>
        <w:t xml:space="preserve">who Abraxas is, remains. The study of internal dispositions does not expect any extent of personification, albeit it strives to assess Abraxas’s identity and origin involving examination of several aspects, </w:t>
      </w:r>
      <w:proofErr w:type="gramStart"/>
      <w:r w:rsidRPr="00A32F1B">
        <w:rPr>
          <w:szCs w:val="24"/>
          <w:lang w:val="en-US"/>
        </w:rPr>
        <w:t>e.g.</w:t>
      </w:r>
      <w:proofErr w:type="gramEnd"/>
      <w:r w:rsidR="002D1FE3" w:rsidRPr="00A32F1B">
        <w:rPr>
          <w:szCs w:val="24"/>
          <w:lang w:val="en-US"/>
        </w:rPr>
        <w:t> </w:t>
      </w:r>
      <w:r w:rsidRPr="00A32F1B">
        <w:rPr>
          <w:szCs w:val="24"/>
          <w:lang w:val="en-US"/>
        </w:rPr>
        <w:t xml:space="preserve">orthographic forms of the name Abraxas, textual </w:t>
      </w:r>
      <w:r w:rsidRPr="00A32F1B">
        <w:rPr>
          <w:szCs w:val="24"/>
          <w:lang w:val="en-US"/>
        </w:rPr>
        <w:lastRenderedPageBreak/>
        <w:t xml:space="preserve">context and co-occurrence of words and names. The sources subjected to this examination include </w:t>
      </w:r>
      <w:r w:rsidR="00B71E92" w:rsidRPr="00A32F1B">
        <w:rPr>
          <w:szCs w:val="24"/>
          <w:lang w:val="en-US"/>
        </w:rPr>
        <w:t>Gnostic literature</w:t>
      </w:r>
      <w:r w:rsidRPr="00A32F1B">
        <w:rPr>
          <w:szCs w:val="24"/>
          <w:lang w:val="en-US"/>
        </w:rPr>
        <w:t xml:space="preserve">, Greek </w:t>
      </w:r>
      <w:r w:rsidR="00BE0EDE" w:rsidRPr="00A32F1B">
        <w:rPr>
          <w:szCs w:val="24"/>
          <w:lang w:val="en-US"/>
        </w:rPr>
        <w:t>m</w:t>
      </w:r>
      <w:r w:rsidRPr="00A32F1B">
        <w:rPr>
          <w:szCs w:val="24"/>
          <w:lang w:val="en-US"/>
        </w:rPr>
        <w:t xml:space="preserve">agical </w:t>
      </w:r>
      <w:r w:rsidR="00BE0EDE" w:rsidRPr="00A32F1B">
        <w:rPr>
          <w:szCs w:val="24"/>
          <w:lang w:val="en-US"/>
        </w:rPr>
        <w:t>p</w:t>
      </w:r>
      <w:r w:rsidRPr="00A32F1B">
        <w:rPr>
          <w:szCs w:val="24"/>
          <w:lang w:val="en-US"/>
        </w:rPr>
        <w:t xml:space="preserve">apyri, </w:t>
      </w:r>
      <w:r w:rsidR="00B71E92" w:rsidRPr="00A32F1B">
        <w:rPr>
          <w:szCs w:val="24"/>
          <w:lang w:val="en-US"/>
        </w:rPr>
        <w:t xml:space="preserve">Abraxas amulets, </w:t>
      </w:r>
      <w:r w:rsidR="00656FB6" w:rsidRPr="00A32F1B">
        <w:rPr>
          <w:i/>
          <w:iCs/>
          <w:lang w:val="en-US"/>
        </w:rPr>
        <w:t>Ḥarba de-Moshe</w:t>
      </w:r>
      <w:r w:rsidRPr="00A32F1B">
        <w:rPr>
          <w:szCs w:val="24"/>
          <w:lang w:val="en-US"/>
        </w:rPr>
        <w:t xml:space="preserve">, </w:t>
      </w:r>
      <w:r w:rsidR="00C61CF1" w:rsidRPr="00A32F1B">
        <w:rPr>
          <w:szCs w:val="24"/>
          <w:lang w:val="en-US"/>
        </w:rPr>
        <w:t xml:space="preserve">and </w:t>
      </w:r>
      <w:r w:rsidRPr="00A32F1B">
        <w:rPr>
          <w:i/>
          <w:iCs/>
          <w:szCs w:val="24"/>
          <w:lang w:val="en-US"/>
        </w:rPr>
        <w:t>Sefer ha-Razim</w:t>
      </w:r>
      <w:r w:rsidRPr="00A32F1B">
        <w:rPr>
          <w:szCs w:val="24"/>
          <w:lang w:val="en-US"/>
        </w:rPr>
        <w:t>,</w:t>
      </w:r>
      <w:r w:rsidR="00C61CF1" w:rsidRPr="00A32F1B">
        <w:rPr>
          <w:szCs w:val="24"/>
          <w:lang w:val="en-US"/>
        </w:rPr>
        <w:t xml:space="preserve"> with a brief </w:t>
      </w:r>
      <w:r w:rsidR="00F12FDD" w:rsidRPr="00A32F1B">
        <w:rPr>
          <w:szCs w:val="24"/>
          <w:lang w:val="en-US"/>
        </w:rPr>
        <w:t xml:space="preserve">mention of </w:t>
      </w:r>
      <w:r w:rsidRPr="00A32F1B">
        <w:rPr>
          <w:szCs w:val="24"/>
          <w:lang w:val="en-US"/>
        </w:rPr>
        <w:t>Aramaic magical bowls</w:t>
      </w:r>
      <w:r w:rsidR="0046717E">
        <w:rPr>
          <w:szCs w:val="24"/>
          <w:lang w:val="en-US"/>
        </w:rPr>
        <w:t>.</w:t>
      </w:r>
      <w:r w:rsidRPr="00A32F1B">
        <w:rPr>
          <w:szCs w:val="24"/>
          <w:lang w:val="en-US"/>
        </w:rPr>
        <w:t xml:space="preserve"> </w:t>
      </w:r>
      <w:proofErr w:type="gramStart"/>
      <w:r w:rsidR="0046717E">
        <w:rPr>
          <w:szCs w:val="24"/>
          <w:lang w:val="en-US"/>
        </w:rPr>
        <w:t>A</w:t>
      </w:r>
      <w:r w:rsidRPr="00A32F1B">
        <w:rPr>
          <w:szCs w:val="24"/>
          <w:lang w:val="en-US"/>
        </w:rPr>
        <w:t>ll of</w:t>
      </w:r>
      <w:proofErr w:type="gramEnd"/>
      <w:r w:rsidRPr="00A32F1B">
        <w:rPr>
          <w:szCs w:val="24"/>
          <w:lang w:val="en-US"/>
        </w:rPr>
        <w:t xml:space="preserve"> </w:t>
      </w:r>
      <w:r w:rsidR="0046717E">
        <w:rPr>
          <w:szCs w:val="24"/>
          <w:lang w:val="en-US"/>
        </w:rPr>
        <w:t>these sources</w:t>
      </w:r>
      <w:r w:rsidRPr="00A32F1B">
        <w:rPr>
          <w:szCs w:val="24"/>
          <w:lang w:val="en-US"/>
        </w:rPr>
        <w:t xml:space="preserve"> were previously mentioned in the description of Abraxas historiography</w:t>
      </w:r>
      <w:r w:rsidR="0046717E">
        <w:rPr>
          <w:szCs w:val="24"/>
          <w:lang w:val="en-US"/>
        </w:rPr>
        <w:t xml:space="preserve">, with the </w:t>
      </w:r>
      <w:r w:rsidRPr="00A32F1B">
        <w:rPr>
          <w:szCs w:val="24"/>
          <w:lang w:val="en-US"/>
        </w:rPr>
        <w:t>addition</w:t>
      </w:r>
      <w:r w:rsidR="0046717E">
        <w:rPr>
          <w:szCs w:val="24"/>
          <w:lang w:val="en-US"/>
        </w:rPr>
        <w:t xml:space="preserve"> only</w:t>
      </w:r>
      <w:r w:rsidRPr="00A32F1B">
        <w:rPr>
          <w:szCs w:val="24"/>
          <w:lang w:val="en-US"/>
        </w:rPr>
        <w:t xml:space="preserve"> of</w:t>
      </w:r>
      <w:r w:rsidR="0046717E">
        <w:rPr>
          <w:szCs w:val="24"/>
          <w:lang w:val="en-US"/>
        </w:rPr>
        <w:t xml:space="preserve"> </w:t>
      </w:r>
      <w:r w:rsidR="00F12FDD" w:rsidRPr="00A32F1B">
        <w:rPr>
          <w:szCs w:val="24"/>
          <w:lang w:val="en-US"/>
        </w:rPr>
        <w:t xml:space="preserve">three </w:t>
      </w:r>
      <w:r w:rsidR="0046717E">
        <w:rPr>
          <w:szCs w:val="24"/>
          <w:lang w:val="en-US"/>
        </w:rPr>
        <w:t>G</w:t>
      </w:r>
      <w:r w:rsidRPr="00A32F1B">
        <w:rPr>
          <w:szCs w:val="24"/>
          <w:lang w:val="en-US"/>
        </w:rPr>
        <w:t>nostic text</w:t>
      </w:r>
      <w:r w:rsidR="0046717E">
        <w:rPr>
          <w:szCs w:val="24"/>
          <w:lang w:val="en-US"/>
        </w:rPr>
        <w:t>s</w:t>
      </w:r>
      <w:r w:rsidR="00F12FDD" w:rsidRPr="00A32F1B">
        <w:rPr>
          <w:szCs w:val="24"/>
          <w:lang w:val="en-US"/>
        </w:rPr>
        <w:t xml:space="preserve"> from the Nag Hammadi library of codices. </w:t>
      </w:r>
      <w:r w:rsidRPr="00A32F1B">
        <w:rPr>
          <w:szCs w:val="24"/>
          <w:lang w:val="en-US"/>
        </w:rPr>
        <w:t>Following subchapters discuss the sources respectively in more detail of both internal and external dispositions.</w:t>
      </w:r>
    </w:p>
    <w:p w14:paraId="2C2D8994" w14:textId="77777777" w:rsidR="008E7881" w:rsidRPr="00A32F1B" w:rsidRDefault="008E7881" w:rsidP="0013005A">
      <w:pPr>
        <w:pStyle w:val="Nadpis2"/>
        <w:numPr>
          <w:ilvl w:val="1"/>
          <w:numId w:val="3"/>
        </w:numPr>
        <w:rPr>
          <w:lang w:val="en-US"/>
        </w:rPr>
      </w:pPr>
      <w:bookmarkStart w:id="5" w:name="_Toc70950041"/>
      <w:r w:rsidRPr="00A32F1B">
        <w:rPr>
          <w:lang w:val="en-US"/>
        </w:rPr>
        <w:t>Gnosticism and Gnostic literature</w:t>
      </w:r>
      <w:bookmarkEnd w:id="5"/>
    </w:p>
    <w:p w14:paraId="6A03C975" w14:textId="4DCB479B" w:rsidR="008E7881" w:rsidRPr="00A32F1B" w:rsidRDefault="008E7881" w:rsidP="008E7881">
      <w:pPr>
        <w:rPr>
          <w:lang w:val="en-US"/>
        </w:rPr>
      </w:pPr>
      <w:r w:rsidRPr="00A32F1B">
        <w:rPr>
          <w:lang w:val="en-US"/>
        </w:rPr>
        <w:t>Abraxas entered European research as a figure originating in Gnosticism, through the designated amulets as thought by scholars until approximately the end of 19</w:t>
      </w:r>
      <w:r w:rsidRPr="00A32F1B">
        <w:rPr>
          <w:vertAlign w:val="superscript"/>
          <w:lang w:val="en-US"/>
        </w:rPr>
        <w:t>th</w:t>
      </w:r>
      <w:r w:rsidRPr="00A32F1B">
        <w:rPr>
          <w:lang w:val="en-US"/>
        </w:rPr>
        <w:t xml:space="preserve"> century. The information about the reality of Gnostic thoughts and practices </w:t>
      </w:r>
      <w:r w:rsidR="005975D0">
        <w:rPr>
          <w:lang w:val="en-US"/>
        </w:rPr>
        <w:t xml:space="preserve">were not accessible yet as </w:t>
      </w:r>
      <w:r w:rsidRPr="00A32F1B">
        <w:rPr>
          <w:lang w:val="en-US"/>
        </w:rPr>
        <w:t>the Gnostics consciously guard</w:t>
      </w:r>
      <w:r w:rsidR="005975D0">
        <w:rPr>
          <w:lang w:val="en-US"/>
        </w:rPr>
        <w:t>ed</w:t>
      </w:r>
      <w:r w:rsidRPr="00A32F1B">
        <w:rPr>
          <w:lang w:val="en-US"/>
        </w:rPr>
        <w:t xml:space="preserve"> and conceal</w:t>
      </w:r>
      <w:r w:rsidR="005975D0">
        <w:rPr>
          <w:lang w:val="en-US"/>
        </w:rPr>
        <w:t>ed</w:t>
      </w:r>
      <w:r w:rsidRPr="00A32F1B">
        <w:rPr>
          <w:lang w:val="en-US"/>
        </w:rPr>
        <w:t xml:space="preserve"> their rituals and written sources from the outside world</w:t>
      </w:r>
      <w:r w:rsidR="005975D0">
        <w:rPr>
          <w:lang w:val="en-US"/>
        </w:rPr>
        <w:t>.</w:t>
      </w:r>
      <w:r w:rsidRPr="00A32F1B">
        <w:rPr>
          <w:lang w:val="en-US"/>
        </w:rPr>
        <w:t xml:space="preserve"> </w:t>
      </w:r>
      <w:r w:rsidR="005975D0">
        <w:rPr>
          <w:lang w:val="en-US"/>
        </w:rPr>
        <w:t>H</w:t>
      </w:r>
      <w:r w:rsidRPr="00A32F1B">
        <w:rPr>
          <w:lang w:val="en-US"/>
        </w:rPr>
        <w:t>ence</w:t>
      </w:r>
      <w:r w:rsidR="005975D0">
        <w:rPr>
          <w:lang w:val="en-US"/>
        </w:rPr>
        <w:t>,</w:t>
      </w:r>
      <w:r w:rsidRPr="00A32F1B">
        <w:rPr>
          <w:lang w:val="en-US"/>
        </w:rPr>
        <w:t xml:space="preserve"> for a</w:t>
      </w:r>
      <w:r w:rsidR="005975D0">
        <w:rPr>
          <w:lang w:val="en-US"/>
        </w:rPr>
        <w:t xml:space="preserve"> considerable </w:t>
      </w:r>
      <w:r w:rsidRPr="00A32F1B">
        <w:rPr>
          <w:lang w:val="en-US"/>
        </w:rPr>
        <w:t>period</w:t>
      </w:r>
      <w:r w:rsidR="005975D0">
        <w:rPr>
          <w:lang w:val="en-US"/>
        </w:rPr>
        <w:t>,</w:t>
      </w:r>
      <w:r w:rsidRPr="00A32F1B">
        <w:rPr>
          <w:lang w:val="en-US"/>
        </w:rPr>
        <w:t xml:space="preserve"> information concerning the Gnostics was available solely through the secondhand reports by Christian writers which by a majority saw them as heretics. Modern discoveries of Gnostic literature, </w:t>
      </w:r>
      <w:proofErr w:type="gramStart"/>
      <w:r w:rsidRPr="00A32F1B">
        <w:rPr>
          <w:lang w:val="en-US"/>
        </w:rPr>
        <w:t>e.g.</w:t>
      </w:r>
      <w:proofErr w:type="gramEnd"/>
      <w:r w:rsidRPr="00A32F1B">
        <w:rPr>
          <w:lang w:val="en-US"/>
        </w:rPr>
        <w:t xml:space="preserve"> the Berlin codex, </w:t>
      </w:r>
      <w:r w:rsidRPr="00A32F1B">
        <w:rPr>
          <w:i/>
          <w:iCs/>
          <w:lang w:val="en-US"/>
        </w:rPr>
        <w:t>Book of Jeu</w:t>
      </w:r>
      <w:r w:rsidRPr="00A32F1B">
        <w:rPr>
          <w:lang w:val="en-US"/>
        </w:rPr>
        <w:t xml:space="preserve">, </w:t>
      </w:r>
      <w:r w:rsidRPr="00A32F1B">
        <w:rPr>
          <w:i/>
          <w:iCs/>
          <w:lang w:val="en-US"/>
        </w:rPr>
        <w:t>Pistis Sophia</w:t>
      </w:r>
      <w:r w:rsidRPr="00A32F1B">
        <w:rPr>
          <w:lang w:val="en-US"/>
        </w:rPr>
        <w:t>, or the Nag Hammadi codices; shed light on the rituals and teachings through the original texts used by the Gnostics since the 1</w:t>
      </w:r>
      <w:r w:rsidRPr="00A32F1B">
        <w:rPr>
          <w:vertAlign w:val="superscript"/>
          <w:lang w:val="en-US"/>
        </w:rPr>
        <w:t>st</w:t>
      </w:r>
      <w:r w:rsidRPr="00A32F1B">
        <w:rPr>
          <w:lang w:val="en-US"/>
        </w:rPr>
        <w:t xml:space="preserve"> century CE.</w:t>
      </w:r>
      <w:r w:rsidRPr="00A32F1B">
        <w:rPr>
          <w:rStyle w:val="Znakapoznpodarou"/>
          <w:lang w:val="en-US"/>
        </w:rPr>
        <w:footnoteReference w:id="90"/>
      </w:r>
    </w:p>
    <w:p w14:paraId="2E546D6A" w14:textId="148D26D3" w:rsidR="008E7881" w:rsidRPr="00A32F1B" w:rsidRDefault="008E7881" w:rsidP="008E7881">
      <w:pPr>
        <w:rPr>
          <w:lang w:val="en-US"/>
        </w:rPr>
      </w:pPr>
      <w:r w:rsidRPr="00A32F1B">
        <w:rPr>
          <w:lang w:val="en-US"/>
        </w:rPr>
        <w:t>The source text material researched for the presence of Abraxas belongs to the codex collection of the Nag Hamm</w:t>
      </w:r>
      <w:r w:rsidR="00895A68">
        <w:rPr>
          <w:lang w:val="en-US"/>
        </w:rPr>
        <w:t>a</w:t>
      </w:r>
      <w:r w:rsidRPr="00A32F1B">
        <w:rPr>
          <w:lang w:val="en-US"/>
        </w:rPr>
        <w:t>di library which is considered significant for our knowledge of Gnosticism and Gnostic literature. The discovery of the library of manuscripts close to a city Nag Hammadi in Upper Egypt in 1945 became an important source for scholars helping to assess the development of Gnosticism through its Jewish and Christian stages/variations.</w:t>
      </w:r>
      <w:r w:rsidRPr="00A32F1B">
        <w:rPr>
          <w:rStyle w:val="Znakapoznpodarou"/>
          <w:lang w:val="en-US"/>
        </w:rPr>
        <w:footnoteReference w:id="91"/>
      </w:r>
      <w:r w:rsidRPr="00A32F1B">
        <w:rPr>
          <w:lang w:val="en-US"/>
        </w:rPr>
        <w:t xml:space="preserve"> </w:t>
      </w:r>
      <w:r w:rsidR="005975D0">
        <w:rPr>
          <w:lang w:val="en-US"/>
        </w:rPr>
        <w:t>I</w:t>
      </w:r>
      <w:r w:rsidRPr="00A32F1B">
        <w:rPr>
          <w:lang w:val="en-US"/>
        </w:rPr>
        <w:t xml:space="preserve">ndividual texts have religious nature and vary in time and place of creation, and in authorship; moreover, the individual texts are often compiled </w:t>
      </w:r>
      <w:r w:rsidRPr="00A32F1B">
        <w:rPr>
          <w:lang w:val="en-US"/>
        </w:rPr>
        <w:lastRenderedPageBreak/>
        <w:t>from several older narratives enclosed into a new frame</w:t>
      </w:r>
      <w:r w:rsidR="00A04FDC">
        <w:rPr>
          <w:lang w:val="en-US"/>
        </w:rPr>
        <w:t>work</w:t>
      </w:r>
      <w:r w:rsidRPr="00A32F1B">
        <w:rPr>
          <w:lang w:val="en-US"/>
        </w:rPr>
        <w:t>. Nag Hammadi text collection was presumably compiled under Christian Gnosticism.</w:t>
      </w:r>
      <w:r w:rsidRPr="00A32F1B">
        <w:rPr>
          <w:rStyle w:val="Znakapoznpodarou"/>
          <w:lang w:val="en-US"/>
        </w:rPr>
        <w:footnoteReference w:id="92"/>
      </w:r>
    </w:p>
    <w:p w14:paraId="77F64229" w14:textId="32010E3D" w:rsidR="008E7881" w:rsidRPr="00A32F1B" w:rsidRDefault="008E7881" w:rsidP="008E7881">
      <w:pPr>
        <w:rPr>
          <w:lang w:val="en-US"/>
        </w:rPr>
      </w:pPr>
      <w:r w:rsidRPr="00A32F1B">
        <w:rPr>
          <w:lang w:val="en-US"/>
        </w:rPr>
        <w:t xml:space="preserve">The dating of the Nag Hammadi texts is difficult due to perceived fragmentary character of the texts, </w:t>
      </w:r>
      <w:proofErr w:type="gramStart"/>
      <w:r w:rsidRPr="00A32F1B">
        <w:rPr>
          <w:lang w:val="en-US"/>
        </w:rPr>
        <w:t>i.e.</w:t>
      </w:r>
      <w:proofErr w:type="gramEnd"/>
      <w:r w:rsidRPr="00A32F1B">
        <w:rPr>
          <w:lang w:val="en-US"/>
        </w:rPr>
        <w:t xml:space="preserve"> individual stories and texts were inserted into newly created frameworks. The assumed collection of Nag Hammadi’s texts took place in the second half of the 4</w:t>
      </w:r>
      <w:r w:rsidRPr="00A32F1B">
        <w:rPr>
          <w:vertAlign w:val="superscript"/>
          <w:lang w:val="en-US"/>
        </w:rPr>
        <w:t>th</w:t>
      </w:r>
      <w:r w:rsidRPr="00A32F1B">
        <w:rPr>
          <w:lang w:val="en-US"/>
        </w:rPr>
        <w:t xml:space="preserve"> century, based on the fact the Sahidic Coptic of the texts became a literary language approximately in that period; however, the writing process itself is more complicated to date as the individual texts were originally written in Greek in unknown time and place; this conclusion of the texts being translated from original Greek texts was based on errors and inconsistencies in Coptic vocalization.</w:t>
      </w:r>
      <w:r w:rsidRPr="00A32F1B">
        <w:rPr>
          <w:rStyle w:val="Znakapoznpodarou"/>
          <w:lang w:val="en-US"/>
        </w:rPr>
        <w:footnoteReference w:id="93"/>
      </w:r>
    </w:p>
    <w:p w14:paraId="3D552A1D" w14:textId="77777777" w:rsidR="008E7881" w:rsidRPr="00A32F1B" w:rsidRDefault="008E7881" w:rsidP="008E7881">
      <w:pPr>
        <w:rPr>
          <w:lang w:val="en-US"/>
        </w:rPr>
      </w:pPr>
      <w:r w:rsidRPr="00A32F1B">
        <w:rPr>
          <w:lang w:val="en-US"/>
        </w:rPr>
        <w:t>In the library of Nag Hammadi codices Abraxas is present in the form ABRASAX</w:t>
      </w:r>
      <w:r w:rsidRPr="00A32F1B">
        <w:rPr>
          <w:rFonts w:ascii="Segoe UI Historic" w:hAnsi="Segoe UI Historic" w:cs="Segoe UI Historic"/>
          <w:lang w:val="en-US"/>
        </w:rPr>
        <w:t xml:space="preserve"> (ⲀⲂⲢⲀⲤⲀⲜ</w:t>
      </w:r>
      <w:r w:rsidRPr="00A32F1B">
        <w:rPr>
          <w:lang w:val="en-US"/>
        </w:rPr>
        <w:t xml:space="preserve">) in three codices – </w:t>
      </w:r>
      <w:r w:rsidRPr="00A32F1B">
        <w:rPr>
          <w:i/>
          <w:iCs/>
          <w:lang w:val="en-US"/>
        </w:rPr>
        <w:t xml:space="preserve">The Gospel of the Egyptians </w:t>
      </w:r>
      <w:r w:rsidRPr="00A32F1B">
        <w:rPr>
          <w:rStyle w:val="Znakapoznpodarou"/>
          <w:rFonts w:asciiTheme="minorBidi" w:hAnsiTheme="minorBidi"/>
          <w:lang w:val="en-US"/>
        </w:rPr>
        <w:footnoteReference w:id="94"/>
      </w:r>
      <w:r w:rsidRPr="00A32F1B">
        <w:rPr>
          <w:i/>
          <w:iCs/>
          <w:lang w:val="en-US"/>
        </w:rPr>
        <w:t>, The Apocalypse of Adam</w:t>
      </w:r>
      <w:r w:rsidRPr="00A32F1B">
        <w:rPr>
          <w:rStyle w:val="Znakapoznpodarou"/>
          <w:rFonts w:asciiTheme="minorBidi" w:hAnsiTheme="minorBidi"/>
          <w:i/>
          <w:iCs/>
          <w:lang w:val="en-US"/>
        </w:rPr>
        <w:footnoteReference w:id="95"/>
      </w:r>
      <w:r w:rsidRPr="00A32F1B">
        <w:rPr>
          <w:lang w:val="en-US"/>
        </w:rPr>
        <w:t xml:space="preserve">, and </w:t>
      </w:r>
      <w:r w:rsidRPr="00A32F1B">
        <w:rPr>
          <w:i/>
          <w:iCs/>
          <w:lang w:val="en-US"/>
        </w:rPr>
        <w:t>Zostrianos</w:t>
      </w:r>
      <w:r w:rsidRPr="00A32F1B">
        <w:rPr>
          <w:rStyle w:val="Znakapoznpodarou"/>
          <w:rFonts w:asciiTheme="minorBidi" w:hAnsiTheme="minorBidi"/>
          <w:i/>
          <w:iCs/>
          <w:lang w:val="en-US"/>
        </w:rPr>
        <w:footnoteReference w:id="96"/>
      </w:r>
      <w:r w:rsidRPr="00A32F1B">
        <w:rPr>
          <w:lang w:val="en-US"/>
        </w:rPr>
        <w:t xml:space="preserve">. A few words of similar form that remind of varieties of the name appearing in other sources, such as the Greek magical papyri, and amulets; may be found in </w:t>
      </w:r>
      <w:r w:rsidRPr="00A32F1B">
        <w:rPr>
          <w:i/>
          <w:iCs/>
          <w:lang w:val="en-US"/>
        </w:rPr>
        <w:t>The Apocryphon of John</w:t>
      </w:r>
      <w:r w:rsidRPr="00A32F1B">
        <w:rPr>
          <w:lang w:val="en-US"/>
        </w:rPr>
        <w:t xml:space="preserve">, </w:t>
      </w:r>
      <w:proofErr w:type="gramStart"/>
      <w:r w:rsidRPr="00A32F1B">
        <w:rPr>
          <w:lang w:val="en-US"/>
        </w:rPr>
        <w:t>e.g.</w:t>
      </w:r>
      <w:proofErr w:type="gramEnd"/>
      <w:r w:rsidRPr="00A32F1B">
        <w:rPr>
          <w:lang w:val="en-US"/>
        </w:rPr>
        <w:t xml:space="preserve"> ARBAO</w:t>
      </w:r>
      <w:r w:rsidRPr="00A32F1B">
        <w:rPr>
          <w:rStyle w:val="Znakapoznpodarou"/>
          <w:rFonts w:asciiTheme="minorBidi" w:hAnsiTheme="minorBidi"/>
          <w:lang w:val="en-US"/>
        </w:rPr>
        <w:footnoteReference w:id="97"/>
      </w:r>
      <w:r w:rsidRPr="00A32F1B">
        <w:rPr>
          <w:lang w:val="en-US"/>
        </w:rPr>
        <w:t xml:space="preserve"> (</w:t>
      </w:r>
      <w:r w:rsidRPr="00A32F1B">
        <w:rPr>
          <w:rFonts w:ascii="Segoe UI Historic" w:hAnsi="Segoe UI Historic" w:cs="Segoe UI Historic"/>
          <w:lang w:val="en-US"/>
        </w:rPr>
        <w:t>ⲀⲢⲂⲀⲞ)</w:t>
      </w:r>
      <w:r w:rsidRPr="00A32F1B">
        <w:rPr>
          <w:rStyle w:val="Znakapoznpodarou"/>
          <w:rFonts w:asciiTheme="minorBidi" w:hAnsiTheme="minorBidi"/>
          <w:lang w:val="en-US"/>
        </w:rPr>
        <w:footnoteReference w:id="98"/>
      </w:r>
      <w:r w:rsidRPr="00A32F1B">
        <w:rPr>
          <w:lang w:val="en-US"/>
        </w:rPr>
        <w:t xml:space="preserve"> and DEITHARBATHAS</w:t>
      </w:r>
      <w:r w:rsidRPr="00A32F1B">
        <w:rPr>
          <w:rStyle w:val="Znakapoznpodarou"/>
          <w:rFonts w:asciiTheme="minorBidi" w:hAnsiTheme="minorBidi"/>
          <w:lang w:val="en-US"/>
        </w:rPr>
        <w:footnoteReference w:id="99"/>
      </w:r>
      <w:r w:rsidRPr="00A32F1B">
        <w:rPr>
          <w:lang w:val="en-US"/>
        </w:rPr>
        <w:t xml:space="preserve"> (</w:t>
      </w:r>
      <w:r w:rsidRPr="00A32F1B">
        <w:rPr>
          <w:rFonts w:ascii="Segoe UI Historic" w:hAnsi="Segoe UI Historic" w:cs="Segoe UI Historic"/>
          <w:lang w:val="en-US"/>
        </w:rPr>
        <w:t>ⲆⲈⲒⲐⲀⲢⲂⲀⲐⲀⲤ)</w:t>
      </w:r>
      <w:r w:rsidRPr="00A32F1B">
        <w:rPr>
          <w:rStyle w:val="Znakapoznpodarou"/>
          <w:rFonts w:asciiTheme="minorBidi" w:hAnsiTheme="minorBidi"/>
          <w:lang w:val="en-US"/>
        </w:rPr>
        <w:footnoteReference w:id="100"/>
      </w:r>
      <w:r w:rsidRPr="00A32F1B">
        <w:rPr>
          <w:lang w:val="en-US"/>
        </w:rPr>
        <w:t>, although they signify angelic beings, they are not related to Abraxas.</w:t>
      </w:r>
    </w:p>
    <w:p w14:paraId="073D60E6" w14:textId="44295644" w:rsidR="008E7881" w:rsidRPr="00A32F1B" w:rsidRDefault="008E7881" w:rsidP="008E7881">
      <w:pPr>
        <w:rPr>
          <w:lang w:val="en-US"/>
        </w:rPr>
      </w:pPr>
      <w:r w:rsidRPr="00A32F1B">
        <w:rPr>
          <w:lang w:val="en-US"/>
        </w:rPr>
        <w:t xml:space="preserve">All three codices, in which Abraxas appears, classify as texts belonging to Sethian gnosis. This direction of </w:t>
      </w:r>
      <w:r w:rsidR="00E05C72">
        <w:rPr>
          <w:lang w:val="en-US"/>
        </w:rPr>
        <w:t>G</w:t>
      </w:r>
      <w:r w:rsidRPr="00A32F1B">
        <w:rPr>
          <w:lang w:val="en-US"/>
        </w:rPr>
        <w:t>nostic teaching has Seth, son of Adam, in its center</w:t>
      </w:r>
      <w:r w:rsidR="00904D5F">
        <w:rPr>
          <w:lang w:val="en-US"/>
        </w:rPr>
        <w:t>.</w:t>
      </w:r>
      <w:r w:rsidRPr="00A32F1B">
        <w:rPr>
          <w:lang w:val="en-US"/>
        </w:rPr>
        <w:t xml:space="preserve"> Seth plays </w:t>
      </w:r>
      <w:r w:rsidR="00904D5F">
        <w:rPr>
          <w:lang w:val="en-US"/>
        </w:rPr>
        <w:lastRenderedPageBreak/>
        <w:t>the</w:t>
      </w:r>
      <w:r w:rsidRPr="00A32F1B">
        <w:rPr>
          <w:lang w:val="en-US"/>
        </w:rPr>
        <w:t xml:space="preserve"> role of originator and redeemer of his generations (of people in the material world</w:t>
      </w:r>
      <w:r w:rsidR="00904D5F">
        <w:rPr>
          <w:lang w:val="en-US"/>
        </w:rPr>
        <w:t xml:space="preserve">, our </w:t>
      </w:r>
      <w:r w:rsidR="00895A68">
        <w:rPr>
          <w:lang w:val="en-US"/>
        </w:rPr>
        <w:t>world</w:t>
      </w:r>
      <w:r w:rsidRPr="00A32F1B">
        <w:rPr>
          <w:lang w:val="en-US"/>
        </w:rPr>
        <w:t>) through the revelation of knowledge. The Nag Hammadi library comprises</w:t>
      </w:r>
      <w:r w:rsidR="00904D5F">
        <w:rPr>
          <w:lang w:val="en-US"/>
        </w:rPr>
        <w:t xml:space="preserve"> of</w:t>
      </w:r>
      <w:r w:rsidRPr="00A32F1B">
        <w:rPr>
          <w:lang w:val="en-US"/>
        </w:rPr>
        <w:t xml:space="preserve"> several sources of said Sethian gnosis, e.g. </w:t>
      </w:r>
      <w:r w:rsidRPr="00A32F1B">
        <w:rPr>
          <w:i/>
          <w:iCs/>
          <w:lang w:val="en-US"/>
        </w:rPr>
        <w:t xml:space="preserve">The Apocryphon of John, The Hypostasis of Archons, Melchizedek, The Thought of Norea </w:t>
      </w:r>
      <w:r w:rsidRPr="00A32F1B">
        <w:rPr>
          <w:lang w:val="en-US"/>
        </w:rPr>
        <w:t>etc.</w:t>
      </w:r>
      <w:r w:rsidRPr="00A32F1B">
        <w:rPr>
          <w:rStyle w:val="Znakapoznpodarou"/>
          <w:lang w:val="en-US"/>
        </w:rPr>
        <w:footnoteReference w:id="101"/>
      </w:r>
      <w:r w:rsidRPr="00A32F1B">
        <w:rPr>
          <w:lang w:val="en-US"/>
        </w:rPr>
        <w:t xml:space="preserve"> </w:t>
      </w:r>
    </w:p>
    <w:p w14:paraId="58BAFA2C" w14:textId="78E7870A" w:rsidR="008E7881" w:rsidRPr="00A32F1B" w:rsidRDefault="008E7881" w:rsidP="008E7881">
      <w:pPr>
        <w:rPr>
          <w:lang w:val="en-US"/>
        </w:rPr>
      </w:pPr>
      <w:r w:rsidRPr="00A32F1B">
        <w:rPr>
          <w:i/>
          <w:iCs/>
          <w:lang w:val="en-US"/>
        </w:rPr>
        <w:t>The Gospel of the Egyptians</w:t>
      </w:r>
      <w:r w:rsidRPr="00A32F1B">
        <w:rPr>
          <w:lang w:val="en-US"/>
        </w:rPr>
        <w:t xml:space="preserve">, also known as </w:t>
      </w:r>
      <w:r w:rsidRPr="00A32F1B">
        <w:rPr>
          <w:i/>
          <w:iCs/>
          <w:lang w:val="en-US"/>
        </w:rPr>
        <w:t>The Holy Book of the Great Invisible Spirit</w:t>
      </w:r>
      <w:r w:rsidRPr="00A32F1B">
        <w:rPr>
          <w:lang w:val="en-US"/>
        </w:rPr>
        <w:t xml:space="preserve">, is a mythological </w:t>
      </w:r>
      <w:r w:rsidR="00904D5F">
        <w:rPr>
          <w:lang w:val="en-US"/>
        </w:rPr>
        <w:t>G</w:t>
      </w:r>
      <w:r w:rsidRPr="00A32F1B">
        <w:rPr>
          <w:lang w:val="en-US"/>
        </w:rPr>
        <w:t>nostic story, and similarly to all Nag Hammadi texts</w:t>
      </w:r>
      <w:r w:rsidR="00904D5F">
        <w:rPr>
          <w:lang w:val="en-US"/>
        </w:rPr>
        <w:t>,</w:t>
      </w:r>
      <w:r w:rsidRPr="00A32F1B">
        <w:rPr>
          <w:lang w:val="en-US"/>
        </w:rPr>
        <w:t xml:space="preserve"> the </w:t>
      </w:r>
      <w:r w:rsidRPr="00A32F1B">
        <w:rPr>
          <w:i/>
          <w:iCs/>
          <w:lang w:val="en-US"/>
        </w:rPr>
        <w:t>Gospel</w:t>
      </w:r>
      <w:r w:rsidRPr="00A32F1B">
        <w:rPr>
          <w:lang w:val="en-US"/>
        </w:rPr>
        <w:t xml:space="preserve"> is difficult to date</w:t>
      </w:r>
      <w:r w:rsidR="00904D5F">
        <w:rPr>
          <w:lang w:val="en-US"/>
        </w:rPr>
        <w:t>.</w:t>
      </w:r>
      <w:r w:rsidRPr="00A32F1B">
        <w:rPr>
          <w:lang w:val="en-US"/>
        </w:rPr>
        <w:t xml:space="preserve"> </w:t>
      </w:r>
      <w:r w:rsidR="00904D5F">
        <w:rPr>
          <w:lang w:val="en-US"/>
        </w:rPr>
        <w:t>I</w:t>
      </w:r>
      <w:r w:rsidRPr="00A32F1B">
        <w:rPr>
          <w:lang w:val="en-US"/>
        </w:rPr>
        <w:t xml:space="preserve">t is assumed to be approximately one century older than the collection process of the Nag Hammadi texts, </w:t>
      </w:r>
      <w:r w:rsidR="00904D5F">
        <w:rPr>
          <w:lang w:val="en-US"/>
        </w:rPr>
        <w:t xml:space="preserve">so assumably </w:t>
      </w:r>
      <w:r w:rsidRPr="00A32F1B">
        <w:rPr>
          <w:lang w:val="en-US"/>
        </w:rPr>
        <w:t>the second half of the 3</w:t>
      </w:r>
      <w:r w:rsidRPr="00A32F1B">
        <w:rPr>
          <w:vertAlign w:val="superscript"/>
          <w:lang w:val="en-US"/>
        </w:rPr>
        <w:t>rd</w:t>
      </w:r>
      <w:r w:rsidRPr="00A32F1B">
        <w:rPr>
          <w:lang w:val="en-US"/>
        </w:rPr>
        <w:t xml:space="preserve"> century, although individual parts might be significantly older than this assumption</w:t>
      </w:r>
      <w:r w:rsidR="00904D5F">
        <w:rPr>
          <w:lang w:val="en-US"/>
        </w:rPr>
        <w:t>.</w:t>
      </w:r>
      <w:r w:rsidRPr="00A32F1B">
        <w:rPr>
          <w:lang w:val="en-US"/>
        </w:rPr>
        <w:t xml:space="preserve"> </w:t>
      </w:r>
      <w:r w:rsidR="00904D5F">
        <w:rPr>
          <w:lang w:val="en-US"/>
        </w:rPr>
        <w:t>T</w:t>
      </w:r>
      <w:r w:rsidRPr="00A32F1B">
        <w:rPr>
          <w:lang w:val="en-US"/>
        </w:rPr>
        <w:t>he roots might probably go back to earlier stages of Gnosticism development, possibly to pre-Christian Gnosticism. Said individual parts</w:t>
      </w:r>
      <w:r w:rsidR="00904D5F">
        <w:rPr>
          <w:lang w:val="en-US"/>
        </w:rPr>
        <w:t>/stories</w:t>
      </w:r>
      <w:r w:rsidRPr="00A32F1B">
        <w:rPr>
          <w:lang w:val="en-US"/>
        </w:rPr>
        <w:t xml:space="preserve"> were put into Christian framework by inserting Christian motifs into the story, mainly reinterpreting the narrative with Christ as a central figure, and perhaps also by naming the text a “gospel” which does not characterize the genre of the text but points toward the Christian interpretation of the redaction of the individual parts into a given Christian framework.</w:t>
      </w:r>
      <w:r w:rsidRPr="00A32F1B">
        <w:rPr>
          <w:rStyle w:val="Znakapoznpodarou"/>
          <w:lang w:val="en-US"/>
        </w:rPr>
        <w:footnoteReference w:id="102"/>
      </w:r>
      <w:r w:rsidRPr="00A32F1B">
        <w:rPr>
          <w:lang w:val="en-US"/>
        </w:rPr>
        <w:t xml:space="preserve"> The authorship is assumed to the great Seth, the father of the “incorruptible race”</w:t>
      </w:r>
      <w:r w:rsidRPr="00A32F1B">
        <w:rPr>
          <w:rStyle w:val="Znakapoznpodarou"/>
          <w:lang w:val="en-US"/>
        </w:rPr>
        <w:footnoteReference w:id="103"/>
      </w:r>
      <w:r w:rsidRPr="00A32F1B">
        <w:rPr>
          <w:lang w:val="en-US"/>
        </w:rPr>
        <w:t xml:space="preserve"> of men, who is in one part of the text identified with Christ.</w:t>
      </w:r>
      <w:r w:rsidRPr="00A32F1B">
        <w:rPr>
          <w:rStyle w:val="Znakapoznpodarou"/>
          <w:lang w:val="en-US"/>
        </w:rPr>
        <w:footnoteReference w:id="104"/>
      </w:r>
      <w:r w:rsidRPr="00A32F1B">
        <w:rPr>
          <w:lang w:val="en-US"/>
        </w:rPr>
        <w:t xml:space="preserve"> The original author is not known, and the search is complicated by the text being a compilation of individual stories wh</w:t>
      </w:r>
      <w:r w:rsidR="00904D5F">
        <w:rPr>
          <w:lang w:val="en-US"/>
        </w:rPr>
        <w:t>ose</w:t>
      </w:r>
      <w:r w:rsidRPr="00A32F1B">
        <w:rPr>
          <w:lang w:val="en-US"/>
        </w:rPr>
        <w:t xml:space="preserve"> origin is not traceable. Same challenge is posed by the question of the location where the text was written, the title suggests connection to Egypt, however, this might be simply a reflection of where the text was spread and read.</w:t>
      </w:r>
      <w:r w:rsidRPr="00A32F1B">
        <w:rPr>
          <w:rStyle w:val="Znakapoznpodarou"/>
          <w:lang w:val="en-US"/>
        </w:rPr>
        <w:footnoteReference w:id="105"/>
      </w:r>
    </w:p>
    <w:p w14:paraId="181C40AE" w14:textId="01823C84" w:rsidR="008E7881" w:rsidRPr="00A32F1B" w:rsidRDefault="008E7881" w:rsidP="008E7881">
      <w:pPr>
        <w:rPr>
          <w:lang w:val="en-US"/>
        </w:rPr>
      </w:pPr>
      <w:r w:rsidRPr="00A32F1B">
        <w:rPr>
          <w:lang w:val="en-US"/>
        </w:rPr>
        <w:t xml:space="preserve">In the </w:t>
      </w:r>
      <w:r w:rsidRPr="00A32F1B">
        <w:rPr>
          <w:i/>
          <w:iCs/>
          <w:lang w:val="en-US"/>
        </w:rPr>
        <w:t>Gospel of the Egyptians</w:t>
      </w:r>
      <w:r w:rsidRPr="00A32F1B">
        <w:rPr>
          <w:lang w:val="en-US"/>
        </w:rPr>
        <w:t xml:space="preserve"> Abraxas appears three times, in two distinct passages. During the description of the cosmology, the “four great </w:t>
      </w:r>
      <w:r w:rsidR="00904D5F">
        <w:rPr>
          <w:lang w:val="en-US"/>
        </w:rPr>
        <w:t>L</w:t>
      </w:r>
      <w:r w:rsidRPr="00A32F1B">
        <w:rPr>
          <w:lang w:val="en-US"/>
        </w:rPr>
        <w:t>ights” are created</w:t>
      </w:r>
      <w:r w:rsidR="00904D5F">
        <w:rPr>
          <w:lang w:val="en-US"/>
        </w:rPr>
        <w:t>. These</w:t>
      </w:r>
      <w:r w:rsidRPr="00A32F1B">
        <w:rPr>
          <w:lang w:val="en-US"/>
        </w:rPr>
        <w:t xml:space="preserve"> Lights</w:t>
      </w:r>
      <w:r w:rsidR="00904D5F">
        <w:rPr>
          <w:lang w:val="en-US"/>
        </w:rPr>
        <w:t xml:space="preserve"> –</w:t>
      </w:r>
      <w:r w:rsidR="00904D5F" w:rsidRPr="00A32F1B">
        <w:rPr>
          <w:lang w:val="en-US"/>
        </w:rPr>
        <w:t>Harmozel, Oroiael, Davithe, and Eleleth</w:t>
      </w:r>
      <w:r w:rsidR="00904D5F" w:rsidRPr="00A32F1B">
        <w:rPr>
          <w:rStyle w:val="Znakapoznpodarou"/>
          <w:lang w:val="en-US"/>
        </w:rPr>
        <w:footnoteReference w:id="106"/>
      </w:r>
      <w:r w:rsidR="00904D5F">
        <w:rPr>
          <w:lang w:val="en-US"/>
        </w:rPr>
        <w:t xml:space="preserve"> – are often</w:t>
      </w:r>
      <w:r w:rsidRPr="00A32F1B">
        <w:rPr>
          <w:lang w:val="en-US"/>
        </w:rPr>
        <w:t xml:space="preserve"> identified </w:t>
      </w:r>
      <w:r w:rsidR="00904D5F">
        <w:rPr>
          <w:lang w:val="en-US"/>
        </w:rPr>
        <w:t>as</w:t>
      </w:r>
      <w:r w:rsidRPr="00A32F1B">
        <w:rPr>
          <w:lang w:val="en-US"/>
        </w:rPr>
        <w:t xml:space="preserve"> angels and archangels, that reappear throughout the </w:t>
      </w:r>
      <w:r w:rsidR="00904D5F">
        <w:rPr>
          <w:lang w:val="en-US"/>
        </w:rPr>
        <w:t>G</w:t>
      </w:r>
      <w:r w:rsidRPr="00A32F1B">
        <w:rPr>
          <w:lang w:val="en-US"/>
        </w:rPr>
        <w:t xml:space="preserve">nostic texts, </w:t>
      </w:r>
      <w:proofErr w:type="gramStart"/>
      <w:r w:rsidRPr="00A32F1B">
        <w:rPr>
          <w:lang w:val="en-US"/>
        </w:rPr>
        <w:t>e.g.</w:t>
      </w:r>
      <w:proofErr w:type="gramEnd"/>
      <w:r w:rsidRPr="00A32F1B">
        <w:rPr>
          <w:lang w:val="en-US"/>
        </w:rPr>
        <w:t xml:space="preserve"> in the </w:t>
      </w:r>
      <w:r w:rsidRPr="00A32F1B">
        <w:rPr>
          <w:i/>
          <w:iCs/>
          <w:lang w:val="en-US"/>
        </w:rPr>
        <w:t xml:space="preserve">Apocryphon of </w:t>
      </w:r>
      <w:r w:rsidRPr="00A32F1B">
        <w:rPr>
          <w:i/>
          <w:iCs/>
          <w:lang w:val="en-US"/>
        </w:rPr>
        <w:lastRenderedPageBreak/>
        <w:t>John</w:t>
      </w:r>
      <w:r w:rsidRPr="00A32F1B">
        <w:rPr>
          <w:rStyle w:val="Znakapoznpodarou"/>
          <w:i/>
          <w:iCs/>
          <w:lang w:val="en-US"/>
        </w:rPr>
        <w:footnoteReference w:id="107"/>
      </w:r>
      <w:r w:rsidRPr="00A32F1B">
        <w:rPr>
          <w:i/>
          <w:iCs/>
          <w:lang w:val="en-US"/>
        </w:rPr>
        <w:t>, The Hypostasis of the Archons</w:t>
      </w:r>
      <w:r w:rsidRPr="00A32F1B">
        <w:rPr>
          <w:rStyle w:val="Znakapoznpodarou"/>
          <w:i/>
          <w:iCs/>
          <w:lang w:val="en-US"/>
        </w:rPr>
        <w:footnoteReference w:id="108"/>
      </w:r>
      <w:r w:rsidRPr="00A32F1B">
        <w:rPr>
          <w:i/>
          <w:iCs/>
          <w:lang w:val="en-US"/>
        </w:rPr>
        <w:t>, Zostrianos</w:t>
      </w:r>
      <w:r w:rsidRPr="00A32F1B">
        <w:rPr>
          <w:rStyle w:val="Znakapoznpodarou"/>
          <w:i/>
          <w:iCs/>
          <w:lang w:val="en-US"/>
        </w:rPr>
        <w:footnoteReference w:id="109"/>
      </w:r>
      <w:r w:rsidRPr="00A32F1B">
        <w:rPr>
          <w:i/>
          <w:iCs/>
          <w:lang w:val="en-US"/>
        </w:rPr>
        <w:t>, Melchizedek</w:t>
      </w:r>
      <w:r w:rsidRPr="00A32F1B">
        <w:rPr>
          <w:rStyle w:val="Znakapoznpodarou"/>
          <w:i/>
          <w:iCs/>
          <w:lang w:val="en-US"/>
        </w:rPr>
        <w:footnoteReference w:id="110"/>
      </w:r>
      <w:r w:rsidRPr="00A32F1B">
        <w:rPr>
          <w:i/>
          <w:iCs/>
          <w:lang w:val="en-US"/>
        </w:rPr>
        <w:t>, The Thought of Norea</w:t>
      </w:r>
      <w:r w:rsidRPr="00A32F1B">
        <w:rPr>
          <w:rStyle w:val="Znakapoznpodarou"/>
          <w:i/>
          <w:iCs/>
          <w:lang w:val="en-US"/>
        </w:rPr>
        <w:footnoteReference w:id="111"/>
      </w:r>
      <w:r w:rsidRPr="00A32F1B">
        <w:rPr>
          <w:i/>
          <w:iCs/>
          <w:lang w:val="en-US"/>
        </w:rPr>
        <w:t>, Hypsiphrone</w:t>
      </w:r>
      <w:r w:rsidRPr="00A32F1B">
        <w:rPr>
          <w:rStyle w:val="Znakapoznpodarou"/>
          <w:i/>
          <w:iCs/>
          <w:lang w:val="en-US"/>
        </w:rPr>
        <w:footnoteReference w:id="112"/>
      </w:r>
      <w:r w:rsidRPr="00A32F1B">
        <w:rPr>
          <w:i/>
          <w:iCs/>
          <w:lang w:val="en-US"/>
        </w:rPr>
        <w:t>, and Trimorphic Protennoia</w:t>
      </w:r>
      <w:r w:rsidRPr="00A32F1B">
        <w:rPr>
          <w:rStyle w:val="Znakapoznpodarou"/>
          <w:i/>
          <w:iCs/>
          <w:lang w:val="en-US"/>
        </w:rPr>
        <w:footnoteReference w:id="113"/>
      </w:r>
      <w:r w:rsidR="00904D5F">
        <w:rPr>
          <w:lang w:val="en-US"/>
        </w:rPr>
        <w:t xml:space="preserve">. </w:t>
      </w:r>
      <w:r w:rsidRPr="00A32F1B">
        <w:rPr>
          <w:lang w:val="en-US"/>
        </w:rPr>
        <w:t xml:space="preserve">After the birth of these Lights their complements were born which was </w:t>
      </w:r>
      <w:r w:rsidR="00904D5F">
        <w:rPr>
          <w:lang w:val="en-US"/>
        </w:rPr>
        <w:t xml:space="preserve">immediately </w:t>
      </w:r>
      <w:r w:rsidRPr="00A32F1B">
        <w:rPr>
          <w:lang w:val="en-US"/>
        </w:rPr>
        <w:t>followed by the birth of ministers to whom complements were added as well. The four fours are: Harmozel – Grace – Gamaliel – Memory; Oroiael – Perception – Gabriel – Love; Davithe – Understanding – Samblo – Peace; Eleleth – Prudence – Abrasax – Life.</w:t>
      </w:r>
      <w:r w:rsidRPr="00A32F1B">
        <w:rPr>
          <w:rStyle w:val="Znakapoznpodarou"/>
          <w:lang w:val="en-US"/>
        </w:rPr>
        <w:footnoteReference w:id="114"/>
      </w:r>
    </w:p>
    <w:p w14:paraId="0EEA0CC2" w14:textId="507DE28A" w:rsidR="008E7881" w:rsidRPr="00A32F1B" w:rsidRDefault="008E7881" w:rsidP="008E7881">
      <w:pPr>
        <w:rPr>
          <w:lang w:val="en-US"/>
        </w:rPr>
      </w:pPr>
      <w:r w:rsidRPr="00A32F1B">
        <w:rPr>
          <w:lang w:val="en-US"/>
        </w:rPr>
        <w:t>In the first passage Abraxas is introduced as a minister to the light Eleleth who is also identified as an angel; furthermore, the angelical context is expanded by other names which are perceived as that of angelic origin</w:t>
      </w:r>
      <w:r w:rsidRPr="00A32F1B">
        <w:rPr>
          <w:rStyle w:val="Znakapoznpodarou"/>
          <w:lang w:val="en-US"/>
        </w:rPr>
        <w:footnoteReference w:id="115"/>
      </w:r>
      <w:r w:rsidRPr="00A32F1B">
        <w:rPr>
          <w:lang w:val="en-US"/>
        </w:rPr>
        <w:t xml:space="preserve"> – names with a suffix “-el”</w:t>
      </w:r>
      <w:r w:rsidRPr="00A32F1B">
        <w:rPr>
          <w:rStyle w:val="Znakapoznpodarou"/>
          <w:lang w:val="en-US"/>
        </w:rPr>
        <w:footnoteReference w:id="116"/>
      </w:r>
      <w:r w:rsidRPr="00A32F1B">
        <w:rPr>
          <w:lang w:val="en-US"/>
        </w:rPr>
        <w:t xml:space="preserve">, here Harmozel, Gamaliel, Oroiael, </w:t>
      </w:r>
      <w:r w:rsidR="00E7260E">
        <w:rPr>
          <w:lang w:val="en-US"/>
        </w:rPr>
        <w:t xml:space="preserve">and </w:t>
      </w:r>
      <w:r w:rsidRPr="00A32F1B">
        <w:rPr>
          <w:lang w:val="en-US"/>
        </w:rPr>
        <w:t xml:space="preserve">Gabriel. The name Abraxas appears twice within this section. The context is a list of the </w:t>
      </w:r>
      <w:r w:rsidR="00E7260E">
        <w:rPr>
          <w:lang w:val="en-US"/>
        </w:rPr>
        <w:t>L</w:t>
      </w:r>
      <w:r w:rsidRPr="00A32F1B">
        <w:rPr>
          <w:lang w:val="en-US"/>
        </w:rPr>
        <w:t>ights, powers and other creatures and values which are named in hierarchical order.</w:t>
      </w:r>
      <w:r w:rsidRPr="00A32F1B">
        <w:rPr>
          <w:rStyle w:val="Znakapoznpodarou"/>
          <w:lang w:val="en-US"/>
        </w:rPr>
        <w:footnoteReference w:id="117"/>
      </w:r>
      <w:r w:rsidRPr="00A32F1B">
        <w:rPr>
          <w:lang w:val="en-US"/>
        </w:rPr>
        <w:t xml:space="preserve"> In the other passage Abraxas follows the other three ministers of the Lights – Gamaliel, Gabriel, and Samblo; the immediate textual surroundings involve the Lights and other entities marked as helpers, attendants, guardians, and rulers over motifs of baptism, eternal life, </w:t>
      </w:r>
      <w:r w:rsidR="0034642B" w:rsidRPr="00A32F1B">
        <w:rPr>
          <w:lang w:val="en-US"/>
        </w:rPr>
        <w:t>the S</w:t>
      </w:r>
      <w:r w:rsidRPr="00A32F1B">
        <w:rPr>
          <w:lang w:val="en-US"/>
        </w:rPr>
        <w:t>un etc.</w:t>
      </w:r>
      <w:r w:rsidRPr="00A32F1B">
        <w:rPr>
          <w:rStyle w:val="Znakapoznpodarou"/>
          <w:lang w:val="en-US"/>
        </w:rPr>
        <w:footnoteReference w:id="118"/>
      </w:r>
      <w:r w:rsidRPr="00A32F1B">
        <w:rPr>
          <w:lang w:val="en-US"/>
        </w:rPr>
        <w:t xml:space="preserve"> that are going to be the guardians of people from Seth’s generations, and that are going to lead the people through the process of salvation.</w:t>
      </w:r>
      <w:r w:rsidRPr="00A32F1B">
        <w:rPr>
          <w:rStyle w:val="Znakapoznpodarou"/>
          <w:lang w:val="en-US"/>
        </w:rPr>
        <w:footnoteReference w:id="119"/>
      </w:r>
    </w:p>
    <w:p w14:paraId="43F83522" w14:textId="1D5DEF67" w:rsidR="008E7881" w:rsidRPr="00A32F1B" w:rsidRDefault="008E7881" w:rsidP="008E7881">
      <w:pPr>
        <w:rPr>
          <w:lang w:val="en-US"/>
        </w:rPr>
      </w:pPr>
      <w:r w:rsidRPr="00A32F1B">
        <w:rPr>
          <w:lang w:val="en-US"/>
        </w:rPr>
        <w:t xml:space="preserve">The story narrated in </w:t>
      </w:r>
      <w:r w:rsidRPr="005156DF">
        <w:rPr>
          <w:i/>
          <w:iCs/>
          <w:lang w:val="en-US"/>
        </w:rPr>
        <w:t>the</w:t>
      </w:r>
      <w:r w:rsidRPr="00A32F1B">
        <w:rPr>
          <w:i/>
          <w:iCs/>
          <w:lang w:val="en-US"/>
        </w:rPr>
        <w:t xml:space="preserve"> Apocalypse of Adam</w:t>
      </w:r>
      <w:r w:rsidRPr="00A32F1B">
        <w:rPr>
          <w:lang w:val="en-US"/>
        </w:rPr>
        <w:t xml:space="preserve"> is an apocalyptical revelation as a</w:t>
      </w:r>
      <w:r w:rsidR="00B234A3" w:rsidRPr="00A32F1B">
        <w:rPr>
          <w:lang w:val="en-US"/>
        </w:rPr>
        <w:t> </w:t>
      </w:r>
      <w:r w:rsidRPr="00A32F1B">
        <w:rPr>
          <w:lang w:val="en-US"/>
        </w:rPr>
        <w:t xml:space="preserve">retold vision by Adam to his son Seth, thus indicating the text to be a part of Sethian </w:t>
      </w:r>
      <w:r w:rsidRPr="00A32F1B">
        <w:rPr>
          <w:lang w:val="en-US"/>
        </w:rPr>
        <w:lastRenderedPageBreak/>
        <w:t>gnosis library. The absence of an explicit Christian motifs and names alludes to a possible pre-Christian origin of the text; the presence of apocalyptic themes points to Jewish tradition inspiration, thus insinuating that the text might have been written between 1</w:t>
      </w:r>
      <w:r w:rsidRPr="00A32F1B">
        <w:rPr>
          <w:vertAlign w:val="superscript"/>
          <w:lang w:val="en-US"/>
        </w:rPr>
        <w:t>st</w:t>
      </w:r>
      <w:r w:rsidR="005156DF">
        <w:rPr>
          <w:lang w:val="en-US"/>
        </w:rPr>
        <w:t> </w:t>
      </w:r>
      <w:r w:rsidRPr="00A32F1B">
        <w:rPr>
          <w:lang w:val="en-US"/>
        </w:rPr>
        <w:t>and 2</w:t>
      </w:r>
      <w:r w:rsidRPr="00A32F1B">
        <w:rPr>
          <w:vertAlign w:val="superscript"/>
          <w:lang w:val="en-US"/>
        </w:rPr>
        <w:t>nd</w:t>
      </w:r>
      <w:r w:rsidRPr="00A32F1B">
        <w:rPr>
          <w:lang w:val="en-US"/>
        </w:rPr>
        <w:t xml:space="preserve"> century. A debate about the figure of “illuminator”</w:t>
      </w:r>
      <w:r w:rsidRPr="00A32F1B">
        <w:rPr>
          <w:rStyle w:val="Znakapoznpodarou"/>
          <w:lang w:val="en-US"/>
        </w:rPr>
        <w:footnoteReference w:id="120"/>
      </w:r>
      <w:r w:rsidRPr="00A32F1B">
        <w:rPr>
          <w:lang w:val="en-US"/>
        </w:rPr>
        <w:t xml:space="preserve"> in the story was led in which the character was compared to Christ; however, there was no unequivocal evidence</w:t>
      </w:r>
      <w:r w:rsidR="005156DF">
        <w:rPr>
          <w:lang w:val="en-US"/>
        </w:rPr>
        <w:t xml:space="preserve"> found during the debate</w:t>
      </w:r>
      <w:r w:rsidRPr="00A32F1B">
        <w:rPr>
          <w:lang w:val="en-US"/>
        </w:rPr>
        <w:t>.</w:t>
      </w:r>
      <w:r w:rsidRPr="00A32F1B">
        <w:rPr>
          <w:rStyle w:val="Znakapoznpodarou"/>
          <w:lang w:val="en-US"/>
        </w:rPr>
        <w:footnoteReference w:id="121"/>
      </w:r>
    </w:p>
    <w:p w14:paraId="241B3E35" w14:textId="6528A142" w:rsidR="008E7881" w:rsidRPr="00A32F1B" w:rsidRDefault="008E7881" w:rsidP="008E7881">
      <w:pPr>
        <w:rPr>
          <w:lang w:val="en-US"/>
        </w:rPr>
      </w:pPr>
      <w:r w:rsidRPr="00A32F1B">
        <w:rPr>
          <w:lang w:val="en-US"/>
        </w:rPr>
        <w:t xml:space="preserve">In </w:t>
      </w:r>
      <w:r w:rsidRPr="005156DF">
        <w:rPr>
          <w:i/>
          <w:iCs/>
          <w:lang w:val="en-US"/>
        </w:rPr>
        <w:t>the</w:t>
      </w:r>
      <w:r w:rsidRPr="00A32F1B">
        <w:rPr>
          <w:lang w:val="en-US"/>
        </w:rPr>
        <w:t xml:space="preserve"> </w:t>
      </w:r>
      <w:r w:rsidRPr="00A32F1B">
        <w:rPr>
          <w:i/>
          <w:iCs/>
          <w:lang w:val="en-US"/>
        </w:rPr>
        <w:t>Apocalypse</w:t>
      </w:r>
      <w:r w:rsidRPr="00A32F1B">
        <w:rPr>
          <w:lang w:val="en-US"/>
        </w:rPr>
        <w:t xml:space="preserve"> Abraxas is followed by other ministers of the Lights – Sablo (the same entity as “Samblo” in </w:t>
      </w:r>
      <w:r w:rsidRPr="005156DF">
        <w:rPr>
          <w:i/>
          <w:iCs/>
          <w:lang w:val="en-US"/>
        </w:rPr>
        <w:t>the</w:t>
      </w:r>
      <w:r w:rsidRPr="00A32F1B">
        <w:rPr>
          <w:i/>
          <w:iCs/>
          <w:lang w:val="en-US"/>
        </w:rPr>
        <w:t xml:space="preserve"> Gospel</w:t>
      </w:r>
      <w:r w:rsidRPr="00A32F1B">
        <w:rPr>
          <w:rStyle w:val="Znakapoznpodarou"/>
          <w:i/>
          <w:iCs/>
          <w:lang w:val="en-US"/>
        </w:rPr>
        <w:footnoteReference w:id="122"/>
      </w:r>
      <w:r w:rsidR="005156DF">
        <w:rPr>
          <w:lang w:val="en-US"/>
        </w:rPr>
        <w:t>)</w:t>
      </w:r>
      <w:r w:rsidRPr="00A32F1B">
        <w:rPr>
          <w:lang w:val="en-US"/>
        </w:rPr>
        <w:t>, and Gamaliel. In this story they are saviors of people who were not corrupted by desires of the mortal world, descendants of the great Seth</w:t>
      </w:r>
      <w:r w:rsidR="005156DF">
        <w:rPr>
          <w:lang w:val="en-US"/>
        </w:rPr>
        <w:t>; t</w:t>
      </w:r>
      <w:r w:rsidRPr="00A32F1B">
        <w:rPr>
          <w:lang w:val="en-US"/>
        </w:rPr>
        <w:t xml:space="preserve">hese three figures </w:t>
      </w:r>
      <w:proofErr w:type="gramStart"/>
      <w:r w:rsidRPr="00A32F1B">
        <w:rPr>
          <w:lang w:val="en-US"/>
        </w:rPr>
        <w:t>are considered to be</w:t>
      </w:r>
      <w:proofErr w:type="gramEnd"/>
      <w:r w:rsidRPr="00A32F1B">
        <w:rPr>
          <w:lang w:val="en-US"/>
        </w:rPr>
        <w:t xml:space="preserve"> the salvaging angels when people are being destroyed by fire.</w:t>
      </w:r>
      <w:r w:rsidRPr="00A32F1B">
        <w:rPr>
          <w:rStyle w:val="Znakapoznpodarou"/>
          <w:lang w:val="en-US"/>
        </w:rPr>
        <w:footnoteReference w:id="123"/>
      </w:r>
      <w:r w:rsidRPr="00A32F1B">
        <w:rPr>
          <w:lang w:val="en-US"/>
        </w:rPr>
        <w:t xml:space="preserve"> The passage </w:t>
      </w:r>
      <w:r w:rsidR="005156DF">
        <w:rPr>
          <w:lang w:val="en-US"/>
        </w:rPr>
        <w:t>includes</w:t>
      </w:r>
      <w:r w:rsidRPr="00A32F1B">
        <w:rPr>
          <w:lang w:val="en-US"/>
        </w:rPr>
        <w:t xml:space="preserve"> only </w:t>
      </w:r>
      <w:r w:rsidR="005156DF">
        <w:rPr>
          <w:lang w:val="en-US"/>
        </w:rPr>
        <w:t xml:space="preserve">the proper </w:t>
      </w:r>
      <w:r w:rsidRPr="00A32F1B">
        <w:rPr>
          <w:lang w:val="en-US"/>
        </w:rPr>
        <w:t>names of Noah and his sons (Shem, Ham and Japheth), Seth and the three ministers of Light</w:t>
      </w:r>
      <w:r w:rsidR="005156DF">
        <w:rPr>
          <w:lang w:val="en-US"/>
        </w:rPr>
        <w:t>s</w:t>
      </w:r>
      <w:r w:rsidRPr="00A32F1B">
        <w:rPr>
          <w:lang w:val="en-US"/>
        </w:rPr>
        <w:t>.</w:t>
      </w:r>
      <w:r w:rsidRPr="00A32F1B">
        <w:rPr>
          <w:rStyle w:val="Znakapoznpodarou"/>
          <w:lang w:val="en-US"/>
        </w:rPr>
        <w:footnoteReference w:id="124"/>
      </w:r>
    </w:p>
    <w:p w14:paraId="442E3D76" w14:textId="1820A65D" w:rsidR="008E7881" w:rsidRPr="00A32F1B" w:rsidRDefault="008E7881" w:rsidP="008E7881">
      <w:pPr>
        <w:rPr>
          <w:lang w:val="en-US"/>
        </w:rPr>
      </w:pPr>
      <w:r w:rsidRPr="00A32F1B">
        <w:rPr>
          <w:i/>
          <w:iCs/>
          <w:lang w:val="en-US"/>
        </w:rPr>
        <w:t>Zostrianos</w:t>
      </w:r>
      <w:r w:rsidRPr="00A32F1B">
        <w:rPr>
          <w:lang w:val="en-US"/>
        </w:rPr>
        <w:t xml:space="preserve"> belongs to the group of apocalyptic Sethian texts showing signs of mythological and philosophical borrowings</w:t>
      </w:r>
      <w:r w:rsidR="00062010">
        <w:rPr>
          <w:lang w:val="en-US"/>
        </w:rPr>
        <w:t xml:space="preserve"> </w:t>
      </w:r>
      <w:r w:rsidRPr="00A32F1B">
        <w:rPr>
          <w:lang w:val="en-US"/>
        </w:rPr>
        <w:t>from other texts of Nag Hammadi’s library, but also from Neoplatonist philosophical categories, and superficially implies also Christian motifs. The protagonist Zostrianos, who is often being seen in relation to Zoroaster, is taken on a journey through the spheres above the mortal world while he is being introduced to angels, powers, and creatures which are kept in the hierarchical order. The text is one of the most extensive texts among the Nag Hammadi codices, although the codex was considerably damaged, and some sections were preserved only in fragments.</w:t>
      </w:r>
      <w:r w:rsidRPr="00A32F1B">
        <w:rPr>
          <w:rStyle w:val="Znakapoznpodarou"/>
          <w:lang w:val="en-US"/>
        </w:rPr>
        <w:footnoteReference w:id="125"/>
      </w:r>
      <w:r w:rsidRPr="00A32F1B">
        <w:rPr>
          <w:lang w:val="en-US"/>
        </w:rPr>
        <w:t xml:space="preserve"> </w:t>
      </w:r>
    </w:p>
    <w:p w14:paraId="3CF8B946" w14:textId="2A4A1B29" w:rsidR="008E7881" w:rsidRPr="00A32F1B" w:rsidRDefault="008E7881" w:rsidP="008E7881">
      <w:pPr>
        <w:rPr>
          <w:lang w:val="en-US"/>
        </w:rPr>
      </w:pPr>
      <w:r w:rsidRPr="00A32F1B">
        <w:rPr>
          <w:lang w:val="en-US"/>
        </w:rPr>
        <w:t xml:space="preserve">Abraxas is in </w:t>
      </w:r>
      <w:r w:rsidRPr="00A32F1B">
        <w:rPr>
          <w:i/>
          <w:iCs/>
          <w:lang w:val="en-US"/>
        </w:rPr>
        <w:t>Zostrianos</w:t>
      </w:r>
      <w:r w:rsidRPr="00A32F1B">
        <w:rPr>
          <w:lang w:val="en-US"/>
        </w:rPr>
        <w:t xml:space="preserve"> text surrounded by Gamaliel and Samblo</w:t>
      </w:r>
      <w:r w:rsidRPr="00A32F1B">
        <w:rPr>
          <w:rStyle w:val="Znakapoznpodarou"/>
          <w:lang w:val="en-US"/>
        </w:rPr>
        <w:footnoteReference w:id="126"/>
      </w:r>
      <w:r w:rsidRPr="00A32F1B">
        <w:rPr>
          <w:lang w:val="en-US"/>
        </w:rPr>
        <w:t xml:space="preserve">, also ministers to the Lights, and other names with “-el” suffix, </w:t>
      </w:r>
      <w:proofErr w:type="gramStart"/>
      <w:r w:rsidRPr="00A32F1B">
        <w:rPr>
          <w:lang w:val="en-US"/>
        </w:rPr>
        <w:t>e.g.</w:t>
      </w:r>
      <w:proofErr w:type="gramEnd"/>
      <w:r w:rsidRPr="00A32F1B">
        <w:rPr>
          <w:lang w:val="en-US"/>
        </w:rPr>
        <w:t xml:space="preserve"> Loel, Audael, Seisauel</w:t>
      </w:r>
      <w:r w:rsidRPr="00A32F1B">
        <w:rPr>
          <w:rStyle w:val="Znakapoznpodarou"/>
          <w:lang w:val="en-US"/>
        </w:rPr>
        <w:footnoteReference w:id="127"/>
      </w:r>
      <w:r w:rsidRPr="00A32F1B">
        <w:rPr>
          <w:lang w:val="en-US"/>
        </w:rPr>
        <w:t>, later the names of the four Lights join – Armmosel, Oroiael, Daveithe and Eleleth</w:t>
      </w:r>
      <w:r w:rsidRPr="00A32F1B">
        <w:rPr>
          <w:rStyle w:val="Znakapoznpodarou"/>
          <w:lang w:val="en-US"/>
        </w:rPr>
        <w:footnoteReference w:id="128"/>
      </w:r>
      <w:r w:rsidRPr="00A32F1B">
        <w:rPr>
          <w:lang w:val="en-US"/>
        </w:rPr>
        <w:t xml:space="preserve">. The context </w:t>
      </w:r>
      <w:r w:rsidR="00895A68" w:rsidRPr="00A32F1B">
        <w:rPr>
          <w:lang w:val="en-US"/>
        </w:rPr>
        <w:t>contains</w:t>
      </w:r>
      <w:r w:rsidRPr="00A32F1B">
        <w:rPr>
          <w:lang w:val="en-US"/>
        </w:rPr>
        <w:t xml:space="preserve"> also </w:t>
      </w:r>
      <w:r w:rsidR="00CC20FD">
        <w:rPr>
          <w:lang w:val="en-US"/>
        </w:rPr>
        <w:t xml:space="preserve">other </w:t>
      </w:r>
      <w:r w:rsidRPr="00A32F1B">
        <w:rPr>
          <w:lang w:val="en-US"/>
        </w:rPr>
        <w:t xml:space="preserve">names, </w:t>
      </w:r>
      <w:proofErr w:type="gramStart"/>
      <w:r w:rsidRPr="00A32F1B">
        <w:rPr>
          <w:lang w:val="en-US"/>
        </w:rPr>
        <w:t>e.g.</w:t>
      </w:r>
      <w:proofErr w:type="gramEnd"/>
      <w:r w:rsidRPr="00A32F1B">
        <w:rPr>
          <w:lang w:val="en-US"/>
        </w:rPr>
        <w:t xml:space="preserve"> Eurios, Akramas, Sumphtar etc.</w:t>
      </w:r>
      <w:r w:rsidRPr="00A32F1B">
        <w:rPr>
          <w:rStyle w:val="Znakapoznpodarou"/>
          <w:lang w:val="en-US"/>
        </w:rPr>
        <w:footnoteReference w:id="129"/>
      </w:r>
      <w:r w:rsidRPr="00A32F1B">
        <w:rPr>
          <w:lang w:val="en-US"/>
        </w:rPr>
        <w:t xml:space="preserve"> This context </w:t>
      </w:r>
      <w:r w:rsidRPr="00A32F1B">
        <w:rPr>
          <w:lang w:val="en-US"/>
        </w:rPr>
        <w:lastRenderedPageBreak/>
        <w:t xml:space="preserve">enumerates various helpers, guardians, and angels who are supposed to be of assistance in the process of salvation of the people. Although Abraxas is not identified with any characteristics, the figure is presumably connected to angelic </w:t>
      </w:r>
      <w:r w:rsidR="00CC20FD">
        <w:rPr>
          <w:lang w:val="en-US"/>
        </w:rPr>
        <w:t>attributes</w:t>
      </w:r>
      <w:r w:rsidRPr="00A32F1B">
        <w:rPr>
          <w:lang w:val="en-US"/>
        </w:rPr>
        <w:t>.</w:t>
      </w:r>
    </w:p>
    <w:p w14:paraId="2CE8915E" w14:textId="77777777" w:rsidR="008E7881" w:rsidRPr="00A32F1B" w:rsidRDefault="008E7881" w:rsidP="008E7881">
      <w:pPr>
        <w:rPr>
          <w:lang w:val="en-US"/>
        </w:rPr>
      </w:pPr>
      <w:r w:rsidRPr="00A32F1B">
        <w:rPr>
          <w:lang w:val="en-US"/>
        </w:rPr>
        <w:t>Before the discovery of the Gnostic texts, history and teaching of Gnosticism was available only in the writings of thinkers who considered the Gnostic ideas as heretic; most known of them were early Christian sources</w:t>
      </w:r>
      <w:r w:rsidRPr="00A32F1B">
        <w:rPr>
          <w:i/>
          <w:iCs/>
          <w:lang w:val="en-US"/>
        </w:rPr>
        <w:t xml:space="preserve"> Adversus haereses </w:t>
      </w:r>
      <w:r w:rsidRPr="00A32F1B">
        <w:rPr>
          <w:lang w:val="en-US"/>
        </w:rPr>
        <w:t>by Irenaeus of Lyons from the 2</w:t>
      </w:r>
      <w:r w:rsidRPr="00A32F1B">
        <w:rPr>
          <w:vertAlign w:val="superscript"/>
          <w:lang w:val="en-US"/>
        </w:rPr>
        <w:t>nd</w:t>
      </w:r>
      <w:r w:rsidRPr="00A32F1B">
        <w:rPr>
          <w:lang w:val="en-US"/>
        </w:rPr>
        <w:t xml:space="preserve"> century, </w:t>
      </w:r>
      <w:r w:rsidRPr="00A32F1B">
        <w:rPr>
          <w:i/>
          <w:iCs/>
          <w:lang w:val="en-US"/>
        </w:rPr>
        <w:t>Elenchos Against All Heresies</w:t>
      </w:r>
      <w:r w:rsidRPr="00A32F1B">
        <w:rPr>
          <w:lang w:val="en-US"/>
        </w:rPr>
        <w:t xml:space="preserve"> written by Hippolytus of Rome Hippolytus probably from the 3</w:t>
      </w:r>
      <w:r w:rsidRPr="00A32F1B">
        <w:rPr>
          <w:vertAlign w:val="superscript"/>
          <w:lang w:val="en-US"/>
        </w:rPr>
        <w:t>rd</w:t>
      </w:r>
      <w:r w:rsidRPr="00A32F1B">
        <w:rPr>
          <w:lang w:val="en-US"/>
        </w:rPr>
        <w:t xml:space="preserve"> century, and the work of Epiphanus of Salamis </w:t>
      </w:r>
      <w:r w:rsidRPr="00A32F1B">
        <w:rPr>
          <w:i/>
          <w:iCs/>
          <w:lang w:val="en-US"/>
        </w:rPr>
        <w:t>Panarion</w:t>
      </w:r>
      <w:r w:rsidRPr="00A32F1B">
        <w:rPr>
          <w:lang w:val="en-US"/>
        </w:rPr>
        <w:t xml:space="preserve"> written in the 4</w:t>
      </w:r>
      <w:r w:rsidRPr="00A32F1B">
        <w:rPr>
          <w:vertAlign w:val="superscript"/>
          <w:lang w:val="en-US"/>
        </w:rPr>
        <w:t>th</w:t>
      </w:r>
      <w:r w:rsidRPr="00A32F1B">
        <w:rPr>
          <w:lang w:val="en-US"/>
        </w:rPr>
        <w:t xml:space="preserve"> century.</w:t>
      </w:r>
      <w:r w:rsidRPr="00A32F1B">
        <w:rPr>
          <w:rStyle w:val="Znakapoznpodarou"/>
          <w:lang w:val="en-US"/>
        </w:rPr>
        <w:footnoteReference w:id="130"/>
      </w:r>
      <w:r w:rsidRPr="00A32F1B">
        <w:rPr>
          <w:lang w:val="en-US"/>
        </w:rPr>
        <w:t xml:space="preserve"> An interesting finding in Latin works written by Irenaeus and St. Augustine: they both preserve the Greek transliteration of the name in the form ABRAXAS (</w:t>
      </w:r>
      <w:r w:rsidRPr="00A32F1B">
        <w:rPr>
          <w:szCs w:val="24"/>
          <w:lang w:val="en-US"/>
        </w:rPr>
        <w:t>ΑΒΡΑΞΑΣ</w:t>
      </w:r>
      <w:r w:rsidRPr="00A32F1B">
        <w:rPr>
          <w:lang w:val="en-US"/>
        </w:rPr>
        <w:t>).</w:t>
      </w:r>
      <w:r w:rsidRPr="00A32F1B">
        <w:rPr>
          <w:rStyle w:val="Znakapoznpodarou"/>
          <w:lang w:val="en-US"/>
        </w:rPr>
        <w:footnoteReference w:id="131"/>
      </w:r>
    </w:p>
    <w:p w14:paraId="711D7BF1" w14:textId="4242D309" w:rsidR="008E7881" w:rsidRPr="00A32F1B" w:rsidRDefault="008E7881" w:rsidP="008E7881">
      <w:pPr>
        <w:rPr>
          <w:lang w:val="en-US"/>
        </w:rPr>
      </w:pPr>
      <w:r w:rsidRPr="00A32F1B">
        <w:rPr>
          <w:lang w:val="en-US"/>
        </w:rPr>
        <w:t>Irenaeus and Hippolytus comment on Abraxas and link him to the Gnostic thinker Basilides who was active during the 2</w:t>
      </w:r>
      <w:r w:rsidRPr="00A32F1B">
        <w:rPr>
          <w:vertAlign w:val="superscript"/>
          <w:lang w:val="en-US"/>
        </w:rPr>
        <w:t>nd</w:t>
      </w:r>
      <w:r w:rsidRPr="00A32F1B">
        <w:rPr>
          <w:lang w:val="en-US"/>
        </w:rPr>
        <w:t xml:space="preserve"> century </w:t>
      </w:r>
      <w:r w:rsidR="00CC20FD">
        <w:rPr>
          <w:lang w:val="en-US"/>
        </w:rPr>
        <w:t xml:space="preserve">CE </w:t>
      </w:r>
      <w:r w:rsidRPr="00A32F1B">
        <w:rPr>
          <w:lang w:val="en-US"/>
        </w:rPr>
        <w:t>in Alexandria establishing a direction within Gnosticism that drew from Greek philosophy and Christian theology; only fragments of explicitly Basilides’s thoughts were preserved partially in the works of Clement of Alexandria and Origen of Alexandria.</w:t>
      </w:r>
      <w:r w:rsidRPr="00A32F1B">
        <w:rPr>
          <w:rStyle w:val="Znakapoznpodarou"/>
          <w:lang w:val="en-US"/>
        </w:rPr>
        <w:footnoteReference w:id="132"/>
      </w:r>
      <w:r w:rsidRPr="00A32F1B">
        <w:rPr>
          <w:lang w:val="en-US"/>
        </w:rPr>
        <w:t xml:space="preserve"> According to Irenaeus and Hippolytus, Basilides placed Abraxas into the center of importance as a the most powerful being, a ruler of 365 heavens constituted by the system of 365 angels; even though neither of them explains details of this claim, other than making the connection between the numerical value of the name Abraxas, which is 365, to the number of days in a year. Abraxas, according to them, represents a powerful deity within the Gnostic system of belief.</w:t>
      </w:r>
      <w:r w:rsidRPr="00A32F1B">
        <w:rPr>
          <w:rStyle w:val="Znakapoznpodarou"/>
          <w:lang w:val="en-US"/>
        </w:rPr>
        <w:footnoteReference w:id="133"/>
      </w:r>
      <w:r w:rsidRPr="00A32F1B">
        <w:rPr>
          <w:lang w:val="en-US"/>
        </w:rPr>
        <w:t xml:space="preserve"> Epiphanus elevated Abraxas to a higher level – Abraxas as a supreme deity within Gnosticism.</w:t>
      </w:r>
      <w:r w:rsidRPr="00A32F1B">
        <w:rPr>
          <w:rStyle w:val="Znakapoznpodarou"/>
          <w:lang w:val="en-US"/>
        </w:rPr>
        <w:footnoteReference w:id="134"/>
      </w:r>
      <w:r w:rsidRPr="00A32F1B">
        <w:rPr>
          <w:lang w:val="en-US"/>
        </w:rPr>
        <w:t xml:space="preserve"> The question of Abraxas’s role in the Gnostic belief was asked and answered frequently during the scholars’ research resulting in the endeavors of </w:t>
      </w:r>
      <w:r w:rsidRPr="00A32F1B">
        <w:rPr>
          <w:lang w:val="en-US"/>
        </w:rPr>
        <w:lastRenderedPageBreak/>
        <w:t xml:space="preserve">etymological analysis of the name – connection of Abraxas and the Tetragrammaton; thus, Abraxas was associated with </w:t>
      </w:r>
      <w:r w:rsidR="00CC20FD">
        <w:rPr>
          <w:lang w:val="en-US"/>
        </w:rPr>
        <w:t xml:space="preserve">the </w:t>
      </w:r>
      <w:r w:rsidRPr="00A32F1B">
        <w:rPr>
          <w:lang w:val="en-US"/>
        </w:rPr>
        <w:t>Jewish supreme God.</w:t>
      </w:r>
      <w:r w:rsidRPr="00A32F1B">
        <w:rPr>
          <w:rStyle w:val="Znakapoznpodarou"/>
          <w:lang w:val="en-US"/>
        </w:rPr>
        <w:footnoteReference w:id="135"/>
      </w:r>
    </w:p>
    <w:p w14:paraId="1328C09E" w14:textId="6A174361" w:rsidR="008E7881" w:rsidRPr="00A32F1B" w:rsidRDefault="008E7881" w:rsidP="008E7881">
      <w:pPr>
        <w:rPr>
          <w:lang w:val="en-US"/>
        </w:rPr>
      </w:pPr>
      <w:r w:rsidRPr="00A32F1B">
        <w:rPr>
          <w:lang w:val="en-US"/>
        </w:rPr>
        <w:t xml:space="preserve">The obvious association of the number 365 with the solar year, thus with the </w:t>
      </w:r>
      <w:r w:rsidR="0034642B" w:rsidRPr="00A32F1B">
        <w:rPr>
          <w:lang w:val="en-US"/>
        </w:rPr>
        <w:t>S</w:t>
      </w:r>
      <w:r w:rsidRPr="00A32F1B">
        <w:rPr>
          <w:lang w:val="en-US"/>
        </w:rPr>
        <w:t xml:space="preserve">un, was not reserved for Graeco-Egyptian narrative, it appears also </w:t>
      </w:r>
      <w:r w:rsidR="00CC20FD">
        <w:rPr>
          <w:lang w:val="en-US"/>
        </w:rPr>
        <w:t xml:space="preserve">in </w:t>
      </w:r>
      <w:r w:rsidRPr="00A32F1B">
        <w:rPr>
          <w:lang w:val="en-US"/>
        </w:rPr>
        <w:t xml:space="preserve">philosophical and theological concepts and systems. As reported by the Jerusalem Talmud 365 windows were created for the </w:t>
      </w:r>
      <w:r w:rsidR="0034642B" w:rsidRPr="00A32F1B">
        <w:rPr>
          <w:lang w:val="en-US"/>
        </w:rPr>
        <w:t>S</w:t>
      </w:r>
      <w:r w:rsidRPr="00A32F1B">
        <w:rPr>
          <w:lang w:val="en-US"/>
        </w:rPr>
        <w:t>un, and other celestial bodies, to use during the year.</w:t>
      </w:r>
      <w:r w:rsidRPr="00A32F1B">
        <w:rPr>
          <w:rStyle w:val="Znakapoznpodarou"/>
          <w:lang w:val="en-US"/>
        </w:rPr>
        <w:footnoteReference w:id="136"/>
      </w:r>
    </w:p>
    <w:p w14:paraId="1D722ED0" w14:textId="7B1E4633" w:rsidR="008E7881" w:rsidRPr="00A32F1B" w:rsidRDefault="008E7881" w:rsidP="008E7881">
      <w:pPr>
        <w:rPr>
          <w:lang w:val="en-US"/>
        </w:rPr>
      </w:pPr>
      <w:r w:rsidRPr="00A32F1B">
        <w:rPr>
          <w:lang w:val="en-US"/>
        </w:rPr>
        <w:t xml:space="preserve">The Nag Hammadi accounts put Abraxas into context of angels, simultaneously ascribing angelic </w:t>
      </w:r>
      <w:r w:rsidR="00CC20FD">
        <w:rPr>
          <w:lang w:val="en-US"/>
        </w:rPr>
        <w:t>attributes</w:t>
      </w:r>
      <w:r w:rsidRPr="00A32F1B">
        <w:rPr>
          <w:lang w:val="en-US"/>
        </w:rPr>
        <w:t xml:space="preserve"> to Abraxas. The angelic dispositions might be inferred also from Abraxas’s role as one of the “ministers of the Lights”; assuming a certain governing role the notion corresponds to “ministering” actions of angels in another analyzed source of Jewish magical tradition </w:t>
      </w:r>
      <w:r w:rsidRPr="00A32F1B">
        <w:rPr>
          <w:i/>
          <w:iCs/>
          <w:lang w:val="en-US"/>
        </w:rPr>
        <w:t>Sefer ha-Razim</w:t>
      </w:r>
      <w:r w:rsidRPr="00A32F1B">
        <w:rPr>
          <w:rStyle w:val="Znakapoznpodarou"/>
          <w:lang w:val="en-US"/>
        </w:rPr>
        <w:footnoteReference w:id="137"/>
      </w:r>
      <w:r w:rsidRPr="00A32F1B">
        <w:rPr>
          <w:lang w:val="en-US"/>
        </w:rPr>
        <w:t xml:space="preserve">. The Christian commentators, whose opinions were widely followed before the discovery of the Gnostic texts, assumed to Abraxas angelic context as well, however, Abraxas obtained a higher place in the hierarchy above the angels, moreover some of the Christian thinkers ascribed divine </w:t>
      </w:r>
      <w:r w:rsidR="00CC20FD">
        <w:rPr>
          <w:lang w:val="en-US"/>
        </w:rPr>
        <w:t>attributes</w:t>
      </w:r>
      <w:r w:rsidRPr="00A32F1B">
        <w:rPr>
          <w:lang w:val="en-US"/>
        </w:rPr>
        <w:t xml:space="preserve"> to character identifying Abraxas </w:t>
      </w:r>
      <w:r w:rsidR="00CC20FD">
        <w:rPr>
          <w:lang w:val="en-US"/>
        </w:rPr>
        <w:t>as</w:t>
      </w:r>
      <w:r w:rsidRPr="00A32F1B">
        <w:rPr>
          <w:lang w:val="en-US"/>
        </w:rPr>
        <w:t xml:space="preserve"> supreme God.</w:t>
      </w:r>
    </w:p>
    <w:p w14:paraId="21E9DD30" w14:textId="77777777" w:rsidR="008E7881" w:rsidRPr="00A32F1B" w:rsidRDefault="008E7881" w:rsidP="0013005A">
      <w:pPr>
        <w:pStyle w:val="Nadpis2"/>
        <w:numPr>
          <w:ilvl w:val="1"/>
          <w:numId w:val="3"/>
        </w:numPr>
        <w:rPr>
          <w:lang w:val="en-US"/>
        </w:rPr>
      </w:pPr>
      <w:bookmarkStart w:id="6" w:name="_Toc70950042"/>
      <w:r w:rsidRPr="00A32F1B">
        <w:rPr>
          <w:lang w:val="en-US"/>
        </w:rPr>
        <w:t>Greek Magical Papyri</w:t>
      </w:r>
      <w:bookmarkEnd w:id="6"/>
    </w:p>
    <w:p w14:paraId="23D72BE4" w14:textId="2946F032" w:rsidR="008E7881" w:rsidRPr="00A32F1B" w:rsidRDefault="008E7881" w:rsidP="008E7881">
      <w:pPr>
        <w:rPr>
          <w:lang w:val="en-US"/>
        </w:rPr>
      </w:pPr>
      <w:r w:rsidRPr="00A32F1B">
        <w:rPr>
          <w:lang w:val="en-US"/>
        </w:rPr>
        <w:t xml:space="preserve">Supposed earliest use of the name Abraxas was discovered in two curse tablets (originally in Latin as </w:t>
      </w:r>
      <w:r w:rsidRPr="00664152">
        <w:rPr>
          <w:i/>
          <w:iCs/>
          <w:lang w:val="en-US"/>
        </w:rPr>
        <w:t>Defixionum tabellae</w:t>
      </w:r>
      <w:r w:rsidRPr="00A32F1B">
        <w:rPr>
          <w:lang w:val="en-US"/>
        </w:rPr>
        <w:t>) from Carthage that were dated to the 1</w:t>
      </w:r>
      <w:r w:rsidRPr="00A32F1B">
        <w:rPr>
          <w:vertAlign w:val="superscript"/>
          <w:lang w:val="en-US"/>
        </w:rPr>
        <w:t>st</w:t>
      </w:r>
      <w:r w:rsidR="00664152">
        <w:rPr>
          <w:lang w:val="en-US"/>
        </w:rPr>
        <w:t> </w:t>
      </w:r>
      <w:r w:rsidRPr="00A32F1B">
        <w:rPr>
          <w:lang w:val="en-US"/>
        </w:rPr>
        <w:t>century CE; however, this theory was under discussion and should be approached tentatively.</w:t>
      </w:r>
      <w:r w:rsidRPr="00A32F1B">
        <w:rPr>
          <w:rStyle w:val="Znakapoznpodarou"/>
          <w:lang w:val="en-US"/>
        </w:rPr>
        <w:footnoteReference w:id="138"/>
      </w:r>
      <w:r w:rsidRPr="00A32F1B">
        <w:rPr>
          <w:lang w:val="en-US"/>
        </w:rPr>
        <w:t xml:space="preserve"> Thus the first accepted attestation is set to the 2</w:t>
      </w:r>
      <w:r w:rsidRPr="00A32F1B">
        <w:rPr>
          <w:vertAlign w:val="superscript"/>
          <w:lang w:val="en-US"/>
        </w:rPr>
        <w:t>nd</w:t>
      </w:r>
      <w:r w:rsidRPr="00A32F1B">
        <w:rPr>
          <w:lang w:val="en-US"/>
        </w:rPr>
        <w:t xml:space="preserve"> century CE</w:t>
      </w:r>
      <w:r w:rsidR="00664152">
        <w:rPr>
          <w:lang w:val="en-US"/>
        </w:rPr>
        <w:t xml:space="preserve"> in the Greek magical papyri</w:t>
      </w:r>
      <w:r w:rsidRPr="00A32F1B">
        <w:rPr>
          <w:lang w:val="en-US"/>
        </w:rPr>
        <w:t>.</w:t>
      </w:r>
    </w:p>
    <w:p w14:paraId="10BB9F2D" w14:textId="433EA86B" w:rsidR="008E7881" w:rsidRPr="00A32F1B" w:rsidRDefault="008E7881" w:rsidP="008E7881">
      <w:pPr>
        <w:rPr>
          <w:lang w:val="en-US"/>
        </w:rPr>
      </w:pPr>
      <w:r w:rsidRPr="00A32F1B">
        <w:rPr>
          <w:lang w:val="en-US"/>
        </w:rPr>
        <w:t>Magical papyri are a part of a magical literature body that dates from the 2</w:t>
      </w:r>
      <w:r w:rsidRPr="00A32F1B">
        <w:rPr>
          <w:vertAlign w:val="superscript"/>
          <w:lang w:val="en-US"/>
        </w:rPr>
        <w:t>nd</w:t>
      </w:r>
      <w:r w:rsidR="00326586">
        <w:rPr>
          <w:lang w:val="en-US"/>
        </w:rPr>
        <w:t> </w:t>
      </w:r>
      <w:r w:rsidRPr="00A32F1B">
        <w:rPr>
          <w:lang w:val="en-US"/>
        </w:rPr>
        <w:t>century BCE to 5</w:t>
      </w:r>
      <w:r w:rsidRPr="00A32F1B">
        <w:rPr>
          <w:vertAlign w:val="superscript"/>
          <w:lang w:val="en-US"/>
        </w:rPr>
        <w:t>th</w:t>
      </w:r>
      <w:r w:rsidRPr="00A32F1B">
        <w:rPr>
          <w:lang w:val="en-US"/>
        </w:rPr>
        <w:t xml:space="preserve"> century CE, with a substantial growth period from the 1</w:t>
      </w:r>
      <w:r w:rsidRPr="00A32F1B">
        <w:rPr>
          <w:vertAlign w:val="superscript"/>
          <w:lang w:val="en-US"/>
        </w:rPr>
        <w:t>st</w:t>
      </w:r>
      <w:r w:rsidRPr="00A32F1B">
        <w:rPr>
          <w:lang w:val="en-US"/>
        </w:rPr>
        <w:t xml:space="preserve"> century BCE to the 2</w:t>
      </w:r>
      <w:r w:rsidRPr="00A32F1B">
        <w:rPr>
          <w:vertAlign w:val="superscript"/>
          <w:lang w:val="en-US"/>
        </w:rPr>
        <w:t>nd</w:t>
      </w:r>
      <w:r w:rsidRPr="00A32F1B">
        <w:rPr>
          <w:lang w:val="en-US"/>
        </w:rPr>
        <w:t xml:space="preserve"> century CE, in this period of growth magical formulas and the </w:t>
      </w:r>
      <w:r w:rsidRPr="00A32F1B">
        <w:rPr>
          <w:lang w:val="en-US"/>
        </w:rPr>
        <w:lastRenderedPageBreak/>
        <w:t>“vocabulary” of magical practices were developed and in following two centuries standardized to specific forms. In the 5</w:t>
      </w:r>
      <w:r w:rsidRPr="00A32F1B">
        <w:rPr>
          <w:vertAlign w:val="superscript"/>
          <w:lang w:val="en-US"/>
        </w:rPr>
        <w:t>th</w:t>
      </w:r>
      <w:r w:rsidRPr="00A32F1B">
        <w:rPr>
          <w:lang w:val="en-US"/>
        </w:rPr>
        <w:t xml:space="preserve"> century the production of magical literature began to decline.</w:t>
      </w:r>
      <w:r w:rsidRPr="00A32F1B">
        <w:rPr>
          <w:rStyle w:val="Znakapoznpodarou"/>
          <w:lang w:val="en-US"/>
        </w:rPr>
        <w:footnoteReference w:id="139"/>
      </w:r>
      <w:r w:rsidRPr="00A32F1B">
        <w:rPr>
          <w:lang w:val="en-US"/>
        </w:rPr>
        <w:t xml:space="preserve"> </w:t>
      </w:r>
    </w:p>
    <w:p w14:paraId="08D6308E" w14:textId="799DB438" w:rsidR="008E7881" w:rsidRPr="00A32F1B" w:rsidRDefault="008E7881" w:rsidP="008E7881">
      <w:pPr>
        <w:rPr>
          <w:lang w:val="en-US"/>
        </w:rPr>
      </w:pPr>
      <w:r w:rsidRPr="00A32F1B">
        <w:rPr>
          <w:lang w:val="en-US"/>
        </w:rPr>
        <w:t>The papyri, as relics of the Greco-Egyptian culture, carry the signs of both cultures; the papyri were written in Greek, Demotic and Coptic, oftentimes one text includes more than one language. The texts of papyri show a significant influence of Egyptian magical recipes and formulas, albeit they were found not to be simply copied from previous Egyptian magical texts.</w:t>
      </w:r>
      <w:r w:rsidRPr="00A32F1B">
        <w:rPr>
          <w:rStyle w:val="Znakapoznpodarou"/>
          <w:lang w:val="en-US"/>
        </w:rPr>
        <w:footnoteReference w:id="140"/>
      </w:r>
      <w:r w:rsidRPr="00A32F1B">
        <w:rPr>
          <w:lang w:val="en-US"/>
        </w:rPr>
        <w:t xml:space="preserve"> Similar observance applies to the influence of previous Greek literature which seems to be interpreted through the lenses of popular folklore tales, thus implying the influence but not simply a copy of older Greek literary and folklore sources. The papyri display richness and complex merging and interweaving of cultures, traditions and religions present in the ancient Egypt, to name to most prominent ones – Egyptian, Greek, Jewish, and Babylonian; this evident syncretic approach led to the creation of an intricate magical practice with new perceptions of the former traditions.</w:t>
      </w:r>
      <w:r w:rsidRPr="00A32F1B">
        <w:rPr>
          <w:rStyle w:val="Znakapoznpodarou"/>
          <w:lang w:val="en-US"/>
        </w:rPr>
        <w:footnoteReference w:id="141"/>
      </w:r>
      <w:r w:rsidRPr="00A32F1B">
        <w:rPr>
          <w:lang w:val="en-US"/>
        </w:rPr>
        <w:t xml:space="preserve"> M</w:t>
      </w:r>
      <w:r w:rsidR="00664152">
        <w:rPr>
          <w:lang w:val="en-US"/>
        </w:rPr>
        <w:t>orton</w:t>
      </w:r>
      <w:r w:rsidRPr="00A32F1B">
        <w:rPr>
          <w:lang w:val="en-US"/>
        </w:rPr>
        <w:t xml:space="preserve"> Smith talks about</w:t>
      </w:r>
      <w:r w:rsidR="00664152">
        <w:rPr>
          <w:lang w:val="en-US"/>
        </w:rPr>
        <w:t xml:space="preserve"> the</w:t>
      </w:r>
      <w:r w:rsidRPr="00A32F1B">
        <w:rPr>
          <w:lang w:val="en-US"/>
        </w:rPr>
        <w:t xml:space="preserve"> homogenous treatment and assimilation of magical entities, or deities, such as </w:t>
      </w:r>
      <w:r w:rsidR="00354AEA">
        <w:rPr>
          <w:lang w:val="en-US"/>
        </w:rPr>
        <w:t xml:space="preserve">Persian deity </w:t>
      </w:r>
      <w:r w:rsidRPr="00A32F1B">
        <w:rPr>
          <w:lang w:val="en-US"/>
        </w:rPr>
        <w:t xml:space="preserve">Mithras, </w:t>
      </w:r>
      <w:r w:rsidR="00354AEA">
        <w:rPr>
          <w:lang w:val="en-US"/>
        </w:rPr>
        <w:t xml:space="preserve">Jewish God in form of </w:t>
      </w:r>
      <w:r w:rsidRPr="00A32F1B">
        <w:rPr>
          <w:lang w:val="en-US"/>
        </w:rPr>
        <w:t>Tetragrammaton</w:t>
      </w:r>
      <w:r w:rsidR="00354AEA">
        <w:rPr>
          <w:lang w:val="en-US"/>
        </w:rPr>
        <w:t xml:space="preserve">, </w:t>
      </w:r>
      <w:r w:rsidRPr="00A32F1B">
        <w:rPr>
          <w:lang w:val="en-US"/>
        </w:rPr>
        <w:t xml:space="preserve">and simultaneously also </w:t>
      </w:r>
      <w:r w:rsidR="00354AEA">
        <w:rPr>
          <w:lang w:val="en-US"/>
        </w:rPr>
        <w:t xml:space="preserve">Jewish divine names </w:t>
      </w:r>
      <w:r w:rsidRPr="00A32F1B">
        <w:rPr>
          <w:lang w:val="en-US"/>
        </w:rPr>
        <w:t xml:space="preserve">Sabaoth, Elohim, Adonai, and </w:t>
      </w:r>
      <w:r w:rsidR="00354AEA">
        <w:rPr>
          <w:lang w:val="en-US"/>
        </w:rPr>
        <w:t xml:space="preserve">Jewish </w:t>
      </w:r>
      <w:r w:rsidRPr="00A32F1B">
        <w:rPr>
          <w:lang w:val="en-US"/>
        </w:rPr>
        <w:t xml:space="preserve">angelic names Ouriel, Gabriel, Michael. Smith highlighted the use of Greek form of Tetragrammaton </w:t>
      </w:r>
      <w:r w:rsidRPr="00A32F1B">
        <w:rPr>
          <w:szCs w:val="24"/>
          <w:lang w:val="en-US"/>
        </w:rPr>
        <w:t>IAŌ in the magical papyri as it is frequently present.</w:t>
      </w:r>
      <w:r w:rsidRPr="00A32F1B">
        <w:rPr>
          <w:rStyle w:val="Znakapoznpodarou"/>
          <w:szCs w:val="24"/>
          <w:lang w:val="en-US"/>
        </w:rPr>
        <w:footnoteReference w:id="142"/>
      </w:r>
      <w:r w:rsidRPr="00A32F1B">
        <w:rPr>
          <w:szCs w:val="24"/>
          <w:lang w:val="en-US"/>
        </w:rPr>
        <w:t xml:space="preserve"> </w:t>
      </w:r>
    </w:p>
    <w:p w14:paraId="1C117BB3" w14:textId="77777777" w:rsidR="008E7881" w:rsidRPr="00A32F1B" w:rsidRDefault="008E7881" w:rsidP="008E7881">
      <w:pPr>
        <w:rPr>
          <w:lang w:val="en-US"/>
        </w:rPr>
      </w:pPr>
      <w:r w:rsidRPr="00A32F1B">
        <w:rPr>
          <w:lang w:val="en-US"/>
        </w:rPr>
        <w:t xml:space="preserve">For the analysis of Abraxas presence in the magical papyri in this thesis two major corpuses were studied: Karl Preisendanz’s compilation </w:t>
      </w:r>
      <w:r w:rsidRPr="00A32F1B">
        <w:rPr>
          <w:i/>
          <w:iCs/>
          <w:lang w:val="en-US"/>
        </w:rPr>
        <w:t>Papyri Graecae Magicae</w:t>
      </w:r>
      <w:r w:rsidRPr="00A32F1B">
        <w:rPr>
          <w:lang w:val="en-US"/>
        </w:rPr>
        <w:t xml:space="preserve">, and </w:t>
      </w:r>
      <w:r w:rsidRPr="00A32F1B">
        <w:rPr>
          <w:i/>
          <w:iCs/>
          <w:lang w:val="en-US"/>
        </w:rPr>
        <w:t>The Greek Magical Papyri in Translation</w:t>
      </w:r>
      <w:r w:rsidRPr="00A32F1B">
        <w:rPr>
          <w:lang w:val="en-US"/>
        </w:rPr>
        <w:t xml:space="preserve"> edited by Hans Dieter Betz, latter of which contains not only greater number of the magical papyri written in Greek (PGM) but also several papyri written in Demotic (PDM). Abraxas appears in the studied PGM as well as in PDM in various forms and variations, in various contexts, with various identities, in various use; this richness is being subsequently discussed.</w:t>
      </w:r>
    </w:p>
    <w:p w14:paraId="65C339C6" w14:textId="77777777" w:rsidR="008E7881" w:rsidRPr="00A32F1B" w:rsidRDefault="008E7881" w:rsidP="008E7881">
      <w:pPr>
        <w:rPr>
          <w:szCs w:val="24"/>
          <w:lang w:val="en-US"/>
        </w:rPr>
      </w:pPr>
      <w:r w:rsidRPr="00A32F1B">
        <w:rPr>
          <w:lang w:val="en-US"/>
        </w:rPr>
        <w:lastRenderedPageBreak/>
        <w:t xml:space="preserve">Standardly Abraxas appears in the papyri as </w:t>
      </w:r>
      <w:r w:rsidRPr="00A32F1B">
        <w:rPr>
          <w:szCs w:val="24"/>
          <w:lang w:val="en-US"/>
        </w:rPr>
        <w:t>ABRASAX (ΑΒΡΑΣΑΞ), only in one instance as ABRAXAS (ΑΒΡΑΞΑΣ)</w:t>
      </w:r>
      <w:r w:rsidRPr="00A32F1B">
        <w:rPr>
          <w:rStyle w:val="Znakapoznpodarou"/>
          <w:szCs w:val="24"/>
          <w:lang w:val="en-US"/>
        </w:rPr>
        <w:footnoteReference w:id="143"/>
      </w:r>
      <w:r w:rsidRPr="00A32F1B">
        <w:rPr>
          <w:szCs w:val="24"/>
          <w:lang w:val="en-US"/>
        </w:rPr>
        <w:t>; the papyri also contain Abraxas form, as seen in previous chapter, ABRAIAŌTH (ΑΒΡΑΙΑΩΘ)</w:t>
      </w:r>
      <w:r w:rsidRPr="00A32F1B">
        <w:rPr>
          <w:rStyle w:val="Znakapoznpodarou"/>
          <w:szCs w:val="24"/>
          <w:lang w:val="en-US"/>
        </w:rPr>
        <w:footnoteReference w:id="144"/>
      </w:r>
      <w:r w:rsidRPr="00A32F1B">
        <w:rPr>
          <w:szCs w:val="24"/>
          <w:lang w:val="en-US"/>
        </w:rPr>
        <w:t xml:space="preserve"> and its variations ABRAIAŌ (ΑBPAIAΩ)</w:t>
      </w:r>
      <w:r w:rsidRPr="00A32F1B">
        <w:rPr>
          <w:rStyle w:val="Znakapoznpodarou"/>
          <w:szCs w:val="24"/>
          <w:lang w:val="en-US"/>
        </w:rPr>
        <w:footnoteReference w:id="145"/>
      </w:r>
      <w:r w:rsidRPr="00A32F1B">
        <w:rPr>
          <w:szCs w:val="24"/>
          <w:lang w:val="en-US"/>
        </w:rPr>
        <w:t>, ABRAŌTH (ABPAΩΘ)</w:t>
      </w:r>
      <w:r w:rsidRPr="00A32F1B">
        <w:rPr>
          <w:rStyle w:val="Znakapoznpodarou"/>
          <w:szCs w:val="24"/>
          <w:lang w:val="en-US"/>
        </w:rPr>
        <w:footnoteReference w:id="146"/>
      </w:r>
      <w:r w:rsidRPr="00A32F1B">
        <w:rPr>
          <w:szCs w:val="24"/>
          <w:lang w:val="en-US"/>
        </w:rPr>
        <w:t>, and others</w:t>
      </w:r>
      <w:r w:rsidRPr="00A32F1B">
        <w:rPr>
          <w:rStyle w:val="Znakapoznpodarou"/>
          <w:szCs w:val="24"/>
          <w:lang w:val="en-US"/>
        </w:rPr>
        <w:footnoteReference w:id="147"/>
      </w:r>
      <w:r w:rsidRPr="00A32F1B">
        <w:rPr>
          <w:szCs w:val="24"/>
          <w:lang w:val="en-US"/>
        </w:rPr>
        <w:t>. Abraxas appears in one of the demotic papyri and is transcribed to Latin letters as ABRASAKS</w:t>
      </w:r>
      <w:r w:rsidRPr="00A32F1B">
        <w:rPr>
          <w:rStyle w:val="Znakapoznpodarou"/>
          <w:szCs w:val="24"/>
          <w:lang w:val="en-US"/>
        </w:rPr>
        <w:footnoteReference w:id="148"/>
      </w:r>
      <w:r w:rsidRPr="00A32F1B">
        <w:rPr>
          <w:szCs w:val="24"/>
          <w:lang w:val="en-US"/>
        </w:rPr>
        <w:t>.</w:t>
      </w:r>
    </w:p>
    <w:p w14:paraId="0D8C402B" w14:textId="7B3500A4" w:rsidR="008E7881" w:rsidRPr="00A32F1B" w:rsidRDefault="008E7881" w:rsidP="008E7881">
      <w:pPr>
        <w:rPr>
          <w:szCs w:val="24"/>
          <w:lang w:val="en-US"/>
        </w:rPr>
      </w:pPr>
      <w:r w:rsidRPr="00A32F1B">
        <w:rPr>
          <w:szCs w:val="24"/>
          <w:lang w:val="en-US"/>
        </w:rPr>
        <w:t>In the magical papyri context Abraxas is by majority accompanied by other names and words of magical potency of various identity and origin, only in rare occasions, namely in three PGM, Abraxas appears as the sole proper name present</w:t>
      </w:r>
      <w:r w:rsidRPr="00A32F1B">
        <w:rPr>
          <w:rStyle w:val="Znakapoznpodarou"/>
          <w:szCs w:val="24"/>
          <w:lang w:val="en-US"/>
        </w:rPr>
        <w:footnoteReference w:id="149"/>
      </w:r>
      <w:r w:rsidRPr="00A32F1B">
        <w:rPr>
          <w:szCs w:val="24"/>
          <w:lang w:val="en-US"/>
        </w:rPr>
        <w:t>. The most frequent context contains divine and angelic names with roots in Jewish tradition; divine names such as IAŌ (IAΩ)</w:t>
      </w:r>
      <w:r w:rsidRPr="00A32F1B">
        <w:rPr>
          <w:rStyle w:val="Znakapoznpodarou"/>
          <w:szCs w:val="24"/>
          <w:lang w:val="en-US"/>
        </w:rPr>
        <w:footnoteReference w:id="150"/>
      </w:r>
      <w:r w:rsidRPr="00A32F1B">
        <w:rPr>
          <w:szCs w:val="24"/>
          <w:lang w:val="en-US"/>
        </w:rPr>
        <w:t xml:space="preserve"> and its variations, SABAŌTH (ΣABAΩΘ)</w:t>
      </w:r>
      <w:r w:rsidRPr="00A32F1B">
        <w:rPr>
          <w:rStyle w:val="Znakapoznpodarou"/>
          <w:szCs w:val="24"/>
          <w:lang w:val="en-US"/>
        </w:rPr>
        <w:footnoteReference w:id="151"/>
      </w:r>
      <w:r w:rsidRPr="00A32F1B">
        <w:rPr>
          <w:szCs w:val="24"/>
          <w:lang w:val="en-US"/>
        </w:rPr>
        <w:t>, ADŌNAI (AΔΩΝΑΙ)</w:t>
      </w:r>
      <w:r w:rsidRPr="00A32F1B">
        <w:rPr>
          <w:rStyle w:val="Znakapoznpodarou"/>
          <w:szCs w:val="24"/>
          <w:lang w:val="en-US"/>
        </w:rPr>
        <w:footnoteReference w:id="152"/>
      </w:r>
      <w:r w:rsidRPr="00A32F1B">
        <w:rPr>
          <w:szCs w:val="24"/>
          <w:lang w:val="en-US"/>
        </w:rPr>
        <w:t>, ELŌAI (EΛΩAI)</w:t>
      </w:r>
      <w:r w:rsidRPr="00A32F1B">
        <w:rPr>
          <w:rStyle w:val="Znakapoznpodarou"/>
          <w:szCs w:val="24"/>
          <w:lang w:val="en-US"/>
        </w:rPr>
        <w:footnoteReference w:id="153"/>
      </w:r>
      <w:r w:rsidRPr="00A32F1B">
        <w:rPr>
          <w:szCs w:val="24"/>
          <w:lang w:val="en-US"/>
        </w:rPr>
        <w:t>, and angelic names GABRIĒL (ΓABPIΗΛ)</w:t>
      </w:r>
      <w:r w:rsidRPr="00A32F1B">
        <w:rPr>
          <w:rStyle w:val="Znakapoznpodarou"/>
          <w:szCs w:val="24"/>
          <w:lang w:val="en-US"/>
        </w:rPr>
        <w:footnoteReference w:id="154"/>
      </w:r>
      <w:r w:rsidRPr="00A32F1B">
        <w:rPr>
          <w:szCs w:val="24"/>
          <w:lang w:val="en-US"/>
        </w:rPr>
        <w:t>, MICHAĒL (MIΧAΗΛ)</w:t>
      </w:r>
      <w:r w:rsidRPr="00A32F1B">
        <w:rPr>
          <w:rStyle w:val="Znakapoznpodarou"/>
          <w:szCs w:val="24"/>
          <w:lang w:val="en-US"/>
        </w:rPr>
        <w:footnoteReference w:id="155"/>
      </w:r>
      <w:r w:rsidRPr="00A32F1B">
        <w:rPr>
          <w:szCs w:val="24"/>
          <w:lang w:val="en-US"/>
        </w:rPr>
        <w:t>, SOURIĒL (ΣOΥΡΙΗΛ)</w:t>
      </w:r>
      <w:r w:rsidRPr="00A32F1B">
        <w:rPr>
          <w:rStyle w:val="Znakapoznpodarou"/>
          <w:szCs w:val="24"/>
          <w:lang w:val="en-US"/>
        </w:rPr>
        <w:footnoteReference w:id="156"/>
      </w:r>
      <w:r w:rsidRPr="00A32F1B">
        <w:rPr>
          <w:szCs w:val="24"/>
          <w:lang w:val="en-US"/>
        </w:rPr>
        <w:t>, and RAPHAĒL (PAΦΑΗΛ)</w:t>
      </w:r>
      <w:r w:rsidRPr="00A32F1B">
        <w:rPr>
          <w:rStyle w:val="Znakapoznpodarou"/>
          <w:szCs w:val="24"/>
          <w:lang w:val="en-US"/>
        </w:rPr>
        <w:footnoteReference w:id="157"/>
      </w:r>
      <w:r w:rsidRPr="00A32F1B">
        <w:rPr>
          <w:szCs w:val="24"/>
          <w:lang w:val="en-US"/>
        </w:rPr>
        <w:t>. Another word oftentimes in close context to Abraxas or other Jewish divine names is SEMESILAM (ΣΕΜΕΣΙΛΑΜ)</w:t>
      </w:r>
      <w:r w:rsidRPr="00A32F1B">
        <w:rPr>
          <w:rStyle w:val="Znakapoznpodarou"/>
          <w:szCs w:val="24"/>
          <w:lang w:val="en-US"/>
        </w:rPr>
        <w:footnoteReference w:id="158"/>
      </w:r>
      <w:r w:rsidRPr="00A32F1B">
        <w:rPr>
          <w:szCs w:val="24"/>
          <w:lang w:val="en-US"/>
        </w:rPr>
        <w:t>. Semesilam, also in forms Semesielamp or Semesielamps</w:t>
      </w:r>
      <w:r w:rsidRPr="00A32F1B">
        <w:rPr>
          <w:rStyle w:val="Znakapoznpodarou"/>
          <w:szCs w:val="24"/>
          <w:lang w:val="en-US"/>
        </w:rPr>
        <w:footnoteReference w:id="159"/>
      </w:r>
      <w:r w:rsidRPr="00A32F1B">
        <w:rPr>
          <w:szCs w:val="24"/>
          <w:lang w:val="en-US"/>
        </w:rPr>
        <w:t>, is a divine name whose origin was a subject of debates – either as coming from Aramaic phrase “Shemi Shelam” (</w:t>
      </w:r>
      <w:r w:rsidRPr="00A32F1B">
        <w:rPr>
          <w:rFonts w:cs="Times New Roman"/>
          <w:sz w:val="28"/>
          <w:szCs w:val="28"/>
          <w:rtl/>
          <w:lang w:val="en-US"/>
        </w:rPr>
        <w:t>שמי שלם</w:t>
      </w:r>
      <w:r w:rsidRPr="00A32F1B">
        <w:rPr>
          <w:szCs w:val="24"/>
          <w:lang w:val="en-US"/>
        </w:rPr>
        <w:t>) meaning “my name is peace”</w:t>
      </w:r>
      <w:r w:rsidRPr="00A32F1B">
        <w:rPr>
          <w:rStyle w:val="Znakapoznpodarou"/>
          <w:szCs w:val="24"/>
          <w:lang w:val="en-US"/>
        </w:rPr>
        <w:footnoteReference w:id="160"/>
      </w:r>
      <w:r w:rsidRPr="00A32F1B">
        <w:rPr>
          <w:szCs w:val="24"/>
          <w:lang w:val="en-US"/>
        </w:rPr>
        <w:t>, or from Semitic phrase “</w:t>
      </w:r>
      <w:r w:rsidR="0034642B" w:rsidRPr="00A32F1B">
        <w:rPr>
          <w:szCs w:val="24"/>
          <w:lang w:val="en-US"/>
        </w:rPr>
        <w:t>E</w:t>
      </w:r>
      <w:r w:rsidRPr="00A32F1B">
        <w:rPr>
          <w:szCs w:val="24"/>
          <w:lang w:val="en-US"/>
        </w:rPr>
        <w:t xml:space="preserve">ternal </w:t>
      </w:r>
      <w:r w:rsidR="0034642B" w:rsidRPr="00A32F1B">
        <w:rPr>
          <w:szCs w:val="24"/>
          <w:lang w:val="en-US"/>
        </w:rPr>
        <w:t>S</w:t>
      </w:r>
      <w:r w:rsidRPr="00A32F1B">
        <w:rPr>
          <w:szCs w:val="24"/>
          <w:lang w:val="en-US"/>
        </w:rPr>
        <w:t>un” or “</w:t>
      </w:r>
      <w:r w:rsidR="0034642B" w:rsidRPr="00A32F1B">
        <w:rPr>
          <w:szCs w:val="24"/>
          <w:lang w:val="en-US"/>
        </w:rPr>
        <w:t>S</w:t>
      </w:r>
      <w:r w:rsidRPr="00A32F1B">
        <w:rPr>
          <w:szCs w:val="24"/>
          <w:lang w:val="en-US"/>
        </w:rPr>
        <w:t xml:space="preserve">un of the </w:t>
      </w:r>
      <w:r w:rsidR="0034642B" w:rsidRPr="00A32F1B">
        <w:rPr>
          <w:szCs w:val="24"/>
          <w:lang w:val="en-US"/>
        </w:rPr>
        <w:t>W</w:t>
      </w:r>
      <w:r w:rsidRPr="00A32F1B">
        <w:rPr>
          <w:szCs w:val="24"/>
          <w:lang w:val="en-US"/>
        </w:rPr>
        <w:t>orld” (</w:t>
      </w:r>
      <w:r w:rsidRPr="00A32F1B">
        <w:rPr>
          <w:rFonts w:cs="Times New Roman"/>
          <w:sz w:val="28"/>
          <w:szCs w:val="28"/>
          <w:rtl/>
          <w:lang w:val="en-US"/>
        </w:rPr>
        <w:t>שמש עלם</w:t>
      </w:r>
      <w:r w:rsidRPr="00A32F1B">
        <w:rPr>
          <w:szCs w:val="24"/>
          <w:lang w:val="en-US"/>
        </w:rPr>
        <w:t>)</w:t>
      </w:r>
      <w:r w:rsidRPr="00A32F1B">
        <w:rPr>
          <w:rStyle w:val="Znakapoznpodarou"/>
          <w:szCs w:val="24"/>
          <w:lang w:val="en-US"/>
        </w:rPr>
        <w:footnoteReference w:id="161"/>
      </w:r>
      <w:r w:rsidRPr="00A32F1B">
        <w:rPr>
          <w:szCs w:val="24"/>
          <w:lang w:val="en-US"/>
        </w:rPr>
        <w:t>. The etymology origin accepted by most scholars leans toward the “</w:t>
      </w:r>
      <w:r w:rsidR="0034642B" w:rsidRPr="00A32F1B">
        <w:rPr>
          <w:szCs w:val="24"/>
          <w:lang w:val="en-US"/>
        </w:rPr>
        <w:t>E</w:t>
      </w:r>
      <w:r w:rsidRPr="00A32F1B">
        <w:rPr>
          <w:szCs w:val="24"/>
          <w:lang w:val="en-US"/>
        </w:rPr>
        <w:t xml:space="preserve">ternal </w:t>
      </w:r>
      <w:r w:rsidR="0034642B" w:rsidRPr="00A32F1B">
        <w:rPr>
          <w:szCs w:val="24"/>
          <w:lang w:val="en-US"/>
        </w:rPr>
        <w:t>S</w:t>
      </w:r>
      <w:r w:rsidRPr="00A32F1B">
        <w:rPr>
          <w:szCs w:val="24"/>
          <w:lang w:val="en-US"/>
        </w:rPr>
        <w:t>un” theory</w:t>
      </w:r>
      <w:r w:rsidRPr="00A32F1B">
        <w:rPr>
          <w:rStyle w:val="Znakapoznpodarou"/>
          <w:szCs w:val="24"/>
          <w:lang w:val="en-US"/>
        </w:rPr>
        <w:footnoteReference w:id="162"/>
      </w:r>
      <w:r w:rsidRPr="00A32F1B">
        <w:rPr>
          <w:szCs w:val="24"/>
          <w:lang w:val="en-US"/>
        </w:rPr>
        <w:t xml:space="preserve">, </w:t>
      </w:r>
      <w:r w:rsidRPr="00A32F1B">
        <w:rPr>
          <w:szCs w:val="24"/>
          <w:lang w:val="en-US"/>
        </w:rPr>
        <w:lastRenderedPageBreak/>
        <w:t>the relevant evidence for this leaning shows the phrase being present already in Phonetician inscriptions</w:t>
      </w:r>
      <w:r w:rsidRPr="00A32F1B">
        <w:rPr>
          <w:rStyle w:val="Znakapoznpodarou"/>
          <w:szCs w:val="24"/>
          <w:lang w:val="en-US"/>
        </w:rPr>
        <w:footnoteReference w:id="163"/>
      </w:r>
      <w:r w:rsidRPr="00A32F1B">
        <w:rPr>
          <w:szCs w:val="24"/>
          <w:lang w:val="en-US"/>
        </w:rPr>
        <w:t>, signifying Phonetician deity.</w:t>
      </w:r>
      <w:r w:rsidRPr="00A32F1B">
        <w:rPr>
          <w:rStyle w:val="Znakapoznpodarou"/>
          <w:szCs w:val="24"/>
          <w:lang w:val="en-US"/>
        </w:rPr>
        <w:footnoteReference w:id="164"/>
      </w:r>
      <w:r w:rsidRPr="00A32F1B">
        <w:rPr>
          <w:szCs w:val="24"/>
          <w:lang w:val="en-US"/>
        </w:rPr>
        <w:t xml:space="preserve"> </w:t>
      </w:r>
    </w:p>
    <w:p w14:paraId="58865FED" w14:textId="2924237F" w:rsidR="008E7881" w:rsidRPr="00A32F1B" w:rsidRDefault="008E7881" w:rsidP="008E7881">
      <w:pPr>
        <w:rPr>
          <w:szCs w:val="24"/>
          <w:lang w:val="en-US"/>
        </w:rPr>
      </w:pPr>
      <w:r w:rsidRPr="00A32F1B">
        <w:rPr>
          <w:szCs w:val="24"/>
          <w:lang w:val="en-US"/>
        </w:rPr>
        <w:t xml:space="preserve">Divine names and presumably various </w:t>
      </w:r>
      <w:r w:rsidRPr="00A32F1B">
        <w:rPr>
          <w:i/>
          <w:iCs/>
          <w:szCs w:val="24"/>
          <w:lang w:val="en-US"/>
        </w:rPr>
        <w:t>voces magicae</w:t>
      </w:r>
      <w:r w:rsidRPr="00A32F1B">
        <w:rPr>
          <w:szCs w:val="24"/>
          <w:lang w:val="en-US"/>
        </w:rPr>
        <w:t xml:space="preserve"> make strings of names and words, one of the recurrent members is </w:t>
      </w:r>
      <w:r w:rsidR="00EE7BAA">
        <w:rPr>
          <w:szCs w:val="24"/>
          <w:lang w:val="en-US"/>
        </w:rPr>
        <w:t>the word/formula</w:t>
      </w:r>
      <w:r w:rsidRPr="00A32F1B">
        <w:rPr>
          <w:szCs w:val="24"/>
          <w:lang w:val="en-US"/>
        </w:rPr>
        <w:t xml:space="preserve"> ABLANATHANALBA (ABΛΑNAΘΑΝΑΛΒΑ), or also ABLATHANALBA (ABΛΑΘΑΝΑΛΒΑ)</w:t>
      </w:r>
      <w:r w:rsidRPr="00A32F1B">
        <w:rPr>
          <w:rStyle w:val="Znakapoznpodarou"/>
          <w:szCs w:val="24"/>
          <w:lang w:val="en-US"/>
        </w:rPr>
        <w:footnoteReference w:id="165"/>
      </w:r>
      <w:r w:rsidRPr="00A32F1B">
        <w:rPr>
          <w:szCs w:val="24"/>
          <w:lang w:val="en-US"/>
        </w:rPr>
        <w:t>. The name was a popular palindrome spread across the magical literature</w:t>
      </w:r>
      <w:r w:rsidRPr="00A32F1B">
        <w:rPr>
          <w:rStyle w:val="Znakapoznpodarou"/>
          <w:szCs w:val="24"/>
          <w:lang w:val="en-US"/>
        </w:rPr>
        <w:footnoteReference w:id="166"/>
      </w:r>
      <w:r w:rsidRPr="00A32F1B">
        <w:rPr>
          <w:szCs w:val="24"/>
          <w:lang w:val="en-US"/>
        </w:rPr>
        <w:t>, the papyri not being an exception – it is used in the context of Jewish divine names either with Abraxas</w:t>
      </w:r>
      <w:r w:rsidRPr="00A32F1B">
        <w:rPr>
          <w:rStyle w:val="Znakapoznpodarou"/>
          <w:szCs w:val="24"/>
          <w:lang w:val="en-US"/>
        </w:rPr>
        <w:footnoteReference w:id="167"/>
      </w:r>
      <w:r w:rsidRPr="00A32F1B">
        <w:rPr>
          <w:szCs w:val="24"/>
          <w:lang w:val="en-US"/>
        </w:rPr>
        <w:t>, or without Abraxas</w:t>
      </w:r>
      <w:r w:rsidRPr="00A32F1B">
        <w:rPr>
          <w:rStyle w:val="Znakapoznpodarou"/>
          <w:szCs w:val="24"/>
          <w:lang w:val="en-US"/>
        </w:rPr>
        <w:footnoteReference w:id="168"/>
      </w:r>
      <w:r w:rsidRPr="00A32F1B">
        <w:rPr>
          <w:szCs w:val="24"/>
          <w:lang w:val="en-US"/>
        </w:rPr>
        <w:t>; in Egyptian context</w:t>
      </w:r>
      <w:r w:rsidRPr="00A32F1B">
        <w:rPr>
          <w:rStyle w:val="Znakapoznpodarou"/>
          <w:szCs w:val="24"/>
          <w:lang w:val="en-US"/>
        </w:rPr>
        <w:footnoteReference w:id="169"/>
      </w:r>
      <w:r w:rsidRPr="00A32F1B">
        <w:rPr>
          <w:szCs w:val="24"/>
          <w:lang w:val="en-US"/>
        </w:rPr>
        <w:t xml:space="preserve">; and in the strings of </w:t>
      </w:r>
      <w:r w:rsidRPr="00A32F1B">
        <w:rPr>
          <w:i/>
          <w:iCs/>
          <w:szCs w:val="24"/>
          <w:lang w:val="en-US"/>
        </w:rPr>
        <w:t>voces magicae</w:t>
      </w:r>
      <w:r w:rsidRPr="00A32F1B">
        <w:rPr>
          <w:rStyle w:val="Znakapoznpodarou"/>
          <w:szCs w:val="24"/>
          <w:lang w:val="en-US"/>
        </w:rPr>
        <w:footnoteReference w:id="170"/>
      </w:r>
      <w:r w:rsidRPr="00A32F1B">
        <w:rPr>
          <w:szCs w:val="24"/>
          <w:lang w:val="en-US"/>
        </w:rPr>
        <w:t>.</w:t>
      </w:r>
      <w:r w:rsidR="00EE7BAA">
        <w:rPr>
          <w:rStyle w:val="Znakapoznpodarou"/>
          <w:szCs w:val="24"/>
          <w:lang w:val="en-US"/>
        </w:rPr>
        <w:footnoteReference w:id="171"/>
      </w:r>
    </w:p>
    <w:p w14:paraId="361AEAAE" w14:textId="0534E8F5" w:rsidR="008E7881" w:rsidRPr="00A32F1B" w:rsidRDefault="008E7881" w:rsidP="008E7881">
      <w:pPr>
        <w:rPr>
          <w:szCs w:val="24"/>
          <w:lang w:val="en-US"/>
        </w:rPr>
      </w:pPr>
      <w:r w:rsidRPr="00A32F1B">
        <w:rPr>
          <w:szCs w:val="24"/>
          <w:lang w:val="en-US"/>
        </w:rPr>
        <w:t>Abraxas</w:t>
      </w:r>
      <w:r w:rsidR="00702B12">
        <w:rPr>
          <w:szCs w:val="24"/>
          <w:lang w:val="en-US"/>
        </w:rPr>
        <w:t xml:space="preserve"> is also</w:t>
      </w:r>
      <w:r w:rsidRPr="00A32F1B">
        <w:rPr>
          <w:szCs w:val="24"/>
          <w:lang w:val="en-US"/>
        </w:rPr>
        <w:t xml:space="preserve"> found</w:t>
      </w:r>
      <w:r w:rsidR="00702B12">
        <w:rPr>
          <w:szCs w:val="24"/>
          <w:lang w:val="en-US"/>
        </w:rPr>
        <w:t xml:space="preserve"> </w:t>
      </w:r>
      <w:r w:rsidRPr="00A32F1B">
        <w:rPr>
          <w:szCs w:val="24"/>
          <w:lang w:val="en-US"/>
        </w:rPr>
        <w:t>surrounded by names and words of Egyptian origin, divine names of Thoth</w:t>
      </w:r>
      <w:r w:rsidRPr="00A32F1B">
        <w:rPr>
          <w:rStyle w:val="Znakapoznpodarou"/>
          <w:szCs w:val="24"/>
          <w:lang w:val="en-US"/>
        </w:rPr>
        <w:footnoteReference w:id="172"/>
      </w:r>
      <w:r w:rsidRPr="00A32F1B">
        <w:rPr>
          <w:szCs w:val="24"/>
          <w:lang w:val="en-US"/>
        </w:rPr>
        <w:t>, Osiris</w:t>
      </w:r>
      <w:r w:rsidRPr="00A32F1B">
        <w:rPr>
          <w:rStyle w:val="Znakapoznpodarou"/>
          <w:szCs w:val="24"/>
          <w:lang w:val="en-US"/>
        </w:rPr>
        <w:footnoteReference w:id="173"/>
      </w:r>
      <w:r w:rsidRPr="00A32F1B">
        <w:rPr>
          <w:szCs w:val="24"/>
          <w:lang w:val="en-US"/>
        </w:rPr>
        <w:t>, Anubis</w:t>
      </w:r>
      <w:r w:rsidRPr="00A32F1B">
        <w:rPr>
          <w:rStyle w:val="Znakapoznpodarou"/>
          <w:szCs w:val="24"/>
          <w:lang w:val="en-US"/>
        </w:rPr>
        <w:footnoteReference w:id="174"/>
      </w:r>
      <w:r w:rsidRPr="00A32F1B">
        <w:rPr>
          <w:szCs w:val="24"/>
          <w:lang w:val="en-US"/>
        </w:rPr>
        <w:t>, and Horus</w:t>
      </w:r>
      <w:r w:rsidRPr="00A32F1B">
        <w:rPr>
          <w:rStyle w:val="Znakapoznpodarou"/>
          <w:szCs w:val="24"/>
          <w:lang w:val="en-US"/>
        </w:rPr>
        <w:footnoteReference w:id="175"/>
      </w:r>
      <w:r w:rsidRPr="00A32F1B">
        <w:rPr>
          <w:szCs w:val="24"/>
          <w:lang w:val="en-US"/>
        </w:rPr>
        <w:t xml:space="preserve">. Other notable Abraxas’s surroundings comprise of Greek divine names, </w:t>
      </w:r>
      <w:proofErr w:type="gramStart"/>
      <w:r w:rsidRPr="00A32F1B">
        <w:rPr>
          <w:szCs w:val="24"/>
          <w:lang w:val="en-US"/>
        </w:rPr>
        <w:t>e.g.</w:t>
      </w:r>
      <w:proofErr w:type="gramEnd"/>
      <w:r w:rsidRPr="00A32F1B">
        <w:rPr>
          <w:szCs w:val="24"/>
          <w:lang w:val="en-US"/>
        </w:rPr>
        <w:t xml:space="preserve"> Helios</w:t>
      </w:r>
      <w:r w:rsidRPr="00A32F1B">
        <w:rPr>
          <w:rStyle w:val="Znakapoznpodarou"/>
          <w:szCs w:val="24"/>
          <w:lang w:val="en-US"/>
        </w:rPr>
        <w:footnoteReference w:id="176"/>
      </w:r>
      <w:r w:rsidRPr="00A32F1B">
        <w:rPr>
          <w:szCs w:val="24"/>
          <w:lang w:val="en-US"/>
        </w:rPr>
        <w:t>, Hermes</w:t>
      </w:r>
      <w:r w:rsidRPr="00A32F1B">
        <w:rPr>
          <w:rStyle w:val="Znakapoznpodarou"/>
          <w:szCs w:val="24"/>
          <w:lang w:val="en-US"/>
        </w:rPr>
        <w:footnoteReference w:id="177"/>
      </w:r>
      <w:r w:rsidRPr="00A32F1B">
        <w:rPr>
          <w:szCs w:val="24"/>
          <w:lang w:val="en-US"/>
        </w:rPr>
        <w:t>, Harpocrates</w:t>
      </w:r>
      <w:r w:rsidRPr="00A32F1B">
        <w:rPr>
          <w:rStyle w:val="Znakapoznpodarou"/>
          <w:szCs w:val="24"/>
          <w:lang w:val="en-US"/>
        </w:rPr>
        <w:footnoteReference w:id="178"/>
      </w:r>
      <w:r w:rsidRPr="00A32F1B">
        <w:rPr>
          <w:szCs w:val="24"/>
          <w:lang w:val="en-US"/>
        </w:rPr>
        <w:t>, Zeus</w:t>
      </w:r>
      <w:r w:rsidRPr="00A32F1B">
        <w:rPr>
          <w:rStyle w:val="Znakapoznpodarou"/>
          <w:szCs w:val="24"/>
          <w:lang w:val="en-US"/>
        </w:rPr>
        <w:footnoteReference w:id="179"/>
      </w:r>
      <w:r w:rsidRPr="00A32F1B">
        <w:rPr>
          <w:szCs w:val="24"/>
          <w:lang w:val="en-US"/>
        </w:rPr>
        <w:t>, Apollo</w:t>
      </w:r>
      <w:r w:rsidRPr="00A32F1B">
        <w:rPr>
          <w:rStyle w:val="Znakapoznpodarou"/>
          <w:szCs w:val="24"/>
          <w:lang w:val="en-US"/>
        </w:rPr>
        <w:footnoteReference w:id="180"/>
      </w:r>
      <w:r w:rsidRPr="00A32F1B">
        <w:rPr>
          <w:szCs w:val="24"/>
          <w:lang w:val="en-US"/>
        </w:rPr>
        <w:t>, and Hades</w:t>
      </w:r>
      <w:r w:rsidRPr="00A32F1B">
        <w:rPr>
          <w:rStyle w:val="Znakapoznpodarou"/>
          <w:szCs w:val="24"/>
          <w:lang w:val="en-US"/>
        </w:rPr>
        <w:footnoteReference w:id="181"/>
      </w:r>
      <w:r w:rsidRPr="00A32F1B">
        <w:rPr>
          <w:szCs w:val="24"/>
          <w:lang w:val="en-US"/>
        </w:rPr>
        <w:t>. There are several unique contexts in which Abraxas appears, specifically Persian, Gnostic, and Christian. The name MITHRA follows Abraxas in a few instances referring to Persian god Mithras who stands in the center of the cult of Mithras</w:t>
      </w:r>
      <w:r w:rsidRPr="00A32F1B">
        <w:rPr>
          <w:rStyle w:val="Znakapoznpodarou"/>
          <w:szCs w:val="24"/>
          <w:lang w:val="en-US"/>
        </w:rPr>
        <w:footnoteReference w:id="182"/>
      </w:r>
      <w:r w:rsidRPr="00A32F1B">
        <w:rPr>
          <w:szCs w:val="24"/>
          <w:lang w:val="en-US"/>
        </w:rPr>
        <w:t xml:space="preserve">. In the supposedly </w:t>
      </w:r>
      <w:r w:rsidR="00E05C72">
        <w:rPr>
          <w:szCs w:val="24"/>
          <w:lang w:val="en-US"/>
        </w:rPr>
        <w:t>G</w:t>
      </w:r>
      <w:r w:rsidRPr="00A32F1B">
        <w:rPr>
          <w:szCs w:val="24"/>
          <w:lang w:val="en-US"/>
        </w:rPr>
        <w:t>nostic context Abraxas is accompanied by the names SABĒLE (ΣΑΒΗΛΕ) and ĒLĒL (HΛΗΛ)</w:t>
      </w:r>
      <w:r w:rsidRPr="00A32F1B">
        <w:rPr>
          <w:rStyle w:val="Znakapoznpodarou"/>
          <w:szCs w:val="24"/>
          <w:lang w:val="en-US"/>
        </w:rPr>
        <w:footnoteReference w:id="183"/>
      </w:r>
      <w:r w:rsidRPr="00A32F1B">
        <w:rPr>
          <w:szCs w:val="24"/>
          <w:lang w:val="en-US"/>
        </w:rPr>
        <w:t xml:space="preserve"> which might be translated as Sablo and Eleleth who are perceived as angelic entities present in </w:t>
      </w:r>
      <w:r w:rsidR="0022470E">
        <w:rPr>
          <w:szCs w:val="24"/>
          <w:lang w:val="en-US"/>
        </w:rPr>
        <w:t>previously discussed</w:t>
      </w:r>
      <w:r w:rsidRPr="00A32F1B">
        <w:rPr>
          <w:szCs w:val="24"/>
          <w:lang w:val="en-US"/>
        </w:rPr>
        <w:t xml:space="preserve"> </w:t>
      </w:r>
      <w:r w:rsidR="00BE0EDE" w:rsidRPr="00A32F1B">
        <w:rPr>
          <w:szCs w:val="24"/>
          <w:lang w:val="en-US"/>
        </w:rPr>
        <w:t>G</w:t>
      </w:r>
      <w:r w:rsidRPr="00A32F1B">
        <w:rPr>
          <w:szCs w:val="24"/>
          <w:lang w:val="en-US"/>
        </w:rPr>
        <w:t xml:space="preserve">nostic </w:t>
      </w:r>
      <w:r w:rsidRPr="00A32F1B">
        <w:rPr>
          <w:szCs w:val="24"/>
          <w:lang w:val="en-US"/>
        </w:rPr>
        <w:lastRenderedPageBreak/>
        <w:t>literature. In a few instances clearly Christian word co-occur with Abraxas, namely the Christ as Jesus or Jesus Chrestos</w:t>
      </w:r>
      <w:r w:rsidRPr="00A32F1B">
        <w:rPr>
          <w:rStyle w:val="Znakapoznpodarou"/>
          <w:szCs w:val="24"/>
          <w:lang w:val="en-US"/>
        </w:rPr>
        <w:footnoteReference w:id="184"/>
      </w:r>
      <w:r w:rsidRPr="00A32F1B">
        <w:rPr>
          <w:szCs w:val="24"/>
          <w:lang w:val="en-US"/>
        </w:rPr>
        <w:t>.</w:t>
      </w:r>
    </w:p>
    <w:p w14:paraId="41A9D80C" w14:textId="77777777" w:rsidR="008E7881" w:rsidRPr="00A32F1B" w:rsidRDefault="008E7881" w:rsidP="008E7881">
      <w:pPr>
        <w:rPr>
          <w:szCs w:val="24"/>
          <w:lang w:val="en-US"/>
        </w:rPr>
      </w:pPr>
      <w:r w:rsidRPr="00A32F1B">
        <w:rPr>
          <w:szCs w:val="24"/>
          <w:lang w:val="en-US"/>
        </w:rPr>
        <w:t>The question of Abraxas identity is in many instances answered by the text itself, classifying the character directly as a holy or divine name</w:t>
      </w:r>
      <w:r w:rsidRPr="00A32F1B">
        <w:rPr>
          <w:rStyle w:val="Znakapoznpodarou"/>
          <w:szCs w:val="24"/>
          <w:lang w:val="en-US"/>
        </w:rPr>
        <w:footnoteReference w:id="185"/>
      </w:r>
      <w:r w:rsidRPr="00A32F1B">
        <w:rPr>
          <w:szCs w:val="24"/>
          <w:lang w:val="en-US"/>
        </w:rPr>
        <w:t>, god</w:t>
      </w:r>
      <w:r w:rsidRPr="00A32F1B">
        <w:rPr>
          <w:rStyle w:val="Znakapoznpodarou"/>
          <w:szCs w:val="24"/>
          <w:lang w:val="en-US"/>
        </w:rPr>
        <w:footnoteReference w:id="186"/>
      </w:r>
      <w:r w:rsidRPr="00A32F1B">
        <w:rPr>
          <w:szCs w:val="24"/>
          <w:lang w:val="en-US"/>
        </w:rPr>
        <w:t>, angel</w:t>
      </w:r>
      <w:r w:rsidRPr="00A32F1B">
        <w:rPr>
          <w:rStyle w:val="Znakapoznpodarou"/>
          <w:szCs w:val="24"/>
          <w:lang w:val="en-US"/>
        </w:rPr>
        <w:footnoteReference w:id="187"/>
      </w:r>
      <w:r w:rsidRPr="00A32F1B">
        <w:rPr>
          <w:szCs w:val="24"/>
          <w:lang w:val="en-US"/>
        </w:rPr>
        <w:t>, and once as a daimon</w:t>
      </w:r>
      <w:r w:rsidRPr="00A32F1B">
        <w:rPr>
          <w:rStyle w:val="Znakapoznpodarou"/>
          <w:szCs w:val="24"/>
          <w:lang w:val="en-US"/>
        </w:rPr>
        <w:footnoteReference w:id="188"/>
      </w:r>
      <w:r w:rsidRPr="00A32F1B">
        <w:rPr>
          <w:szCs w:val="24"/>
          <w:lang w:val="en-US"/>
        </w:rPr>
        <w:t xml:space="preserve">. In the opposite situation, when the identity is not explicitly stated, it is either possible to evaluate the identity based on the surroundings, or it is not possible as the name oftentimes stands in a list of names or words – according to the context it has magical potency; however, it is not possible to state whether it has a specific meaning or it can be recognized as </w:t>
      </w:r>
      <w:r w:rsidRPr="00A32F1B">
        <w:rPr>
          <w:i/>
          <w:iCs/>
          <w:szCs w:val="24"/>
          <w:lang w:val="en-US"/>
        </w:rPr>
        <w:t>vox magicae</w:t>
      </w:r>
      <w:r w:rsidRPr="00A32F1B">
        <w:rPr>
          <w:rStyle w:val="Znakapoznpodarou"/>
          <w:szCs w:val="24"/>
          <w:lang w:val="en-US"/>
        </w:rPr>
        <w:footnoteReference w:id="189"/>
      </w:r>
      <w:r w:rsidRPr="00A32F1B">
        <w:rPr>
          <w:szCs w:val="24"/>
          <w:lang w:val="en-US"/>
        </w:rPr>
        <w:t>. In two papyri, already mentioned as papyri in which Abraxas stands alone without any other divine names or words, the character is mentioned in the 1</w:t>
      </w:r>
      <w:r w:rsidRPr="00A32F1B">
        <w:rPr>
          <w:szCs w:val="24"/>
          <w:vertAlign w:val="superscript"/>
          <w:lang w:val="en-US"/>
        </w:rPr>
        <w:t>st</w:t>
      </w:r>
      <w:r w:rsidRPr="00A32F1B">
        <w:rPr>
          <w:szCs w:val="24"/>
          <w:lang w:val="en-US"/>
        </w:rPr>
        <w:t xml:space="preserve"> person singular, “I, Abrasax, shall deliver. Abrasax am I!”</w:t>
      </w:r>
      <w:r w:rsidRPr="00A32F1B">
        <w:rPr>
          <w:rStyle w:val="Znakapoznpodarou"/>
          <w:szCs w:val="24"/>
          <w:lang w:val="en-US"/>
        </w:rPr>
        <w:footnoteReference w:id="190"/>
      </w:r>
      <w:r w:rsidRPr="00A32F1B">
        <w:rPr>
          <w:szCs w:val="24"/>
          <w:lang w:val="en-US"/>
        </w:rPr>
        <w:t>; the identity is not stated, albeit the context suggests strong magical potency. In several instances the notion of Abraxas is assimilated with other divine entities from both Greek and Egyptian tradition: Hermes, and Thoth.</w:t>
      </w:r>
      <w:r w:rsidRPr="00A32F1B">
        <w:rPr>
          <w:rStyle w:val="Znakapoznpodarou"/>
          <w:szCs w:val="24"/>
          <w:lang w:val="en-US"/>
        </w:rPr>
        <w:footnoteReference w:id="191"/>
      </w:r>
    </w:p>
    <w:p w14:paraId="31893CD3" w14:textId="7E3AC0F2" w:rsidR="00FD25A1" w:rsidRPr="00A32F1B" w:rsidRDefault="00F069F7" w:rsidP="0013005A">
      <w:pPr>
        <w:pStyle w:val="Nadpis2"/>
        <w:numPr>
          <w:ilvl w:val="1"/>
          <w:numId w:val="3"/>
        </w:numPr>
        <w:rPr>
          <w:lang w:val="en-US"/>
        </w:rPr>
      </w:pPr>
      <w:bookmarkStart w:id="7" w:name="_Toc70950043"/>
      <w:r w:rsidRPr="00A32F1B">
        <w:rPr>
          <w:lang w:val="en-US"/>
        </w:rPr>
        <w:t>Amulets</w:t>
      </w:r>
      <w:bookmarkEnd w:id="7"/>
    </w:p>
    <w:p w14:paraId="43B12B74" w14:textId="442ADCA1" w:rsidR="004C5008" w:rsidRPr="00A32F1B" w:rsidRDefault="004C5008" w:rsidP="00C32BA6">
      <w:pPr>
        <w:rPr>
          <w:szCs w:val="24"/>
          <w:lang w:val="en-US"/>
        </w:rPr>
      </w:pPr>
      <w:r w:rsidRPr="00A32F1B">
        <w:rPr>
          <w:szCs w:val="24"/>
          <w:lang w:val="en-US"/>
        </w:rPr>
        <w:t>Amulets are understood as protective measures designed to shield the carrier from numerous illnesses, evil influences, and other negative inflictions through their magical potency; their form varies from engraved gemstones and metal objects to writing o</w:t>
      </w:r>
      <w:r w:rsidR="00261A0A" w:rsidRPr="00A32F1B">
        <w:rPr>
          <w:szCs w:val="24"/>
          <w:lang w:val="en-US"/>
        </w:rPr>
        <w:t>n</w:t>
      </w:r>
      <w:r w:rsidRPr="00A32F1B">
        <w:rPr>
          <w:szCs w:val="24"/>
          <w:lang w:val="en-US"/>
        </w:rPr>
        <w:t xml:space="preserve"> </w:t>
      </w:r>
      <w:r w:rsidR="00261A0A" w:rsidRPr="00A32F1B">
        <w:rPr>
          <w:szCs w:val="24"/>
          <w:lang w:val="en-US"/>
        </w:rPr>
        <w:t>a </w:t>
      </w:r>
      <w:r w:rsidRPr="00A32F1B">
        <w:rPr>
          <w:szCs w:val="24"/>
          <w:lang w:val="en-US"/>
        </w:rPr>
        <w:t>parchment or papyr</w:t>
      </w:r>
      <w:r w:rsidR="00261A0A" w:rsidRPr="00A32F1B">
        <w:rPr>
          <w:szCs w:val="24"/>
          <w:lang w:val="en-US"/>
        </w:rPr>
        <w:t>us</w:t>
      </w:r>
      <w:r w:rsidRPr="00A32F1B">
        <w:rPr>
          <w:szCs w:val="24"/>
          <w:lang w:val="en-US"/>
        </w:rPr>
        <w:t>.</w:t>
      </w:r>
      <w:r w:rsidRPr="00A32F1B">
        <w:rPr>
          <w:rStyle w:val="Znakapoznpodarou"/>
          <w:szCs w:val="24"/>
          <w:lang w:val="en-US"/>
        </w:rPr>
        <w:footnoteReference w:id="192"/>
      </w:r>
      <w:r w:rsidRPr="00A32F1B">
        <w:rPr>
          <w:szCs w:val="24"/>
          <w:lang w:val="en-US"/>
        </w:rPr>
        <w:t xml:space="preserve"> The topic of Abraxas and amulets includes a variety of amulets of different origin, form, and language. Here the amulets under discussion are engraved gemstones with Greek inscriptions and/or images being identified or associated with Abraxas; </w:t>
      </w:r>
      <w:r w:rsidR="00067157" w:rsidRPr="00A32F1B">
        <w:rPr>
          <w:szCs w:val="24"/>
          <w:lang w:val="en-US"/>
        </w:rPr>
        <w:t xml:space="preserve">it is </w:t>
      </w:r>
      <w:r w:rsidR="00D520BB">
        <w:rPr>
          <w:szCs w:val="24"/>
          <w:lang w:val="en-US"/>
        </w:rPr>
        <w:t>difficult</w:t>
      </w:r>
      <w:r w:rsidR="00067157" w:rsidRPr="00A32F1B">
        <w:rPr>
          <w:szCs w:val="24"/>
          <w:lang w:val="en-US"/>
        </w:rPr>
        <w:t xml:space="preserve"> to date </w:t>
      </w:r>
      <w:r w:rsidRPr="00A32F1B">
        <w:rPr>
          <w:szCs w:val="24"/>
          <w:lang w:val="en-US"/>
        </w:rPr>
        <w:t>these magical amulets</w:t>
      </w:r>
      <w:r w:rsidR="00067157" w:rsidRPr="00A32F1B">
        <w:rPr>
          <w:szCs w:val="24"/>
          <w:lang w:val="en-US"/>
        </w:rPr>
        <w:t>, the earliest specimen were dated to 2</w:t>
      </w:r>
      <w:r w:rsidR="00067157" w:rsidRPr="00A32F1B">
        <w:rPr>
          <w:szCs w:val="24"/>
          <w:vertAlign w:val="superscript"/>
          <w:lang w:val="en-US"/>
        </w:rPr>
        <w:t>nd</w:t>
      </w:r>
      <w:r w:rsidR="00067157" w:rsidRPr="00A32F1B">
        <w:rPr>
          <w:szCs w:val="24"/>
          <w:lang w:val="en-US"/>
        </w:rPr>
        <w:t xml:space="preserve"> century</w:t>
      </w:r>
      <w:r w:rsidR="00D520BB">
        <w:rPr>
          <w:szCs w:val="24"/>
          <w:lang w:val="en-US"/>
        </w:rPr>
        <w:t xml:space="preserve"> CE</w:t>
      </w:r>
      <w:r w:rsidR="00067157" w:rsidRPr="00A32F1B">
        <w:rPr>
          <w:szCs w:val="24"/>
          <w:lang w:val="en-US"/>
        </w:rPr>
        <w:t>,</w:t>
      </w:r>
      <w:r w:rsidR="000B0DAD" w:rsidRPr="00A32F1B">
        <w:rPr>
          <w:szCs w:val="24"/>
          <w:lang w:val="en-US"/>
        </w:rPr>
        <w:t xml:space="preserve"> and</w:t>
      </w:r>
      <w:r w:rsidR="00067157" w:rsidRPr="00A32F1B">
        <w:rPr>
          <w:szCs w:val="24"/>
          <w:lang w:val="en-US"/>
        </w:rPr>
        <w:t xml:space="preserve"> by </w:t>
      </w:r>
      <w:r w:rsidR="004F2E42" w:rsidRPr="00A32F1B">
        <w:rPr>
          <w:szCs w:val="24"/>
          <w:lang w:val="en-US"/>
        </w:rPr>
        <w:t>approximately</w:t>
      </w:r>
      <w:r w:rsidRPr="00A32F1B">
        <w:rPr>
          <w:szCs w:val="24"/>
          <w:lang w:val="en-US"/>
        </w:rPr>
        <w:t xml:space="preserve"> 3</w:t>
      </w:r>
      <w:r w:rsidRPr="00A32F1B">
        <w:rPr>
          <w:szCs w:val="24"/>
          <w:vertAlign w:val="superscript"/>
          <w:lang w:val="en-US"/>
        </w:rPr>
        <w:t>rd</w:t>
      </w:r>
      <w:r w:rsidRPr="00A32F1B">
        <w:rPr>
          <w:szCs w:val="24"/>
          <w:lang w:val="en-US"/>
        </w:rPr>
        <w:t xml:space="preserve"> – 4</w:t>
      </w:r>
      <w:r w:rsidRPr="00A32F1B">
        <w:rPr>
          <w:szCs w:val="24"/>
          <w:vertAlign w:val="superscript"/>
          <w:lang w:val="en-US"/>
        </w:rPr>
        <w:t>th</w:t>
      </w:r>
      <w:r w:rsidRPr="00A32F1B">
        <w:rPr>
          <w:szCs w:val="24"/>
          <w:lang w:val="en-US"/>
        </w:rPr>
        <w:t xml:space="preserve"> century they were in common possession </w:t>
      </w:r>
      <w:r w:rsidRPr="00A32F1B">
        <w:rPr>
          <w:szCs w:val="24"/>
          <w:lang w:val="en-US"/>
        </w:rPr>
        <w:lastRenderedPageBreak/>
        <w:t>of people.</w:t>
      </w:r>
      <w:r w:rsidRPr="00A32F1B">
        <w:rPr>
          <w:rStyle w:val="Znakapoznpodarou"/>
          <w:szCs w:val="24"/>
          <w:lang w:val="en-US"/>
        </w:rPr>
        <w:footnoteReference w:id="193"/>
      </w:r>
      <w:r w:rsidRPr="00A32F1B">
        <w:rPr>
          <w:szCs w:val="24"/>
          <w:lang w:val="en-US"/>
        </w:rPr>
        <w:t xml:space="preserve"> Abraxas amulets are often being viewed in </w:t>
      </w:r>
      <w:r w:rsidR="002019FE">
        <w:rPr>
          <w:szCs w:val="24"/>
          <w:lang w:val="en-US"/>
        </w:rPr>
        <w:t>connection</w:t>
      </w:r>
      <w:r w:rsidRPr="00A32F1B">
        <w:rPr>
          <w:szCs w:val="24"/>
          <w:lang w:val="en-US"/>
        </w:rPr>
        <w:t xml:space="preserve"> </w:t>
      </w:r>
      <w:r w:rsidR="002019FE">
        <w:rPr>
          <w:szCs w:val="24"/>
          <w:lang w:val="en-US"/>
        </w:rPr>
        <w:t>to</w:t>
      </w:r>
      <w:r w:rsidRPr="00A32F1B">
        <w:rPr>
          <w:szCs w:val="24"/>
          <w:lang w:val="en-US"/>
        </w:rPr>
        <w:t xml:space="preserve"> the Greek magical papyri, as it was mentioned in previous chapter</w:t>
      </w:r>
      <w:r w:rsidR="002019FE">
        <w:rPr>
          <w:szCs w:val="24"/>
          <w:lang w:val="en-US"/>
        </w:rPr>
        <w:t>;</w:t>
      </w:r>
      <w:r w:rsidRPr="00A32F1B">
        <w:rPr>
          <w:szCs w:val="24"/>
          <w:lang w:val="en-US"/>
        </w:rPr>
        <w:t xml:space="preserve"> hence</w:t>
      </w:r>
      <w:r w:rsidR="002019FE">
        <w:rPr>
          <w:szCs w:val="24"/>
          <w:lang w:val="en-US"/>
        </w:rPr>
        <w:t>,</w:t>
      </w:r>
      <w:r w:rsidRPr="00A32F1B">
        <w:rPr>
          <w:szCs w:val="24"/>
          <w:lang w:val="en-US"/>
        </w:rPr>
        <w:t xml:space="preserve"> they are assumed to be produced in Egypt corresponding to the archaeological findings of Abraxas amulets majorly from Egypt and Syria.</w:t>
      </w:r>
      <w:r w:rsidRPr="00A32F1B">
        <w:rPr>
          <w:rStyle w:val="Znakapoznpodarou"/>
          <w:szCs w:val="24"/>
          <w:lang w:val="en-US"/>
        </w:rPr>
        <w:footnoteReference w:id="194"/>
      </w:r>
    </w:p>
    <w:p w14:paraId="255CC09C" w14:textId="6995EDD7" w:rsidR="00F6718D" w:rsidRPr="00A32F1B" w:rsidRDefault="00F6718D" w:rsidP="00C32BA6">
      <w:pPr>
        <w:rPr>
          <w:lang w:val="en-US"/>
        </w:rPr>
      </w:pPr>
      <w:r w:rsidRPr="00A32F1B">
        <w:rPr>
          <w:lang w:val="en-US"/>
        </w:rPr>
        <w:t>Amulets</w:t>
      </w:r>
      <w:r w:rsidR="000F163F" w:rsidRPr="00A32F1B">
        <w:rPr>
          <w:lang w:val="en-US"/>
        </w:rPr>
        <w:t xml:space="preserve"> </w:t>
      </w:r>
      <w:r w:rsidRPr="00A32F1B">
        <w:rPr>
          <w:lang w:val="en-US"/>
        </w:rPr>
        <w:t>mediated Abraxas to the European research enterprises</w:t>
      </w:r>
      <w:r w:rsidR="000F163F" w:rsidRPr="00A32F1B">
        <w:rPr>
          <w:lang w:val="en-US"/>
        </w:rPr>
        <w:t xml:space="preserve"> becoming virtually the sole source of information concerning Abraxas’s existence and purpose, except the ancient texts which put Abraxas in relation to Gnostics and their system of belief. Alas, the misconceptions related to Abraxas’s perception that lasted as an assumption for a significant </w:t>
      </w:r>
      <w:proofErr w:type="gramStart"/>
      <w:r w:rsidR="000F163F" w:rsidRPr="00A32F1B">
        <w:rPr>
          <w:lang w:val="en-US"/>
        </w:rPr>
        <w:t>period of time</w:t>
      </w:r>
      <w:proofErr w:type="gramEnd"/>
      <w:r w:rsidR="000F163F" w:rsidRPr="00A32F1B">
        <w:rPr>
          <w:lang w:val="en-US"/>
        </w:rPr>
        <w:t>,</w:t>
      </w:r>
      <w:r w:rsidR="002D1FE3" w:rsidRPr="00A32F1B">
        <w:rPr>
          <w:lang w:val="en-US"/>
        </w:rPr>
        <w:t xml:space="preserve"> </w:t>
      </w:r>
      <w:r w:rsidR="003A5169" w:rsidRPr="00A32F1B">
        <w:rPr>
          <w:lang w:val="en-US"/>
        </w:rPr>
        <w:t>from</w:t>
      </w:r>
      <w:r w:rsidR="000F163F" w:rsidRPr="00A32F1B">
        <w:rPr>
          <w:lang w:val="en-US"/>
        </w:rPr>
        <w:t xml:space="preserve"> the 16</w:t>
      </w:r>
      <w:r w:rsidR="000F163F" w:rsidRPr="00A32F1B">
        <w:rPr>
          <w:vertAlign w:val="superscript"/>
          <w:lang w:val="en-US"/>
        </w:rPr>
        <w:t>th</w:t>
      </w:r>
      <w:r w:rsidR="000F163F" w:rsidRPr="00A32F1B">
        <w:rPr>
          <w:lang w:val="en-US"/>
        </w:rPr>
        <w:t xml:space="preserve"> to 20</w:t>
      </w:r>
      <w:r w:rsidR="000F163F" w:rsidRPr="00A32F1B">
        <w:rPr>
          <w:vertAlign w:val="superscript"/>
          <w:lang w:val="en-US"/>
        </w:rPr>
        <w:t>th</w:t>
      </w:r>
      <w:r w:rsidR="000F163F" w:rsidRPr="00A32F1B">
        <w:rPr>
          <w:lang w:val="en-US"/>
        </w:rPr>
        <w:t xml:space="preserve"> century.</w:t>
      </w:r>
    </w:p>
    <w:p w14:paraId="7289CDE7" w14:textId="613F55B2" w:rsidR="00EB17D3" w:rsidRPr="00A32F1B" w:rsidRDefault="00EB17D3" w:rsidP="00C32BA6">
      <w:pPr>
        <w:rPr>
          <w:lang w:val="en-US"/>
        </w:rPr>
      </w:pPr>
      <w:r w:rsidRPr="00A32F1B">
        <w:rPr>
          <w:lang w:val="en-US"/>
        </w:rPr>
        <w:t>The specialist focused on gemstones and even more so on engraved gemstones of the end of 19</w:t>
      </w:r>
      <w:r w:rsidRPr="00A32F1B">
        <w:rPr>
          <w:vertAlign w:val="superscript"/>
          <w:lang w:val="en-US"/>
        </w:rPr>
        <w:t>th</w:t>
      </w:r>
      <w:r w:rsidRPr="00A32F1B">
        <w:rPr>
          <w:lang w:val="en-US"/>
        </w:rPr>
        <w:t xml:space="preserve"> century, C. W. King, </w:t>
      </w:r>
      <w:r w:rsidR="000671A2" w:rsidRPr="00A32F1B">
        <w:rPr>
          <w:lang w:val="en-US"/>
        </w:rPr>
        <w:t>drawing from the formulation by J.</w:t>
      </w:r>
      <w:r w:rsidR="0006565C" w:rsidRPr="00A32F1B">
        <w:rPr>
          <w:lang w:val="en-US"/>
        </w:rPr>
        <w:t xml:space="preserve"> </w:t>
      </w:r>
      <w:r w:rsidR="000671A2" w:rsidRPr="00A32F1B">
        <w:rPr>
          <w:lang w:val="en-US"/>
        </w:rPr>
        <w:t>J. B</w:t>
      </w:r>
      <w:r w:rsidR="0006565C" w:rsidRPr="00A32F1B">
        <w:rPr>
          <w:lang w:val="en-US"/>
        </w:rPr>
        <w:t>ellermann, works with</w:t>
      </w:r>
      <w:r w:rsidRPr="00A32F1B">
        <w:rPr>
          <w:lang w:val="en-US"/>
        </w:rPr>
        <w:t xml:space="preserve"> three groups of amulets which seemed to relate to Abraxas.</w:t>
      </w:r>
      <w:r w:rsidR="00D4198D" w:rsidRPr="00A32F1B">
        <w:rPr>
          <w:lang w:val="en-US"/>
        </w:rPr>
        <w:t xml:space="preserve"> King’s contemplation was directly associated with the Gnostic teaching and in this assumption his idea of classification was rooted: </w:t>
      </w:r>
      <w:r w:rsidR="007A0D05" w:rsidRPr="00A32F1B">
        <w:rPr>
          <w:lang w:val="en-US"/>
        </w:rPr>
        <w:t>in the first group there were amulets said to be created by Basilides himself, these amulets were the original and true ones</w:t>
      </w:r>
      <w:r w:rsidR="009D23FB" w:rsidRPr="00A32F1B">
        <w:rPr>
          <w:lang w:val="en-US"/>
        </w:rPr>
        <w:t>.</w:t>
      </w:r>
      <w:r w:rsidR="007A0D05" w:rsidRPr="00A32F1B">
        <w:rPr>
          <w:lang w:val="en-US"/>
        </w:rPr>
        <w:t xml:space="preserve"> </w:t>
      </w:r>
      <w:r w:rsidR="009D23FB" w:rsidRPr="00A32F1B">
        <w:rPr>
          <w:lang w:val="en-US"/>
        </w:rPr>
        <w:t>T</w:t>
      </w:r>
      <w:r w:rsidR="007A0D05" w:rsidRPr="00A32F1B">
        <w:rPr>
          <w:lang w:val="en-US"/>
        </w:rPr>
        <w:t xml:space="preserve">he second group covered presumed impostors that were thought to be influenced by Basilides, however, they </w:t>
      </w:r>
      <w:r w:rsidR="009D23FB" w:rsidRPr="00A32F1B">
        <w:rPr>
          <w:lang w:val="en-US"/>
        </w:rPr>
        <w:t xml:space="preserve">were rather employed in syncretic machinations of astrologers and contained borrowed gods and divinities from Egyptian and Greek tradition. The third group was in fact not connected to Basilidean Gnosticism; these amulets were heavily inspired by older Roman, </w:t>
      </w:r>
      <w:r w:rsidR="00D952A4" w:rsidRPr="00A32F1B">
        <w:rPr>
          <w:lang w:val="en-US"/>
        </w:rPr>
        <w:t>Egyptian,</w:t>
      </w:r>
      <w:r w:rsidR="009D23FB" w:rsidRPr="00A32F1B">
        <w:rPr>
          <w:lang w:val="en-US"/>
        </w:rPr>
        <w:t xml:space="preserve"> and Babylonian deities and used to represent new ideas Gnostic Christian sects.</w:t>
      </w:r>
      <w:r w:rsidR="00A83982" w:rsidRPr="00A32F1B">
        <w:rPr>
          <w:rStyle w:val="Znakapoznpodarou"/>
          <w:lang w:val="en-US"/>
        </w:rPr>
        <w:footnoteReference w:id="195"/>
      </w:r>
      <w:r w:rsidR="00D952A4" w:rsidRPr="00A32F1B">
        <w:rPr>
          <w:lang w:val="en-US"/>
        </w:rPr>
        <w:t xml:space="preserve"> Although classification</w:t>
      </w:r>
      <w:r w:rsidR="00642BBB" w:rsidRPr="00A32F1B">
        <w:rPr>
          <w:lang w:val="en-US"/>
        </w:rPr>
        <w:t xml:space="preserve"> often</w:t>
      </w:r>
      <w:r w:rsidR="00D952A4" w:rsidRPr="00A32F1B">
        <w:rPr>
          <w:lang w:val="en-US"/>
        </w:rPr>
        <w:t xml:space="preserve"> serve</w:t>
      </w:r>
      <w:r w:rsidR="00642BBB" w:rsidRPr="00A32F1B">
        <w:rPr>
          <w:lang w:val="en-US"/>
        </w:rPr>
        <w:t>s</w:t>
      </w:r>
      <w:r w:rsidR="00D952A4" w:rsidRPr="00A32F1B">
        <w:rPr>
          <w:lang w:val="en-US"/>
        </w:rPr>
        <w:t xml:space="preserve"> as a </w:t>
      </w:r>
      <w:r w:rsidR="00F16068" w:rsidRPr="00A32F1B">
        <w:rPr>
          <w:lang w:val="en-US"/>
        </w:rPr>
        <w:t>steppingstone</w:t>
      </w:r>
      <w:r w:rsidR="00D952A4" w:rsidRPr="00A32F1B">
        <w:rPr>
          <w:lang w:val="en-US"/>
        </w:rPr>
        <w:t xml:space="preserve"> in research, King’s characterization does not find support in the modern research of amulets, which </w:t>
      </w:r>
      <w:r w:rsidR="00642BBB" w:rsidRPr="00A32F1B">
        <w:rPr>
          <w:lang w:val="en-US"/>
        </w:rPr>
        <w:t>may</w:t>
      </w:r>
      <w:r w:rsidR="00D952A4" w:rsidRPr="00A32F1B">
        <w:rPr>
          <w:lang w:val="en-US"/>
        </w:rPr>
        <w:t xml:space="preserve"> be linked to the lack of evidence suggesting connection between the amulets and Gnostics.</w:t>
      </w:r>
    </w:p>
    <w:p w14:paraId="5C313684" w14:textId="2AAEBF5D" w:rsidR="00F070DF" w:rsidRPr="00A32F1B" w:rsidRDefault="00B265CD" w:rsidP="00C32BA6">
      <w:pPr>
        <w:rPr>
          <w:lang w:val="en-US"/>
        </w:rPr>
      </w:pPr>
      <w:r w:rsidRPr="00A32F1B">
        <w:rPr>
          <w:lang w:val="en-US"/>
        </w:rPr>
        <w:lastRenderedPageBreak/>
        <w:t xml:space="preserve">King’s work shows the enthusiastic approach of a knowledgeable scholar indulging in eclecticism; he compares and links </w:t>
      </w:r>
      <w:r w:rsidR="00B471DD">
        <w:rPr>
          <w:lang w:val="en-US"/>
        </w:rPr>
        <w:t>diverse</w:t>
      </w:r>
      <w:r w:rsidRPr="00A32F1B">
        <w:rPr>
          <w:lang w:val="en-US"/>
        </w:rPr>
        <w:t xml:space="preserve"> tradition</w:t>
      </w:r>
      <w:r w:rsidR="00B471DD">
        <w:rPr>
          <w:lang w:val="en-US"/>
        </w:rPr>
        <w:t>s</w:t>
      </w:r>
      <w:r w:rsidRPr="00A32F1B">
        <w:rPr>
          <w:lang w:val="en-US"/>
        </w:rPr>
        <w:t xml:space="preserve"> of ancient Greek, Roman, Egyptian, </w:t>
      </w:r>
      <w:r w:rsidR="000500B1" w:rsidRPr="00A32F1B">
        <w:rPr>
          <w:lang w:val="en-US"/>
        </w:rPr>
        <w:t>and</w:t>
      </w:r>
      <w:r w:rsidRPr="00A32F1B">
        <w:rPr>
          <w:lang w:val="en-US"/>
        </w:rPr>
        <w:t xml:space="preserve"> Indian </w:t>
      </w:r>
      <w:r w:rsidR="00261A0A" w:rsidRPr="00A32F1B">
        <w:rPr>
          <w:lang w:val="en-US"/>
        </w:rPr>
        <w:t>religions,</w:t>
      </w:r>
      <w:r w:rsidRPr="00A32F1B">
        <w:rPr>
          <w:lang w:val="en-US"/>
        </w:rPr>
        <w:t xml:space="preserve"> and thoughts.</w:t>
      </w:r>
      <w:r w:rsidR="002857AA" w:rsidRPr="00A32F1B">
        <w:rPr>
          <w:lang w:val="en-US"/>
        </w:rPr>
        <w:t xml:space="preserve"> King’s approach can induce more questions than answers; however, some of his </w:t>
      </w:r>
      <w:r w:rsidR="00261A0A" w:rsidRPr="00A32F1B">
        <w:rPr>
          <w:lang w:val="en-US"/>
        </w:rPr>
        <w:t>interpretations</w:t>
      </w:r>
      <w:r w:rsidR="000500B1" w:rsidRPr="00A32F1B">
        <w:rPr>
          <w:lang w:val="en-US"/>
        </w:rPr>
        <w:t xml:space="preserve"> might help to understand how certain allusions worked and came into being. One of such </w:t>
      </w:r>
      <w:r w:rsidR="00261A0A" w:rsidRPr="00A32F1B">
        <w:rPr>
          <w:lang w:val="en-US"/>
        </w:rPr>
        <w:t>notions</w:t>
      </w:r>
      <w:r w:rsidR="00F30394" w:rsidRPr="00A32F1B">
        <w:rPr>
          <w:lang w:val="en-US"/>
        </w:rPr>
        <w:t xml:space="preserve"> </w:t>
      </w:r>
      <w:r w:rsidR="001169A8" w:rsidRPr="00A32F1B">
        <w:rPr>
          <w:lang w:val="en-US"/>
        </w:rPr>
        <w:t xml:space="preserve">reveals </w:t>
      </w:r>
      <w:r w:rsidR="002019FE">
        <w:rPr>
          <w:lang w:val="en-US"/>
        </w:rPr>
        <w:t>his</w:t>
      </w:r>
      <w:r w:rsidR="001169A8" w:rsidRPr="00A32F1B">
        <w:rPr>
          <w:lang w:val="en-US"/>
        </w:rPr>
        <w:t xml:space="preserve"> perception of amulets’ imagery, specifically the imagery of Abraxas.</w:t>
      </w:r>
      <w:r w:rsidR="001A3EEA" w:rsidRPr="00A32F1B">
        <w:rPr>
          <w:lang w:val="en-US"/>
        </w:rPr>
        <w:t xml:space="preserve"> King presents various facts which suggest that the amulets were inspired by earlier specimens of Egyptian amulets against diseases and misfortunes</w:t>
      </w:r>
      <w:r w:rsidR="00FB6F2A" w:rsidRPr="00A32F1B">
        <w:rPr>
          <w:lang w:val="en-US"/>
        </w:rPr>
        <w:t xml:space="preserve"> employing a solar deity in a form of serpent-like character, later King presents </w:t>
      </w:r>
      <w:r w:rsidR="008829CC" w:rsidRPr="00A32F1B">
        <w:rPr>
          <w:lang w:val="en-US"/>
        </w:rPr>
        <w:t>a cult of cross-deity Hermanubis who was a</w:t>
      </w:r>
      <w:r w:rsidR="00D040CE" w:rsidRPr="00A32F1B">
        <w:rPr>
          <w:lang w:val="en-US"/>
        </w:rPr>
        <w:t> </w:t>
      </w:r>
      <w:r w:rsidR="008829CC" w:rsidRPr="00A32F1B">
        <w:rPr>
          <w:lang w:val="en-US"/>
        </w:rPr>
        <w:t>mix of Greek god Hermes and Egyptian god Anubis depicted as a human body with jackal’s head.</w:t>
      </w:r>
      <w:r w:rsidR="00276B49" w:rsidRPr="00A32F1B">
        <w:rPr>
          <w:rStyle w:val="Znakapoznpodarou"/>
          <w:lang w:val="en-US"/>
        </w:rPr>
        <w:footnoteReference w:id="196"/>
      </w:r>
    </w:p>
    <w:p w14:paraId="13D0B085" w14:textId="24A69E1C" w:rsidR="00B80BCB" w:rsidRPr="00A32F1B" w:rsidRDefault="00276B49" w:rsidP="00C32BA6">
      <w:pPr>
        <w:rPr>
          <w:szCs w:val="24"/>
          <w:lang w:val="en-US"/>
        </w:rPr>
      </w:pPr>
      <w:r w:rsidRPr="00A32F1B">
        <w:rPr>
          <w:szCs w:val="24"/>
          <w:lang w:val="en-US"/>
        </w:rPr>
        <w:t xml:space="preserve">The imagery of Abraxas amulets incorporates </w:t>
      </w:r>
      <w:r w:rsidR="00432101" w:rsidRPr="00A32F1B">
        <w:rPr>
          <w:szCs w:val="24"/>
          <w:lang w:val="en-US"/>
        </w:rPr>
        <w:t xml:space="preserve">an </w:t>
      </w:r>
      <w:r w:rsidRPr="00A32F1B">
        <w:rPr>
          <w:szCs w:val="24"/>
          <w:lang w:val="en-US"/>
        </w:rPr>
        <w:t>anthropomorphic character with rooster head, human torso dressed in Roman military attire and two serpent-like legs</w:t>
      </w:r>
      <w:r w:rsidR="00432101" w:rsidRPr="00A32F1B">
        <w:rPr>
          <w:szCs w:val="24"/>
          <w:lang w:val="en-US"/>
        </w:rPr>
        <w:t>, often called “anguipede”</w:t>
      </w:r>
      <w:r w:rsidRPr="00A32F1B">
        <w:rPr>
          <w:szCs w:val="24"/>
          <w:lang w:val="en-US"/>
        </w:rPr>
        <w:t>; the character often held a shield and a whip or rod in its hands.</w:t>
      </w:r>
      <w:r w:rsidR="00432101" w:rsidRPr="00A32F1B">
        <w:rPr>
          <w:szCs w:val="24"/>
          <w:lang w:val="en-US"/>
        </w:rPr>
        <w:t xml:space="preserve"> This figure was often accompanied by Greek inscriptions</w:t>
      </w:r>
      <w:r w:rsidR="00FE5CEB" w:rsidRPr="00A32F1B">
        <w:rPr>
          <w:szCs w:val="24"/>
          <w:lang w:val="en-US"/>
        </w:rPr>
        <w:t xml:space="preserve"> of divine names</w:t>
      </w:r>
      <w:r w:rsidR="00432101" w:rsidRPr="00A32F1B">
        <w:rPr>
          <w:szCs w:val="24"/>
          <w:lang w:val="en-US"/>
        </w:rPr>
        <w:t xml:space="preserve">, among which the name Abraxas appeared often enough for the </w:t>
      </w:r>
      <w:r w:rsidR="002A39B7" w:rsidRPr="00A32F1B">
        <w:rPr>
          <w:szCs w:val="24"/>
          <w:lang w:val="en-US"/>
        </w:rPr>
        <w:t>researchers</w:t>
      </w:r>
      <w:r w:rsidR="00432101" w:rsidRPr="00A32F1B">
        <w:rPr>
          <w:szCs w:val="24"/>
          <w:lang w:val="en-US"/>
        </w:rPr>
        <w:t xml:space="preserve"> to create a connection between the name and the image</w:t>
      </w:r>
      <w:r w:rsidR="00D5767C" w:rsidRPr="00A32F1B">
        <w:rPr>
          <w:szCs w:val="24"/>
          <w:lang w:val="en-US"/>
        </w:rPr>
        <w:t>, thus the curious character with human body, rooster head and serpent-like legs became Abraxas</w:t>
      </w:r>
      <w:r w:rsidR="002A39B7" w:rsidRPr="00A32F1B">
        <w:rPr>
          <w:szCs w:val="24"/>
          <w:lang w:val="en-US"/>
        </w:rPr>
        <w:t xml:space="preserve">. This connection was nonetheless </w:t>
      </w:r>
      <w:r w:rsidR="00D5767C" w:rsidRPr="00A32F1B">
        <w:rPr>
          <w:szCs w:val="24"/>
          <w:lang w:val="en-US"/>
        </w:rPr>
        <w:t xml:space="preserve">firmly </w:t>
      </w:r>
      <w:r w:rsidR="000E0AF1" w:rsidRPr="00A32F1B">
        <w:rPr>
          <w:szCs w:val="24"/>
          <w:lang w:val="en-US"/>
        </w:rPr>
        <w:t>disapproved</w:t>
      </w:r>
      <w:r w:rsidR="00D5767C" w:rsidRPr="00A32F1B">
        <w:rPr>
          <w:szCs w:val="24"/>
          <w:lang w:val="en-US"/>
        </w:rPr>
        <w:t xml:space="preserve"> by</w:t>
      </w:r>
      <w:r w:rsidR="00B80BCB" w:rsidRPr="00A32F1B">
        <w:rPr>
          <w:szCs w:val="24"/>
          <w:lang w:val="en-US"/>
        </w:rPr>
        <w:t xml:space="preserve"> several</w:t>
      </w:r>
      <w:r w:rsidR="002A39B7" w:rsidRPr="00A32F1B">
        <w:rPr>
          <w:szCs w:val="24"/>
          <w:lang w:val="en-US"/>
        </w:rPr>
        <w:t xml:space="preserve"> </w:t>
      </w:r>
      <w:r w:rsidR="00D5767C" w:rsidRPr="00A32F1B">
        <w:rPr>
          <w:szCs w:val="24"/>
          <w:lang w:val="en-US"/>
        </w:rPr>
        <w:t>scholars</w:t>
      </w:r>
      <w:r w:rsidR="004D40C5" w:rsidRPr="00A32F1B">
        <w:rPr>
          <w:szCs w:val="24"/>
          <w:lang w:val="en-US"/>
        </w:rPr>
        <w:t xml:space="preserve"> as a claim without an</w:t>
      </w:r>
      <w:r w:rsidR="002A39B7" w:rsidRPr="00A32F1B">
        <w:rPr>
          <w:szCs w:val="24"/>
          <w:lang w:val="en-US"/>
        </w:rPr>
        <w:t>y evidence</w:t>
      </w:r>
      <w:r w:rsidR="00E97B73">
        <w:rPr>
          <w:szCs w:val="24"/>
          <w:lang w:val="en-US"/>
        </w:rPr>
        <w:t>,</w:t>
      </w:r>
      <w:r w:rsidR="002A39B7" w:rsidRPr="00A32F1B">
        <w:rPr>
          <w:szCs w:val="24"/>
          <w:lang w:val="en-US"/>
        </w:rPr>
        <w:t xml:space="preserve"> neither in art nor literature in Greece, Rome, and Egypt that would provide the information of the depicted character’s identity.</w:t>
      </w:r>
      <w:r w:rsidR="002A39B7" w:rsidRPr="00A32F1B">
        <w:rPr>
          <w:rStyle w:val="Znakapoznpodarou"/>
          <w:szCs w:val="24"/>
          <w:lang w:val="en-US"/>
        </w:rPr>
        <w:footnoteReference w:id="197"/>
      </w:r>
      <w:r w:rsidR="002A39B7" w:rsidRPr="00A32F1B">
        <w:rPr>
          <w:szCs w:val="24"/>
          <w:lang w:val="en-US"/>
        </w:rPr>
        <w:t xml:space="preserve"> </w:t>
      </w:r>
      <w:r w:rsidR="00B04E5E" w:rsidRPr="00A32F1B">
        <w:rPr>
          <w:szCs w:val="24"/>
          <w:lang w:val="en-US"/>
        </w:rPr>
        <w:t xml:space="preserve">The character, called “the Anguipede”, </w:t>
      </w:r>
      <w:r w:rsidR="003E30BF" w:rsidRPr="00A32F1B">
        <w:rPr>
          <w:szCs w:val="24"/>
          <w:lang w:val="en-US"/>
        </w:rPr>
        <w:t xml:space="preserve">or </w:t>
      </w:r>
      <w:r w:rsidR="00B04E5E" w:rsidRPr="00A32F1B">
        <w:rPr>
          <w:szCs w:val="24"/>
          <w:lang w:val="en-US"/>
        </w:rPr>
        <w:t>“snake-legged god”,</w:t>
      </w:r>
      <w:r w:rsidR="00B80BCB" w:rsidRPr="00A32F1B">
        <w:rPr>
          <w:szCs w:val="24"/>
          <w:lang w:val="en-US"/>
        </w:rPr>
        <w:t xml:space="preserve"> referred to </w:t>
      </w:r>
      <w:r w:rsidR="0034642B" w:rsidRPr="00A32F1B">
        <w:rPr>
          <w:szCs w:val="24"/>
          <w:lang w:val="en-US"/>
        </w:rPr>
        <w:t>the S</w:t>
      </w:r>
      <w:r w:rsidR="00B80BCB" w:rsidRPr="00A32F1B">
        <w:rPr>
          <w:szCs w:val="24"/>
          <w:lang w:val="en-US"/>
        </w:rPr>
        <w:t xml:space="preserve">un by means of solar attributes imagery – rooster, military attire, the whip, </w:t>
      </w:r>
      <w:r w:rsidR="00091DFD" w:rsidRPr="00A32F1B">
        <w:rPr>
          <w:szCs w:val="24"/>
          <w:lang w:val="en-US"/>
        </w:rPr>
        <w:t>and</w:t>
      </w:r>
      <w:r w:rsidR="00B80BCB" w:rsidRPr="00A32F1B">
        <w:rPr>
          <w:szCs w:val="24"/>
          <w:lang w:val="en-US"/>
        </w:rPr>
        <w:t xml:space="preserve"> the </w:t>
      </w:r>
      <w:r w:rsidR="00091DFD" w:rsidRPr="00A32F1B">
        <w:rPr>
          <w:szCs w:val="24"/>
          <w:lang w:val="en-US"/>
        </w:rPr>
        <w:t xml:space="preserve">serpent/snake association, </w:t>
      </w:r>
      <w:r w:rsidR="00B80BCB" w:rsidRPr="00A32F1B">
        <w:rPr>
          <w:szCs w:val="24"/>
          <w:lang w:val="en-US"/>
        </w:rPr>
        <w:t>according to A. Delatte.</w:t>
      </w:r>
      <w:r w:rsidR="00091DFD" w:rsidRPr="00A32F1B">
        <w:rPr>
          <w:szCs w:val="24"/>
          <w:lang w:val="en-US"/>
        </w:rPr>
        <w:t xml:space="preserve"> One part of scholars following Delatte’s example tried to dismember the figure and then to subject each part to the examination of origin, another part saw the figure in its entirety and tried to assess its probable origin.</w:t>
      </w:r>
      <w:r w:rsidR="00FE0D10" w:rsidRPr="00A32F1B">
        <w:rPr>
          <w:szCs w:val="24"/>
          <w:lang w:val="en-US"/>
        </w:rPr>
        <w:t xml:space="preserve"> Campbell Bonner</w:t>
      </w:r>
      <w:r w:rsidR="00032039" w:rsidRPr="00A32F1B">
        <w:rPr>
          <w:szCs w:val="24"/>
          <w:lang w:val="en-US"/>
        </w:rPr>
        <w:t xml:space="preserve"> (1876-1954)</w:t>
      </w:r>
      <w:r w:rsidR="00FE0D10" w:rsidRPr="00A32F1B">
        <w:rPr>
          <w:szCs w:val="24"/>
          <w:lang w:val="en-US"/>
        </w:rPr>
        <w:t xml:space="preserve">, who dedicated his research to magical amulets, upheld Delatte’s theory </w:t>
      </w:r>
      <w:r w:rsidR="005F10FE" w:rsidRPr="00A32F1B">
        <w:rPr>
          <w:szCs w:val="24"/>
          <w:lang w:val="en-US"/>
        </w:rPr>
        <w:t xml:space="preserve">and led discussion about viable theories concerning the character Anguipede; Bonner then explored the path of the Anguipede becoming the Gnostic Abraxas – adhering to the Basilidean teaching that Abraxas is the ruler of 365 heavens and should be the representant of the </w:t>
      </w:r>
      <w:r w:rsidR="0034642B" w:rsidRPr="00A32F1B">
        <w:rPr>
          <w:szCs w:val="24"/>
          <w:lang w:val="en-US"/>
        </w:rPr>
        <w:t>S</w:t>
      </w:r>
      <w:r w:rsidR="005F10FE" w:rsidRPr="00A32F1B">
        <w:rPr>
          <w:szCs w:val="24"/>
          <w:lang w:val="en-US"/>
        </w:rPr>
        <w:t xml:space="preserve">un. Bonner proposes a theory linking the Anguipede to Jewish tradition through the Bible </w:t>
      </w:r>
      <w:r w:rsidR="00377339" w:rsidRPr="00A32F1B">
        <w:rPr>
          <w:szCs w:val="24"/>
          <w:lang w:val="en-US"/>
        </w:rPr>
        <w:t xml:space="preserve">and Greek mythology – the Septuagint </w:t>
      </w:r>
      <w:r w:rsidR="00377339" w:rsidRPr="00A32F1B">
        <w:rPr>
          <w:szCs w:val="24"/>
          <w:lang w:val="en-US"/>
        </w:rPr>
        <w:lastRenderedPageBreak/>
        <w:t>translates the Hebrew word “gibbor” (strong man) as a “gigas” (giant) in Greek</w:t>
      </w:r>
      <w:r w:rsidR="005F10FE" w:rsidRPr="00A32F1B">
        <w:rPr>
          <w:szCs w:val="24"/>
          <w:lang w:val="en-US"/>
        </w:rPr>
        <w:t xml:space="preserve"> </w:t>
      </w:r>
      <w:r w:rsidR="00377339" w:rsidRPr="00A32F1B">
        <w:rPr>
          <w:szCs w:val="24"/>
          <w:lang w:val="en-US"/>
        </w:rPr>
        <w:t>and as the Septuagint was widely used by Jews at the time of amulets’ creation while they were also acquainted with the Greek mythology that used serpent-like attributes for depicting the Giants, and so Jewish adherents of some solar cult could have created the Anguipede as a representation of their beliefs.</w:t>
      </w:r>
      <w:r w:rsidR="00B32E49" w:rsidRPr="00A32F1B">
        <w:rPr>
          <w:rStyle w:val="Znakapoznpodarou"/>
          <w:szCs w:val="24"/>
          <w:lang w:val="en-US"/>
        </w:rPr>
        <w:footnoteReference w:id="198"/>
      </w:r>
      <w:r w:rsidR="00377339" w:rsidRPr="00A32F1B">
        <w:rPr>
          <w:szCs w:val="24"/>
          <w:lang w:val="en-US"/>
        </w:rPr>
        <w:t xml:space="preserve"> Although this theory was by Bonner himself marked as a</w:t>
      </w:r>
      <w:r w:rsidR="00DE5290" w:rsidRPr="00A32F1B">
        <w:rPr>
          <w:szCs w:val="24"/>
          <w:lang w:val="en-US"/>
        </w:rPr>
        <w:t>n uncertain hypothesis, it influenced modern research that drew on the hypothesis their own assumptions and theories.</w:t>
      </w:r>
    </w:p>
    <w:p w14:paraId="7FE003B4" w14:textId="26ADDFCC" w:rsidR="000A69E0" w:rsidRPr="00A32F1B" w:rsidRDefault="00857B76" w:rsidP="00016118">
      <w:pPr>
        <w:rPr>
          <w:szCs w:val="24"/>
          <w:lang w:val="en-US"/>
        </w:rPr>
      </w:pPr>
      <w:r w:rsidRPr="00A32F1B">
        <w:rPr>
          <w:szCs w:val="24"/>
          <w:lang w:val="en-US"/>
        </w:rPr>
        <w:t xml:space="preserve">Erwin Ramsdell Goodenough (1893-1965) associated the Anguipede and other figures appearing on amulets with the inscription of Jewish God’s name </w:t>
      </w:r>
      <w:r w:rsidR="003225C4" w:rsidRPr="00A32F1B">
        <w:rPr>
          <w:szCs w:val="24"/>
          <w:lang w:val="en-US"/>
        </w:rPr>
        <w:t>IAŌ (</w:t>
      </w:r>
      <w:r w:rsidRPr="00A32F1B">
        <w:rPr>
          <w:szCs w:val="24"/>
          <w:lang w:val="en-US"/>
        </w:rPr>
        <w:t>IAΩ</w:t>
      </w:r>
      <w:r w:rsidR="003225C4" w:rsidRPr="00A32F1B">
        <w:rPr>
          <w:szCs w:val="24"/>
          <w:lang w:val="en-US"/>
        </w:rPr>
        <w:t>)</w:t>
      </w:r>
      <w:r w:rsidRPr="00A32F1B">
        <w:rPr>
          <w:szCs w:val="24"/>
          <w:lang w:val="en-US"/>
        </w:rPr>
        <w:t>, thus assigning the figure to represent God.</w:t>
      </w:r>
      <w:r w:rsidRPr="00A32F1B">
        <w:rPr>
          <w:rStyle w:val="Znakapoznpodarou"/>
          <w:szCs w:val="24"/>
          <w:lang w:val="en-US"/>
        </w:rPr>
        <w:footnoteReference w:id="199"/>
      </w:r>
      <w:r w:rsidRPr="00A32F1B">
        <w:rPr>
          <w:szCs w:val="24"/>
          <w:lang w:val="en-US"/>
        </w:rPr>
        <w:t xml:space="preserve"> Árpád M. Nagy reached a similar conclusion by focusing on Hebrew words with the root “GBR” and in Talmud he found the word “gevurah” to stand for God’s power, and in the Bible he found “gibbor” referring to God of Israel, hence Nagy discovered linguistic connection between the Anguipede and Jewish tradition.</w:t>
      </w:r>
      <w:r w:rsidRPr="00A32F1B">
        <w:rPr>
          <w:rStyle w:val="Znakapoznpodarou"/>
          <w:szCs w:val="24"/>
          <w:lang w:val="en-US"/>
        </w:rPr>
        <w:footnoteReference w:id="200"/>
      </w:r>
      <w:r w:rsidR="00016118">
        <w:rPr>
          <w:szCs w:val="24"/>
          <w:lang w:val="en-US"/>
        </w:rPr>
        <w:t xml:space="preserve"> </w:t>
      </w:r>
      <w:r w:rsidR="00635452" w:rsidRPr="00A32F1B">
        <w:rPr>
          <w:szCs w:val="24"/>
          <w:lang w:val="en-US"/>
        </w:rPr>
        <w:t>Another theory built on the root added the word “geber” (rooster) to the explanation of the imagery.</w:t>
      </w:r>
      <w:r w:rsidR="00635452" w:rsidRPr="00A32F1B">
        <w:rPr>
          <w:rStyle w:val="Znakapoznpodarou"/>
          <w:szCs w:val="24"/>
          <w:lang w:val="en-US"/>
        </w:rPr>
        <w:footnoteReference w:id="201"/>
      </w:r>
      <w:r w:rsidR="003C3529" w:rsidRPr="00A32F1B">
        <w:rPr>
          <w:szCs w:val="24"/>
          <w:lang w:val="en-US"/>
        </w:rPr>
        <w:t xml:space="preserve"> A theory that adds another layer of Jewish origin dimension correlates the root with the name “Gabriel”, an archangel originating in the biblical texts </w:t>
      </w:r>
      <w:r w:rsidR="00DA645A" w:rsidRPr="00A32F1B">
        <w:rPr>
          <w:szCs w:val="24"/>
          <w:lang w:val="en-US"/>
        </w:rPr>
        <w:t>who</w:t>
      </w:r>
      <w:r w:rsidR="003C3529" w:rsidRPr="00A32F1B">
        <w:rPr>
          <w:szCs w:val="24"/>
          <w:lang w:val="en-US"/>
        </w:rPr>
        <w:t xml:space="preserve"> frequently appears in magical texts, e.g. Greek magical papyri</w:t>
      </w:r>
      <w:r w:rsidR="004D7140" w:rsidRPr="00A32F1B">
        <w:rPr>
          <w:szCs w:val="24"/>
          <w:lang w:val="en-US"/>
        </w:rPr>
        <w:t>.</w:t>
      </w:r>
      <w:r w:rsidR="00F85E83" w:rsidRPr="00A32F1B">
        <w:rPr>
          <w:rStyle w:val="Znakapoznpodarou"/>
          <w:szCs w:val="24"/>
          <w:lang w:val="en-US"/>
        </w:rPr>
        <w:footnoteReference w:id="202"/>
      </w:r>
      <w:r w:rsidR="004D7140" w:rsidRPr="00A32F1B">
        <w:rPr>
          <w:szCs w:val="24"/>
          <w:lang w:val="en-US"/>
        </w:rPr>
        <w:t xml:space="preserve"> The angel Gabriel was found to be analogous to Zoroastrian angel Sroša who is known to be related to a</w:t>
      </w:r>
      <w:r w:rsidR="00326586">
        <w:rPr>
          <w:szCs w:val="24"/>
          <w:lang w:val="en-US"/>
        </w:rPr>
        <w:t> </w:t>
      </w:r>
      <w:r w:rsidR="004D7140" w:rsidRPr="00A32F1B">
        <w:rPr>
          <w:szCs w:val="24"/>
          <w:lang w:val="en-US"/>
        </w:rPr>
        <w:t>rooster</w:t>
      </w:r>
      <w:r w:rsidR="004A2168" w:rsidRPr="00A32F1B">
        <w:rPr>
          <w:rStyle w:val="Znakapoznpodarou"/>
          <w:szCs w:val="24"/>
          <w:lang w:val="en-US"/>
        </w:rPr>
        <w:footnoteReference w:id="203"/>
      </w:r>
      <w:r w:rsidR="004D7140" w:rsidRPr="00A32F1B">
        <w:rPr>
          <w:szCs w:val="24"/>
          <w:lang w:val="en-US"/>
        </w:rPr>
        <w:t>; although these observ</w:t>
      </w:r>
      <w:r w:rsidR="008D7691" w:rsidRPr="00A32F1B">
        <w:rPr>
          <w:szCs w:val="24"/>
          <w:lang w:val="en-US"/>
        </w:rPr>
        <w:t>ations of linguistic and conceptual idea</w:t>
      </w:r>
      <w:r w:rsidR="00016118">
        <w:rPr>
          <w:szCs w:val="24"/>
          <w:lang w:val="en-US"/>
        </w:rPr>
        <w:t>s</w:t>
      </w:r>
      <w:r w:rsidR="008D7691" w:rsidRPr="00A32F1B">
        <w:rPr>
          <w:szCs w:val="24"/>
          <w:lang w:val="en-US"/>
        </w:rPr>
        <w:t xml:space="preserve"> do not seem credible, the name Gabriel was a bearer of magical properties in a contextual proximity to Abraxas in several sources, e.g. </w:t>
      </w:r>
      <w:r w:rsidR="008B2A49" w:rsidRPr="00A32F1B">
        <w:rPr>
          <w:szCs w:val="24"/>
          <w:lang w:val="en-US"/>
        </w:rPr>
        <w:t>the Gnostic literature</w:t>
      </w:r>
      <w:r w:rsidR="008D7691" w:rsidRPr="00A32F1B">
        <w:rPr>
          <w:szCs w:val="24"/>
          <w:lang w:val="en-US"/>
        </w:rPr>
        <w:t xml:space="preserve">, Greek </w:t>
      </w:r>
      <w:r w:rsidR="00BE0EDE" w:rsidRPr="00A32F1B">
        <w:rPr>
          <w:szCs w:val="24"/>
          <w:lang w:val="en-US"/>
        </w:rPr>
        <w:t>m</w:t>
      </w:r>
      <w:r w:rsidR="008D7691" w:rsidRPr="00A32F1B">
        <w:rPr>
          <w:szCs w:val="24"/>
          <w:lang w:val="en-US"/>
        </w:rPr>
        <w:t xml:space="preserve">agical </w:t>
      </w:r>
      <w:r w:rsidR="00BE0EDE" w:rsidRPr="00A32F1B">
        <w:rPr>
          <w:szCs w:val="24"/>
          <w:lang w:val="en-US"/>
        </w:rPr>
        <w:t>p</w:t>
      </w:r>
      <w:r w:rsidR="008D7691" w:rsidRPr="00A32F1B">
        <w:rPr>
          <w:szCs w:val="24"/>
          <w:lang w:val="en-US"/>
        </w:rPr>
        <w:t xml:space="preserve">apyri, and </w:t>
      </w:r>
      <w:r w:rsidR="008D7691" w:rsidRPr="00A32F1B">
        <w:rPr>
          <w:i/>
          <w:iCs/>
          <w:szCs w:val="24"/>
          <w:lang w:val="en-US"/>
        </w:rPr>
        <w:t>Sefer ha-Razim</w:t>
      </w:r>
      <w:r w:rsidR="008D7691" w:rsidRPr="00A32F1B">
        <w:rPr>
          <w:szCs w:val="24"/>
          <w:lang w:val="en-US"/>
        </w:rPr>
        <w:t>.</w:t>
      </w:r>
    </w:p>
    <w:p w14:paraId="230667BB" w14:textId="3DF3AF93" w:rsidR="00B02A89" w:rsidRPr="00A32F1B" w:rsidRDefault="001E4EF8" w:rsidP="00C32BA6">
      <w:pPr>
        <w:rPr>
          <w:szCs w:val="24"/>
          <w:lang w:val="en-US"/>
        </w:rPr>
      </w:pPr>
      <w:r w:rsidRPr="00A32F1B">
        <w:rPr>
          <w:lang w:val="en-US"/>
        </w:rPr>
        <w:t>The association of the amulets with Jewish tradition was supported by the</w:t>
      </w:r>
      <w:r w:rsidR="000F163F" w:rsidRPr="00A32F1B">
        <w:rPr>
          <w:lang w:val="en-US"/>
        </w:rPr>
        <w:t xml:space="preserve"> engravings </w:t>
      </w:r>
      <w:r w:rsidR="0025642F" w:rsidRPr="00A32F1B">
        <w:rPr>
          <w:lang w:val="en-US"/>
        </w:rPr>
        <w:t xml:space="preserve">in amulets </w:t>
      </w:r>
      <w:r w:rsidR="00E34352" w:rsidRPr="00A32F1B">
        <w:rPr>
          <w:lang w:val="en-US"/>
        </w:rPr>
        <w:t xml:space="preserve">that </w:t>
      </w:r>
      <w:r w:rsidR="000F163F" w:rsidRPr="00A32F1B">
        <w:rPr>
          <w:lang w:val="en-US"/>
        </w:rPr>
        <w:t xml:space="preserve">were studied leading to recognition of name Abraxas </w:t>
      </w:r>
      <w:r w:rsidR="009D5212" w:rsidRPr="00A32F1B">
        <w:rPr>
          <w:szCs w:val="24"/>
          <w:lang w:val="en-US"/>
        </w:rPr>
        <w:t xml:space="preserve">which was in most cases co-present </w:t>
      </w:r>
      <w:r w:rsidR="00D83DAB" w:rsidRPr="00A32F1B">
        <w:rPr>
          <w:szCs w:val="24"/>
          <w:lang w:val="en-US"/>
        </w:rPr>
        <w:t>with</w:t>
      </w:r>
      <w:r w:rsidR="009D5212" w:rsidRPr="00A32F1B">
        <w:rPr>
          <w:szCs w:val="24"/>
          <w:lang w:val="en-US"/>
        </w:rPr>
        <w:t xml:space="preserve"> other names, often of Jewish origin</w:t>
      </w:r>
      <w:r w:rsidR="00113A70" w:rsidRPr="00A32F1B">
        <w:rPr>
          <w:szCs w:val="24"/>
          <w:lang w:val="en-US"/>
        </w:rPr>
        <w:t>.</w:t>
      </w:r>
    </w:p>
    <w:p w14:paraId="062BA19C" w14:textId="033D1118" w:rsidR="00261A0A" w:rsidRPr="00A32F1B" w:rsidRDefault="00261A0A" w:rsidP="00F311E2">
      <w:pPr>
        <w:rPr>
          <w:szCs w:val="24"/>
          <w:lang w:val="en-US"/>
        </w:rPr>
      </w:pPr>
      <w:r w:rsidRPr="00A32F1B">
        <w:rPr>
          <w:szCs w:val="24"/>
          <w:lang w:val="en-US"/>
        </w:rPr>
        <w:lastRenderedPageBreak/>
        <w:t>Since the 15</w:t>
      </w:r>
      <w:r w:rsidRPr="00A32F1B">
        <w:rPr>
          <w:szCs w:val="24"/>
          <w:vertAlign w:val="superscript"/>
          <w:lang w:val="en-US"/>
        </w:rPr>
        <w:t>th</w:t>
      </w:r>
      <w:r w:rsidRPr="00A32F1B">
        <w:rPr>
          <w:szCs w:val="24"/>
          <w:lang w:val="en-US"/>
        </w:rPr>
        <w:t xml:space="preserve"> century Abraxas amulets appeared in private European collection</w:t>
      </w:r>
      <w:r w:rsidR="00133208" w:rsidRPr="00A32F1B">
        <w:rPr>
          <w:szCs w:val="24"/>
          <w:lang w:val="en-US"/>
        </w:rPr>
        <w:t xml:space="preserve">s, </w:t>
      </w:r>
      <w:r w:rsidR="00016118">
        <w:rPr>
          <w:szCs w:val="24"/>
          <w:lang w:val="en-US"/>
        </w:rPr>
        <w:t xml:space="preserve">and </w:t>
      </w:r>
      <w:r w:rsidR="00133208" w:rsidRPr="00A32F1B">
        <w:rPr>
          <w:szCs w:val="24"/>
          <w:lang w:val="en-US"/>
        </w:rPr>
        <w:t>with time also in museum</w:t>
      </w:r>
      <w:r w:rsidR="00016118">
        <w:rPr>
          <w:szCs w:val="24"/>
          <w:lang w:val="en-US"/>
        </w:rPr>
        <w:t>s’</w:t>
      </w:r>
      <w:r w:rsidR="00133208" w:rsidRPr="00A32F1B">
        <w:rPr>
          <w:szCs w:val="24"/>
          <w:lang w:val="en-US"/>
        </w:rPr>
        <w:t xml:space="preserve"> collections; today the amulets appear for example in</w:t>
      </w:r>
      <w:r w:rsidR="00F311E2" w:rsidRPr="00A32F1B">
        <w:rPr>
          <w:szCs w:val="24"/>
          <w:lang w:val="en-US"/>
        </w:rPr>
        <w:t xml:space="preserve"> Berlin State Museums, </w:t>
      </w:r>
      <w:r w:rsidR="00475374" w:rsidRPr="00A32F1B">
        <w:rPr>
          <w:szCs w:val="24"/>
          <w:lang w:val="en-US"/>
        </w:rPr>
        <w:t>Budapest Museum of Fine Arts, Museum of the Jagellonian University in Cracow, Cairo Museum, World Museum in Liverpool etc. Due to the interest the gems enjoyed, gem catalogues were publicized by various scholars</w:t>
      </w:r>
      <w:r w:rsidR="0058608F" w:rsidRPr="00A32F1B">
        <w:rPr>
          <w:szCs w:val="24"/>
          <w:lang w:val="en-US"/>
        </w:rPr>
        <w:t>,</w:t>
      </w:r>
      <w:r w:rsidR="00475374" w:rsidRPr="00A32F1B">
        <w:rPr>
          <w:szCs w:val="24"/>
          <w:lang w:val="en-US"/>
        </w:rPr>
        <w:t xml:space="preserve"> </w:t>
      </w:r>
      <w:r w:rsidR="0058608F" w:rsidRPr="00A32F1B">
        <w:rPr>
          <w:szCs w:val="24"/>
          <w:lang w:val="en-US"/>
        </w:rPr>
        <w:t xml:space="preserve">Attillio Mastrocinque, Armand Delatte and Philippe Derchain, and Campbell Bonner, </w:t>
      </w:r>
      <w:r w:rsidR="00475374" w:rsidRPr="00A32F1B">
        <w:rPr>
          <w:szCs w:val="24"/>
          <w:lang w:val="en-US"/>
        </w:rPr>
        <w:t>which became authoritative in this field of research</w:t>
      </w:r>
      <w:r w:rsidR="0058608F" w:rsidRPr="00A32F1B">
        <w:rPr>
          <w:szCs w:val="24"/>
          <w:lang w:val="en-US"/>
        </w:rPr>
        <w:t>.</w:t>
      </w:r>
      <w:r w:rsidR="0058608F" w:rsidRPr="00A32F1B">
        <w:rPr>
          <w:rStyle w:val="Znakapoznpodarou"/>
          <w:szCs w:val="24"/>
          <w:lang w:val="en-US"/>
        </w:rPr>
        <w:footnoteReference w:id="204"/>
      </w:r>
      <w:r w:rsidR="00F311E2" w:rsidRPr="00A32F1B">
        <w:rPr>
          <w:szCs w:val="24"/>
          <w:lang w:val="en-US"/>
        </w:rPr>
        <w:t xml:space="preserve"> </w:t>
      </w:r>
      <w:r w:rsidR="00133208" w:rsidRPr="00A32F1B">
        <w:rPr>
          <w:szCs w:val="24"/>
          <w:lang w:val="en-US"/>
        </w:rPr>
        <w:t xml:space="preserve">With the developing digitalization some collections are available in </w:t>
      </w:r>
      <w:r w:rsidR="00016118">
        <w:rPr>
          <w:szCs w:val="24"/>
          <w:lang w:val="en-US"/>
        </w:rPr>
        <w:t>the</w:t>
      </w:r>
      <w:r w:rsidR="00133208" w:rsidRPr="00A32F1B">
        <w:rPr>
          <w:szCs w:val="24"/>
          <w:lang w:val="en-US"/>
        </w:rPr>
        <w:t xml:space="preserve"> form of online database, best known example is the Campbell Bonner Magical Gems Database which is based on the work of previously discussed authority in the study of magical gems</w:t>
      </w:r>
      <w:r w:rsidR="00016118">
        <w:rPr>
          <w:szCs w:val="24"/>
          <w:lang w:val="en-US"/>
        </w:rPr>
        <w:t>,</w:t>
      </w:r>
      <w:r w:rsidR="00133208" w:rsidRPr="00A32F1B">
        <w:rPr>
          <w:szCs w:val="24"/>
          <w:lang w:val="en-US"/>
        </w:rPr>
        <w:t xml:space="preserve"> Campbell Bonner</w:t>
      </w:r>
      <w:r w:rsidR="00133208" w:rsidRPr="00A32F1B">
        <w:rPr>
          <w:rStyle w:val="Znakapoznpodarou"/>
          <w:szCs w:val="24"/>
          <w:lang w:val="en-US"/>
        </w:rPr>
        <w:footnoteReference w:id="205"/>
      </w:r>
      <w:r w:rsidR="00133208" w:rsidRPr="00A32F1B">
        <w:rPr>
          <w:szCs w:val="24"/>
          <w:lang w:val="en-US"/>
        </w:rPr>
        <w:t>. There are of course other databases</w:t>
      </w:r>
      <w:r w:rsidR="003F59E7" w:rsidRPr="00A32F1B">
        <w:rPr>
          <w:szCs w:val="24"/>
          <w:lang w:val="en-US"/>
        </w:rPr>
        <w:t xml:space="preserve">, albeit the objects are processed in less detail – e.g. </w:t>
      </w:r>
      <w:r w:rsidR="00133208" w:rsidRPr="00A32F1B">
        <w:rPr>
          <w:szCs w:val="24"/>
          <w:lang w:val="en-US"/>
        </w:rPr>
        <w:t xml:space="preserve">the </w:t>
      </w:r>
      <w:r w:rsidR="003F59E7" w:rsidRPr="00A32F1B">
        <w:rPr>
          <w:szCs w:val="24"/>
          <w:lang w:val="en-US"/>
        </w:rPr>
        <w:t xml:space="preserve">Cornell Gem Impressions Collection </w:t>
      </w:r>
      <w:r w:rsidR="00133208" w:rsidRPr="00A32F1B">
        <w:rPr>
          <w:szCs w:val="24"/>
          <w:lang w:val="en-US"/>
        </w:rPr>
        <w:t>of Cornell University Library</w:t>
      </w:r>
      <w:r w:rsidR="00713BE3" w:rsidRPr="00A32F1B">
        <w:rPr>
          <w:rStyle w:val="Znakapoznpodarou"/>
          <w:szCs w:val="24"/>
          <w:lang w:val="en-US"/>
        </w:rPr>
        <w:footnoteReference w:id="206"/>
      </w:r>
      <w:r w:rsidR="00133208" w:rsidRPr="00A32F1B">
        <w:rPr>
          <w:szCs w:val="24"/>
          <w:lang w:val="en-US"/>
        </w:rPr>
        <w:t xml:space="preserve"> or </w:t>
      </w:r>
      <w:r w:rsidR="003F59E7" w:rsidRPr="00A32F1B">
        <w:rPr>
          <w:szCs w:val="24"/>
          <w:lang w:val="en-US"/>
        </w:rPr>
        <w:t xml:space="preserve">the </w:t>
      </w:r>
      <w:r w:rsidR="00133208" w:rsidRPr="00A32F1B">
        <w:rPr>
          <w:szCs w:val="24"/>
          <w:lang w:val="en-US"/>
        </w:rPr>
        <w:t>Gems database of the Classical Art Research Centre associated with the University of Oxford</w:t>
      </w:r>
      <w:r w:rsidR="003F59E7" w:rsidRPr="00A32F1B">
        <w:rPr>
          <w:rStyle w:val="Znakapoznpodarou"/>
          <w:szCs w:val="24"/>
          <w:lang w:val="en-US"/>
        </w:rPr>
        <w:footnoteReference w:id="207"/>
      </w:r>
      <w:r w:rsidR="003F59E7" w:rsidRPr="00A32F1B">
        <w:rPr>
          <w:szCs w:val="24"/>
          <w:lang w:val="en-US"/>
        </w:rPr>
        <w:t>; in both these online databases the category of Abraxas amulets includes all gems containing the Anguipede character which reflects the museum collections’ approach using Abraxas as a category in the collection organization.</w:t>
      </w:r>
      <w:r w:rsidR="002C35BF" w:rsidRPr="00A32F1B">
        <w:rPr>
          <w:rStyle w:val="Znakapoznpodarou"/>
          <w:szCs w:val="24"/>
          <w:lang w:val="en-US"/>
        </w:rPr>
        <w:footnoteReference w:id="208"/>
      </w:r>
      <w:r w:rsidR="00E36083" w:rsidRPr="00A32F1B">
        <w:rPr>
          <w:szCs w:val="24"/>
          <w:lang w:val="en-US"/>
        </w:rPr>
        <w:t xml:space="preserve"> The following section analyzing the amulets refers to the magical gems present in the online database of Campbell Bonner. </w:t>
      </w:r>
    </w:p>
    <w:p w14:paraId="07ED5DB2" w14:textId="04A73DCC" w:rsidR="00BC6FBB" w:rsidRPr="00A32F1B" w:rsidRDefault="004F2E42" w:rsidP="00C32BA6">
      <w:pPr>
        <w:rPr>
          <w:szCs w:val="24"/>
          <w:lang w:val="en-US"/>
        </w:rPr>
      </w:pPr>
      <w:r w:rsidRPr="00A32F1B">
        <w:rPr>
          <w:szCs w:val="24"/>
          <w:lang w:val="en-US"/>
        </w:rPr>
        <w:t xml:space="preserve">The amulets vary in the content from simple </w:t>
      </w:r>
      <w:r w:rsidR="00874D3A" w:rsidRPr="00A32F1B">
        <w:rPr>
          <w:szCs w:val="24"/>
          <w:lang w:val="en-US"/>
        </w:rPr>
        <w:t>one-word</w:t>
      </w:r>
      <w:r w:rsidRPr="00A32F1B">
        <w:rPr>
          <w:szCs w:val="24"/>
          <w:lang w:val="en-US"/>
        </w:rPr>
        <w:t xml:space="preserve"> inscriptions, or simple image with simple inscriptions, to a mix of images, characteres (</w:t>
      </w:r>
      <w:r w:rsidR="00874D3A" w:rsidRPr="00A32F1B">
        <w:rPr>
          <w:szCs w:val="24"/>
          <w:lang w:val="en-US"/>
        </w:rPr>
        <w:t>speci</w:t>
      </w:r>
      <w:r w:rsidR="00016118">
        <w:rPr>
          <w:szCs w:val="24"/>
          <w:lang w:val="en-US"/>
        </w:rPr>
        <w:t>fic</w:t>
      </w:r>
      <w:r w:rsidR="00874D3A" w:rsidRPr="00A32F1B">
        <w:rPr>
          <w:szCs w:val="24"/>
          <w:lang w:val="en-US"/>
        </w:rPr>
        <w:t xml:space="preserve"> </w:t>
      </w:r>
      <w:r w:rsidR="00275D35" w:rsidRPr="00A32F1B">
        <w:rPr>
          <w:szCs w:val="24"/>
          <w:lang w:val="en-US"/>
        </w:rPr>
        <w:t>signs used in magical texts)</w:t>
      </w:r>
      <w:r w:rsidRPr="00A32F1B">
        <w:rPr>
          <w:szCs w:val="24"/>
          <w:lang w:val="en-US"/>
        </w:rPr>
        <w:t xml:space="preserve"> and more complex inscriptions. </w:t>
      </w:r>
      <w:r w:rsidR="00275D35" w:rsidRPr="00A32F1B">
        <w:rPr>
          <w:szCs w:val="24"/>
          <w:lang w:val="en-US"/>
        </w:rPr>
        <w:t xml:space="preserve">Standard orthographic form of Abraxas in the amulets’ inscriptions is </w:t>
      </w:r>
      <w:r w:rsidR="007F07BC" w:rsidRPr="00A32F1B">
        <w:rPr>
          <w:szCs w:val="24"/>
          <w:lang w:val="en-US"/>
        </w:rPr>
        <w:t>ΑΒΡΑΞΑΣ</w:t>
      </w:r>
      <w:r w:rsidR="007F07BC" w:rsidRPr="00A32F1B">
        <w:rPr>
          <w:i/>
          <w:iCs/>
          <w:szCs w:val="24"/>
          <w:lang w:val="en-US"/>
        </w:rPr>
        <w:t xml:space="preserve"> </w:t>
      </w:r>
      <w:r w:rsidR="007F07BC" w:rsidRPr="00A32F1B">
        <w:rPr>
          <w:szCs w:val="24"/>
          <w:lang w:val="en-US"/>
        </w:rPr>
        <w:t>or ΑΒΡΑΣΑΞ</w:t>
      </w:r>
      <w:r w:rsidR="007F07BC" w:rsidRPr="00A32F1B">
        <w:rPr>
          <w:rStyle w:val="Znakapoznpodarou"/>
          <w:i/>
          <w:iCs/>
          <w:szCs w:val="24"/>
          <w:lang w:val="en-US"/>
        </w:rPr>
        <w:footnoteReference w:id="209"/>
      </w:r>
      <w:r w:rsidR="00CC3D0A" w:rsidRPr="00A32F1B">
        <w:rPr>
          <w:szCs w:val="24"/>
          <w:lang w:val="en-US"/>
        </w:rPr>
        <w:t>; the form ARBATHIA</w:t>
      </w:r>
      <w:r w:rsidR="006D34FD" w:rsidRPr="00A32F1B">
        <w:rPr>
          <w:szCs w:val="24"/>
          <w:lang w:val="en-US"/>
        </w:rPr>
        <w:t>Ō</w:t>
      </w:r>
      <w:r w:rsidR="00A5430E" w:rsidRPr="00A32F1B">
        <w:rPr>
          <w:szCs w:val="24"/>
          <w:lang w:val="en-US"/>
        </w:rPr>
        <w:t xml:space="preserve"> (ΑΡΒΑΘΙΑΩ</w:t>
      </w:r>
      <w:r w:rsidR="00CC3D0A" w:rsidRPr="00A32F1B">
        <w:rPr>
          <w:szCs w:val="24"/>
          <w:lang w:val="en-US"/>
        </w:rPr>
        <w:t>)</w:t>
      </w:r>
      <w:r w:rsidR="007A3339" w:rsidRPr="00A32F1B">
        <w:rPr>
          <w:rStyle w:val="Znakapoznpodarou"/>
          <w:szCs w:val="24"/>
          <w:lang w:val="en-US"/>
        </w:rPr>
        <w:footnoteReference w:id="210"/>
      </w:r>
      <w:r w:rsidR="00CC3D0A" w:rsidRPr="00A32F1B">
        <w:rPr>
          <w:szCs w:val="24"/>
          <w:lang w:val="en-US"/>
        </w:rPr>
        <w:t xml:space="preserve"> or its variation, as mentioned by Professor Youtie, is not as common in the engraved gem amulets. The name Abraxas is usually accompanied by</w:t>
      </w:r>
      <w:r w:rsidRPr="00A32F1B">
        <w:rPr>
          <w:szCs w:val="24"/>
          <w:lang w:val="en-US"/>
        </w:rPr>
        <w:t xml:space="preserve"> other words, </w:t>
      </w:r>
      <w:r w:rsidRPr="00A32F1B">
        <w:rPr>
          <w:szCs w:val="24"/>
          <w:lang w:val="en-US"/>
        </w:rPr>
        <w:lastRenderedPageBreak/>
        <w:t>most often IA</w:t>
      </w:r>
      <w:r w:rsidR="006D34FD" w:rsidRPr="00A32F1B">
        <w:rPr>
          <w:szCs w:val="24"/>
          <w:lang w:val="en-US"/>
        </w:rPr>
        <w:t>Ō</w:t>
      </w:r>
      <w:r w:rsidR="00A5430E" w:rsidRPr="00A32F1B">
        <w:rPr>
          <w:szCs w:val="24"/>
          <w:lang w:val="en-US"/>
        </w:rPr>
        <w:t xml:space="preserve"> (IAΩ</w:t>
      </w:r>
      <w:r w:rsidRPr="00A32F1B">
        <w:rPr>
          <w:szCs w:val="24"/>
          <w:lang w:val="en-US"/>
        </w:rPr>
        <w:t>, Tetragrammaton)</w:t>
      </w:r>
      <w:r w:rsidR="008B2A49" w:rsidRPr="00A32F1B">
        <w:rPr>
          <w:rStyle w:val="Znakapoznpodarou"/>
          <w:szCs w:val="24"/>
          <w:lang w:val="en-US"/>
        </w:rPr>
        <w:footnoteReference w:id="211"/>
      </w:r>
      <w:r w:rsidRPr="00A32F1B">
        <w:rPr>
          <w:szCs w:val="24"/>
          <w:lang w:val="en-US"/>
        </w:rPr>
        <w:t>, and SABA</w:t>
      </w:r>
      <w:r w:rsidR="006D34FD" w:rsidRPr="00A32F1B">
        <w:rPr>
          <w:szCs w:val="24"/>
          <w:lang w:val="en-US"/>
        </w:rPr>
        <w:t>Ō</w:t>
      </w:r>
      <w:r w:rsidRPr="00A32F1B">
        <w:rPr>
          <w:szCs w:val="24"/>
          <w:lang w:val="en-US"/>
        </w:rPr>
        <w:t>TH</w:t>
      </w:r>
      <w:r w:rsidR="00A5430E" w:rsidRPr="00A32F1B">
        <w:rPr>
          <w:i/>
          <w:iCs/>
          <w:szCs w:val="24"/>
          <w:lang w:val="en-US"/>
        </w:rPr>
        <w:t xml:space="preserve"> </w:t>
      </w:r>
      <w:r w:rsidR="00A5430E" w:rsidRPr="00A32F1B">
        <w:rPr>
          <w:szCs w:val="24"/>
          <w:lang w:val="en-US"/>
        </w:rPr>
        <w:t>(ΣABAΩΘ</w:t>
      </w:r>
      <w:r w:rsidRPr="00A32F1B">
        <w:rPr>
          <w:szCs w:val="24"/>
          <w:lang w:val="en-US"/>
        </w:rPr>
        <w:t>)</w:t>
      </w:r>
      <w:r w:rsidR="00937458" w:rsidRPr="00A32F1B">
        <w:rPr>
          <w:rStyle w:val="Znakapoznpodarou"/>
          <w:szCs w:val="24"/>
          <w:lang w:val="en-US"/>
        </w:rPr>
        <w:footnoteReference w:id="212"/>
      </w:r>
      <w:r w:rsidR="00713F1F" w:rsidRPr="00A32F1B">
        <w:rPr>
          <w:szCs w:val="24"/>
          <w:lang w:val="en-US"/>
        </w:rPr>
        <w:t>, and their variations</w:t>
      </w:r>
      <w:r w:rsidR="00B1054E" w:rsidRPr="00A32F1B">
        <w:rPr>
          <w:szCs w:val="24"/>
          <w:lang w:val="en-US"/>
        </w:rPr>
        <w:t>; less frequently AD</w:t>
      </w:r>
      <w:r w:rsidR="00B811CA" w:rsidRPr="00A32F1B">
        <w:rPr>
          <w:szCs w:val="24"/>
          <w:lang w:val="en-US"/>
        </w:rPr>
        <w:t>Ō</w:t>
      </w:r>
      <w:r w:rsidR="00B1054E" w:rsidRPr="00A32F1B">
        <w:rPr>
          <w:szCs w:val="24"/>
          <w:lang w:val="en-US"/>
        </w:rPr>
        <w:t>NAI</w:t>
      </w:r>
      <w:r w:rsidR="00A5430E" w:rsidRPr="00A32F1B">
        <w:rPr>
          <w:szCs w:val="24"/>
          <w:lang w:val="en-US"/>
        </w:rPr>
        <w:t xml:space="preserve"> (AΔΩΝΑΙ</w:t>
      </w:r>
      <w:r w:rsidR="00B1054E" w:rsidRPr="00A32F1B">
        <w:rPr>
          <w:szCs w:val="24"/>
          <w:lang w:val="en-US"/>
        </w:rPr>
        <w:t>)</w:t>
      </w:r>
      <w:r w:rsidR="00937458" w:rsidRPr="00A32F1B">
        <w:rPr>
          <w:rStyle w:val="Znakapoznpodarou"/>
          <w:szCs w:val="24"/>
          <w:lang w:val="en-US"/>
        </w:rPr>
        <w:footnoteReference w:id="213"/>
      </w:r>
      <w:r w:rsidR="00B1054E" w:rsidRPr="00A32F1B">
        <w:rPr>
          <w:szCs w:val="24"/>
          <w:lang w:val="en-US"/>
        </w:rPr>
        <w:t xml:space="preserve"> can be found, all derived from Jewish divine names. </w:t>
      </w:r>
      <w:r w:rsidR="00B21CBE" w:rsidRPr="00A32F1B">
        <w:rPr>
          <w:szCs w:val="24"/>
          <w:lang w:val="en-US"/>
        </w:rPr>
        <w:t xml:space="preserve">More textually complex amulets may </w:t>
      </w:r>
      <w:r w:rsidR="00B1054E" w:rsidRPr="00A32F1B">
        <w:rPr>
          <w:szCs w:val="24"/>
          <w:lang w:val="en-US"/>
        </w:rPr>
        <w:t>also contain</w:t>
      </w:r>
      <w:r w:rsidR="00B21CBE" w:rsidRPr="00A32F1B">
        <w:rPr>
          <w:szCs w:val="24"/>
          <w:lang w:val="en-US"/>
        </w:rPr>
        <w:t xml:space="preserve"> formulas</w:t>
      </w:r>
      <w:r w:rsidR="00B1054E" w:rsidRPr="00A32F1B">
        <w:rPr>
          <w:szCs w:val="24"/>
          <w:lang w:val="en-US"/>
        </w:rPr>
        <w:t xml:space="preserve"> </w:t>
      </w:r>
      <w:r w:rsidR="00B21CBE" w:rsidRPr="00A32F1B">
        <w:rPr>
          <w:szCs w:val="24"/>
          <w:lang w:val="en-US"/>
        </w:rPr>
        <w:t>ABLATHANALBA</w:t>
      </w:r>
      <w:r w:rsidR="00A5430E" w:rsidRPr="00A32F1B">
        <w:rPr>
          <w:szCs w:val="24"/>
          <w:lang w:val="en-US"/>
        </w:rPr>
        <w:t xml:space="preserve"> (ABΛΑΘΑΝΑΛΒΑ</w:t>
      </w:r>
      <w:r w:rsidR="00B21CBE" w:rsidRPr="00A32F1B">
        <w:rPr>
          <w:szCs w:val="24"/>
          <w:lang w:val="en-US"/>
        </w:rPr>
        <w:t>)</w:t>
      </w:r>
      <w:r w:rsidR="00937458" w:rsidRPr="00A32F1B">
        <w:rPr>
          <w:rStyle w:val="Znakapoznpodarou"/>
          <w:szCs w:val="24"/>
          <w:lang w:val="en-US"/>
        </w:rPr>
        <w:footnoteReference w:id="214"/>
      </w:r>
      <w:r w:rsidR="00B1054E" w:rsidRPr="00A32F1B">
        <w:rPr>
          <w:szCs w:val="24"/>
          <w:lang w:val="en-US"/>
        </w:rPr>
        <w:t xml:space="preserve">, or angelic names </w:t>
      </w:r>
      <w:r w:rsidR="000B6635" w:rsidRPr="00A32F1B">
        <w:rPr>
          <w:szCs w:val="24"/>
          <w:lang w:val="en-US"/>
        </w:rPr>
        <w:t xml:space="preserve">clearly </w:t>
      </w:r>
      <w:r w:rsidR="00B1054E" w:rsidRPr="00A32F1B">
        <w:rPr>
          <w:szCs w:val="24"/>
          <w:lang w:val="en-US"/>
        </w:rPr>
        <w:t>of Jewish origin OURI</w:t>
      </w:r>
      <w:r w:rsidR="00196313" w:rsidRPr="00A32F1B">
        <w:rPr>
          <w:szCs w:val="24"/>
          <w:lang w:val="en-US"/>
        </w:rPr>
        <w:t>Ē</w:t>
      </w:r>
      <w:r w:rsidR="00B1054E" w:rsidRPr="00A32F1B">
        <w:rPr>
          <w:szCs w:val="24"/>
          <w:lang w:val="en-US"/>
        </w:rPr>
        <w:t>L</w:t>
      </w:r>
      <w:r w:rsidR="00A5430E" w:rsidRPr="00A32F1B">
        <w:rPr>
          <w:szCs w:val="24"/>
          <w:lang w:val="en-US"/>
        </w:rPr>
        <w:t xml:space="preserve"> (OΥΡΙΗΛ</w:t>
      </w:r>
      <w:r w:rsidR="00B1054E" w:rsidRPr="00A32F1B">
        <w:rPr>
          <w:szCs w:val="24"/>
          <w:lang w:val="en-US"/>
        </w:rPr>
        <w:t>)</w:t>
      </w:r>
      <w:r w:rsidR="00937458" w:rsidRPr="00A32F1B">
        <w:rPr>
          <w:rStyle w:val="Znakapoznpodarou"/>
          <w:szCs w:val="24"/>
          <w:lang w:val="en-US"/>
        </w:rPr>
        <w:footnoteReference w:id="215"/>
      </w:r>
      <w:r w:rsidR="00B1054E" w:rsidRPr="00A32F1B">
        <w:rPr>
          <w:szCs w:val="24"/>
          <w:lang w:val="en-US"/>
        </w:rPr>
        <w:t>, GABRI</w:t>
      </w:r>
      <w:r w:rsidR="00196313" w:rsidRPr="00A32F1B">
        <w:rPr>
          <w:szCs w:val="24"/>
          <w:lang w:val="en-US"/>
        </w:rPr>
        <w:t>Ē</w:t>
      </w:r>
      <w:r w:rsidR="00B1054E" w:rsidRPr="00A32F1B">
        <w:rPr>
          <w:szCs w:val="24"/>
          <w:lang w:val="en-US"/>
        </w:rPr>
        <w:t>L</w:t>
      </w:r>
      <w:r w:rsidR="00A5430E" w:rsidRPr="00A32F1B">
        <w:rPr>
          <w:szCs w:val="24"/>
          <w:lang w:val="en-US"/>
        </w:rPr>
        <w:t xml:space="preserve"> (ΓABPIΗΛ</w:t>
      </w:r>
      <w:r w:rsidR="00B1054E" w:rsidRPr="00A32F1B">
        <w:rPr>
          <w:szCs w:val="24"/>
          <w:lang w:val="en-US"/>
        </w:rPr>
        <w:t>)</w:t>
      </w:r>
      <w:r w:rsidR="00937458" w:rsidRPr="00A32F1B">
        <w:rPr>
          <w:rStyle w:val="Znakapoznpodarou"/>
          <w:szCs w:val="24"/>
          <w:lang w:val="en-US"/>
        </w:rPr>
        <w:footnoteReference w:id="216"/>
      </w:r>
      <w:r w:rsidR="00B1054E" w:rsidRPr="00A32F1B">
        <w:rPr>
          <w:szCs w:val="24"/>
          <w:lang w:val="en-US"/>
        </w:rPr>
        <w:t xml:space="preserve">, </w:t>
      </w:r>
      <w:r w:rsidR="00937458" w:rsidRPr="00A32F1B">
        <w:rPr>
          <w:szCs w:val="24"/>
          <w:lang w:val="en-US"/>
        </w:rPr>
        <w:t xml:space="preserve">and </w:t>
      </w:r>
      <w:r w:rsidR="00B1054E" w:rsidRPr="00A32F1B">
        <w:rPr>
          <w:szCs w:val="24"/>
          <w:lang w:val="en-US"/>
        </w:rPr>
        <w:t>MICHA</w:t>
      </w:r>
      <w:r w:rsidR="00196313" w:rsidRPr="00A32F1B">
        <w:rPr>
          <w:szCs w:val="24"/>
          <w:lang w:val="en-US"/>
        </w:rPr>
        <w:t>Ē</w:t>
      </w:r>
      <w:r w:rsidR="00B1054E" w:rsidRPr="00A32F1B">
        <w:rPr>
          <w:szCs w:val="24"/>
          <w:lang w:val="en-US"/>
        </w:rPr>
        <w:t>L</w:t>
      </w:r>
      <w:r w:rsidR="00A5430E" w:rsidRPr="00A32F1B">
        <w:rPr>
          <w:szCs w:val="24"/>
          <w:lang w:val="en-US"/>
        </w:rPr>
        <w:t xml:space="preserve"> (MIΧAΗΛ</w:t>
      </w:r>
      <w:r w:rsidR="00B1054E" w:rsidRPr="00A32F1B">
        <w:rPr>
          <w:szCs w:val="24"/>
          <w:lang w:val="en-US"/>
        </w:rPr>
        <w:t>)</w:t>
      </w:r>
      <w:r w:rsidR="00937458" w:rsidRPr="00A32F1B">
        <w:rPr>
          <w:rStyle w:val="Znakapoznpodarou"/>
          <w:szCs w:val="24"/>
          <w:lang w:val="en-US"/>
        </w:rPr>
        <w:footnoteReference w:id="217"/>
      </w:r>
      <w:r w:rsidR="00B1054E" w:rsidRPr="00A32F1B">
        <w:rPr>
          <w:szCs w:val="24"/>
          <w:lang w:val="en-US"/>
        </w:rPr>
        <w:t xml:space="preserve">. Another name/word that may be present in the amulets is </w:t>
      </w:r>
      <w:r w:rsidR="00BA1571" w:rsidRPr="00A32F1B">
        <w:rPr>
          <w:szCs w:val="24"/>
          <w:lang w:val="en-US"/>
        </w:rPr>
        <w:t>SEMES</w:t>
      </w:r>
      <w:r w:rsidR="00F56CE6" w:rsidRPr="00A32F1B">
        <w:rPr>
          <w:szCs w:val="24"/>
          <w:lang w:val="en-US"/>
        </w:rPr>
        <w:t>E</w:t>
      </w:r>
      <w:r w:rsidR="00BA1571" w:rsidRPr="00A32F1B">
        <w:rPr>
          <w:szCs w:val="24"/>
          <w:lang w:val="en-US"/>
        </w:rPr>
        <w:t>ILAM</w:t>
      </w:r>
      <w:r w:rsidR="00A5430E" w:rsidRPr="00A32F1B">
        <w:rPr>
          <w:szCs w:val="24"/>
          <w:lang w:val="en-US"/>
        </w:rPr>
        <w:t xml:space="preserve"> (ΣΕΜΕΣΕΙΛΑΜ</w:t>
      </w:r>
      <w:r w:rsidR="001D4512" w:rsidRPr="00A32F1B">
        <w:rPr>
          <w:szCs w:val="24"/>
          <w:lang w:val="en-US"/>
        </w:rPr>
        <w:t>)</w:t>
      </w:r>
      <w:r w:rsidR="00743A99" w:rsidRPr="00A32F1B">
        <w:rPr>
          <w:rStyle w:val="Znakapoznpodarou"/>
          <w:szCs w:val="24"/>
          <w:lang w:val="en-US"/>
        </w:rPr>
        <w:footnoteReference w:id="218"/>
      </w:r>
      <w:r w:rsidR="00F849DB" w:rsidRPr="00A32F1B">
        <w:rPr>
          <w:szCs w:val="24"/>
          <w:lang w:val="en-US"/>
        </w:rPr>
        <w:t>.</w:t>
      </w:r>
    </w:p>
    <w:p w14:paraId="7A06CCD5" w14:textId="2304AB86" w:rsidR="008D0FF9" w:rsidRPr="00A32F1B" w:rsidRDefault="00BC6FBB" w:rsidP="00C32BA6">
      <w:pPr>
        <w:rPr>
          <w:szCs w:val="24"/>
          <w:lang w:val="en-US"/>
        </w:rPr>
      </w:pPr>
      <w:r w:rsidRPr="00A32F1B">
        <w:rPr>
          <w:szCs w:val="24"/>
          <w:lang w:val="en-US"/>
        </w:rPr>
        <w:t xml:space="preserve">The amulets’ imagery standardly includes </w:t>
      </w:r>
      <w:r w:rsidR="00874D3A" w:rsidRPr="00A32F1B">
        <w:rPr>
          <w:szCs w:val="24"/>
          <w:lang w:val="en-US"/>
        </w:rPr>
        <w:t>rooster-headed anguipede</w:t>
      </w:r>
      <w:r w:rsidR="00FF2C50" w:rsidRPr="00A32F1B">
        <w:rPr>
          <w:rStyle w:val="Znakapoznpodarou"/>
          <w:szCs w:val="24"/>
          <w:lang w:val="en-US"/>
        </w:rPr>
        <w:footnoteReference w:id="219"/>
      </w:r>
      <w:r w:rsidR="00902E46" w:rsidRPr="00A32F1B">
        <w:rPr>
          <w:szCs w:val="24"/>
          <w:lang w:val="en-US"/>
        </w:rPr>
        <w:t>; the most common form of Abraxas amulet comprises</w:t>
      </w:r>
      <w:r w:rsidR="00E05C72">
        <w:rPr>
          <w:szCs w:val="24"/>
          <w:lang w:val="en-US"/>
        </w:rPr>
        <w:t xml:space="preserve"> of</w:t>
      </w:r>
      <w:r w:rsidR="00902E46" w:rsidRPr="00A32F1B">
        <w:rPr>
          <w:szCs w:val="24"/>
          <w:lang w:val="en-US"/>
        </w:rPr>
        <w:t xml:space="preserve"> said anguipede with variant inscription of </w:t>
      </w:r>
      <w:r w:rsidR="00B811CA" w:rsidRPr="00A32F1B">
        <w:rPr>
          <w:szCs w:val="24"/>
          <w:lang w:val="en-US"/>
        </w:rPr>
        <w:t>IAŌ</w:t>
      </w:r>
      <w:r w:rsidR="00A42F02" w:rsidRPr="00A32F1B">
        <w:rPr>
          <w:szCs w:val="24"/>
          <w:lang w:val="en-US"/>
        </w:rPr>
        <w:t>, both with</w:t>
      </w:r>
      <w:r w:rsidR="00313CC7" w:rsidRPr="00A32F1B">
        <w:rPr>
          <w:rStyle w:val="Znakapoznpodarou"/>
          <w:szCs w:val="24"/>
          <w:lang w:val="en-US"/>
        </w:rPr>
        <w:footnoteReference w:id="220"/>
      </w:r>
      <w:r w:rsidR="00A42F02" w:rsidRPr="00A32F1B">
        <w:rPr>
          <w:szCs w:val="24"/>
          <w:lang w:val="en-US"/>
        </w:rPr>
        <w:t xml:space="preserve"> or without</w:t>
      </w:r>
      <w:r w:rsidR="00313CC7" w:rsidRPr="00A32F1B">
        <w:rPr>
          <w:rStyle w:val="Znakapoznpodarou"/>
          <w:szCs w:val="24"/>
          <w:lang w:val="en-US"/>
        </w:rPr>
        <w:footnoteReference w:id="221"/>
      </w:r>
      <w:r w:rsidR="00A42F02" w:rsidRPr="00A32F1B">
        <w:rPr>
          <w:szCs w:val="24"/>
          <w:lang w:val="en-US"/>
        </w:rPr>
        <w:t xml:space="preserve"> </w:t>
      </w:r>
      <w:r w:rsidR="00902E46" w:rsidRPr="00A32F1B">
        <w:rPr>
          <w:szCs w:val="24"/>
          <w:lang w:val="en-US"/>
        </w:rPr>
        <w:t>ΑΒΡΑΞΑΣ (or ΑΒΡΑΣΑΞ).</w:t>
      </w:r>
      <w:r w:rsidR="004E1890" w:rsidRPr="00A32F1B">
        <w:rPr>
          <w:szCs w:val="24"/>
          <w:lang w:val="en-US"/>
        </w:rPr>
        <w:t xml:space="preserve"> If the imagery of the amulet is compound, it </w:t>
      </w:r>
      <w:r w:rsidR="00874D3A" w:rsidRPr="00A32F1B">
        <w:rPr>
          <w:szCs w:val="24"/>
          <w:lang w:val="en-US"/>
        </w:rPr>
        <w:t>often depict</w:t>
      </w:r>
      <w:r w:rsidR="004E1890" w:rsidRPr="00A32F1B">
        <w:rPr>
          <w:szCs w:val="24"/>
          <w:lang w:val="en-US"/>
        </w:rPr>
        <w:t>s</w:t>
      </w:r>
      <w:r w:rsidR="00874D3A" w:rsidRPr="00A32F1B">
        <w:rPr>
          <w:szCs w:val="24"/>
          <w:lang w:val="en-US"/>
        </w:rPr>
        <w:t xml:space="preserve"> the rooster-headed figure and other figures, such as Ouroboros (</w:t>
      </w:r>
      <w:r w:rsidR="00F32A24" w:rsidRPr="00A32F1B">
        <w:rPr>
          <w:szCs w:val="24"/>
          <w:lang w:val="en-US"/>
        </w:rPr>
        <w:t>snake eating its own tail)</w:t>
      </w:r>
      <w:r w:rsidR="00FF2C50" w:rsidRPr="00A32F1B">
        <w:rPr>
          <w:rStyle w:val="Znakapoznpodarou"/>
          <w:szCs w:val="24"/>
          <w:lang w:val="en-US"/>
        </w:rPr>
        <w:footnoteReference w:id="222"/>
      </w:r>
      <w:r w:rsidR="00F32A24" w:rsidRPr="00A32F1B">
        <w:rPr>
          <w:szCs w:val="24"/>
          <w:lang w:val="en-US"/>
        </w:rPr>
        <w:t xml:space="preserve"> or Chnoubis (lion-headed serpent</w:t>
      </w:r>
      <w:r w:rsidR="00017D1E" w:rsidRPr="00A32F1B">
        <w:rPr>
          <w:szCs w:val="24"/>
          <w:lang w:val="en-US"/>
        </w:rPr>
        <w:t>)</w:t>
      </w:r>
      <w:r w:rsidR="00EE466A" w:rsidRPr="00A32F1B">
        <w:rPr>
          <w:rStyle w:val="Znakapoznpodarou"/>
          <w:szCs w:val="24"/>
          <w:lang w:val="en-US"/>
        </w:rPr>
        <w:footnoteReference w:id="223"/>
      </w:r>
      <w:r w:rsidR="00017D1E" w:rsidRPr="00A32F1B">
        <w:rPr>
          <w:szCs w:val="24"/>
          <w:lang w:val="en-US"/>
        </w:rPr>
        <w:t xml:space="preserve">, </w:t>
      </w:r>
      <w:r w:rsidR="00380AE0" w:rsidRPr="00A32F1B">
        <w:rPr>
          <w:szCs w:val="24"/>
          <w:lang w:val="en-US"/>
        </w:rPr>
        <w:t>both</w:t>
      </w:r>
      <w:r w:rsidR="00017D1E" w:rsidRPr="00A32F1B">
        <w:rPr>
          <w:szCs w:val="24"/>
          <w:lang w:val="en-US"/>
        </w:rPr>
        <w:t xml:space="preserve"> figures are</w:t>
      </w:r>
      <w:r w:rsidR="00F32A24" w:rsidRPr="00A32F1B">
        <w:rPr>
          <w:szCs w:val="24"/>
          <w:lang w:val="en-US"/>
        </w:rPr>
        <w:t xml:space="preserve"> also being ascribed to Gnostic </w:t>
      </w:r>
      <w:r w:rsidR="00017D1E" w:rsidRPr="00A32F1B">
        <w:rPr>
          <w:szCs w:val="24"/>
          <w:lang w:val="en-US"/>
        </w:rPr>
        <w:t xml:space="preserve">symbolism and they are often linked to </w:t>
      </w:r>
      <w:r w:rsidR="0034642B" w:rsidRPr="00A32F1B">
        <w:rPr>
          <w:szCs w:val="24"/>
          <w:lang w:val="en-US"/>
        </w:rPr>
        <w:t>the S</w:t>
      </w:r>
      <w:r w:rsidR="00017D1E" w:rsidRPr="00A32F1B">
        <w:rPr>
          <w:szCs w:val="24"/>
          <w:lang w:val="en-US"/>
        </w:rPr>
        <w:t>un and solar aspects. Among the imagery it is also possible to find</w:t>
      </w:r>
      <w:r w:rsidR="004E1890" w:rsidRPr="00A32F1B">
        <w:rPr>
          <w:szCs w:val="24"/>
          <w:lang w:val="en-US"/>
        </w:rPr>
        <w:t xml:space="preserve"> Greek divine entities</w:t>
      </w:r>
      <w:r w:rsidR="00F95BBF" w:rsidRPr="00A32F1B">
        <w:rPr>
          <w:szCs w:val="24"/>
          <w:lang w:val="en-US"/>
        </w:rPr>
        <w:t xml:space="preserve"> Hermes</w:t>
      </w:r>
      <w:r w:rsidR="00EE466A" w:rsidRPr="00A32F1B">
        <w:rPr>
          <w:rStyle w:val="Znakapoznpodarou"/>
          <w:szCs w:val="24"/>
          <w:lang w:val="en-US"/>
        </w:rPr>
        <w:footnoteReference w:id="224"/>
      </w:r>
      <w:r w:rsidR="005D46FB" w:rsidRPr="00A32F1B">
        <w:rPr>
          <w:szCs w:val="24"/>
          <w:lang w:val="en-US"/>
        </w:rPr>
        <w:t>, Helios</w:t>
      </w:r>
      <w:r w:rsidR="00EE466A" w:rsidRPr="00A32F1B">
        <w:rPr>
          <w:rStyle w:val="Znakapoznpodarou"/>
          <w:szCs w:val="24"/>
          <w:lang w:val="en-US"/>
        </w:rPr>
        <w:footnoteReference w:id="225"/>
      </w:r>
      <w:r w:rsidR="005D46FB" w:rsidRPr="00A32F1B">
        <w:rPr>
          <w:szCs w:val="24"/>
          <w:lang w:val="en-US"/>
        </w:rPr>
        <w:t>, Harpocrates</w:t>
      </w:r>
      <w:r w:rsidR="00973CB9" w:rsidRPr="00A32F1B">
        <w:rPr>
          <w:rStyle w:val="Znakapoznpodarou"/>
          <w:szCs w:val="24"/>
          <w:lang w:val="en-US"/>
        </w:rPr>
        <w:footnoteReference w:id="226"/>
      </w:r>
      <w:r w:rsidR="00973CB9" w:rsidRPr="00A32F1B">
        <w:rPr>
          <w:szCs w:val="24"/>
          <w:lang w:val="en-US"/>
        </w:rPr>
        <w:t>, Aphrodite</w:t>
      </w:r>
      <w:r w:rsidR="00973CB9" w:rsidRPr="00A32F1B">
        <w:rPr>
          <w:rStyle w:val="Znakapoznpodarou"/>
          <w:szCs w:val="24"/>
          <w:lang w:val="en-US"/>
        </w:rPr>
        <w:footnoteReference w:id="227"/>
      </w:r>
      <w:r w:rsidR="00973CB9" w:rsidRPr="00A32F1B">
        <w:rPr>
          <w:szCs w:val="24"/>
          <w:lang w:val="en-US"/>
        </w:rPr>
        <w:t>, Hecate</w:t>
      </w:r>
      <w:r w:rsidR="00973CB9" w:rsidRPr="00A32F1B">
        <w:rPr>
          <w:rStyle w:val="Znakapoznpodarou"/>
          <w:szCs w:val="24"/>
          <w:lang w:val="en-US"/>
        </w:rPr>
        <w:footnoteReference w:id="228"/>
      </w:r>
      <w:r w:rsidR="00174B9B" w:rsidRPr="00A32F1B">
        <w:rPr>
          <w:szCs w:val="24"/>
          <w:lang w:val="en-US"/>
        </w:rPr>
        <w:t>,</w:t>
      </w:r>
      <w:r w:rsidR="004E1890" w:rsidRPr="00A32F1B">
        <w:rPr>
          <w:szCs w:val="24"/>
          <w:lang w:val="en-US"/>
        </w:rPr>
        <w:t xml:space="preserve"> and Egyptian divine entities</w:t>
      </w:r>
      <w:r w:rsidR="00174B9B" w:rsidRPr="00A32F1B">
        <w:rPr>
          <w:szCs w:val="24"/>
          <w:lang w:val="en-US"/>
        </w:rPr>
        <w:t xml:space="preserve"> Osiris</w:t>
      </w:r>
      <w:r w:rsidR="00973CB9" w:rsidRPr="00A32F1B">
        <w:rPr>
          <w:rStyle w:val="Znakapoznpodarou"/>
          <w:szCs w:val="24"/>
          <w:lang w:val="en-US"/>
        </w:rPr>
        <w:footnoteReference w:id="229"/>
      </w:r>
      <w:r w:rsidR="004E1890" w:rsidRPr="00A32F1B">
        <w:rPr>
          <w:szCs w:val="24"/>
          <w:lang w:val="en-US"/>
        </w:rPr>
        <w:t>, Horus</w:t>
      </w:r>
      <w:r w:rsidR="00973CB9" w:rsidRPr="00A32F1B">
        <w:rPr>
          <w:rStyle w:val="Znakapoznpodarou"/>
          <w:szCs w:val="24"/>
          <w:lang w:val="en-US"/>
        </w:rPr>
        <w:footnoteReference w:id="230"/>
      </w:r>
      <w:r w:rsidR="00973CB9" w:rsidRPr="00A32F1B">
        <w:rPr>
          <w:szCs w:val="24"/>
          <w:lang w:val="en-US"/>
        </w:rPr>
        <w:t>, Anubis</w:t>
      </w:r>
      <w:r w:rsidR="00973CB9" w:rsidRPr="00A32F1B">
        <w:rPr>
          <w:rStyle w:val="Znakapoznpodarou"/>
          <w:szCs w:val="24"/>
          <w:lang w:val="en-US"/>
        </w:rPr>
        <w:footnoteReference w:id="231"/>
      </w:r>
      <w:r w:rsidR="00973CB9" w:rsidRPr="00A32F1B">
        <w:rPr>
          <w:szCs w:val="24"/>
          <w:lang w:val="en-US"/>
        </w:rPr>
        <w:t>, and Thoth</w:t>
      </w:r>
      <w:r w:rsidR="00973CB9" w:rsidRPr="00A32F1B">
        <w:rPr>
          <w:rStyle w:val="Znakapoznpodarou"/>
          <w:szCs w:val="24"/>
          <w:lang w:val="en-US"/>
        </w:rPr>
        <w:footnoteReference w:id="232"/>
      </w:r>
      <w:r w:rsidR="004E1890" w:rsidRPr="00A32F1B">
        <w:rPr>
          <w:szCs w:val="24"/>
          <w:lang w:val="en-US"/>
        </w:rPr>
        <w:t xml:space="preserve">. </w:t>
      </w:r>
    </w:p>
    <w:p w14:paraId="60578B7E" w14:textId="59D9B819" w:rsidR="00700B49" w:rsidRPr="00A32F1B" w:rsidRDefault="006E0777" w:rsidP="00C32BA6">
      <w:pPr>
        <w:rPr>
          <w:szCs w:val="24"/>
          <w:lang w:val="en-US"/>
        </w:rPr>
      </w:pPr>
      <w:r w:rsidRPr="00A32F1B">
        <w:rPr>
          <w:szCs w:val="24"/>
          <w:lang w:val="en-US"/>
        </w:rPr>
        <w:lastRenderedPageBreak/>
        <w:t>Abraxas amulets comprise</w:t>
      </w:r>
      <w:r w:rsidR="000445CB">
        <w:rPr>
          <w:szCs w:val="24"/>
          <w:lang w:val="en-US"/>
        </w:rPr>
        <w:t xml:space="preserve"> of</w:t>
      </w:r>
      <w:r w:rsidRPr="00A32F1B">
        <w:rPr>
          <w:szCs w:val="24"/>
          <w:lang w:val="en-US"/>
        </w:rPr>
        <w:t xml:space="preserve"> two aspects, </w:t>
      </w:r>
      <w:proofErr w:type="gramStart"/>
      <w:r w:rsidRPr="00A32F1B">
        <w:rPr>
          <w:szCs w:val="24"/>
          <w:lang w:val="en-US"/>
        </w:rPr>
        <w:t>i.e.</w:t>
      </w:r>
      <w:proofErr w:type="gramEnd"/>
      <w:r w:rsidRPr="00A32F1B">
        <w:rPr>
          <w:szCs w:val="24"/>
          <w:lang w:val="en-US"/>
        </w:rPr>
        <w:t xml:space="preserve"> inscriptions and images, both of which</w:t>
      </w:r>
      <w:r w:rsidR="007C5E0E" w:rsidRPr="00A32F1B">
        <w:rPr>
          <w:szCs w:val="24"/>
          <w:lang w:val="en-US"/>
        </w:rPr>
        <w:t xml:space="preserve"> seem to be significantly </w:t>
      </w:r>
      <w:r w:rsidR="006B41E4" w:rsidRPr="00A32F1B">
        <w:rPr>
          <w:szCs w:val="24"/>
          <w:lang w:val="en-US"/>
        </w:rPr>
        <w:t>analogous to</w:t>
      </w:r>
      <w:r w:rsidRPr="00A32F1B">
        <w:rPr>
          <w:szCs w:val="24"/>
          <w:lang w:val="en-US"/>
        </w:rPr>
        <w:t xml:space="preserve"> the textual context of Greek magical pap</w:t>
      </w:r>
      <w:r w:rsidR="006B41E4" w:rsidRPr="00A32F1B">
        <w:rPr>
          <w:szCs w:val="24"/>
          <w:lang w:val="en-US"/>
        </w:rPr>
        <w:t>yri.</w:t>
      </w:r>
      <w:r w:rsidR="0073112B" w:rsidRPr="00A32F1B">
        <w:rPr>
          <w:szCs w:val="24"/>
          <w:lang w:val="en-US"/>
        </w:rPr>
        <w:t xml:space="preserve"> Modern scholarship, including Professor Smith and Vitellozzi, recognized the contextual resemblance and, as it was previously discussed, </w:t>
      </w:r>
      <w:r w:rsidR="00562884" w:rsidRPr="00A32F1B">
        <w:rPr>
          <w:szCs w:val="24"/>
          <w:lang w:val="en-US"/>
        </w:rPr>
        <w:t>inferred</w:t>
      </w:r>
      <w:r w:rsidR="0073112B" w:rsidRPr="00A32F1B">
        <w:rPr>
          <w:szCs w:val="24"/>
          <w:lang w:val="en-US"/>
        </w:rPr>
        <w:t xml:space="preserve"> that the amulets and papyri share the roots of their magical practice</w:t>
      </w:r>
      <w:r w:rsidR="000D5448" w:rsidRPr="00A32F1B">
        <w:rPr>
          <w:szCs w:val="24"/>
          <w:lang w:val="en-US"/>
        </w:rPr>
        <w:t>.</w:t>
      </w:r>
      <w:r w:rsidR="000D5448" w:rsidRPr="00A32F1B">
        <w:rPr>
          <w:rStyle w:val="Znakapoznpodarou"/>
          <w:szCs w:val="24"/>
          <w:lang w:val="en-US"/>
        </w:rPr>
        <w:footnoteReference w:id="233"/>
      </w:r>
      <w:r w:rsidR="000D5448" w:rsidRPr="00A32F1B">
        <w:rPr>
          <w:szCs w:val="24"/>
          <w:lang w:val="en-US"/>
        </w:rPr>
        <w:t xml:space="preserve"> </w:t>
      </w:r>
    </w:p>
    <w:p w14:paraId="465A0F00" w14:textId="28067ABD" w:rsidR="0073112B" w:rsidRPr="00A32F1B" w:rsidRDefault="00562884" w:rsidP="00C32BA6">
      <w:pPr>
        <w:rPr>
          <w:lang w:val="en-US"/>
        </w:rPr>
      </w:pPr>
      <w:r w:rsidRPr="00A32F1B">
        <w:rPr>
          <w:szCs w:val="24"/>
          <w:lang w:val="en-US"/>
        </w:rPr>
        <w:t>An essential question remains: what or who is Abraxas in the amulets’ context? The former assumption that Abraxas amulets belonged to Gnosticism saw the amulets as religious objects reflecting their beliefs, it was accepted that Abraxas was a god in Basilidean cosmology.</w:t>
      </w:r>
      <w:r w:rsidR="00C30836" w:rsidRPr="00A32F1B">
        <w:rPr>
          <w:szCs w:val="24"/>
          <w:lang w:val="en-US"/>
        </w:rPr>
        <w:t xml:space="preserve"> Outside of the </w:t>
      </w:r>
      <w:r w:rsidR="00456A0C">
        <w:rPr>
          <w:szCs w:val="24"/>
          <w:lang w:val="en-US"/>
        </w:rPr>
        <w:t>G</w:t>
      </w:r>
      <w:r w:rsidR="00C30836" w:rsidRPr="00A32F1B">
        <w:rPr>
          <w:szCs w:val="24"/>
          <w:lang w:val="en-US"/>
        </w:rPr>
        <w:t xml:space="preserve">nostic assumption, to determine Abraxas’s identity from the amulets </w:t>
      </w:r>
      <w:r w:rsidR="00A72FC2" w:rsidRPr="00A32F1B">
        <w:rPr>
          <w:szCs w:val="24"/>
          <w:lang w:val="en-US"/>
        </w:rPr>
        <w:t xml:space="preserve">is considerably complicated mainly due to lacking context </w:t>
      </w:r>
      <w:r w:rsidR="00F572E6" w:rsidRPr="00A32F1B">
        <w:rPr>
          <w:szCs w:val="24"/>
          <w:lang w:val="en-US"/>
        </w:rPr>
        <w:t xml:space="preserve">if not considered parallel to the magical papyri. Based on the amulets themselves it would be legitimate to assume magical potency, at least as a </w:t>
      </w:r>
      <w:r w:rsidR="00F572E6" w:rsidRPr="00A32F1B">
        <w:rPr>
          <w:i/>
          <w:iCs/>
          <w:szCs w:val="24"/>
          <w:lang w:val="en-US"/>
        </w:rPr>
        <w:t>vox magicae</w:t>
      </w:r>
      <w:r w:rsidR="00F572E6" w:rsidRPr="00A32F1B">
        <w:rPr>
          <w:szCs w:val="24"/>
          <w:lang w:val="en-US"/>
        </w:rPr>
        <w:t>, at most as representing specific magical</w:t>
      </w:r>
      <w:r w:rsidR="005A7500" w:rsidRPr="00A32F1B">
        <w:rPr>
          <w:szCs w:val="24"/>
          <w:lang w:val="en-US"/>
        </w:rPr>
        <w:t xml:space="preserve"> or divine</w:t>
      </w:r>
      <w:r w:rsidR="00F572E6" w:rsidRPr="00A32F1B">
        <w:rPr>
          <w:szCs w:val="24"/>
          <w:lang w:val="en-US"/>
        </w:rPr>
        <w:t xml:space="preserve"> entity.</w:t>
      </w:r>
    </w:p>
    <w:p w14:paraId="75CC7E93" w14:textId="3993DA64" w:rsidR="00185283" w:rsidRPr="00A32F1B" w:rsidRDefault="00F52E78" w:rsidP="00C32BA6">
      <w:pPr>
        <w:rPr>
          <w:lang w:val="en-US"/>
        </w:rPr>
      </w:pPr>
      <w:r w:rsidRPr="00A32F1B">
        <w:rPr>
          <w:lang w:val="en-US"/>
        </w:rPr>
        <w:t xml:space="preserve">The question of identity links to the question of the purpose for which the amulets were used, also due to lack of accessible context. Going back to the standard form of the amulets, the content of the amulets does not suggest the intended result or the essential intention </w:t>
      </w:r>
      <w:r w:rsidR="00F96E24" w:rsidRPr="00A32F1B">
        <w:rPr>
          <w:lang w:val="en-US"/>
        </w:rPr>
        <w:t>of amulet’s creation, in addition secondary theories are applied that relate to the individual divine names and the aspects of the rooster-headed figure</w:t>
      </w:r>
      <w:r w:rsidR="00456A0C">
        <w:rPr>
          <w:lang w:val="en-US"/>
        </w:rPr>
        <w:t xml:space="preserve">, </w:t>
      </w:r>
      <w:r w:rsidR="00F96E24" w:rsidRPr="00A32F1B">
        <w:rPr>
          <w:lang w:val="en-US"/>
        </w:rPr>
        <w:t>whence it is assumed that amulets served as a</w:t>
      </w:r>
      <w:r w:rsidR="002D1FE3" w:rsidRPr="00A32F1B">
        <w:rPr>
          <w:lang w:val="en-US"/>
        </w:rPr>
        <w:t> </w:t>
      </w:r>
      <w:r w:rsidR="00F96E24" w:rsidRPr="00A32F1B">
        <w:rPr>
          <w:lang w:val="en-US"/>
        </w:rPr>
        <w:t xml:space="preserve">protection against evil. Not as frequently the text present on the amulet describes the specific intention, or goal, to which the amulet should have served, </w:t>
      </w:r>
      <w:proofErr w:type="gramStart"/>
      <w:r w:rsidR="00F96E24" w:rsidRPr="00A32F1B">
        <w:rPr>
          <w:lang w:val="en-US"/>
        </w:rPr>
        <w:t>e.g.</w:t>
      </w:r>
      <w:proofErr w:type="gramEnd"/>
      <w:r w:rsidR="00F96E24" w:rsidRPr="00A32F1B">
        <w:rPr>
          <w:lang w:val="en-US"/>
        </w:rPr>
        <w:t xml:space="preserve"> pain relief.</w:t>
      </w:r>
      <w:r w:rsidR="00CF28CE" w:rsidRPr="00A32F1B">
        <w:rPr>
          <w:lang w:val="en-US"/>
        </w:rPr>
        <w:t xml:space="preserve"> And again, as the amulets were/are put in parallel to the magical papyri, the meaning and purpose of the amulets is </w:t>
      </w:r>
      <w:r w:rsidR="00384C14" w:rsidRPr="00A32F1B">
        <w:rPr>
          <w:lang w:val="en-US"/>
        </w:rPr>
        <w:t>oftentimes explained in the terms of the papyri.</w:t>
      </w:r>
      <w:r w:rsidR="007B73B9" w:rsidRPr="00A32F1B">
        <w:rPr>
          <w:rStyle w:val="Znakapoznpodarou"/>
          <w:lang w:val="en-US"/>
        </w:rPr>
        <w:footnoteReference w:id="234"/>
      </w:r>
      <w:r w:rsidR="00F96E24" w:rsidRPr="00A32F1B">
        <w:rPr>
          <w:lang w:val="en-US"/>
        </w:rPr>
        <w:t xml:space="preserve"> </w:t>
      </w:r>
    </w:p>
    <w:p w14:paraId="56721DE8" w14:textId="093AD560" w:rsidR="00FC5173" w:rsidRPr="00A32F1B" w:rsidRDefault="00A36E5C" w:rsidP="0013005A">
      <w:pPr>
        <w:pStyle w:val="Nadpis2"/>
        <w:numPr>
          <w:ilvl w:val="1"/>
          <w:numId w:val="3"/>
        </w:numPr>
        <w:rPr>
          <w:lang w:val="en-US"/>
        </w:rPr>
      </w:pPr>
      <w:bookmarkStart w:id="8" w:name="_Toc70950044"/>
      <w:r w:rsidRPr="00A32F1B">
        <w:rPr>
          <w:lang w:val="en-US"/>
        </w:rPr>
        <w:t>Ḥarba de-Moshe</w:t>
      </w:r>
      <w:bookmarkEnd w:id="8"/>
      <w:r w:rsidRPr="00A32F1B">
        <w:rPr>
          <w:lang w:val="en-US"/>
        </w:rPr>
        <w:t xml:space="preserve"> </w:t>
      </w:r>
    </w:p>
    <w:p w14:paraId="72F23D85" w14:textId="4289DCEB" w:rsidR="00FC5173" w:rsidRPr="00A32F1B" w:rsidRDefault="0061137A" w:rsidP="00960254">
      <w:pPr>
        <w:rPr>
          <w:lang w:val="en-US"/>
        </w:rPr>
      </w:pPr>
      <w:r>
        <w:rPr>
          <w:lang w:val="en-US"/>
        </w:rPr>
        <w:t>F</w:t>
      </w:r>
      <w:r w:rsidR="00FC5173" w:rsidRPr="00A32F1B">
        <w:rPr>
          <w:lang w:val="en-US"/>
        </w:rPr>
        <w:t xml:space="preserve">ascinating account of a magical text may be found in </w:t>
      </w:r>
      <w:r>
        <w:rPr>
          <w:lang w:val="en-US"/>
        </w:rPr>
        <w:t xml:space="preserve">the </w:t>
      </w:r>
      <w:r w:rsidR="00FC5173" w:rsidRPr="00A32F1B">
        <w:rPr>
          <w:lang w:val="en-US"/>
        </w:rPr>
        <w:t>treatise</w:t>
      </w:r>
      <w:r>
        <w:rPr>
          <w:lang w:val="en-US"/>
        </w:rPr>
        <w:t xml:space="preserve"> </w:t>
      </w:r>
      <w:r w:rsidR="00A36E5C" w:rsidRPr="00A32F1B">
        <w:rPr>
          <w:i/>
          <w:iCs/>
          <w:lang w:val="en-US"/>
        </w:rPr>
        <w:t xml:space="preserve">Ḥarba de-Moshe </w:t>
      </w:r>
      <w:r w:rsidR="00FC5173" w:rsidRPr="00A32F1B">
        <w:rPr>
          <w:lang w:val="en-US"/>
        </w:rPr>
        <w:t>(</w:t>
      </w:r>
      <w:r w:rsidR="00656FB6" w:rsidRPr="006F1082">
        <w:rPr>
          <w:i/>
          <w:iCs/>
          <w:lang w:val="en-US"/>
        </w:rPr>
        <w:t xml:space="preserve">The </w:t>
      </w:r>
      <w:r w:rsidR="00A36E5C" w:rsidRPr="006F1082">
        <w:rPr>
          <w:i/>
          <w:iCs/>
          <w:lang w:val="en-US"/>
        </w:rPr>
        <w:t>Sword of Moses</w:t>
      </w:r>
      <w:r w:rsidR="00A36E5C" w:rsidRPr="00A32F1B">
        <w:rPr>
          <w:lang w:val="en-US"/>
        </w:rPr>
        <w:t xml:space="preserve">; </w:t>
      </w:r>
      <w:r w:rsidR="00FC5173" w:rsidRPr="00A32F1B">
        <w:rPr>
          <w:rFonts w:asciiTheme="majorBidi" w:hAnsiTheme="majorBidi" w:cstheme="majorBidi"/>
          <w:sz w:val="32"/>
          <w:szCs w:val="28"/>
          <w:rtl/>
          <w:lang w:val="en-US"/>
        </w:rPr>
        <w:t>חרבא דמשה</w:t>
      </w:r>
      <w:r w:rsidR="00FC5173" w:rsidRPr="00A32F1B">
        <w:rPr>
          <w:lang w:val="en-US"/>
        </w:rPr>
        <w:t xml:space="preserve">) that is said to belong among early Jewish magical texts, thus it is an essential step in the development of Jewish magical practices between the Talmudic and medieval period, simultaneously the text is exhibiting the </w:t>
      </w:r>
      <w:r w:rsidR="00FC5173" w:rsidRPr="00A32F1B">
        <w:rPr>
          <w:lang w:val="en-US"/>
        </w:rPr>
        <w:lastRenderedPageBreak/>
        <w:t>influence of Greco-Egyptian magical practice and supposedly the relation to other Aramaic magical sources – the incantation bowls.</w:t>
      </w:r>
      <w:r w:rsidR="00FC5173" w:rsidRPr="00A32F1B">
        <w:rPr>
          <w:rStyle w:val="Znakapoznpodarou"/>
          <w:lang w:val="en-US"/>
        </w:rPr>
        <w:t xml:space="preserve"> </w:t>
      </w:r>
      <w:r w:rsidR="00FC5173" w:rsidRPr="00A32F1B">
        <w:rPr>
          <w:rStyle w:val="Znakapoznpodarou"/>
          <w:lang w:val="en-US"/>
        </w:rPr>
        <w:footnoteReference w:id="235"/>
      </w:r>
    </w:p>
    <w:p w14:paraId="62329E49" w14:textId="4E81ADD5" w:rsidR="00381180" w:rsidRPr="00A32F1B" w:rsidRDefault="00FC5173" w:rsidP="00381180">
      <w:pPr>
        <w:rPr>
          <w:lang w:val="en-US"/>
        </w:rPr>
      </w:pPr>
      <w:r w:rsidRPr="00A32F1B">
        <w:rPr>
          <w:lang w:val="en-US"/>
        </w:rPr>
        <w:t xml:space="preserve">As many other magical sources, </w:t>
      </w:r>
      <w:r w:rsidR="00656FB6" w:rsidRPr="00A32F1B">
        <w:rPr>
          <w:i/>
          <w:iCs/>
          <w:lang w:val="en-US"/>
        </w:rPr>
        <w:t>Ḥarba de-Moshe</w:t>
      </w:r>
      <w:r w:rsidRPr="00A32F1B">
        <w:rPr>
          <w:lang w:val="en-US"/>
        </w:rPr>
        <w:t xml:space="preserve"> is difficult to date and to place. </w:t>
      </w:r>
      <w:proofErr w:type="gramStart"/>
      <w:r w:rsidRPr="00A32F1B">
        <w:rPr>
          <w:lang w:val="en-US"/>
        </w:rPr>
        <w:t>Similar to</w:t>
      </w:r>
      <w:proofErr w:type="gramEnd"/>
      <w:r w:rsidRPr="00A32F1B">
        <w:rPr>
          <w:lang w:val="en-US"/>
        </w:rPr>
        <w:t xml:space="preserve"> the Nag Hammadi codices, final text of the treatise is a composition of various parts written in Babylonian and Palestinian Aramaic, Hebrew </w:t>
      </w:r>
      <w:r w:rsidR="00895A68" w:rsidRPr="00A32F1B">
        <w:rPr>
          <w:lang w:val="en-US"/>
        </w:rPr>
        <w:t>and</w:t>
      </w:r>
      <w:r w:rsidRPr="00A32F1B">
        <w:rPr>
          <w:lang w:val="en-US"/>
        </w:rPr>
        <w:t xml:space="preserve"> Greek, which interferes the geographical assessment of the place of origin. Two places are usually discussed – Palestine and Babylonia – due to the Aramaic variation within the text; however, new linguistic analysis by Yuval Harari concludes that the presence of Hebrew suggest the place of origin to be Palestine.</w:t>
      </w:r>
      <w:r w:rsidRPr="00A32F1B">
        <w:rPr>
          <w:rStyle w:val="Znakapoznpodarou"/>
          <w:lang w:val="en-US"/>
        </w:rPr>
        <w:footnoteReference w:id="236"/>
      </w:r>
      <w:r w:rsidRPr="00A32F1B">
        <w:rPr>
          <w:lang w:val="en-US"/>
        </w:rPr>
        <w:t xml:space="preserve"> The question of the composition date poses a challenge as well. The first known mention of the treatise comes from the end of the 1</w:t>
      </w:r>
      <w:r w:rsidRPr="00A32F1B">
        <w:rPr>
          <w:vertAlign w:val="superscript"/>
          <w:lang w:val="en-US"/>
        </w:rPr>
        <w:t>st</w:t>
      </w:r>
      <w:r w:rsidR="006F1082">
        <w:rPr>
          <w:lang w:val="en-US"/>
        </w:rPr>
        <w:t> </w:t>
      </w:r>
      <w:r w:rsidRPr="00A32F1B">
        <w:rPr>
          <w:lang w:val="en-US"/>
        </w:rPr>
        <w:t>millennium in a rabbinic responsum. Moses Gaster, the first translator, assumed that the text originated in the first four centuries CE</w:t>
      </w:r>
      <w:r w:rsidRPr="00A32F1B">
        <w:rPr>
          <w:rStyle w:val="Znakapoznpodarou"/>
          <w:lang w:val="en-US"/>
        </w:rPr>
        <w:footnoteReference w:id="237"/>
      </w:r>
      <w:r w:rsidRPr="00A32F1B">
        <w:rPr>
          <w:lang w:val="en-US"/>
        </w:rPr>
        <w:t>, later scholars put the origin of the text to Geonic period, approximately from the end of 6</w:t>
      </w:r>
      <w:r w:rsidRPr="00A32F1B">
        <w:rPr>
          <w:vertAlign w:val="superscript"/>
          <w:lang w:val="en-US"/>
        </w:rPr>
        <w:t>th</w:t>
      </w:r>
      <w:r w:rsidRPr="00A32F1B">
        <w:rPr>
          <w:lang w:val="en-US"/>
        </w:rPr>
        <w:t xml:space="preserve"> century to the first half of 11</w:t>
      </w:r>
      <w:r w:rsidRPr="00A32F1B">
        <w:rPr>
          <w:vertAlign w:val="superscript"/>
          <w:lang w:val="en-US"/>
        </w:rPr>
        <w:t>th</w:t>
      </w:r>
      <w:r w:rsidR="006F1082">
        <w:rPr>
          <w:lang w:val="en-US"/>
        </w:rPr>
        <w:t> </w:t>
      </w:r>
      <w:r w:rsidRPr="00A32F1B">
        <w:rPr>
          <w:lang w:val="en-US"/>
        </w:rPr>
        <w:t>century.</w:t>
      </w:r>
      <w:r w:rsidRPr="00A32F1B">
        <w:rPr>
          <w:rStyle w:val="Znakapoznpodarou"/>
          <w:lang w:val="en-US"/>
        </w:rPr>
        <w:footnoteReference w:id="238"/>
      </w:r>
      <w:r w:rsidRPr="00A32F1B">
        <w:rPr>
          <w:lang w:val="en-US"/>
        </w:rPr>
        <w:t xml:space="preserve"> Gershom S</w:t>
      </w:r>
      <w:r w:rsidR="00456D27" w:rsidRPr="00A32F1B">
        <w:rPr>
          <w:lang w:val="en-US"/>
        </w:rPr>
        <w:t>c</w:t>
      </w:r>
      <w:r w:rsidRPr="00A32F1B">
        <w:rPr>
          <w:lang w:val="en-US"/>
        </w:rPr>
        <w:t>holem proposed the date of origin to be between the 5</w:t>
      </w:r>
      <w:r w:rsidRPr="00A32F1B">
        <w:rPr>
          <w:vertAlign w:val="superscript"/>
          <w:lang w:val="en-US"/>
        </w:rPr>
        <w:t>th</w:t>
      </w:r>
      <w:r w:rsidRPr="00A32F1B">
        <w:rPr>
          <w:lang w:val="en-US"/>
        </w:rPr>
        <w:t xml:space="preserve"> and 7</w:t>
      </w:r>
      <w:r w:rsidRPr="00A32F1B">
        <w:rPr>
          <w:vertAlign w:val="superscript"/>
          <w:lang w:val="en-US"/>
        </w:rPr>
        <w:t>th</w:t>
      </w:r>
      <w:r w:rsidR="006F1082">
        <w:rPr>
          <w:lang w:val="en-US"/>
        </w:rPr>
        <w:t> </w:t>
      </w:r>
      <w:r w:rsidRPr="00A32F1B">
        <w:rPr>
          <w:lang w:val="en-US"/>
        </w:rPr>
        <w:t>century while implying that due to the compositional character the individual parts were assumably much older.</w:t>
      </w:r>
      <w:r w:rsidRPr="00A32F1B">
        <w:rPr>
          <w:rStyle w:val="Znakapoznpodarou"/>
          <w:lang w:val="en-US"/>
        </w:rPr>
        <w:footnoteReference w:id="239"/>
      </w:r>
      <w:r w:rsidRPr="00A32F1B">
        <w:rPr>
          <w:lang w:val="en-US"/>
        </w:rPr>
        <w:t xml:space="preserve"> Harari theorized the date of compilation in the period after 500 CE as plausible and shared S</w:t>
      </w:r>
      <w:r w:rsidR="00456D27" w:rsidRPr="00A32F1B">
        <w:rPr>
          <w:lang w:val="en-US"/>
        </w:rPr>
        <w:t>c</w:t>
      </w:r>
      <w:r w:rsidRPr="00A32F1B">
        <w:rPr>
          <w:lang w:val="en-US"/>
        </w:rPr>
        <w:t>holem’s implication.</w:t>
      </w:r>
      <w:r w:rsidRPr="00A32F1B">
        <w:rPr>
          <w:rStyle w:val="Znakapoznpodarou"/>
          <w:lang w:val="en-US"/>
        </w:rPr>
        <w:footnoteReference w:id="240"/>
      </w:r>
      <w:r w:rsidRPr="00A32F1B">
        <w:rPr>
          <w:lang w:val="en-US"/>
        </w:rPr>
        <w:t xml:space="preserve"> </w:t>
      </w:r>
    </w:p>
    <w:p w14:paraId="0A6D09AE" w14:textId="798D11A4" w:rsidR="00906D87" w:rsidRPr="006F1082" w:rsidRDefault="000B47F3" w:rsidP="006F1082">
      <w:pPr>
        <w:rPr>
          <w:lang w:val="en-US"/>
        </w:rPr>
      </w:pPr>
      <w:r w:rsidRPr="006F1082">
        <w:rPr>
          <w:lang w:val="en-US"/>
        </w:rPr>
        <w:t xml:space="preserve">Although </w:t>
      </w:r>
      <w:r w:rsidR="00906D87" w:rsidRPr="006F1082">
        <w:rPr>
          <w:lang w:val="en-US"/>
        </w:rPr>
        <w:t>t</w:t>
      </w:r>
      <w:r w:rsidRPr="006F1082">
        <w:rPr>
          <w:lang w:val="en-US"/>
        </w:rPr>
        <w:t xml:space="preserve">he original text of </w:t>
      </w:r>
      <w:r w:rsidR="00656FB6" w:rsidRPr="006F1082">
        <w:rPr>
          <w:i/>
          <w:iCs/>
          <w:lang w:val="en-US"/>
        </w:rPr>
        <w:t>Ḥarba de-Moshe</w:t>
      </w:r>
      <w:r w:rsidRPr="006F1082">
        <w:rPr>
          <w:lang w:val="en-US"/>
        </w:rPr>
        <w:t xml:space="preserve"> </w:t>
      </w:r>
      <w:r w:rsidR="00906D87" w:rsidRPr="006F1082">
        <w:rPr>
          <w:lang w:val="en-US"/>
        </w:rPr>
        <w:t>is assumed to come from the 11</w:t>
      </w:r>
      <w:r w:rsidR="00906D87" w:rsidRPr="006F1082">
        <w:rPr>
          <w:vertAlign w:val="superscript"/>
          <w:lang w:val="en-US"/>
        </w:rPr>
        <w:t>th</w:t>
      </w:r>
      <w:r w:rsidR="006F1082" w:rsidRPr="006F1082">
        <w:rPr>
          <w:lang w:val="en-US"/>
        </w:rPr>
        <w:t> </w:t>
      </w:r>
      <w:r w:rsidR="00906D87" w:rsidRPr="006F1082">
        <w:rPr>
          <w:lang w:val="en-US"/>
        </w:rPr>
        <w:t>century the latest, the earliest preserved version of the text comes from a manuscript from the 14</w:t>
      </w:r>
      <w:r w:rsidR="00906D87" w:rsidRPr="006F1082">
        <w:rPr>
          <w:vertAlign w:val="superscript"/>
          <w:lang w:val="en-US"/>
        </w:rPr>
        <w:t>th</w:t>
      </w:r>
      <w:r w:rsidR="00906D87" w:rsidRPr="006F1082">
        <w:rPr>
          <w:lang w:val="en-US"/>
        </w:rPr>
        <w:t xml:space="preserve"> century – the minimal </w:t>
      </w:r>
      <w:proofErr w:type="gramStart"/>
      <w:r w:rsidR="00906D87" w:rsidRPr="006F1082">
        <w:rPr>
          <w:lang w:val="en-US"/>
        </w:rPr>
        <w:t>time period</w:t>
      </w:r>
      <w:proofErr w:type="gramEnd"/>
      <w:r w:rsidR="00906D87" w:rsidRPr="006F1082">
        <w:rPr>
          <w:lang w:val="en-US"/>
        </w:rPr>
        <w:t xml:space="preserve"> between the original text being produced and the earliest preserved text is three centuries which further complicates the assessment of the origin date. The text was preserved </w:t>
      </w:r>
      <w:r w:rsidR="00795A85" w:rsidRPr="006F1082">
        <w:rPr>
          <w:lang w:val="en-US"/>
        </w:rPr>
        <w:t xml:space="preserve">in </w:t>
      </w:r>
      <w:r w:rsidR="00EC6C87" w:rsidRPr="006F1082">
        <w:rPr>
          <w:lang w:val="en-US"/>
        </w:rPr>
        <w:t xml:space="preserve">medieval and early modern </w:t>
      </w:r>
      <w:r w:rsidR="00795A85" w:rsidRPr="006F1082">
        <w:rPr>
          <w:lang w:val="en-US"/>
        </w:rPr>
        <w:t>manuscripts in varying extent</w:t>
      </w:r>
      <w:r w:rsidR="001C53D1" w:rsidRPr="006F1082">
        <w:rPr>
          <w:lang w:val="en-US"/>
        </w:rPr>
        <w:t xml:space="preserve">: </w:t>
      </w:r>
      <w:r w:rsidR="00906D87" w:rsidRPr="006F1082">
        <w:rPr>
          <w:lang w:val="en-US"/>
        </w:rPr>
        <w:t>short versions from the</w:t>
      </w:r>
      <w:r w:rsidR="00447097" w:rsidRPr="006F1082">
        <w:rPr>
          <w:lang w:val="en-US"/>
        </w:rPr>
        <w:t xml:space="preserve"> 14</w:t>
      </w:r>
      <w:r w:rsidR="00447097" w:rsidRPr="006F1082">
        <w:rPr>
          <w:vertAlign w:val="superscript"/>
          <w:lang w:val="en-US"/>
        </w:rPr>
        <w:t>th</w:t>
      </w:r>
      <w:r w:rsidR="00447097" w:rsidRPr="006F1082">
        <w:rPr>
          <w:lang w:val="en-US"/>
        </w:rPr>
        <w:t xml:space="preserve"> and 15</w:t>
      </w:r>
      <w:r w:rsidR="00447097" w:rsidRPr="006F1082">
        <w:rPr>
          <w:vertAlign w:val="superscript"/>
          <w:lang w:val="en-US"/>
        </w:rPr>
        <w:t>th</w:t>
      </w:r>
      <w:r w:rsidR="00447097" w:rsidRPr="006F1082">
        <w:rPr>
          <w:lang w:val="en-US"/>
        </w:rPr>
        <w:t xml:space="preserve"> century, and</w:t>
      </w:r>
      <w:r w:rsidR="00906D87" w:rsidRPr="006F1082">
        <w:rPr>
          <w:lang w:val="en-US"/>
        </w:rPr>
        <w:t xml:space="preserve"> </w:t>
      </w:r>
      <w:r w:rsidR="001C53D1" w:rsidRPr="006F1082">
        <w:rPr>
          <w:lang w:val="en-US"/>
        </w:rPr>
        <w:t xml:space="preserve">the </w:t>
      </w:r>
      <w:r w:rsidR="00906D87" w:rsidRPr="006F1082">
        <w:rPr>
          <w:lang w:val="en-US"/>
        </w:rPr>
        <w:t xml:space="preserve">longest version </w:t>
      </w:r>
      <w:r w:rsidR="001C53D1" w:rsidRPr="006F1082">
        <w:rPr>
          <w:lang w:val="en-US"/>
        </w:rPr>
        <w:t xml:space="preserve">from </w:t>
      </w:r>
      <w:r w:rsidR="00906D87" w:rsidRPr="006F1082">
        <w:rPr>
          <w:lang w:val="en-US"/>
        </w:rPr>
        <w:t>the 16</w:t>
      </w:r>
      <w:r w:rsidR="00906D87" w:rsidRPr="006F1082">
        <w:rPr>
          <w:vertAlign w:val="superscript"/>
          <w:lang w:val="en-US"/>
        </w:rPr>
        <w:t>th</w:t>
      </w:r>
      <w:r w:rsidR="00906D87" w:rsidRPr="006F1082">
        <w:rPr>
          <w:lang w:val="en-US"/>
        </w:rPr>
        <w:t xml:space="preserve"> century</w:t>
      </w:r>
      <w:r w:rsidR="001C53D1" w:rsidRPr="006F1082">
        <w:rPr>
          <w:lang w:val="en-US"/>
        </w:rPr>
        <w:t>.</w:t>
      </w:r>
      <w:r w:rsidR="00B31227" w:rsidRPr="006F1082">
        <w:rPr>
          <w:lang w:val="en-US"/>
        </w:rPr>
        <w:t xml:space="preserve"> Later found fragments from the Cairo Genizah add more pieces to the puzzle of the text; however, not all fragments were identified yet, and so for now the </w:t>
      </w:r>
      <w:r w:rsidR="00656FB6" w:rsidRPr="006F1082">
        <w:rPr>
          <w:i/>
          <w:iCs/>
          <w:lang w:val="en-US"/>
        </w:rPr>
        <w:lastRenderedPageBreak/>
        <w:t>Ḥarba de-Moshe</w:t>
      </w:r>
      <w:r w:rsidR="00656FB6" w:rsidRPr="006F1082">
        <w:rPr>
          <w:lang w:val="en-US"/>
        </w:rPr>
        <w:t xml:space="preserve"> </w:t>
      </w:r>
      <w:r w:rsidR="00FD4FC6" w:rsidRPr="006F1082">
        <w:rPr>
          <w:lang w:val="en-US"/>
        </w:rPr>
        <w:t>remains most true to the original text in two modern versions</w:t>
      </w:r>
      <w:r w:rsidR="00490CD9" w:rsidRPr="006F1082">
        <w:rPr>
          <w:rStyle w:val="Znakapoznpodarou"/>
          <w:lang w:val="en-US"/>
        </w:rPr>
        <w:footnoteReference w:id="241"/>
      </w:r>
      <w:r w:rsidR="00FD4FC6" w:rsidRPr="006F1082">
        <w:rPr>
          <w:lang w:val="en-US"/>
        </w:rPr>
        <w:t xml:space="preserve"> – by Moses Gaster and more recently by Yuval Harari</w:t>
      </w:r>
      <w:r w:rsidR="00EC6C87" w:rsidRPr="006F1082">
        <w:rPr>
          <w:rStyle w:val="Znakapoznpodarou"/>
          <w:lang w:val="en-US"/>
        </w:rPr>
        <w:footnoteReference w:id="242"/>
      </w:r>
      <w:r w:rsidR="007C6290" w:rsidRPr="006F1082">
        <w:rPr>
          <w:lang w:val="en-US"/>
        </w:rPr>
        <w:t>.</w:t>
      </w:r>
    </w:p>
    <w:p w14:paraId="343D407C" w14:textId="0587F9EA" w:rsidR="00AA1DEB" w:rsidRPr="00A32F1B" w:rsidRDefault="008E0EDA" w:rsidP="00906D87">
      <w:pPr>
        <w:rPr>
          <w:lang w:val="en-US"/>
        </w:rPr>
      </w:pPr>
      <w:r w:rsidRPr="00A32F1B">
        <w:rPr>
          <w:lang w:val="en-US"/>
        </w:rPr>
        <w:t xml:space="preserve">An interesting discovery was made by Alexander Fodor; </w:t>
      </w:r>
      <w:r w:rsidR="00AA1DEB" w:rsidRPr="00A32F1B">
        <w:rPr>
          <w:lang w:val="en-US"/>
        </w:rPr>
        <w:t xml:space="preserve">the Arabic manuscript </w:t>
      </w:r>
      <w:bookmarkStart w:id="9" w:name="_Hlk70513089"/>
      <w:r w:rsidR="00AA1DEB" w:rsidRPr="00A32F1B">
        <w:rPr>
          <w:i/>
          <w:iCs/>
          <w:lang w:val="en-US"/>
        </w:rPr>
        <w:t xml:space="preserve">Sifr </w:t>
      </w:r>
      <w:r w:rsidR="00AA1DEB" w:rsidRPr="00A32F1B">
        <w:rPr>
          <w:rFonts w:cs="Times New Roman"/>
          <w:i/>
          <w:iCs/>
          <w:lang w:val="en-US"/>
        </w:rPr>
        <w:t>Ā</w:t>
      </w:r>
      <w:r w:rsidR="00AA1DEB" w:rsidRPr="00A32F1B">
        <w:rPr>
          <w:i/>
          <w:iCs/>
          <w:lang w:val="en-US"/>
        </w:rPr>
        <w:t>dam</w:t>
      </w:r>
      <w:r w:rsidR="00AA1DEB" w:rsidRPr="00A32F1B">
        <w:rPr>
          <w:lang w:val="en-US"/>
        </w:rPr>
        <w:t xml:space="preserve"> </w:t>
      </w:r>
      <w:bookmarkEnd w:id="9"/>
      <w:r w:rsidR="00AA1DEB" w:rsidRPr="00A32F1B">
        <w:rPr>
          <w:lang w:val="en-US"/>
        </w:rPr>
        <w:t>(</w:t>
      </w:r>
      <w:r w:rsidR="00AA1DEB" w:rsidRPr="007612CF">
        <w:rPr>
          <w:i/>
          <w:iCs/>
          <w:lang w:val="en-US"/>
        </w:rPr>
        <w:t>The Book of Adam</w:t>
      </w:r>
      <w:r w:rsidR="00AA1DEB" w:rsidRPr="00A32F1B">
        <w:rPr>
          <w:lang w:val="en-US"/>
        </w:rPr>
        <w:t xml:space="preserve">) which </w:t>
      </w:r>
      <w:r w:rsidR="00A2493C" w:rsidRPr="00A32F1B">
        <w:rPr>
          <w:lang w:val="en-US"/>
        </w:rPr>
        <w:t xml:space="preserve">contained three </w:t>
      </w:r>
      <w:r w:rsidR="00AA1DEB" w:rsidRPr="00A32F1B">
        <w:rPr>
          <w:lang w:val="en-US"/>
        </w:rPr>
        <w:t xml:space="preserve">Jewish magical treatises – including </w:t>
      </w:r>
      <w:r w:rsidR="00AA1DEB" w:rsidRPr="00A32F1B">
        <w:rPr>
          <w:i/>
          <w:iCs/>
          <w:lang w:val="en-US"/>
        </w:rPr>
        <w:t xml:space="preserve">Ḥarba de-Moshe </w:t>
      </w:r>
      <w:r w:rsidR="00AA1DEB" w:rsidRPr="00A32F1B">
        <w:rPr>
          <w:lang w:val="en-US"/>
        </w:rPr>
        <w:t xml:space="preserve">and </w:t>
      </w:r>
      <w:r w:rsidR="00AA1DEB" w:rsidRPr="00A32F1B">
        <w:rPr>
          <w:i/>
          <w:iCs/>
          <w:lang w:val="en-US"/>
        </w:rPr>
        <w:t>Sefer ha-Razim</w:t>
      </w:r>
      <w:r w:rsidR="00545706" w:rsidRPr="00A32F1B">
        <w:rPr>
          <w:lang w:val="en-US"/>
        </w:rPr>
        <w:t xml:space="preserve">; here </w:t>
      </w:r>
      <w:r w:rsidR="00545706" w:rsidRPr="00A32F1B">
        <w:rPr>
          <w:i/>
          <w:iCs/>
          <w:lang w:val="en-US"/>
        </w:rPr>
        <w:t xml:space="preserve">Ḥarba de-Moshe </w:t>
      </w:r>
      <w:r w:rsidR="00545706" w:rsidRPr="00A32F1B">
        <w:rPr>
          <w:lang w:val="en-US"/>
        </w:rPr>
        <w:t xml:space="preserve">is put into the framework of </w:t>
      </w:r>
      <w:r w:rsidR="00545706" w:rsidRPr="00A32F1B">
        <w:rPr>
          <w:i/>
          <w:iCs/>
          <w:lang w:val="en-US"/>
        </w:rPr>
        <w:t>Sefer ha-Razim</w:t>
      </w:r>
      <w:r w:rsidR="00545706" w:rsidRPr="00A32F1B">
        <w:rPr>
          <w:lang w:val="en-US"/>
        </w:rPr>
        <w:t xml:space="preserve">. </w:t>
      </w:r>
      <w:r w:rsidR="00923E51" w:rsidRPr="00A32F1B">
        <w:rPr>
          <w:lang w:val="en-US"/>
        </w:rPr>
        <w:t xml:space="preserve">Some parts of the Arabic text follow the text of Aramaic </w:t>
      </w:r>
      <w:r w:rsidR="00923E51" w:rsidRPr="00A32F1B">
        <w:rPr>
          <w:i/>
          <w:iCs/>
          <w:lang w:val="en-US"/>
        </w:rPr>
        <w:t>Ḥarba de-Moshe</w:t>
      </w:r>
      <w:r w:rsidR="00923E51" w:rsidRPr="00A32F1B">
        <w:rPr>
          <w:lang w:val="en-US"/>
        </w:rPr>
        <w:t>, albeit the Arabic text seems to be stripped of any reference</w:t>
      </w:r>
      <w:r w:rsidR="00C639B8" w:rsidRPr="00A32F1B">
        <w:rPr>
          <w:lang w:val="en-US"/>
        </w:rPr>
        <w:t xml:space="preserve"> or even allusion</w:t>
      </w:r>
      <w:r w:rsidR="00923E51" w:rsidRPr="00A32F1B">
        <w:rPr>
          <w:lang w:val="en-US"/>
        </w:rPr>
        <w:t xml:space="preserve"> to Jewish tradition, most notably the title of the Arabic text is “The Sword of God”</w:t>
      </w:r>
      <w:r w:rsidR="00C639B8" w:rsidRPr="00A32F1B">
        <w:rPr>
          <w:lang w:val="en-US"/>
        </w:rPr>
        <w:t>, Moses is clearly omitted from the narrative. The elimination of Jewish tradition was perhaps a</w:t>
      </w:r>
      <w:r w:rsidR="00326586">
        <w:rPr>
          <w:lang w:val="en-US"/>
        </w:rPr>
        <w:t> </w:t>
      </w:r>
      <w:r w:rsidR="00C639B8" w:rsidRPr="00A32F1B">
        <w:rPr>
          <w:lang w:val="en-US"/>
        </w:rPr>
        <w:t xml:space="preserve">conscious effort of the redactor to make the text accessible to </w:t>
      </w:r>
      <w:r w:rsidR="00A93267" w:rsidRPr="00A32F1B">
        <w:rPr>
          <w:lang w:val="en-US"/>
        </w:rPr>
        <w:t>wider</w:t>
      </w:r>
      <w:r w:rsidR="00C639B8" w:rsidRPr="00A32F1B">
        <w:rPr>
          <w:lang w:val="en-US"/>
        </w:rPr>
        <w:t xml:space="preserve"> audience</w:t>
      </w:r>
      <w:r w:rsidR="00A14826" w:rsidRPr="00A32F1B">
        <w:rPr>
          <w:lang w:val="en-US"/>
        </w:rPr>
        <w:t xml:space="preserve">, which might suggest perceived efficiency or </w:t>
      </w:r>
      <w:r w:rsidR="00CC2DF4" w:rsidRPr="00A32F1B">
        <w:rPr>
          <w:lang w:val="en-US"/>
        </w:rPr>
        <w:t xml:space="preserve">popularity among the recipients </w:t>
      </w:r>
      <w:r w:rsidR="00A14826" w:rsidRPr="00A32F1B">
        <w:rPr>
          <w:lang w:val="en-US"/>
        </w:rPr>
        <w:t xml:space="preserve">of the </w:t>
      </w:r>
      <w:r w:rsidR="00A2493C" w:rsidRPr="00A32F1B">
        <w:rPr>
          <w:lang w:val="en-US"/>
        </w:rPr>
        <w:t>magical practice</w:t>
      </w:r>
      <w:r w:rsidR="00C639B8" w:rsidRPr="00A32F1B">
        <w:rPr>
          <w:lang w:val="en-US"/>
        </w:rPr>
        <w:t>.</w:t>
      </w:r>
      <w:r w:rsidR="00923E51" w:rsidRPr="00A32F1B">
        <w:rPr>
          <w:rStyle w:val="Znakapoznpodarou"/>
          <w:lang w:val="en-US"/>
        </w:rPr>
        <w:footnoteReference w:id="243"/>
      </w:r>
      <w:r w:rsidR="00A2493C" w:rsidRPr="00A32F1B">
        <w:rPr>
          <w:lang w:val="en-US"/>
        </w:rPr>
        <w:t xml:space="preserve"> </w:t>
      </w:r>
      <w:r w:rsidR="00D16A8E" w:rsidRPr="00A32F1B">
        <w:rPr>
          <w:lang w:val="en-US"/>
        </w:rPr>
        <w:t xml:space="preserve">The manuscript in its entirety exhibits adjustments to Christian, and in some places also to Muslim, rhetoric. </w:t>
      </w:r>
      <w:r w:rsidR="00A2493C" w:rsidRPr="00A32F1B">
        <w:rPr>
          <w:lang w:val="en-US"/>
        </w:rPr>
        <w:t>Recently found manuscript of</w:t>
      </w:r>
      <w:r w:rsidR="00D16A8E" w:rsidRPr="00A32F1B">
        <w:rPr>
          <w:lang w:val="en-US"/>
        </w:rPr>
        <w:t xml:space="preserve"> the same text</w:t>
      </w:r>
      <w:r w:rsidR="00A2493C" w:rsidRPr="00A32F1B">
        <w:rPr>
          <w:lang w:val="en-US"/>
        </w:rPr>
        <w:t xml:space="preserve"> </w:t>
      </w:r>
      <w:r w:rsidR="00A2493C" w:rsidRPr="00A32F1B">
        <w:rPr>
          <w:i/>
          <w:iCs/>
          <w:lang w:val="en-US"/>
        </w:rPr>
        <w:t xml:space="preserve">Sifr </w:t>
      </w:r>
      <w:r w:rsidR="00A2493C" w:rsidRPr="00A32F1B">
        <w:rPr>
          <w:rFonts w:cs="Times New Roman"/>
          <w:i/>
          <w:iCs/>
          <w:lang w:val="en-US"/>
        </w:rPr>
        <w:t>Ā</w:t>
      </w:r>
      <w:r w:rsidR="00A2493C" w:rsidRPr="00A32F1B">
        <w:rPr>
          <w:i/>
          <w:iCs/>
          <w:lang w:val="en-US"/>
        </w:rPr>
        <w:t xml:space="preserve">dam </w:t>
      </w:r>
      <w:r w:rsidR="00A2493C" w:rsidRPr="00A32F1B">
        <w:rPr>
          <w:lang w:val="en-US"/>
        </w:rPr>
        <w:t xml:space="preserve">shows signs of adaptation process to accommodate </w:t>
      </w:r>
      <w:r w:rsidR="00CC2DF4" w:rsidRPr="00A32F1B">
        <w:rPr>
          <w:lang w:val="en-US"/>
        </w:rPr>
        <w:t xml:space="preserve">the previously Christianized text to </w:t>
      </w:r>
      <w:r w:rsidR="00A2493C" w:rsidRPr="00A32F1B">
        <w:rPr>
          <w:lang w:val="en-US"/>
        </w:rPr>
        <w:t>Islamic tradition</w:t>
      </w:r>
      <w:r w:rsidR="001663A0" w:rsidRPr="00A32F1B">
        <w:rPr>
          <w:rStyle w:val="Znakapoznpodarou"/>
          <w:lang w:val="en-US"/>
        </w:rPr>
        <w:footnoteReference w:id="244"/>
      </w:r>
      <w:r w:rsidR="00A2493C" w:rsidRPr="00A32F1B">
        <w:rPr>
          <w:lang w:val="en-US"/>
        </w:rPr>
        <w:t xml:space="preserve"> </w:t>
      </w:r>
      <w:r w:rsidR="00CC2DF4" w:rsidRPr="00A32F1B">
        <w:rPr>
          <w:lang w:val="en-US"/>
        </w:rPr>
        <w:t xml:space="preserve">which </w:t>
      </w:r>
      <w:r w:rsidR="00D16A8E" w:rsidRPr="00A32F1B">
        <w:rPr>
          <w:lang w:val="en-US"/>
        </w:rPr>
        <w:t xml:space="preserve">then </w:t>
      </w:r>
      <w:r w:rsidR="00CC2DF4" w:rsidRPr="00A32F1B">
        <w:rPr>
          <w:lang w:val="en-US"/>
        </w:rPr>
        <w:t>might su</w:t>
      </w:r>
      <w:r w:rsidR="00D16A8E" w:rsidRPr="00A32F1B">
        <w:rPr>
          <w:lang w:val="en-US"/>
        </w:rPr>
        <w:t>ggest further opening of the tradition to wider and more complex religious environment.</w:t>
      </w:r>
    </w:p>
    <w:p w14:paraId="7435D498" w14:textId="28248FD7" w:rsidR="00FC5173" w:rsidRPr="00A32F1B" w:rsidRDefault="00FC5173" w:rsidP="00960254">
      <w:pPr>
        <w:rPr>
          <w:lang w:val="en-US"/>
        </w:rPr>
      </w:pPr>
      <w:r w:rsidRPr="00A32F1B">
        <w:rPr>
          <w:lang w:val="en-US"/>
        </w:rPr>
        <w:t xml:space="preserve">The text of this magical treatise begins by describing the ritual how to gain power </w:t>
      </w:r>
      <w:r w:rsidR="00D753A5">
        <w:rPr>
          <w:lang w:val="en-US"/>
        </w:rPr>
        <w:t>over</w:t>
      </w:r>
      <w:r w:rsidRPr="00A32F1B">
        <w:rPr>
          <w:lang w:val="en-US"/>
        </w:rPr>
        <w:t xml:space="preserve"> </w:t>
      </w:r>
      <w:r w:rsidR="00D753A5">
        <w:rPr>
          <w:lang w:val="en-US"/>
        </w:rPr>
        <w:t xml:space="preserve">the Sword </w:t>
      </w:r>
      <w:r w:rsidRPr="00A32F1B">
        <w:rPr>
          <w:lang w:val="en-US"/>
        </w:rPr>
        <w:t xml:space="preserve">which is a process taking several days including fasting, and adjurations of thirteen angels who are </w:t>
      </w:r>
      <w:r w:rsidR="00D753A5">
        <w:rPr>
          <w:lang w:val="en-US"/>
        </w:rPr>
        <w:t>set in</w:t>
      </w:r>
      <w:r w:rsidRPr="00A32F1B">
        <w:rPr>
          <w:lang w:val="en-US"/>
        </w:rPr>
        <w:t xml:space="preserve"> a hierarchical order.</w:t>
      </w:r>
      <w:r w:rsidRPr="00A32F1B">
        <w:rPr>
          <w:rStyle w:val="Znakapoznpodarou"/>
          <w:lang w:val="en-US"/>
        </w:rPr>
        <w:footnoteReference w:id="245"/>
      </w:r>
      <w:r w:rsidRPr="00A32F1B">
        <w:rPr>
          <w:lang w:val="en-US"/>
        </w:rPr>
        <w:t xml:space="preserve"> The second section of the treatise is the wording of </w:t>
      </w:r>
      <w:r w:rsidR="00656FB6" w:rsidRPr="00A32F1B">
        <w:rPr>
          <w:i/>
          <w:iCs/>
          <w:lang w:val="en-US"/>
        </w:rPr>
        <w:t>Ḥarba de-Moshe</w:t>
      </w:r>
      <w:r w:rsidR="00656FB6" w:rsidRPr="00A32F1B">
        <w:rPr>
          <w:lang w:val="en-US"/>
        </w:rPr>
        <w:t xml:space="preserve"> </w:t>
      </w:r>
      <w:r w:rsidRPr="00A32F1B">
        <w:rPr>
          <w:lang w:val="en-US"/>
        </w:rPr>
        <w:t xml:space="preserve">itself, which is a list of divine names and Aramaic phrases; the names are by a majority considered to be </w:t>
      </w:r>
      <w:r w:rsidRPr="00A32F1B">
        <w:rPr>
          <w:i/>
          <w:iCs/>
          <w:lang w:val="en-US"/>
        </w:rPr>
        <w:t>voces magicae</w:t>
      </w:r>
      <w:r w:rsidRPr="00A32F1B">
        <w:rPr>
          <w:lang w:val="en-US"/>
        </w:rPr>
        <w:t xml:space="preserve"> of various origin, presumably also transliterations of Greek names in Hebrew </w:t>
      </w:r>
      <w:r w:rsidR="00D753A5">
        <w:rPr>
          <w:lang w:val="en-US"/>
        </w:rPr>
        <w:t>letters</w:t>
      </w:r>
      <w:r w:rsidRPr="00A32F1B">
        <w:rPr>
          <w:lang w:val="en-US"/>
        </w:rPr>
        <w:t>.</w:t>
      </w:r>
      <w:r w:rsidRPr="00A32F1B">
        <w:rPr>
          <w:rStyle w:val="Znakapoznpodarou"/>
          <w:lang w:val="en-US"/>
        </w:rPr>
        <w:t xml:space="preserve"> </w:t>
      </w:r>
      <w:r w:rsidRPr="00A32F1B">
        <w:rPr>
          <w:rStyle w:val="Znakapoznpodarou"/>
          <w:lang w:val="en-US"/>
        </w:rPr>
        <w:footnoteReference w:id="246"/>
      </w:r>
      <w:r w:rsidRPr="00A32F1B">
        <w:rPr>
          <w:lang w:val="en-US"/>
        </w:rPr>
        <w:t xml:space="preserve"> In the third section dedicated to specific magical practices the divine names are linked to a variety of medical magic, love magic, agricultural magic, magic concerned with monetary or knowledge </w:t>
      </w:r>
      <w:r w:rsidRPr="00A32F1B">
        <w:rPr>
          <w:lang w:val="en-US"/>
        </w:rPr>
        <w:lastRenderedPageBreak/>
        <w:t>enrichment etc.</w:t>
      </w:r>
      <w:r w:rsidRPr="00A32F1B">
        <w:rPr>
          <w:rStyle w:val="Znakapoznpodarou"/>
          <w:lang w:val="en-US"/>
        </w:rPr>
        <w:footnoteReference w:id="247"/>
      </w:r>
      <w:r w:rsidRPr="00A32F1B">
        <w:rPr>
          <w:lang w:val="en-US"/>
        </w:rPr>
        <w:t xml:space="preserve"> The last passage applies both Greek and Babylonian magical terminology which Aramaic lacked, in some instances only Aramaic transliterations of the original terms.</w:t>
      </w:r>
      <w:r w:rsidRPr="00A32F1B">
        <w:rPr>
          <w:rStyle w:val="Znakapoznpodarou"/>
          <w:lang w:val="en-US"/>
        </w:rPr>
        <w:footnoteReference w:id="248"/>
      </w:r>
    </w:p>
    <w:p w14:paraId="5029C3B4" w14:textId="1D38D3DD" w:rsidR="00FC5173" w:rsidRPr="00A32F1B" w:rsidRDefault="00FC5173" w:rsidP="00397057">
      <w:pPr>
        <w:rPr>
          <w:szCs w:val="24"/>
          <w:lang w:val="en-US"/>
        </w:rPr>
      </w:pPr>
      <w:r w:rsidRPr="00A32F1B">
        <w:rPr>
          <w:lang w:val="en-US"/>
        </w:rPr>
        <w:t>The text is lacking consistency in the name forms which is apparent also in the case of Abraxas presence.</w:t>
      </w:r>
      <w:r w:rsidRPr="00A32F1B">
        <w:rPr>
          <w:rStyle w:val="Znakapoznpodarou"/>
          <w:lang w:val="en-US"/>
        </w:rPr>
        <w:footnoteReference w:id="249"/>
      </w:r>
      <w:r w:rsidRPr="00A32F1B">
        <w:rPr>
          <w:lang w:val="en-US"/>
        </w:rPr>
        <w:t xml:space="preserve"> Abraxas appears</w:t>
      </w:r>
      <w:r w:rsidR="005E2498" w:rsidRPr="00A32F1B">
        <w:rPr>
          <w:lang w:val="en-US"/>
        </w:rPr>
        <w:t xml:space="preserve"> three times written in three varieties</w:t>
      </w:r>
      <w:r w:rsidR="00F70DA8" w:rsidRPr="00A32F1B">
        <w:rPr>
          <w:lang w:val="en-US"/>
        </w:rPr>
        <w:t xml:space="preserve"> </w:t>
      </w:r>
      <w:r w:rsidR="005E2498" w:rsidRPr="00A32F1B">
        <w:rPr>
          <w:lang w:val="en-US"/>
        </w:rPr>
        <w:t>– ABKSS (</w:t>
      </w:r>
      <w:r w:rsidR="005E2498" w:rsidRPr="00A32F1B">
        <w:rPr>
          <w:rFonts w:asciiTheme="majorBidi" w:hAnsiTheme="majorBidi" w:cstheme="majorBidi"/>
          <w:sz w:val="32"/>
          <w:szCs w:val="28"/>
          <w:rtl/>
          <w:lang w:val="en-US"/>
        </w:rPr>
        <w:t>אבכסס</w:t>
      </w:r>
      <w:r w:rsidR="005E2498" w:rsidRPr="00A32F1B">
        <w:rPr>
          <w:lang w:val="en-US"/>
        </w:rPr>
        <w:t>)</w:t>
      </w:r>
      <w:r w:rsidR="005E2498" w:rsidRPr="00A32F1B">
        <w:rPr>
          <w:rStyle w:val="Znakapoznpodarou"/>
          <w:lang w:val="en-US"/>
        </w:rPr>
        <w:footnoteReference w:id="250"/>
      </w:r>
      <w:r w:rsidR="005E2498" w:rsidRPr="00A32F1B">
        <w:rPr>
          <w:lang w:val="en-US"/>
        </w:rPr>
        <w:t>, ABRSK (</w:t>
      </w:r>
      <w:r w:rsidR="005E2498" w:rsidRPr="00A32F1B">
        <w:rPr>
          <w:rFonts w:cs="Times New Roman"/>
          <w:sz w:val="32"/>
          <w:szCs w:val="28"/>
          <w:rtl/>
          <w:lang w:val="en-US"/>
        </w:rPr>
        <w:t>אברסק</w:t>
      </w:r>
      <w:r w:rsidR="005E2498" w:rsidRPr="00A32F1B">
        <w:rPr>
          <w:lang w:val="en-US"/>
        </w:rPr>
        <w:t>)</w:t>
      </w:r>
      <w:r w:rsidR="005E2498" w:rsidRPr="00A32F1B">
        <w:rPr>
          <w:rStyle w:val="Znakapoznpodarou"/>
          <w:lang w:val="en-US"/>
        </w:rPr>
        <w:footnoteReference w:id="251"/>
      </w:r>
      <w:r w:rsidR="00455701" w:rsidRPr="00A32F1B">
        <w:rPr>
          <w:lang w:val="en-US"/>
        </w:rPr>
        <w:t xml:space="preserve"> and ABRKSS (</w:t>
      </w:r>
      <w:r w:rsidR="00455701" w:rsidRPr="00A32F1B">
        <w:rPr>
          <w:rFonts w:cs="Times New Roman"/>
          <w:sz w:val="32"/>
          <w:szCs w:val="28"/>
          <w:rtl/>
          <w:lang w:val="en-US"/>
        </w:rPr>
        <w:t>אברכסס</w:t>
      </w:r>
      <w:r w:rsidR="00455701" w:rsidRPr="00A32F1B">
        <w:rPr>
          <w:lang w:val="en-US"/>
        </w:rPr>
        <w:t>)</w:t>
      </w:r>
      <w:r w:rsidR="00455701" w:rsidRPr="00A32F1B">
        <w:rPr>
          <w:rStyle w:val="Znakapoznpodarou"/>
          <w:lang w:val="en-US"/>
        </w:rPr>
        <w:footnoteReference w:id="252"/>
      </w:r>
      <w:r w:rsidR="00455701" w:rsidRPr="00A32F1B">
        <w:rPr>
          <w:lang w:val="en-US"/>
        </w:rPr>
        <w:t xml:space="preserve">. </w:t>
      </w:r>
      <w:r w:rsidR="002E6BA1" w:rsidRPr="00A32F1B">
        <w:rPr>
          <w:lang w:val="en-US"/>
        </w:rPr>
        <w:t xml:space="preserve">The </w:t>
      </w:r>
      <w:r w:rsidR="00F70DA8" w:rsidRPr="00A32F1B">
        <w:rPr>
          <w:lang w:val="en-US"/>
        </w:rPr>
        <w:t xml:space="preserve">first instance ABKSS </w:t>
      </w:r>
      <w:r w:rsidR="00986002" w:rsidRPr="00A32F1B">
        <w:rPr>
          <w:lang w:val="en-US"/>
        </w:rPr>
        <w:t xml:space="preserve">can be found </w:t>
      </w:r>
      <w:r w:rsidR="0085117D" w:rsidRPr="00A32F1B">
        <w:rPr>
          <w:lang w:val="en-US"/>
        </w:rPr>
        <w:t xml:space="preserve">in the text of </w:t>
      </w:r>
      <w:r w:rsidR="00656FB6" w:rsidRPr="00A32F1B">
        <w:rPr>
          <w:i/>
          <w:iCs/>
          <w:lang w:val="en-US"/>
        </w:rPr>
        <w:t>Ḥarba de-Moshe</w:t>
      </w:r>
      <w:r w:rsidR="00656FB6" w:rsidRPr="00A32F1B">
        <w:rPr>
          <w:lang w:val="en-US"/>
        </w:rPr>
        <w:t xml:space="preserve"> </w:t>
      </w:r>
      <w:r w:rsidR="0085117D" w:rsidRPr="00A32F1B">
        <w:rPr>
          <w:lang w:val="en-US"/>
        </w:rPr>
        <w:t xml:space="preserve">itself (in the list of divine names) </w:t>
      </w:r>
      <w:r w:rsidR="00986002" w:rsidRPr="00A32F1B">
        <w:rPr>
          <w:lang w:val="en-US"/>
        </w:rPr>
        <w:t>surrounded by varieties of Tetragrammaton, in identic forms to those present in the Greek magical papyri IA</w:t>
      </w:r>
      <w:r w:rsidR="00295F08" w:rsidRPr="00A32F1B">
        <w:rPr>
          <w:szCs w:val="24"/>
          <w:lang w:val="en-US"/>
        </w:rPr>
        <w:t>Ō</w:t>
      </w:r>
      <w:r w:rsidR="00986002" w:rsidRPr="00A32F1B">
        <w:rPr>
          <w:lang w:val="en-US"/>
        </w:rPr>
        <w:t xml:space="preserve"> (</w:t>
      </w:r>
      <w:r w:rsidR="00986002" w:rsidRPr="00A32F1B">
        <w:rPr>
          <w:rFonts w:asciiTheme="majorBidi" w:hAnsiTheme="majorBidi" w:cstheme="majorBidi"/>
          <w:sz w:val="32"/>
          <w:szCs w:val="28"/>
          <w:rtl/>
          <w:lang w:val="en-US"/>
        </w:rPr>
        <w:t>יאו, יהו</w:t>
      </w:r>
      <w:r w:rsidR="00986002" w:rsidRPr="00A32F1B">
        <w:rPr>
          <w:lang w:val="en-US"/>
        </w:rPr>
        <w:t>)</w:t>
      </w:r>
      <w:r w:rsidR="00596106" w:rsidRPr="00A32F1B">
        <w:rPr>
          <w:rStyle w:val="Znakapoznpodarou"/>
          <w:lang w:val="en-US"/>
        </w:rPr>
        <w:footnoteReference w:id="253"/>
      </w:r>
      <w:r w:rsidR="00986002" w:rsidRPr="00A32F1B">
        <w:rPr>
          <w:lang w:val="en-US"/>
        </w:rPr>
        <w:t xml:space="preserve"> and </w:t>
      </w:r>
      <w:r w:rsidR="00B31790" w:rsidRPr="00A32F1B">
        <w:rPr>
          <w:lang w:val="en-US"/>
        </w:rPr>
        <w:t>structures</w:t>
      </w:r>
      <w:r w:rsidR="00986002" w:rsidRPr="00A32F1B">
        <w:rPr>
          <w:lang w:val="en-US"/>
        </w:rPr>
        <w:t xml:space="preserve"> that seems to repeat and duplicate the Tetragrammaton (</w:t>
      </w:r>
      <w:r w:rsidR="006C55AF" w:rsidRPr="00A32F1B">
        <w:rPr>
          <w:rFonts w:asciiTheme="majorBidi" w:hAnsiTheme="majorBidi" w:cstheme="majorBidi"/>
          <w:sz w:val="32"/>
          <w:szCs w:val="28"/>
          <w:rtl/>
          <w:lang w:val="en-US"/>
        </w:rPr>
        <w:t>יאיי, יי, איי ייאה</w:t>
      </w:r>
      <w:r w:rsidR="00986002" w:rsidRPr="00A32F1B">
        <w:rPr>
          <w:lang w:val="en-US"/>
        </w:rPr>
        <w:t>)</w:t>
      </w:r>
      <w:r w:rsidR="006C55AF" w:rsidRPr="00A32F1B">
        <w:rPr>
          <w:rStyle w:val="Znakapoznpodarou"/>
          <w:lang w:val="en-US"/>
        </w:rPr>
        <w:footnoteReference w:id="254"/>
      </w:r>
      <w:r w:rsidR="006C55AF" w:rsidRPr="00A32F1B">
        <w:rPr>
          <w:lang w:val="en-US"/>
        </w:rPr>
        <w:t>.</w:t>
      </w:r>
      <w:r w:rsidR="0085117D" w:rsidRPr="00A32F1B">
        <w:rPr>
          <w:lang w:val="en-US"/>
        </w:rPr>
        <w:t xml:space="preserve"> In the second case ABRSK is also a part of </w:t>
      </w:r>
      <w:r w:rsidR="00656FB6" w:rsidRPr="00A32F1B">
        <w:rPr>
          <w:i/>
          <w:iCs/>
          <w:lang w:val="en-US"/>
        </w:rPr>
        <w:t>Ḥarba de-Moshe</w:t>
      </w:r>
      <w:r w:rsidR="00EE79D7" w:rsidRPr="00A32F1B">
        <w:rPr>
          <w:lang w:val="en-US"/>
        </w:rPr>
        <w:t xml:space="preserve"> text, in a succession of unknown names. The third form ABRKSS emerges in the last part of the treatise in which Abraxas assumes an important role in a revelation magical ritual</w:t>
      </w:r>
      <w:r w:rsidR="00FF32BD" w:rsidRPr="00A32F1B">
        <w:rPr>
          <w:lang w:val="en-US"/>
        </w:rPr>
        <w:t>, no other divine names appear in this context</w:t>
      </w:r>
      <w:r w:rsidR="00EE79D7" w:rsidRPr="00A32F1B">
        <w:rPr>
          <w:lang w:val="en-US"/>
        </w:rPr>
        <w:t>.</w:t>
      </w:r>
      <w:r w:rsidR="00397057" w:rsidRPr="00A32F1B">
        <w:rPr>
          <w:szCs w:val="24"/>
          <w:lang w:val="en-US"/>
        </w:rPr>
        <w:t xml:space="preserve"> </w:t>
      </w:r>
    </w:p>
    <w:p w14:paraId="556E2E34" w14:textId="3F2AAB93" w:rsidR="00FF32BD" w:rsidRPr="00A32F1B" w:rsidRDefault="00A02345" w:rsidP="00AE1E3C">
      <w:pPr>
        <w:rPr>
          <w:lang w:val="en-US"/>
        </w:rPr>
      </w:pPr>
      <w:r w:rsidRPr="00A32F1B">
        <w:rPr>
          <w:lang w:val="en-US"/>
        </w:rPr>
        <w:t>The list of divine names includes various divine entities of various origin. The most important element are the names belonging to Jewish tradition; divine names such as variations of the Tetragrammaton (</w:t>
      </w:r>
      <w:r w:rsidR="006D111F" w:rsidRPr="00A32F1B">
        <w:rPr>
          <w:rFonts w:cs="Times New Roman"/>
          <w:sz w:val="32"/>
          <w:szCs w:val="28"/>
          <w:rtl/>
          <w:lang w:val="en-US"/>
        </w:rPr>
        <w:t>יהו, יאו, יואו, יהוהה</w:t>
      </w:r>
      <w:r w:rsidRPr="00A32F1B">
        <w:rPr>
          <w:lang w:val="en-US"/>
        </w:rPr>
        <w:t>)</w:t>
      </w:r>
      <w:r w:rsidR="00BB73D1" w:rsidRPr="00A32F1B">
        <w:rPr>
          <w:rStyle w:val="Znakapoznpodarou"/>
          <w:lang w:val="en-US"/>
        </w:rPr>
        <w:footnoteReference w:id="255"/>
      </w:r>
      <w:r w:rsidRPr="00A32F1B">
        <w:rPr>
          <w:lang w:val="en-US"/>
        </w:rPr>
        <w:t xml:space="preserve"> and Tetragrammaton in its true form</w:t>
      </w:r>
      <w:r w:rsidR="00BB73D1" w:rsidRPr="00A32F1B">
        <w:rPr>
          <w:rStyle w:val="Znakapoznpodarou"/>
          <w:lang w:val="en-US"/>
        </w:rPr>
        <w:footnoteReference w:id="256"/>
      </w:r>
      <w:r w:rsidRPr="00A32F1B">
        <w:rPr>
          <w:lang w:val="en-US"/>
        </w:rPr>
        <w:t xml:space="preserve">, Sabaoth </w:t>
      </w:r>
      <w:r w:rsidR="005C11D6" w:rsidRPr="00A32F1B">
        <w:rPr>
          <w:lang w:val="en-US"/>
        </w:rPr>
        <w:t xml:space="preserve">or its abbreviation due to frequent use in </w:t>
      </w:r>
      <w:r w:rsidR="008F07D3" w:rsidRPr="00A32F1B">
        <w:rPr>
          <w:lang w:val="en-US"/>
        </w:rPr>
        <w:t>proximity</w:t>
      </w:r>
      <w:r w:rsidR="005C11D6" w:rsidRPr="00A32F1B">
        <w:rPr>
          <w:lang w:val="en-US"/>
        </w:rPr>
        <w:t xml:space="preserve"> </w:t>
      </w:r>
      <w:r w:rsidRPr="00A32F1B">
        <w:rPr>
          <w:lang w:val="en-US"/>
        </w:rPr>
        <w:t>(</w:t>
      </w:r>
      <w:r w:rsidR="006D111F" w:rsidRPr="00A32F1B">
        <w:rPr>
          <w:rFonts w:cs="Times New Roman"/>
          <w:sz w:val="32"/>
          <w:szCs w:val="28"/>
          <w:rtl/>
          <w:lang w:val="en-US"/>
        </w:rPr>
        <w:t>צבאות, צ</w:t>
      </w:r>
      <w:r w:rsidR="006D111F" w:rsidRPr="00A32F1B">
        <w:rPr>
          <w:rtl/>
          <w:lang w:val="en-US"/>
        </w:rPr>
        <w:t>'</w:t>
      </w:r>
      <w:r w:rsidRPr="00A32F1B">
        <w:rPr>
          <w:lang w:val="en-US"/>
        </w:rPr>
        <w:t>)</w:t>
      </w:r>
      <w:r w:rsidR="005C11D6" w:rsidRPr="00A32F1B">
        <w:rPr>
          <w:rStyle w:val="Znakapoznpodarou"/>
          <w:lang w:val="en-US"/>
        </w:rPr>
        <w:footnoteReference w:id="257"/>
      </w:r>
      <w:r w:rsidR="00613146" w:rsidRPr="00A32F1B">
        <w:rPr>
          <w:lang w:val="en-US"/>
        </w:rPr>
        <w:t>, and Elohim</w:t>
      </w:r>
      <w:r w:rsidR="00E92787" w:rsidRPr="00A32F1B">
        <w:rPr>
          <w:lang w:val="en-US"/>
        </w:rPr>
        <w:t xml:space="preserve"> </w:t>
      </w:r>
      <w:r w:rsidR="00AE1E3C" w:rsidRPr="00A32F1B">
        <w:rPr>
          <w:lang w:val="en-US"/>
        </w:rPr>
        <w:t>(</w:t>
      </w:r>
      <w:r w:rsidR="00AE1E3C" w:rsidRPr="00A32F1B">
        <w:rPr>
          <w:rFonts w:cs="Times New Roman"/>
          <w:sz w:val="32"/>
          <w:szCs w:val="28"/>
          <w:rtl/>
          <w:lang w:val="en-US"/>
        </w:rPr>
        <w:t>, אלהים אלוהים</w:t>
      </w:r>
      <w:r w:rsidR="00E92787" w:rsidRPr="00A32F1B">
        <w:rPr>
          <w:lang w:val="en-US"/>
        </w:rPr>
        <w:t>)</w:t>
      </w:r>
      <w:r w:rsidR="00E92787" w:rsidRPr="00A32F1B">
        <w:rPr>
          <w:rStyle w:val="Znakapoznpodarou"/>
          <w:lang w:val="en-US"/>
        </w:rPr>
        <w:footnoteReference w:id="258"/>
      </w:r>
      <w:r w:rsidRPr="00A32F1B">
        <w:rPr>
          <w:lang w:val="en-US"/>
        </w:rPr>
        <w:t>; and angelic names Gabriel (</w:t>
      </w:r>
      <w:r w:rsidR="006D111F" w:rsidRPr="00A32F1B">
        <w:rPr>
          <w:rFonts w:cs="Times New Roman"/>
          <w:sz w:val="32"/>
          <w:szCs w:val="28"/>
          <w:rtl/>
          <w:lang w:val="en-US"/>
        </w:rPr>
        <w:t>גבריאל, גבהאל</w:t>
      </w:r>
      <w:r w:rsidRPr="00A32F1B">
        <w:rPr>
          <w:lang w:val="en-US"/>
        </w:rPr>
        <w:t>)</w:t>
      </w:r>
      <w:r w:rsidR="005C11D6" w:rsidRPr="00A32F1B">
        <w:rPr>
          <w:rStyle w:val="Znakapoznpodarou"/>
          <w:lang w:val="en-US"/>
        </w:rPr>
        <w:footnoteReference w:id="259"/>
      </w:r>
      <w:r w:rsidRPr="00A32F1B">
        <w:rPr>
          <w:lang w:val="en-US"/>
        </w:rPr>
        <w:t>, Michael (</w:t>
      </w:r>
      <w:r w:rsidR="006D111F" w:rsidRPr="00A32F1B">
        <w:rPr>
          <w:rFonts w:cs="Times New Roman"/>
          <w:sz w:val="32"/>
          <w:szCs w:val="28"/>
          <w:rtl/>
          <w:lang w:val="en-US"/>
        </w:rPr>
        <w:t>מיכאל</w:t>
      </w:r>
      <w:r w:rsidRPr="00A32F1B">
        <w:rPr>
          <w:lang w:val="en-US"/>
        </w:rPr>
        <w:t>)</w:t>
      </w:r>
      <w:r w:rsidR="005C11D6" w:rsidRPr="00A32F1B">
        <w:rPr>
          <w:rStyle w:val="Znakapoznpodarou"/>
          <w:lang w:val="en-US"/>
        </w:rPr>
        <w:footnoteReference w:id="260"/>
      </w:r>
      <w:r w:rsidRPr="00A32F1B">
        <w:rPr>
          <w:lang w:val="en-US"/>
        </w:rPr>
        <w:t>, and</w:t>
      </w:r>
      <w:r w:rsidR="00AE1E3C" w:rsidRPr="00A32F1B">
        <w:rPr>
          <w:lang w:val="en-US"/>
        </w:rPr>
        <w:t xml:space="preserve"> </w:t>
      </w:r>
      <w:r w:rsidRPr="00A32F1B">
        <w:rPr>
          <w:lang w:val="en-US"/>
        </w:rPr>
        <w:t>other angelic names with the suffix “-el”</w:t>
      </w:r>
      <w:r w:rsidR="00AE1E3C" w:rsidRPr="00A32F1B">
        <w:rPr>
          <w:lang w:val="en-US"/>
        </w:rPr>
        <w:t xml:space="preserve"> (</w:t>
      </w:r>
      <w:r w:rsidR="00AE1E3C" w:rsidRPr="00A32F1B">
        <w:rPr>
          <w:rFonts w:asciiTheme="majorBidi" w:hAnsiTheme="majorBidi" w:cstheme="majorBidi"/>
          <w:sz w:val="32"/>
          <w:szCs w:val="28"/>
          <w:rtl/>
          <w:lang w:val="en-US"/>
        </w:rPr>
        <w:t xml:space="preserve">סוסבאל, אקדסיאל, מורתיאל, גדיאל, עניאל, ושריאל קבצקיאל </w:t>
      </w:r>
      <w:r w:rsidR="00065404" w:rsidRPr="00A32F1B">
        <w:rPr>
          <w:rFonts w:asciiTheme="majorBidi" w:hAnsiTheme="majorBidi" w:cstheme="majorBidi"/>
          <w:lang w:val="en-US"/>
        </w:rPr>
        <w:t>, etc</w:t>
      </w:r>
      <w:r w:rsidR="00AE1E3C" w:rsidRPr="00A32F1B">
        <w:rPr>
          <w:rFonts w:asciiTheme="majorBidi" w:hAnsiTheme="majorBidi" w:cstheme="majorBidi"/>
          <w:rtl/>
          <w:lang w:val="en-US"/>
        </w:rPr>
        <w:t>.</w:t>
      </w:r>
      <w:r w:rsidR="00AE1E3C" w:rsidRPr="00A32F1B">
        <w:rPr>
          <w:lang w:val="en-US"/>
        </w:rPr>
        <w:t>)</w:t>
      </w:r>
      <w:r w:rsidRPr="00A32F1B">
        <w:rPr>
          <w:lang w:val="en-US"/>
        </w:rPr>
        <w:t>.</w:t>
      </w:r>
      <w:r w:rsidR="00D534DD" w:rsidRPr="00A32F1B">
        <w:rPr>
          <w:rStyle w:val="Znakapoznpodarou"/>
          <w:lang w:val="en-US"/>
        </w:rPr>
        <w:footnoteReference w:id="261"/>
      </w:r>
      <w:r w:rsidRPr="00A32F1B">
        <w:rPr>
          <w:lang w:val="en-US"/>
        </w:rPr>
        <w:t xml:space="preserve"> Gaster proposes the presence of Greek and </w:t>
      </w:r>
      <w:r w:rsidRPr="00A32F1B">
        <w:rPr>
          <w:lang w:val="en-US"/>
        </w:rPr>
        <w:lastRenderedPageBreak/>
        <w:t xml:space="preserve">Egyptian </w:t>
      </w:r>
      <w:r w:rsidR="00830647" w:rsidRPr="00A32F1B">
        <w:rPr>
          <w:lang w:val="en-US"/>
        </w:rPr>
        <w:t>divine names</w:t>
      </w:r>
      <w:r w:rsidR="00F218D6" w:rsidRPr="00A32F1B">
        <w:rPr>
          <w:rStyle w:val="Znakapoznpodarou"/>
          <w:lang w:val="en-US"/>
        </w:rPr>
        <w:footnoteReference w:id="262"/>
      </w:r>
      <w:r w:rsidR="00830647" w:rsidRPr="00A32F1B">
        <w:rPr>
          <w:lang w:val="en-US"/>
        </w:rPr>
        <w:t>, e.g.</w:t>
      </w:r>
      <w:r w:rsidR="005A243C" w:rsidRPr="00A32F1B">
        <w:rPr>
          <w:lang w:val="en-US"/>
        </w:rPr>
        <w:t> </w:t>
      </w:r>
      <w:r w:rsidR="00830647" w:rsidRPr="00A32F1B">
        <w:rPr>
          <w:lang w:val="en-US"/>
        </w:rPr>
        <w:t>Zeus (</w:t>
      </w:r>
      <w:r w:rsidR="006D111F" w:rsidRPr="00A32F1B">
        <w:rPr>
          <w:rFonts w:cs="Times New Roman"/>
          <w:sz w:val="32"/>
          <w:szCs w:val="28"/>
          <w:rtl/>
          <w:lang w:val="en-US"/>
        </w:rPr>
        <w:t>יזאוס</w:t>
      </w:r>
      <w:r w:rsidR="00830647" w:rsidRPr="00A32F1B">
        <w:rPr>
          <w:lang w:val="en-US"/>
        </w:rPr>
        <w:t>)</w:t>
      </w:r>
      <w:r w:rsidR="005C11D6" w:rsidRPr="00A32F1B">
        <w:rPr>
          <w:rStyle w:val="Znakapoznpodarou"/>
          <w:lang w:val="en-US"/>
        </w:rPr>
        <w:footnoteReference w:id="263"/>
      </w:r>
      <w:r w:rsidR="00830647" w:rsidRPr="00A32F1B">
        <w:rPr>
          <w:lang w:val="en-US"/>
        </w:rPr>
        <w:t>, Isis (</w:t>
      </w:r>
      <w:r w:rsidR="006D111F" w:rsidRPr="00A32F1B">
        <w:rPr>
          <w:rFonts w:cs="Times New Roman"/>
          <w:sz w:val="32"/>
          <w:szCs w:val="28"/>
          <w:rtl/>
          <w:lang w:val="en-US"/>
        </w:rPr>
        <w:t>אסס</w:t>
      </w:r>
      <w:r w:rsidR="00830647" w:rsidRPr="00A32F1B">
        <w:rPr>
          <w:lang w:val="en-US"/>
        </w:rPr>
        <w:t>)</w:t>
      </w:r>
      <w:r w:rsidR="005C11D6" w:rsidRPr="00A32F1B">
        <w:rPr>
          <w:rStyle w:val="Znakapoznpodarou"/>
          <w:lang w:val="en-US"/>
        </w:rPr>
        <w:footnoteReference w:id="264"/>
      </w:r>
      <w:r w:rsidR="00830647" w:rsidRPr="00A32F1B">
        <w:rPr>
          <w:lang w:val="en-US"/>
        </w:rPr>
        <w:t>, Osiris (</w:t>
      </w:r>
      <w:r w:rsidR="006D111F" w:rsidRPr="00A32F1B">
        <w:rPr>
          <w:rFonts w:cs="Times New Roman"/>
          <w:sz w:val="32"/>
          <w:szCs w:val="28"/>
          <w:rtl/>
          <w:lang w:val="en-US"/>
        </w:rPr>
        <w:t>אוזרוס</w:t>
      </w:r>
      <w:r w:rsidR="00830647" w:rsidRPr="00A32F1B">
        <w:rPr>
          <w:lang w:val="en-US"/>
        </w:rPr>
        <w:t>)</w:t>
      </w:r>
      <w:r w:rsidR="005C11D6" w:rsidRPr="00A32F1B">
        <w:rPr>
          <w:rStyle w:val="Znakapoznpodarou"/>
          <w:lang w:val="en-US"/>
        </w:rPr>
        <w:footnoteReference w:id="265"/>
      </w:r>
      <w:r w:rsidR="00830647" w:rsidRPr="00A32F1B">
        <w:rPr>
          <w:lang w:val="en-US"/>
        </w:rPr>
        <w:t>, and Thoth (</w:t>
      </w:r>
      <w:r w:rsidR="006D111F" w:rsidRPr="00A32F1B">
        <w:rPr>
          <w:rFonts w:cs="Times New Roman"/>
          <w:sz w:val="32"/>
          <w:szCs w:val="28"/>
          <w:rtl/>
          <w:lang w:val="en-US"/>
        </w:rPr>
        <w:t>תוהות</w:t>
      </w:r>
      <w:r w:rsidR="00830647" w:rsidRPr="00A32F1B">
        <w:rPr>
          <w:lang w:val="en-US"/>
        </w:rPr>
        <w:t>)</w:t>
      </w:r>
      <w:r w:rsidR="005C11D6" w:rsidRPr="00A32F1B">
        <w:rPr>
          <w:rStyle w:val="Znakapoznpodarou"/>
          <w:lang w:val="en-US"/>
        </w:rPr>
        <w:footnoteReference w:id="266"/>
      </w:r>
      <w:r w:rsidR="00830647" w:rsidRPr="00A32F1B">
        <w:rPr>
          <w:lang w:val="en-US"/>
        </w:rPr>
        <w:t>, albeit these words are assumed to be equivalent of the divine names</w:t>
      </w:r>
      <w:r w:rsidR="00CE6246" w:rsidRPr="00A32F1B">
        <w:rPr>
          <w:lang w:val="en-US"/>
        </w:rPr>
        <w:t>,</w:t>
      </w:r>
      <w:r w:rsidR="00830647" w:rsidRPr="00A32F1B">
        <w:rPr>
          <w:lang w:val="en-US"/>
        </w:rPr>
        <w:t xml:space="preserve"> and Gaster warns against a rash assumption concerning the divine name associations.</w:t>
      </w:r>
      <w:r w:rsidR="00830647" w:rsidRPr="00A32F1B">
        <w:rPr>
          <w:rStyle w:val="Znakapoznpodarou"/>
          <w:lang w:val="en-US"/>
        </w:rPr>
        <w:footnoteReference w:id="267"/>
      </w:r>
    </w:p>
    <w:p w14:paraId="403817D2" w14:textId="5CD3BB4D" w:rsidR="00B90B29" w:rsidRPr="00A32F1B" w:rsidRDefault="00F006C6" w:rsidP="004B60D2">
      <w:pPr>
        <w:rPr>
          <w:szCs w:val="24"/>
          <w:lang w:val="en-US"/>
        </w:rPr>
      </w:pPr>
      <w:r w:rsidRPr="00A32F1B">
        <w:rPr>
          <w:lang w:val="en-US"/>
        </w:rPr>
        <w:t xml:space="preserve">Two other interesting entities that are present in other magical sources, </w:t>
      </w:r>
      <w:proofErr w:type="gramStart"/>
      <w:r w:rsidRPr="00A32F1B">
        <w:rPr>
          <w:lang w:val="en-US"/>
        </w:rPr>
        <w:t>e.g.</w:t>
      </w:r>
      <w:proofErr w:type="gramEnd"/>
      <w:r w:rsidRPr="00A32F1B">
        <w:rPr>
          <w:lang w:val="en-US"/>
        </w:rPr>
        <w:t xml:space="preserve"> Greek magical papyri, and amulets; are assumed to be found in </w:t>
      </w:r>
      <w:r w:rsidR="00656FB6" w:rsidRPr="00A32F1B">
        <w:rPr>
          <w:i/>
          <w:iCs/>
          <w:lang w:val="en-US"/>
        </w:rPr>
        <w:t>Ḥarba de-Moshe</w:t>
      </w:r>
      <w:r w:rsidR="00B252AD" w:rsidRPr="00A32F1B">
        <w:rPr>
          <w:lang w:val="en-US"/>
        </w:rPr>
        <w:t>; t</w:t>
      </w:r>
      <w:r w:rsidRPr="00A32F1B">
        <w:rPr>
          <w:lang w:val="en-US"/>
        </w:rPr>
        <w:t xml:space="preserve">he known formula </w:t>
      </w:r>
      <w:r w:rsidRPr="00A32F1B">
        <w:rPr>
          <w:szCs w:val="24"/>
          <w:lang w:val="en-US"/>
        </w:rPr>
        <w:t>ABLANATHANALBA, in the text as ABLA NATA (</w:t>
      </w:r>
      <w:r w:rsidRPr="00A32F1B">
        <w:rPr>
          <w:rFonts w:cs="Times New Roman"/>
          <w:sz w:val="28"/>
          <w:szCs w:val="28"/>
          <w:rtl/>
          <w:lang w:val="en-US"/>
        </w:rPr>
        <w:t>אבלא נאתה</w:t>
      </w:r>
      <w:r w:rsidRPr="00A32F1B">
        <w:rPr>
          <w:szCs w:val="24"/>
          <w:lang w:val="en-US"/>
        </w:rPr>
        <w:t>)</w:t>
      </w:r>
      <w:r w:rsidRPr="00A32F1B">
        <w:rPr>
          <w:rStyle w:val="Znakapoznpodarou"/>
          <w:szCs w:val="24"/>
          <w:lang w:val="en-US"/>
        </w:rPr>
        <w:footnoteReference w:id="268"/>
      </w:r>
      <w:r w:rsidRPr="00A32F1B">
        <w:rPr>
          <w:szCs w:val="24"/>
          <w:lang w:val="en-US"/>
        </w:rPr>
        <w:t xml:space="preserve"> and SEMESILAM as MESULAM</w:t>
      </w:r>
      <w:r w:rsidR="00B252AD" w:rsidRPr="00A32F1B">
        <w:rPr>
          <w:rStyle w:val="Znakapoznpodarou"/>
          <w:szCs w:val="24"/>
          <w:lang w:val="en-US"/>
        </w:rPr>
        <w:footnoteReference w:id="269"/>
      </w:r>
      <w:r w:rsidRPr="00A32F1B">
        <w:rPr>
          <w:szCs w:val="24"/>
          <w:lang w:val="en-US"/>
        </w:rPr>
        <w:t xml:space="preserve"> MESULAM SE (</w:t>
      </w:r>
      <w:r w:rsidRPr="00A32F1B">
        <w:rPr>
          <w:rFonts w:cs="Times New Roman"/>
          <w:sz w:val="28"/>
          <w:szCs w:val="28"/>
          <w:rtl/>
          <w:lang w:val="en-US"/>
        </w:rPr>
        <w:t>מסולם מסולם סא</w:t>
      </w:r>
      <w:r w:rsidRPr="00A32F1B">
        <w:rPr>
          <w:szCs w:val="24"/>
          <w:lang w:val="en-US"/>
        </w:rPr>
        <w:t>)</w:t>
      </w:r>
      <w:r w:rsidRPr="00A32F1B">
        <w:rPr>
          <w:rStyle w:val="Znakapoznpodarou"/>
          <w:szCs w:val="24"/>
          <w:lang w:val="en-US"/>
        </w:rPr>
        <w:footnoteReference w:id="270"/>
      </w:r>
      <w:r w:rsidRPr="00A32F1B">
        <w:rPr>
          <w:szCs w:val="24"/>
          <w:lang w:val="en-US"/>
        </w:rPr>
        <w:t>.</w:t>
      </w:r>
    </w:p>
    <w:p w14:paraId="369611B6" w14:textId="026174B8" w:rsidR="007649B0" w:rsidRPr="00A32F1B" w:rsidRDefault="00325083" w:rsidP="004F031B">
      <w:pPr>
        <w:rPr>
          <w:szCs w:val="24"/>
          <w:lang w:val="en-US"/>
        </w:rPr>
      </w:pPr>
      <w:r w:rsidRPr="00A32F1B">
        <w:rPr>
          <w:szCs w:val="24"/>
          <w:lang w:val="en-US"/>
        </w:rPr>
        <w:t xml:space="preserve">Concerning Abraxas’s identity in </w:t>
      </w:r>
      <w:r w:rsidR="00656FB6" w:rsidRPr="00A32F1B">
        <w:rPr>
          <w:i/>
          <w:iCs/>
          <w:lang w:val="en-US"/>
        </w:rPr>
        <w:t>Ḥarba de-Moshe</w:t>
      </w:r>
      <w:r w:rsidRPr="00A32F1B">
        <w:rPr>
          <w:szCs w:val="24"/>
          <w:lang w:val="en-US"/>
        </w:rPr>
        <w:t>, while in the successive list of names the identity is not apparent or assumable from the context</w:t>
      </w:r>
      <w:r w:rsidR="004E1F8A" w:rsidRPr="00A32F1B">
        <w:rPr>
          <w:szCs w:val="24"/>
          <w:lang w:val="en-US"/>
        </w:rPr>
        <w:t xml:space="preserve"> as no fixed or preferred context may be found it seems that Abraxas here serves as a </w:t>
      </w:r>
      <w:r w:rsidR="004E1F8A" w:rsidRPr="00A32F1B">
        <w:rPr>
          <w:i/>
          <w:iCs/>
          <w:szCs w:val="24"/>
          <w:lang w:val="en-US"/>
        </w:rPr>
        <w:t>vox magicae</w:t>
      </w:r>
      <w:r w:rsidR="00A95D41" w:rsidRPr="00A32F1B">
        <w:rPr>
          <w:szCs w:val="24"/>
          <w:lang w:val="en-US"/>
        </w:rPr>
        <w:t xml:space="preserve"> for medical and mind-controlling magic</w:t>
      </w:r>
      <w:r w:rsidR="004E1F8A" w:rsidRPr="00A32F1B">
        <w:rPr>
          <w:szCs w:val="24"/>
          <w:lang w:val="en-US"/>
        </w:rPr>
        <w:t>.</w:t>
      </w:r>
      <w:r w:rsidR="00AE6325" w:rsidRPr="00A32F1B">
        <w:rPr>
          <w:szCs w:val="24"/>
          <w:lang w:val="en-US"/>
        </w:rPr>
        <w:t xml:space="preserve"> Whereas</w:t>
      </w:r>
      <w:r w:rsidRPr="00A32F1B">
        <w:rPr>
          <w:szCs w:val="24"/>
          <w:lang w:val="en-US"/>
        </w:rPr>
        <w:t xml:space="preserve"> </w:t>
      </w:r>
      <w:r w:rsidR="00AE6325" w:rsidRPr="00A32F1B">
        <w:rPr>
          <w:szCs w:val="24"/>
          <w:lang w:val="en-US"/>
        </w:rPr>
        <w:t>Abraxas</w:t>
      </w:r>
      <w:r w:rsidRPr="00A32F1B">
        <w:rPr>
          <w:szCs w:val="24"/>
          <w:lang w:val="en-US"/>
        </w:rPr>
        <w:t xml:space="preserve"> as a part of the magical ritual, it is referred to as “prince whose name is Abraksas”</w:t>
      </w:r>
      <w:r w:rsidRPr="00A32F1B">
        <w:rPr>
          <w:rStyle w:val="Znakapoznpodarou"/>
          <w:szCs w:val="24"/>
          <w:lang w:val="en-US"/>
        </w:rPr>
        <w:footnoteReference w:id="271"/>
      </w:r>
      <w:r w:rsidRPr="00A32F1B">
        <w:rPr>
          <w:szCs w:val="24"/>
          <w:lang w:val="en-US"/>
        </w:rPr>
        <w:t xml:space="preserve"> thus assuming a prominent role </w:t>
      </w:r>
      <w:r w:rsidR="00AE6325" w:rsidRPr="00A32F1B">
        <w:rPr>
          <w:szCs w:val="24"/>
          <w:lang w:val="en-US"/>
        </w:rPr>
        <w:t xml:space="preserve">of a powerful entity </w:t>
      </w:r>
      <w:r w:rsidRPr="00A32F1B">
        <w:rPr>
          <w:szCs w:val="24"/>
          <w:lang w:val="en-US"/>
        </w:rPr>
        <w:t>in the ritual.</w:t>
      </w:r>
      <w:r w:rsidR="002D6DDE" w:rsidRPr="00A32F1B">
        <w:rPr>
          <w:szCs w:val="24"/>
          <w:lang w:val="en-US"/>
        </w:rPr>
        <w:t xml:space="preserve"> The notion of a “prince” as a ruler might have been connected to the role of angels as rulers of celestial bodies and other natural phenomena</w:t>
      </w:r>
      <w:r w:rsidR="002D6DDE" w:rsidRPr="00A32F1B">
        <w:rPr>
          <w:rStyle w:val="Znakapoznpodarou"/>
          <w:szCs w:val="24"/>
          <w:lang w:val="en-US"/>
        </w:rPr>
        <w:footnoteReference w:id="272"/>
      </w:r>
      <w:r w:rsidR="002D6DDE" w:rsidRPr="00A32F1B">
        <w:rPr>
          <w:szCs w:val="24"/>
          <w:lang w:val="en-US"/>
        </w:rPr>
        <w:t xml:space="preserve">, correspondingly </w:t>
      </w:r>
      <w:r w:rsidR="00346B9A" w:rsidRPr="00A32F1B">
        <w:rPr>
          <w:szCs w:val="24"/>
          <w:lang w:val="en-US"/>
        </w:rPr>
        <w:t xml:space="preserve">in Gnostic Basilidean tradition </w:t>
      </w:r>
      <w:r w:rsidR="002D6DDE" w:rsidRPr="00A32F1B">
        <w:rPr>
          <w:szCs w:val="24"/>
          <w:lang w:val="en-US"/>
        </w:rPr>
        <w:t xml:space="preserve">Abraxas was perceived in a role of the ruler of the 365 angels and their heavens assuming a role of angelic being, therefore the text of </w:t>
      </w:r>
      <w:r w:rsidR="00656FB6" w:rsidRPr="00A32F1B">
        <w:rPr>
          <w:i/>
          <w:iCs/>
          <w:lang w:val="en-US"/>
        </w:rPr>
        <w:t>Ḥarba de-Moshe</w:t>
      </w:r>
      <w:r w:rsidR="00656FB6" w:rsidRPr="00A32F1B">
        <w:rPr>
          <w:szCs w:val="24"/>
          <w:lang w:val="en-US"/>
        </w:rPr>
        <w:t xml:space="preserve"> </w:t>
      </w:r>
      <w:r w:rsidR="008A383F" w:rsidRPr="00A32F1B">
        <w:rPr>
          <w:szCs w:val="24"/>
          <w:lang w:val="en-US"/>
        </w:rPr>
        <w:t>probably</w:t>
      </w:r>
      <w:r w:rsidR="002D6DDE" w:rsidRPr="00A32F1B">
        <w:rPr>
          <w:szCs w:val="24"/>
          <w:lang w:val="en-US"/>
        </w:rPr>
        <w:t xml:space="preserve"> </w:t>
      </w:r>
      <w:r w:rsidR="00346B9A" w:rsidRPr="00A32F1B">
        <w:rPr>
          <w:szCs w:val="24"/>
          <w:lang w:val="en-US"/>
        </w:rPr>
        <w:t>alluded</w:t>
      </w:r>
      <w:r w:rsidR="002D6DDE" w:rsidRPr="00A32F1B">
        <w:rPr>
          <w:szCs w:val="24"/>
          <w:lang w:val="en-US"/>
        </w:rPr>
        <w:t xml:space="preserve"> to identic perception of Abraxas as an angelic entity.</w:t>
      </w:r>
      <w:r w:rsidR="008A383F" w:rsidRPr="00A32F1B">
        <w:rPr>
          <w:szCs w:val="24"/>
          <w:lang w:val="en-US"/>
        </w:rPr>
        <w:t xml:space="preserve"> Reference to Abraxas as a prince appears also in </w:t>
      </w:r>
      <w:r w:rsidR="008A383F" w:rsidRPr="00A32F1B">
        <w:rPr>
          <w:i/>
          <w:iCs/>
          <w:szCs w:val="24"/>
          <w:lang w:val="en-US"/>
        </w:rPr>
        <w:t>Sefer ha-Razim</w:t>
      </w:r>
      <w:r w:rsidR="008A383F" w:rsidRPr="00A32F1B">
        <w:rPr>
          <w:szCs w:val="24"/>
          <w:lang w:val="en-US"/>
        </w:rPr>
        <w:t>, where the context clearly associates the term “prince” with angels</w:t>
      </w:r>
      <w:r w:rsidR="008B37F2" w:rsidRPr="00A32F1B">
        <w:rPr>
          <w:rStyle w:val="Znakapoznpodarou"/>
          <w:lang w:val="en-US"/>
        </w:rPr>
        <w:footnoteReference w:id="273"/>
      </w:r>
      <w:r w:rsidR="008A383F" w:rsidRPr="00A32F1B">
        <w:rPr>
          <w:szCs w:val="24"/>
          <w:lang w:val="en-US"/>
        </w:rPr>
        <w:t xml:space="preserve">; parallel term is “minister” which is used in the Gnostic literature </w:t>
      </w:r>
      <w:r w:rsidR="008B37F2" w:rsidRPr="00A32F1B">
        <w:rPr>
          <w:szCs w:val="24"/>
          <w:lang w:val="en-US"/>
        </w:rPr>
        <w:t>and</w:t>
      </w:r>
      <w:r w:rsidR="000D3A16" w:rsidRPr="00A32F1B">
        <w:rPr>
          <w:szCs w:val="24"/>
          <w:lang w:val="en-US"/>
        </w:rPr>
        <w:t xml:space="preserve"> “ministering” actions</w:t>
      </w:r>
      <w:r w:rsidR="008A383F" w:rsidRPr="00A32F1B">
        <w:rPr>
          <w:szCs w:val="24"/>
          <w:lang w:val="en-US"/>
        </w:rPr>
        <w:t xml:space="preserve"> in </w:t>
      </w:r>
      <w:r w:rsidR="008A383F" w:rsidRPr="00A32F1B">
        <w:rPr>
          <w:i/>
          <w:iCs/>
          <w:szCs w:val="24"/>
          <w:lang w:val="en-US"/>
        </w:rPr>
        <w:t>Sefer ha-Razim</w:t>
      </w:r>
      <w:r w:rsidR="008922DC" w:rsidRPr="00A32F1B">
        <w:rPr>
          <w:rStyle w:val="Znakapoznpodarou"/>
          <w:szCs w:val="24"/>
          <w:lang w:val="en-US"/>
        </w:rPr>
        <w:footnoteReference w:id="274"/>
      </w:r>
      <w:r w:rsidR="000D3A16" w:rsidRPr="00A32F1B">
        <w:rPr>
          <w:szCs w:val="24"/>
          <w:lang w:val="en-US"/>
        </w:rPr>
        <w:t>.</w:t>
      </w:r>
    </w:p>
    <w:p w14:paraId="040DC955" w14:textId="20D1E9B3" w:rsidR="004F031B" w:rsidRPr="00A32F1B" w:rsidRDefault="004F031B" w:rsidP="0013005A">
      <w:pPr>
        <w:pStyle w:val="Nadpis2"/>
        <w:numPr>
          <w:ilvl w:val="1"/>
          <w:numId w:val="3"/>
        </w:numPr>
        <w:rPr>
          <w:lang w:val="en-US"/>
        </w:rPr>
      </w:pPr>
      <w:bookmarkStart w:id="10" w:name="_Toc70950045"/>
      <w:r w:rsidRPr="00A32F1B">
        <w:rPr>
          <w:lang w:val="en-US"/>
        </w:rPr>
        <w:lastRenderedPageBreak/>
        <w:t>Sefer ha-Razim</w:t>
      </w:r>
      <w:bookmarkEnd w:id="10"/>
    </w:p>
    <w:p w14:paraId="2E6DC9EC" w14:textId="03E0C11F" w:rsidR="00372915" w:rsidRPr="00A32F1B" w:rsidRDefault="0012083B" w:rsidP="00372915">
      <w:pPr>
        <w:rPr>
          <w:lang w:val="en-US"/>
        </w:rPr>
      </w:pPr>
      <w:r w:rsidRPr="00A32F1B">
        <w:rPr>
          <w:lang w:val="en-US"/>
        </w:rPr>
        <w:t xml:space="preserve">The magical treatise </w:t>
      </w:r>
      <w:r w:rsidRPr="00A32F1B">
        <w:rPr>
          <w:i/>
          <w:iCs/>
          <w:lang w:val="en-US"/>
        </w:rPr>
        <w:t>Sefer ha-Razim</w:t>
      </w:r>
      <w:r w:rsidR="00315D68" w:rsidRPr="00A32F1B">
        <w:rPr>
          <w:lang w:val="en-US"/>
        </w:rPr>
        <w:t xml:space="preserve"> (</w:t>
      </w:r>
      <w:r w:rsidR="00656FB6" w:rsidRPr="00D753A5">
        <w:rPr>
          <w:i/>
          <w:iCs/>
          <w:lang w:val="en-US"/>
        </w:rPr>
        <w:t xml:space="preserve">The </w:t>
      </w:r>
      <w:r w:rsidR="00315D68" w:rsidRPr="00D753A5">
        <w:rPr>
          <w:i/>
          <w:iCs/>
          <w:lang w:val="en-US"/>
        </w:rPr>
        <w:t>Book of Secrets</w:t>
      </w:r>
      <w:r w:rsidR="00315D68" w:rsidRPr="00A32F1B">
        <w:rPr>
          <w:lang w:val="en-US"/>
        </w:rPr>
        <w:t>, or also</w:t>
      </w:r>
      <w:r w:rsidR="00656FB6" w:rsidRPr="00A32F1B">
        <w:rPr>
          <w:lang w:val="en-US"/>
        </w:rPr>
        <w:t xml:space="preserve"> </w:t>
      </w:r>
      <w:r w:rsidR="00656FB6" w:rsidRPr="00D753A5">
        <w:rPr>
          <w:i/>
          <w:iCs/>
          <w:lang w:val="en-US"/>
        </w:rPr>
        <w:t>The</w:t>
      </w:r>
      <w:r w:rsidR="00315D68" w:rsidRPr="00D753A5">
        <w:rPr>
          <w:i/>
          <w:iCs/>
          <w:lang w:val="en-US"/>
        </w:rPr>
        <w:t xml:space="preserve"> Book of Mysteries</w:t>
      </w:r>
      <w:r w:rsidR="00315D68" w:rsidRPr="00A32F1B">
        <w:rPr>
          <w:lang w:val="en-US"/>
        </w:rPr>
        <w:t>)</w:t>
      </w:r>
      <w:r w:rsidR="00372915" w:rsidRPr="00A32F1B">
        <w:rPr>
          <w:lang w:val="en-US"/>
        </w:rPr>
        <w:t xml:space="preserve"> introduces Jewish magical tradition ascribing an essential role to angels and their hierarchy within the system presented in the text. The process of compilation and contextualization of the treatise was immensely influential in the scholarship interested in the magical traditions and their historical development.</w:t>
      </w:r>
      <w:r w:rsidR="00315D68" w:rsidRPr="00A32F1B">
        <w:rPr>
          <w:rStyle w:val="Znakapoznpodarou"/>
          <w:lang w:val="en-US"/>
        </w:rPr>
        <w:footnoteReference w:id="275"/>
      </w:r>
    </w:p>
    <w:p w14:paraId="20E40397" w14:textId="31542CE6" w:rsidR="00A12CFF" w:rsidRPr="00A32F1B" w:rsidRDefault="00D94485" w:rsidP="00A12CFF">
      <w:pPr>
        <w:rPr>
          <w:lang w:val="en-US"/>
        </w:rPr>
      </w:pPr>
      <w:r w:rsidRPr="00A32F1B">
        <w:rPr>
          <w:i/>
          <w:iCs/>
          <w:lang w:val="en-US"/>
        </w:rPr>
        <w:t>Sefer ha-Razim</w:t>
      </w:r>
      <w:r w:rsidRPr="00A32F1B">
        <w:rPr>
          <w:lang w:val="en-US"/>
        </w:rPr>
        <w:t xml:space="preserve"> was published in 1966 by Mordecai Marg</w:t>
      </w:r>
      <w:r w:rsidR="00315D68" w:rsidRPr="00A32F1B">
        <w:rPr>
          <w:lang w:val="en-US"/>
        </w:rPr>
        <w:t>a</w:t>
      </w:r>
      <w:r w:rsidRPr="00A32F1B">
        <w:rPr>
          <w:lang w:val="en-US"/>
        </w:rPr>
        <w:t xml:space="preserve">lioth who extensively researched various fragments of magical texts that </w:t>
      </w:r>
      <w:r w:rsidR="004D6962" w:rsidRPr="00A32F1B">
        <w:rPr>
          <w:lang w:val="en-US"/>
        </w:rPr>
        <w:t>he</w:t>
      </w:r>
      <w:r w:rsidRPr="00A32F1B">
        <w:rPr>
          <w:lang w:val="en-US"/>
        </w:rPr>
        <w:t xml:space="preserve"> put into context and assembled the final document comprising of texts traditionally credited t</w:t>
      </w:r>
      <w:r w:rsidR="00CD0AAD" w:rsidRPr="00A32F1B">
        <w:rPr>
          <w:lang w:val="en-US"/>
        </w:rPr>
        <w:t>o</w:t>
      </w:r>
      <w:r w:rsidRPr="00A32F1B">
        <w:rPr>
          <w:lang w:val="en-US"/>
        </w:rPr>
        <w:t xml:space="preserve"> angel Raziel.</w:t>
      </w:r>
      <w:r w:rsidR="0098502B" w:rsidRPr="00A32F1B">
        <w:rPr>
          <w:lang w:val="en-US"/>
        </w:rPr>
        <w:t xml:space="preserve"> A large portion of the text was accessible to European researchers before the publication of Marg</w:t>
      </w:r>
      <w:r w:rsidR="00ED523A" w:rsidRPr="00A32F1B">
        <w:rPr>
          <w:lang w:val="en-US"/>
        </w:rPr>
        <w:t>a</w:t>
      </w:r>
      <w:r w:rsidR="0098502B" w:rsidRPr="00A32F1B">
        <w:rPr>
          <w:lang w:val="en-US"/>
        </w:rPr>
        <w:t xml:space="preserve">lioth’s work, however, he implemented new fragments found in the Cairo </w:t>
      </w:r>
      <w:r w:rsidR="00FB5AB0" w:rsidRPr="00A32F1B">
        <w:rPr>
          <w:lang w:val="en-US"/>
        </w:rPr>
        <w:t>G</w:t>
      </w:r>
      <w:r w:rsidR="0098502B" w:rsidRPr="00A32F1B">
        <w:rPr>
          <w:lang w:val="en-US"/>
        </w:rPr>
        <w:t>eniza</w:t>
      </w:r>
      <w:r w:rsidR="00D753A5">
        <w:rPr>
          <w:lang w:val="en-US"/>
        </w:rPr>
        <w:t>h</w:t>
      </w:r>
      <w:r w:rsidR="00380A79" w:rsidRPr="00A32F1B">
        <w:rPr>
          <w:lang w:val="en-US"/>
        </w:rPr>
        <w:t xml:space="preserve">. </w:t>
      </w:r>
      <w:r w:rsidR="00CD0AAD" w:rsidRPr="00A32F1B">
        <w:rPr>
          <w:lang w:val="en-US"/>
        </w:rPr>
        <w:t>Marg</w:t>
      </w:r>
      <w:r w:rsidR="00ED523A" w:rsidRPr="00A32F1B">
        <w:rPr>
          <w:lang w:val="en-US"/>
        </w:rPr>
        <w:t>a</w:t>
      </w:r>
      <w:r w:rsidR="00CD0AAD" w:rsidRPr="00A32F1B">
        <w:rPr>
          <w:lang w:val="en-US"/>
        </w:rPr>
        <w:t>lioth worked with fragments written in Hebrew, Arabic, and Latin.</w:t>
      </w:r>
      <w:r w:rsidR="00CD0AAD" w:rsidRPr="00A32F1B">
        <w:rPr>
          <w:rStyle w:val="Znakapoznpodarou"/>
          <w:lang w:val="en-US"/>
        </w:rPr>
        <w:footnoteReference w:id="276"/>
      </w:r>
      <w:r w:rsidR="00CD0AAD" w:rsidRPr="00A32F1B">
        <w:rPr>
          <w:lang w:val="en-US"/>
        </w:rPr>
        <w:t xml:space="preserve"> </w:t>
      </w:r>
      <w:r w:rsidR="00724A0A" w:rsidRPr="00A32F1B">
        <w:rPr>
          <w:lang w:val="en-US"/>
        </w:rPr>
        <w:t xml:space="preserve">To add to the </w:t>
      </w:r>
      <w:r w:rsidR="00380A79" w:rsidRPr="00A32F1B">
        <w:rPr>
          <w:lang w:val="en-US"/>
        </w:rPr>
        <w:t>comprehensive</w:t>
      </w:r>
      <w:r w:rsidR="00724A0A" w:rsidRPr="00A32F1B">
        <w:rPr>
          <w:lang w:val="en-US"/>
        </w:rPr>
        <w:t xml:space="preserve"> mixture, there are sequences written in Hebrew which are only transliterated original Greek text.</w:t>
      </w:r>
      <w:r w:rsidR="00724A0A" w:rsidRPr="00A32F1B">
        <w:rPr>
          <w:rStyle w:val="Znakapoznpodarou"/>
          <w:lang w:val="en-US"/>
        </w:rPr>
        <w:footnoteReference w:id="277"/>
      </w:r>
      <w:r w:rsidR="00724A0A" w:rsidRPr="00A32F1B">
        <w:rPr>
          <w:lang w:val="en-US"/>
        </w:rPr>
        <w:t xml:space="preserve"> </w:t>
      </w:r>
      <w:r w:rsidR="008E0472" w:rsidRPr="00A32F1B">
        <w:rPr>
          <w:lang w:val="en-US"/>
        </w:rPr>
        <w:t xml:space="preserve">The </w:t>
      </w:r>
      <w:r w:rsidR="00D753A5">
        <w:rPr>
          <w:lang w:val="en-US"/>
        </w:rPr>
        <w:t>discovered</w:t>
      </w:r>
      <w:r w:rsidR="008E0472" w:rsidRPr="00A32F1B">
        <w:rPr>
          <w:lang w:val="en-US"/>
        </w:rPr>
        <w:t xml:space="preserve"> fragments in Genizah </w:t>
      </w:r>
      <w:r w:rsidR="00947996" w:rsidRPr="00A32F1B">
        <w:rPr>
          <w:lang w:val="en-US"/>
        </w:rPr>
        <w:t>initiated</w:t>
      </w:r>
      <w:r w:rsidR="008E0472" w:rsidRPr="00A32F1B">
        <w:rPr>
          <w:lang w:val="en-US"/>
        </w:rPr>
        <w:t xml:space="preserve"> Margolioth’s work assembling the text which was not available in its entirety yet, the correctness of </w:t>
      </w:r>
      <w:r w:rsidR="00947996" w:rsidRPr="00A32F1B">
        <w:rPr>
          <w:lang w:val="en-US"/>
        </w:rPr>
        <w:t xml:space="preserve">his compilation </w:t>
      </w:r>
      <w:r w:rsidR="00964878" w:rsidRPr="00A32F1B">
        <w:rPr>
          <w:lang w:val="en-US"/>
        </w:rPr>
        <w:t xml:space="preserve">of fragments and pieces of texts present in already available manuscripts </w:t>
      </w:r>
      <w:r w:rsidR="00947996" w:rsidRPr="00A32F1B">
        <w:rPr>
          <w:lang w:val="en-US"/>
        </w:rPr>
        <w:t>was attested by previously mentioned</w:t>
      </w:r>
      <w:r w:rsidR="008E0472" w:rsidRPr="00A32F1B">
        <w:rPr>
          <w:lang w:val="en-US"/>
        </w:rPr>
        <w:t xml:space="preserve"> </w:t>
      </w:r>
      <w:r w:rsidR="00A12CFF" w:rsidRPr="00A32F1B">
        <w:rPr>
          <w:lang w:val="en-US"/>
        </w:rPr>
        <w:t xml:space="preserve">Arabic manuscript </w:t>
      </w:r>
      <w:r w:rsidR="00A12CFF" w:rsidRPr="00A32F1B">
        <w:rPr>
          <w:i/>
          <w:iCs/>
          <w:lang w:val="en-US"/>
        </w:rPr>
        <w:t>Sifr Ādam</w:t>
      </w:r>
      <w:r w:rsidR="00A12CFF" w:rsidRPr="00A32F1B">
        <w:rPr>
          <w:lang w:val="en-US"/>
        </w:rPr>
        <w:t xml:space="preserve">, that contains the Arabic version of </w:t>
      </w:r>
      <w:r w:rsidR="00A12CFF" w:rsidRPr="00A32F1B">
        <w:rPr>
          <w:i/>
          <w:iCs/>
          <w:lang w:val="en-US"/>
        </w:rPr>
        <w:t>Sefer ha-Razim</w:t>
      </w:r>
      <w:r w:rsidR="00947996" w:rsidRPr="00A32F1B">
        <w:rPr>
          <w:lang w:val="en-US"/>
        </w:rPr>
        <w:t xml:space="preserve">; the </w:t>
      </w:r>
      <w:r w:rsidR="00964878" w:rsidRPr="00A32F1B">
        <w:rPr>
          <w:lang w:val="en-US"/>
        </w:rPr>
        <w:t>content pieced together</w:t>
      </w:r>
      <w:r w:rsidR="00947996" w:rsidRPr="00A32F1B">
        <w:rPr>
          <w:lang w:val="en-US"/>
        </w:rPr>
        <w:t xml:space="preserve"> by Margolioth </w:t>
      </w:r>
      <w:r w:rsidR="003E6E7B" w:rsidRPr="00A32F1B">
        <w:rPr>
          <w:lang w:val="en-US"/>
        </w:rPr>
        <w:t xml:space="preserve">is </w:t>
      </w:r>
      <w:r w:rsidR="00EC0D3F" w:rsidRPr="00A32F1B">
        <w:rPr>
          <w:lang w:val="en-US"/>
        </w:rPr>
        <w:t xml:space="preserve">in two of three segments </w:t>
      </w:r>
      <w:r w:rsidR="00947996" w:rsidRPr="00A32F1B">
        <w:rPr>
          <w:lang w:val="en-US"/>
        </w:rPr>
        <w:t xml:space="preserve">parallel to the original </w:t>
      </w:r>
      <w:r w:rsidR="00964878" w:rsidRPr="00A32F1B">
        <w:rPr>
          <w:lang w:val="en-US"/>
        </w:rPr>
        <w:t>text in</w:t>
      </w:r>
      <w:r w:rsidR="00947996" w:rsidRPr="00A32F1B">
        <w:rPr>
          <w:lang w:val="en-US"/>
        </w:rPr>
        <w:t xml:space="preserve"> </w:t>
      </w:r>
      <w:r w:rsidR="00947996" w:rsidRPr="00A32F1B">
        <w:rPr>
          <w:i/>
          <w:iCs/>
          <w:lang w:val="en-US"/>
        </w:rPr>
        <w:t>Sifr Ādam</w:t>
      </w:r>
      <w:r w:rsidR="00A12CFF" w:rsidRPr="00A32F1B">
        <w:rPr>
          <w:lang w:val="en-US"/>
        </w:rPr>
        <w:t>.</w:t>
      </w:r>
      <w:r w:rsidR="00A12CFF" w:rsidRPr="00A32F1B">
        <w:rPr>
          <w:rStyle w:val="Znakapoznpodarou"/>
          <w:lang w:val="en-US"/>
        </w:rPr>
        <w:footnoteReference w:id="278"/>
      </w:r>
    </w:p>
    <w:p w14:paraId="24CA1CCA" w14:textId="3C847DFE" w:rsidR="00CC2400" w:rsidRPr="00A32F1B" w:rsidRDefault="008546C7" w:rsidP="00380A79">
      <w:pPr>
        <w:rPr>
          <w:lang w:val="en-US"/>
        </w:rPr>
      </w:pPr>
      <w:r w:rsidRPr="00A32F1B">
        <w:rPr>
          <w:lang w:val="en-US"/>
        </w:rPr>
        <w:t xml:space="preserve">As it was the case with previous sources, dating the </w:t>
      </w:r>
      <w:r w:rsidRPr="00A32F1B">
        <w:rPr>
          <w:i/>
          <w:iCs/>
          <w:lang w:val="en-US"/>
        </w:rPr>
        <w:t>Sefer ha-Razim</w:t>
      </w:r>
      <w:r w:rsidRPr="00A32F1B">
        <w:rPr>
          <w:lang w:val="en-US"/>
        </w:rPr>
        <w:t xml:space="preserve"> is complicated by the fragmentary character of individual parts</w:t>
      </w:r>
      <w:r w:rsidR="004253B5" w:rsidRPr="00A32F1B">
        <w:rPr>
          <w:lang w:val="en-US"/>
        </w:rPr>
        <w:t xml:space="preserve">, albeit the date was set majorly in agreement to </w:t>
      </w:r>
      <w:r w:rsidR="007D5934" w:rsidRPr="00A32F1B">
        <w:rPr>
          <w:lang w:val="en-US"/>
        </w:rPr>
        <w:t>the late 3</w:t>
      </w:r>
      <w:r w:rsidR="007D5934" w:rsidRPr="00A32F1B">
        <w:rPr>
          <w:vertAlign w:val="superscript"/>
          <w:lang w:val="en-US"/>
        </w:rPr>
        <w:t>rd</w:t>
      </w:r>
      <w:r w:rsidR="007D5934" w:rsidRPr="00A32F1B">
        <w:rPr>
          <w:lang w:val="en-US"/>
        </w:rPr>
        <w:t xml:space="preserve"> or early 4</w:t>
      </w:r>
      <w:r w:rsidR="007D5934" w:rsidRPr="00A32F1B">
        <w:rPr>
          <w:vertAlign w:val="superscript"/>
          <w:lang w:val="en-US"/>
        </w:rPr>
        <w:t>th</w:t>
      </w:r>
      <w:r w:rsidR="007D5934" w:rsidRPr="00A32F1B">
        <w:rPr>
          <w:lang w:val="en-US"/>
        </w:rPr>
        <w:t xml:space="preserve"> century CE</w:t>
      </w:r>
      <w:r w:rsidR="00EC6790" w:rsidRPr="00A32F1B">
        <w:rPr>
          <w:lang w:val="en-US"/>
        </w:rPr>
        <w:t xml:space="preserve"> according to a linguistic and terminological analysis</w:t>
      </w:r>
      <w:r w:rsidR="00770FA1" w:rsidRPr="00A32F1B">
        <w:rPr>
          <w:lang w:val="en-US"/>
        </w:rPr>
        <w:t xml:space="preserve">, albeit it was suggested that the magical practice, which the </w:t>
      </w:r>
      <w:r w:rsidR="00EB7887" w:rsidRPr="00D753A5">
        <w:rPr>
          <w:lang w:val="en-US"/>
        </w:rPr>
        <w:t>treatise</w:t>
      </w:r>
      <w:r w:rsidR="00770FA1" w:rsidRPr="00A32F1B">
        <w:rPr>
          <w:lang w:val="en-US"/>
        </w:rPr>
        <w:t xml:space="preserve"> applies, might be of much older origin.</w:t>
      </w:r>
      <w:r w:rsidR="00CC2400" w:rsidRPr="00A32F1B">
        <w:rPr>
          <w:lang w:val="en-US"/>
        </w:rPr>
        <w:t xml:space="preserve"> Although the majorly accepted date of origin is indeed set between the 3</w:t>
      </w:r>
      <w:r w:rsidR="00CC2400" w:rsidRPr="00A32F1B">
        <w:rPr>
          <w:vertAlign w:val="superscript"/>
          <w:lang w:val="en-US"/>
        </w:rPr>
        <w:t>rd</w:t>
      </w:r>
      <w:r w:rsidR="00CC2400" w:rsidRPr="00A32F1B">
        <w:rPr>
          <w:lang w:val="en-US"/>
        </w:rPr>
        <w:t xml:space="preserve"> and 4</w:t>
      </w:r>
      <w:r w:rsidR="00CC2400" w:rsidRPr="00A32F1B">
        <w:rPr>
          <w:vertAlign w:val="superscript"/>
          <w:lang w:val="en-US"/>
        </w:rPr>
        <w:t>th</w:t>
      </w:r>
      <w:r w:rsidR="00CC2400" w:rsidRPr="00A32F1B">
        <w:rPr>
          <w:lang w:val="en-US"/>
        </w:rPr>
        <w:t xml:space="preserve"> century, Gideon Bohak adds a layer of Arabic </w:t>
      </w:r>
      <w:r w:rsidR="00CC2400" w:rsidRPr="00A32F1B">
        <w:rPr>
          <w:lang w:val="en-US"/>
        </w:rPr>
        <w:lastRenderedPageBreak/>
        <w:t>tradition to consideration framing the possible origin</w:t>
      </w:r>
      <w:r w:rsidR="007F5102" w:rsidRPr="00A32F1B">
        <w:rPr>
          <w:lang w:val="en-US"/>
        </w:rPr>
        <w:t xml:space="preserve"> </w:t>
      </w:r>
      <w:r w:rsidR="00CC2400" w:rsidRPr="00A32F1B">
        <w:rPr>
          <w:lang w:val="en-US"/>
        </w:rPr>
        <w:t xml:space="preserve">– that the latest possible point of </w:t>
      </w:r>
      <w:r w:rsidR="00CC2400" w:rsidRPr="00A32F1B">
        <w:rPr>
          <w:i/>
          <w:iCs/>
          <w:lang w:val="en-US"/>
        </w:rPr>
        <w:t>Sefer ha-Razim</w:t>
      </w:r>
      <w:r w:rsidR="00CC2400" w:rsidRPr="00A32F1B">
        <w:rPr>
          <w:lang w:val="en-US"/>
        </w:rPr>
        <w:t xml:space="preserve"> compilation might have occurred in the 7</w:t>
      </w:r>
      <w:r w:rsidR="00CC2400" w:rsidRPr="00A32F1B">
        <w:rPr>
          <w:vertAlign w:val="superscript"/>
          <w:lang w:val="en-US"/>
        </w:rPr>
        <w:t>th</w:t>
      </w:r>
      <w:r w:rsidR="00CC2400" w:rsidRPr="00A32F1B">
        <w:rPr>
          <w:lang w:val="en-US"/>
        </w:rPr>
        <w:t xml:space="preserve"> century.</w:t>
      </w:r>
      <w:r w:rsidR="00CC2400" w:rsidRPr="00A32F1B">
        <w:rPr>
          <w:rStyle w:val="Znakapoznpodarou"/>
          <w:lang w:val="en-US"/>
        </w:rPr>
        <w:footnoteReference w:id="279"/>
      </w:r>
    </w:p>
    <w:p w14:paraId="3006EE62" w14:textId="4E8A2569" w:rsidR="003504AE" w:rsidRPr="00A32F1B" w:rsidRDefault="00B00CBF" w:rsidP="003504AE">
      <w:pPr>
        <w:rPr>
          <w:lang w:val="en-US"/>
        </w:rPr>
      </w:pPr>
      <w:r w:rsidRPr="00A32F1B">
        <w:rPr>
          <w:lang w:val="en-US"/>
        </w:rPr>
        <w:t>During the analysis scholars found parallels to</w:t>
      </w:r>
      <w:r w:rsidR="00CC2BC9" w:rsidRPr="00A32F1B">
        <w:rPr>
          <w:lang w:val="en-US"/>
        </w:rPr>
        <w:t xml:space="preserve"> Talmudic and Hekhalot literature, concurrently other parallels were found to the Greek magical papyri and Aramaic incantation bowls</w:t>
      </w:r>
      <w:r w:rsidR="00F82750" w:rsidRPr="00A32F1B">
        <w:rPr>
          <w:lang w:val="en-US"/>
        </w:rPr>
        <w:t>; furthermore, several mythological and literary elements correspond to Egyptian tradition.</w:t>
      </w:r>
      <w:r w:rsidR="00A6696F" w:rsidRPr="00A32F1B">
        <w:rPr>
          <w:rStyle w:val="Znakapoznpodarou"/>
          <w:lang w:val="en-US"/>
        </w:rPr>
        <w:footnoteReference w:id="280"/>
      </w:r>
      <w:r w:rsidR="003504AE" w:rsidRPr="00A32F1B">
        <w:rPr>
          <w:lang w:val="en-US"/>
        </w:rPr>
        <w:t xml:space="preserve"> </w:t>
      </w:r>
      <w:r w:rsidR="00F82750" w:rsidRPr="00A32F1B">
        <w:rPr>
          <w:lang w:val="en-US"/>
        </w:rPr>
        <w:t>The multitude of cultural influences complicates the question of geographical origin of the text as no explicit evidence is available.</w:t>
      </w:r>
      <w:r w:rsidR="00BD7C01" w:rsidRPr="00A32F1B">
        <w:rPr>
          <w:rStyle w:val="Znakapoznpodarou"/>
          <w:lang w:val="en-US"/>
        </w:rPr>
        <w:footnoteReference w:id="281"/>
      </w:r>
    </w:p>
    <w:p w14:paraId="57C7EB41" w14:textId="336F32F6" w:rsidR="008B2657" w:rsidRPr="00A32F1B" w:rsidRDefault="0098502B" w:rsidP="008546C7">
      <w:pPr>
        <w:rPr>
          <w:lang w:val="en-US"/>
        </w:rPr>
      </w:pPr>
      <w:r w:rsidRPr="00A32F1B">
        <w:rPr>
          <w:lang w:val="en-US"/>
        </w:rPr>
        <w:t xml:space="preserve">The treatise </w:t>
      </w:r>
      <w:r w:rsidR="004E2DF1" w:rsidRPr="00A32F1B">
        <w:rPr>
          <w:lang w:val="en-US"/>
        </w:rPr>
        <w:t>begins with an introductory part discussing the text transmission from the angel Raziel to Noah</w:t>
      </w:r>
      <w:r w:rsidR="00CD0AAD" w:rsidRPr="00A32F1B">
        <w:rPr>
          <w:lang w:val="en-US"/>
        </w:rPr>
        <w:t xml:space="preserve"> before the world was flooded</w:t>
      </w:r>
      <w:r w:rsidR="004E2DF1" w:rsidRPr="00A32F1B">
        <w:rPr>
          <w:lang w:val="en-US"/>
        </w:rPr>
        <w:t xml:space="preserve">; the main body of the text </w:t>
      </w:r>
      <w:r w:rsidRPr="00A32F1B">
        <w:rPr>
          <w:lang w:val="en-US"/>
        </w:rPr>
        <w:t>co</w:t>
      </w:r>
      <w:r w:rsidR="004E2DF1" w:rsidRPr="00A32F1B">
        <w:rPr>
          <w:lang w:val="en-US"/>
        </w:rPr>
        <w:t>mprises</w:t>
      </w:r>
      <w:r w:rsidRPr="00A32F1B">
        <w:rPr>
          <w:lang w:val="en-US"/>
        </w:rPr>
        <w:t xml:space="preserve"> </w:t>
      </w:r>
      <w:r w:rsidR="00D753A5">
        <w:rPr>
          <w:lang w:val="en-US"/>
        </w:rPr>
        <w:t xml:space="preserve">of </w:t>
      </w:r>
      <w:r w:rsidRPr="00A32F1B">
        <w:rPr>
          <w:lang w:val="en-US"/>
        </w:rPr>
        <w:t xml:space="preserve">seven portions according to seven </w:t>
      </w:r>
      <w:r w:rsidR="00957684" w:rsidRPr="00A32F1B">
        <w:rPr>
          <w:lang w:val="en-US"/>
        </w:rPr>
        <w:t>firmaments</w:t>
      </w:r>
      <w:r w:rsidRPr="00A32F1B">
        <w:rPr>
          <w:lang w:val="en-US"/>
        </w:rPr>
        <w:t xml:space="preserve"> that echoes ancient Jewish cosmological systems</w:t>
      </w:r>
      <w:r w:rsidR="00957684" w:rsidRPr="00A32F1B">
        <w:rPr>
          <w:lang w:val="en-US"/>
        </w:rPr>
        <w:t>. The seven firmaments, seven heavens, all contain hierarchy of angels</w:t>
      </w:r>
      <w:r w:rsidR="008546C7" w:rsidRPr="00A32F1B">
        <w:rPr>
          <w:lang w:val="en-US"/>
        </w:rPr>
        <w:t>, their function,</w:t>
      </w:r>
      <w:r w:rsidR="00957684" w:rsidRPr="00A32F1B">
        <w:rPr>
          <w:lang w:val="en-US"/>
        </w:rPr>
        <w:t xml:space="preserve"> and the designated rites and magical practices in which they are the powerful active entities</w:t>
      </w:r>
      <w:r w:rsidR="003B5923" w:rsidRPr="00A32F1B">
        <w:rPr>
          <w:lang w:val="en-US"/>
        </w:rPr>
        <w:t xml:space="preserve">, the magical </w:t>
      </w:r>
      <w:r w:rsidR="00315D68" w:rsidRPr="00A32F1B">
        <w:rPr>
          <w:lang w:val="en-US"/>
        </w:rPr>
        <w:t>recipes</w:t>
      </w:r>
      <w:r w:rsidR="003B5923" w:rsidRPr="00A32F1B">
        <w:rPr>
          <w:lang w:val="en-US"/>
        </w:rPr>
        <w:t xml:space="preserve"> </w:t>
      </w:r>
      <w:r w:rsidR="00315D68" w:rsidRPr="00A32F1B">
        <w:rPr>
          <w:lang w:val="en-US"/>
        </w:rPr>
        <w:t>deal with</w:t>
      </w:r>
      <w:r w:rsidR="003B5923" w:rsidRPr="00A32F1B">
        <w:rPr>
          <w:lang w:val="en-US"/>
        </w:rPr>
        <w:t xml:space="preserve"> </w:t>
      </w:r>
      <w:r w:rsidR="00BB32AA" w:rsidRPr="00A32F1B">
        <w:rPr>
          <w:lang w:val="en-US"/>
        </w:rPr>
        <w:t>healing</w:t>
      </w:r>
      <w:r w:rsidR="003B5923" w:rsidRPr="00A32F1B">
        <w:rPr>
          <w:lang w:val="en-US"/>
        </w:rPr>
        <w:t xml:space="preserve">, incantation, </w:t>
      </w:r>
      <w:r w:rsidR="008B2657" w:rsidRPr="00A32F1B">
        <w:rPr>
          <w:lang w:val="en-US"/>
        </w:rPr>
        <w:t>talking to spirits</w:t>
      </w:r>
      <w:r w:rsidR="00315D68" w:rsidRPr="00A32F1B">
        <w:rPr>
          <w:lang w:val="en-US"/>
        </w:rPr>
        <w:t xml:space="preserve"> etc</w:t>
      </w:r>
      <w:r w:rsidR="00957684" w:rsidRPr="00A32F1B">
        <w:rPr>
          <w:lang w:val="en-US"/>
        </w:rPr>
        <w:t>.</w:t>
      </w:r>
      <w:r w:rsidR="008546C7" w:rsidRPr="00A32F1B">
        <w:rPr>
          <w:rStyle w:val="Znakapoznpodarou"/>
          <w:lang w:val="en-US"/>
        </w:rPr>
        <w:footnoteReference w:id="282"/>
      </w:r>
      <w:r w:rsidR="008B2657" w:rsidRPr="00A32F1B">
        <w:rPr>
          <w:lang w:val="en-US"/>
        </w:rPr>
        <w:t xml:space="preserve"> </w:t>
      </w:r>
    </w:p>
    <w:p w14:paraId="007F0147" w14:textId="0C1C230A" w:rsidR="008A383F" w:rsidRPr="00A32F1B" w:rsidRDefault="008B2657" w:rsidP="00232206">
      <w:pPr>
        <w:rPr>
          <w:lang w:val="en-US"/>
        </w:rPr>
      </w:pPr>
      <w:r w:rsidRPr="00A32F1B">
        <w:rPr>
          <w:lang w:val="en-US"/>
        </w:rPr>
        <w:t xml:space="preserve">Abraxas is leading the angelic list of the fourth firmament in the form </w:t>
      </w:r>
      <w:bookmarkStart w:id="11" w:name="_Hlk70329413"/>
      <w:r w:rsidRPr="00A32F1B">
        <w:rPr>
          <w:lang w:val="en-US"/>
        </w:rPr>
        <w:t xml:space="preserve">ABRASKS </w:t>
      </w:r>
      <w:bookmarkEnd w:id="11"/>
      <w:r w:rsidRPr="00A32F1B">
        <w:rPr>
          <w:lang w:val="en-US"/>
        </w:rPr>
        <w:t>(</w:t>
      </w:r>
      <w:r w:rsidR="00955547" w:rsidRPr="00A32F1B">
        <w:rPr>
          <w:rFonts w:asciiTheme="majorBidi" w:hAnsiTheme="majorBidi" w:cstheme="majorBidi"/>
          <w:sz w:val="32"/>
          <w:szCs w:val="28"/>
          <w:rtl/>
          <w:lang w:val="en-US"/>
        </w:rPr>
        <w:t>אבראסכס</w:t>
      </w:r>
      <w:r w:rsidRPr="00A32F1B">
        <w:rPr>
          <w:lang w:val="en-US"/>
        </w:rPr>
        <w:t>)</w:t>
      </w:r>
      <w:r w:rsidR="00EA1C04" w:rsidRPr="00A32F1B">
        <w:rPr>
          <w:rStyle w:val="Znakapoznpodarou"/>
          <w:lang w:val="en-US"/>
        </w:rPr>
        <w:footnoteReference w:id="283"/>
      </w:r>
      <w:r w:rsidRPr="00A32F1B">
        <w:rPr>
          <w:lang w:val="en-US"/>
        </w:rPr>
        <w:t>, the conte</w:t>
      </w:r>
      <w:r w:rsidR="009C02E9" w:rsidRPr="00A32F1B">
        <w:rPr>
          <w:lang w:val="en-US"/>
        </w:rPr>
        <w:t>xt incorporates 31 angelic names, the best known from them Gabriel (</w:t>
      </w:r>
      <w:r w:rsidR="00955547" w:rsidRPr="00A32F1B">
        <w:rPr>
          <w:rFonts w:asciiTheme="majorBidi" w:hAnsiTheme="majorBidi" w:cstheme="majorBidi"/>
          <w:sz w:val="32"/>
          <w:szCs w:val="28"/>
          <w:rtl/>
          <w:lang w:val="en-US"/>
        </w:rPr>
        <w:t>גבריאל</w:t>
      </w:r>
      <w:r w:rsidR="009C02E9" w:rsidRPr="00A32F1B">
        <w:rPr>
          <w:lang w:val="en-US"/>
        </w:rPr>
        <w:t>)</w:t>
      </w:r>
      <w:r w:rsidR="00EA1C04" w:rsidRPr="00A32F1B">
        <w:rPr>
          <w:rStyle w:val="Znakapoznpodarou"/>
          <w:lang w:val="en-US"/>
        </w:rPr>
        <w:footnoteReference w:id="284"/>
      </w:r>
      <w:r w:rsidR="009C02E9" w:rsidRPr="00A32F1B">
        <w:rPr>
          <w:lang w:val="en-US"/>
        </w:rPr>
        <w:t xml:space="preserve">; </w:t>
      </w:r>
      <w:proofErr w:type="gramStart"/>
      <w:r w:rsidR="005F5C27" w:rsidRPr="00A32F1B">
        <w:rPr>
          <w:lang w:val="en-US"/>
        </w:rPr>
        <w:t>a large number</w:t>
      </w:r>
      <w:r w:rsidR="009C02E9" w:rsidRPr="00A32F1B">
        <w:rPr>
          <w:lang w:val="en-US"/>
        </w:rPr>
        <w:t xml:space="preserve"> of</w:t>
      </w:r>
      <w:proofErr w:type="gramEnd"/>
      <w:r w:rsidR="009C02E9" w:rsidRPr="00A32F1B">
        <w:rPr>
          <w:lang w:val="en-US"/>
        </w:rPr>
        <w:t xml:space="preserve"> the angelic names ends with the suffix “-el” which is the case in each firmament and each angelic list</w:t>
      </w:r>
      <w:r w:rsidR="008A383F" w:rsidRPr="00A32F1B">
        <w:rPr>
          <w:lang w:val="en-US"/>
        </w:rPr>
        <w:t>.</w:t>
      </w:r>
      <w:r w:rsidR="00E2530A" w:rsidRPr="00A32F1B">
        <w:rPr>
          <w:rStyle w:val="Znakapoznpodarou"/>
          <w:lang w:val="en-US"/>
        </w:rPr>
        <w:footnoteReference w:id="285"/>
      </w:r>
      <w:r w:rsidR="00A00DC0" w:rsidRPr="00A32F1B">
        <w:rPr>
          <w:lang w:val="en-US"/>
        </w:rPr>
        <w:t xml:space="preserve"> </w:t>
      </w:r>
    </w:p>
    <w:p w14:paraId="73D5C21B" w14:textId="15374F91" w:rsidR="00B605CD" w:rsidRPr="00A32F1B" w:rsidRDefault="00A00DC0" w:rsidP="006E2FC3">
      <w:pPr>
        <w:rPr>
          <w:lang w:val="en-US"/>
        </w:rPr>
      </w:pPr>
      <w:r w:rsidRPr="00A32F1B">
        <w:rPr>
          <w:lang w:val="en-US"/>
        </w:rPr>
        <w:t>The final section of the fourth firmament describe</w:t>
      </w:r>
      <w:r w:rsidR="0021252A" w:rsidRPr="00A32F1B">
        <w:rPr>
          <w:lang w:val="en-US"/>
        </w:rPr>
        <w:t>s</w:t>
      </w:r>
      <w:r w:rsidRPr="00A32F1B">
        <w:rPr>
          <w:lang w:val="en-US"/>
        </w:rPr>
        <w:t xml:space="preserve"> a</w:t>
      </w:r>
      <w:r w:rsidR="00C263C4" w:rsidRPr="00A32F1B">
        <w:rPr>
          <w:lang w:val="en-US"/>
        </w:rPr>
        <w:t> </w:t>
      </w:r>
      <w:r w:rsidRPr="00A32F1B">
        <w:rPr>
          <w:lang w:val="en-US"/>
        </w:rPr>
        <w:t>prayer to Helios</w:t>
      </w:r>
      <w:r w:rsidR="00F95363" w:rsidRPr="00A32F1B">
        <w:rPr>
          <w:lang w:val="en-US"/>
        </w:rPr>
        <w:t>, appropriate to the context of the fourth firmament</w:t>
      </w:r>
      <w:r w:rsidR="00D753A5">
        <w:rPr>
          <w:lang w:val="en-US"/>
        </w:rPr>
        <w:t>,</w:t>
      </w:r>
      <w:r w:rsidR="00F95363" w:rsidRPr="00A32F1B">
        <w:rPr>
          <w:lang w:val="en-US"/>
        </w:rPr>
        <w:t xml:space="preserve"> the prayer concerns the </w:t>
      </w:r>
      <w:r w:rsidR="0034642B" w:rsidRPr="00A32F1B">
        <w:rPr>
          <w:lang w:val="en-US"/>
        </w:rPr>
        <w:t>S</w:t>
      </w:r>
      <w:r w:rsidR="00F95363" w:rsidRPr="00A32F1B">
        <w:rPr>
          <w:lang w:val="en-US"/>
        </w:rPr>
        <w:t>un</w:t>
      </w:r>
      <w:r w:rsidR="00B605CD" w:rsidRPr="00A32F1B">
        <w:rPr>
          <w:lang w:val="en-US"/>
        </w:rPr>
        <w:t>;</w:t>
      </w:r>
      <w:r w:rsidRPr="00A32F1B">
        <w:rPr>
          <w:lang w:val="en-US"/>
        </w:rPr>
        <w:t xml:space="preserve"> </w:t>
      </w:r>
      <w:r w:rsidR="00397915">
        <w:rPr>
          <w:lang w:val="en-US"/>
        </w:rPr>
        <w:t>a</w:t>
      </w:r>
      <w:r w:rsidR="00B605CD" w:rsidRPr="00A32F1B">
        <w:rPr>
          <w:lang w:val="en-US"/>
        </w:rPr>
        <w:t xml:space="preserve"> </w:t>
      </w:r>
      <w:r w:rsidR="00D753A5">
        <w:rPr>
          <w:lang w:val="en-US"/>
        </w:rPr>
        <w:t xml:space="preserve">Greek </w:t>
      </w:r>
      <w:r w:rsidR="00B605CD" w:rsidRPr="00A32F1B">
        <w:rPr>
          <w:lang w:val="en-US"/>
        </w:rPr>
        <w:t>prayer</w:t>
      </w:r>
      <w:r w:rsidR="00397915">
        <w:rPr>
          <w:lang w:val="en-US"/>
        </w:rPr>
        <w:t xml:space="preserve"> </w:t>
      </w:r>
      <w:r w:rsidR="00D753A5">
        <w:rPr>
          <w:lang w:val="en-US"/>
        </w:rPr>
        <w:t xml:space="preserve">only </w:t>
      </w:r>
      <w:r w:rsidR="00BF6E85" w:rsidRPr="00A32F1B">
        <w:rPr>
          <w:lang w:val="en-US"/>
        </w:rPr>
        <w:t>transliterated to Hebrew letters.</w:t>
      </w:r>
      <w:r w:rsidR="00BF6E85" w:rsidRPr="00A32F1B">
        <w:rPr>
          <w:rStyle w:val="Znakapoznpodarou"/>
          <w:lang w:val="en-US"/>
        </w:rPr>
        <w:footnoteReference w:id="286"/>
      </w:r>
      <w:r w:rsidR="00CA0ADB" w:rsidRPr="00A32F1B">
        <w:rPr>
          <w:lang w:val="en-US"/>
        </w:rPr>
        <w:t xml:space="preserve"> </w:t>
      </w:r>
      <w:r w:rsidR="0021252A" w:rsidRPr="00A32F1B">
        <w:rPr>
          <w:lang w:val="en-US"/>
        </w:rPr>
        <w:t xml:space="preserve">The prayer </w:t>
      </w:r>
      <w:r w:rsidR="00F84B47" w:rsidRPr="00A32F1B">
        <w:rPr>
          <w:lang w:val="en-US"/>
        </w:rPr>
        <w:t xml:space="preserve">is of </w:t>
      </w:r>
      <w:r w:rsidR="0021252A" w:rsidRPr="00A32F1B">
        <w:rPr>
          <w:lang w:val="en-US"/>
        </w:rPr>
        <w:t>interest</w:t>
      </w:r>
      <w:r w:rsidR="00F84B47" w:rsidRPr="00A32F1B">
        <w:rPr>
          <w:lang w:val="en-US"/>
        </w:rPr>
        <w:t xml:space="preserve"> to</w:t>
      </w:r>
      <w:r w:rsidR="0021252A" w:rsidRPr="00A32F1B">
        <w:rPr>
          <w:lang w:val="en-US"/>
        </w:rPr>
        <w:t xml:space="preserve"> modern </w:t>
      </w:r>
      <w:r w:rsidR="00F84B47" w:rsidRPr="00A32F1B">
        <w:rPr>
          <w:lang w:val="en-US"/>
        </w:rPr>
        <w:t>scholars;</w:t>
      </w:r>
      <w:r w:rsidR="006E2FC3" w:rsidRPr="00A32F1B">
        <w:rPr>
          <w:lang w:val="en-US"/>
        </w:rPr>
        <w:t xml:space="preserve"> although prayers to Helios appear in the Greek magical papyri, none of them is close to </w:t>
      </w:r>
      <w:r w:rsidR="006E2FC3" w:rsidRPr="00A32F1B">
        <w:rPr>
          <w:i/>
          <w:iCs/>
          <w:lang w:val="en-US"/>
        </w:rPr>
        <w:t>Sefer</w:t>
      </w:r>
      <w:r w:rsidR="00326586">
        <w:rPr>
          <w:i/>
          <w:iCs/>
          <w:lang w:val="en-US"/>
        </w:rPr>
        <w:t> </w:t>
      </w:r>
      <w:r w:rsidR="006E2FC3" w:rsidRPr="00A32F1B">
        <w:rPr>
          <w:i/>
          <w:iCs/>
          <w:lang w:val="en-US"/>
        </w:rPr>
        <w:t>ha-Razim</w:t>
      </w:r>
      <w:r w:rsidR="006E2FC3" w:rsidRPr="00A32F1B">
        <w:rPr>
          <w:lang w:val="en-US"/>
        </w:rPr>
        <w:t xml:space="preserve"> prayer in content or linguistic devices.</w:t>
      </w:r>
      <w:r w:rsidR="006E2FC3" w:rsidRPr="00A32F1B">
        <w:rPr>
          <w:rStyle w:val="Znakapoznpodarou"/>
          <w:lang w:val="en-US"/>
        </w:rPr>
        <w:footnoteReference w:id="287"/>
      </w:r>
      <w:r w:rsidR="006E2FC3" w:rsidRPr="00A32F1B">
        <w:rPr>
          <w:lang w:val="en-US"/>
        </w:rPr>
        <w:t xml:space="preserve"> The</w:t>
      </w:r>
      <w:r w:rsidR="0021252A" w:rsidRPr="00A32F1B">
        <w:rPr>
          <w:lang w:val="en-US"/>
        </w:rPr>
        <w:t xml:space="preserve"> original Greek</w:t>
      </w:r>
      <w:r w:rsidR="006E2FC3" w:rsidRPr="00A32F1B">
        <w:rPr>
          <w:lang w:val="en-US"/>
        </w:rPr>
        <w:t xml:space="preserve"> </w:t>
      </w:r>
      <w:r w:rsidR="00397915">
        <w:rPr>
          <w:lang w:val="en-US"/>
        </w:rPr>
        <w:t>version</w:t>
      </w:r>
      <w:r w:rsidR="006E2FC3" w:rsidRPr="00A32F1B">
        <w:rPr>
          <w:lang w:val="en-US"/>
        </w:rPr>
        <w:t xml:space="preserve"> of this Helios prayer</w:t>
      </w:r>
      <w:r w:rsidR="0021252A" w:rsidRPr="00A32F1B">
        <w:rPr>
          <w:lang w:val="en-US"/>
        </w:rPr>
        <w:t xml:space="preserve"> was not found yet </w:t>
      </w:r>
      <w:r w:rsidR="00F84B47" w:rsidRPr="00A32F1B">
        <w:rPr>
          <w:lang w:val="en-US"/>
        </w:rPr>
        <w:t xml:space="preserve">in any source </w:t>
      </w:r>
      <w:r w:rsidR="0021252A" w:rsidRPr="00A32F1B">
        <w:rPr>
          <w:lang w:val="en-US"/>
        </w:rPr>
        <w:t xml:space="preserve">and so the reconstruction is based solely on the text of </w:t>
      </w:r>
      <w:r w:rsidR="0021252A" w:rsidRPr="00A32F1B">
        <w:rPr>
          <w:i/>
          <w:iCs/>
          <w:lang w:val="en-US"/>
        </w:rPr>
        <w:t>Sefer ha-Razim</w:t>
      </w:r>
      <w:r w:rsidR="0021252A" w:rsidRPr="00A32F1B">
        <w:rPr>
          <w:lang w:val="en-US"/>
        </w:rPr>
        <w:t xml:space="preserve"> </w:t>
      </w:r>
      <w:r w:rsidR="00F84B47" w:rsidRPr="00A32F1B">
        <w:rPr>
          <w:lang w:val="en-US"/>
        </w:rPr>
        <w:t>which might negatively affect</w:t>
      </w:r>
      <w:r w:rsidR="0021252A" w:rsidRPr="00A32F1B">
        <w:rPr>
          <w:lang w:val="en-US"/>
        </w:rPr>
        <w:t xml:space="preserve"> subsequent research</w:t>
      </w:r>
      <w:r w:rsidR="00F84B47" w:rsidRPr="00A32F1B">
        <w:rPr>
          <w:lang w:val="en-US"/>
        </w:rPr>
        <w:t>.</w:t>
      </w:r>
      <w:r w:rsidR="006E2FC3" w:rsidRPr="00A32F1B">
        <w:rPr>
          <w:rStyle w:val="Znakapoznpodarou"/>
          <w:lang w:val="en-US"/>
        </w:rPr>
        <w:footnoteReference w:id="288"/>
      </w:r>
    </w:p>
    <w:p w14:paraId="518EAE5E" w14:textId="3349E40D" w:rsidR="00232206" w:rsidRPr="00A32F1B" w:rsidRDefault="00232206" w:rsidP="00232206">
      <w:pPr>
        <w:rPr>
          <w:lang w:val="en-US"/>
        </w:rPr>
      </w:pPr>
      <w:r w:rsidRPr="00A32F1B">
        <w:rPr>
          <w:lang w:val="en-US"/>
        </w:rPr>
        <w:lastRenderedPageBreak/>
        <w:t xml:space="preserve">Outside of the fourth firmament a </w:t>
      </w:r>
      <w:r w:rsidR="00513AEF" w:rsidRPr="00A32F1B">
        <w:rPr>
          <w:lang w:val="en-US"/>
        </w:rPr>
        <w:t xml:space="preserve">series of non-angelic names appears within the text, </w:t>
      </w:r>
      <w:proofErr w:type="gramStart"/>
      <w:r w:rsidR="00513AEF" w:rsidRPr="00A32F1B">
        <w:rPr>
          <w:lang w:val="en-US"/>
        </w:rPr>
        <w:t>e.g.</w:t>
      </w:r>
      <w:proofErr w:type="gramEnd"/>
      <w:r w:rsidR="00513AEF" w:rsidRPr="00A32F1B">
        <w:rPr>
          <w:lang w:val="en-US"/>
        </w:rPr>
        <w:t xml:space="preserve"> biblical names (Noah, Enoch, Seth, Adam)</w:t>
      </w:r>
      <w:r w:rsidR="001E7073" w:rsidRPr="00A32F1B">
        <w:rPr>
          <w:rStyle w:val="Znakapoznpodarou"/>
          <w:lang w:val="en-US"/>
        </w:rPr>
        <w:footnoteReference w:id="289"/>
      </w:r>
      <w:r w:rsidR="00513AEF" w:rsidRPr="00A32F1B">
        <w:rPr>
          <w:lang w:val="en-US"/>
        </w:rPr>
        <w:t>, Greek divine names (Aphrodite)</w:t>
      </w:r>
      <w:r w:rsidR="008A383F" w:rsidRPr="00A32F1B">
        <w:rPr>
          <w:rStyle w:val="Znakapoznpodarou"/>
          <w:lang w:val="en-US"/>
        </w:rPr>
        <w:footnoteReference w:id="290"/>
      </w:r>
      <w:r w:rsidR="00513AEF" w:rsidRPr="00A32F1B">
        <w:rPr>
          <w:lang w:val="en-US"/>
        </w:rPr>
        <w:t>, Greek mythological names of constellations (Orion, Pleiades)</w:t>
      </w:r>
      <w:r w:rsidR="003A54B2" w:rsidRPr="00A32F1B">
        <w:rPr>
          <w:rStyle w:val="Znakapoznpodarou"/>
          <w:lang w:val="en-US"/>
        </w:rPr>
        <w:footnoteReference w:id="291"/>
      </w:r>
      <w:r w:rsidR="00513AEF" w:rsidRPr="00A32F1B">
        <w:rPr>
          <w:lang w:val="en-US"/>
        </w:rPr>
        <w:t xml:space="preserve">; in several instances the text alludes to Greek figures </w:t>
      </w:r>
      <w:r w:rsidR="00BF23E1" w:rsidRPr="00A32F1B">
        <w:rPr>
          <w:lang w:val="en-US"/>
        </w:rPr>
        <w:t xml:space="preserve">without explicitly naming them </w:t>
      </w:r>
      <w:r w:rsidR="00513AEF" w:rsidRPr="00A32F1B">
        <w:rPr>
          <w:lang w:val="en-US"/>
        </w:rPr>
        <w:t>(Aphrodite</w:t>
      </w:r>
      <w:r w:rsidR="001E7073" w:rsidRPr="00A32F1B">
        <w:rPr>
          <w:rStyle w:val="Znakapoznpodarou"/>
          <w:lang w:val="en-US"/>
        </w:rPr>
        <w:footnoteReference w:id="292"/>
      </w:r>
      <w:r w:rsidR="00513AEF" w:rsidRPr="00A32F1B">
        <w:rPr>
          <w:lang w:val="en-US"/>
        </w:rPr>
        <w:t>, Hermes</w:t>
      </w:r>
      <w:r w:rsidR="001E7073" w:rsidRPr="00A32F1B">
        <w:rPr>
          <w:rStyle w:val="Znakapoznpodarou"/>
          <w:lang w:val="en-US"/>
        </w:rPr>
        <w:footnoteReference w:id="293"/>
      </w:r>
      <w:r w:rsidR="00513AEF" w:rsidRPr="00A32F1B">
        <w:rPr>
          <w:lang w:val="en-US"/>
        </w:rPr>
        <w:t>).</w:t>
      </w:r>
      <w:r w:rsidRPr="00A32F1B">
        <w:rPr>
          <w:lang w:val="en-US"/>
        </w:rPr>
        <w:t xml:space="preserve"> Although the magical recipes seem majorly influenced by the magical practices common in the Greek magical papyri, only a limited number of Greco-Egyptian borrowed divine names is recognizable possibly because of the copying mistakes and misrepresentations that took place during the centuries of transmission.</w:t>
      </w:r>
      <w:r w:rsidRPr="00A32F1B">
        <w:rPr>
          <w:rStyle w:val="Znakapoznpodarou"/>
          <w:lang w:val="en-US"/>
        </w:rPr>
        <w:footnoteReference w:id="294"/>
      </w:r>
    </w:p>
    <w:p w14:paraId="7891F4B2" w14:textId="5045CD4C" w:rsidR="009C02E9" w:rsidRPr="00A32F1B" w:rsidRDefault="009C02E9" w:rsidP="008546C7">
      <w:pPr>
        <w:rPr>
          <w:lang w:val="en-US"/>
        </w:rPr>
      </w:pPr>
      <w:r w:rsidRPr="00A32F1B">
        <w:rPr>
          <w:lang w:val="en-US"/>
        </w:rPr>
        <w:t>The fourth firmament thematically covers opposites – fire and water, fire and cold, day and night</w:t>
      </w:r>
      <w:r w:rsidR="00EA1C04" w:rsidRPr="00A32F1B">
        <w:rPr>
          <w:lang w:val="en-US"/>
        </w:rPr>
        <w:t>; there are two groups of angels</w:t>
      </w:r>
      <w:r w:rsidR="008A383F" w:rsidRPr="00A32F1B">
        <w:rPr>
          <w:lang w:val="en-US"/>
        </w:rPr>
        <w:t xml:space="preserve"> (also referred to as </w:t>
      </w:r>
      <w:r w:rsidR="00EA1C04" w:rsidRPr="00A32F1B">
        <w:rPr>
          <w:lang w:val="en-US"/>
        </w:rPr>
        <w:t>princes</w:t>
      </w:r>
      <w:r w:rsidR="008A383F" w:rsidRPr="00A32F1B">
        <w:rPr>
          <w:lang w:val="en-US"/>
        </w:rPr>
        <w:t>)</w:t>
      </w:r>
      <w:r w:rsidR="00EA1C04" w:rsidRPr="00A32F1B">
        <w:rPr>
          <w:lang w:val="en-US"/>
        </w:rPr>
        <w:t xml:space="preserve"> who lead the movement of </w:t>
      </w:r>
      <w:r w:rsidR="00414A1A" w:rsidRPr="00A32F1B">
        <w:rPr>
          <w:lang w:val="en-US"/>
        </w:rPr>
        <w:t xml:space="preserve">the </w:t>
      </w:r>
      <w:r w:rsidR="0034642B" w:rsidRPr="00A32F1B">
        <w:rPr>
          <w:lang w:val="en-US"/>
        </w:rPr>
        <w:t>S</w:t>
      </w:r>
      <w:r w:rsidR="00EA1C04" w:rsidRPr="00A32F1B">
        <w:rPr>
          <w:lang w:val="en-US"/>
        </w:rPr>
        <w:t xml:space="preserve">un – the angels of fire lead the </w:t>
      </w:r>
      <w:r w:rsidR="0034642B" w:rsidRPr="00A32F1B">
        <w:rPr>
          <w:lang w:val="en-US"/>
        </w:rPr>
        <w:t>S</w:t>
      </w:r>
      <w:r w:rsidR="00EA1C04" w:rsidRPr="00A32F1B">
        <w:rPr>
          <w:lang w:val="en-US"/>
        </w:rPr>
        <w:t>un during the day and the angels of cold lead him during the night, although there is the direct opposition, the angels are said to live in harmony – separately in symbiosis.</w:t>
      </w:r>
      <w:r w:rsidR="00EA1C04" w:rsidRPr="00A32F1B">
        <w:rPr>
          <w:rStyle w:val="Znakapoznpodarou"/>
          <w:lang w:val="en-US"/>
        </w:rPr>
        <w:footnoteReference w:id="295"/>
      </w:r>
      <w:r w:rsidR="005F5C27" w:rsidRPr="00A32F1B">
        <w:rPr>
          <w:lang w:val="en-US"/>
        </w:rPr>
        <w:t xml:space="preserve"> Abraxas is thus an angelic figure associated with the </w:t>
      </w:r>
      <w:r w:rsidR="0034642B" w:rsidRPr="00A32F1B">
        <w:rPr>
          <w:lang w:val="en-US"/>
        </w:rPr>
        <w:t>S</w:t>
      </w:r>
      <w:r w:rsidR="005F5C27" w:rsidRPr="00A32F1B">
        <w:rPr>
          <w:lang w:val="en-US"/>
        </w:rPr>
        <w:t>un</w:t>
      </w:r>
      <w:r w:rsidR="00836C00" w:rsidRPr="00A32F1B">
        <w:rPr>
          <w:lang w:val="en-US"/>
        </w:rPr>
        <w:t xml:space="preserve"> and occupies a chief position </w:t>
      </w:r>
      <w:r w:rsidR="005662F7" w:rsidRPr="00A32F1B">
        <w:rPr>
          <w:lang w:val="en-US"/>
        </w:rPr>
        <w:t xml:space="preserve">among the angels of fire </w:t>
      </w:r>
      <w:r w:rsidR="00836C00" w:rsidRPr="00A32F1B">
        <w:rPr>
          <w:lang w:val="en-US"/>
        </w:rPr>
        <w:t>who</w:t>
      </w:r>
      <w:r w:rsidR="005662F7" w:rsidRPr="00A32F1B">
        <w:rPr>
          <w:lang w:val="en-US"/>
        </w:rPr>
        <w:t xml:space="preserve"> lead the </w:t>
      </w:r>
      <w:r w:rsidR="0034642B" w:rsidRPr="00A32F1B">
        <w:rPr>
          <w:lang w:val="en-US"/>
        </w:rPr>
        <w:t>S</w:t>
      </w:r>
      <w:r w:rsidR="005662F7" w:rsidRPr="00A32F1B">
        <w:rPr>
          <w:lang w:val="en-US"/>
        </w:rPr>
        <w:t>un through the day.</w:t>
      </w:r>
      <w:r w:rsidR="005662F7" w:rsidRPr="00A32F1B">
        <w:rPr>
          <w:rStyle w:val="Znakapoznpodarou"/>
          <w:lang w:val="en-US"/>
        </w:rPr>
        <w:footnoteReference w:id="296"/>
      </w:r>
    </w:p>
    <w:p w14:paraId="003F6A6B" w14:textId="0139B814" w:rsidR="003F64CB" w:rsidRPr="00A32F1B" w:rsidRDefault="004431E1" w:rsidP="0013005A">
      <w:pPr>
        <w:pStyle w:val="Nadpis2"/>
        <w:numPr>
          <w:ilvl w:val="1"/>
          <w:numId w:val="3"/>
        </w:numPr>
        <w:rPr>
          <w:lang w:val="en-US"/>
        </w:rPr>
      </w:pPr>
      <w:bookmarkStart w:id="12" w:name="_Toc70950046"/>
      <w:r w:rsidRPr="00A32F1B">
        <w:rPr>
          <w:lang w:val="en-US"/>
        </w:rPr>
        <w:t>Aramaic Incantation Bowls</w:t>
      </w:r>
      <w:bookmarkEnd w:id="12"/>
    </w:p>
    <w:p w14:paraId="249C7C8D" w14:textId="2FA4F571" w:rsidR="00D40206" w:rsidRPr="00A32F1B" w:rsidRDefault="00354F12" w:rsidP="00DF498F">
      <w:pPr>
        <w:rPr>
          <w:szCs w:val="24"/>
          <w:lang w:val="en-US"/>
        </w:rPr>
      </w:pPr>
      <w:r w:rsidRPr="00A32F1B">
        <w:rPr>
          <w:lang w:val="en-US"/>
        </w:rPr>
        <w:t xml:space="preserve">Aramaic incantation bowls represent </w:t>
      </w:r>
      <w:r w:rsidR="006D69DA" w:rsidRPr="00A32F1B">
        <w:rPr>
          <w:lang w:val="en-US"/>
        </w:rPr>
        <w:t xml:space="preserve">a </w:t>
      </w:r>
      <w:r w:rsidR="00C64F8D" w:rsidRPr="00A32F1B">
        <w:rPr>
          <w:lang w:val="en-US"/>
        </w:rPr>
        <w:t>magical tradition widespread predominantly in Mesopotamia in the 6</w:t>
      </w:r>
      <w:r w:rsidR="00C64F8D" w:rsidRPr="00A32F1B">
        <w:rPr>
          <w:vertAlign w:val="superscript"/>
          <w:lang w:val="en-US"/>
        </w:rPr>
        <w:t>th</w:t>
      </w:r>
      <w:r w:rsidR="00C64F8D" w:rsidRPr="00A32F1B">
        <w:rPr>
          <w:lang w:val="en-US"/>
        </w:rPr>
        <w:t xml:space="preserve"> and 7</w:t>
      </w:r>
      <w:r w:rsidR="00C64F8D" w:rsidRPr="00A32F1B">
        <w:rPr>
          <w:vertAlign w:val="superscript"/>
          <w:lang w:val="en-US"/>
        </w:rPr>
        <w:t>th</w:t>
      </w:r>
      <w:r w:rsidR="00C64F8D" w:rsidRPr="00A32F1B">
        <w:rPr>
          <w:lang w:val="en-US"/>
        </w:rPr>
        <w:t xml:space="preserve"> century; the base was built probably already in the 4</w:t>
      </w:r>
      <w:r w:rsidR="00C64F8D" w:rsidRPr="00A32F1B">
        <w:rPr>
          <w:vertAlign w:val="superscript"/>
          <w:lang w:val="en-US"/>
        </w:rPr>
        <w:t>th</w:t>
      </w:r>
      <w:r w:rsidR="00C64F8D" w:rsidRPr="00A32F1B">
        <w:rPr>
          <w:lang w:val="en-US"/>
        </w:rPr>
        <w:t xml:space="preserve"> or 5</w:t>
      </w:r>
      <w:r w:rsidR="00C64F8D" w:rsidRPr="00A32F1B">
        <w:rPr>
          <w:vertAlign w:val="superscript"/>
          <w:lang w:val="en-US"/>
        </w:rPr>
        <w:t>th</w:t>
      </w:r>
      <w:r w:rsidR="00C64F8D" w:rsidRPr="00A32F1B">
        <w:rPr>
          <w:lang w:val="en-US"/>
        </w:rPr>
        <w:t xml:space="preserve"> century</w:t>
      </w:r>
      <w:r w:rsidR="0022149D" w:rsidRPr="00A32F1B">
        <w:rPr>
          <w:szCs w:val="24"/>
          <w:lang w:val="en-US"/>
        </w:rPr>
        <w:t>.</w:t>
      </w:r>
      <w:r w:rsidR="0022149D" w:rsidRPr="00A32F1B">
        <w:rPr>
          <w:rStyle w:val="Znakapoznpodarou"/>
          <w:szCs w:val="24"/>
          <w:lang w:val="en-US"/>
        </w:rPr>
        <w:footnoteReference w:id="297"/>
      </w:r>
      <w:r w:rsidR="0022149D" w:rsidRPr="00A32F1B">
        <w:rPr>
          <w:szCs w:val="24"/>
          <w:lang w:val="en-US"/>
        </w:rPr>
        <w:t>. The texts found on the bowls were</w:t>
      </w:r>
      <w:r w:rsidR="00DF498F" w:rsidRPr="00A32F1B">
        <w:rPr>
          <w:szCs w:val="24"/>
          <w:lang w:val="en-US"/>
        </w:rPr>
        <w:t>, as the title suggests,</w:t>
      </w:r>
      <w:r w:rsidR="0022149D" w:rsidRPr="00A32F1B">
        <w:rPr>
          <w:szCs w:val="24"/>
          <w:lang w:val="en-US"/>
        </w:rPr>
        <w:t xml:space="preserve"> written in Aramaic</w:t>
      </w:r>
      <w:r w:rsidR="00DF498F" w:rsidRPr="00A32F1B">
        <w:rPr>
          <w:szCs w:val="24"/>
          <w:lang w:val="en-US"/>
        </w:rPr>
        <w:t xml:space="preserve"> in its chronological, geographical and register variations; </w:t>
      </w:r>
      <w:r w:rsidR="0022149D" w:rsidRPr="00A32F1B">
        <w:rPr>
          <w:szCs w:val="24"/>
          <w:lang w:val="en-US"/>
        </w:rPr>
        <w:t>the linguistic scope of the bowls require</w:t>
      </w:r>
      <w:r w:rsidR="00C64F8D" w:rsidRPr="00A32F1B">
        <w:rPr>
          <w:szCs w:val="24"/>
          <w:lang w:val="en-US"/>
        </w:rPr>
        <w:t>s</w:t>
      </w:r>
      <w:r w:rsidR="0022149D" w:rsidRPr="00A32F1B">
        <w:rPr>
          <w:szCs w:val="24"/>
          <w:lang w:val="en-US"/>
        </w:rPr>
        <w:t xml:space="preserve"> complex analysis and pose</w:t>
      </w:r>
      <w:r w:rsidR="00C64F8D" w:rsidRPr="00A32F1B">
        <w:rPr>
          <w:szCs w:val="24"/>
          <w:lang w:val="en-US"/>
        </w:rPr>
        <w:t>s</w:t>
      </w:r>
      <w:r w:rsidR="0022149D" w:rsidRPr="00A32F1B">
        <w:rPr>
          <w:szCs w:val="24"/>
          <w:lang w:val="en-US"/>
        </w:rPr>
        <w:t xml:space="preserve"> a difficult task to scholars. </w:t>
      </w:r>
      <w:r w:rsidR="00D40206" w:rsidRPr="00A32F1B">
        <w:rPr>
          <w:szCs w:val="24"/>
          <w:lang w:val="en-US"/>
        </w:rPr>
        <w:t>Another difficulty in the research is to establish the provenance of the bowls.</w:t>
      </w:r>
      <w:r w:rsidR="006B4D7D" w:rsidRPr="00A32F1B">
        <w:rPr>
          <w:rStyle w:val="Znakapoznpodarou"/>
          <w:szCs w:val="24"/>
          <w:lang w:val="en-US"/>
        </w:rPr>
        <w:footnoteReference w:id="298"/>
      </w:r>
      <w:r w:rsidR="006B4D7D" w:rsidRPr="00A32F1B">
        <w:rPr>
          <w:szCs w:val="24"/>
          <w:lang w:val="en-US"/>
        </w:rPr>
        <w:t xml:space="preserve">  </w:t>
      </w:r>
      <w:r w:rsidR="005F528F" w:rsidRPr="00A32F1B">
        <w:rPr>
          <w:szCs w:val="24"/>
          <w:lang w:val="en-US"/>
        </w:rPr>
        <w:t>The</w:t>
      </w:r>
      <w:r w:rsidR="007C4C01" w:rsidRPr="00A32F1B">
        <w:rPr>
          <w:szCs w:val="24"/>
          <w:lang w:val="en-US"/>
        </w:rPr>
        <w:t xml:space="preserve"> </w:t>
      </w:r>
      <w:r w:rsidR="00651AE9" w:rsidRPr="00A32F1B">
        <w:rPr>
          <w:szCs w:val="24"/>
          <w:lang w:val="en-US"/>
        </w:rPr>
        <w:t xml:space="preserve">bowl </w:t>
      </w:r>
      <w:r w:rsidR="007C4C01" w:rsidRPr="00A32F1B">
        <w:rPr>
          <w:szCs w:val="24"/>
          <w:lang w:val="en-US"/>
        </w:rPr>
        <w:t xml:space="preserve">research faces ongoing challenges and </w:t>
      </w:r>
      <w:r w:rsidR="00D95301" w:rsidRPr="00A32F1B">
        <w:rPr>
          <w:szCs w:val="24"/>
          <w:lang w:val="en-US"/>
        </w:rPr>
        <w:t>limitations;</w:t>
      </w:r>
      <w:r w:rsidR="007C4C01" w:rsidRPr="00A32F1B">
        <w:rPr>
          <w:szCs w:val="24"/>
          <w:lang w:val="en-US"/>
        </w:rPr>
        <w:t xml:space="preserve"> thus</w:t>
      </w:r>
      <w:r w:rsidR="00927EF6">
        <w:rPr>
          <w:szCs w:val="24"/>
          <w:lang w:val="en-US"/>
        </w:rPr>
        <w:t>,</w:t>
      </w:r>
      <w:r w:rsidR="007C4C01" w:rsidRPr="00A32F1B">
        <w:rPr>
          <w:szCs w:val="24"/>
          <w:lang w:val="en-US"/>
        </w:rPr>
        <w:t xml:space="preserve"> the following examples serve </w:t>
      </w:r>
      <w:r w:rsidR="007C4C01" w:rsidRPr="00A32F1B">
        <w:rPr>
          <w:szCs w:val="24"/>
          <w:lang w:val="en-US"/>
        </w:rPr>
        <w:lastRenderedPageBreak/>
        <w:t xml:space="preserve">rather </w:t>
      </w:r>
      <w:r w:rsidR="00A86DC4" w:rsidRPr="00A32F1B">
        <w:rPr>
          <w:szCs w:val="24"/>
          <w:lang w:val="en-US"/>
        </w:rPr>
        <w:t>as</w:t>
      </w:r>
      <w:r w:rsidR="007C4C01" w:rsidRPr="00A32F1B">
        <w:rPr>
          <w:szCs w:val="24"/>
          <w:lang w:val="en-US"/>
        </w:rPr>
        <w:t xml:space="preserve"> </w:t>
      </w:r>
      <w:r w:rsidR="00D95301" w:rsidRPr="00A32F1B">
        <w:rPr>
          <w:szCs w:val="24"/>
          <w:lang w:val="en-US"/>
        </w:rPr>
        <w:t>an</w:t>
      </w:r>
      <w:r w:rsidR="00A86DC4" w:rsidRPr="00A32F1B">
        <w:rPr>
          <w:szCs w:val="24"/>
          <w:lang w:val="en-US"/>
        </w:rPr>
        <w:t xml:space="preserve"> illustration of the material potential than evidence for this thesis </w:t>
      </w:r>
      <w:r w:rsidR="00D95301" w:rsidRPr="00A32F1B">
        <w:rPr>
          <w:szCs w:val="24"/>
          <w:lang w:val="en-US"/>
        </w:rPr>
        <w:t>research interest</w:t>
      </w:r>
      <w:r w:rsidR="00A86DC4" w:rsidRPr="00A32F1B">
        <w:rPr>
          <w:szCs w:val="24"/>
          <w:lang w:val="en-US"/>
        </w:rPr>
        <w:t>.</w:t>
      </w:r>
    </w:p>
    <w:p w14:paraId="2AA39B02" w14:textId="05305CF9" w:rsidR="005F528F" w:rsidRPr="00A32F1B" w:rsidRDefault="005F528F" w:rsidP="00C64F8D">
      <w:pPr>
        <w:rPr>
          <w:szCs w:val="24"/>
          <w:lang w:val="en-US"/>
        </w:rPr>
      </w:pPr>
      <w:r w:rsidRPr="00A32F1B">
        <w:rPr>
          <w:szCs w:val="24"/>
          <w:lang w:val="en-US"/>
        </w:rPr>
        <w:t xml:space="preserve">Shaul Shaked, the authority in the field of Aramaic incantation bowls, </w:t>
      </w:r>
      <w:r w:rsidR="00373778" w:rsidRPr="00A32F1B">
        <w:rPr>
          <w:szCs w:val="24"/>
          <w:lang w:val="en-US"/>
        </w:rPr>
        <w:t>theorized that the notion of Abraxas was present in the bowls’ magical tradition; his claim was based on the comparison of</w:t>
      </w:r>
      <w:r w:rsidR="00E16D20" w:rsidRPr="00A32F1B">
        <w:rPr>
          <w:szCs w:val="24"/>
          <w:lang w:val="en-US"/>
        </w:rPr>
        <w:t xml:space="preserve"> three incantation bowls</w:t>
      </w:r>
      <w:r w:rsidR="00E16D20" w:rsidRPr="00A32F1B">
        <w:rPr>
          <w:rStyle w:val="Znakapoznpodarou"/>
          <w:szCs w:val="24"/>
          <w:lang w:val="en-US"/>
        </w:rPr>
        <w:footnoteReference w:id="299"/>
      </w:r>
      <w:r w:rsidR="00E16D20" w:rsidRPr="00A32F1B">
        <w:rPr>
          <w:szCs w:val="24"/>
          <w:lang w:val="en-US"/>
        </w:rPr>
        <w:t>, one of which contained the Aramaic transcription of Greek A</w:t>
      </w:r>
      <w:r w:rsidR="00B34D78" w:rsidRPr="00A32F1B">
        <w:rPr>
          <w:szCs w:val="24"/>
          <w:lang w:val="en-US"/>
        </w:rPr>
        <w:t>braxas as ABRKSS</w:t>
      </w:r>
      <w:r w:rsidR="00E16D20" w:rsidRPr="00A32F1B">
        <w:rPr>
          <w:szCs w:val="24"/>
          <w:lang w:val="en-US"/>
        </w:rPr>
        <w:t xml:space="preserve"> (</w:t>
      </w:r>
      <w:r w:rsidR="00E16D20" w:rsidRPr="00A32F1B">
        <w:rPr>
          <w:rFonts w:asciiTheme="majorBidi" w:hAnsiTheme="majorBidi" w:cstheme="majorBidi"/>
          <w:sz w:val="28"/>
          <w:szCs w:val="28"/>
          <w:rtl/>
          <w:lang w:val="en-US"/>
        </w:rPr>
        <w:t>אברכסס</w:t>
      </w:r>
      <w:r w:rsidR="00E16D20" w:rsidRPr="00A32F1B">
        <w:rPr>
          <w:szCs w:val="24"/>
          <w:lang w:val="en-US"/>
        </w:rPr>
        <w:t>)</w:t>
      </w:r>
      <w:r w:rsidR="00E16D20" w:rsidRPr="00A32F1B">
        <w:rPr>
          <w:rStyle w:val="Znakapoznpodarou"/>
          <w:szCs w:val="24"/>
          <w:lang w:val="en-US"/>
        </w:rPr>
        <w:footnoteReference w:id="300"/>
      </w:r>
      <w:r w:rsidR="00E16D20" w:rsidRPr="00A32F1B">
        <w:rPr>
          <w:szCs w:val="24"/>
          <w:lang w:val="en-US"/>
        </w:rPr>
        <w:t>, the other two bowls contained similar structures ABR</w:t>
      </w:r>
      <w:r w:rsidR="00B34D78" w:rsidRPr="00A32F1B">
        <w:rPr>
          <w:szCs w:val="24"/>
          <w:lang w:val="en-US"/>
        </w:rPr>
        <w:t>Ḥ</w:t>
      </w:r>
      <w:r w:rsidR="00E16D20" w:rsidRPr="00A32F1B">
        <w:rPr>
          <w:szCs w:val="24"/>
          <w:lang w:val="en-US"/>
        </w:rPr>
        <w:t>SS</w:t>
      </w:r>
      <w:r w:rsidR="00B34D78" w:rsidRPr="00A32F1B">
        <w:rPr>
          <w:szCs w:val="24"/>
          <w:lang w:val="en-US"/>
        </w:rPr>
        <w:t>Y</w:t>
      </w:r>
      <w:r w:rsidR="00E16D20" w:rsidRPr="00A32F1B">
        <w:rPr>
          <w:szCs w:val="24"/>
          <w:lang w:val="en-US"/>
        </w:rPr>
        <w:t>H (</w:t>
      </w:r>
      <w:r w:rsidR="00E16D20" w:rsidRPr="00A32F1B">
        <w:rPr>
          <w:rFonts w:asciiTheme="majorBidi" w:hAnsiTheme="majorBidi" w:cstheme="majorBidi"/>
          <w:sz w:val="28"/>
          <w:szCs w:val="28"/>
          <w:rtl/>
          <w:lang w:val="en-US"/>
        </w:rPr>
        <w:t>אברחססיה</w:t>
      </w:r>
      <w:r w:rsidR="00E16D20" w:rsidRPr="00A32F1B">
        <w:rPr>
          <w:szCs w:val="24"/>
          <w:lang w:val="en-US"/>
        </w:rPr>
        <w:t>)</w:t>
      </w:r>
      <w:r w:rsidR="00E16D20" w:rsidRPr="00A32F1B">
        <w:rPr>
          <w:rStyle w:val="Znakapoznpodarou"/>
          <w:szCs w:val="24"/>
          <w:lang w:val="en-US"/>
        </w:rPr>
        <w:footnoteReference w:id="301"/>
      </w:r>
      <w:r w:rsidR="00E16D20" w:rsidRPr="00A32F1B">
        <w:rPr>
          <w:szCs w:val="24"/>
          <w:lang w:val="en-US"/>
        </w:rPr>
        <w:t xml:space="preserve"> and ABRSSB</w:t>
      </w:r>
      <w:r w:rsidR="00B34D78" w:rsidRPr="00A32F1B">
        <w:rPr>
          <w:szCs w:val="24"/>
          <w:lang w:val="en-US"/>
        </w:rPr>
        <w:t>Y</w:t>
      </w:r>
      <w:r w:rsidR="00E16D20" w:rsidRPr="00A32F1B">
        <w:rPr>
          <w:szCs w:val="24"/>
          <w:lang w:val="en-US"/>
        </w:rPr>
        <w:t>H (</w:t>
      </w:r>
      <w:r w:rsidR="00E16D20" w:rsidRPr="00A32F1B">
        <w:rPr>
          <w:rFonts w:asciiTheme="majorBidi" w:hAnsiTheme="majorBidi" w:cstheme="majorBidi"/>
          <w:sz w:val="28"/>
          <w:szCs w:val="28"/>
          <w:rtl/>
          <w:lang w:val="en-US"/>
        </w:rPr>
        <w:t>אברססביה</w:t>
      </w:r>
      <w:r w:rsidR="00E16D20" w:rsidRPr="00A32F1B">
        <w:rPr>
          <w:szCs w:val="24"/>
          <w:lang w:val="en-US"/>
        </w:rPr>
        <w:t>)</w:t>
      </w:r>
      <w:r w:rsidR="00E16D20" w:rsidRPr="00A32F1B">
        <w:rPr>
          <w:rStyle w:val="Znakapoznpodarou"/>
          <w:szCs w:val="24"/>
          <w:lang w:val="en-US"/>
        </w:rPr>
        <w:footnoteReference w:id="302"/>
      </w:r>
      <w:r w:rsidR="00E16D20" w:rsidRPr="00A32F1B">
        <w:rPr>
          <w:szCs w:val="24"/>
          <w:lang w:val="en-US"/>
        </w:rPr>
        <w:t xml:space="preserve"> in parallel context, thus Shaked connects the three words to Abraxas.</w:t>
      </w:r>
      <w:r w:rsidR="0091530B" w:rsidRPr="00A32F1B">
        <w:rPr>
          <w:szCs w:val="24"/>
          <w:lang w:val="en-US"/>
        </w:rPr>
        <w:t xml:space="preserve"> The text of the bowls does not further indicate any character or identity that could be ascribed to Abraxas. </w:t>
      </w:r>
    </w:p>
    <w:p w14:paraId="584E6D2F" w14:textId="68A3D282" w:rsidR="008C2DA1" w:rsidRPr="00A32F1B" w:rsidRDefault="00F62943" w:rsidP="0066109E">
      <w:pPr>
        <w:rPr>
          <w:szCs w:val="24"/>
          <w:lang w:val="en-US"/>
        </w:rPr>
      </w:pPr>
      <w:r w:rsidRPr="00A32F1B">
        <w:rPr>
          <w:szCs w:val="24"/>
          <w:lang w:val="en-US"/>
        </w:rPr>
        <w:t>Shaked reveals Abraxas also i</w:t>
      </w:r>
      <w:r w:rsidR="0091530B" w:rsidRPr="00A32F1B">
        <w:rPr>
          <w:szCs w:val="24"/>
          <w:lang w:val="en-US"/>
        </w:rPr>
        <w:t>n another incantation bowl</w:t>
      </w:r>
      <w:r w:rsidRPr="00A32F1B">
        <w:rPr>
          <w:szCs w:val="24"/>
          <w:lang w:val="en-US"/>
        </w:rPr>
        <w:t xml:space="preserve"> in</w:t>
      </w:r>
      <w:r w:rsidR="0091530B" w:rsidRPr="00A32F1B">
        <w:rPr>
          <w:szCs w:val="24"/>
          <w:lang w:val="en-US"/>
        </w:rPr>
        <w:t xml:space="preserve"> the form </w:t>
      </w:r>
      <w:r w:rsidR="008C2DA1" w:rsidRPr="00A32F1B">
        <w:rPr>
          <w:szCs w:val="24"/>
          <w:lang w:val="en-US"/>
        </w:rPr>
        <w:t>ABR</w:t>
      </w:r>
      <w:r w:rsidR="0081058B" w:rsidRPr="00A32F1B">
        <w:rPr>
          <w:szCs w:val="24"/>
          <w:lang w:val="en-US"/>
        </w:rPr>
        <w:t>Ḥ</w:t>
      </w:r>
      <w:r w:rsidR="008C2DA1" w:rsidRPr="00A32F1B">
        <w:rPr>
          <w:szCs w:val="24"/>
          <w:lang w:val="en-US"/>
        </w:rPr>
        <w:t>S</w:t>
      </w:r>
      <w:r w:rsidR="0081058B" w:rsidRPr="00A32F1B">
        <w:rPr>
          <w:szCs w:val="24"/>
          <w:lang w:val="en-US"/>
        </w:rPr>
        <w:t>Y</w:t>
      </w:r>
      <w:r w:rsidR="008C2DA1" w:rsidRPr="00A32F1B">
        <w:rPr>
          <w:szCs w:val="24"/>
          <w:lang w:val="en-US"/>
        </w:rPr>
        <w:t>A</w:t>
      </w:r>
      <w:r w:rsidR="008C2DA1" w:rsidRPr="00A32F1B">
        <w:rPr>
          <w:szCs w:val="24"/>
          <w:highlight w:val="yellow"/>
          <w:lang w:val="en-US"/>
        </w:rPr>
        <w:t xml:space="preserve"> </w:t>
      </w:r>
      <w:r w:rsidR="008C2DA1" w:rsidRPr="00A32F1B">
        <w:rPr>
          <w:szCs w:val="24"/>
          <w:lang w:val="en-US"/>
        </w:rPr>
        <w:t>(</w:t>
      </w:r>
      <w:r w:rsidR="008C2DA1" w:rsidRPr="00A32F1B">
        <w:rPr>
          <w:rFonts w:asciiTheme="majorBidi" w:hAnsiTheme="majorBidi" w:cstheme="majorBidi"/>
          <w:sz w:val="28"/>
          <w:szCs w:val="28"/>
          <w:rtl/>
          <w:lang w:val="en-US"/>
        </w:rPr>
        <w:t>אברחסיא</w:t>
      </w:r>
      <w:r w:rsidR="008C2DA1" w:rsidRPr="00A32F1B">
        <w:rPr>
          <w:szCs w:val="24"/>
          <w:lang w:val="en-US"/>
        </w:rPr>
        <w:t>)</w:t>
      </w:r>
      <w:r w:rsidR="0066109E" w:rsidRPr="00A32F1B">
        <w:rPr>
          <w:rStyle w:val="Znakapoznpodarou"/>
          <w:szCs w:val="24"/>
          <w:lang w:val="en-US"/>
        </w:rPr>
        <w:footnoteReference w:id="303"/>
      </w:r>
      <w:r w:rsidR="0098069A" w:rsidRPr="00A32F1B">
        <w:rPr>
          <w:szCs w:val="24"/>
          <w:lang w:val="en-US"/>
        </w:rPr>
        <w:t>;</w:t>
      </w:r>
      <w:r w:rsidR="00F3419C" w:rsidRPr="00A32F1B">
        <w:rPr>
          <w:szCs w:val="24"/>
          <w:lang w:val="en-US"/>
        </w:rPr>
        <w:t xml:space="preserve"> deducing from the context that calls </w:t>
      </w:r>
      <w:r w:rsidR="0081058B" w:rsidRPr="00A32F1B">
        <w:rPr>
          <w:szCs w:val="24"/>
          <w:lang w:val="en-US"/>
        </w:rPr>
        <w:t xml:space="preserve">ABRḤSYA </w:t>
      </w:r>
      <w:r w:rsidR="00F3419C" w:rsidRPr="00A32F1B">
        <w:rPr>
          <w:szCs w:val="24"/>
          <w:lang w:val="en-US"/>
        </w:rPr>
        <w:t>the “king of the world”</w:t>
      </w:r>
      <w:r w:rsidR="0066109E" w:rsidRPr="00A32F1B">
        <w:rPr>
          <w:rStyle w:val="Znakapoznpodarou"/>
          <w:szCs w:val="24"/>
          <w:lang w:val="en-US"/>
        </w:rPr>
        <w:footnoteReference w:id="304"/>
      </w:r>
      <w:r w:rsidR="0098069A" w:rsidRPr="00A32F1B">
        <w:rPr>
          <w:szCs w:val="24"/>
          <w:lang w:val="en-US"/>
        </w:rPr>
        <w:t xml:space="preserve"> </w:t>
      </w:r>
      <w:r w:rsidR="006B60D3" w:rsidRPr="00A32F1B">
        <w:rPr>
          <w:szCs w:val="24"/>
          <w:lang w:val="en-US"/>
        </w:rPr>
        <w:t xml:space="preserve">it is connected to Greek notion of Abraxas. </w:t>
      </w:r>
      <w:r w:rsidR="0066109E" w:rsidRPr="00A32F1B">
        <w:rPr>
          <w:szCs w:val="24"/>
          <w:lang w:val="en-US"/>
        </w:rPr>
        <w:t xml:space="preserve">Related to this text Shaked proposes </w:t>
      </w:r>
      <w:r w:rsidR="008C2DA1" w:rsidRPr="00A32F1B">
        <w:rPr>
          <w:szCs w:val="24"/>
          <w:lang w:val="en-US"/>
        </w:rPr>
        <w:t xml:space="preserve">that the form </w:t>
      </w:r>
      <w:r w:rsidR="0081058B" w:rsidRPr="00A32F1B">
        <w:rPr>
          <w:szCs w:val="24"/>
          <w:lang w:val="en-US"/>
        </w:rPr>
        <w:t xml:space="preserve">ABRḤSYA </w:t>
      </w:r>
      <w:r w:rsidR="008C2DA1" w:rsidRPr="00A32F1B">
        <w:rPr>
          <w:szCs w:val="24"/>
          <w:lang w:val="en-US"/>
        </w:rPr>
        <w:t>might be the original form of the name, returning to the claim that Abraxas originates in Aramaic</w:t>
      </w:r>
      <w:r w:rsidR="0098069A" w:rsidRPr="00A32F1B">
        <w:rPr>
          <w:rStyle w:val="Znakapoznpodarou"/>
          <w:szCs w:val="24"/>
          <w:lang w:val="en-US"/>
        </w:rPr>
        <w:footnoteReference w:id="305"/>
      </w:r>
      <w:r w:rsidR="008C2DA1" w:rsidRPr="00A32F1B">
        <w:rPr>
          <w:szCs w:val="24"/>
          <w:lang w:val="en-US"/>
        </w:rPr>
        <w:t>, only later translated to Greek ABRAXAS/ABRASAX</w:t>
      </w:r>
      <w:r w:rsidR="00FC5302" w:rsidRPr="00A32F1B">
        <w:rPr>
          <w:szCs w:val="24"/>
          <w:lang w:val="en-US"/>
        </w:rPr>
        <w:t xml:space="preserve">. Although Shaked presents the idea of Abraxas linguistic origin, he </w:t>
      </w:r>
      <w:r w:rsidR="008C2DA1" w:rsidRPr="00A32F1B">
        <w:rPr>
          <w:szCs w:val="24"/>
          <w:lang w:val="en-US"/>
        </w:rPr>
        <w:t>notes that Aramaic texts usually transcribe Abraxas from Greek rather than using the “original” Aramaic form.</w:t>
      </w:r>
      <w:r w:rsidR="00086010" w:rsidRPr="00A32F1B">
        <w:rPr>
          <w:rStyle w:val="Znakapoznpodarou"/>
          <w:szCs w:val="24"/>
          <w:lang w:val="en-US"/>
        </w:rPr>
        <w:footnoteReference w:id="306"/>
      </w:r>
    </w:p>
    <w:p w14:paraId="7BABE3DD" w14:textId="57CF418C" w:rsidR="00086010" w:rsidRPr="00A32F1B" w:rsidRDefault="009E4C16" w:rsidP="00D6563B">
      <w:pPr>
        <w:rPr>
          <w:szCs w:val="24"/>
          <w:lang w:val="en-US"/>
        </w:rPr>
      </w:pPr>
      <w:r w:rsidRPr="00A32F1B">
        <w:rPr>
          <w:szCs w:val="24"/>
          <w:lang w:val="en-US"/>
        </w:rPr>
        <w:t>The collection of Jewish Babylonian Aramaic bowls includes five bowls which all incorporate two names remarkably close to previous Shaked’s Abraxas variations – ABR</w:t>
      </w:r>
      <w:r w:rsidR="0081058B" w:rsidRPr="00A32F1B">
        <w:rPr>
          <w:szCs w:val="24"/>
          <w:lang w:val="en-US"/>
        </w:rPr>
        <w:t>Ḥ</w:t>
      </w:r>
      <w:r w:rsidRPr="00A32F1B">
        <w:rPr>
          <w:szCs w:val="24"/>
          <w:lang w:val="en-US"/>
        </w:rPr>
        <w:t>S</w:t>
      </w:r>
      <w:r w:rsidR="00E032FF" w:rsidRPr="00A32F1B">
        <w:rPr>
          <w:szCs w:val="24"/>
          <w:lang w:val="en-US"/>
        </w:rPr>
        <w:t xml:space="preserve"> </w:t>
      </w:r>
      <w:r w:rsidRPr="00A32F1B">
        <w:rPr>
          <w:szCs w:val="24"/>
          <w:lang w:val="en-US"/>
        </w:rPr>
        <w:t>(</w:t>
      </w:r>
      <w:r w:rsidRPr="00A32F1B">
        <w:rPr>
          <w:rFonts w:asciiTheme="majorBidi" w:hAnsiTheme="majorBidi" w:cstheme="majorBidi"/>
          <w:sz w:val="28"/>
          <w:szCs w:val="28"/>
          <w:rtl/>
          <w:lang w:val="en-US"/>
        </w:rPr>
        <w:t>אברחס</w:t>
      </w:r>
      <w:r w:rsidRPr="00A32F1B">
        <w:rPr>
          <w:szCs w:val="24"/>
          <w:lang w:val="en-US"/>
        </w:rPr>
        <w:t>)</w:t>
      </w:r>
      <w:r w:rsidRPr="00A32F1B">
        <w:rPr>
          <w:rStyle w:val="Znakapoznpodarou"/>
          <w:szCs w:val="24"/>
          <w:lang w:val="en-US"/>
        </w:rPr>
        <w:footnoteReference w:id="307"/>
      </w:r>
      <w:r w:rsidRPr="00A32F1B">
        <w:rPr>
          <w:szCs w:val="24"/>
          <w:lang w:val="en-US"/>
        </w:rPr>
        <w:t xml:space="preserve"> and ABSKS (</w:t>
      </w:r>
      <w:r w:rsidRPr="00A32F1B">
        <w:rPr>
          <w:rFonts w:asciiTheme="majorBidi" w:hAnsiTheme="majorBidi" w:cstheme="majorBidi"/>
          <w:sz w:val="28"/>
          <w:szCs w:val="28"/>
          <w:rtl/>
          <w:lang w:val="en-US"/>
        </w:rPr>
        <w:t>אבסכס</w:t>
      </w:r>
      <w:r w:rsidRPr="00A32F1B">
        <w:rPr>
          <w:szCs w:val="24"/>
          <w:lang w:val="en-US"/>
        </w:rPr>
        <w:t>)</w:t>
      </w:r>
      <w:r w:rsidRPr="00A32F1B">
        <w:rPr>
          <w:rStyle w:val="Znakapoznpodarou"/>
          <w:szCs w:val="24"/>
          <w:lang w:val="en-US"/>
        </w:rPr>
        <w:footnoteReference w:id="308"/>
      </w:r>
      <w:r w:rsidR="00E032FF" w:rsidRPr="00A32F1B">
        <w:rPr>
          <w:szCs w:val="24"/>
          <w:lang w:val="en-US"/>
        </w:rPr>
        <w:t>.</w:t>
      </w:r>
      <w:r w:rsidR="00F80BF6" w:rsidRPr="00A32F1B">
        <w:rPr>
          <w:szCs w:val="24"/>
          <w:lang w:val="en-US"/>
        </w:rPr>
        <w:t xml:space="preserve"> </w:t>
      </w:r>
      <w:r w:rsidR="006E6C0E" w:rsidRPr="00A32F1B">
        <w:rPr>
          <w:szCs w:val="24"/>
          <w:lang w:val="en-US"/>
        </w:rPr>
        <w:t>T</w:t>
      </w:r>
      <w:r w:rsidR="00F80BF6" w:rsidRPr="00A32F1B">
        <w:rPr>
          <w:szCs w:val="24"/>
          <w:lang w:val="en-US"/>
        </w:rPr>
        <w:t xml:space="preserve">hese names are not recognized as Abraxas </w:t>
      </w:r>
      <w:r w:rsidR="00DE7FED" w:rsidRPr="00A32F1B">
        <w:rPr>
          <w:szCs w:val="24"/>
          <w:lang w:val="en-US"/>
        </w:rPr>
        <w:t>associations;</w:t>
      </w:r>
      <w:r w:rsidR="00F80BF6" w:rsidRPr="00A32F1B">
        <w:rPr>
          <w:szCs w:val="24"/>
          <w:lang w:val="en-US"/>
        </w:rPr>
        <w:t xml:space="preserve"> </w:t>
      </w:r>
      <w:r w:rsidR="006E6C0E" w:rsidRPr="00A32F1B">
        <w:rPr>
          <w:szCs w:val="24"/>
          <w:lang w:val="en-US"/>
        </w:rPr>
        <w:t xml:space="preserve">however, </w:t>
      </w:r>
      <w:r w:rsidR="00F80BF6" w:rsidRPr="00A32F1B">
        <w:rPr>
          <w:szCs w:val="24"/>
          <w:lang w:val="en-US"/>
        </w:rPr>
        <w:t>they appear in similar context to previous magical texts – Tetragrammaton, Sabaoth, Gabriel and several other angelical names</w:t>
      </w:r>
      <w:r w:rsidR="006E6C0E" w:rsidRPr="00A32F1B">
        <w:rPr>
          <w:szCs w:val="24"/>
          <w:lang w:val="en-US"/>
        </w:rPr>
        <w:t>.</w:t>
      </w:r>
      <w:r w:rsidR="00862BF6" w:rsidRPr="00A32F1B">
        <w:rPr>
          <w:rStyle w:val="Znakapoznpodarou"/>
          <w:szCs w:val="24"/>
          <w:lang w:val="en-US"/>
        </w:rPr>
        <w:footnoteReference w:id="309"/>
      </w:r>
      <w:r w:rsidR="006E6C0E" w:rsidRPr="00A32F1B">
        <w:rPr>
          <w:szCs w:val="24"/>
          <w:lang w:val="en-US"/>
        </w:rPr>
        <w:t xml:space="preserve"> This observation </w:t>
      </w:r>
      <w:r w:rsidR="00F80BF6" w:rsidRPr="00A32F1B">
        <w:rPr>
          <w:szCs w:val="24"/>
          <w:lang w:val="en-US"/>
        </w:rPr>
        <w:lastRenderedPageBreak/>
        <w:t>m</w:t>
      </w:r>
      <w:r w:rsidR="006E6C0E" w:rsidRPr="00A32F1B">
        <w:rPr>
          <w:szCs w:val="24"/>
          <w:lang w:val="en-US"/>
        </w:rPr>
        <w:t>ay</w:t>
      </w:r>
      <w:r w:rsidR="00F80BF6" w:rsidRPr="00A32F1B">
        <w:rPr>
          <w:szCs w:val="24"/>
          <w:lang w:val="en-US"/>
        </w:rPr>
        <w:t xml:space="preserve"> not be a</w:t>
      </w:r>
      <w:r w:rsidR="006E6C0E" w:rsidRPr="00A32F1B">
        <w:rPr>
          <w:szCs w:val="24"/>
          <w:lang w:val="en-US"/>
        </w:rPr>
        <w:t>n</w:t>
      </w:r>
      <w:r w:rsidR="00F80BF6" w:rsidRPr="00A32F1B">
        <w:rPr>
          <w:szCs w:val="24"/>
          <w:lang w:val="en-US"/>
        </w:rPr>
        <w:t xml:space="preserve"> ultimate evidence</w:t>
      </w:r>
      <w:r w:rsidR="006E6C0E" w:rsidRPr="00A32F1B">
        <w:rPr>
          <w:szCs w:val="24"/>
          <w:lang w:val="en-US"/>
        </w:rPr>
        <w:t>, albeit it might serve as a point of interest to further research.</w:t>
      </w:r>
    </w:p>
    <w:p w14:paraId="33F23A51" w14:textId="6E578307" w:rsidR="007F46FE" w:rsidRPr="00A32F1B" w:rsidRDefault="00A1077A" w:rsidP="00A1077A">
      <w:pPr>
        <w:rPr>
          <w:szCs w:val="24"/>
          <w:lang w:val="en-US"/>
        </w:rPr>
      </w:pPr>
      <w:r w:rsidRPr="00A32F1B">
        <w:rPr>
          <w:szCs w:val="24"/>
          <w:lang w:val="en-US"/>
        </w:rPr>
        <w:t xml:space="preserve">The last illustrating example is </w:t>
      </w:r>
      <w:r w:rsidR="007F46FE" w:rsidRPr="00A32F1B">
        <w:rPr>
          <w:szCs w:val="24"/>
          <w:lang w:val="en-US"/>
        </w:rPr>
        <w:t xml:space="preserve">Aramaic bowl </w:t>
      </w:r>
      <w:r w:rsidR="00377713" w:rsidRPr="00A32F1B">
        <w:rPr>
          <w:szCs w:val="24"/>
          <w:lang w:val="en-US"/>
        </w:rPr>
        <w:t xml:space="preserve">divorcing </w:t>
      </w:r>
      <w:r w:rsidRPr="00A32F1B">
        <w:rPr>
          <w:szCs w:val="24"/>
          <w:lang w:val="en-US"/>
        </w:rPr>
        <w:t xml:space="preserve">the owner </w:t>
      </w:r>
      <w:r w:rsidR="00377713" w:rsidRPr="00A32F1B">
        <w:rPr>
          <w:szCs w:val="24"/>
          <w:lang w:val="en-US"/>
        </w:rPr>
        <w:t>from demons</w:t>
      </w:r>
      <w:r w:rsidR="007F46FE" w:rsidRPr="00A32F1B">
        <w:rPr>
          <w:szCs w:val="24"/>
          <w:lang w:val="en-US"/>
        </w:rPr>
        <w:t xml:space="preserve"> </w:t>
      </w:r>
      <w:r w:rsidRPr="00A32F1B">
        <w:rPr>
          <w:szCs w:val="24"/>
          <w:lang w:val="en-US"/>
        </w:rPr>
        <w:t xml:space="preserve">– </w:t>
      </w:r>
      <w:r w:rsidR="007F46FE" w:rsidRPr="00A32F1B">
        <w:rPr>
          <w:szCs w:val="24"/>
          <w:lang w:val="en-US"/>
        </w:rPr>
        <w:t>the</w:t>
      </w:r>
      <w:r w:rsidRPr="00A32F1B">
        <w:rPr>
          <w:szCs w:val="24"/>
          <w:lang w:val="en-US"/>
        </w:rPr>
        <w:t xml:space="preserve"> </w:t>
      </w:r>
      <w:r w:rsidR="007F46FE" w:rsidRPr="00A32F1B">
        <w:rPr>
          <w:szCs w:val="24"/>
          <w:lang w:val="en-US"/>
        </w:rPr>
        <w:t>form ABRKSS (</w:t>
      </w:r>
      <w:r w:rsidR="00377713" w:rsidRPr="00A32F1B">
        <w:rPr>
          <w:rFonts w:asciiTheme="majorBidi" w:hAnsiTheme="majorBidi" w:cstheme="majorBidi"/>
          <w:sz w:val="28"/>
          <w:szCs w:val="28"/>
          <w:rtl/>
          <w:lang w:val="en-US"/>
        </w:rPr>
        <w:t>אברכסס</w:t>
      </w:r>
      <w:r w:rsidR="007F46FE" w:rsidRPr="00A32F1B">
        <w:rPr>
          <w:szCs w:val="24"/>
          <w:lang w:val="en-US"/>
        </w:rPr>
        <w:t>)</w:t>
      </w:r>
      <w:r w:rsidR="006D3B5B" w:rsidRPr="00A32F1B">
        <w:rPr>
          <w:rStyle w:val="Znakapoznpodarou"/>
          <w:szCs w:val="24"/>
          <w:lang w:val="en-US"/>
        </w:rPr>
        <w:footnoteReference w:id="310"/>
      </w:r>
      <w:r w:rsidRPr="00A32F1B">
        <w:rPr>
          <w:szCs w:val="24"/>
          <w:lang w:val="en-US"/>
        </w:rPr>
        <w:t xml:space="preserve"> appears. T</w:t>
      </w:r>
      <w:r w:rsidR="007F46FE" w:rsidRPr="00A32F1B">
        <w:rPr>
          <w:szCs w:val="24"/>
          <w:lang w:val="en-US"/>
        </w:rPr>
        <w:t xml:space="preserve">he </w:t>
      </w:r>
      <w:r w:rsidRPr="00A32F1B">
        <w:rPr>
          <w:szCs w:val="24"/>
          <w:lang w:val="en-US"/>
        </w:rPr>
        <w:t xml:space="preserve">translator </w:t>
      </w:r>
      <w:r w:rsidR="007F46FE" w:rsidRPr="00A32F1B">
        <w:rPr>
          <w:szCs w:val="24"/>
          <w:lang w:val="en-US"/>
        </w:rPr>
        <w:t xml:space="preserve">connects Abraxas to Ashmodai, a demonic figure </w:t>
      </w:r>
      <w:r w:rsidR="00377713" w:rsidRPr="00A32F1B">
        <w:rPr>
          <w:szCs w:val="24"/>
          <w:lang w:val="en-US"/>
        </w:rPr>
        <w:t>whose name also appears in the present text, classifying Abraxas</w:t>
      </w:r>
      <w:r w:rsidR="006D3B5B" w:rsidRPr="00A32F1B">
        <w:rPr>
          <w:szCs w:val="24"/>
          <w:lang w:val="en-US"/>
        </w:rPr>
        <w:t xml:space="preserve"> directly</w:t>
      </w:r>
      <w:r w:rsidR="00377713" w:rsidRPr="00A32F1B">
        <w:rPr>
          <w:szCs w:val="24"/>
          <w:lang w:val="en-US"/>
        </w:rPr>
        <w:t xml:space="preserve"> as a demon</w:t>
      </w:r>
      <w:r w:rsidR="006D3B5B" w:rsidRPr="00A32F1B">
        <w:rPr>
          <w:rStyle w:val="Znakapoznpodarou"/>
          <w:szCs w:val="24"/>
          <w:lang w:val="en-US"/>
        </w:rPr>
        <w:footnoteReference w:id="311"/>
      </w:r>
      <w:r w:rsidR="00377713" w:rsidRPr="00A32F1B">
        <w:rPr>
          <w:szCs w:val="24"/>
          <w:lang w:val="en-US"/>
        </w:rPr>
        <w:t>. The text</w:t>
      </w:r>
      <w:r w:rsidR="006D3B5B" w:rsidRPr="00A32F1B">
        <w:rPr>
          <w:szCs w:val="24"/>
          <w:lang w:val="en-US"/>
        </w:rPr>
        <w:t xml:space="preserve"> is in many places illegible which is also the case in Abraxas’s name vicinity as the character is not explicitly mentioned in the legible text</w:t>
      </w:r>
      <w:r w:rsidR="003849C1" w:rsidRPr="00A32F1B">
        <w:rPr>
          <w:szCs w:val="24"/>
          <w:lang w:val="en-US"/>
        </w:rPr>
        <w:t>, the transcriber probably understood the context of words “seal” and “bind” as suggesting Abraxas being a demon</w:t>
      </w:r>
      <w:r w:rsidR="00927EF6">
        <w:rPr>
          <w:szCs w:val="24"/>
          <w:lang w:val="en-US"/>
        </w:rPr>
        <w:t>.</w:t>
      </w:r>
      <w:r w:rsidR="00D6563B" w:rsidRPr="00A32F1B">
        <w:rPr>
          <w:szCs w:val="24"/>
          <w:lang w:val="en-US"/>
        </w:rPr>
        <w:t xml:space="preserve"> </w:t>
      </w:r>
      <w:r w:rsidR="006D3B5B" w:rsidRPr="00A32F1B">
        <w:rPr>
          <w:szCs w:val="24"/>
          <w:lang w:val="en-US"/>
        </w:rPr>
        <w:t xml:space="preserve">Similarly interesting is the character of Ashmodai who appears in the incantation bowls in </w:t>
      </w:r>
      <w:proofErr w:type="gramStart"/>
      <w:r w:rsidR="00656E73" w:rsidRPr="00A32F1B">
        <w:rPr>
          <w:szCs w:val="24"/>
          <w:lang w:val="en-US"/>
        </w:rPr>
        <w:t>two character</w:t>
      </w:r>
      <w:proofErr w:type="gramEnd"/>
      <w:r w:rsidR="006D3B5B" w:rsidRPr="00A32F1B">
        <w:rPr>
          <w:szCs w:val="24"/>
          <w:lang w:val="en-US"/>
        </w:rPr>
        <w:t xml:space="preserve"> variations – a king of demons</w:t>
      </w:r>
      <w:r w:rsidR="006D3B5B" w:rsidRPr="00A32F1B">
        <w:rPr>
          <w:rStyle w:val="Znakapoznpodarou"/>
          <w:szCs w:val="24"/>
          <w:lang w:val="en-US"/>
        </w:rPr>
        <w:footnoteReference w:id="312"/>
      </w:r>
      <w:r w:rsidR="006D3B5B" w:rsidRPr="00A32F1B">
        <w:rPr>
          <w:szCs w:val="24"/>
          <w:lang w:val="en-US"/>
        </w:rPr>
        <w:t xml:space="preserve"> and an angel</w:t>
      </w:r>
      <w:r w:rsidR="005C23C2" w:rsidRPr="00A32F1B">
        <w:rPr>
          <w:rStyle w:val="Znakapoznpodarou"/>
          <w:szCs w:val="24"/>
          <w:lang w:val="en-US"/>
        </w:rPr>
        <w:footnoteReference w:id="313"/>
      </w:r>
      <w:r w:rsidR="006D3B5B" w:rsidRPr="00A32F1B">
        <w:rPr>
          <w:szCs w:val="24"/>
          <w:lang w:val="en-US"/>
        </w:rPr>
        <w:t xml:space="preserve">. </w:t>
      </w:r>
      <w:r w:rsidR="00D6563B" w:rsidRPr="00A32F1B">
        <w:rPr>
          <w:szCs w:val="24"/>
          <w:lang w:val="en-US"/>
        </w:rPr>
        <w:t xml:space="preserve">The situation of double </w:t>
      </w:r>
      <w:r w:rsidR="00927EF6">
        <w:rPr>
          <w:szCs w:val="24"/>
          <w:lang w:val="en-US"/>
        </w:rPr>
        <w:t xml:space="preserve">while </w:t>
      </w:r>
      <w:r w:rsidR="00D6563B" w:rsidRPr="00A32F1B">
        <w:rPr>
          <w:szCs w:val="24"/>
          <w:lang w:val="en-US"/>
        </w:rPr>
        <w:t xml:space="preserve">opposing character of Ashmodai might possibly reflect the double character of Abraxas, however, based on the previous magical material studied in this thesis, there is no mention of demonic perception of Abraxas. Albeit interesting, such question would require </w:t>
      </w:r>
      <w:r w:rsidR="003162AD" w:rsidRPr="00A32F1B">
        <w:rPr>
          <w:szCs w:val="24"/>
          <w:lang w:val="en-US"/>
        </w:rPr>
        <w:t>comprehensive</w:t>
      </w:r>
      <w:r w:rsidR="00D6563B" w:rsidRPr="00A32F1B">
        <w:rPr>
          <w:szCs w:val="24"/>
          <w:lang w:val="en-US"/>
        </w:rPr>
        <w:t xml:space="preserve"> research of Aramaic incantation bowl material</w:t>
      </w:r>
      <w:r w:rsidR="006D69DA" w:rsidRPr="00A32F1B">
        <w:rPr>
          <w:szCs w:val="24"/>
          <w:lang w:val="en-US"/>
        </w:rPr>
        <w:t>, and conceivably also other Aramaic amulets employing the name Abraxas.</w:t>
      </w:r>
    </w:p>
    <w:p w14:paraId="3523ADC8" w14:textId="492C7C94" w:rsidR="006D69DA" w:rsidRPr="00A32F1B" w:rsidRDefault="006D69DA" w:rsidP="00D6563B">
      <w:pPr>
        <w:rPr>
          <w:szCs w:val="24"/>
          <w:lang w:val="en-US"/>
        </w:rPr>
      </w:pPr>
      <w:r w:rsidRPr="00A32F1B">
        <w:rPr>
          <w:szCs w:val="24"/>
          <w:lang w:val="en-US"/>
        </w:rPr>
        <w:t>The described examples of Abraxas’s proven or assumed presence in the incantation bowls pose more questions than answers to the search for Abraxas’s cultural and contextual identity</w:t>
      </w:r>
      <w:r w:rsidR="00CE6246" w:rsidRPr="00A32F1B">
        <w:rPr>
          <w:szCs w:val="24"/>
          <w:lang w:val="en-US"/>
        </w:rPr>
        <w:t xml:space="preserve"> which led me to not to take them in the account of the final analysis of Abraxas’s presence in the magical texts.</w:t>
      </w:r>
    </w:p>
    <w:p w14:paraId="4AB413D4" w14:textId="5E544439" w:rsidR="0042253A" w:rsidRPr="00A32F1B" w:rsidRDefault="00735FC9" w:rsidP="0013005A">
      <w:pPr>
        <w:pStyle w:val="Nadpis2"/>
        <w:numPr>
          <w:ilvl w:val="1"/>
          <w:numId w:val="3"/>
        </w:numPr>
        <w:rPr>
          <w:lang w:val="en-US"/>
        </w:rPr>
      </w:pPr>
      <w:bookmarkStart w:id="13" w:name="_Toc70950047"/>
      <w:r w:rsidRPr="00A32F1B">
        <w:rPr>
          <w:lang w:val="en-US"/>
        </w:rPr>
        <w:t xml:space="preserve">Conclusion to </w:t>
      </w:r>
      <w:r w:rsidR="0000173C" w:rsidRPr="00A32F1B">
        <w:rPr>
          <w:lang w:val="en-US"/>
        </w:rPr>
        <w:t>Abraxas</w:t>
      </w:r>
      <w:r w:rsidRPr="00A32F1B">
        <w:rPr>
          <w:lang w:val="en-US"/>
        </w:rPr>
        <w:t xml:space="preserve"> in the </w:t>
      </w:r>
      <w:r w:rsidR="004B5A80" w:rsidRPr="00A32F1B">
        <w:rPr>
          <w:lang w:val="en-US"/>
        </w:rPr>
        <w:t>S</w:t>
      </w:r>
      <w:r w:rsidRPr="00A32F1B">
        <w:rPr>
          <w:lang w:val="en-US"/>
        </w:rPr>
        <w:t xml:space="preserve">elected </w:t>
      </w:r>
      <w:r w:rsidR="004B5A80" w:rsidRPr="00A32F1B">
        <w:rPr>
          <w:lang w:val="en-US"/>
        </w:rPr>
        <w:t>S</w:t>
      </w:r>
      <w:r w:rsidRPr="00A32F1B">
        <w:rPr>
          <w:lang w:val="en-US"/>
        </w:rPr>
        <w:t>ources</w:t>
      </w:r>
      <w:bookmarkEnd w:id="13"/>
    </w:p>
    <w:p w14:paraId="7E8007A7" w14:textId="7EA9DD07" w:rsidR="0042253A" w:rsidRPr="00A32F1B" w:rsidRDefault="002115AF" w:rsidP="0042253A">
      <w:pPr>
        <w:rPr>
          <w:lang w:val="en-US"/>
        </w:rPr>
      </w:pPr>
      <w:r w:rsidRPr="00A32F1B">
        <w:rPr>
          <w:lang w:val="en-US"/>
        </w:rPr>
        <w:t>The analysis of five sources and magical traditions (</w:t>
      </w:r>
      <w:r w:rsidR="00F46155" w:rsidRPr="00A32F1B">
        <w:rPr>
          <w:lang w:val="en-US"/>
        </w:rPr>
        <w:t>Gnostic literature</w:t>
      </w:r>
      <w:r w:rsidRPr="00A32F1B">
        <w:rPr>
          <w:lang w:val="en-US"/>
        </w:rPr>
        <w:t xml:space="preserve">, Greek </w:t>
      </w:r>
      <w:r w:rsidR="00BE0EDE" w:rsidRPr="00A32F1B">
        <w:rPr>
          <w:lang w:val="en-US"/>
        </w:rPr>
        <w:t>m</w:t>
      </w:r>
      <w:r w:rsidRPr="00A32F1B">
        <w:rPr>
          <w:lang w:val="en-US"/>
        </w:rPr>
        <w:t xml:space="preserve">agical </w:t>
      </w:r>
      <w:r w:rsidR="00BE0EDE" w:rsidRPr="00A32F1B">
        <w:rPr>
          <w:lang w:val="en-US"/>
        </w:rPr>
        <w:t>p</w:t>
      </w:r>
      <w:r w:rsidRPr="00A32F1B">
        <w:rPr>
          <w:lang w:val="en-US"/>
        </w:rPr>
        <w:t xml:space="preserve">apyri, </w:t>
      </w:r>
      <w:r w:rsidR="00BE0EDE" w:rsidRPr="00A32F1B">
        <w:rPr>
          <w:lang w:val="en-US"/>
        </w:rPr>
        <w:t>a</w:t>
      </w:r>
      <w:r w:rsidRPr="00A32F1B">
        <w:rPr>
          <w:lang w:val="en-US"/>
        </w:rPr>
        <w:t xml:space="preserve">mulets, </w:t>
      </w:r>
      <w:bookmarkStart w:id="14" w:name="_Hlk70513052"/>
      <w:r w:rsidR="00656FB6" w:rsidRPr="00A32F1B">
        <w:rPr>
          <w:i/>
          <w:iCs/>
          <w:lang w:val="en-US"/>
        </w:rPr>
        <w:t>Ḥarba de-Moshe</w:t>
      </w:r>
      <w:r w:rsidRPr="00A32F1B">
        <w:rPr>
          <w:lang w:val="en-US"/>
        </w:rPr>
        <w:t xml:space="preserve"> </w:t>
      </w:r>
      <w:bookmarkEnd w:id="14"/>
      <w:r w:rsidRPr="00A32F1B">
        <w:rPr>
          <w:lang w:val="en-US"/>
        </w:rPr>
        <w:t xml:space="preserve">and </w:t>
      </w:r>
      <w:r w:rsidRPr="00A32F1B">
        <w:rPr>
          <w:i/>
          <w:iCs/>
          <w:lang w:val="en-US"/>
        </w:rPr>
        <w:t>Sefer ha-Razim</w:t>
      </w:r>
      <w:r w:rsidRPr="00A32F1B">
        <w:rPr>
          <w:lang w:val="en-US"/>
        </w:rPr>
        <w:t>) revealed the presence of Abraxas in varying forms, identities, and contexts</w:t>
      </w:r>
      <w:r w:rsidR="000F1A74" w:rsidRPr="00A32F1B">
        <w:rPr>
          <w:lang w:val="en-US"/>
        </w:rPr>
        <w:t xml:space="preserve"> from which we can assume the</w:t>
      </w:r>
      <w:r w:rsidR="008C489E" w:rsidRPr="00A32F1B">
        <w:rPr>
          <w:lang w:val="en-US"/>
        </w:rPr>
        <w:t xml:space="preserve"> levels of</w:t>
      </w:r>
      <w:r w:rsidR="000F1A74" w:rsidRPr="00A32F1B">
        <w:rPr>
          <w:lang w:val="en-US"/>
        </w:rPr>
        <w:t xml:space="preserve"> importance that Abraxas enjoyed within the texts and magical practices.</w:t>
      </w:r>
    </w:p>
    <w:p w14:paraId="6642E0B3" w14:textId="5591482F" w:rsidR="00FB49CC" w:rsidRPr="00A32F1B" w:rsidRDefault="002115AF" w:rsidP="000F475A">
      <w:pPr>
        <w:rPr>
          <w:lang w:val="en-US"/>
        </w:rPr>
      </w:pPr>
      <w:r w:rsidRPr="00A32F1B">
        <w:rPr>
          <w:lang w:val="en-US"/>
        </w:rPr>
        <w:t xml:space="preserve">The prevalent form </w:t>
      </w:r>
      <w:r w:rsidR="000F1A74" w:rsidRPr="00A32F1B">
        <w:rPr>
          <w:lang w:val="en-US"/>
        </w:rPr>
        <w:t xml:space="preserve">in which Abraxas appeared undoubtedly comes from the Greek form </w:t>
      </w:r>
      <w:r w:rsidR="00220253" w:rsidRPr="00A32F1B">
        <w:rPr>
          <w:lang w:val="en-US"/>
        </w:rPr>
        <w:t xml:space="preserve">of the name </w:t>
      </w:r>
      <w:r w:rsidR="000F1A74" w:rsidRPr="00A32F1B">
        <w:rPr>
          <w:lang w:val="en-US"/>
        </w:rPr>
        <w:t xml:space="preserve">(written in Greek, Hebrew, and Coptic alteration), in fact all the </w:t>
      </w:r>
      <w:r w:rsidR="000F1A74" w:rsidRPr="00A32F1B">
        <w:rPr>
          <w:lang w:val="en-US"/>
        </w:rPr>
        <w:lastRenderedPageBreak/>
        <w:t>sources contain such form, either in direct transliteration or in noticeably similar structure</w:t>
      </w:r>
      <w:r w:rsidR="00BE0F78" w:rsidRPr="00A32F1B">
        <w:rPr>
          <w:lang w:val="en-US"/>
        </w:rPr>
        <w:t>;</w:t>
      </w:r>
      <w:r w:rsidR="000F1A74" w:rsidRPr="00A32F1B">
        <w:rPr>
          <w:lang w:val="en-US"/>
        </w:rPr>
        <w:t xml:space="preserve"> and only the Greek magical papyri apply other versions</w:t>
      </w:r>
      <w:r w:rsidR="00BE0F78" w:rsidRPr="00A32F1B">
        <w:rPr>
          <w:lang w:val="en-US"/>
        </w:rPr>
        <w:t xml:space="preserve">, however, they </w:t>
      </w:r>
      <w:r w:rsidR="000F1A74" w:rsidRPr="00A32F1B">
        <w:rPr>
          <w:lang w:val="en-US"/>
        </w:rPr>
        <w:t xml:space="preserve">are </w:t>
      </w:r>
      <w:r w:rsidR="00BE0F78" w:rsidRPr="00A32F1B">
        <w:rPr>
          <w:lang w:val="en-US"/>
        </w:rPr>
        <w:t xml:space="preserve">also </w:t>
      </w:r>
      <w:r w:rsidR="000F1A74" w:rsidRPr="00A32F1B">
        <w:rPr>
          <w:lang w:val="en-US"/>
        </w:rPr>
        <w:t>derived from Greek</w:t>
      </w:r>
      <w:r w:rsidR="00BE0F78" w:rsidRPr="00A32F1B">
        <w:rPr>
          <w:lang w:val="en-US"/>
        </w:rPr>
        <w:t>.</w:t>
      </w:r>
      <w:r w:rsidR="00131BDD" w:rsidRPr="00A32F1B">
        <w:rPr>
          <w:lang w:val="en-US"/>
        </w:rPr>
        <w:t xml:space="preserve"> </w:t>
      </w:r>
      <w:r w:rsidR="008A0B5A" w:rsidRPr="00A32F1B">
        <w:rPr>
          <w:lang w:val="en-US"/>
        </w:rPr>
        <w:t>The standard</w:t>
      </w:r>
      <w:r w:rsidR="00131BDD" w:rsidRPr="00A32F1B">
        <w:rPr>
          <w:lang w:val="en-US"/>
        </w:rPr>
        <w:t xml:space="preserve"> original</w:t>
      </w:r>
      <w:r w:rsidR="008A0B5A" w:rsidRPr="00A32F1B">
        <w:rPr>
          <w:lang w:val="en-US"/>
        </w:rPr>
        <w:t xml:space="preserve"> form seems to be </w:t>
      </w:r>
      <w:r w:rsidR="00220253" w:rsidRPr="00A32F1B">
        <w:rPr>
          <w:lang w:val="en-US"/>
        </w:rPr>
        <w:t>Abrasax</w:t>
      </w:r>
      <w:r w:rsidR="00131BDD" w:rsidRPr="00A32F1B">
        <w:rPr>
          <w:lang w:val="en-US"/>
        </w:rPr>
        <w:t>, as majority of the sources suggests</w:t>
      </w:r>
      <w:r w:rsidR="00F94D6A" w:rsidRPr="00A32F1B">
        <w:rPr>
          <w:lang w:val="en-US"/>
        </w:rPr>
        <w:t xml:space="preserve"> </w:t>
      </w:r>
      <w:r w:rsidR="00C47304" w:rsidRPr="00A32F1B">
        <w:rPr>
          <w:lang w:val="en-US"/>
        </w:rPr>
        <w:t>(exception</w:t>
      </w:r>
      <w:r w:rsidR="005A6847" w:rsidRPr="00A32F1B">
        <w:rPr>
          <w:lang w:val="en-US"/>
        </w:rPr>
        <w:t>ally using Abraxas:</w:t>
      </w:r>
      <w:r w:rsidR="00C47304" w:rsidRPr="00A32F1B">
        <w:rPr>
          <w:lang w:val="en-US"/>
        </w:rPr>
        <w:t xml:space="preserve"> </w:t>
      </w:r>
      <w:r w:rsidR="005A6847" w:rsidRPr="00A32F1B">
        <w:rPr>
          <w:lang w:val="en-US"/>
        </w:rPr>
        <w:t xml:space="preserve">one example in Greek </w:t>
      </w:r>
      <w:r w:rsidR="00C47304" w:rsidRPr="00A32F1B">
        <w:rPr>
          <w:lang w:val="en-US"/>
        </w:rPr>
        <w:t xml:space="preserve">magical papyri and </w:t>
      </w:r>
      <w:r w:rsidR="00E85EAF" w:rsidRPr="00A32F1B">
        <w:rPr>
          <w:lang w:val="en-US"/>
        </w:rPr>
        <w:t>two</w:t>
      </w:r>
      <w:r w:rsidR="00C47304" w:rsidRPr="00A32F1B">
        <w:rPr>
          <w:lang w:val="en-US"/>
        </w:rPr>
        <w:t xml:space="preserve"> examples in </w:t>
      </w:r>
      <w:r w:rsidR="00656FB6" w:rsidRPr="00A32F1B">
        <w:rPr>
          <w:i/>
          <w:iCs/>
          <w:lang w:val="en-US"/>
        </w:rPr>
        <w:t>Ḥarba de-Moshe</w:t>
      </w:r>
      <w:r w:rsidR="00C47304" w:rsidRPr="00A32F1B">
        <w:rPr>
          <w:lang w:val="en-US"/>
        </w:rPr>
        <w:t>)</w:t>
      </w:r>
      <w:r w:rsidR="00131BDD" w:rsidRPr="00A32F1B">
        <w:rPr>
          <w:lang w:val="en-US"/>
        </w:rPr>
        <w:t xml:space="preserve">, albeit </w:t>
      </w:r>
      <w:r w:rsidR="002B49FB" w:rsidRPr="00A32F1B">
        <w:rPr>
          <w:lang w:val="en-US"/>
        </w:rPr>
        <w:t>the form Abraxas</w:t>
      </w:r>
      <w:r w:rsidR="005A6847" w:rsidRPr="00A32F1B">
        <w:rPr>
          <w:lang w:val="en-US"/>
        </w:rPr>
        <w:t xml:space="preserve"> is widely spread and majorly used in the modern scholarship – this form seems to be implemented by the</w:t>
      </w:r>
      <w:r w:rsidR="002B49FB" w:rsidRPr="00A32F1B">
        <w:rPr>
          <w:lang w:val="en-US"/>
        </w:rPr>
        <w:t xml:space="preserve"> Ch</w:t>
      </w:r>
      <w:r w:rsidR="005A6847" w:rsidRPr="00A32F1B">
        <w:rPr>
          <w:lang w:val="en-US"/>
        </w:rPr>
        <w:t xml:space="preserve">ristian thinkers </w:t>
      </w:r>
      <w:r w:rsidR="002B49FB" w:rsidRPr="00A32F1B">
        <w:rPr>
          <w:lang w:val="en-US"/>
        </w:rPr>
        <w:t>(St. Augustine and Irenaeus)</w:t>
      </w:r>
      <w:r w:rsidR="005A6847" w:rsidRPr="00A32F1B">
        <w:rPr>
          <w:lang w:val="en-US"/>
        </w:rPr>
        <w:t xml:space="preserve"> who</w:t>
      </w:r>
      <w:r w:rsidR="00DB10B1" w:rsidRPr="00A32F1B">
        <w:rPr>
          <w:lang w:val="en-US"/>
        </w:rPr>
        <w:t>se writings</w:t>
      </w:r>
      <w:r w:rsidR="005A6847" w:rsidRPr="00A32F1B">
        <w:rPr>
          <w:lang w:val="en-US"/>
        </w:rPr>
        <w:t xml:space="preserve"> were used as reference by the antiquarians renewing the </w:t>
      </w:r>
      <w:r w:rsidR="00131BDD" w:rsidRPr="00A32F1B">
        <w:rPr>
          <w:lang w:val="en-US"/>
        </w:rPr>
        <w:t>interest</w:t>
      </w:r>
      <w:r w:rsidR="005A6847" w:rsidRPr="00A32F1B">
        <w:rPr>
          <w:lang w:val="en-US"/>
        </w:rPr>
        <w:t xml:space="preserve"> in Abraxas</w:t>
      </w:r>
      <w:r w:rsidR="00131BDD" w:rsidRPr="00A32F1B">
        <w:rPr>
          <w:lang w:val="en-US"/>
        </w:rPr>
        <w:t xml:space="preserve"> in the 16</w:t>
      </w:r>
      <w:r w:rsidR="00131BDD" w:rsidRPr="00A32F1B">
        <w:rPr>
          <w:vertAlign w:val="superscript"/>
          <w:lang w:val="en-US"/>
        </w:rPr>
        <w:t>th</w:t>
      </w:r>
      <w:r w:rsidR="00131BDD" w:rsidRPr="00A32F1B">
        <w:rPr>
          <w:lang w:val="en-US"/>
        </w:rPr>
        <w:t xml:space="preserve"> and 17</w:t>
      </w:r>
      <w:r w:rsidR="00131BDD" w:rsidRPr="00A32F1B">
        <w:rPr>
          <w:vertAlign w:val="superscript"/>
          <w:lang w:val="en-US"/>
        </w:rPr>
        <w:t>th</w:t>
      </w:r>
      <w:r w:rsidR="00131BDD" w:rsidRPr="00A32F1B">
        <w:rPr>
          <w:lang w:val="en-US"/>
        </w:rPr>
        <w:t xml:space="preserve"> centur</w:t>
      </w:r>
      <w:r w:rsidR="005A6847" w:rsidRPr="00A32F1B">
        <w:rPr>
          <w:lang w:val="en-US"/>
        </w:rPr>
        <w:t>y</w:t>
      </w:r>
      <w:r w:rsidR="000F475A" w:rsidRPr="00A32F1B">
        <w:rPr>
          <w:lang w:val="en-US"/>
        </w:rPr>
        <w:t xml:space="preserve"> leading to C. G. Jung and Hermann Hesse presenting </w:t>
      </w:r>
      <w:r w:rsidR="00A0170E" w:rsidRPr="00A32F1B">
        <w:rPr>
          <w:lang w:val="en-US"/>
        </w:rPr>
        <w:t>the character</w:t>
      </w:r>
      <w:r w:rsidR="000F475A" w:rsidRPr="00A32F1B">
        <w:rPr>
          <w:lang w:val="en-US"/>
        </w:rPr>
        <w:t xml:space="preserve"> to public knowledge</w:t>
      </w:r>
      <w:r w:rsidR="00A0170E" w:rsidRPr="00A32F1B">
        <w:rPr>
          <w:lang w:val="en-US"/>
        </w:rPr>
        <w:t xml:space="preserve"> as Abraxas</w:t>
      </w:r>
      <w:r w:rsidR="000F475A" w:rsidRPr="00A32F1B">
        <w:rPr>
          <w:lang w:val="en-US"/>
        </w:rPr>
        <w:t>.</w:t>
      </w:r>
    </w:p>
    <w:p w14:paraId="26B96A0C" w14:textId="3440BF30" w:rsidR="00FB49CC" w:rsidRPr="00A32F1B" w:rsidRDefault="00F65AE2" w:rsidP="0042253A">
      <w:pPr>
        <w:rPr>
          <w:lang w:val="en-US"/>
        </w:rPr>
      </w:pPr>
      <w:r w:rsidRPr="00A32F1B">
        <w:rPr>
          <w:lang w:val="en-US"/>
        </w:rPr>
        <w:t xml:space="preserve">Context of the present Abraxas </w:t>
      </w:r>
      <w:r w:rsidR="0004323F" w:rsidRPr="00A32F1B">
        <w:rPr>
          <w:lang w:val="en-US"/>
        </w:rPr>
        <w:t xml:space="preserve">in the analyzed sources </w:t>
      </w:r>
      <w:r w:rsidR="00691357" w:rsidRPr="00A32F1B">
        <w:rPr>
          <w:lang w:val="en-US"/>
        </w:rPr>
        <w:t xml:space="preserve">usually involves Jewish divine names and/or Jewish angelic names; in the sources connected to Greco-Egyptian tradition, Greek magical papyri and </w:t>
      </w:r>
      <w:r w:rsidR="00DB10B1" w:rsidRPr="00A32F1B">
        <w:rPr>
          <w:lang w:val="en-US"/>
        </w:rPr>
        <w:t>a</w:t>
      </w:r>
      <w:r w:rsidR="00691357" w:rsidRPr="00A32F1B">
        <w:rPr>
          <w:lang w:val="en-US"/>
        </w:rPr>
        <w:t>mulets, Abraxas appears in immediate context of Greek and Egyptian divine names</w:t>
      </w:r>
      <w:r w:rsidR="0012406E" w:rsidRPr="00A32F1B">
        <w:rPr>
          <w:lang w:val="en-US"/>
        </w:rPr>
        <w:t>, concurrently in these sources Abraxas follows various solar characters of Greek and Egyptian provenance.</w:t>
      </w:r>
      <w:r w:rsidR="002752B5" w:rsidRPr="00A32F1B">
        <w:rPr>
          <w:lang w:val="en-US"/>
        </w:rPr>
        <w:t xml:space="preserve"> Identic references to </w:t>
      </w:r>
      <w:r w:rsidR="0007562A" w:rsidRPr="00A32F1B">
        <w:rPr>
          <w:lang w:val="en-US"/>
        </w:rPr>
        <w:t>both</w:t>
      </w:r>
      <w:r w:rsidR="002752B5" w:rsidRPr="00A32F1B">
        <w:rPr>
          <w:lang w:val="en-US"/>
        </w:rPr>
        <w:t xml:space="preserve"> traditions occur also in other analyzed sources, however, not in </w:t>
      </w:r>
      <w:r w:rsidR="00DB10B1" w:rsidRPr="00A32F1B">
        <w:rPr>
          <w:lang w:val="en-US"/>
        </w:rPr>
        <w:t>proximity</w:t>
      </w:r>
      <w:r w:rsidR="002752B5" w:rsidRPr="00A32F1B">
        <w:rPr>
          <w:lang w:val="en-US"/>
        </w:rPr>
        <w:t xml:space="preserve"> </w:t>
      </w:r>
      <w:r w:rsidR="00DB10B1" w:rsidRPr="00A32F1B">
        <w:rPr>
          <w:lang w:val="en-US"/>
        </w:rPr>
        <w:t xml:space="preserve">of </w:t>
      </w:r>
      <w:r w:rsidR="002752B5" w:rsidRPr="00A32F1B">
        <w:rPr>
          <w:lang w:val="en-US"/>
        </w:rPr>
        <w:t>Abraxas.</w:t>
      </w:r>
    </w:p>
    <w:p w14:paraId="4D06A09D" w14:textId="2067E84A" w:rsidR="00FB49CC" w:rsidRPr="00A32F1B" w:rsidRDefault="00CC2D31" w:rsidP="00132C1B">
      <w:pPr>
        <w:rPr>
          <w:lang w:val="en-US"/>
        </w:rPr>
      </w:pPr>
      <w:r w:rsidRPr="00A32F1B">
        <w:rPr>
          <w:lang w:val="en-US"/>
        </w:rPr>
        <w:t xml:space="preserve">The identity of Abraxas is important yet often unanswered question forcing the assumptions to be made </w:t>
      </w:r>
      <w:r w:rsidR="001E2C47" w:rsidRPr="00A32F1B">
        <w:rPr>
          <w:lang w:val="en-US"/>
        </w:rPr>
        <w:t>from</w:t>
      </w:r>
      <w:r w:rsidRPr="00A32F1B">
        <w:rPr>
          <w:lang w:val="en-US"/>
        </w:rPr>
        <w:t xml:space="preserve"> the context.</w:t>
      </w:r>
      <w:r w:rsidR="0007562A" w:rsidRPr="00A32F1B">
        <w:rPr>
          <w:lang w:val="en-US"/>
        </w:rPr>
        <w:t xml:space="preserve"> In most of the texts Abraxas is identified as an angel</w:t>
      </w:r>
      <w:r w:rsidR="00E12802" w:rsidRPr="00A32F1B">
        <w:rPr>
          <w:lang w:val="en-US"/>
        </w:rPr>
        <w:t xml:space="preserve"> – </w:t>
      </w:r>
      <w:r w:rsidR="0007562A" w:rsidRPr="00A32F1B">
        <w:rPr>
          <w:lang w:val="en-US"/>
        </w:rPr>
        <w:t xml:space="preserve">several times directly </w:t>
      </w:r>
      <w:r w:rsidR="0071404E" w:rsidRPr="00A32F1B">
        <w:rPr>
          <w:lang w:val="en-US"/>
        </w:rPr>
        <w:t>marked as</w:t>
      </w:r>
      <w:r w:rsidR="0007562A" w:rsidRPr="00A32F1B">
        <w:rPr>
          <w:lang w:val="en-US"/>
        </w:rPr>
        <w:t xml:space="preserve"> an </w:t>
      </w:r>
      <w:r w:rsidR="00E12802" w:rsidRPr="00A32F1B">
        <w:rPr>
          <w:lang w:val="en-US"/>
        </w:rPr>
        <w:t>angel;</w:t>
      </w:r>
      <w:r w:rsidR="0007562A" w:rsidRPr="00A32F1B">
        <w:rPr>
          <w:lang w:val="en-US"/>
        </w:rPr>
        <w:t xml:space="preserve"> in other </w:t>
      </w:r>
      <w:r w:rsidR="00602418" w:rsidRPr="00A32F1B">
        <w:rPr>
          <w:lang w:val="en-US"/>
        </w:rPr>
        <w:t>cases,</w:t>
      </w:r>
      <w:r w:rsidR="0007562A" w:rsidRPr="00A32F1B">
        <w:rPr>
          <w:lang w:val="en-US"/>
        </w:rPr>
        <w:t xml:space="preserve"> </w:t>
      </w:r>
      <w:r w:rsidR="001E2C47" w:rsidRPr="00A32F1B">
        <w:rPr>
          <w:lang w:val="en-US"/>
        </w:rPr>
        <w:t>it might be inferred from the context</w:t>
      </w:r>
      <w:r w:rsidR="00AE69D9" w:rsidRPr="00A32F1B">
        <w:rPr>
          <w:lang w:val="en-US"/>
        </w:rPr>
        <w:t xml:space="preserve">, either of </w:t>
      </w:r>
      <w:r w:rsidR="001E2C47" w:rsidRPr="00A32F1B">
        <w:rPr>
          <w:lang w:val="en-US"/>
        </w:rPr>
        <w:t>angelic names</w:t>
      </w:r>
      <w:r w:rsidR="00AE69D9" w:rsidRPr="00A32F1B">
        <w:rPr>
          <w:lang w:val="en-US"/>
        </w:rPr>
        <w:t xml:space="preserve"> or of angelic referential terms</w:t>
      </w:r>
      <w:r w:rsidR="001E2C47" w:rsidRPr="00A32F1B">
        <w:rPr>
          <w:lang w:val="en-US"/>
        </w:rPr>
        <w:t>.</w:t>
      </w:r>
      <w:r w:rsidR="00E12802" w:rsidRPr="00A32F1B">
        <w:rPr>
          <w:lang w:val="en-US"/>
        </w:rPr>
        <w:t xml:space="preserve"> Abraxas is </w:t>
      </w:r>
      <w:r w:rsidR="00D11578" w:rsidRPr="00A32F1B">
        <w:rPr>
          <w:lang w:val="en-US"/>
        </w:rPr>
        <w:t xml:space="preserve">often </w:t>
      </w:r>
      <w:r w:rsidR="00E12802" w:rsidRPr="00A32F1B">
        <w:rPr>
          <w:lang w:val="en-US"/>
        </w:rPr>
        <w:t xml:space="preserve">present in strings of names assumably of magical potency </w:t>
      </w:r>
      <w:r w:rsidR="009956EA" w:rsidRPr="00A32F1B">
        <w:rPr>
          <w:lang w:val="en-US"/>
        </w:rPr>
        <w:t xml:space="preserve">without any apparent identification </w:t>
      </w:r>
      <w:r w:rsidR="00E12802" w:rsidRPr="00A32F1B">
        <w:rPr>
          <w:lang w:val="en-US"/>
        </w:rPr>
        <w:t xml:space="preserve">suggesting the name to be </w:t>
      </w:r>
      <w:r w:rsidR="00E12802" w:rsidRPr="00A32F1B">
        <w:rPr>
          <w:i/>
          <w:iCs/>
          <w:lang w:val="en-US"/>
        </w:rPr>
        <w:t>vox magicae</w:t>
      </w:r>
      <w:r w:rsidR="002C2CBB" w:rsidRPr="00A32F1B">
        <w:rPr>
          <w:lang w:val="en-US"/>
        </w:rPr>
        <w:t xml:space="preserve">. </w:t>
      </w:r>
      <w:r w:rsidR="009956EA" w:rsidRPr="00A32F1B">
        <w:rPr>
          <w:lang w:val="en-US"/>
        </w:rPr>
        <w:t>In the Greek magical papyri, t</w:t>
      </w:r>
      <w:r w:rsidR="00A81E17" w:rsidRPr="00A32F1B">
        <w:rPr>
          <w:lang w:val="en-US"/>
        </w:rPr>
        <w:t xml:space="preserve">here are several examples of higher divine role – Abraxas as a god; </w:t>
      </w:r>
      <w:r w:rsidR="001B5B85" w:rsidRPr="00A32F1B">
        <w:rPr>
          <w:lang w:val="en-US"/>
        </w:rPr>
        <w:t xml:space="preserve">however, </w:t>
      </w:r>
      <w:r w:rsidR="006C388B" w:rsidRPr="00A32F1B">
        <w:rPr>
          <w:lang w:val="en-US"/>
        </w:rPr>
        <w:t>most</w:t>
      </w:r>
      <w:r w:rsidR="00A81E17" w:rsidRPr="00A32F1B">
        <w:rPr>
          <w:lang w:val="en-US"/>
        </w:rPr>
        <w:t xml:space="preserve"> examples </w:t>
      </w:r>
      <w:r w:rsidR="001B5B85" w:rsidRPr="00A32F1B">
        <w:rPr>
          <w:lang w:val="en-US"/>
        </w:rPr>
        <w:t>seem rather indirect</w:t>
      </w:r>
      <w:r w:rsidR="006067B6" w:rsidRPr="00A32F1B">
        <w:rPr>
          <w:lang w:val="en-US"/>
        </w:rPr>
        <w:t xml:space="preserve">. </w:t>
      </w:r>
      <w:r w:rsidR="001B5B85" w:rsidRPr="00A32F1B">
        <w:rPr>
          <w:lang w:val="en-US"/>
        </w:rPr>
        <w:t xml:space="preserve">Abraxas is </w:t>
      </w:r>
      <w:r w:rsidR="00A81E17" w:rsidRPr="00A32F1B">
        <w:rPr>
          <w:lang w:val="en-US"/>
        </w:rPr>
        <w:t>either</w:t>
      </w:r>
      <w:r w:rsidR="001310C1" w:rsidRPr="00A32F1B">
        <w:rPr>
          <w:lang w:val="en-US"/>
        </w:rPr>
        <w:t xml:space="preserve"> present in</w:t>
      </w:r>
      <w:r w:rsidR="00A81E17" w:rsidRPr="00A32F1B">
        <w:rPr>
          <w:lang w:val="en-US"/>
        </w:rPr>
        <w:t xml:space="preserve"> </w:t>
      </w:r>
      <w:r w:rsidR="001310C1" w:rsidRPr="00A32F1B">
        <w:rPr>
          <w:lang w:val="en-US"/>
        </w:rPr>
        <w:t xml:space="preserve">strings of names </w:t>
      </w:r>
      <w:r w:rsidR="001B5B85" w:rsidRPr="00A32F1B">
        <w:rPr>
          <w:lang w:val="en-US"/>
        </w:rPr>
        <w:t xml:space="preserve">that are </w:t>
      </w:r>
      <w:r w:rsidR="001310C1" w:rsidRPr="00A32F1B">
        <w:rPr>
          <w:lang w:val="en-US"/>
        </w:rPr>
        <w:t xml:space="preserve">introduced as a god, or Abraxas is assimilated with a different divine being </w:t>
      </w:r>
      <w:r w:rsidR="006C34F6" w:rsidRPr="00A32F1B">
        <w:rPr>
          <w:lang w:val="en-US"/>
        </w:rPr>
        <w:t>(</w:t>
      </w:r>
      <w:r w:rsidR="001310C1" w:rsidRPr="00A32F1B">
        <w:rPr>
          <w:lang w:val="en-US"/>
        </w:rPr>
        <w:t>god</w:t>
      </w:r>
      <w:r w:rsidR="006C34F6" w:rsidRPr="00A32F1B">
        <w:rPr>
          <w:lang w:val="en-US"/>
        </w:rPr>
        <w:t>).</w:t>
      </w:r>
      <w:r w:rsidR="006067B6" w:rsidRPr="00A32F1B">
        <w:rPr>
          <w:lang w:val="en-US"/>
        </w:rPr>
        <w:t xml:space="preserve"> </w:t>
      </w:r>
      <w:r w:rsidR="006C34F6" w:rsidRPr="00A32F1B">
        <w:rPr>
          <w:lang w:val="en-US"/>
        </w:rPr>
        <w:t>O</w:t>
      </w:r>
      <w:r w:rsidR="006067B6" w:rsidRPr="00A32F1B">
        <w:rPr>
          <w:lang w:val="en-US"/>
        </w:rPr>
        <w:t>nly</w:t>
      </w:r>
      <w:r w:rsidR="006C388B" w:rsidRPr="00A32F1B">
        <w:rPr>
          <w:lang w:val="en-US"/>
        </w:rPr>
        <w:t xml:space="preserve"> in one instance Abraxas is directly marked as god along with other names, some of them angelic names</w:t>
      </w:r>
      <w:r w:rsidR="009956EA" w:rsidRPr="00A32F1B">
        <w:rPr>
          <w:lang w:val="en-US"/>
        </w:rPr>
        <w:t>,</w:t>
      </w:r>
      <w:r w:rsidR="006C388B" w:rsidRPr="00A32F1B">
        <w:rPr>
          <w:lang w:val="en-US"/>
        </w:rPr>
        <w:t xml:space="preserve"> that usually are not connected to the divine.</w:t>
      </w:r>
      <w:r w:rsidR="00605D8D" w:rsidRPr="00A32F1B">
        <w:rPr>
          <w:lang w:val="en-US"/>
        </w:rPr>
        <w:t xml:space="preserve"> Abraxas seems to have an undeniable magical potency inclined to be identifie</w:t>
      </w:r>
      <w:r w:rsidR="009956EA" w:rsidRPr="00A32F1B">
        <w:rPr>
          <w:lang w:val="en-US"/>
        </w:rPr>
        <w:t>d</w:t>
      </w:r>
      <w:r w:rsidR="00605D8D" w:rsidRPr="00A32F1B">
        <w:rPr>
          <w:lang w:val="en-US"/>
        </w:rPr>
        <w:t xml:space="preserve"> as an angel or unspecified magical entity or/and name.</w:t>
      </w:r>
      <w:r w:rsidR="00D00E2E" w:rsidRPr="00A32F1B">
        <w:rPr>
          <w:lang w:val="en-US"/>
        </w:rPr>
        <w:t xml:space="preserve"> </w:t>
      </w:r>
    </w:p>
    <w:p w14:paraId="4EBBA157" w14:textId="3C04DD3D" w:rsidR="00AE69D9" w:rsidRPr="00A32F1B" w:rsidRDefault="00431B6E" w:rsidP="00F9523D">
      <w:pPr>
        <w:rPr>
          <w:lang w:val="en-US"/>
        </w:rPr>
      </w:pPr>
      <w:r w:rsidRPr="00A32F1B">
        <w:rPr>
          <w:lang w:val="en-US"/>
        </w:rPr>
        <w:t>Significant characteristic that permeate</w:t>
      </w:r>
      <w:r w:rsidR="00EE49BB" w:rsidRPr="00A32F1B">
        <w:rPr>
          <w:lang w:val="en-US"/>
        </w:rPr>
        <w:t>s</w:t>
      </w:r>
      <w:r w:rsidRPr="00A32F1B">
        <w:rPr>
          <w:lang w:val="en-US"/>
        </w:rPr>
        <w:t xml:space="preserve"> several sources is the connection of Abraxas to </w:t>
      </w:r>
      <w:r w:rsidR="00EE49BB" w:rsidRPr="00A32F1B">
        <w:rPr>
          <w:lang w:val="en-US"/>
        </w:rPr>
        <w:t xml:space="preserve">the </w:t>
      </w:r>
      <w:r w:rsidR="0034642B" w:rsidRPr="00A32F1B">
        <w:rPr>
          <w:lang w:val="en-US"/>
        </w:rPr>
        <w:t>S</w:t>
      </w:r>
      <w:r w:rsidR="00EE49BB" w:rsidRPr="00A32F1B">
        <w:rPr>
          <w:lang w:val="en-US"/>
        </w:rPr>
        <w:t xml:space="preserve">un and </w:t>
      </w:r>
      <w:r w:rsidRPr="00A32F1B">
        <w:rPr>
          <w:lang w:val="en-US"/>
        </w:rPr>
        <w:t xml:space="preserve">solar </w:t>
      </w:r>
      <w:r w:rsidR="00EE49BB" w:rsidRPr="00A32F1B">
        <w:rPr>
          <w:lang w:val="en-US"/>
        </w:rPr>
        <w:t>attributes</w:t>
      </w:r>
      <w:r w:rsidRPr="00A32F1B">
        <w:rPr>
          <w:lang w:val="en-US"/>
        </w:rPr>
        <w:t xml:space="preserve"> – the number 365, association with other solar characters </w:t>
      </w:r>
      <w:r w:rsidR="0062098A" w:rsidRPr="00A32F1B">
        <w:rPr>
          <w:lang w:val="en-US"/>
        </w:rPr>
        <w:t xml:space="preserve">and imagery </w:t>
      </w:r>
      <w:r w:rsidRPr="00A32F1B">
        <w:rPr>
          <w:lang w:val="en-US"/>
        </w:rPr>
        <w:t>of Greek, Egyptian and even Persian origin</w:t>
      </w:r>
      <w:r w:rsidR="00653985" w:rsidRPr="00A32F1B">
        <w:rPr>
          <w:lang w:val="en-US"/>
        </w:rPr>
        <w:t>.</w:t>
      </w:r>
      <w:r w:rsidR="00EE49BB" w:rsidRPr="00A32F1B">
        <w:rPr>
          <w:lang w:val="en-US"/>
        </w:rPr>
        <w:t xml:space="preserve"> </w:t>
      </w:r>
      <w:r w:rsidR="00653985" w:rsidRPr="00A32F1B">
        <w:rPr>
          <w:lang w:val="en-US"/>
        </w:rPr>
        <w:t xml:space="preserve">The number 365 was being connected to the </w:t>
      </w:r>
      <w:r w:rsidR="00414A1A" w:rsidRPr="00A32F1B">
        <w:rPr>
          <w:lang w:val="en-US"/>
        </w:rPr>
        <w:t>S</w:t>
      </w:r>
      <w:r w:rsidR="00653985" w:rsidRPr="00A32F1B">
        <w:rPr>
          <w:lang w:val="en-US"/>
        </w:rPr>
        <w:t>un by various traditions; however, only in Greco-Roman tradition the numerical value translated to Abraxas’s name.</w:t>
      </w:r>
      <w:r w:rsidR="00AE69D9" w:rsidRPr="00A32F1B">
        <w:rPr>
          <w:lang w:val="en-US"/>
        </w:rPr>
        <w:t xml:space="preserve"> The solar </w:t>
      </w:r>
      <w:r w:rsidR="00927EF6">
        <w:rPr>
          <w:lang w:val="en-US"/>
        </w:rPr>
        <w:t>attrib</w:t>
      </w:r>
      <w:r w:rsidR="001E58E1">
        <w:rPr>
          <w:lang w:val="en-US"/>
        </w:rPr>
        <w:t>utes</w:t>
      </w:r>
      <w:r w:rsidR="00AE69D9" w:rsidRPr="00A32F1B">
        <w:rPr>
          <w:lang w:val="en-US"/>
        </w:rPr>
        <w:t xml:space="preserve"> appear also in </w:t>
      </w:r>
      <w:r w:rsidR="00AE69D9" w:rsidRPr="00A32F1B">
        <w:rPr>
          <w:lang w:val="en-US"/>
        </w:rPr>
        <w:lastRenderedPageBreak/>
        <w:t xml:space="preserve">Jewish </w:t>
      </w:r>
      <w:r w:rsidR="00F02950" w:rsidRPr="00A32F1B">
        <w:rPr>
          <w:lang w:val="en-US"/>
        </w:rPr>
        <w:t>tradition;</w:t>
      </w:r>
      <w:r w:rsidR="00AE69D9" w:rsidRPr="00A32F1B">
        <w:rPr>
          <w:lang w:val="en-US"/>
        </w:rPr>
        <w:t xml:space="preserve"> </w:t>
      </w:r>
      <w:r w:rsidR="00F9523D" w:rsidRPr="00A32F1B">
        <w:rPr>
          <w:lang w:val="en-US"/>
        </w:rPr>
        <w:t>however, it does not seem as an internal disposition to Abraxas but rather as a contextual role</w:t>
      </w:r>
      <w:r w:rsidR="00EB7887" w:rsidRPr="00A32F1B">
        <w:rPr>
          <w:lang w:val="en-US"/>
        </w:rPr>
        <w:t xml:space="preserve"> – </w:t>
      </w:r>
      <w:r w:rsidR="00F9523D" w:rsidRPr="00A32F1B">
        <w:rPr>
          <w:lang w:val="en-US"/>
        </w:rPr>
        <w:t xml:space="preserve">initiating movement of the </w:t>
      </w:r>
      <w:r w:rsidR="00414A1A" w:rsidRPr="00A32F1B">
        <w:rPr>
          <w:lang w:val="en-US"/>
        </w:rPr>
        <w:t>S</w:t>
      </w:r>
      <w:r w:rsidR="00F9523D" w:rsidRPr="00A32F1B">
        <w:rPr>
          <w:lang w:val="en-US"/>
        </w:rPr>
        <w:t xml:space="preserve">un – within the source </w:t>
      </w:r>
      <w:r w:rsidR="00F9523D" w:rsidRPr="00A32F1B">
        <w:rPr>
          <w:i/>
          <w:iCs/>
          <w:lang w:val="en-US"/>
        </w:rPr>
        <w:t>Sefer ha-Razim</w:t>
      </w:r>
      <w:r w:rsidR="00015273" w:rsidRPr="00A32F1B">
        <w:rPr>
          <w:lang w:val="en-US"/>
        </w:rPr>
        <w:t>.</w:t>
      </w:r>
    </w:p>
    <w:p w14:paraId="0997E862" w14:textId="176D0BEE" w:rsidR="00F12FDD" w:rsidRPr="00A32F1B" w:rsidRDefault="00B81C76" w:rsidP="006009A8">
      <w:pPr>
        <w:rPr>
          <w:lang w:val="en-US"/>
        </w:rPr>
      </w:pPr>
      <w:r w:rsidRPr="00A32F1B">
        <w:rPr>
          <w:lang w:val="en-US"/>
        </w:rPr>
        <w:t>In conclusion, Abraxas appears at least in three language variations (Greek, Hebrew/Aramaic, Coptic), all of which are based on Greek version – Abraxas/Abrasax. Most often context</w:t>
      </w:r>
      <w:r w:rsidR="00EC1429" w:rsidRPr="00A32F1B">
        <w:rPr>
          <w:lang w:val="en-US"/>
        </w:rPr>
        <w:t xml:space="preserve"> surrounding Abraxas</w:t>
      </w:r>
      <w:r w:rsidRPr="00A32F1B">
        <w:rPr>
          <w:lang w:val="en-US"/>
        </w:rPr>
        <w:t xml:space="preserve"> comprises of Jewish divine and angelic entities implying magical potency</w:t>
      </w:r>
      <w:r w:rsidR="00EC1429" w:rsidRPr="00A32F1B">
        <w:rPr>
          <w:lang w:val="en-US"/>
        </w:rPr>
        <w:t xml:space="preserve"> and angelic identity</w:t>
      </w:r>
      <w:r w:rsidRPr="00A32F1B">
        <w:rPr>
          <w:lang w:val="en-US"/>
        </w:rPr>
        <w:t>.</w:t>
      </w:r>
      <w:r w:rsidR="00B81E57" w:rsidRPr="00A32F1B">
        <w:rPr>
          <w:lang w:val="en-US"/>
        </w:rPr>
        <w:t xml:space="preserve"> In Greco-Egyptian context Abraxas seemingly attains more powerful magical potency with strong inclination to solar </w:t>
      </w:r>
      <w:r w:rsidR="00C304D6">
        <w:rPr>
          <w:lang w:val="en-US"/>
        </w:rPr>
        <w:t>attributes</w:t>
      </w:r>
      <w:r w:rsidR="00B81E57" w:rsidRPr="00A32F1B">
        <w:rPr>
          <w:lang w:val="en-US"/>
        </w:rPr>
        <w:t>.</w:t>
      </w:r>
      <w:r w:rsidR="006009A8" w:rsidRPr="00A32F1B">
        <w:rPr>
          <w:lang w:val="en-US"/>
        </w:rPr>
        <w:br w:type="page"/>
      </w:r>
    </w:p>
    <w:p w14:paraId="6ED0AA33" w14:textId="4DBE898D" w:rsidR="00D00E2E" w:rsidRPr="00A32F1B" w:rsidRDefault="00D00E2E" w:rsidP="00141B98">
      <w:pPr>
        <w:pStyle w:val="Nadpis1"/>
        <w:rPr>
          <w:lang w:val="en-US"/>
        </w:rPr>
      </w:pPr>
      <w:bookmarkStart w:id="15" w:name="_Toc70950048"/>
      <w:r w:rsidRPr="00A32F1B">
        <w:rPr>
          <w:lang w:val="en-US"/>
        </w:rPr>
        <w:lastRenderedPageBreak/>
        <w:t>Conclusion</w:t>
      </w:r>
      <w:bookmarkEnd w:id="15"/>
    </w:p>
    <w:p w14:paraId="7FE8A899" w14:textId="54168816" w:rsidR="009A3F0F" w:rsidRDefault="009A3F0F" w:rsidP="009A3F0F">
      <w:pPr>
        <w:rPr>
          <w:lang w:val="en-US"/>
        </w:rPr>
      </w:pPr>
      <w:bookmarkStart w:id="16" w:name="_Toc70950049"/>
      <w:r>
        <w:rPr>
          <w:lang w:val="en-US"/>
        </w:rPr>
        <w:t>This study has attempted to examine the various meanings and the contexts of the name Abraxas in four textual corpora written in the Eastern Mediterranean during the last centuries of antiquity (Nag Hammadi texts, Greek magical papyri, amulets, and Jewish magical texts) and to clarify whether it was considered translatable and transferable by late antique writers and readers. The major findings of my research can be summarized in the following way:</w:t>
      </w:r>
    </w:p>
    <w:p w14:paraId="7F6FA308" w14:textId="77777777" w:rsidR="009A3F0F" w:rsidRPr="00845519" w:rsidRDefault="009A3F0F" w:rsidP="009A3F0F">
      <w:pPr>
        <w:rPr>
          <w:lang w:val="en-US"/>
        </w:rPr>
      </w:pPr>
    </w:p>
    <w:p w14:paraId="1B98F650" w14:textId="3D89B7A9" w:rsidR="009A3F0F" w:rsidRPr="00FC3154" w:rsidRDefault="009A3F0F" w:rsidP="009A3F0F">
      <w:pPr>
        <w:pStyle w:val="Odstavecseseznamem"/>
        <w:numPr>
          <w:ilvl w:val="0"/>
          <w:numId w:val="4"/>
        </w:numPr>
        <w:rPr>
          <w:lang w:val="en-US"/>
        </w:rPr>
      </w:pPr>
      <w:r w:rsidRPr="00FC3154">
        <w:rPr>
          <w:lang w:val="en-US"/>
        </w:rPr>
        <w:t>Abraxas and/or its variations appear in </w:t>
      </w:r>
      <w:proofErr w:type="gramStart"/>
      <w:r w:rsidRPr="00FC3154">
        <w:rPr>
          <w:lang w:val="en-US"/>
        </w:rPr>
        <w:t>all of</w:t>
      </w:r>
      <w:proofErr w:type="gramEnd"/>
      <w:r w:rsidRPr="00FC3154">
        <w:rPr>
          <w:lang w:val="en-US"/>
        </w:rPr>
        <w:t> the 4 aforementioned</w:t>
      </w:r>
      <w:r>
        <w:t xml:space="preserve"> </w:t>
      </w:r>
      <w:r w:rsidRPr="00FC3154">
        <w:rPr>
          <w:lang w:val="en-US"/>
        </w:rPr>
        <w:t>ancien</w:t>
      </w:r>
      <w:r>
        <w:rPr>
          <w:lang w:val="en-US"/>
        </w:rPr>
        <w:t>t </w:t>
      </w:r>
      <w:r w:rsidRPr="00FC3154">
        <w:rPr>
          <w:lang w:val="en-US"/>
        </w:rPr>
        <w:t>corpora – Gnostic literature, Greek magical papyri, amulets, and Jewish magical literature.</w:t>
      </w:r>
    </w:p>
    <w:p w14:paraId="562E10EF" w14:textId="77777777" w:rsidR="009A3F0F" w:rsidRPr="00FC3154" w:rsidRDefault="009A3F0F" w:rsidP="009A3F0F">
      <w:pPr>
        <w:pStyle w:val="Odstavecseseznamem"/>
        <w:numPr>
          <w:ilvl w:val="0"/>
          <w:numId w:val="4"/>
        </w:numPr>
        <w:rPr>
          <w:lang w:val="en-US"/>
        </w:rPr>
      </w:pPr>
      <w:r w:rsidRPr="00FC3154">
        <w:rPr>
          <w:lang w:val="en-US"/>
        </w:rPr>
        <w:t>Abraxas went through syncretic process</w:t>
      </w:r>
      <w:r>
        <w:rPr>
          <w:lang w:val="en-US"/>
        </w:rPr>
        <w:t xml:space="preserve"> since it entered diverse religious traditions, including Gnosticism, Judaism, and the polytheistic-syncretic religious world of magical papyri.</w:t>
      </w:r>
    </w:p>
    <w:p w14:paraId="404C91AB" w14:textId="77777777" w:rsidR="009A3F0F" w:rsidRPr="00FC3154" w:rsidRDefault="009A3F0F" w:rsidP="009A3F0F">
      <w:pPr>
        <w:pStyle w:val="Odstavecseseznamem"/>
        <w:numPr>
          <w:ilvl w:val="0"/>
          <w:numId w:val="4"/>
        </w:numPr>
        <w:rPr>
          <w:lang w:val="en-US"/>
        </w:rPr>
      </w:pPr>
      <w:r w:rsidRPr="00FC3154">
        <w:rPr>
          <w:lang w:val="en-US"/>
        </w:rPr>
        <w:t xml:space="preserve">Abraxas and its variations are attested in forms based on Greek </w:t>
      </w:r>
      <w:r w:rsidRPr="00FC3154">
        <w:rPr>
          <w:szCs w:val="24"/>
          <w:lang w:val="en-US"/>
        </w:rPr>
        <w:t>ΑΒΡΑΣΑΞ.</w:t>
      </w:r>
    </w:p>
    <w:p w14:paraId="547D15BA" w14:textId="77777777" w:rsidR="009A3F0F" w:rsidRPr="00FC3154" w:rsidRDefault="009A3F0F" w:rsidP="009A3F0F">
      <w:pPr>
        <w:pStyle w:val="Odstavecseseznamem"/>
        <w:numPr>
          <w:ilvl w:val="0"/>
          <w:numId w:val="4"/>
        </w:numPr>
        <w:rPr>
          <w:lang w:val="en-US"/>
        </w:rPr>
      </w:pPr>
      <w:r w:rsidRPr="00FC3154">
        <w:rPr>
          <w:lang w:val="en-US"/>
        </w:rPr>
        <w:t>Abraxas and its variations occur mostly in context of Jewish divine names and angelic names.</w:t>
      </w:r>
    </w:p>
    <w:p w14:paraId="5DB75AC8" w14:textId="77777777" w:rsidR="009A3F0F" w:rsidRPr="00FC3154" w:rsidRDefault="009A3F0F" w:rsidP="009A3F0F">
      <w:pPr>
        <w:pStyle w:val="Odstavecseseznamem"/>
        <w:numPr>
          <w:ilvl w:val="0"/>
          <w:numId w:val="4"/>
        </w:numPr>
        <w:rPr>
          <w:lang w:val="en-US"/>
        </w:rPr>
      </w:pPr>
      <w:r w:rsidRPr="00FC3154">
        <w:rPr>
          <w:lang w:val="en-US"/>
        </w:rPr>
        <w:t xml:space="preserve">Abraxas is often identified </w:t>
      </w:r>
      <w:r>
        <w:rPr>
          <w:lang w:val="en-US"/>
        </w:rPr>
        <w:t>as an</w:t>
      </w:r>
      <w:r w:rsidRPr="00FC3154">
        <w:rPr>
          <w:lang w:val="en-US"/>
        </w:rPr>
        <w:t xml:space="preserve"> angelic being.</w:t>
      </w:r>
    </w:p>
    <w:p w14:paraId="5E229F2B" w14:textId="77777777" w:rsidR="009A3F0F" w:rsidRPr="00FC3154" w:rsidRDefault="009A3F0F" w:rsidP="009A3F0F">
      <w:pPr>
        <w:pStyle w:val="Odstavecseseznamem"/>
        <w:numPr>
          <w:ilvl w:val="0"/>
          <w:numId w:val="4"/>
        </w:numPr>
        <w:rPr>
          <w:lang w:val="en-US"/>
        </w:rPr>
      </w:pPr>
      <w:r w:rsidRPr="00FC3154">
        <w:rPr>
          <w:lang w:val="en-US"/>
        </w:rPr>
        <w:t>Abraxas is often associated with the Sun and solar attributes.</w:t>
      </w:r>
    </w:p>
    <w:p w14:paraId="71411FC4" w14:textId="77777777" w:rsidR="009A3F0F" w:rsidRDefault="009A3F0F" w:rsidP="009A3F0F">
      <w:pPr>
        <w:pStyle w:val="Odstavecseseznamem"/>
        <w:numPr>
          <w:ilvl w:val="0"/>
          <w:numId w:val="4"/>
        </w:numPr>
        <w:rPr>
          <w:lang w:val="en-US"/>
        </w:rPr>
      </w:pPr>
      <w:r w:rsidRPr="00FC3154">
        <w:rPr>
          <w:lang w:val="en-US"/>
        </w:rPr>
        <w:t xml:space="preserve">Abraxas, </w:t>
      </w:r>
      <w:proofErr w:type="gramStart"/>
      <w:r w:rsidRPr="00FC3154">
        <w:rPr>
          <w:lang w:val="en-US"/>
        </w:rPr>
        <w:t>name</w:t>
      </w:r>
      <w:proofErr w:type="gramEnd"/>
      <w:r w:rsidRPr="00FC3154">
        <w:rPr>
          <w:lang w:val="en-US"/>
        </w:rPr>
        <w:t xml:space="preserve"> and concept, was not translated – untranslatability.</w:t>
      </w:r>
    </w:p>
    <w:p w14:paraId="6A6C98AA" w14:textId="77777777" w:rsidR="009A3F0F" w:rsidRPr="00FC3154" w:rsidRDefault="009A3F0F" w:rsidP="009A3F0F">
      <w:pPr>
        <w:pStyle w:val="Odstavecseseznamem"/>
        <w:numPr>
          <w:ilvl w:val="0"/>
          <w:numId w:val="4"/>
        </w:numPr>
        <w:rPr>
          <w:lang w:val="en-US"/>
        </w:rPr>
      </w:pPr>
      <w:r>
        <w:rPr>
          <w:lang w:val="en-US"/>
        </w:rPr>
        <w:t>In sum, Abraxas was untranslatable but transferable</w:t>
      </w:r>
      <w:proofErr w:type="gramStart"/>
      <w:r>
        <w:rPr>
          <w:lang w:val="en-US"/>
        </w:rPr>
        <w:t>, that is to say, the</w:t>
      </w:r>
      <w:proofErr w:type="gramEnd"/>
      <w:r>
        <w:rPr>
          <w:lang w:val="en-US"/>
        </w:rPr>
        <w:t xml:space="preserve"> word was not translated, but it was capable of entering diverse religious traditions.</w:t>
      </w:r>
    </w:p>
    <w:p w14:paraId="63299257" w14:textId="77777777" w:rsidR="009A3F0F" w:rsidRPr="00FC3154" w:rsidRDefault="009A3F0F" w:rsidP="009A3F0F">
      <w:pPr>
        <w:pStyle w:val="Odstavecseseznamem"/>
        <w:ind w:left="1778" w:firstLine="0"/>
        <w:rPr>
          <w:lang w:val="en-US"/>
        </w:rPr>
      </w:pPr>
    </w:p>
    <w:p w14:paraId="4CDFF29D" w14:textId="1E61D922" w:rsidR="009A3F0F" w:rsidRPr="00FC3154" w:rsidRDefault="009A3F0F" w:rsidP="009A3F0F">
      <w:pPr>
        <w:rPr>
          <w:lang w:val="en-US"/>
        </w:rPr>
      </w:pPr>
      <w:r w:rsidRPr="00FC3154">
        <w:rPr>
          <w:lang w:val="en-US"/>
        </w:rPr>
        <w:t xml:space="preserve">Transmission of tradition through the syncretic processes is a highly debated phenomenon </w:t>
      </w:r>
      <w:r>
        <w:rPr>
          <w:lang w:val="en-US"/>
        </w:rPr>
        <w:t xml:space="preserve">in </w:t>
      </w:r>
      <w:r w:rsidRPr="00A32F1B">
        <w:rPr>
          <w:lang w:val="en-US"/>
        </w:rPr>
        <w:t>historical and anthropological research</w:t>
      </w:r>
      <w:r>
        <w:rPr>
          <w:lang w:val="en-US"/>
        </w:rPr>
        <w:t>, from the 16</w:t>
      </w:r>
      <w:r w:rsidRPr="00EA6D8D">
        <w:rPr>
          <w:vertAlign w:val="superscript"/>
          <w:lang w:val="en-US"/>
        </w:rPr>
        <w:t>th</w:t>
      </w:r>
      <w:r>
        <w:rPr>
          <w:lang w:val="en-US"/>
        </w:rPr>
        <w:t xml:space="preserve"> century onward, </w:t>
      </w:r>
      <w:r w:rsidRPr="00FC3154">
        <w:rPr>
          <w:lang w:val="en-US"/>
        </w:rPr>
        <w:t xml:space="preserve">that arises both positive and negative connotations. Syncretism can be triggered by numerous events which are either conscious and planned decisions, or results of uncontrolled events. The process depends also on the internal approach of the receiving tradition – the form and the level to which it accepts and utilizes the procedure. Borrowing </w:t>
      </w:r>
      <w:r w:rsidRPr="00FC3154">
        <w:rPr>
          <w:lang w:val="en-US"/>
        </w:rPr>
        <w:lastRenderedPageBreak/>
        <w:t xml:space="preserve">and utilizing Abraxas was conscious choice for the benefit of the receiving traditions. Any research attempting to identify individual syncretic subjects has its limitations. In Abraxas’s case, the name was </w:t>
      </w:r>
      <w:r>
        <w:rPr>
          <w:lang w:val="en-US"/>
        </w:rPr>
        <w:t xml:space="preserve">transferred </w:t>
      </w:r>
      <w:r w:rsidRPr="00FC3154">
        <w:rPr>
          <w:lang w:val="en-US"/>
        </w:rPr>
        <w:t xml:space="preserve">to several traditions (Gnosticism, Greco-Egyptian magic, Jewish magic), thus finding its origin is challenging. The search is often based on the name’s etymology, namely Hebrew/Aramaic which however lacks convincing evidence. Following language can mislead the search for origin as mixing of cultures and languages was common in the Roman Empire, </w:t>
      </w:r>
      <w:proofErr w:type="gramStart"/>
      <w:r w:rsidRPr="00FC3154">
        <w:rPr>
          <w:lang w:val="en-US"/>
        </w:rPr>
        <w:t>e.g.</w:t>
      </w:r>
      <w:proofErr w:type="gramEnd"/>
      <w:r w:rsidRPr="00FC3154">
        <w:rPr>
          <w:lang w:val="en-US"/>
        </w:rPr>
        <w:t xml:space="preserve"> Jews in Alexandria spoke and wrote in Greek. Context research may be conducted to search for the origin; Abraxas often occurs in the context of Jewish divine names which suggests Abraxas originating in Jewish tradition.</w:t>
      </w:r>
    </w:p>
    <w:p w14:paraId="466B572A" w14:textId="4C544B89" w:rsidR="009A3F0F" w:rsidRPr="00FC3154" w:rsidRDefault="009A3F0F" w:rsidP="009A3F0F">
      <w:pPr>
        <w:rPr>
          <w:lang w:val="en-US"/>
        </w:rPr>
      </w:pPr>
      <w:r w:rsidRPr="00FC3154">
        <w:rPr>
          <w:lang w:val="en-US"/>
        </w:rPr>
        <w:t>In all corpora to some extent, Abraxas is associated with the Sun or solar attributes. The worship of the Sun and the solar deities was a common feature in the history of many cultures on all continents, significantly so in the Roman Empire. To Egyptian religious practice the Sun worship was substantial having several gods marked as solar – Ra, Horus, Amun, Aten; in Greek people worshipped Helios and Apollo, in Mesopotamia there was Persian Mithras, Akkadian Shamash, Hittite Istanu, Canaanite Shapshu, and others. In Jewish magic Abraxas is also associated with the Sun, thus showing that the Sun was important in Jewish cultural environment. Biblical monotheism developed amidst the cultures worshipping solar deities; and while it differentiated itself from the pagan polytheistic religions, it preserved some of their symbolism. In the non-rabbinic Judaism, the God is said to have been associated with the Sun, which supports the imagery found in synagogues from Late Antiquity in Palestine – Bet Alpha, Ḥamat Tiberias, Sepphoris, Na’aran. There the Sun was depicted, and it was depicted as the Greek solar deity Helios, thus suggesting syncretic symbolism. In Abraxas solar cults, biblical Judaism, and magical practice are all connected.</w:t>
      </w:r>
    </w:p>
    <w:p w14:paraId="533851BD" w14:textId="6AC5471D" w:rsidR="00995ECE" w:rsidRPr="007636C7" w:rsidRDefault="009A3F0F" w:rsidP="00995ECE">
      <w:pPr>
        <w:tabs>
          <w:tab w:val="left" w:pos="1828"/>
        </w:tabs>
        <w:spacing w:after="160"/>
        <w:rPr>
          <w:szCs w:val="24"/>
          <w:lang w:val="en-US"/>
        </w:rPr>
      </w:pPr>
      <w:r w:rsidRPr="00FC3154">
        <w:rPr>
          <w:lang w:val="en-US"/>
        </w:rPr>
        <w:t xml:space="preserve">On the topic of tradition translatability comprehensive debates were led </w:t>
      </w:r>
      <w:r>
        <w:rPr>
          <w:lang w:val="en-US"/>
        </w:rPr>
        <w:t xml:space="preserve">among ancient writers </w:t>
      </w:r>
      <w:r w:rsidRPr="00FC3154">
        <w:rPr>
          <w:lang w:val="en-US"/>
        </w:rPr>
        <w:t xml:space="preserve">– Herodotus did not hesitate to translate anything while Origen opposed the idea vehemently deeming possible to translate nothing. Two aspects are commonly recognized – linguistic and conceptual. The linguistic aspect of translatability relates to the name Abraxas and its variations. The Greek writing </w:t>
      </w:r>
      <w:r w:rsidRPr="00FC3154">
        <w:rPr>
          <w:szCs w:val="24"/>
          <w:lang w:val="en-US"/>
        </w:rPr>
        <w:t xml:space="preserve">ΑΒΡΑΣΑΞ is the base for all transliterations and variations in all traditions (Greek, Coptic, Hebrew/Aramaic) suggesting that the name </w:t>
      </w:r>
      <w:r>
        <w:rPr>
          <w:szCs w:val="24"/>
          <w:lang w:val="en-US"/>
        </w:rPr>
        <w:t xml:space="preserve">was taken over from </w:t>
      </w:r>
      <w:r w:rsidRPr="00FC3154">
        <w:rPr>
          <w:szCs w:val="24"/>
          <w:lang w:val="en-US"/>
        </w:rPr>
        <w:t>Greek</w:t>
      </w:r>
      <w:r>
        <w:rPr>
          <w:szCs w:val="24"/>
          <w:lang w:val="en-US"/>
        </w:rPr>
        <w:t xml:space="preserve"> sources</w:t>
      </w:r>
      <w:r w:rsidRPr="00FC3154">
        <w:rPr>
          <w:szCs w:val="24"/>
          <w:lang w:val="en-US"/>
        </w:rPr>
        <w:t xml:space="preserve">. The conceptual aspect of translatability is visible on the identity Abraxas adopted in every tradition; it is often </w:t>
      </w:r>
      <w:r w:rsidRPr="00FC3154">
        <w:rPr>
          <w:szCs w:val="24"/>
          <w:lang w:val="en-US"/>
        </w:rPr>
        <w:lastRenderedPageBreak/>
        <w:t xml:space="preserve">identified with angelic being, in all studied corpora. </w:t>
      </w:r>
      <w:r w:rsidRPr="00FC3154">
        <w:rPr>
          <w:lang w:val="en-US"/>
        </w:rPr>
        <w:t>In the associated identity lies the potency of Abraxas’s syncretism – Abraxas was not ingrained in any religious tradition, as strongly as for example Zeus in Greek or Jesus Christ in Christian tradition, that would prompt</w:t>
      </w:r>
      <w:r>
        <w:rPr>
          <w:lang w:val="en-US"/>
        </w:rPr>
        <w:t xml:space="preserve"> adherents of other religious traditions </w:t>
      </w:r>
      <w:r w:rsidRPr="00FC3154">
        <w:rPr>
          <w:lang w:val="en-US"/>
        </w:rPr>
        <w:t>to reject to use it, and so it could enter different contexts.</w:t>
      </w:r>
      <w:r w:rsidRPr="00FC3154">
        <w:rPr>
          <w:szCs w:val="24"/>
          <w:lang w:val="en-US"/>
        </w:rPr>
        <w:t xml:space="preserve"> </w:t>
      </w:r>
      <w:r>
        <w:rPr>
          <w:szCs w:val="24"/>
          <w:lang w:val="en-US"/>
        </w:rPr>
        <w:t>In conclusion, both linguistic and conceptual aspects were not translated, albeit Abraxas was easily transferred to diverse religious traditions; thus, translatability does not equal transferability, furthermore they do not necessarily depend on each other.</w:t>
      </w:r>
      <w:r w:rsidR="00995ECE">
        <w:rPr>
          <w:szCs w:val="24"/>
          <w:lang w:val="en-US"/>
        </w:rPr>
        <w:br w:type="page"/>
      </w:r>
    </w:p>
    <w:p w14:paraId="603F7D32" w14:textId="2CAD1F9C" w:rsidR="00FB29A0" w:rsidRPr="00A32F1B" w:rsidRDefault="004E7A34" w:rsidP="004E7A34">
      <w:pPr>
        <w:pStyle w:val="Nadpis1"/>
        <w:rPr>
          <w:lang w:val="en-US"/>
        </w:rPr>
      </w:pPr>
      <w:r w:rsidRPr="00A32F1B">
        <w:rPr>
          <w:lang w:val="en-US"/>
        </w:rPr>
        <w:lastRenderedPageBreak/>
        <w:t xml:space="preserve">Appendix: Transliteration </w:t>
      </w:r>
      <w:r w:rsidR="00556864" w:rsidRPr="00A32F1B">
        <w:rPr>
          <w:lang w:val="en-US"/>
        </w:rPr>
        <w:t>Tables</w:t>
      </w:r>
      <w:bookmarkEnd w:id="16"/>
    </w:p>
    <w:p w14:paraId="79BC68E1" w14:textId="2686257E" w:rsidR="004E7A34" w:rsidRPr="00A32F1B" w:rsidRDefault="0091380D" w:rsidP="004E7A34">
      <w:pPr>
        <w:rPr>
          <w:lang w:val="en-US"/>
        </w:rPr>
      </w:pPr>
      <w:r w:rsidRPr="00A32F1B">
        <w:rPr>
          <w:lang w:val="en-US"/>
        </w:rPr>
        <w:t>A</w:t>
      </w:r>
      <w:r w:rsidRPr="00A32F1B">
        <w:rPr>
          <w:lang w:val="en-US"/>
        </w:rPr>
        <w:tab/>
        <w:t>Hebrew Transliteration Table</w:t>
      </w:r>
    </w:p>
    <w:p w14:paraId="03592439" w14:textId="77777777" w:rsidR="0091380D" w:rsidRPr="00A32F1B" w:rsidRDefault="0091380D" w:rsidP="0091380D">
      <w:pPr>
        <w:ind w:left="1418" w:hanging="709"/>
        <w:rPr>
          <w:lang w:val="en-US"/>
        </w:rPr>
      </w:pPr>
    </w:p>
    <w:tbl>
      <w:tblPr>
        <w:tblStyle w:val="Mkatabulky"/>
        <w:tblW w:w="0" w:type="auto"/>
        <w:jc w:val="center"/>
        <w:tblLook w:val="04A0" w:firstRow="1" w:lastRow="0" w:firstColumn="1" w:lastColumn="0" w:noHBand="0" w:noVBand="1"/>
      </w:tblPr>
      <w:tblGrid>
        <w:gridCol w:w="676"/>
        <w:gridCol w:w="676"/>
      </w:tblGrid>
      <w:tr w:rsidR="0091380D" w:rsidRPr="00A32F1B" w14:paraId="551CBC4B" w14:textId="77777777" w:rsidTr="0091380D">
        <w:trPr>
          <w:trHeight w:val="530"/>
          <w:jc w:val="center"/>
        </w:trPr>
        <w:tc>
          <w:tcPr>
            <w:tcW w:w="676" w:type="dxa"/>
          </w:tcPr>
          <w:p w14:paraId="04A92200" w14:textId="61BCC959" w:rsidR="0091380D" w:rsidRPr="00A32F1B" w:rsidRDefault="0091380D" w:rsidP="0091380D">
            <w:pPr>
              <w:ind w:firstLine="0"/>
              <w:rPr>
                <w:rFonts w:asciiTheme="majorBidi" w:hAnsiTheme="majorBidi" w:cstheme="majorBidi"/>
                <w:sz w:val="28"/>
                <w:szCs w:val="28"/>
                <w:lang w:val="en-US"/>
              </w:rPr>
            </w:pPr>
            <w:r w:rsidRPr="00A32F1B">
              <w:rPr>
                <w:rFonts w:asciiTheme="majorBidi" w:hAnsiTheme="majorBidi" w:cstheme="majorBidi"/>
                <w:sz w:val="28"/>
                <w:szCs w:val="28"/>
                <w:rtl/>
                <w:lang w:val="en-US"/>
              </w:rPr>
              <w:t>א</w:t>
            </w:r>
          </w:p>
        </w:tc>
        <w:tc>
          <w:tcPr>
            <w:tcW w:w="676" w:type="dxa"/>
          </w:tcPr>
          <w:p w14:paraId="678A1651" w14:textId="40FFFC26" w:rsidR="0091380D" w:rsidRPr="00A32F1B" w:rsidRDefault="0091380D" w:rsidP="0091380D">
            <w:pPr>
              <w:ind w:firstLine="0"/>
              <w:rPr>
                <w:sz w:val="28"/>
                <w:szCs w:val="28"/>
                <w:lang w:val="en-US"/>
              </w:rPr>
            </w:pPr>
            <w:r w:rsidRPr="00A32F1B">
              <w:rPr>
                <w:rFonts w:cs="Times New Roman"/>
                <w:sz w:val="28"/>
                <w:szCs w:val="28"/>
                <w:lang w:val="en-US"/>
              </w:rPr>
              <w:t>A</w:t>
            </w:r>
          </w:p>
        </w:tc>
      </w:tr>
      <w:tr w:rsidR="0091380D" w:rsidRPr="00A32F1B" w14:paraId="1E921210" w14:textId="77777777" w:rsidTr="0091380D">
        <w:trPr>
          <w:trHeight w:val="530"/>
          <w:jc w:val="center"/>
        </w:trPr>
        <w:tc>
          <w:tcPr>
            <w:tcW w:w="676" w:type="dxa"/>
          </w:tcPr>
          <w:p w14:paraId="51A702C3" w14:textId="37791F5D" w:rsidR="0091380D" w:rsidRPr="00A32F1B" w:rsidRDefault="0091380D" w:rsidP="0091380D">
            <w:pPr>
              <w:ind w:firstLine="0"/>
              <w:rPr>
                <w:sz w:val="28"/>
                <w:szCs w:val="28"/>
                <w:lang w:val="en-US"/>
              </w:rPr>
            </w:pPr>
            <w:r w:rsidRPr="00A32F1B">
              <w:rPr>
                <w:rFonts w:cs="Times New Roman"/>
                <w:sz w:val="28"/>
                <w:szCs w:val="28"/>
                <w:rtl/>
                <w:lang w:val="en-US"/>
              </w:rPr>
              <w:t>ב</w:t>
            </w:r>
          </w:p>
        </w:tc>
        <w:tc>
          <w:tcPr>
            <w:tcW w:w="676" w:type="dxa"/>
          </w:tcPr>
          <w:p w14:paraId="0F21C6EA" w14:textId="3CB4F94B" w:rsidR="0091380D" w:rsidRPr="00A32F1B" w:rsidRDefault="0091380D" w:rsidP="0091380D">
            <w:pPr>
              <w:ind w:firstLine="0"/>
              <w:rPr>
                <w:sz w:val="28"/>
                <w:szCs w:val="28"/>
                <w:lang w:val="en-US"/>
              </w:rPr>
            </w:pPr>
            <w:r w:rsidRPr="00A32F1B">
              <w:rPr>
                <w:rFonts w:cs="Times New Roman"/>
                <w:sz w:val="28"/>
                <w:szCs w:val="28"/>
                <w:lang w:val="en-US"/>
              </w:rPr>
              <w:t>B</w:t>
            </w:r>
          </w:p>
        </w:tc>
      </w:tr>
      <w:tr w:rsidR="0091380D" w:rsidRPr="00A32F1B" w14:paraId="583BB23D" w14:textId="77777777" w:rsidTr="0091380D">
        <w:trPr>
          <w:trHeight w:val="530"/>
          <w:jc w:val="center"/>
        </w:trPr>
        <w:tc>
          <w:tcPr>
            <w:tcW w:w="676" w:type="dxa"/>
          </w:tcPr>
          <w:p w14:paraId="1C1EDDEA" w14:textId="05CC892B" w:rsidR="0091380D" w:rsidRPr="00A32F1B" w:rsidRDefault="0091380D" w:rsidP="0091380D">
            <w:pPr>
              <w:ind w:firstLine="0"/>
              <w:rPr>
                <w:sz w:val="28"/>
                <w:szCs w:val="28"/>
                <w:lang w:val="en-US"/>
              </w:rPr>
            </w:pPr>
            <w:r w:rsidRPr="00A32F1B">
              <w:rPr>
                <w:rFonts w:cs="Times New Roman"/>
                <w:sz w:val="28"/>
                <w:szCs w:val="28"/>
                <w:rtl/>
                <w:lang w:val="en-US"/>
              </w:rPr>
              <w:t>ג</w:t>
            </w:r>
          </w:p>
        </w:tc>
        <w:tc>
          <w:tcPr>
            <w:tcW w:w="676" w:type="dxa"/>
          </w:tcPr>
          <w:p w14:paraId="67340B62" w14:textId="12B6DEB6" w:rsidR="0091380D" w:rsidRPr="00A32F1B" w:rsidRDefault="0091380D" w:rsidP="0091380D">
            <w:pPr>
              <w:ind w:firstLine="0"/>
              <w:rPr>
                <w:sz w:val="28"/>
                <w:szCs w:val="28"/>
                <w:lang w:val="en-US"/>
              </w:rPr>
            </w:pPr>
            <w:r w:rsidRPr="00A32F1B">
              <w:rPr>
                <w:rFonts w:cs="Times New Roman"/>
                <w:sz w:val="28"/>
                <w:szCs w:val="28"/>
                <w:lang w:val="en-US"/>
              </w:rPr>
              <w:t>G</w:t>
            </w:r>
          </w:p>
        </w:tc>
      </w:tr>
      <w:tr w:rsidR="0091380D" w:rsidRPr="00A32F1B" w14:paraId="4CAFB165" w14:textId="77777777" w:rsidTr="0091380D">
        <w:trPr>
          <w:trHeight w:val="514"/>
          <w:jc w:val="center"/>
        </w:trPr>
        <w:tc>
          <w:tcPr>
            <w:tcW w:w="676" w:type="dxa"/>
          </w:tcPr>
          <w:p w14:paraId="37781A4C" w14:textId="0C8AA66A" w:rsidR="0091380D" w:rsidRPr="00A32F1B" w:rsidRDefault="0091380D" w:rsidP="0091380D">
            <w:pPr>
              <w:ind w:firstLine="0"/>
              <w:rPr>
                <w:sz w:val="28"/>
                <w:szCs w:val="28"/>
                <w:lang w:val="en-US"/>
              </w:rPr>
            </w:pPr>
            <w:r w:rsidRPr="00A32F1B">
              <w:rPr>
                <w:rFonts w:cs="Times New Roman"/>
                <w:sz w:val="28"/>
                <w:szCs w:val="28"/>
                <w:rtl/>
                <w:lang w:val="en-US"/>
              </w:rPr>
              <w:t>ד</w:t>
            </w:r>
          </w:p>
        </w:tc>
        <w:tc>
          <w:tcPr>
            <w:tcW w:w="676" w:type="dxa"/>
          </w:tcPr>
          <w:p w14:paraId="15959959" w14:textId="3E1EF01F" w:rsidR="0091380D" w:rsidRPr="00A32F1B" w:rsidRDefault="0091380D" w:rsidP="0091380D">
            <w:pPr>
              <w:ind w:firstLine="0"/>
              <w:rPr>
                <w:sz w:val="28"/>
                <w:szCs w:val="28"/>
                <w:lang w:val="en-US"/>
              </w:rPr>
            </w:pPr>
            <w:r w:rsidRPr="00A32F1B">
              <w:rPr>
                <w:rFonts w:cs="Times New Roman"/>
                <w:sz w:val="28"/>
                <w:szCs w:val="28"/>
                <w:lang w:val="en-US"/>
              </w:rPr>
              <w:t>D</w:t>
            </w:r>
          </w:p>
        </w:tc>
      </w:tr>
      <w:tr w:rsidR="0091380D" w:rsidRPr="00A32F1B" w14:paraId="6FE534DA" w14:textId="77777777" w:rsidTr="0091380D">
        <w:trPr>
          <w:trHeight w:val="530"/>
          <w:jc w:val="center"/>
        </w:trPr>
        <w:tc>
          <w:tcPr>
            <w:tcW w:w="676" w:type="dxa"/>
          </w:tcPr>
          <w:p w14:paraId="5D8C2F6B" w14:textId="43EEB745" w:rsidR="0091380D" w:rsidRPr="00A32F1B" w:rsidRDefault="0091380D" w:rsidP="0091380D">
            <w:pPr>
              <w:ind w:firstLine="0"/>
              <w:rPr>
                <w:sz w:val="28"/>
                <w:szCs w:val="28"/>
                <w:lang w:val="en-US"/>
              </w:rPr>
            </w:pPr>
            <w:r w:rsidRPr="00A32F1B">
              <w:rPr>
                <w:rFonts w:cs="Times New Roman"/>
                <w:sz w:val="28"/>
                <w:szCs w:val="28"/>
                <w:rtl/>
                <w:lang w:val="en-US"/>
              </w:rPr>
              <w:t>ה</w:t>
            </w:r>
          </w:p>
        </w:tc>
        <w:tc>
          <w:tcPr>
            <w:tcW w:w="676" w:type="dxa"/>
          </w:tcPr>
          <w:p w14:paraId="66041507" w14:textId="37F99C05" w:rsidR="0091380D" w:rsidRPr="00A32F1B" w:rsidRDefault="0091380D" w:rsidP="0091380D">
            <w:pPr>
              <w:ind w:firstLine="0"/>
              <w:rPr>
                <w:sz w:val="28"/>
                <w:szCs w:val="28"/>
                <w:lang w:val="en-US"/>
              </w:rPr>
            </w:pPr>
            <w:r w:rsidRPr="00A32F1B">
              <w:rPr>
                <w:rFonts w:cs="Times New Roman"/>
                <w:sz w:val="28"/>
                <w:szCs w:val="28"/>
                <w:lang w:val="en-US"/>
              </w:rPr>
              <w:t>H</w:t>
            </w:r>
          </w:p>
        </w:tc>
      </w:tr>
      <w:tr w:rsidR="0091380D" w:rsidRPr="00A32F1B" w14:paraId="0501C616" w14:textId="77777777" w:rsidTr="0091380D">
        <w:trPr>
          <w:trHeight w:val="530"/>
          <w:jc w:val="center"/>
        </w:trPr>
        <w:tc>
          <w:tcPr>
            <w:tcW w:w="676" w:type="dxa"/>
          </w:tcPr>
          <w:p w14:paraId="4B1ABD12" w14:textId="7DE3505E" w:rsidR="0091380D" w:rsidRPr="00A32F1B" w:rsidRDefault="0091380D" w:rsidP="0091380D">
            <w:pPr>
              <w:ind w:firstLine="0"/>
              <w:rPr>
                <w:sz w:val="28"/>
                <w:szCs w:val="28"/>
                <w:lang w:val="en-US"/>
              </w:rPr>
            </w:pPr>
            <w:r w:rsidRPr="00A32F1B">
              <w:rPr>
                <w:rFonts w:cs="Times New Roman"/>
                <w:sz w:val="28"/>
                <w:szCs w:val="28"/>
                <w:rtl/>
                <w:lang w:val="en-US"/>
              </w:rPr>
              <w:t>ו</w:t>
            </w:r>
          </w:p>
        </w:tc>
        <w:tc>
          <w:tcPr>
            <w:tcW w:w="676" w:type="dxa"/>
          </w:tcPr>
          <w:p w14:paraId="5BD42CE9" w14:textId="148F1D36" w:rsidR="0091380D" w:rsidRPr="00A32F1B" w:rsidRDefault="0091380D" w:rsidP="0091380D">
            <w:pPr>
              <w:ind w:firstLine="0"/>
              <w:rPr>
                <w:sz w:val="28"/>
                <w:szCs w:val="28"/>
                <w:lang w:val="en-US"/>
              </w:rPr>
            </w:pPr>
            <w:r w:rsidRPr="00A32F1B">
              <w:rPr>
                <w:rFonts w:cs="Times New Roman"/>
                <w:sz w:val="28"/>
                <w:szCs w:val="28"/>
                <w:lang w:val="en-US"/>
              </w:rPr>
              <w:t>W</w:t>
            </w:r>
          </w:p>
        </w:tc>
      </w:tr>
      <w:tr w:rsidR="0091380D" w:rsidRPr="00A32F1B" w14:paraId="2FA49869" w14:textId="77777777" w:rsidTr="0091380D">
        <w:trPr>
          <w:trHeight w:val="530"/>
          <w:jc w:val="center"/>
        </w:trPr>
        <w:tc>
          <w:tcPr>
            <w:tcW w:w="676" w:type="dxa"/>
          </w:tcPr>
          <w:p w14:paraId="26255564" w14:textId="51606C38" w:rsidR="0091380D" w:rsidRPr="00A32F1B" w:rsidRDefault="0091380D" w:rsidP="0091380D">
            <w:pPr>
              <w:ind w:firstLine="0"/>
              <w:rPr>
                <w:sz w:val="28"/>
                <w:szCs w:val="28"/>
                <w:lang w:val="en-US"/>
              </w:rPr>
            </w:pPr>
            <w:r w:rsidRPr="00A32F1B">
              <w:rPr>
                <w:rFonts w:cs="Times New Roman"/>
                <w:sz w:val="28"/>
                <w:szCs w:val="28"/>
                <w:rtl/>
                <w:lang w:val="en-US"/>
              </w:rPr>
              <w:t>ז</w:t>
            </w:r>
          </w:p>
        </w:tc>
        <w:tc>
          <w:tcPr>
            <w:tcW w:w="676" w:type="dxa"/>
          </w:tcPr>
          <w:p w14:paraId="0149A796" w14:textId="7B2484BF" w:rsidR="0091380D" w:rsidRPr="00A32F1B" w:rsidRDefault="0091380D" w:rsidP="0091380D">
            <w:pPr>
              <w:ind w:firstLine="0"/>
              <w:rPr>
                <w:sz w:val="28"/>
                <w:szCs w:val="28"/>
                <w:lang w:val="en-US"/>
              </w:rPr>
            </w:pPr>
            <w:r w:rsidRPr="00A32F1B">
              <w:rPr>
                <w:rFonts w:cs="Times New Roman"/>
                <w:sz w:val="28"/>
                <w:szCs w:val="28"/>
                <w:lang w:val="en-US"/>
              </w:rPr>
              <w:t>Z</w:t>
            </w:r>
          </w:p>
        </w:tc>
      </w:tr>
      <w:tr w:rsidR="0091380D" w:rsidRPr="00A32F1B" w14:paraId="3631E834" w14:textId="77777777" w:rsidTr="0091380D">
        <w:trPr>
          <w:trHeight w:val="530"/>
          <w:jc w:val="center"/>
        </w:trPr>
        <w:tc>
          <w:tcPr>
            <w:tcW w:w="676" w:type="dxa"/>
          </w:tcPr>
          <w:p w14:paraId="2BCF1361" w14:textId="43057C83" w:rsidR="0091380D" w:rsidRPr="00A32F1B" w:rsidRDefault="0091380D" w:rsidP="0091380D">
            <w:pPr>
              <w:ind w:firstLine="0"/>
              <w:rPr>
                <w:sz w:val="28"/>
                <w:szCs w:val="28"/>
                <w:lang w:val="en-US"/>
              </w:rPr>
            </w:pPr>
            <w:r w:rsidRPr="00A32F1B">
              <w:rPr>
                <w:rFonts w:cs="Times New Roman"/>
                <w:sz w:val="28"/>
                <w:szCs w:val="28"/>
                <w:rtl/>
                <w:lang w:val="en-US"/>
              </w:rPr>
              <w:t>ח</w:t>
            </w:r>
          </w:p>
        </w:tc>
        <w:tc>
          <w:tcPr>
            <w:tcW w:w="676" w:type="dxa"/>
          </w:tcPr>
          <w:p w14:paraId="422748C4" w14:textId="4486816F" w:rsidR="0091380D" w:rsidRPr="00A32F1B" w:rsidRDefault="0091380D" w:rsidP="0091380D">
            <w:pPr>
              <w:ind w:firstLine="0"/>
              <w:rPr>
                <w:sz w:val="28"/>
                <w:szCs w:val="28"/>
                <w:lang w:val="en-US"/>
              </w:rPr>
            </w:pPr>
            <w:bookmarkStart w:id="17" w:name="_Hlk70356008"/>
            <w:r w:rsidRPr="00A32F1B">
              <w:rPr>
                <w:rFonts w:cs="Times New Roman"/>
                <w:sz w:val="28"/>
                <w:szCs w:val="28"/>
                <w:lang w:val="en-US"/>
              </w:rPr>
              <w:t>Ḥ</w:t>
            </w:r>
            <w:bookmarkEnd w:id="17"/>
          </w:p>
        </w:tc>
      </w:tr>
      <w:tr w:rsidR="0091380D" w:rsidRPr="00A32F1B" w14:paraId="7DB08A89" w14:textId="77777777" w:rsidTr="0091380D">
        <w:trPr>
          <w:trHeight w:val="530"/>
          <w:jc w:val="center"/>
        </w:trPr>
        <w:tc>
          <w:tcPr>
            <w:tcW w:w="676" w:type="dxa"/>
          </w:tcPr>
          <w:p w14:paraId="6407C527" w14:textId="772062FA" w:rsidR="0091380D" w:rsidRPr="00A32F1B" w:rsidRDefault="0091380D" w:rsidP="0091380D">
            <w:pPr>
              <w:ind w:firstLine="0"/>
              <w:rPr>
                <w:sz w:val="28"/>
                <w:szCs w:val="28"/>
                <w:lang w:val="en-US"/>
              </w:rPr>
            </w:pPr>
            <w:r w:rsidRPr="00A32F1B">
              <w:rPr>
                <w:rFonts w:cs="Times New Roman"/>
                <w:sz w:val="28"/>
                <w:szCs w:val="28"/>
                <w:rtl/>
                <w:lang w:val="en-US"/>
              </w:rPr>
              <w:t>ט</w:t>
            </w:r>
          </w:p>
        </w:tc>
        <w:tc>
          <w:tcPr>
            <w:tcW w:w="676" w:type="dxa"/>
          </w:tcPr>
          <w:p w14:paraId="19236613" w14:textId="308200FD" w:rsidR="0091380D" w:rsidRPr="00A32F1B" w:rsidRDefault="0091380D" w:rsidP="0091380D">
            <w:pPr>
              <w:ind w:firstLine="0"/>
              <w:rPr>
                <w:sz w:val="28"/>
                <w:szCs w:val="28"/>
                <w:lang w:val="en-US"/>
              </w:rPr>
            </w:pPr>
            <w:r w:rsidRPr="00A32F1B">
              <w:rPr>
                <w:rFonts w:cs="Times New Roman"/>
                <w:sz w:val="28"/>
                <w:szCs w:val="28"/>
                <w:lang w:val="en-US"/>
              </w:rPr>
              <w:t>Ṭ</w:t>
            </w:r>
          </w:p>
        </w:tc>
      </w:tr>
      <w:tr w:rsidR="0091380D" w:rsidRPr="00A32F1B" w14:paraId="6D373525" w14:textId="77777777" w:rsidTr="0091380D">
        <w:trPr>
          <w:trHeight w:val="530"/>
          <w:jc w:val="center"/>
        </w:trPr>
        <w:tc>
          <w:tcPr>
            <w:tcW w:w="676" w:type="dxa"/>
          </w:tcPr>
          <w:p w14:paraId="3C343846" w14:textId="066CC09B" w:rsidR="0091380D" w:rsidRPr="00A32F1B" w:rsidRDefault="0091380D" w:rsidP="0091380D">
            <w:pPr>
              <w:ind w:firstLine="0"/>
              <w:rPr>
                <w:sz w:val="28"/>
                <w:szCs w:val="28"/>
                <w:lang w:val="en-US"/>
              </w:rPr>
            </w:pPr>
            <w:r w:rsidRPr="00A32F1B">
              <w:rPr>
                <w:rFonts w:cs="Times New Roman"/>
                <w:sz w:val="28"/>
                <w:szCs w:val="28"/>
                <w:rtl/>
                <w:lang w:val="en-US"/>
              </w:rPr>
              <w:t>י</w:t>
            </w:r>
          </w:p>
        </w:tc>
        <w:tc>
          <w:tcPr>
            <w:tcW w:w="676" w:type="dxa"/>
          </w:tcPr>
          <w:p w14:paraId="3A5FB99C" w14:textId="1525B3DB" w:rsidR="0091380D" w:rsidRPr="00A32F1B" w:rsidRDefault="0091380D" w:rsidP="0091380D">
            <w:pPr>
              <w:ind w:firstLine="0"/>
              <w:rPr>
                <w:sz w:val="28"/>
                <w:szCs w:val="28"/>
                <w:lang w:val="en-US"/>
              </w:rPr>
            </w:pPr>
            <w:r w:rsidRPr="00A32F1B">
              <w:rPr>
                <w:rFonts w:cs="Times New Roman"/>
                <w:sz w:val="28"/>
                <w:szCs w:val="28"/>
                <w:lang w:val="en-US"/>
              </w:rPr>
              <w:t>Y</w:t>
            </w:r>
          </w:p>
        </w:tc>
      </w:tr>
      <w:tr w:rsidR="0091380D" w:rsidRPr="00A32F1B" w14:paraId="5C0D08F7" w14:textId="77777777" w:rsidTr="0091380D">
        <w:trPr>
          <w:trHeight w:val="514"/>
          <w:jc w:val="center"/>
        </w:trPr>
        <w:tc>
          <w:tcPr>
            <w:tcW w:w="676" w:type="dxa"/>
          </w:tcPr>
          <w:p w14:paraId="5ECB2FF6" w14:textId="62719F37" w:rsidR="0091380D" w:rsidRPr="00A32F1B" w:rsidRDefault="0091380D" w:rsidP="0091380D">
            <w:pPr>
              <w:ind w:firstLine="0"/>
              <w:rPr>
                <w:sz w:val="28"/>
                <w:szCs w:val="28"/>
                <w:lang w:val="en-US"/>
              </w:rPr>
            </w:pPr>
            <w:r w:rsidRPr="00A32F1B">
              <w:rPr>
                <w:rFonts w:cs="Times New Roman"/>
                <w:sz w:val="28"/>
                <w:szCs w:val="28"/>
                <w:rtl/>
                <w:lang w:val="en-US"/>
              </w:rPr>
              <w:t>כ</w:t>
            </w:r>
          </w:p>
        </w:tc>
        <w:tc>
          <w:tcPr>
            <w:tcW w:w="676" w:type="dxa"/>
          </w:tcPr>
          <w:p w14:paraId="33FBCBEE" w14:textId="3BF5E5D6" w:rsidR="0091380D" w:rsidRPr="00A32F1B" w:rsidRDefault="0091380D" w:rsidP="0091380D">
            <w:pPr>
              <w:ind w:firstLine="0"/>
              <w:rPr>
                <w:sz w:val="28"/>
                <w:szCs w:val="28"/>
                <w:lang w:val="en-US"/>
              </w:rPr>
            </w:pPr>
            <w:r w:rsidRPr="00A32F1B">
              <w:rPr>
                <w:rFonts w:cs="Times New Roman"/>
                <w:sz w:val="28"/>
                <w:szCs w:val="28"/>
                <w:lang w:val="en-US"/>
              </w:rPr>
              <w:t>K</w:t>
            </w:r>
          </w:p>
        </w:tc>
      </w:tr>
      <w:tr w:rsidR="0091380D" w:rsidRPr="00A32F1B" w14:paraId="19D7DC0C" w14:textId="77777777" w:rsidTr="0091380D">
        <w:trPr>
          <w:trHeight w:val="530"/>
          <w:jc w:val="center"/>
        </w:trPr>
        <w:tc>
          <w:tcPr>
            <w:tcW w:w="676" w:type="dxa"/>
          </w:tcPr>
          <w:p w14:paraId="59ADF4F9" w14:textId="637F08F3" w:rsidR="0091380D" w:rsidRPr="00A32F1B" w:rsidRDefault="0091380D" w:rsidP="0091380D">
            <w:pPr>
              <w:ind w:firstLine="0"/>
              <w:rPr>
                <w:sz w:val="28"/>
                <w:szCs w:val="28"/>
                <w:lang w:val="en-US"/>
              </w:rPr>
            </w:pPr>
            <w:r w:rsidRPr="00A32F1B">
              <w:rPr>
                <w:rFonts w:cs="Times New Roman"/>
                <w:sz w:val="28"/>
                <w:szCs w:val="28"/>
                <w:rtl/>
                <w:lang w:val="en-US"/>
              </w:rPr>
              <w:t>ל</w:t>
            </w:r>
          </w:p>
        </w:tc>
        <w:tc>
          <w:tcPr>
            <w:tcW w:w="676" w:type="dxa"/>
          </w:tcPr>
          <w:p w14:paraId="019BCB4E" w14:textId="1B8733B0" w:rsidR="0091380D" w:rsidRPr="00A32F1B" w:rsidRDefault="0091380D" w:rsidP="0091380D">
            <w:pPr>
              <w:ind w:firstLine="0"/>
              <w:rPr>
                <w:sz w:val="28"/>
                <w:szCs w:val="28"/>
                <w:lang w:val="en-US"/>
              </w:rPr>
            </w:pPr>
            <w:r w:rsidRPr="00A32F1B">
              <w:rPr>
                <w:rFonts w:cs="Times New Roman"/>
                <w:sz w:val="28"/>
                <w:szCs w:val="28"/>
                <w:lang w:val="en-US"/>
              </w:rPr>
              <w:t>L</w:t>
            </w:r>
          </w:p>
        </w:tc>
      </w:tr>
      <w:tr w:rsidR="0091380D" w:rsidRPr="00A32F1B" w14:paraId="55A8A8E0" w14:textId="77777777" w:rsidTr="0091380D">
        <w:trPr>
          <w:trHeight w:val="530"/>
          <w:jc w:val="center"/>
        </w:trPr>
        <w:tc>
          <w:tcPr>
            <w:tcW w:w="676" w:type="dxa"/>
          </w:tcPr>
          <w:p w14:paraId="4C2B16EC" w14:textId="2CD69F83" w:rsidR="0091380D" w:rsidRPr="00A32F1B" w:rsidRDefault="0091380D" w:rsidP="0091380D">
            <w:pPr>
              <w:ind w:firstLine="0"/>
              <w:rPr>
                <w:sz w:val="28"/>
                <w:szCs w:val="28"/>
                <w:lang w:val="en-US"/>
              </w:rPr>
            </w:pPr>
            <w:r w:rsidRPr="00A32F1B">
              <w:rPr>
                <w:rFonts w:cs="Times New Roman"/>
                <w:sz w:val="28"/>
                <w:szCs w:val="28"/>
                <w:rtl/>
                <w:lang w:val="en-US"/>
              </w:rPr>
              <w:t>מ</w:t>
            </w:r>
          </w:p>
        </w:tc>
        <w:tc>
          <w:tcPr>
            <w:tcW w:w="676" w:type="dxa"/>
          </w:tcPr>
          <w:p w14:paraId="2C1B2670" w14:textId="40B21D63" w:rsidR="0091380D" w:rsidRPr="00A32F1B" w:rsidRDefault="0091380D" w:rsidP="0091380D">
            <w:pPr>
              <w:ind w:firstLine="0"/>
              <w:rPr>
                <w:sz w:val="28"/>
                <w:szCs w:val="28"/>
                <w:lang w:val="en-US"/>
              </w:rPr>
            </w:pPr>
            <w:r w:rsidRPr="00A32F1B">
              <w:rPr>
                <w:rFonts w:cs="Times New Roman"/>
                <w:sz w:val="28"/>
                <w:szCs w:val="28"/>
                <w:lang w:val="en-US"/>
              </w:rPr>
              <w:t>M</w:t>
            </w:r>
          </w:p>
        </w:tc>
      </w:tr>
      <w:tr w:rsidR="0091380D" w:rsidRPr="00A32F1B" w14:paraId="0D10BDBD" w14:textId="77777777" w:rsidTr="0091380D">
        <w:trPr>
          <w:trHeight w:val="530"/>
          <w:jc w:val="center"/>
        </w:trPr>
        <w:tc>
          <w:tcPr>
            <w:tcW w:w="676" w:type="dxa"/>
          </w:tcPr>
          <w:p w14:paraId="61DC9660" w14:textId="0C1E2CAB" w:rsidR="0091380D" w:rsidRPr="00A32F1B" w:rsidRDefault="0091380D" w:rsidP="0091380D">
            <w:pPr>
              <w:ind w:firstLine="0"/>
              <w:rPr>
                <w:sz w:val="28"/>
                <w:szCs w:val="28"/>
                <w:lang w:val="en-US"/>
              </w:rPr>
            </w:pPr>
            <w:r w:rsidRPr="00A32F1B">
              <w:rPr>
                <w:rFonts w:cs="Times New Roman"/>
                <w:sz w:val="28"/>
                <w:szCs w:val="28"/>
                <w:rtl/>
                <w:lang w:val="en-US"/>
              </w:rPr>
              <w:t>נ</w:t>
            </w:r>
          </w:p>
        </w:tc>
        <w:tc>
          <w:tcPr>
            <w:tcW w:w="676" w:type="dxa"/>
          </w:tcPr>
          <w:p w14:paraId="6681D683" w14:textId="7CA45D75" w:rsidR="0091380D" w:rsidRPr="00A32F1B" w:rsidRDefault="0091380D" w:rsidP="0091380D">
            <w:pPr>
              <w:ind w:firstLine="0"/>
              <w:rPr>
                <w:sz w:val="28"/>
                <w:szCs w:val="28"/>
                <w:lang w:val="en-US"/>
              </w:rPr>
            </w:pPr>
            <w:r w:rsidRPr="00A32F1B">
              <w:rPr>
                <w:rFonts w:cs="Times New Roman"/>
                <w:sz w:val="28"/>
                <w:szCs w:val="28"/>
                <w:lang w:val="en-US"/>
              </w:rPr>
              <w:t>N</w:t>
            </w:r>
          </w:p>
        </w:tc>
      </w:tr>
      <w:tr w:rsidR="0091380D" w:rsidRPr="00A32F1B" w14:paraId="10B3E607" w14:textId="77777777" w:rsidTr="0091380D">
        <w:trPr>
          <w:trHeight w:val="530"/>
          <w:jc w:val="center"/>
        </w:trPr>
        <w:tc>
          <w:tcPr>
            <w:tcW w:w="676" w:type="dxa"/>
          </w:tcPr>
          <w:p w14:paraId="4A1DB6FE" w14:textId="48A23A54" w:rsidR="0091380D" w:rsidRPr="00A32F1B" w:rsidRDefault="0091380D" w:rsidP="0091380D">
            <w:pPr>
              <w:ind w:firstLine="0"/>
              <w:rPr>
                <w:sz w:val="28"/>
                <w:szCs w:val="28"/>
                <w:lang w:val="en-US"/>
              </w:rPr>
            </w:pPr>
            <w:r w:rsidRPr="00A32F1B">
              <w:rPr>
                <w:rFonts w:cs="Times New Roman"/>
                <w:sz w:val="28"/>
                <w:szCs w:val="28"/>
                <w:rtl/>
                <w:lang w:val="en-US"/>
              </w:rPr>
              <w:t>ס</w:t>
            </w:r>
          </w:p>
        </w:tc>
        <w:tc>
          <w:tcPr>
            <w:tcW w:w="676" w:type="dxa"/>
          </w:tcPr>
          <w:p w14:paraId="71021466" w14:textId="12A486DA" w:rsidR="0091380D" w:rsidRPr="00A32F1B" w:rsidRDefault="0091380D" w:rsidP="0091380D">
            <w:pPr>
              <w:ind w:firstLine="0"/>
              <w:rPr>
                <w:sz w:val="28"/>
                <w:szCs w:val="28"/>
                <w:lang w:val="en-US"/>
              </w:rPr>
            </w:pPr>
            <w:r w:rsidRPr="00A32F1B">
              <w:rPr>
                <w:rFonts w:cs="Times New Roman"/>
                <w:sz w:val="28"/>
                <w:szCs w:val="28"/>
                <w:lang w:val="en-US"/>
              </w:rPr>
              <w:t>S</w:t>
            </w:r>
          </w:p>
        </w:tc>
      </w:tr>
      <w:tr w:rsidR="0091380D" w:rsidRPr="00A32F1B" w14:paraId="6B82D729" w14:textId="77777777" w:rsidTr="0091380D">
        <w:trPr>
          <w:trHeight w:val="530"/>
          <w:jc w:val="center"/>
        </w:trPr>
        <w:tc>
          <w:tcPr>
            <w:tcW w:w="676" w:type="dxa"/>
          </w:tcPr>
          <w:p w14:paraId="54292ADC" w14:textId="4CD626F8" w:rsidR="0091380D" w:rsidRPr="00A32F1B" w:rsidRDefault="0091380D" w:rsidP="0091380D">
            <w:pPr>
              <w:ind w:firstLine="0"/>
              <w:rPr>
                <w:sz w:val="28"/>
                <w:szCs w:val="28"/>
                <w:lang w:val="en-US"/>
              </w:rPr>
            </w:pPr>
            <w:r w:rsidRPr="00A32F1B">
              <w:rPr>
                <w:rFonts w:cs="Times New Roman"/>
                <w:sz w:val="28"/>
                <w:szCs w:val="28"/>
                <w:rtl/>
                <w:lang w:val="en-US"/>
              </w:rPr>
              <w:t>ע</w:t>
            </w:r>
          </w:p>
        </w:tc>
        <w:tc>
          <w:tcPr>
            <w:tcW w:w="676" w:type="dxa"/>
          </w:tcPr>
          <w:p w14:paraId="4A5E2D3C" w14:textId="4EA1E6C3" w:rsidR="0091380D" w:rsidRPr="00A32F1B" w:rsidRDefault="0091380D" w:rsidP="0091380D">
            <w:pPr>
              <w:ind w:firstLine="0"/>
              <w:rPr>
                <w:sz w:val="28"/>
                <w:szCs w:val="28"/>
                <w:lang w:val="en-US"/>
              </w:rPr>
            </w:pPr>
            <w:r w:rsidRPr="00A32F1B">
              <w:rPr>
                <w:rFonts w:cs="Times New Roman"/>
                <w:sz w:val="28"/>
                <w:szCs w:val="28"/>
                <w:lang w:val="en-US"/>
              </w:rPr>
              <w:t>‘</w:t>
            </w:r>
          </w:p>
        </w:tc>
      </w:tr>
      <w:tr w:rsidR="0091380D" w:rsidRPr="00A32F1B" w14:paraId="312A5864" w14:textId="77777777" w:rsidTr="0091380D">
        <w:trPr>
          <w:trHeight w:val="530"/>
          <w:jc w:val="center"/>
        </w:trPr>
        <w:tc>
          <w:tcPr>
            <w:tcW w:w="676" w:type="dxa"/>
          </w:tcPr>
          <w:p w14:paraId="314AAACE" w14:textId="341EAB8B" w:rsidR="0091380D" w:rsidRPr="00A32F1B" w:rsidRDefault="0091380D" w:rsidP="0091380D">
            <w:pPr>
              <w:ind w:firstLine="0"/>
              <w:rPr>
                <w:sz w:val="28"/>
                <w:szCs w:val="28"/>
                <w:lang w:val="en-US"/>
              </w:rPr>
            </w:pPr>
            <w:r w:rsidRPr="00A32F1B">
              <w:rPr>
                <w:rFonts w:cs="Times New Roman"/>
                <w:sz w:val="28"/>
                <w:szCs w:val="28"/>
                <w:rtl/>
                <w:lang w:val="en-US"/>
              </w:rPr>
              <w:t>פ</w:t>
            </w:r>
          </w:p>
        </w:tc>
        <w:tc>
          <w:tcPr>
            <w:tcW w:w="676" w:type="dxa"/>
          </w:tcPr>
          <w:p w14:paraId="18877B5A" w14:textId="17A7D222" w:rsidR="0091380D" w:rsidRPr="00A32F1B" w:rsidRDefault="0091380D" w:rsidP="0091380D">
            <w:pPr>
              <w:ind w:firstLine="0"/>
              <w:rPr>
                <w:sz w:val="28"/>
                <w:szCs w:val="28"/>
                <w:lang w:val="en-US"/>
              </w:rPr>
            </w:pPr>
            <w:r w:rsidRPr="00A32F1B">
              <w:rPr>
                <w:rFonts w:cs="Times New Roman"/>
                <w:sz w:val="28"/>
                <w:szCs w:val="28"/>
                <w:lang w:val="en-US"/>
              </w:rPr>
              <w:t>P</w:t>
            </w:r>
          </w:p>
        </w:tc>
      </w:tr>
      <w:tr w:rsidR="0091380D" w:rsidRPr="00A32F1B" w14:paraId="79A51DBF" w14:textId="77777777" w:rsidTr="0091380D">
        <w:trPr>
          <w:trHeight w:val="514"/>
          <w:jc w:val="center"/>
        </w:trPr>
        <w:tc>
          <w:tcPr>
            <w:tcW w:w="676" w:type="dxa"/>
          </w:tcPr>
          <w:p w14:paraId="665250B8" w14:textId="1C3525A4" w:rsidR="0091380D" w:rsidRPr="00A32F1B" w:rsidRDefault="0091380D" w:rsidP="0091380D">
            <w:pPr>
              <w:ind w:firstLine="0"/>
              <w:rPr>
                <w:sz w:val="28"/>
                <w:szCs w:val="28"/>
                <w:lang w:val="en-US"/>
              </w:rPr>
            </w:pPr>
            <w:r w:rsidRPr="00A32F1B">
              <w:rPr>
                <w:rFonts w:cs="Times New Roman"/>
                <w:sz w:val="28"/>
                <w:szCs w:val="28"/>
                <w:rtl/>
                <w:lang w:val="en-US"/>
              </w:rPr>
              <w:t>צ</w:t>
            </w:r>
          </w:p>
        </w:tc>
        <w:tc>
          <w:tcPr>
            <w:tcW w:w="676" w:type="dxa"/>
          </w:tcPr>
          <w:p w14:paraId="7EEF9ACD" w14:textId="3DF1BC66" w:rsidR="0091380D" w:rsidRPr="00A32F1B" w:rsidRDefault="0091380D" w:rsidP="0091380D">
            <w:pPr>
              <w:ind w:firstLine="0"/>
              <w:rPr>
                <w:sz w:val="28"/>
                <w:szCs w:val="28"/>
                <w:lang w:val="en-US"/>
              </w:rPr>
            </w:pPr>
            <w:r w:rsidRPr="00A32F1B">
              <w:rPr>
                <w:rFonts w:cs="Times New Roman"/>
                <w:sz w:val="28"/>
                <w:szCs w:val="28"/>
                <w:lang w:val="en-US"/>
              </w:rPr>
              <w:t>Ṣ</w:t>
            </w:r>
          </w:p>
        </w:tc>
      </w:tr>
      <w:tr w:rsidR="0091380D" w:rsidRPr="00A32F1B" w14:paraId="13A3DC02" w14:textId="77777777" w:rsidTr="0091380D">
        <w:trPr>
          <w:trHeight w:val="530"/>
          <w:jc w:val="center"/>
        </w:trPr>
        <w:tc>
          <w:tcPr>
            <w:tcW w:w="676" w:type="dxa"/>
          </w:tcPr>
          <w:p w14:paraId="6B0DED52" w14:textId="7DD57B41" w:rsidR="0091380D" w:rsidRPr="00A32F1B" w:rsidRDefault="0091380D" w:rsidP="0091380D">
            <w:pPr>
              <w:ind w:firstLine="0"/>
              <w:rPr>
                <w:sz w:val="28"/>
                <w:szCs w:val="28"/>
                <w:lang w:val="en-US"/>
              </w:rPr>
            </w:pPr>
            <w:r w:rsidRPr="00A32F1B">
              <w:rPr>
                <w:rFonts w:cs="Times New Roman"/>
                <w:sz w:val="28"/>
                <w:szCs w:val="28"/>
                <w:rtl/>
                <w:lang w:val="en-US"/>
              </w:rPr>
              <w:t>ק</w:t>
            </w:r>
          </w:p>
        </w:tc>
        <w:tc>
          <w:tcPr>
            <w:tcW w:w="676" w:type="dxa"/>
          </w:tcPr>
          <w:p w14:paraId="10565489" w14:textId="01E66387" w:rsidR="0091380D" w:rsidRPr="00A32F1B" w:rsidRDefault="0091380D" w:rsidP="0091380D">
            <w:pPr>
              <w:ind w:firstLine="0"/>
              <w:rPr>
                <w:sz w:val="28"/>
                <w:szCs w:val="28"/>
                <w:lang w:val="en-US"/>
              </w:rPr>
            </w:pPr>
            <w:r w:rsidRPr="00A32F1B">
              <w:rPr>
                <w:rFonts w:cs="Times New Roman"/>
                <w:sz w:val="28"/>
                <w:szCs w:val="28"/>
                <w:lang w:val="en-US"/>
              </w:rPr>
              <w:t>Q</w:t>
            </w:r>
          </w:p>
        </w:tc>
      </w:tr>
      <w:tr w:rsidR="0091380D" w:rsidRPr="00A32F1B" w14:paraId="5DE8A48B" w14:textId="77777777" w:rsidTr="0091380D">
        <w:trPr>
          <w:trHeight w:val="530"/>
          <w:jc w:val="center"/>
        </w:trPr>
        <w:tc>
          <w:tcPr>
            <w:tcW w:w="676" w:type="dxa"/>
          </w:tcPr>
          <w:p w14:paraId="1F2FB726" w14:textId="7E84EFB5" w:rsidR="0091380D" w:rsidRPr="00A32F1B" w:rsidRDefault="0091380D" w:rsidP="0091380D">
            <w:pPr>
              <w:ind w:firstLine="0"/>
              <w:rPr>
                <w:sz w:val="28"/>
                <w:szCs w:val="28"/>
                <w:lang w:val="en-US"/>
              </w:rPr>
            </w:pPr>
            <w:r w:rsidRPr="00A32F1B">
              <w:rPr>
                <w:rFonts w:cs="Times New Roman"/>
                <w:sz w:val="28"/>
                <w:szCs w:val="28"/>
                <w:rtl/>
                <w:lang w:val="en-US"/>
              </w:rPr>
              <w:t>ר</w:t>
            </w:r>
          </w:p>
        </w:tc>
        <w:tc>
          <w:tcPr>
            <w:tcW w:w="676" w:type="dxa"/>
          </w:tcPr>
          <w:p w14:paraId="0491F736" w14:textId="4CECDF67" w:rsidR="0091380D" w:rsidRPr="00A32F1B" w:rsidRDefault="0091380D" w:rsidP="0091380D">
            <w:pPr>
              <w:ind w:firstLine="0"/>
              <w:rPr>
                <w:sz w:val="28"/>
                <w:szCs w:val="28"/>
                <w:lang w:val="en-US"/>
              </w:rPr>
            </w:pPr>
            <w:r w:rsidRPr="00A32F1B">
              <w:rPr>
                <w:rFonts w:cs="Times New Roman"/>
                <w:sz w:val="28"/>
                <w:szCs w:val="28"/>
                <w:lang w:val="en-US"/>
              </w:rPr>
              <w:t>R</w:t>
            </w:r>
          </w:p>
        </w:tc>
      </w:tr>
      <w:tr w:rsidR="0091380D" w:rsidRPr="00A32F1B" w14:paraId="4B410594" w14:textId="77777777" w:rsidTr="0091380D">
        <w:trPr>
          <w:trHeight w:val="530"/>
          <w:jc w:val="center"/>
        </w:trPr>
        <w:tc>
          <w:tcPr>
            <w:tcW w:w="676" w:type="dxa"/>
          </w:tcPr>
          <w:p w14:paraId="2CD55FF3" w14:textId="36434B82" w:rsidR="0091380D" w:rsidRPr="00A32F1B" w:rsidRDefault="0091380D" w:rsidP="0091380D">
            <w:pPr>
              <w:ind w:firstLine="0"/>
              <w:rPr>
                <w:sz w:val="28"/>
                <w:szCs w:val="28"/>
                <w:lang w:val="en-US"/>
              </w:rPr>
            </w:pPr>
            <w:r w:rsidRPr="00A32F1B">
              <w:rPr>
                <w:rFonts w:cs="Times New Roman"/>
                <w:sz w:val="28"/>
                <w:szCs w:val="28"/>
                <w:rtl/>
                <w:lang w:val="en-US"/>
              </w:rPr>
              <w:t>ש</w:t>
            </w:r>
          </w:p>
        </w:tc>
        <w:tc>
          <w:tcPr>
            <w:tcW w:w="676" w:type="dxa"/>
          </w:tcPr>
          <w:p w14:paraId="10CEBB22" w14:textId="4EB492F1" w:rsidR="0091380D" w:rsidRPr="00A32F1B" w:rsidRDefault="0091380D" w:rsidP="0091380D">
            <w:pPr>
              <w:ind w:firstLine="0"/>
              <w:rPr>
                <w:sz w:val="28"/>
                <w:szCs w:val="28"/>
                <w:lang w:val="en-US"/>
              </w:rPr>
            </w:pPr>
            <w:r w:rsidRPr="00A32F1B">
              <w:rPr>
                <w:rFonts w:cs="Times New Roman"/>
                <w:sz w:val="28"/>
                <w:szCs w:val="28"/>
                <w:lang w:val="en-US"/>
              </w:rPr>
              <w:t>Ś</w:t>
            </w:r>
          </w:p>
        </w:tc>
      </w:tr>
      <w:tr w:rsidR="0091380D" w:rsidRPr="00A32F1B" w14:paraId="23AADA63" w14:textId="77777777" w:rsidTr="0091380D">
        <w:trPr>
          <w:trHeight w:val="530"/>
          <w:jc w:val="center"/>
        </w:trPr>
        <w:tc>
          <w:tcPr>
            <w:tcW w:w="676" w:type="dxa"/>
          </w:tcPr>
          <w:p w14:paraId="6A8FDAEC" w14:textId="007603CB" w:rsidR="0091380D" w:rsidRPr="00A32F1B" w:rsidRDefault="0091380D" w:rsidP="0091380D">
            <w:pPr>
              <w:ind w:firstLine="0"/>
              <w:rPr>
                <w:sz w:val="28"/>
                <w:szCs w:val="28"/>
                <w:lang w:val="en-US"/>
              </w:rPr>
            </w:pPr>
            <w:r w:rsidRPr="00A32F1B">
              <w:rPr>
                <w:rFonts w:cs="Times New Roman"/>
                <w:sz w:val="28"/>
                <w:szCs w:val="28"/>
                <w:rtl/>
                <w:lang w:val="en-US"/>
              </w:rPr>
              <w:t>ת</w:t>
            </w:r>
          </w:p>
        </w:tc>
        <w:tc>
          <w:tcPr>
            <w:tcW w:w="676" w:type="dxa"/>
          </w:tcPr>
          <w:p w14:paraId="2BCE6EBF" w14:textId="4A7C26DC" w:rsidR="0091380D" w:rsidRPr="00A32F1B" w:rsidRDefault="0091380D" w:rsidP="0091380D">
            <w:pPr>
              <w:ind w:firstLine="0"/>
              <w:rPr>
                <w:sz w:val="28"/>
                <w:szCs w:val="28"/>
                <w:lang w:val="en-US"/>
              </w:rPr>
            </w:pPr>
            <w:r w:rsidRPr="00A32F1B">
              <w:rPr>
                <w:rFonts w:cs="Times New Roman"/>
                <w:sz w:val="28"/>
                <w:szCs w:val="28"/>
                <w:lang w:val="en-US"/>
              </w:rPr>
              <w:t>T</w:t>
            </w:r>
          </w:p>
        </w:tc>
      </w:tr>
    </w:tbl>
    <w:p w14:paraId="08A47AB5" w14:textId="5028AD60" w:rsidR="0091380D" w:rsidRPr="00A32F1B" w:rsidRDefault="00B4648F" w:rsidP="004E7A34">
      <w:pPr>
        <w:rPr>
          <w:lang w:val="en-US"/>
        </w:rPr>
      </w:pPr>
      <w:r w:rsidRPr="00A32F1B">
        <w:rPr>
          <w:lang w:val="en-US"/>
        </w:rPr>
        <w:lastRenderedPageBreak/>
        <w:t>B</w:t>
      </w:r>
      <w:r w:rsidRPr="00A32F1B">
        <w:rPr>
          <w:lang w:val="en-US"/>
        </w:rPr>
        <w:tab/>
        <w:t>Greek Transliteration Table</w:t>
      </w:r>
    </w:p>
    <w:p w14:paraId="4E1E6F75" w14:textId="77777777" w:rsidR="00C64805" w:rsidRPr="00A32F1B" w:rsidRDefault="00C64805" w:rsidP="00E7181F">
      <w:pPr>
        <w:rPr>
          <w:lang w:val="en-US"/>
        </w:rPr>
      </w:pPr>
    </w:p>
    <w:tbl>
      <w:tblPr>
        <w:tblStyle w:val="Mkatabulky"/>
        <w:tblW w:w="0" w:type="auto"/>
        <w:jc w:val="center"/>
        <w:tblLook w:val="04A0" w:firstRow="1" w:lastRow="0" w:firstColumn="1" w:lastColumn="0" w:noHBand="0" w:noVBand="1"/>
      </w:tblPr>
      <w:tblGrid>
        <w:gridCol w:w="694"/>
        <w:gridCol w:w="694"/>
      </w:tblGrid>
      <w:tr w:rsidR="00B4648F" w:rsidRPr="00A32F1B" w14:paraId="64E69606" w14:textId="77777777" w:rsidTr="00B4648F">
        <w:trPr>
          <w:trHeight w:val="521"/>
          <w:jc w:val="center"/>
        </w:trPr>
        <w:tc>
          <w:tcPr>
            <w:tcW w:w="694" w:type="dxa"/>
          </w:tcPr>
          <w:p w14:paraId="79B3103C" w14:textId="75B7B1BB" w:rsidR="00B4648F" w:rsidRPr="00A32F1B" w:rsidRDefault="00B4648F" w:rsidP="00B4648F">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A</w:t>
            </w:r>
          </w:p>
        </w:tc>
        <w:tc>
          <w:tcPr>
            <w:tcW w:w="694" w:type="dxa"/>
          </w:tcPr>
          <w:p w14:paraId="6582C5AE" w14:textId="29F51531"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A</w:t>
            </w:r>
          </w:p>
        </w:tc>
      </w:tr>
      <w:tr w:rsidR="00B4648F" w:rsidRPr="00A32F1B" w14:paraId="01431AD2" w14:textId="77777777" w:rsidTr="00B4648F">
        <w:trPr>
          <w:trHeight w:val="521"/>
          <w:jc w:val="center"/>
        </w:trPr>
        <w:tc>
          <w:tcPr>
            <w:tcW w:w="694" w:type="dxa"/>
          </w:tcPr>
          <w:p w14:paraId="7D166102" w14:textId="78DE86BA"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B</w:t>
            </w:r>
          </w:p>
        </w:tc>
        <w:tc>
          <w:tcPr>
            <w:tcW w:w="694" w:type="dxa"/>
          </w:tcPr>
          <w:p w14:paraId="5E947B17" w14:textId="342D11D1"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B</w:t>
            </w:r>
          </w:p>
        </w:tc>
      </w:tr>
      <w:tr w:rsidR="00B4648F" w:rsidRPr="00A32F1B" w14:paraId="02BD74A5" w14:textId="77777777" w:rsidTr="00B4648F">
        <w:trPr>
          <w:trHeight w:val="521"/>
          <w:jc w:val="center"/>
        </w:trPr>
        <w:tc>
          <w:tcPr>
            <w:tcW w:w="694" w:type="dxa"/>
          </w:tcPr>
          <w:p w14:paraId="06688844" w14:textId="749B47F8"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Γ</w:t>
            </w:r>
          </w:p>
        </w:tc>
        <w:tc>
          <w:tcPr>
            <w:tcW w:w="694" w:type="dxa"/>
          </w:tcPr>
          <w:p w14:paraId="73403EFD" w14:textId="147F48DA"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G</w:t>
            </w:r>
          </w:p>
        </w:tc>
      </w:tr>
      <w:tr w:rsidR="00B4648F" w:rsidRPr="00A32F1B" w14:paraId="69285B83" w14:textId="77777777" w:rsidTr="00B4648F">
        <w:trPr>
          <w:trHeight w:val="505"/>
          <w:jc w:val="center"/>
        </w:trPr>
        <w:tc>
          <w:tcPr>
            <w:tcW w:w="694" w:type="dxa"/>
          </w:tcPr>
          <w:p w14:paraId="3930946A" w14:textId="7E9EE6CD"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Δ</w:t>
            </w:r>
          </w:p>
        </w:tc>
        <w:tc>
          <w:tcPr>
            <w:tcW w:w="694" w:type="dxa"/>
          </w:tcPr>
          <w:p w14:paraId="17BA8260" w14:textId="49318BE4"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D</w:t>
            </w:r>
          </w:p>
        </w:tc>
      </w:tr>
      <w:tr w:rsidR="00B4648F" w:rsidRPr="00A32F1B" w14:paraId="4055CB92" w14:textId="77777777" w:rsidTr="00B4648F">
        <w:trPr>
          <w:trHeight w:val="521"/>
          <w:jc w:val="center"/>
        </w:trPr>
        <w:tc>
          <w:tcPr>
            <w:tcW w:w="694" w:type="dxa"/>
          </w:tcPr>
          <w:p w14:paraId="4C4BAB19" w14:textId="374C5DCD"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E</w:t>
            </w:r>
          </w:p>
        </w:tc>
        <w:tc>
          <w:tcPr>
            <w:tcW w:w="694" w:type="dxa"/>
          </w:tcPr>
          <w:p w14:paraId="0DEFB740" w14:textId="1F65072D"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E</w:t>
            </w:r>
          </w:p>
        </w:tc>
      </w:tr>
      <w:tr w:rsidR="00B4648F" w:rsidRPr="00A32F1B" w14:paraId="4BE1D80C" w14:textId="77777777" w:rsidTr="00B4648F">
        <w:trPr>
          <w:trHeight w:val="521"/>
          <w:jc w:val="center"/>
        </w:trPr>
        <w:tc>
          <w:tcPr>
            <w:tcW w:w="694" w:type="dxa"/>
          </w:tcPr>
          <w:p w14:paraId="366F7828" w14:textId="4E45A55C"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Z</w:t>
            </w:r>
          </w:p>
        </w:tc>
        <w:tc>
          <w:tcPr>
            <w:tcW w:w="694" w:type="dxa"/>
          </w:tcPr>
          <w:p w14:paraId="6D616162" w14:textId="646140E6"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Z</w:t>
            </w:r>
          </w:p>
        </w:tc>
      </w:tr>
      <w:tr w:rsidR="00B4648F" w:rsidRPr="00A32F1B" w14:paraId="735BD73C" w14:textId="77777777" w:rsidTr="00B4648F">
        <w:trPr>
          <w:trHeight w:val="521"/>
          <w:jc w:val="center"/>
        </w:trPr>
        <w:tc>
          <w:tcPr>
            <w:tcW w:w="694" w:type="dxa"/>
          </w:tcPr>
          <w:p w14:paraId="322A307B" w14:textId="60210804"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H</w:t>
            </w:r>
          </w:p>
        </w:tc>
        <w:tc>
          <w:tcPr>
            <w:tcW w:w="694" w:type="dxa"/>
          </w:tcPr>
          <w:p w14:paraId="1792BCA5" w14:textId="42827951" w:rsidR="00B4648F" w:rsidRPr="00A32F1B" w:rsidRDefault="00B4648F" w:rsidP="00B4648F">
            <w:pPr>
              <w:ind w:firstLine="0"/>
              <w:rPr>
                <w:sz w:val="28"/>
                <w:szCs w:val="28"/>
                <w:lang w:val="en-US"/>
              </w:rPr>
            </w:pPr>
            <w:bookmarkStart w:id="18" w:name="_Hlk70359139"/>
            <w:r w:rsidRPr="00A32F1B">
              <w:rPr>
                <w:rFonts w:asciiTheme="majorBidi" w:hAnsiTheme="majorBidi" w:cstheme="majorBidi"/>
                <w:sz w:val="28"/>
                <w:szCs w:val="28"/>
                <w:lang w:val="en-US"/>
              </w:rPr>
              <w:t>Ē</w:t>
            </w:r>
            <w:bookmarkEnd w:id="18"/>
          </w:p>
        </w:tc>
      </w:tr>
      <w:tr w:rsidR="00B4648F" w:rsidRPr="00A32F1B" w14:paraId="37A92364" w14:textId="77777777" w:rsidTr="00B4648F">
        <w:trPr>
          <w:trHeight w:val="521"/>
          <w:jc w:val="center"/>
        </w:trPr>
        <w:tc>
          <w:tcPr>
            <w:tcW w:w="694" w:type="dxa"/>
          </w:tcPr>
          <w:p w14:paraId="255D1C13" w14:textId="7DD4D179"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Θ</w:t>
            </w:r>
          </w:p>
        </w:tc>
        <w:tc>
          <w:tcPr>
            <w:tcW w:w="694" w:type="dxa"/>
          </w:tcPr>
          <w:p w14:paraId="000AC160" w14:textId="6BC8412D"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TH</w:t>
            </w:r>
          </w:p>
        </w:tc>
      </w:tr>
      <w:tr w:rsidR="00B4648F" w:rsidRPr="00A32F1B" w14:paraId="6B53F9C7" w14:textId="77777777" w:rsidTr="00B4648F">
        <w:trPr>
          <w:trHeight w:val="521"/>
          <w:jc w:val="center"/>
        </w:trPr>
        <w:tc>
          <w:tcPr>
            <w:tcW w:w="694" w:type="dxa"/>
          </w:tcPr>
          <w:p w14:paraId="6EBF90EA" w14:textId="551EF463"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I</w:t>
            </w:r>
          </w:p>
        </w:tc>
        <w:tc>
          <w:tcPr>
            <w:tcW w:w="694" w:type="dxa"/>
          </w:tcPr>
          <w:p w14:paraId="46274377" w14:textId="4DAB403B"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I</w:t>
            </w:r>
          </w:p>
        </w:tc>
      </w:tr>
      <w:tr w:rsidR="00B4648F" w:rsidRPr="00A32F1B" w14:paraId="4F87C870" w14:textId="77777777" w:rsidTr="00B4648F">
        <w:trPr>
          <w:trHeight w:val="521"/>
          <w:jc w:val="center"/>
        </w:trPr>
        <w:tc>
          <w:tcPr>
            <w:tcW w:w="694" w:type="dxa"/>
          </w:tcPr>
          <w:p w14:paraId="0FA2476C" w14:textId="51F4331F"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K</w:t>
            </w:r>
          </w:p>
        </w:tc>
        <w:tc>
          <w:tcPr>
            <w:tcW w:w="694" w:type="dxa"/>
          </w:tcPr>
          <w:p w14:paraId="5F9AC516" w14:textId="3949DDE0"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K</w:t>
            </w:r>
          </w:p>
        </w:tc>
      </w:tr>
      <w:tr w:rsidR="00B4648F" w:rsidRPr="00A32F1B" w14:paraId="1F46D56A" w14:textId="77777777" w:rsidTr="00B4648F">
        <w:trPr>
          <w:trHeight w:val="505"/>
          <w:jc w:val="center"/>
        </w:trPr>
        <w:tc>
          <w:tcPr>
            <w:tcW w:w="694" w:type="dxa"/>
          </w:tcPr>
          <w:p w14:paraId="27215CA9" w14:textId="44D33577"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Λ</w:t>
            </w:r>
          </w:p>
        </w:tc>
        <w:tc>
          <w:tcPr>
            <w:tcW w:w="694" w:type="dxa"/>
          </w:tcPr>
          <w:p w14:paraId="45EC8F6B" w14:textId="033955D7"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L</w:t>
            </w:r>
          </w:p>
        </w:tc>
      </w:tr>
      <w:tr w:rsidR="00B4648F" w:rsidRPr="00A32F1B" w14:paraId="6956576B" w14:textId="77777777" w:rsidTr="00B4648F">
        <w:trPr>
          <w:trHeight w:val="521"/>
          <w:jc w:val="center"/>
        </w:trPr>
        <w:tc>
          <w:tcPr>
            <w:tcW w:w="694" w:type="dxa"/>
          </w:tcPr>
          <w:p w14:paraId="7B75F94E" w14:textId="6BA846F9"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M</w:t>
            </w:r>
          </w:p>
        </w:tc>
        <w:tc>
          <w:tcPr>
            <w:tcW w:w="694" w:type="dxa"/>
          </w:tcPr>
          <w:p w14:paraId="77EA0F35" w14:textId="707092B2"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M</w:t>
            </w:r>
          </w:p>
        </w:tc>
      </w:tr>
      <w:tr w:rsidR="00B4648F" w:rsidRPr="00A32F1B" w14:paraId="5C2F807E" w14:textId="77777777" w:rsidTr="00B4648F">
        <w:trPr>
          <w:trHeight w:val="521"/>
          <w:jc w:val="center"/>
        </w:trPr>
        <w:tc>
          <w:tcPr>
            <w:tcW w:w="694" w:type="dxa"/>
          </w:tcPr>
          <w:p w14:paraId="306484C1" w14:textId="2A6C8117"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N</w:t>
            </w:r>
          </w:p>
        </w:tc>
        <w:tc>
          <w:tcPr>
            <w:tcW w:w="694" w:type="dxa"/>
          </w:tcPr>
          <w:p w14:paraId="1B45B4A3" w14:textId="0154FBC4"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N</w:t>
            </w:r>
          </w:p>
        </w:tc>
      </w:tr>
      <w:tr w:rsidR="00B4648F" w:rsidRPr="00A32F1B" w14:paraId="33F68FB4" w14:textId="77777777" w:rsidTr="00B4648F">
        <w:trPr>
          <w:trHeight w:val="521"/>
          <w:jc w:val="center"/>
        </w:trPr>
        <w:tc>
          <w:tcPr>
            <w:tcW w:w="694" w:type="dxa"/>
          </w:tcPr>
          <w:p w14:paraId="25615338" w14:textId="47FDCC8C"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Ξ</w:t>
            </w:r>
          </w:p>
        </w:tc>
        <w:tc>
          <w:tcPr>
            <w:tcW w:w="694" w:type="dxa"/>
          </w:tcPr>
          <w:p w14:paraId="21C23EF9" w14:textId="13486192"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X</w:t>
            </w:r>
          </w:p>
        </w:tc>
      </w:tr>
      <w:tr w:rsidR="00B4648F" w:rsidRPr="00A32F1B" w14:paraId="57B1C4E1" w14:textId="77777777" w:rsidTr="00B4648F">
        <w:trPr>
          <w:trHeight w:val="521"/>
          <w:jc w:val="center"/>
        </w:trPr>
        <w:tc>
          <w:tcPr>
            <w:tcW w:w="694" w:type="dxa"/>
          </w:tcPr>
          <w:p w14:paraId="14F3BD8A" w14:textId="0A8F8CD6"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O</w:t>
            </w:r>
          </w:p>
        </w:tc>
        <w:tc>
          <w:tcPr>
            <w:tcW w:w="694" w:type="dxa"/>
          </w:tcPr>
          <w:p w14:paraId="65BB261B" w14:textId="597C6972"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O</w:t>
            </w:r>
          </w:p>
        </w:tc>
      </w:tr>
      <w:tr w:rsidR="00B4648F" w:rsidRPr="00A32F1B" w14:paraId="31617C7B" w14:textId="77777777" w:rsidTr="00B4648F">
        <w:trPr>
          <w:trHeight w:val="521"/>
          <w:jc w:val="center"/>
        </w:trPr>
        <w:tc>
          <w:tcPr>
            <w:tcW w:w="694" w:type="dxa"/>
          </w:tcPr>
          <w:p w14:paraId="59DADB3B" w14:textId="59DD50B3"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Π</w:t>
            </w:r>
          </w:p>
        </w:tc>
        <w:tc>
          <w:tcPr>
            <w:tcW w:w="694" w:type="dxa"/>
          </w:tcPr>
          <w:p w14:paraId="3C194B10" w14:textId="7E07ACEC"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P</w:t>
            </w:r>
          </w:p>
        </w:tc>
      </w:tr>
      <w:tr w:rsidR="00B4648F" w:rsidRPr="00A32F1B" w14:paraId="500716FB" w14:textId="77777777" w:rsidTr="00B4648F">
        <w:trPr>
          <w:trHeight w:val="521"/>
          <w:jc w:val="center"/>
        </w:trPr>
        <w:tc>
          <w:tcPr>
            <w:tcW w:w="694" w:type="dxa"/>
          </w:tcPr>
          <w:p w14:paraId="03F14218" w14:textId="1A67AB63"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P</w:t>
            </w:r>
          </w:p>
        </w:tc>
        <w:tc>
          <w:tcPr>
            <w:tcW w:w="694" w:type="dxa"/>
          </w:tcPr>
          <w:p w14:paraId="59814A2A" w14:textId="660FD217"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R</w:t>
            </w:r>
          </w:p>
        </w:tc>
      </w:tr>
      <w:tr w:rsidR="00B4648F" w:rsidRPr="00A32F1B" w14:paraId="24A95214" w14:textId="77777777" w:rsidTr="00B4648F">
        <w:trPr>
          <w:trHeight w:val="505"/>
          <w:jc w:val="center"/>
        </w:trPr>
        <w:tc>
          <w:tcPr>
            <w:tcW w:w="694" w:type="dxa"/>
          </w:tcPr>
          <w:p w14:paraId="3B098056" w14:textId="5AD4A14A"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Σ</w:t>
            </w:r>
          </w:p>
        </w:tc>
        <w:tc>
          <w:tcPr>
            <w:tcW w:w="694" w:type="dxa"/>
          </w:tcPr>
          <w:p w14:paraId="768D4552" w14:textId="6E8E9E3E"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S</w:t>
            </w:r>
          </w:p>
        </w:tc>
      </w:tr>
      <w:tr w:rsidR="00B4648F" w:rsidRPr="00A32F1B" w14:paraId="3B732A6F" w14:textId="77777777" w:rsidTr="00B4648F">
        <w:trPr>
          <w:trHeight w:val="521"/>
          <w:jc w:val="center"/>
        </w:trPr>
        <w:tc>
          <w:tcPr>
            <w:tcW w:w="694" w:type="dxa"/>
          </w:tcPr>
          <w:p w14:paraId="0EBE8357" w14:textId="3A4E1338"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T</w:t>
            </w:r>
          </w:p>
        </w:tc>
        <w:tc>
          <w:tcPr>
            <w:tcW w:w="694" w:type="dxa"/>
          </w:tcPr>
          <w:p w14:paraId="3DC14B51" w14:textId="30E052EC"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T</w:t>
            </w:r>
          </w:p>
        </w:tc>
      </w:tr>
      <w:tr w:rsidR="00B4648F" w:rsidRPr="00A32F1B" w14:paraId="519BF8AB" w14:textId="77777777" w:rsidTr="00B4648F">
        <w:trPr>
          <w:trHeight w:val="521"/>
          <w:jc w:val="center"/>
        </w:trPr>
        <w:tc>
          <w:tcPr>
            <w:tcW w:w="694" w:type="dxa"/>
          </w:tcPr>
          <w:p w14:paraId="4C2FAD27" w14:textId="4A5F2568"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Y</w:t>
            </w:r>
          </w:p>
        </w:tc>
        <w:tc>
          <w:tcPr>
            <w:tcW w:w="694" w:type="dxa"/>
          </w:tcPr>
          <w:p w14:paraId="5C12A049" w14:textId="6CB87142"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U</w:t>
            </w:r>
          </w:p>
        </w:tc>
      </w:tr>
      <w:tr w:rsidR="00B4648F" w:rsidRPr="00A32F1B" w14:paraId="2D148620" w14:textId="77777777" w:rsidTr="00B4648F">
        <w:trPr>
          <w:trHeight w:val="521"/>
          <w:jc w:val="center"/>
        </w:trPr>
        <w:tc>
          <w:tcPr>
            <w:tcW w:w="694" w:type="dxa"/>
          </w:tcPr>
          <w:p w14:paraId="679FA464" w14:textId="2B0DB66A"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Φ</w:t>
            </w:r>
          </w:p>
        </w:tc>
        <w:tc>
          <w:tcPr>
            <w:tcW w:w="694" w:type="dxa"/>
          </w:tcPr>
          <w:p w14:paraId="72727C39" w14:textId="6CAEBB5E"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PH</w:t>
            </w:r>
          </w:p>
        </w:tc>
      </w:tr>
      <w:tr w:rsidR="00B4648F" w:rsidRPr="00A32F1B" w14:paraId="270572A0" w14:textId="77777777" w:rsidTr="00B4648F">
        <w:trPr>
          <w:trHeight w:val="521"/>
          <w:jc w:val="center"/>
        </w:trPr>
        <w:tc>
          <w:tcPr>
            <w:tcW w:w="694" w:type="dxa"/>
          </w:tcPr>
          <w:p w14:paraId="076A575D" w14:textId="51C03319"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X</w:t>
            </w:r>
          </w:p>
        </w:tc>
        <w:tc>
          <w:tcPr>
            <w:tcW w:w="694" w:type="dxa"/>
          </w:tcPr>
          <w:p w14:paraId="15A6472E" w14:textId="0C33716E" w:rsidR="00B4648F" w:rsidRPr="00A32F1B" w:rsidRDefault="00B4648F" w:rsidP="00B4648F">
            <w:pPr>
              <w:ind w:firstLine="0"/>
              <w:rPr>
                <w:sz w:val="28"/>
                <w:szCs w:val="28"/>
                <w:lang w:val="en-US"/>
              </w:rPr>
            </w:pPr>
            <w:r w:rsidRPr="00A32F1B">
              <w:rPr>
                <w:rFonts w:asciiTheme="majorBidi" w:hAnsiTheme="majorBidi" w:cstheme="majorBidi"/>
                <w:sz w:val="28"/>
                <w:szCs w:val="28"/>
                <w:lang w:val="en-US"/>
              </w:rPr>
              <w:t>KH</w:t>
            </w:r>
          </w:p>
        </w:tc>
      </w:tr>
      <w:tr w:rsidR="00B4648F" w:rsidRPr="00A32F1B" w14:paraId="269AA83A" w14:textId="77777777" w:rsidTr="00B4648F">
        <w:trPr>
          <w:trHeight w:val="521"/>
          <w:jc w:val="center"/>
        </w:trPr>
        <w:tc>
          <w:tcPr>
            <w:tcW w:w="694" w:type="dxa"/>
          </w:tcPr>
          <w:p w14:paraId="171ABEBA" w14:textId="2C93534B" w:rsidR="00B4648F" w:rsidRPr="00A32F1B" w:rsidRDefault="00B4648F" w:rsidP="00B4648F">
            <w:pPr>
              <w:ind w:firstLine="0"/>
              <w:rPr>
                <w:rFonts w:cs="Times New Roman"/>
                <w:sz w:val="28"/>
                <w:szCs w:val="28"/>
                <w:rtl/>
                <w:lang w:val="en-US"/>
              </w:rPr>
            </w:pPr>
            <w:r w:rsidRPr="00A32F1B">
              <w:rPr>
                <w:rFonts w:asciiTheme="majorBidi" w:hAnsiTheme="majorBidi" w:cstheme="majorBidi"/>
                <w:sz w:val="28"/>
                <w:szCs w:val="28"/>
                <w:lang w:val="en-US"/>
              </w:rPr>
              <w:t>Ψ</w:t>
            </w:r>
          </w:p>
        </w:tc>
        <w:tc>
          <w:tcPr>
            <w:tcW w:w="694" w:type="dxa"/>
          </w:tcPr>
          <w:p w14:paraId="7813B1D8" w14:textId="2AEF1EEB" w:rsidR="00B4648F" w:rsidRPr="00A32F1B" w:rsidRDefault="00B4648F" w:rsidP="00B4648F">
            <w:pPr>
              <w:ind w:firstLine="0"/>
              <w:rPr>
                <w:rFonts w:cs="Times New Roman"/>
                <w:sz w:val="28"/>
                <w:szCs w:val="28"/>
                <w:lang w:val="en-US"/>
              </w:rPr>
            </w:pPr>
            <w:r w:rsidRPr="00A32F1B">
              <w:rPr>
                <w:rFonts w:asciiTheme="majorBidi" w:hAnsiTheme="majorBidi" w:cstheme="majorBidi"/>
                <w:sz w:val="28"/>
                <w:szCs w:val="28"/>
                <w:lang w:val="en-US"/>
              </w:rPr>
              <w:t>PS</w:t>
            </w:r>
          </w:p>
        </w:tc>
      </w:tr>
      <w:tr w:rsidR="00B4648F" w:rsidRPr="00A32F1B" w14:paraId="7AD5D95A" w14:textId="77777777" w:rsidTr="00B4648F">
        <w:trPr>
          <w:trHeight w:val="521"/>
          <w:jc w:val="center"/>
        </w:trPr>
        <w:tc>
          <w:tcPr>
            <w:tcW w:w="694" w:type="dxa"/>
          </w:tcPr>
          <w:p w14:paraId="4D2B48D9" w14:textId="3281D977" w:rsidR="00B4648F" w:rsidRPr="00A32F1B" w:rsidRDefault="00B4648F" w:rsidP="00B4648F">
            <w:pPr>
              <w:ind w:firstLine="0"/>
              <w:rPr>
                <w:rFonts w:cs="Times New Roman"/>
                <w:sz w:val="28"/>
                <w:szCs w:val="28"/>
                <w:rtl/>
                <w:lang w:val="en-US"/>
              </w:rPr>
            </w:pPr>
            <w:r w:rsidRPr="00A32F1B">
              <w:rPr>
                <w:rFonts w:asciiTheme="majorBidi" w:hAnsiTheme="majorBidi" w:cstheme="majorBidi"/>
                <w:sz w:val="28"/>
                <w:szCs w:val="28"/>
                <w:lang w:val="en-US"/>
              </w:rPr>
              <w:t>Ω</w:t>
            </w:r>
          </w:p>
        </w:tc>
        <w:tc>
          <w:tcPr>
            <w:tcW w:w="694" w:type="dxa"/>
          </w:tcPr>
          <w:p w14:paraId="10968E18" w14:textId="3A8077A2" w:rsidR="00B4648F" w:rsidRPr="00A32F1B" w:rsidRDefault="00B4648F" w:rsidP="00B4648F">
            <w:pPr>
              <w:ind w:firstLine="0"/>
              <w:rPr>
                <w:rFonts w:cs="Times New Roman"/>
                <w:sz w:val="28"/>
                <w:szCs w:val="28"/>
                <w:lang w:val="en-US"/>
              </w:rPr>
            </w:pPr>
            <w:r w:rsidRPr="00A32F1B">
              <w:rPr>
                <w:rFonts w:asciiTheme="majorBidi" w:hAnsiTheme="majorBidi" w:cstheme="majorBidi"/>
                <w:sz w:val="28"/>
                <w:szCs w:val="28"/>
                <w:lang w:val="en-US"/>
              </w:rPr>
              <w:t>Ō</w:t>
            </w:r>
          </w:p>
        </w:tc>
      </w:tr>
    </w:tbl>
    <w:p w14:paraId="75A22B86" w14:textId="78628D91" w:rsidR="001454CA" w:rsidRPr="00A32F1B" w:rsidRDefault="001454CA" w:rsidP="001454CA">
      <w:pPr>
        <w:rPr>
          <w:lang w:val="en-US"/>
        </w:rPr>
      </w:pPr>
      <w:r w:rsidRPr="00A32F1B">
        <w:rPr>
          <w:lang w:val="en-US"/>
        </w:rPr>
        <w:lastRenderedPageBreak/>
        <w:t>C</w:t>
      </w:r>
      <w:r w:rsidRPr="00A32F1B">
        <w:rPr>
          <w:lang w:val="en-US"/>
        </w:rPr>
        <w:tab/>
        <w:t>Coptic Transliteration Table</w:t>
      </w:r>
    </w:p>
    <w:tbl>
      <w:tblPr>
        <w:tblStyle w:val="Mkatabulky"/>
        <w:tblW w:w="0" w:type="auto"/>
        <w:jc w:val="center"/>
        <w:tblLook w:val="04A0" w:firstRow="1" w:lastRow="0" w:firstColumn="1" w:lastColumn="0" w:noHBand="0" w:noVBand="1"/>
      </w:tblPr>
      <w:tblGrid>
        <w:gridCol w:w="694"/>
        <w:gridCol w:w="745"/>
      </w:tblGrid>
      <w:tr w:rsidR="001454CA" w:rsidRPr="00A32F1B" w14:paraId="33EC10E6" w14:textId="77777777" w:rsidTr="001454CA">
        <w:trPr>
          <w:trHeight w:val="521"/>
          <w:jc w:val="center"/>
        </w:trPr>
        <w:tc>
          <w:tcPr>
            <w:tcW w:w="694" w:type="dxa"/>
          </w:tcPr>
          <w:p w14:paraId="3844B3F1" w14:textId="7B47E5E9" w:rsidR="001454CA" w:rsidRPr="00A32F1B" w:rsidRDefault="001454CA" w:rsidP="00B37871">
            <w:pPr>
              <w:ind w:firstLine="0"/>
              <w:rPr>
                <w:rFonts w:asciiTheme="majorBidi" w:hAnsiTheme="majorBidi" w:cstheme="majorBidi"/>
                <w:sz w:val="28"/>
                <w:szCs w:val="28"/>
                <w:lang w:val="en-US"/>
              </w:rPr>
            </w:pPr>
            <w:r w:rsidRPr="00A32F1B">
              <w:rPr>
                <w:rFonts w:ascii="Segoe UI Historic" w:hAnsi="Segoe UI Historic" w:cs="Segoe UI Historic"/>
                <w:sz w:val="28"/>
                <w:szCs w:val="28"/>
                <w:lang w:val="en-US"/>
              </w:rPr>
              <w:t>Ⲁ</w:t>
            </w:r>
          </w:p>
        </w:tc>
        <w:tc>
          <w:tcPr>
            <w:tcW w:w="745" w:type="dxa"/>
          </w:tcPr>
          <w:p w14:paraId="3EB80030" w14:textId="77777777" w:rsidR="001454CA" w:rsidRPr="00A32F1B" w:rsidRDefault="001454CA" w:rsidP="00B37871">
            <w:pPr>
              <w:ind w:firstLine="0"/>
              <w:rPr>
                <w:sz w:val="28"/>
                <w:szCs w:val="28"/>
                <w:lang w:val="en-US"/>
              </w:rPr>
            </w:pPr>
            <w:r w:rsidRPr="00A32F1B">
              <w:rPr>
                <w:rFonts w:asciiTheme="majorBidi" w:hAnsiTheme="majorBidi" w:cstheme="majorBidi"/>
                <w:sz w:val="28"/>
                <w:szCs w:val="28"/>
                <w:lang w:val="en-US"/>
              </w:rPr>
              <w:t>A</w:t>
            </w:r>
          </w:p>
        </w:tc>
      </w:tr>
      <w:tr w:rsidR="001454CA" w:rsidRPr="00A32F1B" w14:paraId="59796B32" w14:textId="77777777" w:rsidTr="001454CA">
        <w:trPr>
          <w:trHeight w:val="521"/>
          <w:jc w:val="center"/>
        </w:trPr>
        <w:tc>
          <w:tcPr>
            <w:tcW w:w="694" w:type="dxa"/>
          </w:tcPr>
          <w:p w14:paraId="02510AC5" w14:textId="656454B6" w:rsidR="001454CA" w:rsidRPr="00A32F1B" w:rsidRDefault="001454CA" w:rsidP="00B37871">
            <w:pPr>
              <w:ind w:firstLine="0"/>
              <w:rPr>
                <w:sz w:val="28"/>
                <w:szCs w:val="28"/>
                <w:lang w:val="en-US"/>
              </w:rPr>
            </w:pPr>
            <w:r w:rsidRPr="00A32F1B">
              <w:rPr>
                <w:rFonts w:ascii="Segoe UI Historic" w:hAnsi="Segoe UI Historic" w:cs="Segoe UI Historic"/>
                <w:sz w:val="28"/>
                <w:szCs w:val="28"/>
                <w:lang w:val="en-US"/>
              </w:rPr>
              <w:t>Ⲃ</w:t>
            </w:r>
          </w:p>
        </w:tc>
        <w:tc>
          <w:tcPr>
            <w:tcW w:w="745" w:type="dxa"/>
          </w:tcPr>
          <w:p w14:paraId="7A16D86B" w14:textId="77777777" w:rsidR="001454CA" w:rsidRPr="00A32F1B" w:rsidRDefault="001454CA" w:rsidP="00B37871">
            <w:pPr>
              <w:ind w:firstLine="0"/>
              <w:rPr>
                <w:sz w:val="28"/>
                <w:szCs w:val="28"/>
                <w:lang w:val="en-US"/>
              </w:rPr>
            </w:pPr>
            <w:r w:rsidRPr="00A32F1B">
              <w:rPr>
                <w:rFonts w:asciiTheme="majorBidi" w:hAnsiTheme="majorBidi" w:cstheme="majorBidi"/>
                <w:sz w:val="28"/>
                <w:szCs w:val="28"/>
                <w:lang w:val="en-US"/>
              </w:rPr>
              <w:t>B</w:t>
            </w:r>
          </w:p>
        </w:tc>
      </w:tr>
      <w:tr w:rsidR="001454CA" w:rsidRPr="00A32F1B" w14:paraId="44721A32" w14:textId="77777777" w:rsidTr="001454CA">
        <w:trPr>
          <w:trHeight w:val="521"/>
          <w:jc w:val="center"/>
        </w:trPr>
        <w:tc>
          <w:tcPr>
            <w:tcW w:w="694" w:type="dxa"/>
          </w:tcPr>
          <w:p w14:paraId="22124458" w14:textId="47C289BC" w:rsidR="001454CA" w:rsidRPr="00A32F1B" w:rsidRDefault="001454CA" w:rsidP="00B37871">
            <w:pPr>
              <w:ind w:firstLine="0"/>
              <w:rPr>
                <w:sz w:val="28"/>
                <w:szCs w:val="28"/>
                <w:lang w:val="en-US"/>
              </w:rPr>
            </w:pPr>
            <w:r w:rsidRPr="00A32F1B">
              <w:rPr>
                <w:rFonts w:ascii="Segoe UI Historic" w:hAnsi="Segoe UI Historic" w:cs="Segoe UI Historic"/>
                <w:sz w:val="28"/>
                <w:szCs w:val="28"/>
                <w:lang w:val="en-US"/>
              </w:rPr>
              <w:t>Ⲅ</w:t>
            </w:r>
          </w:p>
        </w:tc>
        <w:tc>
          <w:tcPr>
            <w:tcW w:w="745" w:type="dxa"/>
          </w:tcPr>
          <w:p w14:paraId="31D49C04" w14:textId="77777777" w:rsidR="001454CA" w:rsidRPr="00A32F1B" w:rsidRDefault="001454CA" w:rsidP="00B37871">
            <w:pPr>
              <w:ind w:firstLine="0"/>
              <w:rPr>
                <w:sz w:val="28"/>
                <w:szCs w:val="28"/>
                <w:lang w:val="en-US"/>
              </w:rPr>
            </w:pPr>
            <w:r w:rsidRPr="00A32F1B">
              <w:rPr>
                <w:rFonts w:asciiTheme="majorBidi" w:hAnsiTheme="majorBidi" w:cstheme="majorBidi"/>
                <w:sz w:val="28"/>
                <w:szCs w:val="28"/>
                <w:lang w:val="en-US"/>
              </w:rPr>
              <w:t>G</w:t>
            </w:r>
          </w:p>
        </w:tc>
      </w:tr>
      <w:tr w:rsidR="001454CA" w:rsidRPr="00A32F1B" w14:paraId="43662247" w14:textId="77777777" w:rsidTr="001454CA">
        <w:trPr>
          <w:trHeight w:val="505"/>
          <w:jc w:val="center"/>
        </w:trPr>
        <w:tc>
          <w:tcPr>
            <w:tcW w:w="694" w:type="dxa"/>
          </w:tcPr>
          <w:p w14:paraId="6863DAB6" w14:textId="37554711" w:rsidR="001454CA" w:rsidRPr="00A32F1B" w:rsidRDefault="001454CA" w:rsidP="00B37871">
            <w:pPr>
              <w:ind w:firstLine="0"/>
              <w:rPr>
                <w:sz w:val="28"/>
                <w:szCs w:val="28"/>
                <w:lang w:val="en-US"/>
              </w:rPr>
            </w:pPr>
            <w:r w:rsidRPr="00A32F1B">
              <w:rPr>
                <w:rFonts w:ascii="Segoe UI Historic" w:hAnsi="Segoe UI Historic" w:cs="Segoe UI Historic"/>
                <w:sz w:val="28"/>
                <w:szCs w:val="28"/>
                <w:lang w:val="en-US"/>
              </w:rPr>
              <w:t>Ⲇ</w:t>
            </w:r>
          </w:p>
        </w:tc>
        <w:tc>
          <w:tcPr>
            <w:tcW w:w="745" w:type="dxa"/>
          </w:tcPr>
          <w:p w14:paraId="59CA5D32" w14:textId="77777777" w:rsidR="001454CA" w:rsidRPr="00A32F1B" w:rsidRDefault="001454CA" w:rsidP="00B37871">
            <w:pPr>
              <w:ind w:firstLine="0"/>
              <w:rPr>
                <w:sz w:val="28"/>
                <w:szCs w:val="28"/>
                <w:lang w:val="en-US"/>
              </w:rPr>
            </w:pPr>
            <w:r w:rsidRPr="00A32F1B">
              <w:rPr>
                <w:rFonts w:asciiTheme="majorBidi" w:hAnsiTheme="majorBidi" w:cstheme="majorBidi"/>
                <w:sz w:val="28"/>
                <w:szCs w:val="28"/>
                <w:lang w:val="en-US"/>
              </w:rPr>
              <w:t>D</w:t>
            </w:r>
          </w:p>
        </w:tc>
      </w:tr>
      <w:tr w:rsidR="001454CA" w:rsidRPr="00A32F1B" w14:paraId="68D8FC11" w14:textId="77777777" w:rsidTr="001454CA">
        <w:trPr>
          <w:trHeight w:val="521"/>
          <w:jc w:val="center"/>
        </w:trPr>
        <w:tc>
          <w:tcPr>
            <w:tcW w:w="694" w:type="dxa"/>
          </w:tcPr>
          <w:p w14:paraId="403DD2D6" w14:textId="16A2DF5B"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Ⲉ</w:t>
            </w:r>
          </w:p>
        </w:tc>
        <w:tc>
          <w:tcPr>
            <w:tcW w:w="745" w:type="dxa"/>
          </w:tcPr>
          <w:p w14:paraId="1ECE3BCD"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E</w:t>
            </w:r>
          </w:p>
        </w:tc>
      </w:tr>
      <w:tr w:rsidR="001454CA" w:rsidRPr="00A32F1B" w14:paraId="5982D3F8" w14:textId="77777777" w:rsidTr="001454CA">
        <w:trPr>
          <w:trHeight w:val="521"/>
          <w:jc w:val="center"/>
        </w:trPr>
        <w:tc>
          <w:tcPr>
            <w:tcW w:w="694" w:type="dxa"/>
          </w:tcPr>
          <w:p w14:paraId="674AF4C9" w14:textId="740B830A"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Ⲋ</w:t>
            </w:r>
          </w:p>
        </w:tc>
        <w:tc>
          <w:tcPr>
            <w:tcW w:w="745" w:type="dxa"/>
          </w:tcPr>
          <w:p w14:paraId="419DB057" w14:textId="6A9D10E3" w:rsidR="001454CA" w:rsidRPr="00A32F1B" w:rsidRDefault="001454CA" w:rsidP="001454CA">
            <w:pPr>
              <w:ind w:firstLine="0"/>
              <w:rPr>
                <w:sz w:val="28"/>
                <w:szCs w:val="28"/>
                <w:vertAlign w:val="subscript"/>
                <w:lang w:val="en-US"/>
              </w:rPr>
            </w:pPr>
            <w:r w:rsidRPr="00A32F1B">
              <w:rPr>
                <w:sz w:val="28"/>
                <w:szCs w:val="28"/>
                <w:lang w:val="en-US"/>
              </w:rPr>
              <w:t>S</w:t>
            </w:r>
            <w:r w:rsidRPr="00A32F1B">
              <w:rPr>
                <w:sz w:val="28"/>
                <w:szCs w:val="28"/>
                <w:vertAlign w:val="subscript"/>
                <w:lang w:val="en-US"/>
              </w:rPr>
              <w:t>t</w:t>
            </w:r>
          </w:p>
        </w:tc>
      </w:tr>
      <w:tr w:rsidR="001454CA" w:rsidRPr="00A32F1B" w14:paraId="00F89E40" w14:textId="77777777" w:rsidTr="001454CA">
        <w:trPr>
          <w:trHeight w:val="521"/>
          <w:jc w:val="center"/>
        </w:trPr>
        <w:tc>
          <w:tcPr>
            <w:tcW w:w="694" w:type="dxa"/>
          </w:tcPr>
          <w:p w14:paraId="0B0AAD2F" w14:textId="78CAE0AE"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Ⲍ</w:t>
            </w:r>
          </w:p>
        </w:tc>
        <w:tc>
          <w:tcPr>
            <w:tcW w:w="745" w:type="dxa"/>
          </w:tcPr>
          <w:p w14:paraId="33A2A09E" w14:textId="2046A73A" w:rsidR="001454CA" w:rsidRPr="00A32F1B" w:rsidRDefault="001454CA" w:rsidP="001454CA">
            <w:pPr>
              <w:ind w:firstLine="0"/>
              <w:rPr>
                <w:sz w:val="28"/>
                <w:szCs w:val="28"/>
                <w:lang w:val="en-US"/>
              </w:rPr>
            </w:pPr>
            <w:r w:rsidRPr="00A32F1B">
              <w:rPr>
                <w:sz w:val="28"/>
                <w:szCs w:val="28"/>
                <w:lang w:val="en-US"/>
              </w:rPr>
              <w:t>Z</w:t>
            </w:r>
          </w:p>
        </w:tc>
      </w:tr>
      <w:tr w:rsidR="001454CA" w:rsidRPr="00A32F1B" w14:paraId="45319AEC" w14:textId="77777777" w:rsidTr="001454CA">
        <w:trPr>
          <w:trHeight w:val="521"/>
          <w:jc w:val="center"/>
        </w:trPr>
        <w:tc>
          <w:tcPr>
            <w:tcW w:w="694" w:type="dxa"/>
          </w:tcPr>
          <w:p w14:paraId="5CDBB05A" w14:textId="70CC4307"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Ⲏ</w:t>
            </w:r>
          </w:p>
        </w:tc>
        <w:tc>
          <w:tcPr>
            <w:tcW w:w="745" w:type="dxa"/>
          </w:tcPr>
          <w:p w14:paraId="730941E3" w14:textId="6E7BD92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Ē</w:t>
            </w:r>
          </w:p>
        </w:tc>
      </w:tr>
      <w:tr w:rsidR="001454CA" w:rsidRPr="00A32F1B" w14:paraId="0CB4F686" w14:textId="77777777" w:rsidTr="001454CA">
        <w:trPr>
          <w:trHeight w:val="521"/>
          <w:jc w:val="center"/>
        </w:trPr>
        <w:tc>
          <w:tcPr>
            <w:tcW w:w="694" w:type="dxa"/>
          </w:tcPr>
          <w:p w14:paraId="51374B60" w14:textId="540B8A15" w:rsidR="001454CA" w:rsidRPr="00A32F1B" w:rsidRDefault="001454CA" w:rsidP="001454CA">
            <w:pPr>
              <w:ind w:firstLine="0"/>
              <w:rPr>
                <w:rFonts w:ascii="Segoe UI Historic" w:hAnsi="Segoe UI Historic" w:cs="Segoe UI Historic"/>
                <w:sz w:val="28"/>
                <w:szCs w:val="28"/>
                <w:lang w:val="en-US"/>
              </w:rPr>
            </w:pPr>
            <w:r w:rsidRPr="00A32F1B">
              <w:rPr>
                <w:rFonts w:ascii="Segoe UI Historic" w:hAnsi="Segoe UI Historic" w:cs="Segoe UI Historic"/>
                <w:sz w:val="28"/>
                <w:szCs w:val="28"/>
                <w:lang w:val="en-US"/>
              </w:rPr>
              <w:t>Ⲑ</w:t>
            </w:r>
          </w:p>
        </w:tc>
        <w:tc>
          <w:tcPr>
            <w:tcW w:w="745" w:type="dxa"/>
          </w:tcPr>
          <w:p w14:paraId="515388D3" w14:textId="469D3712"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TH</w:t>
            </w:r>
          </w:p>
        </w:tc>
      </w:tr>
      <w:tr w:rsidR="001454CA" w:rsidRPr="00A32F1B" w14:paraId="7FD63394" w14:textId="77777777" w:rsidTr="001454CA">
        <w:trPr>
          <w:trHeight w:val="521"/>
          <w:jc w:val="center"/>
        </w:trPr>
        <w:tc>
          <w:tcPr>
            <w:tcW w:w="694" w:type="dxa"/>
          </w:tcPr>
          <w:p w14:paraId="1B113A83" w14:textId="634BEA41"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Ⲓ</w:t>
            </w:r>
          </w:p>
        </w:tc>
        <w:tc>
          <w:tcPr>
            <w:tcW w:w="745" w:type="dxa"/>
          </w:tcPr>
          <w:p w14:paraId="7EFE60D8"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I</w:t>
            </w:r>
          </w:p>
        </w:tc>
      </w:tr>
      <w:tr w:rsidR="001454CA" w:rsidRPr="00A32F1B" w14:paraId="7441C0B5" w14:textId="77777777" w:rsidTr="001454CA">
        <w:trPr>
          <w:trHeight w:val="521"/>
          <w:jc w:val="center"/>
        </w:trPr>
        <w:tc>
          <w:tcPr>
            <w:tcW w:w="694" w:type="dxa"/>
          </w:tcPr>
          <w:p w14:paraId="5785B15F" w14:textId="7053FA9C"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Ⲕ</w:t>
            </w:r>
          </w:p>
        </w:tc>
        <w:tc>
          <w:tcPr>
            <w:tcW w:w="745" w:type="dxa"/>
          </w:tcPr>
          <w:p w14:paraId="3EF2660C"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K</w:t>
            </w:r>
          </w:p>
        </w:tc>
      </w:tr>
      <w:tr w:rsidR="001454CA" w:rsidRPr="00A32F1B" w14:paraId="0111CA55" w14:textId="77777777" w:rsidTr="001454CA">
        <w:trPr>
          <w:trHeight w:val="505"/>
          <w:jc w:val="center"/>
        </w:trPr>
        <w:tc>
          <w:tcPr>
            <w:tcW w:w="694" w:type="dxa"/>
          </w:tcPr>
          <w:p w14:paraId="198AE49B" w14:textId="1C5B4BE1"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Ⲗ</w:t>
            </w:r>
          </w:p>
        </w:tc>
        <w:tc>
          <w:tcPr>
            <w:tcW w:w="745" w:type="dxa"/>
          </w:tcPr>
          <w:p w14:paraId="0070C3BD"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L</w:t>
            </w:r>
          </w:p>
        </w:tc>
      </w:tr>
      <w:tr w:rsidR="001454CA" w:rsidRPr="00A32F1B" w14:paraId="7E096788" w14:textId="77777777" w:rsidTr="001454CA">
        <w:trPr>
          <w:trHeight w:val="521"/>
          <w:jc w:val="center"/>
        </w:trPr>
        <w:tc>
          <w:tcPr>
            <w:tcW w:w="694" w:type="dxa"/>
          </w:tcPr>
          <w:p w14:paraId="228BD9DA" w14:textId="0AD94946"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Ⲙ</w:t>
            </w:r>
          </w:p>
        </w:tc>
        <w:tc>
          <w:tcPr>
            <w:tcW w:w="745" w:type="dxa"/>
          </w:tcPr>
          <w:p w14:paraId="6A313D4B"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M</w:t>
            </w:r>
          </w:p>
        </w:tc>
      </w:tr>
      <w:tr w:rsidR="001454CA" w:rsidRPr="00A32F1B" w14:paraId="31E42995" w14:textId="77777777" w:rsidTr="001454CA">
        <w:trPr>
          <w:trHeight w:val="521"/>
          <w:jc w:val="center"/>
        </w:trPr>
        <w:tc>
          <w:tcPr>
            <w:tcW w:w="694" w:type="dxa"/>
          </w:tcPr>
          <w:p w14:paraId="49D5C989" w14:textId="6CB9705B"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Ⲛ</w:t>
            </w:r>
          </w:p>
        </w:tc>
        <w:tc>
          <w:tcPr>
            <w:tcW w:w="745" w:type="dxa"/>
          </w:tcPr>
          <w:p w14:paraId="29A173CC"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N</w:t>
            </w:r>
          </w:p>
        </w:tc>
      </w:tr>
      <w:tr w:rsidR="001454CA" w:rsidRPr="00A32F1B" w14:paraId="5D75E900" w14:textId="77777777" w:rsidTr="001454CA">
        <w:trPr>
          <w:trHeight w:val="521"/>
          <w:jc w:val="center"/>
        </w:trPr>
        <w:tc>
          <w:tcPr>
            <w:tcW w:w="694" w:type="dxa"/>
          </w:tcPr>
          <w:p w14:paraId="191C161E" w14:textId="1FA2BDAA"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Ⲝ</w:t>
            </w:r>
          </w:p>
        </w:tc>
        <w:tc>
          <w:tcPr>
            <w:tcW w:w="745" w:type="dxa"/>
          </w:tcPr>
          <w:p w14:paraId="65894055" w14:textId="1FEC6CF2" w:rsidR="001454CA" w:rsidRPr="00A32F1B" w:rsidRDefault="00203F53" w:rsidP="001454CA">
            <w:pPr>
              <w:ind w:firstLine="0"/>
              <w:rPr>
                <w:sz w:val="28"/>
                <w:szCs w:val="28"/>
                <w:lang w:val="en-US"/>
              </w:rPr>
            </w:pPr>
            <w:r w:rsidRPr="00A32F1B">
              <w:rPr>
                <w:sz w:val="28"/>
                <w:szCs w:val="28"/>
                <w:lang w:val="en-US"/>
              </w:rPr>
              <w:t>X</w:t>
            </w:r>
          </w:p>
        </w:tc>
      </w:tr>
      <w:tr w:rsidR="001454CA" w:rsidRPr="00A32F1B" w14:paraId="779E9EAA" w14:textId="77777777" w:rsidTr="001454CA">
        <w:trPr>
          <w:trHeight w:val="521"/>
          <w:jc w:val="center"/>
        </w:trPr>
        <w:tc>
          <w:tcPr>
            <w:tcW w:w="694" w:type="dxa"/>
          </w:tcPr>
          <w:p w14:paraId="0F7882F7" w14:textId="575D0FBF"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Ⲟ</w:t>
            </w:r>
          </w:p>
        </w:tc>
        <w:tc>
          <w:tcPr>
            <w:tcW w:w="745" w:type="dxa"/>
          </w:tcPr>
          <w:p w14:paraId="1D44E8AB"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O</w:t>
            </w:r>
          </w:p>
        </w:tc>
      </w:tr>
      <w:tr w:rsidR="001454CA" w:rsidRPr="00A32F1B" w14:paraId="082C85C7" w14:textId="77777777" w:rsidTr="001454CA">
        <w:trPr>
          <w:trHeight w:val="521"/>
          <w:jc w:val="center"/>
        </w:trPr>
        <w:tc>
          <w:tcPr>
            <w:tcW w:w="694" w:type="dxa"/>
          </w:tcPr>
          <w:p w14:paraId="1B39E8F4" w14:textId="52CA7BDF"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Ⲡ</w:t>
            </w:r>
          </w:p>
        </w:tc>
        <w:tc>
          <w:tcPr>
            <w:tcW w:w="745" w:type="dxa"/>
          </w:tcPr>
          <w:p w14:paraId="17AAA299"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P</w:t>
            </w:r>
          </w:p>
        </w:tc>
      </w:tr>
      <w:tr w:rsidR="001454CA" w:rsidRPr="00A32F1B" w14:paraId="382D27E4" w14:textId="77777777" w:rsidTr="001454CA">
        <w:trPr>
          <w:trHeight w:val="521"/>
          <w:jc w:val="center"/>
        </w:trPr>
        <w:tc>
          <w:tcPr>
            <w:tcW w:w="694" w:type="dxa"/>
          </w:tcPr>
          <w:p w14:paraId="2F14CDA1" w14:textId="4852E358"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Ⲣ</w:t>
            </w:r>
          </w:p>
        </w:tc>
        <w:tc>
          <w:tcPr>
            <w:tcW w:w="745" w:type="dxa"/>
          </w:tcPr>
          <w:p w14:paraId="4C216504"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R</w:t>
            </w:r>
          </w:p>
        </w:tc>
      </w:tr>
      <w:tr w:rsidR="001454CA" w:rsidRPr="00A32F1B" w14:paraId="3F8992CC" w14:textId="77777777" w:rsidTr="001454CA">
        <w:trPr>
          <w:trHeight w:val="505"/>
          <w:jc w:val="center"/>
        </w:trPr>
        <w:tc>
          <w:tcPr>
            <w:tcW w:w="694" w:type="dxa"/>
          </w:tcPr>
          <w:p w14:paraId="37601CB6" w14:textId="69B80566"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Ⲥ</w:t>
            </w:r>
          </w:p>
        </w:tc>
        <w:tc>
          <w:tcPr>
            <w:tcW w:w="745" w:type="dxa"/>
          </w:tcPr>
          <w:p w14:paraId="7D3A4582"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S</w:t>
            </w:r>
          </w:p>
        </w:tc>
      </w:tr>
      <w:tr w:rsidR="001454CA" w:rsidRPr="00A32F1B" w14:paraId="08938AFD" w14:textId="77777777" w:rsidTr="001454CA">
        <w:trPr>
          <w:trHeight w:val="521"/>
          <w:jc w:val="center"/>
        </w:trPr>
        <w:tc>
          <w:tcPr>
            <w:tcW w:w="694" w:type="dxa"/>
          </w:tcPr>
          <w:p w14:paraId="1BD17EA5" w14:textId="3BF7259B"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Ⲧ</w:t>
            </w:r>
          </w:p>
        </w:tc>
        <w:tc>
          <w:tcPr>
            <w:tcW w:w="745" w:type="dxa"/>
          </w:tcPr>
          <w:p w14:paraId="4EF42DF2"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T</w:t>
            </w:r>
          </w:p>
        </w:tc>
      </w:tr>
      <w:tr w:rsidR="001454CA" w:rsidRPr="00A32F1B" w14:paraId="1D64EC1E" w14:textId="77777777" w:rsidTr="001454CA">
        <w:trPr>
          <w:trHeight w:val="521"/>
          <w:jc w:val="center"/>
        </w:trPr>
        <w:tc>
          <w:tcPr>
            <w:tcW w:w="694" w:type="dxa"/>
          </w:tcPr>
          <w:p w14:paraId="1F47B8DF" w14:textId="358284A2"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Ⲩ</w:t>
            </w:r>
          </w:p>
        </w:tc>
        <w:tc>
          <w:tcPr>
            <w:tcW w:w="745" w:type="dxa"/>
          </w:tcPr>
          <w:p w14:paraId="1D8BF5E4"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U</w:t>
            </w:r>
          </w:p>
        </w:tc>
      </w:tr>
      <w:tr w:rsidR="001454CA" w:rsidRPr="00A32F1B" w14:paraId="20DE1ACD" w14:textId="77777777" w:rsidTr="001454CA">
        <w:trPr>
          <w:trHeight w:val="521"/>
          <w:jc w:val="center"/>
        </w:trPr>
        <w:tc>
          <w:tcPr>
            <w:tcW w:w="694" w:type="dxa"/>
          </w:tcPr>
          <w:p w14:paraId="43C30EE5" w14:textId="20C55DF2"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Ⲫ</w:t>
            </w:r>
          </w:p>
        </w:tc>
        <w:tc>
          <w:tcPr>
            <w:tcW w:w="745" w:type="dxa"/>
          </w:tcPr>
          <w:p w14:paraId="2D1F326C"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PH</w:t>
            </w:r>
          </w:p>
        </w:tc>
      </w:tr>
      <w:tr w:rsidR="001454CA" w:rsidRPr="00A32F1B" w14:paraId="627E9146" w14:textId="77777777" w:rsidTr="001454CA">
        <w:trPr>
          <w:trHeight w:val="521"/>
          <w:jc w:val="center"/>
        </w:trPr>
        <w:tc>
          <w:tcPr>
            <w:tcW w:w="694" w:type="dxa"/>
          </w:tcPr>
          <w:p w14:paraId="03B6DB7B" w14:textId="0181EFDE" w:rsidR="001454CA" w:rsidRPr="00A32F1B" w:rsidRDefault="001454CA" w:rsidP="001454CA">
            <w:pPr>
              <w:ind w:firstLine="0"/>
              <w:rPr>
                <w:sz w:val="28"/>
                <w:szCs w:val="28"/>
                <w:lang w:val="en-US"/>
              </w:rPr>
            </w:pPr>
            <w:r w:rsidRPr="00A32F1B">
              <w:rPr>
                <w:rFonts w:ascii="Segoe UI Historic" w:hAnsi="Segoe UI Historic" w:cs="Segoe UI Historic"/>
                <w:sz w:val="28"/>
                <w:szCs w:val="28"/>
                <w:lang w:val="en-US"/>
              </w:rPr>
              <w:t>Ⲭ</w:t>
            </w:r>
          </w:p>
        </w:tc>
        <w:tc>
          <w:tcPr>
            <w:tcW w:w="745" w:type="dxa"/>
          </w:tcPr>
          <w:p w14:paraId="190EA938" w14:textId="77777777" w:rsidR="001454CA" w:rsidRPr="00A32F1B" w:rsidRDefault="001454CA" w:rsidP="001454CA">
            <w:pPr>
              <w:ind w:firstLine="0"/>
              <w:rPr>
                <w:sz w:val="28"/>
                <w:szCs w:val="28"/>
                <w:lang w:val="en-US"/>
              </w:rPr>
            </w:pPr>
            <w:r w:rsidRPr="00A32F1B">
              <w:rPr>
                <w:rFonts w:asciiTheme="majorBidi" w:hAnsiTheme="majorBidi" w:cstheme="majorBidi"/>
                <w:sz w:val="28"/>
                <w:szCs w:val="28"/>
                <w:lang w:val="en-US"/>
              </w:rPr>
              <w:t>KH</w:t>
            </w:r>
          </w:p>
        </w:tc>
      </w:tr>
      <w:tr w:rsidR="001454CA" w:rsidRPr="00A32F1B" w14:paraId="51A1430E" w14:textId="77777777" w:rsidTr="001454CA">
        <w:trPr>
          <w:trHeight w:val="521"/>
          <w:jc w:val="center"/>
        </w:trPr>
        <w:tc>
          <w:tcPr>
            <w:tcW w:w="694" w:type="dxa"/>
          </w:tcPr>
          <w:p w14:paraId="2C9812A8" w14:textId="575A1BD6" w:rsidR="001454CA" w:rsidRPr="00A32F1B" w:rsidRDefault="001454CA" w:rsidP="001454CA">
            <w:pPr>
              <w:ind w:firstLine="0"/>
              <w:rPr>
                <w:rFonts w:cs="Times New Roman"/>
                <w:sz w:val="28"/>
                <w:szCs w:val="28"/>
                <w:rtl/>
                <w:lang w:val="en-US"/>
              </w:rPr>
            </w:pPr>
            <w:r w:rsidRPr="00A32F1B">
              <w:rPr>
                <w:rFonts w:ascii="Segoe UI Historic" w:hAnsi="Segoe UI Historic" w:cs="Segoe UI Historic"/>
                <w:sz w:val="28"/>
                <w:szCs w:val="28"/>
                <w:lang w:val="en-US"/>
              </w:rPr>
              <w:lastRenderedPageBreak/>
              <w:t>Ⲯ</w:t>
            </w:r>
          </w:p>
        </w:tc>
        <w:tc>
          <w:tcPr>
            <w:tcW w:w="745" w:type="dxa"/>
          </w:tcPr>
          <w:p w14:paraId="611083E8" w14:textId="77777777" w:rsidR="001454CA" w:rsidRPr="00A32F1B" w:rsidRDefault="001454CA" w:rsidP="001454CA">
            <w:pPr>
              <w:ind w:firstLine="0"/>
              <w:rPr>
                <w:rFonts w:cs="Times New Roman"/>
                <w:sz w:val="28"/>
                <w:szCs w:val="28"/>
                <w:lang w:val="en-US"/>
              </w:rPr>
            </w:pPr>
            <w:r w:rsidRPr="00A32F1B">
              <w:rPr>
                <w:rFonts w:asciiTheme="majorBidi" w:hAnsiTheme="majorBidi" w:cstheme="majorBidi"/>
                <w:sz w:val="28"/>
                <w:szCs w:val="28"/>
                <w:lang w:val="en-US"/>
              </w:rPr>
              <w:t>PS</w:t>
            </w:r>
          </w:p>
        </w:tc>
      </w:tr>
      <w:tr w:rsidR="001454CA" w:rsidRPr="00A32F1B" w14:paraId="14B89790" w14:textId="77777777" w:rsidTr="001454CA">
        <w:trPr>
          <w:trHeight w:val="521"/>
          <w:jc w:val="center"/>
        </w:trPr>
        <w:tc>
          <w:tcPr>
            <w:tcW w:w="694" w:type="dxa"/>
          </w:tcPr>
          <w:p w14:paraId="5F11B9C7" w14:textId="55FA597F" w:rsidR="001454CA" w:rsidRPr="00A32F1B" w:rsidRDefault="001454CA" w:rsidP="001454CA">
            <w:pPr>
              <w:ind w:firstLine="0"/>
              <w:rPr>
                <w:rFonts w:asciiTheme="majorBidi" w:hAnsiTheme="majorBidi" w:cstheme="majorBidi"/>
                <w:sz w:val="28"/>
                <w:szCs w:val="28"/>
                <w:lang w:val="en-US"/>
              </w:rPr>
            </w:pPr>
            <w:r w:rsidRPr="00A32F1B">
              <w:rPr>
                <w:rFonts w:ascii="Segoe UI Historic" w:hAnsi="Segoe UI Historic" w:cs="Segoe UI Historic"/>
                <w:sz w:val="28"/>
                <w:szCs w:val="28"/>
                <w:lang w:val="en-US"/>
              </w:rPr>
              <w:t>Ⲱ</w:t>
            </w:r>
          </w:p>
        </w:tc>
        <w:tc>
          <w:tcPr>
            <w:tcW w:w="745" w:type="dxa"/>
          </w:tcPr>
          <w:p w14:paraId="4610FCA1" w14:textId="1E6E78EA"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Ō</w:t>
            </w:r>
          </w:p>
        </w:tc>
      </w:tr>
      <w:tr w:rsidR="001454CA" w:rsidRPr="00A32F1B" w14:paraId="2FDE3B67" w14:textId="77777777" w:rsidTr="001454CA">
        <w:trPr>
          <w:trHeight w:val="521"/>
          <w:jc w:val="center"/>
        </w:trPr>
        <w:tc>
          <w:tcPr>
            <w:tcW w:w="694" w:type="dxa"/>
          </w:tcPr>
          <w:p w14:paraId="7103E580" w14:textId="2AAB9176"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Ϣ</w:t>
            </w:r>
          </w:p>
        </w:tc>
        <w:tc>
          <w:tcPr>
            <w:tcW w:w="745" w:type="dxa"/>
          </w:tcPr>
          <w:p w14:paraId="3D88457A" w14:textId="53BBDA42"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SH</w:t>
            </w:r>
          </w:p>
        </w:tc>
      </w:tr>
      <w:tr w:rsidR="001454CA" w:rsidRPr="00A32F1B" w14:paraId="4EF11AB6" w14:textId="77777777" w:rsidTr="001454CA">
        <w:trPr>
          <w:trHeight w:val="521"/>
          <w:jc w:val="center"/>
        </w:trPr>
        <w:tc>
          <w:tcPr>
            <w:tcW w:w="694" w:type="dxa"/>
          </w:tcPr>
          <w:p w14:paraId="60186BB9" w14:textId="31CDB937"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Ϥ</w:t>
            </w:r>
          </w:p>
        </w:tc>
        <w:tc>
          <w:tcPr>
            <w:tcW w:w="745" w:type="dxa"/>
          </w:tcPr>
          <w:p w14:paraId="23E979C4" w14:textId="3C47494C"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F</w:t>
            </w:r>
          </w:p>
        </w:tc>
      </w:tr>
      <w:tr w:rsidR="001454CA" w:rsidRPr="00A32F1B" w14:paraId="03BBA62E" w14:textId="77777777" w:rsidTr="001454CA">
        <w:trPr>
          <w:trHeight w:val="521"/>
          <w:jc w:val="center"/>
        </w:trPr>
        <w:tc>
          <w:tcPr>
            <w:tcW w:w="694" w:type="dxa"/>
          </w:tcPr>
          <w:p w14:paraId="1A89B11C" w14:textId="3960787A"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Ϧ</w:t>
            </w:r>
          </w:p>
        </w:tc>
        <w:tc>
          <w:tcPr>
            <w:tcW w:w="745" w:type="dxa"/>
          </w:tcPr>
          <w:p w14:paraId="2F5C51D2" w14:textId="44FABE95"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X</w:t>
            </w:r>
          </w:p>
        </w:tc>
      </w:tr>
      <w:tr w:rsidR="001454CA" w:rsidRPr="00A32F1B" w14:paraId="57977276" w14:textId="77777777" w:rsidTr="001454CA">
        <w:trPr>
          <w:trHeight w:val="521"/>
          <w:jc w:val="center"/>
        </w:trPr>
        <w:tc>
          <w:tcPr>
            <w:tcW w:w="694" w:type="dxa"/>
          </w:tcPr>
          <w:p w14:paraId="712AC7E2" w14:textId="75D75D53"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Ϩ</w:t>
            </w:r>
          </w:p>
        </w:tc>
        <w:tc>
          <w:tcPr>
            <w:tcW w:w="745" w:type="dxa"/>
          </w:tcPr>
          <w:p w14:paraId="114322B7" w14:textId="6224383B"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H</w:t>
            </w:r>
          </w:p>
        </w:tc>
      </w:tr>
      <w:tr w:rsidR="001454CA" w:rsidRPr="00A32F1B" w14:paraId="47FF12E5" w14:textId="77777777" w:rsidTr="001454CA">
        <w:trPr>
          <w:trHeight w:val="521"/>
          <w:jc w:val="center"/>
        </w:trPr>
        <w:tc>
          <w:tcPr>
            <w:tcW w:w="694" w:type="dxa"/>
          </w:tcPr>
          <w:p w14:paraId="72D26CD8" w14:textId="0ED11946"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Ϫ</w:t>
            </w:r>
          </w:p>
        </w:tc>
        <w:tc>
          <w:tcPr>
            <w:tcW w:w="745" w:type="dxa"/>
          </w:tcPr>
          <w:p w14:paraId="0DA68312" w14:textId="06C34CF4"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J</w:t>
            </w:r>
          </w:p>
        </w:tc>
      </w:tr>
      <w:tr w:rsidR="001454CA" w:rsidRPr="00A32F1B" w14:paraId="15D95B23" w14:textId="77777777" w:rsidTr="001454CA">
        <w:trPr>
          <w:trHeight w:val="521"/>
          <w:jc w:val="center"/>
        </w:trPr>
        <w:tc>
          <w:tcPr>
            <w:tcW w:w="694" w:type="dxa"/>
          </w:tcPr>
          <w:p w14:paraId="108FBF8B" w14:textId="38948D78"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Ϭ</w:t>
            </w:r>
          </w:p>
        </w:tc>
        <w:tc>
          <w:tcPr>
            <w:tcW w:w="745" w:type="dxa"/>
          </w:tcPr>
          <w:p w14:paraId="75B402B9" w14:textId="37B9F7FD"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TSH</w:t>
            </w:r>
          </w:p>
        </w:tc>
      </w:tr>
      <w:tr w:rsidR="001454CA" w:rsidRPr="00A32F1B" w14:paraId="4032B856" w14:textId="77777777" w:rsidTr="001454CA">
        <w:trPr>
          <w:trHeight w:val="521"/>
          <w:jc w:val="center"/>
        </w:trPr>
        <w:tc>
          <w:tcPr>
            <w:tcW w:w="694" w:type="dxa"/>
          </w:tcPr>
          <w:p w14:paraId="34ABB0C8" w14:textId="5D7D1F34"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Ϯ</w:t>
            </w:r>
          </w:p>
        </w:tc>
        <w:tc>
          <w:tcPr>
            <w:tcW w:w="745" w:type="dxa"/>
          </w:tcPr>
          <w:p w14:paraId="39A9BFE0" w14:textId="6A40612E" w:rsidR="001454CA" w:rsidRPr="00A32F1B" w:rsidRDefault="001454CA" w:rsidP="001454CA">
            <w:pPr>
              <w:ind w:firstLine="0"/>
              <w:rPr>
                <w:rFonts w:asciiTheme="majorBidi" w:hAnsiTheme="majorBidi" w:cstheme="majorBidi"/>
                <w:sz w:val="28"/>
                <w:szCs w:val="28"/>
                <w:lang w:val="en-US"/>
              </w:rPr>
            </w:pPr>
            <w:r w:rsidRPr="00A32F1B">
              <w:rPr>
                <w:rFonts w:asciiTheme="majorBidi" w:hAnsiTheme="majorBidi" w:cstheme="majorBidi"/>
                <w:sz w:val="28"/>
                <w:szCs w:val="28"/>
                <w:lang w:val="en-US"/>
              </w:rPr>
              <w:t>TI</w:t>
            </w:r>
          </w:p>
        </w:tc>
      </w:tr>
    </w:tbl>
    <w:p w14:paraId="77DDE018" w14:textId="30F221AD" w:rsidR="00BC6F95" w:rsidRPr="00A32F1B" w:rsidRDefault="00BC6F95" w:rsidP="001454CA">
      <w:pPr>
        <w:rPr>
          <w:lang w:val="en-US"/>
        </w:rPr>
      </w:pPr>
      <w:r w:rsidRPr="00A32F1B">
        <w:rPr>
          <w:lang w:val="en-US"/>
        </w:rPr>
        <w:br w:type="page"/>
      </w:r>
    </w:p>
    <w:p w14:paraId="5A6CE231" w14:textId="77777777" w:rsidR="00B37871" w:rsidRPr="00A32F1B" w:rsidRDefault="00B37871" w:rsidP="00B37871">
      <w:pPr>
        <w:pStyle w:val="Nadpis1"/>
        <w:rPr>
          <w:lang w:val="en-US"/>
        </w:rPr>
      </w:pPr>
      <w:bookmarkStart w:id="19" w:name="_Toc70950050"/>
      <w:r w:rsidRPr="00A32F1B">
        <w:rPr>
          <w:lang w:val="en-US"/>
        </w:rPr>
        <w:lastRenderedPageBreak/>
        <w:t>Bibliography</w:t>
      </w:r>
      <w:bookmarkEnd w:id="19"/>
    </w:p>
    <w:p w14:paraId="1E2E5DC6" w14:textId="6E53D911" w:rsidR="00B37871" w:rsidRPr="00A32F1B" w:rsidRDefault="00B37871" w:rsidP="00B37871">
      <w:pPr>
        <w:pStyle w:val="Bibliografie1"/>
      </w:pPr>
      <w:r w:rsidRPr="00A32F1B">
        <w:t xml:space="preserve">Africa, Thomas W. “Thomas More and the Spartan Mirage.” </w:t>
      </w:r>
      <w:r w:rsidRPr="00A32F1B">
        <w:rPr>
          <w:i/>
          <w:iCs/>
        </w:rPr>
        <w:t>Historical Reflections / Réflexions Historiques</w:t>
      </w:r>
      <w:r w:rsidRPr="00A32F1B">
        <w:t> 6,</w:t>
      </w:r>
      <w:r w:rsidR="002C09D1" w:rsidRPr="00A32F1B">
        <w:t> </w:t>
      </w:r>
      <w:r w:rsidRPr="00A32F1B">
        <w:t>no.</w:t>
      </w:r>
      <w:r w:rsidR="002C09D1" w:rsidRPr="00A32F1B">
        <w:t> </w:t>
      </w:r>
      <w:r w:rsidRPr="00A32F1B">
        <w:t>2</w:t>
      </w:r>
      <w:r w:rsidR="002C09D1" w:rsidRPr="00A32F1B">
        <w:t> </w:t>
      </w:r>
      <w:r w:rsidRPr="00A32F1B">
        <w:t>(1979):</w:t>
      </w:r>
      <w:r w:rsidR="002C09D1" w:rsidRPr="00A32F1B">
        <w:t> </w:t>
      </w:r>
      <w:r w:rsidRPr="00A32F1B">
        <w:t>343-352.</w:t>
      </w:r>
      <w:r w:rsidR="002C09D1" w:rsidRPr="00A32F1B">
        <w:t> </w:t>
      </w:r>
      <w:r w:rsidRPr="00A32F1B">
        <w:t>Accessed</w:t>
      </w:r>
      <w:r w:rsidR="002C09D1" w:rsidRPr="00A32F1B">
        <w:t> </w:t>
      </w:r>
      <w:r w:rsidRPr="00A32F1B">
        <w:t>May</w:t>
      </w:r>
      <w:r w:rsidR="002C09D1" w:rsidRPr="00A32F1B">
        <w:t> </w:t>
      </w:r>
      <w:r w:rsidRPr="00A32F1B">
        <w:t>5,</w:t>
      </w:r>
      <w:r w:rsidR="002C09D1" w:rsidRPr="00A32F1B">
        <w:t> </w:t>
      </w:r>
      <w:r w:rsidRPr="00A32F1B">
        <w:t xml:space="preserve">2021. </w:t>
      </w:r>
      <w:hyperlink r:id="rId9" w:history="1">
        <w:r w:rsidRPr="00A32F1B">
          <w:rPr>
            <w:rStyle w:val="Hypertextovodkaz"/>
          </w:rPr>
          <w:t>http://www.jstor.org/stable/41298725</w:t>
        </w:r>
      </w:hyperlink>
      <w:r w:rsidRPr="00A32F1B">
        <w:t xml:space="preserve">. </w:t>
      </w:r>
    </w:p>
    <w:p w14:paraId="29E82144" w14:textId="77777777" w:rsidR="00F4279D" w:rsidRPr="00A32F1B" w:rsidRDefault="00F4279D" w:rsidP="00F4279D">
      <w:pPr>
        <w:pStyle w:val="Bibliografie1"/>
      </w:pPr>
      <w:bookmarkStart w:id="20" w:name="_Hlk70768200"/>
      <w:proofErr w:type="spellStart"/>
      <w:r w:rsidRPr="00A32F1B">
        <w:t>Assmann</w:t>
      </w:r>
      <w:proofErr w:type="spellEnd"/>
      <w:r w:rsidRPr="00A32F1B">
        <w:t xml:space="preserve">, Jan. “Translating Gods: Religion as a Factor of Cultural (Un)Translatability.” In </w:t>
      </w:r>
      <w:proofErr w:type="gramStart"/>
      <w:r w:rsidRPr="00A32F1B">
        <w:rPr>
          <w:i/>
          <w:iCs/>
        </w:rPr>
        <w:t>The</w:t>
      </w:r>
      <w:proofErr w:type="gramEnd"/>
      <w:r w:rsidRPr="00A32F1B">
        <w:rPr>
          <w:i/>
          <w:iCs/>
        </w:rPr>
        <w:t xml:space="preserve"> Translatability of Cultures: Figurations of the Space Between</w:t>
      </w:r>
      <w:r w:rsidRPr="00A32F1B">
        <w:t xml:space="preserve">. Edited by Sanford </w:t>
      </w:r>
      <w:proofErr w:type="spellStart"/>
      <w:r w:rsidRPr="00A32F1B">
        <w:t>Budick</w:t>
      </w:r>
      <w:proofErr w:type="spellEnd"/>
      <w:r w:rsidRPr="00A32F1B">
        <w:t xml:space="preserve"> and Wolfgang </w:t>
      </w:r>
      <w:proofErr w:type="spellStart"/>
      <w:r w:rsidRPr="00A32F1B">
        <w:t>Iser</w:t>
      </w:r>
      <w:proofErr w:type="spellEnd"/>
      <w:r w:rsidRPr="00A32F1B">
        <w:t>, 25-36. Stanford: Stanford University Press, 1996.</w:t>
      </w:r>
    </w:p>
    <w:p w14:paraId="73D044F3" w14:textId="77777777" w:rsidR="00B37871" w:rsidRPr="00A32F1B" w:rsidRDefault="00B37871" w:rsidP="00B37871">
      <w:pPr>
        <w:pStyle w:val="Bibliografie1"/>
      </w:pPr>
      <w:proofErr w:type="spellStart"/>
      <w:r w:rsidRPr="00A32F1B">
        <w:t>Altınoluk</w:t>
      </w:r>
      <w:proofErr w:type="spellEnd"/>
      <w:r w:rsidRPr="00A32F1B">
        <w:t xml:space="preserve">, </w:t>
      </w:r>
      <w:proofErr w:type="spellStart"/>
      <w:r w:rsidRPr="00A32F1B">
        <w:t>Sencan</w:t>
      </w:r>
      <w:proofErr w:type="spellEnd"/>
      <w:r w:rsidRPr="00A32F1B">
        <w:t xml:space="preserve"> and </w:t>
      </w:r>
      <w:proofErr w:type="spellStart"/>
      <w:r w:rsidRPr="00A32F1B">
        <w:t>Nilüfer</w:t>
      </w:r>
      <w:proofErr w:type="spellEnd"/>
      <w:r w:rsidRPr="00A32F1B">
        <w:t xml:space="preserve"> </w:t>
      </w:r>
      <w:proofErr w:type="spellStart"/>
      <w:r w:rsidRPr="00A32F1B">
        <w:t>Atakan</w:t>
      </w:r>
      <w:proofErr w:type="spellEnd"/>
      <w:r w:rsidRPr="00A32F1B">
        <w:t>. “</w:t>
      </w:r>
      <w:proofErr w:type="spellStart"/>
      <w:r w:rsidRPr="00A32F1B">
        <w:t>Abrasax</w:t>
      </w:r>
      <w:proofErr w:type="spellEnd"/>
      <w:r w:rsidRPr="00A32F1B">
        <w:t xml:space="preserve">: A Magical Gem in the Istanbul Archaeological Museums.” </w:t>
      </w:r>
      <w:r w:rsidRPr="00A32F1B">
        <w:rPr>
          <w:i/>
          <w:iCs/>
        </w:rPr>
        <w:t>Anatolia Antiqua</w:t>
      </w:r>
      <w:r w:rsidRPr="00A32F1B">
        <w:t xml:space="preserve"> XXII (2014): 219-223, June 30, 2018. Accessed May 5, 2021. </w:t>
      </w:r>
      <w:hyperlink r:id="rId10" w:history="1">
        <w:r w:rsidRPr="00A32F1B">
          <w:rPr>
            <w:rStyle w:val="Hypertextovodkaz"/>
          </w:rPr>
          <w:t>https://doi.org/10.4000/anatoliaantiqua.303</w:t>
        </w:r>
      </w:hyperlink>
      <w:r w:rsidRPr="00A32F1B">
        <w:t>.</w:t>
      </w:r>
      <w:bookmarkEnd w:id="20"/>
      <w:r w:rsidRPr="00A32F1B">
        <w:t xml:space="preserve"> </w:t>
      </w:r>
    </w:p>
    <w:p w14:paraId="3E7CA6F3" w14:textId="77777777" w:rsidR="00B37871" w:rsidRPr="00A32F1B" w:rsidRDefault="00B37871" w:rsidP="00B37871">
      <w:pPr>
        <w:pStyle w:val="Bibliografie1"/>
      </w:pPr>
      <w:proofErr w:type="spellStart"/>
      <w:r w:rsidRPr="00A32F1B">
        <w:t>Audollent</w:t>
      </w:r>
      <w:proofErr w:type="spellEnd"/>
      <w:r w:rsidRPr="00A32F1B">
        <w:t xml:space="preserve">, Auguste. </w:t>
      </w:r>
      <w:proofErr w:type="spellStart"/>
      <w:r w:rsidRPr="00A32F1B">
        <w:rPr>
          <w:i/>
          <w:iCs/>
        </w:rPr>
        <w:t>Defixionum</w:t>
      </w:r>
      <w:proofErr w:type="spellEnd"/>
      <w:r w:rsidRPr="00A32F1B">
        <w:rPr>
          <w:i/>
          <w:iCs/>
        </w:rPr>
        <w:t xml:space="preserve"> </w:t>
      </w:r>
      <w:proofErr w:type="spellStart"/>
      <w:r w:rsidRPr="00A32F1B">
        <w:rPr>
          <w:i/>
          <w:iCs/>
        </w:rPr>
        <w:t>Tabellae</w:t>
      </w:r>
      <w:proofErr w:type="spellEnd"/>
      <w:r w:rsidRPr="00A32F1B">
        <w:rPr>
          <w:i/>
          <w:iCs/>
        </w:rPr>
        <w:t xml:space="preserve"> </w:t>
      </w:r>
      <w:proofErr w:type="spellStart"/>
      <w:r w:rsidRPr="00A32F1B">
        <w:rPr>
          <w:i/>
          <w:iCs/>
        </w:rPr>
        <w:t>Quotquot</w:t>
      </w:r>
      <w:proofErr w:type="spellEnd"/>
      <w:r w:rsidRPr="00A32F1B">
        <w:rPr>
          <w:i/>
          <w:iCs/>
        </w:rPr>
        <w:t xml:space="preserve"> </w:t>
      </w:r>
      <w:proofErr w:type="spellStart"/>
      <w:r w:rsidRPr="00A32F1B">
        <w:rPr>
          <w:i/>
          <w:iCs/>
        </w:rPr>
        <w:t>Innotuerunt</w:t>
      </w:r>
      <w:proofErr w:type="spellEnd"/>
      <w:r w:rsidRPr="00A32F1B">
        <w:rPr>
          <w:i/>
          <w:iCs/>
        </w:rPr>
        <w:t xml:space="preserve">: Tam in </w:t>
      </w:r>
      <w:proofErr w:type="spellStart"/>
      <w:r w:rsidRPr="00A32F1B">
        <w:rPr>
          <w:i/>
          <w:iCs/>
        </w:rPr>
        <w:t>Graecis</w:t>
      </w:r>
      <w:proofErr w:type="spellEnd"/>
      <w:r w:rsidRPr="00A32F1B">
        <w:rPr>
          <w:i/>
          <w:iCs/>
        </w:rPr>
        <w:t xml:space="preserve"> Orientis </w:t>
      </w:r>
      <w:proofErr w:type="spellStart"/>
      <w:r w:rsidRPr="00A32F1B">
        <w:rPr>
          <w:i/>
          <w:iCs/>
        </w:rPr>
        <w:t>Quam</w:t>
      </w:r>
      <w:proofErr w:type="spellEnd"/>
      <w:r w:rsidRPr="00A32F1B">
        <w:rPr>
          <w:i/>
          <w:iCs/>
        </w:rPr>
        <w:t xml:space="preserve"> in </w:t>
      </w:r>
      <w:proofErr w:type="spellStart"/>
      <w:r w:rsidRPr="00A32F1B">
        <w:rPr>
          <w:i/>
          <w:iCs/>
        </w:rPr>
        <w:t>Totius</w:t>
      </w:r>
      <w:proofErr w:type="spellEnd"/>
      <w:r w:rsidRPr="00A32F1B">
        <w:rPr>
          <w:i/>
          <w:iCs/>
        </w:rPr>
        <w:t xml:space="preserve"> </w:t>
      </w:r>
      <w:proofErr w:type="spellStart"/>
      <w:r w:rsidRPr="00A32F1B">
        <w:rPr>
          <w:i/>
          <w:iCs/>
        </w:rPr>
        <w:t>Occidentis</w:t>
      </w:r>
      <w:proofErr w:type="spellEnd"/>
      <w:r w:rsidRPr="00A32F1B">
        <w:rPr>
          <w:i/>
          <w:iCs/>
        </w:rPr>
        <w:t xml:space="preserve"> </w:t>
      </w:r>
      <w:proofErr w:type="spellStart"/>
      <w:r w:rsidRPr="00A32F1B">
        <w:rPr>
          <w:i/>
          <w:iCs/>
        </w:rPr>
        <w:t>Partibus</w:t>
      </w:r>
      <w:proofErr w:type="spellEnd"/>
      <w:r w:rsidRPr="00A32F1B">
        <w:rPr>
          <w:i/>
          <w:iCs/>
        </w:rPr>
        <w:t xml:space="preserve"> </w:t>
      </w:r>
      <w:proofErr w:type="spellStart"/>
      <w:r w:rsidRPr="00A32F1B">
        <w:rPr>
          <w:i/>
          <w:iCs/>
        </w:rPr>
        <w:t>Praeter</w:t>
      </w:r>
      <w:proofErr w:type="spellEnd"/>
      <w:r w:rsidRPr="00A32F1B">
        <w:rPr>
          <w:i/>
          <w:iCs/>
        </w:rPr>
        <w:t xml:space="preserve"> </w:t>
      </w:r>
      <w:proofErr w:type="spellStart"/>
      <w:r w:rsidRPr="00A32F1B">
        <w:rPr>
          <w:i/>
          <w:iCs/>
        </w:rPr>
        <w:t>Atticas</w:t>
      </w:r>
      <w:proofErr w:type="spellEnd"/>
      <w:r w:rsidRPr="00A32F1B">
        <w:rPr>
          <w:i/>
          <w:iCs/>
        </w:rPr>
        <w:t xml:space="preserve"> in Corpore </w:t>
      </w:r>
      <w:proofErr w:type="spellStart"/>
      <w:r w:rsidRPr="00A32F1B">
        <w:rPr>
          <w:i/>
          <w:iCs/>
        </w:rPr>
        <w:t>Inscriptionum</w:t>
      </w:r>
      <w:proofErr w:type="spellEnd"/>
      <w:r w:rsidRPr="00A32F1B">
        <w:rPr>
          <w:i/>
          <w:iCs/>
        </w:rPr>
        <w:t xml:space="preserve"> </w:t>
      </w:r>
      <w:proofErr w:type="spellStart"/>
      <w:r w:rsidRPr="00A32F1B">
        <w:rPr>
          <w:i/>
          <w:iCs/>
        </w:rPr>
        <w:t>Atticarum</w:t>
      </w:r>
      <w:proofErr w:type="spellEnd"/>
      <w:r w:rsidRPr="00A32F1B">
        <w:rPr>
          <w:i/>
          <w:iCs/>
        </w:rPr>
        <w:t xml:space="preserve"> </w:t>
      </w:r>
      <w:proofErr w:type="spellStart"/>
      <w:r w:rsidRPr="00A32F1B">
        <w:rPr>
          <w:i/>
          <w:iCs/>
        </w:rPr>
        <w:t>Editas</w:t>
      </w:r>
      <w:proofErr w:type="spellEnd"/>
      <w:r w:rsidRPr="00A32F1B">
        <w:rPr>
          <w:i/>
          <w:iCs/>
        </w:rPr>
        <w:t xml:space="preserve">. </w:t>
      </w:r>
      <w:r w:rsidRPr="00A32F1B">
        <w:t xml:space="preserve">Lutetia: A. </w:t>
      </w:r>
      <w:proofErr w:type="spellStart"/>
      <w:r w:rsidRPr="00A32F1B">
        <w:t>Fontemoing</w:t>
      </w:r>
      <w:proofErr w:type="spellEnd"/>
      <w:r w:rsidRPr="00A32F1B">
        <w:t>, 1904.</w:t>
      </w:r>
    </w:p>
    <w:p w14:paraId="26E08163" w14:textId="67778E97" w:rsidR="00087D25" w:rsidRPr="00A32F1B" w:rsidRDefault="00087D25" w:rsidP="00B37871">
      <w:pPr>
        <w:pStyle w:val="Bibliografie1"/>
      </w:pPr>
      <w:proofErr w:type="spellStart"/>
      <w:r w:rsidRPr="00A32F1B">
        <w:t>Barasch</w:t>
      </w:r>
      <w:proofErr w:type="spellEnd"/>
      <w:r w:rsidRPr="00A32F1B">
        <w:t xml:space="preserve">, Moshe. “Visual Syncretism: A Case Study.” In </w:t>
      </w:r>
      <w:proofErr w:type="gramStart"/>
      <w:r w:rsidRPr="00A32F1B">
        <w:rPr>
          <w:i/>
          <w:iCs/>
        </w:rPr>
        <w:t>The</w:t>
      </w:r>
      <w:proofErr w:type="gramEnd"/>
      <w:r w:rsidRPr="00A32F1B">
        <w:rPr>
          <w:i/>
          <w:iCs/>
        </w:rPr>
        <w:t xml:space="preserve"> Translatability of Cultures: Figura</w:t>
      </w:r>
      <w:r w:rsidR="003E48C4" w:rsidRPr="00A32F1B">
        <w:rPr>
          <w:i/>
          <w:iCs/>
        </w:rPr>
        <w:t>t</w:t>
      </w:r>
      <w:r w:rsidRPr="00A32F1B">
        <w:rPr>
          <w:i/>
          <w:iCs/>
        </w:rPr>
        <w:t>ions of the Space Between</w:t>
      </w:r>
      <w:r w:rsidRPr="00A32F1B">
        <w:t xml:space="preserve">. Edited by Sanford </w:t>
      </w:r>
      <w:proofErr w:type="spellStart"/>
      <w:r w:rsidRPr="00A32F1B">
        <w:t>Budick</w:t>
      </w:r>
      <w:proofErr w:type="spellEnd"/>
      <w:r w:rsidRPr="00A32F1B">
        <w:t xml:space="preserve"> and Wolfgang </w:t>
      </w:r>
      <w:proofErr w:type="spellStart"/>
      <w:r w:rsidRPr="00A32F1B">
        <w:t>Iser</w:t>
      </w:r>
      <w:proofErr w:type="spellEnd"/>
      <w:r w:rsidRPr="00A32F1B">
        <w:t>, 37-54. Stanford: Stanford University Press, 1996.</w:t>
      </w:r>
    </w:p>
    <w:p w14:paraId="4F1D82C1" w14:textId="7B167056" w:rsidR="00B37871" w:rsidRPr="00A32F1B" w:rsidRDefault="00B37871" w:rsidP="00B37871">
      <w:pPr>
        <w:pStyle w:val="Bibliografie1"/>
      </w:pPr>
      <w:r w:rsidRPr="00A32F1B">
        <w:t>Baumann, G</w:t>
      </w:r>
      <w:r w:rsidRPr="00A32F1B">
        <w:rPr>
          <w:rFonts w:cstheme="minorHAnsi"/>
        </w:rPr>
        <w:t>ü</w:t>
      </w:r>
      <w:r w:rsidRPr="00A32F1B">
        <w:t xml:space="preserve">nter. “It shakes you to the very core and is painful. But it helps: Hermann Hesse and the psychology of C.G. Jung.” Paper presented at </w:t>
      </w:r>
      <w:proofErr w:type="gramStart"/>
      <w:r w:rsidRPr="00A32F1B">
        <w:rPr>
          <w:i/>
          <w:iCs/>
        </w:rPr>
        <w:t>The</w:t>
      </w:r>
      <w:proofErr w:type="gramEnd"/>
      <w:r w:rsidRPr="00A32F1B">
        <w:rPr>
          <w:i/>
          <w:iCs/>
        </w:rPr>
        <w:t xml:space="preserve"> 9th International Hesse Colloquium, Calw, 1997</w:t>
      </w:r>
      <w:r w:rsidRPr="00A32F1B">
        <w:t>. Accessed May 5, 2021. </w:t>
      </w:r>
      <w:hyperlink r:id="rId11" w:history="1">
        <w:r w:rsidRPr="00A32F1B">
          <w:rPr>
            <w:rStyle w:val="Hypertextovodkaz"/>
          </w:rPr>
          <w:t>https://www.hermann-hesse.de/files/pdfs/en_lebenskrise.pdf</w:t>
        </w:r>
      </w:hyperlink>
      <w:r w:rsidRPr="00A32F1B">
        <w:t xml:space="preserve">. </w:t>
      </w:r>
    </w:p>
    <w:p w14:paraId="33740DC4" w14:textId="5DA986C2" w:rsidR="009B569B" w:rsidRPr="00A32F1B" w:rsidRDefault="009B569B" w:rsidP="00B37871">
      <w:pPr>
        <w:pStyle w:val="Bibliografie1"/>
      </w:pPr>
      <w:bookmarkStart w:id="21" w:name="_Hlk70701519"/>
      <w:proofErr w:type="spellStart"/>
      <w:r w:rsidRPr="00A32F1B">
        <w:t>Benaissa</w:t>
      </w:r>
      <w:proofErr w:type="spellEnd"/>
      <w:r w:rsidRPr="00A32F1B">
        <w:t xml:space="preserve">, Amin. “The Onomastic Evidence for the God </w:t>
      </w:r>
      <w:proofErr w:type="spellStart"/>
      <w:r w:rsidRPr="00A32F1B">
        <w:t>Hermanubis</w:t>
      </w:r>
      <w:proofErr w:type="spellEnd"/>
      <w:r w:rsidRPr="00A32F1B">
        <w:t xml:space="preserve">.” </w:t>
      </w:r>
      <w:r w:rsidRPr="00A32F1B">
        <w:rPr>
          <w:i/>
          <w:iCs/>
        </w:rPr>
        <w:t>Proceedings of the Twenty-Fifth International Congress of Papyrology, Ann Arbor 2007</w:t>
      </w:r>
      <w:r w:rsidRPr="00A32F1B">
        <w:t>. American Studies in Papyrology (Ann Arbor, 2010), 67-76.</w:t>
      </w:r>
    </w:p>
    <w:p w14:paraId="3A2E1515" w14:textId="3919F260" w:rsidR="00B37871" w:rsidRPr="00A32F1B" w:rsidRDefault="00B37871" w:rsidP="00B37871">
      <w:pPr>
        <w:pStyle w:val="Bibliografie1"/>
      </w:pPr>
      <w:r w:rsidRPr="00A32F1B">
        <w:t xml:space="preserve">Betz, Hans D., ed. </w:t>
      </w:r>
      <w:r w:rsidRPr="00A32F1B">
        <w:rPr>
          <w:i/>
          <w:iCs/>
        </w:rPr>
        <w:t>The Greek Magical Papyri in Translation: Including the Demotic Spells</w:t>
      </w:r>
      <w:r w:rsidRPr="00A32F1B">
        <w:t>. Chicago: University of Chicago Press, 1986.</w:t>
      </w:r>
      <w:bookmarkEnd w:id="21"/>
    </w:p>
    <w:p w14:paraId="14EBA0D8" w14:textId="77777777" w:rsidR="00B37871" w:rsidRPr="00A32F1B" w:rsidRDefault="00B37871" w:rsidP="00B37871">
      <w:pPr>
        <w:pStyle w:val="Bibliografie1"/>
        <w:rPr>
          <w:i/>
          <w:iCs/>
        </w:rPr>
      </w:pPr>
      <w:proofErr w:type="spellStart"/>
      <w:r w:rsidRPr="00A32F1B">
        <w:t>Blau</w:t>
      </w:r>
      <w:proofErr w:type="spellEnd"/>
      <w:r w:rsidRPr="00A32F1B">
        <w:t xml:space="preserve">, Ludwig. </w:t>
      </w:r>
      <w:r w:rsidRPr="00A32F1B">
        <w:rPr>
          <w:i/>
          <w:iCs/>
        </w:rPr>
        <w:t xml:space="preserve">Das </w:t>
      </w:r>
      <w:proofErr w:type="spellStart"/>
      <w:r w:rsidRPr="00A32F1B">
        <w:rPr>
          <w:i/>
          <w:iCs/>
        </w:rPr>
        <w:t>altjüdische</w:t>
      </w:r>
      <w:proofErr w:type="spellEnd"/>
      <w:r w:rsidRPr="00A32F1B">
        <w:rPr>
          <w:i/>
          <w:iCs/>
        </w:rPr>
        <w:t xml:space="preserve"> </w:t>
      </w:r>
      <w:proofErr w:type="spellStart"/>
      <w:r w:rsidRPr="00A32F1B">
        <w:rPr>
          <w:i/>
          <w:iCs/>
        </w:rPr>
        <w:t>Zauberwesen</w:t>
      </w:r>
      <w:proofErr w:type="spellEnd"/>
      <w:r w:rsidRPr="00A32F1B">
        <w:t xml:space="preserve">. </w:t>
      </w:r>
      <w:proofErr w:type="spellStart"/>
      <w:r w:rsidRPr="00A32F1B">
        <w:t>Strassburg</w:t>
      </w:r>
      <w:proofErr w:type="spellEnd"/>
      <w:r w:rsidRPr="00A32F1B">
        <w:t xml:space="preserve">: Karl J. </w:t>
      </w:r>
      <w:proofErr w:type="spellStart"/>
      <w:r w:rsidRPr="00A32F1B">
        <w:t>Tr</w:t>
      </w:r>
      <w:r w:rsidRPr="00A32F1B">
        <w:rPr>
          <w:rFonts w:cstheme="minorHAnsi"/>
        </w:rPr>
        <w:t>ü</w:t>
      </w:r>
      <w:r w:rsidRPr="00A32F1B">
        <w:t>bner</w:t>
      </w:r>
      <w:proofErr w:type="spellEnd"/>
      <w:r w:rsidRPr="00A32F1B">
        <w:t>, 1898.</w:t>
      </w:r>
    </w:p>
    <w:p w14:paraId="2E864C9F" w14:textId="1F557DDC" w:rsidR="00B37871" w:rsidRPr="00A32F1B" w:rsidRDefault="00B37871" w:rsidP="00B37871">
      <w:pPr>
        <w:pStyle w:val="Bibliografie1"/>
      </w:pPr>
      <w:proofErr w:type="spellStart"/>
      <w:r w:rsidRPr="00A32F1B">
        <w:lastRenderedPageBreak/>
        <w:t>Blau</w:t>
      </w:r>
      <w:proofErr w:type="spellEnd"/>
      <w:r w:rsidRPr="00A32F1B">
        <w:t xml:space="preserve">, Ludwig and Kaufmann Kohler. “ABRAXAS or ABRASAX.” </w:t>
      </w:r>
      <w:r w:rsidRPr="00A32F1B">
        <w:rPr>
          <w:i/>
          <w:iCs/>
        </w:rPr>
        <w:t>Jewish Encyclopedia</w:t>
      </w:r>
      <w:r w:rsidRPr="00A32F1B">
        <w:t xml:space="preserve">. Accessed May 5, 2021. </w:t>
      </w:r>
      <w:hyperlink r:id="rId12" w:history="1">
        <w:r w:rsidRPr="00A32F1B">
          <w:rPr>
            <w:rStyle w:val="Hypertextovodkaz"/>
          </w:rPr>
          <w:t>https://www.jewishencyclopedia.com/articles/633-abraxas</w:t>
        </w:r>
      </w:hyperlink>
      <w:r w:rsidRPr="00A32F1B">
        <w:t xml:space="preserve">. </w:t>
      </w:r>
    </w:p>
    <w:p w14:paraId="7136348B" w14:textId="77777777" w:rsidR="00B37871" w:rsidRPr="00A32F1B" w:rsidRDefault="00B37871" w:rsidP="00B37871">
      <w:pPr>
        <w:pStyle w:val="Bibliografie1"/>
      </w:pPr>
      <w:proofErr w:type="spellStart"/>
      <w:r w:rsidRPr="00A32F1B">
        <w:t>Bohak</w:t>
      </w:r>
      <w:proofErr w:type="spellEnd"/>
      <w:r w:rsidRPr="00A32F1B">
        <w:t xml:space="preserve">, Gideon. </w:t>
      </w:r>
      <w:r w:rsidRPr="00A32F1B">
        <w:rPr>
          <w:i/>
          <w:iCs/>
        </w:rPr>
        <w:t>Ancient Jewish Magic: A History.</w:t>
      </w:r>
      <w:r w:rsidRPr="00A32F1B">
        <w:t xml:space="preserve"> Cambridge: Cambridge University Press, 2008.</w:t>
      </w:r>
    </w:p>
    <w:p w14:paraId="478AAEF5" w14:textId="77777777" w:rsidR="00B37871" w:rsidRPr="00A32F1B" w:rsidRDefault="00B37871" w:rsidP="00B37871">
      <w:pPr>
        <w:pStyle w:val="Bibliografie1"/>
      </w:pPr>
      <w:bookmarkStart w:id="22" w:name="_Hlk70767592"/>
      <w:proofErr w:type="spellStart"/>
      <w:r w:rsidRPr="00A32F1B">
        <w:t>Bohak</w:t>
      </w:r>
      <w:proofErr w:type="spellEnd"/>
      <w:r w:rsidRPr="00A32F1B">
        <w:t xml:space="preserve">, Gideon. “Hebrew, Hebrew Everywhere? Notes on the Interpretation of </w:t>
      </w:r>
      <w:r w:rsidRPr="00A32F1B">
        <w:rPr>
          <w:i/>
          <w:iCs/>
        </w:rPr>
        <w:t xml:space="preserve">Voces </w:t>
      </w:r>
      <w:proofErr w:type="spellStart"/>
      <w:r w:rsidRPr="00A32F1B">
        <w:rPr>
          <w:i/>
          <w:iCs/>
        </w:rPr>
        <w:t>Magicae</w:t>
      </w:r>
      <w:proofErr w:type="spellEnd"/>
      <w:r w:rsidRPr="00A32F1B">
        <w:t xml:space="preserve">.” In </w:t>
      </w:r>
      <w:r w:rsidRPr="00A32F1B">
        <w:rPr>
          <w:i/>
          <w:iCs/>
        </w:rPr>
        <w:t>Prayer, Magic, and the Stars in the Ancient and Late Antique World</w:t>
      </w:r>
      <w:r w:rsidRPr="00A32F1B">
        <w:t xml:space="preserve">. Edited by Scott </w:t>
      </w:r>
      <w:proofErr w:type="spellStart"/>
      <w:r w:rsidRPr="00A32F1B">
        <w:t>Noegel</w:t>
      </w:r>
      <w:proofErr w:type="spellEnd"/>
      <w:r w:rsidRPr="00A32F1B">
        <w:t>, Joel Walker, and Brannon Wheeler, 69-83. University Park: The Pennsylvania State University Press, 2003.</w:t>
      </w:r>
    </w:p>
    <w:p w14:paraId="2E66CD96" w14:textId="77777777" w:rsidR="00B37871" w:rsidRPr="00A32F1B" w:rsidRDefault="00B37871" w:rsidP="00B37871">
      <w:pPr>
        <w:pStyle w:val="Bibliografie1"/>
      </w:pPr>
      <w:bookmarkStart w:id="23" w:name="_Hlk70770198"/>
      <w:bookmarkEnd w:id="22"/>
      <w:proofErr w:type="spellStart"/>
      <w:r w:rsidRPr="00A32F1B">
        <w:t>Bohak</w:t>
      </w:r>
      <w:proofErr w:type="spellEnd"/>
      <w:r w:rsidRPr="00A32F1B">
        <w:t xml:space="preserve">, Gideon. “The Magical </w:t>
      </w:r>
      <w:proofErr w:type="spellStart"/>
      <w:r w:rsidRPr="00A32F1B">
        <w:t>Rotuli</w:t>
      </w:r>
      <w:proofErr w:type="spellEnd"/>
      <w:r w:rsidRPr="00A32F1B">
        <w:t xml:space="preserve"> from the Cairo Genizah.” In </w:t>
      </w:r>
      <w:r w:rsidRPr="00A32F1B">
        <w:rPr>
          <w:i/>
          <w:iCs/>
        </w:rPr>
        <w:t>Continuity and Innovation in the Magical Tradition.</w:t>
      </w:r>
      <w:r w:rsidRPr="00A32F1B">
        <w:t xml:space="preserve"> Edited by Gideon </w:t>
      </w:r>
      <w:proofErr w:type="spellStart"/>
      <w:r w:rsidRPr="00A32F1B">
        <w:t>Bohak</w:t>
      </w:r>
      <w:proofErr w:type="spellEnd"/>
      <w:r w:rsidRPr="00A32F1B">
        <w:t xml:space="preserve">, Yuval Harari and </w:t>
      </w:r>
      <w:proofErr w:type="spellStart"/>
      <w:r w:rsidRPr="00A32F1B">
        <w:t>Shaul</w:t>
      </w:r>
      <w:proofErr w:type="spellEnd"/>
      <w:r w:rsidRPr="00A32F1B">
        <w:t xml:space="preserve"> Shaked, 321-340. Leiden and Boston: Brill, 2011.</w:t>
      </w:r>
    </w:p>
    <w:bookmarkEnd w:id="23"/>
    <w:p w14:paraId="38E9D281" w14:textId="77777777" w:rsidR="00B37871" w:rsidRPr="00A32F1B" w:rsidRDefault="00B37871" w:rsidP="00B37871">
      <w:pPr>
        <w:pStyle w:val="Bibliografie1"/>
      </w:pPr>
      <w:proofErr w:type="spellStart"/>
      <w:r w:rsidRPr="00A32F1B">
        <w:t>Bohak</w:t>
      </w:r>
      <w:proofErr w:type="spellEnd"/>
      <w:r w:rsidRPr="00A32F1B">
        <w:t xml:space="preserve">, Gideon, Yuval Harari, and </w:t>
      </w:r>
      <w:proofErr w:type="spellStart"/>
      <w:r w:rsidRPr="00A32F1B">
        <w:t>Shaul</w:t>
      </w:r>
      <w:proofErr w:type="spellEnd"/>
      <w:r w:rsidRPr="00A32F1B">
        <w:t xml:space="preserve"> Shaked. “Continuity and Innovation in the Magical Tradition: A Jerusalem Symposium and Its Wider Contexts.” In </w:t>
      </w:r>
      <w:r w:rsidRPr="00A32F1B">
        <w:rPr>
          <w:i/>
          <w:iCs/>
        </w:rPr>
        <w:t>Continuity and Innovation in the Magical Tradition.</w:t>
      </w:r>
      <w:r w:rsidRPr="00A32F1B">
        <w:t xml:space="preserve"> Edited by Gideon </w:t>
      </w:r>
      <w:proofErr w:type="spellStart"/>
      <w:r w:rsidRPr="00A32F1B">
        <w:t>Bohak</w:t>
      </w:r>
      <w:proofErr w:type="spellEnd"/>
      <w:r w:rsidRPr="00A32F1B">
        <w:t xml:space="preserve">, Yuval Harari and </w:t>
      </w:r>
      <w:proofErr w:type="spellStart"/>
      <w:r w:rsidRPr="00A32F1B">
        <w:t>Shaul</w:t>
      </w:r>
      <w:proofErr w:type="spellEnd"/>
      <w:r w:rsidRPr="00A32F1B">
        <w:t xml:space="preserve"> Shaked, 1-10. Leiden and Boston: Brill, 2011.</w:t>
      </w:r>
    </w:p>
    <w:p w14:paraId="7D3D5EA0" w14:textId="77777777" w:rsidR="00B37871" w:rsidRPr="00A32F1B" w:rsidRDefault="00B37871" w:rsidP="00B37871">
      <w:pPr>
        <w:pStyle w:val="Bibliografie1"/>
      </w:pPr>
      <w:proofErr w:type="spellStart"/>
      <w:r w:rsidRPr="00A32F1B">
        <w:t>B</w:t>
      </w:r>
      <w:r w:rsidRPr="00A32F1B">
        <w:rPr>
          <w:rFonts w:cs="Times New Roman"/>
        </w:rPr>
        <w:t>ö</w:t>
      </w:r>
      <w:r w:rsidRPr="00A32F1B">
        <w:t>hlig</w:t>
      </w:r>
      <w:proofErr w:type="spellEnd"/>
      <w:r w:rsidRPr="00A32F1B">
        <w:t xml:space="preserve">, Alexander and Frederik </w:t>
      </w:r>
      <w:proofErr w:type="spellStart"/>
      <w:r w:rsidRPr="00A32F1B">
        <w:t>Wisse</w:t>
      </w:r>
      <w:proofErr w:type="spellEnd"/>
      <w:r w:rsidRPr="00A32F1B">
        <w:t xml:space="preserve">. “The Gospel of the Egyptians (III, 2 and IV, 2).” In </w:t>
      </w:r>
      <w:proofErr w:type="gramStart"/>
      <w:r w:rsidRPr="00A32F1B">
        <w:rPr>
          <w:i/>
          <w:iCs/>
        </w:rPr>
        <w:t>The</w:t>
      </w:r>
      <w:proofErr w:type="gramEnd"/>
      <w:r w:rsidRPr="00A32F1B">
        <w:rPr>
          <w:i/>
          <w:iCs/>
        </w:rPr>
        <w:t xml:space="preserve"> Nag Hammadi Library in English. </w:t>
      </w:r>
      <w:r w:rsidRPr="00A32F1B">
        <w:t xml:space="preserve">Edited by James M. Robinson, 208-219. San Francisco: </w:t>
      </w:r>
      <w:proofErr w:type="spellStart"/>
      <w:r w:rsidRPr="00A32F1B">
        <w:t>HarperSanFrancisco</w:t>
      </w:r>
      <w:proofErr w:type="spellEnd"/>
      <w:r w:rsidRPr="00A32F1B">
        <w:t>, 1990.</w:t>
      </w:r>
    </w:p>
    <w:p w14:paraId="36641012" w14:textId="77777777" w:rsidR="00B37871" w:rsidRPr="00A32F1B" w:rsidRDefault="00B37871" w:rsidP="00B37871">
      <w:pPr>
        <w:pStyle w:val="Bibliografie1"/>
      </w:pPr>
      <w:r w:rsidRPr="00A32F1B">
        <w:t xml:space="preserve">Bonner, Campbell. </w:t>
      </w:r>
      <w:r w:rsidRPr="00A32F1B">
        <w:rPr>
          <w:i/>
          <w:iCs/>
        </w:rPr>
        <w:t>Studies in Magical Amulets: Chiefly Graeco-Egyptian</w:t>
      </w:r>
      <w:r w:rsidRPr="00A32F1B">
        <w:t>. Ann Arbor: University of Michigan Press, 1950.</w:t>
      </w:r>
    </w:p>
    <w:p w14:paraId="09394DC8" w14:textId="19782A54" w:rsidR="006B31DF" w:rsidRPr="00A32F1B" w:rsidRDefault="006B31DF" w:rsidP="006B31DF">
      <w:pPr>
        <w:pStyle w:val="Bibliografie1"/>
        <w:rPr>
          <w:i/>
          <w:iCs/>
        </w:rPr>
      </w:pPr>
      <w:bookmarkStart w:id="24" w:name="_Hlk70768482"/>
      <w:r w:rsidRPr="00A32F1B">
        <w:t>Bullard, Roger A., and Bentley Layton</w:t>
      </w:r>
      <w:r w:rsidR="005534F6" w:rsidRPr="00A32F1B">
        <w:t xml:space="preserve">, </w:t>
      </w:r>
      <w:proofErr w:type="gramStart"/>
      <w:r w:rsidR="005534F6" w:rsidRPr="00A32F1B">
        <w:t>t</w:t>
      </w:r>
      <w:r w:rsidRPr="00A32F1B">
        <w:t>rans.</w:t>
      </w:r>
      <w:proofErr w:type="gramEnd"/>
      <w:r w:rsidRPr="00A32F1B">
        <w:t xml:space="preserve"> and</w:t>
      </w:r>
      <w:r w:rsidR="005534F6" w:rsidRPr="00A32F1B">
        <w:t xml:space="preserve"> i</w:t>
      </w:r>
      <w:r w:rsidRPr="00A32F1B">
        <w:t xml:space="preserve">ntro. “The Hypostasis of the Archons (II, 4).” In </w:t>
      </w:r>
      <w:proofErr w:type="gramStart"/>
      <w:r w:rsidRPr="00A32F1B">
        <w:rPr>
          <w:i/>
          <w:iCs/>
        </w:rPr>
        <w:t>The</w:t>
      </w:r>
      <w:proofErr w:type="gramEnd"/>
      <w:r w:rsidRPr="00A32F1B">
        <w:rPr>
          <w:i/>
          <w:iCs/>
        </w:rPr>
        <w:t xml:space="preserve"> Nag Hammadi Library in English. </w:t>
      </w:r>
      <w:r w:rsidRPr="00A32F1B">
        <w:t xml:space="preserve">Edited by James M. Robinson, 161-169. San Francisco: </w:t>
      </w:r>
      <w:proofErr w:type="spellStart"/>
      <w:r w:rsidRPr="00A32F1B">
        <w:t>HarperSanFrancisco</w:t>
      </w:r>
      <w:proofErr w:type="spellEnd"/>
      <w:r w:rsidRPr="00A32F1B">
        <w:t>, 1990</w:t>
      </w:r>
    </w:p>
    <w:p w14:paraId="37C94467" w14:textId="77777777" w:rsidR="00B37871" w:rsidRPr="00A32F1B" w:rsidRDefault="00B37871" w:rsidP="00B37871">
      <w:pPr>
        <w:pStyle w:val="Bibliografie1"/>
      </w:pPr>
      <w:r w:rsidRPr="00A32F1B">
        <w:t xml:space="preserve">Burge, Stephen. </w:t>
      </w:r>
      <w:r w:rsidRPr="00A32F1B">
        <w:rPr>
          <w:i/>
          <w:iCs/>
        </w:rPr>
        <w:t xml:space="preserve">Angels in Islam: </w:t>
      </w:r>
      <w:proofErr w:type="spellStart"/>
      <w:r w:rsidRPr="00A32F1B">
        <w:rPr>
          <w:i/>
          <w:iCs/>
        </w:rPr>
        <w:t>Jalāl</w:t>
      </w:r>
      <w:proofErr w:type="spellEnd"/>
      <w:r w:rsidRPr="00A32F1B">
        <w:rPr>
          <w:i/>
          <w:iCs/>
        </w:rPr>
        <w:t xml:space="preserve"> al-</w:t>
      </w:r>
      <w:proofErr w:type="spellStart"/>
      <w:r w:rsidRPr="00A32F1B">
        <w:rPr>
          <w:i/>
          <w:iCs/>
        </w:rPr>
        <w:t>Dīn</w:t>
      </w:r>
      <w:proofErr w:type="spellEnd"/>
      <w:r w:rsidRPr="00A32F1B">
        <w:rPr>
          <w:i/>
          <w:iCs/>
        </w:rPr>
        <w:t xml:space="preserve"> </w:t>
      </w:r>
      <w:proofErr w:type="spellStart"/>
      <w:r w:rsidRPr="00A32F1B">
        <w:rPr>
          <w:i/>
          <w:iCs/>
        </w:rPr>
        <w:t>al-Suyūṭī’s</w:t>
      </w:r>
      <w:proofErr w:type="spellEnd"/>
      <w:r w:rsidRPr="00A32F1B">
        <w:rPr>
          <w:i/>
          <w:iCs/>
        </w:rPr>
        <w:t xml:space="preserve"> </w:t>
      </w:r>
      <w:proofErr w:type="spellStart"/>
      <w:r w:rsidRPr="00A32F1B">
        <w:rPr>
          <w:i/>
          <w:iCs/>
        </w:rPr>
        <w:t>al-Ḥabāʾik</w:t>
      </w:r>
      <w:proofErr w:type="spellEnd"/>
      <w:r w:rsidRPr="00A32F1B">
        <w:rPr>
          <w:i/>
          <w:iCs/>
        </w:rPr>
        <w:t xml:space="preserve"> </w:t>
      </w:r>
      <w:proofErr w:type="spellStart"/>
      <w:r w:rsidRPr="00A32F1B">
        <w:rPr>
          <w:i/>
          <w:iCs/>
        </w:rPr>
        <w:t>fī</w:t>
      </w:r>
      <w:proofErr w:type="spellEnd"/>
      <w:r w:rsidRPr="00A32F1B">
        <w:rPr>
          <w:i/>
          <w:iCs/>
        </w:rPr>
        <w:t xml:space="preserve"> </w:t>
      </w:r>
      <w:proofErr w:type="spellStart"/>
      <w:r w:rsidRPr="00A32F1B">
        <w:rPr>
          <w:i/>
          <w:iCs/>
        </w:rPr>
        <w:t>akhbār</w:t>
      </w:r>
      <w:proofErr w:type="spellEnd"/>
      <w:r w:rsidRPr="00A32F1B">
        <w:rPr>
          <w:i/>
          <w:iCs/>
        </w:rPr>
        <w:t xml:space="preserve"> al-</w:t>
      </w:r>
      <w:proofErr w:type="spellStart"/>
      <w:r w:rsidRPr="00A32F1B">
        <w:rPr>
          <w:i/>
          <w:iCs/>
        </w:rPr>
        <w:t>malāʾik</w:t>
      </w:r>
      <w:proofErr w:type="spellEnd"/>
      <w:r w:rsidRPr="00A32F1B">
        <w:t xml:space="preserve">. New York: Routledge, 2012. </w:t>
      </w:r>
    </w:p>
    <w:p w14:paraId="3F51F04B" w14:textId="70F2D396" w:rsidR="00B37871" w:rsidRPr="00A32F1B" w:rsidRDefault="00B37871" w:rsidP="00B37871">
      <w:pPr>
        <w:pStyle w:val="Bibliografie1"/>
      </w:pPr>
      <w:bookmarkStart w:id="25" w:name="_Hlk70768749"/>
      <w:bookmarkEnd w:id="24"/>
      <w:r w:rsidRPr="00A32F1B">
        <w:t xml:space="preserve">“Cornell Gem Impressions Collection.” </w:t>
      </w:r>
      <w:r w:rsidRPr="00A32F1B">
        <w:rPr>
          <w:i/>
          <w:iCs/>
        </w:rPr>
        <w:t>Digital Collections, Cornell University Library</w:t>
      </w:r>
      <w:r w:rsidRPr="00A32F1B">
        <w:t>. Accessed</w:t>
      </w:r>
      <w:r w:rsidR="005534F6" w:rsidRPr="00A32F1B">
        <w:t> May 5</w:t>
      </w:r>
      <w:r w:rsidRPr="00A32F1B">
        <w:t>,</w:t>
      </w:r>
      <w:r w:rsidR="005534F6" w:rsidRPr="00A32F1B">
        <w:t> </w:t>
      </w:r>
      <w:r w:rsidRPr="00A32F1B">
        <w:t xml:space="preserve">2021. </w:t>
      </w:r>
      <w:hyperlink r:id="rId13" w:history="1">
        <w:r w:rsidRPr="00A32F1B">
          <w:rPr>
            <w:rStyle w:val="Hypertextovodkaz"/>
          </w:rPr>
          <w:t>https://digital.library.cornell.edu/catalog?f%5Bcollection_tesim%5D%5B%5D=Cornell+Gem+Impressions+Collection</w:t>
        </w:r>
      </w:hyperlink>
      <w:r w:rsidRPr="00A32F1B">
        <w:t xml:space="preserve">. </w:t>
      </w:r>
    </w:p>
    <w:bookmarkEnd w:id="25"/>
    <w:p w14:paraId="457C5506" w14:textId="4F48C8A6" w:rsidR="00B37871" w:rsidRPr="00A32F1B" w:rsidRDefault="00B37871" w:rsidP="00B37871">
      <w:pPr>
        <w:pStyle w:val="Bibliografie1"/>
      </w:pPr>
      <w:r w:rsidRPr="00A32F1B">
        <w:t xml:space="preserve">Damen, Giada. “Antique Engraved Gems and Renaissance Collectors.” </w:t>
      </w:r>
      <w:r w:rsidRPr="00A32F1B">
        <w:rPr>
          <w:i/>
          <w:iCs/>
        </w:rPr>
        <w:t xml:space="preserve">The Met. </w:t>
      </w:r>
      <w:r w:rsidRPr="00A32F1B">
        <w:t xml:space="preserve">The Metropolitan Museum of Art. Published March 2013. Accessed </w:t>
      </w:r>
      <w:r w:rsidR="005534F6" w:rsidRPr="00A32F1B">
        <w:t>May</w:t>
      </w:r>
      <w:r w:rsidRPr="00A32F1B">
        <w:t xml:space="preserve"> </w:t>
      </w:r>
      <w:r w:rsidR="005534F6" w:rsidRPr="00A32F1B">
        <w:t>5</w:t>
      </w:r>
      <w:r w:rsidRPr="00A32F1B">
        <w:t xml:space="preserve">, 2021. </w:t>
      </w:r>
      <w:hyperlink r:id="rId14" w:history="1">
        <w:r w:rsidRPr="00A32F1B">
          <w:rPr>
            <w:rStyle w:val="Hypertextovodkaz"/>
          </w:rPr>
          <w:t>https://www.metmuseum.org/toah/hd/gems/hd_gems.htm</w:t>
        </w:r>
      </w:hyperlink>
      <w:r w:rsidRPr="00A32F1B">
        <w:t xml:space="preserve">. </w:t>
      </w:r>
    </w:p>
    <w:p w14:paraId="4DD6909C" w14:textId="77777777" w:rsidR="00B37871" w:rsidRPr="00A32F1B" w:rsidRDefault="00B37871" w:rsidP="00B37871">
      <w:pPr>
        <w:pStyle w:val="Bibliografie1"/>
      </w:pPr>
      <w:r w:rsidRPr="00A32F1B">
        <w:t xml:space="preserve">Darling, David. </w:t>
      </w:r>
      <w:r w:rsidRPr="00A32F1B">
        <w:rPr>
          <w:i/>
          <w:iCs/>
        </w:rPr>
        <w:t>The Universal Book of Mathematics: From Abracadabra to Zeno’s Paradoxes.</w:t>
      </w:r>
      <w:r w:rsidRPr="00A32F1B">
        <w:t xml:space="preserve"> Hoboken: John Wiley &amp; Sons, Inc., 2004.</w:t>
      </w:r>
    </w:p>
    <w:p w14:paraId="3B768AD0" w14:textId="77777777" w:rsidR="00B37871" w:rsidRPr="00A32F1B" w:rsidRDefault="00B37871" w:rsidP="00B37871">
      <w:pPr>
        <w:pStyle w:val="Bibliografie1"/>
      </w:pPr>
      <w:r w:rsidRPr="00A32F1B">
        <w:t xml:space="preserve">Davidson, Gustav. </w:t>
      </w:r>
      <w:r w:rsidRPr="00A32F1B">
        <w:rPr>
          <w:i/>
          <w:iCs/>
        </w:rPr>
        <w:t xml:space="preserve">A Dictionary of Angels: Including the Fallen Angels. </w:t>
      </w:r>
      <w:r w:rsidRPr="00A32F1B">
        <w:t>New York: The Free Press, 1971.</w:t>
      </w:r>
    </w:p>
    <w:p w14:paraId="4DB814BE" w14:textId="77777777" w:rsidR="00B37871" w:rsidRPr="00A32F1B" w:rsidRDefault="00B37871" w:rsidP="00B37871">
      <w:pPr>
        <w:pStyle w:val="Bibliografie1"/>
      </w:pPr>
      <w:proofErr w:type="spellStart"/>
      <w:r w:rsidRPr="00A32F1B">
        <w:t>DeConick</w:t>
      </w:r>
      <w:proofErr w:type="spellEnd"/>
      <w:r w:rsidRPr="00A32F1B">
        <w:t xml:space="preserve">, April D. “Introduction.” In </w:t>
      </w:r>
      <w:r w:rsidRPr="00A32F1B">
        <w:rPr>
          <w:i/>
          <w:iCs/>
        </w:rPr>
        <w:t>Practicing Gnosis: Ritual, Magic, Theurgy and Liturgy in Nag Hammadi, Manichean and Other Ancient Literature.</w:t>
      </w:r>
      <w:r w:rsidRPr="00A32F1B">
        <w:t xml:space="preserve"> Edited by April D. </w:t>
      </w:r>
      <w:proofErr w:type="spellStart"/>
      <w:r w:rsidRPr="00A32F1B">
        <w:t>DeConick</w:t>
      </w:r>
      <w:proofErr w:type="spellEnd"/>
      <w:r w:rsidRPr="00A32F1B">
        <w:t>, Gregory Shaw, and John D. Turner. Leiden and Boston: Brill, 2013.</w:t>
      </w:r>
    </w:p>
    <w:p w14:paraId="2A00AC4B" w14:textId="77777777" w:rsidR="00B37871" w:rsidRPr="00A32F1B" w:rsidRDefault="00B37871" w:rsidP="00B37871">
      <w:pPr>
        <w:pStyle w:val="Bibliografie1"/>
      </w:pPr>
      <w:r w:rsidRPr="00A32F1B">
        <w:t xml:space="preserve">Dieterich, Albrecht. </w:t>
      </w:r>
      <w:r w:rsidRPr="00A32F1B">
        <w:rPr>
          <w:i/>
          <w:iCs/>
        </w:rPr>
        <w:t xml:space="preserve">Abraxas: </w:t>
      </w:r>
      <w:proofErr w:type="spellStart"/>
      <w:r w:rsidRPr="00A32F1B">
        <w:rPr>
          <w:i/>
          <w:iCs/>
        </w:rPr>
        <w:t>Studien</w:t>
      </w:r>
      <w:proofErr w:type="spellEnd"/>
      <w:r w:rsidRPr="00A32F1B">
        <w:rPr>
          <w:i/>
          <w:iCs/>
        </w:rPr>
        <w:t xml:space="preserve"> </w:t>
      </w:r>
      <w:proofErr w:type="spellStart"/>
      <w:r w:rsidRPr="00A32F1B">
        <w:rPr>
          <w:i/>
          <w:iCs/>
        </w:rPr>
        <w:t>zur</w:t>
      </w:r>
      <w:proofErr w:type="spellEnd"/>
      <w:r w:rsidRPr="00A32F1B">
        <w:rPr>
          <w:i/>
          <w:iCs/>
        </w:rPr>
        <w:t xml:space="preserve"> </w:t>
      </w:r>
      <w:proofErr w:type="spellStart"/>
      <w:r w:rsidRPr="00A32F1B">
        <w:rPr>
          <w:i/>
          <w:iCs/>
        </w:rPr>
        <w:t>Religionsgeschichte</w:t>
      </w:r>
      <w:proofErr w:type="spellEnd"/>
      <w:r w:rsidRPr="00A32F1B">
        <w:rPr>
          <w:i/>
          <w:iCs/>
        </w:rPr>
        <w:t xml:space="preserve"> des </w:t>
      </w:r>
      <w:proofErr w:type="spellStart"/>
      <w:r w:rsidRPr="00A32F1B">
        <w:rPr>
          <w:i/>
          <w:iCs/>
        </w:rPr>
        <w:t>späteren</w:t>
      </w:r>
      <w:proofErr w:type="spellEnd"/>
      <w:r w:rsidRPr="00A32F1B">
        <w:rPr>
          <w:i/>
          <w:iCs/>
        </w:rPr>
        <w:t xml:space="preserve"> </w:t>
      </w:r>
      <w:proofErr w:type="spellStart"/>
      <w:r w:rsidRPr="00A32F1B">
        <w:rPr>
          <w:i/>
          <w:iCs/>
        </w:rPr>
        <w:t>Altertums</w:t>
      </w:r>
      <w:proofErr w:type="spellEnd"/>
      <w:r w:rsidRPr="00A32F1B">
        <w:rPr>
          <w:i/>
          <w:iCs/>
        </w:rPr>
        <w:t>.</w:t>
      </w:r>
      <w:r w:rsidRPr="00A32F1B">
        <w:t xml:space="preserve"> Leipzig: B.G. Teubner, 1891.</w:t>
      </w:r>
    </w:p>
    <w:p w14:paraId="76DE88F7" w14:textId="77777777" w:rsidR="00B37871" w:rsidRPr="00A32F1B" w:rsidRDefault="00B37871" w:rsidP="00B37871">
      <w:pPr>
        <w:pStyle w:val="Bibliografie1"/>
      </w:pPr>
      <w:r w:rsidRPr="00A32F1B">
        <w:t xml:space="preserve">Finney, Paul Corby. “Did Gnostics Make Pictures?” In </w:t>
      </w:r>
      <w:proofErr w:type="gramStart"/>
      <w:r w:rsidRPr="00A32F1B">
        <w:rPr>
          <w:i/>
          <w:iCs/>
        </w:rPr>
        <w:t>The</w:t>
      </w:r>
      <w:proofErr w:type="gramEnd"/>
      <w:r w:rsidRPr="00A32F1B">
        <w:rPr>
          <w:i/>
          <w:iCs/>
        </w:rPr>
        <w:t xml:space="preserve"> Rediscovery of Gnosticism</w:t>
      </w:r>
      <w:r w:rsidRPr="00A32F1B">
        <w:t>. Edited by Bentley Layton, 434-454. Leiden: E. J. Brill, 1980.</w:t>
      </w:r>
    </w:p>
    <w:p w14:paraId="5239761F" w14:textId="77777777" w:rsidR="00B37871" w:rsidRPr="00A32F1B" w:rsidRDefault="00B37871" w:rsidP="00B37871">
      <w:pPr>
        <w:pStyle w:val="Bibliografie1"/>
      </w:pPr>
      <w:bookmarkStart w:id="26" w:name="_Hlk70770257"/>
      <w:r w:rsidRPr="00A32F1B">
        <w:t xml:space="preserve">Fodor, Alexander. “An Arabic Version of </w:t>
      </w:r>
      <w:proofErr w:type="spellStart"/>
      <w:r w:rsidRPr="00A32F1B">
        <w:t>Sefer</w:t>
      </w:r>
      <w:proofErr w:type="spellEnd"/>
      <w:r w:rsidRPr="00A32F1B">
        <w:t xml:space="preserve"> Ha-</w:t>
      </w:r>
      <w:proofErr w:type="spellStart"/>
      <w:r w:rsidRPr="00A32F1B">
        <w:t>Razim</w:t>
      </w:r>
      <w:proofErr w:type="spellEnd"/>
      <w:r w:rsidRPr="00A32F1B">
        <w:t xml:space="preserve">.” Jewish Studies Quarterly 13, no. 4 (2006): 412-27. Accessed May 5, 2021. </w:t>
      </w:r>
      <w:hyperlink r:id="rId15" w:history="1">
        <w:r w:rsidRPr="00A32F1B">
          <w:rPr>
            <w:rStyle w:val="Hypertextovodkaz"/>
          </w:rPr>
          <w:t>http://www.jstor.org/stable/40753418</w:t>
        </w:r>
      </w:hyperlink>
      <w:r w:rsidRPr="00A32F1B">
        <w:t xml:space="preserve">. </w:t>
      </w:r>
    </w:p>
    <w:p w14:paraId="01756FFD" w14:textId="77777777" w:rsidR="00B37871" w:rsidRPr="00A32F1B" w:rsidRDefault="00B37871" w:rsidP="00B37871">
      <w:pPr>
        <w:pStyle w:val="Bibliografie1"/>
      </w:pPr>
      <w:bookmarkStart w:id="27" w:name="_Hlk70769869"/>
      <w:bookmarkEnd w:id="26"/>
      <w:r w:rsidRPr="00A32F1B">
        <w:t xml:space="preserve">Fodor, Alexander. “An Arabic Version of ‘The Sword of Moses’.” In </w:t>
      </w:r>
      <w:r w:rsidRPr="00A32F1B">
        <w:rPr>
          <w:i/>
          <w:iCs/>
        </w:rPr>
        <w:t>Continuity and Innovation in the Magical Tradition.</w:t>
      </w:r>
      <w:r w:rsidRPr="00A32F1B">
        <w:t xml:space="preserve"> Edited by Gideon </w:t>
      </w:r>
      <w:proofErr w:type="spellStart"/>
      <w:r w:rsidRPr="00A32F1B">
        <w:t>Bohak</w:t>
      </w:r>
      <w:proofErr w:type="spellEnd"/>
      <w:r w:rsidRPr="00A32F1B">
        <w:t xml:space="preserve">, Yuval Harari and </w:t>
      </w:r>
      <w:proofErr w:type="spellStart"/>
      <w:r w:rsidRPr="00A32F1B">
        <w:t>Shaul</w:t>
      </w:r>
      <w:proofErr w:type="spellEnd"/>
      <w:r w:rsidRPr="00A32F1B">
        <w:t xml:space="preserve"> Shaked, 341-385. Leiden and Boston: Brill, 2011.</w:t>
      </w:r>
    </w:p>
    <w:bookmarkEnd w:id="27"/>
    <w:p w14:paraId="1155DF88" w14:textId="77777777" w:rsidR="00B37871" w:rsidRPr="00A32F1B" w:rsidRDefault="00B37871" w:rsidP="00B37871">
      <w:pPr>
        <w:pStyle w:val="Bibliografie1"/>
      </w:pPr>
      <w:proofErr w:type="spellStart"/>
      <w:r w:rsidRPr="00A32F1B">
        <w:t>Gaster</w:t>
      </w:r>
      <w:proofErr w:type="spellEnd"/>
      <w:r w:rsidRPr="00A32F1B">
        <w:t xml:space="preserve">, Moses. “The Sword of Moses. An Ancient Book of Magic, Published for the First Time, from </w:t>
      </w:r>
      <w:proofErr w:type="gramStart"/>
      <w:r w:rsidRPr="00A32F1B">
        <w:t>an</w:t>
      </w:r>
      <w:proofErr w:type="gramEnd"/>
      <w:r w:rsidRPr="00A32F1B">
        <w:t xml:space="preserve"> Unique Manuscript (Cod. Heb., </w:t>
      </w:r>
      <w:proofErr w:type="spellStart"/>
      <w:r w:rsidRPr="00A32F1B">
        <w:t>Gaster</w:t>
      </w:r>
      <w:proofErr w:type="spellEnd"/>
      <w:r w:rsidRPr="00A32F1B">
        <w:t xml:space="preserve"> 178), with Introduction and Translation.” </w:t>
      </w:r>
      <w:r w:rsidRPr="00A32F1B">
        <w:rPr>
          <w:i/>
          <w:iCs/>
        </w:rPr>
        <w:t>The Journal of the Royal Asiatic Society of Great Britain and Ireland</w:t>
      </w:r>
      <w:r w:rsidRPr="00A32F1B">
        <w:t xml:space="preserve">, 1896, 149-XXXV. Accessed May 5, 2021. </w:t>
      </w:r>
      <w:hyperlink r:id="rId16" w:history="1">
        <w:r w:rsidRPr="00A32F1B">
          <w:rPr>
            <w:rStyle w:val="Hypertextovodkaz"/>
          </w:rPr>
          <w:t>http://www.jstor.org/stable/25207779</w:t>
        </w:r>
      </w:hyperlink>
      <w:r w:rsidRPr="00A32F1B">
        <w:t>.</w:t>
      </w:r>
    </w:p>
    <w:p w14:paraId="266D14BD" w14:textId="77777777" w:rsidR="00B37871" w:rsidRPr="00A32F1B" w:rsidRDefault="00B37871" w:rsidP="00B37871">
      <w:pPr>
        <w:pStyle w:val="Bibliografie1"/>
      </w:pPr>
      <w:bookmarkStart w:id="28" w:name="_Hlk70771231"/>
      <w:r w:rsidRPr="00A32F1B">
        <w:t xml:space="preserve">Geller, M. J., Nicholas Sims-Williams, and J. C. Wright. “Notes and Communications.” </w:t>
      </w:r>
      <w:r w:rsidRPr="00A32F1B">
        <w:rPr>
          <w:i/>
          <w:iCs/>
        </w:rPr>
        <w:t>Bulletin of the School of Oriental and African Studies, University of London</w:t>
      </w:r>
      <w:r w:rsidRPr="00A32F1B">
        <w:t xml:space="preserve"> 60, no. 2 (1997): 327-43. Accessed May 5, 2021. </w:t>
      </w:r>
      <w:hyperlink r:id="rId17" w:history="1">
        <w:r w:rsidRPr="00A32F1B">
          <w:rPr>
            <w:rStyle w:val="Hypertextovodkaz"/>
          </w:rPr>
          <w:t>http://www.jstor.org/stable/620388</w:t>
        </w:r>
      </w:hyperlink>
      <w:r w:rsidRPr="00A32F1B">
        <w:t>.</w:t>
      </w:r>
      <w:bookmarkEnd w:id="28"/>
      <w:r w:rsidRPr="00A32F1B">
        <w:t xml:space="preserve"> </w:t>
      </w:r>
    </w:p>
    <w:p w14:paraId="41C15BB5" w14:textId="7D602433" w:rsidR="00B37871" w:rsidRPr="00A32F1B" w:rsidRDefault="00B37871" w:rsidP="00B37871">
      <w:pPr>
        <w:pStyle w:val="Bibliografie1"/>
      </w:pPr>
      <w:bookmarkStart w:id="29" w:name="_Hlk70768828"/>
      <w:r w:rsidRPr="00A32F1B">
        <w:lastRenderedPageBreak/>
        <w:t xml:space="preserve">“Gem research.” </w:t>
      </w:r>
      <w:r w:rsidRPr="00A32F1B">
        <w:rPr>
          <w:i/>
          <w:iCs/>
        </w:rPr>
        <w:t>Classical Art Research Centre, University of Oxford</w:t>
      </w:r>
      <w:r w:rsidRPr="00A32F1B">
        <w:t xml:space="preserve">. Accessed May 5, 2021. </w:t>
      </w:r>
      <w:hyperlink r:id="rId18" w:history="1">
        <w:r w:rsidRPr="00A32F1B">
          <w:rPr>
            <w:rStyle w:val="Hypertextovodkaz"/>
          </w:rPr>
          <w:t>https://www.beazley.ox.ac.uk/gems/default.htm</w:t>
        </w:r>
      </w:hyperlink>
      <w:r w:rsidR="008E4EA4" w:rsidRPr="00A32F1B">
        <w:t>.</w:t>
      </w:r>
    </w:p>
    <w:p w14:paraId="6CFC262F" w14:textId="041F25B0" w:rsidR="006B31DF" w:rsidRPr="00A32F1B" w:rsidRDefault="006B31DF" w:rsidP="006B31DF">
      <w:pPr>
        <w:pStyle w:val="Bibliografie1"/>
        <w:rPr>
          <w:i/>
          <w:iCs/>
        </w:rPr>
      </w:pPr>
      <w:bookmarkStart w:id="30" w:name="_Hlk70768054"/>
      <w:bookmarkEnd w:id="29"/>
      <w:proofErr w:type="spellStart"/>
      <w:r w:rsidRPr="00A32F1B">
        <w:t>Giversen</w:t>
      </w:r>
      <w:proofErr w:type="spellEnd"/>
      <w:r w:rsidRPr="00A32F1B">
        <w:t xml:space="preserve">, </w:t>
      </w:r>
      <w:proofErr w:type="spellStart"/>
      <w:r w:rsidRPr="00A32F1B">
        <w:t>S</w:t>
      </w:r>
      <w:r w:rsidRPr="00A32F1B">
        <w:rPr>
          <w:rFonts w:cs="Times New Roman"/>
        </w:rPr>
        <w:t>ø</w:t>
      </w:r>
      <w:r w:rsidRPr="00A32F1B">
        <w:t>ren</w:t>
      </w:r>
      <w:proofErr w:type="spellEnd"/>
      <w:r w:rsidRPr="00A32F1B">
        <w:t>, and Birger A. Pearson</w:t>
      </w:r>
      <w:r w:rsidR="005534F6" w:rsidRPr="00A32F1B">
        <w:t xml:space="preserve">, </w:t>
      </w:r>
      <w:proofErr w:type="gramStart"/>
      <w:r w:rsidR="005534F6" w:rsidRPr="00A32F1B">
        <w:t>t</w:t>
      </w:r>
      <w:r w:rsidRPr="00A32F1B">
        <w:t>rans.</w:t>
      </w:r>
      <w:proofErr w:type="gramEnd"/>
      <w:r w:rsidRPr="00A32F1B">
        <w:t xml:space="preserve"> and </w:t>
      </w:r>
      <w:r w:rsidR="005534F6" w:rsidRPr="00A32F1B">
        <w:t>i</w:t>
      </w:r>
      <w:r w:rsidRPr="00A32F1B">
        <w:t xml:space="preserve">ntro. “Melchizedek (IX, 1).” In </w:t>
      </w:r>
      <w:proofErr w:type="gramStart"/>
      <w:r w:rsidRPr="00A32F1B">
        <w:rPr>
          <w:i/>
          <w:iCs/>
        </w:rPr>
        <w:t>The</w:t>
      </w:r>
      <w:proofErr w:type="gramEnd"/>
      <w:r w:rsidRPr="00A32F1B">
        <w:rPr>
          <w:i/>
          <w:iCs/>
        </w:rPr>
        <w:t xml:space="preserve"> Nag Hammadi Library in English. </w:t>
      </w:r>
      <w:r w:rsidRPr="00A32F1B">
        <w:t xml:space="preserve">Edited by James M. Robinson, 438-444. San Francisco: </w:t>
      </w:r>
      <w:proofErr w:type="spellStart"/>
      <w:r w:rsidRPr="00A32F1B">
        <w:t>HarperSanFrancisco</w:t>
      </w:r>
      <w:proofErr w:type="spellEnd"/>
      <w:r w:rsidRPr="00A32F1B">
        <w:t>, 1990</w:t>
      </w:r>
      <w:r w:rsidR="008E4EA4" w:rsidRPr="00A32F1B">
        <w:t>.</w:t>
      </w:r>
    </w:p>
    <w:p w14:paraId="31E80410" w14:textId="4C3BEEAE" w:rsidR="00B37871" w:rsidRPr="00A32F1B" w:rsidRDefault="00B37871" w:rsidP="00B37871">
      <w:pPr>
        <w:pStyle w:val="Bibliografie1"/>
      </w:pPr>
      <w:r w:rsidRPr="00A32F1B">
        <w:t xml:space="preserve">Goldstein, Jonathan A. “Jewish Acceptance and Rejection of Hellenism.” In </w:t>
      </w:r>
      <w:r w:rsidRPr="00A32F1B">
        <w:rPr>
          <w:i/>
          <w:iCs/>
        </w:rPr>
        <w:t>Semites, Iranians, Greeks, and Romans: Studies in Their Interactions</w:t>
      </w:r>
      <w:r w:rsidRPr="00A32F1B">
        <w:t xml:space="preserve">, 3-32. Brown Judaic Studies, 2020. Accessed May 5, 2021. </w:t>
      </w:r>
      <w:hyperlink r:id="rId19" w:history="1">
        <w:r w:rsidRPr="00A32F1B">
          <w:rPr>
            <w:rStyle w:val="Hypertextovodkaz"/>
          </w:rPr>
          <w:t>www.jstor.org/stable/j.ctvzpv55g.5</w:t>
        </w:r>
      </w:hyperlink>
      <w:r w:rsidRPr="00A32F1B">
        <w:t xml:space="preserve">. </w:t>
      </w:r>
    </w:p>
    <w:p w14:paraId="2CF098C1" w14:textId="036BC09D" w:rsidR="00B37871" w:rsidRPr="00A32F1B" w:rsidRDefault="00B37871" w:rsidP="00B37871">
      <w:pPr>
        <w:pStyle w:val="Bibliografie1"/>
      </w:pPr>
      <w:r w:rsidRPr="00A32F1B">
        <w:t xml:space="preserve">Goodenough, Erwin R. </w:t>
      </w:r>
      <w:r w:rsidRPr="00A32F1B">
        <w:rPr>
          <w:i/>
          <w:iCs/>
        </w:rPr>
        <w:t>Jewish Symbols in the Greco-Roman Period: (Abridged Edition)</w:t>
      </w:r>
      <w:r w:rsidRPr="00A32F1B">
        <w:t xml:space="preserve">. Edited by Jacob </w:t>
      </w:r>
      <w:proofErr w:type="spellStart"/>
      <w:r w:rsidRPr="00A32F1B">
        <w:t>Neusner</w:t>
      </w:r>
      <w:proofErr w:type="spellEnd"/>
      <w:r w:rsidRPr="00A32F1B">
        <w:t xml:space="preserve">. Princeton and Oxford: Princeton University Press, 1968. Accessed </w:t>
      </w:r>
      <w:r w:rsidR="005534F6" w:rsidRPr="00A32F1B">
        <w:t>May</w:t>
      </w:r>
      <w:r w:rsidRPr="00A32F1B">
        <w:t xml:space="preserve"> </w:t>
      </w:r>
      <w:r w:rsidR="005534F6" w:rsidRPr="00A32F1B">
        <w:t>5</w:t>
      </w:r>
      <w:r w:rsidRPr="00A32F1B">
        <w:t xml:space="preserve">, 2021. </w:t>
      </w:r>
      <w:hyperlink r:id="rId20" w:history="1">
        <w:r w:rsidRPr="00A32F1B">
          <w:rPr>
            <w:rStyle w:val="Hypertextovodkaz"/>
          </w:rPr>
          <w:t>http://www.jstor.org/stable/j.ctt7zvg9x</w:t>
        </w:r>
      </w:hyperlink>
      <w:r w:rsidRPr="00A32F1B">
        <w:t>.</w:t>
      </w:r>
      <w:bookmarkEnd w:id="30"/>
    </w:p>
    <w:p w14:paraId="2520EDC5" w14:textId="77777777" w:rsidR="00B37871" w:rsidRPr="00A32F1B" w:rsidRDefault="00B37871" w:rsidP="00B37871">
      <w:pPr>
        <w:pStyle w:val="Bibliografie1"/>
      </w:pPr>
      <w:bookmarkStart w:id="31" w:name="_Hlk70768571"/>
      <w:r w:rsidRPr="00A32F1B">
        <w:t xml:space="preserve">Gordon, Richard. “Archaeologies of Magical Gems.” In </w:t>
      </w:r>
      <w:r w:rsidRPr="00A32F1B">
        <w:rPr>
          <w:i/>
          <w:iCs/>
        </w:rPr>
        <w:t>‘Gems of Heaven’: Recent Research on Engraved Gemstones in Late Antiquity, c. AD 200-600</w:t>
      </w:r>
      <w:r w:rsidRPr="00A32F1B">
        <w:t>. Edited by Chris Entwistle and No</w:t>
      </w:r>
      <w:r w:rsidRPr="00A32F1B">
        <w:rPr>
          <w:rFonts w:cstheme="minorHAnsi"/>
        </w:rPr>
        <w:t>ë</w:t>
      </w:r>
      <w:r w:rsidRPr="00A32F1B">
        <w:t>l Adams, 39-49. London: British Museum, 2012.</w:t>
      </w:r>
    </w:p>
    <w:bookmarkEnd w:id="31"/>
    <w:p w14:paraId="7B4E673E" w14:textId="145F7B17" w:rsidR="00B37871" w:rsidRPr="00A32F1B" w:rsidRDefault="00B37871" w:rsidP="00B37871">
      <w:pPr>
        <w:pStyle w:val="Bibliografie1"/>
      </w:pPr>
      <w:proofErr w:type="spellStart"/>
      <w:r w:rsidRPr="00A32F1B">
        <w:t>Guggenheimer</w:t>
      </w:r>
      <w:proofErr w:type="spellEnd"/>
      <w:r w:rsidRPr="00A32F1B">
        <w:t>, Heinrich W.</w:t>
      </w:r>
      <w:r w:rsidR="005534F6" w:rsidRPr="00A32F1B">
        <w:t>, e</w:t>
      </w:r>
      <w:r w:rsidRPr="00A32F1B">
        <w:t xml:space="preserve">d. </w:t>
      </w:r>
      <w:r w:rsidRPr="00A32F1B">
        <w:rPr>
          <w:i/>
          <w:iCs/>
        </w:rPr>
        <w:t xml:space="preserve">The Jerusalem Talmud. Second </w:t>
      </w:r>
      <w:proofErr w:type="spellStart"/>
      <w:proofErr w:type="gramStart"/>
      <w:r w:rsidRPr="00A32F1B">
        <w:rPr>
          <w:i/>
          <w:iCs/>
        </w:rPr>
        <w:t>Order:Mo’ed</w:t>
      </w:r>
      <w:proofErr w:type="spellEnd"/>
      <w:proofErr w:type="gramEnd"/>
      <w:r w:rsidRPr="00A32F1B">
        <w:rPr>
          <w:i/>
          <w:iCs/>
        </w:rPr>
        <w:t xml:space="preserve">. Tractates </w:t>
      </w:r>
      <w:proofErr w:type="spellStart"/>
      <w:r w:rsidRPr="00A32F1B">
        <w:rPr>
          <w:i/>
          <w:iCs/>
        </w:rPr>
        <w:t>Šeqalim</w:t>
      </w:r>
      <w:proofErr w:type="spellEnd"/>
      <w:r w:rsidRPr="00A32F1B">
        <w:rPr>
          <w:i/>
          <w:iCs/>
        </w:rPr>
        <w:t xml:space="preserve">, Sukkah, </w:t>
      </w:r>
      <w:proofErr w:type="spellStart"/>
      <w:r w:rsidRPr="00A32F1B">
        <w:rPr>
          <w:i/>
          <w:iCs/>
        </w:rPr>
        <w:t>Roš</w:t>
      </w:r>
      <w:proofErr w:type="spellEnd"/>
      <w:r w:rsidRPr="00A32F1B">
        <w:rPr>
          <w:i/>
          <w:iCs/>
        </w:rPr>
        <w:t xml:space="preserve"> </w:t>
      </w:r>
      <w:proofErr w:type="spellStart"/>
      <w:r w:rsidRPr="00A32F1B">
        <w:rPr>
          <w:i/>
          <w:iCs/>
        </w:rPr>
        <w:t>Haššanah</w:t>
      </w:r>
      <w:proofErr w:type="spellEnd"/>
      <w:r w:rsidRPr="00A32F1B">
        <w:rPr>
          <w:i/>
          <w:iCs/>
        </w:rPr>
        <w:t>, and Yom Tov (</w:t>
      </w:r>
      <w:proofErr w:type="spellStart"/>
      <w:r w:rsidRPr="00A32F1B">
        <w:rPr>
          <w:i/>
          <w:iCs/>
        </w:rPr>
        <w:t>Besah</w:t>
      </w:r>
      <w:proofErr w:type="spellEnd"/>
      <w:r w:rsidRPr="00A32F1B">
        <w:rPr>
          <w:i/>
          <w:iCs/>
        </w:rPr>
        <w:t>).</w:t>
      </w:r>
      <w:r w:rsidRPr="00A32F1B">
        <w:t xml:space="preserve"> Berlin and Boston: Walter de Gruyter, 2014.</w:t>
      </w:r>
    </w:p>
    <w:p w14:paraId="09DBBD13" w14:textId="4F828472" w:rsidR="00B37871" w:rsidRPr="00A32F1B" w:rsidRDefault="00B37871" w:rsidP="00B37871">
      <w:pPr>
        <w:pStyle w:val="Bibliografie1"/>
      </w:pPr>
      <w:bookmarkStart w:id="32" w:name="_Hlk70704714"/>
      <w:r w:rsidRPr="00A32F1B">
        <w:t xml:space="preserve">Harari, Yuval. “Moses, the Sword, and The Sword of Moses: Between Rabbinical and Magical Traditions.” </w:t>
      </w:r>
      <w:r w:rsidRPr="00A32F1B">
        <w:rPr>
          <w:i/>
          <w:iCs/>
        </w:rPr>
        <w:t>Jewish Studies Quarterly</w:t>
      </w:r>
      <w:r w:rsidRPr="00A32F1B">
        <w:t xml:space="preserve"> 12, no. 4 (2005): 293-329. Accessed </w:t>
      </w:r>
      <w:r w:rsidR="005534F6" w:rsidRPr="00A32F1B">
        <w:t>May</w:t>
      </w:r>
      <w:r w:rsidRPr="00A32F1B">
        <w:t xml:space="preserve"> </w:t>
      </w:r>
      <w:r w:rsidR="005534F6" w:rsidRPr="00A32F1B">
        <w:t>5</w:t>
      </w:r>
      <w:r w:rsidRPr="00A32F1B">
        <w:t xml:space="preserve">, 2021. </w:t>
      </w:r>
      <w:hyperlink r:id="rId21" w:history="1">
        <w:r w:rsidRPr="00A32F1B">
          <w:rPr>
            <w:rStyle w:val="Hypertextovodkaz"/>
          </w:rPr>
          <w:t>http://www.jstor.org/stable/40753384</w:t>
        </w:r>
      </w:hyperlink>
      <w:bookmarkEnd w:id="32"/>
      <w:r w:rsidRPr="00A32F1B">
        <w:t xml:space="preserve">. </w:t>
      </w:r>
    </w:p>
    <w:p w14:paraId="4DF125A5" w14:textId="77777777" w:rsidR="00B37871" w:rsidRPr="00A32F1B" w:rsidRDefault="00B37871" w:rsidP="00B37871">
      <w:pPr>
        <w:pStyle w:val="Bibliografie1"/>
      </w:pPr>
      <w:bookmarkStart w:id="33" w:name="_Hlk70769745"/>
      <w:r w:rsidRPr="00A32F1B">
        <w:t xml:space="preserve">Harari, Yuval. </w:t>
      </w:r>
      <w:r w:rsidRPr="00A32F1B">
        <w:rPr>
          <w:i/>
          <w:iCs/>
        </w:rPr>
        <w:t>The Sword of Moses – A New Edition and Study</w:t>
      </w:r>
      <w:r w:rsidRPr="00A32F1B">
        <w:t xml:space="preserve">. Jerusalem: </w:t>
      </w:r>
      <w:proofErr w:type="spellStart"/>
      <w:r w:rsidRPr="00A32F1B">
        <w:t>Academon</w:t>
      </w:r>
      <w:proofErr w:type="spellEnd"/>
      <w:r w:rsidRPr="00A32F1B">
        <w:t>, 1997. (Hebrew) (</w:t>
      </w:r>
      <w:r w:rsidRPr="00A32F1B">
        <w:rPr>
          <w:rFonts w:cs="Times New Roman"/>
          <w:sz w:val="32"/>
          <w:szCs w:val="28"/>
          <w:rtl/>
        </w:rPr>
        <w:t>חרבא דמשה: מהדורה חדשה ומחקר. ירושלים: אקדמון, תשנ''ז</w:t>
      </w:r>
      <w:r w:rsidRPr="00A32F1B">
        <w:t>).</w:t>
      </w:r>
    </w:p>
    <w:p w14:paraId="373DF712" w14:textId="77777777" w:rsidR="00B37871" w:rsidRPr="00A32F1B" w:rsidRDefault="00B37871" w:rsidP="00B37871">
      <w:pPr>
        <w:pStyle w:val="Bibliografie1"/>
      </w:pPr>
      <w:bookmarkStart w:id="34" w:name="_Hlk70769667"/>
      <w:bookmarkEnd w:id="33"/>
      <w:r w:rsidRPr="00A32F1B">
        <w:t>Harari, Yuval. “The Sword of Moses (</w:t>
      </w:r>
      <w:proofErr w:type="spellStart"/>
      <w:r w:rsidRPr="00A32F1B">
        <w:t>Ḥarba</w:t>
      </w:r>
      <w:proofErr w:type="spellEnd"/>
      <w:r w:rsidRPr="00A32F1B">
        <w:t xml:space="preserve"> de-Moshe): A New Translation and Introduction.” </w:t>
      </w:r>
      <w:r w:rsidRPr="00A32F1B">
        <w:rPr>
          <w:i/>
          <w:iCs/>
        </w:rPr>
        <w:t>Magic, Ritual, and Witchcraft</w:t>
      </w:r>
      <w:r w:rsidRPr="00A32F1B">
        <w:t xml:space="preserve"> 7, no. 1 (2012): 58-98.</w:t>
      </w:r>
    </w:p>
    <w:bookmarkEnd w:id="34"/>
    <w:p w14:paraId="5F3C35FE" w14:textId="77777777" w:rsidR="00B37871" w:rsidRPr="00A32F1B" w:rsidRDefault="00B37871" w:rsidP="00B37871">
      <w:pPr>
        <w:pStyle w:val="Bibliografie1"/>
      </w:pPr>
      <w:r w:rsidRPr="00A32F1B">
        <w:t xml:space="preserve">Hedrick, Charles W. “Christian Motifs in the ‘Gospel of the Egyptians’: Method and Motive.” </w:t>
      </w:r>
      <w:r w:rsidRPr="00A32F1B">
        <w:rPr>
          <w:i/>
          <w:iCs/>
        </w:rPr>
        <w:t xml:space="preserve">Novum </w:t>
      </w:r>
      <w:proofErr w:type="spellStart"/>
      <w:r w:rsidRPr="00A32F1B">
        <w:rPr>
          <w:i/>
          <w:iCs/>
        </w:rPr>
        <w:t>Testamentum</w:t>
      </w:r>
      <w:proofErr w:type="spellEnd"/>
      <w:r w:rsidRPr="00A32F1B">
        <w:t xml:space="preserve"> 23, no. 3 (1981): 242-60. Accessed May 5, 2021. </w:t>
      </w:r>
      <w:hyperlink r:id="rId22" w:history="1">
        <w:r w:rsidRPr="00A32F1B">
          <w:rPr>
            <w:rStyle w:val="Hypertextovodkaz"/>
          </w:rPr>
          <w:t>www.jstor.org/stable/1560684</w:t>
        </w:r>
      </w:hyperlink>
      <w:r w:rsidRPr="00A32F1B">
        <w:t xml:space="preserve">. </w:t>
      </w:r>
    </w:p>
    <w:p w14:paraId="0272BFFA" w14:textId="1416A2E2" w:rsidR="009B569B" w:rsidRPr="00A32F1B" w:rsidRDefault="009B569B" w:rsidP="00B37871">
      <w:pPr>
        <w:pStyle w:val="Bibliografie1"/>
      </w:pPr>
      <w:proofErr w:type="spellStart"/>
      <w:r w:rsidRPr="00A32F1B">
        <w:rPr>
          <w:i/>
          <w:iCs/>
        </w:rPr>
        <w:lastRenderedPageBreak/>
        <w:t>Hermetica</w:t>
      </w:r>
      <w:proofErr w:type="spellEnd"/>
      <w:r w:rsidRPr="00A32F1B">
        <w:rPr>
          <w:i/>
          <w:iCs/>
        </w:rPr>
        <w:t xml:space="preserve">: The Ancient Greek and Latin Writings Which Contain Religious or Philosophic Teachings Ascribed to Hermes </w:t>
      </w:r>
      <w:proofErr w:type="spellStart"/>
      <w:r w:rsidRPr="00A32F1B">
        <w:rPr>
          <w:i/>
          <w:iCs/>
        </w:rPr>
        <w:t>Trimegistus</w:t>
      </w:r>
      <w:proofErr w:type="spellEnd"/>
      <w:r w:rsidRPr="00A32F1B">
        <w:t>. Volume I. Edited and translated by Walter Scott. Oxford: The Clarendon Press, 1924. (1-15)</w:t>
      </w:r>
    </w:p>
    <w:p w14:paraId="23F043EA" w14:textId="5EBFE2F5" w:rsidR="00B37871" w:rsidRPr="00A32F1B" w:rsidRDefault="00B37871" w:rsidP="00B37871">
      <w:pPr>
        <w:pStyle w:val="Bibliografie1"/>
      </w:pPr>
      <w:r w:rsidRPr="00A32F1B">
        <w:t xml:space="preserve">Herodotus. </w:t>
      </w:r>
      <w:r w:rsidRPr="00A32F1B">
        <w:rPr>
          <w:i/>
          <w:iCs/>
        </w:rPr>
        <w:t>Herodotus, With an English Translation by A. D. Godley.</w:t>
      </w:r>
      <w:r w:rsidRPr="00A32F1B">
        <w:t xml:space="preserve"> Volume I. Translated and edited by Alfred Denis Godley. London: William Heinemann ltd., 1920.</w:t>
      </w:r>
    </w:p>
    <w:p w14:paraId="536A3E66" w14:textId="77777777" w:rsidR="00B37871" w:rsidRPr="00A32F1B" w:rsidRDefault="00B37871" w:rsidP="00B37871">
      <w:pPr>
        <w:pStyle w:val="Bibliografie1"/>
      </w:pPr>
      <w:r w:rsidRPr="00A32F1B">
        <w:t xml:space="preserve">Hesse, Hermann. </w:t>
      </w:r>
      <w:proofErr w:type="spellStart"/>
      <w:r w:rsidRPr="00A32F1B">
        <w:rPr>
          <w:i/>
          <w:iCs/>
        </w:rPr>
        <w:t>Demian</w:t>
      </w:r>
      <w:proofErr w:type="spellEnd"/>
      <w:r w:rsidRPr="00A32F1B">
        <w:rPr>
          <w:i/>
          <w:iCs/>
        </w:rPr>
        <w:t>: The Story of Emil Sinclair’s Youth</w:t>
      </w:r>
      <w:r w:rsidRPr="00A32F1B">
        <w:t>. New York: MJF Books, 2010.</w:t>
      </w:r>
    </w:p>
    <w:p w14:paraId="2DE8B974" w14:textId="77777777" w:rsidR="00B37871" w:rsidRPr="00A32F1B" w:rsidRDefault="00B37871" w:rsidP="00B37871">
      <w:pPr>
        <w:pStyle w:val="Bibliografie1"/>
      </w:pPr>
      <w:r w:rsidRPr="00A32F1B">
        <w:t xml:space="preserve">“Introduction: Magical Literature.” </w:t>
      </w:r>
      <w:r w:rsidRPr="00A32F1B">
        <w:rPr>
          <w:i/>
          <w:iCs/>
        </w:rPr>
        <w:t xml:space="preserve">The </w:t>
      </w:r>
      <w:proofErr w:type="spellStart"/>
      <w:r w:rsidRPr="00A32F1B">
        <w:rPr>
          <w:i/>
          <w:iCs/>
        </w:rPr>
        <w:t>Sch</w:t>
      </w:r>
      <w:r w:rsidRPr="00A32F1B">
        <w:rPr>
          <w:rFonts w:cstheme="minorHAnsi"/>
          <w:i/>
          <w:iCs/>
        </w:rPr>
        <w:t>ø</w:t>
      </w:r>
      <w:r w:rsidRPr="00A32F1B">
        <w:rPr>
          <w:i/>
          <w:iCs/>
        </w:rPr>
        <w:t>yen</w:t>
      </w:r>
      <w:proofErr w:type="spellEnd"/>
      <w:r w:rsidRPr="00A32F1B">
        <w:rPr>
          <w:i/>
          <w:iCs/>
        </w:rPr>
        <w:t xml:space="preserve"> Collection.</w:t>
      </w:r>
      <w:r w:rsidRPr="00A32F1B">
        <w:t xml:space="preserve"> Accessed May 5, 2021. </w:t>
      </w:r>
      <w:hyperlink r:id="rId23" w:history="1">
        <w:r w:rsidRPr="00A32F1B">
          <w:rPr>
            <w:rStyle w:val="Hypertextovodkaz"/>
          </w:rPr>
          <w:t>https://www.schoyencollection.com/magical-literature-introduction</w:t>
        </w:r>
      </w:hyperlink>
      <w:r w:rsidRPr="00A32F1B">
        <w:t xml:space="preserve"> </w:t>
      </w:r>
    </w:p>
    <w:p w14:paraId="541F6E48" w14:textId="77777777" w:rsidR="00B37871" w:rsidRPr="00A32F1B" w:rsidRDefault="00B37871" w:rsidP="00B37871">
      <w:pPr>
        <w:pStyle w:val="Bibliografie1"/>
      </w:pPr>
      <w:proofErr w:type="spellStart"/>
      <w:r w:rsidRPr="00A32F1B">
        <w:t>Icks</w:t>
      </w:r>
      <w:proofErr w:type="spellEnd"/>
      <w:r w:rsidRPr="00A32F1B">
        <w:t xml:space="preserve">, </w:t>
      </w:r>
      <w:proofErr w:type="spellStart"/>
      <w:r w:rsidRPr="00A32F1B">
        <w:t>Martijn</w:t>
      </w:r>
      <w:proofErr w:type="spellEnd"/>
      <w:r w:rsidRPr="00A32F1B">
        <w:t xml:space="preserve">. </w:t>
      </w:r>
      <w:r w:rsidRPr="00A32F1B">
        <w:rPr>
          <w:i/>
          <w:iCs/>
        </w:rPr>
        <w:t>The Crimes of Elagabalus: The Life and Legacy of Rome’s Decadent Boy Emperor.</w:t>
      </w:r>
      <w:r w:rsidRPr="00A32F1B">
        <w:t xml:space="preserve"> London and New York: I.B. Tauris, 2013.</w:t>
      </w:r>
    </w:p>
    <w:p w14:paraId="54D6A383" w14:textId="77777777" w:rsidR="00B37871" w:rsidRPr="00A32F1B" w:rsidRDefault="00B37871" w:rsidP="00B37871">
      <w:pPr>
        <w:pStyle w:val="Bibliografie1"/>
        <w:rPr>
          <w:i/>
          <w:iCs/>
        </w:rPr>
      </w:pPr>
      <w:r w:rsidRPr="00A32F1B">
        <w:t xml:space="preserve">Irenaeus, Saint. </w:t>
      </w:r>
      <w:r w:rsidRPr="00A32F1B">
        <w:rPr>
          <w:i/>
          <w:iCs/>
        </w:rPr>
        <w:t xml:space="preserve">Sancti </w:t>
      </w:r>
      <w:proofErr w:type="spellStart"/>
      <w:r w:rsidRPr="00A32F1B">
        <w:rPr>
          <w:i/>
          <w:iCs/>
        </w:rPr>
        <w:t>Irenaei</w:t>
      </w:r>
      <w:proofErr w:type="spellEnd"/>
      <w:r w:rsidRPr="00A32F1B">
        <w:rPr>
          <w:i/>
          <w:iCs/>
        </w:rPr>
        <w:t xml:space="preserve"> </w:t>
      </w:r>
      <w:proofErr w:type="spellStart"/>
      <w:r w:rsidRPr="00A32F1B">
        <w:rPr>
          <w:i/>
          <w:iCs/>
        </w:rPr>
        <w:t>episcopi</w:t>
      </w:r>
      <w:proofErr w:type="spellEnd"/>
      <w:r w:rsidRPr="00A32F1B">
        <w:rPr>
          <w:i/>
          <w:iCs/>
        </w:rPr>
        <w:t xml:space="preserve"> </w:t>
      </w:r>
      <w:proofErr w:type="spellStart"/>
      <w:r w:rsidRPr="00A32F1B">
        <w:rPr>
          <w:i/>
          <w:iCs/>
        </w:rPr>
        <w:t>Lugdunensis</w:t>
      </w:r>
      <w:proofErr w:type="spellEnd"/>
      <w:r w:rsidRPr="00A32F1B">
        <w:rPr>
          <w:i/>
          <w:iCs/>
        </w:rPr>
        <w:t xml:space="preserve"> </w:t>
      </w:r>
      <w:proofErr w:type="spellStart"/>
      <w:r w:rsidRPr="00A32F1B">
        <w:rPr>
          <w:i/>
          <w:iCs/>
        </w:rPr>
        <w:t>Libros</w:t>
      </w:r>
      <w:proofErr w:type="spellEnd"/>
      <w:r w:rsidRPr="00A32F1B">
        <w:rPr>
          <w:i/>
          <w:iCs/>
        </w:rPr>
        <w:t xml:space="preserve"> </w:t>
      </w:r>
      <w:proofErr w:type="spellStart"/>
      <w:r w:rsidRPr="00A32F1B">
        <w:rPr>
          <w:i/>
          <w:iCs/>
        </w:rPr>
        <w:t>quinque</w:t>
      </w:r>
      <w:proofErr w:type="spellEnd"/>
      <w:r w:rsidRPr="00A32F1B">
        <w:rPr>
          <w:i/>
          <w:iCs/>
        </w:rPr>
        <w:t xml:space="preserve"> </w:t>
      </w:r>
      <w:proofErr w:type="spellStart"/>
      <w:r w:rsidRPr="00A32F1B">
        <w:rPr>
          <w:i/>
          <w:iCs/>
        </w:rPr>
        <w:t>adversus</w:t>
      </w:r>
      <w:proofErr w:type="spellEnd"/>
      <w:r w:rsidRPr="00A32F1B">
        <w:rPr>
          <w:i/>
          <w:iCs/>
        </w:rPr>
        <w:t xml:space="preserve"> </w:t>
      </w:r>
      <w:proofErr w:type="spellStart"/>
      <w:r w:rsidRPr="00A32F1B">
        <w:rPr>
          <w:i/>
          <w:iCs/>
        </w:rPr>
        <w:t>haereses</w:t>
      </w:r>
      <w:proofErr w:type="spellEnd"/>
      <w:r w:rsidRPr="00A32F1B">
        <w:rPr>
          <w:i/>
          <w:iCs/>
        </w:rPr>
        <w:t xml:space="preserve">. </w:t>
      </w:r>
      <w:r w:rsidRPr="00A32F1B">
        <w:t xml:space="preserve">Edited by William Wigan Harvey. </w:t>
      </w:r>
      <w:proofErr w:type="spellStart"/>
      <w:r w:rsidRPr="00A32F1B">
        <w:t>Cantabrigiae</w:t>
      </w:r>
      <w:proofErr w:type="spellEnd"/>
      <w:r w:rsidRPr="00A32F1B">
        <w:t xml:space="preserve">: </w:t>
      </w:r>
      <w:proofErr w:type="spellStart"/>
      <w:r w:rsidRPr="00A32F1B">
        <w:t>Typis</w:t>
      </w:r>
      <w:proofErr w:type="spellEnd"/>
      <w:r w:rsidRPr="00A32F1B">
        <w:t xml:space="preserve"> </w:t>
      </w:r>
      <w:proofErr w:type="spellStart"/>
      <w:r w:rsidRPr="00A32F1B">
        <w:t>Academicis</w:t>
      </w:r>
      <w:proofErr w:type="spellEnd"/>
      <w:r w:rsidRPr="00A32F1B">
        <w:t>, 1857.</w:t>
      </w:r>
    </w:p>
    <w:p w14:paraId="494BACE2" w14:textId="77777777" w:rsidR="00B37871" w:rsidRPr="00A32F1B" w:rsidRDefault="00B37871" w:rsidP="00B37871">
      <w:pPr>
        <w:pStyle w:val="Bibliografie1"/>
      </w:pPr>
      <w:r w:rsidRPr="00A32F1B">
        <w:t xml:space="preserve">Janssens, Lucien. “La </w:t>
      </w:r>
      <w:proofErr w:type="spellStart"/>
      <w:r w:rsidRPr="00A32F1B">
        <w:t>Datation</w:t>
      </w:r>
      <w:proofErr w:type="spellEnd"/>
      <w:r w:rsidRPr="00A32F1B">
        <w:t xml:space="preserve"> </w:t>
      </w:r>
      <w:proofErr w:type="spellStart"/>
      <w:r w:rsidRPr="00A32F1B">
        <w:t>Néronienne</w:t>
      </w:r>
      <w:proofErr w:type="spellEnd"/>
      <w:r w:rsidRPr="00A32F1B">
        <w:t xml:space="preserve"> De </w:t>
      </w:r>
      <w:proofErr w:type="spellStart"/>
      <w:r w:rsidRPr="00A32F1B">
        <w:t>L'isopséphie</w:t>
      </w:r>
      <w:proofErr w:type="spellEnd"/>
      <w:r w:rsidRPr="00A32F1B">
        <w:t xml:space="preserve">: </w:t>
      </w:r>
      <w:proofErr w:type="spellStart"/>
      <w:r w:rsidRPr="00A32F1B">
        <w:t>Νεῖλος</w:t>
      </w:r>
      <w:proofErr w:type="spellEnd"/>
      <w:r w:rsidRPr="00A32F1B">
        <w:t xml:space="preserve"> (=Osiris) = Ἀβρα</w:t>
      </w:r>
      <w:proofErr w:type="spellStart"/>
      <w:r w:rsidRPr="00A32F1B">
        <w:t>σάξ</w:t>
      </w:r>
      <w:proofErr w:type="spellEnd"/>
      <w:r w:rsidRPr="00A32F1B">
        <w:t xml:space="preserve"> = </w:t>
      </w:r>
      <w:proofErr w:type="spellStart"/>
      <w:r w:rsidRPr="00A32F1B">
        <w:t>ἅγιον</w:t>
      </w:r>
      <w:proofErr w:type="spellEnd"/>
      <w:r w:rsidRPr="00A32F1B">
        <w:t xml:space="preserve"> </w:t>
      </w:r>
      <w:proofErr w:type="spellStart"/>
      <w:r w:rsidRPr="00A32F1B">
        <w:t>ὄνομ</w:t>
      </w:r>
      <w:proofErr w:type="spellEnd"/>
      <w:r w:rsidRPr="00A32F1B">
        <w:t xml:space="preserve">α = </w:t>
      </w:r>
      <w:proofErr w:type="spellStart"/>
      <w:r w:rsidRPr="00A32F1B">
        <w:t>Μείθρ</w:t>
      </w:r>
      <w:proofErr w:type="spellEnd"/>
      <w:r w:rsidRPr="00A32F1B">
        <w:t xml:space="preserve">ας.” </w:t>
      </w:r>
      <w:r w:rsidRPr="00A32F1B">
        <w:rPr>
          <w:i/>
          <w:iCs/>
        </w:rPr>
        <w:t>Aegyptus</w:t>
      </w:r>
      <w:r w:rsidRPr="00A32F1B">
        <w:t xml:space="preserve"> 68, no. 1/2 (1988): 103-15. Accessed May 5, 2021. </w:t>
      </w:r>
      <w:hyperlink r:id="rId24" w:history="1">
        <w:r w:rsidRPr="00A32F1B">
          <w:rPr>
            <w:rStyle w:val="Hypertextovodkaz"/>
          </w:rPr>
          <w:t>http://www.jstor.org/stable/41216715</w:t>
        </w:r>
      </w:hyperlink>
      <w:r w:rsidRPr="00A32F1B">
        <w:t xml:space="preserve">. </w:t>
      </w:r>
    </w:p>
    <w:p w14:paraId="77344133" w14:textId="77777777" w:rsidR="00B37871" w:rsidRPr="00A32F1B" w:rsidRDefault="00B37871" w:rsidP="00B37871">
      <w:pPr>
        <w:pStyle w:val="Bibliografie1"/>
      </w:pPr>
      <w:r w:rsidRPr="00A32F1B">
        <w:t xml:space="preserve">“Judas Maccabeus: Jewish leader.” </w:t>
      </w:r>
      <w:proofErr w:type="spellStart"/>
      <w:r w:rsidRPr="00A32F1B">
        <w:rPr>
          <w:i/>
          <w:iCs/>
        </w:rPr>
        <w:t>Encyclopaedia</w:t>
      </w:r>
      <w:proofErr w:type="spellEnd"/>
      <w:r w:rsidRPr="00A32F1B">
        <w:rPr>
          <w:i/>
          <w:iCs/>
        </w:rPr>
        <w:t xml:space="preserve"> Britannica.</w:t>
      </w:r>
      <w:r w:rsidRPr="00A32F1B">
        <w:t xml:space="preserve"> Accessed May 5, 2021. </w:t>
      </w:r>
      <w:hyperlink r:id="rId25" w:history="1">
        <w:r w:rsidRPr="00A32F1B">
          <w:rPr>
            <w:rStyle w:val="Hypertextovodkaz"/>
          </w:rPr>
          <w:t>https://www.britannica.com/biography/Judas-Maccabeus</w:t>
        </w:r>
      </w:hyperlink>
      <w:r w:rsidRPr="00A32F1B">
        <w:t xml:space="preserve">. </w:t>
      </w:r>
    </w:p>
    <w:p w14:paraId="2AB63F55" w14:textId="77777777" w:rsidR="00B37871" w:rsidRPr="00A32F1B" w:rsidRDefault="00B37871" w:rsidP="00B37871">
      <w:pPr>
        <w:pStyle w:val="Bibliografie1"/>
      </w:pPr>
      <w:r w:rsidRPr="00A32F1B">
        <w:t xml:space="preserve">Jung, Carl G. </w:t>
      </w:r>
      <w:r w:rsidRPr="00A32F1B">
        <w:rPr>
          <w:i/>
          <w:iCs/>
        </w:rPr>
        <w:t>The Red Book: Liber Novus.</w:t>
      </w:r>
      <w:r w:rsidRPr="00A32F1B">
        <w:t xml:space="preserve"> Edited by </w:t>
      </w:r>
      <w:proofErr w:type="spellStart"/>
      <w:r w:rsidRPr="00A32F1B">
        <w:t>Sonu</w:t>
      </w:r>
      <w:proofErr w:type="spellEnd"/>
      <w:r w:rsidRPr="00A32F1B">
        <w:t xml:space="preserve"> Shamdasani. New York: W.W. Norton, 2009.</w:t>
      </w:r>
    </w:p>
    <w:p w14:paraId="2CA878D2" w14:textId="77777777" w:rsidR="00B37871" w:rsidRPr="00A32F1B" w:rsidRDefault="00B37871" w:rsidP="00B37871">
      <w:pPr>
        <w:pStyle w:val="Bibliografie1"/>
      </w:pPr>
      <w:proofErr w:type="spellStart"/>
      <w:r w:rsidRPr="00A32F1B">
        <w:t>Kemezis</w:t>
      </w:r>
      <w:proofErr w:type="spellEnd"/>
      <w:r w:rsidRPr="00A32F1B">
        <w:t xml:space="preserve">, Adam M. </w:t>
      </w:r>
      <w:r w:rsidRPr="00A32F1B">
        <w:rPr>
          <w:i/>
          <w:iCs/>
        </w:rPr>
        <w:t xml:space="preserve">Greek Narratives of the Roman Empire under the </w:t>
      </w:r>
      <w:proofErr w:type="spellStart"/>
      <w:r w:rsidRPr="00A32F1B">
        <w:rPr>
          <w:i/>
          <w:iCs/>
        </w:rPr>
        <w:t>Severans</w:t>
      </w:r>
      <w:proofErr w:type="spellEnd"/>
      <w:r w:rsidRPr="00A32F1B">
        <w:rPr>
          <w:i/>
          <w:iCs/>
        </w:rPr>
        <w:t xml:space="preserve">: Cassius </w:t>
      </w:r>
      <w:proofErr w:type="spellStart"/>
      <w:r w:rsidRPr="00A32F1B">
        <w:rPr>
          <w:i/>
          <w:iCs/>
        </w:rPr>
        <w:t>Dio</w:t>
      </w:r>
      <w:proofErr w:type="spellEnd"/>
      <w:r w:rsidRPr="00A32F1B">
        <w:rPr>
          <w:i/>
          <w:iCs/>
        </w:rPr>
        <w:t xml:space="preserve">, </w:t>
      </w:r>
      <w:proofErr w:type="spellStart"/>
      <w:r w:rsidRPr="00A32F1B">
        <w:rPr>
          <w:i/>
          <w:iCs/>
        </w:rPr>
        <w:t>Philostratus</w:t>
      </w:r>
      <w:proofErr w:type="spellEnd"/>
      <w:r w:rsidRPr="00A32F1B">
        <w:rPr>
          <w:i/>
          <w:iCs/>
        </w:rPr>
        <w:t xml:space="preserve"> and Herodian</w:t>
      </w:r>
      <w:r w:rsidRPr="00A32F1B">
        <w:t>. Cambridge: Cambridge University Press, 2014.</w:t>
      </w:r>
    </w:p>
    <w:p w14:paraId="562FDB11" w14:textId="77777777" w:rsidR="00B37871" w:rsidRPr="00A32F1B" w:rsidRDefault="00B37871" w:rsidP="00B37871">
      <w:pPr>
        <w:pStyle w:val="Bibliografie1"/>
      </w:pPr>
      <w:bookmarkStart w:id="35" w:name="_Hlk70701440"/>
      <w:r w:rsidRPr="00A32F1B">
        <w:t xml:space="preserve">King, Charles William. </w:t>
      </w:r>
      <w:r w:rsidRPr="00A32F1B">
        <w:rPr>
          <w:i/>
          <w:iCs/>
        </w:rPr>
        <w:t>The Gnostics and their remains: Ancient and Mediaeval</w:t>
      </w:r>
      <w:r w:rsidRPr="00A32F1B">
        <w:t>. London: David Nutt, 1887.</w:t>
      </w:r>
    </w:p>
    <w:p w14:paraId="04F3FFA9" w14:textId="77777777" w:rsidR="00B37871" w:rsidRPr="00A32F1B" w:rsidRDefault="00B37871" w:rsidP="00B37871">
      <w:pPr>
        <w:pStyle w:val="Bibliografie1"/>
      </w:pPr>
      <w:bookmarkStart w:id="36" w:name="_Hlk70767743"/>
      <w:bookmarkEnd w:id="35"/>
      <w:r w:rsidRPr="00A32F1B">
        <w:t>Koenig, Yvan. “Des ‘</w:t>
      </w:r>
      <w:proofErr w:type="spellStart"/>
      <w:r w:rsidRPr="00A32F1B">
        <w:t>trigrammes</w:t>
      </w:r>
      <w:proofErr w:type="spellEnd"/>
      <w:r w:rsidRPr="00A32F1B">
        <w:t xml:space="preserve"> </w:t>
      </w:r>
      <w:proofErr w:type="spellStart"/>
      <w:r w:rsidRPr="00A32F1B">
        <w:t>panthéistes</w:t>
      </w:r>
      <w:proofErr w:type="spellEnd"/>
      <w:r w:rsidRPr="00A32F1B">
        <w:t xml:space="preserve">’ </w:t>
      </w:r>
      <w:proofErr w:type="spellStart"/>
      <w:r w:rsidRPr="00A32F1B">
        <w:t>ramessides</w:t>
      </w:r>
      <w:proofErr w:type="spellEnd"/>
      <w:r w:rsidRPr="00A32F1B">
        <w:t xml:space="preserve"> aux </w:t>
      </w:r>
      <w:proofErr w:type="spellStart"/>
      <w:r w:rsidRPr="00A32F1B">
        <w:t>gemmes</w:t>
      </w:r>
      <w:proofErr w:type="spellEnd"/>
      <w:r w:rsidRPr="00A32F1B">
        <w:t xml:space="preserve"> </w:t>
      </w:r>
      <w:proofErr w:type="spellStart"/>
      <w:r w:rsidRPr="00A32F1B">
        <w:t>magiques</w:t>
      </w:r>
      <w:proofErr w:type="spellEnd"/>
      <w:r w:rsidRPr="00A32F1B">
        <w:t xml:space="preserve"> de </w:t>
      </w:r>
      <w:proofErr w:type="spellStart"/>
      <w:r w:rsidRPr="00A32F1B">
        <w:t>l’Antiquité</w:t>
      </w:r>
      <w:proofErr w:type="spellEnd"/>
      <w:r w:rsidRPr="00A32F1B">
        <w:t xml:space="preserve"> tardive: le </w:t>
      </w:r>
      <w:proofErr w:type="spellStart"/>
      <w:r w:rsidRPr="00A32F1B">
        <w:t>cas</w:t>
      </w:r>
      <w:proofErr w:type="spellEnd"/>
      <w:r w:rsidRPr="00A32F1B">
        <w:t xml:space="preserve"> d’ </w:t>
      </w:r>
      <w:proofErr w:type="spellStart"/>
      <w:r w:rsidRPr="00A32F1B">
        <w:t>Abrasax</w:t>
      </w:r>
      <w:proofErr w:type="spellEnd"/>
      <w:r w:rsidRPr="00A32F1B">
        <w:t xml:space="preserve">, </w:t>
      </w:r>
      <w:proofErr w:type="spellStart"/>
      <w:r w:rsidRPr="00A32F1B">
        <w:t>continuité</w:t>
      </w:r>
      <w:proofErr w:type="spellEnd"/>
      <w:r w:rsidRPr="00A32F1B">
        <w:t xml:space="preserve"> et rupture.” In </w:t>
      </w:r>
      <w:r w:rsidRPr="00A32F1B">
        <w:rPr>
          <w:i/>
          <w:iCs/>
        </w:rPr>
        <w:t xml:space="preserve">Bulletin de </w:t>
      </w:r>
      <w:proofErr w:type="spellStart"/>
      <w:r w:rsidRPr="00A32F1B">
        <w:rPr>
          <w:i/>
          <w:iCs/>
        </w:rPr>
        <w:t>l’Institut</w:t>
      </w:r>
      <w:proofErr w:type="spellEnd"/>
      <w:r w:rsidRPr="00A32F1B">
        <w:rPr>
          <w:i/>
          <w:iCs/>
        </w:rPr>
        <w:t xml:space="preserve"> </w:t>
      </w:r>
      <w:proofErr w:type="spellStart"/>
      <w:r w:rsidRPr="00A32F1B">
        <w:rPr>
          <w:i/>
          <w:iCs/>
        </w:rPr>
        <w:t>Français</w:t>
      </w:r>
      <w:proofErr w:type="spellEnd"/>
      <w:r w:rsidRPr="00A32F1B">
        <w:rPr>
          <w:i/>
          <w:iCs/>
        </w:rPr>
        <w:t xml:space="preserve"> d’ </w:t>
      </w:r>
      <w:proofErr w:type="spellStart"/>
      <w:r w:rsidRPr="00A32F1B">
        <w:rPr>
          <w:i/>
          <w:iCs/>
        </w:rPr>
        <w:t>Archéologie</w:t>
      </w:r>
      <w:proofErr w:type="spellEnd"/>
      <w:r w:rsidRPr="00A32F1B">
        <w:rPr>
          <w:i/>
          <w:iCs/>
        </w:rPr>
        <w:t xml:space="preserve"> Orientale</w:t>
      </w:r>
      <w:r w:rsidRPr="00A32F1B">
        <w:t xml:space="preserve"> 109 (2009): 311-325. Accessed May 5, 2021. </w:t>
      </w:r>
      <w:hyperlink r:id="rId26" w:history="1">
        <w:r w:rsidRPr="00A32F1B">
          <w:rPr>
            <w:rStyle w:val="Hypertextovodkaz"/>
          </w:rPr>
          <w:t>https://www.ifao.egnet.net/bifao/109/15/</w:t>
        </w:r>
      </w:hyperlink>
      <w:r w:rsidRPr="00A32F1B">
        <w:t xml:space="preserve">. </w:t>
      </w:r>
    </w:p>
    <w:bookmarkEnd w:id="36"/>
    <w:p w14:paraId="1FA399C3" w14:textId="77777777" w:rsidR="00B37871" w:rsidRPr="00A32F1B" w:rsidRDefault="00B37871" w:rsidP="00B37871">
      <w:pPr>
        <w:pStyle w:val="Bibliografie1"/>
      </w:pPr>
      <w:proofErr w:type="spellStart"/>
      <w:r w:rsidRPr="00A32F1B">
        <w:lastRenderedPageBreak/>
        <w:t>Kotansky</w:t>
      </w:r>
      <w:proofErr w:type="spellEnd"/>
      <w:r w:rsidRPr="00A32F1B">
        <w:t xml:space="preserve">, Roy. </w:t>
      </w:r>
      <w:r w:rsidRPr="00A32F1B">
        <w:rPr>
          <w:i/>
          <w:iCs/>
        </w:rPr>
        <w:t>Greek Magical Amulets: The Inscribed Gold, Silver, Copper, and Bronze Lamellae Part I Published Texts of Known Provenance.</w:t>
      </w:r>
      <w:r w:rsidRPr="00A32F1B">
        <w:t xml:space="preserve"> </w:t>
      </w:r>
      <w:proofErr w:type="spellStart"/>
      <w:r w:rsidRPr="00A32F1B">
        <w:t>Papyrologica</w:t>
      </w:r>
      <w:proofErr w:type="spellEnd"/>
      <w:r w:rsidRPr="00A32F1B">
        <w:t xml:space="preserve"> </w:t>
      </w:r>
      <w:proofErr w:type="spellStart"/>
      <w:r w:rsidRPr="00A32F1B">
        <w:t>Coloniensia</w:t>
      </w:r>
      <w:proofErr w:type="spellEnd"/>
      <w:r w:rsidRPr="00A32F1B">
        <w:t xml:space="preserve">, Vol. 22. Wiesbaden: VS Verlag </w:t>
      </w:r>
      <w:proofErr w:type="spellStart"/>
      <w:r w:rsidRPr="00A32F1B">
        <w:t>für</w:t>
      </w:r>
      <w:proofErr w:type="spellEnd"/>
      <w:r w:rsidRPr="00A32F1B">
        <w:t xml:space="preserve"> </w:t>
      </w:r>
      <w:proofErr w:type="spellStart"/>
      <w:r w:rsidRPr="00A32F1B">
        <w:t>Sozialwissenschaften</w:t>
      </w:r>
      <w:proofErr w:type="spellEnd"/>
      <w:r w:rsidRPr="00A32F1B">
        <w:t>, 1994.</w:t>
      </w:r>
    </w:p>
    <w:p w14:paraId="624E9D7D" w14:textId="63D3CA85" w:rsidR="00B37871" w:rsidRPr="00A32F1B" w:rsidRDefault="00B37871" w:rsidP="00B37871">
      <w:pPr>
        <w:pStyle w:val="Bibliografie1"/>
      </w:pPr>
      <w:proofErr w:type="spellStart"/>
      <w:r w:rsidRPr="00A32F1B">
        <w:t>Lecouteux</w:t>
      </w:r>
      <w:proofErr w:type="spellEnd"/>
      <w:r w:rsidRPr="00A32F1B">
        <w:t xml:space="preserve">, Claude. </w:t>
      </w:r>
      <w:r w:rsidRPr="00A32F1B">
        <w:rPr>
          <w:i/>
          <w:iCs/>
        </w:rPr>
        <w:t xml:space="preserve">Dictionary of Ancient Magic Words and Spells: From Abraxas to </w:t>
      </w:r>
      <w:proofErr w:type="spellStart"/>
      <w:r w:rsidRPr="00A32F1B">
        <w:rPr>
          <w:i/>
          <w:iCs/>
        </w:rPr>
        <w:t>Zoar</w:t>
      </w:r>
      <w:proofErr w:type="spellEnd"/>
      <w:r w:rsidRPr="00A32F1B">
        <w:rPr>
          <w:i/>
          <w:iCs/>
        </w:rPr>
        <w:t>.</w:t>
      </w:r>
      <w:r w:rsidRPr="00A32F1B">
        <w:t xml:space="preserve"> Translated by Jon E. Graham. Rochester: Inner Traditions, 2015.</w:t>
      </w:r>
    </w:p>
    <w:p w14:paraId="7CFCA178" w14:textId="77777777" w:rsidR="00B37871" w:rsidRPr="00A32F1B" w:rsidRDefault="00B37871" w:rsidP="00B37871">
      <w:pPr>
        <w:pStyle w:val="Bibliografie1"/>
      </w:pPr>
      <w:bookmarkStart w:id="37" w:name="_Hlk70767672"/>
      <w:proofErr w:type="spellStart"/>
      <w:r w:rsidRPr="00A32F1B">
        <w:t>Lecouteux</w:t>
      </w:r>
      <w:proofErr w:type="spellEnd"/>
      <w:r w:rsidRPr="00A32F1B">
        <w:t xml:space="preserve">, Claude. </w:t>
      </w:r>
      <w:r w:rsidRPr="00A32F1B">
        <w:rPr>
          <w:i/>
          <w:iCs/>
        </w:rPr>
        <w:t>The High Magic of Talismans and Amulets: Tradition and Craft.</w:t>
      </w:r>
      <w:r w:rsidRPr="00A32F1B">
        <w:t xml:space="preserve"> Translated by Jon E. Graham. Rochester: Inner Traditions, 2014.</w:t>
      </w:r>
    </w:p>
    <w:p w14:paraId="02CB695D" w14:textId="77777777" w:rsidR="00B37871" w:rsidRPr="00A32F1B" w:rsidRDefault="00B37871" w:rsidP="00B37871">
      <w:pPr>
        <w:pStyle w:val="Bibliografie1"/>
      </w:pPr>
      <w:bookmarkStart w:id="38" w:name="_Hlk70702790"/>
      <w:bookmarkEnd w:id="37"/>
      <w:proofErr w:type="spellStart"/>
      <w:r w:rsidRPr="00A32F1B">
        <w:t>Leibeschuetz</w:t>
      </w:r>
      <w:proofErr w:type="spellEnd"/>
      <w:r w:rsidRPr="00A32F1B">
        <w:t xml:space="preserve">, Wolf. “Was there a crisis of the third century?” In </w:t>
      </w:r>
      <w:r w:rsidRPr="00A32F1B">
        <w:rPr>
          <w:i/>
          <w:iCs/>
        </w:rPr>
        <w:t>Crises and the Roman Empire: Proceedings of the Seventh Workshop of the International Network Impact of Empire (Nijmegen, June 20-24, 2006)</w:t>
      </w:r>
      <w:r w:rsidRPr="00A32F1B">
        <w:t xml:space="preserve">. Edited by Olivier </w:t>
      </w:r>
      <w:proofErr w:type="spellStart"/>
      <w:r w:rsidRPr="00A32F1B">
        <w:t>Hekster</w:t>
      </w:r>
      <w:proofErr w:type="spellEnd"/>
      <w:r w:rsidRPr="00A32F1B">
        <w:t xml:space="preserve">, Gerda de Kleijn and </w:t>
      </w:r>
      <w:proofErr w:type="spellStart"/>
      <w:r w:rsidRPr="00A32F1B">
        <w:t>Dani</w:t>
      </w:r>
      <w:r w:rsidRPr="00A32F1B">
        <w:rPr>
          <w:rFonts w:cs="Times New Roman"/>
        </w:rPr>
        <w:t>ë</w:t>
      </w:r>
      <w:r w:rsidRPr="00A32F1B">
        <w:t>lle</w:t>
      </w:r>
      <w:proofErr w:type="spellEnd"/>
      <w:r w:rsidRPr="00A32F1B">
        <w:t xml:space="preserve"> </w:t>
      </w:r>
      <w:proofErr w:type="spellStart"/>
      <w:r w:rsidRPr="00A32F1B">
        <w:t>Slootjes</w:t>
      </w:r>
      <w:proofErr w:type="spellEnd"/>
      <w:r w:rsidRPr="00A32F1B">
        <w:t>, 11-22. Leiden and Boston: Brill, 2007.</w:t>
      </w:r>
    </w:p>
    <w:p w14:paraId="5095D67F" w14:textId="77777777" w:rsidR="00B37871" w:rsidRPr="00A32F1B" w:rsidRDefault="00B37871" w:rsidP="00B37871">
      <w:pPr>
        <w:pStyle w:val="Bibliografie1"/>
      </w:pPr>
      <w:proofErr w:type="spellStart"/>
      <w:r w:rsidRPr="00A32F1B">
        <w:t>Leicht</w:t>
      </w:r>
      <w:proofErr w:type="spellEnd"/>
      <w:r w:rsidRPr="00A32F1B">
        <w:t xml:space="preserve">, </w:t>
      </w:r>
      <w:proofErr w:type="spellStart"/>
      <w:r w:rsidRPr="00A32F1B">
        <w:t>Reimund</w:t>
      </w:r>
      <w:proofErr w:type="spellEnd"/>
      <w:r w:rsidRPr="00A32F1B">
        <w:t xml:space="preserve">. “Some Observations on the Diffusion of Jewish Magical Texts from Late Antiquity and the Early Middle Ages in Manuscripts from the Cairo Genizah and </w:t>
      </w:r>
      <w:proofErr w:type="spellStart"/>
      <w:r w:rsidRPr="00A32F1B">
        <w:t>Ashkenaz</w:t>
      </w:r>
      <w:proofErr w:type="spellEnd"/>
      <w:r w:rsidRPr="00A32F1B">
        <w:t xml:space="preserve">.” In </w:t>
      </w:r>
      <w:r w:rsidRPr="00A32F1B">
        <w:rPr>
          <w:i/>
          <w:iCs/>
        </w:rPr>
        <w:t>OFFICINA MAGICA: Essays on Practice of Magic in Antiquity</w:t>
      </w:r>
      <w:r w:rsidRPr="00A32F1B">
        <w:t xml:space="preserve">. Edited by </w:t>
      </w:r>
      <w:proofErr w:type="spellStart"/>
      <w:r w:rsidRPr="00A32F1B">
        <w:t>Shaul</w:t>
      </w:r>
      <w:proofErr w:type="spellEnd"/>
      <w:r w:rsidRPr="00A32F1B">
        <w:t xml:space="preserve"> Shaked, 213-231</w:t>
      </w:r>
      <w:r w:rsidRPr="00A32F1B">
        <w:rPr>
          <w:i/>
          <w:iCs/>
        </w:rPr>
        <w:t>.</w:t>
      </w:r>
      <w:r w:rsidRPr="00A32F1B">
        <w:t xml:space="preserve"> Leiden and Boston: Brill, 2005.</w:t>
      </w:r>
    </w:p>
    <w:bookmarkEnd w:id="38"/>
    <w:p w14:paraId="1F52AB72" w14:textId="77777777" w:rsidR="00B37871" w:rsidRPr="00A32F1B" w:rsidRDefault="00B37871" w:rsidP="00B37871">
      <w:pPr>
        <w:pStyle w:val="Bibliografie1"/>
      </w:pPr>
      <w:proofErr w:type="spellStart"/>
      <w:r w:rsidRPr="00A32F1B">
        <w:t>Leicht</w:t>
      </w:r>
      <w:proofErr w:type="spellEnd"/>
      <w:r w:rsidRPr="00A32F1B">
        <w:t xml:space="preserve"> </w:t>
      </w:r>
      <w:proofErr w:type="spellStart"/>
      <w:r w:rsidRPr="00A32F1B">
        <w:t>Reimund</w:t>
      </w:r>
      <w:proofErr w:type="spellEnd"/>
      <w:r w:rsidRPr="00A32F1B">
        <w:t>. “</w:t>
      </w:r>
      <w:proofErr w:type="spellStart"/>
      <w:r w:rsidRPr="00A32F1B">
        <w:rPr>
          <w:i/>
          <w:iCs/>
        </w:rPr>
        <w:t>Qedushah</w:t>
      </w:r>
      <w:proofErr w:type="spellEnd"/>
      <w:r w:rsidRPr="00A32F1B">
        <w:t xml:space="preserve"> and Prayer to Helios: A New Hebrew Version of an Apocryphal Prayer of Jacob.” </w:t>
      </w:r>
      <w:r w:rsidRPr="00A32F1B">
        <w:rPr>
          <w:i/>
          <w:iCs/>
        </w:rPr>
        <w:t xml:space="preserve">Jewish Studies Quarterly </w:t>
      </w:r>
      <w:r w:rsidRPr="00A32F1B">
        <w:t>6 (1999): 140-176.</w:t>
      </w:r>
    </w:p>
    <w:p w14:paraId="4187EEB5" w14:textId="77777777" w:rsidR="00B37871" w:rsidRPr="00A32F1B" w:rsidRDefault="00B37871" w:rsidP="00B37871">
      <w:pPr>
        <w:pStyle w:val="Bibliografie1"/>
        <w:rPr>
          <w:i/>
          <w:iCs/>
        </w:rPr>
      </w:pPr>
      <w:proofErr w:type="spellStart"/>
      <w:r w:rsidRPr="00A32F1B">
        <w:t>L</w:t>
      </w:r>
      <w:r w:rsidRPr="00A32F1B">
        <w:rPr>
          <w:rFonts w:cs="Times New Roman"/>
        </w:rPr>
        <w:t>ö</w:t>
      </w:r>
      <w:r w:rsidRPr="00A32F1B">
        <w:t>hr</w:t>
      </w:r>
      <w:proofErr w:type="spellEnd"/>
      <w:r w:rsidRPr="00A32F1B">
        <w:t xml:space="preserve">, </w:t>
      </w:r>
      <w:proofErr w:type="spellStart"/>
      <w:r w:rsidRPr="00A32F1B">
        <w:t>Winrich</w:t>
      </w:r>
      <w:proofErr w:type="spellEnd"/>
      <w:r w:rsidRPr="00A32F1B">
        <w:t xml:space="preserve"> </w:t>
      </w:r>
      <w:proofErr w:type="spellStart"/>
      <w:r w:rsidRPr="00A32F1B">
        <w:t>Alfried</w:t>
      </w:r>
      <w:proofErr w:type="spellEnd"/>
      <w:r w:rsidRPr="00A32F1B">
        <w:t xml:space="preserve">. </w:t>
      </w:r>
      <w:r w:rsidRPr="00A32F1B">
        <w:rPr>
          <w:i/>
          <w:iCs/>
        </w:rPr>
        <w:t xml:space="preserve">Basilides und seine Schule: Eine </w:t>
      </w:r>
      <w:proofErr w:type="spellStart"/>
      <w:r w:rsidRPr="00A32F1B">
        <w:rPr>
          <w:i/>
          <w:iCs/>
        </w:rPr>
        <w:t>Studie</w:t>
      </w:r>
      <w:proofErr w:type="spellEnd"/>
      <w:r w:rsidRPr="00A32F1B">
        <w:rPr>
          <w:i/>
          <w:iCs/>
        </w:rPr>
        <w:t xml:space="preserve"> </w:t>
      </w:r>
      <w:proofErr w:type="spellStart"/>
      <w:r w:rsidRPr="00A32F1B">
        <w:rPr>
          <w:i/>
          <w:iCs/>
        </w:rPr>
        <w:t>zur</w:t>
      </w:r>
      <w:proofErr w:type="spellEnd"/>
      <w:r w:rsidRPr="00A32F1B">
        <w:rPr>
          <w:i/>
          <w:iCs/>
        </w:rPr>
        <w:t xml:space="preserve"> </w:t>
      </w:r>
      <w:proofErr w:type="spellStart"/>
      <w:r w:rsidRPr="00A32F1B">
        <w:rPr>
          <w:i/>
          <w:iCs/>
        </w:rPr>
        <w:t>Theologie</w:t>
      </w:r>
      <w:proofErr w:type="spellEnd"/>
      <w:r w:rsidRPr="00A32F1B">
        <w:rPr>
          <w:i/>
          <w:iCs/>
        </w:rPr>
        <w:t xml:space="preserve">- und </w:t>
      </w:r>
      <w:proofErr w:type="spellStart"/>
      <w:r w:rsidRPr="00A32F1B">
        <w:rPr>
          <w:i/>
          <w:iCs/>
        </w:rPr>
        <w:t>Kirchengeschichte</w:t>
      </w:r>
      <w:proofErr w:type="spellEnd"/>
      <w:r w:rsidRPr="00A32F1B">
        <w:rPr>
          <w:i/>
          <w:iCs/>
        </w:rPr>
        <w:t xml:space="preserve"> des </w:t>
      </w:r>
      <w:proofErr w:type="spellStart"/>
      <w:r w:rsidRPr="00A32F1B">
        <w:rPr>
          <w:i/>
          <w:iCs/>
        </w:rPr>
        <w:t>zweiten</w:t>
      </w:r>
      <w:proofErr w:type="spellEnd"/>
      <w:r w:rsidRPr="00A32F1B">
        <w:rPr>
          <w:i/>
          <w:iCs/>
        </w:rPr>
        <w:t xml:space="preserve"> </w:t>
      </w:r>
      <w:proofErr w:type="spellStart"/>
      <w:r w:rsidRPr="00A32F1B">
        <w:rPr>
          <w:i/>
          <w:iCs/>
        </w:rPr>
        <w:t>Jahrhunderts</w:t>
      </w:r>
      <w:proofErr w:type="spellEnd"/>
      <w:r w:rsidRPr="00A32F1B">
        <w:rPr>
          <w:i/>
          <w:iCs/>
        </w:rPr>
        <w:t>.</w:t>
      </w:r>
      <w:r w:rsidRPr="00A32F1B">
        <w:t xml:space="preserve"> T</w:t>
      </w:r>
      <w:r w:rsidRPr="00A32F1B">
        <w:rPr>
          <w:rFonts w:cstheme="minorHAnsi"/>
        </w:rPr>
        <w:t>ü</w:t>
      </w:r>
      <w:r w:rsidRPr="00A32F1B">
        <w:t xml:space="preserve">bingen: J.C.B. Mohr (Paul </w:t>
      </w:r>
      <w:proofErr w:type="spellStart"/>
      <w:r w:rsidRPr="00A32F1B">
        <w:t>Siebeck</w:t>
      </w:r>
      <w:proofErr w:type="spellEnd"/>
      <w:r w:rsidRPr="00A32F1B">
        <w:t>), 1996.</w:t>
      </w:r>
    </w:p>
    <w:p w14:paraId="16DD7BBC" w14:textId="77777777" w:rsidR="00B37871" w:rsidRPr="00A32F1B" w:rsidRDefault="00B37871" w:rsidP="00B37871">
      <w:pPr>
        <w:pStyle w:val="Bibliografie1"/>
      </w:pPr>
      <w:r w:rsidRPr="00A32F1B">
        <w:t xml:space="preserve">Lucian. </w:t>
      </w:r>
      <w:r w:rsidRPr="00A32F1B">
        <w:rPr>
          <w:i/>
          <w:iCs/>
        </w:rPr>
        <w:t xml:space="preserve">The Syrian Goddess. </w:t>
      </w:r>
      <w:r w:rsidRPr="00A32F1B">
        <w:t xml:space="preserve">Being a translation of Lucian’s “De </w:t>
      </w:r>
      <w:proofErr w:type="spellStart"/>
      <w:r w:rsidRPr="00A32F1B">
        <w:t>dea</w:t>
      </w:r>
      <w:proofErr w:type="spellEnd"/>
      <w:r w:rsidRPr="00A32F1B">
        <w:t xml:space="preserve"> Syria,” with a life of Lucian by Herbert A. Strong. Edited with notes and an introduction by John Garstang. London: Constable &amp; Company ltd., 1913.</w:t>
      </w:r>
    </w:p>
    <w:p w14:paraId="49E096F1" w14:textId="77777777" w:rsidR="00B37871" w:rsidRPr="00A32F1B" w:rsidRDefault="00B37871" w:rsidP="00B37871">
      <w:pPr>
        <w:pStyle w:val="Bibliografie1"/>
      </w:pPr>
      <w:proofErr w:type="spellStart"/>
      <w:r w:rsidRPr="00A32F1B">
        <w:t>MacRae</w:t>
      </w:r>
      <w:proofErr w:type="spellEnd"/>
      <w:r w:rsidRPr="00A32F1B">
        <w:t xml:space="preserve">, George W. “The Apocalypse of Adam (V, 5).” Edited by </w:t>
      </w:r>
      <w:proofErr w:type="spellStart"/>
      <w:r w:rsidRPr="00A32F1B">
        <w:t>Dougls</w:t>
      </w:r>
      <w:proofErr w:type="spellEnd"/>
      <w:r w:rsidRPr="00A32F1B">
        <w:t xml:space="preserve"> M. Parrott. In </w:t>
      </w:r>
      <w:proofErr w:type="gramStart"/>
      <w:r w:rsidRPr="00A32F1B">
        <w:rPr>
          <w:i/>
          <w:iCs/>
        </w:rPr>
        <w:t>The</w:t>
      </w:r>
      <w:proofErr w:type="gramEnd"/>
      <w:r w:rsidRPr="00A32F1B">
        <w:rPr>
          <w:i/>
          <w:iCs/>
        </w:rPr>
        <w:t xml:space="preserve"> Nag Hammadi Library in English. </w:t>
      </w:r>
      <w:r w:rsidRPr="00A32F1B">
        <w:t xml:space="preserve">Edited by James M. Robinson, 277-286. San Francisco: </w:t>
      </w:r>
      <w:proofErr w:type="spellStart"/>
      <w:r w:rsidRPr="00A32F1B">
        <w:t>HarperSanFrancisco</w:t>
      </w:r>
      <w:proofErr w:type="spellEnd"/>
      <w:r w:rsidRPr="00A32F1B">
        <w:t>, 1990.</w:t>
      </w:r>
    </w:p>
    <w:p w14:paraId="480B6581" w14:textId="2397F033" w:rsidR="00B37871" w:rsidRPr="00A32F1B" w:rsidRDefault="00B37871" w:rsidP="00B37871">
      <w:pPr>
        <w:pStyle w:val="Bibliografie1"/>
      </w:pPr>
      <w:proofErr w:type="spellStart"/>
      <w:r w:rsidRPr="00A32F1B">
        <w:t>Magie</w:t>
      </w:r>
      <w:proofErr w:type="spellEnd"/>
      <w:r w:rsidRPr="00A32F1B">
        <w:t>, David</w:t>
      </w:r>
      <w:r w:rsidR="005534F6" w:rsidRPr="00A32F1B">
        <w:t>, t</w:t>
      </w:r>
      <w:r w:rsidRPr="00A32F1B">
        <w:t xml:space="preserve">rans. </w:t>
      </w:r>
      <w:r w:rsidRPr="00A32F1B">
        <w:rPr>
          <w:i/>
          <w:iCs/>
        </w:rPr>
        <w:t xml:space="preserve">The </w:t>
      </w:r>
      <w:proofErr w:type="spellStart"/>
      <w:r w:rsidRPr="00A32F1B">
        <w:rPr>
          <w:i/>
          <w:iCs/>
        </w:rPr>
        <w:t>Scriptores</w:t>
      </w:r>
      <w:proofErr w:type="spellEnd"/>
      <w:r w:rsidRPr="00A32F1B">
        <w:rPr>
          <w:i/>
          <w:iCs/>
        </w:rPr>
        <w:t xml:space="preserve"> </w:t>
      </w:r>
      <w:proofErr w:type="spellStart"/>
      <w:r w:rsidRPr="00A32F1B">
        <w:rPr>
          <w:i/>
          <w:iCs/>
        </w:rPr>
        <w:t>Historiae</w:t>
      </w:r>
      <w:proofErr w:type="spellEnd"/>
      <w:r w:rsidRPr="00A32F1B">
        <w:rPr>
          <w:i/>
          <w:iCs/>
        </w:rPr>
        <w:t xml:space="preserve"> </w:t>
      </w:r>
      <w:proofErr w:type="spellStart"/>
      <w:r w:rsidRPr="00A32F1B">
        <w:rPr>
          <w:i/>
          <w:iCs/>
        </w:rPr>
        <w:t>Augustae</w:t>
      </w:r>
      <w:proofErr w:type="spellEnd"/>
      <w:r w:rsidRPr="00A32F1B">
        <w:rPr>
          <w:i/>
          <w:iCs/>
        </w:rPr>
        <w:t>.</w:t>
      </w:r>
      <w:r w:rsidRPr="00A32F1B">
        <w:t xml:space="preserve"> Volume II. Cambridge: Harvard University Press, 1921.</w:t>
      </w:r>
    </w:p>
    <w:p w14:paraId="7841EA6A" w14:textId="77777777" w:rsidR="00B37871" w:rsidRPr="00A32F1B" w:rsidRDefault="00B37871" w:rsidP="00B37871">
      <w:pPr>
        <w:pStyle w:val="Bibliografie1"/>
      </w:pPr>
      <w:r w:rsidRPr="00A32F1B">
        <w:lastRenderedPageBreak/>
        <w:t xml:space="preserve">Maier, Emanuel. “The Psychology of C.G. Jung in the Works of Hermann Hesse.” Abridgement of a dissertation by Emanuel Maier (1953). </w:t>
      </w:r>
      <w:r w:rsidRPr="00A32F1B">
        <w:rPr>
          <w:i/>
          <w:iCs/>
        </w:rPr>
        <w:t>Hermann Hesse Page</w:t>
      </w:r>
      <w:r w:rsidRPr="00A32F1B">
        <w:t xml:space="preserve">. Accessed May 5, 2021. </w:t>
      </w:r>
      <w:hyperlink r:id="rId27" w:history="1">
        <w:r w:rsidRPr="00A32F1B">
          <w:rPr>
            <w:rStyle w:val="Hypertextovodkaz"/>
          </w:rPr>
          <w:t>http://hesse.projects.gss.ucsb.edu/papers/maier.pdf</w:t>
        </w:r>
      </w:hyperlink>
      <w:r w:rsidRPr="00A32F1B">
        <w:t>.</w:t>
      </w:r>
    </w:p>
    <w:p w14:paraId="13CADB92" w14:textId="77777777" w:rsidR="00B37871" w:rsidRPr="00A32F1B" w:rsidRDefault="00B37871" w:rsidP="00B37871">
      <w:pPr>
        <w:pStyle w:val="Bibliografie1"/>
      </w:pPr>
      <w:proofErr w:type="spellStart"/>
      <w:r w:rsidRPr="00A32F1B">
        <w:t>Margalioth</w:t>
      </w:r>
      <w:proofErr w:type="spellEnd"/>
      <w:r w:rsidRPr="00A32F1B">
        <w:t xml:space="preserve">, Mordechai. </w:t>
      </w:r>
      <w:proofErr w:type="spellStart"/>
      <w:r w:rsidRPr="00A32F1B">
        <w:rPr>
          <w:i/>
          <w:iCs/>
        </w:rPr>
        <w:t>Sefer</w:t>
      </w:r>
      <w:proofErr w:type="spellEnd"/>
      <w:r w:rsidRPr="00A32F1B">
        <w:rPr>
          <w:i/>
          <w:iCs/>
        </w:rPr>
        <w:t xml:space="preserve"> Ha-</w:t>
      </w:r>
      <w:proofErr w:type="spellStart"/>
      <w:r w:rsidRPr="00A32F1B">
        <w:rPr>
          <w:i/>
          <w:iCs/>
        </w:rPr>
        <w:t>Razim</w:t>
      </w:r>
      <w:proofErr w:type="spellEnd"/>
      <w:r w:rsidRPr="00A32F1B">
        <w:rPr>
          <w:i/>
          <w:iCs/>
        </w:rPr>
        <w:t xml:space="preserve">: Hu' </w:t>
      </w:r>
      <w:proofErr w:type="spellStart"/>
      <w:r w:rsidRPr="00A32F1B">
        <w:rPr>
          <w:i/>
          <w:iCs/>
        </w:rPr>
        <w:t>Sefer</w:t>
      </w:r>
      <w:proofErr w:type="spellEnd"/>
      <w:r w:rsidRPr="00A32F1B">
        <w:rPr>
          <w:i/>
          <w:iCs/>
        </w:rPr>
        <w:t xml:space="preserve"> </w:t>
      </w:r>
      <w:proofErr w:type="spellStart"/>
      <w:r w:rsidRPr="00A32F1B">
        <w:rPr>
          <w:i/>
          <w:iCs/>
        </w:rPr>
        <w:t>Keshafim</w:t>
      </w:r>
      <w:proofErr w:type="spellEnd"/>
      <w:r w:rsidRPr="00A32F1B">
        <w:rPr>
          <w:i/>
          <w:iCs/>
        </w:rPr>
        <w:t xml:space="preserve"> mi-</w:t>
      </w:r>
      <w:proofErr w:type="spellStart"/>
      <w:r w:rsidRPr="00A32F1B">
        <w:rPr>
          <w:i/>
          <w:iCs/>
        </w:rPr>
        <w:t>Tequfat</w:t>
      </w:r>
      <w:proofErr w:type="spellEnd"/>
      <w:r w:rsidRPr="00A32F1B">
        <w:rPr>
          <w:i/>
          <w:iCs/>
        </w:rPr>
        <w:t xml:space="preserve"> ha-Talmud.</w:t>
      </w:r>
      <w:r w:rsidRPr="00A32F1B">
        <w:t xml:space="preserve"> Jerusalem: American Academy for Jewish Research, 1966.</w:t>
      </w:r>
    </w:p>
    <w:p w14:paraId="68563BA4" w14:textId="77777777" w:rsidR="00B37871" w:rsidRPr="00A32F1B" w:rsidRDefault="00B37871" w:rsidP="00B37871">
      <w:pPr>
        <w:pStyle w:val="Bibliografie1"/>
      </w:pPr>
      <w:proofErr w:type="spellStart"/>
      <w:r w:rsidRPr="00A32F1B">
        <w:t>Mastrocinque</w:t>
      </w:r>
      <w:proofErr w:type="spellEnd"/>
      <w:r w:rsidRPr="00A32F1B">
        <w:t xml:space="preserve">, Attilio. </w:t>
      </w:r>
      <w:r w:rsidRPr="00A32F1B">
        <w:rPr>
          <w:i/>
          <w:iCs/>
        </w:rPr>
        <w:t>From Jewish Magic to Gnosticism.</w:t>
      </w:r>
      <w:r w:rsidRPr="00A32F1B">
        <w:t xml:space="preserve"> </w:t>
      </w:r>
      <w:proofErr w:type="spellStart"/>
      <w:r w:rsidRPr="00A32F1B">
        <w:t>Studien</w:t>
      </w:r>
      <w:proofErr w:type="spellEnd"/>
      <w:r w:rsidRPr="00A32F1B">
        <w:t xml:space="preserve"> und </w:t>
      </w:r>
      <w:proofErr w:type="spellStart"/>
      <w:r w:rsidRPr="00A32F1B">
        <w:t>Texte</w:t>
      </w:r>
      <w:proofErr w:type="spellEnd"/>
      <w:r w:rsidRPr="00A32F1B">
        <w:t xml:space="preserve"> </w:t>
      </w:r>
      <w:proofErr w:type="spellStart"/>
      <w:r w:rsidRPr="00A32F1B">
        <w:t>zu</w:t>
      </w:r>
      <w:proofErr w:type="spellEnd"/>
      <w:r w:rsidRPr="00A32F1B">
        <w:t xml:space="preserve"> </w:t>
      </w:r>
      <w:proofErr w:type="spellStart"/>
      <w:r w:rsidRPr="00A32F1B">
        <w:t>Antike</w:t>
      </w:r>
      <w:proofErr w:type="spellEnd"/>
      <w:r w:rsidRPr="00A32F1B">
        <w:t xml:space="preserve"> und </w:t>
      </w:r>
      <w:proofErr w:type="spellStart"/>
      <w:r w:rsidRPr="00A32F1B">
        <w:t>Christentum</w:t>
      </w:r>
      <w:proofErr w:type="spellEnd"/>
      <w:r w:rsidRPr="00A32F1B">
        <w:t xml:space="preserve"> 24. T</w:t>
      </w:r>
      <w:r w:rsidRPr="00A32F1B">
        <w:rPr>
          <w:rFonts w:cstheme="minorHAnsi"/>
        </w:rPr>
        <w:t>ü</w:t>
      </w:r>
      <w:r w:rsidRPr="00A32F1B">
        <w:t xml:space="preserve">bingen: Mohr </w:t>
      </w:r>
      <w:proofErr w:type="spellStart"/>
      <w:r w:rsidRPr="00A32F1B">
        <w:t>Siebeck</w:t>
      </w:r>
      <w:proofErr w:type="spellEnd"/>
      <w:r w:rsidRPr="00A32F1B">
        <w:t>, 2005.</w:t>
      </w:r>
    </w:p>
    <w:p w14:paraId="4F3AE6FB" w14:textId="3490582E" w:rsidR="00B37871" w:rsidRPr="00A32F1B" w:rsidRDefault="00B37871" w:rsidP="00B37871">
      <w:pPr>
        <w:pStyle w:val="Bibliografie1"/>
      </w:pPr>
      <w:r w:rsidRPr="00A32F1B">
        <w:t>Meyer, Marvin and Richard Smith</w:t>
      </w:r>
      <w:r w:rsidR="005534F6" w:rsidRPr="00A32F1B">
        <w:t>, e</w:t>
      </w:r>
      <w:r w:rsidRPr="00A32F1B">
        <w:t xml:space="preserve">ds. </w:t>
      </w:r>
      <w:r w:rsidRPr="00A32F1B">
        <w:rPr>
          <w:i/>
          <w:iCs/>
        </w:rPr>
        <w:t>Ancient Christian Magic: Coptic Texts of Ritual Power</w:t>
      </w:r>
      <w:r w:rsidRPr="00A32F1B">
        <w:t xml:space="preserve">. San Francisco: </w:t>
      </w:r>
      <w:proofErr w:type="spellStart"/>
      <w:r w:rsidRPr="00A32F1B">
        <w:t>HarperSanFrancisco</w:t>
      </w:r>
      <w:proofErr w:type="spellEnd"/>
      <w:r w:rsidRPr="00A32F1B">
        <w:t>, 1994.</w:t>
      </w:r>
    </w:p>
    <w:p w14:paraId="21BC144F" w14:textId="77777777" w:rsidR="00B37871" w:rsidRPr="00A32F1B" w:rsidRDefault="00B37871" w:rsidP="00B37871">
      <w:pPr>
        <w:pStyle w:val="Bibliografie1"/>
      </w:pPr>
      <w:bookmarkStart w:id="39" w:name="_Hlk70702555"/>
      <w:r w:rsidRPr="00A32F1B">
        <w:t xml:space="preserve">Michel, Simone. “(Re)Interpreting Magical Gems, Ancient and Modern.” In </w:t>
      </w:r>
      <w:r w:rsidRPr="00A32F1B">
        <w:rPr>
          <w:i/>
          <w:iCs/>
        </w:rPr>
        <w:t>OFFICINA MAGICA: Essays on Practice of Magic in Antiquity</w:t>
      </w:r>
      <w:r w:rsidRPr="00A32F1B">
        <w:t xml:space="preserve">. Edited by </w:t>
      </w:r>
      <w:proofErr w:type="spellStart"/>
      <w:r w:rsidRPr="00A32F1B">
        <w:t>Shaul</w:t>
      </w:r>
      <w:proofErr w:type="spellEnd"/>
      <w:r w:rsidRPr="00A32F1B">
        <w:t xml:space="preserve"> Shaked, 141-170</w:t>
      </w:r>
      <w:r w:rsidRPr="00A32F1B">
        <w:rPr>
          <w:i/>
          <w:iCs/>
        </w:rPr>
        <w:t>.</w:t>
      </w:r>
      <w:r w:rsidRPr="00A32F1B">
        <w:t xml:space="preserve"> Leiden and Boston: Brill, 2005.</w:t>
      </w:r>
    </w:p>
    <w:p w14:paraId="4763EE78" w14:textId="7761ABC4" w:rsidR="00B37871" w:rsidRPr="00A32F1B" w:rsidRDefault="00B37871" w:rsidP="00B37871">
      <w:pPr>
        <w:pStyle w:val="Bibliografie1"/>
      </w:pPr>
      <w:r w:rsidRPr="00A32F1B">
        <w:t xml:space="preserve">Millar, Fergus. </w:t>
      </w:r>
      <w:r w:rsidRPr="00A32F1B">
        <w:rPr>
          <w:i/>
          <w:iCs/>
        </w:rPr>
        <w:t>The Roman Near East 31 BC</w:t>
      </w:r>
      <w:r w:rsidR="00EB7887" w:rsidRPr="00A32F1B">
        <w:rPr>
          <w:i/>
          <w:iCs/>
        </w:rPr>
        <w:t xml:space="preserve"> </w:t>
      </w:r>
      <w:r w:rsidR="00EB7887" w:rsidRPr="00A32F1B">
        <w:t xml:space="preserve">– </w:t>
      </w:r>
      <w:r w:rsidRPr="00A32F1B">
        <w:rPr>
          <w:i/>
          <w:iCs/>
        </w:rPr>
        <w:t>AD 337.</w:t>
      </w:r>
      <w:r w:rsidRPr="00A32F1B">
        <w:t xml:space="preserve"> Cambridge: Harvard University Press, 2001.</w:t>
      </w:r>
    </w:p>
    <w:p w14:paraId="5FC04E47" w14:textId="77777777" w:rsidR="00B37871" w:rsidRPr="00A32F1B" w:rsidRDefault="00B37871" w:rsidP="00B37871">
      <w:pPr>
        <w:pStyle w:val="Bibliografie1"/>
      </w:pPr>
      <w:bookmarkStart w:id="40" w:name="_Hlk70701157"/>
      <w:bookmarkEnd w:id="39"/>
      <w:r w:rsidRPr="00A32F1B">
        <w:t xml:space="preserve">Miller, Peter N. </w:t>
      </w:r>
      <w:proofErr w:type="spellStart"/>
      <w:r w:rsidRPr="00A32F1B">
        <w:rPr>
          <w:i/>
          <w:iCs/>
        </w:rPr>
        <w:t>Peiresc’s</w:t>
      </w:r>
      <w:proofErr w:type="spellEnd"/>
      <w:r w:rsidRPr="00A32F1B">
        <w:rPr>
          <w:i/>
          <w:iCs/>
        </w:rPr>
        <w:t xml:space="preserve"> Orient: Antiquarianism as Cultural History in the Seventeenth </w:t>
      </w:r>
      <w:proofErr w:type="spellStart"/>
      <w:r w:rsidRPr="00A32F1B">
        <w:rPr>
          <w:i/>
          <w:iCs/>
        </w:rPr>
        <w:t>Century</w:t>
      </w:r>
      <w:r w:rsidRPr="00A32F1B">
        <w:t>.Variorum</w:t>
      </w:r>
      <w:proofErr w:type="spellEnd"/>
      <w:r w:rsidRPr="00A32F1B">
        <w:t xml:space="preserve"> Collected Studies Series. Farnham: Ashgate Variorum, 2012.</w:t>
      </w:r>
    </w:p>
    <w:bookmarkEnd w:id="40"/>
    <w:p w14:paraId="6F87EE14" w14:textId="77777777" w:rsidR="00B37871" w:rsidRPr="00A32F1B" w:rsidRDefault="00B37871" w:rsidP="00B37871">
      <w:pPr>
        <w:pStyle w:val="Bibliografie1"/>
      </w:pPr>
      <w:r w:rsidRPr="00A32F1B">
        <w:t xml:space="preserve">More, Thomas. </w:t>
      </w:r>
      <w:r w:rsidRPr="00A32F1B">
        <w:rPr>
          <w:i/>
          <w:iCs/>
        </w:rPr>
        <w:t xml:space="preserve">Utopia: with Erasmus’s “The </w:t>
      </w:r>
      <w:proofErr w:type="spellStart"/>
      <w:r w:rsidRPr="00A32F1B">
        <w:rPr>
          <w:i/>
          <w:iCs/>
        </w:rPr>
        <w:t>Sileni</w:t>
      </w:r>
      <w:proofErr w:type="spellEnd"/>
      <w:r w:rsidRPr="00A32F1B">
        <w:rPr>
          <w:i/>
          <w:iCs/>
        </w:rPr>
        <w:t xml:space="preserve"> of Alcibiades”.</w:t>
      </w:r>
      <w:r w:rsidRPr="00A32F1B">
        <w:t xml:space="preserve"> Edited and translated by David Wotton. Indianapolis: Hackett Publishing, 1999.</w:t>
      </w:r>
    </w:p>
    <w:p w14:paraId="4CC571DF" w14:textId="0D835E3B" w:rsidR="00B37871" w:rsidRPr="00A32F1B" w:rsidRDefault="00B37871" w:rsidP="00B37871">
      <w:pPr>
        <w:pStyle w:val="Bibliografie1"/>
      </w:pPr>
      <w:r w:rsidRPr="00A32F1B">
        <w:t xml:space="preserve">Morgan, Michael A. </w:t>
      </w:r>
      <w:r w:rsidRPr="00A32F1B">
        <w:rPr>
          <w:i/>
          <w:iCs/>
        </w:rPr>
        <w:t xml:space="preserve">SEPHER HA-RAZIM: The Book of the Mysteries. </w:t>
      </w:r>
      <w:r w:rsidRPr="00A32F1B">
        <w:t>Chico: Scholar Press, 1983.</w:t>
      </w:r>
    </w:p>
    <w:p w14:paraId="7A8D9A5E" w14:textId="2B288349" w:rsidR="00D42CCF" w:rsidRPr="00A32F1B" w:rsidRDefault="00D42CCF" w:rsidP="00D42CCF">
      <w:pPr>
        <w:pStyle w:val="Bibliografie1"/>
      </w:pPr>
      <w:r w:rsidRPr="00A32F1B">
        <w:t xml:space="preserve">  “Nag Hammadi Archive: Codex II, papyrus page 17.” </w:t>
      </w:r>
      <w:r w:rsidRPr="00A32F1B">
        <w:rPr>
          <w:i/>
          <w:iCs/>
        </w:rPr>
        <w:t>The Claremont Colleges: Digital Library</w:t>
      </w:r>
      <w:r w:rsidRPr="00A32F1B">
        <w:t>.</w:t>
      </w:r>
      <w:r w:rsidR="005534F6" w:rsidRPr="00A32F1B">
        <w:t> </w:t>
      </w:r>
      <w:r w:rsidRPr="00A32F1B">
        <w:t>Accessed</w:t>
      </w:r>
      <w:r w:rsidR="005534F6" w:rsidRPr="00A32F1B">
        <w:t> </w:t>
      </w:r>
      <w:r w:rsidRPr="00A32F1B">
        <w:t>May</w:t>
      </w:r>
      <w:r w:rsidR="005534F6" w:rsidRPr="00A32F1B">
        <w:t> </w:t>
      </w:r>
      <w:r w:rsidRPr="00A32F1B">
        <w:t>5</w:t>
      </w:r>
      <w:r w:rsidR="005534F6" w:rsidRPr="00A32F1B">
        <w:t>, </w:t>
      </w:r>
      <w:r w:rsidRPr="00A32F1B">
        <w:t>2021</w:t>
      </w:r>
      <w:r w:rsidR="005534F6" w:rsidRPr="00A32F1B">
        <w:t>.</w:t>
      </w:r>
      <w:r w:rsidRPr="00A32F1B">
        <w:t xml:space="preserve"> </w:t>
      </w:r>
      <w:hyperlink r:id="rId28" w:history="1">
        <w:r w:rsidRPr="00A32F1B">
          <w:rPr>
            <w:rStyle w:val="Hypertextovodkaz"/>
          </w:rPr>
          <w:t>https://ccdl.claremont.edu/digital/collection/nha/id/2783/rec/63</w:t>
        </w:r>
      </w:hyperlink>
      <w:r w:rsidRPr="00A32F1B">
        <w:t xml:space="preserve">.  </w:t>
      </w:r>
    </w:p>
    <w:p w14:paraId="5317F9C3" w14:textId="3304DADD" w:rsidR="00D72503" w:rsidRPr="00A32F1B" w:rsidRDefault="00D72503" w:rsidP="005534F6">
      <w:pPr>
        <w:pStyle w:val="Bibliografie1"/>
      </w:pPr>
      <w:r w:rsidRPr="00A32F1B">
        <w:t xml:space="preserve">Nag Hammadi Archive: Codex III, papyrus page 52.” </w:t>
      </w:r>
      <w:r w:rsidRPr="00A32F1B">
        <w:rPr>
          <w:i/>
          <w:iCs/>
        </w:rPr>
        <w:t>The Claremont Colleges: Digital Library</w:t>
      </w:r>
      <w:r w:rsidRPr="00A32F1B">
        <w:t>.</w:t>
      </w:r>
      <w:r w:rsidR="005534F6" w:rsidRPr="00A32F1B">
        <w:t> </w:t>
      </w:r>
      <w:r w:rsidRPr="00A32F1B">
        <w:t>Accessed</w:t>
      </w:r>
      <w:r w:rsidR="005534F6" w:rsidRPr="00A32F1B">
        <w:t> </w:t>
      </w:r>
      <w:r w:rsidRPr="00A32F1B">
        <w:t>May</w:t>
      </w:r>
      <w:r w:rsidR="005534F6" w:rsidRPr="00A32F1B">
        <w:t> </w:t>
      </w:r>
      <w:r w:rsidRPr="00A32F1B">
        <w:t>5,</w:t>
      </w:r>
      <w:r w:rsidR="005534F6" w:rsidRPr="00A32F1B">
        <w:t> </w:t>
      </w:r>
      <w:r w:rsidRPr="00A32F1B">
        <w:t xml:space="preserve">2021. </w:t>
      </w:r>
      <w:hyperlink r:id="rId29" w:history="1">
        <w:r w:rsidRPr="00A32F1B">
          <w:rPr>
            <w:rStyle w:val="Hypertextovodkaz"/>
          </w:rPr>
          <w:t>https://ccdl.claremont.edu/digital/collection/nha/id/2970/rec/119</w:t>
        </w:r>
      </w:hyperlink>
      <w:r w:rsidRPr="00A32F1B">
        <w:t>.</w:t>
      </w:r>
    </w:p>
    <w:p w14:paraId="06BAF773" w14:textId="72FC9A27" w:rsidR="00D72503" w:rsidRPr="00A32F1B" w:rsidRDefault="00D72503" w:rsidP="005534F6">
      <w:pPr>
        <w:pStyle w:val="Bibliografie1"/>
      </w:pPr>
      <w:r w:rsidRPr="00A32F1B">
        <w:lastRenderedPageBreak/>
        <w:t xml:space="preserve">“Nag Hammadi Archive: Codex III, papyrus page 53.” </w:t>
      </w:r>
      <w:r w:rsidRPr="00A32F1B">
        <w:rPr>
          <w:i/>
          <w:iCs/>
        </w:rPr>
        <w:t>The Claremont Colleges: Digital Library</w:t>
      </w:r>
      <w:r w:rsidRPr="00A32F1B">
        <w:t>.</w:t>
      </w:r>
      <w:r w:rsidR="005534F6" w:rsidRPr="00A32F1B">
        <w:t> </w:t>
      </w:r>
      <w:r w:rsidRPr="00A32F1B">
        <w:t>Accessed</w:t>
      </w:r>
      <w:r w:rsidR="005534F6" w:rsidRPr="00A32F1B">
        <w:t> </w:t>
      </w:r>
      <w:r w:rsidRPr="00A32F1B">
        <w:t>May</w:t>
      </w:r>
      <w:r w:rsidR="005534F6" w:rsidRPr="00A32F1B">
        <w:t> </w:t>
      </w:r>
      <w:r w:rsidRPr="00A32F1B">
        <w:t>5,</w:t>
      </w:r>
      <w:r w:rsidR="005534F6" w:rsidRPr="00A32F1B">
        <w:t> </w:t>
      </w:r>
      <w:r w:rsidRPr="00A32F1B">
        <w:t xml:space="preserve">2021. </w:t>
      </w:r>
      <w:hyperlink r:id="rId30" w:history="1">
        <w:r w:rsidRPr="00A32F1B">
          <w:rPr>
            <w:rStyle w:val="Hypertextovodkaz"/>
          </w:rPr>
          <w:t>https://ccdl.claremont.edu/digital/collection/nha/id/2978/rec/120</w:t>
        </w:r>
      </w:hyperlink>
      <w:r w:rsidRPr="00A32F1B">
        <w:t>.</w:t>
      </w:r>
    </w:p>
    <w:p w14:paraId="03C2B050" w14:textId="33D9FC91" w:rsidR="00D72503" w:rsidRPr="00A32F1B" w:rsidRDefault="00D72503" w:rsidP="00B37871">
      <w:pPr>
        <w:pStyle w:val="Bibliografie1"/>
      </w:pPr>
      <w:r w:rsidRPr="00A32F1B">
        <w:t xml:space="preserve">“Nag Hammadi Archive: Codex III, papyrus page 65.” </w:t>
      </w:r>
      <w:r w:rsidRPr="00A32F1B">
        <w:rPr>
          <w:i/>
          <w:iCs/>
        </w:rPr>
        <w:t>The Claremont Colleges: Digital Library</w:t>
      </w:r>
      <w:r w:rsidRPr="00A32F1B">
        <w:t>.</w:t>
      </w:r>
      <w:r w:rsidR="005534F6" w:rsidRPr="00A32F1B">
        <w:t> </w:t>
      </w:r>
      <w:r w:rsidRPr="00A32F1B">
        <w:t>Accessed</w:t>
      </w:r>
      <w:r w:rsidR="005534F6" w:rsidRPr="00A32F1B">
        <w:t> </w:t>
      </w:r>
      <w:r w:rsidRPr="00A32F1B">
        <w:t>May</w:t>
      </w:r>
      <w:r w:rsidR="005534F6" w:rsidRPr="00A32F1B">
        <w:t> </w:t>
      </w:r>
      <w:r w:rsidRPr="00A32F1B">
        <w:t>5,</w:t>
      </w:r>
      <w:r w:rsidR="005534F6" w:rsidRPr="00A32F1B">
        <w:t> </w:t>
      </w:r>
      <w:r w:rsidRPr="00A32F1B">
        <w:t xml:space="preserve">2021. </w:t>
      </w:r>
      <w:hyperlink r:id="rId31" w:history="1">
        <w:r w:rsidRPr="00A32F1B">
          <w:rPr>
            <w:rStyle w:val="Hypertextovodkaz"/>
          </w:rPr>
          <w:t>https://ccdl.claremont.edu/digital/collection/nha/id/3006/rec/133</w:t>
        </w:r>
      </w:hyperlink>
      <w:r w:rsidRPr="00A32F1B">
        <w:t>.</w:t>
      </w:r>
    </w:p>
    <w:p w14:paraId="1C57E63B" w14:textId="1532A3A0" w:rsidR="00D42CCF" w:rsidRPr="00A32F1B" w:rsidRDefault="00D42CCF" w:rsidP="005534F6">
      <w:pPr>
        <w:pStyle w:val="Bibliografie1"/>
      </w:pPr>
      <w:r w:rsidRPr="00A32F1B">
        <w:t xml:space="preserve">  “Nag Hammadi Archive: Codex V, papyrus page 75.” </w:t>
      </w:r>
      <w:r w:rsidRPr="00A32F1B">
        <w:rPr>
          <w:i/>
          <w:iCs/>
        </w:rPr>
        <w:t>The Claremont Colleges: Digital Library</w:t>
      </w:r>
      <w:r w:rsidRPr="00A32F1B">
        <w:t>.</w:t>
      </w:r>
      <w:r w:rsidR="005534F6" w:rsidRPr="00A32F1B">
        <w:t> </w:t>
      </w:r>
      <w:r w:rsidRPr="00A32F1B">
        <w:t>Accessed</w:t>
      </w:r>
      <w:r w:rsidR="005534F6" w:rsidRPr="00A32F1B">
        <w:t> </w:t>
      </w:r>
      <w:r w:rsidRPr="00A32F1B">
        <w:t>May</w:t>
      </w:r>
      <w:r w:rsidR="005534F6" w:rsidRPr="00A32F1B">
        <w:t> </w:t>
      </w:r>
      <w:r w:rsidRPr="00A32F1B">
        <w:t>5,</w:t>
      </w:r>
      <w:r w:rsidR="005534F6" w:rsidRPr="00A32F1B">
        <w:t> </w:t>
      </w:r>
      <w:r w:rsidRPr="00A32F1B">
        <w:t>2021</w:t>
      </w:r>
      <w:r w:rsidR="004806B6" w:rsidRPr="00A32F1B">
        <w:t>.</w:t>
      </w:r>
      <w:r w:rsidRPr="00A32F1B">
        <w:t xml:space="preserve"> </w:t>
      </w:r>
      <w:hyperlink r:id="rId32" w:history="1">
        <w:r w:rsidRPr="00A32F1B">
          <w:rPr>
            <w:rStyle w:val="Hypertextovodkaz"/>
          </w:rPr>
          <w:t>https://ccdl.claremont.edu/digital/collection/nha/id/2600/rec/168</w:t>
        </w:r>
      </w:hyperlink>
      <w:r w:rsidRPr="00A32F1B">
        <w:t xml:space="preserve">.  </w:t>
      </w:r>
    </w:p>
    <w:p w14:paraId="3EFB3B5D" w14:textId="5BB10F2F" w:rsidR="00D42CCF" w:rsidRPr="00A32F1B" w:rsidRDefault="00D42CCF" w:rsidP="00D42CCF">
      <w:pPr>
        <w:pStyle w:val="Bibliografie1"/>
      </w:pPr>
      <w:r w:rsidRPr="00A32F1B">
        <w:t xml:space="preserve">  “Nag Hammadi Archive: Codex VIII, papyrus page 47.” </w:t>
      </w:r>
      <w:r w:rsidRPr="00A32F1B">
        <w:rPr>
          <w:i/>
          <w:iCs/>
        </w:rPr>
        <w:t>The Claremont Colleges: Digital</w:t>
      </w:r>
      <w:r w:rsidR="004806B6" w:rsidRPr="00A32F1B">
        <w:rPr>
          <w:i/>
          <w:iCs/>
        </w:rPr>
        <w:t> </w:t>
      </w:r>
      <w:r w:rsidRPr="00A32F1B">
        <w:rPr>
          <w:i/>
          <w:iCs/>
        </w:rPr>
        <w:t>Library</w:t>
      </w:r>
      <w:r w:rsidRPr="00A32F1B">
        <w:t>.</w:t>
      </w:r>
      <w:r w:rsidR="004806B6" w:rsidRPr="00A32F1B">
        <w:t> </w:t>
      </w:r>
      <w:r w:rsidRPr="00A32F1B">
        <w:t>Accessed</w:t>
      </w:r>
      <w:r w:rsidR="004806B6" w:rsidRPr="00A32F1B">
        <w:t> </w:t>
      </w:r>
      <w:r w:rsidRPr="00A32F1B">
        <w:t>May</w:t>
      </w:r>
      <w:r w:rsidR="004806B6" w:rsidRPr="00A32F1B">
        <w:t> </w:t>
      </w:r>
      <w:r w:rsidRPr="00A32F1B">
        <w:t>5,</w:t>
      </w:r>
      <w:r w:rsidR="004806B6" w:rsidRPr="00A32F1B">
        <w:t> </w:t>
      </w:r>
      <w:r w:rsidRPr="00A32F1B">
        <w:t xml:space="preserve">2021, </w:t>
      </w:r>
      <w:hyperlink r:id="rId33" w:history="1">
        <w:r w:rsidRPr="00A32F1B">
          <w:rPr>
            <w:rStyle w:val="Hypertextovodkaz"/>
          </w:rPr>
          <w:t>https://ccdl.claremont.edu/digital/collection/nha/id/3511/rec/253</w:t>
        </w:r>
      </w:hyperlink>
      <w:r w:rsidRPr="00A32F1B">
        <w:t xml:space="preserve">. </w:t>
      </w:r>
    </w:p>
    <w:p w14:paraId="4DAE548C" w14:textId="782763B6" w:rsidR="00B37871" w:rsidRPr="00A32F1B" w:rsidRDefault="00B37871" w:rsidP="00B37871">
      <w:pPr>
        <w:pStyle w:val="Bibliografie1"/>
      </w:pPr>
      <w:bookmarkStart w:id="41" w:name="_Hlk70767900"/>
      <w:r w:rsidRPr="00A32F1B">
        <w:t xml:space="preserve">Nagy, </w:t>
      </w:r>
      <w:proofErr w:type="spellStart"/>
      <w:r w:rsidRPr="00A32F1B">
        <w:t>Árpád</w:t>
      </w:r>
      <w:proofErr w:type="spellEnd"/>
      <w:r w:rsidRPr="00A32F1B">
        <w:t xml:space="preserve"> M. “Figuring out the </w:t>
      </w:r>
      <w:proofErr w:type="spellStart"/>
      <w:r w:rsidRPr="00A32F1B">
        <w:t>Anguipede</w:t>
      </w:r>
      <w:proofErr w:type="spellEnd"/>
      <w:r w:rsidRPr="00A32F1B">
        <w:t xml:space="preserve"> (‘Snake-Legged God’) and His Relation to Judaism.” </w:t>
      </w:r>
      <w:r w:rsidRPr="00A32F1B">
        <w:rPr>
          <w:i/>
          <w:iCs/>
        </w:rPr>
        <w:t>Journal of Roman Archaeology</w:t>
      </w:r>
      <w:r w:rsidRPr="00A32F1B">
        <w:t xml:space="preserve"> 15 (2002): 159–72. Accessed May 5, 2021. </w:t>
      </w:r>
      <w:hyperlink r:id="rId34" w:history="1">
        <w:r w:rsidRPr="00A32F1B">
          <w:rPr>
            <w:rStyle w:val="Hypertextovodkaz"/>
          </w:rPr>
          <w:t>https://www.academia.edu/11756148/Figuring_out_the_Anguipede_snake_legged_god_and_his_relation_to_Judaism_Journal_of_Roman_Archaeology_15_2002_159_172</w:t>
        </w:r>
      </w:hyperlink>
      <w:r w:rsidRPr="00A32F1B">
        <w:t>.</w:t>
      </w:r>
      <w:bookmarkEnd w:id="41"/>
      <w:r w:rsidRPr="00A32F1B">
        <w:t xml:space="preserve"> </w:t>
      </w:r>
    </w:p>
    <w:p w14:paraId="33EE6536" w14:textId="77777777" w:rsidR="00B37871" w:rsidRPr="00A32F1B" w:rsidRDefault="00B37871" w:rsidP="00B37871">
      <w:pPr>
        <w:pStyle w:val="Bibliografie1"/>
      </w:pPr>
      <w:proofErr w:type="spellStart"/>
      <w:r w:rsidRPr="00A32F1B">
        <w:t>Oerter</w:t>
      </w:r>
      <w:proofErr w:type="spellEnd"/>
      <w:r w:rsidRPr="00A32F1B">
        <w:t>, Wolf B. “</w:t>
      </w:r>
      <w:proofErr w:type="spellStart"/>
      <w:r w:rsidRPr="00A32F1B">
        <w:t>Úvod</w:t>
      </w:r>
      <w:proofErr w:type="spellEnd"/>
      <w:r w:rsidRPr="00A32F1B">
        <w:t xml:space="preserve">.” In </w:t>
      </w:r>
      <w:proofErr w:type="spellStart"/>
      <w:r w:rsidRPr="00A32F1B">
        <w:rPr>
          <w:i/>
          <w:iCs/>
        </w:rPr>
        <w:t>Rukopisy</w:t>
      </w:r>
      <w:proofErr w:type="spellEnd"/>
      <w:r w:rsidRPr="00A32F1B">
        <w:rPr>
          <w:i/>
          <w:iCs/>
        </w:rPr>
        <w:t xml:space="preserve"> z Nag </w:t>
      </w:r>
      <w:proofErr w:type="spellStart"/>
      <w:r w:rsidRPr="00A32F1B">
        <w:rPr>
          <w:i/>
          <w:iCs/>
        </w:rPr>
        <w:t>Hammádí</w:t>
      </w:r>
      <w:proofErr w:type="spellEnd"/>
      <w:r w:rsidRPr="00A32F1B">
        <w:rPr>
          <w:i/>
          <w:iCs/>
        </w:rPr>
        <w:t xml:space="preserve"> 5</w:t>
      </w:r>
      <w:r w:rsidRPr="00A32F1B">
        <w:t xml:space="preserve">. Edited by Wolf B. </w:t>
      </w:r>
      <w:proofErr w:type="spellStart"/>
      <w:r w:rsidRPr="00A32F1B">
        <w:t>Oerter</w:t>
      </w:r>
      <w:proofErr w:type="spellEnd"/>
      <w:r w:rsidRPr="00A32F1B">
        <w:t xml:space="preserve"> and Zuzana </w:t>
      </w:r>
      <w:proofErr w:type="spellStart"/>
      <w:r w:rsidRPr="00A32F1B">
        <w:t>Vítková</w:t>
      </w:r>
      <w:proofErr w:type="spellEnd"/>
      <w:r w:rsidRPr="00A32F1B">
        <w:t xml:space="preserve">, 17-38. Praha: </w:t>
      </w:r>
      <w:proofErr w:type="spellStart"/>
      <w:r w:rsidRPr="00A32F1B">
        <w:t>Vyšehrad</w:t>
      </w:r>
      <w:proofErr w:type="spellEnd"/>
      <w:r w:rsidRPr="00A32F1B">
        <w:t>, 2018.</w:t>
      </w:r>
    </w:p>
    <w:p w14:paraId="5BADA71A" w14:textId="77777777" w:rsidR="00B37871" w:rsidRPr="00A32F1B" w:rsidRDefault="00B37871" w:rsidP="00B37871">
      <w:pPr>
        <w:pStyle w:val="Bibliografie1"/>
      </w:pPr>
      <w:r w:rsidRPr="00A32F1B">
        <w:t xml:space="preserve">Oreck, Alden. “Modern Jewish History: The Cairo Genizah.” </w:t>
      </w:r>
      <w:r w:rsidRPr="00A32F1B">
        <w:rPr>
          <w:i/>
          <w:iCs/>
        </w:rPr>
        <w:t>Jewish Virtual Library</w:t>
      </w:r>
      <w:r w:rsidRPr="00A32F1B">
        <w:t xml:space="preserve">. Accessed April 9, 2021. </w:t>
      </w:r>
      <w:hyperlink r:id="rId35" w:history="1">
        <w:r w:rsidRPr="00A32F1B">
          <w:rPr>
            <w:rStyle w:val="Hypertextovodkaz"/>
          </w:rPr>
          <w:t>https://www.jewishvirtuallibrary.org/the-cairo-genizah</w:t>
        </w:r>
      </w:hyperlink>
      <w:r w:rsidRPr="00A32F1B">
        <w:t xml:space="preserve">. </w:t>
      </w:r>
    </w:p>
    <w:p w14:paraId="2FF06C29" w14:textId="77777777" w:rsidR="00B37871" w:rsidRPr="00A32F1B" w:rsidRDefault="00B37871" w:rsidP="00B37871">
      <w:pPr>
        <w:pStyle w:val="Bibliografie1"/>
      </w:pPr>
      <w:r w:rsidRPr="00A32F1B">
        <w:t xml:space="preserve">Origen. </w:t>
      </w:r>
      <w:r w:rsidRPr="00A32F1B">
        <w:rPr>
          <w:i/>
          <w:iCs/>
        </w:rPr>
        <w:t xml:space="preserve">Contra </w:t>
      </w:r>
      <w:proofErr w:type="spellStart"/>
      <w:r w:rsidRPr="00A32F1B">
        <w:rPr>
          <w:i/>
          <w:iCs/>
        </w:rPr>
        <w:t>Celsum</w:t>
      </w:r>
      <w:proofErr w:type="spellEnd"/>
      <w:r w:rsidRPr="00A32F1B">
        <w:t>. Translated with an introduction &amp; notes by Henry Chadwick. Cambridge: Cambridge University Press, 1980.</w:t>
      </w:r>
    </w:p>
    <w:p w14:paraId="357220F6" w14:textId="18D4565F" w:rsidR="00B37871" w:rsidRPr="00A32F1B" w:rsidRDefault="00B37871" w:rsidP="00B37871">
      <w:pPr>
        <w:pStyle w:val="Bibliografie1"/>
      </w:pPr>
      <w:r w:rsidRPr="00A32F1B">
        <w:t xml:space="preserve">Owens, Lance S. “The Hermeneutics of Vision: C. G. Jung and Liber Novus.” In </w:t>
      </w:r>
      <w:proofErr w:type="gramStart"/>
      <w:r w:rsidRPr="00A32F1B">
        <w:rPr>
          <w:i/>
          <w:iCs/>
        </w:rPr>
        <w:t>The</w:t>
      </w:r>
      <w:proofErr w:type="gramEnd"/>
      <w:r w:rsidRPr="00A32F1B">
        <w:rPr>
          <w:i/>
          <w:iCs/>
        </w:rPr>
        <w:t xml:space="preserve"> Gnostic: A Journal of Gnosticism, Western Esoterism and Spirituality</w:t>
      </w:r>
      <w:r w:rsidRPr="00A32F1B">
        <w:t>, no. 3 (July 2010): 23-46.</w:t>
      </w:r>
      <w:r w:rsidR="004806B6" w:rsidRPr="00A32F1B">
        <w:t> </w:t>
      </w:r>
      <w:r w:rsidRPr="00A32F1B">
        <w:t>Accessed</w:t>
      </w:r>
      <w:r w:rsidR="004806B6" w:rsidRPr="00A32F1B">
        <w:t> </w:t>
      </w:r>
      <w:r w:rsidRPr="00A32F1B">
        <w:t>May</w:t>
      </w:r>
      <w:r w:rsidR="004806B6" w:rsidRPr="00A32F1B">
        <w:t> </w:t>
      </w:r>
      <w:r w:rsidRPr="00A32F1B">
        <w:t>5,</w:t>
      </w:r>
      <w:r w:rsidR="004806B6" w:rsidRPr="00A32F1B">
        <w:t> </w:t>
      </w:r>
      <w:r w:rsidRPr="00A32F1B">
        <w:t xml:space="preserve">2021. </w:t>
      </w:r>
      <w:hyperlink r:id="rId36" w:history="1">
        <w:r w:rsidRPr="00A32F1B">
          <w:rPr>
            <w:rStyle w:val="Hypertextovodkaz"/>
          </w:rPr>
          <w:t>https://www.researchgate.net/publication/261672933_The_Hermeneutics_of_Vision_C_G_Jung_and_Liber_Novus</w:t>
        </w:r>
      </w:hyperlink>
      <w:r w:rsidRPr="00A32F1B">
        <w:t xml:space="preserve"> </w:t>
      </w:r>
    </w:p>
    <w:p w14:paraId="76673C74" w14:textId="77777777" w:rsidR="00B37871" w:rsidRPr="00A32F1B" w:rsidRDefault="00B37871" w:rsidP="00B37871">
      <w:pPr>
        <w:pStyle w:val="Bibliografie1"/>
      </w:pPr>
      <w:r w:rsidRPr="00A32F1B">
        <w:t xml:space="preserve">Pearson, Birger A. </w:t>
      </w:r>
      <w:r w:rsidRPr="00A32F1B">
        <w:rPr>
          <w:i/>
          <w:iCs/>
        </w:rPr>
        <w:t>Gnosticism, Judaism, and Egyptian Christianity.</w:t>
      </w:r>
      <w:r w:rsidRPr="00A32F1B">
        <w:t xml:space="preserve"> Minneapolis: Fortress Press, 1990.</w:t>
      </w:r>
    </w:p>
    <w:p w14:paraId="71872C18" w14:textId="77777777" w:rsidR="00B37871" w:rsidRPr="00A32F1B" w:rsidRDefault="00B37871" w:rsidP="00B37871">
      <w:pPr>
        <w:pStyle w:val="Bibliografie1"/>
      </w:pPr>
      <w:bookmarkStart w:id="42" w:name="_Hlk70703958"/>
      <w:r w:rsidRPr="00A32F1B">
        <w:lastRenderedPageBreak/>
        <w:t xml:space="preserve">Peleg-Barkat, Orit and </w:t>
      </w:r>
      <w:proofErr w:type="spellStart"/>
      <w:r w:rsidRPr="00A32F1B">
        <w:t>Yotam</w:t>
      </w:r>
      <w:proofErr w:type="spellEnd"/>
      <w:r w:rsidRPr="00A32F1B">
        <w:t xml:space="preserve"> Tepper. “Engraved Gems from Sites with a Military Presence in Roman Palestine: The Cases of </w:t>
      </w:r>
      <w:proofErr w:type="spellStart"/>
      <w:r w:rsidRPr="00A32F1B">
        <w:t>Legio</w:t>
      </w:r>
      <w:proofErr w:type="spellEnd"/>
      <w:r w:rsidRPr="00A32F1B">
        <w:t xml:space="preserve"> and </w:t>
      </w:r>
      <w:proofErr w:type="spellStart"/>
      <w:r w:rsidRPr="00A32F1B">
        <w:t>Aelia</w:t>
      </w:r>
      <w:proofErr w:type="spellEnd"/>
      <w:r w:rsidRPr="00A32F1B">
        <w:t xml:space="preserve"> </w:t>
      </w:r>
      <w:proofErr w:type="spellStart"/>
      <w:r w:rsidRPr="00A32F1B">
        <w:t>Capitolina</w:t>
      </w:r>
      <w:proofErr w:type="spellEnd"/>
      <w:r w:rsidRPr="00A32F1B">
        <w:t xml:space="preserve">.” In </w:t>
      </w:r>
      <w:r w:rsidRPr="00A32F1B">
        <w:rPr>
          <w:i/>
          <w:iCs/>
        </w:rPr>
        <w:t>‘Gems of Heaven’: Recent Research on Engraved Gemstones in Late Antiquity, c. AD 200-600</w:t>
      </w:r>
      <w:r w:rsidRPr="00A32F1B">
        <w:t>. Edited by Chris Entwistle and No</w:t>
      </w:r>
      <w:r w:rsidRPr="00A32F1B">
        <w:rPr>
          <w:rFonts w:cstheme="minorHAnsi"/>
        </w:rPr>
        <w:t>ë</w:t>
      </w:r>
      <w:r w:rsidRPr="00A32F1B">
        <w:t xml:space="preserve">l Adams, 99-104. London: British Museum, 2012.  </w:t>
      </w:r>
    </w:p>
    <w:p w14:paraId="69B37B98" w14:textId="77777777" w:rsidR="00B37871" w:rsidRPr="00A32F1B" w:rsidRDefault="00B37871" w:rsidP="00B37871">
      <w:pPr>
        <w:pStyle w:val="Bibliografie1"/>
      </w:pPr>
      <w:bookmarkStart w:id="43" w:name="_Hlk70703245"/>
      <w:bookmarkEnd w:id="42"/>
      <w:proofErr w:type="spellStart"/>
      <w:r w:rsidRPr="00A32F1B">
        <w:t>Preisendanz</w:t>
      </w:r>
      <w:proofErr w:type="spellEnd"/>
      <w:r w:rsidRPr="00A32F1B">
        <w:t xml:space="preserve">, Karl. </w:t>
      </w:r>
      <w:r w:rsidRPr="00A32F1B">
        <w:rPr>
          <w:i/>
          <w:iCs/>
        </w:rPr>
        <w:t xml:space="preserve">Papyri </w:t>
      </w:r>
      <w:proofErr w:type="spellStart"/>
      <w:r w:rsidRPr="00A32F1B">
        <w:rPr>
          <w:i/>
          <w:iCs/>
        </w:rPr>
        <w:t>Graecae</w:t>
      </w:r>
      <w:proofErr w:type="spellEnd"/>
      <w:r w:rsidRPr="00A32F1B">
        <w:rPr>
          <w:i/>
          <w:iCs/>
        </w:rPr>
        <w:t xml:space="preserve"> </w:t>
      </w:r>
      <w:proofErr w:type="spellStart"/>
      <w:r w:rsidRPr="00A32F1B">
        <w:rPr>
          <w:i/>
          <w:iCs/>
        </w:rPr>
        <w:t>Magicae</w:t>
      </w:r>
      <w:proofErr w:type="spellEnd"/>
      <w:r w:rsidRPr="00A32F1B">
        <w:rPr>
          <w:i/>
          <w:iCs/>
        </w:rPr>
        <w:t xml:space="preserve">: Die </w:t>
      </w:r>
      <w:proofErr w:type="spellStart"/>
      <w:r w:rsidRPr="00A32F1B">
        <w:rPr>
          <w:i/>
          <w:iCs/>
        </w:rPr>
        <w:t>Griechischen</w:t>
      </w:r>
      <w:proofErr w:type="spellEnd"/>
      <w:r w:rsidRPr="00A32F1B">
        <w:rPr>
          <w:i/>
          <w:iCs/>
        </w:rPr>
        <w:t xml:space="preserve"> </w:t>
      </w:r>
      <w:proofErr w:type="spellStart"/>
      <w:r w:rsidRPr="00A32F1B">
        <w:rPr>
          <w:i/>
          <w:iCs/>
        </w:rPr>
        <w:t>Zauberpapyri</w:t>
      </w:r>
      <w:proofErr w:type="spellEnd"/>
      <w:r w:rsidRPr="00A32F1B">
        <w:rPr>
          <w:i/>
          <w:iCs/>
        </w:rPr>
        <w:t xml:space="preserve">, </w:t>
      </w:r>
      <w:r w:rsidRPr="00A32F1B">
        <w:t>vol.</w:t>
      </w:r>
      <w:r w:rsidRPr="00A32F1B">
        <w:rPr>
          <w:i/>
          <w:iCs/>
        </w:rPr>
        <w:t xml:space="preserve"> </w:t>
      </w:r>
      <w:r w:rsidRPr="00A32F1B">
        <w:t>I. Leipzig, and Berlin: B. G. Teubner, 1928.</w:t>
      </w:r>
    </w:p>
    <w:bookmarkEnd w:id="43"/>
    <w:p w14:paraId="25995F32" w14:textId="77777777" w:rsidR="00B37871" w:rsidRPr="00A32F1B" w:rsidRDefault="00B37871" w:rsidP="00B37871">
      <w:pPr>
        <w:pStyle w:val="Bibliografie1"/>
      </w:pPr>
      <w:r w:rsidRPr="00A32F1B">
        <w:t xml:space="preserve">“RIB 436. GREEK MAGICAL AMULET.” </w:t>
      </w:r>
      <w:r w:rsidRPr="00A32F1B">
        <w:rPr>
          <w:i/>
          <w:iCs/>
        </w:rPr>
        <w:t>Roman Inscriptions of Britain.</w:t>
      </w:r>
      <w:r w:rsidRPr="00A32F1B">
        <w:t xml:space="preserve"> Accessed May 5, 2021. </w:t>
      </w:r>
      <w:hyperlink r:id="rId37" w:history="1">
        <w:r w:rsidRPr="00A32F1B">
          <w:rPr>
            <w:rStyle w:val="Hypertextovodkaz"/>
          </w:rPr>
          <w:t>https://romaninscriptionsofbritain.org/inscriptions/436</w:t>
        </w:r>
      </w:hyperlink>
      <w:r w:rsidRPr="00A32F1B">
        <w:t xml:space="preserve">. </w:t>
      </w:r>
    </w:p>
    <w:p w14:paraId="07E5C700" w14:textId="77777777" w:rsidR="00B37871" w:rsidRPr="00A32F1B" w:rsidRDefault="00B37871" w:rsidP="00B37871">
      <w:pPr>
        <w:pStyle w:val="Bibliografie1"/>
      </w:pPr>
      <w:bookmarkStart w:id="44" w:name="_Hlk70720525"/>
      <w:r w:rsidRPr="00A32F1B">
        <w:t xml:space="preserve">Robison, James M. “Introduction.” In </w:t>
      </w:r>
      <w:proofErr w:type="gramStart"/>
      <w:r w:rsidRPr="00A32F1B">
        <w:rPr>
          <w:i/>
          <w:iCs/>
        </w:rPr>
        <w:t>The</w:t>
      </w:r>
      <w:proofErr w:type="gramEnd"/>
      <w:r w:rsidRPr="00A32F1B">
        <w:rPr>
          <w:i/>
          <w:iCs/>
        </w:rPr>
        <w:t xml:space="preserve"> Nag Hammadi Library in English. </w:t>
      </w:r>
      <w:r w:rsidRPr="00A32F1B">
        <w:t xml:space="preserve">Edited by James M. Robinson, 1-26. San Francisco: </w:t>
      </w:r>
      <w:proofErr w:type="spellStart"/>
      <w:r w:rsidRPr="00A32F1B">
        <w:t>HarperSanFrancisco</w:t>
      </w:r>
      <w:proofErr w:type="spellEnd"/>
      <w:r w:rsidRPr="00A32F1B">
        <w:t>, 1990.</w:t>
      </w:r>
    </w:p>
    <w:bookmarkEnd w:id="44"/>
    <w:p w14:paraId="15100991" w14:textId="77777777" w:rsidR="00B37871" w:rsidRPr="00A32F1B" w:rsidRDefault="00B37871" w:rsidP="00B37871">
      <w:pPr>
        <w:pStyle w:val="Bibliografie1"/>
      </w:pPr>
      <w:r w:rsidRPr="00A32F1B">
        <w:t xml:space="preserve">Rudolph, Kurt. </w:t>
      </w:r>
      <w:r w:rsidRPr="00A32F1B">
        <w:rPr>
          <w:i/>
          <w:iCs/>
        </w:rPr>
        <w:t>Gnosis: The Nature &amp; History of Gnosticism.</w:t>
      </w:r>
      <w:r w:rsidRPr="00A32F1B">
        <w:t xml:space="preserve"> Translated by P. W. </w:t>
      </w:r>
      <w:proofErr w:type="spellStart"/>
      <w:r w:rsidRPr="00A32F1B">
        <w:t>Coxon</w:t>
      </w:r>
      <w:proofErr w:type="spellEnd"/>
      <w:r w:rsidRPr="00A32F1B">
        <w:t xml:space="preserve">, K.H. Kuhn and R. </w:t>
      </w:r>
      <w:proofErr w:type="spellStart"/>
      <w:r w:rsidRPr="00A32F1B">
        <w:t>McL</w:t>
      </w:r>
      <w:proofErr w:type="spellEnd"/>
      <w:r w:rsidRPr="00A32F1B">
        <w:t>. Wilson. San Francisco: Harper &amp; Row, 1987.</w:t>
      </w:r>
    </w:p>
    <w:p w14:paraId="234BCCDB" w14:textId="77777777" w:rsidR="00B37871" w:rsidRPr="00A32F1B" w:rsidRDefault="00B37871" w:rsidP="00B37871">
      <w:pPr>
        <w:pStyle w:val="Bibliografie1"/>
      </w:pPr>
      <w:proofErr w:type="spellStart"/>
      <w:r w:rsidRPr="00A32F1B">
        <w:t>Ryneš</w:t>
      </w:r>
      <w:proofErr w:type="spellEnd"/>
      <w:r w:rsidRPr="00A32F1B">
        <w:t>, Pavel. “</w:t>
      </w:r>
      <w:proofErr w:type="spellStart"/>
      <w:r w:rsidRPr="00A32F1B">
        <w:t>Svatá</w:t>
      </w:r>
      <w:proofErr w:type="spellEnd"/>
      <w:r w:rsidRPr="00A32F1B">
        <w:t xml:space="preserve"> </w:t>
      </w:r>
      <w:proofErr w:type="spellStart"/>
      <w:r w:rsidRPr="00A32F1B">
        <w:t>kniha</w:t>
      </w:r>
      <w:proofErr w:type="spellEnd"/>
      <w:r w:rsidRPr="00A32F1B">
        <w:t xml:space="preserve"> </w:t>
      </w:r>
      <w:proofErr w:type="spellStart"/>
      <w:r w:rsidRPr="00A32F1B">
        <w:t>velkého</w:t>
      </w:r>
      <w:proofErr w:type="spellEnd"/>
      <w:r w:rsidRPr="00A32F1B">
        <w:t xml:space="preserve"> </w:t>
      </w:r>
      <w:proofErr w:type="spellStart"/>
      <w:r w:rsidRPr="00A32F1B">
        <w:t>neviditelného</w:t>
      </w:r>
      <w:proofErr w:type="spellEnd"/>
      <w:r w:rsidRPr="00A32F1B">
        <w:t xml:space="preserve"> </w:t>
      </w:r>
      <w:proofErr w:type="spellStart"/>
      <w:r w:rsidRPr="00A32F1B">
        <w:t>Ducha</w:t>
      </w:r>
      <w:proofErr w:type="spellEnd"/>
      <w:r w:rsidRPr="00A32F1B">
        <w:t xml:space="preserve"> (</w:t>
      </w:r>
      <w:proofErr w:type="spellStart"/>
      <w:r w:rsidRPr="00A32F1B">
        <w:t>Evangelium</w:t>
      </w:r>
      <w:proofErr w:type="spellEnd"/>
      <w:r w:rsidRPr="00A32F1B">
        <w:t xml:space="preserve"> </w:t>
      </w:r>
      <w:proofErr w:type="spellStart"/>
      <w:r w:rsidRPr="00A32F1B">
        <w:t>Egypťanů</w:t>
      </w:r>
      <w:proofErr w:type="spellEnd"/>
      <w:r w:rsidRPr="00A32F1B">
        <w:t xml:space="preserve">) (NHC III/2, 40, 12-69, 20 and IV/2, 50, 1-81, 2).” In </w:t>
      </w:r>
      <w:proofErr w:type="spellStart"/>
      <w:r w:rsidRPr="00A32F1B">
        <w:rPr>
          <w:i/>
          <w:iCs/>
        </w:rPr>
        <w:t>Rukopisy</w:t>
      </w:r>
      <w:proofErr w:type="spellEnd"/>
      <w:r w:rsidRPr="00A32F1B">
        <w:rPr>
          <w:i/>
          <w:iCs/>
        </w:rPr>
        <w:t xml:space="preserve"> z Nag </w:t>
      </w:r>
      <w:proofErr w:type="spellStart"/>
      <w:r w:rsidRPr="00A32F1B">
        <w:rPr>
          <w:i/>
          <w:iCs/>
        </w:rPr>
        <w:t>Hammádí</w:t>
      </w:r>
      <w:proofErr w:type="spellEnd"/>
      <w:r w:rsidRPr="00A32F1B">
        <w:rPr>
          <w:i/>
          <w:iCs/>
        </w:rPr>
        <w:t xml:space="preserve"> 5</w:t>
      </w:r>
      <w:r w:rsidRPr="00A32F1B">
        <w:t xml:space="preserve">. Edited by Wolf B. </w:t>
      </w:r>
      <w:proofErr w:type="spellStart"/>
      <w:r w:rsidRPr="00A32F1B">
        <w:t>Oerter</w:t>
      </w:r>
      <w:proofErr w:type="spellEnd"/>
      <w:r w:rsidRPr="00A32F1B">
        <w:t xml:space="preserve"> and Zuzana </w:t>
      </w:r>
      <w:proofErr w:type="spellStart"/>
      <w:r w:rsidRPr="00A32F1B">
        <w:t>Vítková</w:t>
      </w:r>
      <w:proofErr w:type="spellEnd"/>
      <w:r w:rsidRPr="00A32F1B">
        <w:t xml:space="preserve">, 151-170. Praha: </w:t>
      </w:r>
      <w:proofErr w:type="spellStart"/>
      <w:r w:rsidRPr="00A32F1B">
        <w:t>Vyšehrad</w:t>
      </w:r>
      <w:proofErr w:type="spellEnd"/>
      <w:r w:rsidRPr="00A32F1B">
        <w:t>, 2018.</w:t>
      </w:r>
    </w:p>
    <w:p w14:paraId="2DFEA47C" w14:textId="77777777" w:rsidR="00B37871" w:rsidRPr="00A32F1B" w:rsidRDefault="00B37871" w:rsidP="00B37871">
      <w:pPr>
        <w:pStyle w:val="Bibliografie1"/>
      </w:pPr>
      <w:bookmarkStart w:id="45" w:name="_Hlk70770102"/>
      <w:r w:rsidRPr="00A32F1B">
        <w:t>Sch</w:t>
      </w:r>
      <w:r w:rsidRPr="00A32F1B">
        <w:rPr>
          <w:rFonts w:cs="Times New Roman"/>
        </w:rPr>
        <w:t>ä</w:t>
      </w:r>
      <w:r w:rsidRPr="00A32F1B">
        <w:t xml:space="preserve">fer, Peter. </w:t>
      </w:r>
      <w:proofErr w:type="spellStart"/>
      <w:r w:rsidRPr="00A32F1B">
        <w:rPr>
          <w:i/>
          <w:iCs/>
        </w:rPr>
        <w:t>Rivalit</w:t>
      </w:r>
      <w:r w:rsidRPr="00A32F1B">
        <w:rPr>
          <w:rFonts w:cs="Times New Roman"/>
          <w:i/>
          <w:iCs/>
        </w:rPr>
        <w:t>ä</w:t>
      </w:r>
      <w:r w:rsidRPr="00A32F1B">
        <w:rPr>
          <w:i/>
          <w:iCs/>
        </w:rPr>
        <w:t>t</w:t>
      </w:r>
      <w:proofErr w:type="spellEnd"/>
      <w:r w:rsidRPr="00A32F1B">
        <w:rPr>
          <w:i/>
          <w:iCs/>
        </w:rPr>
        <w:t xml:space="preserve"> </w:t>
      </w:r>
      <w:proofErr w:type="spellStart"/>
      <w:r w:rsidRPr="00A32F1B">
        <w:rPr>
          <w:i/>
          <w:iCs/>
        </w:rPr>
        <w:t>Zwischen</w:t>
      </w:r>
      <w:proofErr w:type="spellEnd"/>
      <w:r w:rsidRPr="00A32F1B">
        <w:rPr>
          <w:i/>
          <w:iCs/>
        </w:rPr>
        <w:t xml:space="preserve"> </w:t>
      </w:r>
      <w:proofErr w:type="spellStart"/>
      <w:r w:rsidRPr="00A32F1B">
        <w:rPr>
          <w:i/>
          <w:iCs/>
        </w:rPr>
        <w:t>Engeln</w:t>
      </w:r>
      <w:proofErr w:type="spellEnd"/>
      <w:r w:rsidRPr="00A32F1B">
        <w:rPr>
          <w:i/>
          <w:iCs/>
        </w:rPr>
        <w:t xml:space="preserve"> und Menschen: </w:t>
      </w:r>
      <w:proofErr w:type="spellStart"/>
      <w:r w:rsidRPr="00A32F1B">
        <w:rPr>
          <w:i/>
          <w:iCs/>
        </w:rPr>
        <w:t>Untersuchungen</w:t>
      </w:r>
      <w:proofErr w:type="spellEnd"/>
      <w:r w:rsidRPr="00A32F1B">
        <w:rPr>
          <w:i/>
          <w:iCs/>
        </w:rPr>
        <w:t xml:space="preserve"> </w:t>
      </w:r>
      <w:proofErr w:type="spellStart"/>
      <w:r w:rsidRPr="00A32F1B">
        <w:rPr>
          <w:i/>
          <w:iCs/>
        </w:rPr>
        <w:t>zur</w:t>
      </w:r>
      <w:proofErr w:type="spellEnd"/>
      <w:r w:rsidRPr="00A32F1B">
        <w:rPr>
          <w:i/>
          <w:iCs/>
        </w:rPr>
        <w:t xml:space="preserve"> </w:t>
      </w:r>
      <w:proofErr w:type="spellStart"/>
      <w:r w:rsidRPr="00A32F1B">
        <w:rPr>
          <w:i/>
          <w:iCs/>
        </w:rPr>
        <w:t>Eabbinischen</w:t>
      </w:r>
      <w:proofErr w:type="spellEnd"/>
      <w:r w:rsidRPr="00A32F1B">
        <w:rPr>
          <w:i/>
          <w:iCs/>
        </w:rPr>
        <w:t xml:space="preserve"> </w:t>
      </w:r>
      <w:proofErr w:type="spellStart"/>
      <w:r w:rsidRPr="00A32F1B">
        <w:rPr>
          <w:i/>
          <w:iCs/>
        </w:rPr>
        <w:t>Engelvorstellung</w:t>
      </w:r>
      <w:proofErr w:type="spellEnd"/>
      <w:r w:rsidRPr="00A32F1B">
        <w:rPr>
          <w:i/>
          <w:iCs/>
        </w:rPr>
        <w:t>.</w:t>
      </w:r>
      <w:r w:rsidRPr="00A32F1B">
        <w:t xml:space="preserve"> Berlin and New York: Walter de Gruyter, 1975.</w:t>
      </w:r>
    </w:p>
    <w:bookmarkEnd w:id="45"/>
    <w:p w14:paraId="1CF8E1FF" w14:textId="77777777" w:rsidR="00B37871" w:rsidRPr="00A32F1B" w:rsidRDefault="00B37871" w:rsidP="00B37871">
      <w:pPr>
        <w:pStyle w:val="Bibliografie1"/>
      </w:pPr>
      <w:proofErr w:type="spellStart"/>
      <w:r w:rsidRPr="00A32F1B">
        <w:t>Scholem</w:t>
      </w:r>
      <w:proofErr w:type="spellEnd"/>
      <w:r w:rsidRPr="00A32F1B">
        <w:t xml:space="preserve">, Gershom G. </w:t>
      </w:r>
      <w:r w:rsidRPr="00A32F1B">
        <w:rPr>
          <w:i/>
          <w:iCs/>
        </w:rPr>
        <w:t>Jewish Gnosticism, Merkabah Mysticism, and Talmudic Tradition.</w:t>
      </w:r>
      <w:r w:rsidRPr="00A32F1B">
        <w:t xml:space="preserve"> New York: The Jewish Theological Seminary of America, 1965.</w:t>
      </w:r>
    </w:p>
    <w:p w14:paraId="1302A8EA" w14:textId="77777777" w:rsidR="00B37871" w:rsidRPr="00A32F1B" w:rsidRDefault="00B37871" w:rsidP="00B37871">
      <w:pPr>
        <w:pStyle w:val="Bibliografie1"/>
      </w:pPr>
      <w:r w:rsidRPr="00A32F1B">
        <w:t xml:space="preserve">Schwartz, Seth. </w:t>
      </w:r>
      <w:proofErr w:type="spellStart"/>
      <w:r w:rsidRPr="00A32F1B">
        <w:rPr>
          <w:i/>
          <w:iCs/>
        </w:rPr>
        <w:t>Imerialism</w:t>
      </w:r>
      <w:proofErr w:type="spellEnd"/>
      <w:r w:rsidRPr="00A32F1B">
        <w:rPr>
          <w:i/>
          <w:iCs/>
        </w:rPr>
        <w:t xml:space="preserve"> and Jewish Society, 200 B.C.E. to 640 C.E. </w:t>
      </w:r>
      <w:r w:rsidRPr="00A32F1B">
        <w:t>Princeton: Princeton University Press, 2001.</w:t>
      </w:r>
    </w:p>
    <w:p w14:paraId="6816D21A" w14:textId="77777777" w:rsidR="00B37871" w:rsidRPr="00A32F1B" w:rsidRDefault="00B37871" w:rsidP="00B37871">
      <w:pPr>
        <w:pStyle w:val="Bibliografie1"/>
      </w:pPr>
      <w:r w:rsidRPr="00A32F1B">
        <w:t>“</w:t>
      </w:r>
      <w:proofErr w:type="spellStart"/>
      <w:r w:rsidRPr="00A32F1B">
        <w:t>Sefer</w:t>
      </w:r>
      <w:proofErr w:type="spellEnd"/>
      <w:r w:rsidRPr="00A32F1B">
        <w:t xml:space="preserve"> Ha-</w:t>
      </w:r>
      <w:proofErr w:type="spellStart"/>
      <w:r w:rsidRPr="00A32F1B">
        <w:t>Razim</w:t>
      </w:r>
      <w:proofErr w:type="spellEnd"/>
      <w:r w:rsidRPr="00A32F1B">
        <w:t xml:space="preserve">”. </w:t>
      </w:r>
      <w:r w:rsidRPr="00A32F1B">
        <w:rPr>
          <w:i/>
          <w:iCs/>
        </w:rPr>
        <w:t xml:space="preserve">Jewish Virtual Library. </w:t>
      </w:r>
      <w:r w:rsidRPr="00A32F1B">
        <w:t xml:space="preserve">Accessed May 5, 2021. </w:t>
      </w:r>
      <w:hyperlink r:id="rId38" w:history="1">
        <w:r w:rsidRPr="00A32F1B">
          <w:rPr>
            <w:rStyle w:val="Hypertextovodkaz"/>
          </w:rPr>
          <w:t>https://www.jewishvirtuallibrary.org/razim-sefer-ha</w:t>
        </w:r>
      </w:hyperlink>
      <w:r w:rsidRPr="00A32F1B">
        <w:t xml:space="preserve"> </w:t>
      </w:r>
    </w:p>
    <w:p w14:paraId="4E871905" w14:textId="77777777" w:rsidR="00B37871" w:rsidRPr="00A32F1B" w:rsidRDefault="00B37871" w:rsidP="00B37871">
      <w:pPr>
        <w:pStyle w:val="Bibliografie1"/>
      </w:pPr>
      <w:bookmarkStart w:id="46" w:name="_Hlk70927101"/>
      <w:r w:rsidRPr="00A32F1B">
        <w:t xml:space="preserve">Selden, John. </w:t>
      </w:r>
      <w:r w:rsidRPr="00A32F1B">
        <w:rPr>
          <w:i/>
          <w:iCs/>
        </w:rPr>
        <w:t xml:space="preserve">De Dis </w:t>
      </w:r>
      <w:proofErr w:type="spellStart"/>
      <w:r w:rsidRPr="00A32F1B">
        <w:rPr>
          <w:i/>
          <w:iCs/>
        </w:rPr>
        <w:t>Syris</w:t>
      </w:r>
      <w:proofErr w:type="spellEnd"/>
      <w:r w:rsidRPr="00A32F1B">
        <w:rPr>
          <w:i/>
          <w:iCs/>
        </w:rPr>
        <w:t xml:space="preserve">: Syntagmata II. </w:t>
      </w:r>
      <w:r w:rsidRPr="00A32F1B">
        <w:t xml:space="preserve">London: </w:t>
      </w:r>
      <w:proofErr w:type="spellStart"/>
      <w:r w:rsidRPr="00A32F1B">
        <w:t>Guilielmus</w:t>
      </w:r>
      <w:proofErr w:type="spellEnd"/>
      <w:r w:rsidRPr="00A32F1B">
        <w:t xml:space="preserve"> </w:t>
      </w:r>
      <w:proofErr w:type="spellStart"/>
      <w:r w:rsidRPr="00A32F1B">
        <w:t>Stansbeins</w:t>
      </w:r>
      <w:proofErr w:type="spellEnd"/>
      <w:r w:rsidRPr="00A32F1B">
        <w:t>, 1617.</w:t>
      </w:r>
    </w:p>
    <w:bookmarkEnd w:id="46"/>
    <w:p w14:paraId="2FD7AC09" w14:textId="77777777" w:rsidR="00B37871" w:rsidRPr="00A32F1B" w:rsidRDefault="00B37871" w:rsidP="00B37871">
      <w:pPr>
        <w:pStyle w:val="Bibliografie1"/>
      </w:pPr>
      <w:proofErr w:type="spellStart"/>
      <w:r w:rsidRPr="00A32F1B">
        <w:t>Serenus</w:t>
      </w:r>
      <w:proofErr w:type="spellEnd"/>
      <w:r w:rsidRPr="00A32F1B">
        <w:t xml:space="preserve"> </w:t>
      </w:r>
      <w:proofErr w:type="spellStart"/>
      <w:r w:rsidRPr="00A32F1B">
        <w:t>Sammonicus</w:t>
      </w:r>
      <w:proofErr w:type="spellEnd"/>
      <w:r w:rsidRPr="00A32F1B">
        <w:t xml:space="preserve">, Quintus, and Friedrich Vollmer. </w:t>
      </w:r>
      <w:proofErr w:type="spellStart"/>
      <w:r w:rsidRPr="00A32F1B">
        <w:rPr>
          <w:i/>
          <w:iCs/>
        </w:rPr>
        <w:t>Qvinti</w:t>
      </w:r>
      <w:proofErr w:type="spellEnd"/>
      <w:r w:rsidRPr="00A32F1B">
        <w:rPr>
          <w:i/>
          <w:iCs/>
        </w:rPr>
        <w:t xml:space="preserve"> </w:t>
      </w:r>
      <w:proofErr w:type="spellStart"/>
      <w:r w:rsidRPr="00A32F1B">
        <w:rPr>
          <w:i/>
          <w:iCs/>
        </w:rPr>
        <w:t>Sereni</w:t>
      </w:r>
      <w:proofErr w:type="spellEnd"/>
      <w:r w:rsidRPr="00A32F1B">
        <w:rPr>
          <w:i/>
          <w:iCs/>
        </w:rPr>
        <w:t xml:space="preserve"> Liber </w:t>
      </w:r>
      <w:proofErr w:type="spellStart"/>
      <w:r w:rsidRPr="00A32F1B">
        <w:rPr>
          <w:i/>
          <w:iCs/>
        </w:rPr>
        <w:t>Medicinalis</w:t>
      </w:r>
      <w:proofErr w:type="spellEnd"/>
      <w:r w:rsidRPr="00A32F1B">
        <w:t>. Leipzig and Berlin: B.G. Teubner, 1916.</w:t>
      </w:r>
    </w:p>
    <w:p w14:paraId="7FEF993A" w14:textId="77777777" w:rsidR="00B37871" w:rsidRPr="00A32F1B" w:rsidRDefault="00B37871" w:rsidP="00B37871">
      <w:pPr>
        <w:pStyle w:val="Bibliografie1"/>
      </w:pPr>
      <w:r w:rsidRPr="00A32F1B">
        <w:t xml:space="preserve">Serrano, Miguel. </w:t>
      </w:r>
      <w:r w:rsidRPr="00A32F1B">
        <w:rPr>
          <w:i/>
          <w:iCs/>
        </w:rPr>
        <w:t>C.G. JUNG AND HERMANN HESSE: A Record of Two Friendships.</w:t>
      </w:r>
      <w:r w:rsidRPr="00A32F1B">
        <w:t xml:space="preserve"> Translated by Frank </w:t>
      </w:r>
      <w:proofErr w:type="spellStart"/>
      <w:r w:rsidRPr="00A32F1B">
        <w:t>MacShane</w:t>
      </w:r>
      <w:proofErr w:type="spellEnd"/>
      <w:r w:rsidRPr="00A32F1B">
        <w:t>. London: Routledge &amp; Kegan Paul Ltd, 1971.</w:t>
      </w:r>
    </w:p>
    <w:p w14:paraId="25D63C9C" w14:textId="77777777" w:rsidR="00B37871" w:rsidRPr="00A32F1B" w:rsidRDefault="00B37871" w:rsidP="00B37871">
      <w:pPr>
        <w:pStyle w:val="Bibliografie1"/>
      </w:pPr>
      <w:bookmarkStart w:id="47" w:name="_Hlk70770817"/>
      <w:r w:rsidRPr="00A32F1B">
        <w:lastRenderedPageBreak/>
        <w:t xml:space="preserve">Shaked, </w:t>
      </w:r>
      <w:proofErr w:type="spellStart"/>
      <w:r w:rsidRPr="00A32F1B">
        <w:t>Shaul</w:t>
      </w:r>
      <w:proofErr w:type="spellEnd"/>
      <w:r w:rsidRPr="00A32F1B">
        <w:t xml:space="preserve">. </w:t>
      </w:r>
      <w:r w:rsidRPr="00A32F1B">
        <w:rPr>
          <w:rFonts w:cs="Times New Roman"/>
        </w:rPr>
        <w:t>“</w:t>
      </w:r>
      <w:r w:rsidRPr="00A32F1B">
        <w:t xml:space="preserve">Dramatis Personae in the Jewish Magic Texts: Some Differences Between Incantation Bowls and </w:t>
      </w:r>
      <w:proofErr w:type="spellStart"/>
      <w:r w:rsidRPr="00A32F1B">
        <w:t>Geniza</w:t>
      </w:r>
      <w:proofErr w:type="spellEnd"/>
      <w:r w:rsidRPr="00A32F1B">
        <w:t xml:space="preserve"> Magic.” </w:t>
      </w:r>
      <w:r w:rsidRPr="00A32F1B">
        <w:rPr>
          <w:i/>
          <w:iCs/>
        </w:rPr>
        <w:t>Jewish Studies Quarterly 13</w:t>
      </w:r>
      <w:r w:rsidRPr="00A32F1B">
        <w:t xml:space="preserve">, no. 4 (2006): 363-87. Accessed May 5, 2021. </w:t>
      </w:r>
      <w:hyperlink r:id="rId39" w:history="1">
        <w:r w:rsidRPr="00A32F1B">
          <w:rPr>
            <w:rStyle w:val="Hypertextovodkaz"/>
          </w:rPr>
          <w:t>http://www.jstor.org/stable/40753416</w:t>
        </w:r>
      </w:hyperlink>
      <w:r w:rsidRPr="00A32F1B">
        <w:t>.</w:t>
      </w:r>
      <w:bookmarkEnd w:id="47"/>
    </w:p>
    <w:p w14:paraId="0CDA9E2C" w14:textId="47A6DDEA" w:rsidR="008E5B08" w:rsidRPr="00A32F1B" w:rsidRDefault="008E5B08" w:rsidP="008E5B08">
      <w:pPr>
        <w:pStyle w:val="Bibliografie1"/>
      </w:pPr>
      <w:bookmarkStart w:id="48" w:name="_Hlk70770698"/>
      <w:r w:rsidRPr="00A32F1B">
        <w:t xml:space="preserve">Shaked, </w:t>
      </w:r>
      <w:proofErr w:type="spellStart"/>
      <w:r w:rsidRPr="00A32F1B">
        <w:t>Shaul</w:t>
      </w:r>
      <w:proofErr w:type="spellEnd"/>
      <w:r w:rsidRPr="00A32F1B">
        <w:t xml:space="preserve">. “Form and Purpose in Aramaic Spells: Some Jewish Themes (The poetics of magic texts).” In </w:t>
      </w:r>
      <w:r w:rsidRPr="00A32F1B">
        <w:rPr>
          <w:i/>
          <w:iCs/>
        </w:rPr>
        <w:t>OFFICINA MAGICA: Essays on Practice of Magic in Antiquity</w:t>
      </w:r>
      <w:r w:rsidRPr="00A32F1B">
        <w:t xml:space="preserve">. Edited by </w:t>
      </w:r>
      <w:proofErr w:type="spellStart"/>
      <w:r w:rsidRPr="00A32F1B">
        <w:t>Shaul</w:t>
      </w:r>
      <w:proofErr w:type="spellEnd"/>
      <w:r w:rsidRPr="00A32F1B">
        <w:t xml:space="preserve"> Shaked, 1-30</w:t>
      </w:r>
      <w:r w:rsidRPr="00A32F1B">
        <w:rPr>
          <w:i/>
          <w:iCs/>
        </w:rPr>
        <w:t>.</w:t>
      </w:r>
      <w:r w:rsidRPr="00A32F1B">
        <w:t xml:space="preserve"> Leiden and Boston: Brill, 2005.</w:t>
      </w:r>
    </w:p>
    <w:p w14:paraId="26DFEDF0" w14:textId="05E066F6" w:rsidR="00B37871" w:rsidRPr="00A32F1B" w:rsidRDefault="00B37871" w:rsidP="00B37871">
      <w:pPr>
        <w:pStyle w:val="Bibliografie1"/>
      </w:pPr>
      <w:r w:rsidRPr="00A32F1B">
        <w:t xml:space="preserve">Shaked, </w:t>
      </w:r>
      <w:proofErr w:type="spellStart"/>
      <w:r w:rsidRPr="00A32F1B">
        <w:t>Shaul</w:t>
      </w:r>
      <w:proofErr w:type="spellEnd"/>
      <w:r w:rsidRPr="00A32F1B">
        <w:t xml:space="preserve">. “Transmission and Transformation of Spells: The Case of the Jewish Babylonian Aramaic Bowls.” In </w:t>
      </w:r>
      <w:r w:rsidRPr="00A32F1B">
        <w:rPr>
          <w:i/>
          <w:iCs/>
        </w:rPr>
        <w:t>Continuity and Innovation in the Magical Tradition.</w:t>
      </w:r>
      <w:r w:rsidRPr="00A32F1B">
        <w:t xml:space="preserve"> Edited by Gideon </w:t>
      </w:r>
      <w:proofErr w:type="spellStart"/>
      <w:r w:rsidRPr="00A32F1B">
        <w:t>Bohak</w:t>
      </w:r>
      <w:proofErr w:type="spellEnd"/>
      <w:r w:rsidRPr="00A32F1B">
        <w:t xml:space="preserve">, Yuval Harari and </w:t>
      </w:r>
      <w:proofErr w:type="spellStart"/>
      <w:r w:rsidRPr="00A32F1B">
        <w:t>Shaul</w:t>
      </w:r>
      <w:proofErr w:type="spellEnd"/>
      <w:r w:rsidRPr="00A32F1B">
        <w:t xml:space="preserve"> Shaked, 187-217. Leiden and Boston: Brill, 2011.</w:t>
      </w:r>
      <w:bookmarkEnd w:id="48"/>
    </w:p>
    <w:p w14:paraId="77B7CBAD" w14:textId="77777777" w:rsidR="00B37871" w:rsidRPr="00A32F1B" w:rsidRDefault="00B37871" w:rsidP="00B37871">
      <w:pPr>
        <w:pStyle w:val="Bibliografie1"/>
      </w:pPr>
      <w:bookmarkStart w:id="49" w:name="_Hlk70770364"/>
      <w:r w:rsidRPr="00A32F1B">
        <w:t xml:space="preserve">Shaked, </w:t>
      </w:r>
      <w:proofErr w:type="spellStart"/>
      <w:r w:rsidRPr="00A32F1B">
        <w:t>Shaul</w:t>
      </w:r>
      <w:proofErr w:type="spellEnd"/>
      <w:r w:rsidRPr="00A32F1B">
        <w:t xml:space="preserve">, James Nathan Ford, and Siam </w:t>
      </w:r>
      <w:proofErr w:type="spellStart"/>
      <w:r w:rsidRPr="00A32F1B">
        <w:t>Bahyro</w:t>
      </w:r>
      <w:proofErr w:type="spellEnd"/>
      <w:r w:rsidRPr="00A32F1B">
        <w:t xml:space="preserve">. </w:t>
      </w:r>
      <w:r w:rsidRPr="00A32F1B">
        <w:rPr>
          <w:i/>
          <w:iCs/>
        </w:rPr>
        <w:t>Aramaic Bowl Spells: Jewish Babylonian Aramaic Bowls.</w:t>
      </w:r>
      <w:r w:rsidRPr="00A32F1B">
        <w:t xml:space="preserve"> Volume One. Leiden and Boston: Brill, 2013.</w:t>
      </w:r>
    </w:p>
    <w:bookmarkEnd w:id="49"/>
    <w:p w14:paraId="610DB497" w14:textId="77777777" w:rsidR="00B37871" w:rsidRPr="00A32F1B" w:rsidRDefault="00B37871" w:rsidP="00B37871">
      <w:pPr>
        <w:pStyle w:val="Bibliografie1"/>
      </w:pPr>
      <w:proofErr w:type="spellStart"/>
      <w:r w:rsidRPr="00A32F1B">
        <w:t>Shandruk</w:t>
      </w:r>
      <w:proofErr w:type="spellEnd"/>
      <w:r w:rsidRPr="00A32F1B">
        <w:t>, Walter Michael. “A Computational Approach to the Study of Magical Gems.” PhD. Diss., The University of Chicago, 2016.</w:t>
      </w:r>
    </w:p>
    <w:p w14:paraId="65D5F1B9" w14:textId="77777777" w:rsidR="00B37871" w:rsidRPr="00A32F1B" w:rsidRDefault="00B37871" w:rsidP="00B37871">
      <w:pPr>
        <w:pStyle w:val="Bibliografie1"/>
      </w:pPr>
      <w:r w:rsidRPr="00A32F1B">
        <w:t xml:space="preserve">Shakespeare, William. </w:t>
      </w:r>
      <w:r w:rsidRPr="00A32F1B">
        <w:rPr>
          <w:i/>
          <w:iCs/>
        </w:rPr>
        <w:t>Romeo and Juliet.</w:t>
      </w:r>
      <w:r w:rsidRPr="00A32F1B">
        <w:t xml:space="preserve"> Edited by Cedric Watts. </w:t>
      </w:r>
      <w:proofErr w:type="spellStart"/>
      <w:r w:rsidRPr="00A32F1B">
        <w:t>Ware</w:t>
      </w:r>
      <w:proofErr w:type="spellEnd"/>
      <w:r w:rsidRPr="00A32F1B">
        <w:t>: Wordsworth Editions Ltd, 2000.</w:t>
      </w:r>
    </w:p>
    <w:p w14:paraId="5BA7437C" w14:textId="77777777" w:rsidR="00B37871" w:rsidRPr="00A32F1B" w:rsidRDefault="00B37871" w:rsidP="00B37871">
      <w:pPr>
        <w:pStyle w:val="Bibliografie1"/>
      </w:pPr>
      <w:r w:rsidRPr="00A32F1B">
        <w:t xml:space="preserve">Shaw, </w:t>
      </w:r>
      <w:proofErr w:type="gramStart"/>
      <w:r w:rsidRPr="00A32F1B">
        <w:t>Rosalind</w:t>
      </w:r>
      <w:proofErr w:type="gramEnd"/>
      <w:r w:rsidRPr="00A32F1B">
        <w:t xml:space="preserve"> and Charles Stewart. “Introduction: problematizing syncretism.” In </w:t>
      </w:r>
      <w:r w:rsidRPr="00A32F1B">
        <w:rPr>
          <w:i/>
          <w:iCs/>
        </w:rPr>
        <w:t>Syncretism / Anti-syncretism: The politics of religious synthesis.</w:t>
      </w:r>
      <w:r w:rsidRPr="00A32F1B">
        <w:t xml:space="preserve"> Edited by Charles Stewart and Rosalind Shaw, 1-24. London and New York: Routledge, 1994.</w:t>
      </w:r>
    </w:p>
    <w:p w14:paraId="3AD4E0DC" w14:textId="77777777" w:rsidR="00B37871" w:rsidRPr="00A32F1B" w:rsidRDefault="00B37871" w:rsidP="00B37871">
      <w:pPr>
        <w:pStyle w:val="Bibliografie1"/>
      </w:pPr>
      <w:proofErr w:type="spellStart"/>
      <w:r w:rsidRPr="00A32F1B">
        <w:t>Sieber</w:t>
      </w:r>
      <w:proofErr w:type="spellEnd"/>
      <w:r w:rsidRPr="00A32F1B">
        <w:t>, John N. “</w:t>
      </w:r>
      <w:proofErr w:type="spellStart"/>
      <w:r w:rsidRPr="00A32F1B">
        <w:t>Zostrianos</w:t>
      </w:r>
      <w:proofErr w:type="spellEnd"/>
      <w:r w:rsidRPr="00A32F1B">
        <w:t xml:space="preserve"> (VIII, 1).” In </w:t>
      </w:r>
      <w:proofErr w:type="gramStart"/>
      <w:r w:rsidRPr="00A32F1B">
        <w:rPr>
          <w:i/>
          <w:iCs/>
        </w:rPr>
        <w:t>The</w:t>
      </w:r>
      <w:proofErr w:type="gramEnd"/>
      <w:r w:rsidRPr="00A32F1B">
        <w:rPr>
          <w:i/>
          <w:iCs/>
        </w:rPr>
        <w:t xml:space="preserve"> Nag Hammadi Library in English. </w:t>
      </w:r>
      <w:r w:rsidRPr="00A32F1B">
        <w:t xml:space="preserve">Edited by James M. Robinson, 402-430. San Francisco: </w:t>
      </w:r>
      <w:proofErr w:type="spellStart"/>
      <w:r w:rsidRPr="00A32F1B">
        <w:t>HarperSanFrancisco</w:t>
      </w:r>
      <w:proofErr w:type="spellEnd"/>
      <w:r w:rsidRPr="00A32F1B">
        <w:t>, 1990.</w:t>
      </w:r>
    </w:p>
    <w:p w14:paraId="13C33895" w14:textId="77777777" w:rsidR="00B37871" w:rsidRPr="00A32F1B" w:rsidRDefault="00B37871" w:rsidP="00B37871">
      <w:pPr>
        <w:pStyle w:val="Bibliografie1"/>
      </w:pPr>
      <w:proofErr w:type="spellStart"/>
      <w:r w:rsidRPr="00A32F1B">
        <w:t>Skemer</w:t>
      </w:r>
      <w:proofErr w:type="spellEnd"/>
      <w:r w:rsidRPr="00A32F1B">
        <w:t xml:space="preserve">, Don C. </w:t>
      </w:r>
      <w:r w:rsidRPr="00A32F1B">
        <w:rPr>
          <w:i/>
          <w:iCs/>
        </w:rPr>
        <w:t>Binding Words: Textual Amulets in the Middle Ages.</w:t>
      </w:r>
      <w:r w:rsidRPr="00A32F1B">
        <w:t xml:space="preserve"> University Park: The Pennsylvania State University Press, 2006.</w:t>
      </w:r>
    </w:p>
    <w:p w14:paraId="435E6BBE" w14:textId="77777777" w:rsidR="00B37871" w:rsidRPr="00A32F1B" w:rsidRDefault="00B37871" w:rsidP="00B37871">
      <w:pPr>
        <w:pStyle w:val="Bibliografie1"/>
      </w:pPr>
      <w:bookmarkStart w:id="50" w:name="_Hlk70704379"/>
      <w:r w:rsidRPr="00A32F1B">
        <w:t xml:space="preserve">Smith, Morton. “Relations Between Magical Papyri and Magical Gems.” In </w:t>
      </w:r>
      <w:proofErr w:type="spellStart"/>
      <w:r w:rsidRPr="00A32F1B">
        <w:rPr>
          <w:i/>
          <w:iCs/>
        </w:rPr>
        <w:t>Actes</w:t>
      </w:r>
      <w:proofErr w:type="spellEnd"/>
      <w:r w:rsidRPr="00A32F1B">
        <w:rPr>
          <w:i/>
          <w:iCs/>
        </w:rPr>
        <w:t xml:space="preserve"> du </w:t>
      </w:r>
      <w:proofErr w:type="spellStart"/>
      <w:r w:rsidRPr="00A32F1B">
        <w:rPr>
          <w:i/>
          <w:iCs/>
        </w:rPr>
        <w:t>XV</w:t>
      </w:r>
      <w:r w:rsidRPr="00A32F1B">
        <w:rPr>
          <w:i/>
          <w:iCs/>
          <w:vertAlign w:val="superscript"/>
        </w:rPr>
        <w:t>e</w:t>
      </w:r>
      <w:proofErr w:type="spellEnd"/>
      <w:r w:rsidRPr="00A32F1B">
        <w:rPr>
          <w:i/>
          <w:iCs/>
        </w:rPr>
        <w:t xml:space="preserve"> </w:t>
      </w:r>
      <w:proofErr w:type="spellStart"/>
      <w:r w:rsidRPr="00A32F1B">
        <w:rPr>
          <w:i/>
          <w:iCs/>
        </w:rPr>
        <w:t>Congr</w:t>
      </w:r>
      <w:r w:rsidRPr="00A32F1B">
        <w:rPr>
          <w:rFonts w:cstheme="minorHAnsi"/>
          <w:i/>
          <w:iCs/>
        </w:rPr>
        <w:t>è</w:t>
      </w:r>
      <w:r w:rsidRPr="00A32F1B">
        <w:rPr>
          <w:i/>
          <w:iCs/>
        </w:rPr>
        <w:t>s</w:t>
      </w:r>
      <w:proofErr w:type="spellEnd"/>
      <w:r w:rsidRPr="00A32F1B">
        <w:rPr>
          <w:i/>
          <w:iCs/>
        </w:rPr>
        <w:t xml:space="preserve"> international de </w:t>
      </w:r>
      <w:proofErr w:type="spellStart"/>
      <w:r w:rsidRPr="00A32F1B">
        <w:rPr>
          <w:i/>
          <w:iCs/>
        </w:rPr>
        <w:t>papyrologie</w:t>
      </w:r>
      <w:proofErr w:type="spellEnd"/>
      <w:r w:rsidRPr="00A32F1B">
        <w:rPr>
          <w:i/>
          <w:iCs/>
        </w:rPr>
        <w:t xml:space="preserve">, III. </w:t>
      </w:r>
      <w:proofErr w:type="spellStart"/>
      <w:r w:rsidRPr="00A32F1B">
        <w:rPr>
          <w:i/>
          <w:iCs/>
        </w:rPr>
        <w:t>Probl</w:t>
      </w:r>
      <w:r w:rsidRPr="00A32F1B">
        <w:rPr>
          <w:rFonts w:cstheme="minorHAnsi"/>
          <w:i/>
          <w:iCs/>
        </w:rPr>
        <w:t>è</w:t>
      </w:r>
      <w:r w:rsidRPr="00A32F1B">
        <w:rPr>
          <w:i/>
          <w:iCs/>
        </w:rPr>
        <w:t>mes</w:t>
      </w:r>
      <w:proofErr w:type="spellEnd"/>
      <w:r w:rsidRPr="00A32F1B">
        <w:rPr>
          <w:i/>
          <w:iCs/>
        </w:rPr>
        <w:t xml:space="preserve"> </w:t>
      </w:r>
      <w:proofErr w:type="spellStart"/>
      <w:r w:rsidRPr="00A32F1B">
        <w:rPr>
          <w:i/>
          <w:iCs/>
        </w:rPr>
        <w:t>généraux</w:t>
      </w:r>
      <w:proofErr w:type="spellEnd"/>
      <w:r w:rsidRPr="00A32F1B">
        <w:rPr>
          <w:i/>
          <w:iCs/>
        </w:rPr>
        <w:t xml:space="preserve">. </w:t>
      </w:r>
      <w:proofErr w:type="spellStart"/>
      <w:r w:rsidRPr="00A32F1B">
        <w:rPr>
          <w:i/>
          <w:iCs/>
        </w:rPr>
        <w:t>Papyrologie</w:t>
      </w:r>
      <w:proofErr w:type="spellEnd"/>
      <w:r w:rsidRPr="00A32F1B">
        <w:rPr>
          <w:i/>
          <w:iCs/>
        </w:rPr>
        <w:t xml:space="preserve"> </w:t>
      </w:r>
      <w:proofErr w:type="spellStart"/>
      <w:r w:rsidRPr="00A32F1B">
        <w:rPr>
          <w:i/>
          <w:iCs/>
        </w:rPr>
        <w:t>littéraire</w:t>
      </w:r>
      <w:proofErr w:type="spellEnd"/>
      <w:r w:rsidRPr="00A32F1B">
        <w:rPr>
          <w:i/>
          <w:iCs/>
        </w:rPr>
        <w:t xml:space="preserve">. </w:t>
      </w:r>
      <w:proofErr w:type="spellStart"/>
      <w:r w:rsidRPr="00A32F1B">
        <w:rPr>
          <w:i/>
          <w:iCs/>
        </w:rPr>
        <w:t>Papyrologica</w:t>
      </w:r>
      <w:proofErr w:type="spellEnd"/>
      <w:r w:rsidRPr="00A32F1B">
        <w:rPr>
          <w:i/>
          <w:iCs/>
        </w:rPr>
        <w:t xml:space="preserve"> </w:t>
      </w:r>
      <w:proofErr w:type="spellStart"/>
      <w:r w:rsidRPr="00A32F1B">
        <w:rPr>
          <w:i/>
          <w:iCs/>
        </w:rPr>
        <w:t>Bruxellensia</w:t>
      </w:r>
      <w:proofErr w:type="spellEnd"/>
      <w:r w:rsidRPr="00A32F1B">
        <w:rPr>
          <w:i/>
          <w:iCs/>
        </w:rPr>
        <w:t xml:space="preserve"> </w:t>
      </w:r>
      <w:r w:rsidRPr="00A32F1B">
        <w:t>7.</w:t>
      </w:r>
      <w:r w:rsidRPr="00A32F1B">
        <w:rPr>
          <w:i/>
          <w:iCs/>
        </w:rPr>
        <w:t xml:space="preserve"> </w:t>
      </w:r>
      <w:r w:rsidRPr="00A32F1B">
        <w:t xml:space="preserve">Edited by Jean </w:t>
      </w:r>
      <w:proofErr w:type="spellStart"/>
      <w:r w:rsidRPr="00A32F1B">
        <w:t>Bingen</w:t>
      </w:r>
      <w:proofErr w:type="spellEnd"/>
      <w:r w:rsidRPr="00A32F1B">
        <w:t xml:space="preserve"> and Georges </w:t>
      </w:r>
      <w:proofErr w:type="spellStart"/>
      <w:r w:rsidRPr="00A32F1B">
        <w:t>Nachtergael</w:t>
      </w:r>
      <w:proofErr w:type="spellEnd"/>
      <w:r w:rsidRPr="00A32F1B">
        <w:t xml:space="preserve">, 129-136. Brussels: </w:t>
      </w:r>
      <w:proofErr w:type="spellStart"/>
      <w:r w:rsidRPr="00A32F1B">
        <w:t>Fondation</w:t>
      </w:r>
      <w:proofErr w:type="spellEnd"/>
      <w:r w:rsidRPr="00A32F1B">
        <w:t xml:space="preserve"> </w:t>
      </w:r>
      <w:proofErr w:type="spellStart"/>
      <w:r w:rsidRPr="00A32F1B">
        <w:t>Égyptologique</w:t>
      </w:r>
      <w:proofErr w:type="spellEnd"/>
      <w:r w:rsidRPr="00A32F1B">
        <w:t xml:space="preserve"> Reine </w:t>
      </w:r>
      <w:proofErr w:type="spellStart"/>
      <w:r w:rsidRPr="00A32F1B">
        <w:t>Élisabeth</w:t>
      </w:r>
      <w:proofErr w:type="spellEnd"/>
      <w:r w:rsidRPr="00A32F1B">
        <w:t>, 1979</w:t>
      </w:r>
      <w:bookmarkEnd w:id="50"/>
      <w:r w:rsidRPr="00A32F1B">
        <w:t>.</w:t>
      </w:r>
    </w:p>
    <w:p w14:paraId="18583A08" w14:textId="77777777" w:rsidR="00B37871" w:rsidRPr="00A32F1B" w:rsidRDefault="00B37871" w:rsidP="00B37871">
      <w:pPr>
        <w:pStyle w:val="Bibliografie1"/>
      </w:pPr>
      <w:r w:rsidRPr="00A32F1B">
        <w:t xml:space="preserve">Smith, Morton. </w:t>
      </w:r>
      <w:r w:rsidRPr="00A32F1B">
        <w:rPr>
          <w:i/>
          <w:iCs/>
        </w:rPr>
        <w:t>Studies in the Cult of Yahweh</w:t>
      </w:r>
      <w:r w:rsidRPr="00A32F1B">
        <w:t>. Volume One. Leiden, New York, and K</w:t>
      </w:r>
      <w:r w:rsidRPr="00A32F1B">
        <w:rPr>
          <w:rFonts w:cstheme="minorHAnsi"/>
        </w:rPr>
        <w:t>ö</w:t>
      </w:r>
      <w:r w:rsidRPr="00A32F1B">
        <w:t>ln: E. J. Brill, 1996.</w:t>
      </w:r>
    </w:p>
    <w:p w14:paraId="7CAA4D8F" w14:textId="6AE487E7" w:rsidR="00480D77" w:rsidRPr="00A32F1B" w:rsidRDefault="00480D77" w:rsidP="00B37871">
      <w:pPr>
        <w:pStyle w:val="Bibliografie1"/>
      </w:pPr>
      <w:r w:rsidRPr="00A32F1B">
        <w:lastRenderedPageBreak/>
        <w:t xml:space="preserve">Song, Jae Jung. “The translatability-universals connection in linguistic typology: Much ado about something.” </w:t>
      </w:r>
      <w:r w:rsidRPr="00A32F1B">
        <w:rPr>
          <w:i/>
          <w:iCs/>
        </w:rPr>
        <w:t>Babel</w:t>
      </w:r>
      <w:r w:rsidRPr="00A32F1B">
        <w:t xml:space="preserve"> 51, no. 4 (2005): 308-322.</w:t>
      </w:r>
    </w:p>
    <w:p w14:paraId="0BB70EDD" w14:textId="0D6F29FB" w:rsidR="00B37871" w:rsidRPr="00A32F1B" w:rsidRDefault="00B37871" w:rsidP="00B37871">
      <w:pPr>
        <w:pStyle w:val="Bibliografie1"/>
      </w:pPr>
      <w:proofErr w:type="spellStart"/>
      <w:r w:rsidRPr="00A32F1B">
        <w:t>Steinschneider</w:t>
      </w:r>
      <w:proofErr w:type="spellEnd"/>
      <w:r w:rsidRPr="00A32F1B">
        <w:t xml:space="preserve">, Moritz. </w:t>
      </w:r>
      <w:r w:rsidRPr="00A32F1B">
        <w:rPr>
          <w:i/>
          <w:iCs/>
        </w:rPr>
        <w:t xml:space="preserve">Festschrift </w:t>
      </w:r>
      <w:proofErr w:type="spellStart"/>
      <w:r w:rsidRPr="00A32F1B">
        <w:rPr>
          <w:i/>
          <w:iCs/>
        </w:rPr>
        <w:t>zum</w:t>
      </w:r>
      <w:proofErr w:type="spellEnd"/>
      <w:r w:rsidRPr="00A32F1B">
        <w:rPr>
          <w:i/>
          <w:iCs/>
        </w:rPr>
        <w:t xml:space="preserve"> </w:t>
      </w:r>
      <w:proofErr w:type="spellStart"/>
      <w:r w:rsidRPr="00A32F1B">
        <w:rPr>
          <w:i/>
          <w:iCs/>
        </w:rPr>
        <w:t>achtzigsten</w:t>
      </w:r>
      <w:proofErr w:type="spellEnd"/>
      <w:r w:rsidRPr="00A32F1B">
        <w:rPr>
          <w:i/>
          <w:iCs/>
        </w:rPr>
        <w:t xml:space="preserve"> </w:t>
      </w:r>
      <w:proofErr w:type="spellStart"/>
      <w:r w:rsidRPr="00A32F1B">
        <w:rPr>
          <w:i/>
          <w:iCs/>
        </w:rPr>
        <w:t>geburtstage</w:t>
      </w:r>
      <w:proofErr w:type="spellEnd"/>
      <w:r w:rsidRPr="00A32F1B">
        <w:rPr>
          <w:i/>
          <w:iCs/>
        </w:rPr>
        <w:t xml:space="preserve"> Moritz </w:t>
      </w:r>
      <w:proofErr w:type="spellStart"/>
      <w:r w:rsidRPr="00A32F1B">
        <w:rPr>
          <w:i/>
          <w:iCs/>
        </w:rPr>
        <w:t>Steinschneider's</w:t>
      </w:r>
      <w:proofErr w:type="spellEnd"/>
      <w:r w:rsidRPr="00A32F1B">
        <w:rPr>
          <w:i/>
          <w:iCs/>
        </w:rPr>
        <w:t xml:space="preserve">. </w:t>
      </w:r>
      <w:r w:rsidRPr="00A32F1B">
        <w:t xml:space="preserve">Leipzig: Otto </w:t>
      </w:r>
      <w:proofErr w:type="spellStart"/>
      <w:r w:rsidRPr="00A32F1B">
        <w:t>Harrassowitz</w:t>
      </w:r>
      <w:proofErr w:type="spellEnd"/>
      <w:r w:rsidRPr="00A32F1B">
        <w:t>, 1896.</w:t>
      </w:r>
    </w:p>
    <w:p w14:paraId="08C1F27B" w14:textId="737DFF83" w:rsidR="00B37871" w:rsidRPr="00A32F1B" w:rsidRDefault="00B37871" w:rsidP="00E15C2B">
      <w:pPr>
        <w:pStyle w:val="Bibliografie1"/>
      </w:pPr>
      <w:bookmarkStart w:id="51" w:name="_Hlk70701053"/>
      <w:r w:rsidRPr="00A32F1B">
        <w:t xml:space="preserve">Sweet, </w:t>
      </w:r>
      <w:proofErr w:type="spellStart"/>
      <w:r w:rsidRPr="00A32F1B">
        <w:t>Roey</w:t>
      </w:r>
      <w:proofErr w:type="spellEnd"/>
      <w:r w:rsidRPr="00A32F1B">
        <w:t xml:space="preserve">. “Antiquarianism and history.” </w:t>
      </w:r>
      <w:r w:rsidRPr="00A32F1B">
        <w:rPr>
          <w:i/>
          <w:iCs/>
        </w:rPr>
        <w:t>Making History</w:t>
      </w:r>
      <w:r w:rsidRPr="00A32F1B">
        <w:t>. The Institute of Historical Research.</w:t>
      </w:r>
      <w:r w:rsidR="00E15C2B" w:rsidRPr="00A32F1B">
        <w:t> </w:t>
      </w:r>
      <w:r w:rsidRPr="00A32F1B">
        <w:t>Accessed</w:t>
      </w:r>
      <w:r w:rsidR="00E15C2B" w:rsidRPr="00A32F1B">
        <w:t> </w:t>
      </w:r>
      <w:r w:rsidRPr="00A32F1B">
        <w:t>May</w:t>
      </w:r>
      <w:r w:rsidR="00E15C2B" w:rsidRPr="00A32F1B">
        <w:t> </w:t>
      </w:r>
      <w:r w:rsidRPr="00A32F1B">
        <w:t>5,</w:t>
      </w:r>
      <w:r w:rsidR="00E15C2B" w:rsidRPr="00A32F1B">
        <w:t> </w:t>
      </w:r>
      <w:r w:rsidRPr="00A32F1B">
        <w:t>2021.</w:t>
      </w:r>
      <w:bookmarkEnd w:id="51"/>
      <w:r w:rsidR="00E15C2B" w:rsidRPr="00A32F1B">
        <w:t xml:space="preserve"> </w:t>
      </w:r>
      <w:hyperlink r:id="rId40" w:history="1">
        <w:r w:rsidR="00E15C2B" w:rsidRPr="00A32F1B">
          <w:rPr>
            <w:rStyle w:val="Hypertextovodkaz"/>
          </w:rPr>
          <w:t>https://archives.history.ac.uk/makinghistory/resources/articles/antiquarianism.html</w:t>
        </w:r>
      </w:hyperlink>
      <w:r w:rsidR="00E15C2B" w:rsidRPr="00A32F1B">
        <w:t xml:space="preserve">. </w:t>
      </w:r>
    </w:p>
    <w:p w14:paraId="13800305" w14:textId="77777777" w:rsidR="00B37871" w:rsidRPr="00A32F1B" w:rsidRDefault="00B37871" w:rsidP="00B37871">
      <w:pPr>
        <w:pStyle w:val="Bibliografie1"/>
      </w:pPr>
      <w:bookmarkStart w:id="52" w:name="_Hlk70768704"/>
      <w:r w:rsidRPr="00A32F1B">
        <w:rPr>
          <w:i/>
          <w:iCs/>
        </w:rPr>
        <w:t>The Campbell Bonner Magical Gems Database.</w:t>
      </w:r>
      <w:r w:rsidRPr="00A32F1B">
        <w:t xml:space="preserve"> Accessed May 5, 2021. </w:t>
      </w:r>
      <w:hyperlink r:id="rId41" w:history="1">
        <w:r w:rsidRPr="00A32F1B">
          <w:rPr>
            <w:rStyle w:val="Hypertextovodkaz"/>
          </w:rPr>
          <w:t>http://cbd.mfab.hu/</w:t>
        </w:r>
      </w:hyperlink>
      <w:r w:rsidRPr="00A32F1B">
        <w:t>.</w:t>
      </w:r>
      <w:bookmarkEnd w:id="52"/>
      <w:r w:rsidRPr="00A32F1B">
        <w:t xml:space="preserve"> </w:t>
      </w:r>
    </w:p>
    <w:p w14:paraId="3100A258" w14:textId="77777777" w:rsidR="00B37871" w:rsidRPr="00A32F1B" w:rsidRDefault="00B37871" w:rsidP="00B37871">
      <w:pPr>
        <w:pStyle w:val="Bibliografie1"/>
      </w:pPr>
      <w:r w:rsidRPr="00A32F1B">
        <w:t xml:space="preserve">Thorndike, Lynn. </w:t>
      </w:r>
      <w:r w:rsidRPr="00A32F1B">
        <w:rPr>
          <w:i/>
          <w:iCs/>
        </w:rPr>
        <w:t>A History of Magic and Experimental Science During the First Thirteen Centuries of Our Era</w:t>
      </w:r>
      <w:r w:rsidRPr="00A32F1B">
        <w:t>. Volume I. New York: The Macmillan Company, 1929.</w:t>
      </w:r>
    </w:p>
    <w:p w14:paraId="0060E769" w14:textId="560ED12F" w:rsidR="00B37871" w:rsidRPr="00A32F1B" w:rsidRDefault="00B37871" w:rsidP="00B37871">
      <w:pPr>
        <w:pStyle w:val="Bibliografie1"/>
      </w:pPr>
      <w:r w:rsidRPr="00A32F1B">
        <w:t xml:space="preserve">Trachtenberg, Joshua. </w:t>
      </w:r>
      <w:r w:rsidRPr="00A32F1B">
        <w:rPr>
          <w:i/>
          <w:iCs/>
        </w:rPr>
        <w:t>Jewish Magic and Superstition: A Study in Folk Religion</w:t>
      </w:r>
      <w:r w:rsidRPr="00A32F1B">
        <w:t>. New York: Behrman’s Jewish Book House, 1939.</w:t>
      </w:r>
    </w:p>
    <w:p w14:paraId="117BD06B" w14:textId="20264492" w:rsidR="00686EA2" w:rsidRPr="00A32F1B" w:rsidRDefault="00686EA2" w:rsidP="00686EA2">
      <w:pPr>
        <w:pStyle w:val="Bibliografie1"/>
      </w:pPr>
      <w:r w:rsidRPr="00A32F1B">
        <w:t>Turner, John D.</w:t>
      </w:r>
      <w:r w:rsidR="00E15C2B" w:rsidRPr="00A32F1B">
        <w:t xml:space="preserve">, </w:t>
      </w:r>
      <w:proofErr w:type="gramStart"/>
      <w:r w:rsidR="00E15C2B" w:rsidRPr="00A32F1B">
        <w:t>t</w:t>
      </w:r>
      <w:r w:rsidRPr="00A32F1B">
        <w:t>rans.</w:t>
      </w:r>
      <w:proofErr w:type="gramEnd"/>
      <w:r w:rsidRPr="00A32F1B">
        <w:t xml:space="preserve"> and </w:t>
      </w:r>
      <w:r w:rsidR="00E15C2B" w:rsidRPr="00A32F1B">
        <w:t>i</w:t>
      </w:r>
      <w:r w:rsidRPr="00A32F1B">
        <w:t>ntro. “</w:t>
      </w:r>
      <w:proofErr w:type="spellStart"/>
      <w:r w:rsidRPr="00A32F1B">
        <w:t>Hypsiphrone</w:t>
      </w:r>
      <w:proofErr w:type="spellEnd"/>
      <w:r w:rsidRPr="00A32F1B">
        <w:t xml:space="preserve"> (XI, 4).” In </w:t>
      </w:r>
      <w:proofErr w:type="gramStart"/>
      <w:r w:rsidRPr="00A32F1B">
        <w:rPr>
          <w:i/>
          <w:iCs/>
        </w:rPr>
        <w:t>The</w:t>
      </w:r>
      <w:proofErr w:type="gramEnd"/>
      <w:r w:rsidRPr="00A32F1B">
        <w:rPr>
          <w:i/>
          <w:iCs/>
        </w:rPr>
        <w:t xml:space="preserve"> Nag Hammadi Library in English. </w:t>
      </w:r>
      <w:r w:rsidRPr="00A32F1B">
        <w:t xml:space="preserve">Edited by James M. Robinson, 501-502. San Francisco: </w:t>
      </w:r>
      <w:proofErr w:type="spellStart"/>
      <w:r w:rsidRPr="00A32F1B">
        <w:t>HarperSanFrancisco</w:t>
      </w:r>
      <w:proofErr w:type="spellEnd"/>
      <w:r w:rsidRPr="00A32F1B">
        <w:t>, 1990.</w:t>
      </w:r>
    </w:p>
    <w:p w14:paraId="77214BF5" w14:textId="5A16BDA0" w:rsidR="00B234A3" w:rsidRPr="00A32F1B" w:rsidRDefault="00B234A3" w:rsidP="00B234A3">
      <w:pPr>
        <w:pStyle w:val="Bibliografie1"/>
      </w:pPr>
      <w:r w:rsidRPr="00A32F1B">
        <w:t xml:space="preserve">Turner, John D., </w:t>
      </w:r>
      <w:proofErr w:type="gramStart"/>
      <w:r w:rsidRPr="00A32F1B">
        <w:t>trans.</w:t>
      </w:r>
      <w:proofErr w:type="gramEnd"/>
      <w:r w:rsidRPr="00A32F1B">
        <w:t xml:space="preserve"> and intro. “Trimorphic </w:t>
      </w:r>
      <w:proofErr w:type="spellStart"/>
      <w:r w:rsidRPr="00A32F1B">
        <w:t>Protennoia</w:t>
      </w:r>
      <w:proofErr w:type="spellEnd"/>
      <w:r w:rsidRPr="00A32F1B">
        <w:t xml:space="preserve"> (XIII, 1).” In </w:t>
      </w:r>
      <w:proofErr w:type="gramStart"/>
      <w:r w:rsidRPr="00A32F1B">
        <w:rPr>
          <w:i/>
          <w:iCs/>
        </w:rPr>
        <w:t>The</w:t>
      </w:r>
      <w:proofErr w:type="gramEnd"/>
      <w:r w:rsidRPr="00A32F1B">
        <w:rPr>
          <w:i/>
          <w:iCs/>
        </w:rPr>
        <w:t xml:space="preserve"> Nag Hammadi Library in English. </w:t>
      </w:r>
      <w:r w:rsidRPr="00A32F1B">
        <w:t xml:space="preserve">Edited by James M. Robinson, 511-522. San Francisco: </w:t>
      </w:r>
      <w:proofErr w:type="spellStart"/>
      <w:r w:rsidRPr="00A32F1B">
        <w:t>HarperSanFrancisco</w:t>
      </w:r>
      <w:proofErr w:type="spellEnd"/>
      <w:r w:rsidRPr="00A32F1B">
        <w:t>, 1990.</w:t>
      </w:r>
    </w:p>
    <w:p w14:paraId="209A47AA" w14:textId="77777777" w:rsidR="00B37871" w:rsidRPr="00A32F1B" w:rsidRDefault="00B37871" w:rsidP="00B37871">
      <w:pPr>
        <w:pStyle w:val="Bibliografie1"/>
      </w:pPr>
      <w:proofErr w:type="spellStart"/>
      <w:r w:rsidRPr="00A32F1B">
        <w:t>Urdze</w:t>
      </w:r>
      <w:proofErr w:type="spellEnd"/>
      <w:r w:rsidRPr="00A32F1B">
        <w:t xml:space="preserve">, </w:t>
      </w:r>
      <w:proofErr w:type="spellStart"/>
      <w:r w:rsidRPr="00A32F1B">
        <w:t>Aina</w:t>
      </w:r>
      <w:proofErr w:type="spellEnd"/>
      <w:r w:rsidRPr="00A32F1B">
        <w:t xml:space="preserve">. </w:t>
      </w:r>
      <w:r w:rsidRPr="00A32F1B">
        <w:rPr>
          <w:i/>
          <w:iCs/>
        </w:rPr>
        <w:t>Non-Prototypical Reduplication</w:t>
      </w:r>
      <w:r w:rsidRPr="00A32F1B">
        <w:t>. Berlin and Boston: De Gruyter Mouton, 2018.</w:t>
      </w:r>
    </w:p>
    <w:p w14:paraId="59BC1827" w14:textId="77777777" w:rsidR="00B37871" w:rsidRPr="00A32F1B" w:rsidRDefault="00B37871" w:rsidP="00B37871">
      <w:pPr>
        <w:pStyle w:val="Bibliografie1"/>
      </w:pPr>
      <w:proofErr w:type="spellStart"/>
      <w:r w:rsidRPr="00A32F1B">
        <w:t>Vallée</w:t>
      </w:r>
      <w:proofErr w:type="spellEnd"/>
      <w:r w:rsidRPr="00A32F1B">
        <w:t xml:space="preserve">, Gérard. </w:t>
      </w:r>
      <w:r w:rsidRPr="00A32F1B">
        <w:rPr>
          <w:i/>
          <w:iCs/>
        </w:rPr>
        <w:t xml:space="preserve">A Study in Anti-Gnostic Polemics: Irenaeus, Hippolytus, and </w:t>
      </w:r>
      <w:proofErr w:type="spellStart"/>
      <w:r w:rsidRPr="00A32F1B">
        <w:rPr>
          <w:i/>
          <w:iCs/>
        </w:rPr>
        <w:t>Epiphanus</w:t>
      </w:r>
      <w:proofErr w:type="spellEnd"/>
      <w:r w:rsidRPr="00A32F1B">
        <w:rPr>
          <w:i/>
          <w:iCs/>
        </w:rPr>
        <w:t>.</w:t>
      </w:r>
      <w:r w:rsidRPr="00A32F1B">
        <w:t xml:space="preserve"> Waterloo: Wilfrid Laurier University Press, 1981.</w:t>
      </w:r>
    </w:p>
    <w:p w14:paraId="1FF77EC4" w14:textId="77777777" w:rsidR="00B37871" w:rsidRPr="00A32F1B" w:rsidRDefault="00B37871" w:rsidP="00B37871">
      <w:pPr>
        <w:pStyle w:val="Bibliografie1"/>
      </w:pPr>
      <w:proofErr w:type="spellStart"/>
      <w:r w:rsidRPr="00A32F1B">
        <w:t>Versnel</w:t>
      </w:r>
      <w:proofErr w:type="spellEnd"/>
      <w:r w:rsidRPr="00A32F1B">
        <w:t xml:space="preserve">, H. S. “The Poetics of the Magical Charm: An Essay on the Power of Words.” In </w:t>
      </w:r>
      <w:r w:rsidRPr="00A32F1B">
        <w:rPr>
          <w:i/>
          <w:iCs/>
        </w:rPr>
        <w:t>Magical and Ritual in the Ancient World</w:t>
      </w:r>
      <w:r w:rsidRPr="00A32F1B">
        <w:t xml:space="preserve">. Edited by Paul </w:t>
      </w:r>
      <w:proofErr w:type="spellStart"/>
      <w:r w:rsidRPr="00A32F1B">
        <w:t>Mirecki</w:t>
      </w:r>
      <w:proofErr w:type="spellEnd"/>
      <w:r w:rsidRPr="00A32F1B">
        <w:t xml:space="preserve"> and Marvin Meyer. Leiden: Brill, 2015.</w:t>
      </w:r>
    </w:p>
    <w:p w14:paraId="74C6DC92" w14:textId="77777777" w:rsidR="00B37871" w:rsidRPr="00A32F1B" w:rsidRDefault="00B37871" w:rsidP="00B37871">
      <w:pPr>
        <w:pStyle w:val="Bibliografie1"/>
      </w:pPr>
      <w:bookmarkStart w:id="53" w:name="_Hlk70704446"/>
      <w:proofErr w:type="spellStart"/>
      <w:r w:rsidRPr="00A32F1B">
        <w:t>Vitellozzi</w:t>
      </w:r>
      <w:proofErr w:type="spellEnd"/>
      <w:r w:rsidRPr="00A32F1B">
        <w:t xml:space="preserve">, Paolo. “Relations Between Magical Texts and Magical Gems Recent Perspectives.” In </w:t>
      </w:r>
      <w:r w:rsidRPr="00A32F1B">
        <w:rPr>
          <w:i/>
          <w:iCs/>
        </w:rPr>
        <w:t xml:space="preserve">Bild und </w:t>
      </w:r>
      <w:proofErr w:type="spellStart"/>
      <w:r w:rsidRPr="00A32F1B">
        <w:rPr>
          <w:i/>
          <w:iCs/>
        </w:rPr>
        <w:t>Schrift</w:t>
      </w:r>
      <w:proofErr w:type="spellEnd"/>
      <w:r w:rsidRPr="00A32F1B">
        <w:rPr>
          <w:i/>
          <w:iCs/>
        </w:rPr>
        <w:t xml:space="preserve"> auf '</w:t>
      </w:r>
      <w:proofErr w:type="spellStart"/>
      <w:r w:rsidRPr="00A32F1B">
        <w:rPr>
          <w:i/>
          <w:iCs/>
        </w:rPr>
        <w:t>magischen</w:t>
      </w:r>
      <w:proofErr w:type="spellEnd"/>
      <w:r w:rsidRPr="00A32F1B">
        <w:rPr>
          <w:i/>
          <w:iCs/>
        </w:rPr>
        <w:t xml:space="preserve">' </w:t>
      </w:r>
      <w:proofErr w:type="spellStart"/>
      <w:r w:rsidRPr="00A32F1B">
        <w:rPr>
          <w:i/>
          <w:iCs/>
        </w:rPr>
        <w:t>Artefakten</w:t>
      </w:r>
      <w:proofErr w:type="spellEnd"/>
      <w:r w:rsidRPr="00A32F1B">
        <w:t xml:space="preserve">. Edited by Sarah </w:t>
      </w:r>
      <w:proofErr w:type="spellStart"/>
      <w:r w:rsidRPr="00A32F1B">
        <w:t>Kiyanrad</w:t>
      </w:r>
      <w:proofErr w:type="spellEnd"/>
      <w:r w:rsidRPr="00A32F1B">
        <w:t xml:space="preserve">, </w:t>
      </w:r>
      <w:proofErr w:type="spellStart"/>
      <w:r w:rsidRPr="00A32F1B">
        <w:lastRenderedPageBreak/>
        <w:t>Christoffer</w:t>
      </w:r>
      <w:proofErr w:type="spellEnd"/>
      <w:r w:rsidRPr="00A32F1B">
        <w:t xml:space="preserve"> Theis and Laura Willer, 181-254. Berlin and Boston: De Gruyter, 2018. Accessed </w:t>
      </w:r>
      <w:proofErr w:type="gramStart"/>
      <w:r w:rsidRPr="00A32F1B">
        <w:t>May,</w:t>
      </w:r>
      <w:proofErr w:type="gramEnd"/>
      <w:r w:rsidRPr="00A32F1B">
        <w:t xml:space="preserve"> 5, 2021. </w:t>
      </w:r>
      <w:hyperlink r:id="rId42" w:history="1">
        <w:r w:rsidRPr="00A32F1B">
          <w:rPr>
            <w:rStyle w:val="Hypertextovodkaz"/>
          </w:rPr>
          <w:t>https://doi.org/10.1515/9783110604337-008</w:t>
        </w:r>
      </w:hyperlink>
      <w:r w:rsidRPr="00A32F1B">
        <w:t xml:space="preserve">. </w:t>
      </w:r>
    </w:p>
    <w:bookmarkEnd w:id="53"/>
    <w:p w14:paraId="0C08D629" w14:textId="77777777" w:rsidR="00B37871" w:rsidRPr="00A32F1B" w:rsidRDefault="00B37871" w:rsidP="00B37871">
      <w:pPr>
        <w:pStyle w:val="Bibliografie1"/>
      </w:pPr>
      <w:proofErr w:type="spellStart"/>
      <w:r w:rsidRPr="00A32F1B">
        <w:t>Wisse</w:t>
      </w:r>
      <w:proofErr w:type="spellEnd"/>
      <w:r w:rsidRPr="00A32F1B">
        <w:t xml:space="preserve">, Frederik. “The Apocryphon of John (II, 1, III, 1, IV, 1, and BG 8502, 2).” In </w:t>
      </w:r>
      <w:proofErr w:type="gramStart"/>
      <w:r w:rsidRPr="00A32F1B">
        <w:rPr>
          <w:i/>
          <w:iCs/>
        </w:rPr>
        <w:t>The</w:t>
      </w:r>
      <w:proofErr w:type="gramEnd"/>
      <w:r w:rsidRPr="00A32F1B">
        <w:rPr>
          <w:i/>
          <w:iCs/>
        </w:rPr>
        <w:t xml:space="preserve"> Nag Hammadi Library in English. </w:t>
      </w:r>
      <w:r w:rsidRPr="00A32F1B">
        <w:t xml:space="preserve">Edited by James M. Robinson, 104-123. San Francisco: </w:t>
      </w:r>
      <w:proofErr w:type="spellStart"/>
      <w:r w:rsidRPr="00A32F1B">
        <w:t>HarperSanFrancisco</w:t>
      </w:r>
      <w:proofErr w:type="spellEnd"/>
      <w:r w:rsidRPr="00A32F1B">
        <w:t>, 1990.</w:t>
      </w:r>
    </w:p>
    <w:p w14:paraId="5402C868" w14:textId="558E9374" w:rsidR="00812AFE" w:rsidRPr="00A32F1B" w:rsidRDefault="00B37871" w:rsidP="00B37871">
      <w:pPr>
        <w:pStyle w:val="Bibliografie1"/>
      </w:pPr>
      <w:bookmarkStart w:id="54" w:name="_Hlk70769999"/>
      <w:proofErr w:type="spellStart"/>
      <w:r w:rsidRPr="00A32F1B">
        <w:t>Zsom</w:t>
      </w:r>
      <w:proofErr w:type="spellEnd"/>
      <w:r w:rsidRPr="00A32F1B">
        <w:t xml:space="preserve">, </w:t>
      </w:r>
      <w:proofErr w:type="spellStart"/>
      <w:r w:rsidRPr="00A32F1B">
        <w:t>Dóra</w:t>
      </w:r>
      <w:proofErr w:type="spellEnd"/>
      <w:r w:rsidRPr="00A32F1B">
        <w:t xml:space="preserve">. “Another Arabic Version of </w:t>
      </w:r>
      <w:proofErr w:type="spellStart"/>
      <w:r w:rsidRPr="00A32F1B">
        <w:rPr>
          <w:i/>
          <w:iCs/>
        </w:rPr>
        <w:t>Sefer</w:t>
      </w:r>
      <w:proofErr w:type="spellEnd"/>
      <w:r w:rsidRPr="00A32F1B">
        <w:rPr>
          <w:i/>
          <w:iCs/>
        </w:rPr>
        <w:t xml:space="preserve"> ha-</w:t>
      </w:r>
      <w:proofErr w:type="spellStart"/>
      <w:r w:rsidRPr="00A32F1B">
        <w:rPr>
          <w:i/>
          <w:iCs/>
        </w:rPr>
        <w:t>Razim</w:t>
      </w:r>
      <w:proofErr w:type="spellEnd"/>
      <w:r w:rsidRPr="00A32F1B">
        <w:t xml:space="preserve"> and </w:t>
      </w:r>
      <w:proofErr w:type="spellStart"/>
      <w:r w:rsidRPr="00A32F1B">
        <w:rPr>
          <w:i/>
          <w:iCs/>
        </w:rPr>
        <w:t>Ḥarba</w:t>
      </w:r>
      <w:proofErr w:type="spellEnd"/>
      <w:r w:rsidRPr="00A32F1B">
        <w:rPr>
          <w:i/>
          <w:iCs/>
        </w:rPr>
        <w:t xml:space="preserve"> de-</w:t>
      </w:r>
      <w:proofErr w:type="spellStart"/>
      <w:r w:rsidRPr="00A32F1B">
        <w:rPr>
          <w:i/>
          <w:iCs/>
        </w:rPr>
        <w:t>Moše</w:t>
      </w:r>
      <w:proofErr w:type="spellEnd"/>
      <w:r w:rsidRPr="00A32F1B">
        <w:t xml:space="preserve">: A New </w:t>
      </w:r>
      <w:proofErr w:type="spellStart"/>
      <w:r w:rsidRPr="00A32F1B">
        <w:rPr>
          <w:i/>
          <w:iCs/>
        </w:rPr>
        <w:t>Sifr</w:t>
      </w:r>
      <w:proofErr w:type="spellEnd"/>
      <w:r w:rsidRPr="00A32F1B">
        <w:rPr>
          <w:i/>
          <w:iCs/>
        </w:rPr>
        <w:t xml:space="preserve"> </w:t>
      </w:r>
      <w:proofErr w:type="spellStart"/>
      <w:r w:rsidRPr="00A32F1B">
        <w:rPr>
          <w:i/>
          <w:iCs/>
        </w:rPr>
        <w:t>Ādam</w:t>
      </w:r>
      <w:proofErr w:type="spellEnd"/>
      <w:r w:rsidRPr="00A32F1B">
        <w:rPr>
          <w:i/>
          <w:iCs/>
        </w:rPr>
        <w:t xml:space="preserve"> </w:t>
      </w:r>
      <w:r w:rsidRPr="00A32F1B">
        <w:t xml:space="preserve">Manuscript. </w:t>
      </w:r>
      <w:r w:rsidRPr="00A32F1B">
        <w:rPr>
          <w:i/>
          <w:iCs/>
        </w:rPr>
        <w:t>Studies in Memory of Alexander Fodor</w:t>
      </w:r>
      <w:r w:rsidRPr="00A32F1B">
        <w:t xml:space="preserve">. Edited by Kinga </w:t>
      </w:r>
      <w:proofErr w:type="spellStart"/>
      <w:r w:rsidRPr="00A32F1B">
        <w:t>Dévényi</w:t>
      </w:r>
      <w:proofErr w:type="spellEnd"/>
      <w:r w:rsidRPr="00A32F1B">
        <w:t xml:space="preserve">. The Arabist, Budapest Studies in Arabic 37 (2016): 179-201. Accessed May 5, 2021. </w:t>
      </w:r>
      <w:hyperlink r:id="rId43" w:history="1">
        <w:r w:rsidRPr="00A32F1B">
          <w:rPr>
            <w:rStyle w:val="Hypertextovodkaz"/>
          </w:rPr>
          <w:t>https://www.academia.edu/30797200/ANOTHER_ARABIC_VERSION_OF_SEFER_HA_RAZIM_AND_%E1%B8%A4ARBA_DE_MO%C5%A0E_A_NEW_SIFR_%C4%80DAM_MANUSCRIPT</w:t>
        </w:r>
      </w:hyperlink>
      <w:r w:rsidRPr="00A32F1B">
        <w:t xml:space="preserve">. </w:t>
      </w:r>
      <w:bookmarkEnd w:id="54"/>
      <w:r w:rsidR="00812AFE" w:rsidRPr="00A32F1B">
        <w:br w:type="page"/>
      </w:r>
    </w:p>
    <w:p w14:paraId="2C5593F2" w14:textId="77777777" w:rsidR="00812AFE" w:rsidRPr="00A32F1B" w:rsidRDefault="00812AFE" w:rsidP="00812AFE">
      <w:pPr>
        <w:pStyle w:val="Nadpis1"/>
        <w:rPr>
          <w:lang w:val="en-US"/>
        </w:rPr>
      </w:pPr>
      <w:bookmarkStart w:id="55" w:name="_Toc532147986"/>
      <w:bookmarkStart w:id="56" w:name="_Toc70950051"/>
      <w:r w:rsidRPr="00A32F1B">
        <w:rPr>
          <w:lang w:val="en-US"/>
        </w:rPr>
        <w:lastRenderedPageBreak/>
        <w:t>Annotation</w:t>
      </w:r>
      <w:bookmarkEnd w:id="55"/>
      <w:bookmarkEnd w:id="56"/>
    </w:p>
    <w:p w14:paraId="6A1970E5" w14:textId="4AB94190" w:rsidR="00812AFE" w:rsidRPr="00A32F1B" w:rsidRDefault="00812AFE" w:rsidP="00812AFE">
      <w:pPr>
        <w:ind w:firstLine="0"/>
        <w:rPr>
          <w:lang w:val="en-US"/>
        </w:rPr>
      </w:pPr>
      <w:r w:rsidRPr="00A32F1B">
        <w:rPr>
          <w:lang w:val="en-US"/>
        </w:rPr>
        <w:t xml:space="preserve">Name of Author: </w:t>
      </w:r>
      <w:proofErr w:type="spellStart"/>
      <w:r w:rsidRPr="00A32F1B">
        <w:rPr>
          <w:lang w:val="en-US"/>
        </w:rPr>
        <w:t>Bc</w:t>
      </w:r>
      <w:proofErr w:type="spellEnd"/>
      <w:r w:rsidRPr="00A32F1B">
        <w:rPr>
          <w:lang w:val="en-US"/>
        </w:rPr>
        <w:t>. Nikola Svobodníková</w:t>
      </w:r>
    </w:p>
    <w:p w14:paraId="6D0CF40E" w14:textId="77777777" w:rsidR="00812AFE" w:rsidRPr="00A32F1B" w:rsidRDefault="00812AFE" w:rsidP="00812AFE">
      <w:pPr>
        <w:ind w:firstLine="0"/>
        <w:rPr>
          <w:lang w:val="en-US"/>
        </w:rPr>
      </w:pPr>
      <w:r w:rsidRPr="00A32F1B">
        <w:rPr>
          <w:lang w:val="en-US"/>
        </w:rPr>
        <w:t>Name of Faculty: Faculty of Arts</w:t>
      </w:r>
    </w:p>
    <w:p w14:paraId="24FBA863" w14:textId="77777777" w:rsidR="00812AFE" w:rsidRPr="00A32F1B" w:rsidRDefault="00812AFE" w:rsidP="00812AFE">
      <w:pPr>
        <w:ind w:firstLine="0"/>
        <w:rPr>
          <w:lang w:val="en-US"/>
        </w:rPr>
      </w:pPr>
      <w:r w:rsidRPr="00A32F1B">
        <w:rPr>
          <w:lang w:val="en-US"/>
        </w:rPr>
        <w:t>Name of Department: Kurt and Ursula Center for Jewish Studies</w:t>
      </w:r>
    </w:p>
    <w:p w14:paraId="657795A2" w14:textId="77777777" w:rsidR="00812AFE" w:rsidRPr="00A32F1B" w:rsidRDefault="00812AFE" w:rsidP="00812AFE">
      <w:pPr>
        <w:ind w:firstLine="0"/>
        <w:rPr>
          <w:lang w:val="en-US"/>
        </w:rPr>
      </w:pPr>
      <w:r w:rsidRPr="00A32F1B">
        <w:rPr>
          <w:lang w:val="en-US"/>
        </w:rPr>
        <w:t>Name of Thesis: A Blessing and a Curse: Divine Names in Jewish Textual Tradition</w:t>
      </w:r>
    </w:p>
    <w:p w14:paraId="37B4667B" w14:textId="77777777" w:rsidR="00812AFE" w:rsidRPr="00A32F1B" w:rsidRDefault="00812AFE" w:rsidP="00812AFE">
      <w:pPr>
        <w:ind w:firstLine="0"/>
        <w:rPr>
          <w:lang w:val="en-US"/>
        </w:rPr>
      </w:pPr>
      <w:r w:rsidRPr="00A32F1B">
        <w:rPr>
          <w:lang w:val="en-US"/>
        </w:rPr>
        <w:t xml:space="preserve">Name of Supervisor: Doc. </w:t>
      </w:r>
      <w:proofErr w:type="spellStart"/>
      <w:r w:rsidRPr="00A32F1B">
        <w:rPr>
          <w:lang w:val="en-US"/>
        </w:rPr>
        <w:t>Tamás</w:t>
      </w:r>
      <w:proofErr w:type="spellEnd"/>
      <w:r w:rsidRPr="00A32F1B">
        <w:rPr>
          <w:lang w:val="en-US"/>
        </w:rPr>
        <w:t xml:space="preserve"> </w:t>
      </w:r>
      <w:proofErr w:type="spellStart"/>
      <w:r w:rsidRPr="00A32F1B">
        <w:rPr>
          <w:lang w:val="en-US"/>
        </w:rPr>
        <w:t>Visi</w:t>
      </w:r>
      <w:proofErr w:type="spellEnd"/>
      <w:r w:rsidRPr="00A32F1B">
        <w:rPr>
          <w:lang w:val="en-US"/>
        </w:rPr>
        <w:t>, Ph.D., M.A</w:t>
      </w:r>
    </w:p>
    <w:p w14:paraId="1ECC557A" w14:textId="7635E3E3" w:rsidR="00812AFE" w:rsidRPr="00A32F1B" w:rsidRDefault="00812AFE" w:rsidP="00812AFE">
      <w:pPr>
        <w:ind w:firstLine="0"/>
        <w:rPr>
          <w:lang w:val="en-US"/>
        </w:rPr>
      </w:pPr>
      <w:r w:rsidRPr="00A32F1B">
        <w:rPr>
          <w:lang w:val="en-US"/>
        </w:rPr>
        <w:t xml:space="preserve">Number of Characters: </w:t>
      </w:r>
      <w:r w:rsidR="00C4249D">
        <w:rPr>
          <w:lang w:val="en-US"/>
        </w:rPr>
        <w:t>135 848</w:t>
      </w:r>
    </w:p>
    <w:p w14:paraId="1FF7E62A" w14:textId="1938B3B8" w:rsidR="00812AFE" w:rsidRPr="00A32F1B" w:rsidRDefault="00812AFE" w:rsidP="00812AFE">
      <w:pPr>
        <w:ind w:firstLine="0"/>
        <w:rPr>
          <w:lang w:val="en-US"/>
        </w:rPr>
      </w:pPr>
      <w:r w:rsidRPr="00A32F1B">
        <w:rPr>
          <w:lang w:val="en-US"/>
        </w:rPr>
        <w:t>Number of Appendices: 1</w:t>
      </w:r>
    </w:p>
    <w:p w14:paraId="04459F9F" w14:textId="244E8FEA" w:rsidR="00812AFE" w:rsidRPr="00A32F1B" w:rsidRDefault="00812AFE" w:rsidP="00812AFE">
      <w:pPr>
        <w:ind w:firstLine="0"/>
        <w:rPr>
          <w:lang w:val="en-US"/>
        </w:rPr>
      </w:pPr>
      <w:r w:rsidRPr="00A32F1B">
        <w:rPr>
          <w:lang w:val="en-US"/>
        </w:rPr>
        <w:t>Number of Works Cited: 1</w:t>
      </w:r>
      <w:r w:rsidR="00F4279D" w:rsidRPr="00A32F1B">
        <w:rPr>
          <w:lang w:val="en-US"/>
        </w:rPr>
        <w:t>21</w:t>
      </w:r>
    </w:p>
    <w:p w14:paraId="7E093960" w14:textId="3FA6A9E5" w:rsidR="00812AFE" w:rsidRPr="00A32F1B" w:rsidRDefault="00812AFE" w:rsidP="00812AFE">
      <w:pPr>
        <w:ind w:firstLine="0"/>
        <w:rPr>
          <w:lang w:val="en-US"/>
        </w:rPr>
      </w:pPr>
      <w:r w:rsidRPr="00A32F1B">
        <w:rPr>
          <w:lang w:val="en-US"/>
        </w:rPr>
        <w:t xml:space="preserve">Key words: Abraxas, Gnosticism, Nag Hammadi library, Greek Magical Papyri, Amulets, </w:t>
      </w:r>
      <w:proofErr w:type="spellStart"/>
      <w:r w:rsidRPr="00A32F1B">
        <w:rPr>
          <w:lang w:val="en-US"/>
        </w:rPr>
        <w:t>Ḥarba</w:t>
      </w:r>
      <w:proofErr w:type="spellEnd"/>
      <w:r w:rsidRPr="00A32F1B">
        <w:rPr>
          <w:lang w:val="en-US"/>
        </w:rPr>
        <w:t xml:space="preserve"> de-Moshe, </w:t>
      </w:r>
      <w:proofErr w:type="spellStart"/>
      <w:r w:rsidRPr="00A32F1B">
        <w:rPr>
          <w:lang w:val="en-US"/>
        </w:rPr>
        <w:t>Sefer</w:t>
      </w:r>
      <w:proofErr w:type="spellEnd"/>
      <w:r w:rsidRPr="00A32F1B">
        <w:rPr>
          <w:lang w:val="en-US"/>
        </w:rPr>
        <w:t xml:space="preserve"> ha-</w:t>
      </w:r>
      <w:proofErr w:type="spellStart"/>
      <w:r w:rsidRPr="00A32F1B">
        <w:rPr>
          <w:lang w:val="en-US"/>
        </w:rPr>
        <w:t>Razim</w:t>
      </w:r>
      <w:proofErr w:type="spellEnd"/>
      <w:r w:rsidRPr="00A32F1B">
        <w:rPr>
          <w:lang w:val="en-US"/>
        </w:rPr>
        <w:t xml:space="preserve">, Aramaic Incantation Bowls, Magic, Syncretism, Translatability, </w:t>
      </w:r>
      <w:r w:rsidR="00DF5875">
        <w:rPr>
          <w:lang w:val="en-US"/>
        </w:rPr>
        <w:t xml:space="preserve">Transferability, </w:t>
      </w:r>
      <w:r w:rsidRPr="00A32F1B">
        <w:rPr>
          <w:lang w:val="en-US"/>
        </w:rPr>
        <w:t xml:space="preserve">Transmission of Tradition </w:t>
      </w:r>
    </w:p>
    <w:p w14:paraId="42EB14EE" w14:textId="77777777" w:rsidR="00812AFE" w:rsidRPr="00A32F1B" w:rsidRDefault="00812AFE" w:rsidP="00812AFE">
      <w:pPr>
        <w:ind w:firstLine="0"/>
        <w:rPr>
          <w:lang w:val="en-US"/>
        </w:rPr>
      </w:pPr>
    </w:p>
    <w:p w14:paraId="70189D1B" w14:textId="39BDAE75" w:rsidR="00C23400" w:rsidRPr="00A32F1B" w:rsidRDefault="009446D1" w:rsidP="00C23C50">
      <w:pPr>
        <w:ind w:firstLine="0"/>
        <w:rPr>
          <w:lang w:val="en-US"/>
        </w:rPr>
      </w:pPr>
      <w:r w:rsidRPr="00A32F1B">
        <w:rPr>
          <w:lang w:val="en-US"/>
        </w:rPr>
        <w:t xml:space="preserve">The diploma thesis </w:t>
      </w:r>
      <w:r w:rsidR="00C23400" w:rsidRPr="00A32F1B">
        <w:rPr>
          <w:lang w:val="en-US"/>
        </w:rPr>
        <w:t xml:space="preserve">focuses on Abraxas, a divine entity, and its linguistic and conceptual aspects in ancient textual sources </w:t>
      </w:r>
      <w:r w:rsidR="00EB7887" w:rsidRPr="00A32F1B">
        <w:rPr>
          <w:lang w:val="en-US"/>
        </w:rPr>
        <w:t xml:space="preserve">– </w:t>
      </w:r>
      <w:r w:rsidR="00C23400" w:rsidRPr="00A32F1B">
        <w:rPr>
          <w:lang w:val="en-US"/>
        </w:rPr>
        <w:t xml:space="preserve">the Gnostic literature, Greek Magical Papyri, amulets, and Jewish magical texts </w:t>
      </w:r>
      <w:proofErr w:type="spellStart"/>
      <w:r w:rsidR="00C23400" w:rsidRPr="00A32F1B">
        <w:rPr>
          <w:i/>
          <w:iCs/>
          <w:lang w:val="en-US"/>
        </w:rPr>
        <w:t>Ḥarba</w:t>
      </w:r>
      <w:proofErr w:type="spellEnd"/>
      <w:r w:rsidR="00C23400" w:rsidRPr="00A32F1B">
        <w:rPr>
          <w:i/>
          <w:iCs/>
          <w:lang w:val="en-US"/>
        </w:rPr>
        <w:t xml:space="preserve"> de-Moshe</w:t>
      </w:r>
      <w:r w:rsidR="00C23400" w:rsidRPr="00A32F1B">
        <w:rPr>
          <w:lang w:val="en-US"/>
        </w:rPr>
        <w:t xml:space="preserve">, and </w:t>
      </w:r>
      <w:proofErr w:type="spellStart"/>
      <w:r w:rsidR="00C23400" w:rsidRPr="00A32F1B">
        <w:rPr>
          <w:i/>
          <w:iCs/>
          <w:lang w:val="en-US"/>
        </w:rPr>
        <w:t>Sefer</w:t>
      </w:r>
      <w:proofErr w:type="spellEnd"/>
      <w:r w:rsidR="00C23400" w:rsidRPr="00A32F1B">
        <w:rPr>
          <w:i/>
          <w:iCs/>
          <w:lang w:val="en-US"/>
        </w:rPr>
        <w:t xml:space="preserve"> ha-</w:t>
      </w:r>
      <w:proofErr w:type="spellStart"/>
      <w:r w:rsidR="00C23400" w:rsidRPr="00A32F1B">
        <w:rPr>
          <w:i/>
          <w:iCs/>
          <w:lang w:val="en-US"/>
        </w:rPr>
        <w:t>Razim</w:t>
      </w:r>
      <w:proofErr w:type="spellEnd"/>
      <w:r w:rsidR="00C23400" w:rsidRPr="00A32F1B">
        <w:rPr>
          <w:lang w:val="en-US"/>
        </w:rPr>
        <w:t>. Each appearance of Abraxas is studied and put into the framework of syncretism and translatability as means of tradition transmission.</w:t>
      </w:r>
    </w:p>
    <w:p w14:paraId="647CD472" w14:textId="77777777" w:rsidR="009446D1" w:rsidRPr="00A32F1B" w:rsidRDefault="009446D1" w:rsidP="00812AFE">
      <w:pPr>
        <w:ind w:firstLine="0"/>
        <w:rPr>
          <w:lang w:val="en-US"/>
        </w:rPr>
      </w:pPr>
    </w:p>
    <w:p w14:paraId="26211ACC" w14:textId="77777777" w:rsidR="009446D1" w:rsidRPr="00A32F1B" w:rsidRDefault="009446D1" w:rsidP="00812AFE">
      <w:pPr>
        <w:ind w:firstLine="0"/>
        <w:rPr>
          <w:lang w:val="en-US"/>
        </w:rPr>
      </w:pPr>
    </w:p>
    <w:p w14:paraId="2F95E125" w14:textId="77777777" w:rsidR="009446D1" w:rsidRPr="00A32F1B" w:rsidRDefault="009446D1" w:rsidP="00812AFE">
      <w:pPr>
        <w:ind w:firstLine="0"/>
        <w:rPr>
          <w:lang w:val="en-US"/>
        </w:rPr>
      </w:pPr>
    </w:p>
    <w:p w14:paraId="0B251D26" w14:textId="77777777" w:rsidR="009446D1" w:rsidRPr="00A32F1B" w:rsidRDefault="009446D1" w:rsidP="00812AFE">
      <w:pPr>
        <w:ind w:firstLine="0"/>
        <w:rPr>
          <w:lang w:val="en-US"/>
        </w:rPr>
      </w:pPr>
    </w:p>
    <w:p w14:paraId="7345E95D" w14:textId="77777777" w:rsidR="009446D1" w:rsidRPr="00A32F1B" w:rsidRDefault="009446D1" w:rsidP="00812AFE">
      <w:pPr>
        <w:ind w:firstLine="0"/>
        <w:rPr>
          <w:lang w:val="en-US"/>
        </w:rPr>
      </w:pPr>
    </w:p>
    <w:p w14:paraId="66B81E2D" w14:textId="77777777" w:rsidR="009446D1" w:rsidRPr="00A32F1B" w:rsidRDefault="009446D1" w:rsidP="00812AFE">
      <w:pPr>
        <w:ind w:firstLine="0"/>
        <w:rPr>
          <w:lang w:val="en-US"/>
        </w:rPr>
      </w:pPr>
    </w:p>
    <w:p w14:paraId="53774694" w14:textId="77777777" w:rsidR="009446D1" w:rsidRPr="00A32F1B" w:rsidRDefault="009446D1" w:rsidP="00812AFE">
      <w:pPr>
        <w:ind w:firstLine="0"/>
        <w:rPr>
          <w:lang w:val="en-US"/>
        </w:rPr>
      </w:pPr>
    </w:p>
    <w:p w14:paraId="7CFED8AC" w14:textId="77777777" w:rsidR="009446D1" w:rsidRPr="00A32F1B" w:rsidRDefault="009446D1" w:rsidP="00812AFE">
      <w:pPr>
        <w:ind w:firstLine="0"/>
        <w:rPr>
          <w:lang w:val="en-US"/>
        </w:rPr>
      </w:pPr>
    </w:p>
    <w:p w14:paraId="2BE5CF9D" w14:textId="77777777" w:rsidR="009446D1" w:rsidRPr="00A32F1B" w:rsidRDefault="009446D1" w:rsidP="00812AFE">
      <w:pPr>
        <w:ind w:firstLine="0"/>
        <w:rPr>
          <w:lang w:val="en-US"/>
        </w:rPr>
      </w:pPr>
    </w:p>
    <w:p w14:paraId="6D838597" w14:textId="77777777" w:rsidR="009446D1" w:rsidRPr="00A32F1B" w:rsidRDefault="009446D1" w:rsidP="00812AFE">
      <w:pPr>
        <w:ind w:firstLine="0"/>
        <w:rPr>
          <w:lang w:val="en-US"/>
        </w:rPr>
      </w:pPr>
    </w:p>
    <w:p w14:paraId="7BD1955D" w14:textId="77777777" w:rsidR="00812AFE" w:rsidRPr="00A32F1B" w:rsidRDefault="00812AFE" w:rsidP="00812AFE">
      <w:pPr>
        <w:spacing w:after="200" w:line="276" w:lineRule="auto"/>
        <w:ind w:firstLine="0"/>
        <w:jc w:val="left"/>
        <w:rPr>
          <w:lang w:val="en-US"/>
        </w:rPr>
      </w:pPr>
      <w:r w:rsidRPr="00A32F1B">
        <w:rPr>
          <w:lang w:val="en-US"/>
        </w:rPr>
        <w:br w:type="page"/>
      </w:r>
    </w:p>
    <w:p w14:paraId="325BFDBB" w14:textId="77777777" w:rsidR="00812AFE" w:rsidRPr="00A32F1B" w:rsidRDefault="00812AFE" w:rsidP="00812AFE">
      <w:pPr>
        <w:pStyle w:val="Nadpis1"/>
        <w:rPr>
          <w:lang w:val="en-US"/>
        </w:rPr>
      </w:pPr>
      <w:bookmarkStart w:id="57" w:name="_Toc532145993"/>
      <w:bookmarkStart w:id="58" w:name="_Toc532146060"/>
      <w:bookmarkStart w:id="59" w:name="_Toc532147127"/>
      <w:bookmarkStart w:id="60" w:name="_Toc532147477"/>
      <w:bookmarkStart w:id="61" w:name="_Toc532147775"/>
      <w:bookmarkStart w:id="62" w:name="_Toc532147987"/>
      <w:bookmarkStart w:id="63" w:name="_Toc70950052"/>
      <w:proofErr w:type="spellStart"/>
      <w:r w:rsidRPr="00A32F1B">
        <w:rPr>
          <w:lang w:val="en-US"/>
        </w:rPr>
        <w:lastRenderedPageBreak/>
        <w:t>Anotace</w:t>
      </w:r>
      <w:bookmarkEnd w:id="57"/>
      <w:bookmarkEnd w:id="58"/>
      <w:bookmarkEnd w:id="59"/>
      <w:bookmarkEnd w:id="60"/>
      <w:bookmarkEnd w:id="61"/>
      <w:bookmarkEnd w:id="62"/>
      <w:bookmarkEnd w:id="63"/>
      <w:proofErr w:type="spellEnd"/>
    </w:p>
    <w:p w14:paraId="0E21CCF9" w14:textId="37F235E9" w:rsidR="00812AFE" w:rsidRPr="00A32F1B" w:rsidRDefault="00812AFE" w:rsidP="00812AFE">
      <w:pPr>
        <w:ind w:firstLine="0"/>
        <w:rPr>
          <w:lang w:val="en-US"/>
        </w:rPr>
      </w:pPr>
      <w:proofErr w:type="spellStart"/>
      <w:r w:rsidRPr="00A32F1B">
        <w:rPr>
          <w:lang w:val="en-US"/>
        </w:rPr>
        <w:t>Jméno</w:t>
      </w:r>
      <w:proofErr w:type="spellEnd"/>
      <w:r w:rsidRPr="00A32F1B">
        <w:rPr>
          <w:lang w:val="en-US"/>
        </w:rPr>
        <w:t xml:space="preserve"> a </w:t>
      </w:r>
      <w:proofErr w:type="spellStart"/>
      <w:r w:rsidRPr="00A32F1B">
        <w:rPr>
          <w:lang w:val="en-US"/>
        </w:rPr>
        <w:t>příjmení</w:t>
      </w:r>
      <w:proofErr w:type="spellEnd"/>
      <w:r w:rsidRPr="00A32F1B">
        <w:rPr>
          <w:lang w:val="en-US"/>
        </w:rPr>
        <w:t xml:space="preserve"> </w:t>
      </w:r>
      <w:proofErr w:type="spellStart"/>
      <w:r w:rsidRPr="00A32F1B">
        <w:rPr>
          <w:lang w:val="en-US"/>
        </w:rPr>
        <w:t>autora</w:t>
      </w:r>
      <w:proofErr w:type="spellEnd"/>
      <w:r w:rsidRPr="00A32F1B">
        <w:rPr>
          <w:lang w:val="en-US"/>
        </w:rPr>
        <w:t xml:space="preserve">: </w:t>
      </w:r>
      <w:proofErr w:type="spellStart"/>
      <w:r w:rsidRPr="00A32F1B">
        <w:rPr>
          <w:lang w:val="en-US"/>
        </w:rPr>
        <w:t>Bc</w:t>
      </w:r>
      <w:proofErr w:type="spellEnd"/>
      <w:r w:rsidRPr="00A32F1B">
        <w:rPr>
          <w:lang w:val="en-US"/>
        </w:rPr>
        <w:t>. Nikola Svobodníková</w:t>
      </w:r>
    </w:p>
    <w:p w14:paraId="41C11E5C" w14:textId="77777777" w:rsidR="00812AFE" w:rsidRPr="00A32F1B" w:rsidRDefault="00812AFE" w:rsidP="00812AFE">
      <w:pPr>
        <w:ind w:firstLine="0"/>
        <w:rPr>
          <w:lang w:val="en-US"/>
        </w:rPr>
      </w:pPr>
      <w:proofErr w:type="spellStart"/>
      <w:r w:rsidRPr="00A32F1B">
        <w:rPr>
          <w:lang w:val="en-US"/>
        </w:rPr>
        <w:t>Název</w:t>
      </w:r>
      <w:proofErr w:type="spellEnd"/>
      <w:r w:rsidRPr="00A32F1B">
        <w:rPr>
          <w:lang w:val="en-US"/>
        </w:rPr>
        <w:t xml:space="preserve"> </w:t>
      </w:r>
      <w:proofErr w:type="spellStart"/>
      <w:r w:rsidRPr="00A32F1B">
        <w:rPr>
          <w:lang w:val="en-US"/>
        </w:rPr>
        <w:t>fakulty</w:t>
      </w:r>
      <w:proofErr w:type="spellEnd"/>
      <w:r w:rsidRPr="00A32F1B">
        <w:rPr>
          <w:lang w:val="en-US"/>
        </w:rPr>
        <w:t xml:space="preserve">: </w:t>
      </w:r>
      <w:proofErr w:type="spellStart"/>
      <w:r w:rsidRPr="00A32F1B">
        <w:rPr>
          <w:lang w:val="en-US"/>
        </w:rPr>
        <w:t>Filozofická</w:t>
      </w:r>
      <w:proofErr w:type="spellEnd"/>
      <w:r w:rsidRPr="00A32F1B">
        <w:rPr>
          <w:lang w:val="en-US"/>
        </w:rPr>
        <w:t xml:space="preserve"> </w:t>
      </w:r>
      <w:proofErr w:type="spellStart"/>
      <w:r w:rsidRPr="00A32F1B">
        <w:rPr>
          <w:lang w:val="en-US"/>
        </w:rPr>
        <w:t>fakulta</w:t>
      </w:r>
      <w:proofErr w:type="spellEnd"/>
    </w:p>
    <w:p w14:paraId="28B68837" w14:textId="77777777" w:rsidR="00812AFE" w:rsidRPr="00A32F1B" w:rsidRDefault="00812AFE" w:rsidP="00812AFE">
      <w:pPr>
        <w:ind w:firstLine="0"/>
        <w:rPr>
          <w:lang w:val="en-US"/>
        </w:rPr>
      </w:pPr>
      <w:proofErr w:type="spellStart"/>
      <w:r w:rsidRPr="00A32F1B">
        <w:rPr>
          <w:lang w:val="en-US"/>
        </w:rPr>
        <w:t>Název</w:t>
      </w:r>
      <w:proofErr w:type="spellEnd"/>
      <w:r w:rsidRPr="00A32F1B">
        <w:rPr>
          <w:lang w:val="en-US"/>
        </w:rPr>
        <w:t xml:space="preserve"> </w:t>
      </w:r>
      <w:proofErr w:type="spellStart"/>
      <w:r w:rsidRPr="00A32F1B">
        <w:rPr>
          <w:lang w:val="en-US"/>
        </w:rPr>
        <w:t>katedry</w:t>
      </w:r>
      <w:proofErr w:type="spellEnd"/>
      <w:r w:rsidRPr="00A32F1B">
        <w:rPr>
          <w:lang w:val="en-US"/>
        </w:rPr>
        <w:t xml:space="preserve">: Centrum </w:t>
      </w:r>
      <w:proofErr w:type="spellStart"/>
      <w:r w:rsidRPr="00A32F1B">
        <w:rPr>
          <w:lang w:val="en-US"/>
        </w:rPr>
        <w:t>judaistických</w:t>
      </w:r>
      <w:proofErr w:type="spellEnd"/>
      <w:r w:rsidRPr="00A32F1B">
        <w:rPr>
          <w:lang w:val="en-US"/>
        </w:rPr>
        <w:t xml:space="preserve"> </w:t>
      </w:r>
      <w:proofErr w:type="spellStart"/>
      <w:r w:rsidRPr="00A32F1B">
        <w:rPr>
          <w:lang w:val="en-US"/>
        </w:rPr>
        <w:t>studií</w:t>
      </w:r>
      <w:proofErr w:type="spellEnd"/>
      <w:r w:rsidRPr="00A32F1B">
        <w:rPr>
          <w:lang w:val="en-US"/>
        </w:rPr>
        <w:t xml:space="preserve"> Kurta a </w:t>
      </w:r>
      <w:proofErr w:type="spellStart"/>
      <w:r w:rsidRPr="00A32F1B">
        <w:rPr>
          <w:lang w:val="en-US"/>
        </w:rPr>
        <w:t>Ursuly</w:t>
      </w:r>
      <w:proofErr w:type="spellEnd"/>
      <w:r w:rsidRPr="00A32F1B">
        <w:rPr>
          <w:lang w:val="en-US"/>
        </w:rPr>
        <w:t xml:space="preserve"> </w:t>
      </w:r>
      <w:proofErr w:type="spellStart"/>
      <w:r w:rsidRPr="00A32F1B">
        <w:rPr>
          <w:lang w:val="en-US"/>
        </w:rPr>
        <w:t>Schubertových</w:t>
      </w:r>
      <w:proofErr w:type="spellEnd"/>
    </w:p>
    <w:p w14:paraId="7D9462D2" w14:textId="77777777" w:rsidR="00812AFE" w:rsidRPr="00A32F1B" w:rsidRDefault="00812AFE" w:rsidP="00812AFE">
      <w:pPr>
        <w:ind w:firstLine="0"/>
        <w:rPr>
          <w:lang w:val="en-US"/>
        </w:rPr>
      </w:pPr>
      <w:proofErr w:type="spellStart"/>
      <w:r w:rsidRPr="00A32F1B">
        <w:rPr>
          <w:lang w:val="en-US"/>
        </w:rPr>
        <w:t>Název</w:t>
      </w:r>
      <w:proofErr w:type="spellEnd"/>
      <w:r w:rsidRPr="00A32F1B">
        <w:rPr>
          <w:lang w:val="en-US"/>
        </w:rPr>
        <w:t xml:space="preserve"> </w:t>
      </w:r>
      <w:proofErr w:type="spellStart"/>
      <w:r w:rsidRPr="00A32F1B">
        <w:rPr>
          <w:lang w:val="en-US"/>
        </w:rPr>
        <w:t>diplomové</w:t>
      </w:r>
      <w:proofErr w:type="spellEnd"/>
      <w:r w:rsidRPr="00A32F1B">
        <w:rPr>
          <w:lang w:val="en-US"/>
        </w:rPr>
        <w:t xml:space="preserve"> </w:t>
      </w:r>
      <w:proofErr w:type="spellStart"/>
      <w:r w:rsidRPr="00A32F1B">
        <w:rPr>
          <w:lang w:val="en-US"/>
        </w:rPr>
        <w:t>práce</w:t>
      </w:r>
      <w:proofErr w:type="spellEnd"/>
      <w:r w:rsidRPr="00A32F1B">
        <w:rPr>
          <w:lang w:val="en-US"/>
        </w:rPr>
        <w:t xml:space="preserve">: </w:t>
      </w:r>
      <w:proofErr w:type="spellStart"/>
      <w:r w:rsidRPr="00A32F1B">
        <w:rPr>
          <w:lang w:val="en-US"/>
        </w:rPr>
        <w:t>Požehnání</w:t>
      </w:r>
      <w:proofErr w:type="spellEnd"/>
      <w:r w:rsidRPr="00A32F1B">
        <w:rPr>
          <w:lang w:val="en-US"/>
        </w:rPr>
        <w:t xml:space="preserve"> </w:t>
      </w:r>
      <w:proofErr w:type="spellStart"/>
      <w:r w:rsidRPr="00A32F1B">
        <w:rPr>
          <w:lang w:val="en-US"/>
        </w:rPr>
        <w:t>i</w:t>
      </w:r>
      <w:proofErr w:type="spellEnd"/>
      <w:r w:rsidRPr="00A32F1B">
        <w:rPr>
          <w:lang w:val="en-US"/>
        </w:rPr>
        <w:t xml:space="preserve"> </w:t>
      </w:r>
      <w:proofErr w:type="spellStart"/>
      <w:r w:rsidRPr="00A32F1B">
        <w:rPr>
          <w:lang w:val="en-US"/>
        </w:rPr>
        <w:t>zlořečení</w:t>
      </w:r>
      <w:proofErr w:type="spellEnd"/>
      <w:r w:rsidRPr="00A32F1B">
        <w:rPr>
          <w:lang w:val="en-US"/>
        </w:rPr>
        <w:t xml:space="preserve">: </w:t>
      </w:r>
      <w:proofErr w:type="spellStart"/>
      <w:r w:rsidRPr="00A32F1B">
        <w:rPr>
          <w:lang w:val="en-US"/>
        </w:rPr>
        <w:t>Božská</w:t>
      </w:r>
      <w:proofErr w:type="spellEnd"/>
      <w:r w:rsidRPr="00A32F1B">
        <w:rPr>
          <w:lang w:val="en-US"/>
        </w:rPr>
        <w:t xml:space="preserve"> </w:t>
      </w:r>
      <w:proofErr w:type="spellStart"/>
      <w:r w:rsidRPr="00A32F1B">
        <w:rPr>
          <w:lang w:val="en-US"/>
        </w:rPr>
        <w:t>jména</w:t>
      </w:r>
      <w:proofErr w:type="spellEnd"/>
      <w:r w:rsidRPr="00A32F1B">
        <w:rPr>
          <w:lang w:val="en-US"/>
        </w:rPr>
        <w:t xml:space="preserve"> v </w:t>
      </w:r>
      <w:proofErr w:type="spellStart"/>
      <w:r w:rsidRPr="00A32F1B">
        <w:rPr>
          <w:lang w:val="en-US"/>
        </w:rPr>
        <w:t>židovské</w:t>
      </w:r>
      <w:proofErr w:type="spellEnd"/>
      <w:r w:rsidRPr="00A32F1B">
        <w:rPr>
          <w:lang w:val="en-US"/>
        </w:rPr>
        <w:t xml:space="preserve"> </w:t>
      </w:r>
      <w:proofErr w:type="spellStart"/>
      <w:r w:rsidRPr="00A32F1B">
        <w:rPr>
          <w:lang w:val="en-US"/>
        </w:rPr>
        <w:t>písemné</w:t>
      </w:r>
      <w:proofErr w:type="spellEnd"/>
      <w:r w:rsidRPr="00A32F1B">
        <w:rPr>
          <w:lang w:val="en-US"/>
        </w:rPr>
        <w:t xml:space="preserve"> </w:t>
      </w:r>
      <w:proofErr w:type="spellStart"/>
      <w:r w:rsidRPr="00A32F1B">
        <w:rPr>
          <w:lang w:val="en-US"/>
        </w:rPr>
        <w:t>tradici</w:t>
      </w:r>
      <w:proofErr w:type="spellEnd"/>
    </w:p>
    <w:p w14:paraId="409FFF03" w14:textId="77777777" w:rsidR="00812AFE" w:rsidRPr="00A32F1B" w:rsidRDefault="00812AFE" w:rsidP="00812AFE">
      <w:pPr>
        <w:ind w:firstLine="0"/>
        <w:rPr>
          <w:lang w:val="en-US"/>
        </w:rPr>
      </w:pPr>
      <w:proofErr w:type="spellStart"/>
      <w:r w:rsidRPr="00A32F1B">
        <w:rPr>
          <w:lang w:val="en-US"/>
        </w:rPr>
        <w:t>Vedoucí</w:t>
      </w:r>
      <w:proofErr w:type="spellEnd"/>
      <w:r w:rsidRPr="00A32F1B">
        <w:rPr>
          <w:lang w:val="en-US"/>
        </w:rPr>
        <w:t xml:space="preserve"> </w:t>
      </w:r>
      <w:proofErr w:type="spellStart"/>
      <w:r w:rsidRPr="00A32F1B">
        <w:rPr>
          <w:lang w:val="en-US"/>
        </w:rPr>
        <w:t>bakalářské</w:t>
      </w:r>
      <w:proofErr w:type="spellEnd"/>
      <w:r w:rsidRPr="00A32F1B">
        <w:rPr>
          <w:lang w:val="en-US"/>
        </w:rPr>
        <w:t xml:space="preserve"> </w:t>
      </w:r>
      <w:proofErr w:type="spellStart"/>
      <w:r w:rsidRPr="00A32F1B">
        <w:rPr>
          <w:lang w:val="en-US"/>
        </w:rPr>
        <w:t>práce</w:t>
      </w:r>
      <w:proofErr w:type="spellEnd"/>
      <w:r w:rsidRPr="00A32F1B">
        <w:rPr>
          <w:lang w:val="en-US"/>
        </w:rPr>
        <w:t xml:space="preserve">: Doc. </w:t>
      </w:r>
      <w:proofErr w:type="spellStart"/>
      <w:r w:rsidRPr="00A32F1B">
        <w:rPr>
          <w:lang w:val="en-US"/>
        </w:rPr>
        <w:t>Tamás</w:t>
      </w:r>
      <w:proofErr w:type="spellEnd"/>
      <w:r w:rsidRPr="00A32F1B">
        <w:rPr>
          <w:lang w:val="en-US"/>
        </w:rPr>
        <w:t xml:space="preserve"> </w:t>
      </w:r>
      <w:proofErr w:type="spellStart"/>
      <w:r w:rsidRPr="00A32F1B">
        <w:rPr>
          <w:lang w:val="en-US"/>
        </w:rPr>
        <w:t>Visi</w:t>
      </w:r>
      <w:proofErr w:type="spellEnd"/>
      <w:r w:rsidRPr="00A32F1B">
        <w:rPr>
          <w:lang w:val="en-US"/>
        </w:rPr>
        <w:t>, Ph.D., M.A</w:t>
      </w:r>
    </w:p>
    <w:p w14:paraId="5506DF25" w14:textId="63A990D9" w:rsidR="00812AFE" w:rsidRPr="00A32F1B" w:rsidRDefault="00812AFE" w:rsidP="00812AFE">
      <w:pPr>
        <w:ind w:firstLine="0"/>
        <w:rPr>
          <w:lang w:val="en-US"/>
        </w:rPr>
      </w:pPr>
      <w:proofErr w:type="spellStart"/>
      <w:r w:rsidRPr="00A32F1B">
        <w:rPr>
          <w:lang w:val="en-US"/>
        </w:rPr>
        <w:t>Počet</w:t>
      </w:r>
      <w:proofErr w:type="spellEnd"/>
      <w:r w:rsidRPr="00A32F1B">
        <w:rPr>
          <w:lang w:val="en-US"/>
        </w:rPr>
        <w:t xml:space="preserve"> </w:t>
      </w:r>
      <w:proofErr w:type="spellStart"/>
      <w:r w:rsidRPr="00A32F1B">
        <w:rPr>
          <w:lang w:val="en-US"/>
        </w:rPr>
        <w:t>znaků</w:t>
      </w:r>
      <w:proofErr w:type="spellEnd"/>
      <w:r w:rsidRPr="00A32F1B">
        <w:rPr>
          <w:lang w:val="en-US"/>
        </w:rPr>
        <w:t xml:space="preserve">: </w:t>
      </w:r>
      <w:r w:rsidR="00C4249D">
        <w:rPr>
          <w:lang w:val="en-US"/>
        </w:rPr>
        <w:t>135 848</w:t>
      </w:r>
    </w:p>
    <w:p w14:paraId="03AB6C1B" w14:textId="7D01370D" w:rsidR="00812AFE" w:rsidRPr="00A32F1B" w:rsidRDefault="00812AFE" w:rsidP="00812AFE">
      <w:pPr>
        <w:ind w:firstLine="0"/>
        <w:rPr>
          <w:lang w:val="en-US"/>
        </w:rPr>
      </w:pPr>
      <w:proofErr w:type="spellStart"/>
      <w:r w:rsidRPr="00A32F1B">
        <w:rPr>
          <w:lang w:val="en-US"/>
        </w:rPr>
        <w:t>Počet</w:t>
      </w:r>
      <w:proofErr w:type="spellEnd"/>
      <w:r w:rsidRPr="00A32F1B">
        <w:rPr>
          <w:lang w:val="en-US"/>
        </w:rPr>
        <w:t xml:space="preserve"> </w:t>
      </w:r>
      <w:proofErr w:type="spellStart"/>
      <w:r w:rsidRPr="00A32F1B">
        <w:rPr>
          <w:lang w:val="en-US"/>
        </w:rPr>
        <w:t>příloh</w:t>
      </w:r>
      <w:proofErr w:type="spellEnd"/>
      <w:r w:rsidRPr="00A32F1B">
        <w:rPr>
          <w:lang w:val="en-US"/>
        </w:rPr>
        <w:t>: 1</w:t>
      </w:r>
    </w:p>
    <w:p w14:paraId="625EFD3B" w14:textId="433F2AA5" w:rsidR="00812AFE" w:rsidRPr="00A32F1B" w:rsidRDefault="00812AFE" w:rsidP="00812AFE">
      <w:pPr>
        <w:ind w:firstLine="0"/>
        <w:rPr>
          <w:lang w:val="en-US"/>
        </w:rPr>
      </w:pPr>
      <w:proofErr w:type="spellStart"/>
      <w:r w:rsidRPr="00A32F1B">
        <w:rPr>
          <w:lang w:val="en-US"/>
        </w:rPr>
        <w:t>Počet</w:t>
      </w:r>
      <w:proofErr w:type="spellEnd"/>
      <w:r w:rsidRPr="00A32F1B">
        <w:rPr>
          <w:lang w:val="en-US"/>
        </w:rPr>
        <w:t xml:space="preserve"> </w:t>
      </w:r>
      <w:proofErr w:type="spellStart"/>
      <w:r w:rsidRPr="00A32F1B">
        <w:rPr>
          <w:lang w:val="en-US"/>
        </w:rPr>
        <w:t>titulů</w:t>
      </w:r>
      <w:proofErr w:type="spellEnd"/>
      <w:r w:rsidRPr="00A32F1B">
        <w:rPr>
          <w:lang w:val="en-US"/>
        </w:rPr>
        <w:t xml:space="preserve"> </w:t>
      </w:r>
      <w:proofErr w:type="spellStart"/>
      <w:r w:rsidRPr="00A32F1B">
        <w:rPr>
          <w:lang w:val="en-US"/>
        </w:rPr>
        <w:t>použité</w:t>
      </w:r>
      <w:proofErr w:type="spellEnd"/>
      <w:r w:rsidRPr="00A32F1B">
        <w:rPr>
          <w:lang w:val="en-US"/>
        </w:rPr>
        <w:t xml:space="preserve"> </w:t>
      </w:r>
      <w:proofErr w:type="spellStart"/>
      <w:r w:rsidRPr="00A32F1B">
        <w:rPr>
          <w:lang w:val="en-US"/>
        </w:rPr>
        <w:t>literatury</w:t>
      </w:r>
      <w:proofErr w:type="spellEnd"/>
      <w:r w:rsidRPr="00A32F1B">
        <w:rPr>
          <w:lang w:val="en-US"/>
        </w:rPr>
        <w:t>: 1</w:t>
      </w:r>
      <w:r w:rsidR="00F4279D" w:rsidRPr="00A32F1B">
        <w:rPr>
          <w:lang w:val="en-US"/>
        </w:rPr>
        <w:t>21</w:t>
      </w:r>
    </w:p>
    <w:p w14:paraId="41BA991F" w14:textId="1CF904AE" w:rsidR="00414607" w:rsidRPr="00A32F1B" w:rsidRDefault="00812AFE" w:rsidP="00217660">
      <w:pPr>
        <w:ind w:firstLine="0"/>
        <w:rPr>
          <w:lang w:val="en-US"/>
        </w:rPr>
      </w:pPr>
      <w:proofErr w:type="spellStart"/>
      <w:r w:rsidRPr="00A32F1B">
        <w:rPr>
          <w:lang w:val="en-US"/>
        </w:rPr>
        <w:t>Klíčová</w:t>
      </w:r>
      <w:proofErr w:type="spellEnd"/>
      <w:r w:rsidRPr="00A32F1B">
        <w:rPr>
          <w:lang w:val="en-US"/>
        </w:rPr>
        <w:t xml:space="preserve"> </w:t>
      </w:r>
      <w:proofErr w:type="spellStart"/>
      <w:r w:rsidRPr="00A32F1B">
        <w:rPr>
          <w:lang w:val="en-US"/>
        </w:rPr>
        <w:t>slova</w:t>
      </w:r>
      <w:proofErr w:type="spellEnd"/>
      <w:r w:rsidRPr="00A32F1B">
        <w:rPr>
          <w:lang w:val="en-US"/>
        </w:rPr>
        <w:t xml:space="preserve">: Abraxas, </w:t>
      </w:r>
      <w:proofErr w:type="spellStart"/>
      <w:r w:rsidRPr="00A32F1B">
        <w:rPr>
          <w:lang w:val="en-US"/>
        </w:rPr>
        <w:t>Gnostic</w:t>
      </w:r>
      <w:r w:rsidR="000F0428" w:rsidRPr="00A32F1B">
        <w:rPr>
          <w:lang w:val="en-US"/>
        </w:rPr>
        <w:t>ká</w:t>
      </w:r>
      <w:proofErr w:type="spellEnd"/>
      <w:r w:rsidR="000F0428" w:rsidRPr="00A32F1B">
        <w:rPr>
          <w:lang w:val="en-US"/>
        </w:rPr>
        <w:t xml:space="preserve"> </w:t>
      </w:r>
      <w:proofErr w:type="spellStart"/>
      <w:r w:rsidR="000F0428" w:rsidRPr="00A32F1B">
        <w:rPr>
          <w:lang w:val="en-US"/>
        </w:rPr>
        <w:t>literatura</w:t>
      </w:r>
      <w:proofErr w:type="spellEnd"/>
      <w:r w:rsidRPr="00A32F1B">
        <w:rPr>
          <w:lang w:val="en-US"/>
        </w:rPr>
        <w:t xml:space="preserve">, </w:t>
      </w:r>
      <w:proofErr w:type="spellStart"/>
      <w:r w:rsidRPr="00A32F1B">
        <w:rPr>
          <w:lang w:val="en-US"/>
        </w:rPr>
        <w:t>Rukopisy</w:t>
      </w:r>
      <w:proofErr w:type="spellEnd"/>
      <w:r w:rsidRPr="00A32F1B">
        <w:rPr>
          <w:lang w:val="en-US"/>
        </w:rPr>
        <w:t xml:space="preserve"> z Nag </w:t>
      </w:r>
      <w:proofErr w:type="spellStart"/>
      <w:r w:rsidRPr="00A32F1B">
        <w:rPr>
          <w:lang w:val="en-US"/>
        </w:rPr>
        <w:t>Hammádí</w:t>
      </w:r>
      <w:proofErr w:type="spellEnd"/>
      <w:r w:rsidRPr="00A32F1B">
        <w:rPr>
          <w:lang w:val="en-US"/>
        </w:rPr>
        <w:t xml:space="preserve">, </w:t>
      </w:r>
      <w:proofErr w:type="spellStart"/>
      <w:r w:rsidRPr="00A32F1B">
        <w:rPr>
          <w:lang w:val="en-US"/>
        </w:rPr>
        <w:t>Řecké</w:t>
      </w:r>
      <w:proofErr w:type="spellEnd"/>
      <w:r w:rsidRPr="00A32F1B">
        <w:rPr>
          <w:lang w:val="en-US"/>
        </w:rPr>
        <w:t xml:space="preserve"> </w:t>
      </w:r>
      <w:proofErr w:type="spellStart"/>
      <w:r w:rsidRPr="00A32F1B">
        <w:rPr>
          <w:lang w:val="en-US"/>
        </w:rPr>
        <w:t>magické</w:t>
      </w:r>
      <w:proofErr w:type="spellEnd"/>
      <w:r w:rsidRPr="00A32F1B">
        <w:rPr>
          <w:lang w:val="en-US"/>
        </w:rPr>
        <w:t xml:space="preserve"> </w:t>
      </w:r>
      <w:proofErr w:type="spellStart"/>
      <w:r w:rsidRPr="00A32F1B">
        <w:rPr>
          <w:lang w:val="en-US"/>
        </w:rPr>
        <w:t>papyry</w:t>
      </w:r>
      <w:proofErr w:type="spellEnd"/>
      <w:r w:rsidRPr="00A32F1B">
        <w:rPr>
          <w:lang w:val="en-US"/>
        </w:rPr>
        <w:t xml:space="preserve">, </w:t>
      </w:r>
      <w:proofErr w:type="spellStart"/>
      <w:r w:rsidRPr="00A32F1B">
        <w:rPr>
          <w:lang w:val="en-US"/>
        </w:rPr>
        <w:t>Amulety</w:t>
      </w:r>
      <w:proofErr w:type="spellEnd"/>
      <w:r w:rsidRPr="00A32F1B">
        <w:rPr>
          <w:lang w:val="en-US"/>
        </w:rPr>
        <w:t xml:space="preserve">, </w:t>
      </w:r>
      <w:proofErr w:type="spellStart"/>
      <w:r w:rsidRPr="00A32F1B">
        <w:rPr>
          <w:lang w:val="en-US"/>
        </w:rPr>
        <w:t>Ḥarba</w:t>
      </w:r>
      <w:proofErr w:type="spellEnd"/>
      <w:r w:rsidRPr="00A32F1B">
        <w:rPr>
          <w:lang w:val="en-US"/>
        </w:rPr>
        <w:t xml:space="preserve"> de-</w:t>
      </w:r>
      <w:proofErr w:type="spellStart"/>
      <w:r w:rsidRPr="00A32F1B">
        <w:rPr>
          <w:lang w:val="en-US"/>
        </w:rPr>
        <w:t>Moše</w:t>
      </w:r>
      <w:proofErr w:type="spellEnd"/>
      <w:r w:rsidRPr="00A32F1B">
        <w:rPr>
          <w:lang w:val="en-US"/>
        </w:rPr>
        <w:t xml:space="preserve">, </w:t>
      </w:r>
      <w:proofErr w:type="spellStart"/>
      <w:r w:rsidR="006B6C8A" w:rsidRPr="00A32F1B">
        <w:rPr>
          <w:lang w:val="en-US"/>
        </w:rPr>
        <w:t>Sefer</w:t>
      </w:r>
      <w:proofErr w:type="spellEnd"/>
      <w:r w:rsidR="006B6C8A" w:rsidRPr="00A32F1B">
        <w:rPr>
          <w:lang w:val="en-US"/>
        </w:rPr>
        <w:t xml:space="preserve"> ha-</w:t>
      </w:r>
      <w:proofErr w:type="spellStart"/>
      <w:r w:rsidR="006B6C8A" w:rsidRPr="00A32F1B">
        <w:rPr>
          <w:lang w:val="en-US"/>
        </w:rPr>
        <w:t>Razim</w:t>
      </w:r>
      <w:proofErr w:type="spellEnd"/>
      <w:r w:rsidRPr="00A32F1B">
        <w:rPr>
          <w:lang w:val="en-US"/>
        </w:rPr>
        <w:t xml:space="preserve">, </w:t>
      </w:r>
      <w:proofErr w:type="spellStart"/>
      <w:r w:rsidR="006B6C8A" w:rsidRPr="00A32F1B">
        <w:rPr>
          <w:lang w:val="en-US"/>
        </w:rPr>
        <w:t>A</w:t>
      </w:r>
      <w:r w:rsidRPr="00A32F1B">
        <w:rPr>
          <w:lang w:val="en-US"/>
        </w:rPr>
        <w:t>ramejské</w:t>
      </w:r>
      <w:proofErr w:type="spellEnd"/>
      <w:r w:rsidRPr="00A32F1B">
        <w:rPr>
          <w:lang w:val="en-US"/>
        </w:rPr>
        <w:t xml:space="preserve"> </w:t>
      </w:r>
      <w:proofErr w:type="spellStart"/>
      <w:r w:rsidR="006B6C8A" w:rsidRPr="00A32F1B">
        <w:rPr>
          <w:lang w:val="en-US"/>
        </w:rPr>
        <w:t>zaklínací</w:t>
      </w:r>
      <w:proofErr w:type="spellEnd"/>
      <w:r w:rsidRPr="00A32F1B">
        <w:rPr>
          <w:lang w:val="en-US"/>
        </w:rPr>
        <w:t xml:space="preserve"> </w:t>
      </w:r>
      <w:proofErr w:type="spellStart"/>
      <w:r w:rsidRPr="00A32F1B">
        <w:rPr>
          <w:lang w:val="en-US"/>
        </w:rPr>
        <w:t>misky</w:t>
      </w:r>
      <w:proofErr w:type="spellEnd"/>
      <w:r w:rsidRPr="00A32F1B">
        <w:rPr>
          <w:lang w:val="en-US"/>
        </w:rPr>
        <w:t xml:space="preserve">, </w:t>
      </w:r>
      <w:proofErr w:type="spellStart"/>
      <w:r w:rsidR="006B6C8A" w:rsidRPr="00A32F1B">
        <w:rPr>
          <w:lang w:val="en-US"/>
        </w:rPr>
        <w:t>M</w:t>
      </w:r>
      <w:r w:rsidRPr="00A32F1B">
        <w:rPr>
          <w:lang w:val="en-US"/>
        </w:rPr>
        <w:t>agie</w:t>
      </w:r>
      <w:proofErr w:type="spellEnd"/>
      <w:r w:rsidRPr="00A32F1B">
        <w:rPr>
          <w:lang w:val="en-US"/>
        </w:rPr>
        <w:t xml:space="preserve">, </w:t>
      </w:r>
      <w:proofErr w:type="spellStart"/>
      <w:r w:rsidR="006B6C8A" w:rsidRPr="00A32F1B">
        <w:rPr>
          <w:lang w:val="en-US"/>
        </w:rPr>
        <w:t>S</w:t>
      </w:r>
      <w:r w:rsidRPr="00A32F1B">
        <w:rPr>
          <w:lang w:val="en-US"/>
        </w:rPr>
        <w:t>ynkretismus</w:t>
      </w:r>
      <w:proofErr w:type="spellEnd"/>
      <w:r w:rsidRPr="00A32F1B">
        <w:rPr>
          <w:lang w:val="en-US"/>
        </w:rPr>
        <w:t xml:space="preserve">, </w:t>
      </w:r>
      <w:proofErr w:type="spellStart"/>
      <w:r w:rsidR="006B6C8A" w:rsidRPr="00A32F1B">
        <w:rPr>
          <w:lang w:val="en-US"/>
        </w:rPr>
        <w:t>P</w:t>
      </w:r>
      <w:r w:rsidRPr="00A32F1B">
        <w:rPr>
          <w:lang w:val="en-US"/>
        </w:rPr>
        <w:t>ře</w:t>
      </w:r>
      <w:r w:rsidR="006B6C8A" w:rsidRPr="00A32F1B">
        <w:rPr>
          <w:lang w:val="en-US"/>
        </w:rPr>
        <w:t>klad</w:t>
      </w:r>
      <w:proofErr w:type="spellEnd"/>
      <w:r w:rsidRPr="00A32F1B">
        <w:rPr>
          <w:lang w:val="en-US"/>
        </w:rPr>
        <w:t xml:space="preserve">, </w:t>
      </w:r>
      <w:proofErr w:type="spellStart"/>
      <w:r w:rsidR="00DF5875">
        <w:rPr>
          <w:lang w:val="en-US"/>
        </w:rPr>
        <w:t>Přenositelnost</w:t>
      </w:r>
      <w:proofErr w:type="spellEnd"/>
      <w:r w:rsidR="00DF5875">
        <w:rPr>
          <w:lang w:val="en-US"/>
        </w:rPr>
        <w:t xml:space="preserve">, </w:t>
      </w:r>
      <w:proofErr w:type="spellStart"/>
      <w:r w:rsidR="006B6C8A" w:rsidRPr="00A32F1B">
        <w:rPr>
          <w:lang w:val="en-US"/>
        </w:rPr>
        <w:t>P</w:t>
      </w:r>
      <w:r w:rsidRPr="00A32F1B">
        <w:rPr>
          <w:lang w:val="en-US"/>
        </w:rPr>
        <w:t>řenos</w:t>
      </w:r>
      <w:proofErr w:type="spellEnd"/>
      <w:r w:rsidRPr="00A32F1B">
        <w:rPr>
          <w:lang w:val="en-US"/>
        </w:rPr>
        <w:t xml:space="preserve"> </w:t>
      </w:r>
      <w:proofErr w:type="spellStart"/>
      <w:r w:rsidRPr="00A32F1B">
        <w:rPr>
          <w:lang w:val="en-US"/>
        </w:rPr>
        <w:t>tradice</w:t>
      </w:r>
      <w:proofErr w:type="spellEnd"/>
    </w:p>
    <w:p w14:paraId="5FB7F8D9" w14:textId="77777777" w:rsidR="00217660" w:rsidRPr="00A32F1B" w:rsidRDefault="00217660" w:rsidP="00217660">
      <w:pPr>
        <w:ind w:firstLine="0"/>
        <w:rPr>
          <w:lang w:val="en-US"/>
        </w:rPr>
      </w:pPr>
    </w:p>
    <w:p w14:paraId="59BBAB5F" w14:textId="625EE491" w:rsidR="001454CA" w:rsidRPr="00A32F1B" w:rsidRDefault="00C23400" w:rsidP="00B37871">
      <w:pPr>
        <w:pStyle w:val="Bibliografie1"/>
      </w:pPr>
      <w:r w:rsidRPr="00A32F1B">
        <w:t xml:space="preserve">Tato </w:t>
      </w:r>
      <w:proofErr w:type="spellStart"/>
      <w:r w:rsidRPr="00A32F1B">
        <w:t>diplomová</w:t>
      </w:r>
      <w:proofErr w:type="spellEnd"/>
      <w:r w:rsidRPr="00A32F1B">
        <w:t xml:space="preserve"> </w:t>
      </w:r>
      <w:proofErr w:type="spellStart"/>
      <w:r w:rsidRPr="00A32F1B">
        <w:t>práce</w:t>
      </w:r>
      <w:proofErr w:type="spellEnd"/>
      <w:r w:rsidRPr="00A32F1B">
        <w:t xml:space="preserve"> se </w:t>
      </w:r>
      <w:proofErr w:type="spellStart"/>
      <w:r w:rsidRPr="00A32F1B">
        <w:t>zaměřuje</w:t>
      </w:r>
      <w:proofErr w:type="spellEnd"/>
      <w:r w:rsidRPr="00A32F1B">
        <w:t xml:space="preserve"> </w:t>
      </w:r>
      <w:proofErr w:type="spellStart"/>
      <w:r w:rsidRPr="00A32F1B">
        <w:t>na</w:t>
      </w:r>
      <w:proofErr w:type="spellEnd"/>
      <w:r w:rsidRPr="00A32F1B">
        <w:t xml:space="preserve"> </w:t>
      </w:r>
      <w:proofErr w:type="spellStart"/>
      <w:r w:rsidRPr="00A32F1B">
        <w:t>Abraxas</w:t>
      </w:r>
      <w:r w:rsidR="000F0428" w:rsidRPr="00A32F1B">
        <w:t>e</w:t>
      </w:r>
      <w:proofErr w:type="spellEnd"/>
      <w:r w:rsidRPr="00A32F1B">
        <w:t xml:space="preserve">, </w:t>
      </w:r>
      <w:proofErr w:type="spellStart"/>
      <w:r w:rsidRPr="00A32F1B">
        <w:t>božskou</w:t>
      </w:r>
      <w:proofErr w:type="spellEnd"/>
      <w:r w:rsidRPr="00A32F1B">
        <w:t xml:space="preserve"> </w:t>
      </w:r>
      <w:proofErr w:type="spellStart"/>
      <w:r w:rsidRPr="00A32F1B">
        <w:t>entitu</w:t>
      </w:r>
      <w:proofErr w:type="spellEnd"/>
      <w:r w:rsidRPr="00A32F1B">
        <w:t xml:space="preserve">, a </w:t>
      </w:r>
      <w:r w:rsidR="000F0428" w:rsidRPr="00A32F1B">
        <w:t>s </w:t>
      </w:r>
      <w:proofErr w:type="spellStart"/>
      <w:r w:rsidR="000F0428" w:rsidRPr="00A32F1B">
        <w:t>tím</w:t>
      </w:r>
      <w:proofErr w:type="spellEnd"/>
      <w:r w:rsidR="000F0428" w:rsidRPr="00A32F1B">
        <w:t xml:space="preserve"> </w:t>
      </w:r>
      <w:proofErr w:type="spellStart"/>
      <w:r w:rsidR="000F0428" w:rsidRPr="00A32F1B">
        <w:t>spojené</w:t>
      </w:r>
      <w:proofErr w:type="spellEnd"/>
      <w:r w:rsidR="000F0428" w:rsidRPr="00A32F1B">
        <w:t xml:space="preserve"> </w:t>
      </w:r>
      <w:proofErr w:type="spellStart"/>
      <w:r w:rsidRPr="00A32F1B">
        <w:t>lingvistické</w:t>
      </w:r>
      <w:proofErr w:type="spellEnd"/>
      <w:r w:rsidRPr="00A32F1B">
        <w:t xml:space="preserve"> a </w:t>
      </w:r>
      <w:proofErr w:type="spellStart"/>
      <w:r w:rsidRPr="00A32F1B">
        <w:t>konceptuální</w:t>
      </w:r>
      <w:proofErr w:type="spellEnd"/>
      <w:r w:rsidRPr="00A32F1B">
        <w:t xml:space="preserve"> </w:t>
      </w:r>
      <w:proofErr w:type="spellStart"/>
      <w:r w:rsidRPr="00A32F1B">
        <w:t>aspekty</w:t>
      </w:r>
      <w:proofErr w:type="spellEnd"/>
      <w:r w:rsidR="000F0428" w:rsidRPr="00A32F1B">
        <w:t xml:space="preserve"> </w:t>
      </w:r>
      <w:proofErr w:type="spellStart"/>
      <w:r w:rsidR="007116E3" w:rsidRPr="00A32F1B">
        <w:t>vyskytující</w:t>
      </w:r>
      <w:proofErr w:type="spellEnd"/>
      <w:r w:rsidR="007116E3" w:rsidRPr="00A32F1B">
        <w:t xml:space="preserve"> se </w:t>
      </w:r>
      <w:proofErr w:type="spellStart"/>
      <w:r w:rsidR="000F0428" w:rsidRPr="00A32F1B">
        <w:t>ve</w:t>
      </w:r>
      <w:proofErr w:type="spellEnd"/>
      <w:r w:rsidR="000F0428" w:rsidRPr="00A32F1B">
        <w:t xml:space="preserve"> </w:t>
      </w:r>
      <w:proofErr w:type="spellStart"/>
      <w:r w:rsidR="000F0428" w:rsidRPr="00A32F1B">
        <w:t>starověkých</w:t>
      </w:r>
      <w:proofErr w:type="spellEnd"/>
      <w:r w:rsidR="000F0428" w:rsidRPr="00A32F1B">
        <w:t xml:space="preserve"> </w:t>
      </w:r>
      <w:proofErr w:type="spellStart"/>
      <w:r w:rsidR="000F0428" w:rsidRPr="00A32F1B">
        <w:t>písemných</w:t>
      </w:r>
      <w:proofErr w:type="spellEnd"/>
      <w:r w:rsidR="000F0428" w:rsidRPr="00A32F1B">
        <w:t xml:space="preserve"> </w:t>
      </w:r>
      <w:proofErr w:type="spellStart"/>
      <w:r w:rsidR="007116E3" w:rsidRPr="00A32F1B">
        <w:t>zdrojích</w:t>
      </w:r>
      <w:proofErr w:type="spellEnd"/>
      <w:r w:rsidR="007116E3" w:rsidRPr="00A32F1B">
        <w:t xml:space="preserve"> – </w:t>
      </w:r>
      <w:proofErr w:type="spellStart"/>
      <w:r w:rsidR="007116E3" w:rsidRPr="00A32F1B">
        <w:t>gnostická</w:t>
      </w:r>
      <w:proofErr w:type="spellEnd"/>
      <w:r w:rsidR="000F0428" w:rsidRPr="00A32F1B">
        <w:t xml:space="preserve"> </w:t>
      </w:r>
      <w:proofErr w:type="spellStart"/>
      <w:r w:rsidR="000F0428" w:rsidRPr="00A32F1B">
        <w:t>literatura</w:t>
      </w:r>
      <w:proofErr w:type="spellEnd"/>
      <w:r w:rsidR="000F0428" w:rsidRPr="00A32F1B">
        <w:t xml:space="preserve">, </w:t>
      </w:r>
      <w:proofErr w:type="spellStart"/>
      <w:r w:rsidR="000F0428" w:rsidRPr="00A32F1B">
        <w:t>řecké</w:t>
      </w:r>
      <w:proofErr w:type="spellEnd"/>
      <w:r w:rsidR="000F0428" w:rsidRPr="00A32F1B">
        <w:t xml:space="preserve"> </w:t>
      </w:r>
      <w:proofErr w:type="spellStart"/>
      <w:r w:rsidR="000F0428" w:rsidRPr="00A32F1B">
        <w:t>magické</w:t>
      </w:r>
      <w:proofErr w:type="spellEnd"/>
      <w:r w:rsidR="000F0428" w:rsidRPr="00A32F1B">
        <w:t xml:space="preserve"> </w:t>
      </w:r>
      <w:proofErr w:type="spellStart"/>
      <w:r w:rsidR="000F0428" w:rsidRPr="00A32F1B">
        <w:t>papyry</w:t>
      </w:r>
      <w:proofErr w:type="spellEnd"/>
      <w:r w:rsidR="000F0428" w:rsidRPr="00A32F1B">
        <w:t xml:space="preserve">, </w:t>
      </w:r>
      <w:proofErr w:type="spellStart"/>
      <w:r w:rsidR="000F0428" w:rsidRPr="00A32F1B">
        <w:t>amulety</w:t>
      </w:r>
      <w:proofErr w:type="spellEnd"/>
      <w:r w:rsidR="000F0428" w:rsidRPr="00A32F1B">
        <w:t xml:space="preserve">, a </w:t>
      </w:r>
      <w:proofErr w:type="spellStart"/>
      <w:r w:rsidR="000F0428" w:rsidRPr="00A32F1B">
        <w:t>židovské</w:t>
      </w:r>
      <w:proofErr w:type="spellEnd"/>
      <w:r w:rsidR="000F0428" w:rsidRPr="00A32F1B">
        <w:t xml:space="preserve"> </w:t>
      </w:r>
      <w:proofErr w:type="spellStart"/>
      <w:r w:rsidR="000F0428" w:rsidRPr="00A32F1B">
        <w:t>magické</w:t>
      </w:r>
      <w:proofErr w:type="spellEnd"/>
      <w:r w:rsidR="000F0428" w:rsidRPr="00A32F1B">
        <w:t xml:space="preserve"> </w:t>
      </w:r>
      <w:proofErr w:type="spellStart"/>
      <w:r w:rsidR="000F0428" w:rsidRPr="00A32F1B">
        <w:t>texty</w:t>
      </w:r>
      <w:proofErr w:type="spellEnd"/>
      <w:r w:rsidR="000F0428" w:rsidRPr="00A32F1B">
        <w:t xml:space="preserve"> </w:t>
      </w:r>
      <w:proofErr w:type="spellStart"/>
      <w:r w:rsidR="000F0428" w:rsidRPr="00A32F1B">
        <w:rPr>
          <w:i/>
          <w:iCs/>
        </w:rPr>
        <w:t>Ḥarba</w:t>
      </w:r>
      <w:proofErr w:type="spellEnd"/>
      <w:r w:rsidR="000F0428" w:rsidRPr="00A32F1B">
        <w:rPr>
          <w:i/>
          <w:iCs/>
        </w:rPr>
        <w:t xml:space="preserve"> de-</w:t>
      </w:r>
      <w:proofErr w:type="spellStart"/>
      <w:r w:rsidR="000F0428" w:rsidRPr="00A32F1B">
        <w:rPr>
          <w:i/>
          <w:iCs/>
        </w:rPr>
        <w:t>Moše</w:t>
      </w:r>
      <w:proofErr w:type="spellEnd"/>
      <w:r w:rsidR="000F0428" w:rsidRPr="00A32F1B">
        <w:t xml:space="preserve"> a </w:t>
      </w:r>
      <w:proofErr w:type="spellStart"/>
      <w:r w:rsidR="000F0428" w:rsidRPr="00A32F1B">
        <w:rPr>
          <w:i/>
          <w:iCs/>
        </w:rPr>
        <w:t>Sefer</w:t>
      </w:r>
      <w:proofErr w:type="spellEnd"/>
      <w:r w:rsidR="000F0428" w:rsidRPr="00A32F1B">
        <w:rPr>
          <w:i/>
          <w:iCs/>
        </w:rPr>
        <w:t xml:space="preserve"> ha-</w:t>
      </w:r>
      <w:proofErr w:type="spellStart"/>
      <w:r w:rsidR="000F0428" w:rsidRPr="00A32F1B">
        <w:rPr>
          <w:i/>
          <w:iCs/>
        </w:rPr>
        <w:t>Razim</w:t>
      </w:r>
      <w:proofErr w:type="spellEnd"/>
      <w:r w:rsidR="000F0428" w:rsidRPr="00A32F1B">
        <w:t xml:space="preserve">. </w:t>
      </w:r>
      <w:proofErr w:type="spellStart"/>
      <w:r w:rsidR="000F0428" w:rsidRPr="00A32F1B">
        <w:t>Každý</w:t>
      </w:r>
      <w:proofErr w:type="spellEnd"/>
      <w:r w:rsidR="000F0428" w:rsidRPr="00A32F1B">
        <w:t xml:space="preserve"> </w:t>
      </w:r>
      <w:proofErr w:type="spellStart"/>
      <w:r w:rsidR="007116E3" w:rsidRPr="00A32F1B">
        <w:t>případ</w:t>
      </w:r>
      <w:proofErr w:type="spellEnd"/>
      <w:r w:rsidR="007116E3" w:rsidRPr="00A32F1B">
        <w:t xml:space="preserve"> je </w:t>
      </w:r>
      <w:proofErr w:type="spellStart"/>
      <w:r w:rsidR="007116E3" w:rsidRPr="00A32F1B">
        <w:t>pak</w:t>
      </w:r>
      <w:proofErr w:type="spellEnd"/>
      <w:r w:rsidR="007116E3" w:rsidRPr="00A32F1B">
        <w:t xml:space="preserve"> </w:t>
      </w:r>
      <w:proofErr w:type="spellStart"/>
      <w:r w:rsidR="007116E3" w:rsidRPr="00A32F1B">
        <w:t>zkoumán</w:t>
      </w:r>
      <w:proofErr w:type="spellEnd"/>
      <w:r w:rsidR="007116E3" w:rsidRPr="00A32F1B">
        <w:t xml:space="preserve"> a </w:t>
      </w:r>
      <w:proofErr w:type="spellStart"/>
      <w:r w:rsidR="007116E3" w:rsidRPr="00A32F1B">
        <w:t>vsazen</w:t>
      </w:r>
      <w:proofErr w:type="spellEnd"/>
      <w:r w:rsidR="007116E3" w:rsidRPr="00A32F1B">
        <w:t xml:space="preserve"> do </w:t>
      </w:r>
      <w:proofErr w:type="spellStart"/>
      <w:r w:rsidR="007116E3" w:rsidRPr="00A32F1B">
        <w:t>rámce</w:t>
      </w:r>
      <w:proofErr w:type="spellEnd"/>
      <w:r w:rsidR="007116E3" w:rsidRPr="00A32F1B">
        <w:t xml:space="preserve"> </w:t>
      </w:r>
      <w:proofErr w:type="spellStart"/>
      <w:r w:rsidR="007116E3" w:rsidRPr="00A32F1B">
        <w:t>synkretismu</w:t>
      </w:r>
      <w:proofErr w:type="spellEnd"/>
      <w:r w:rsidR="007116E3" w:rsidRPr="00A32F1B">
        <w:t xml:space="preserve"> a</w:t>
      </w:r>
      <w:r w:rsidR="008632AA" w:rsidRPr="00A32F1B">
        <w:t> </w:t>
      </w:r>
      <w:proofErr w:type="spellStart"/>
      <w:r w:rsidR="00674852" w:rsidRPr="00A32F1B">
        <w:t>přeložitelnosti</w:t>
      </w:r>
      <w:proofErr w:type="spellEnd"/>
      <w:r w:rsidR="00674852" w:rsidRPr="00A32F1B">
        <w:t xml:space="preserve"> </w:t>
      </w:r>
      <w:r w:rsidR="007116E3" w:rsidRPr="00A32F1B">
        <w:t>(</w:t>
      </w:r>
      <w:proofErr w:type="spellStart"/>
      <w:r w:rsidR="007116E3" w:rsidRPr="00A32F1B">
        <w:t>možnost</w:t>
      </w:r>
      <w:proofErr w:type="spellEnd"/>
      <w:r w:rsidR="007116E3" w:rsidRPr="00A32F1B">
        <w:t xml:space="preserve"> </w:t>
      </w:r>
      <w:proofErr w:type="spellStart"/>
      <w:r w:rsidR="007116E3" w:rsidRPr="00A32F1B">
        <w:t>překladu</w:t>
      </w:r>
      <w:proofErr w:type="spellEnd"/>
      <w:r w:rsidR="007116E3" w:rsidRPr="00A32F1B">
        <w:t>)</w:t>
      </w:r>
      <w:r w:rsidR="00414607" w:rsidRPr="00A32F1B">
        <w:t xml:space="preserve"> </w:t>
      </w:r>
      <w:proofErr w:type="spellStart"/>
      <w:r w:rsidR="00414607" w:rsidRPr="00A32F1B">
        <w:t>jako</w:t>
      </w:r>
      <w:proofErr w:type="spellEnd"/>
      <w:r w:rsidR="00674852" w:rsidRPr="00A32F1B">
        <w:t xml:space="preserve"> </w:t>
      </w:r>
      <w:proofErr w:type="spellStart"/>
      <w:r w:rsidR="00674852" w:rsidRPr="00A32F1B">
        <w:t>způsobů</w:t>
      </w:r>
      <w:proofErr w:type="spellEnd"/>
      <w:r w:rsidR="00674852" w:rsidRPr="00A32F1B">
        <w:t xml:space="preserve"> </w:t>
      </w:r>
      <w:proofErr w:type="spellStart"/>
      <w:r w:rsidR="00674852" w:rsidRPr="00A32F1B">
        <w:t>přenosu</w:t>
      </w:r>
      <w:proofErr w:type="spellEnd"/>
      <w:r w:rsidR="00674852" w:rsidRPr="00A32F1B">
        <w:t xml:space="preserve"> </w:t>
      </w:r>
      <w:proofErr w:type="spellStart"/>
      <w:r w:rsidR="00674852" w:rsidRPr="00A32F1B">
        <w:t>tradice</w:t>
      </w:r>
      <w:proofErr w:type="spellEnd"/>
      <w:r w:rsidR="00674852" w:rsidRPr="00A32F1B">
        <w:t>.</w:t>
      </w:r>
    </w:p>
    <w:sectPr w:rsidR="001454CA" w:rsidRPr="00A32F1B" w:rsidSect="00AB776F">
      <w:footerReference w:type="default" r:id="rId44"/>
      <w:pgSz w:w="11906" w:h="16838"/>
      <w:pgMar w:top="1985" w:right="1134" w:bottom="1134"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3769" w14:textId="77777777" w:rsidR="00E1792F" w:rsidRDefault="00E1792F" w:rsidP="00A412FA">
      <w:pPr>
        <w:spacing w:line="240" w:lineRule="auto"/>
      </w:pPr>
      <w:r>
        <w:separator/>
      </w:r>
    </w:p>
  </w:endnote>
  <w:endnote w:type="continuationSeparator" w:id="0">
    <w:p w14:paraId="55ED69EE" w14:textId="77777777" w:rsidR="00E1792F" w:rsidRDefault="00E1792F" w:rsidP="00A41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D32D" w14:textId="48787146" w:rsidR="00A84A9A" w:rsidRDefault="00A84A9A" w:rsidP="00ED5ECA">
    <w:pPr>
      <w:pStyle w:val="Zpat"/>
      <w:jc w:val="right"/>
    </w:pPr>
  </w:p>
  <w:p w14:paraId="40513969" w14:textId="77777777" w:rsidR="00A84A9A" w:rsidRDefault="00A84A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27286"/>
      <w:docPartObj>
        <w:docPartGallery w:val="Page Numbers (Bottom of Page)"/>
        <w:docPartUnique/>
      </w:docPartObj>
    </w:sdtPr>
    <w:sdtEndPr/>
    <w:sdtContent>
      <w:p w14:paraId="5E5ED901" w14:textId="63B72F56" w:rsidR="00A84A9A" w:rsidRDefault="00A84A9A">
        <w:pPr>
          <w:pStyle w:val="Zpat"/>
          <w:jc w:val="right"/>
        </w:pPr>
        <w:r>
          <w:fldChar w:fldCharType="begin"/>
        </w:r>
        <w:r>
          <w:instrText>PAGE   \* MERGEFORMAT</w:instrText>
        </w:r>
        <w:r>
          <w:fldChar w:fldCharType="separate"/>
        </w:r>
        <w:r>
          <w:t>2</w:t>
        </w:r>
        <w:r>
          <w:fldChar w:fldCharType="end"/>
        </w:r>
      </w:p>
    </w:sdtContent>
  </w:sdt>
  <w:p w14:paraId="48A467AD" w14:textId="77777777" w:rsidR="00A84A9A" w:rsidRDefault="00A84A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90BF" w14:textId="77777777" w:rsidR="00E1792F" w:rsidRDefault="00E1792F" w:rsidP="00A412FA">
      <w:pPr>
        <w:spacing w:line="240" w:lineRule="auto"/>
      </w:pPr>
      <w:r>
        <w:separator/>
      </w:r>
    </w:p>
  </w:footnote>
  <w:footnote w:type="continuationSeparator" w:id="0">
    <w:p w14:paraId="752434DC" w14:textId="77777777" w:rsidR="00E1792F" w:rsidRDefault="00E1792F" w:rsidP="00A412FA">
      <w:pPr>
        <w:spacing w:line="240" w:lineRule="auto"/>
      </w:pPr>
      <w:r>
        <w:continuationSeparator/>
      </w:r>
    </w:p>
  </w:footnote>
  <w:footnote w:id="1">
    <w:p w14:paraId="67E466F1" w14:textId="77777777" w:rsidR="00A84A9A" w:rsidRPr="006F1082" w:rsidRDefault="00A84A9A" w:rsidP="006F1082">
      <w:pPr>
        <w:pStyle w:val="Footnotes"/>
      </w:pPr>
      <w:r w:rsidRPr="006F1082">
        <w:rPr>
          <w:rStyle w:val="Znakapoznpodarou"/>
        </w:rPr>
        <w:footnoteRef/>
      </w:r>
      <w:r w:rsidRPr="006F1082">
        <w:t xml:space="preserve"> Hermann Hesse, </w:t>
      </w:r>
      <w:r w:rsidRPr="006F1082">
        <w:rPr>
          <w:i/>
          <w:iCs/>
        </w:rPr>
        <w:t>Demian: The Story of Emil Sinclair’s Youth</w:t>
      </w:r>
      <w:r w:rsidRPr="006F1082">
        <w:t xml:space="preserve"> (New York: MJF Books, 2010), 91.</w:t>
      </w:r>
    </w:p>
  </w:footnote>
  <w:footnote w:id="2">
    <w:p w14:paraId="5755B59A" w14:textId="6921DC51" w:rsidR="00A84A9A" w:rsidRPr="006F1082" w:rsidRDefault="00A84A9A" w:rsidP="006F1082">
      <w:pPr>
        <w:pStyle w:val="Footnotes"/>
      </w:pPr>
      <w:r w:rsidRPr="006F1082">
        <w:rPr>
          <w:rStyle w:val="Znakapoznpodarou"/>
        </w:rPr>
        <w:footnoteRef/>
      </w:r>
      <w:r w:rsidRPr="006F1082">
        <w:t xml:space="preserve"> Rosalind Shaw and Charles Stewart, “Introduction: problematizing syncretism,” in </w:t>
      </w:r>
      <w:r w:rsidRPr="006F1082">
        <w:rPr>
          <w:i/>
          <w:iCs/>
        </w:rPr>
        <w:t>Syncretism / Anti-syncretism: The politics of religious synthesis</w:t>
      </w:r>
      <w:r w:rsidRPr="006F1082">
        <w:t>, edited by Charles Stewart and Rosalind Shaw (London and New York: Routledge, 1994), 1-2.</w:t>
      </w:r>
    </w:p>
  </w:footnote>
  <w:footnote w:id="3">
    <w:p w14:paraId="005B2509" w14:textId="530DED76" w:rsidR="00A84A9A" w:rsidRPr="006F1082" w:rsidRDefault="00A84A9A" w:rsidP="006F1082">
      <w:pPr>
        <w:pStyle w:val="Footnotes"/>
      </w:pPr>
      <w:r w:rsidRPr="006F1082">
        <w:rPr>
          <w:rStyle w:val="Znakapoznpodarou"/>
        </w:rPr>
        <w:footnoteRef/>
      </w:r>
      <w:r w:rsidRPr="006F1082">
        <w:t xml:space="preserve"> Ibid, 3-4.</w:t>
      </w:r>
    </w:p>
  </w:footnote>
  <w:footnote w:id="4">
    <w:p w14:paraId="2F09C1BC" w14:textId="6CDDA8AA" w:rsidR="009B569B" w:rsidRPr="006F1082" w:rsidRDefault="009B569B" w:rsidP="006F1082">
      <w:pPr>
        <w:pStyle w:val="Footnotes"/>
      </w:pPr>
      <w:r w:rsidRPr="006F1082">
        <w:rPr>
          <w:rStyle w:val="Znakapoznpodarou"/>
        </w:rPr>
        <w:footnoteRef/>
      </w:r>
      <w:r w:rsidRPr="006F1082">
        <w:t xml:space="preserve"> </w:t>
      </w:r>
      <w:r w:rsidR="00E02EFA" w:rsidRPr="006F1082">
        <w:t xml:space="preserve">Jae Jung Song, “The translatability-universals connection in linguistic typology: Much ado about something,” </w:t>
      </w:r>
      <w:r w:rsidR="00E02EFA" w:rsidRPr="006F1082">
        <w:rPr>
          <w:i/>
          <w:iCs/>
        </w:rPr>
        <w:t>Babel</w:t>
      </w:r>
      <w:r w:rsidR="00E02EFA" w:rsidRPr="006F1082">
        <w:t xml:space="preserve"> 51, no. 4 (2005): 308-309</w:t>
      </w:r>
      <w:r w:rsidR="004F20D9" w:rsidRPr="006F1082">
        <w:t xml:space="preserve">.; Moshe </w:t>
      </w:r>
      <w:r w:rsidR="004F20D9" w:rsidRPr="006F1082">
        <w:t xml:space="preserve">Barasch, “Visual Syncretism: A Case Study,” in </w:t>
      </w:r>
      <w:r w:rsidR="004F20D9" w:rsidRPr="006F1082">
        <w:rPr>
          <w:i/>
          <w:iCs/>
        </w:rPr>
        <w:t>The Translatability of Cultures: Figura</w:t>
      </w:r>
      <w:r w:rsidR="003E48C4" w:rsidRPr="006F1082">
        <w:rPr>
          <w:i/>
          <w:iCs/>
        </w:rPr>
        <w:t>t</w:t>
      </w:r>
      <w:r w:rsidR="004F20D9" w:rsidRPr="006F1082">
        <w:rPr>
          <w:i/>
          <w:iCs/>
        </w:rPr>
        <w:t>ions of the Space Between</w:t>
      </w:r>
      <w:r w:rsidR="004F20D9" w:rsidRPr="006F1082">
        <w:t>, edited by Sanford Budick and Wolfgang Iser (Stanford: Stanford University Press, 1996), 37-39.</w:t>
      </w:r>
    </w:p>
  </w:footnote>
  <w:footnote w:id="5">
    <w:p w14:paraId="5BE2FD57" w14:textId="253937E1" w:rsidR="00A84A9A" w:rsidRPr="006F1082" w:rsidRDefault="00A84A9A" w:rsidP="006F1082">
      <w:pPr>
        <w:pStyle w:val="Footnotes"/>
      </w:pPr>
      <w:r w:rsidRPr="006F1082">
        <w:rPr>
          <w:rStyle w:val="Znakapoznpodarou"/>
        </w:rPr>
        <w:footnoteRef/>
      </w:r>
      <w:r w:rsidRPr="006F1082">
        <w:t xml:space="preserve"> Ibid, 6.</w:t>
      </w:r>
    </w:p>
  </w:footnote>
  <w:footnote w:id="6">
    <w:p w14:paraId="29AFA01A" w14:textId="06CDD8CC" w:rsidR="00A84A9A" w:rsidRPr="006F1082" w:rsidRDefault="00A84A9A" w:rsidP="006F1082">
      <w:pPr>
        <w:pStyle w:val="Footnotes"/>
      </w:pPr>
      <w:r w:rsidRPr="006F1082">
        <w:rPr>
          <w:rStyle w:val="Znakapoznpodarou"/>
        </w:rPr>
        <w:footnoteRef/>
      </w:r>
      <w:r w:rsidRPr="006F1082">
        <w:t xml:space="preserve"> David </w:t>
      </w:r>
      <w:r w:rsidRPr="006F1082">
        <w:t xml:space="preserve">Magie (trans.), </w:t>
      </w:r>
      <w:r w:rsidRPr="006F1082">
        <w:rPr>
          <w:i/>
          <w:iCs/>
        </w:rPr>
        <w:t>The Scriptores Historiae Augustae</w:t>
      </w:r>
      <w:r w:rsidRPr="006F1082">
        <w:t>, Volume II (Cambridge: Harvard University Press, 1921), 104-105.</w:t>
      </w:r>
    </w:p>
  </w:footnote>
  <w:footnote w:id="7">
    <w:p w14:paraId="6F8540A2" w14:textId="2D308BB4" w:rsidR="00A84A9A" w:rsidRPr="006F1082" w:rsidRDefault="00A84A9A" w:rsidP="006F1082">
      <w:pPr>
        <w:pStyle w:val="Footnotes"/>
      </w:pPr>
      <w:r w:rsidRPr="006F1082">
        <w:rPr>
          <w:rStyle w:val="Znakapoznpodarou"/>
        </w:rPr>
        <w:footnoteRef/>
      </w:r>
      <w:r w:rsidRPr="006F1082">
        <w:t xml:space="preserve"> Ibid, 110-113, and 116-119.</w:t>
      </w:r>
    </w:p>
  </w:footnote>
  <w:footnote w:id="8">
    <w:p w14:paraId="55152864" w14:textId="47DE419C" w:rsidR="00A84A9A" w:rsidRPr="006F1082" w:rsidRDefault="00A84A9A" w:rsidP="006F1082">
      <w:pPr>
        <w:pStyle w:val="Footnotes"/>
      </w:pPr>
      <w:r w:rsidRPr="006F1082">
        <w:rPr>
          <w:rStyle w:val="Znakapoznpodarou"/>
        </w:rPr>
        <w:footnoteRef/>
      </w:r>
      <w:r w:rsidRPr="006F1082">
        <w:t xml:space="preserve"> Adam M. </w:t>
      </w:r>
      <w:r w:rsidRPr="006F1082">
        <w:t xml:space="preserve">Kemezis, </w:t>
      </w:r>
      <w:r w:rsidRPr="006F1082">
        <w:rPr>
          <w:i/>
          <w:iCs/>
        </w:rPr>
        <w:t>Greek Narratives of the Roman Empire under the Severans: Cassius Dio, Philostratus and Herodian</w:t>
      </w:r>
      <w:r w:rsidRPr="006F1082">
        <w:t xml:space="preserve"> (Cambridge: Cambridge University Press, 2014), 84-85.; Martijn Icks, </w:t>
      </w:r>
      <w:r w:rsidRPr="006F1082">
        <w:rPr>
          <w:i/>
          <w:iCs/>
        </w:rPr>
        <w:t>The Crimes of Elagabalus: The Life and Legacy of Rome’s Decadent Boy Emperor</w:t>
      </w:r>
      <w:r w:rsidRPr="006F1082">
        <w:t xml:space="preserve"> (London and New York: I.B. Tauris, 2013), 35-36, and 113-114.</w:t>
      </w:r>
    </w:p>
  </w:footnote>
  <w:footnote w:id="9">
    <w:p w14:paraId="44F8601B" w14:textId="0335A0CC" w:rsidR="00A84A9A" w:rsidRPr="006F1082" w:rsidRDefault="00A84A9A" w:rsidP="006F1082">
      <w:pPr>
        <w:pStyle w:val="Footnotes"/>
      </w:pPr>
      <w:r w:rsidRPr="006F1082">
        <w:rPr>
          <w:rStyle w:val="Znakapoznpodarou"/>
        </w:rPr>
        <w:footnoteRef/>
      </w:r>
      <w:r w:rsidRPr="006F1082">
        <w:t xml:space="preserve"> Fergus Millar, </w:t>
      </w:r>
      <w:r w:rsidRPr="006F1082">
        <w:rPr>
          <w:i/>
          <w:iCs/>
        </w:rPr>
        <w:t xml:space="preserve">The Roman Near East 31 BC </w:t>
      </w:r>
      <w:r w:rsidR="00EB7887" w:rsidRPr="006F1082">
        <w:t xml:space="preserve">– </w:t>
      </w:r>
      <w:r w:rsidRPr="006F1082">
        <w:rPr>
          <w:i/>
          <w:iCs/>
        </w:rPr>
        <w:t>AD 337</w:t>
      </w:r>
      <w:r w:rsidRPr="006F1082">
        <w:t xml:space="preserve"> (Cambridge: Harvard University Press, 2001), 531.</w:t>
      </w:r>
    </w:p>
  </w:footnote>
  <w:footnote w:id="10">
    <w:p w14:paraId="76990C72" w14:textId="6CDB7DC3" w:rsidR="00A84A9A" w:rsidRPr="006F1082" w:rsidRDefault="00A84A9A" w:rsidP="006F1082">
      <w:pPr>
        <w:pStyle w:val="Footnotes"/>
      </w:pPr>
      <w:r w:rsidRPr="006F1082">
        <w:rPr>
          <w:rStyle w:val="Znakapoznpodarou"/>
        </w:rPr>
        <w:footnoteRef/>
      </w:r>
      <w:r w:rsidRPr="006F1082">
        <w:t xml:space="preserve"> </w:t>
      </w:r>
      <w:r w:rsidRPr="006F1082">
        <w:t xml:space="preserve">Kemezis, </w:t>
      </w:r>
      <w:r w:rsidRPr="006F1082">
        <w:rPr>
          <w:i/>
          <w:iCs/>
        </w:rPr>
        <w:t>Greek Narratives of the Roman Empire under the Severans</w:t>
      </w:r>
      <w:r w:rsidRPr="006F1082">
        <w:t>, 28.</w:t>
      </w:r>
    </w:p>
  </w:footnote>
  <w:footnote w:id="11">
    <w:p w14:paraId="02F86BB0" w14:textId="6057340E" w:rsidR="00A84A9A" w:rsidRPr="006F1082" w:rsidRDefault="00A84A9A" w:rsidP="006F1082">
      <w:pPr>
        <w:pStyle w:val="Footnotes"/>
      </w:pPr>
      <w:r w:rsidRPr="006F1082">
        <w:rPr>
          <w:rStyle w:val="Znakapoznpodarou"/>
        </w:rPr>
        <w:footnoteRef/>
      </w:r>
      <w:r w:rsidRPr="006F1082">
        <w:t xml:space="preserve"> Millar, </w:t>
      </w:r>
      <w:r w:rsidRPr="006F1082">
        <w:rPr>
          <w:i/>
          <w:iCs/>
        </w:rPr>
        <w:t xml:space="preserve">The Roman Near East 31 BC </w:t>
      </w:r>
      <w:r w:rsidR="00EB7887" w:rsidRPr="006F1082">
        <w:t>–</w:t>
      </w:r>
      <w:r w:rsidRPr="006F1082">
        <w:rPr>
          <w:i/>
          <w:iCs/>
        </w:rPr>
        <w:t xml:space="preserve"> AD 337</w:t>
      </w:r>
      <w:r w:rsidRPr="006F1082">
        <w:t>, 529.</w:t>
      </w:r>
    </w:p>
  </w:footnote>
  <w:footnote w:id="12">
    <w:p w14:paraId="31439E2F" w14:textId="77777777" w:rsidR="00A84A9A" w:rsidRPr="006F1082" w:rsidRDefault="00A84A9A" w:rsidP="006F1082">
      <w:pPr>
        <w:pStyle w:val="Footnotes"/>
      </w:pPr>
      <w:r w:rsidRPr="006F1082">
        <w:rPr>
          <w:rStyle w:val="Znakapoznpodarou"/>
        </w:rPr>
        <w:footnoteRef/>
      </w:r>
      <w:r w:rsidRPr="006F1082">
        <w:t xml:space="preserve"> Wolf </w:t>
      </w:r>
      <w:r w:rsidRPr="006F1082">
        <w:t xml:space="preserve">Leibeschuetz, “Was there a crisis of the third century?” in </w:t>
      </w:r>
      <w:r w:rsidRPr="006F1082">
        <w:rPr>
          <w:i/>
          <w:iCs/>
        </w:rPr>
        <w:t>Crises and the Roman Empire: Proceedings of the Seventh Workshop of the International Network Impact of Empire (Nijmegen, June 20-24, 2006)</w:t>
      </w:r>
      <w:r w:rsidRPr="006F1082">
        <w:t>, edited by Olivier Hekster, Gerda de Kleijn and Daniëlle Slootjes (Leiden and Boston: Brill, 2007), 17-19.</w:t>
      </w:r>
    </w:p>
  </w:footnote>
  <w:footnote w:id="13">
    <w:p w14:paraId="180F768B" w14:textId="61A62201" w:rsidR="00A84A9A" w:rsidRPr="006F1082" w:rsidRDefault="00A84A9A" w:rsidP="006F1082">
      <w:pPr>
        <w:pStyle w:val="Footnotes"/>
      </w:pPr>
      <w:r w:rsidRPr="006F1082">
        <w:rPr>
          <w:rStyle w:val="Znakapoznpodarou"/>
        </w:rPr>
        <w:footnoteRef/>
      </w:r>
      <w:r w:rsidRPr="006F1082">
        <w:t xml:space="preserve"> Jonathan A. Goldstein, “Jewish Acceptance and Rejection of Hellenism,” in </w:t>
      </w:r>
      <w:r w:rsidRPr="006F1082">
        <w:rPr>
          <w:i/>
          <w:iCs/>
        </w:rPr>
        <w:t>Semites, Iranians, Greeks, and Romans: Studies in Their Interactions</w:t>
      </w:r>
      <w:r w:rsidRPr="006F1082">
        <w:t xml:space="preserve"> (Brown Judaic Studies, 2020): 3-13, accessed May 5, 2021</w:t>
      </w:r>
      <w:r w:rsidR="00A55CBF" w:rsidRPr="006F1082">
        <w:t>,</w:t>
      </w:r>
      <w:r w:rsidRPr="006F1082">
        <w:t xml:space="preserve"> </w:t>
      </w:r>
      <w:hyperlink r:id="rId1" w:history="1">
        <w:r w:rsidRPr="006F1082">
          <w:rPr>
            <w:rStyle w:val="Hypertextovodkaz"/>
          </w:rPr>
          <w:t>www.jstor.org/stable/j.ctvzpv55g.5</w:t>
        </w:r>
      </w:hyperlink>
      <w:r w:rsidRPr="006F1082">
        <w:t xml:space="preserve">. </w:t>
      </w:r>
    </w:p>
  </w:footnote>
  <w:footnote w:id="14">
    <w:p w14:paraId="0741F3C5" w14:textId="7CEA9422" w:rsidR="00A84A9A" w:rsidRPr="006F1082" w:rsidRDefault="00A84A9A" w:rsidP="006F1082">
      <w:pPr>
        <w:pStyle w:val="Footnotes"/>
      </w:pPr>
      <w:r w:rsidRPr="006F1082">
        <w:rPr>
          <w:rStyle w:val="Znakapoznpodarou"/>
        </w:rPr>
        <w:footnoteRef/>
      </w:r>
      <w:r w:rsidRPr="006F1082">
        <w:t xml:space="preserve"> Ibid, 16-17.</w:t>
      </w:r>
    </w:p>
  </w:footnote>
  <w:footnote w:id="15">
    <w:p w14:paraId="25AB3451" w14:textId="30970B78" w:rsidR="00A84A9A" w:rsidRPr="006F1082" w:rsidRDefault="00A84A9A" w:rsidP="006F1082">
      <w:pPr>
        <w:pStyle w:val="Footnotes"/>
      </w:pPr>
      <w:r w:rsidRPr="006F1082">
        <w:rPr>
          <w:rStyle w:val="Znakapoznpodarou"/>
        </w:rPr>
        <w:footnoteRef/>
      </w:r>
      <w:r w:rsidRPr="006F1082">
        <w:t xml:space="preserve"> Ibid, 5.</w:t>
      </w:r>
    </w:p>
  </w:footnote>
  <w:footnote w:id="16">
    <w:p w14:paraId="045493C4" w14:textId="0A2CB291" w:rsidR="00A84A9A" w:rsidRPr="006F1082" w:rsidRDefault="00A84A9A" w:rsidP="006F1082">
      <w:pPr>
        <w:pStyle w:val="Footnotes"/>
      </w:pPr>
      <w:r w:rsidRPr="006F1082">
        <w:rPr>
          <w:rStyle w:val="Znakapoznpodarou"/>
        </w:rPr>
        <w:footnoteRef/>
      </w:r>
      <w:r w:rsidRPr="006F1082">
        <w:t xml:space="preserve"> Seth Schwartz, </w:t>
      </w:r>
      <w:r w:rsidRPr="006F1082">
        <w:rPr>
          <w:i/>
          <w:iCs/>
        </w:rPr>
        <w:t>Imerialism and Jewish Society, 200 B.C.E. to 640 C.E.</w:t>
      </w:r>
      <w:r w:rsidRPr="006F1082">
        <w:t xml:space="preserve"> (Princeton: Princeton University Press, 2001), 32.</w:t>
      </w:r>
    </w:p>
  </w:footnote>
  <w:footnote w:id="17">
    <w:p w14:paraId="6BBF46D1" w14:textId="06B1B9CC" w:rsidR="00A84A9A" w:rsidRPr="006F1082" w:rsidRDefault="00A84A9A" w:rsidP="006F1082">
      <w:pPr>
        <w:pStyle w:val="Footnotes"/>
      </w:pPr>
      <w:r w:rsidRPr="006F1082">
        <w:rPr>
          <w:rStyle w:val="Znakapoznpodarou"/>
        </w:rPr>
        <w:footnoteRef/>
      </w:r>
      <w:r w:rsidR="00A55CBF" w:rsidRPr="006F1082">
        <w:t> </w:t>
      </w:r>
      <w:r w:rsidRPr="006F1082">
        <w:t>“Judas</w:t>
      </w:r>
      <w:r w:rsidR="00A55CBF" w:rsidRPr="006F1082">
        <w:t> </w:t>
      </w:r>
      <w:r w:rsidRPr="006F1082">
        <w:t>Maccabeus:</w:t>
      </w:r>
      <w:r w:rsidR="00A55CBF" w:rsidRPr="006F1082">
        <w:t> </w:t>
      </w:r>
      <w:r w:rsidRPr="006F1082">
        <w:t>Jewish</w:t>
      </w:r>
      <w:r w:rsidR="00A55CBF" w:rsidRPr="006F1082">
        <w:t> </w:t>
      </w:r>
      <w:r w:rsidRPr="006F1082">
        <w:t>leader,”</w:t>
      </w:r>
      <w:r w:rsidR="00A55CBF" w:rsidRPr="006F1082">
        <w:t> </w:t>
      </w:r>
      <w:r w:rsidRPr="006F1082">
        <w:rPr>
          <w:i/>
          <w:iCs/>
        </w:rPr>
        <w:t>Encyclopaedia</w:t>
      </w:r>
      <w:r w:rsidR="00A55CBF" w:rsidRPr="006F1082">
        <w:rPr>
          <w:i/>
          <w:iCs/>
        </w:rPr>
        <w:t> </w:t>
      </w:r>
      <w:r w:rsidRPr="006F1082">
        <w:rPr>
          <w:i/>
          <w:iCs/>
        </w:rPr>
        <w:t>Britannica</w:t>
      </w:r>
      <w:r w:rsidRPr="006F1082">
        <w:t>,</w:t>
      </w:r>
      <w:r w:rsidR="00A55CBF" w:rsidRPr="006F1082">
        <w:t> </w:t>
      </w:r>
      <w:r w:rsidRPr="006F1082">
        <w:t>accessed</w:t>
      </w:r>
      <w:r w:rsidR="00A55CBF" w:rsidRPr="006F1082">
        <w:t> </w:t>
      </w:r>
      <w:r w:rsidRPr="006F1082">
        <w:t>May</w:t>
      </w:r>
      <w:r w:rsidR="00A55CBF" w:rsidRPr="006F1082">
        <w:t> </w:t>
      </w:r>
      <w:r w:rsidRPr="006F1082">
        <w:t>5,</w:t>
      </w:r>
      <w:r w:rsidR="00A55CBF" w:rsidRPr="006F1082">
        <w:t> </w:t>
      </w:r>
      <w:r w:rsidRPr="006F1082">
        <w:t>2021</w:t>
      </w:r>
      <w:r w:rsidR="00A55CBF" w:rsidRPr="006F1082">
        <w:t xml:space="preserve">, </w:t>
      </w:r>
      <w:hyperlink r:id="rId2" w:history="1">
        <w:r w:rsidR="00A55CBF" w:rsidRPr="006F1082">
          <w:rPr>
            <w:rStyle w:val="Hypertextovodkaz"/>
          </w:rPr>
          <w:t>https://www.britannica.com/biography/Judas-Maccabeus</w:t>
        </w:r>
      </w:hyperlink>
      <w:r w:rsidRPr="006F1082">
        <w:t xml:space="preserve">. </w:t>
      </w:r>
    </w:p>
  </w:footnote>
  <w:footnote w:id="18">
    <w:p w14:paraId="047B954A" w14:textId="4AFB2B89" w:rsidR="00A84A9A" w:rsidRPr="006F1082" w:rsidRDefault="00A84A9A" w:rsidP="006F1082">
      <w:pPr>
        <w:pStyle w:val="Footnotes"/>
      </w:pPr>
      <w:r w:rsidRPr="006F1082">
        <w:rPr>
          <w:rStyle w:val="Znakapoznpodarou"/>
        </w:rPr>
        <w:footnoteRef/>
      </w:r>
      <w:r w:rsidRPr="006F1082">
        <w:t xml:space="preserve"> Schwartz, </w:t>
      </w:r>
      <w:r w:rsidRPr="006F1082">
        <w:rPr>
          <w:i/>
          <w:iCs/>
        </w:rPr>
        <w:t>Imerialism and Jewish Society</w:t>
      </w:r>
      <w:r w:rsidRPr="006F1082">
        <w:t>, 110-114.</w:t>
      </w:r>
    </w:p>
  </w:footnote>
  <w:footnote w:id="19">
    <w:p w14:paraId="112217FA" w14:textId="1ADB038F" w:rsidR="00A84A9A" w:rsidRPr="006F1082" w:rsidRDefault="00A84A9A" w:rsidP="006F1082">
      <w:pPr>
        <w:pStyle w:val="Footnotes"/>
      </w:pPr>
      <w:r w:rsidRPr="006F1082">
        <w:rPr>
          <w:rStyle w:val="Znakapoznpodarou"/>
        </w:rPr>
        <w:footnoteRef/>
      </w:r>
      <w:r w:rsidRPr="006F1082">
        <w:t xml:space="preserve"> Ibid, 175-176.</w:t>
      </w:r>
    </w:p>
  </w:footnote>
  <w:footnote w:id="20">
    <w:p w14:paraId="51825A0C" w14:textId="33E95E7F" w:rsidR="00A84A9A" w:rsidRPr="006F1082" w:rsidRDefault="00A84A9A" w:rsidP="006F1082">
      <w:pPr>
        <w:pStyle w:val="Footnotes"/>
      </w:pPr>
      <w:r w:rsidRPr="006F1082">
        <w:rPr>
          <w:rStyle w:val="Znakapoznpodarou"/>
        </w:rPr>
        <w:footnoteRef/>
      </w:r>
      <w:r w:rsidRPr="006F1082">
        <w:t xml:space="preserve"> Ibid, 113-120.</w:t>
      </w:r>
    </w:p>
  </w:footnote>
  <w:footnote w:id="21">
    <w:p w14:paraId="30DBB422" w14:textId="73C5D47C" w:rsidR="00A84A9A" w:rsidRPr="006F1082" w:rsidRDefault="00A84A9A" w:rsidP="006F1082">
      <w:pPr>
        <w:pStyle w:val="Footnotes"/>
      </w:pPr>
      <w:r w:rsidRPr="006F1082">
        <w:rPr>
          <w:rStyle w:val="Znakapoznpodarou"/>
        </w:rPr>
        <w:footnoteRef/>
      </w:r>
      <w:r w:rsidRPr="006F1082">
        <w:t xml:space="preserve"> Herodotus, </w:t>
      </w:r>
      <w:r w:rsidRPr="006F1082">
        <w:rPr>
          <w:i/>
          <w:iCs/>
        </w:rPr>
        <w:t>Herodotus, With an English Translation by A. D. Godley</w:t>
      </w:r>
      <w:r w:rsidRPr="006F1082">
        <w:t>, Volume I, translated and edited by Alfred Denis Godley (London: William Heinemann ltd., 1920), 225.</w:t>
      </w:r>
    </w:p>
  </w:footnote>
  <w:footnote w:id="22">
    <w:p w14:paraId="779A5703" w14:textId="3CC2F607" w:rsidR="00A84A9A" w:rsidRPr="006F1082" w:rsidRDefault="00A84A9A" w:rsidP="006F1082">
      <w:pPr>
        <w:pStyle w:val="Footnotes"/>
      </w:pPr>
      <w:r w:rsidRPr="006F1082">
        <w:rPr>
          <w:rStyle w:val="Znakapoznpodarou"/>
        </w:rPr>
        <w:footnoteRef/>
      </w:r>
      <w:r w:rsidRPr="006F1082">
        <w:t xml:space="preserve"> Ibid, 227.</w:t>
      </w:r>
    </w:p>
  </w:footnote>
  <w:footnote w:id="23">
    <w:p w14:paraId="50C4D258" w14:textId="53AC1829" w:rsidR="00A84A9A" w:rsidRPr="006F1082" w:rsidRDefault="00A84A9A" w:rsidP="006F1082">
      <w:pPr>
        <w:pStyle w:val="Footnotes"/>
      </w:pPr>
      <w:r w:rsidRPr="006F1082">
        <w:rPr>
          <w:rStyle w:val="Znakapoznpodarou"/>
        </w:rPr>
        <w:footnoteRef/>
      </w:r>
      <w:r w:rsidRPr="006F1082">
        <w:t xml:space="preserve"> Ibid, 171.</w:t>
      </w:r>
    </w:p>
  </w:footnote>
  <w:footnote w:id="24">
    <w:p w14:paraId="3EA86DC0" w14:textId="684BE092" w:rsidR="00A84A9A" w:rsidRPr="006F1082" w:rsidRDefault="00A84A9A" w:rsidP="006F1082">
      <w:pPr>
        <w:pStyle w:val="Footnotes"/>
      </w:pPr>
      <w:r w:rsidRPr="006F1082">
        <w:rPr>
          <w:rStyle w:val="Znakapoznpodarou"/>
        </w:rPr>
        <w:footnoteRef/>
      </w:r>
      <w:r w:rsidRPr="006F1082">
        <w:t xml:space="preserve"> Lucian, </w:t>
      </w:r>
      <w:r w:rsidRPr="006F1082">
        <w:rPr>
          <w:i/>
          <w:iCs/>
        </w:rPr>
        <w:t>The Syrian Goddess</w:t>
      </w:r>
      <w:r w:rsidRPr="006F1082">
        <w:t>,</w:t>
      </w:r>
      <w:r w:rsidRPr="006F1082">
        <w:rPr>
          <w:i/>
          <w:iCs/>
        </w:rPr>
        <w:t xml:space="preserve"> </w:t>
      </w:r>
      <w:r w:rsidRPr="006F1082">
        <w:t xml:space="preserve">Being a translation of Lucian’s “De </w:t>
      </w:r>
      <w:r w:rsidRPr="006F1082">
        <w:t>dea Syria,” with a life of Lucian by Herbert A. Strong, edited with notes and an introduction by John Garstang (London: Constable &amp; Company ltd., 1913), 42-44.</w:t>
      </w:r>
    </w:p>
  </w:footnote>
  <w:footnote w:id="25">
    <w:p w14:paraId="06F05BD6" w14:textId="0303282A" w:rsidR="00A84A9A" w:rsidRPr="006F1082" w:rsidRDefault="00A84A9A" w:rsidP="006F1082">
      <w:pPr>
        <w:pStyle w:val="Footnotes"/>
      </w:pPr>
      <w:r w:rsidRPr="006F1082">
        <w:rPr>
          <w:rStyle w:val="Znakapoznpodarou"/>
        </w:rPr>
        <w:footnoteRef/>
      </w:r>
      <w:r w:rsidRPr="006F1082">
        <w:t xml:space="preserve"> Herodotus, </w:t>
      </w:r>
      <w:r w:rsidRPr="006F1082">
        <w:rPr>
          <w:i/>
          <w:iCs/>
        </w:rPr>
        <w:t>Herodotus, With an English Translation by A. D. Godley</w:t>
      </w:r>
      <w:r w:rsidRPr="006F1082">
        <w:t>, 337-338.</w:t>
      </w:r>
    </w:p>
  </w:footnote>
  <w:footnote w:id="26">
    <w:p w14:paraId="383D93A1" w14:textId="219D954C" w:rsidR="00A84A9A" w:rsidRPr="006F1082" w:rsidRDefault="00A84A9A" w:rsidP="006F1082">
      <w:pPr>
        <w:pStyle w:val="Footnotes"/>
      </w:pPr>
      <w:r w:rsidRPr="006F1082">
        <w:rPr>
          <w:rStyle w:val="Znakapoznpodarou"/>
        </w:rPr>
        <w:footnoteRef/>
      </w:r>
      <w:r w:rsidRPr="006F1082">
        <w:t xml:space="preserve"> Jan </w:t>
      </w:r>
      <w:r w:rsidRPr="006F1082">
        <w:t xml:space="preserve">Assmann, “Translating Gods: Religion as a Factor of Cultural (Un)Translatability,” in </w:t>
      </w:r>
      <w:r w:rsidRPr="006F1082">
        <w:rPr>
          <w:i/>
          <w:iCs/>
        </w:rPr>
        <w:t>The Translatability of Cultures: Figura</w:t>
      </w:r>
      <w:r w:rsidR="003E48C4" w:rsidRPr="006F1082">
        <w:rPr>
          <w:i/>
          <w:iCs/>
        </w:rPr>
        <w:t>t</w:t>
      </w:r>
      <w:r w:rsidRPr="006F1082">
        <w:rPr>
          <w:i/>
          <w:iCs/>
        </w:rPr>
        <w:t>ions of the Space Between</w:t>
      </w:r>
      <w:r w:rsidRPr="006F1082">
        <w:t>, edited by Sanford Budick and Wolfgang Iser (Stanford: Stanford University Press, 1996), 34-35.</w:t>
      </w:r>
    </w:p>
  </w:footnote>
  <w:footnote w:id="27">
    <w:p w14:paraId="50AA4F6D" w14:textId="353D13C6" w:rsidR="00A84A9A" w:rsidRPr="006F1082" w:rsidRDefault="00A84A9A" w:rsidP="006F1082">
      <w:pPr>
        <w:pStyle w:val="Footnotes"/>
      </w:pPr>
      <w:r w:rsidRPr="006F1082">
        <w:rPr>
          <w:rStyle w:val="Znakapoznpodarou"/>
        </w:rPr>
        <w:footnoteRef/>
      </w:r>
      <w:r w:rsidRPr="006F1082">
        <w:t xml:space="preserve"> William Shakespeare, </w:t>
      </w:r>
      <w:r w:rsidRPr="006F1082">
        <w:rPr>
          <w:i/>
          <w:iCs/>
        </w:rPr>
        <w:t>Romeo and Juliet</w:t>
      </w:r>
      <w:r w:rsidRPr="006F1082">
        <w:t>, edited by Cedric Watts (Ware: Wordsworth Editions Ltd, 2000), 59.</w:t>
      </w:r>
    </w:p>
  </w:footnote>
  <w:footnote w:id="28">
    <w:p w14:paraId="6E28947F" w14:textId="4A380CB1" w:rsidR="00A84A9A" w:rsidRPr="006F1082" w:rsidRDefault="00A84A9A" w:rsidP="006F1082">
      <w:pPr>
        <w:pStyle w:val="Footnotes"/>
      </w:pPr>
      <w:r w:rsidRPr="006F1082">
        <w:rPr>
          <w:rStyle w:val="Znakapoznpodarou"/>
        </w:rPr>
        <w:footnoteRef/>
      </w:r>
      <w:r w:rsidRPr="006F1082">
        <w:t xml:space="preserve"> Origen, </w:t>
      </w:r>
      <w:r w:rsidRPr="006F1082">
        <w:rPr>
          <w:i/>
          <w:iCs/>
        </w:rPr>
        <w:t xml:space="preserve">Contra </w:t>
      </w:r>
      <w:r w:rsidRPr="006F1082">
        <w:rPr>
          <w:i/>
          <w:iCs/>
        </w:rPr>
        <w:t>Celsum</w:t>
      </w:r>
      <w:r w:rsidRPr="006F1082">
        <w:t>, translated with an introduction &amp; notes by Henry Chadwick (Cambridge: Cambridge University Press, 1980), 23-25.</w:t>
      </w:r>
    </w:p>
  </w:footnote>
  <w:footnote w:id="29">
    <w:p w14:paraId="2EA73FB0" w14:textId="73BE6DDA" w:rsidR="00A84A9A" w:rsidRPr="006F1082" w:rsidRDefault="00A84A9A" w:rsidP="006F1082">
      <w:pPr>
        <w:pStyle w:val="Footnotes"/>
      </w:pPr>
      <w:r w:rsidRPr="006F1082">
        <w:rPr>
          <w:rStyle w:val="Znakapoznpodarou"/>
        </w:rPr>
        <w:footnoteRef/>
      </w:r>
      <w:r w:rsidRPr="006F1082">
        <w:t xml:space="preserve"> Ibid, 299-300.</w:t>
      </w:r>
    </w:p>
  </w:footnote>
  <w:footnote w:id="30">
    <w:p w14:paraId="5F1B2201" w14:textId="611168B6" w:rsidR="00A84A9A" w:rsidRPr="006F1082" w:rsidRDefault="00A84A9A" w:rsidP="006F1082">
      <w:pPr>
        <w:pStyle w:val="Footnotes"/>
      </w:pPr>
      <w:r w:rsidRPr="006F1082">
        <w:rPr>
          <w:rStyle w:val="Znakapoznpodarou"/>
        </w:rPr>
        <w:footnoteRef/>
      </w:r>
      <w:r w:rsidRPr="006F1082">
        <w:t xml:space="preserve"> Ibid, 25.</w:t>
      </w:r>
    </w:p>
  </w:footnote>
  <w:footnote w:id="31">
    <w:p w14:paraId="1556544B" w14:textId="7E1A25D6" w:rsidR="00A84A9A" w:rsidRPr="006F1082" w:rsidRDefault="00A84A9A" w:rsidP="006F1082">
      <w:pPr>
        <w:pStyle w:val="Footnotes"/>
      </w:pPr>
      <w:r w:rsidRPr="006F1082">
        <w:rPr>
          <w:rStyle w:val="Znakapoznpodarou"/>
        </w:rPr>
        <w:footnoteRef/>
      </w:r>
      <w:r w:rsidRPr="006F1082">
        <w:t xml:space="preserve"> Ibid, 23-25.</w:t>
      </w:r>
    </w:p>
  </w:footnote>
  <w:footnote w:id="32">
    <w:p w14:paraId="440A506B" w14:textId="33973E5A" w:rsidR="00A84A9A" w:rsidRPr="006F1082" w:rsidRDefault="00A84A9A" w:rsidP="006F1082">
      <w:pPr>
        <w:pStyle w:val="Footnotes"/>
      </w:pPr>
      <w:r w:rsidRPr="006F1082">
        <w:rPr>
          <w:rStyle w:val="Znakapoznpodarou"/>
        </w:rPr>
        <w:footnoteRef/>
      </w:r>
      <w:r w:rsidRPr="006F1082">
        <w:t xml:space="preserve"> </w:t>
      </w:r>
      <w:r w:rsidRPr="006F1082">
        <w:t>Assmann, “Translating Gods“, 30.</w:t>
      </w:r>
    </w:p>
  </w:footnote>
  <w:footnote w:id="33">
    <w:p w14:paraId="07C7C458" w14:textId="273B2B0A" w:rsidR="00A84A9A" w:rsidRPr="006F1082" w:rsidRDefault="00A84A9A" w:rsidP="006F1082">
      <w:pPr>
        <w:pStyle w:val="Footnotes"/>
      </w:pPr>
      <w:r w:rsidRPr="006F1082">
        <w:rPr>
          <w:rStyle w:val="Znakapoznpodarou"/>
        </w:rPr>
        <w:footnoteRef/>
      </w:r>
      <w:r w:rsidRPr="006F1082">
        <w:t xml:space="preserve"> Ibid, 25-29.</w:t>
      </w:r>
    </w:p>
  </w:footnote>
  <w:footnote w:id="34">
    <w:p w14:paraId="095B0C6E" w14:textId="130DC5AF" w:rsidR="00A84A9A" w:rsidRPr="006F1082" w:rsidRDefault="00A84A9A" w:rsidP="006F1082">
      <w:pPr>
        <w:pStyle w:val="Footnotes"/>
      </w:pPr>
      <w:r w:rsidRPr="006F1082">
        <w:rPr>
          <w:rStyle w:val="Znakapoznpodarou"/>
        </w:rPr>
        <w:footnoteRef/>
      </w:r>
      <w:r w:rsidRPr="006F1082">
        <w:t xml:space="preserve"> Gideon </w:t>
      </w:r>
      <w:r w:rsidRPr="006F1082">
        <w:t xml:space="preserve">Bohak, </w:t>
      </w:r>
      <w:r w:rsidRPr="006F1082">
        <w:rPr>
          <w:i/>
          <w:iCs/>
        </w:rPr>
        <w:t>Ancient Jewish Magic: A History</w:t>
      </w:r>
      <w:r w:rsidRPr="006F1082">
        <w:t xml:space="preserve"> (Cambridge: Cambridge University Press, 2008), 196-214, 341-350.</w:t>
      </w:r>
    </w:p>
  </w:footnote>
  <w:footnote w:id="35">
    <w:p w14:paraId="4BB06E54" w14:textId="60067AC6" w:rsidR="00A84A9A" w:rsidRPr="006F1082" w:rsidRDefault="00A84A9A" w:rsidP="006F1082">
      <w:pPr>
        <w:pStyle w:val="Footnotes"/>
      </w:pPr>
      <w:r w:rsidRPr="006F1082">
        <w:rPr>
          <w:rStyle w:val="Znakapoznpodarou"/>
        </w:rPr>
        <w:footnoteRef/>
      </w:r>
      <w:r w:rsidR="000E64A3" w:rsidRPr="006F1082">
        <w:t xml:space="preserve"> Amin </w:t>
      </w:r>
      <w:r w:rsidR="000E64A3" w:rsidRPr="006F1082">
        <w:t xml:space="preserve">Benaissa, “The Onomastic Evidence for the God Hermanubis,” </w:t>
      </w:r>
      <w:r w:rsidR="000E64A3" w:rsidRPr="006F1082">
        <w:rPr>
          <w:i/>
          <w:iCs/>
        </w:rPr>
        <w:t>Proceedings of the Twenty-Fifth International Congress of Papyrology, Ann Arbor 2007</w:t>
      </w:r>
      <w:r w:rsidR="000E64A3" w:rsidRPr="006F1082">
        <w:t xml:space="preserve">, American Studies in Papyrology (Ann Arbor, 2010), 67-76.; </w:t>
      </w:r>
      <w:r w:rsidR="000E64A3" w:rsidRPr="006F1082">
        <w:rPr>
          <w:i/>
          <w:iCs/>
        </w:rPr>
        <w:t>Hermetica: The Ancient Greek and Latin Writings Which Contain Religious or Philosophic Teachings Ascribed to Hermes Trimegistus</w:t>
      </w:r>
      <w:r w:rsidR="000E64A3" w:rsidRPr="006F1082">
        <w:t xml:space="preserve">, Volume I, edited and translated by Walter Scott (Oxford: The Clarendon Press, 1924), 1-15.; </w:t>
      </w:r>
      <w:r w:rsidR="000E64A3" w:rsidRPr="006F1082">
        <w:rPr>
          <w:rFonts w:asciiTheme="majorBidi" w:hAnsiTheme="majorBidi" w:cstheme="majorBidi"/>
        </w:rPr>
        <w:t xml:space="preserve">Charles William King, </w:t>
      </w:r>
      <w:r w:rsidR="000E64A3" w:rsidRPr="006F1082">
        <w:rPr>
          <w:rFonts w:asciiTheme="majorBidi" w:hAnsiTheme="majorBidi" w:cstheme="majorBidi"/>
          <w:i/>
          <w:iCs/>
        </w:rPr>
        <w:t>The Gnostics and their remains: Ancient and Mediaeval</w:t>
      </w:r>
      <w:r w:rsidR="000E64A3" w:rsidRPr="006F1082">
        <w:rPr>
          <w:rFonts w:asciiTheme="majorBidi" w:hAnsiTheme="majorBidi" w:cstheme="majorBidi"/>
        </w:rPr>
        <w:t xml:space="preserve"> (London: David Nutt, 1887), 158-175.</w:t>
      </w:r>
    </w:p>
  </w:footnote>
  <w:footnote w:id="36">
    <w:p w14:paraId="0896542D" w14:textId="64C73EA0" w:rsidR="00A84A9A" w:rsidRPr="006F1082" w:rsidRDefault="00A84A9A" w:rsidP="006F1082">
      <w:pPr>
        <w:pStyle w:val="Footnotes"/>
      </w:pPr>
      <w:r w:rsidRPr="006F1082">
        <w:rPr>
          <w:rStyle w:val="Znakapoznpodarou"/>
        </w:rPr>
        <w:footnoteRef/>
      </w:r>
      <w:r w:rsidRPr="006F1082">
        <w:t xml:space="preserve"> Ibid, 229-230.</w:t>
      </w:r>
    </w:p>
  </w:footnote>
  <w:footnote w:id="37">
    <w:p w14:paraId="2C86495F" w14:textId="0E5E882E" w:rsidR="00A84A9A" w:rsidRPr="006F1082" w:rsidRDefault="00A84A9A" w:rsidP="006F1082">
      <w:pPr>
        <w:pStyle w:val="Footnotes"/>
      </w:pPr>
      <w:r w:rsidRPr="006F1082">
        <w:rPr>
          <w:rStyle w:val="Znakapoznpodarou"/>
        </w:rPr>
        <w:footnoteRef/>
      </w:r>
      <w:r w:rsidRPr="006F1082">
        <w:t xml:space="preserve"> The arguments of Origen and Iamblichus, see page 8-9. </w:t>
      </w:r>
    </w:p>
  </w:footnote>
  <w:footnote w:id="38">
    <w:p w14:paraId="2D42CD68" w14:textId="1C0D0414"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Giada Damen, “Antique Engraved Gems and Renaissance Collectors.” </w:t>
      </w:r>
      <w:r w:rsidRPr="006F1082">
        <w:rPr>
          <w:rFonts w:asciiTheme="majorBidi" w:hAnsiTheme="majorBidi" w:cstheme="majorBidi"/>
          <w:i/>
          <w:iCs/>
        </w:rPr>
        <w:t>The Met</w:t>
      </w:r>
      <w:r w:rsidRPr="006F1082">
        <w:rPr>
          <w:rFonts w:asciiTheme="majorBidi" w:hAnsiTheme="majorBidi" w:cstheme="majorBidi"/>
        </w:rPr>
        <w:t>. The Metropolitan Museum</w:t>
      </w:r>
      <w:r w:rsidR="00A55CBF" w:rsidRPr="006F1082">
        <w:rPr>
          <w:rFonts w:asciiTheme="majorBidi" w:hAnsiTheme="majorBidi" w:cstheme="majorBidi"/>
        </w:rPr>
        <w:t> </w:t>
      </w:r>
      <w:r w:rsidRPr="006F1082">
        <w:rPr>
          <w:rFonts w:asciiTheme="majorBidi" w:hAnsiTheme="majorBidi" w:cstheme="majorBidi"/>
        </w:rPr>
        <w:t>o</w:t>
      </w:r>
      <w:r w:rsidR="00A55CBF" w:rsidRPr="006F1082">
        <w:rPr>
          <w:rFonts w:asciiTheme="majorBidi" w:hAnsiTheme="majorBidi" w:cstheme="majorBidi"/>
        </w:rPr>
        <w:t>f </w:t>
      </w:r>
      <w:r w:rsidRPr="006F1082">
        <w:rPr>
          <w:rFonts w:asciiTheme="majorBidi" w:hAnsiTheme="majorBidi" w:cstheme="majorBidi"/>
        </w:rPr>
        <w:t>Art,</w:t>
      </w:r>
      <w:r w:rsidR="00A55CBF" w:rsidRPr="006F1082">
        <w:rPr>
          <w:rFonts w:asciiTheme="majorBidi" w:hAnsiTheme="majorBidi" w:cstheme="majorBidi"/>
        </w:rPr>
        <w:t> </w:t>
      </w:r>
      <w:r w:rsidRPr="006F1082">
        <w:rPr>
          <w:rFonts w:asciiTheme="majorBidi" w:hAnsiTheme="majorBidi" w:cstheme="majorBidi"/>
        </w:rPr>
        <w:t>published</w:t>
      </w:r>
      <w:r w:rsidR="00A55CBF" w:rsidRPr="006F1082">
        <w:rPr>
          <w:rFonts w:asciiTheme="majorBidi" w:hAnsiTheme="majorBidi" w:cstheme="majorBidi"/>
        </w:rPr>
        <w:t> </w:t>
      </w:r>
      <w:r w:rsidRPr="006F1082">
        <w:rPr>
          <w:rFonts w:asciiTheme="majorBidi" w:hAnsiTheme="majorBidi" w:cstheme="majorBidi"/>
        </w:rPr>
        <w:t>March</w:t>
      </w:r>
      <w:r w:rsidR="00A55CBF" w:rsidRPr="006F1082">
        <w:rPr>
          <w:rFonts w:asciiTheme="majorBidi" w:hAnsiTheme="majorBidi" w:cstheme="majorBidi"/>
        </w:rPr>
        <w:t> </w:t>
      </w:r>
      <w:r w:rsidRPr="006F1082">
        <w:rPr>
          <w:rFonts w:asciiTheme="majorBidi" w:hAnsiTheme="majorBidi" w:cstheme="majorBidi"/>
        </w:rPr>
        <w:t>2013,</w:t>
      </w:r>
      <w:r w:rsidR="00A55CBF" w:rsidRPr="006F1082">
        <w:rPr>
          <w:rFonts w:asciiTheme="majorBidi" w:hAnsiTheme="majorBidi" w:cstheme="majorBidi"/>
        </w:rPr>
        <w:t> </w:t>
      </w:r>
      <w:r w:rsidRPr="006F1082">
        <w:rPr>
          <w:rFonts w:asciiTheme="majorBidi" w:hAnsiTheme="majorBidi" w:cstheme="majorBidi"/>
        </w:rPr>
        <w:t>accessed</w:t>
      </w:r>
      <w:r w:rsidR="00A55CBF" w:rsidRPr="006F1082">
        <w:rPr>
          <w:rFonts w:asciiTheme="majorBidi" w:hAnsiTheme="majorBidi" w:cstheme="majorBidi"/>
        </w:rPr>
        <w:t> </w:t>
      </w:r>
      <w:r w:rsidRPr="006F1082">
        <w:rPr>
          <w:rFonts w:asciiTheme="majorBidi" w:hAnsiTheme="majorBidi" w:cstheme="majorBidi"/>
        </w:rPr>
        <w:t>May</w:t>
      </w:r>
      <w:r w:rsidR="00A55CBF" w:rsidRPr="006F1082">
        <w:rPr>
          <w:rFonts w:asciiTheme="majorBidi" w:hAnsiTheme="majorBidi" w:cstheme="majorBidi"/>
        </w:rPr>
        <w:t> </w:t>
      </w:r>
      <w:r w:rsidRPr="006F1082">
        <w:rPr>
          <w:rFonts w:asciiTheme="majorBidi" w:hAnsiTheme="majorBidi" w:cstheme="majorBidi"/>
        </w:rPr>
        <w:t>5,</w:t>
      </w:r>
      <w:r w:rsidR="00A55CBF" w:rsidRPr="006F1082">
        <w:rPr>
          <w:rFonts w:asciiTheme="majorBidi" w:hAnsiTheme="majorBidi" w:cstheme="majorBidi"/>
        </w:rPr>
        <w:t> </w:t>
      </w:r>
      <w:r w:rsidRPr="006F1082">
        <w:rPr>
          <w:rFonts w:asciiTheme="majorBidi" w:hAnsiTheme="majorBidi" w:cstheme="majorBidi"/>
        </w:rPr>
        <w:t>2021</w:t>
      </w:r>
      <w:r w:rsidR="00A55CBF" w:rsidRPr="006F1082">
        <w:rPr>
          <w:rFonts w:asciiTheme="majorBidi" w:hAnsiTheme="majorBidi" w:cstheme="majorBidi"/>
        </w:rPr>
        <w:t>,</w:t>
      </w:r>
      <w:r w:rsidRPr="006F1082">
        <w:rPr>
          <w:rFonts w:asciiTheme="majorBidi" w:hAnsiTheme="majorBidi" w:cstheme="majorBidi"/>
        </w:rPr>
        <w:t xml:space="preserve"> </w:t>
      </w:r>
      <w:hyperlink r:id="rId3" w:history="1">
        <w:r w:rsidRPr="006F1082">
          <w:rPr>
            <w:rStyle w:val="Hypertextovodkaz"/>
            <w:rFonts w:asciiTheme="majorBidi" w:hAnsiTheme="majorBidi" w:cstheme="majorBidi"/>
          </w:rPr>
          <w:t>https://www.metmuseum.org/toah/hd/gems/hd_gems.htm</w:t>
        </w:r>
      </w:hyperlink>
      <w:r w:rsidRPr="006F1082">
        <w:rPr>
          <w:rFonts w:asciiTheme="majorBidi" w:hAnsiTheme="majorBidi" w:cstheme="majorBidi"/>
        </w:rPr>
        <w:t xml:space="preserve">. </w:t>
      </w:r>
    </w:p>
  </w:footnote>
  <w:footnote w:id="39">
    <w:p w14:paraId="6B31A50A" w14:textId="04AC5242"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Pr="006F1082">
        <w:t xml:space="preserve">Roey Sweet, “Antiquarianism and history,” </w:t>
      </w:r>
      <w:r w:rsidRPr="006F1082">
        <w:rPr>
          <w:i/>
          <w:iCs/>
        </w:rPr>
        <w:t>Making History</w:t>
      </w:r>
      <w:r w:rsidRPr="006F1082">
        <w:t>, The Institute of Historical Research, accessed</w:t>
      </w:r>
      <w:r w:rsidR="00A55CBF" w:rsidRPr="006F1082">
        <w:t> </w:t>
      </w:r>
      <w:r w:rsidRPr="006F1082">
        <w:t>May</w:t>
      </w:r>
      <w:r w:rsidR="00A55CBF" w:rsidRPr="006F1082">
        <w:t> </w:t>
      </w:r>
      <w:r w:rsidRPr="006F1082">
        <w:t>5,</w:t>
      </w:r>
      <w:r w:rsidR="00A55CBF" w:rsidRPr="006F1082">
        <w:t> </w:t>
      </w:r>
      <w:r w:rsidRPr="006F1082">
        <w:t>2021</w:t>
      </w:r>
      <w:r w:rsidR="00A55CBF" w:rsidRPr="006F1082">
        <w:t>, </w:t>
      </w:r>
      <w:hyperlink r:id="rId4" w:history="1">
        <w:r w:rsidR="00A55CBF" w:rsidRPr="006F1082">
          <w:rPr>
            <w:rStyle w:val="Hypertextovodkaz"/>
          </w:rPr>
          <w:t>https://archives.history.ac.uk/makinghistory/resources/articles/antiquarianism.html</w:t>
        </w:r>
      </w:hyperlink>
      <w:r w:rsidR="00307F67" w:rsidRPr="006F1082">
        <w:t xml:space="preserve">; </w:t>
      </w:r>
      <w:r w:rsidRPr="006F1082">
        <w:rPr>
          <w:rFonts w:asciiTheme="majorBidi" w:hAnsiTheme="majorBidi" w:cstheme="majorBidi"/>
        </w:rPr>
        <w:t xml:space="preserve">Peter N. Miller, </w:t>
      </w:r>
      <w:r w:rsidRPr="006F1082">
        <w:rPr>
          <w:rFonts w:asciiTheme="majorBidi" w:hAnsiTheme="majorBidi" w:cstheme="majorBidi"/>
          <w:i/>
          <w:iCs/>
        </w:rPr>
        <w:t>Peiresc’s Orient: Antiquarianism as Cultural History in the Seventeenth Century</w:t>
      </w:r>
      <w:r w:rsidRPr="006F1082">
        <w:rPr>
          <w:rFonts w:asciiTheme="majorBidi" w:hAnsiTheme="majorBidi" w:cstheme="majorBidi"/>
        </w:rPr>
        <w:t>, Variorum Collected Studies Series (Farnham: Ashgate Variorum, 2012),</w:t>
      </w:r>
      <w:r w:rsidR="009259A6" w:rsidRPr="006F1082">
        <w:rPr>
          <w:rFonts w:asciiTheme="majorBidi" w:hAnsiTheme="majorBidi" w:cstheme="majorBidi"/>
        </w:rPr>
        <w:t xml:space="preserve"> 50-55.</w:t>
      </w:r>
    </w:p>
  </w:footnote>
  <w:footnote w:id="40">
    <w:p w14:paraId="1A49FA93" w14:textId="37AE8081"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Miller, </w:t>
      </w:r>
      <w:r w:rsidRPr="006F1082">
        <w:rPr>
          <w:rFonts w:asciiTheme="majorBidi" w:hAnsiTheme="majorBidi" w:cstheme="majorBidi"/>
          <w:i/>
          <w:iCs/>
        </w:rPr>
        <w:t>Peiresc’ Orient</w:t>
      </w:r>
      <w:r w:rsidRPr="006F1082">
        <w:rPr>
          <w:rFonts w:asciiTheme="majorBidi" w:hAnsiTheme="majorBidi" w:cstheme="majorBidi"/>
        </w:rPr>
        <w:t>, 59.</w:t>
      </w:r>
    </w:p>
  </w:footnote>
  <w:footnote w:id="41">
    <w:p w14:paraId="65418A86" w14:textId="3CB1563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John Selden, </w:t>
      </w:r>
      <w:r w:rsidRPr="006F1082">
        <w:rPr>
          <w:rFonts w:asciiTheme="majorBidi" w:hAnsiTheme="majorBidi" w:cstheme="majorBidi"/>
          <w:i/>
          <w:iCs/>
        </w:rPr>
        <w:t xml:space="preserve">De Dis </w:t>
      </w:r>
      <w:r w:rsidRPr="006F1082">
        <w:rPr>
          <w:rFonts w:asciiTheme="majorBidi" w:hAnsiTheme="majorBidi" w:cstheme="majorBidi"/>
          <w:i/>
          <w:iCs/>
        </w:rPr>
        <w:t>Syris: Syntagmata II</w:t>
      </w:r>
      <w:r w:rsidRPr="006F1082">
        <w:rPr>
          <w:rFonts w:asciiTheme="majorBidi" w:hAnsiTheme="majorBidi" w:cstheme="majorBidi"/>
        </w:rPr>
        <w:t xml:space="preserve"> (London: Guilielmus Stansbeins, 1617).</w:t>
      </w:r>
    </w:p>
  </w:footnote>
  <w:footnote w:id="42">
    <w:p w14:paraId="1A103AC7" w14:textId="12D0BCEF" w:rsidR="00A84A9A" w:rsidRPr="006F1082" w:rsidRDefault="00A84A9A" w:rsidP="006F1082">
      <w:pPr>
        <w:pStyle w:val="Footnotes"/>
        <w:rPr>
          <w:rFonts w:asciiTheme="majorBidi" w:hAnsiTheme="majorBidi" w:cstheme="majorBidi"/>
          <w:highlight w:val="green"/>
        </w:rPr>
      </w:pPr>
      <w:r w:rsidRPr="006F1082">
        <w:rPr>
          <w:rStyle w:val="Znakapoznpodarou"/>
          <w:rFonts w:asciiTheme="majorBidi" w:hAnsiTheme="majorBidi" w:cstheme="majorBidi"/>
        </w:rPr>
        <w:footnoteRef/>
      </w:r>
      <w:r w:rsidRPr="006F1082">
        <w:rPr>
          <w:rFonts w:asciiTheme="majorBidi" w:hAnsiTheme="majorBidi" w:cstheme="majorBidi"/>
        </w:rPr>
        <w:t xml:space="preserve"> Charles William King, </w:t>
      </w:r>
      <w:r w:rsidRPr="006F1082">
        <w:rPr>
          <w:rFonts w:asciiTheme="majorBidi" w:hAnsiTheme="majorBidi" w:cstheme="majorBidi"/>
          <w:i/>
          <w:iCs/>
        </w:rPr>
        <w:t>The Gnostics and their remains</w:t>
      </w:r>
      <w:r w:rsidR="000E64A3" w:rsidRPr="006F1082">
        <w:rPr>
          <w:rFonts w:asciiTheme="majorBidi" w:hAnsiTheme="majorBidi" w:cstheme="majorBidi"/>
          <w:i/>
          <w:iCs/>
        </w:rPr>
        <w:t>.</w:t>
      </w:r>
    </w:p>
  </w:footnote>
  <w:footnote w:id="43">
    <w:p w14:paraId="5F81BCD3" w14:textId="12E9074A"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Hans D. Betz (ed.), </w:t>
      </w:r>
      <w:r w:rsidRPr="006F1082">
        <w:rPr>
          <w:rFonts w:asciiTheme="majorBidi" w:hAnsiTheme="majorBidi" w:cstheme="majorBidi"/>
          <w:i/>
          <w:iCs/>
        </w:rPr>
        <w:t>The Greek Magical Papyri in Translation: Including the Demotic Spells</w:t>
      </w:r>
      <w:r w:rsidRPr="006F1082">
        <w:rPr>
          <w:rFonts w:asciiTheme="majorBidi" w:hAnsiTheme="majorBidi" w:cstheme="majorBidi"/>
        </w:rPr>
        <w:t xml:space="preserve"> (Chicago: University of Chicago Press, 1986), xliii.</w:t>
      </w:r>
    </w:p>
  </w:footnote>
  <w:footnote w:id="44">
    <w:p w14:paraId="3EAD57EC" w14:textId="2D438F3B"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Simone Michel,“(Re)Interpreting Magical Gems, Ancient and Modern,” in </w:t>
      </w:r>
      <w:r w:rsidRPr="006F1082">
        <w:rPr>
          <w:rFonts w:asciiTheme="majorBidi" w:hAnsiTheme="majorBidi" w:cstheme="majorBidi"/>
          <w:i/>
          <w:iCs/>
        </w:rPr>
        <w:t>OFFICINA MAGICA: Essays on Practice of Magic in Antiquity</w:t>
      </w:r>
      <w:r w:rsidRPr="006F1082">
        <w:rPr>
          <w:rFonts w:asciiTheme="majorBidi" w:hAnsiTheme="majorBidi" w:cstheme="majorBidi"/>
        </w:rPr>
        <w:t xml:space="preserve">, edited by </w:t>
      </w:r>
      <w:r w:rsidRPr="006F1082">
        <w:rPr>
          <w:rFonts w:asciiTheme="majorBidi" w:hAnsiTheme="majorBidi" w:cstheme="majorBidi"/>
        </w:rPr>
        <w:t xml:space="preserve">Shaul Shaked (Leiden and Boston: Brill, 2005), 143.; Karl Preisendanz, </w:t>
      </w:r>
      <w:r w:rsidRPr="006F1082">
        <w:rPr>
          <w:rFonts w:asciiTheme="majorBidi" w:hAnsiTheme="majorBidi" w:cstheme="majorBidi"/>
          <w:i/>
          <w:iCs/>
        </w:rPr>
        <w:t>Papyri Graecae Magicae: Die Griechischen Zauberpapyri</w:t>
      </w:r>
      <w:r w:rsidRPr="006F1082">
        <w:rPr>
          <w:rFonts w:asciiTheme="majorBidi" w:hAnsiTheme="majorBidi" w:cstheme="majorBidi"/>
        </w:rPr>
        <w:t xml:space="preserve">, vol. I (Leipzig, and Berlin: B. G. Teubner, 1928) and Karl Preisendanz, </w:t>
      </w:r>
      <w:r w:rsidRPr="006F1082">
        <w:rPr>
          <w:rFonts w:asciiTheme="majorBidi" w:hAnsiTheme="majorBidi" w:cstheme="majorBidi"/>
          <w:i/>
          <w:iCs/>
        </w:rPr>
        <w:t>Papyri Graecae Magicae: Die Griechischen Zauberpapyri</w:t>
      </w:r>
      <w:r w:rsidRPr="006F1082">
        <w:rPr>
          <w:rFonts w:asciiTheme="majorBidi" w:hAnsiTheme="majorBidi" w:cstheme="majorBidi"/>
        </w:rPr>
        <w:t>, vol. II (Leipzig, and Berlin: B. G. Teubner, 1931).</w:t>
      </w:r>
    </w:p>
  </w:footnote>
  <w:footnote w:id="45">
    <w:p w14:paraId="6DBFA751" w14:textId="0FD5E8B5"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Orit Peleg-Barkat and </w:t>
      </w:r>
      <w:r w:rsidRPr="006F1082">
        <w:rPr>
          <w:rFonts w:asciiTheme="majorBidi" w:hAnsiTheme="majorBidi" w:cstheme="majorBidi"/>
        </w:rPr>
        <w:t xml:space="preserve">Yotam Tepper, “Engraved Gems from Sites with a Military Presence in Roman Palestine: The Cases of Legio and Aelia Capitolina,” in </w:t>
      </w:r>
      <w:r w:rsidRPr="006F1082">
        <w:rPr>
          <w:rFonts w:asciiTheme="majorBidi" w:hAnsiTheme="majorBidi" w:cstheme="majorBidi"/>
          <w:i/>
          <w:iCs/>
        </w:rPr>
        <w:t>‘Gems of Heaven’: Recent Research on Engraved Gemstones in Late Antiquity, c. AD 200-600</w:t>
      </w:r>
      <w:r w:rsidRPr="006F1082">
        <w:rPr>
          <w:rFonts w:asciiTheme="majorBidi" w:hAnsiTheme="majorBidi" w:cstheme="majorBidi"/>
        </w:rPr>
        <w:t>, edited by Chris Entwistle and Noël Adams (London: British Museum, 2012),</w:t>
      </w:r>
      <w:r w:rsidR="000043DF" w:rsidRPr="006F1082">
        <w:rPr>
          <w:rFonts w:asciiTheme="majorBidi" w:hAnsiTheme="majorBidi" w:cstheme="majorBidi"/>
        </w:rPr>
        <w:t>99-100.</w:t>
      </w:r>
      <w:r w:rsidRPr="006F1082">
        <w:rPr>
          <w:rFonts w:asciiTheme="majorBidi" w:hAnsiTheme="majorBidi" w:cstheme="majorBidi"/>
        </w:rPr>
        <w:t>; Simone Michel,“(Re)Interpreting Magical Gems, Ancient and Modern“, 143.</w:t>
      </w:r>
    </w:p>
  </w:footnote>
  <w:footnote w:id="46">
    <w:p w14:paraId="4F998F23" w14:textId="44500F9A"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Morton Smith, “Relations Between Magical Papyri and Magical Gems,” in </w:t>
      </w:r>
      <w:r w:rsidRPr="006F1082">
        <w:rPr>
          <w:rFonts w:asciiTheme="majorBidi" w:hAnsiTheme="majorBidi" w:cstheme="majorBidi"/>
        </w:rPr>
        <w:t>Actes du XVe Congrès international de papyrologie, III. Problèmes généraux. Papyrologie littéraire. Papyrologica Bruxellensia 7. Edited by Jean Bingen and Georges Nachtergael, 129-136 (Brussels: Fondation Égyptologique Reine Élisabeth, 1979).</w:t>
      </w:r>
    </w:p>
  </w:footnote>
  <w:footnote w:id="47">
    <w:p w14:paraId="2478F7E2" w14:textId="74867FDC"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Paolo </w:t>
      </w:r>
      <w:bookmarkStart w:id="3" w:name="_Hlk70704663"/>
      <w:r w:rsidRPr="006F1082">
        <w:rPr>
          <w:rFonts w:asciiTheme="majorBidi" w:hAnsiTheme="majorBidi" w:cstheme="majorBidi"/>
        </w:rPr>
        <w:t>Vitellozzi, “Relations Between Magical Texts and Magical Gems Recent Perspectives</w:t>
      </w:r>
      <w:bookmarkEnd w:id="3"/>
      <w:r w:rsidRPr="006F1082">
        <w:rPr>
          <w:rFonts w:asciiTheme="majorBidi" w:hAnsiTheme="majorBidi" w:cstheme="majorBidi"/>
        </w:rPr>
        <w:t>,” in Bild und Schrift auf 'magischen' Artefakten, edited by Sarah Kiyanrad, Christoffer Theis and Laura Willer (Berlin</w:t>
      </w:r>
      <w:r w:rsidR="00A55CBF" w:rsidRPr="006F1082">
        <w:rPr>
          <w:rFonts w:asciiTheme="majorBidi" w:hAnsiTheme="majorBidi" w:cstheme="majorBidi"/>
        </w:rPr>
        <w:t> </w:t>
      </w:r>
      <w:r w:rsidRPr="006F1082">
        <w:rPr>
          <w:rFonts w:asciiTheme="majorBidi" w:hAnsiTheme="majorBidi" w:cstheme="majorBidi"/>
        </w:rPr>
        <w:t>and</w:t>
      </w:r>
      <w:r w:rsidR="00A55CBF" w:rsidRPr="006F1082">
        <w:rPr>
          <w:rFonts w:asciiTheme="majorBidi" w:hAnsiTheme="majorBidi" w:cstheme="majorBidi"/>
        </w:rPr>
        <w:t> </w:t>
      </w:r>
      <w:r w:rsidRPr="006F1082">
        <w:rPr>
          <w:rFonts w:asciiTheme="majorBidi" w:hAnsiTheme="majorBidi" w:cstheme="majorBidi"/>
        </w:rPr>
        <w:t>Boston:</w:t>
      </w:r>
      <w:r w:rsidR="00A55CBF" w:rsidRPr="006F1082">
        <w:rPr>
          <w:rFonts w:asciiTheme="majorBidi" w:hAnsiTheme="majorBidi" w:cstheme="majorBidi"/>
        </w:rPr>
        <w:t> </w:t>
      </w:r>
      <w:r w:rsidRPr="006F1082">
        <w:rPr>
          <w:rFonts w:asciiTheme="majorBidi" w:hAnsiTheme="majorBidi" w:cstheme="majorBidi"/>
        </w:rPr>
        <w:t>De</w:t>
      </w:r>
      <w:r w:rsidR="00A55CBF" w:rsidRPr="006F1082">
        <w:rPr>
          <w:rFonts w:asciiTheme="majorBidi" w:hAnsiTheme="majorBidi" w:cstheme="majorBidi"/>
        </w:rPr>
        <w:t> </w:t>
      </w:r>
      <w:r w:rsidRPr="006F1082">
        <w:rPr>
          <w:rFonts w:asciiTheme="majorBidi" w:hAnsiTheme="majorBidi" w:cstheme="majorBidi"/>
        </w:rPr>
        <w:t>Gruyter,</w:t>
      </w:r>
      <w:r w:rsidR="00A55CBF" w:rsidRPr="006F1082">
        <w:rPr>
          <w:rFonts w:asciiTheme="majorBidi" w:hAnsiTheme="majorBidi" w:cstheme="majorBidi"/>
        </w:rPr>
        <w:t> </w:t>
      </w:r>
      <w:r w:rsidRPr="006F1082">
        <w:rPr>
          <w:rFonts w:asciiTheme="majorBidi" w:hAnsiTheme="majorBidi" w:cstheme="majorBidi"/>
        </w:rPr>
        <w:t>2018),</w:t>
      </w:r>
      <w:r w:rsidR="00A55CBF" w:rsidRPr="006F1082">
        <w:rPr>
          <w:rFonts w:asciiTheme="majorBidi" w:hAnsiTheme="majorBidi" w:cstheme="majorBidi"/>
        </w:rPr>
        <w:t> </w:t>
      </w:r>
      <w:r w:rsidRPr="006F1082">
        <w:rPr>
          <w:rFonts w:asciiTheme="majorBidi" w:hAnsiTheme="majorBidi" w:cstheme="majorBidi"/>
        </w:rPr>
        <w:t>181-183,</w:t>
      </w:r>
      <w:r w:rsidR="00A55CBF" w:rsidRPr="006F1082">
        <w:rPr>
          <w:rFonts w:asciiTheme="majorBidi" w:hAnsiTheme="majorBidi" w:cstheme="majorBidi"/>
        </w:rPr>
        <w:t> </w:t>
      </w:r>
      <w:r w:rsidRPr="006F1082">
        <w:rPr>
          <w:rFonts w:asciiTheme="majorBidi" w:hAnsiTheme="majorBidi" w:cstheme="majorBidi"/>
        </w:rPr>
        <w:t>accessed</w:t>
      </w:r>
      <w:r w:rsidR="00A55CBF" w:rsidRPr="006F1082">
        <w:rPr>
          <w:rFonts w:asciiTheme="majorBidi" w:hAnsiTheme="majorBidi" w:cstheme="majorBidi"/>
        </w:rPr>
        <w:t> </w:t>
      </w:r>
      <w:r w:rsidRPr="006F1082">
        <w:rPr>
          <w:rFonts w:asciiTheme="majorBidi" w:hAnsiTheme="majorBidi" w:cstheme="majorBidi"/>
        </w:rPr>
        <w:t>May</w:t>
      </w:r>
      <w:r w:rsidR="00A55CBF" w:rsidRPr="006F1082">
        <w:rPr>
          <w:rFonts w:asciiTheme="majorBidi" w:hAnsiTheme="majorBidi" w:cstheme="majorBidi"/>
        </w:rPr>
        <w:t> </w:t>
      </w:r>
      <w:r w:rsidRPr="006F1082">
        <w:rPr>
          <w:rFonts w:asciiTheme="majorBidi" w:hAnsiTheme="majorBidi" w:cstheme="majorBidi"/>
        </w:rPr>
        <w:t>5,</w:t>
      </w:r>
      <w:r w:rsidR="00A55CBF" w:rsidRPr="006F1082">
        <w:rPr>
          <w:rFonts w:asciiTheme="majorBidi" w:hAnsiTheme="majorBidi" w:cstheme="majorBidi"/>
        </w:rPr>
        <w:t> </w:t>
      </w:r>
      <w:r w:rsidRPr="006F1082">
        <w:rPr>
          <w:rFonts w:asciiTheme="majorBidi" w:hAnsiTheme="majorBidi" w:cstheme="majorBidi"/>
        </w:rPr>
        <w:t>2021,</w:t>
      </w:r>
      <w:r w:rsidR="00A55CBF" w:rsidRPr="006F1082">
        <w:rPr>
          <w:rFonts w:asciiTheme="majorBidi" w:hAnsiTheme="majorBidi" w:cstheme="majorBidi"/>
        </w:rPr>
        <w:t xml:space="preserve"> </w:t>
      </w:r>
      <w:hyperlink r:id="rId5" w:history="1">
        <w:r w:rsidR="00A55CBF" w:rsidRPr="006F1082">
          <w:rPr>
            <w:rStyle w:val="Hypertextovodkaz"/>
            <w:rFonts w:asciiTheme="majorBidi" w:hAnsiTheme="majorBidi" w:cstheme="majorBidi"/>
          </w:rPr>
          <w:t>https://doi.org/10.1515/9783110604337-008</w:t>
        </w:r>
      </w:hyperlink>
      <w:r w:rsidRPr="006F1082">
        <w:rPr>
          <w:rFonts w:asciiTheme="majorBidi" w:hAnsiTheme="majorBidi" w:cstheme="majorBidi"/>
        </w:rPr>
        <w:t xml:space="preserve">. </w:t>
      </w:r>
    </w:p>
  </w:footnote>
  <w:footnote w:id="48">
    <w:p w14:paraId="684BE573" w14:textId="6B1137A9"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183.</w:t>
      </w:r>
    </w:p>
  </w:footnote>
  <w:footnote w:id="49">
    <w:p w14:paraId="47D435C3" w14:textId="36411D84"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Yuval Harari, “Moses, the Sword, and The Sword of Moses: Between Rabbinical and Magical Traditions,”</w:t>
      </w:r>
      <w:r w:rsidR="00A55CBF" w:rsidRPr="006F1082">
        <w:rPr>
          <w:rFonts w:asciiTheme="majorBidi" w:hAnsiTheme="majorBidi" w:cstheme="majorBidi"/>
        </w:rPr>
        <w:t> </w:t>
      </w:r>
      <w:r w:rsidRPr="006F1082">
        <w:rPr>
          <w:rFonts w:asciiTheme="majorBidi" w:hAnsiTheme="majorBidi" w:cstheme="majorBidi"/>
          <w:i/>
          <w:iCs/>
        </w:rPr>
        <w:t>Jewish</w:t>
      </w:r>
      <w:r w:rsidR="00A55CBF" w:rsidRPr="006F1082">
        <w:rPr>
          <w:rFonts w:asciiTheme="majorBidi" w:hAnsiTheme="majorBidi" w:cstheme="majorBidi"/>
          <w:i/>
          <w:iCs/>
        </w:rPr>
        <w:t> </w:t>
      </w:r>
      <w:r w:rsidRPr="006F1082">
        <w:rPr>
          <w:rFonts w:asciiTheme="majorBidi" w:hAnsiTheme="majorBidi" w:cstheme="majorBidi"/>
          <w:i/>
          <w:iCs/>
        </w:rPr>
        <w:t>Studies</w:t>
      </w:r>
      <w:r w:rsidR="00A55CBF" w:rsidRPr="006F1082">
        <w:rPr>
          <w:rFonts w:asciiTheme="majorBidi" w:hAnsiTheme="majorBidi" w:cstheme="majorBidi"/>
          <w:i/>
          <w:iCs/>
        </w:rPr>
        <w:t> </w:t>
      </w:r>
      <w:r w:rsidRPr="006F1082">
        <w:rPr>
          <w:rFonts w:asciiTheme="majorBidi" w:hAnsiTheme="majorBidi" w:cstheme="majorBidi"/>
          <w:i/>
          <w:iCs/>
        </w:rPr>
        <w:t>Quarterly</w:t>
      </w:r>
      <w:r w:rsidR="00A55CBF" w:rsidRPr="006F1082">
        <w:rPr>
          <w:rFonts w:asciiTheme="majorBidi" w:hAnsiTheme="majorBidi" w:cstheme="majorBidi"/>
        </w:rPr>
        <w:t> </w:t>
      </w:r>
      <w:r w:rsidRPr="006F1082">
        <w:rPr>
          <w:rFonts w:asciiTheme="majorBidi" w:hAnsiTheme="majorBidi" w:cstheme="majorBidi"/>
        </w:rPr>
        <w:t>12,</w:t>
      </w:r>
      <w:r w:rsidR="00A55CBF" w:rsidRPr="006F1082">
        <w:rPr>
          <w:rFonts w:asciiTheme="majorBidi" w:hAnsiTheme="majorBidi" w:cstheme="majorBidi"/>
        </w:rPr>
        <w:t> </w:t>
      </w:r>
      <w:r w:rsidRPr="006F1082">
        <w:rPr>
          <w:rFonts w:asciiTheme="majorBidi" w:hAnsiTheme="majorBidi" w:cstheme="majorBidi"/>
        </w:rPr>
        <w:t>no.</w:t>
      </w:r>
      <w:r w:rsidR="00A55CBF" w:rsidRPr="006F1082">
        <w:rPr>
          <w:rFonts w:asciiTheme="majorBidi" w:hAnsiTheme="majorBidi" w:cstheme="majorBidi"/>
        </w:rPr>
        <w:t> </w:t>
      </w:r>
      <w:r w:rsidRPr="006F1082">
        <w:rPr>
          <w:rFonts w:asciiTheme="majorBidi" w:hAnsiTheme="majorBidi" w:cstheme="majorBidi"/>
        </w:rPr>
        <w:t>4</w:t>
      </w:r>
      <w:r w:rsidR="00A55CBF" w:rsidRPr="006F1082">
        <w:rPr>
          <w:rFonts w:asciiTheme="majorBidi" w:hAnsiTheme="majorBidi" w:cstheme="majorBidi"/>
        </w:rPr>
        <w:t> </w:t>
      </w:r>
      <w:r w:rsidRPr="006F1082">
        <w:rPr>
          <w:rFonts w:asciiTheme="majorBidi" w:hAnsiTheme="majorBidi" w:cstheme="majorBidi"/>
        </w:rPr>
        <w:t>(2005):</w:t>
      </w:r>
      <w:r w:rsidR="00A55CBF" w:rsidRPr="006F1082">
        <w:rPr>
          <w:rFonts w:asciiTheme="majorBidi" w:hAnsiTheme="majorBidi" w:cstheme="majorBidi"/>
        </w:rPr>
        <w:t> </w:t>
      </w:r>
      <w:r w:rsidRPr="006F1082">
        <w:rPr>
          <w:rFonts w:asciiTheme="majorBidi" w:hAnsiTheme="majorBidi" w:cstheme="majorBidi"/>
        </w:rPr>
        <w:t>294-296,</w:t>
      </w:r>
      <w:r w:rsidR="00A55CBF" w:rsidRPr="006F1082">
        <w:rPr>
          <w:rFonts w:asciiTheme="majorBidi" w:hAnsiTheme="majorBidi" w:cstheme="majorBidi"/>
        </w:rPr>
        <w:t> </w:t>
      </w:r>
      <w:r w:rsidRPr="006F1082">
        <w:rPr>
          <w:rFonts w:asciiTheme="majorBidi" w:hAnsiTheme="majorBidi" w:cstheme="majorBidi"/>
        </w:rPr>
        <w:t>accessed</w:t>
      </w:r>
      <w:r w:rsidR="00A55CBF" w:rsidRPr="006F1082">
        <w:rPr>
          <w:rFonts w:asciiTheme="majorBidi" w:hAnsiTheme="majorBidi" w:cstheme="majorBidi"/>
        </w:rPr>
        <w:t> </w:t>
      </w:r>
      <w:r w:rsidRPr="006F1082">
        <w:rPr>
          <w:rFonts w:asciiTheme="majorBidi" w:hAnsiTheme="majorBidi" w:cstheme="majorBidi"/>
        </w:rPr>
        <w:t>May</w:t>
      </w:r>
      <w:r w:rsidR="00A55CBF" w:rsidRPr="006F1082">
        <w:rPr>
          <w:rFonts w:asciiTheme="majorBidi" w:hAnsiTheme="majorBidi" w:cstheme="majorBidi"/>
        </w:rPr>
        <w:t> </w:t>
      </w:r>
      <w:r w:rsidRPr="006F1082">
        <w:rPr>
          <w:rFonts w:asciiTheme="majorBidi" w:hAnsiTheme="majorBidi" w:cstheme="majorBidi"/>
        </w:rPr>
        <w:t>5,</w:t>
      </w:r>
      <w:r w:rsidR="00A55CBF" w:rsidRPr="006F1082">
        <w:rPr>
          <w:rFonts w:asciiTheme="majorBidi" w:hAnsiTheme="majorBidi" w:cstheme="majorBidi"/>
        </w:rPr>
        <w:t> </w:t>
      </w:r>
      <w:r w:rsidRPr="006F1082">
        <w:rPr>
          <w:rFonts w:asciiTheme="majorBidi" w:hAnsiTheme="majorBidi" w:cstheme="majorBidi"/>
        </w:rPr>
        <w:t xml:space="preserve">2021, </w:t>
      </w:r>
      <w:hyperlink r:id="rId6" w:history="1">
        <w:r w:rsidRPr="006F1082">
          <w:rPr>
            <w:rStyle w:val="Hypertextovodkaz"/>
            <w:rFonts w:asciiTheme="majorBidi" w:hAnsiTheme="majorBidi" w:cstheme="majorBidi"/>
          </w:rPr>
          <w:t>http://www.jstor.org/stable/40753384</w:t>
        </w:r>
      </w:hyperlink>
      <w:r w:rsidRPr="006F1082">
        <w:rPr>
          <w:rFonts w:asciiTheme="majorBidi" w:hAnsiTheme="majorBidi" w:cstheme="majorBidi"/>
        </w:rPr>
        <w:t xml:space="preserve">. </w:t>
      </w:r>
    </w:p>
  </w:footnote>
  <w:footnote w:id="50">
    <w:p w14:paraId="7E694603" w14:textId="6AEFBB20"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Moses </w:t>
      </w:r>
      <w:r w:rsidRPr="006F1082">
        <w:rPr>
          <w:rFonts w:asciiTheme="majorBidi" w:hAnsiTheme="majorBidi" w:cstheme="majorBidi"/>
        </w:rPr>
        <w:t xml:space="preserve">Gaster, “The Sword of Moses. An Ancient Book of Magic, Published for the First Time, from an Unique Manuscript (Cod. Heb., Gaster 178), with Introduction and Translation.” </w:t>
      </w:r>
      <w:r w:rsidRPr="006F1082">
        <w:rPr>
          <w:rFonts w:asciiTheme="majorBidi" w:hAnsiTheme="majorBidi" w:cstheme="majorBidi"/>
          <w:i/>
          <w:iCs/>
        </w:rPr>
        <w:t>The Journal of the Royal Asiatic</w:t>
      </w:r>
      <w:r w:rsidR="00A55CBF" w:rsidRPr="006F1082">
        <w:rPr>
          <w:rFonts w:asciiTheme="majorBidi" w:hAnsiTheme="majorBidi" w:cstheme="majorBidi"/>
          <w:i/>
          <w:iCs/>
        </w:rPr>
        <w:t> </w:t>
      </w:r>
      <w:r w:rsidRPr="006F1082">
        <w:rPr>
          <w:rFonts w:asciiTheme="majorBidi" w:hAnsiTheme="majorBidi" w:cstheme="majorBidi"/>
          <w:i/>
          <w:iCs/>
        </w:rPr>
        <w:t>Society</w:t>
      </w:r>
      <w:r w:rsidR="00A55CBF" w:rsidRPr="006F1082">
        <w:rPr>
          <w:rFonts w:asciiTheme="majorBidi" w:hAnsiTheme="majorBidi" w:cstheme="majorBidi"/>
          <w:i/>
          <w:iCs/>
        </w:rPr>
        <w:t> </w:t>
      </w:r>
      <w:r w:rsidRPr="006F1082">
        <w:rPr>
          <w:rFonts w:asciiTheme="majorBidi" w:hAnsiTheme="majorBidi" w:cstheme="majorBidi"/>
          <w:i/>
          <w:iCs/>
        </w:rPr>
        <w:t>of</w:t>
      </w:r>
      <w:r w:rsidR="00A55CBF" w:rsidRPr="006F1082">
        <w:rPr>
          <w:rFonts w:asciiTheme="majorBidi" w:hAnsiTheme="majorBidi" w:cstheme="majorBidi"/>
          <w:i/>
          <w:iCs/>
        </w:rPr>
        <w:t> </w:t>
      </w:r>
      <w:r w:rsidRPr="006F1082">
        <w:rPr>
          <w:rFonts w:asciiTheme="majorBidi" w:hAnsiTheme="majorBidi" w:cstheme="majorBidi"/>
          <w:i/>
          <w:iCs/>
        </w:rPr>
        <w:t>Great</w:t>
      </w:r>
      <w:r w:rsidR="00A55CBF" w:rsidRPr="006F1082">
        <w:rPr>
          <w:rFonts w:asciiTheme="majorBidi" w:hAnsiTheme="majorBidi" w:cstheme="majorBidi"/>
          <w:i/>
          <w:iCs/>
        </w:rPr>
        <w:t> </w:t>
      </w:r>
      <w:r w:rsidRPr="006F1082">
        <w:rPr>
          <w:rFonts w:asciiTheme="majorBidi" w:hAnsiTheme="majorBidi" w:cstheme="majorBidi"/>
          <w:i/>
          <w:iCs/>
        </w:rPr>
        <w:t>Britain</w:t>
      </w:r>
      <w:r w:rsidR="00A55CBF" w:rsidRPr="006F1082">
        <w:rPr>
          <w:rFonts w:asciiTheme="majorBidi" w:hAnsiTheme="majorBidi" w:cstheme="majorBidi"/>
          <w:i/>
          <w:iCs/>
        </w:rPr>
        <w:t> </w:t>
      </w:r>
      <w:r w:rsidRPr="006F1082">
        <w:rPr>
          <w:rFonts w:asciiTheme="majorBidi" w:hAnsiTheme="majorBidi" w:cstheme="majorBidi"/>
          <w:i/>
          <w:iCs/>
        </w:rPr>
        <w:t>and</w:t>
      </w:r>
      <w:r w:rsidR="00A55CBF" w:rsidRPr="006F1082">
        <w:rPr>
          <w:rFonts w:asciiTheme="majorBidi" w:hAnsiTheme="majorBidi" w:cstheme="majorBidi"/>
          <w:i/>
          <w:iCs/>
        </w:rPr>
        <w:t> </w:t>
      </w:r>
      <w:r w:rsidRPr="006F1082">
        <w:rPr>
          <w:rFonts w:asciiTheme="majorBidi" w:hAnsiTheme="majorBidi" w:cstheme="majorBidi"/>
          <w:i/>
          <w:iCs/>
        </w:rPr>
        <w:t>Ireland,</w:t>
      </w:r>
      <w:r w:rsidR="00A55CBF" w:rsidRPr="006F1082">
        <w:rPr>
          <w:rFonts w:asciiTheme="majorBidi" w:hAnsiTheme="majorBidi" w:cstheme="majorBidi"/>
        </w:rPr>
        <w:t> </w:t>
      </w:r>
      <w:r w:rsidRPr="006F1082">
        <w:rPr>
          <w:rFonts w:asciiTheme="majorBidi" w:hAnsiTheme="majorBidi" w:cstheme="majorBidi"/>
        </w:rPr>
        <w:t>1896,</w:t>
      </w:r>
      <w:r w:rsidR="00A55CBF" w:rsidRPr="006F1082">
        <w:rPr>
          <w:rFonts w:asciiTheme="majorBidi" w:hAnsiTheme="majorBidi" w:cstheme="majorBidi"/>
        </w:rPr>
        <w:t> </w:t>
      </w:r>
      <w:r w:rsidRPr="006F1082">
        <w:rPr>
          <w:rFonts w:asciiTheme="majorBidi" w:hAnsiTheme="majorBidi" w:cstheme="majorBidi"/>
        </w:rPr>
        <w:t>165-166,</w:t>
      </w:r>
      <w:r w:rsidR="00A55CBF" w:rsidRPr="006F1082">
        <w:rPr>
          <w:rFonts w:asciiTheme="majorBidi" w:hAnsiTheme="majorBidi" w:cstheme="majorBidi"/>
        </w:rPr>
        <w:t> </w:t>
      </w:r>
      <w:r w:rsidRPr="006F1082">
        <w:rPr>
          <w:rFonts w:asciiTheme="majorBidi" w:hAnsiTheme="majorBidi" w:cstheme="majorBidi"/>
        </w:rPr>
        <w:t>accessed</w:t>
      </w:r>
      <w:r w:rsidR="00A55CBF" w:rsidRPr="006F1082">
        <w:rPr>
          <w:rFonts w:asciiTheme="majorBidi" w:hAnsiTheme="majorBidi" w:cstheme="majorBidi"/>
        </w:rPr>
        <w:t> </w:t>
      </w:r>
      <w:r w:rsidRPr="006F1082">
        <w:rPr>
          <w:rFonts w:asciiTheme="majorBidi" w:hAnsiTheme="majorBidi" w:cstheme="majorBidi"/>
        </w:rPr>
        <w:t>May</w:t>
      </w:r>
      <w:r w:rsidR="00A55CBF" w:rsidRPr="006F1082">
        <w:rPr>
          <w:rFonts w:asciiTheme="majorBidi" w:hAnsiTheme="majorBidi" w:cstheme="majorBidi"/>
        </w:rPr>
        <w:t> </w:t>
      </w:r>
      <w:r w:rsidRPr="006F1082">
        <w:rPr>
          <w:rFonts w:asciiTheme="majorBidi" w:hAnsiTheme="majorBidi" w:cstheme="majorBidi"/>
        </w:rPr>
        <w:t>5,</w:t>
      </w:r>
      <w:r w:rsidR="00A55CBF" w:rsidRPr="006F1082">
        <w:rPr>
          <w:rFonts w:asciiTheme="majorBidi" w:hAnsiTheme="majorBidi" w:cstheme="majorBidi"/>
        </w:rPr>
        <w:t> </w:t>
      </w:r>
      <w:r w:rsidRPr="006F1082">
        <w:rPr>
          <w:rFonts w:asciiTheme="majorBidi" w:hAnsiTheme="majorBidi" w:cstheme="majorBidi"/>
        </w:rPr>
        <w:t xml:space="preserve">2021, </w:t>
      </w:r>
      <w:hyperlink r:id="rId7" w:history="1">
        <w:r w:rsidRPr="006F1082">
          <w:rPr>
            <w:rStyle w:val="Hypertextovodkaz"/>
            <w:rFonts w:asciiTheme="majorBidi" w:hAnsiTheme="majorBidi" w:cstheme="majorBidi"/>
          </w:rPr>
          <w:t>http://www.jstor.org/stable/25207779</w:t>
        </w:r>
      </w:hyperlink>
      <w:r w:rsidRPr="006F1082">
        <w:rPr>
          <w:rFonts w:asciiTheme="majorBidi" w:hAnsiTheme="majorBidi" w:cstheme="majorBidi"/>
        </w:rPr>
        <w:t xml:space="preserve">. </w:t>
      </w:r>
    </w:p>
  </w:footnote>
  <w:footnote w:id="51">
    <w:p w14:paraId="7D3A72C8" w14:textId="3238A49B"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Pr="006F1082">
        <w:t xml:space="preserve">Alden Oreck, “Modern Jewish History: The Cairo Genizah,” </w:t>
      </w:r>
      <w:r w:rsidRPr="006F1082">
        <w:rPr>
          <w:i/>
          <w:iCs/>
        </w:rPr>
        <w:t>Jewish Virtual Library</w:t>
      </w:r>
      <w:r w:rsidRPr="006F1082">
        <w:t xml:space="preserve">, accessed May 5, 2021, </w:t>
      </w:r>
      <w:hyperlink r:id="rId8" w:history="1">
        <w:r w:rsidRPr="006F1082">
          <w:rPr>
            <w:rStyle w:val="Hypertextovodkaz"/>
            <w:u w:val="none"/>
          </w:rPr>
          <w:t>https://www.jewishvirtuallibrary.org/the-cairo-genizah</w:t>
        </w:r>
      </w:hyperlink>
      <w:r w:rsidR="008F58C9" w:rsidRPr="006F1082">
        <w:t xml:space="preserve">. </w:t>
      </w:r>
    </w:p>
  </w:footnote>
  <w:footnote w:id="52">
    <w:p w14:paraId="0AD463AB" w14:textId="172B7F7E"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Mordechai </w:t>
      </w:r>
      <w:r w:rsidRPr="006F1082">
        <w:rPr>
          <w:rFonts w:asciiTheme="majorBidi" w:hAnsiTheme="majorBidi" w:cstheme="majorBidi"/>
        </w:rPr>
        <w:t xml:space="preserve">Margalioth, </w:t>
      </w:r>
      <w:r w:rsidRPr="006F1082">
        <w:rPr>
          <w:rFonts w:asciiTheme="majorBidi" w:hAnsiTheme="majorBidi" w:cstheme="majorBidi"/>
          <w:i/>
          <w:iCs/>
        </w:rPr>
        <w:t>Sefer Ha-Razim: Hu' Sefer Keshafim mi-Tequfat ha-Talmud</w:t>
      </w:r>
      <w:r w:rsidRPr="006F1082">
        <w:rPr>
          <w:rFonts w:asciiTheme="majorBidi" w:hAnsiTheme="majorBidi" w:cstheme="majorBidi"/>
        </w:rPr>
        <w:t xml:space="preserve"> (Jerusalem: American Academy for Jewish Research, 1966).</w:t>
      </w:r>
    </w:p>
  </w:footnote>
  <w:footnote w:id="53">
    <w:p w14:paraId="69075AAC" w14:textId="180BB8E9"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w:t>
      </w:r>
      <w:r w:rsidRPr="006F1082">
        <w:rPr>
          <w:rFonts w:asciiTheme="majorBidi" w:hAnsiTheme="majorBidi" w:cstheme="majorBidi"/>
        </w:rPr>
        <w:t>Sefer</w:t>
      </w:r>
      <w:r w:rsidR="00A55CBF" w:rsidRPr="006F1082">
        <w:rPr>
          <w:rFonts w:asciiTheme="majorBidi" w:hAnsiTheme="majorBidi" w:cstheme="majorBidi"/>
        </w:rPr>
        <w:t> </w:t>
      </w:r>
      <w:r w:rsidRPr="006F1082">
        <w:rPr>
          <w:rFonts w:asciiTheme="majorBidi" w:hAnsiTheme="majorBidi" w:cstheme="majorBidi"/>
        </w:rPr>
        <w:t>Ha-Razim,”</w:t>
      </w:r>
      <w:r w:rsidR="00A55CBF" w:rsidRPr="006F1082">
        <w:rPr>
          <w:rFonts w:asciiTheme="majorBidi" w:hAnsiTheme="majorBidi" w:cstheme="majorBidi"/>
        </w:rPr>
        <w:t> </w:t>
      </w:r>
      <w:r w:rsidRPr="006F1082">
        <w:rPr>
          <w:rFonts w:asciiTheme="majorBidi" w:hAnsiTheme="majorBidi" w:cstheme="majorBidi"/>
          <w:i/>
          <w:iCs/>
        </w:rPr>
        <w:t>Jewish</w:t>
      </w:r>
      <w:r w:rsidR="00A55CBF" w:rsidRPr="006F1082">
        <w:rPr>
          <w:rFonts w:asciiTheme="majorBidi" w:hAnsiTheme="majorBidi" w:cstheme="majorBidi"/>
          <w:i/>
          <w:iCs/>
        </w:rPr>
        <w:t> </w:t>
      </w:r>
      <w:r w:rsidRPr="006F1082">
        <w:rPr>
          <w:rFonts w:asciiTheme="majorBidi" w:hAnsiTheme="majorBidi" w:cstheme="majorBidi"/>
          <w:i/>
          <w:iCs/>
        </w:rPr>
        <w:t>Virtual</w:t>
      </w:r>
      <w:r w:rsidR="00A55CBF" w:rsidRPr="006F1082">
        <w:rPr>
          <w:rFonts w:asciiTheme="majorBidi" w:hAnsiTheme="majorBidi" w:cstheme="majorBidi"/>
          <w:i/>
          <w:iCs/>
        </w:rPr>
        <w:t> </w:t>
      </w:r>
      <w:r w:rsidRPr="006F1082">
        <w:rPr>
          <w:rFonts w:asciiTheme="majorBidi" w:hAnsiTheme="majorBidi" w:cstheme="majorBidi"/>
          <w:i/>
          <w:iCs/>
        </w:rPr>
        <w:t>Library</w:t>
      </w:r>
      <w:r w:rsidRPr="006F1082">
        <w:rPr>
          <w:rFonts w:asciiTheme="majorBidi" w:hAnsiTheme="majorBidi" w:cstheme="majorBidi"/>
        </w:rPr>
        <w:t>,</w:t>
      </w:r>
      <w:r w:rsidR="00A55CBF" w:rsidRPr="006F1082">
        <w:rPr>
          <w:rFonts w:asciiTheme="majorBidi" w:hAnsiTheme="majorBidi" w:cstheme="majorBidi"/>
        </w:rPr>
        <w:t> </w:t>
      </w:r>
      <w:r w:rsidRPr="006F1082">
        <w:rPr>
          <w:rFonts w:asciiTheme="majorBidi" w:hAnsiTheme="majorBidi" w:cstheme="majorBidi"/>
        </w:rPr>
        <w:t>accessed</w:t>
      </w:r>
      <w:r w:rsidR="00A55CBF" w:rsidRPr="006F1082">
        <w:rPr>
          <w:rFonts w:asciiTheme="majorBidi" w:hAnsiTheme="majorBidi" w:cstheme="majorBidi"/>
        </w:rPr>
        <w:t> </w:t>
      </w:r>
      <w:r w:rsidRPr="006F1082">
        <w:rPr>
          <w:rFonts w:asciiTheme="majorBidi" w:hAnsiTheme="majorBidi" w:cstheme="majorBidi"/>
        </w:rPr>
        <w:t>May</w:t>
      </w:r>
      <w:r w:rsidR="00A55CBF" w:rsidRPr="006F1082">
        <w:rPr>
          <w:rFonts w:asciiTheme="majorBidi" w:hAnsiTheme="majorBidi" w:cstheme="majorBidi"/>
        </w:rPr>
        <w:t> </w:t>
      </w:r>
      <w:r w:rsidRPr="006F1082">
        <w:rPr>
          <w:rFonts w:asciiTheme="majorBidi" w:hAnsiTheme="majorBidi" w:cstheme="majorBidi"/>
        </w:rPr>
        <w:t>5,</w:t>
      </w:r>
      <w:r w:rsidR="00A55CBF" w:rsidRPr="006F1082">
        <w:rPr>
          <w:rFonts w:asciiTheme="majorBidi" w:hAnsiTheme="majorBidi" w:cstheme="majorBidi"/>
        </w:rPr>
        <w:t> </w:t>
      </w:r>
      <w:r w:rsidRPr="006F1082">
        <w:rPr>
          <w:rFonts w:asciiTheme="majorBidi" w:hAnsiTheme="majorBidi" w:cstheme="majorBidi"/>
        </w:rPr>
        <w:t>2021</w:t>
      </w:r>
      <w:r w:rsidR="00A55CBF" w:rsidRPr="006F1082">
        <w:rPr>
          <w:rFonts w:asciiTheme="majorBidi" w:hAnsiTheme="majorBidi" w:cstheme="majorBidi"/>
        </w:rPr>
        <w:t xml:space="preserve">, </w:t>
      </w:r>
      <w:hyperlink r:id="rId9" w:history="1">
        <w:r w:rsidR="00A55CBF" w:rsidRPr="006F1082">
          <w:rPr>
            <w:rStyle w:val="Hypertextovodkaz"/>
            <w:rFonts w:asciiTheme="majorBidi" w:hAnsiTheme="majorBidi" w:cstheme="majorBidi"/>
          </w:rPr>
          <w:t>https://www.jewishvirtuallibrary.org/razim-sefer-ha</w:t>
        </w:r>
      </w:hyperlink>
      <w:r w:rsidRPr="006F1082">
        <w:rPr>
          <w:rFonts w:asciiTheme="majorBidi" w:hAnsiTheme="majorBidi" w:cstheme="majorBidi"/>
        </w:rPr>
        <w:t xml:space="preserve">; Reimund Leicht, “Some Observations on the Diffusion of Jewish Magical Texts from Late Antiquity and the Early Middle Ages in Manuscripts from the Cairo Genizah and Ashkenaz,” in </w:t>
      </w:r>
      <w:r w:rsidRPr="006F1082">
        <w:rPr>
          <w:rFonts w:asciiTheme="majorBidi" w:hAnsiTheme="majorBidi" w:cstheme="majorBidi"/>
          <w:i/>
          <w:iCs/>
        </w:rPr>
        <w:t>OFFICINA MAGICA: Essays on Practice of Magic in Antiquity</w:t>
      </w:r>
      <w:r w:rsidRPr="006F1082">
        <w:rPr>
          <w:rFonts w:asciiTheme="majorBidi" w:hAnsiTheme="majorBidi" w:cstheme="majorBidi"/>
        </w:rPr>
        <w:t>, edited by Shaul Shaked (Leiden and Boston: Brill, 2005), 214.</w:t>
      </w:r>
    </w:p>
  </w:footnote>
  <w:footnote w:id="54">
    <w:p w14:paraId="65DFDFDD" w14:textId="070F2749"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008F58C9" w:rsidRPr="006F1082">
        <w:rPr>
          <w:rFonts w:asciiTheme="majorBidi" w:hAnsiTheme="majorBidi" w:cstheme="majorBidi"/>
        </w:rPr>
        <w:t xml:space="preserve">Sefer Ha-Razim,” </w:t>
      </w:r>
      <w:r w:rsidR="008F58C9" w:rsidRPr="006F1082">
        <w:rPr>
          <w:rFonts w:asciiTheme="majorBidi" w:hAnsiTheme="majorBidi" w:cstheme="majorBidi"/>
          <w:i/>
          <w:iCs/>
        </w:rPr>
        <w:t>Jewish Virtual Library</w:t>
      </w:r>
      <w:r w:rsidRPr="006F1082">
        <w:rPr>
          <w:rFonts w:asciiTheme="majorBidi" w:hAnsiTheme="majorBidi" w:cstheme="majorBidi"/>
        </w:rPr>
        <w:t xml:space="preserve">., Michael A. Morgan, </w:t>
      </w:r>
      <w:r w:rsidRPr="006F1082">
        <w:rPr>
          <w:rFonts w:asciiTheme="majorBidi" w:hAnsiTheme="majorBidi" w:cstheme="majorBidi"/>
          <w:i/>
          <w:iCs/>
        </w:rPr>
        <w:t>SEPHER HA-RAZIM: The Book of the Mysteries</w:t>
      </w:r>
      <w:r w:rsidRPr="006F1082">
        <w:rPr>
          <w:rFonts w:asciiTheme="majorBidi" w:hAnsiTheme="majorBidi" w:cstheme="majorBidi"/>
        </w:rPr>
        <w:t xml:space="preserve"> (Chico: Scholar Press, 1983).</w:t>
      </w:r>
    </w:p>
  </w:footnote>
  <w:footnote w:id="55">
    <w:p w14:paraId="4AD36361" w14:textId="0D3F067E" w:rsidR="00A84A9A" w:rsidRPr="006F1082" w:rsidRDefault="00A84A9A" w:rsidP="006F1082">
      <w:pPr>
        <w:pStyle w:val="Footnotes"/>
      </w:pPr>
      <w:r w:rsidRPr="006F1082">
        <w:rPr>
          <w:rStyle w:val="Znakapoznpodarou"/>
        </w:rPr>
        <w:footnoteRef/>
      </w:r>
      <w:r w:rsidRPr="006F1082">
        <w:t xml:space="preserve"> </w:t>
      </w:r>
      <w:r w:rsidR="008E5B08" w:rsidRPr="006F1082">
        <w:rPr>
          <w:rFonts w:asciiTheme="majorBidi" w:hAnsiTheme="majorBidi" w:cstheme="majorBidi"/>
        </w:rPr>
        <w:t xml:space="preserve">Shaul Shaked, “Form and Purpose in Aramaic Spells: Some Jewish Themes (The poetics of magic texts),” in </w:t>
      </w:r>
      <w:r w:rsidR="008E5B08" w:rsidRPr="006F1082">
        <w:rPr>
          <w:rFonts w:asciiTheme="majorBidi" w:hAnsiTheme="majorBidi" w:cstheme="majorBidi"/>
          <w:i/>
          <w:iCs/>
        </w:rPr>
        <w:t>OFFICINA MAGICA: Essays on Practice of Magic in Antiquity</w:t>
      </w:r>
      <w:r w:rsidR="008E5B08" w:rsidRPr="006F1082">
        <w:rPr>
          <w:rFonts w:asciiTheme="majorBidi" w:hAnsiTheme="majorBidi" w:cstheme="majorBidi"/>
        </w:rPr>
        <w:t>, edited by Shaul Shaked (Leiden and Boston: Brill, 2005), 1-30.</w:t>
      </w:r>
      <w:r w:rsidRPr="006F1082">
        <w:rPr>
          <w:rFonts w:asciiTheme="majorBidi" w:hAnsiTheme="majorBidi" w:cstheme="majorBidi"/>
        </w:rPr>
        <w:t xml:space="preserve">; </w:t>
      </w:r>
      <w:r w:rsidRPr="006F1082">
        <w:t xml:space="preserve">“Introduction: Magical Literature,” </w:t>
      </w:r>
      <w:r w:rsidRPr="006F1082">
        <w:rPr>
          <w:i/>
          <w:iCs/>
        </w:rPr>
        <w:t>The Sch</w:t>
      </w:r>
      <w:r w:rsidRPr="006F1082">
        <w:rPr>
          <w:rFonts w:cstheme="minorHAnsi"/>
          <w:i/>
          <w:iCs/>
        </w:rPr>
        <w:t>ø</w:t>
      </w:r>
      <w:r w:rsidRPr="006F1082">
        <w:rPr>
          <w:i/>
          <w:iCs/>
        </w:rPr>
        <w:t>yen Collection,</w:t>
      </w:r>
      <w:r w:rsidRPr="006F1082">
        <w:t xml:space="preserve"> accessed May 5, 2021</w:t>
      </w:r>
      <w:r w:rsidR="00A55CBF" w:rsidRPr="006F1082">
        <w:t>,</w:t>
      </w:r>
      <w:r w:rsidRPr="006F1082">
        <w:t xml:space="preserve"> </w:t>
      </w:r>
      <w:hyperlink r:id="rId10" w:history="1">
        <w:r w:rsidRPr="006F1082">
          <w:rPr>
            <w:rStyle w:val="Hypertextovodkaz"/>
          </w:rPr>
          <w:t>https://www.schoyencollection.com/magical-literature-introduction</w:t>
        </w:r>
      </w:hyperlink>
      <w:r w:rsidRPr="006F1082">
        <w:rPr>
          <w:rStyle w:val="Hypertextovodkaz"/>
        </w:rPr>
        <w:t>.</w:t>
      </w:r>
    </w:p>
  </w:footnote>
  <w:footnote w:id="56">
    <w:p w14:paraId="7CBB665C" w14:textId="53CEC51C"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 xml:space="preserve">Shaul Shaked, James Nathan Ford and Siam Bahyro, </w:t>
      </w:r>
      <w:r w:rsidRPr="006F1082">
        <w:rPr>
          <w:rFonts w:asciiTheme="majorBidi" w:hAnsiTheme="majorBidi" w:cstheme="majorBidi"/>
          <w:i/>
          <w:iCs/>
        </w:rPr>
        <w:t>Aramaic Bowl Spells: Jewish Babylonian Aramaic Bowls</w:t>
      </w:r>
      <w:r w:rsidRPr="006F1082">
        <w:rPr>
          <w:rFonts w:asciiTheme="majorBidi" w:hAnsiTheme="majorBidi" w:cstheme="majorBidi"/>
        </w:rPr>
        <w:t>, Volume One (Leiden and Boston: Brill, 2013).</w:t>
      </w:r>
    </w:p>
  </w:footnote>
  <w:footnote w:id="57">
    <w:p w14:paraId="7FE8383A" w14:textId="490C6440"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Lance S. Owens, “The Hermeneutics of Vision: C. G. Jung and Liber Novus,” in </w:t>
      </w:r>
      <w:r w:rsidRPr="006F1082">
        <w:rPr>
          <w:rFonts w:asciiTheme="majorBidi" w:hAnsiTheme="majorBidi" w:cstheme="majorBidi"/>
          <w:i/>
          <w:iCs/>
        </w:rPr>
        <w:t>The Gnostic: A</w:t>
      </w:r>
      <w:r w:rsidR="00A55CBF" w:rsidRPr="006F1082">
        <w:rPr>
          <w:rFonts w:asciiTheme="majorBidi" w:hAnsiTheme="majorBidi" w:cstheme="majorBidi"/>
          <w:i/>
          <w:iCs/>
        </w:rPr>
        <w:t> </w:t>
      </w:r>
      <w:r w:rsidRPr="006F1082">
        <w:rPr>
          <w:rFonts w:asciiTheme="majorBidi" w:hAnsiTheme="majorBidi" w:cstheme="majorBidi"/>
          <w:i/>
          <w:iCs/>
        </w:rPr>
        <w:t>Journal of Gnosticism, Western Esoterism and Spirituality</w:t>
      </w:r>
      <w:r w:rsidRPr="006F1082">
        <w:rPr>
          <w:rFonts w:asciiTheme="majorBidi" w:hAnsiTheme="majorBidi" w:cstheme="majorBidi"/>
        </w:rPr>
        <w:t xml:space="preserve">, no. 3 (July 2010): 24-25, accessed May 5, 2021, </w:t>
      </w:r>
      <w:hyperlink r:id="rId11" w:history="1">
        <w:r w:rsidRPr="006F1082">
          <w:rPr>
            <w:rStyle w:val="Hypertextovodkaz"/>
            <w:rFonts w:asciiTheme="majorBidi" w:hAnsiTheme="majorBidi" w:cstheme="majorBidi"/>
          </w:rPr>
          <w:t>https://www.researchgate.net/publication/261672933_The_Hermeneutics_of_Vision_C_G_Jung_and_Liber_Novus</w:t>
        </w:r>
      </w:hyperlink>
      <w:r w:rsidRPr="006F1082">
        <w:rPr>
          <w:rFonts w:asciiTheme="majorBidi" w:hAnsiTheme="majorBidi" w:cstheme="majorBidi"/>
        </w:rPr>
        <w:t xml:space="preserve">. </w:t>
      </w:r>
    </w:p>
  </w:footnote>
  <w:footnote w:id="58">
    <w:p w14:paraId="071EE922" w14:textId="376D473F" w:rsidR="00A84A9A" w:rsidRPr="006F1082" w:rsidRDefault="00A84A9A" w:rsidP="006F1082">
      <w:pPr>
        <w:pStyle w:val="Footnotes"/>
        <w:rPr>
          <w:rFonts w:asciiTheme="majorBidi" w:hAnsiTheme="majorBidi" w:cstheme="majorBidi"/>
          <w:i/>
          <w:iCs/>
        </w:rPr>
      </w:pPr>
      <w:r w:rsidRPr="006F1082">
        <w:rPr>
          <w:rStyle w:val="Znakapoznpodarou"/>
          <w:rFonts w:asciiTheme="majorBidi" w:hAnsiTheme="majorBidi" w:cstheme="majorBidi"/>
        </w:rPr>
        <w:footnoteRef/>
      </w:r>
      <w:r w:rsidRPr="006F1082">
        <w:rPr>
          <w:rFonts w:asciiTheme="majorBidi" w:hAnsiTheme="majorBidi" w:cstheme="majorBidi"/>
        </w:rPr>
        <w:t xml:space="preserve"> Albrecht Dieterich, </w:t>
      </w:r>
      <w:r w:rsidRPr="006F1082">
        <w:rPr>
          <w:rFonts w:asciiTheme="majorBidi" w:hAnsiTheme="majorBidi" w:cstheme="majorBidi"/>
          <w:i/>
          <w:iCs/>
        </w:rPr>
        <w:t xml:space="preserve">Abraxas: </w:t>
      </w:r>
      <w:r w:rsidRPr="006F1082">
        <w:rPr>
          <w:rFonts w:asciiTheme="majorBidi" w:hAnsiTheme="majorBidi" w:cstheme="majorBidi"/>
          <w:i/>
          <w:iCs/>
        </w:rPr>
        <w:t>Studien zur Religionsgeschichte des späteren Altertums</w:t>
      </w:r>
      <w:r w:rsidRPr="006F1082">
        <w:rPr>
          <w:rFonts w:asciiTheme="majorBidi" w:hAnsiTheme="majorBidi" w:cstheme="majorBidi"/>
        </w:rPr>
        <w:t xml:space="preserve"> (Leipzig: B.G. Teubner, 1891).; Betz, </w:t>
      </w:r>
      <w:r w:rsidRPr="006F1082">
        <w:rPr>
          <w:rFonts w:asciiTheme="majorBidi" w:hAnsiTheme="majorBidi" w:cstheme="majorBidi"/>
          <w:i/>
          <w:iCs/>
        </w:rPr>
        <w:t>The Greek Magical Papyri in Translation</w:t>
      </w:r>
      <w:r w:rsidRPr="006F1082">
        <w:rPr>
          <w:rFonts w:asciiTheme="majorBidi" w:hAnsiTheme="majorBidi" w:cstheme="majorBidi"/>
        </w:rPr>
        <w:t>, xliii.</w:t>
      </w:r>
    </w:p>
  </w:footnote>
  <w:footnote w:id="59">
    <w:p w14:paraId="27BB51F9" w14:textId="51778B2B" w:rsidR="00A84A9A" w:rsidRPr="006F1082" w:rsidRDefault="00A84A9A" w:rsidP="006F1082">
      <w:pPr>
        <w:pStyle w:val="Footnotes"/>
        <w:rPr>
          <w:rFonts w:asciiTheme="majorBidi" w:hAnsiTheme="majorBidi" w:cstheme="majorBidi"/>
          <w:i/>
          <w:iCs/>
        </w:rPr>
      </w:pPr>
      <w:r w:rsidRPr="006F1082">
        <w:rPr>
          <w:rStyle w:val="Znakapoznpodarou"/>
          <w:rFonts w:asciiTheme="majorBidi" w:hAnsiTheme="majorBidi" w:cstheme="majorBidi"/>
        </w:rPr>
        <w:footnoteRef/>
      </w:r>
      <w:r w:rsidRPr="006F1082">
        <w:rPr>
          <w:rFonts w:asciiTheme="majorBidi" w:hAnsiTheme="majorBidi" w:cstheme="majorBidi"/>
        </w:rPr>
        <w:t xml:space="preserve"> King, </w:t>
      </w:r>
      <w:r w:rsidRPr="006F1082">
        <w:rPr>
          <w:rFonts w:asciiTheme="majorBidi" w:hAnsiTheme="majorBidi" w:cstheme="majorBidi"/>
          <w:i/>
          <w:iCs/>
        </w:rPr>
        <w:t>The Gnostics and their remains.</w:t>
      </w:r>
    </w:p>
  </w:footnote>
  <w:footnote w:id="60">
    <w:p w14:paraId="596D6396" w14:textId="76531A4B"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Carl G. Jung, </w:t>
      </w:r>
      <w:r w:rsidRPr="006F1082">
        <w:rPr>
          <w:rFonts w:asciiTheme="majorBidi" w:hAnsiTheme="majorBidi" w:cstheme="majorBidi"/>
          <w:i/>
          <w:iCs/>
        </w:rPr>
        <w:t>The Red Book: Liber Novus</w:t>
      </w:r>
      <w:r w:rsidRPr="006F1082">
        <w:rPr>
          <w:rFonts w:asciiTheme="majorBidi" w:hAnsiTheme="majorBidi" w:cstheme="majorBidi"/>
        </w:rPr>
        <w:t xml:space="preserve">, edited by </w:t>
      </w:r>
      <w:r w:rsidRPr="006F1082">
        <w:rPr>
          <w:rFonts w:asciiTheme="majorBidi" w:hAnsiTheme="majorBidi" w:cstheme="majorBidi"/>
        </w:rPr>
        <w:t>Sonu Shamdasani (New York: W.W. Norton, 2009).</w:t>
      </w:r>
    </w:p>
  </w:footnote>
  <w:footnote w:id="61">
    <w:p w14:paraId="7EFB611B" w14:textId="150658B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Emanuel Maier, “The Psychology of C.G. Jung in the Works of Hermann Hesse,” abridgement of a</w:t>
      </w:r>
      <w:r w:rsidR="00A55CBF" w:rsidRPr="006F1082">
        <w:rPr>
          <w:rFonts w:asciiTheme="majorBidi" w:hAnsiTheme="majorBidi" w:cstheme="majorBidi"/>
        </w:rPr>
        <w:t> </w:t>
      </w:r>
      <w:r w:rsidRPr="006F1082">
        <w:rPr>
          <w:rFonts w:asciiTheme="majorBidi" w:hAnsiTheme="majorBidi" w:cstheme="majorBidi"/>
        </w:rPr>
        <w:t xml:space="preserve">dissertation by Emanuel Maier (1953): 1-13, </w:t>
      </w:r>
      <w:r w:rsidRPr="006F1082">
        <w:rPr>
          <w:rFonts w:asciiTheme="majorBidi" w:hAnsiTheme="majorBidi" w:cstheme="majorBidi"/>
          <w:i/>
          <w:iCs/>
        </w:rPr>
        <w:t>Hermann Hesse Page</w:t>
      </w:r>
      <w:r w:rsidRPr="006F1082">
        <w:rPr>
          <w:rFonts w:asciiTheme="majorBidi" w:hAnsiTheme="majorBidi" w:cstheme="majorBidi"/>
        </w:rPr>
        <w:t xml:space="preserve">, accessed May 5, 2021. </w:t>
      </w:r>
      <w:hyperlink r:id="rId12" w:history="1">
        <w:r w:rsidRPr="006F1082">
          <w:rPr>
            <w:rStyle w:val="Hypertextovodkaz"/>
            <w:rFonts w:asciiTheme="majorBidi" w:hAnsiTheme="majorBidi" w:cstheme="majorBidi"/>
          </w:rPr>
          <w:t>http://hesse.projects.gss.ucsb.edu/papers/maier.pdf</w:t>
        </w:r>
      </w:hyperlink>
      <w:r w:rsidRPr="006F1082">
        <w:rPr>
          <w:rFonts w:asciiTheme="majorBidi" w:hAnsiTheme="majorBidi" w:cstheme="majorBidi"/>
        </w:rPr>
        <w:t xml:space="preserve">.; Günter Baumann, “It shakes you to the very core and is painful. But it helps: Hermann Hesse and the psychology of C.G. Jung,” paper presented at </w:t>
      </w:r>
      <w:r w:rsidRPr="006F1082">
        <w:rPr>
          <w:rFonts w:asciiTheme="majorBidi" w:hAnsiTheme="majorBidi" w:cstheme="majorBidi"/>
          <w:i/>
          <w:iCs/>
        </w:rPr>
        <w:t>The 9th International Hesse Colloquium</w:t>
      </w:r>
      <w:r w:rsidRPr="006F1082">
        <w:rPr>
          <w:rFonts w:asciiTheme="majorBidi" w:hAnsiTheme="majorBidi" w:cstheme="majorBidi"/>
        </w:rPr>
        <w:t xml:space="preserve">, </w:t>
      </w:r>
      <w:r w:rsidRPr="006F1082">
        <w:rPr>
          <w:rFonts w:asciiTheme="majorBidi" w:hAnsiTheme="majorBidi" w:cstheme="majorBidi"/>
        </w:rPr>
        <w:t xml:space="preserve">Calw, 1997, accessed May 5, 2021, </w:t>
      </w:r>
      <w:hyperlink r:id="rId13" w:history="1">
        <w:r w:rsidRPr="006F1082">
          <w:rPr>
            <w:rStyle w:val="Hypertextovodkaz"/>
            <w:rFonts w:asciiTheme="majorBidi" w:hAnsiTheme="majorBidi" w:cstheme="majorBidi"/>
          </w:rPr>
          <w:t>https://www.hermann-hesse.de/files/pdfs/en_lebenskrise.pdf</w:t>
        </w:r>
      </w:hyperlink>
      <w:r w:rsidRPr="006F1082">
        <w:rPr>
          <w:rFonts w:asciiTheme="majorBidi" w:hAnsiTheme="majorBidi" w:cstheme="majorBidi"/>
        </w:rPr>
        <w:t xml:space="preserve">. </w:t>
      </w:r>
    </w:p>
  </w:footnote>
  <w:footnote w:id="62">
    <w:p w14:paraId="0B9B784F" w14:textId="264A2DBA"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Hesse, </w:t>
      </w:r>
      <w:r w:rsidRPr="006F1082">
        <w:rPr>
          <w:rFonts w:asciiTheme="majorBidi" w:hAnsiTheme="majorBidi" w:cstheme="majorBidi"/>
          <w:i/>
          <w:iCs/>
        </w:rPr>
        <w:t>Demian</w:t>
      </w:r>
      <w:r w:rsidRPr="006F1082">
        <w:rPr>
          <w:rFonts w:asciiTheme="majorBidi" w:hAnsiTheme="majorBidi" w:cstheme="majorBidi"/>
        </w:rPr>
        <w:t>, 78.</w:t>
      </w:r>
    </w:p>
  </w:footnote>
  <w:footnote w:id="63">
    <w:p w14:paraId="41190933" w14:textId="0F7B38C3"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Miguel Serrano, </w:t>
      </w:r>
      <w:r w:rsidRPr="006F1082">
        <w:rPr>
          <w:rFonts w:asciiTheme="majorBidi" w:hAnsiTheme="majorBidi" w:cstheme="majorBidi"/>
          <w:i/>
          <w:iCs/>
        </w:rPr>
        <w:t>C. G. JUNG AND HERMANN HESSE: A Record of Two Friendships</w:t>
      </w:r>
      <w:r w:rsidRPr="006F1082">
        <w:rPr>
          <w:rFonts w:asciiTheme="majorBidi" w:hAnsiTheme="majorBidi" w:cstheme="majorBidi"/>
        </w:rPr>
        <w:t xml:space="preserve">, translated by Frank </w:t>
      </w:r>
      <w:r w:rsidRPr="006F1082">
        <w:rPr>
          <w:rFonts w:asciiTheme="majorBidi" w:hAnsiTheme="majorBidi" w:cstheme="majorBidi"/>
        </w:rPr>
        <w:t>MacShane (London: Routledge &amp; Kegan Paul Ltd, 1971), 5.</w:t>
      </w:r>
    </w:p>
  </w:footnote>
  <w:footnote w:id="64">
    <w:p w14:paraId="6504F6EF" w14:textId="78A0AC19"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Thomas More, </w:t>
      </w:r>
      <w:r w:rsidRPr="006F1082">
        <w:rPr>
          <w:rFonts w:asciiTheme="majorBidi" w:hAnsiTheme="majorBidi" w:cstheme="majorBidi"/>
          <w:i/>
          <w:iCs/>
        </w:rPr>
        <w:t xml:space="preserve">Utopia: with Erasmus’s “The </w:t>
      </w:r>
      <w:r w:rsidRPr="006F1082">
        <w:rPr>
          <w:rFonts w:asciiTheme="majorBidi" w:hAnsiTheme="majorBidi" w:cstheme="majorBidi"/>
          <w:i/>
          <w:iCs/>
        </w:rPr>
        <w:t>Sileni of Alcibiades,”</w:t>
      </w:r>
      <w:r w:rsidRPr="006F1082">
        <w:rPr>
          <w:rFonts w:asciiTheme="majorBidi" w:hAnsiTheme="majorBidi" w:cstheme="majorBidi"/>
        </w:rPr>
        <w:t xml:space="preserve"> edited and translated by David Wotton (Indianapolis: Hackett Publishing, 1999), 91.; Thomas W. Africa, “Thomas More and the Spartan Mirage,” </w:t>
      </w:r>
      <w:r w:rsidRPr="006F1082">
        <w:rPr>
          <w:rFonts w:asciiTheme="majorBidi" w:hAnsiTheme="majorBidi" w:cstheme="majorBidi"/>
          <w:i/>
          <w:iCs/>
        </w:rPr>
        <w:t>Historical</w:t>
      </w:r>
      <w:r w:rsidR="00A55CBF" w:rsidRPr="006F1082">
        <w:rPr>
          <w:rFonts w:asciiTheme="majorBidi" w:hAnsiTheme="majorBidi" w:cstheme="majorBidi"/>
          <w:i/>
          <w:iCs/>
        </w:rPr>
        <w:t> </w:t>
      </w:r>
      <w:r w:rsidRPr="006F1082">
        <w:rPr>
          <w:rFonts w:asciiTheme="majorBidi" w:hAnsiTheme="majorBidi" w:cstheme="majorBidi"/>
          <w:i/>
          <w:iCs/>
        </w:rPr>
        <w:t>Reflections</w:t>
      </w:r>
      <w:r w:rsidR="00A55CBF" w:rsidRPr="006F1082">
        <w:rPr>
          <w:rFonts w:asciiTheme="majorBidi" w:hAnsiTheme="majorBidi" w:cstheme="majorBidi"/>
          <w:i/>
          <w:iCs/>
        </w:rPr>
        <w:t> </w:t>
      </w:r>
      <w:r w:rsidRPr="006F1082">
        <w:rPr>
          <w:rFonts w:asciiTheme="majorBidi" w:hAnsiTheme="majorBidi" w:cstheme="majorBidi"/>
          <w:i/>
          <w:iCs/>
        </w:rPr>
        <w:t>/</w:t>
      </w:r>
      <w:r w:rsidR="00A55CBF" w:rsidRPr="006F1082">
        <w:rPr>
          <w:rFonts w:asciiTheme="majorBidi" w:hAnsiTheme="majorBidi" w:cstheme="majorBidi"/>
          <w:i/>
          <w:iCs/>
        </w:rPr>
        <w:t> </w:t>
      </w:r>
      <w:r w:rsidRPr="006F1082">
        <w:rPr>
          <w:rFonts w:asciiTheme="majorBidi" w:hAnsiTheme="majorBidi" w:cstheme="majorBidi"/>
          <w:i/>
          <w:iCs/>
        </w:rPr>
        <w:t>Réflexions</w:t>
      </w:r>
      <w:r w:rsidR="00A55CBF" w:rsidRPr="006F1082">
        <w:rPr>
          <w:rFonts w:asciiTheme="majorBidi" w:hAnsiTheme="majorBidi" w:cstheme="majorBidi"/>
          <w:i/>
          <w:iCs/>
        </w:rPr>
        <w:t> </w:t>
      </w:r>
      <w:r w:rsidRPr="006F1082">
        <w:rPr>
          <w:rFonts w:asciiTheme="majorBidi" w:hAnsiTheme="majorBidi" w:cstheme="majorBidi"/>
          <w:i/>
          <w:iCs/>
        </w:rPr>
        <w:t>Historiques</w:t>
      </w:r>
      <w:r w:rsidR="00A55CBF" w:rsidRPr="006F1082">
        <w:rPr>
          <w:rFonts w:asciiTheme="majorBidi" w:hAnsiTheme="majorBidi" w:cstheme="majorBidi"/>
        </w:rPr>
        <w:t> </w:t>
      </w:r>
      <w:r w:rsidRPr="006F1082">
        <w:rPr>
          <w:rFonts w:asciiTheme="majorBidi" w:hAnsiTheme="majorBidi" w:cstheme="majorBidi"/>
        </w:rPr>
        <w:t>6,</w:t>
      </w:r>
      <w:r w:rsidR="00A55CBF" w:rsidRPr="006F1082">
        <w:rPr>
          <w:rFonts w:asciiTheme="majorBidi" w:hAnsiTheme="majorBidi" w:cstheme="majorBidi"/>
        </w:rPr>
        <w:t> </w:t>
      </w:r>
      <w:r w:rsidRPr="006F1082">
        <w:rPr>
          <w:rFonts w:asciiTheme="majorBidi" w:hAnsiTheme="majorBidi" w:cstheme="majorBidi"/>
        </w:rPr>
        <w:t>no.</w:t>
      </w:r>
      <w:r w:rsidR="00A55CBF" w:rsidRPr="006F1082">
        <w:rPr>
          <w:rFonts w:asciiTheme="majorBidi" w:hAnsiTheme="majorBidi" w:cstheme="majorBidi"/>
        </w:rPr>
        <w:t> </w:t>
      </w:r>
      <w:r w:rsidRPr="006F1082">
        <w:rPr>
          <w:rFonts w:asciiTheme="majorBidi" w:hAnsiTheme="majorBidi" w:cstheme="majorBidi"/>
        </w:rPr>
        <w:t>2</w:t>
      </w:r>
      <w:r w:rsidR="00A55CBF" w:rsidRPr="006F1082">
        <w:rPr>
          <w:rFonts w:asciiTheme="majorBidi" w:hAnsiTheme="majorBidi" w:cstheme="majorBidi"/>
        </w:rPr>
        <w:t> </w:t>
      </w:r>
      <w:r w:rsidRPr="006F1082">
        <w:rPr>
          <w:rFonts w:asciiTheme="majorBidi" w:hAnsiTheme="majorBidi" w:cstheme="majorBidi"/>
        </w:rPr>
        <w:t>(1979):</w:t>
      </w:r>
      <w:r w:rsidR="00A55CBF" w:rsidRPr="006F1082">
        <w:rPr>
          <w:rFonts w:asciiTheme="majorBidi" w:hAnsiTheme="majorBidi" w:cstheme="majorBidi"/>
        </w:rPr>
        <w:t> </w:t>
      </w:r>
      <w:r w:rsidRPr="006F1082">
        <w:rPr>
          <w:rFonts w:asciiTheme="majorBidi" w:hAnsiTheme="majorBidi" w:cstheme="majorBidi"/>
        </w:rPr>
        <w:t>346,</w:t>
      </w:r>
      <w:r w:rsidR="00A55CBF" w:rsidRPr="006F1082">
        <w:rPr>
          <w:rFonts w:asciiTheme="majorBidi" w:hAnsiTheme="majorBidi" w:cstheme="majorBidi"/>
        </w:rPr>
        <w:t> </w:t>
      </w:r>
      <w:r w:rsidRPr="006F1082">
        <w:rPr>
          <w:rFonts w:asciiTheme="majorBidi" w:hAnsiTheme="majorBidi" w:cstheme="majorBidi"/>
        </w:rPr>
        <w:t>accessed</w:t>
      </w:r>
      <w:r w:rsidR="00A55CBF" w:rsidRPr="006F1082">
        <w:rPr>
          <w:rFonts w:asciiTheme="majorBidi" w:hAnsiTheme="majorBidi" w:cstheme="majorBidi"/>
        </w:rPr>
        <w:t> </w:t>
      </w:r>
      <w:r w:rsidRPr="006F1082">
        <w:rPr>
          <w:rFonts w:asciiTheme="majorBidi" w:hAnsiTheme="majorBidi" w:cstheme="majorBidi"/>
        </w:rPr>
        <w:t>May</w:t>
      </w:r>
      <w:r w:rsidR="00A55CBF" w:rsidRPr="006F1082">
        <w:rPr>
          <w:rFonts w:asciiTheme="majorBidi" w:hAnsiTheme="majorBidi" w:cstheme="majorBidi"/>
        </w:rPr>
        <w:t> </w:t>
      </w:r>
      <w:r w:rsidRPr="006F1082">
        <w:rPr>
          <w:rFonts w:asciiTheme="majorBidi" w:hAnsiTheme="majorBidi" w:cstheme="majorBidi"/>
        </w:rPr>
        <w:t>5,</w:t>
      </w:r>
      <w:r w:rsidR="00A55CBF" w:rsidRPr="006F1082">
        <w:rPr>
          <w:rFonts w:asciiTheme="majorBidi" w:hAnsiTheme="majorBidi" w:cstheme="majorBidi"/>
        </w:rPr>
        <w:t> </w:t>
      </w:r>
      <w:r w:rsidRPr="006F1082">
        <w:rPr>
          <w:rFonts w:asciiTheme="majorBidi" w:hAnsiTheme="majorBidi" w:cstheme="majorBidi"/>
        </w:rPr>
        <w:t>2021</w:t>
      </w:r>
      <w:r w:rsidR="00A55CBF" w:rsidRPr="006F1082">
        <w:rPr>
          <w:rFonts w:asciiTheme="majorBidi" w:hAnsiTheme="majorBidi" w:cstheme="majorBidi"/>
        </w:rPr>
        <w:t>,</w:t>
      </w:r>
      <w:r w:rsidRPr="006F1082">
        <w:rPr>
          <w:rFonts w:asciiTheme="majorBidi" w:hAnsiTheme="majorBidi" w:cstheme="majorBidi"/>
        </w:rPr>
        <w:t xml:space="preserve"> </w:t>
      </w:r>
      <w:hyperlink r:id="rId14" w:history="1">
        <w:r w:rsidRPr="006F1082">
          <w:rPr>
            <w:rStyle w:val="Hypertextovodkaz"/>
            <w:rFonts w:asciiTheme="majorBidi" w:hAnsiTheme="majorBidi" w:cstheme="majorBidi"/>
          </w:rPr>
          <w:t>http://www.jstor.org/stable/41298725</w:t>
        </w:r>
      </w:hyperlink>
      <w:r w:rsidRPr="006F1082">
        <w:rPr>
          <w:rFonts w:asciiTheme="majorBidi" w:hAnsiTheme="majorBidi" w:cstheme="majorBidi"/>
        </w:rPr>
        <w:t xml:space="preserve">. </w:t>
      </w:r>
    </w:p>
  </w:footnote>
  <w:footnote w:id="65">
    <w:p w14:paraId="0A8224C4" w14:textId="5EDE1CE8"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More, </w:t>
      </w:r>
      <w:r w:rsidRPr="006F1082">
        <w:rPr>
          <w:rFonts w:asciiTheme="majorBidi" w:hAnsiTheme="majorBidi" w:cstheme="majorBidi"/>
          <w:i/>
          <w:iCs/>
        </w:rPr>
        <w:t>Utopia</w:t>
      </w:r>
      <w:r w:rsidRPr="006F1082">
        <w:rPr>
          <w:rFonts w:asciiTheme="majorBidi" w:hAnsiTheme="majorBidi" w:cstheme="majorBidi"/>
        </w:rPr>
        <w:t>, 145.</w:t>
      </w:r>
    </w:p>
  </w:footnote>
  <w:footnote w:id="66">
    <w:p w14:paraId="3DC922EF" w14:textId="638C654F"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Miller, </w:t>
      </w:r>
      <w:r w:rsidRPr="006F1082">
        <w:rPr>
          <w:rFonts w:asciiTheme="majorBidi" w:hAnsiTheme="majorBidi" w:cstheme="majorBidi"/>
          <w:i/>
          <w:iCs/>
        </w:rPr>
        <w:t>Peiresc’ Orient</w:t>
      </w:r>
      <w:r w:rsidRPr="006F1082">
        <w:rPr>
          <w:rFonts w:asciiTheme="majorBidi" w:hAnsiTheme="majorBidi" w:cstheme="majorBidi"/>
        </w:rPr>
        <w:t xml:space="preserve">, 58-59; King, </w:t>
      </w:r>
      <w:r w:rsidRPr="006F1082">
        <w:rPr>
          <w:rFonts w:asciiTheme="majorBidi" w:hAnsiTheme="majorBidi" w:cstheme="majorBidi"/>
          <w:i/>
          <w:iCs/>
        </w:rPr>
        <w:t xml:space="preserve">The Gnostics and their remains, </w:t>
      </w:r>
      <w:r w:rsidRPr="006F1082">
        <w:rPr>
          <w:rFonts w:asciiTheme="majorBidi" w:hAnsiTheme="majorBidi" w:cstheme="majorBidi"/>
        </w:rPr>
        <w:t>113-121.</w:t>
      </w:r>
    </w:p>
  </w:footnote>
  <w:footnote w:id="67">
    <w:p w14:paraId="7FC7A86A" w14:textId="23FAE05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King, </w:t>
      </w:r>
      <w:r w:rsidRPr="006F1082">
        <w:rPr>
          <w:rFonts w:asciiTheme="majorBidi" w:hAnsiTheme="majorBidi" w:cstheme="majorBidi"/>
          <w:i/>
          <w:iCs/>
        </w:rPr>
        <w:t>The Gnostics and their remains</w:t>
      </w:r>
      <w:r w:rsidR="005D65BB" w:rsidRPr="006F1082">
        <w:rPr>
          <w:rFonts w:asciiTheme="majorBidi" w:hAnsiTheme="majorBidi" w:cstheme="majorBidi"/>
        </w:rPr>
        <w:t>, 276-279.</w:t>
      </w:r>
    </w:p>
  </w:footnote>
  <w:footnote w:id="68">
    <w:p w14:paraId="316A195A" w14:textId="28AE8D7B"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Moritz </w:t>
      </w:r>
      <w:r w:rsidRPr="006F1082">
        <w:rPr>
          <w:rFonts w:asciiTheme="majorBidi" w:hAnsiTheme="majorBidi" w:cstheme="majorBidi"/>
        </w:rPr>
        <w:t xml:space="preserve">Steinschneider, </w:t>
      </w:r>
      <w:r w:rsidRPr="006F1082">
        <w:rPr>
          <w:rFonts w:asciiTheme="majorBidi" w:hAnsiTheme="majorBidi" w:cstheme="majorBidi"/>
          <w:i/>
          <w:iCs/>
        </w:rPr>
        <w:t>Festschrift zum achtzigsten geburtstage Moritz Steinschneider's</w:t>
      </w:r>
      <w:r w:rsidRPr="006F1082">
        <w:rPr>
          <w:rFonts w:asciiTheme="majorBidi" w:hAnsiTheme="majorBidi" w:cstheme="majorBidi"/>
        </w:rPr>
        <w:t xml:space="preserve"> (Leipzig: Otto Harrassowitz, 1896), 15.</w:t>
      </w:r>
    </w:p>
  </w:footnote>
  <w:footnote w:id="69">
    <w:p w14:paraId="4E5B507C" w14:textId="68F48A72"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Ludwig </w:t>
      </w:r>
      <w:r w:rsidRPr="006F1082">
        <w:t xml:space="preserve">Blau, </w:t>
      </w:r>
      <w:r w:rsidRPr="006F1082">
        <w:rPr>
          <w:i/>
          <w:iCs/>
        </w:rPr>
        <w:t>Das altjüdische Zauberwesen</w:t>
      </w:r>
      <w:r w:rsidRPr="006F1082">
        <w:t xml:space="preserve"> (Strassburg: Karl J. Tr</w:t>
      </w:r>
      <w:r w:rsidRPr="006F1082">
        <w:rPr>
          <w:rFonts w:cstheme="minorHAnsi"/>
        </w:rPr>
        <w:t>ü</w:t>
      </w:r>
      <w:r w:rsidRPr="006F1082">
        <w:t>bner, 1898</w:t>
      </w:r>
      <w:r w:rsidRPr="006F1082">
        <w:rPr>
          <w:rFonts w:asciiTheme="majorBidi" w:hAnsiTheme="majorBidi" w:cstheme="majorBidi"/>
        </w:rPr>
        <w:t>), 112.</w:t>
      </w:r>
    </w:p>
  </w:footnote>
  <w:footnote w:id="70">
    <w:p w14:paraId="51D33333" w14:textId="5211CB24"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 xml:space="preserve">Betz, </w:t>
      </w:r>
      <w:r w:rsidRPr="006F1082">
        <w:rPr>
          <w:rFonts w:asciiTheme="majorBidi" w:hAnsiTheme="majorBidi" w:cstheme="majorBidi"/>
          <w:i/>
          <w:iCs/>
        </w:rPr>
        <w:t>The Greek Magical Papyri in Translation</w:t>
      </w:r>
      <w:r w:rsidRPr="006F1082">
        <w:rPr>
          <w:rFonts w:asciiTheme="majorBidi" w:hAnsiTheme="majorBidi" w:cstheme="majorBidi"/>
        </w:rPr>
        <w:t xml:space="preserve">, </w:t>
      </w:r>
      <w:r w:rsidRPr="006F1082">
        <w:t>37.</w:t>
      </w:r>
    </w:p>
  </w:footnote>
  <w:footnote w:id="71">
    <w:p w14:paraId="202B8721" w14:textId="60854430"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Karl </w:t>
      </w:r>
      <w:r w:rsidRPr="006F1082">
        <w:rPr>
          <w:rFonts w:asciiTheme="majorBidi" w:hAnsiTheme="majorBidi" w:cstheme="majorBidi"/>
        </w:rPr>
        <w:t xml:space="preserve">Preisendanz, </w:t>
      </w:r>
      <w:r w:rsidRPr="006F1082">
        <w:rPr>
          <w:rFonts w:asciiTheme="majorBidi" w:hAnsiTheme="majorBidi" w:cstheme="majorBidi"/>
          <w:i/>
          <w:iCs/>
        </w:rPr>
        <w:t>Papyri Graecae Magicae: Die Griechischen Zauberpapyri</w:t>
      </w:r>
      <w:r w:rsidRPr="006F1082">
        <w:rPr>
          <w:rFonts w:asciiTheme="majorBidi" w:hAnsiTheme="majorBidi" w:cstheme="majorBidi"/>
        </w:rPr>
        <w:t>, vol. I (Leipzig, and Berlin: B. G. Teubner, 1928), 66.</w:t>
      </w:r>
    </w:p>
  </w:footnote>
  <w:footnote w:id="72">
    <w:p w14:paraId="40EBCDE9" w14:textId="1F09660E"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00B234A3" w:rsidRPr="006F1082">
        <w:rPr>
          <w:rFonts w:asciiTheme="majorBidi" w:hAnsiTheme="majorBidi" w:cstheme="majorBidi"/>
        </w:rPr>
        <w:t> </w:t>
      </w:r>
      <w:r w:rsidRPr="006F1082">
        <w:rPr>
          <w:rFonts w:asciiTheme="majorBidi" w:hAnsiTheme="majorBidi" w:cstheme="majorBidi"/>
        </w:rPr>
        <w:t>“RIB</w:t>
      </w:r>
      <w:r w:rsidR="00B234A3" w:rsidRPr="006F1082">
        <w:rPr>
          <w:rFonts w:asciiTheme="majorBidi" w:hAnsiTheme="majorBidi" w:cstheme="majorBidi"/>
        </w:rPr>
        <w:t> </w:t>
      </w:r>
      <w:r w:rsidRPr="006F1082">
        <w:rPr>
          <w:rFonts w:asciiTheme="majorBidi" w:hAnsiTheme="majorBidi" w:cstheme="majorBidi"/>
        </w:rPr>
        <w:t>436.</w:t>
      </w:r>
      <w:r w:rsidR="00B234A3" w:rsidRPr="006F1082">
        <w:rPr>
          <w:rFonts w:asciiTheme="majorBidi" w:hAnsiTheme="majorBidi" w:cstheme="majorBidi"/>
        </w:rPr>
        <w:t> </w:t>
      </w:r>
      <w:r w:rsidRPr="006F1082">
        <w:rPr>
          <w:rFonts w:asciiTheme="majorBidi" w:hAnsiTheme="majorBidi" w:cstheme="majorBidi"/>
        </w:rPr>
        <w:t>GREEK</w:t>
      </w:r>
      <w:r w:rsidR="00B234A3" w:rsidRPr="006F1082">
        <w:rPr>
          <w:rFonts w:asciiTheme="majorBidi" w:hAnsiTheme="majorBidi" w:cstheme="majorBidi"/>
        </w:rPr>
        <w:t> </w:t>
      </w:r>
      <w:r w:rsidRPr="006F1082">
        <w:rPr>
          <w:rFonts w:asciiTheme="majorBidi" w:hAnsiTheme="majorBidi" w:cstheme="majorBidi"/>
        </w:rPr>
        <w:t>MAGICAL</w:t>
      </w:r>
      <w:r w:rsidR="00B234A3" w:rsidRPr="006F1082">
        <w:rPr>
          <w:rFonts w:asciiTheme="majorBidi" w:hAnsiTheme="majorBidi" w:cstheme="majorBidi"/>
        </w:rPr>
        <w:t> </w:t>
      </w:r>
      <w:r w:rsidRPr="006F1082">
        <w:rPr>
          <w:rFonts w:asciiTheme="majorBidi" w:hAnsiTheme="majorBidi" w:cstheme="majorBidi"/>
        </w:rPr>
        <w:t>AMULET,”</w:t>
      </w:r>
      <w:r w:rsidR="00B234A3" w:rsidRPr="006F1082">
        <w:rPr>
          <w:rFonts w:asciiTheme="majorBidi" w:hAnsiTheme="majorBidi" w:cstheme="majorBidi"/>
        </w:rPr>
        <w:t> </w:t>
      </w:r>
      <w:r w:rsidRPr="006F1082">
        <w:rPr>
          <w:rFonts w:asciiTheme="majorBidi" w:hAnsiTheme="majorBidi" w:cstheme="majorBidi"/>
          <w:i/>
          <w:iCs/>
        </w:rPr>
        <w:t>Roman</w:t>
      </w:r>
      <w:r w:rsidR="00B234A3" w:rsidRPr="006F1082">
        <w:rPr>
          <w:rFonts w:asciiTheme="majorBidi" w:hAnsiTheme="majorBidi" w:cstheme="majorBidi"/>
          <w:i/>
          <w:iCs/>
        </w:rPr>
        <w:t> </w:t>
      </w:r>
      <w:r w:rsidRPr="006F1082">
        <w:rPr>
          <w:rFonts w:asciiTheme="majorBidi" w:hAnsiTheme="majorBidi" w:cstheme="majorBidi"/>
          <w:i/>
          <w:iCs/>
        </w:rPr>
        <w:t>Inscriptions</w:t>
      </w:r>
      <w:r w:rsidR="00B234A3" w:rsidRPr="006F1082">
        <w:rPr>
          <w:rFonts w:asciiTheme="majorBidi" w:hAnsiTheme="majorBidi" w:cstheme="majorBidi"/>
          <w:i/>
          <w:iCs/>
        </w:rPr>
        <w:t> </w:t>
      </w:r>
      <w:r w:rsidRPr="006F1082">
        <w:rPr>
          <w:rFonts w:asciiTheme="majorBidi" w:hAnsiTheme="majorBidi" w:cstheme="majorBidi"/>
          <w:i/>
          <w:iCs/>
        </w:rPr>
        <w:t>of</w:t>
      </w:r>
      <w:r w:rsidR="00B234A3" w:rsidRPr="006F1082">
        <w:rPr>
          <w:rFonts w:asciiTheme="majorBidi" w:hAnsiTheme="majorBidi" w:cstheme="majorBidi"/>
          <w:i/>
          <w:iCs/>
        </w:rPr>
        <w:t> </w:t>
      </w:r>
      <w:r w:rsidRPr="006F1082">
        <w:rPr>
          <w:rFonts w:asciiTheme="majorBidi" w:hAnsiTheme="majorBidi" w:cstheme="majorBidi"/>
          <w:i/>
          <w:iCs/>
        </w:rPr>
        <w:t>Britain</w:t>
      </w:r>
      <w:r w:rsidRPr="006F1082">
        <w:rPr>
          <w:rFonts w:asciiTheme="majorBidi" w:hAnsiTheme="majorBidi" w:cstheme="majorBidi"/>
        </w:rPr>
        <w:t>,</w:t>
      </w:r>
      <w:r w:rsidR="00B234A3" w:rsidRPr="006F1082">
        <w:rPr>
          <w:rFonts w:asciiTheme="majorBidi" w:hAnsiTheme="majorBidi" w:cstheme="majorBidi"/>
        </w:rPr>
        <w:t> </w:t>
      </w:r>
      <w:r w:rsidRPr="006F1082">
        <w:rPr>
          <w:rFonts w:asciiTheme="majorBidi" w:hAnsiTheme="majorBidi" w:cstheme="majorBidi"/>
        </w:rPr>
        <w:t>accessed</w:t>
      </w:r>
      <w:r w:rsidR="00B234A3" w:rsidRPr="006F1082">
        <w:rPr>
          <w:rFonts w:asciiTheme="majorBidi" w:hAnsiTheme="majorBidi" w:cstheme="majorBidi"/>
        </w:rPr>
        <w:t> </w:t>
      </w:r>
      <w:r w:rsidRPr="006F1082">
        <w:rPr>
          <w:rFonts w:asciiTheme="majorBidi" w:hAnsiTheme="majorBidi" w:cstheme="majorBidi"/>
        </w:rPr>
        <w:t>May</w:t>
      </w:r>
      <w:r w:rsidR="00B234A3" w:rsidRPr="006F1082">
        <w:rPr>
          <w:rFonts w:asciiTheme="majorBidi" w:hAnsiTheme="majorBidi" w:cstheme="majorBidi"/>
        </w:rPr>
        <w:t> </w:t>
      </w:r>
      <w:r w:rsidRPr="006F1082">
        <w:rPr>
          <w:rFonts w:asciiTheme="majorBidi" w:hAnsiTheme="majorBidi" w:cstheme="majorBidi"/>
        </w:rPr>
        <w:t>5,</w:t>
      </w:r>
      <w:r w:rsidR="00B234A3" w:rsidRPr="006F1082">
        <w:rPr>
          <w:rFonts w:asciiTheme="majorBidi" w:hAnsiTheme="majorBidi" w:cstheme="majorBidi"/>
        </w:rPr>
        <w:t> </w:t>
      </w:r>
      <w:r w:rsidRPr="006F1082">
        <w:rPr>
          <w:rFonts w:asciiTheme="majorBidi" w:hAnsiTheme="majorBidi" w:cstheme="majorBidi"/>
        </w:rPr>
        <w:t xml:space="preserve">2021, </w:t>
      </w:r>
      <w:hyperlink r:id="rId15" w:history="1">
        <w:r w:rsidRPr="006F1082">
          <w:rPr>
            <w:rStyle w:val="Hypertextovodkaz"/>
            <w:rFonts w:asciiTheme="majorBidi" w:hAnsiTheme="majorBidi" w:cstheme="majorBidi"/>
          </w:rPr>
          <w:t>https://romaninscriptionsofbritain.org/inscriptions/436</w:t>
        </w:r>
      </w:hyperlink>
      <w:r w:rsidRPr="006F1082">
        <w:rPr>
          <w:rFonts w:asciiTheme="majorBidi" w:hAnsiTheme="majorBidi" w:cstheme="majorBidi"/>
        </w:rPr>
        <w:t xml:space="preserve">. </w:t>
      </w:r>
    </w:p>
  </w:footnote>
  <w:footnote w:id="73">
    <w:p w14:paraId="31474414" w14:textId="05882A94"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Walter Michael </w:t>
      </w:r>
      <w:r w:rsidRPr="006F1082">
        <w:rPr>
          <w:rFonts w:asciiTheme="majorBidi" w:hAnsiTheme="majorBidi" w:cstheme="majorBidi"/>
        </w:rPr>
        <w:t>Shandruk, “A Computational Approach to the Study of Magical Gems,” PhD. diss., (The University of Chicago, 2016), 43.</w:t>
      </w:r>
    </w:p>
  </w:footnote>
  <w:footnote w:id="74">
    <w:p w14:paraId="160B8457" w14:textId="00FB7FD6"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Ludwig </w:t>
      </w:r>
      <w:r w:rsidRPr="006F1082">
        <w:rPr>
          <w:rFonts w:asciiTheme="majorBidi" w:hAnsiTheme="majorBidi" w:cstheme="majorBidi"/>
        </w:rPr>
        <w:t xml:space="preserve">Blau and Kaufmann Kohler, “ABRAXAS or ABRASAX,” </w:t>
      </w:r>
      <w:r w:rsidRPr="006F1082">
        <w:rPr>
          <w:rFonts w:asciiTheme="majorBidi" w:hAnsiTheme="majorBidi" w:cstheme="majorBidi"/>
          <w:i/>
          <w:iCs/>
        </w:rPr>
        <w:t>Jewish Encyclopedia</w:t>
      </w:r>
      <w:r w:rsidRPr="006F1082">
        <w:rPr>
          <w:rFonts w:asciiTheme="majorBidi" w:hAnsiTheme="majorBidi" w:cstheme="majorBidi"/>
        </w:rPr>
        <w:t xml:space="preserve">, accessed May 5, 2021. </w:t>
      </w:r>
      <w:hyperlink r:id="rId16" w:history="1">
        <w:r w:rsidRPr="006F1082">
          <w:rPr>
            <w:rStyle w:val="Hypertextovodkaz"/>
            <w:rFonts w:asciiTheme="majorBidi" w:hAnsiTheme="majorBidi" w:cstheme="majorBidi"/>
          </w:rPr>
          <w:t>https://www.jewishencyclopedia.com/articles/633-abraxas</w:t>
        </w:r>
      </w:hyperlink>
      <w:r w:rsidRPr="006F1082">
        <w:rPr>
          <w:rFonts w:asciiTheme="majorBidi" w:hAnsiTheme="majorBidi" w:cstheme="majorBidi"/>
        </w:rPr>
        <w:t xml:space="preserve">., King, </w:t>
      </w:r>
      <w:r w:rsidRPr="006F1082">
        <w:rPr>
          <w:rFonts w:asciiTheme="majorBidi" w:hAnsiTheme="majorBidi" w:cstheme="majorBidi"/>
          <w:i/>
          <w:iCs/>
        </w:rPr>
        <w:t>The Gnostics and their remains</w:t>
      </w:r>
      <w:r w:rsidRPr="006F1082">
        <w:rPr>
          <w:rFonts w:asciiTheme="majorBidi" w:hAnsiTheme="majorBidi" w:cstheme="majorBidi"/>
        </w:rPr>
        <w:t>, 251.</w:t>
      </w:r>
    </w:p>
  </w:footnote>
  <w:footnote w:id="75">
    <w:p w14:paraId="52E0C59C" w14:textId="79F1842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Lynn Thorndike, </w:t>
      </w:r>
      <w:r w:rsidRPr="006F1082">
        <w:rPr>
          <w:rFonts w:asciiTheme="majorBidi" w:hAnsiTheme="majorBidi" w:cstheme="majorBidi"/>
          <w:i/>
          <w:iCs/>
        </w:rPr>
        <w:t>A History of Magic and Experimental Science During the First Thirteen Centuries of Our Era</w:t>
      </w:r>
      <w:r w:rsidRPr="006F1082">
        <w:rPr>
          <w:rFonts w:asciiTheme="majorBidi" w:hAnsiTheme="majorBidi" w:cstheme="majorBidi"/>
        </w:rPr>
        <w:t>, Volume I (New York: The Macmillan Company, 1929), 372.</w:t>
      </w:r>
    </w:p>
  </w:footnote>
  <w:footnote w:id="76">
    <w:p w14:paraId="7D368B13" w14:textId="45248882"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Attilio </w:t>
      </w:r>
      <w:r w:rsidRPr="006F1082">
        <w:rPr>
          <w:rFonts w:asciiTheme="majorBidi" w:hAnsiTheme="majorBidi" w:cstheme="majorBidi"/>
        </w:rPr>
        <w:t xml:space="preserve">Mastrocinque, </w:t>
      </w:r>
      <w:r w:rsidRPr="006F1082">
        <w:rPr>
          <w:rFonts w:asciiTheme="majorBidi" w:hAnsiTheme="majorBidi" w:cstheme="majorBidi"/>
          <w:i/>
          <w:iCs/>
        </w:rPr>
        <w:t>From Jewish Magic to Gnosticism</w:t>
      </w:r>
      <w:r w:rsidRPr="006F1082">
        <w:rPr>
          <w:rFonts w:asciiTheme="majorBidi" w:hAnsiTheme="majorBidi" w:cstheme="majorBidi"/>
        </w:rPr>
        <w:t xml:space="preserve">, Studien und Texte zu Antike und Christentum 24 (Tübingen: Mohr Siebeck, 2005), 172.; Campbell Bonner, </w:t>
      </w:r>
      <w:r w:rsidRPr="006F1082">
        <w:rPr>
          <w:rFonts w:asciiTheme="majorBidi" w:hAnsiTheme="majorBidi" w:cstheme="majorBidi"/>
          <w:i/>
          <w:iCs/>
        </w:rPr>
        <w:t>Studies in Magical Amulets: Chiefly Graeco-Egyptian</w:t>
      </w:r>
      <w:r w:rsidRPr="006F1082">
        <w:rPr>
          <w:rFonts w:asciiTheme="majorBidi" w:hAnsiTheme="majorBidi" w:cstheme="majorBidi"/>
        </w:rPr>
        <w:t xml:space="preserve"> (Ann Arbor: University of Michigan Press, 1950), 134.</w:t>
      </w:r>
    </w:p>
  </w:footnote>
  <w:footnote w:id="77">
    <w:p w14:paraId="0B5D987E" w14:textId="6138CFAD"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Pr="006F1082">
        <w:t xml:space="preserve">Bohak, </w:t>
      </w:r>
      <w:r w:rsidRPr="006F1082">
        <w:rPr>
          <w:i/>
          <w:iCs/>
        </w:rPr>
        <w:t>Ancient Jewish Magic</w:t>
      </w:r>
      <w:r w:rsidRPr="006F1082">
        <w:rPr>
          <w:rFonts w:asciiTheme="majorBidi" w:hAnsiTheme="majorBidi" w:cstheme="majorBidi"/>
        </w:rPr>
        <w:t>, 248.</w:t>
      </w:r>
    </w:p>
  </w:footnote>
  <w:footnote w:id="78">
    <w:p w14:paraId="1F9232B2" w14:textId="77777777" w:rsidR="0060029F" w:rsidRPr="006F1082" w:rsidRDefault="0060029F" w:rsidP="006F1082">
      <w:pPr>
        <w:pStyle w:val="Footnotes"/>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Pr="006F1082">
        <w:rPr>
          <w:rFonts w:asciiTheme="majorBidi" w:hAnsiTheme="majorBidi" w:cstheme="majorBidi"/>
        </w:rPr>
        <w:t xml:space="preserve">Preisendanz, </w:t>
      </w:r>
      <w:r w:rsidRPr="006F1082">
        <w:rPr>
          <w:rFonts w:asciiTheme="majorBidi" w:hAnsiTheme="majorBidi" w:cstheme="majorBidi"/>
          <w:i/>
          <w:iCs/>
        </w:rPr>
        <w:t>Papyri Graecae Magicae</w:t>
      </w:r>
      <w:r w:rsidRPr="006F1082">
        <w:rPr>
          <w:rFonts w:asciiTheme="majorBidi" w:hAnsiTheme="majorBidi" w:cstheme="majorBidi"/>
        </w:rPr>
        <w:t xml:space="preserve">,38.; Betz, </w:t>
      </w:r>
      <w:r w:rsidRPr="006F1082">
        <w:rPr>
          <w:rFonts w:asciiTheme="majorBidi" w:hAnsiTheme="majorBidi" w:cstheme="majorBidi"/>
          <w:i/>
          <w:iCs/>
        </w:rPr>
        <w:t>The Greek Magical Papyri in Translation</w:t>
      </w:r>
      <w:r w:rsidRPr="006F1082">
        <w:rPr>
          <w:rFonts w:asciiTheme="majorBidi" w:hAnsiTheme="majorBidi" w:cstheme="majorBidi"/>
        </w:rPr>
        <w:t>, 22.</w:t>
      </w:r>
    </w:p>
  </w:footnote>
  <w:footnote w:id="79">
    <w:p w14:paraId="46AF90F5" w14:textId="77777777" w:rsidR="0060029F" w:rsidRPr="006F1082" w:rsidRDefault="0060029F" w:rsidP="006F1082">
      <w:pPr>
        <w:pStyle w:val="Footnotes"/>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Pr="006F1082">
        <w:rPr>
          <w:rFonts w:asciiTheme="majorBidi" w:hAnsiTheme="majorBidi" w:cstheme="majorBidi"/>
        </w:rPr>
        <w:t xml:space="preserve">Preisendanz, </w:t>
      </w:r>
      <w:r w:rsidRPr="006F1082">
        <w:rPr>
          <w:rFonts w:asciiTheme="majorBidi" w:hAnsiTheme="majorBidi" w:cstheme="majorBidi"/>
          <w:i/>
          <w:iCs/>
        </w:rPr>
        <w:t>Papyri Graecae Magicae</w:t>
      </w:r>
      <w:r w:rsidRPr="006F1082">
        <w:rPr>
          <w:rFonts w:asciiTheme="majorBidi" w:hAnsiTheme="majorBidi" w:cstheme="majorBidi"/>
        </w:rPr>
        <w:t xml:space="preserve">, 24.; Betz, </w:t>
      </w:r>
      <w:r w:rsidRPr="006F1082">
        <w:rPr>
          <w:rFonts w:asciiTheme="majorBidi" w:hAnsiTheme="majorBidi" w:cstheme="majorBidi"/>
          <w:i/>
          <w:iCs/>
        </w:rPr>
        <w:t>The Greek Magical Papyri in Translation</w:t>
      </w:r>
      <w:r w:rsidRPr="006F1082">
        <w:rPr>
          <w:rFonts w:asciiTheme="majorBidi" w:hAnsiTheme="majorBidi" w:cstheme="majorBidi"/>
        </w:rPr>
        <w:t>, 14.</w:t>
      </w:r>
    </w:p>
  </w:footnote>
  <w:footnote w:id="80">
    <w:p w14:paraId="39700988" w14:textId="7AF6F3A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Gustav Davidson, </w:t>
      </w:r>
      <w:r w:rsidRPr="006F1082">
        <w:rPr>
          <w:rFonts w:asciiTheme="majorBidi" w:hAnsiTheme="majorBidi" w:cstheme="majorBidi"/>
          <w:i/>
          <w:iCs/>
        </w:rPr>
        <w:t>A Dictionary of Angels: Including the Fallen Angels</w:t>
      </w:r>
      <w:r w:rsidRPr="006F1082">
        <w:rPr>
          <w:rFonts w:asciiTheme="majorBidi" w:hAnsiTheme="majorBidi" w:cstheme="majorBidi"/>
        </w:rPr>
        <w:t xml:space="preserve"> (New York: The Free Press, 1971), 4.; </w:t>
      </w:r>
      <w:r w:rsidR="00FB7083" w:rsidRPr="006F1082">
        <w:rPr>
          <w:rFonts w:asciiTheme="majorBidi" w:hAnsiTheme="majorBidi" w:cstheme="majorBidi"/>
        </w:rPr>
        <w:t xml:space="preserve">Claude </w:t>
      </w:r>
      <w:r w:rsidR="00FB7083" w:rsidRPr="006F1082">
        <w:rPr>
          <w:rFonts w:asciiTheme="majorBidi" w:hAnsiTheme="majorBidi" w:cstheme="majorBidi"/>
        </w:rPr>
        <w:t>Lecouteux</w:t>
      </w:r>
      <w:r w:rsidR="00FB7083" w:rsidRPr="006F1082">
        <w:rPr>
          <w:rFonts w:asciiTheme="majorBidi" w:hAnsiTheme="majorBidi" w:cstheme="majorBidi"/>
          <w:i/>
          <w:iCs/>
        </w:rPr>
        <w:t>, Dictionary of Ancient Magic Words and Spells: From Abraxas to Zoar</w:t>
      </w:r>
      <w:r w:rsidR="00FB7083" w:rsidRPr="006F1082">
        <w:rPr>
          <w:rFonts w:asciiTheme="majorBidi" w:hAnsiTheme="majorBidi" w:cstheme="majorBidi"/>
        </w:rPr>
        <w:t>, translated by Jon E. Graham (Rochester: Inner Traditions, 2015), 8-9.</w:t>
      </w:r>
    </w:p>
  </w:footnote>
  <w:footnote w:id="81">
    <w:p w14:paraId="70A3FB7F" w14:textId="212E13C4"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Quintus </w:t>
      </w:r>
      <w:r w:rsidRPr="006F1082">
        <w:rPr>
          <w:rFonts w:asciiTheme="majorBidi" w:hAnsiTheme="majorBidi" w:cstheme="majorBidi"/>
        </w:rPr>
        <w:t xml:space="preserve">Serenus Sammonicus and Friedrich Vollmer, </w:t>
      </w:r>
      <w:r w:rsidRPr="006F1082">
        <w:rPr>
          <w:rFonts w:asciiTheme="majorBidi" w:hAnsiTheme="majorBidi" w:cstheme="majorBidi"/>
          <w:i/>
          <w:iCs/>
        </w:rPr>
        <w:t>Qvinti Sereni Liber Medicinalis</w:t>
      </w:r>
      <w:r w:rsidRPr="006F1082">
        <w:rPr>
          <w:rFonts w:asciiTheme="majorBidi" w:hAnsiTheme="majorBidi" w:cstheme="majorBidi"/>
        </w:rPr>
        <w:t xml:space="preserve"> (Leipzig and Berlin: B.G. Teubner, 1916), 45.; Don C. Skemer, </w:t>
      </w:r>
      <w:r w:rsidRPr="006F1082">
        <w:rPr>
          <w:rFonts w:asciiTheme="majorBidi" w:hAnsiTheme="majorBidi" w:cstheme="majorBidi"/>
          <w:i/>
          <w:iCs/>
        </w:rPr>
        <w:t>Binding Words: Textual Amulets in the Middle Ages</w:t>
      </w:r>
      <w:r w:rsidRPr="006F1082">
        <w:rPr>
          <w:rFonts w:asciiTheme="majorBidi" w:hAnsiTheme="majorBidi" w:cstheme="majorBidi"/>
        </w:rPr>
        <w:t xml:space="preserve"> (University Park: The Pennsylvania State University Press, 2006), 25.</w:t>
      </w:r>
    </w:p>
  </w:footnote>
  <w:footnote w:id="82">
    <w:p w14:paraId="5DF42727" w14:textId="62B7082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Pr="006F1082">
        <w:rPr>
          <w:rFonts w:asciiTheme="majorBidi" w:hAnsiTheme="majorBidi" w:cstheme="majorBidi"/>
        </w:rPr>
        <w:t xml:space="preserve">Skemer, </w:t>
      </w:r>
      <w:r w:rsidRPr="006F1082">
        <w:rPr>
          <w:rFonts w:asciiTheme="majorBidi" w:hAnsiTheme="majorBidi" w:cstheme="majorBidi"/>
          <w:i/>
          <w:iCs/>
        </w:rPr>
        <w:t>Binding Words</w:t>
      </w:r>
      <w:r w:rsidRPr="006F1082">
        <w:rPr>
          <w:rFonts w:asciiTheme="majorBidi" w:hAnsiTheme="majorBidi" w:cstheme="majorBidi"/>
        </w:rPr>
        <w:t xml:space="preserve">, 49, and 204; David Darling, </w:t>
      </w:r>
      <w:r w:rsidRPr="006F1082">
        <w:rPr>
          <w:rFonts w:asciiTheme="majorBidi" w:hAnsiTheme="majorBidi" w:cstheme="majorBidi"/>
          <w:i/>
          <w:iCs/>
        </w:rPr>
        <w:t>The Universal Book of Mathematics: From Abracadabra to Zeno’s Paradoxes</w:t>
      </w:r>
      <w:r w:rsidRPr="006F1082">
        <w:rPr>
          <w:rFonts w:asciiTheme="majorBidi" w:hAnsiTheme="majorBidi" w:cstheme="majorBidi"/>
        </w:rPr>
        <w:t xml:space="preserve"> (Hoboken: John Wiley &amp; Sons, Inc., 2004), 4-5. </w:t>
      </w:r>
    </w:p>
  </w:footnote>
  <w:footnote w:id="83">
    <w:p w14:paraId="7A8EF249" w14:textId="0E233513"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Pr="006F1082">
        <w:rPr>
          <w:rFonts w:asciiTheme="majorBidi" w:hAnsiTheme="majorBidi" w:cstheme="majorBidi"/>
        </w:rPr>
        <w:t>Lecouteux</w:t>
      </w:r>
      <w:r w:rsidRPr="006F1082">
        <w:rPr>
          <w:rFonts w:asciiTheme="majorBidi" w:hAnsiTheme="majorBidi" w:cstheme="majorBidi"/>
          <w:i/>
          <w:iCs/>
        </w:rPr>
        <w:t>, Dictionary of Ancient Magic Words and Spells</w:t>
      </w:r>
      <w:r w:rsidR="00FB7083" w:rsidRPr="006F1082">
        <w:rPr>
          <w:rFonts w:asciiTheme="majorBidi" w:hAnsiTheme="majorBidi" w:cstheme="majorBidi"/>
          <w:i/>
          <w:iCs/>
        </w:rPr>
        <w:t xml:space="preserve">, </w:t>
      </w:r>
      <w:r w:rsidRPr="006F1082">
        <w:rPr>
          <w:rFonts w:asciiTheme="majorBidi" w:hAnsiTheme="majorBidi" w:cstheme="majorBidi"/>
        </w:rPr>
        <w:t>8-</w:t>
      </w:r>
      <w:r w:rsidR="00FB7083" w:rsidRPr="006F1082">
        <w:rPr>
          <w:rFonts w:asciiTheme="majorBidi" w:hAnsiTheme="majorBidi" w:cstheme="majorBidi"/>
        </w:rPr>
        <w:t>9</w:t>
      </w:r>
      <w:r w:rsidRPr="006F1082">
        <w:rPr>
          <w:rFonts w:asciiTheme="majorBidi" w:hAnsiTheme="majorBidi" w:cstheme="majorBidi"/>
        </w:rPr>
        <w:t>.</w:t>
      </w:r>
    </w:p>
  </w:footnote>
  <w:footnote w:id="84">
    <w:p w14:paraId="6C2B7E73" w14:textId="4CB69F0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H. S </w:t>
      </w:r>
      <w:r w:rsidRPr="006F1082">
        <w:rPr>
          <w:rFonts w:asciiTheme="majorBidi" w:hAnsiTheme="majorBidi" w:cstheme="majorBidi"/>
        </w:rPr>
        <w:t xml:space="preserve">Versnel, “The Poetics of the Magical Charm: An Essay on the Power of Words,” in </w:t>
      </w:r>
      <w:r w:rsidRPr="006F1082">
        <w:rPr>
          <w:rFonts w:asciiTheme="majorBidi" w:hAnsiTheme="majorBidi" w:cstheme="majorBidi"/>
          <w:i/>
          <w:iCs/>
        </w:rPr>
        <w:t>Magical and Ritual in the Ancient World</w:t>
      </w:r>
      <w:r w:rsidRPr="006F1082">
        <w:rPr>
          <w:rFonts w:asciiTheme="majorBidi" w:hAnsiTheme="majorBidi" w:cstheme="majorBidi"/>
        </w:rPr>
        <w:t>, edited by Paul Mirecki and Marvin Meyer (Leiden: Brill, 2015), 108.</w:t>
      </w:r>
    </w:p>
  </w:footnote>
  <w:footnote w:id="85">
    <w:p w14:paraId="04DEDA77" w14:textId="57E2494F"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115.</w:t>
      </w:r>
    </w:p>
  </w:footnote>
  <w:footnote w:id="86">
    <w:p w14:paraId="60DD9A5F" w14:textId="14E3DC76"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Pr="006F1082">
        <w:rPr>
          <w:rFonts w:asciiTheme="majorBidi" w:hAnsiTheme="majorBidi" w:cstheme="majorBidi"/>
        </w:rPr>
        <w:t xml:space="preserve">Aina Urdze, </w:t>
      </w:r>
      <w:r w:rsidRPr="006F1082">
        <w:rPr>
          <w:rFonts w:asciiTheme="majorBidi" w:hAnsiTheme="majorBidi" w:cstheme="majorBidi"/>
          <w:i/>
          <w:iCs/>
        </w:rPr>
        <w:t>Non-Prototypical Reduplication</w:t>
      </w:r>
      <w:r w:rsidRPr="006F1082">
        <w:rPr>
          <w:rFonts w:asciiTheme="majorBidi" w:hAnsiTheme="majorBidi" w:cstheme="majorBidi"/>
        </w:rPr>
        <w:t xml:space="preserve"> (Berlin and Boston: De Gruyter Mouton, 2018), 117-118. </w:t>
      </w:r>
    </w:p>
  </w:footnote>
  <w:footnote w:id="87">
    <w:p w14:paraId="0AEA48D6" w14:textId="111A1288"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 xml:space="preserve">Betz, </w:t>
      </w:r>
      <w:r w:rsidRPr="006F1082">
        <w:rPr>
          <w:rFonts w:asciiTheme="majorBidi" w:hAnsiTheme="majorBidi" w:cstheme="majorBidi"/>
          <w:i/>
          <w:iCs/>
        </w:rPr>
        <w:t>The Greek Magical Papyri in Translation</w:t>
      </w:r>
      <w:r w:rsidRPr="006F1082">
        <w:rPr>
          <w:rFonts w:asciiTheme="majorBidi" w:hAnsiTheme="majorBidi" w:cstheme="majorBidi"/>
        </w:rPr>
        <w:t xml:space="preserve">, </w:t>
      </w:r>
      <w:r w:rsidRPr="006F1082">
        <w:t>297.</w:t>
      </w:r>
    </w:p>
  </w:footnote>
  <w:footnote w:id="88">
    <w:p w14:paraId="58F8F981" w14:textId="77777777" w:rsidR="00A84A9A" w:rsidRPr="006F1082" w:rsidRDefault="00A84A9A" w:rsidP="006F1082">
      <w:pPr>
        <w:pStyle w:val="Footnotes"/>
      </w:pPr>
      <w:r w:rsidRPr="006F1082">
        <w:rPr>
          <w:rStyle w:val="Znakapoznpodarou"/>
        </w:rPr>
        <w:footnoteRef/>
      </w:r>
      <w:r w:rsidRPr="006F1082">
        <w:t xml:space="preserve"> Ibid., 302</w:t>
      </w:r>
    </w:p>
  </w:footnote>
  <w:footnote w:id="89">
    <w:p w14:paraId="6288B9CE" w14:textId="6A3842B5"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Pr="006F1082">
        <w:t>Ibid, 57, and 103.</w:t>
      </w:r>
    </w:p>
  </w:footnote>
  <w:footnote w:id="90">
    <w:p w14:paraId="407AAAFE" w14:textId="2445A8A1" w:rsidR="00A84A9A" w:rsidRPr="006F1082" w:rsidRDefault="00A84A9A" w:rsidP="006F1082">
      <w:pPr>
        <w:pStyle w:val="Footnotes"/>
      </w:pPr>
      <w:r w:rsidRPr="006F1082">
        <w:rPr>
          <w:rStyle w:val="Znakapoznpodarou"/>
        </w:rPr>
        <w:footnoteRef/>
      </w:r>
      <w:r w:rsidRPr="006F1082">
        <w:t xml:space="preserve"> April D. </w:t>
      </w:r>
      <w:r w:rsidRPr="006F1082">
        <w:t xml:space="preserve">DeConick, “Introductio,” in </w:t>
      </w:r>
      <w:r w:rsidRPr="006F1082">
        <w:rPr>
          <w:i/>
          <w:iCs/>
        </w:rPr>
        <w:t>Practicing Gnosis: Ritual, Magic, Theurgy and Liturgy in Nag Hammadi, Manichean and Other Ancient Literature</w:t>
      </w:r>
      <w:r w:rsidRPr="006F1082">
        <w:t>, edited by April D. DeConick, Gregory Shaw, and John D. Turner (Leiden and Boston: Brill, 2013), 1.</w:t>
      </w:r>
    </w:p>
  </w:footnote>
  <w:footnote w:id="91">
    <w:p w14:paraId="3CFEAC6A" w14:textId="7F8D57FE" w:rsidR="00A84A9A" w:rsidRPr="006F1082" w:rsidRDefault="00A84A9A" w:rsidP="006F1082">
      <w:pPr>
        <w:pStyle w:val="Footnotes"/>
      </w:pPr>
      <w:r w:rsidRPr="006F1082">
        <w:rPr>
          <w:rStyle w:val="Znakapoznpodarou"/>
        </w:rPr>
        <w:footnoteRef/>
      </w:r>
      <w:r w:rsidRPr="006F1082">
        <w:t xml:space="preserve"> Gershom </w:t>
      </w:r>
      <w:r w:rsidRPr="006F1082">
        <w:t xml:space="preserve">Scholem, </w:t>
      </w:r>
      <w:r w:rsidRPr="006F1082">
        <w:rPr>
          <w:i/>
          <w:iCs/>
        </w:rPr>
        <w:t>Jewish Gnosticism, Merkabah Mysticism, and Talmudic Tradition</w:t>
      </w:r>
      <w:r w:rsidRPr="006F1082">
        <w:t xml:space="preserve"> (New York: The Jewish Theological Seminary of America, 1965), 2.</w:t>
      </w:r>
    </w:p>
  </w:footnote>
  <w:footnote w:id="92">
    <w:p w14:paraId="112925B1" w14:textId="3423B20D" w:rsidR="00A84A9A" w:rsidRPr="006F1082" w:rsidRDefault="00A84A9A" w:rsidP="006F1082">
      <w:pPr>
        <w:pStyle w:val="Footnotes"/>
      </w:pPr>
      <w:r w:rsidRPr="006F1082">
        <w:rPr>
          <w:rStyle w:val="Znakapoznpodarou"/>
        </w:rPr>
        <w:footnoteRef/>
      </w:r>
      <w:r w:rsidRPr="006F1082">
        <w:t xml:space="preserve"> James M. Robison, “Introduction,” in </w:t>
      </w:r>
      <w:r w:rsidRPr="006F1082">
        <w:rPr>
          <w:i/>
          <w:iCs/>
        </w:rPr>
        <w:t>The Nag Hammadi Library in English</w:t>
      </w:r>
      <w:r w:rsidRPr="006F1082">
        <w:t xml:space="preserve">, edited by James M. Robinson (San Francisco: </w:t>
      </w:r>
      <w:r w:rsidRPr="006F1082">
        <w:t>HarperSanFrancisco, 1990), 1, and 9.</w:t>
      </w:r>
    </w:p>
  </w:footnote>
  <w:footnote w:id="93">
    <w:p w14:paraId="7297C034" w14:textId="5084B3D5" w:rsidR="00A84A9A" w:rsidRPr="006F1082" w:rsidRDefault="00A84A9A" w:rsidP="006F1082">
      <w:pPr>
        <w:pStyle w:val="Footnotes"/>
      </w:pPr>
      <w:r w:rsidRPr="006F1082">
        <w:rPr>
          <w:rStyle w:val="Znakapoznpodarou"/>
        </w:rPr>
        <w:footnoteRef/>
      </w:r>
      <w:r w:rsidRPr="006F1082">
        <w:t xml:space="preserve"> Wolf B. </w:t>
      </w:r>
      <w:r w:rsidRPr="006F1082">
        <w:t xml:space="preserve">Oerter, “Úvod,” in </w:t>
      </w:r>
      <w:r w:rsidRPr="006F1082">
        <w:rPr>
          <w:i/>
          <w:iCs/>
        </w:rPr>
        <w:t>Rukopisy z Nag Hammádí</w:t>
      </w:r>
      <w:r w:rsidRPr="006F1082">
        <w:t xml:space="preserve"> 5, edited by Wolf B. Oerter and Zuzana Vítková (Praha: Vyšehrad, 2018), 17, and 33.</w:t>
      </w:r>
    </w:p>
  </w:footnote>
  <w:footnote w:id="94">
    <w:p w14:paraId="42B580FA" w14:textId="6A16D4C4" w:rsidR="00A84A9A" w:rsidRPr="006F1082" w:rsidRDefault="00A84A9A" w:rsidP="006F1082">
      <w:pPr>
        <w:pStyle w:val="Footnotes"/>
      </w:pPr>
      <w:r w:rsidRPr="006F1082">
        <w:rPr>
          <w:rStyle w:val="Znakapoznpodarou"/>
        </w:rPr>
        <w:footnoteRef/>
      </w:r>
      <w:r w:rsidRPr="006F1082">
        <w:t xml:space="preserve"> </w:t>
      </w:r>
      <w:r w:rsidR="00A21C19" w:rsidRPr="006F1082">
        <w:t xml:space="preserve">“Nag Hammadi Archive: </w:t>
      </w:r>
      <w:r w:rsidRPr="006F1082">
        <w:t>Codex III, p</w:t>
      </w:r>
      <w:r w:rsidR="00A21C19" w:rsidRPr="006F1082">
        <w:t xml:space="preserve">apyrus page </w:t>
      </w:r>
      <w:r w:rsidRPr="006F1082">
        <w:t>52</w:t>
      </w:r>
      <w:r w:rsidR="00A21C19" w:rsidRPr="006F1082">
        <w:t xml:space="preserve">,” </w:t>
      </w:r>
      <w:r w:rsidR="00A21C19" w:rsidRPr="006F1082">
        <w:rPr>
          <w:i/>
          <w:iCs/>
        </w:rPr>
        <w:t>The Claremont Colleges: Digital Library,</w:t>
      </w:r>
      <w:r w:rsidRPr="006F1082">
        <w:t xml:space="preserve"> line 26</w:t>
      </w:r>
      <w:r w:rsidR="00203F53" w:rsidRPr="006F1082">
        <w:t>,</w:t>
      </w:r>
      <w:r w:rsidRPr="006F1082">
        <w:t xml:space="preserve"> </w:t>
      </w:r>
      <w:hyperlink r:id="rId17" w:history="1">
        <w:r w:rsidRPr="006F1082">
          <w:rPr>
            <w:rStyle w:val="Hypertextovodkaz"/>
          </w:rPr>
          <w:t>https://ccdl.claremont.edu/digital/collection/nha/id/2970/rec/119</w:t>
        </w:r>
      </w:hyperlink>
      <w:r w:rsidRPr="006F1082">
        <w:t>;</w:t>
      </w:r>
      <w:r w:rsidR="00203F53" w:rsidRPr="006F1082">
        <w:t xml:space="preserve"> </w:t>
      </w:r>
      <w:r w:rsidR="00A21C19" w:rsidRPr="006F1082">
        <w:t>“Nag Hammadi Archive: Codex III, papyrus</w:t>
      </w:r>
      <w:r w:rsidR="00B234A3" w:rsidRPr="006F1082">
        <w:t> </w:t>
      </w:r>
      <w:r w:rsidR="00A21C19" w:rsidRPr="006F1082">
        <w:t>page</w:t>
      </w:r>
      <w:r w:rsidR="00B234A3" w:rsidRPr="006F1082">
        <w:t> </w:t>
      </w:r>
      <w:r w:rsidR="00A21C19" w:rsidRPr="006F1082">
        <w:t>5</w:t>
      </w:r>
      <w:r w:rsidR="00203F53" w:rsidRPr="006F1082">
        <w:t>3</w:t>
      </w:r>
      <w:r w:rsidR="00A21C19" w:rsidRPr="006F1082">
        <w:t>,”</w:t>
      </w:r>
      <w:r w:rsidR="00B234A3" w:rsidRPr="006F1082">
        <w:t> </w:t>
      </w:r>
      <w:r w:rsidR="00A21C19" w:rsidRPr="006F1082">
        <w:rPr>
          <w:i/>
          <w:iCs/>
        </w:rPr>
        <w:t>The</w:t>
      </w:r>
      <w:r w:rsidR="00B234A3" w:rsidRPr="006F1082">
        <w:rPr>
          <w:i/>
          <w:iCs/>
        </w:rPr>
        <w:t> </w:t>
      </w:r>
      <w:r w:rsidR="00A21C19" w:rsidRPr="006F1082">
        <w:rPr>
          <w:i/>
          <w:iCs/>
        </w:rPr>
        <w:t>Claremont</w:t>
      </w:r>
      <w:r w:rsidR="00B234A3" w:rsidRPr="006F1082">
        <w:rPr>
          <w:i/>
          <w:iCs/>
        </w:rPr>
        <w:t> </w:t>
      </w:r>
      <w:r w:rsidR="00A21C19" w:rsidRPr="006F1082">
        <w:rPr>
          <w:i/>
          <w:iCs/>
        </w:rPr>
        <w:t>Colleges:</w:t>
      </w:r>
      <w:r w:rsidR="00B234A3" w:rsidRPr="006F1082">
        <w:rPr>
          <w:i/>
          <w:iCs/>
        </w:rPr>
        <w:t> </w:t>
      </w:r>
      <w:r w:rsidR="00A21C19" w:rsidRPr="006F1082">
        <w:rPr>
          <w:i/>
          <w:iCs/>
        </w:rPr>
        <w:t>Digital</w:t>
      </w:r>
      <w:r w:rsidR="00B234A3" w:rsidRPr="006F1082">
        <w:rPr>
          <w:i/>
          <w:iCs/>
        </w:rPr>
        <w:t> </w:t>
      </w:r>
      <w:r w:rsidR="00A21C19" w:rsidRPr="006F1082">
        <w:rPr>
          <w:i/>
          <w:iCs/>
        </w:rPr>
        <w:t>Library,</w:t>
      </w:r>
      <w:r w:rsidR="00B234A3" w:rsidRPr="006F1082">
        <w:t> </w:t>
      </w:r>
      <w:r w:rsidR="00A21C19" w:rsidRPr="006F1082">
        <w:t>line</w:t>
      </w:r>
      <w:r w:rsidR="00B234A3" w:rsidRPr="006F1082">
        <w:t> </w:t>
      </w:r>
      <w:r w:rsidRPr="006F1082">
        <w:t>9-10</w:t>
      </w:r>
      <w:r w:rsidR="00203F53" w:rsidRPr="006F1082">
        <w:t>,</w:t>
      </w:r>
      <w:r w:rsidR="00B234A3" w:rsidRPr="006F1082">
        <w:t xml:space="preserve"> </w:t>
      </w:r>
      <w:hyperlink r:id="rId18" w:history="1">
        <w:r w:rsidR="00B234A3" w:rsidRPr="006F1082">
          <w:rPr>
            <w:rStyle w:val="Hypertextovodkaz"/>
          </w:rPr>
          <w:t>https://ccdl.claremont.edu/digital/collection/nha/id/2978/rec/120</w:t>
        </w:r>
      </w:hyperlink>
      <w:r w:rsidRPr="006F1082">
        <w:t>;</w:t>
      </w:r>
      <w:r w:rsidR="00B234A3" w:rsidRPr="006F1082">
        <w:t> </w:t>
      </w:r>
      <w:r w:rsidR="00203F53" w:rsidRPr="006F1082">
        <w:t>“Nag</w:t>
      </w:r>
      <w:r w:rsidR="00B234A3" w:rsidRPr="006F1082">
        <w:t> </w:t>
      </w:r>
      <w:r w:rsidR="00203F53" w:rsidRPr="006F1082">
        <w:t>Hammadi</w:t>
      </w:r>
      <w:r w:rsidR="00B234A3" w:rsidRPr="006F1082">
        <w:t> </w:t>
      </w:r>
      <w:r w:rsidR="00203F53" w:rsidRPr="006F1082">
        <w:t>Archive:</w:t>
      </w:r>
      <w:r w:rsidR="00B234A3" w:rsidRPr="006F1082">
        <w:t> </w:t>
      </w:r>
      <w:r w:rsidR="00203F53" w:rsidRPr="006F1082">
        <w:t>Codex</w:t>
      </w:r>
      <w:r w:rsidR="00B234A3" w:rsidRPr="006F1082">
        <w:t> </w:t>
      </w:r>
      <w:r w:rsidR="00203F53" w:rsidRPr="006F1082">
        <w:t>III, papyrus</w:t>
      </w:r>
      <w:r w:rsidR="00B234A3" w:rsidRPr="006F1082">
        <w:t> </w:t>
      </w:r>
      <w:r w:rsidR="00203F53" w:rsidRPr="006F1082">
        <w:t>page</w:t>
      </w:r>
      <w:r w:rsidR="00B234A3" w:rsidRPr="006F1082">
        <w:t> </w:t>
      </w:r>
      <w:r w:rsidR="00203F53" w:rsidRPr="006F1082">
        <w:t>65,”</w:t>
      </w:r>
      <w:r w:rsidR="00B234A3" w:rsidRPr="006F1082">
        <w:t> </w:t>
      </w:r>
      <w:r w:rsidR="00203F53" w:rsidRPr="006F1082">
        <w:rPr>
          <w:i/>
          <w:iCs/>
        </w:rPr>
        <w:t>The</w:t>
      </w:r>
      <w:r w:rsidR="00B234A3" w:rsidRPr="006F1082">
        <w:rPr>
          <w:i/>
          <w:iCs/>
        </w:rPr>
        <w:t> </w:t>
      </w:r>
      <w:r w:rsidR="00203F53" w:rsidRPr="006F1082">
        <w:rPr>
          <w:i/>
          <w:iCs/>
        </w:rPr>
        <w:t>Claremont</w:t>
      </w:r>
      <w:r w:rsidR="00B234A3" w:rsidRPr="006F1082">
        <w:rPr>
          <w:i/>
          <w:iCs/>
        </w:rPr>
        <w:t> </w:t>
      </w:r>
      <w:r w:rsidR="00203F53" w:rsidRPr="006F1082">
        <w:rPr>
          <w:i/>
          <w:iCs/>
        </w:rPr>
        <w:t>Colleges:</w:t>
      </w:r>
      <w:r w:rsidR="00B234A3" w:rsidRPr="006F1082">
        <w:rPr>
          <w:i/>
          <w:iCs/>
        </w:rPr>
        <w:t> </w:t>
      </w:r>
      <w:r w:rsidR="00203F53" w:rsidRPr="006F1082">
        <w:rPr>
          <w:i/>
          <w:iCs/>
        </w:rPr>
        <w:t>Digital</w:t>
      </w:r>
      <w:r w:rsidR="00B234A3" w:rsidRPr="006F1082">
        <w:rPr>
          <w:i/>
          <w:iCs/>
        </w:rPr>
        <w:t> </w:t>
      </w:r>
      <w:r w:rsidR="00203F53" w:rsidRPr="006F1082">
        <w:rPr>
          <w:i/>
          <w:iCs/>
        </w:rPr>
        <w:t>Library,</w:t>
      </w:r>
      <w:r w:rsidR="00B234A3" w:rsidRPr="006F1082">
        <w:t> </w:t>
      </w:r>
      <w:r w:rsidR="00203F53" w:rsidRPr="006F1082">
        <w:t>line</w:t>
      </w:r>
      <w:r w:rsidR="00B234A3" w:rsidRPr="006F1082">
        <w:t> </w:t>
      </w:r>
      <w:r w:rsidRPr="006F1082">
        <w:t>1</w:t>
      </w:r>
      <w:r w:rsidR="00203F53" w:rsidRPr="006F1082">
        <w:t xml:space="preserve">, </w:t>
      </w:r>
      <w:hyperlink r:id="rId19" w:history="1">
        <w:r w:rsidR="00203F53" w:rsidRPr="006F1082">
          <w:rPr>
            <w:rStyle w:val="Hypertextovodkaz"/>
          </w:rPr>
          <w:t>https://ccdl.claremont.edu/digital/collection/nha/id/3006/rec/133</w:t>
        </w:r>
      </w:hyperlink>
      <w:r w:rsidR="00203F53" w:rsidRPr="006F1082">
        <w:t>, accessed May 5, 2021.</w:t>
      </w:r>
    </w:p>
  </w:footnote>
  <w:footnote w:id="95">
    <w:p w14:paraId="4821DAD9" w14:textId="4C9C1B10" w:rsidR="00A84A9A" w:rsidRPr="006F1082" w:rsidRDefault="00A84A9A" w:rsidP="006F1082">
      <w:pPr>
        <w:pStyle w:val="Footnotes"/>
      </w:pPr>
      <w:r w:rsidRPr="006F1082">
        <w:rPr>
          <w:rStyle w:val="Znakapoznpodarou"/>
        </w:rPr>
        <w:footnoteRef/>
      </w:r>
      <w:r w:rsidRPr="006F1082">
        <w:t xml:space="preserve"> </w:t>
      </w:r>
      <w:r w:rsidR="00203F53" w:rsidRPr="006F1082">
        <w:t xml:space="preserve">“Nag Hammadi Archive: Codex V, papyrus page 75,” </w:t>
      </w:r>
      <w:r w:rsidR="00203F53" w:rsidRPr="006F1082">
        <w:rPr>
          <w:i/>
          <w:iCs/>
        </w:rPr>
        <w:t>The Claremont Colleges: Digital Library,</w:t>
      </w:r>
      <w:r w:rsidR="00203F53" w:rsidRPr="006F1082">
        <w:t xml:space="preserve"> line </w:t>
      </w:r>
      <w:r w:rsidRPr="006F1082">
        <w:t>22</w:t>
      </w:r>
      <w:r w:rsidR="00203F53" w:rsidRPr="006F1082">
        <w:t>,</w:t>
      </w:r>
      <w:r w:rsidRPr="006F1082">
        <w:t xml:space="preserve"> </w:t>
      </w:r>
      <w:r w:rsidR="00203F53" w:rsidRPr="006F1082">
        <w:t xml:space="preserve">accessed May 5, 2021, </w:t>
      </w:r>
      <w:hyperlink r:id="rId20" w:history="1">
        <w:r w:rsidR="00203F53" w:rsidRPr="006F1082">
          <w:rPr>
            <w:rStyle w:val="Hypertextovodkaz"/>
          </w:rPr>
          <w:t>https://ccdl.claremont.edu/digital/collection/nha/id/2600/rec/168</w:t>
        </w:r>
      </w:hyperlink>
      <w:r w:rsidR="00203F53" w:rsidRPr="006F1082">
        <w:rPr>
          <w:rStyle w:val="Hypertextovodkaz"/>
        </w:rPr>
        <w:t>.</w:t>
      </w:r>
      <w:r w:rsidRPr="006F1082">
        <w:t xml:space="preserve"> </w:t>
      </w:r>
    </w:p>
  </w:footnote>
  <w:footnote w:id="96">
    <w:p w14:paraId="55D5A37A" w14:textId="736ED8EB" w:rsidR="00A84A9A" w:rsidRPr="006F1082" w:rsidRDefault="00A84A9A" w:rsidP="006F1082">
      <w:pPr>
        <w:pStyle w:val="Footnotes"/>
      </w:pPr>
      <w:r w:rsidRPr="006F1082">
        <w:rPr>
          <w:rStyle w:val="Znakapoznpodarou"/>
        </w:rPr>
        <w:footnoteRef/>
      </w:r>
      <w:r w:rsidRPr="006F1082">
        <w:t xml:space="preserve"> </w:t>
      </w:r>
      <w:r w:rsidR="00203F53" w:rsidRPr="006F1082">
        <w:t xml:space="preserve">“Nag Hammadi Archive: Codex VIII, papyrus page 47,” </w:t>
      </w:r>
      <w:r w:rsidR="00203F53" w:rsidRPr="006F1082">
        <w:rPr>
          <w:i/>
          <w:iCs/>
        </w:rPr>
        <w:t>The Claremont Colleges: Digital Library,</w:t>
      </w:r>
      <w:r w:rsidR="00203F53" w:rsidRPr="006F1082">
        <w:t xml:space="preserve"> line </w:t>
      </w:r>
      <w:r w:rsidRPr="006F1082">
        <w:t>13</w:t>
      </w:r>
      <w:r w:rsidR="00203F53" w:rsidRPr="006F1082">
        <w:t>, accessed May 5, 2021,</w:t>
      </w:r>
      <w:r w:rsidRPr="006F1082">
        <w:t xml:space="preserve"> </w:t>
      </w:r>
      <w:hyperlink r:id="rId21" w:history="1">
        <w:r w:rsidRPr="006F1082">
          <w:rPr>
            <w:rStyle w:val="Hypertextovodkaz"/>
          </w:rPr>
          <w:t>https://ccdl.claremont.edu/digital/collection/nha/id/3511/rec/253</w:t>
        </w:r>
      </w:hyperlink>
      <w:r w:rsidR="00203F53" w:rsidRPr="006F1082">
        <w:t xml:space="preserve">; </w:t>
      </w:r>
      <w:r w:rsidRPr="006F1082">
        <w:t>the reading is worsened by the damaged papyri material; the first and the second letter alfa are missing, however</w:t>
      </w:r>
      <w:r w:rsidR="00203F53" w:rsidRPr="006F1082">
        <w:t>,</w:t>
      </w:r>
      <w:r w:rsidRPr="006F1082">
        <w:t xml:space="preserve"> the rest of the letter matches A</w:t>
      </w:r>
      <w:r w:rsidR="00203F53" w:rsidRPr="006F1082">
        <w:t>BRASAX</w:t>
      </w:r>
      <w:r w:rsidRPr="006F1082">
        <w:t xml:space="preserve">, </w:t>
      </w:r>
      <w:r w:rsidRPr="006F1082">
        <w:rPr>
          <w:rFonts w:ascii="Segoe UI Historic" w:hAnsi="Segoe UI Historic" w:cs="Segoe UI Historic"/>
        </w:rPr>
        <w:t>.ⲂⲢ.ⲤⲀⲜ</w:t>
      </w:r>
      <w:r w:rsidR="00203F53" w:rsidRPr="006F1082">
        <w:t>.</w:t>
      </w:r>
    </w:p>
  </w:footnote>
  <w:footnote w:id="97">
    <w:p w14:paraId="7FED67B1" w14:textId="114001F2" w:rsidR="00A84A9A" w:rsidRPr="006F1082" w:rsidRDefault="00A84A9A" w:rsidP="006F1082">
      <w:pPr>
        <w:pStyle w:val="Footnotes"/>
      </w:pPr>
      <w:r w:rsidRPr="006F1082">
        <w:rPr>
          <w:rStyle w:val="Znakapoznpodarou"/>
        </w:rPr>
        <w:footnoteRef/>
      </w:r>
      <w:r w:rsidRPr="006F1082">
        <w:t xml:space="preserve"> Frederik </w:t>
      </w:r>
      <w:r w:rsidRPr="006F1082">
        <w:t xml:space="preserve">Wisse, “The Apocryphon of John (II, 1, III, 1, IV, 1, and BG 8502, 2),” in </w:t>
      </w:r>
      <w:r w:rsidRPr="006F1082">
        <w:rPr>
          <w:i/>
          <w:iCs/>
        </w:rPr>
        <w:t xml:space="preserve">The Nag Hammadi Library in English, </w:t>
      </w:r>
      <w:r w:rsidRPr="006F1082">
        <w:t>edited by James M. Robinson (San Francisco: HarperSanFrancisco, 1990), 114.</w:t>
      </w:r>
    </w:p>
  </w:footnote>
  <w:footnote w:id="98">
    <w:p w14:paraId="51AFF27A" w14:textId="4AEA44AC" w:rsidR="00A84A9A" w:rsidRPr="006F1082" w:rsidRDefault="00A84A9A" w:rsidP="006F1082">
      <w:pPr>
        <w:pStyle w:val="Footnotes"/>
      </w:pPr>
      <w:r w:rsidRPr="006F1082">
        <w:rPr>
          <w:rStyle w:val="Znakapoznpodarou"/>
        </w:rPr>
        <w:footnoteRef/>
      </w:r>
      <w:r w:rsidRPr="006F1082">
        <w:t xml:space="preserve"> </w:t>
      </w:r>
      <w:r w:rsidR="00203F53" w:rsidRPr="006F1082">
        <w:t xml:space="preserve">“Nag Hammadi Archive: Codex II, papyrus page 17,” </w:t>
      </w:r>
      <w:r w:rsidR="00203F53" w:rsidRPr="006F1082">
        <w:rPr>
          <w:i/>
          <w:iCs/>
        </w:rPr>
        <w:t>The Claremont Colleges: Digital Library,</w:t>
      </w:r>
      <w:r w:rsidR="00203F53" w:rsidRPr="006F1082">
        <w:t xml:space="preserve"> line 13, accessed May 5, 2021,</w:t>
      </w:r>
      <w:r w:rsidRPr="006F1082">
        <w:t xml:space="preserve"> </w:t>
      </w:r>
      <w:hyperlink r:id="rId22" w:history="1">
        <w:r w:rsidRPr="006F1082">
          <w:rPr>
            <w:rStyle w:val="Hypertextovodkaz"/>
          </w:rPr>
          <w:t>https://ccdl.claremont.edu/digital/collection/nha/id/2783/rec/63</w:t>
        </w:r>
      </w:hyperlink>
      <w:r w:rsidR="00203F53" w:rsidRPr="006F1082">
        <w:rPr>
          <w:rStyle w:val="Hypertextovodkaz"/>
        </w:rPr>
        <w:t>.</w:t>
      </w:r>
      <w:r w:rsidRPr="006F1082">
        <w:t xml:space="preserve"> </w:t>
      </w:r>
    </w:p>
  </w:footnote>
  <w:footnote w:id="99">
    <w:p w14:paraId="65F611DA" w14:textId="1B24A524" w:rsidR="00A84A9A" w:rsidRPr="006F1082" w:rsidRDefault="00A84A9A" w:rsidP="006F1082">
      <w:pPr>
        <w:pStyle w:val="Footnotes"/>
      </w:pPr>
      <w:r w:rsidRPr="006F1082">
        <w:rPr>
          <w:rStyle w:val="Znakapoznpodarou"/>
        </w:rPr>
        <w:footnoteRef/>
      </w:r>
      <w:r w:rsidRPr="006F1082">
        <w:t xml:space="preserve"> </w:t>
      </w:r>
      <w:r w:rsidRPr="006F1082">
        <w:t>Wisse, “The Apocryphon of John“, 115.</w:t>
      </w:r>
    </w:p>
  </w:footnote>
  <w:footnote w:id="100">
    <w:p w14:paraId="2C17C8BD" w14:textId="04C00C50" w:rsidR="00A84A9A" w:rsidRPr="006F1082" w:rsidRDefault="00A84A9A" w:rsidP="006F1082">
      <w:pPr>
        <w:pStyle w:val="Footnotes"/>
      </w:pPr>
      <w:r w:rsidRPr="006F1082">
        <w:rPr>
          <w:rStyle w:val="Znakapoznpodarou"/>
        </w:rPr>
        <w:footnoteRef/>
      </w:r>
      <w:r w:rsidRPr="006F1082">
        <w:t xml:space="preserve"> </w:t>
      </w:r>
      <w:r w:rsidR="00203F53" w:rsidRPr="006F1082">
        <w:t>“Nag Hammadi Archive: Codex II, papyrus page 17,”</w:t>
      </w:r>
      <w:r w:rsidR="00D42CCF" w:rsidRPr="006F1082">
        <w:t xml:space="preserve"> </w:t>
      </w:r>
      <w:r w:rsidR="00203F53" w:rsidRPr="006F1082">
        <w:t>line 34</w:t>
      </w:r>
      <w:r w:rsidR="00D42CCF" w:rsidRPr="006F1082">
        <w:t>.</w:t>
      </w:r>
      <w:r w:rsidRPr="006F1082">
        <w:t xml:space="preserve"> </w:t>
      </w:r>
    </w:p>
  </w:footnote>
  <w:footnote w:id="101">
    <w:p w14:paraId="277CCDC2" w14:textId="3632A076" w:rsidR="00A84A9A" w:rsidRPr="006F1082" w:rsidRDefault="00A84A9A" w:rsidP="006F1082">
      <w:pPr>
        <w:pStyle w:val="Footnotes"/>
      </w:pPr>
      <w:r w:rsidRPr="006F1082">
        <w:rPr>
          <w:rStyle w:val="Znakapoznpodarou"/>
        </w:rPr>
        <w:footnoteRef/>
      </w:r>
      <w:r w:rsidRPr="006F1082">
        <w:t xml:space="preserve"> Pavel </w:t>
      </w:r>
      <w:r w:rsidRPr="006F1082">
        <w:t xml:space="preserve">Ryneš, “Svatá kniha velkého neviditelného Ducha (Evangelium Egypťanů) (NHC III/2, 40, 12-69, 20 and IV/2, 50, 1-81, 2),” in </w:t>
      </w:r>
      <w:r w:rsidRPr="006F1082">
        <w:rPr>
          <w:i/>
          <w:iCs/>
        </w:rPr>
        <w:t>Rukopisy z Nag Hammádí</w:t>
      </w:r>
      <w:r w:rsidRPr="006F1082">
        <w:t xml:space="preserve"> 5, edited by Wolf B. Oerter and Zuzana Vítková (Praha: Vyšehrad, 2018), 153.; Robison, “Introduction“, 2-3.</w:t>
      </w:r>
    </w:p>
  </w:footnote>
  <w:footnote w:id="102">
    <w:p w14:paraId="79EE4FCF" w14:textId="28449137" w:rsidR="00A84A9A" w:rsidRPr="006F1082" w:rsidRDefault="00A84A9A" w:rsidP="006F1082">
      <w:pPr>
        <w:pStyle w:val="Footnotes"/>
      </w:pPr>
      <w:r w:rsidRPr="006F1082">
        <w:rPr>
          <w:rStyle w:val="Znakapoznpodarou"/>
        </w:rPr>
        <w:footnoteRef/>
      </w:r>
      <w:r w:rsidRPr="006F1082">
        <w:t xml:space="preserve"> Charles W. Hedrick, “Christian Motifs in the ‘Gospel of the Egyptians’: Method and Motive.” </w:t>
      </w:r>
      <w:r w:rsidRPr="006F1082">
        <w:rPr>
          <w:i/>
          <w:iCs/>
        </w:rPr>
        <w:t xml:space="preserve">Novum </w:t>
      </w:r>
      <w:r w:rsidRPr="006F1082">
        <w:rPr>
          <w:i/>
          <w:iCs/>
        </w:rPr>
        <w:t>Testamentum</w:t>
      </w:r>
      <w:r w:rsidRPr="006F1082">
        <w:t xml:space="preserve"> 23, no. 3 (1981): 242, and 259-260, accessed May 5, 2021, </w:t>
      </w:r>
      <w:hyperlink r:id="rId23" w:history="1">
        <w:r w:rsidRPr="006F1082">
          <w:rPr>
            <w:rStyle w:val="Hypertextovodkaz"/>
          </w:rPr>
          <w:t>www.jstor.org/stable/1560684</w:t>
        </w:r>
      </w:hyperlink>
      <w:r w:rsidRPr="006F1082">
        <w:t xml:space="preserve">. </w:t>
      </w:r>
    </w:p>
  </w:footnote>
  <w:footnote w:id="103">
    <w:p w14:paraId="4678AB37" w14:textId="329605B0" w:rsidR="00A84A9A" w:rsidRPr="006F1082" w:rsidRDefault="00A84A9A" w:rsidP="006F1082">
      <w:pPr>
        <w:pStyle w:val="Footnotes"/>
      </w:pPr>
      <w:r w:rsidRPr="006F1082">
        <w:rPr>
          <w:rStyle w:val="Znakapoznpodarou"/>
        </w:rPr>
        <w:footnoteRef/>
      </w:r>
      <w:r w:rsidRPr="006F1082">
        <w:t xml:space="preserve"> Alexander </w:t>
      </w:r>
      <w:r w:rsidRPr="006F1082">
        <w:t xml:space="preserve">Böhlig and Frederik Wisse, “The Gospel of the Egyptians (III, 2 and IV, 2),” in </w:t>
      </w:r>
      <w:r w:rsidRPr="006F1082">
        <w:rPr>
          <w:i/>
          <w:iCs/>
        </w:rPr>
        <w:t>The Nag Hammadi Library in English</w:t>
      </w:r>
      <w:r w:rsidRPr="006F1082">
        <w:t>, edited by James M. Robinson (San Francisco: HarperSanFrancisco, 1990), 216.</w:t>
      </w:r>
    </w:p>
  </w:footnote>
  <w:footnote w:id="104">
    <w:p w14:paraId="1E4D2FEE" w14:textId="2DD17463" w:rsidR="00A84A9A" w:rsidRPr="006F1082" w:rsidRDefault="00A84A9A" w:rsidP="006F1082">
      <w:pPr>
        <w:pStyle w:val="Footnotes"/>
      </w:pPr>
      <w:r w:rsidRPr="006F1082">
        <w:rPr>
          <w:rStyle w:val="Znakapoznpodarou"/>
        </w:rPr>
        <w:footnoteRef/>
      </w:r>
      <w:r w:rsidRPr="006F1082">
        <w:t xml:space="preserve"> Ibid, 217.</w:t>
      </w:r>
    </w:p>
  </w:footnote>
  <w:footnote w:id="105">
    <w:p w14:paraId="123473DD" w14:textId="07F756F1" w:rsidR="00A84A9A" w:rsidRPr="006F1082" w:rsidRDefault="00A84A9A" w:rsidP="006F1082">
      <w:pPr>
        <w:pStyle w:val="Footnotes"/>
      </w:pPr>
      <w:r w:rsidRPr="006F1082">
        <w:rPr>
          <w:rStyle w:val="Znakapoznpodarou"/>
        </w:rPr>
        <w:footnoteRef/>
      </w:r>
      <w:r w:rsidRPr="006F1082">
        <w:t xml:space="preserve"> Ibid, 208,; </w:t>
      </w:r>
      <w:r w:rsidRPr="006F1082">
        <w:t>Ryneš, “Svatá kniha velkého neviditelného Ducha“, 152.</w:t>
      </w:r>
    </w:p>
  </w:footnote>
  <w:footnote w:id="106">
    <w:p w14:paraId="4E40A135" w14:textId="77777777" w:rsidR="00904D5F" w:rsidRPr="006F1082" w:rsidRDefault="00904D5F" w:rsidP="006F1082">
      <w:pPr>
        <w:pStyle w:val="Footnotes"/>
      </w:pPr>
      <w:r w:rsidRPr="006F1082">
        <w:rPr>
          <w:rStyle w:val="Znakapoznpodarou"/>
        </w:rPr>
        <w:footnoteRef/>
      </w:r>
      <w:r w:rsidRPr="006F1082">
        <w:t xml:space="preserve"> </w:t>
      </w:r>
      <w:r w:rsidRPr="006F1082">
        <w:t>Böhlig and Wisse, “The Gospel of the Egyptians“, 212-217.</w:t>
      </w:r>
    </w:p>
  </w:footnote>
  <w:footnote w:id="107">
    <w:p w14:paraId="014D93D2" w14:textId="5B8787F1" w:rsidR="00A84A9A" w:rsidRPr="006F1082" w:rsidRDefault="00A84A9A" w:rsidP="006F1082">
      <w:pPr>
        <w:pStyle w:val="Footnotes"/>
      </w:pPr>
      <w:r w:rsidRPr="006F1082">
        <w:rPr>
          <w:rStyle w:val="Znakapoznpodarou"/>
        </w:rPr>
        <w:footnoteRef/>
      </w:r>
      <w:r w:rsidRPr="006F1082">
        <w:t xml:space="preserve"> </w:t>
      </w:r>
      <w:r w:rsidRPr="006F1082">
        <w:t>Wisse, “The Apocryphon of John“, 109, and 110.</w:t>
      </w:r>
    </w:p>
  </w:footnote>
  <w:footnote w:id="108">
    <w:p w14:paraId="182C8B0D" w14:textId="5155724D" w:rsidR="00A84A9A" w:rsidRPr="006F1082" w:rsidRDefault="00A84A9A" w:rsidP="006F1082">
      <w:pPr>
        <w:pStyle w:val="Footnotes"/>
      </w:pPr>
      <w:r w:rsidRPr="006F1082">
        <w:rPr>
          <w:rStyle w:val="Znakapoznpodarou"/>
        </w:rPr>
        <w:footnoteRef/>
      </w:r>
      <w:r w:rsidRPr="006F1082">
        <w:t xml:space="preserve"> Only one of the lights – </w:t>
      </w:r>
      <w:r w:rsidRPr="006F1082">
        <w:t>Eleleth;</w:t>
      </w:r>
      <w:r w:rsidR="006B31DF" w:rsidRPr="006F1082">
        <w:t xml:space="preserve"> Roger A. Bullard and Bentley Layton (trans. and intro.), “The Hypostasis of the Archons (II, 4),” in </w:t>
      </w:r>
      <w:r w:rsidR="006B31DF" w:rsidRPr="006F1082">
        <w:rPr>
          <w:i/>
          <w:iCs/>
        </w:rPr>
        <w:t>The Nag Hammadi Library in English</w:t>
      </w:r>
      <w:r w:rsidR="006B31DF" w:rsidRPr="006F1082">
        <w:t>, edited by James M. Robinson (San Francisco: HarperSanFrancisco, 1990)</w:t>
      </w:r>
      <w:r w:rsidRPr="006F1082">
        <w:t>, 167</w:t>
      </w:r>
      <w:r w:rsidR="006B31DF" w:rsidRPr="006F1082">
        <w:t>.</w:t>
      </w:r>
    </w:p>
  </w:footnote>
  <w:footnote w:id="109">
    <w:p w14:paraId="7FDF2831" w14:textId="788485EC" w:rsidR="00A84A9A" w:rsidRPr="006F1082" w:rsidRDefault="00A84A9A" w:rsidP="006F1082">
      <w:pPr>
        <w:pStyle w:val="Footnotes"/>
      </w:pPr>
      <w:r w:rsidRPr="006F1082">
        <w:rPr>
          <w:rStyle w:val="Znakapoznpodarou"/>
        </w:rPr>
        <w:footnoteRef/>
      </w:r>
      <w:r w:rsidRPr="006F1082">
        <w:t xml:space="preserve"> John N. </w:t>
      </w:r>
      <w:r w:rsidRPr="006F1082">
        <w:t xml:space="preserve">Sieber, “Zostrianos (VIII, 1),” in </w:t>
      </w:r>
      <w:r w:rsidRPr="006F1082">
        <w:rPr>
          <w:i/>
          <w:iCs/>
        </w:rPr>
        <w:t>The Nag Hammadi Library in English</w:t>
      </w:r>
      <w:r w:rsidRPr="006F1082">
        <w:t>, edited by James M. Robinson (San Francisco: HarperSanFrancisco, 1990), 412, 417, and 429.</w:t>
      </w:r>
    </w:p>
  </w:footnote>
  <w:footnote w:id="110">
    <w:p w14:paraId="2F15ED87" w14:textId="6830091A" w:rsidR="00A84A9A" w:rsidRPr="006F1082" w:rsidRDefault="00A84A9A" w:rsidP="006F1082">
      <w:pPr>
        <w:pStyle w:val="Footnotes"/>
      </w:pPr>
      <w:r w:rsidRPr="006F1082">
        <w:rPr>
          <w:rStyle w:val="Znakapoznpodarou"/>
        </w:rPr>
        <w:footnoteRef/>
      </w:r>
      <w:r w:rsidRPr="006F1082">
        <w:t xml:space="preserve"> </w:t>
      </w:r>
      <w:r w:rsidR="008E4EA4" w:rsidRPr="006F1082">
        <w:t xml:space="preserve">Søren Giversen and Birger A. Pearson (trans. and intro.), “Melchizedek (IX, 1),” in </w:t>
      </w:r>
      <w:r w:rsidR="008E4EA4" w:rsidRPr="006F1082">
        <w:rPr>
          <w:i/>
          <w:iCs/>
        </w:rPr>
        <w:t>The Nag Hammadi Library in English</w:t>
      </w:r>
      <w:r w:rsidR="008E4EA4" w:rsidRPr="006F1082">
        <w:t xml:space="preserve">, edited by James M. Robinson (San Francisco: HarperSanFrancisco, 1990), </w:t>
      </w:r>
      <w:r w:rsidRPr="006F1082">
        <w:t xml:space="preserve">441, </w:t>
      </w:r>
      <w:r w:rsidR="008E4EA4" w:rsidRPr="006F1082">
        <w:t xml:space="preserve">and </w:t>
      </w:r>
      <w:r w:rsidRPr="006F1082">
        <w:t>443</w:t>
      </w:r>
      <w:r w:rsidR="008E4EA4" w:rsidRPr="006F1082">
        <w:t>.</w:t>
      </w:r>
    </w:p>
  </w:footnote>
  <w:footnote w:id="111">
    <w:p w14:paraId="774630BA" w14:textId="494570E4" w:rsidR="00A84A9A" w:rsidRPr="006F1082" w:rsidRDefault="00A84A9A" w:rsidP="006F1082">
      <w:pPr>
        <w:pStyle w:val="Footnotes"/>
      </w:pPr>
      <w:r w:rsidRPr="006F1082">
        <w:rPr>
          <w:rStyle w:val="Znakapoznpodarou"/>
        </w:rPr>
        <w:footnoteRef/>
      </w:r>
      <w:r w:rsidRPr="006F1082">
        <w:t xml:space="preserve"> The four helpers seem to imply the four lights; </w:t>
      </w:r>
      <w:r w:rsidR="00686EA2" w:rsidRPr="006F1082">
        <w:t>Giversen and Birger, “Melchizedek”,</w:t>
      </w:r>
      <w:r w:rsidRPr="006F1082">
        <w:t xml:space="preserve"> 446</w:t>
      </w:r>
      <w:r w:rsidR="00686EA2" w:rsidRPr="006F1082">
        <w:t>.</w:t>
      </w:r>
    </w:p>
  </w:footnote>
  <w:footnote w:id="112">
    <w:p w14:paraId="5AC843DC" w14:textId="2FF20BC7" w:rsidR="00A84A9A" w:rsidRPr="006F1082" w:rsidRDefault="00A84A9A" w:rsidP="006F1082">
      <w:pPr>
        <w:pStyle w:val="Footnotes"/>
      </w:pPr>
      <w:r w:rsidRPr="006F1082">
        <w:rPr>
          <w:rStyle w:val="Znakapoznpodarou"/>
        </w:rPr>
        <w:footnoteRef/>
      </w:r>
      <w:r w:rsidRPr="006F1082">
        <w:t xml:space="preserve"> One of the lights – </w:t>
      </w:r>
      <w:r w:rsidRPr="006F1082">
        <w:t>Eleleth – is implied;</w:t>
      </w:r>
      <w:r w:rsidR="00686EA2" w:rsidRPr="006F1082">
        <w:t xml:space="preserve"> John D. Turner (trans. and intro.), “Hypsiphrone (XI, 4),” in </w:t>
      </w:r>
      <w:r w:rsidR="00686EA2" w:rsidRPr="006F1082">
        <w:rPr>
          <w:i/>
          <w:iCs/>
        </w:rPr>
        <w:t>The Nag Hammadi Library in English</w:t>
      </w:r>
      <w:r w:rsidR="00686EA2" w:rsidRPr="006F1082">
        <w:t xml:space="preserve">, edited by James M. Robinson (San Francisco: HarperSanFrancisco, 1990), </w:t>
      </w:r>
      <w:r w:rsidRPr="006F1082">
        <w:t>501-502.</w:t>
      </w:r>
    </w:p>
  </w:footnote>
  <w:footnote w:id="113">
    <w:p w14:paraId="4FE0252A" w14:textId="60C54931" w:rsidR="00A84A9A" w:rsidRPr="006F1082" w:rsidRDefault="00A84A9A" w:rsidP="006F1082">
      <w:pPr>
        <w:pStyle w:val="Footnotes"/>
      </w:pPr>
      <w:r w:rsidRPr="006F1082">
        <w:rPr>
          <w:rStyle w:val="Znakapoznpodarou"/>
        </w:rPr>
        <w:footnoteRef/>
      </w:r>
      <w:r w:rsidRPr="006F1082">
        <w:t xml:space="preserve"> </w:t>
      </w:r>
      <w:r w:rsidR="00B234A3" w:rsidRPr="006F1082">
        <w:t xml:space="preserve">John D. Turner (trans. and intro.), “Trimorphic </w:t>
      </w:r>
      <w:r w:rsidR="00B234A3" w:rsidRPr="006F1082">
        <w:t xml:space="preserve">Protennoia (XIII, 1).” In </w:t>
      </w:r>
      <w:r w:rsidR="00B234A3" w:rsidRPr="006F1082">
        <w:rPr>
          <w:i/>
          <w:iCs/>
        </w:rPr>
        <w:t>The Nag Hammadi Library in English</w:t>
      </w:r>
      <w:r w:rsidR="00B234A3" w:rsidRPr="006F1082">
        <w:t xml:space="preserve">, edited by James M. Robinson (San Francisco: HarperSanFrancisco, 1990), </w:t>
      </w:r>
      <w:r w:rsidRPr="006F1082">
        <w:t>515</w:t>
      </w:r>
      <w:r w:rsidR="00B234A3" w:rsidRPr="006F1082">
        <w:t>.</w:t>
      </w:r>
    </w:p>
  </w:footnote>
  <w:footnote w:id="114">
    <w:p w14:paraId="1635AA3B" w14:textId="1380C169" w:rsidR="00A84A9A" w:rsidRPr="006F1082" w:rsidRDefault="00A84A9A" w:rsidP="006F1082">
      <w:pPr>
        <w:pStyle w:val="Footnotes"/>
      </w:pPr>
      <w:r w:rsidRPr="006F1082">
        <w:rPr>
          <w:rStyle w:val="Znakapoznpodarou"/>
        </w:rPr>
        <w:footnoteRef/>
      </w:r>
      <w:r w:rsidRPr="006F1082">
        <w:t xml:space="preserve"> Ibid, 212-213.</w:t>
      </w:r>
    </w:p>
  </w:footnote>
  <w:footnote w:id="115">
    <w:p w14:paraId="23D055AE" w14:textId="5D9A8CDC" w:rsidR="00A84A9A" w:rsidRPr="006F1082" w:rsidRDefault="00A84A9A" w:rsidP="006F1082">
      <w:pPr>
        <w:pStyle w:val="Footnotes"/>
      </w:pPr>
      <w:r w:rsidRPr="006F1082">
        <w:rPr>
          <w:rStyle w:val="Znakapoznpodarou"/>
        </w:rPr>
        <w:footnoteRef/>
      </w:r>
      <w:r w:rsidRPr="006F1082">
        <w:t xml:space="preserve"> Ibid, 213.</w:t>
      </w:r>
    </w:p>
  </w:footnote>
  <w:footnote w:id="116">
    <w:p w14:paraId="0A73A930" w14:textId="6A6DEFE3" w:rsidR="00A84A9A" w:rsidRPr="006F1082" w:rsidRDefault="00A84A9A" w:rsidP="006F1082">
      <w:pPr>
        <w:pStyle w:val="Footnotes"/>
      </w:pPr>
      <w:r w:rsidRPr="006F1082">
        <w:rPr>
          <w:rStyle w:val="Znakapoznpodarou"/>
        </w:rPr>
        <w:footnoteRef/>
      </w:r>
      <w:r w:rsidRPr="006F1082">
        <w:t xml:space="preserve"> Joshua Trachtenberg, </w:t>
      </w:r>
      <w:r w:rsidRPr="006F1082">
        <w:rPr>
          <w:i/>
          <w:iCs/>
        </w:rPr>
        <w:t>Jewish Magic and Superstition: A Study in Folk Religion</w:t>
      </w:r>
      <w:r w:rsidRPr="006F1082">
        <w:t xml:space="preserve"> (New York: Behrman’s Jewish Book House, 1939), 260-261.; </w:t>
      </w:r>
      <w:r w:rsidRPr="006F1082">
        <w:rPr>
          <w:rFonts w:asciiTheme="majorBidi" w:hAnsiTheme="majorBidi" w:cstheme="majorBidi"/>
        </w:rPr>
        <w:t>Gaster, “The Sword of Moses</w:t>
      </w:r>
      <w:r w:rsidRPr="006F1082">
        <w:t>“, 157.</w:t>
      </w:r>
    </w:p>
  </w:footnote>
  <w:footnote w:id="117">
    <w:p w14:paraId="122E5A07" w14:textId="3836150D" w:rsidR="00A84A9A" w:rsidRPr="006F1082" w:rsidRDefault="00A84A9A" w:rsidP="006F1082">
      <w:pPr>
        <w:pStyle w:val="Footnotes"/>
      </w:pPr>
      <w:r w:rsidRPr="006F1082">
        <w:rPr>
          <w:rStyle w:val="Znakapoznpodarou"/>
        </w:rPr>
        <w:footnoteRef/>
      </w:r>
      <w:r w:rsidRPr="006F1082">
        <w:t xml:space="preserve"> </w:t>
      </w:r>
      <w:r w:rsidRPr="006F1082">
        <w:t>Böhlig and Wisse, “The Gospel of the Egyptians“, 213.</w:t>
      </w:r>
    </w:p>
  </w:footnote>
  <w:footnote w:id="118">
    <w:p w14:paraId="17406BE1" w14:textId="4E0B426A" w:rsidR="00A84A9A" w:rsidRPr="006F1082" w:rsidRDefault="00A84A9A" w:rsidP="006F1082">
      <w:pPr>
        <w:pStyle w:val="Footnotes"/>
      </w:pPr>
      <w:r w:rsidRPr="006F1082">
        <w:rPr>
          <w:rStyle w:val="Znakapoznpodarou"/>
        </w:rPr>
        <w:footnoteRef/>
      </w:r>
      <w:r w:rsidRPr="006F1082">
        <w:t xml:space="preserve"> Ibid, 217.</w:t>
      </w:r>
    </w:p>
  </w:footnote>
  <w:footnote w:id="119">
    <w:p w14:paraId="1D774618" w14:textId="4B7E0EEF" w:rsidR="00A84A9A" w:rsidRPr="006F1082" w:rsidRDefault="00A84A9A" w:rsidP="006F1082">
      <w:pPr>
        <w:pStyle w:val="Footnotes"/>
      </w:pPr>
      <w:r w:rsidRPr="006F1082">
        <w:rPr>
          <w:rStyle w:val="Znakapoznpodarou"/>
        </w:rPr>
        <w:footnoteRef/>
      </w:r>
      <w:r w:rsidRPr="006F1082">
        <w:t xml:space="preserve"> Ibid, 216-217.</w:t>
      </w:r>
    </w:p>
  </w:footnote>
  <w:footnote w:id="120">
    <w:p w14:paraId="03C8D8C5" w14:textId="2540E48C" w:rsidR="00A84A9A" w:rsidRPr="006F1082" w:rsidRDefault="00A84A9A" w:rsidP="006F1082">
      <w:pPr>
        <w:pStyle w:val="Footnotes"/>
      </w:pPr>
      <w:r w:rsidRPr="006F1082">
        <w:rPr>
          <w:rStyle w:val="Znakapoznpodarou"/>
        </w:rPr>
        <w:footnoteRef/>
      </w:r>
      <w:r w:rsidRPr="006F1082">
        <w:t xml:space="preserve"> George W. </w:t>
      </w:r>
      <w:r w:rsidRPr="006F1082">
        <w:t xml:space="preserve">MacRae, “The Apocalypse of Adam (V, 5),” edited by Dougls M. Parrott, in </w:t>
      </w:r>
      <w:r w:rsidRPr="006F1082">
        <w:rPr>
          <w:i/>
          <w:iCs/>
        </w:rPr>
        <w:t>The Nag Hammadi Library in English</w:t>
      </w:r>
      <w:r w:rsidRPr="006F1082">
        <w:t>,  edited by James M. Robinson (San Francisco: HarperSanFrancisco, 1990), 282.</w:t>
      </w:r>
    </w:p>
  </w:footnote>
  <w:footnote w:id="121">
    <w:p w14:paraId="4B30AD12" w14:textId="64F446FD" w:rsidR="00A84A9A" w:rsidRPr="006F1082" w:rsidRDefault="00A84A9A" w:rsidP="006F1082">
      <w:pPr>
        <w:pStyle w:val="Footnotes"/>
      </w:pPr>
      <w:r w:rsidRPr="006F1082">
        <w:rPr>
          <w:rStyle w:val="Znakapoznpodarou"/>
        </w:rPr>
        <w:footnoteRef/>
      </w:r>
      <w:r w:rsidRPr="006F1082">
        <w:t xml:space="preserve"> Ibid, 278.</w:t>
      </w:r>
    </w:p>
  </w:footnote>
  <w:footnote w:id="122">
    <w:p w14:paraId="256C6B86" w14:textId="123DB056" w:rsidR="00A84A9A" w:rsidRPr="006F1082" w:rsidRDefault="00A84A9A" w:rsidP="006F1082">
      <w:pPr>
        <w:pStyle w:val="Footnotes"/>
      </w:pPr>
      <w:r w:rsidRPr="006F1082">
        <w:rPr>
          <w:rStyle w:val="Znakapoznpodarou"/>
        </w:rPr>
        <w:footnoteRef/>
      </w:r>
      <w:r w:rsidRPr="006F1082">
        <w:t xml:space="preserve"> </w:t>
      </w:r>
      <w:r w:rsidRPr="006F1082">
        <w:t>Böhlig and Wisse, “The Gospel of the Egyptians“, 212-213.</w:t>
      </w:r>
    </w:p>
  </w:footnote>
  <w:footnote w:id="123">
    <w:p w14:paraId="4B65C14E" w14:textId="31C6EDBA" w:rsidR="00A84A9A" w:rsidRPr="006F1082" w:rsidRDefault="00A84A9A" w:rsidP="006F1082">
      <w:pPr>
        <w:pStyle w:val="Footnotes"/>
      </w:pPr>
      <w:r w:rsidRPr="006F1082">
        <w:rPr>
          <w:rStyle w:val="Znakapoznpodarou"/>
        </w:rPr>
        <w:footnoteRef/>
      </w:r>
      <w:r w:rsidRPr="006F1082">
        <w:t xml:space="preserve"> </w:t>
      </w:r>
      <w:r w:rsidRPr="006F1082">
        <w:t>MacRae, “The Apocalypse of Adam“, 281-282.</w:t>
      </w:r>
    </w:p>
  </w:footnote>
  <w:footnote w:id="124">
    <w:p w14:paraId="19B5AE12" w14:textId="7C510A33" w:rsidR="00A84A9A" w:rsidRPr="006F1082" w:rsidRDefault="00A84A9A" w:rsidP="006F1082">
      <w:pPr>
        <w:pStyle w:val="Footnotes"/>
      </w:pPr>
      <w:r w:rsidRPr="006F1082">
        <w:rPr>
          <w:rStyle w:val="Znakapoznpodarou"/>
        </w:rPr>
        <w:footnoteRef/>
      </w:r>
      <w:r w:rsidRPr="006F1082">
        <w:t xml:space="preserve"> Ibid, 282.</w:t>
      </w:r>
    </w:p>
  </w:footnote>
  <w:footnote w:id="125">
    <w:p w14:paraId="69E3AF1F" w14:textId="6C2CC5A0" w:rsidR="00A84A9A" w:rsidRPr="006F1082" w:rsidRDefault="00A84A9A" w:rsidP="006F1082">
      <w:pPr>
        <w:pStyle w:val="Footnotes"/>
      </w:pPr>
      <w:r w:rsidRPr="006F1082">
        <w:rPr>
          <w:rStyle w:val="Znakapoznpodarou"/>
        </w:rPr>
        <w:footnoteRef/>
      </w:r>
      <w:r w:rsidRPr="006F1082">
        <w:t xml:space="preserve"> </w:t>
      </w:r>
      <w:r w:rsidR="00205738" w:rsidRPr="006F1082">
        <w:t xml:space="preserve">Robison, “Introduction”, </w:t>
      </w:r>
      <w:r w:rsidRPr="006F1082">
        <w:t>9</w:t>
      </w:r>
      <w:r w:rsidR="00205738" w:rsidRPr="006F1082">
        <w:t>.;Sieber, “</w:t>
      </w:r>
      <w:r w:rsidR="00205738" w:rsidRPr="006F1082">
        <w:t xml:space="preserve">Zostrianos”, </w:t>
      </w:r>
      <w:r w:rsidRPr="006F1082">
        <w:t>402-403.</w:t>
      </w:r>
    </w:p>
  </w:footnote>
  <w:footnote w:id="126">
    <w:p w14:paraId="5EC21625" w14:textId="3985EC5F" w:rsidR="00A84A9A" w:rsidRPr="006F1082" w:rsidRDefault="00A84A9A" w:rsidP="006F1082">
      <w:pPr>
        <w:pStyle w:val="Footnotes"/>
      </w:pPr>
      <w:r w:rsidRPr="006F1082">
        <w:rPr>
          <w:rStyle w:val="Znakapoznpodarou"/>
        </w:rPr>
        <w:footnoteRef/>
      </w:r>
      <w:r w:rsidRPr="006F1082">
        <w:t xml:space="preserve"> </w:t>
      </w:r>
      <w:r w:rsidR="00205738" w:rsidRPr="006F1082">
        <w:t xml:space="preserve">Sieber, “Zostrianos”, </w:t>
      </w:r>
      <w:r w:rsidRPr="006F1082">
        <w:t>416</w:t>
      </w:r>
      <w:r w:rsidR="00205738" w:rsidRPr="006F1082">
        <w:t>.</w:t>
      </w:r>
    </w:p>
  </w:footnote>
  <w:footnote w:id="127">
    <w:p w14:paraId="56D87A22" w14:textId="77777777" w:rsidR="00A84A9A" w:rsidRPr="006F1082" w:rsidRDefault="00A84A9A" w:rsidP="006F1082">
      <w:pPr>
        <w:pStyle w:val="Footnotes"/>
      </w:pPr>
      <w:r w:rsidRPr="006F1082">
        <w:rPr>
          <w:rStyle w:val="Znakapoznpodarou"/>
        </w:rPr>
        <w:footnoteRef/>
      </w:r>
      <w:r w:rsidRPr="006F1082">
        <w:t xml:space="preserve"> Ibid.</w:t>
      </w:r>
    </w:p>
  </w:footnote>
  <w:footnote w:id="128">
    <w:p w14:paraId="49D24B62" w14:textId="020B9071" w:rsidR="00A84A9A" w:rsidRPr="006F1082" w:rsidRDefault="00A84A9A" w:rsidP="006F1082">
      <w:pPr>
        <w:pStyle w:val="Footnotes"/>
      </w:pPr>
      <w:r w:rsidRPr="006F1082">
        <w:rPr>
          <w:rStyle w:val="Znakapoznpodarou"/>
        </w:rPr>
        <w:footnoteRef/>
      </w:r>
      <w:r w:rsidRPr="006F1082">
        <w:t xml:space="preserve"> </w:t>
      </w:r>
      <w:r w:rsidR="00205738" w:rsidRPr="006F1082">
        <w:t>Ibid,</w:t>
      </w:r>
      <w:r w:rsidRPr="006F1082">
        <w:t xml:space="preserve"> 417</w:t>
      </w:r>
      <w:r w:rsidR="00205738" w:rsidRPr="006F1082">
        <w:t>.</w:t>
      </w:r>
    </w:p>
  </w:footnote>
  <w:footnote w:id="129">
    <w:p w14:paraId="23A2D10F" w14:textId="5F10A4BF" w:rsidR="00A84A9A" w:rsidRPr="006F1082" w:rsidRDefault="00A84A9A" w:rsidP="006F1082">
      <w:pPr>
        <w:pStyle w:val="Footnotes"/>
      </w:pPr>
      <w:r w:rsidRPr="006F1082">
        <w:rPr>
          <w:rStyle w:val="Znakapoznpodarou"/>
        </w:rPr>
        <w:footnoteRef/>
      </w:r>
      <w:r w:rsidRPr="006F1082">
        <w:t xml:space="preserve"> </w:t>
      </w:r>
      <w:r w:rsidR="00205738" w:rsidRPr="006F1082">
        <w:t>Ibid,</w:t>
      </w:r>
      <w:r w:rsidRPr="006F1082">
        <w:t xml:space="preserve"> 416</w:t>
      </w:r>
      <w:r w:rsidR="00205738" w:rsidRPr="006F1082">
        <w:t>.</w:t>
      </w:r>
    </w:p>
  </w:footnote>
  <w:footnote w:id="130">
    <w:p w14:paraId="383AF9DA" w14:textId="3D488873" w:rsidR="00A84A9A" w:rsidRPr="006F1082" w:rsidRDefault="00A84A9A" w:rsidP="006F1082">
      <w:pPr>
        <w:pStyle w:val="Footnotes"/>
      </w:pPr>
      <w:r w:rsidRPr="006F1082">
        <w:rPr>
          <w:rStyle w:val="Znakapoznpodarou"/>
        </w:rPr>
        <w:footnoteRef/>
      </w:r>
      <w:r w:rsidR="00B234A3" w:rsidRPr="006F1082">
        <w:t> </w:t>
      </w:r>
      <w:r w:rsidRPr="006F1082">
        <w:t>Gérard</w:t>
      </w:r>
      <w:r w:rsidR="00B234A3" w:rsidRPr="006F1082">
        <w:t> </w:t>
      </w:r>
      <w:r w:rsidRPr="006F1082">
        <w:t>Vallée,</w:t>
      </w:r>
      <w:r w:rsidR="00B234A3" w:rsidRPr="006F1082">
        <w:t> </w:t>
      </w:r>
      <w:r w:rsidRPr="006F1082">
        <w:rPr>
          <w:i/>
          <w:iCs/>
        </w:rPr>
        <w:t>A</w:t>
      </w:r>
      <w:r w:rsidR="00B234A3" w:rsidRPr="006F1082">
        <w:rPr>
          <w:i/>
          <w:iCs/>
        </w:rPr>
        <w:t> </w:t>
      </w:r>
      <w:r w:rsidRPr="006F1082">
        <w:rPr>
          <w:i/>
          <w:iCs/>
        </w:rPr>
        <w:t>Study</w:t>
      </w:r>
      <w:r w:rsidR="00B234A3" w:rsidRPr="006F1082">
        <w:rPr>
          <w:i/>
          <w:iCs/>
        </w:rPr>
        <w:t> </w:t>
      </w:r>
      <w:r w:rsidRPr="006F1082">
        <w:rPr>
          <w:i/>
          <w:iCs/>
        </w:rPr>
        <w:t>in</w:t>
      </w:r>
      <w:r w:rsidR="00B234A3" w:rsidRPr="006F1082">
        <w:rPr>
          <w:i/>
          <w:iCs/>
        </w:rPr>
        <w:t> </w:t>
      </w:r>
      <w:r w:rsidRPr="006F1082">
        <w:rPr>
          <w:i/>
          <w:iCs/>
        </w:rPr>
        <w:t>Anti-Gnostic</w:t>
      </w:r>
      <w:r w:rsidR="00B234A3" w:rsidRPr="006F1082">
        <w:rPr>
          <w:i/>
          <w:iCs/>
        </w:rPr>
        <w:t> </w:t>
      </w:r>
      <w:r w:rsidRPr="006F1082">
        <w:rPr>
          <w:i/>
          <w:iCs/>
        </w:rPr>
        <w:t>Polemics:</w:t>
      </w:r>
      <w:r w:rsidR="00B234A3" w:rsidRPr="006F1082">
        <w:rPr>
          <w:i/>
          <w:iCs/>
        </w:rPr>
        <w:t> </w:t>
      </w:r>
      <w:r w:rsidRPr="006F1082">
        <w:rPr>
          <w:i/>
          <w:iCs/>
        </w:rPr>
        <w:t>Irenaeus,</w:t>
      </w:r>
      <w:r w:rsidR="00B234A3" w:rsidRPr="006F1082">
        <w:rPr>
          <w:i/>
          <w:iCs/>
        </w:rPr>
        <w:t> </w:t>
      </w:r>
      <w:r w:rsidRPr="006F1082">
        <w:rPr>
          <w:i/>
          <w:iCs/>
        </w:rPr>
        <w:t>Hippolytus,</w:t>
      </w:r>
      <w:r w:rsidR="00B234A3" w:rsidRPr="006F1082">
        <w:rPr>
          <w:i/>
          <w:iCs/>
        </w:rPr>
        <w:t> </w:t>
      </w:r>
      <w:r w:rsidRPr="006F1082">
        <w:rPr>
          <w:i/>
          <w:iCs/>
        </w:rPr>
        <w:t>and</w:t>
      </w:r>
      <w:r w:rsidR="00B234A3" w:rsidRPr="006F1082">
        <w:rPr>
          <w:i/>
          <w:iCs/>
        </w:rPr>
        <w:t> </w:t>
      </w:r>
      <w:r w:rsidRPr="006F1082">
        <w:rPr>
          <w:i/>
          <w:iCs/>
        </w:rPr>
        <w:t>Epiphanus</w:t>
      </w:r>
      <w:r w:rsidR="00B234A3" w:rsidRPr="006F1082">
        <w:t> </w:t>
      </w:r>
      <w:r w:rsidRPr="006F1082">
        <w:t>(Waterloo: Wilfrid Laurier University Press, 1981), 1.</w:t>
      </w:r>
    </w:p>
  </w:footnote>
  <w:footnote w:id="131">
    <w:p w14:paraId="498FEC06" w14:textId="512C98CF" w:rsidR="00A84A9A" w:rsidRPr="006F1082" w:rsidRDefault="00A84A9A" w:rsidP="006F1082">
      <w:pPr>
        <w:pStyle w:val="Footnotes"/>
      </w:pPr>
      <w:r w:rsidRPr="006F1082">
        <w:rPr>
          <w:rStyle w:val="Znakapoznpodarou"/>
        </w:rPr>
        <w:footnoteRef/>
      </w:r>
      <w:r w:rsidRPr="006F1082">
        <w:t xml:space="preserve"> Saint Irenaeus, </w:t>
      </w:r>
      <w:r w:rsidRPr="006F1082">
        <w:rPr>
          <w:i/>
          <w:iCs/>
        </w:rPr>
        <w:t xml:space="preserve">Sancti </w:t>
      </w:r>
      <w:r w:rsidRPr="006F1082">
        <w:rPr>
          <w:i/>
          <w:iCs/>
        </w:rPr>
        <w:t>Irenaei episcopi Lugdunensis Libros quinque adversus haereses</w:t>
      </w:r>
      <w:r w:rsidRPr="006F1082">
        <w:t>, edited by William Wigan Harvey (Cantabrigiae: Typis Academicis, 1857), 203.</w:t>
      </w:r>
    </w:p>
  </w:footnote>
  <w:footnote w:id="132">
    <w:p w14:paraId="315E7520" w14:textId="4C31346F" w:rsidR="00A84A9A" w:rsidRPr="006F1082" w:rsidRDefault="00A84A9A" w:rsidP="006F1082">
      <w:pPr>
        <w:pStyle w:val="Footnotes"/>
      </w:pPr>
      <w:r w:rsidRPr="006F1082">
        <w:rPr>
          <w:rStyle w:val="Znakapoznpodarou"/>
        </w:rPr>
        <w:footnoteRef/>
      </w:r>
      <w:r w:rsidRPr="006F1082">
        <w:t xml:space="preserve"> Birger A. Pearson, </w:t>
      </w:r>
      <w:r w:rsidRPr="006F1082">
        <w:rPr>
          <w:i/>
          <w:iCs/>
        </w:rPr>
        <w:t>Gnosticism, Judaism, and Egyptian Christianity</w:t>
      </w:r>
      <w:r w:rsidRPr="006F1082">
        <w:t xml:space="preserve"> (Minneapolis: Fortress Press, 1990), 202-204.</w:t>
      </w:r>
    </w:p>
  </w:footnote>
  <w:footnote w:id="133">
    <w:p w14:paraId="0FC02964" w14:textId="5E1DE719" w:rsidR="00A84A9A" w:rsidRPr="006F1082" w:rsidRDefault="00A84A9A" w:rsidP="006F1082">
      <w:pPr>
        <w:pStyle w:val="Footnotes"/>
      </w:pPr>
      <w:r w:rsidRPr="006F1082">
        <w:rPr>
          <w:rStyle w:val="Znakapoznpodarou"/>
        </w:rPr>
        <w:footnoteRef/>
      </w:r>
      <w:r w:rsidRPr="006F1082">
        <w:t xml:space="preserve"> Paul Corby Finney, “Did Gnostics Make Pictures?” in </w:t>
      </w:r>
      <w:r w:rsidRPr="006F1082">
        <w:rPr>
          <w:i/>
          <w:iCs/>
        </w:rPr>
        <w:t>The Rediscovery of Gnosticism</w:t>
      </w:r>
      <w:r w:rsidRPr="006F1082">
        <w:t>,  edited by Bentley Layton (Leiden: E. J. Brill, 1980), 452-453.</w:t>
      </w:r>
    </w:p>
  </w:footnote>
  <w:footnote w:id="134">
    <w:p w14:paraId="5A008FDB" w14:textId="130D0C0B" w:rsidR="00A84A9A" w:rsidRPr="006F1082" w:rsidRDefault="00A84A9A" w:rsidP="006F1082">
      <w:pPr>
        <w:pStyle w:val="Footnotes"/>
      </w:pPr>
      <w:r w:rsidRPr="006F1082">
        <w:rPr>
          <w:rStyle w:val="Znakapoznpodarou"/>
        </w:rPr>
        <w:footnoteRef/>
      </w:r>
      <w:r w:rsidRPr="006F1082">
        <w:t xml:space="preserve"> </w:t>
      </w:r>
      <w:r w:rsidRPr="006F1082">
        <w:t xml:space="preserve">Winrich Alfried Löhr, </w:t>
      </w:r>
      <w:r w:rsidRPr="006F1082">
        <w:rPr>
          <w:i/>
          <w:iCs/>
        </w:rPr>
        <w:t>Basilides und seine Schule: Eine Studie zur Theologie- und Kirchengeschichte des zweiten Jahrhunderts</w:t>
      </w:r>
      <w:r w:rsidRPr="006F1082">
        <w:t xml:space="preserve"> (Tübingen: J.C.B. Mohr (Paul Siebeck), 1996), 273.</w:t>
      </w:r>
    </w:p>
  </w:footnote>
  <w:footnote w:id="135">
    <w:p w14:paraId="629BBD0B" w14:textId="35E112C4" w:rsidR="00A84A9A" w:rsidRPr="006F1082" w:rsidRDefault="00A84A9A" w:rsidP="006F1082">
      <w:pPr>
        <w:pStyle w:val="Footnotes"/>
      </w:pPr>
      <w:r w:rsidRPr="006F1082">
        <w:rPr>
          <w:rStyle w:val="Znakapoznpodarou"/>
        </w:rPr>
        <w:footnoteRef/>
      </w:r>
      <w:r w:rsidRPr="006F1082">
        <w:t xml:space="preserve"> Kurt Rudolph, </w:t>
      </w:r>
      <w:r w:rsidRPr="006F1082">
        <w:rPr>
          <w:i/>
          <w:iCs/>
        </w:rPr>
        <w:t>Gnosis: The Nature &amp; History of Gnosticism</w:t>
      </w:r>
      <w:r w:rsidRPr="006F1082">
        <w:t xml:space="preserve">, translated by P. W. </w:t>
      </w:r>
      <w:r w:rsidRPr="006F1082">
        <w:t>Coxon, K.H. Kuhn and R. McL. Wilson (San Francisco: Harper &amp; Row, 1987), 311.</w:t>
      </w:r>
    </w:p>
  </w:footnote>
  <w:footnote w:id="136">
    <w:p w14:paraId="0BB02BD6" w14:textId="05DDCDEE" w:rsidR="00A84A9A" w:rsidRPr="006F1082" w:rsidRDefault="00A84A9A" w:rsidP="006F1082">
      <w:pPr>
        <w:pStyle w:val="Footnotes"/>
      </w:pPr>
      <w:r w:rsidRPr="006F1082">
        <w:rPr>
          <w:rStyle w:val="Znakapoznpodarou"/>
        </w:rPr>
        <w:footnoteRef/>
      </w:r>
      <w:r w:rsidRPr="006F1082">
        <w:t xml:space="preserve"> Heinrich W. </w:t>
      </w:r>
      <w:r w:rsidRPr="006F1082">
        <w:t xml:space="preserve">Guggenheimer (Ed.), </w:t>
      </w:r>
      <w:r w:rsidRPr="006F1082">
        <w:rPr>
          <w:i/>
          <w:iCs/>
        </w:rPr>
        <w:t xml:space="preserve">The Jerusalem Talmud. Second Order:Mo’ed. Tractates Šeqalim, Sukkah, Roš Haššanah, and Yom Tov (Besah) </w:t>
      </w:r>
      <w:r w:rsidRPr="006F1082">
        <w:t>(Berlin and Boston: Walter de Gruyter, 2014), 417-418.</w:t>
      </w:r>
    </w:p>
  </w:footnote>
  <w:footnote w:id="137">
    <w:p w14:paraId="008E663F" w14:textId="0E120020"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 xml:space="preserve">Morgan, </w:t>
      </w:r>
      <w:r w:rsidRPr="006F1082">
        <w:rPr>
          <w:rFonts w:asciiTheme="majorBidi" w:hAnsiTheme="majorBidi" w:cstheme="majorBidi"/>
          <w:i/>
          <w:iCs/>
        </w:rPr>
        <w:t>SEPHER HA-RAZIM</w:t>
      </w:r>
      <w:r w:rsidRPr="006F1082">
        <w:t>, 57, and 80.</w:t>
      </w:r>
    </w:p>
  </w:footnote>
  <w:footnote w:id="138">
    <w:p w14:paraId="2BD21F19" w14:textId="740D68C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Auguste </w:t>
      </w:r>
      <w:r w:rsidRPr="006F1082">
        <w:rPr>
          <w:rFonts w:asciiTheme="majorBidi" w:hAnsiTheme="majorBidi" w:cstheme="majorBidi"/>
        </w:rPr>
        <w:t xml:space="preserve">Audollent, </w:t>
      </w:r>
      <w:r w:rsidRPr="006F1082">
        <w:rPr>
          <w:rFonts w:asciiTheme="majorBidi" w:hAnsiTheme="majorBidi" w:cstheme="majorBidi"/>
          <w:i/>
          <w:iCs/>
        </w:rPr>
        <w:t>Defixionum Tabellae Quotquot Innotuerunt: Tam in Graecis Orientis Quam in Totius Occidentis Partibus Praeter Atticas in Corpore Inscriptionum Atticarum Editas</w:t>
      </w:r>
      <w:r w:rsidRPr="006F1082">
        <w:rPr>
          <w:rFonts w:asciiTheme="majorBidi" w:hAnsiTheme="majorBidi" w:cstheme="majorBidi"/>
        </w:rPr>
        <w:t xml:space="preserve"> (Lutetia: A.</w:t>
      </w:r>
      <w:r w:rsidR="00D040CE" w:rsidRPr="006F1082">
        <w:rPr>
          <w:rFonts w:asciiTheme="majorBidi" w:hAnsiTheme="majorBidi" w:cstheme="majorBidi"/>
        </w:rPr>
        <w:t> </w:t>
      </w:r>
      <w:r w:rsidRPr="006F1082">
        <w:rPr>
          <w:rFonts w:asciiTheme="majorBidi" w:hAnsiTheme="majorBidi" w:cstheme="majorBidi"/>
        </w:rPr>
        <w:t xml:space="preserve">Fontemoing, 1904), 303, 348, and 556.; Lucien Janssens, “La Datation Néronienne De L'isopséphie: Νεῖλος (=Osiris) = Ἀβρασάξ = ἅγιον ὄνομα = Μείθρας,” </w:t>
      </w:r>
      <w:r w:rsidRPr="006F1082">
        <w:rPr>
          <w:rFonts w:asciiTheme="majorBidi" w:hAnsiTheme="majorBidi" w:cstheme="majorBidi"/>
          <w:i/>
          <w:iCs/>
        </w:rPr>
        <w:t>Aegyptus</w:t>
      </w:r>
      <w:r w:rsidRPr="006F1082">
        <w:rPr>
          <w:rFonts w:asciiTheme="majorBidi" w:hAnsiTheme="majorBidi" w:cstheme="majorBidi"/>
        </w:rPr>
        <w:t xml:space="preserve"> 68, no. 1/2 (1988): 105-106, accessed May 5, 2021</w:t>
      </w:r>
      <w:r w:rsidR="006C1BCB" w:rsidRPr="006F1082">
        <w:rPr>
          <w:rFonts w:asciiTheme="majorBidi" w:hAnsiTheme="majorBidi" w:cstheme="majorBidi"/>
        </w:rPr>
        <w:t>,</w:t>
      </w:r>
      <w:r w:rsidRPr="006F1082">
        <w:rPr>
          <w:rFonts w:asciiTheme="majorBidi" w:hAnsiTheme="majorBidi" w:cstheme="majorBidi"/>
        </w:rPr>
        <w:t xml:space="preserve"> </w:t>
      </w:r>
      <w:hyperlink r:id="rId24" w:history="1">
        <w:r w:rsidRPr="006F1082">
          <w:rPr>
            <w:rStyle w:val="Hypertextovodkaz"/>
            <w:rFonts w:asciiTheme="majorBidi" w:hAnsiTheme="majorBidi" w:cstheme="majorBidi"/>
          </w:rPr>
          <w:t>http://www.jstor.org/stable/41216715</w:t>
        </w:r>
      </w:hyperlink>
      <w:r w:rsidRPr="006F1082">
        <w:rPr>
          <w:rFonts w:asciiTheme="majorBidi" w:hAnsiTheme="majorBidi" w:cstheme="majorBidi"/>
        </w:rPr>
        <w:t xml:space="preserve">. </w:t>
      </w:r>
    </w:p>
  </w:footnote>
  <w:footnote w:id="139">
    <w:p w14:paraId="36FFDAA6" w14:textId="4373CFC3"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Roy </w:t>
      </w:r>
      <w:r w:rsidRPr="006F1082">
        <w:rPr>
          <w:rFonts w:asciiTheme="majorBidi" w:hAnsiTheme="majorBidi" w:cstheme="majorBidi"/>
        </w:rPr>
        <w:t xml:space="preserve">Kotansky, </w:t>
      </w:r>
      <w:r w:rsidRPr="006F1082">
        <w:rPr>
          <w:rFonts w:asciiTheme="majorBidi" w:hAnsiTheme="majorBidi" w:cstheme="majorBidi"/>
          <w:i/>
          <w:iCs/>
        </w:rPr>
        <w:t>Greek Magical Amulets: The Inscribed Gold, Silver, Copper, and Bronze Lamellae Part I Published Texts of Known Provenance</w:t>
      </w:r>
      <w:r w:rsidRPr="006F1082">
        <w:rPr>
          <w:rFonts w:asciiTheme="majorBidi" w:hAnsiTheme="majorBidi" w:cstheme="majorBidi"/>
        </w:rPr>
        <w:t xml:space="preserve">, Papyrologica Coloniensia, Vol. 22 (Wiesbaden: VS Verlag für Sozialwissenschaften, 1994), xvii-xix.; Betz, </w:t>
      </w:r>
      <w:r w:rsidRPr="006F1082">
        <w:rPr>
          <w:rFonts w:asciiTheme="majorBidi" w:hAnsiTheme="majorBidi" w:cstheme="majorBidi"/>
          <w:i/>
          <w:iCs/>
        </w:rPr>
        <w:t>The Greek Magical Papyri in Translation</w:t>
      </w:r>
      <w:r w:rsidRPr="006F1082">
        <w:rPr>
          <w:rFonts w:asciiTheme="majorBidi" w:hAnsiTheme="majorBidi" w:cstheme="majorBidi"/>
        </w:rPr>
        <w:t>, xli.</w:t>
      </w:r>
    </w:p>
  </w:footnote>
  <w:footnote w:id="140">
    <w:p w14:paraId="1073E09C" w14:textId="0EFB6650"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Gideon </w:t>
      </w:r>
      <w:r w:rsidRPr="006F1082">
        <w:rPr>
          <w:rFonts w:asciiTheme="majorBidi" w:hAnsiTheme="majorBidi" w:cstheme="majorBidi"/>
        </w:rPr>
        <w:t xml:space="preserve">Bohak, Yuval Harari and Shaul Shaked, “Continuity and Innovation in the Magical Tradition: A Jerusalem Symposium and Its Wider Contexts,“ in </w:t>
      </w:r>
      <w:r w:rsidRPr="006F1082">
        <w:rPr>
          <w:rFonts w:asciiTheme="majorBidi" w:hAnsiTheme="majorBidi" w:cstheme="majorBidi"/>
          <w:i/>
          <w:iCs/>
        </w:rPr>
        <w:t>Continuity and Innovation in the Magical Tradition</w:t>
      </w:r>
      <w:r w:rsidRPr="006F1082">
        <w:rPr>
          <w:rFonts w:asciiTheme="majorBidi" w:hAnsiTheme="majorBidi" w:cstheme="majorBidi"/>
        </w:rPr>
        <w:t>, edited by Gideon Bohak, Yuval Harari and Shaul Shaked (Leiden and Boston: Brill, 2011), 4-5.</w:t>
      </w:r>
    </w:p>
  </w:footnote>
  <w:footnote w:id="141">
    <w:p w14:paraId="487C6D07" w14:textId="676690BA"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Betz, </w:t>
      </w:r>
      <w:r w:rsidRPr="006F1082">
        <w:rPr>
          <w:rFonts w:asciiTheme="majorBidi" w:hAnsiTheme="majorBidi" w:cstheme="majorBidi"/>
          <w:i/>
          <w:iCs/>
        </w:rPr>
        <w:t>The Greek Magical Papyri in Translation</w:t>
      </w:r>
      <w:r w:rsidRPr="006F1082">
        <w:rPr>
          <w:rFonts w:asciiTheme="majorBidi" w:hAnsiTheme="majorBidi" w:cstheme="majorBidi"/>
        </w:rPr>
        <w:t>, xlv – xlvi.</w:t>
      </w:r>
    </w:p>
  </w:footnote>
  <w:footnote w:id="142">
    <w:p w14:paraId="686F93C3" w14:textId="60B7760F"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Morton Smith, </w:t>
      </w:r>
      <w:r w:rsidRPr="006F1082">
        <w:rPr>
          <w:rFonts w:asciiTheme="majorBidi" w:hAnsiTheme="majorBidi" w:cstheme="majorBidi"/>
          <w:i/>
          <w:iCs/>
        </w:rPr>
        <w:t>Studies in the Cult of Yahweh</w:t>
      </w:r>
      <w:r w:rsidRPr="006F1082">
        <w:rPr>
          <w:rFonts w:asciiTheme="majorBidi" w:hAnsiTheme="majorBidi" w:cstheme="majorBidi"/>
        </w:rPr>
        <w:t>, Volume One (Leiden, New York, and Köln: E. J. Brill, 1996), 210.</w:t>
      </w:r>
    </w:p>
  </w:footnote>
  <w:footnote w:id="143">
    <w:p w14:paraId="1B848119" w14:textId="508971BE"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Betz, </w:t>
      </w:r>
      <w:r w:rsidRPr="006F1082">
        <w:rPr>
          <w:rFonts w:asciiTheme="majorBidi" w:hAnsiTheme="majorBidi" w:cstheme="majorBidi"/>
          <w:i/>
          <w:iCs/>
        </w:rPr>
        <w:t>The Greek Magical Papyri in Translation</w:t>
      </w:r>
      <w:r w:rsidRPr="006F1082">
        <w:rPr>
          <w:rFonts w:asciiTheme="majorBidi" w:hAnsiTheme="majorBidi" w:cstheme="majorBidi"/>
        </w:rPr>
        <w:t>, 282.</w:t>
      </w:r>
    </w:p>
  </w:footnote>
  <w:footnote w:id="144">
    <w:p w14:paraId="45596D14" w14:textId="34C2914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57, and 58.</w:t>
      </w:r>
    </w:p>
  </w:footnote>
  <w:footnote w:id="145">
    <w:p w14:paraId="12BA7FAB" w14:textId="274C172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58.</w:t>
      </w:r>
    </w:p>
  </w:footnote>
  <w:footnote w:id="146">
    <w:p w14:paraId="17C09013" w14:textId="748F8F04"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61, 96, and 103.</w:t>
      </w:r>
    </w:p>
  </w:footnote>
  <w:footnote w:id="147">
    <w:p w14:paraId="5163F148" w14:textId="426E7162"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193, and 261.</w:t>
      </w:r>
    </w:p>
  </w:footnote>
  <w:footnote w:id="148">
    <w:p w14:paraId="022C42D5" w14:textId="3E13D92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233.</w:t>
      </w:r>
    </w:p>
  </w:footnote>
  <w:footnote w:id="149">
    <w:p w14:paraId="770C9987" w14:textId="50CD6D70"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121, 297, and 302.</w:t>
      </w:r>
    </w:p>
  </w:footnote>
  <w:footnote w:id="150">
    <w:p w14:paraId="396ABA12" w14:textId="767A2394"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11, 20, 22, 24, 26, 30, 57, 62, 67, 101, 103, 107, 132, 136, 146, 150, 155, 161, 163, 174, 218, 245, 262, 270, 286, 292, 309, and 314. </w:t>
      </w:r>
    </w:p>
  </w:footnote>
  <w:footnote w:id="151">
    <w:p w14:paraId="4E710FD7" w14:textId="762EE6BE"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17, 20, 22, 24, 26, 30, 36, 45, 57, 62, 67, 101, 103, 136, 146, 148, 150, 155, 161, 163, 174, 245, 265, 266, 270, 286, and 296. </w:t>
      </w:r>
    </w:p>
  </w:footnote>
  <w:footnote w:id="152">
    <w:p w14:paraId="627999FF" w14:textId="005701D6"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11, 20, 22, 24, 26, 36, 45, 67, 103, 136, 146, 150, 155, 174, 265, 266, 282, 286, 296, 303, and 309.</w:t>
      </w:r>
    </w:p>
  </w:footnote>
  <w:footnote w:id="153">
    <w:p w14:paraId="6E15C53E" w14:textId="3645C7E0"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11, 99, 110 270, and 282. </w:t>
      </w:r>
    </w:p>
  </w:footnote>
  <w:footnote w:id="154">
    <w:p w14:paraId="543CD428" w14:textId="6E429D6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11, 22, and 150.</w:t>
      </w:r>
    </w:p>
  </w:footnote>
  <w:footnote w:id="155">
    <w:p w14:paraId="3CA3ED74" w14:textId="1F5BC05E"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11, 17, 22, 24, 150, and 299.</w:t>
      </w:r>
    </w:p>
  </w:footnote>
  <w:footnote w:id="156">
    <w:p w14:paraId="77D95CB2" w14:textId="77F111E6"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22, and 150.</w:t>
      </w:r>
    </w:p>
  </w:footnote>
  <w:footnote w:id="157">
    <w:p w14:paraId="68C60588" w14:textId="4717CBB8" w:rsidR="00A84A9A" w:rsidRPr="006F1082" w:rsidRDefault="00A84A9A" w:rsidP="006F1082">
      <w:pPr>
        <w:pStyle w:val="Footnotes"/>
        <w:rPr>
          <w:rFonts w:asciiTheme="majorBidi" w:hAnsiTheme="majorBidi" w:cstheme="majorBidi"/>
          <w:highlight w:val="green"/>
        </w:rPr>
      </w:pPr>
      <w:r w:rsidRPr="006F1082">
        <w:rPr>
          <w:rStyle w:val="Znakapoznpodarou"/>
          <w:rFonts w:asciiTheme="majorBidi" w:hAnsiTheme="majorBidi" w:cstheme="majorBidi"/>
        </w:rPr>
        <w:footnoteRef/>
      </w:r>
      <w:r w:rsidRPr="006F1082">
        <w:rPr>
          <w:rFonts w:asciiTheme="majorBidi" w:hAnsiTheme="majorBidi" w:cstheme="majorBidi"/>
        </w:rPr>
        <w:t xml:space="preserve"> Ibid, 22, 24, and 150.</w:t>
      </w:r>
    </w:p>
  </w:footnote>
  <w:footnote w:id="158">
    <w:p w14:paraId="0FCF2FC4" w14:textId="4E81C802"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107, 136, and 277.</w:t>
      </w:r>
    </w:p>
  </w:footnote>
  <w:footnote w:id="159">
    <w:p w14:paraId="1A682143" w14:textId="3B5A42CE" w:rsidR="00A84A9A" w:rsidRPr="006F1082" w:rsidRDefault="00A84A9A" w:rsidP="006F1082">
      <w:pPr>
        <w:pStyle w:val="Footnotes"/>
      </w:pPr>
      <w:r w:rsidRPr="006F1082">
        <w:rPr>
          <w:rStyle w:val="Znakapoznpodarou"/>
        </w:rPr>
        <w:footnoteRef/>
      </w:r>
      <w:r w:rsidRPr="006F1082">
        <w:t xml:space="preserve"> Ibid, 155, 185, 187, and 192.</w:t>
      </w:r>
    </w:p>
  </w:footnote>
  <w:footnote w:id="160">
    <w:p w14:paraId="27D0BD84" w14:textId="18D4E80D" w:rsidR="00A84A9A" w:rsidRPr="006F1082" w:rsidRDefault="00A84A9A" w:rsidP="006F1082">
      <w:pPr>
        <w:pStyle w:val="Footnotes"/>
      </w:pPr>
      <w:r w:rsidRPr="006F1082">
        <w:rPr>
          <w:rStyle w:val="Znakapoznpodarou"/>
        </w:rPr>
        <w:footnoteRef/>
      </w:r>
      <w:r w:rsidRPr="006F1082">
        <w:t xml:space="preserve"> </w:t>
      </w:r>
      <w:r w:rsidRPr="006F1082">
        <w:t xml:space="preserve">Scholem, </w:t>
      </w:r>
      <w:r w:rsidRPr="006F1082">
        <w:rPr>
          <w:i/>
          <w:iCs/>
        </w:rPr>
        <w:t>Jewish Gnosticism, Merkabah Mysticism, and Talmudic Tradition</w:t>
      </w:r>
      <w:r w:rsidRPr="006F1082">
        <w:t>, 134.</w:t>
      </w:r>
    </w:p>
  </w:footnote>
  <w:footnote w:id="161">
    <w:p w14:paraId="0E0330F2" w14:textId="6BB799B2" w:rsidR="00A84A9A" w:rsidRPr="006F1082" w:rsidRDefault="00A84A9A" w:rsidP="006F1082">
      <w:pPr>
        <w:pStyle w:val="Footnotes"/>
      </w:pPr>
      <w:r w:rsidRPr="006F1082">
        <w:rPr>
          <w:rStyle w:val="Znakapoznpodarou"/>
        </w:rPr>
        <w:footnoteRef/>
      </w:r>
      <w:r w:rsidRPr="006F1082">
        <w:t xml:space="preserve"> Marvin Meyer and Richard Smith (Eds.), </w:t>
      </w:r>
      <w:r w:rsidRPr="006F1082">
        <w:rPr>
          <w:i/>
          <w:iCs/>
        </w:rPr>
        <w:t>Ancient Christian Magic: Coptic Texts of Ritual Power</w:t>
      </w:r>
      <w:r w:rsidRPr="006F1082">
        <w:t xml:space="preserve"> (San Francisco: </w:t>
      </w:r>
      <w:r w:rsidRPr="006F1082">
        <w:t>HarperSanFrancisco, 1994), 390.</w:t>
      </w:r>
    </w:p>
  </w:footnote>
  <w:footnote w:id="162">
    <w:p w14:paraId="2B796C09" w14:textId="7B2F8F85" w:rsidR="00A84A9A" w:rsidRPr="006F1082" w:rsidRDefault="00A84A9A" w:rsidP="006F1082">
      <w:pPr>
        <w:pStyle w:val="Footnotes"/>
      </w:pPr>
      <w:r w:rsidRPr="006F1082">
        <w:rPr>
          <w:rStyle w:val="Znakapoznpodarou"/>
        </w:rPr>
        <w:footnoteRef/>
      </w:r>
      <w:r w:rsidRPr="006F1082">
        <w:t xml:space="preserve"> </w:t>
      </w:r>
      <w:r w:rsidRPr="006F1082">
        <w:t xml:space="preserve">Reimund Leicht, “Qedushah and Prayer to Helios: A New Hebrew Version of an Apocryphal Prayer of Jacob,” </w:t>
      </w:r>
      <w:r w:rsidRPr="006F1082">
        <w:rPr>
          <w:i/>
          <w:iCs/>
        </w:rPr>
        <w:t>Jewish Studies Quarterly</w:t>
      </w:r>
      <w:r w:rsidRPr="006F1082">
        <w:t xml:space="preserve"> 6 (1999): 159.</w:t>
      </w:r>
    </w:p>
  </w:footnote>
  <w:footnote w:id="163">
    <w:p w14:paraId="6C3270FB" w14:textId="6AD96E1C"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Shandruk, “A Computational Approach to the Study of Magical Gems”</w:t>
      </w:r>
      <w:r w:rsidRPr="006F1082">
        <w:t>, 68.</w:t>
      </w:r>
    </w:p>
  </w:footnote>
  <w:footnote w:id="164">
    <w:p w14:paraId="6625339C" w14:textId="01CC52CB" w:rsidR="00A84A9A" w:rsidRPr="006F1082" w:rsidRDefault="00A84A9A" w:rsidP="006F1082">
      <w:pPr>
        <w:pStyle w:val="Footnotes"/>
      </w:pPr>
      <w:r w:rsidRPr="006F1082">
        <w:rPr>
          <w:rStyle w:val="Znakapoznpodarou"/>
        </w:rPr>
        <w:footnoteRef/>
      </w:r>
      <w:r w:rsidRPr="006F1082">
        <w:t xml:space="preserve"> Gideon </w:t>
      </w:r>
      <w:r w:rsidRPr="006F1082">
        <w:t xml:space="preserve">Bohak, “Hebrew, Hebrew Everywhere? Notes on the Interpretation of </w:t>
      </w:r>
      <w:r w:rsidRPr="006F1082">
        <w:rPr>
          <w:i/>
          <w:iCs/>
        </w:rPr>
        <w:t>Voces Magicae</w:t>
      </w:r>
      <w:r w:rsidRPr="006F1082">
        <w:t xml:space="preserve">,” in </w:t>
      </w:r>
      <w:r w:rsidRPr="006F1082">
        <w:rPr>
          <w:i/>
          <w:iCs/>
        </w:rPr>
        <w:t xml:space="preserve">Prayer, Magic, and the Stars in the Ancient and Late Antique </w:t>
      </w:r>
      <w:r w:rsidRPr="006F1082">
        <w:t xml:space="preserve">World, edited by Scott Noegel, Joel Walker, and Brannon Wheeler (University Park: The Pennsylvania State University Press, 2003), 82.; Bohak, </w:t>
      </w:r>
      <w:r w:rsidRPr="006F1082">
        <w:rPr>
          <w:i/>
          <w:iCs/>
        </w:rPr>
        <w:t>Ancient Jewish Magic</w:t>
      </w:r>
      <w:r w:rsidRPr="006F1082">
        <w:t>, 197.</w:t>
      </w:r>
    </w:p>
  </w:footnote>
  <w:footnote w:id="165">
    <w:p w14:paraId="3C39CD33" w14:textId="76071D11"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Betz, </w:t>
      </w:r>
      <w:r w:rsidRPr="006F1082">
        <w:rPr>
          <w:rFonts w:asciiTheme="majorBidi" w:hAnsiTheme="majorBidi" w:cstheme="majorBidi"/>
          <w:i/>
          <w:iCs/>
        </w:rPr>
        <w:t>The Greek Magical Papyri in Translation</w:t>
      </w:r>
      <w:r w:rsidRPr="006F1082">
        <w:rPr>
          <w:rFonts w:asciiTheme="majorBidi" w:hAnsiTheme="majorBidi" w:cstheme="majorBidi"/>
        </w:rPr>
        <w:t>, 22, and 28.</w:t>
      </w:r>
    </w:p>
  </w:footnote>
  <w:footnote w:id="166">
    <w:p w14:paraId="1081FC17" w14:textId="4B1DF7B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331.</w:t>
      </w:r>
    </w:p>
  </w:footnote>
  <w:footnote w:id="167">
    <w:p w14:paraId="65B0BAAC" w14:textId="57B5048A"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22, 136, and 152.</w:t>
      </w:r>
    </w:p>
  </w:footnote>
  <w:footnote w:id="168">
    <w:p w14:paraId="47F63ACA" w14:textId="79DAF61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110, 125, 145, 146, 155, 268, and 281.</w:t>
      </w:r>
    </w:p>
  </w:footnote>
  <w:footnote w:id="169">
    <w:p w14:paraId="4C3A3D36" w14:textId="70EDE98D"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158, and 253.</w:t>
      </w:r>
    </w:p>
  </w:footnote>
  <w:footnote w:id="170">
    <w:p w14:paraId="714B14AF" w14:textId="7225CAEB"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28, 96, 102, 157, 160, 255, 267, and 274.</w:t>
      </w:r>
    </w:p>
  </w:footnote>
  <w:footnote w:id="171">
    <w:p w14:paraId="6867658A" w14:textId="607926E7" w:rsidR="00EE7BAA" w:rsidRPr="006F1082" w:rsidRDefault="00EE7BAA" w:rsidP="006F1082">
      <w:pPr>
        <w:pStyle w:val="Footnotes"/>
      </w:pPr>
      <w:r w:rsidRPr="00A75F1B">
        <w:rPr>
          <w:rStyle w:val="Znakapoznpodarou"/>
        </w:rPr>
        <w:footnoteRef/>
      </w:r>
      <w:r w:rsidRPr="00A75F1B">
        <w:t xml:space="preserve"> The formula was previously discus</w:t>
      </w:r>
      <w:r w:rsidR="00A75F1B" w:rsidRPr="00A75F1B">
        <w:t>s</w:t>
      </w:r>
      <w:r w:rsidRPr="00A75F1B">
        <w:t>ed as a rendition of formula “Abracadabra”, see page</w:t>
      </w:r>
      <w:r w:rsidR="00702B12" w:rsidRPr="00A75F1B">
        <w:t xml:space="preserve"> </w:t>
      </w:r>
      <w:r w:rsidR="00A75F1B" w:rsidRPr="00A75F1B">
        <w:t>21</w:t>
      </w:r>
      <w:r w:rsidRPr="00A75F1B">
        <w:t>.</w:t>
      </w:r>
    </w:p>
  </w:footnote>
  <w:footnote w:id="172">
    <w:p w14:paraId="68657622" w14:textId="2EE68D96"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11, 296, and 299.</w:t>
      </w:r>
    </w:p>
  </w:footnote>
  <w:footnote w:id="173">
    <w:p w14:paraId="1771DA3C" w14:textId="5DD282D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59, 136, 262, 272, and 292. </w:t>
      </w:r>
    </w:p>
  </w:footnote>
  <w:footnote w:id="174">
    <w:p w14:paraId="05CDE826" w14:textId="6FF259A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262, and 277.</w:t>
      </w:r>
    </w:p>
  </w:footnote>
  <w:footnote w:id="175">
    <w:p w14:paraId="474F9DB2" w14:textId="3F665CEB" w:rsidR="00A84A9A" w:rsidRPr="006F1082" w:rsidRDefault="00A84A9A" w:rsidP="006F1082">
      <w:pPr>
        <w:pStyle w:val="Footnotes"/>
        <w:rPr>
          <w:rFonts w:asciiTheme="majorBidi" w:hAnsiTheme="majorBidi" w:cstheme="majorBidi"/>
          <w:highlight w:val="green"/>
        </w:rPr>
      </w:pPr>
      <w:r w:rsidRPr="006F1082">
        <w:rPr>
          <w:rStyle w:val="Znakapoznpodarou"/>
          <w:rFonts w:asciiTheme="majorBidi" w:hAnsiTheme="majorBidi" w:cstheme="majorBidi"/>
        </w:rPr>
        <w:footnoteRef/>
      </w:r>
      <w:r w:rsidRPr="006F1082">
        <w:rPr>
          <w:rFonts w:asciiTheme="majorBidi" w:hAnsiTheme="majorBidi" w:cstheme="majorBidi"/>
        </w:rPr>
        <w:t xml:space="preserve"> Ibid, 57, 58, and 245.</w:t>
      </w:r>
    </w:p>
  </w:footnote>
  <w:footnote w:id="176">
    <w:p w14:paraId="54618FBA" w14:textId="550789F2"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26, 30, 132, 161, 174, 262, 266, 291, 292, and 299.</w:t>
      </w:r>
    </w:p>
  </w:footnote>
  <w:footnote w:id="177">
    <w:p w14:paraId="3DD3B926" w14:textId="1D43FC4E"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146, 262, and 296.</w:t>
      </w:r>
    </w:p>
  </w:footnote>
  <w:footnote w:id="178">
    <w:p w14:paraId="7E72B3D4" w14:textId="09F30546"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36, 57, 58, 59, and 291.</w:t>
      </w:r>
    </w:p>
  </w:footnote>
  <w:footnote w:id="179">
    <w:p w14:paraId="1169C1BB" w14:textId="54330BAF"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11, 24, 110, and 262.</w:t>
      </w:r>
    </w:p>
  </w:footnote>
  <w:footnote w:id="180">
    <w:p w14:paraId="2139E433" w14:textId="45542020"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11, 25, and 175.</w:t>
      </w:r>
    </w:p>
  </w:footnote>
  <w:footnote w:id="181">
    <w:p w14:paraId="44F43405" w14:textId="47614683"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11, 262, and 309.</w:t>
      </w:r>
    </w:p>
  </w:footnote>
  <w:footnote w:id="182">
    <w:p w14:paraId="677C8632" w14:textId="529F26CB"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20, and 30.</w:t>
      </w:r>
    </w:p>
  </w:footnote>
  <w:footnote w:id="183">
    <w:p w14:paraId="2F3518F6" w14:textId="64ACF7AE"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30.</w:t>
      </w:r>
    </w:p>
  </w:footnote>
  <w:footnote w:id="184">
    <w:p w14:paraId="230B6551" w14:textId="30CEEDCB"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62, and 96.</w:t>
      </w:r>
    </w:p>
  </w:footnote>
  <w:footnote w:id="185">
    <w:p w14:paraId="073AA700" w14:textId="5B51A859"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20, 24, 30, 57, 67, 103, 110, 262, 292, and 299.</w:t>
      </w:r>
    </w:p>
  </w:footnote>
  <w:footnote w:id="186">
    <w:p w14:paraId="702564EB" w14:textId="7C456EFA"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22, 57, 62, 146, 155, 174, 176, 245, 286, 296, 299, and 309.</w:t>
      </w:r>
    </w:p>
  </w:footnote>
  <w:footnote w:id="187">
    <w:p w14:paraId="659D74DE" w14:textId="3B337924"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11,176, and 184.</w:t>
      </w:r>
    </w:p>
  </w:footnote>
  <w:footnote w:id="188">
    <w:p w14:paraId="64995F42" w14:textId="6150D2F5"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272.</w:t>
      </w:r>
    </w:p>
  </w:footnote>
  <w:footnote w:id="189">
    <w:p w14:paraId="6AE8556B" w14:textId="1BD08254"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17, 26, 36, 45, 96, 101, 107, 122, 132, 136, 148, 152, 161, 163, 187, 193, 218, 233, 265, 266, 270, 276, 282, 291, 302, 303, and 314.</w:t>
      </w:r>
    </w:p>
  </w:footnote>
  <w:footnote w:id="190">
    <w:p w14:paraId="6E21E008" w14:textId="18ABD5D1"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p. 297, and 302.</w:t>
      </w:r>
    </w:p>
  </w:footnote>
  <w:footnote w:id="191">
    <w:p w14:paraId="249C7DFB" w14:textId="5B0E5E19"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p. 146, and 299.</w:t>
      </w:r>
    </w:p>
  </w:footnote>
  <w:footnote w:id="192">
    <w:p w14:paraId="7EDCCACB" w14:textId="7C770322"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Claude </w:t>
      </w:r>
      <w:r w:rsidRPr="006F1082">
        <w:rPr>
          <w:rFonts w:asciiTheme="majorBidi" w:hAnsiTheme="majorBidi" w:cstheme="majorBidi"/>
        </w:rPr>
        <w:t xml:space="preserve">Lecouteux, </w:t>
      </w:r>
      <w:r w:rsidRPr="006F1082">
        <w:rPr>
          <w:rFonts w:asciiTheme="majorBidi" w:hAnsiTheme="majorBidi" w:cstheme="majorBidi"/>
          <w:i/>
          <w:iCs/>
        </w:rPr>
        <w:t>The High Magic of Talismans and Amulets: Tradition and Craft</w:t>
      </w:r>
      <w:r w:rsidRPr="006F1082">
        <w:rPr>
          <w:rFonts w:asciiTheme="majorBidi" w:hAnsiTheme="majorBidi" w:cstheme="majorBidi"/>
        </w:rPr>
        <w:t>, translated by Jon E. Graham (Rochester: Inner Traditions, 2014), 15-16.</w:t>
      </w:r>
    </w:p>
  </w:footnote>
  <w:footnote w:id="193">
    <w:p w14:paraId="775CBCC9" w14:textId="543851C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Peleg-Barkat and Tepper, “Engraved Gems from Sites with a Military Presence in Roman Palestine“, 100.;</w:t>
      </w:r>
      <w:r w:rsidR="00D040CE" w:rsidRPr="006F1082">
        <w:rPr>
          <w:rFonts w:asciiTheme="majorBidi" w:hAnsiTheme="majorBidi" w:cstheme="majorBidi"/>
        </w:rPr>
        <w:t> </w:t>
      </w:r>
      <w:r w:rsidRPr="006F1082">
        <w:rPr>
          <w:rFonts w:asciiTheme="majorBidi" w:hAnsiTheme="majorBidi" w:cstheme="majorBidi"/>
        </w:rPr>
        <w:t>Yvan</w:t>
      </w:r>
      <w:r w:rsidR="00D040CE" w:rsidRPr="006F1082">
        <w:rPr>
          <w:rFonts w:asciiTheme="majorBidi" w:hAnsiTheme="majorBidi" w:cstheme="majorBidi"/>
        </w:rPr>
        <w:t> </w:t>
      </w:r>
      <w:r w:rsidRPr="006F1082">
        <w:rPr>
          <w:rFonts w:asciiTheme="majorBidi" w:hAnsiTheme="majorBidi" w:cstheme="majorBidi"/>
        </w:rPr>
        <w:t>Koenig,</w:t>
      </w:r>
      <w:r w:rsidR="00D040CE" w:rsidRPr="006F1082">
        <w:rPr>
          <w:rFonts w:asciiTheme="majorBidi" w:hAnsiTheme="majorBidi" w:cstheme="majorBidi"/>
        </w:rPr>
        <w:t> </w:t>
      </w:r>
      <w:r w:rsidRPr="006F1082">
        <w:rPr>
          <w:rFonts w:asciiTheme="majorBidi" w:hAnsiTheme="majorBidi" w:cstheme="majorBidi"/>
        </w:rPr>
        <w:t>“Des</w:t>
      </w:r>
      <w:r w:rsidR="00D040CE" w:rsidRPr="006F1082">
        <w:rPr>
          <w:rFonts w:asciiTheme="majorBidi" w:hAnsiTheme="majorBidi" w:cstheme="majorBidi"/>
        </w:rPr>
        <w:t> </w:t>
      </w:r>
      <w:r w:rsidRPr="006F1082">
        <w:rPr>
          <w:rFonts w:asciiTheme="majorBidi" w:hAnsiTheme="majorBidi" w:cstheme="majorBidi"/>
        </w:rPr>
        <w:t>‘trigrammes</w:t>
      </w:r>
      <w:r w:rsidR="00D040CE" w:rsidRPr="006F1082">
        <w:rPr>
          <w:rFonts w:asciiTheme="majorBidi" w:hAnsiTheme="majorBidi" w:cstheme="majorBidi"/>
        </w:rPr>
        <w:t> </w:t>
      </w:r>
      <w:r w:rsidRPr="006F1082">
        <w:t>panthéistes’</w:t>
      </w:r>
      <w:r w:rsidR="00D040CE" w:rsidRPr="006F1082">
        <w:t> </w:t>
      </w:r>
      <w:r w:rsidRPr="006F1082">
        <w:t>ramessides</w:t>
      </w:r>
      <w:r w:rsidR="00D040CE" w:rsidRPr="006F1082">
        <w:rPr>
          <w:rFonts w:asciiTheme="majorBidi" w:hAnsiTheme="majorBidi" w:cstheme="majorBidi"/>
        </w:rPr>
        <w:t> </w:t>
      </w:r>
      <w:r w:rsidRPr="006F1082">
        <w:rPr>
          <w:rFonts w:asciiTheme="majorBidi" w:hAnsiTheme="majorBidi" w:cstheme="majorBidi"/>
        </w:rPr>
        <w:t>aux</w:t>
      </w:r>
      <w:r w:rsidR="00D040CE" w:rsidRPr="006F1082">
        <w:rPr>
          <w:rFonts w:asciiTheme="majorBidi" w:hAnsiTheme="majorBidi" w:cstheme="majorBidi"/>
        </w:rPr>
        <w:t> </w:t>
      </w:r>
      <w:r w:rsidRPr="006F1082">
        <w:rPr>
          <w:rFonts w:asciiTheme="majorBidi" w:hAnsiTheme="majorBidi" w:cstheme="majorBidi"/>
        </w:rPr>
        <w:t>gemmes</w:t>
      </w:r>
      <w:r w:rsidR="00D040CE" w:rsidRPr="006F1082">
        <w:rPr>
          <w:rFonts w:asciiTheme="majorBidi" w:hAnsiTheme="majorBidi" w:cstheme="majorBidi"/>
        </w:rPr>
        <w:t> </w:t>
      </w:r>
      <w:r w:rsidRPr="006F1082">
        <w:rPr>
          <w:rFonts w:asciiTheme="majorBidi" w:hAnsiTheme="majorBidi" w:cstheme="majorBidi"/>
        </w:rPr>
        <w:t>magiques</w:t>
      </w:r>
      <w:r w:rsidR="00D040CE" w:rsidRPr="006F1082">
        <w:rPr>
          <w:rFonts w:asciiTheme="majorBidi" w:hAnsiTheme="majorBidi" w:cstheme="majorBidi"/>
        </w:rPr>
        <w:t> </w:t>
      </w:r>
      <w:r w:rsidRPr="006F1082">
        <w:rPr>
          <w:rFonts w:asciiTheme="majorBidi" w:hAnsiTheme="majorBidi" w:cstheme="majorBidi"/>
        </w:rPr>
        <w:t>de</w:t>
      </w:r>
      <w:r w:rsidR="00D040CE" w:rsidRPr="006F1082">
        <w:rPr>
          <w:rFonts w:asciiTheme="majorBidi" w:hAnsiTheme="majorBidi" w:cstheme="majorBidi"/>
        </w:rPr>
        <w:t> </w:t>
      </w:r>
      <w:r w:rsidRPr="006F1082">
        <w:rPr>
          <w:rFonts w:asciiTheme="majorBidi" w:hAnsiTheme="majorBidi" w:cstheme="majorBidi"/>
        </w:rPr>
        <w:t>l’Antiquité</w:t>
      </w:r>
      <w:r w:rsidR="00D040CE" w:rsidRPr="006F1082">
        <w:rPr>
          <w:rFonts w:asciiTheme="majorBidi" w:hAnsiTheme="majorBidi" w:cstheme="majorBidi"/>
        </w:rPr>
        <w:t xml:space="preserve"> </w:t>
      </w:r>
      <w:r w:rsidRPr="006F1082">
        <w:rPr>
          <w:rFonts w:asciiTheme="majorBidi" w:hAnsiTheme="majorBidi" w:cstheme="majorBidi"/>
        </w:rPr>
        <w:t xml:space="preserve">tardive: le </w:t>
      </w:r>
      <w:r w:rsidRPr="006F1082">
        <w:rPr>
          <w:rFonts w:asciiTheme="majorBidi" w:hAnsiTheme="majorBidi" w:cstheme="majorBidi"/>
        </w:rPr>
        <w:t xml:space="preserve">cas d’ Abrasax, continuité et rupture,” in </w:t>
      </w:r>
      <w:r w:rsidRPr="006F1082">
        <w:rPr>
          <w:rFonts w:asciiTheme="majorBidi" w:hAnsiTheme="majorBidi" w:cstheme="majorBidi"/>
          <w:i/>
          <w:iCs/>
        </w:rPr>
        <w:t>Bulletin de l’Institut Français d’ Archéologie Orientale</w:t>
      </w:r>
      <w:r w:rsidRPr="006F1082">
        <w:rPr>
          <w:rFonts w:asciiTheme="majorBidi" w:hAnsiTheme="majorBidi" w:cstheme="majorBidi"/>
        </w:rPr>
        <w:t xml:space="preserve"> 109 (2009): 311-313, accessed May 5, 2021</w:t>
      </w:r>
      <w:r w:rsidR="006C1BCB" w:rsidRPr="006F1082">
        <w:rPr>
          <w:rFonts w:asciiTheme="majorBidi" w:hAnsiTheme="majorBidi" w:cstheme="majorBidi"/>
        </w:rPr>
        <w:t>,</w:t>
      </w:r>
      <w:r w:rsidRPr="006F1082">
        <w:rPr>
          <w:rFonts w:asciiTheme="majorBidi" w:hAnsiTheme="majorBidi" w:cstheme="majorBidi"/>
        </w:rPr>
        <w:t xml:space="preserve"> </w:t>
      </w:r>
      <w:hyperlink r:id="rId25" w:history="1">
        <w:r w:rsidRPr="006F1082">
          <w:rPr>
            <w:rStyle w:val="Hypertextovodkaz"/>
            <w:rFonts w:asciiTheme="majorBidi" w:hAnsiTheme="majorBidi" w:cstheme="majorBidi"/>
          </w:rPr>
          <w:t>https://www.ifao.egnet.net/bifao/109/15/</w:t>
        </w:r>
      </w:hyperlink>
      <w:r w:rsidRPr="006F1082">
        <w:rPr>
          <w:rFonts w:asciiTheme="majorBidi" w:hAnsiTheme="majorBidi" w:cstheme="majorBidi"/>
        </w:rPr>
        <w:t xml:space="preserve">.; Janssens, “La Datation Néronienne De L'isopséphie, 105-106.; Árpád M. Nagy, “Figuring out the Anguipede (‘Snake-Legged God’) and His Relation to Judaism,” </w:t>
      </w:r>
      <w:r w:rsidRPr="006F1082">
        <w:rPr>
          <w:rFonts w:asciiTheme="majorBidi" w:hAnsiTheme="majorBidi" w:cstheme="majorBidi"/>
          <w:i/>
          <w:iCs/>
        </w:rPr>
        <w:t>Journal of Roman Archaeology</w:t>
      </w:r>
      <w:r w:rsidRPr="006F1082">
        <w:rPr>
          <w:rFonts w:asciiTheme="majorBidi" w:hAnsiTheme="majorBidi" w:cstheme="majorBidi"/>
        </w:rPr>
        <w:t xml:space="preserve"> 15 (2002): 160, accessed May</w:t>
      </w:r>
      <w:r w:rsidR="00D040CE" w:rsidRPr="006F1082">
        <w:rPr>
          <w:rFonts w:asciiTheme="majorBidi" w:hAnsiTheme="majorBidi" w:cstheme="majorBidi"/>
        </w:rPr>
        <w:t> </w:t>
      </w:r>
      <w:r w:rsidRPr="006F1082">
        <w:rPr>
          <w:rFonts w:asciiTheme="majorBidi" w:hAnsiTheme="majorBidi" w:cstheme="majorBidi"/>
        </w:rPr>
        <w:t>5,</w:t>
      </w:r>
      <w:r w:rsidR="00D040CE" w:rsidRPr="006F1082">
        <w:rPr>
          <w:rFonts w:asciiTheme="majorBidi" w:hAnsiTheme="majorBidi" w:cstheme="majorBidi"/>
        </w:rPr>
        <w:t> </w:t>
      </w:r>
      <w:r w:rsidRPr="006F1082">
        <w:rPr>
          <w:rFonts w:asciiTheme="majorBidi" w:hAnsiTheme="majorBidi" w:cstheme="majorBidi"/>
        </w:rPr>
        <w:t>2021</w:t>
      </w:r>
      <w:r w:rsidR="006C1BCB" w:rsidRPr="006F1082">
        <w:rPr>
          <w:rFonts w:asciiTheme="majorBidi" w:hAnsiTheme="majorBidi" w:cstheme="majorBidi"/>
        </w:rPr>
        <w:t xml:space="preserve">, </w:t>
      </w:r>
      <w:hyperlink r:id="rId26" w:history="1">
        <w:r w:rsidR="006C1BCB" w:rsidRPr="006F1082">
          <w:rPr>
            <w:rStyle w:val="Hypertextovodkaz"/>
            <w:rFonts w:asciiTheme="majorBidi" w:hAnsiTheme="majorBidi" w:cstheme="majorBidi"/>
          </w:rPr>
          <w:t>https://www.academia.edu/11756148/Figuring_out_the_Anguipede_snake_legged_god_and_his_relation_to_Judaism_Journal_of_Roman_Archaeology_15_2002_159_172</w:t>
        </w:r>
      </w:hyperlink>
      <w:r w:rsidRPr="006F1082">
        <w:rPr>
          <w:rFonts w:asciiTheme="majorBidi" w:hAnsiTheme="majorBidi" w:cstheme="majorBidi"/>
        </w:rPr>
        <w:t xml:space="preserve">. </w:t>
      </w:r>
    </w:p>
  </w:footnote>
  <w:footnote w:id="194">
    <w:p w14:paraId="3BC372B7" w14:textId="277B3C44"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Peleg-Barkat and Tepper, “Engraved Gems from Sites with a Military Presence in Roman Palestine “, 100.</w:t>
      </w:r>
    </w:p>
  </w:footnote>
  <w:footnote w:id="195">
    <w:p w14:paraId="1161CE8A" w14:textId="18993324"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King, </w:t>
      </w:r>
      <w:r w:rsidRPr="006F1082">
        <w:rPr>
          <w:rFonts w:asciiTheme="majorBidi" w:hAnsiTheme="majorBidi" w:cstheme="majorBidi"/>
          <w:i/>
          <w:iCs/>
        </w:rPr>
        <w:t>The Gnostics and their remains</w:t>
      </w:r>
      <w:r w:rsidRPr="006F1082">
        <w:rPr>
          <w:rFonts w:asciiTheme="majorBidi" w:hAnsiTheme="majorBidi" w:cstheme="majorBidi"/>
        </w:rPr>
        <w:t>,</w:t>
      </w:r>
      <w:r w:rsidR="000671A2" w:rsidRPr="006F1082">
        <w:rPr>
          <w:rFonts w:asciiTheme="majorBidi" w:hAnsiTheme="majorBidi" w:cstheme="majorBidi"/>
        </w:rPr>
        <w:t xml:space="preserve"> 226-250.</w:t>
      </w:r>
    </w:p>
  </w:footnote>
  <w:footnote w:id="196">
    <w:p w14:paraId="5107628F" w14:textId="39BCDBC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000671A2" w:rsidRPr="006F1082">
        <w:rPr>
          <w:rFonts w:asciiTheme="majorBidi" w:hAnsiTheme="majorBidi" w:cstheme="majorBidi"/>
        </w:rPr>
        <w:t>I</w:t>
      </w:r>
      <w:r w:rsidRPr="006F1082">
        <w:rPr>
          <w:rFonts w:asciiTheme="majorBidi" w:hAnsiTheme="majorBidi" w:cstheme="majorBidi"/>
        </w:rPr>
        <w:t>bid</w:t>
      </w:r>
      <w:r w:rsidR="000671A2" w:rsidRPr="006F1082">
        <w:rPr>
          <w:rFonts w:asciiTheme="majorBidi" w:hAnsiTheme="majorBidi" w:cstheme="majorBidi"/>
        </w:rPr>
        <w:t xml:space="preserve">, </w:t>
      </w:r>
      <w:r w:rsidR="00022CFA" w:rsidRPr="006F1082">
        <w:rPr>
          <w:rFonts w:asciiTheme="majorBidi" w:hAnsiTheme="majorBidi" w:cstheme="majorBidi"/>
        </w:rPr>
        <w:t xml:space="preserve">212-222, and </w:t>
      </w:r>
      <w:r w:rsidR="000671A2" w:rsidRPr="006F1082">
        <w:rPr>
          <w:rFonts w:asciiTheme="majorBidi" w:hAnsiTheme="majorBidi" w:cstheme="majorBidi"/>
        </w:rPr>
        <w:t>227-229.</w:t>
      </w:r>
    </w:p>
  </w:footnote>
  <w:footnote w:id="197">
    <w:p w14:paraId="7C60F78A" w14:textId="0AB000D8"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Nagy, “Figuring out the </w:t>
      </w:r>
      <w:r w:rsidRPr="006F1082">
        <w:rPr>
          <w:rFonts w:asciiTheme="majorBidi" w:hAnsiTheme="majorBidi" w:cstheme="majorBidi"/>
        </w:rPr>
        <w:t>Anguipede“, 160.</w:t>
      </w:r>
    </w:p>
  </w:footnote>
  <w:footnote w:id="198">
    <w:p w14:paraId="1DB0B2DA" w14:textId="7D5585ED"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Bonner, </w:t>
      </w:r>
      <w:r w:rsidRPr="006F1082">
        <w:rPr>
          <w:rFonts w:asciiTheme="majorBidi" w:hAnsiTheme="majorBidi" w:cstheme="majorBidi"/>
          <w:i/>
          <w:iCs/>
        </w:rPr>
        <w:t>Studies in Magical Amulets</w:t>
      </w:r>
      <w:r w:rsidRPr="006F1082">
        <w:rPr>
          <w:rFonts w:asciiTheme="majorBidi" w:hAnsiTheme="majorBidi" w:cstheme="majorBidi"/>
        </w:rPr>
        <w:t>, 128.</w:t>
      </w:r>
    </w:p>
  </w:footnote>
  <w:footnote w:id="199">
    <w:p w14:paraId="6C8EAB44" w14:textId="3B792602"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Erwin R. Goodenough, </w:t>
      </w:r>
      <w:r w:rsidRPr="006F1082">
        <w:rPr>
          <w:rFonts w:asciiTheme="majorBidi" w:hAnsiTheme="majorBidi" w:cstheme="majorBidi"/>
          <w:i/>
          <w:iCs/>
        </w:rPr>
        <w:t>Jewish Symbols in the Greco-Roman Period: (Abridged Edition)</w:t>
      </w:r>
      <w:r w:rsidRPr="006F1082">
        <w:rPr>
          <w:rFonts w:asciiTheme="majorBidi" w:hAnsiTheme="majorBidi" w:cstheme="majorBidi"/>
        </w:rPr>
        <w:t>, edited by Jacob Neusner</w:t>
      </w:r>
      <w:r w:rsidR="00D040CE" w:rsidRPr="006F1082">
        <w:rPr>
          <w:rFonts w:asciiTheme="majorBidi" w:hAnsiTheme="majorBidi" w:cstheme="majorBidi"/>
        </w:rPr>
        <w:t> </w:t>
      </w:r>
      <w:r w:rsidRPr="006F1082">
        <w:rPr>
          <w:rFonts w:asciiTheme="majorBidi" w:hAnsiTheme="majorBidi" w:cstheme="majorBidi"/>
        </w:rPr>
        <w:t>(Princeton</w:t>
      </w:r>
      <w:r w:rsidR="00D040CE" w:rsidRPr="006F1082">
        <w:rPr>
          <w:rFonts w:asciiTheme="majorBidi" w:hAnsiTheme="majorBidi" w:cstheme="majorBidi"/>
        </w:rPr>
        <w:t> </w:t>
      </w:r>
      <w:r w:rsidRPr="006F1082">
        <w:rPr>
          <w:rFonts w:asciiTheme="majorBidi" w:hAnsiTheme="majorBidi" w:cstheme="majorBidi"/>
        </w:rPr>
        <w:t>and</w:t>
      </w:r>
      <w:r w:rsidR="00D040CE" w:rsidRPr="006F1082">
        <w:rPr>
          <w:rFonts w:asciiTheme="majorBidi" w:hAnsiTheme="majorBidi" w:cstheme="majorBidi"/>
        </w:rPr>
        <w:t> </w:t>
      </w:r>
      <w:r w:rsidRPr="006F1082">
        <w:rPr>
          <w:rFonts w:asciiTheme="majorBidi" w:hAnsiTheme="majorBidi" w:cstheme="majorBidi"/>
        </w:rPr>
        <w:t>Oxford:</w:t>
      </w:r>
      <w:r w:rsidR="00D040CE" w:rsidRPr="006F1082">
        <w:rPr>
          <w:rFonts w:asciiTheme="majorBidi" w:hAnsiTheme="majorBidi" w:cstheme="majorBidi"/>
        </w:rPr>
        <w:t> </w:t>
      </w:r>
      <w:r w:rsidRPr="006F1082">
        <w:rPr>
          <w:rFonts w:asciiTheme="majorBidi" w:hAnsiTheme="majorBidi" w:cstheme="majorBidi"/>
        </w:rPr>
        <w:t>Princeton</w:t>
      </w:r>
      <w:r w:rsidR="00D040CE" w:rsidRPr="006F1082">
        <w:rPr>
          <w:rFonts w:asciiTheme="majorBidi" w:hAnsiTheme="majorBidi" w:cstheme="majorBidi"/>
        </w:rPr>
        <w:t> </w:t>
      </w:r>
      <w:r w:rsidRPr="006F1082">
        <w:rPr>
          <w:rFonts w:asciiTheme="majorBidi" w:hAnsiTheme="majorBidi" w:cstheme="majorBidi"/>
        </w:rPr>
        <w:t>University</w:t>
      </w:r>
      <w:r w:rsidR="00D040CE" w:rsidRPr="006F1082">
        <w:rPr>
          <w:rFonts w:asciiTheme="majorBidi" w:hAnsiTheme="majorBidi" w:cstheme="majorBidi"/>
        </w:rPr>
        <w:t> </w:t>
      </w:r>
      <w:r w:rsidRPr="006F1082">
        <w:rPr>
          <w:rFonts w:asciiTheme="majorBidi" w:hAnsiTheme="majorBidi" w:cstheme="majorBidi"/>
        </w:rPr>
        <w:t>Press,</w:t>
      </w:r>
      <w:r w:rsidR="00D040CE" w:rsidRPr="006F1082">
        <w:rPr>
          <w:rFonts w:asciiTheme="majorBidi" w:hAnsiTheme="majorBidi" w:cstheme="majorBidi"/>
        </w:rPr>
        <w:t> </w:t>
      </w:r>
      <w:r w:rsidRPr="006F1082">
        <w:rPr>
          <w:rFonts w:asciiTheme="majorBidi" w:hAnsiTheme="majorBidi" w:cstheme="majorBidi"/>
        </w:rPr>
        <w:t>1968),</w:t>
      </w:r>
      <w:r w:rsidR="00D040CE" w:rsidRPr="006F1082">
        <w:rPr>
          <w:rFonts w:asciiTheme="majorBidi" w:hAnsiTheme="majorBidi" w:cstheme="majorBidi"/>
        </w:rPr>
        <w:t> </w:t>
      </w:r>
      <w:r w:rsidRPr="006F1082">
        <w:rPr>
          <w:rFonts w:asciiTheme="majorBidi" w:hAnsiTheme="majorBidi" w:cstheme="majorBidi"/>
        </w:rPr>
        <w:t>120,</w:t>
      </w:r>
      <w:r w:rsidR="00D040CE" w:rsidRPr="006F1082">
        <w:rPr>
          <w:rFonts w:asciiTheme="majorBidi" w:hAnsiTheme="majorBidi" w:cstheme="majorBidi"/>
        </w:rPr>
        <w:t> a</w:t>
      </w:r>
      <w:r w:rsidRPr="006F1082">
        <w:rPr>
          <w:rFonts w:asciiTheme="majorBidi" w:hAnsiTheme="majorBidi" w:cstheme="majorBidi"/>
        </w:rPr>
        <w:t>ccessed</w:t>
      </w:r>
      <w:r w:rsidR="00D040CE" w:rsidRPr="006F1082">
        <w:rPr>
          <w:rFonts w:asciiTheme="majorBidi" w:hAnsiTheme="majorBidi" w:cstheme="majorBidi"/>
        </w:rPr>
        <w:t> </w:t>
      </w:r>
      <w:r w:rsidRPr="006F1082">
        <w:rPr>
          <w:rFonts w:asciiTheme="majorBidi" w:hAnsiTheme="majorBidi" w:cstheme="majorBidi"/>
        </w:rPr>
        <w:t>May</w:t>
      </w:r>
      <w:r w:rsidR="00D040CE" w:rsidRPr="006F1082">
        <w:rPr>
          <w:rFonts w:asciiTheme="majorBidi" w:hAnsiTheme="majorBidi" w:cstheme="majorBidi"/>
        </w:rPr>
        <w:t> </w:t>
      </w:r>
      <w:r w:rsidRPr="006F1082">
        <w:rPr>
          <w:rFonts w:asciiTheme="majorBidi" w:hAnsiTheme="majorBidi" w:cstheme="majorBidi"/>
        </w:rPr>
        <w:t>5,</w:t>
      </w:r>
      <w:r w:rsidR="00D040CE" w:rsidRPr="006F1082">
        <w:rPr>
          <w:rFonts w:asciiTheme="majorBidi" w:hAnsiTheme="majorBidi" w:cstheme="majorBidi"/>
        </w:rPr>
        <w:t> </w:t>
      </w:r>
      <w:r w:rsidRPr="006F1082">
        <w:rPr>
          <w:rFonts w:asciiTheme="majorBidi" w:hAnsiTheme="majorBidi" w:cstheme="majorBidi"/>
        </w:rPr>
        <w:t>2021</w:t>
      </w:r>
      <w:r w:rsidR="006C1BCB" w:rsidRPr="006F1082">
        <w:rPr>
          <w:rFonts w:asciiTheme="majorBidi" w:hAnsiTheme="majorBidi" w:cstheme="majorBidi"/>
        </w:rPr>
        <w:t>,</w:t>
      </w:r>
      <w:r w:rsidRPr="006F1082">
        <w:rPr>
          <w:rFonts w:asciiTheme="majorBidi" w:hAnsiTheme="majorBidi" w:cstheme="majorBidi"/>
        </w:rPr>
        <w:t xml:space="preserve"> </w:t>
      </w:r>
      <w:hyperlink r:id="rId27" w:history="1">
        <w:r w:rsidRPr="006F1082">
          <w:rPr>
            <w:rStyle w:val="Hypertextovodkaz"/>
            <w:rFonts w:asciiTheme="majorBidi" w:hAnsiTheme="majorBidi" w:cstheme="majorBidi"/>
          </w:rPr>
          <w:t>http://www.jstor.org/stable/j.ctt7zvg9x</w:t>
        </w:r>
      </w:hyperlink>
      <w:r w:rsidRPr="006F1082">
        <w:rPr>
          <w:rFonts w:asciiTheme="majorBidi" w:hAnsiTheme="majorBidi" w:cstheme="majorBidi"/>
        </w:rPr>
        <w:t xml:space="preserve">. </w:t>
      </w:r>
    </w:p>
  </w:footnote>
  <w:footnote w:id="200">
    <w:p w14:paraId="384D469D" w14:textId="583057FC"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Nagy, “Figuring out the </w:t>
      </w:r>
      <w:r w:rsidRPr="006F1082">
        <w:rPr>
          <w:rFonts w:asciiTheme="majorBidi" w:hAnsiTheme="majorBidi" w:cstheme="majorBidi"/>
        </w:rPr>
        <w:t>Anguipede“, 165-166.</w:t>
      </w:r>
    </w:p>
  </w:footnote>
  <w:footnote w:id="201">
    <w:p w14:paraId="3060E072" w14:textId="592EE694"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Pr="006F1082">
        <w:rPr>
          <w:rFonts w:asciiTheme="majorBidi" w:hAnsiTheme="majorBidi" w:cstheme="majorBidi"/>
        </w:rPr>
        <w:t>Sencan Altınoluk and Nilüfer Atakan, “Abrasax: A Magical Gem in the Istanbul Archaeological Museums,”</w:t>
      </w:r>
      <w:r w:rsidR="00D040CE" w:rsidRPr="006F1082">
        <w:rPr>
          <w:rFonts w:asciiTheme="majorBidi" w:hAnsiTheme="majorBidi" w:cstheme="majorBidi"/>
        </w:rPr>
        <w:t> </w:t>
      </w:r>
      <w:r w:rsidRPr="006F1082">
        <w:rPr>
          <w:rFonts w:asciiTheme="majorBidi" w:hAnsiTheme="majorBidi" w:cstheme="majorBidi"/>
          <w:i/>
          <w:iCs/>
        </w:rPr>
        <w:t>Anatolia</w:t>
      </w:r>
      <w:r w:rsidR="00D040CE" w:rsidRPr="006F1082">
        <w:rPr>
          <w:rFonts w:asciiTheme="majorBidi" w:hAnsiTheme="majorBidi" w:cstheme="majorBidi"/>
          <w:i/>
          <w:iCs/>
        </w:rPr>
        <w:t> </w:t>
      </w:r>
      <w:r w:rsidRPr="006F1082">
        <w:rPr>
          <w:rFonts w:asciiTheme="majorBidi" w:hAnsiTheme="majorBidi" w:cstheme="majorBidi"/>
          <w:i/>
          <w:iCs/>
        </w:rPr>
        <w:t>Antiqua</w:t>
      </w:r>
      <w:r w:rsidR="00D040CE" w:rsidRPr="006F1082">
        <w:rPr>
          <w:rFonts w:asciiTheme="majorBidi" w:hAnsiTheme="majorBidi" w:cstheme="majorBidi"/>
        </w:rPr>
        <w:t> </w:t>
      </w:r>
      <w:r w:rsidRPr="006F1082">
        <w:rPr>
          <w:rFonts w:asciiTheme="majorBidi" w:hAnsiTheme="majorBidi" w:cstheme="majorBidi"/>
        </w:rPr>
        <w:t>XXII</w:t>
      </w:r>
      <w:r w:rsidR="00D040CE" w:rsidRPr="006F1082">
        <w:rPr>
          <w:rFonts w:asciiTheme="majorBidi" w:hAnsiTheme="majorBidi" w:cstheme="majorBidi"/>
        </w:rPr>
        <w:t> </w:t>
      </w:r>
      <w:r w:rsidRPr="006F1082">
        <w:rPr>
          <w:rFonts w:asciiTheme="majorBidi" w:hAnsiTheme="majorBidi" w:cstheme="majorBidi"/>
        </w:rPr>
        <w:t>(2014):</w:t>
      </w:r>
      <w:r w:rsidR="00D040CE" w:rsidRPr="006F1082">
        <w:rPr>
          <w:rFonts w:asciiTheme="majorBidi" w:hAnsiTheme="majorBidi" w:cstheme="majorBidi"/>
        </w:rPr>
        <w:t> </w:t>
      </w:r>
      <w:r w:rsidRPr="006F1082">
        <w:rPr>
          <w:rFonts w:asciiTheme="majorBidi" w:hAnsiTheme="majorBidi" w:cstheme="majorBidi"/>
        </w:rPr>
        <w:t>219-22</w:t>
      </w:r>
      <w:r w:rsidR="0059193E" w:rsidRPr="006F1082">
        <w:rPr>
          <w:rFonts w:asciiTheme="majorBidi" w:hAnsiTheme="majorBidi" w:cstheme="majorBidi"/>
        </w:rPr>
        <w:t>0</w:t>
      </w:r>
      <w:r w:rsidRPr="006F1082">
        <w:rPr>
          <w:rFonts w:asciiTheme="majorBidi" w:hAnsiTheme="majorBidi" w:cstheme="majorBidi"/>
        </w:rPr>
        <w:t>,</w:t>
      </w:r>
      <w:r w:rsidR="00D040CE" w:rsidRPr="006F1082">
        <w:rPr>
          <w:rFonts w:asciiTheme="majorBidi" w:hAnsiTheme="majorBidi" w:cstheme="majorBidi"/>
        </w:rPr>
        <w:t> </w:t>
      </w:r>
      <w:r w:rsidRPr="006F1082">
        <w:rPr>
          <w:rFonts w:asciiTheme="majorBidi" w:hAnsiTheme="majorBidi" w:cstheme="majorBidi"/>
        </w:rPr>
        <w:t>published</w:t>
      </w:r>
      <w:r w:rsidR="00D040CE" w:rsidRPr="006F1082">
        <w:rPr>
          <w:rFonts w:asciiTheme="majorBidi" w:hAnsiTheme="majorBidi" w:cstheme="majorBidi"/>
        </w:rPr>
        <w:t> </w:t>
      </w:r>
      <w:r w:rsidRPr="006F1082">
        <w:rPr>
          <w:rFonts w:asciiTheme="majorBidi" w:hAnsiTheme="majorBidi" w:cstheme="majorBidi"/>
        </w:rPr>
        <w:t>June</w:t>
      </w:r>
      <w:r w:rsidR="00D040CE" w:rsidRPr="006F1082">
        <w:rPr>
          <w:rFonts w:asciiTheme="majorBidi" w:hAnsiTheme="majorBidi" w:cstheme="majorBidi"/>
        </w:rPr>
        <w:t> </w:t>
      </w:r>
      <w:r w:rsidRPr="006F1082">
        <w:rPr>
          <w:rFonts w:asciiTheme="majorBidi" w:hAnsiTheme="majorBidi" w:cstheme="majorBidi"/>
        </w:rPr>
        <w:t>30,</w:t>
      </w:r>
      <w:r w:rsidR="00D040CE" w:rsidRPr="006F1082">
        <w:rPr>
          <w:rFonts w:asciiTheme="majorBidi" w:hAnsiTheme="majorBidi" w:cstheme="majorBidi"/>
        </w:rPr>
        <w:t> </w:t>
      </w:r>
      <w:r w:rsidRPr="006F1082">
        <w:rPr>
          <w:rFonts w:asciiTheme="majorBidi" w:hAnsiTheme="majorBidi" w:cstheme="majorBidi"/>
        </w:rPr>
        <w:t>2018,</w:t>
      </w:r>
      <w:r w:rsidR="00D040CE" w:rsidRPr="006F1082">
        <w:rPr>
          <w:rFonts w:asciiTheme="majorBidi" w:hAnsiTheme="majorBidi" w:cstheme="majorBidi"/>
        </w:rPr>
        <w:t> </w:t>
      </w:r>
      <w:r w:rsidRPr="006F1082">
        <w:rPr>
          <w:rFonts w:asciiTheme="majorBidi" w:hAnsiTheme="majorBidi" w:cstheme="majorBidi"/>
        </w:rPr>
        <w:t>accessed</w:t>
      </w:r>
      <w:r w:rsidR="00D040CE" w:rsidRPr="006F1082">
        <w:rPr>
          <w:rFonts w:asciiTheme="majorBidi" w:hAnsiTheme="majorBidi" w:cstheme="majorBidi"/>
        </w:rPr>
        <w:t> </w:t>
      </w:r>
      <w:r w:rsidRPr="006F1082">
        <w:rPr>
          <w:rFonts w:asciiTheme="majorBidi" w:hAnsiTheme="majorBidi" w:cstheme="majorBidi"/>
        </w:rPr>
        <w:t>May</w:t>
      </w:r>
      <w:r w:rsidR="00D040CE" w:rsidRPr="006F1082">
        <w:rPr>
          <w:rFonts w:asciiTheme="majorBidi" w:hAnsiTheme="majorBidi" w:cstheme="majorBidi"/>
        </w:rPr>
        <w:t> </w:t>
      </w:r>
      <w:r w:rsidRPr="006F1082">
        <w:rPr>
          <w:rFonts w:asciiTheme="majorBidi" w:hAnsiTheme="majorBidi" w:cstheme="majorBidi"/>
        </w:rPr>
        <w:t>5,</w:t>
      </w:r>
      <w:r w:rsidR="00D040CE" w:rsidRPr="006F1082">
        <w:rPr>
          <w:rFonts w:asciiTheme="majorBidi" w:hAnsiTheme="majorBidi" w:cstheme="majorBidi"/>
        </w:rPr>
        <w:t> </w:t>
      </w:r>
      <w:r w:rsidRPr="006F1082">
        <w:rPr>
          <w:rFonts w:asciiTheme="majorBidi" w:hAnsiTheme="majorBidi" w:cstheme="majorBidi"/>
        </w:rPr>
        <w:t xml:space="preserve">2021, </w:t>
      </w:r>
      <w:hyperlink r:id="rId28" w:history="1">
        <w:r w:rsidRPr="006F1082">
          <w:rPr>
            <w:rStyle w:val="Hypertextovodkaz"/>
            <w:rFonts w:asciiTheme="majorBidi" w:hAnsiTheme="majorBidi" w:cstheme="majorBidi"/>
          </w:rPr>
          <w:t>https://doi.org/10.4000/anatoliaantiqua.303</w:t>
        </w:r>
      </w:hyperlink>
      <w:r w:rsidRPr="006F1082">
        <w:rPr>
          <w:rFonts w:asciiTheme="majorBidi" w:hAnsiTheme="majorBidi" w:cstheme="majorBidi"/>
        </w:rPr>
        <w:t xml:space="preserve">. </w:t>
      </w:r>
    </w:p>
  </w:footnote>
  <w:footnote w:id="202">
    <w:p w14:paraId="6E72BAC1" w14:textId="2A070656"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Koenig, “Des ‘</w:t>
      </w:r>
      <w:r w:rsidRPr="006F1082">
        <w:rPr>
          <w:rFonts w:asciiTheme="majorBidi" w:hAnsiTheme="majorBidi" w:cstheme="majorBidi"/>
        </w:rPr>
        <w:t xml:space="preserve">trigrammes panthéistes’ ramessides aux gemmes magiques de l’Antiquité tardive“, </w:t>
      </w:r>
      <w:r w:rsidR="0059193E" w:rsidRPr="006F1082">
        <w:rPr>
          <w:rFonts w:asciiTheme="majorBidi" w:hAnsiTheme="majorBidi" w:cstheme="majorBidi"/>
        </w:rPr>
        <w:t>313-314</w:t>
      </w:r>
      <w:r w:rsidRPr="006F1082">
        <w:rPr>
          <w:rFonts w:asciiTheme="majorBidi" w:hAnsiTheme="majorBidi" w:cstheme="majorBidi"/>
        </w:rPr>
        <w:t>.</w:t>
      </w:r>
    </w:p>
  </w:footnote>
  <w:footnote w:id="203">
    <w:p w14:paraId="7BEC68E4" w14:textId="3A5D3B02"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Ibid, 314.; Stephen Burge, </w:t>
      </w:r>
      <w:r w:rsidRPr="006F1082">
        <w:rPr>
          <w:rFonts w:asciiTheme="majorBidi" w:hAnsiTheme="majorBidi" w:cstheme="majorBidi"/>
          <w:i/>
          <w:iCs/>
        </w:rPr>
        <w:t xml:space="preserve">Angels in Islam: </w:t>
      </w:r>
      <w:r w:rsidRPr="006F1082">
        <w:rPr>
          <w:rFonts w:asciiTheme="majorBidi" w:hAnsiTheme="majorBidi" w:cstheme="majorBidi"/>
          <w:i/>
          <w:iCs/>
        </w:rPr>
        <w:t>Jalāl al-Dīn al-Suyūṭī’s al-Ḥabāʾik fī akhbār al-malāʾik</w:t>
      </w:r>
      <w:r w:rsidRPr="006F1082">
        <w:rPr>
          <w:rFonts w:asciiTheme="majorBidi" w:hAnsiTheme="majorBidi" w:cstheme="majorBidi"/>
        </w:rPr>
        <w:t>, (New York: Routledge, 2012), 49.</w:t>
      </w:r>
    </w:p>
  </w:footnote>
  <w:footnote w:id="204">
    <w:p w14:paraId="77624A19" w14:textId="0C4AC0E4" w:rsidR="00A84A9A" w:rsidRPr="006F1082" w:rsidRDefault="00A84A9A" w:rsidP="006F1082">
      <w:pPr>
        <w:pStyle w:val="Footnotes"/>
      </w:pPr>
      <w:r w:rsidRPr="006F1082">
        <w:rPr>
          <w:rStyle w:val="Znakapoznpodarou"/>
        </w:rPr>
        <w:footnoteRef/>
      </w:r>
      <w:r w:rsidR="00D040CE" w:rsidRPr="006F1082">
        <w:t> </w:t>
      </w:r>
      <w:r w:rsidRPr="006F1082">
        <w:t>Richard</w:t>
      </w:r>
      <w:r w:rsidR="00D040CE" w:rsidRPr="006F1082">
        <w:t> </w:t>
      </w:r>
      <w:r w:rsidRPr="006F1082">
        <w:t>Gordon,</w:t>
      </w:r>
      <w:r w:rsidR="00D040CE" w:rsidRPr="006F1082">
        <w:t> </w:t>
      </w:r>
      <w:r w:rsidRPr="006F1082">
        <w:t>“Archaeologies</w:t>
      </w:r>
      <w:r w:rsidR="00D040CE" w:rsidRPr="006F1082">
        <w:t> </w:t>
      </w:r>
      <w:r w:rsidRPr="006F1082">
        <w:t>of</w:t>
      </w:r>
      <w:r w:rsidR="00D040CE" w:rsidRPr="006F1082">
        <w:t> </w:t>
      </w:r>
      <w:r w:rsidRPr="006F1082">
        <w:t>Magical</w:t>
      </w:r>
      <w:r w:rsidR="00D040CE" w:rsidRPr="006F1082">
        <w:t> </w:t>
      </w:r>
      <w:r w:rsidRPr="006F1082">
        <w:t>Gems,”</w:t>
      </w:r>
      <w:r w:rsidR="00D040CE" w:rsidRPr="006F1082">
        <w:t> </w:t>
      </w:r>
      <w:r w:rsidRPr="006F1082">
        <w:t>in</w:t>
      </w:r>
      <w:r w:rsidR="00D040CE" w:rsidRPr="006F1082">
        <w:t> </w:t>
      </w:r>
      <w:r w:rsidRPr="006F1082">
        <w:rPr>
          <w:i/>
          <w:iCs/>
        </w:rPr>
        <w:t>‘Gems</w:t>
      </w:r>
      <w:r w:rsidR="00D040CE" w:rsidRPr="006F1082">
        <w:rPr>
          <w:i/>
          <w:iCs/>
        </w:rPr>
        <w:t> </w:t>
      </w:r>
      <w:r w:rsidRPr="006F1082">
        <w:rPr>
          <w:i/>
          <w:iCs/>
        </w:rPr>
        <w:t>of</w:t>
      </w:r>
      <w:r w:rsidR="00D040CE" w:rsidRPr="006F1082">
        <w:rPr>
          <w:i/>
          <w:iCs/>
        </w:rPr>
        <w:t> H</w:t>
      </w:r>
      <w:r w:rsidRPr="006F1082">
        <w:rPr>
          <w:i/>
          <w:iCs/>
        </w:rPr>
        <w:t>eaven’:</w:t>
      </w:r>
      <w:r w:rsidR="00D040CE" w:rsidRPr="006F1082">
        <w:rPr>
          <w:i/>
          <w:iCs/>
        </w:rPr>
        <w:t> </w:t>
      </w:r>
      <w:r w:rsidRPr="006F1082">
        <w:rPr>
          <w:i/>
          <w:iCs/>
        </w:rPr>
        <w:t>Recent</w:t>
      </w:r>
      <w:r w:rsidR="00D040CE" w:rsidRPr="006F1082">
        <w:rPr>
          <w:i/>
          <w:iCs/>
        </w:rPr>
        <w:t> </w:t>
      </w:r>
      <w:r w:rsidRPr="006F1082">
        <w:rPr>
          <w:i/>
          <w:iCs/>
        </w:rPr>
        <w:t>Research</w:t>
      </w:r>
      <w:r w:rsidR="00D040CE" w:rsidRPr="006F1082">
        <w:rPr>
          <w:i/>
          <w:iCs/>
        </w:rPr>
        <w:t> </w:t>
      </w:r>
      <w:r w:rsidRPr="006F1082">
        <w:rPr>
          <w:i/>
          <w:iCs/>
        </w:rPr>
        <w:t>on</w:t>
      </w:r>
      <w:r w:rsidR="00D040CE" w:rsidRPr="006F1082">
        <w:rPr>
          <w:i/>
          <w:iCs/>
        </w:rPr>
        <w:t xml:space="preserve"> </w:t>
      </w:r>
      <w:r w:rsidRPr="006F1082">
        <w:rPr>
          <w:i/>
          <w:iCs/>
        </w:rPr>
        <w:t>Engraved Gemstones in Late Antiquity, c. AD 200-600</w:t>
      </w:r>
      <w:r w:rsidRPr="006F1082">
        <w:t>, edited by Chris Entwistle and Noël Adams (London: British Museum, 2012), 39.</w:t>
      </w:r>
    </w:p>
  </w:footnote>
  <w:footnote w:id="205">
    <w:p w14:paraId="4895A2BC" w14:textId="2C879BE7"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Pr="006F1082">
        <w:rPr>
          <w:rFonts w:asciiTheme="majorBidi" w:hAnsiTheme="majorBidi" w:cstheme="majorBidi"/>
          <w:i/>
          <w:iCs/>
        </w:rPr>
        <w:t>The Campbell Bonner Magical Gems Database</w:t>
      </w:r>
      <w:r w:rsidRPr="006F1082">
        <w:rPr>
          <w:rFonts w:asciiTheme="majorBidi" w:hAnsiTheme="majorBidi" w:cstheme="majorBidi"/>
        </w:rPr>
        <w:t>, accessed May 5, 2021</w:t>
      </w:r>
      <w:r w:rsidR="006C1BCB" w:rsidRPr="006F1082">
        <w:rPr>
          <w:rFonts w:asciiTheme="majorBidi" w:hAnsiTheme="majorBidi" w:cstheme="majorBidi"/>
        </w:rPr>
        <w:t>,</w:t>
      </w:r>
      <w:r w:rsidRPr="006F1082">
        <w:rPr>
          <w:rFonts w:asciiTheme="majorBidi" w:hAnsiTheme="majorBidi" w:cstheme="majorBidi"/>
        </w:rPr>
        <w:t xml:space="preserve"> </w:t>
      </w:r>
      <w:hyperlink r:id="rId29" w:history="1">
        <w:r w:rsidRPr="006F1082">
          <w:rPr>
            <w:rStyle w:val="Hypertextovodkaz"/>
            <w:rFonts w:asciiTheme="majorBidi" w:hAnsiTheme="majorBidi" w:cstheme="majorBidi"/>
          </w:rPr>
          <w:t>http://cbd.mfab.hu/</w:t>
        </w:r>
      </w:hyperlink>
      <w:r w:rsidRPr="006F1082">
        <w:rPr>
          <w:rFonts w:asciiTheme="majorBidi" w:hAnsiTheme="majorBidi" w:cstheme="majorBidi"/>
        </w:rPr>
        <w:t xml:space="preserve">. </w:t>
      </w:r>
    </w:p>
  </w:footnote>
  <w:footnote w:id="206">
    <w:p w14:paraId="619C4F14" w14:textId="206DD4B4" w:rsidR="00A84A9A" w:rsidRPr="006F1082" w:rsidRDefault="00A84A9A" w:rsidP="006F1082">
      <w:pPr>
        <w:pStyle w:val="Footnotes"/>
      </w:pPr>
      <w:r w:rsidRPr="006F1082">
        <w:rPr>
          <w:rStyle w:val="Znakapoznpodarou"/>
        </w:rPr>
        <w:footnoteRef/>
      </w:r>
      <w:r w:rsidR="00D040CE" w:rsidRPr="006F1082">
        <w:t> </w:t>
      </w:r>
      <w:r w:rsidRPr="006F1082">
        <w:t>“Cornell</w:t>
      </w:r>
      <w:r w:rsidR="00D040CE" w:rsidRPr="006F1082">
        <w:t> </w:t>
      </w:r>
      <w:r w:rsidRPr="006F1082">
        <w:t>Gem</w:t>
      </w:r>
      <w:r w:rsidR="00D040CE" w:rsidRPr="006F1082">
        <w:t> </w:t>
      </w:r>
      <w:r w:rsidRPr="006F1082">
        <w:t>Impressions</w:t>
      </w:r>
      <w:r w:rsidR="00D040CE" w:rsidRPr="006F1082">
        <w:t> </w:t>
      </w:r>
      <w:r w:rsidRPr="006F1082">
        <w:t>Collection,”</w:t>
      </w:r>
      <w:r w:rsidR="00D040CE" w:rsidRPr="006F1082">
        <w:t> </w:t>
      </w:r>
      <w:r w:rsidRPr="006F1082">
        <w:rPr>
          <w:i/>
          <w:iCs/>
        </w:rPr>
        <w:t>Digital</w:t>
      </w:r>
      <w:r w:rsidR="00D040CE" w:rsidRPr="006F1082">
        <w:rPr>
          <w:i/>
          <w:iCs/>
        </w:rPr>
        <w:t> </w:t>
      </w:r>
      <w:r w:rsidRPr="006F1082">
        <w:rPr>
          <w:i/>
          <w:iCs/>
        </w:rPr>
        <w:t>Collections,</w:t>
      </w:r>
      <w:r w:rsidR="00D040CE" w:rsidRPr="006F1082">
        <w:rPr>
          <w:i/>
          <w:iCs/>
        </w:rPr>
        <w:t> </w:t>
      </w:r>
      <w:r w:rsidRPr="006F1082">
        <w:rPr>
          <w:i/>
          <w:iCs/>
        </w:rPr>
        <w:t>Cornell</w:t>
      </w:r>
      <w:r w:rsidR="00D040CE" w:rsidRPr="006F1082">
        <w:rPr>
          <w:i/>
          <w:iCs/>
        </w:rPr>
        <w:t> </w:t>
      </w:r>
      <w:r w:rsidRPr="006F1082">
        <w:rPr>
          <w:i/>
          <w:iCs/>
        </w:rPr>
        <w:t>University</w:t>
      </w:r>
      <w:r w:rsidR="00D040CE" w:rsidRPr="006F1082">
        <w:rPr>
          <w:i/>
          <w:iCs/>
        </w:rPr>
        <w:t> </w:t>
      </w:r>
      <w:r w:rsidRPr="006F1082">
        <w:rPr>
          <w:i/>
          <w:iCs/>
        </w:rPr>
        <w:t>Library</w:t>
      </w:r>
      <w:r w:rsidRPr="006F1082">
        <w:t>,</w:t>
      </w:r>
      <w:r w:rsidR="00D040CE" w:rsidRPr="006F1082">
        <w:t> </w:t>
      </w:r>
      <w:r w:rsidRPr="006F1082">
        <w:t>accessed May</w:t>
      </w:r>
      <w:r w:rsidR="00D040CE" w:rsidRPr="006F1082">
        <w:t> </w:t>
      </w:r>
      <w:r w:rsidRPr="006F1082">
        <w:t>5, 2021</w:t>
      </w:r>
      <w:r w:rsidR="006C1BCB" w:rsidRPr="006F1082">
        <w:t>,</w:t>
      </w:r>
      <w:r w:rsidRPr="006F1082">
        <w:t xml:space="preserve"> </w:t>
      </w:r>
      <w:hyperlink r:id="rId30" w:history="1">
        <w:r w:rsidRPr="006F1082">
          <w:rPr>
            <w:rStyle w:val="Hypertextovodkaz"/>
          </w:rPr>
          <w:t>https://digital.library.cornell.edu/catalog?f%5Bcollection_tesim%5D%5B%5D=Cornell+Gem+Impressions+Collection</w:t>
        </w:r>
      </w:hyperlink>
      <w:r w:rsidRPr="006F1082">
        <w:t xml:space="preserve">. </w:t>
      </w:r>
    </w:p>
  </w:footnote>
  <w:footnote w:id="207">
    <w:p w14:paraId="2546541B" w14:textId="14889EB1" w:rsidR="00A84A9A" w:rsidRPr="006F1082" w:rsidRDefault="00A84A9A" w:rsidP="006F1082">
      <w:pPr>
        <w:pStyle w:val="Footnotes"/>
      </w:pPr>
      <w:r w:rsidRPr="006F1082">
        <w:rPr>
          <w:rStyle w:val="Znakapoznpodarou"/>
        </w:rPr>
        <w:footnoteRef/>
      </w:r>
      <w:r w:rsidR="00D040CE" w:rsidRPr="006F1082">
        <w:t> </w:t>
      </w:r>
      <w:r w:rsidRPr="006F1082">
        <w:t>“Gem</w:t>
      </w:r>
      <w:r w:rsidR="00D040CE" w:rsidRPr="006F1082">
        <w:t> </w:t>
      </w:r>
      <w:r w:rsidRPr="006F1082">
        <w:t>research,”</w:t>
      </w:r>
      <w:r w:rsidR="00D040CE" w:rsidRPr="006F1082">
        <w:t> </w:t>
      </w:r>
      <w:r w:rsidRPr="006F1082">
        <w:rPr>
          <w:i/>
          <w:iCs/>
        </w:rPr>
        <w:t>Classical</w:t>
      </w:r>
      <w:r w:rsidR="00D040CE" w:rsidRPr="006F1082">
        <w:rPr>
          <w:i/>
          <w:iCs/>
        </w:rPr>
        <w:t> </w:t>
      </w:r>
      <w:r w:rsidRPr="006F1082">
        <w:rPr>
          <w:i/>
          <w:iCs/>
        </w:rPr>
        <w:t>Art</w:t>
      </w:r>
      <w:r w:rsidR="00D040CE" w:rsidRPr="006F1082">
        <w:rPr>
          <w:i/>
          <w:iCs/>
        </w:rPr>
        <w:t> </w:t>
      </w:r>
      <w:r w:rsidRPr="006F1082">
        <w:rPr>
          <w:i/>
          <w:iCs/>
        </w:rPr>
        <w:t>Research</w:t>
      </w:r>
      <w:r w:rsidR="00D040CE" w:rsidRPr="006F1082">
        <w:rPr>
          <w:i/>
          <w:iCs/>
        </w:rPr>
        <w:t> </w:t>
      </w:r>
      <w:r w:rsidRPr="006F1082">
        <w:rPr>
          <w:i/>
          <w:iCs/>
        </w:rPr>
        <w:t>Centre,</w:t>
      </w:r>
      <w:r w:rsidR="00D040CE" w:rsidRPr="006F1082">
        <w:rPr>
          <w:i/>
          <w:iCs/>
        </w:rPr>
        <w:t> </w:t>
      </w:r>
      <w:r w:rsidRPr="006F1082">
        <w:rPr>
          <w:i/>
          <w:iCs/>
        </w:rPr>
        <w:t>University</w:t>
      </w:r>
      <w:r w:rsidR="00D040CE" w:rsidRPr="006F1082">
        <w:rPr>
          <w:i/>
          <w:iCs/>
        </w:rPr>
        <w:t> </w:t>
      </w:r>
      <w:r w:rsidRPr="006F1082">
        <w:rPr>
          <w:i/>
          <w:iCs/>
        </w:rPr>
        <w:t>of</w:t>
      </w:r>
      <w:r w:rsidR="00D040CE" w:rsidRPr="006F1082">
        <w:rPr>
          <w:i/>
          <w:iCs/>
        </w:rPr>
        <w:t> </w:t>
      </w:r>
      <w:r w:rsidRPr="006F1082">
        <w:rPr>
          <w:i/>
          <w:iCs/>
        </w:rPr>
        <w:t>Oxford</w:t>
      </w:r>
      <w:r w:rsidRPr="006F1082">
        <w:t>,</w:t>
      </w:r>
      <w:r w:rsidR="00D040CE" w:rsidRPr="006F1082">
        <w:t> </w:t>
      </w:r>
      <w:r w:rsidRPr="006F1082">
        <w:t>accessed</w:t>
      </w:r>
      <w:r w:rsidR="00D040CE" w:rsidRPr="006F1082">
        <w:t> </w:t>
      </w:r>
      <w:r w:rsidRPr="006F1082">
        <w:t>May</w:t>
      </w:r>
      <w:r w:rsidR="00D040CE" w:rsidRPr="006F1082">
        <w:t> </w:t>
      </w:r>
      <w:r w:rsidRPr="006F1082">
        <w:t>5,</w:t>
      </w:r>
      <w:r w:rsidR="00D040CE" w:rsidRPr="006F1082">
        <w:t> </w:t>
      </w:r>
      <w:r w:rsidRPr="006F1082">
        <w:t>2021</w:t>
      </w:r>
      <w:r w:rsidR="006C1BCB" w:rsidRPr="006F1082">
        <w:t>,</w:t>
      </w:r>
      <w:r w:rsidRPr="006F1082">
        <w:t xml:space="preserve"> </w:t>
      </w:r>
      <w:hyperlink r:id="rId31" w:history="1">
        <w:r w:rsidRPr="006F1082">
          <w:rPr>
            <w:rStyle w:val="Hypertextovodkaz"/>
          </w:rPr>
          <w:t>https://www.beazley.ox.ac.uk/gems/default.htm</w:t>
        </w:r>
      </w:hyperlink>
      <w:r w:rsidRPr="006F1082">
        <w:t xml:space="preserve">. </w:t>
      </w:r>
    </w:p>
  </w:footnote>
  <w:footnote w:id="208">
    <w:p w14:paraId="7C1C1637" w14:textId="2401942A" w:rsidR="00A84A9A" w:rsidRPr="006F1082" w:rsidRDefault="00A84A9A" w:rsidP="006F1082">
      <w:pPr>
        <w:pStyle w:val="Footnotes"/>
      </w:pPr>
      <w:r w:rsidRPr="006F1082">
        <w:rPr>
          <w:rStyle w:val="Znakapoznpodarou"/>
        </w:rPr>
        <w:footnoteRef/>
      </w:r>
      <w:r w:rsidRPr="006F1082">
        <w:t xml:space="preserve"> Gordon, “Archaeologies of Magical Gems”, 45.</w:t>
      </w:r>
    </w:p>
  </w:footnote>
  <w:footnote w:id="209">
    <w:p w14:paraId="197EFC5B" w14:textId="77C51E8B"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The possible incorrect reading and use explained by C. W. King, see page 18.</w:t>
      </w:r>
    </w:p>
  </w:footnote>
  <w:footnote w:id="210">
    <w:p w14:paraId="50BDCB2A" w14:textId="6498079F" w:rsidR="00A84A9A" w:rsidRPr="006F1082" w:rsidRDefault="00A84A9A" w:rsidP="006F1082">
      <w:pPr>
        <w:pStyle w:val="Footnotes"/>
      </w:pPr>
      <w:r w:rsidRPr="006F1082">
        <w:rPr>
          <w:rStyle w:val="Znakapoznpodarou"/>
        </w:rPr>
        <w:footnoteRef/>
      </w:r>
      <w:r w:rsidR="00D040CE" w:rsidRPr="006F1082">
        <w:t> </w:t>
      </w:r>
      <w:r w:rsidRPr="006F1082">
        <w:rPr>
          <w:rFonts w:asciiTheme="majorBidi" w:hAnsiTheme="majorBidi" w:cstheme="majorBidi"/>
          <w:i/>
          <w:iCs/>
        </w:rPr>
        <w:t>The</w:t>
      </w:r>
      <w:r w:rsidR="00D040CE" w:rsidRPr="006F1082">
        <w:rPr>
          <w:rFonts w:asciiTheme="majorBidi" w:hAnsiTheme="majorBidi" w:cstheme="majorBidi"/>
          <w:i/>
          <w:iCs/>
        </w:rPr>
        <w:t> </w:t>
      </w:r>
      <w:r w:rsidRPr="006F1082">
        <w:rPr>
          <w:rFonts w:asciiTheme="majorBidi" w:hAnsiTheme="majorBidi" w:cstheme="majorBidi"/>
          <w:i/>
          <w:iCs/>
        </w:rPr>
        <w:t>Campbell</w:t>
      </w:r>
      <w:r w:rsidR="00D040CE" w:rsidRPr="006F1082">
        <w:rPr>
          <w:rFonts w:asciiTheme="majorBidi" w:hAnsiTheme="majorBidi" w:cstheme="majorBidi"/>
          <w:i/>
          <w:iCs/>
        </w:rPr>
        <w:t> </w:t>
      </w:r>
      <w:r w:rsidRPr="006F1082">
        <w:rPr>
          <w:rFonts w:asciiTheme="majorBidi" w:hAnsiTheme="majorBidi" w:cstheme="majorBidi"/>
          <w:i/>
          <w:iCs/>
        </w:rPr>
        <w:t>Bonner</w:t>
      </w:r>
      <w:r w:rsidR="00D040CE" w:rsidRPr="006F1082">
        <w:rPr>
          <w:rFonts w:asciiTheme="majorBidi" w:hAnsiTheme="majorBidi" w:cstheme="majorBidi"/>
          <w:i/>
          <w:iCs/>
        </w:rPr>
        <w:t> </w:t>
      </w:r>
      <w:r w:rsidRPr="006F1082">
        <w:rPr>
          <w:rFonts w:asciiTheme="majorBidi" w:hAnsiTheme="majorBidi" w:cstheme="majorBidi"/>
          <w:i/>
          <w:iCs/>
        </w:rPr>
        <w:t>Magical</w:t>
      </w:r>
      <w:r w:rsidR="00D040CE" w:rsidRPr="006F1082">
        <w:rPr>
          <w:rFonts w:asciiTheme="majorBidi" w:hAnsiTheme="majorBidi" w:cstheme="majorBidi"/>
          <w:i/>
          <w:iCs/>
        </w:rPr>
        <w:t> </w:t>
      </w:r>
      <w:r w:rsidRPr="006F1082">
        <w:rPr>
          <w:rFonts w:asciiTheme="majorBidi" w:hAnsiTheme="majorBidi" w:cstheme="majorBidi"/>
          <w:i/>
          <w:iCs/>
        </w:rPr>
        <w:t>Gems</w:t>
      </w:r>
      <w:r w:rsidR="00D040CE" w:rsidRPr="006F1082">
        <w:rPr>
          <w:rFonts w:asciiTheme="majorBidi" w:hAnsiTheme="majorBidi" w:cstheme="majorBidi"/>
          <w:i/>
          <w:iCs/>
        </w:rPr>
        <w:t> </w:t>
      </w:r>
      <w:r w:rsidRPr="006F1082">
        <w:rPr>
          <w:rFonts w:asciiTheme="majorBidi" w:hAnsiTheme="majorBidi" w:cstheme="majorBidi"/>
          <w:i/>
          <w:iCs/>
        </w:rPr>
        <w:t>Database</w:t>
      </w:r>
      <w:r w:rsidRPr="006F1082">
        <w:t>;</w:t>
      </w:r>
      <w:r w:rsidR="00D040CE" w:rsidRPr="006F1082">
        <w:t> </w:t>
      </w:r>
      <w:r w:rsidRPr="006F1082">
        <w:t>variation</w:t>
      </w:r>
      <w:r w:rsidR="00D040CE" w:rsidRPr="006F1082">
        <w:t> </w:t>
      </w:r>
      <w:r w:rsidRPr="006F1082">
        <w:t>ABRAŌTH</w:t>
      </w:r>
      <w:r w:rsidR="00D040CE" w:rsidRPr="006F1082">
        <w:t> </w:t>
      </w:r>
      <w:r w:rsidRPr="006F1082">
        <w:t>(ABPAΩΘ)</w:t>
      </w:r>
      <w:r w:rsidR="00D040CE" w:rsidRPr="006F1082">
        <w:t> </w:t>
      </w:r>
      <w:r w:rsidRPr="006F1082">
        <w:t>in</w:t>
      </w:r>
      <w:r w:rsidR="00D040CE" w:rsidRPr="006F1082">
        <w:t> </w:t>
      </w:r>
      <w:r w:rsidRPr="006F1082">
        <w:t xml:space="preserve">amulets </w:t>
      </w:r>
      <w:r w:rsidRPr="006F1082">
        <w:t>CBd – 597, 1169, 2374, 2994, and 3900.</w:t>
      </w:r>
    </w:p>
  </w:footnote>
  <w:footnote w:id="211">
    <w:p w14:paraId="59710093" w14:textId="774A852A" w:rsidR="00A84A9A" w:rsidRPr="006F1082" w:rsidRDefault="00A84A9A" w:rsidP="006F1082">
      <w:pPr>
        <w:pStyle w:val="Footnotes"/>
      </w:pPr>
      <w:r w:rsidRPr="006F1082">
        <w:rPr>
          <w:rStyle w:val="Znakapoznpodarou"/>
        </w:rPr>
        <w:footnoteRef/>
      </w:r>
      <w:r w:rsidRPr="006F1082">
        <w:t xml:space="preserve"> Ibid, </w:t>
      </w:r>
      <w:r w:rsidRPr="006F1082">
        <w:t>CBd –</w:t>
      </w:r>
      <w:r w:rsidRPr="006F1082">
        <w:rPr>
          <w:rtl/>
        </w:rPr>
        <w:t xml:space="preserve"> </w:t>
      </w:r>
      <w:r w:rsidRPr="006F1082">
        <w:t>5, 12, 102, 120, 149, 155, 229, 302, 322, 458, 466, 524, 532, 533, 577, 579, 588, 594, 595, 597, 601, 606, 613, 617, 618, 619, 624, 632, 633, 634, 642, 657, 672, 674, 862, 877, 885, 886, 979, 980, 1006, 1056, 1062, 1080, 1095, 1111, 1126, 1132, 1134, 1201, 1321, 1367, 1368, 1393, and 1509.</w:t>
      </w:r>
    </w:p>
  </w:footnote>
  <w:footnote w:id="212">
    <w:p w14:paraId="75753A95" w14:textId="52510BA2" w:rsidR="00A84A9A" w:rsidRPr="006F1082" w:rsidRDefault="00A84A9A" w:rsidP="006F1082">
      <w:pPr>
        <w:pStyle w:val="Footnotes"/>
      </w:pPr>
      <w:r w:rsidRPr="006F1082">
        <w:rPr>
          <w:rStyle w:val="Znakapoznpodarou"/>
        </w:rPr>
        <w:footnoteRef/>
      </w:r>
      <w:r w:rsidRPr="006F1082">
        <w:t xml:space="preserve"> Ibid, </w:t>
      </w:r>
      <w:r w:rsidRPr="006F1082">
        <w:t xml:space="preserve">CBd – 12, 466, 539, 588, 594, 606, 613, 632, 642, 674, 675, 862, 877, 885, 980, 1126, 1201, and 1509. </w:t>
      </w:r>
    </w:p>
  </w:footnote>
  <w:footnote w:id="213">
    <w:p w14:paraId="57BB6119" w14:textId="4E422861" w:rsidR="00A84A9A" w:rsidRPr="006F1082" w:rsidRDefault="00A84A9A" w:rsidP="006F1082">
      <w:pPr>
        <w:pStyle w:val="Footnotes"/>
      </w:pPr>
      <w:r w:rsidRPr="006F1082">
        <w:rPr>
          <w:rStyle w:val="Znakapoznpodarou"/>
        </w:rPr>
        <w:footnoteRef/>
      </w:r>
      <w:r w:rsidRPr="006F1082">
        <w:t xml:space="preserve"> Ibid, </w:t>
      </w:r>
      <w:r w:rsidRPr="006F1082">
        <w:t>CBd – 466, 594, 606, 632, 674, and 675.</w:t>
      </w:r>
    </w:p>
  </w:footnote>
  <w:footnote w:id="214">
    <w:p w14:paraId="7D1EAB48" w14:textId="280741CB" w:rsidR="00A84A9A" w:rsidRPr="006F1082" w:rsidRDefault="00A84A9A" w:rsidP="006F1082">
      <w:pPr>
        <w:pStyle w:val="Footnotes"/>
      </w:pPr>
      <w:r w:rsidRPr="006F1082">
        <w:rPr>
          <w:rStyle w:val="Znakapoznpodarou"/>
        </w:rPr>
        <w:footnoteRef/>
      </w:r>
      <w:r w:rsidRPr="006F1082">
        <w:t xml:space="preserve"> Ibid, </w:t>
      </w:r>
      <w:r w:rsidRPr="006F1082">
        <w:t>CBd – 11, 321, 606, 657, 675, 853, 1030, 1111, 1114, and 1457.</w:t>
      </w:r>
    </w:p>
  </w:footnote>
  <w:footnote w:id="215">
    <w:p w14:paraId="12417E46" w14:textId="2D80D886" w:rsidR="00A84A9A" w:rsidRPr="006F1082" w:rsidRDefault="00A84A9A" w:rsidP="006F1082">
      <w:pPr>
        <w:pStyle w:val="Footnotes"/>
      </w:pPr>
      <w:r w:rsidRPr="006F1082">
        <w:rPr>
          <w:rStyle w:val="Znakapoznpodarou"/>
        </w:rPr>
        <w:footnoteRef/>
      </w:r>
      <w:r w:rsidRPr="006F1082">
        <w:t xml:space="preserve"> Ibid, </w:t>
      </w:r>
      <w:r w:rsidRPr="006F1082">
        <w:t>CBd – 613, 862, 2324, 2554, 2584, and 3519.</w:t>
      </w:r>
    </w:p>
  </w:footnote>
  <w:footnote w:id="216">
    <w:p w14:paraId="6359F5A5" w14:textId="6B2FC953" w:rsidR="00A84A9A" w:rsidRPr="006F1082" w:rsidRDefault="00A84A9A" w:rsidP="006F1082">
      <w:pPr>
        <w:pStyle w:val="Footnotes"/>
      </w:pPr>
      <w:r w:rsidRPr="006F1082">
        <w:rPr>
          <w:rStyle w:val="Znakapoznpodarou"/>
        </w:rPr>
        <w:footnoteRef/>
      </w:r>
      <w:r w:rsidRPr="006F1082">
        <w:t xml:space="preserve"> Ibid, </w:t>
      </w:r>
      <w:r w:rsidRPr="006F1082">
        <w:t>CBd – 862, 2279, 2480, 3457, and 3519.</w:t>
      </w:r>
    </w:p>
  </w:footnote>
  <w:footnote w:id="217">
    <w:p w14:paraId="524BCA20" w14:textId="59E39838" w:rsidR="00A84A9A" w:rsidRPr="006F1082" w:rsidRDefault="00A84A9A" w:rsidP="006F1082">
      <w:pPr>
        <w:pStyle w:val="Footnotes"/>
      </w:pPr>
      <w:r w:rsidRPr="006F1082">
        <w:rPr>
          <w:rStyle w:val="Znakapoznpodarou"/>
        </w:rPr>
        <w:footnoteRef/>
      </w:r>
      <w:r w:rsidRPr="006F1082">
        <w:t xml:space="preserve"> Ibid, </w:t>
      </w:r>
      <w:r w:rsidRPr="006F1082">
        <w:t>CBd – 467, 613, 674, 675, 981, 982, 1080, 2188, 2324, and 2480.</w:t>
      </w:r>
    </w:p>
  </w:footnote>
  <w:footnote w:id="218">
    <w:p w14:paraId="23C508FA" w14:textId="1B321A05"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 xml:space="preserve">Bonner, </w:t>
      </w:r>
      <w:r w:rsidRPr="006F1082">
        <w:rPr>
          <w:rFonts w:asciiTheme="majorBidi" w:hAnsiTheme="majorBidi" w:cstheme="majorBidi"/>
          <w:i/>
          <w:iCs/>
        </w:rPr>
        <w:t>Studies in Magical Amulets</w:t>
      </w:r>
      <w:r w:rsidRPr="006F1082">
        <w:t xml:space="preserve">, 187.; </w:t>
      </w:r>
      <w:r w:rsidRPr="006F1082">
        <w:t>CBd – 11, 619, 981, 1114, 1132, and 1457.</w:t>
      </w:r>
    </w:p>
  </w:footnote>
  <w:footnote w:id="219">
    <w:p w14:paraId="68C1AB24" w14:textId="14ED0BF0" w:rsidR="00A84A9A" w:rsidRPr="006F1082" w:rsidRDefault="00A84A9A" w:rsidP="006F1082">
      <w:pPr>
        <w:pStyle w:val="Footnotes"/>
      </w:pPr>
      <w:r w:rsidRPr="006F1082">
        <w:rPr>
          <w:rStyle w:val="Znakapoznpodarou"/>
        </w:rPr>
        <w:footnoteRef/>
      </w:r>
      <w:r w:rsidRPr="006F1082">
        <w:t xml:space="preserve"> Ibid, </w:t>
      </w:r>
      <w:r w:rsidRPr="006F1082">
        <w:t xml:space="preserve">CBd – 11, 12, 120, 229, 302, 579, 588, 594, 595, 597, 600, 601, 606, 613, 617, 618, 619, 621, 632, 633, 634, 657, 979, 980. 992, 1056, 1095, 1111, 1114, 1126, 1134, 1201, 1367, and 1368. </w:t>
      </w:r>
    </w:p>
  </w:footnote>
  <w:footnote w:id="220">
    <w:p w14:paraId="7346CBEB" w14:textId="41391173" w:rsidR="00A84A9A" w:rsidRPr="006F1082" w:rsidRDefault="00A84A9A" w:rsidP="006F1082">
      <w:pPr>
        <w:pStyle w:val="Footnotes"/>
      </w:pPr>
      <w:r w:rsidRPr="006F1082">
        <w:rPr>
          <w:rStyle w:val="Znakapoznpodarou"/>
        </w:rPr>
        <w:footnoteRef/>
      </w:r>
      <w:r w:rsidRPr="006F1082">
        <w:t xml:space="preserve"> Ibid, </w:t>
      </w:r>
      <w:r w:rsidRPr="006F1082">
        <w:t>CBd – 229, 594, 601, 2481, 3483, 3486, and 3777.</w:t>
      </w:r>
    </w:p>
  </w:footnote>
  <w:footnote w:id="221">
    <w:p w14:paraId="1AEA751A" w14:textId="5C484B1F" w:rsidR="00A84A9A" w:rsidRPr="006F1082" w:rsidRDefault="00A84A9A" w:rsidP="006F1082">
      <w:pPr>
        <w:pStyle w:val="Footnotes"/>
      </w:pPr>
      <w:r w:rsidRPr="006F1082">
        <w:rPr>
          <w:rStyle w:val="Znakapoznpodarou"/>
        </w:rPr>
        <w:footnoteRef/>
      </w:r>
      <w:r w:rsidRPr="006F1082">
        <w:t xml:space="preserve"> Ibid, </w:t>
      </w:r>
      <w:r w:rsidRPr="006F1082">
        <w:t>CBd – 42, 119, 451, 589, 593, 609, 614, 620, 631, 673, 993, 1115, 1146, 1453, 1758, 2336, and</w:t>
      </w:r>
      <w:r w:rsidR="00D040CE" w:rsidRPr="006F1082">
        <w:t> </w:t>
      </w:r>
      <w:r w:rsidRPr="006F1082">
        <w:t>2477.</w:t>
      </w:r>
    </w:p>
  </w:footnote>
  <w:footnote w:id="222">
    <w:p w14:paraId="6B9926A5" w14:textId="646E0A0C" w:rsidR="00A84A9A" w:rsidRPr="006F1082" w:rsidRDefault="00A84A9A" w:rsidP="006F1082">
      <w:pPr>
        <w:pStyle w:val="Footnotes"/>
      </w:pPr>
      <w:r w:rsidRPr="006F1082">
        <w:rPr>
          <w:rStyle w:val="Znakapoznpodarou"/>
        </w:rPr>
        <w:footnoteRef/>
      </w:r>
      <w:r w:rsidRPr="006F1082">
        <w:t xml:space="preserve"> Ibid, </w:t>
      </w:r>
      <w:r w:rsidRPr="006F1082">
        <w:t xml:space="preserve">CBd – 321, 532, 561, 624, 877, 887, 982, 1144, 1300, and 2188. </w:t>
      </w:r>
    </w:p>
  </w:footnote>
  <w:footnote w:id="223">
    <w:p w14:paraId="6515F80B" w14:textId="061C50EA" w:rsidR="00A84A9A" w:rsidRPr="006F1082" w:rsidRDefault="00A84A9A" w:rsidP="006F1082">
      <w:pPr>
        <w:pStyle w:val="Footnotes"/>
      </w:pPr>
      <w:r w:rsidRPr="006F1082">
        <w:rPr>
          <w:rStyle w:val="Znakapoznpodarou"/>
        </w:rPr>
        <w:footnoteRef/>
      </w:r>
      <w:r w:rsidRPr="006F1082">
        <w:t xml:space="preserve"> Ibid, </w:t>
      </w:r>
      <w:r w:rsidRPr="006F1082">
        <w:t xml:space="preserve">CBd – 102, 140, 187, 675, 1006, 1517, and 2584. </w:t>
      </w:r>
    </w:p>
  </w:footnote>
  <w:footnote w:id="224">
    <w:p w14:paraId="5D8BF1CA" w14:textId="333E8AB1" w:rsidR="00A84A9A" w:rsidRPr="006F1082" w:rsidRDefault="00A84A9A" w:rsidP="006F1082">
      <w:pPr>
        <w:pStyle w:val="Footnotes"/>
      </w:pPr>
      <w:r w:rsidRPr="006F1082">
        <w:rPr>
          <w:rStyle w:val="Znakapoznpodarou"/>
        </w:rPr>
        <w:footnoteRef/>
      </w:r>
      <w:r w:rsidRPr="006F1082">
        <w:t xml:space="preserve"> Ibid, </w:t>
      </w:r>
      <w:r w:rsidRPr="006F1082">
        <w:t>CBd – 2140, and 4209.</w:t>
      </w:r>
    </w:p>
  </w:footnote>
  <w:footnote w:id="225">
    <w:p w14:paraId="05A743F6" w14:textId="236EDF2C" w:rsidR="00A84A9A" w:rsidRPr="006F1082" w:rsidRDefault="00A84A9A" w:rsidP="006F1082">
      <w:pPr>
        <w:pStyle w:val="Footnotes"/>
      </w:pPr>
      <w:r w:rsidRPr="006F1082">
        <w:rPr>
          <w:rStyle w:val="Znakapoznpodarou"/>
        </w:rPr>
        <w:footnoteRef/>
      </w:r>
      <w:r w:rsidRPr="006F1082">
        <w:t xml:space="preserve"> Ibid, </w:t>
      </w:r>
      <w:r w:rsidRPr="006F1082">
        <w:t>CBd – 467, 642, 657, 1067, 1095, and 2324.</w:t>
      </w:r>
    </w:p>
  </w:footnote>
  <w:footnote w:id="226">
    <w:p w14:paraId="72DC9983" w14:textId="3344A14E" w:rsidR="00A84A9A" w:rsidRPr="006F1082" w:rsidRDefault="00A84A9A" w:rsidP="006F1082">
      <w:pPr>
        <w:pStyle w:val="Footnotes"/>
      </w:pPr>
      <w:r w:rsidRPr="006F1082">
        <w:rPr>
          <w:rStyle w:val="Znakapoznpodarou"/>
        </w:rPr>
        <w:footnoteRef/>
      </w:r>
      <w:r w:rsidRPr="006F1082">
        <w:t xml:space="preserve"> Ibid, </w:t>
      </w:r>
      <w:r w:rsidRPr="006F1082">
        <w:t xml:space="preserve">CBd – 95, 102, 322, 326, 512, 523, 524, 533, 619, 621, 1321, and 1393. </w:t>
      </w:r>
    </w:p>
  </w:footnote>
  <w:footnote w:id="227">
    <w:p w14:paraId="448BC19B" w14:textId="174FC56D" w:rsidR="00A84A9A" w:rsidRPr="006F1082" w:rsidRDefault="00A84A9A" w:rsidP="006F1082">
      <w:pPr>
        <w:pStyle w:val="Footnotes"/>
      </w:pPr>
      <w:r w:rsidRPr="006F1082">
        <w:rPr>
          <w:rStyle w:val="Znakapoznpodarou"/>
        </w:rPr>
        <w:footnoteRef/>
      </w:r>
      <w:r w:rsidRPr="006F1082">
        <w:t xml:space="preserve"> Ibid, </w:t>
      </w:r>
      <w:r w:rsidRPr="006F1082">
        <w:t>CBd – 533.</w:t>
      </w:r>
    </w:p>
  </w:footnote>
  <w:footnote w:id="228">
    <w:p w14:paraId="632AF73B" w14:textId="083168B8" w:rsidR="00A84A9A" w:rsidRPr="006F1082" w:rsidRDefault="00A84A9A" w:rsidP="006F1082">
      <w:pPr>
        <w:pStyle w:val="Footnotes"/>
      </w:pPr>
      <w:r w:rsidRPr="006F1082">
        <w:rPr>
          <w:rStyle w:val="Znakapoznpodarou"/>
        </w:rPr>
        <w:footnoteRef/>
      </w:r>
      <w:r w:rsidRPr="006F1082">
        <w:t xml:space="preserve"> Ibid, </w:t>
      </w:r>
      <w:r w:rsidRPr="006F1082">
        <w:t>CBd – 1038.</w:t>
      </w:r>
    </w:p>
  </w:footnote>
  <w:footnote w:id="229">
    <w:p w14:paraId="510FB744" w14:textId="6DC7C71C" w:rsidR="00A84A9A" w:rsidRPr="006F1082" w:rsidRDefault="00A84A9A" w:rsidP="006F1082">
      <w:pPr>
        <w:pStyle w:val="Footnotes"/>
      </w:pPr>
      <w:r w:rsidRPr="006F1082">
        <w:rPr>
          <w:rStyle w:val="Znakapoznpodarou"/>
        </w:rPr>
        <w:footnoteRef/>
      </w:r>
      <w:r w:rsidRPr="006F1082">
        <w:t xml:space="preserve"> Ibid, </w:t>
      </w:r>
      <w:r w:rsidRPr="006F1082">
        <w:t>CBd – 617, 674, 1080, and 1096.</w:t>
      </w:r>
    </w:p>
  </w:footnote>
  <w:footnote w:id="230">
    <w:p w14:paraId="12ED3D15" w14:textId="3AB7F81E" w:rsidR="00A84A9A" w:rsidRPr="006F1082" w:rsidRDefault="00A84A9A" w:rsidP="006F1082">
      <w:pPr>
        <w:pStyle w:val="Footnotes"/>
      </w:pPr>
      <w:r w:rsidRPr="006F1082">
        <w:rPr>
          <w:rStyle w:val="Znakapoznpodarou"/>
        </w:rPr>
        <w:footnoteRef/>
      </w:r>
      <w:r w:rsidRPr="006F1082">
        <w:t xml:space="preserve"> Ibid, </w:t>
      </w:r>
      <w:r w:rsidRPr="006F1082">
        <w:t>CBd – 321, 512, and 539.</w:t>
      </w:r>
    </w:p>
  </w:footnote>
  <w:footnote w:id="231">
    <w:p w14:paraId="0D5A17BF" w14:textId="3AA2AE79" w:rsidR="00A84A9A" w:rsidRPr="006F1082" w:rsidRDefault="00A84A9A" w:rsidP="006F1082">
      <w:pPr>
        <w:pStyle w:val="Footnotes"/>
      </w:pPr>
      <w:r w:rsidRPr="006F1082">
        <w:rPr>
          <w:rStyle w:val="Znakapoznpodarou"/>
        </w:rPr>
        <w:footnoteRef/>
      </w:r>
      <w:r w:rsidRPr="006F1082">
        <w:t xml:space="preserve"> Ibid, </w:t>
      </w:r>
      <w:r w:rsidRPr="006F1082">
        <w:t>CBd – 1030, 1096, and 1300.</w:t>
      </w:r>
    </w:p>
  </w:footnote>
  <w:footnote w:id="232">
    <w:p w14:paraId="54AC4422" w14:textId="0B0D5DD2" w:rsidR="00A84A9A" w:rsidRPr="006F1082" w:rsidRDefault="00A84A9A" w:rsidP="006F1082">
      <w:pPr>
        <w:pStyle w:val="Footnotes"/>
      </w:pPr>
      <w:r w:rsidRPr="006F1082">
        <w:rPr>
          <w:rStyle w:val="Znakapoznpodarou"/>
        </w:rPr>
        <w:footnoteRef/>
      </w:r>
      <w:r w:rsidRPr="006F1082">
        <w:t xml:space="preserve"> Ibid, </w:t>
      </w:r>
      <w:r w:rsidRPr="006F1082">
        <w:t>CBd – 1033.</w:t>
      </w:r>
    </w:p>
  </w:footnote>
  <w:footnote w:id="233">
    <w:p w14:paraId="172B9560" w14:textId="170AFD49"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00D040CE" w:rsidRPr="006F1082">
        <w:rPr>
          <w:rFonts w:asciiTheme="majorBidi" w:hAnsiTheme="majorBidi" w:cstheme="majorBidi"/>
        </w:rPr>
        <w:t> </w:t>
      </w:r>
      <w:r w:rsidRPr="006F1082">
        <w:rPr>
          <w:rFonts w:asciiTheme="majorBidi" w:hAnsiTheme="majorBidi" w:cstheme="majorBidi"/>
        </w:rPr>
        <w:t>Vitellozzi,</w:t>
      </w:r>
      <w:r w:rsidR="00D040CE" w:rsidRPr="006F1082">
        <w:rPr>
          <w:rFonts w:asciiTheme="majorBidi" w:hAnsiTheme="majorBidi" w:cstheme="majorBidi"/>
        </w:rPr>
        <w:t> </w:t>
      </w:r>
      <w:r w:rsidRPr="006F1082">
        <w:rPr>
          <w:rFonts w:asciiTheme="majorBidi" w:hAnsiTheme="majorBidi" w:cstheme="majorBidi"/>
        </w:rPr>
        <w:t>“Relations</w:t>
      </w:r>
      <w:r w:rsidR="00D040CE" w:rsidRPr="006F1082">
        <w:rPr>
          <w:rFonts w:asciiTheme="majorBidi" w:hAnsiTheme="majorBidi" w:cstheme="majorBidi"/>
        </w:rPr>
        <w:t> </w:t>
      </w:r>
      <w:r w:rsidRPr="006F1082">
        <w:rPr>
          <w:rFonts w:asciiTheme="majorBidi" w:hAnsiTheme="majorBidi" w:cstheme="majorBidi"/>
        </w:rPr>
        <w:t>Between</w:t>
      </w:r>
      <w:r w:rsidR="00D040CE" w:rsidRPr="006F1082">
        <w:rPr>
          <w:rFonts w:asciiTheme="majorBidi" w:hAnsiTheme="majorBidi" w:cstheme="majorBidi"/>
        </w:rPr>
        <w:t> </w:t>
      </w:r>
      <w:r w:rsidRPr="006F1082">
        <w:rPr>
          <w:rFonts w:asciiTheme="majorBidi" w:hAnsiTheme="majorBidi" w:cstheme="majorBidi"/>
        </w:rPr>
        <w:t>Magical</w:t>
      </w:r>
      <w:r w:rsidR="00D040CE" w:rsidRPr="006F1082">
        <w:rPr>
          <w:rFonts w:asciiTheme="majorBidi" w:hAnsiTheme="majorBidi" w:cstheme="majorBidi"/>
        </w:rPr>
        <w:t> </w:t>
      </w:r>
      <w:r w:rsidRPr="006F1082">
        <w:rPr>
          <w:rFonts w:asciiTheme="majorBidi" w:hAnsiTheme="majorBidi" w:cstheme="majorBidi"/>
        </w:rPr>
        <w:t>Texts</w:t>
      </w:r>
      <w:r w:rsidR="00D040CE" w:rsidRPr="006F1082">
        <w:rPr>
          <w:rFonts w:asciiTheme="majorBidi" w:hAnsiTheme="majorBidi" w:cstheme="majorBidi"/>
        </w:rPr>
        <w:t> </w:t>
      </w:r>
      <w:r w:rsidRPr="006F1082">
        <w:rPr>
          <w:rFonts w:asciiTheme="majorBidi" w:hAnsiTheme="majorBidi" w:cstheme="majorBidi"/>
        </w:rPr>
        <w:t>and</w:t>
      </w:r>
      <w:r w:rsidR="00D040CE" w:rsidRPr="006F1082">
        <w:rPr>
          <w:rFonts w:asciiTheme="majorBidi" w:hAnsiTheme="majorBidi" w:cstheme="majorBidi"/>
        </w:rPr>
        <w:t> </w:t>
      </w:r>
      <w:r w:rsidRPr="006F1082">
        <w:rPr>
          <w:rFonts w:asciiTheme="majorBidi" w:hAnsiTheme="majorBidi" w:cstheme="majorBidi"/>
        </w:rPr>
        <w:t>Magical</w:t>
      </w:r>
      <w:r w:rsidR="00D040CE" w:rsidRPr="006F1082">
        <w:rPr>
          <w:rFonts w:asciiTheme="majorBidi" w:hAnsiTheme="majorBidi" w:cstheme="majorBidi"/>
        </w:rPr>
        <w:t> </w:t>
      </w:r>
      <w:r w:rsidRPr="006F1082">
        <w:rPr>
          <w:rFonts w:asciiTheme="majorBidi" w:hAnsiTheme="majorBidi" w:cstheme="majorBidi"/>
        </w:rPr>
        <w:t>Gems</w:t>
      </w:r>
      <w:r w:rsidR="00D040CE" w:rsidRPr="006F1082">
        <w:rPr>
          <w:rFonts w:asciiTheme="majorBidi" w:hAnsiTheme="majorBidi" w:cstheme="majorBidi"/>
        </w:rPr>
        <w:t> </w:t>
      </w:r>
      <w:r w:rsidRPr="006F1082">
        <w:rPr>
          <w:rFonts w:asciiTheme="majorBidi" w:hAnsiTheme="majorBidi" w:cstheme="majorBidi"/>
        </w:rPr>
        <w:t>Recent</w:t>
      </w:r>
      <w:r w:rsidR="00D040CE" w:rsidRPr="006F1082">
        <w:rPr>
          <w:rFonts w:asciiTheme="majorBidi" w:hAnsiTheme="majorBidi" w:cstheme="majorBidi"/>
        </w:rPr>
        <w:t> </w:t>
      </w:r>
      <w:r w:rsidRPr="006F1082">
        <w:rPr>
          <w:rFonts w:asciiTheme="majorBidi" w:hAnsiTheme="majorBidi" w:cstheme="majorBidi"/>
        </w:rPr>
        <w:t>Perspectives“,</w:t>
      </w:r>
      <w:r w:rsidR="00D040CE" w:rsidRPr="006F1082">
        <w:rPr>
          <w:rFonts w:asciiTheme="majorBidi" w:hAnsiTheme="majorBidi" w:cstheme="majorBidi"/>
        </w:rPr>
        <w:t> </w:t>
      </w:r>
      <w:r w:rsidRPr="006F1082">
        <w:rPr>
          <w:rFonts w:asciiTheme="majorBidi" w:hAnsiTheme="majorBidi" w:cstheme="majorBidi"/>
        </w:rPr>
        <w:t>181-183.</w:t>
      </w:r>
    </w:p>
  </w:footnote>
  <w:footnote w:id="234">
    <w:p w14:paraId="1C84F6AF" w14:textId="74D45DD1"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w:t>
      </w:r>
      <w:r w:rsidRPr="006F1082">
        <w:rPr>
          <w:rFonts w:asciiTheme="majorBidi" w:hAnsiTheme="majorBidi" w:cstheme="majorBidi"/>
        </w:rPr>
        <w:t>Altınoluk and Atakan, “Abrasax“, 220.; Peleg-Barkat and Tepper, “Engraved Gems from Sites with a Military Presence in Roman Palestine “, 100.</w:t>
      </w:r>
    </w:p>
  </w:footnote>
  <w:footnote w:id="235">
    <w:p w14:paraId="251365EF" w14:textId="57743D52" w:rsidR="00A84A9A" w:rsidRPr="006F1082" w:rsidRDefault="00A84A9A" w:rsidP="006F1082">
      <w:pPr>
        <w:pStyle w:val="Footnotes"/>
      </w:pPr>
      <w:r w:rsidRPr="006F1082">
        <w:rPr>
          <w:rStyle w:val="Znakapoznpodarou"/>
        </w:rPr>
        <w:footnoteRef/>
      </w:r>
      <w:r w:rsidR="00D040CE" w:rsidRPr="006F1082">
        <w:t> </w:t>
      </w:r>
      <w:r w:rsidRPr="006F1082">
        <w:t>Trachtenberg,</w:t>
      </w:r>
      <w:r w:rsidR="00D040CE" w:rsidRPr="006F1082">
        <w:t> </w:t>
      </w:r>
      <w:r w:rsidRPr="006F1082">
        <w:rPr>
          <w:i/>
          <w:iCs/>
        </w:rPr>
        <w:t>Jewish</w:t>
      </w:r>
      <w:r w:rsidR="00D040CE" w:rsidRPr="006F1082">
        <w:rPr>
          <w:i/>
          <w:iCs/>
        </w:rPr>
        <w:t> </w:t>
      </w:r>
      <w:r w:rsidRPr="006F1082">
        <w:rPr>
          <w:i/>
          <w:iCs/>
        </w:rPr>
        <w:t>Magic</w:t>
      </w:r>
      <w:r w:rsidR="00D040CE" w:rsidRPr="006F1082">
        <w:rPr>
          <w:i/>
          <w:iCs/>
        </w:rPr>
        <w:t> </w:t>
      </w:r>
      <w:r w:rsidRPr="006F1082">
        <w:rPr>
          <w:i/>
          <w:iCs/>
        </w:rPr>
        <w:t>and</w:t>
      </w:r>
      <w:r w:rsidR="00D040CE" w:rsidRPr="006F1082">
        <w:rPr>
          <w:i/>
          <w:iCs/>
        </w:rPr>
        <w:t> </w:t>
      </w:r>
      <w:r w:rsidRPr="006F1082">
        <w:rPr>
          <w:i/>
          <w:iCs/>
        </w:rPr>
        <w:t>Superstition</w:t>
      </w:r>
      <w:r w:rsidRPr="006F1082">
        <w:t>,</w:t>
      </w:r>
      <w:r w:rsidR="00D040CE" w:rsidRPr="006F1082">
        <w:t> </w:t>
      </w:r>
      <w:r w:rsidRPr="006F1082">
        <w:t>315.;</w:t>
      </w:r>
      <w:r w:rsidR="00D040CE" w:rsidRPr="006F1082">
        <w:t> </w:t>
      </w:r>
      <w:r w:rsidRPr="006F1082">
        <w:rPr>
          <w:rFonts w:asciiTheme="majorBidi" w:hAnsiTheme="majorBidi" w:cstheme="majorBidi"/>
        </w:rPr>
        <w:t>Harari,</w:t>
      </w:r>
      <w:r w:rsidR="00D040CE" w:rsidRPr="006F1082">
        <w:rPr>
          <w:rFonts w:asciiTheme="majorBidi" w:hAnsiTheme="majorBidi" w:cstheme="majorBidi"/>
        </w:rPr>
        <w:t> </w:t>
      </w:r>
      <w:r w:rsidRPr="006F1082">
        <w:rPr>
          <w:rFonts w:asciiTheme="majorBidi" w:hAnsiTheme="majorBidi" w:cstheme="majorBidi"/>
        </w:rPr>
        <w:t>“Moses,</w:t>
      </w:r>
      <w:r w:rsidR="00D040CE" w:rsidRPr="006F1082">
        <w:rPr>
          <w:rFonts w:asciiTheme="majorBidi" w:hAnsiTheme="majorBidi" w:cstheme="majorBidi"/>
        </w:rPr>
        <w:t> </w:t>
      </w:r>
      <w:r w:rsidRPr="006F1082">
        <w:rPr>
          <w:rFonts w:asciiTheme="majorBidi" w:hAnsiTheme="majorBidi" w:cstheme="majorBidi"/>
        </w:rPr>
        <w:t>the</w:t>
      </w:r>
      <w:r w:rsidR="00D040CE" w:rsidRPr="006F1082">
        <w:rPr>
          <w:rFonts w:asciiTheme="majorBidi" w:hAnsiTheme="majorBidi" w:cstheme="majorBidi"/>
        </w:rPr>
        <w:t> </w:t>
      </w:r>
      <w:r w:rsidRPr="006F1082">
        <w:rPr>
          <w:rFonts w:asciiTheme="majorBidi" w:hAnsiTheme="majorBidi" w:cstheme="majorBidi"/>
        </w:rPr>
        <w:t>Sword,</w:t>
      </w:r>
      <w:r w:rsidR="00D040CE" w:rsidRPr="006F1082">
        <w:rPr>
          <w:rFonts w:asciiTheme="majorBidi" w:hAnsiTheme="majorBidi" w:cstheme="majorBidi"/>
        </w:rPr>
        <w:t> </w:t>
      </w:r>
      <w:r w:rsidRPr="006F1082">
        <w:rPr>
          <w:rFonts w:asciiTheme="majorBidi" w:hAnsiTheme="majorBidi" w:cstheme="majorBidi"/>
        </w:rPr>
        <w:t>and</w:t>
      </w:r>
      <w:r w:rsidR="00D040CE" w:rsidRPr="006F1082">
        <w:rPr>
          <w:rFonts w:asciiTheme="majorBidi" w:hAnsiTheme="majorBidi" w:cstheme="majorBidi"/>
        </w:rPr>
        <w:t> </w:t>
      </w:r>
      <w:r w:rsidRPr="006F1082">
        <w:rPr>
          <w:rFonts w:asciiTheme="majorBidi" w:hAnsiTheme="majorBidi" w:cstheme="majorBidi"/>
        </w:rPr>
        <w:t>The</w:t>
      </w:r>
      <w:r w:rsidR="00D040CE" w:rsidRPr="006F1082">
        <w:rPr>
          <w:rFonts w:asciiTheme="majorBidi" w:hAnsiTheme="majorBidi" w:cstheme="majorBidi"/>
        </w:rPr>
        <w:t> </w:t>
      </w:r>
      <w:r w:rsidRPr="006F1082">
        <w:rPr>
          <w:rFonts w:asciiTheme="majorBidi" w:hAnsiTheme="majorBidi" w:cstheme="majorBidi"/>
        </w:rPr>
        <w:t>Sword</w:t>
      </w:r>
      <w:r w:rsidR="00D040CE" w:rsidRPr="006F1082">
        <w:rPr>
          <w:rFonts w:asciiTheme="majorBidi" w:hAnsiTheme="majorBidi" w:cstheme="majorBidi"/>
        </w:rPr>
        <w:t> </w:t>
      </w:r>
      <w:r w:rsidRPr="006F1082">
        <w:rPr>
          <w:rFonts w:asciiTheme="majorBidi" w:hAnsiTheme="majorBidi" w:cstheme="majorBidi"/>
        </w:rPr>
        <w:t>o</w:t>
      </w:r>
      <w:r w:rsidR="00D040CE" w:rsidRPr="006F1082">
        <w:rPr>
          <w:rFonts w:asciiTheme="majorBidi" w:hAnsiTheme="majorBidi" w:cstheme="majorBidi"/>
        </w:rPr>
        <w:t xml:space="preserve">f </w:t>
      </w:r>
      <w:r w:rsidRPr="006F1082">
        <w:rPr>
          <w:rFonts w:asciiTheme="majorBidi" w:hAnsiTheme="majorBidi" w:cstheme="majorBidi"/>
        </w:rPr>
        <w:t>Moses“</w:t>
      </w:r>
      <w:r w:rsidRPr="006F1082">
        <w:t>, 294.</w:t>
      </w:r>
    </w:p>
  </w:footnote>
  <w:footnote w:id="236">
    <w:p w14:paraId="743A4FF9" w14:textId="79736C9E"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Harari, “Moses, the Sword, and The Sword of Moses</w:t>
      </w:r>
      <w:r w:rsidRPr="006F1082">
        <w:t>“, 295-297.</w:t>
      </w:r>
    </w:p>
  </w:footnote>
  <w:footnote w:id="237">
    <w:p w14:paraId="7C1AEE9A" w14:textId="4609790F"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Gaster, “The Sword of Moses“</w:t>
      </w:r>
      <w:r w:rsidRPr="006F1082">
        <w:t>, 172.</w:t>
      </w:r>
    </w:p>
  </w:footnote>
  <w:footnote w:id="238">
    <w:p w14:paraId="3040808F" w14:textId="3476D0CA" w:rsidR="00A84A9A" w:rsidRPr="006F1082" w:rsidRDefault="00A84A9A" w:rsidP="006F1082">
      <w:pPr>
        <w:pStyle w:val="Footnotes"/>
      </w:pPr>
      <w:r w:rsidRPr="006F1082">
        <w:rPr>
          <w:rStyle w:val="Znakapoznpodarou"/>
        </w:rPr>
        <w:footnoteRef/>
      </w:r>
      <w:r w:rsidR="00D040CE" w:rsidRPr="006F1082">
        <w:t> </w:t>
      </w:r>
      <w:r w:rsidRPr="006F1082">
        <w:rPr>
          <w:rFonts w:asciiTheme="majorBidi" w:hAnsiTheme="majorBidi" w:cstheme="majorBidi"/>
        </w:rPr>
        <w:t>Harari,</w:t>
      </w:r>
      <w:r w:rsidR="00D040CE" w:rsidRPr="006F1082">
        <w:rPr>
          <w:rFonts w:asciiTheme="majorBidi" w:hAnsiTheme="majorBidi" w:cstheme="majorBidi"/>
        </w:rPr>
        <w:t> </w:t>
      </w:r>
      <w:r w:rsidRPr="006F1082">
        <w:rPr>
          <w:rFonts w:asciiTheme="majorBidi" w:hAnsiTheme="majorBidi" w:cstheme="majorBidi"/>
        </w:rPr>
        <w:t>“Moses,</w:t>
      </w:r>
      <w:r w:rsidR="00D040CE" w:rsidRPr="006F1082">
        <w:rPr>
          <w:rFonts w:asciiTheme="majorBidi" w:hAnsiTheme="majorBidi" w:cstheme="majorBidi"/>
        </w:rPr>
        <w:t> </w:t>
      </w:r>
      <w:r w:rsidRPr="006F1082">
        <w:rPr>
          <w:rFonts w:asciiTheme="majorBidi" w:hAnsiTheme="majorBidi" w:cstheme="majorBidi"/>
        </w:rPr>
        <w:t>the</w:t>
      </w:r>
      <w:r w:rsidR="00D040CE" w:rsidRPr="006F1082">
        <w:rPr>
          <w:rFonts w:asciiTheme="majorBidi" w:hAnsiTheme="majorBidi" w:cstheme="majorBidi"/>
        </w:rPr>
        <w:t> </w:t>
      </w:r>
      <w:r w:rsidRPr="006F1082">
        <w:rPr>
          <w:rFonts w:asciiTheme="majorBidi" w:hAnsiTheme="majorBidi" w:cstheme="majorBidi"/>
        </w:rPr>
        <w:t>Sword,</w:t>
      </w:r>
      <w:r w:rsidR="00D040CE" w:rsidRPr="006F1082">
        <w:rPr>
          <w:rFonts w:asciiTheme="majorBidi" w:hAnsiTheme="majorBidi" w:cstheme="majorBidi"/>
        </w:rPr>
        <w:t> </w:t>
      </w:r>
      <w:r w:rsidRPr="006F1082">
        <w:rPr>
          <w:rFonts w:asciiTheme="majorBidi" w:hAnsiTheme="majorBidi" w:cstheme="majorBidi"/>
        </w:rPr>
        <w:t>and</w:t>
      </w:r>
      <w:r w:rsidR="00D040CE" w:rsidRPr="006F1082">
        <w:rPr>
          <w:rFonts w:asciiTheme="majorBidi" w:hAnsiTheme="majorBidi" w:cstheme="majorBidi"/>
        </w:rPr>
        <w:t> </w:t>
      </w:r>
      <w:r w:rsidRPr="006F1082">
        <w:rPr>
          <w:rFonts w:asciiTheme="majorBidi" w:hAnsiTheme="majorBidi" w:cstheme="majorBidi"/>
        </w:rPr>
        <w:t>The</w:t>
      </w:r>
      <w:r w:rsidR="00D040CE" w:rsidRPr="006F1082">
        <w:rPr>
          <w:rFonts w:asciiTheme="majorBidi" w:hAnsiTheme="majorBidi" w:cstheme="majorBidi"/>
        </w:rPr>
        <w:t> </w:t>
      </w:r>
      <w:r w:rsidRPr="006F1082">
        <w:rPr>
          <w:rFonts w:asciiTheme="majorBidi" w:hAnsiTheme="majorBidi" w:cstheme="majorBidi"/>
        </w:rPr>
        <w:t>Sword</w:t>
      </w:r>
      <w:r w:rsidR="00D040CE" w:rsidRPr="006F1082">
        <w:rPr>
          <w:rFonts w:asciiTheme="majorBidi" w:hAnsiTheme="majorBidi" w:cstheme="majorBidi"/>
        </w:rPr>
        <w:t> </w:t>
      </w:r>
      <w:r w:rsidRPr="006F1082">
        <w:rPr>
          <w:rFonts w:asciiTheme="majorBidi" w:hAnsiTheme="majorBidi" w:cstheme="majorBidi"/>
        </w:rPr>
        <w:t>of</w:t>
      </w:r>
      <w:r w:rsidR="00D040CE" w:rsidRPr="006F1082">
        <w:rPr>
          <w:rFonts w:asciiTheme="majorBidi" w:hAnsiTheme="majorBidi" w:cstheme="majorBidi"/>
        </w:rPr>
        <w:t> </w:t>
      </w:r>
      <w:r w:rsidRPr="006F1082">
        <w:rPr>
          <w:rFonts w:asciiTheme="majorBidi" w:hAnsiTheme="majorBidi" w:cstheme="majorBidi"/>
        </w:rPr>
        <w:t>Moses“,</w:t>
      </w:r>
      <w:r w:rsidR="00D040CE" w:rsidRPr="006F1082">
        <w:t> </w:t>
      </w:r>
      <w:r w:rsidRPr="006F1082">
        <w:t>296.;</w:t>
      </w:r>
      <w:r w:rsidR="00D040CE" w:rsidRPr="006F1082">
        <w:t> </w:t>
      </w:r>
      <w:r w:rsidRPr="006F1082">
        <w:t>Trachtenberg,</w:t>
      </w:r>
      <w:r w:rsidR="00D040CE" w:rsidRPr="006F1082">
        <w:t> </w:t>
      </w:r>
      <w:r w:rsidRPr="006F1082">
        <w:rPr>
          <w:i/>
          <w:iCs/>
        </w:rPr>
        <w:t>Jewish</w:t>
      </w:r>
      <w:r w:rsidR="00D040CE" w:rsidRPr="006F1082">
        <w:rPr>
          <w:i/>
          <w:iCs/>
        </w:rPr>
        <w:t> </w:t>
      </w:r>
      <w:r w:rsidRPr="006F1082">
        <w:rPr>
          <w:i/>
          <w:iCs/>
        </w:rPr>
        <w:t>Magic</w:t>
      </w:r>
      <w:r w:rsidR="00D040CE" w:rsidRPr="006F1082">
        <w:rPr>
          <w:i/>
          <w:iCs/>
        </w:rPr>
        <w:t> </w:t>
      </w:r>
      <w:r w:rsidRPr="006F1082">
        <w:rPr>
          <w:i/>
          <w:iCs/>
        </w:rPr>
        <w:t>and</w:t>
      </w:r>
      <w:r w:rsidR="00D040CE" w:rsidRPr="006F1082">
        <w:rPr>
          <w:i/>
          <w:iCs/>
        </w:rPr>
        <w:t xml:space="preserve"> </w:t>
      </w:r>
      <w:r w:rsidRPr="006F1082">
        <w:rPr>
          <w:i/>
          <w:iCs/>
        </w:rPr>
        <w:t>Superstition</w:t>
      </w:r>
      <w:r w:rsidRPr="006F1082">
        <w:t xml:space="preserve">, 315. </w:t>
      </w:r>
    </w:p>
  </w:footnote>
  <w:footnote w:id="239">
    <w:p w14:paraId="3590B61B" w14:textId="74F2ACBA" w:rsidR="00A84A9A" w:rsidRPr="006F1082" w:rsidRDefault="00A84A9A" w:rsidP="006F1082">
      <w:pPr>
        <w:pStyle w:val="Footnotes"/>
      </w:pPr>
      <w:r w:rsidRPr="006F1082">
        <w:rPr>
          <w:rStyle w:val="Znakapoznpodarou"/>
        </w:rPr>
        <w:footnoteRef/>
      </w:r>
      <w:r w:rsidRPr="006F1082">
        <w:t xml:space="preserve"> </w:t>
      </w:r>
      <w:r w:rsidRPr="006F1082">
        <w:t xml:space="preserve">Scholem, </w:t>
      </w:r>
      <w:r w:rsidRPr="006F1082">
        <w:rPr>
          <w:i/>
          <w:iCs/>
        </w:rPr>
        <w:t>Jewish Gnosticism, Merkabah Mysticism, and Talmudic Tradition</w:t>
      </w:r>
      <w:r w:rsidRPr="006F1082">
        <w:t>, 99.</w:t>
      </w:r>
    </w:p>
  </w:footnote>
  <w:footnote w:id="240">
    <w:p w14:paraId="0BA70094" w14:textId="00724F7C"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Harari, “Moses, the Sword, and The Sword of Moses</w:t>
      </w:r>
      <w:r w:rsidRPr="006F1082">
        <w:t>“, 296.</w:t>
      </w:r>
    </w:p>
  </w:footnote>
  <w:footnote w:id="241">
    <w:p w14:paraId="0A5AD606" w14:textId="2EF614F1" w:rsidR="00A84A9A" w:rsidRPr="006F1082" w:rsidRDefault="00A84A9A" w:rsidP="006F1082">
      <w:pPr>
        <w:pStyle w:val="Footnotes"/>
      </w:pPr>
      <w:r w:rsidRPr="006F1082">
        <w:rPr>
          <w:rStyle w:val="Znakapoznpodarou"/>
        </w:rPr>
        <w:footnoteRef/>
      </w:r>
      <w:r w:rsidRPr="006F1082">
        <w:t xml:space="preserve"> </w:t>
      </w:r>
      <w:r w:rsidRPr="006F1082">
        <w:t xml:space="preserve">Bohak, </w:t>
      </w:r>
      <w:r w:rsidRPr="006F1082">
        <w:rPr>
          <w:i/>
          <w:iCs/>
        </w:rPr>
        <w:t>Ancient Jewish Magic</w:t>
      </w:r>
      <w:r w:rsidRPr="006F1082">
        <w:t>, 175-176.; Yuval Harari, “The Sword of Moses (Ḥarba de-Moshe): A</w:t>
      </w:r>
      <w:r w:rsidR="00D040CE" w:rsidRPr="006F1082">
        <w:t> </w:t>
      </w:r>
      <w:r w:rsidRPr="006F1082">
        <w:t xml:space="preserve">New Translation and Introduction,” </w:t>
      </w:r>
      <w:r w:rsidRPr="006F1082">
        <w:rPr>
          <w:i/>
          <w:iCs/>
        </w:rPr>
        <w:t>Magic, Ritual, and Witchcraft</w:t>
      </w:r>
      <w:r w:rsidRPr="006F1082">
        <w:t xml:space="preserve"> 7, no. 1 (2012): 63-65.</w:t>
      </w:r>
    </w:p>
  </w:footnote>
  <w:footnote w:id="242">
    <w:p w14:paraId="5DCC680F" w14:textId="1EF0F56C" w:rsidR="00A84A9A" w:rsidRPr="006F1082" w:rsidRDefault="00A84A9A" w:rsidP="006F1082">
      <w:pPr>
        <w:pStyle w:val="Footnotes"/>
        <w:rPr>
          <w:rFonts w:cs="Times New Roman"/>
          <w:sz w:val="22"/>
        </w:rPr>
      </w:pPr>
      <w:r w:rsidRPr="006F1082">
        <w:rPr>
          <w:rStyle w:val="Znakapoznpodarou"/>
        </w:rPr>
        <w:footnoteRef/>
      </w:r>
      <w:r w:rsidRPr="006F1082">
        <w:t xml:space="preserve"> Yuval Harari, </w:t>
      </w:r>
      <w:r w:rsidRPr="006F1082">
        <w:rPr>
          <w:i/>
          <w:iCs/>
        </w:rPr>
        <w:t>The Sword of Moses – A New Edition and Stud</w:t>
      </w:r>
      <w:r w:rsidRPr="006F1082">
        <w:t xml:space="preserve">y (Jerusalem: </w:t>
      </w:r>
      <w:r w:rsidRPr="006F1082">
        <w:t>Academon, 1997), (Hebrew) (</w:t>
      </w:r>
      <w:r w:rsidRPr="006F1082">
        <w:rPr>
          <w:rFonts w:cs="Times New Roman"/>
          <w:sz w:val="22"/>
          <w:rtl/>
        </w:rPr>
        <w:t>חרבא דמשה: מהדורה חדשה ומחקר. ירושלים: אקדמון, תשנ''ז</w:t>
      </w:r>
      <w:r w:rsidRPr="006F1082">
        <w:rPr>
          <w:rFonts w:cs="Times New Roman"/>
          <w:sz w:val="22"/>
        </w:rPr>
        <w:t>).</w:t>
      </w:r>
    </w:p>
  </w:footnote>
  <w:footnote w:id="243">
    <w:p w14:paraId="6FF6D0A5" w14:textId="416B5BC2" w:rsidR="00A84A9A" w:rsidRPr="006F1082" w:rsidRDefault="00A84A9A" w:rsidP="006F1082">
      <w:pPr>
        <w:pStyle w:val="Footnotes"/>
      </w:pPr>
      <w:r w:rsidRPr="006F1082">
        <w:rPr>
          <w:rStyle w:val="Znakapoznpodarou"/>
        </w:rPr>
        <w:footnoteRef/>
      </w:r>
      <w:r w:rsidRPr="006F1082">
        <w:t xml:space="preserve"> Alexander Fodor, “An Arabic Version of ‘The Sword of Moses’,” in </w:t>
      </w:r>
      <w:r w:rsidRPr="006F1082">
        <w:rPr>
          <w:i/>
          <w:iCs/>
        </w:rPr>
        <w:t>Continuity and Innovation in the Magical Tradition</w:t>
      </w:r>
      <w:r w:rsidRPr="006F1082">
        <w:t xml:space="preserve">, edited by Gideon </w:t>
      </w:r>
      <w:r w:rsidRPr="006F1082">
        <w:t>Bohak, Yuval Harari and Shaul Shaked (Leiden and Boston: Brill, 2011), 341, 370, 371, and 383.</w:t>
      </w:r>
    </w:p>
  </w:footnote>
  <w:footnote w:id="244">
    <w:p w14:paraId="74A1F288" w14:textId="2C198275" w:rsidR="00A84A9A" w:rsidRPr="006F1082" w:rsidRDefault="00A84A9A" w:rsidP="006F1082">
      <w:pPr>
        <w:pStyle w:val="Footnotes"/>
      </w:pPr>
      <w:r w:rsidRPr="006F1082">
        <w:rPr>
          <w:rStyle w:val="Znakapoznpodarou"/>
        </w:rPr>
        <w:footnoteRef/>
      </w:r>
      <w:r w:rsidRPr="006F1082">
        <w:t xml:space="preserve"> </w:t>
      </w:r>
      <w:r w:rsidRPr="006F1082">
        <w:t xml:space="preserve">Dóra Zsom, “Another Arabic Version of Sefer ha-Razim and Ḥarba de-Moše: A New Sifr Ādam Manuscript. </w:t>
      </w:r>
      <w:r w:rsidRPr="006F1082">
        <w:rPr>
          <w:i/>
          <w:iCs/>
        </w:rPr>
        <w:t>Studies in Memory of Alexander Fodor</w:t>
      </w:r>
      <w:r w:rsidRPr="006F1082">
        <w:t>, edited by Kinga Dévényi. The Arabist, Budapest Studies</w:t>
      </w:r>
      <w:r w:rsidR="00D040CE" w:rsidRPr="006F1082">
        <w:t> </w:t>
      </w:r>
      <w:r w:rsidRPr="006F1082">
        <w:t>in</w:t>
      </w:r>
      <w:r w:rsidR="00D040CE" w:rsidRPr="006F1082">
        <w:t> </w:t>
      </w:r>
      <w:r w:rsidRPr="006F1082">
        <w:t>Arabic</w:t>
      </w:r>
      <w:r w:rsidR="00D040CE" w:rsidRPr="006F1082">
        <w:t> </w:t>
      </w:r>
      <w:r w:rsidRPr="006F1082">
        <w:t>37</w:t>
      </w:r>
      <w:r w:rsidR="00D040CE" w:rsidRPr="006F1082">
        <w:t> </w:t>
      </w:r>
      <w:r w:rsidRPr="006F1082">
        <w:t>(2016):</w:t>
      </w:r>
      <w:r w:rsidR="00D040CE" w:rsidRPr="006F1082">
        <w:t> </w:t>
      </w:r>
      <w:r w:rsidRPr="006F1082">
        <w:t>182-183</w:t>
      </w:r>
      <w:r w:rsidR="00D040CE" w:rsidRPr="006F1082">
        <w:t>, a</w:t>
      </w:r>
      <w:r w:rsidRPr="006F1082">
        <w:t>ccessed</w:t>
      </w:r>
      <w:r w:rsidR="00D040CE" w:rsidRPr="006F1082">
        <w:t> </w:t>
      </w:r>
      <w:r w:rsidRPr="006F1082">
        <w:t>May</w:t>
      </w:r>
      <w:r w:rsidR="00D040CE" w:rsidRPr="006F1082">
        <w:t> </w:t>
      </w:r>
      <w:r w:rsidRPr="006F1082">
        <w:t>5,</w:t>
      </w:r>
      <w:r w:rsidR="00D040CE" w:rsidRPr="006F1082">
        <w:t> </w:t>
      </w:r>
      <w:r w:rsidRPr="006F1082">
        <w:t xml:space="preserve">2021. </w:t>
      </w:r>
      <w:hyperlink r:id="rId32" w:history="1">
        <w:r w:rsidRPr="006F1082">
          <w:rPr>
            <w:rStyle w:val="Hypertextovodkaz"/>
          </w:rPr>
          <w:t>https://www.academia.edu/30797200/ANOTHER_ARABIC_VERSION_OF_SEFER_HA_RAZIM_AND_%E1%B8%A4ARBA_DE_MO%C5%A0E_A_NEW_SIFR_%C4%80DAM_MANUSCRIPT</w:t>
        </w:r>
      </w:hyperlink>
      <w:r w:rsidRPr="006F1082">
        <w:t xml:space="preserve">. </w:t>
      </w:r>
    </w:p>
  </w:footnote>
  <w:footnote w:id="245">
    <w:p w14:paraId="173B02B2" w14:textId="0F63465D"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Harari, “Moses, the Sword, and The Sword of Moses</w:t>
      </w:r>
      <w:r w:rsidRPr="006F1082">
        <w:t>“, 294-295.</w:t>
      </w:r>
    </w:p>
  </w:footnote>
  <w:footnote w:id="246">
    <w:p w14:paraId="4DE32587" w14:textId="390ADCDD" w:rsidR="00A84A9A" w:rsidRPr="006F1082" w:rsidRDefault="00A84A9A" w:rsidP="006F1082">
      <w:pPr>
        <w:pStyle w:val="Footnotes"/>
      </w:pPr>
      <w:r w:rsidRPr="006F1082">
        <w:rPr>
          <w:rStyle w:val="Znakapoznpodarou"/>
        </w:rPr>
        <w:footnoteRef/>
      </w:r>
      <w:r w:rsidRPr="006F1082">
        <w:t xml:space="preserve"> </w:t>
      </w:r>
      <w:r w:rsidRPr="006F1082">
        <w:t xml:space="preserve">Bohak, </w:t>
      </w:r>
      <w:r w:rsidRPr="006F1082">
        <w:rPr>
          <w:i/>
          <w:iCs/>
        </w:rPr>
        <w:t>Ancient Jewish Magic</w:t>
      </w:r>
      <w:r w:rsidRPr="006F1082">
        <w:t>, 176-179.</w:t>
      </w:r>
    </w:p>
  </w:footnote>
  <w:footnote w:id="247">
    <w:p w14:paraId="1E239518" w14:textId="5D3DB9FB"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Harari, “Moses, the Sword, and The Sword of Moses“</w:t>
      </w:r>
      <w:r w:rsidRPr="006F1082">
        <w:t>, 294-295.</w:t>
      </w:r>
    </w:p>
  </w:footnote>
  <w:footnote w:id="248">
    <w:p w14:paraId="561B8685" w14:textId="407BC64E" w:rsidR="00A84A9A" w:rsidRPr="006F1082" w:rsidRDefault="00A84A9A" w:rsidP="006F1082">
      <w:pPr>
        <w:pStyle w:val="Footnotes"/>
      </w:pPr>
      <w:r w:rsidRPr="006F1082">
        <w:rPr>
          <w:rStyle w:val="Znakapoznpodarou"/>
        </w:rPr>
        <w:footnoteRef/>
      </w:r>
      <w:r w:rsidRPr="006F1082">
        <w:t xml:space="preserve"> </w:t>
      </w:r>
      <w:r w:rsidRPr="006F1082">
        <w:t xml:space="preserve">Bohak, </w:t>
      </w:r>
      <w:r w:rsidRPr="006F1082">
        <w:rPr>
          <w:i/>
          <w:iCs/>
        </w:rPr>
        <w:t>Ancient Jewish Magic</w:t>
      </w:r>
      <w:r w:rsidRPr="006F1082">
        <w:t>, 178-179.</w:t>
      </w:r>
    </w:p>
  </w:footnote>
  <w:footnote w:id="249">
    <w:p w14:paraId="79047D1F" w14:textId="7615F1D6" w:rsidR="00A84A9A" w:rsidRPr="006F1082" w:rsidRDefault="00A84A9A" w:rsidP="006F1082">
      <w:pPr>
        <w:pStyle w:val="Footnotes"/>
      </w:pPr>
      <w:r w:rsidRPr="006F1082">
        <w:rPr>
          <w:rStyle w:val="Znakapoznpodarou"/>
        </w:rPr>
        <w:footnoteRef/>
      </w:r>
      <w:r w:rsidRPr="006F1082">
        <w:t xml:space="preserve"> Trachtenberg, </w:t>
      </w:r>
      <w:r w:rsidRPr="006F1082">
        <w:rPr>
          <w:i/>
          <w:iCs/>
        </w:rPr>
        <w:t>Jewish Magic and Superstition</w:t>
      </w:r>
      <w:r w:rsidRPr="006F1082">
        <w:t>, 260.</w:t>
      </w:r>
    </w:p>
  </w:footnote>
  <w:footnote w:id="250">
    <w:p w14:paraId="3C017150" w14:textId="78335B25"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Gaster, “The Sword of Moses</w:t>
      </w:r>
      <w:r w:rsidRPr="006F1082">
        <w:t>“, VIII.</w:t>
      </w:r>
    </w:p>
  </w:footnote>
  <w:footnote w:id="251">
    <w:p w14:paraId="59707091" w14:textId="741562A3" w:rsidR="00A84A9A" w:rsidRPr="006F1082" w:rsidRDefault="00A84A9A" w:rsidP="006F1082">
      <w:pPr>
        <w:pStyle w:val="Footnotes"/>
      </w:pPr>
      <w:r w:rsidRPr="006F1082">
        <w:rPr>
          <w:rStyle w:val="Znakapoznpodarou"/>
        </w:rPr>
        <w:footnoteRef/>
      </w:r>
      <w:r w:rsidRPr="006F1082">
        <w:t xml:space="preserve"> Ibid, IX.</w:t>
      </w:r>
    </w:p>
  </w:footnote>
  <w:footnote w:id="252">
    <w:p w14:paraId="68989895" w14:textId="4F62E717" w:rsidR="00A84A9A" w:rsidRPr="006F1082" w:rsidRDefault="00A84A9A" w:rsidP="006F1082">
      <w:pPr>
        <w:pStyle w:val="Footnotes"/>
      </w:pPr>
      <w:r w:rsidRPr="006F1082">
        <w:rPr>
          <w:rStyle w:val="Znakapoznpodarou"/>
        </w:rPr>
        <w:footnoteRef/>
      </w:r>
      <w:r w:rsidRPr="006F1082">
        <w:t xml:space="preserve"> Ibid, IX. </w:t>
      </w:r>
    </w:p>
  </w:footnote>
  <w:footnote w:id="253">
    <w:p w14:paraId="1720DC81" w14:textId="36CA95D4" w:rsidR="00A84A9A" w:rsidRPr="006F1082" w:rsidRDefault="00A84A9A" w:rsidP="006F1082">
      <w:pPr>
        <w:pStyle w:val="Footnotes"/>
      </w:pPr>
      <w:r w:rsidRPr="006F1082">
        <w:rPr>
          <w:rStyle w:val="Znakapoznpodarou"/>
        </w:rPr>
        <w:footnoteRef/>
      </w:r>
      <w:r w:rsidRPr="006F1082">
        <w:t xml:space="preserve"> Ibid, VIII.</w:t>
      </w:r>
    </w:p>
  </w:footnote>
  <w:footnote w:id="254">
    <w:p w14:paraId="0DF2E948" w14:textId="69641235" w:rsidR="00A84A9A" w:rsidRPr="006F1082" w:rsidRDefault="00A84A9A" w:rsidP="006F1082">
      <w:pPr>
        <w:pStyle w:val="Footnotes"/>
        <w:rPr>
          <w:highlight w:val="green"/>
        </w:rPr>
      </w:pPr>
      <w:r w:rsidRPr="006F1082">
        <w:rPr>
          <w:rStyle w:val="Znakapoznpodarou"/>
        </w:rPr>
        <w:footnoteRef/>
      </w:r>
      <w:r w:rsidRPr="006F1082">
        <w:t xml:space="preserve"> Ibid, VIII.</w:t>
      </w:r>
    </w:p>
  </w:footnote>
  <w:footnote w:id="255">
    <w:p w14:paraId="70EA84FA" w14:textId="4C2329B8" w:rsidR="00A84A9A" w:rsidRPr="006F1082" w:rsidRDefault="00A84A9A" w:rsidP="006F1082">
      <w:pPr>
        <w:pStyle w:val="Footnotes"/>
      </w:pPr>
      <w:r w:rsidRPr="006F1082">
        <w:rPr>
          <w:rStyle w:val="Znakapoznpodarou"/>
        </w:rPr>
        <w:footnoteRef/>
      </w:r>
      <w:r w:rsidRPr="006F1082">
        <w:t xml:space="preserve"> Ibid, VIII, IX, XI, and XII.</w:t>
      </w:r>
    </w:p>
  </w:footnote>
  <w:footnote w:id="256">
    <w:p w14:paraId="42617D58" w14:textId="4B2ACB70" w:rsidR="00A84A9A" w:rsidRPr="006F1082" w:rsidRDefault="00A84A9A" w:rsidP="006F1082">
      <w:pPr>
        <w:pStyle w:val="Footnotes"/>
        <w:rPr>
          <w:rtl/>
        </w:rPr>
      </w:pPr>
      <w:r w:rsidRPr="006F1082">
        <w:rPr>
          <w:rStyle w:val="Znakapoznpodarou"/>
        </w:rPr>
        <w:footnoteRef/>
      </w:r>
      <w:r w:rsidRPr="006F1082">
        <w:t xml:space="preserve"> Ibid, XI, and XII.</w:t>
      </w:r>
    </w:p>
  </w:footnote>
  <w:footnote w:id="257">
    <w:p w14:paraId="18BABFC1" w14:textId="7335474C" w:rsidR="00A84A9A" w:rsidRPr="006F1082" w:rsidRDefault="00A84A9A" w:rsidP="006F1082">
      <w:pPr>
        <w:pStyle w:val="Footnotes"/>
      </w:pPr>
      <w:r w:rsidRPr="006F1082">
        <w:rPr>
          <w:rStyle w:val="Znakapoznpodarou"/>
        </w:rPr>
        <w:footnoteRef/>
      </w:r>
      <w:r w:rsidRPr="006F1082">
        <w:t xml:space="preserve"> Ibid, VII-IX.</w:t>
      </w:r>
    </w:p>
  </w:footnote>
  <w:footnote w:id="258">
    <w:p w14:paraId="014C7872" w14:textId="5DE13DA7" w:rsidR="00A84A9A" w:rsidRPr="006F1082" w:rsidRDefault="00A84A9A" w:rsidP="006F1082">
      <w:pPr>
        <w:pStyle w:val="Footnotes"/>
      </w:pPr>
      <w:r w:rsidRPr="006F1082">
        <w:rPr>
          <w:rStyle w:val="Znakapoznpodarou"/>
        </w:rPr>
        <w:footnoteRef/>
      </w:r>
      <w:r w:rsidRPr="006F1082">
        <w:t xml:space="preserve"> Ibid, VIII.</w:t>
      </w:r>
    </w:p>
  </w:footnote>
  <w:footnote w:id="259">
    <w:p w14:paraId="7369FADC" w14:textId="519C2ACD" w:rsidR="00A84A9A" w:rsidRPr="006F1082" w:rsidRDefault="00A84A9A" w:rsidP="006F1082">
      <w:pPr>
        <w:pStyle w:val="Footnotes"/>
      </w:pPr>
      <w:r w:rsidRPr="006F1082">
        <w:rPr>
          <w:rStyle w:val="Znakapoznpodarou"/>
        </w:rPr>
        <w:footnoteRef/>
      </w:r>
      <w:r w:rsidRPr="006F1082">
        <w:t xml:space="preserve"> Ibid, VIII, and XI.</w:t>
      </w:r>
    </w:p>
  </w:footnote>
  <w:footnote w:id="260">
    <w:p w14:paraId="31AE8A11" w14:textId="7339A465" w:rsidR="00A84A9A" w:rsidRPr="006F1082" w:rsidRDefault="00A84A9A" w:rsidP="006F1082">
      <w:pPr>
        <w:pStyle w:val="Footnotes"/>
      </w:pPr>
      <w:r w:rsidRPr="006F1082">
        <w:rPr>
          <w:rStyle w:val="Znakapoznpodarou"/>
        </w:rPr>
        <w:footnoteRef/>
      </w:r>
      <w:r w:rsidRPr="006F1082">
        <w:t xml:space="preserve"> Ibid, VIII, and XI.</w:t>
      </w:r>
    </w:p>
  </w:footnote>
  <w:footnote w:id="261">
    <w:p w14:paraId="7FFE4D96" w14:textId="6D00B078" w:rsidR="00A84A9A" w:rsidRPr="006F1082" w:rsidRDefault="00A84A9A" w:rsidP="006F1082">
      <w:pPr>
        <w:pStyle w:val="Footnotes"/>
      </w:pPr>
      <w:r w:rsidRPr="006F1082">
        <w:rPr>
          <w:rStyle w:val="Znakapoznpodarou"/>
        </w:rPr>
        <w:footnoteRef/>
      </w:r>
      <w:r w:rsidRPr="006F1082">
        <w:t xml:space="preserve"> Ibid, VIII, IX, and XI.</w:t>
      </w:r>
    </w:p>
  </w:footnote>
  <w:footnote w:id="262">
    <w:p w14:paraId="37EB492A" w14:textId="42456CD0" w:rsidR="00A84A9A" w:rsidRPr="006F1082" w:rsidRDefault="00A84A9A" w:rsidP="006F1082">
      <w:pPr>
        <w:pStyle w:val="Footnotes"/>
      </w:pPr>
      <w:r w:rsidRPr="006F1082">
        <w:rPr>
          <w:rStyle w:val="Znakapoznpodarou"/>
        </w:rPr>
        <w:footnoteRef/>
      </w:r>
      <w:r w:rsidRPr="006F1082">
        <w:t xml:space="preserve"> Ibid, 165-166.; </w:t>
      </w:r>
      <w:r w:rsidRPr="006F1082">
        <w:t xml:space="preserve">Bohak, </w:t>
      </w:r>
      <w:r w:rsidRPr="006F1082">
        <w:rPr>
          <w:i/>
          <w:iCs/>
        </w:rPr>
        <w:t>Ancient Jewish Magic</w:t>
      </w:r>
      <w:r w:rsidRPr="006F1082">
        <w:t>, 179.</w:t>
      </w:r>
    </w:p>
  </w:footnote>
  <w:footnote w:id="263">
    <w:p w14:paraId="40B66F27" w14:textId="41840FD2"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Gaster, “The Sword of Moses</w:t>
      </w:r>
      <w:r w:rsidRPr="006F1082">
        <w:t>“, VII.</w:t>
      </w:r>
    </w:p>
  </w:footnote>
  <w:footnote w:id="264">
    <w:p w14:paraId="0B18D0AB" w14:textId="459CA488" w:rsidR="00A84A9A" w:rsidRPr="006F1082" w:rsidRDefault="00A84A9A" w:rsidP="006F1082">
      <w:pPr>
        <w:pStyle w:val="Footnotes"/>
      </w:pPr>
      <w:r w:rsidRPr="006F1082">
        <w:rPr>
          <w:rStyle w:val="Znakapoznpodarou"/>
        </w:rPr>
        <w:footnoteRef/>
      </w:r>
      <w:r w:rsidRPr="006F1082">
        <w:t xml:space="preserve"> Ibid, VIII.</w:t>
      </w:r>
    </w:p>
  </w:footnote>
  <w:footnote w:id="265">
    <w:p w14:paraId="6FC2BE11" w14:textId="177FF664" w:rsidR="00A84A9A" w:rsidRPr="006F1082" w:rsidRDefault="00A84A9A" w:rsidP="006F1082">
      <w:pPr>
        <w:pStyle w:val="Footnotes"/>
      </w:pPr>
      <w:r w:rsidRPr="006F1082">
        <w:rPr>
          <w:rStyle w:val="Znakapoznpodarou"/>
        </w:rPr>
        <w:footnoteRef/>
      </w:r>
      <w:r w:rsidRPr="006F1082">
        <w:t xml:space="preserve"> Ibid, VIII.</w:t>
      </w:r>
    </w:p>
  </w:footnote>
  <w:footnote w:id="266">
    <w:p w14:paraId="3572E730" w14:textId="2FD9241F" w:rsidR="00A84A9A" w:rsidRPr="006F1082" w:rsidRDefault="00A84A9A" w:rsidP="006F1082">
      <w:pPr>
        <w:pStyle w:val="Footnotes"/>
      </w:pPr>
      <w:r w:rsidRPr="006F1082">
        <w:rPr>
          <w:rStyle w:val="Znakapoznpodarou"/>
        </w:rPr>
        <w:footnoteRef/>
      </w:r>
      <w:r w:rsidRPr="006F1082">
        <w:t xml:space="preserve"> Ibid, VIII.</w:t>
      </w:r>
    </w:p>
  </w:footnote>
  <w:footnote w:id="267">
    <w:p w14:paraId="61DDB5AB" w14:textId="451C3D12" w:rsidR="00A84A9A" w:rsidRPr="006F1082" w:rsidRDefault="00A84A9A" w:rsidP="006F1082">
      <w:pPr>
        <w:pStyle w:val="Footnotes"/>
      </w:pPr>
      <w:r w:rsidRPr="006F1082">
        <w:rPr>
          <w:rStyle w:val="Znakapoznpodarou"/>
        </w:rPr>
        <w:footnoteRef/>
      </w:r>
      <w:r w:rsidRPr="006F1082">
        <w:t xml:space="preserve"> Methodological problem with the search for divine names, see page 15.</w:t>
      </w:r>
    </w:p>
  </w:footnote>
  <w:footnote w:id="268">
    <w:p w14:paraId="180AB089" w14:textId="3773BAA6"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Gaster, “The Sword of Moses“,</w:t>
      </w:r>
      <w:r w:rsidRPr="006F1082">
        <w:t xml:space="preserve"> VIII.</w:t>
      </w:r>
    </w:p>
  </w:footnote>
  <w:footnote w:id="269">
    <w:p w14:paraId="3DB5A3C5" w14:textId="7DD8973C" w:rsidR="00A84A9A" w:rsidRPr="006F1082" w:rsidRDefault="00A84A9A" w:rsidP="006F1082">
      <w:pPr>
        <w:pStyle w:val="Footnotes"/>
      </w:pPr>
      <w:r w:rsidRPr="006F1082">
        <w:rPr>
          <w:rStyle w:val="Znakapoznpodarou"/>
        </w:rPr>
        <w:footnoteRef/>
      </w:r>
      <w:r w:rsidR="006B31DF" w:rsidRPr="006F1082">
        <w:t xml:space="preserve"> </w:t>
      </w:r>
      <w:r w:rsidRPr="006F1082">
        <w:t>Scholem notes that Semesilam appears in Jewish Hekhalot literature – The Lesser Hekhalot (</w:t>
      </w:r>
      <w:r w:rsidRPr="006F1082">
        <w:rPr>
          <w:rFonts w:cs="Times New Roman"/>
          <w:sz w:val="22"/>
          <w:rtl/>
        </w:rPr>
        <w:t>היכלות זוטרתי</w:t>
      </w:r>
      <w:r w:rsidRPr="006F1082">
        <w:t>); the form</w:t>
      </w:r>
      <w:r w:rsidR="00205738" w:rsidRPr="006F1082">
        <w:t xml:space="preserve"> </w:t>
      </w:r>
      <w:r w:rsidRPr="006F1082">
        <w:t>(</w:t>
      </w:r>
      <w:r w:rsidRPr="006F1082">
        <w:rPr>
          <w:rFonts w:cs="Times New Roman"/>
          <w:sz w:val="22"/>
          <w:rtl/>
        </w:rPr>
        <w:t>סמוסלם</w:t>
      </w:r>
      <w:r w:rsidRPr="006F1082">
        <w:t>) is visibly similar to the form in the Sword of Moses (</w:t>
      </w:r>
      <w:r w:rsidRPr="006F1082">
        <w:rPr>
          <w:rFonts w:cs="Times New Roman"/>
          <w:sz w:val="22"/>
          <w:rtl/>
        </w:rPr>
        <w:t>מסולם</w:t>
      </w:r>
      <w:r w:rsidRPr="006F1082">
        <w:t>).</w:t>
      </w:r>
      <w:r w:rsidR="006B31DF" w:rsidRPr="006F1082">
        <w:t xml:space="preserve">; Scholem, </w:t>
      </w:r>
      <w:r w:rsidR="006B31DF" w:rsidRPr="006F1082">
        <w:rPr>
          <w:i/>
          <w:iCs/>
        </w:rPr>
        <w:t>Jewish Gnosticism, Merkabah Mysticism, and Talmudic Tradition</w:t>
      </w:r>
      <w:r w:rsidR="006B31DF" w:rsidRPr="006F1082">
        <w:t>, 76.</w:t>
      </w:r>
    </w:p>
  </w:footnote>
  <w:footnote w:id="270">
    <w:p w14:paraId="1E90AAC2" w14:textId="6DA7B407"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Gaster, “The Sword of Moses“,</w:t>
      </w:r>
      <w:r w:rsidRPr="006F1082">
        <w:t xml:space="preserve"> VIII.</w:t>
      </w:r>
    </w:p>
  </w:footnote>
  <w:footnote w:id="271">
    <w:p w14:paraId="2E15D185" w14:textId="58269D91" w:rsidR="00A84A9A" w:rsidRPr="006F1082" w:rsidRDefault="00A84A9A" w:rsidP="006F1082">
      <w:pPr>
        <w:pStyle w:val="Footnotes"/>
      </w:pPr>
      <w:r w:rsidRPr="006F1082">
        <w:rPr>
          <w:rStyle w:val="Znakapoznpodarou"/>
        </w:rPr>
        <w:footnoteRef/>
      </w:r>
      <w:r w:rsidRPr="006F1082">
        <w:t xml:space="preserve"> Ibid, 183.</w:t>
      </w:r>
    </w:p>
  </w:footnote>
  <w:footnote w:id="272">
    <w:p w14:paraId="01DDB50E" w14:textId="7C76FBA5" w:rsidR="00A84A9A" w:rsidRPr="006F1082" w:rsidRDefault="00A84A9A" w:rsidP="006F1082">
      <w:pPr>
        <w:pStyle w:val="Footnotes"/>
      </w:pPr>
      <w:r w:rsidRPr="006F1082">
        <w:rPr>
          <w:rStyle w:val="Znakapoznpodarou"/>
        </w:rPr>
        <w:footnoteRef/>
      </w:r>
      <w:r w:rsidR="00D040CE" w:rsidRPr="006F1082">
        <w:t> </w:t>
      </w:r>
      <w:r w:rsidRPr="006F1082">
        <w:t>Peter</w:t>
      </w:r>
      <w:r w:rsidR="00D040CE" w:rsidRPr="006F1082">
        <w:t> </w:t>
      </w:r>
      <w:r w:rsidRPr="006F1082">
        <w:t>Schäfer,</w:t>
      </w:r>
      <w:r w:rsidR="00D040CE" w:rsidRPr="006F1082">
        <w:t> </w:t>
      </w:r>
      <w:r w:rsidRPr="006F1082">
        <w:rPr>
          <w:i/>
          <w:iCs/>
        </w:rPr>
        <w:t>Rivalität</w:t>
      </w:r>
      <w:r w:rsidR="00D040CE" w:rsidRPr="006F1082">
        <w:rPr>
          <w:i/>
          <w:iCs/>
        </w:rPr>
        <w:t> </w:t>
      </w:r>
      <w:r w:rsidRPr="006F1082">
        <w:rPr>
          <w:i/>
          <w:iCs/>
        </w:rPr>
        <w:t>Zwischen</w:t>
      </w:r>
      <w:r w:rsidR="00D040CE" w:rsidRPr="006F1082">
        <w:rPr>
          <w:i/>
          <w:iCs/>
        </w:rPr>
        <w:t> </w:t>
      </w:r>
      <w:r w:rsidRPr="006F1082">
        <w:rPr>
          <w:i/>
          <w:iCs/>
        </w:rPr>
        <w:t>Engeln</w:t>
      </w:r>
      <w:r w:rsidR="00D040CE" w:rsidRPr="006F1082">
        <w:rPr>
          <w:i/>
          <w:iCs/>
        </w:rPr>
        <w:t> </w:t>
      </w:r>
      <w:r w:rsidRPr="006F1082">
        <w:rPr>
          <w:i/>
          <w:iCs/>
        </w:rPr>
        <w:t>und</w:t>
      </w:r>
      <w:r w:rsidR="00D040CE" w:rsidRPr="006F1082">
        <w:rPr>
          <w:i/>
          <w:iCs/>
        </w:rPr>
        <w:t> </w:t>
      </w:r>
      <w:r w:rsidRPr="006F1082">
        <w:rPr>
          <w:i/>
          <w:iCs/>
        </w:rPr>
        <w:t>Menschen:</w:t>
      </w:r>
      <w:r w:rsidR="00D040CE" w:rsidRPr="006F1082">
        <w:rPr>
          <w:i/>
          <w:iCs/>
        </w:rPr>
        <w:t> </w:t>
      </w:r>
      <w:r w:rsidRPr="006F1082">
        <w:rPr>
          <w:i/>
          <w:iCs/>
        </w:rPr>
        <w:t>Untersuchungen</w:t>
      </w:r>
      <w:r w:rsidR="00D040CE" w:rsidRPr="006F1082">
        <w:rPr>
          <w:i/>
          <w:iCs/>
        </w:rPr>
        <w:t> </w:t>
      </w:r>
      <w:r w:rsidRPr="006F1082">
        <w:rPr>
          <w:i/>
          <w:iCs/>
        </w:rPr>
        <w:t>zur</w:t>
      </w:r>
      <w:r w:rsidR="00D040CE" w:rsidRPr="006F1082">
        <w:rPr>
          <w:i/>
          <w:iCs/>
        </w:rPr>
        <w:t> </w:t>
      </w:r>
      <w:r w:rsidRPr="006F1082">
        <w:rPr>
          <w:i/>
          <w:iCs/>
        </w:rPr>
        <w:t xml:space="preserve">Eabbinischen </w:t>
      </w:r>
      <w:r w:rsidRPr="006F1082">
        <w:rPr>
          <w:i/>
          <w:iCs/>
        </w:rPr>
        <w:t>Engelvorstellung</w:t>
      </w:r>
      <w:r w:rsidRPr="006F1082">
        <w:t xml:space="preserve"> (Berlin and New York: Walter de Gruyter, 1975), 23-27.</w:t>
      </w:r>
    </w:p>
  </w:footnote>
  <w:footnote w:id="273">
    <w:p w14:paraId="6ECB7A7F" w14:textId="0A6384D9" w:rsidR="00A84A9A" w:rsidRPr="006F1082" w:rsidRDefault="00A84A9A" w:rsidP="006F1082">
      <w:pPr>
        <w:pStyle w:val="Footnotes"/>
      </w:pPr>
      <w:r w:rsidRPr="006F1082">
        <w:rPr>
          <w:rStyle w:val="Znakapoznpodarou"/>
        </w:rPr>
        <w:footnoteRef/>
      </w:r>
      <w:r w:rsidRPr="006F1082">
        <w:t xml:space="preserve"> </w:t>
      </w:r>
      <w:r w:rsidR="00587EF9" w:rsidRPr="006F1082">
        <w:rPr>
          <w:rFonts w:asciiTheme="majorBidi" w:hAnsiTheme="majorBidi" w:cstheme="majorBidi"/>
        </w:rPr>
        <w:t xml:space="preserve">Morgan, </w:t>
      </w:r>
      <w:r w:rsidR="00587EF9" w:rsidRPr="006F1082">
        <w:rPr>
          <w:rFonts w:asciiTheme="majorBidi" w:hAnsiTheme="majorBidi" w:cstheme="majorBidi"/>
          <w:i/>
          <w:iCs/>
        </w:rPr>
        <w:t>SEPHER HA-RAZIM</w:t>
      </w:r>
      <w:r w:rsidRPr="006F1082">
        <w:t>, 68</w:t>
      </w:r>
      <w:r w:rsidR="00587EF9" w:rsidRPr="006F1082">
        <w:t>.</w:t>
      </w:r>
    </w:p>
  </w:footnote>
  <w:footnote w:id="274">
    <w:p w14:paraId="7C49E84B" w14:textId="777047BA" w:rsidR="00A84A9A" w:rsidRPr="006F1082" w:rsidRDefault="00A84A9A" w:rsidP="006F1082">
      <w:pPr>
        <w:pStyle w:val="Footnotes"/>
      </w:pPr>
      <w:r w:rsidRPr="006F1082">
        <w:rPr>
          <w:rStyle w:val="Znakapoznpodarou"/>
        </w:rPr>
        <w:footnoteRef/>
      </w:r>
      <w:r w:rsidRPr="006F1082">
        <w:t xml:space="preserve"> </w:t>
      </w:r>
      <w:r w:rsidR="00587EF9" w:rsidRPr="006F1082">
        <w:rPr>
          <w:rFonts w:asciiTheme="majorBidi" w:hAnsiTheme="majorBidi" w:cstheme="majorBidi"/>
        </w:rPr>
        <w:t>Ibid</w:t>
      </w:r>
      <w:r w:rsidRPr="006F1082">
        <w:t>, 57, and 80.</w:t>
      </w:r>
    </w:p>
  </w:footnote>
  <w:footnote w:id="275">
    <w:p w14:paraId="261C7850" w14:textId="52339279" w:rsidR="00A84A9A" w:rsidRPr="006F1082" w:rsidRDefault="00A84A9A" w:rsidP="006F1082">
      <w:pPr>
        <w:pStyle w:val="Footnotes"/>
      </w:pPr>
      <w:r w:rsidRPr="006F1082">
        <w:rPr>
          <w:rStyle w:val="Znakapoznpodarou"/>
        </w:rPr>
        <w:footnoteRef/>
      </w:r>
      <w:r w:rsidRPr="006F1082">
        <w:t xml:space="preserve"> </w:t>
      </w:r>
      <w:r w:rsidRPr="006F1082">
        <w:t>Reimund Leicht, “Some Observations on the Diffusion of Jewish Magical Texts“, 214.</w:t>
      </w:r>
    </w:p>
  </w:footnote>
  <w:footnote w:id="276">
    <w:p w14:paraId="36E67A59" w14:textId="69289043"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 xml:space="preserve">Morgan, </w:t>
      </w:r>
      <w:r w:rsidRPr="006F1082">
        <w:rPr>
          <w:rFonts w:asciiTheme="majorBidi" w:hAnsiTheme="majorBidi" w:cstheme="majorBidi"/>
          <w:i/>
          <w:iCs/>
        </w:rPr>
        <w:t>SEPHER HA-RAZIM</w:t>
      </w:r>
      <w:r w:rsidRPr="006F1082">
        <w:rPr>
          <w:rFonts w:asciiTheme="majorBidi" w:hAnsiTheme="majorBidi" w:cstheme="majorBidi"/>
        </w:rPr>
        <w:t>,</w:t>
      </w:r>
      <w:r w:rsidRPr="006F1082">
        <w:t xml:space="preserve"> 3-6. </w:t>
      </w:r>
    </w:p>
  </w:footnote>
  <w:footnote w:id="277">
    <w:p w14:paraId="3D5EA31E" w14:textId="732606D9" w:rsidR="00A84A9A" w:rsidRPr="006F1082" w:rsidRDefault="00A84A9A" w:rsidP="006F1082">
      <w:pPr>
        <w:pStyle w:val="Footnotes"/>
      </w:pPr>
      <w:r w:rsidRPr="006F1082">
        <w:rPr>
          <w:rStyle w:val="Znakapoznpodarou"/>
        </w:rPr>
        <w:footnoteRef/>
      </w:r>
      <w:r w:rsidR="00D040CE" w:rsidRPr="006F1082">
        <w:t> </w:t>
      </w:r>
      <w:r w:rsidRPr="006F1082">
        <w:t>Gideon</w:t>
      </w:r>
      <w:r w:rsidR="00D040CE" w:rsidRPr="006F1082">
        <w:t> </w:t>
      </w:r>
      <w:r w:rsidRPr="006F1082">
        <w:t>Bohak,</w:t>
      </w:r>
      <w:r w:rsidR="00D040CE" w:rsidRPr="006F1082">
        <w:t> </w:t>
      </w:r>
      <w:r w:rsidRPr="006F1082">
        <w:t>“The</w:t>
      </w:r>
      <w:r w:rsidR="00D040CE" w:rsidRPr="006F1082">
        <w:t> </w:t>
      </w:r>
      <w:r w:rsidRPr="006F1082">
        <w:t>Magical</w:t>
      </w:r>
      <w:r w:rsidR="00D040CE" w:rsidRPr="006F1082">
        <w:t> </w:t>
      </w:r>
      <w:r w:rsidRPr="006F1082">
        <w:t>Rotuli</w:t>
      </w:r>
      <w:r w:rsidR="00D040CE" w:rsidRPr="006F1082">
        <w:t> </w:t>
      </w:r>
      <w:r w:rsidRPr="006F1082">
        <w:t>from</w:t>
      </w:r>
      <w:r w:rsidR="00D040CE" w:rsidRPr="006F1082">
        <w:t> </w:t>
      </w:r>
      <w:r w:rsidRPr="006F1082">
        <w:t>the</w:t>
      </w:r>
      <w:r w:rsidR="00D040CE" w:rsidRPr="006F1082">
        <w:t> </w:t>
      </w:r>
      <w:r w:rsidRPr="006F1082">
        <w:t>Cairo</w:t>
      </w:r>
      <w:r w:rsidR="00D040CE" w:rsidRPr="006F1082">
        <w:t> </w:t>
      </w:r>
      <w:r w:rsidRPr="006F1082">
        <w:t>Genizah,”</w:t>
      </w:r>
      <w:r w:rsidR="00D040CE" w:rsidRPr="006F1082">
        <w:t> </w:t>
      </w:r>
      <w:r w:rsidRPr="006F1082">
        <w:t>in</w:t>
      </w:r>
      <w:r w:rsidR="00D040CE" w:rsidRPr="006F1082">
        <w:t> </w:t>
      </w:r>
      <w:r w:rsidRPr="006F1082">
        <w:rPr>
          <w:i/>
          <w:iCs/>
        </w:rPr>
        <w:t>Continuity</w:t>
      </w:r>
      <w:r w:rsidR="00D040CE" w:rsidRPr="006F1082">
        <w:rPr>
          <w:i/>
          <w:iCs/>
        </w:rPr>
        <w:t> </w:t>
      </w:r>
      <w:r w:rsidRPr="006F1082">
        <w:rPr>
          <w:i/>
          <w:iCs/>
        </w:rPr>
        <w:t>and</w:t>
      </w:r>
      <w:r w:rsidR="00D040CE" w:rsidRPr="006F1082">
        <w:rPr>
          <w:i/>
          <w:iCs/>
        </w:rPr>
        <w:t> </w:t>
      </w:r>
      <w:r w:rsidRPr="006F1082">
        <w:rPr>
          <w:i/>
          <w:iCs/>
        </w:rPr>
        <w:t>Innovation</w:t>
      </w:r>
      <w:r w:rsidR="00D040CE" w:rsidRPr="006F1082">
        <w:rPr>
          <w:i/>
          <w:iCs/>
        </w:rPr>
        <w:t> </w:t>
      </w:r>
      <w:r w:rsidRPr="006F1082">
        <w:rPr>
          <w:i/>
          <w:iCs/>
        </w:rPr>
        <w:t>in</w:t>
      </w:r>
      <w:r w:rsidR="00D040CE" w:rsidRPr="006F1082">
        <w:rPr>
          <w:i/>
          <w:iCs/>
        </w:rPr>
        <w:t> </w:t>
      </w:r>
      <w:r w:rsidRPr="006F1082">
        <w:rPr>
          <w:i/>
          <w:iCs/>
        </w:rPr>
        <w:t>the Magical Tradition</w:t>
      </w:r>
      <w:r w:rsidRPr="006F1082">
        <w:t xml:space="preserve">, edited by Gideon </w:t>
      </w:r>
      <w:r w:rsidRPr="006F1082">
        <w:t>Bohak, Yuval Harari and Shaul Shaked (Leiden and Boston: Brill, 2011), 330-331.</w:t>
      </w:r>
    </w:p>
  </w:footnote>
  <w:footnote w:id="278">
    <w:p w14:paraId="7DC8C713" w14:textId="444FB791" w:rsidR="00A84A9A" w:rsidRPr="006F1082" w:rsidRDefault="00A84A9A" w:rsidP="006F1082">
      <w:pPr>
        <w:pStyle w:val="Footnotes"/>
      </w:pPr>
      <w:r w:rsidRPr="006F1082">
        <w:rPr>
          <w:rStyle w:val="Znakapoznpodarou"/>
        </w:rPr>
        <w:footnoteRef/>
      </w:r>
      <w:r w:rsidR="006C1BCB" w:rsidRPr="006F1082">
        <w:t> </w:t>
      </w:r>
      <w:r w:rsidRPr="006F1082">
        <w:t>Alexander</w:t>
      </w:r>
      <w:r w:rsidR="006C1BCB" w:rsidRPr="006F1082">
        <w:t> </w:t>
      </w:r>
      <w:r w:rsidRPr="006F1082">
        <w:t>Fodor,</w:t>
      </w:r>
      <w:r w:rsidR="006C1BCB" w:rsidRPr="006F1082">
        <w:t> </w:t>
      </w:r>
      <w:r w:rsidRPr="006F1082">
        <w:t>“An</w:t>
      </w:r>
      <w:r w:rsidR="006C1BCB" w:rsidRPr="006F1082">
        <w:t> </w:t>
      </w:r>
      <w:r w:rsidRPr="006F1082">
        <w:t>Arabic</w:t>
      </w:r>
      <w:r w:rsidR="006C1BCB" w:rsidRPr="006F1082">
        <w:t> </w:t>
      </w:r>
      <w:r w:rsidRPr="006F1082">
        <w:t>Version</w:t>
      </w:r>
      <w:r w:rsidR="006C1BCB" w:rsidRPr="006F1082">
        <w:t> </w:t>
      </w:r>
      <w:r w:rsidRPr="006F1082">
        <w:t>of</w:t>
      </w:r>
      <w:r w:rsidR="006C1BCB" w:rsidRPr="006F1082">
        <w:t> </w:t>
      </w:r>
      <w:r w:rsidRPr="006F1082">
        <w:t>Sefer</w:t>
      </w:r>
      <w:r w:rsidR="006C1BCB" w:rsidRPr="006F1082">
        <w:t> </w:t>
      </w:r>
      <w:r w:rsidRPr="006F1082">
        <w:t>Ha-Razim,“</w:t>
      </w:r>
      <w:r w:rsidR="006C1BCB" w:rsidRPr="006F1082">
        <w:t> </w:t>
      </w:r>
      <w:r w:rsidRPr="006F1082">
        <w:rPr>
          <w:i/>
          <w:iCs/>
        </w:rPr>
        <w:t>Jewish</w:t>
      </w:r>
      <w:r w:rsidR="006C1BCB" w:rsidRPr="006F1082">
        <w:rPr>
          <w:i/>
          <w:iCs/>
        </w:rPr>
        <w:t> </w:t>
      </w:r>
      <w:r w:rsidRPr="006F1082">
        <w:rPr>
          <w:i/>
          <w:iCs/>
        </w:rPr>
        <w:t>Studies</w:t>
      </w:r>
      <w:r w:rsidR="006C1BCB" w:rsidRPr="006F1082">
        <w:rPr>
          <w:i/>
          <w:iCs/>
        </w:rPr>
        <w:t> </w:t>
      </w:r>
      <w:r w:rsidRPr="006F1082">
        <w:rPr>
          <w:i/>
          <w:iCs/>
        </w:rPr>
        <w:t>Quarterly</w:t>
      </w:r>
      <w:r w:rsidR="006C1BCB" w:rsidRPr="006F1082">
        <w:t> </w:t>
      </w:r>
      <w:r w:rsidRPr="006F1082">
        <w:t>13,</w:t>
      </w:r>
      <w:r w:rsidR="006C1BCB" w:rsidRPr="006F1082">
        <w:t> </w:t>
      </w:r>
      <w:r w:rsidRPr="006F1082">
        <w:t>no.</w:t>
      </w:r>
      <w:r w:rsidR="006C1BCB" w:rsidRPr="006F1082">
        <w:t> </w:t>
      </w:r>
      <w:r w:rsidRPr="006F1082">
        <w:t>4</w:t>
      </w:r>
      <w:r w:rsidR="006C1BCB" w:rsidRPr="006F1082">
        <w:t> </w:t>
      </w:r>
      <w:r w:rsidRPr="006F1082">
        <w:t>(2006): 417, and 425, accessed May 5, 2021</w:t>
      </w:r>
      <w:r w:rsidR="006C1BCB" w:rsidRPr="006F1082">
        <w:t>,</w:t>
      </w:r>
      <w:r w:rsidRPr="006F1082">
        <w:t xml:space="preserve"> </w:t>
      </w:r>
      <w:hyperlink r:id="rId33" w:history="1">
        <w:r w:rsidRPr="006F1082">
          <w:rPr>
            <w:rStyle w:val="Hypertextovodkaz"/>
          </w:rPr>
          <w:t>http://www.jstor.org/stable/40753418</w:t>
        </w:r>
      </w:hyperlink>
      <w:r w:rsidRPr="006F1082">
        <w:t xml:space="preserve">. </w:t>
      </w:r>
    </w:p>
  </w:footnote>
  <w:footnote w:id="279">
    <w:p w14:paraId="34048D51" w14:textId="439E9B98" w:rsidR="00A84A9A" w:rsidRPr="006F1082" w:rsidRDefault="00A84A9A" w:rsidP="006F1082">
      <w:pPr>
        <w:pStyle w:val="Footnotes"/>
      </w:pPr>
      <w:r w:rsidRPr="006F1082">
        <w:rPr>
          <w:rStyle w:val="Znakapoznpodarou"/>
        </w:rPr>
        <w:footnoteRef/>
      </w:r>
      <w:r w:rsidRPr="006F1082">
        <w:t xml:space="preserve"> </w:t>
      </w:r>
      <w:r w:rsidRPr="006F1082">
        <w:t xml:space="preserve">Bohak, </w:t>
      </w:r>
      <w:r w:rsidRPr="006F1082">
        <w:rPr>
          <w:i/>
          <w:iCs/>
        </w:rPr>
        <w:t>Ancient Jewish Magic</w:t>
      </w:r>
      <w:r w:rsidRPr="006F1082">
        <w:t xml:space="preserve">, 174. </w:t>
      </w:r>
    </w:p>
  </w:footnote>
  <w:footnote w:id="280">
    <w:p w14:paraId="315AE133" w14:textId="5D7F42EF"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 xml:space="preserve">Morgan, </w:t>
      </w:r>
      <w:r w:rsidRPr="006F1082">
        <w:rPr>
          <w:rFonts w:asciiTheme="majorBidi" w:hAnsiTheme="majorBidi" w:cstheme="majorBidi"/>
          <w:i/>
          <w:iCs/>
        </w:rPr>
        <w:t>SEPHER HA-RAZIM</w:t>
      </w:r>
      <w:r w:rsidRPr="006F1082">
        <w:t>, 6, 8, and 10.</w:t>
      </w:r>
    </w:p>
  </w:footnote>
  <w:footnote w:id="281">
    <w:p w14:paraId="281FB2F1" w14:textId="67F2EEC6" w:rsidR="00A84A9A" w:rsidRPr="006F1082" w:rsidRDefault="00A84A9A" w:rsidP="006F1082">
      <w:pPr>
        <w:pStyle w:val="Footnotes"/>
      </w:pPr>
      <w:r w:rsidRPr="006F1082">
        <w:rPr>
          <w:rStyle w:val="Znakapoznpodarou"/>
        </w:rPr>
        <w:footnoteRef/>
      </w:r>
      <w:r w:rsidRPr="006F1082">
        <w:t xml:space="preserve"> Ibid, 10.</w:t>
      </w:r>
    </w:p>
  </w:footnote>
  <w:footnote w:id="282">
    <w:p w14:paraId="719FA561" w14:textId="23FC7FC4" w:rsidR="00A84A9A" w:rsidRPr="006F1082" w:rsidRDefault="00A84A9A" w:rsidP="006F1082">
      <w:pPr>
        <w:pStyle w:val="Footnotes"/>
      </w:pPr>
      <w:r w:rsidRPr="006F1082">
        <w:rPr>
          <w:rStyle w:val="Znakapoznpodarou"/>
        </w:rPr>
        <w:footnoteRef/>
      </w:r>
      <w:r w:rsidRPr="006F1082">
        <w:t xml:space="preserve"> Ibid, 6-7.</w:t>
      </w:r>
    </w:p>
  </w:footnote>
  <w:footnote w:id="283">
    <w:p w14:paraId="4CD32AEF" w14:textId="294AA0B6" w:rsidR="00A84A9A" w:rsidRPr="006F1082" w:rsidRDefault="00A84A9A" w:rsidP="006F1082">
      <w:pPr>
        <w:pStyle w:val="Footnotes"/>
      </w:pPr>
      <w:r w:rsidRPr="006F1082">
        <w:rPr>
          <w:rStyle w:val="Znakapoznpodarou"/>
        </w:rPr>
        <w:footnoteRef/>
      </w:r>
      <w:r w:rsidRPr="006F1082">
        <w:t xml:space="preserve"> Ibid, 68, and 90.</w:t>
      </w:r>
    </w:p>
  </w:footnote>
  <w:footnote w:id="284">
    <w:p w14:paraId="32C545AE" w14:textId="6C14CC9E" w:rsidR="00A84A9A" w:rsidRPr="006F1082" w:rsidRDefault="00A84A9A" w:rsidP="006F1082">
      <w:pPr>
        <w:pStyle w:val="Footnotes"/>
      </w:pPr>
      <w:r w:rsidRPr="006F1082">
        <w:rPr>
          <w:rStyle w:val="Znakapoznpodarou"/>
        </w:rPr>
        <w:footnoteRef/>
      </w:r>
      <w:r w:rsidRPr="006F1082">
        <w:t xml:space="preserve"> Ibid, 68, and 90.</w:t>
      </w:r>
    </w:p>
  </w:footnote>
  <w:footnote w:id="285">
    <w:p w14:paraId="331C8FAE" w14:textId="4127D3EE" w:rsidR="00A84A9A" w:rsidRPr="006F1082" w:rsidRDefault="00A84A9A" w:rsidP="006F1082">
      <w:pPr>
        <w:pStyle w:val="Footnotes"/>
        <w:rPr>
          <w:highlight w:val="green"/>
        </w:rPr>
      </w:pPr>
      <w:r w:rsidRPr="006F1082">
        <w:rPr>
          <w:rStyle w:val="Znakapoznpodarou"/>
        </w:rPr>
        <w:footnoteRef/>
      </w:r>
      <w:r w:rsidRPr="006F1082">
        <w:t xml:space="preserve"> Ibid, 87-90.</w:t>
      </w:r>
    </w:p>
  </w:footnote>
  <w:footnote w:id="286">
    <w:p w14:paraId="7956CDE4" w14:textId="6D56B8BD" w:rsidR="00A84A9A" w:rsidRPr="006F1082" w:rsidRDefault="00A84A9A" w:rsidP="006F1082">
      <w:pPr>
        <w:pStyle w:val="Footnotes"/>
      </w:pPr>
      <w:r w:rsidRPr="006F1082">
        <w:rPr>
          <w:rStyle w:val="Znakapoznpodarou"/>
        </w:rPr>
        <w:footnoteRef/>
      </w:r>
      <w:r w:rsidRPr="006F1082">
        <w:t xml:space="preserve"> Ibid, 71.</w:t>
      </w:r>
    </w:p>
  </w:footnote>
  <w:footnote w:id="287">
    <w:p w14:paraId="672305AF" w14:textId="309A47B9" w:rsidR="00A84A9A" w:rsidRPr="006F1082" w:rsidRDefault="00A84A9A" w:rsidP="006F1082">
      <w:pPr>
        <w:pStyle w:val="Footnotes"/>
      </w:pPr>
      <w:r w:rsidRPr="006F1082">
        <w:rPr>
          <w:rStyle w:val="Znakapoznpodarou"/>
        </w:rPr>
        <w:footnoteRef/>
      </w:r>
      <w:r w:rsidRPr="006F1082">
        <w:t xml:space="preserve"> </w:t>
      </w:r>
      <w:r w:rsidRPr="006F1082">
        <w:t xml:space="preserve">Leicht, “Qedushah and Prayer to Helios“, 153. </w:t>
      </w:r>
    </w:p>
  </w:footnote>
  <w:footnote w:id="288">
    <w:p w14:paraId="72BC6D61" w14:textId="1AED87D5" w:rsidR="00A84A9A" w:rsidRPr="006F1082" w:rsidRDefault="00A84A9A" w:rsidP="006F1082">
      <w:pPr>
        <w:pStyle w:val="Footnotes"/>
      </w:pPr>
      <w:r w:rsidRPr="006F1082">
        <w:rPr>
          <w:rStyle w:val="Znakapoznpodarou"/>
        </w:rPr>
        <w:footnoteRef/>
      </w:r>
      <w:r w:rsidRPr="006F1082">
        <w:t xml:space="preserve"> </w:t>
      </w:r>
      <w:r w:rsidRPr="006F1082">
        <w:t xml:space="preserve">Bohak, </w:t>
      </w:r>
      <w:r w:rsidRPr="006F1082">
        <w:rPr>
          <w:i/>
          <w:iCs/>
        </w:rPr>
        <w:t>Ancient Jewish Magic</w:t>
      </w:r>
      <w:r w:rsidRPr="006F1082">
        <w:t>, 242.</w:t>
      </w:r>
    </w:p>
  </w:footnote>
  <w:footnote w:id="289">
    <w:p w14:paraId="79462B74" w14:textId="79D0D88B"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 xml:space="preserve">Morgan, </w:t>
      </w:r>
      <w:r w:rsidRPr="006F1082">
        <w:rPr>
          <w:rFonts w:asciiTheme="majorBidi" w:hAnsiTheme="majorBidi" w:cstheme="majorBidi"/>
          <w:i/>
          <w:iCs/>
        </w:rPr>
        <w:t>SEPHER HA-RAZIM</w:t>
      </w:r>
      <w:r w:rsidRPr="006F1082">
        <w:t>, 17.</w:t>
      </w:r>
    </w:p>
  </w:footnote>
  <w:footnote w:id="290">
    <w:p w14:paraId="3BA86C6B" w14:textId="77868A57" w:rsidR="00A84A9A" w:rsidRPr="006F1082" w:rsidRDefault="00A84A9A" w:rsidP="006F1082">
      <w:pPr>
        <w:pStyle w:val="Footnotes"/>
      </w:pPr>
      <w:r w:rsidRPr="006F1082">
        <w:rPr>
          <w:rStyle w:val="Znakapoznpodarou"/>
        </w:rPr>
        <w:footnoteRef/>
      </w:r>
      <w:r w:rsidRPr="006F1082">
        <w:t xml:space="preserve"> Ibid, 44.</w:t>
      </w:r>
    </w:p>
  </w:footnote>
  <w:footnote w:id="291">
    <w:p w14:paraId="55C19B55" w14:textId="742ACDFB" w:rsidR="00A84A9A" w:rsidRPr="006F1082" w:rsidRDefault="00A84A9A" w:rsidP="006F1082">
      <w:pPr>
        <w:pStyle w:val="Footnotes"/>
      </w:pPr>
      <w:r w:rsidRPr="006F1082">
        <w:rPr>
          <w:rStyle w:val="Znakapoznpodarou"/>
        </w:rPr>
        <w:footnoteRef/>
      </w:r>
      <w:r w:rsidRPr="006F1082">
        <w:t xml:space="preserve"> Ibid, 17.</w:t>
      </w:r>
    </w:p>
  </w:footnote>
  <w:footnote w:id="292">
    <w:p w14:paraId="492FF450" w14:textId="3E84CAF5" w:rsidR="00A84A9A" w:rsidRPr="006F1082" w:rsidRDefault="00A84A9A" w:rsidP="006F1082">
      <w:pPr>
        <w:pStyle w:val="Footnotes"/>
      </w:pPr>
      <w:r w:rsidRPr="006F1082">
        <w:rPr>
          <w:rStyle w:val="Znakapoznpodarou"/>
        </w:rPr>
        <w:footnoteRef/>
      </w:r>
      <w:r w:rsidRPr="006F1082">
        <w:t xml:space="preserve"> Ibid, 81.</w:t>
      </w:r>
    </w:p>
  </w:footnote>
  <w:footnote w:id="293">
    <w:p w14:paraId="28F1B360" w14:textId="2D913307" w:rsidR="00A84A9A" w:rsidRPr="006F1082" w:rsidRDefault="00A84A9A" w:rsidP="006F1082">
      <w:pPr>
        <w:pStyle w:val="Footnotes"/>
      </w:pPr>
      <w:r w:rsidRPr="006F1082">
        <w:rPr>
          <w:rStyle w:val="Znakapoznpodarou"/>
        </w:rPr>
        <w:footnoteRef/>
      </w:r>
      <w:r w:rsidRPr="006F1082">
        <w:t xml:space="preserve"> Ibid, 38.</w:t>
      </w:r>
    </w:p>
  </w:footnote>
  <w:footnote w:id="294">
    <w:p w14:paraId="6FFE73F1" w14:textId="420302E3" w:rsidR="00A84A9A" w:rsidRPr="006F1082" w:rsidRDefault="00A84A9A" w:rsidP="006F1082">
      <w:pPr>
        <w:pStyle w:val="Footnotes"/>
      </w:pPr>
      <w:r w:rsidRPr="006F1082">
        <w:rPr>
          <w:rStyle w:val="Znakapoznpodarou"/>
        </w:rPr>
        <w:footnoteRef/>
      </w:r>
      <w:r w:rsidRPr="006F1082">
        <w:t xml:space="preserve"> </w:t>
      </w:r>
      <w:r w:rsidRPr="006F1082">
        <w:t xml:space="preserve">Bohak, </w:t>
      </w:r>
      <w:r w:rsidRPr="006F1082">
        <w:rPr>
          <w:i/>
          <w:iCs/>
        </w:rPr>
        <w:t>Ancient Jewish Magic</w:t>
      </w:r>
      <w:r w:rsidRPr="006F1082">
        <w:t>, 172.</w:t>
      </w:r>
    </w:p>
  </w:footnote>
  <w:footnote w:id="295">
    <w:p w14:paraId="5467C2BA" w14:textId="26411D27"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 xml:space="preserve">Morgan, </w:t>
      </w:r>
      <w:r w:rsidRPr="006F1082">
        <w:rPr>
          <w:rFonts w:asciiTheme="majorBidi" w:hAnsiTheme="majorBidi" w:cstheme="majorBidi"/>
          <w:i/>
          <w:iCs/>
        </w:rPr>
        <w:t>SEPHER HA-RAZIM</w:t>
      </w:r>
      <w:r w:rsidRPr="006F1082">
        <w:t>, 67-68.</w:t>
      </w:r>
    </w:p>
  </w:footnote>
  <w:footnote w:id="296">
    <w:p w14:paraId="6D1DF5C8" w14:textId="3F5EB9FE" w:rsidR="00A84A9A" w:rsidRPr="006F1082" w:rsidRDefault="00A84A9A" w:rsidP="006F1082">
      <w:pPr>
        <w:pStyle w:val="Footnotes"/>
      </w:pPr>
      <w:r w:rsidRPr="006F1082">
        <w:rPr>
          <w:rStyle w:val="Znakapoznpodarou"/>
        </w:rPr>
        <w:footnoteRef/>
      </w:r>
      <w:r w:rsidRPr="006F1082">
        <w:t xml:space="preserve"> Ibid. </w:t>
      </w:r>
    </w:p>
  </w:footnote>
  <w:footnote w:id="297">
    <w:p w14:paraId="68AF6137" w14:textId="3FBC0FD3" w:rsidR="00A84A9A" w:rsidRPr="006F1082" w:rsidRDefault="00A84A9A" w:rsidP="006F1082">
      <w:pPr>
        <w:pStyle w:val="Footnotes"/>
        <w:rPr>
          <w:rFonts w:asciiTheme="majorBidi" w:hAnsiTheme="majorBidi" w:cstheme="majorBidi"/>
        </w:rPr>
      </w:pPr>
      <w:r w:rsidRPr="006F1082">
        <w:rPr>
          <w:rStyle w:val="Znakapoznpodarou"/>
          <w:rFonts w:asciiTheme="majorBidi" w:hAnsiTheme="majorBidi" w:cstheme="majorBidi"/>
        </w:rPr>
        <w:footnoteRef/>
      </w:r>
      <w:r w:rsidRPr="006F1082">
        <w:rPr>
          <w:rFonts w:asciiTheme="majorBidi" w:hAnsiTheme="majorBidi" w:cstheme="majorBidi"/>
        </w:rPr>
        <w:t xml:space="preserve"> Shaked, Ford and </w:t>
      </w:r>
      <w:r w:rsidRPr="006F1082">
        <w:rPr>
          <w:rFonts w:asciiTheme="majorBidi" w:hAnsiTheme="majorBidi" w:cstheme="majorBidi"/>
        </w:rPr>
        <w:t xml:space="preserve">Bahyro, </w:t>
      </w:r>
      <w:r w:rsidRPr="006F1082">
        <w:rPr>
          <w:rFonts w:asciiTheme="majorBidi" w:hAnsiTheme="majorBidi" w:cstheme="majorBidi"/>
          <w:i/>
          <w:iCs/>
        </w:rPr>
        <w:t>Aramaic Bowl Spells</w:t>
      </w:r>
      <w:r w:rsidRPr="006F1082">
        <w:rPr>
          <w:rFonts w:asciiTheme="majorBidi" w:hAnsiTheme="majorBidi" w:cstheme="majorBidi"/>
        </w:rPr>
        <w:t>, 1.</w:t>
      </w:r>
    </w:p>
  </w:footnote>
  <w:footnote w:id="298">
    <w:p w14:paraId="7814F40C" w14:textId="2F4FAC11" w:rsidR="00A84A9A" w:rsidRPr="006F1082" w:rsidRDefault="00A84A9A" w:rsidP="006F1082">
      <w:pPr>
        <w:pStyle w:val="Footnotes"/>
      </w:pPr>
      <w:r w:rsidRPr="006F1082">
        <w:rPr>
          <w:rStyle w:val="Znakapoznpodarou"/>
        </w:rPr>
        <w:footnoteRef/>
      </w:r>
      <w:r w:rsidR="006C1BCB" w:rsidRPr="006F1082">
        <w:t> </w:t>
      </w:r>
      <w:r w:rsidRPr="006F1082">
        <w:t>Ibid,</w:t>
      </w:r>
      <w:r w:rsidR="006C1BCB" w:rsidRPr="006F1082">
        <w:t> </w:t>
      </w:r>
      <w:r w:rsidRPr="006F1082">
        <w:t>39.;</w:t>
      </w:r>
      <w:r w:rsidR="006C1BCB" w:rsidRPr="006F1082">
        <w:t> </w:t>
      </w:r>
      <w:r w:rsidRPr="006F1082">
        <w:t>“Introduction:</w:t>
      </w:r>
      <w:r w:rsidR="006C1BCB" w:rsidRPr="006F1082">
        <w:t> </w:t>
      </w:r>
      <w:r w:rsidRPr="006F1082">
        <w:t>Magical</w:t>
      </w:r>
      <w:r w:rsidR="006C1BCB" w:rsidRPr="006F1082">
        <w:t> </w:t>
      </w:r>
      <w:r w:rsidRPr="006F1082">
        <w:t>Literature,”</w:t>
      </w:r>
      <w:r w:rsidR="006C1BCB" w:rsidRPr="006F1082">
        <w:t> </w:t>
      </w:r>
      <w:r w:rsidRPr="006F1082">
        <w:rPr>
          <w:i/>
          <w:iCs/>
        </w:rPr>
        <w:t>The</w:t>
      </w:r>
      <w:r w:rsidR="006C1BCB" w:rsidRPr="006F1082">
        <w:rPr>
          <w:i/>
          <w:iCs/>
        </w:rPr>
        <w:t> </w:t>
      </w:r>
      <w:r w:rsidRPr="006F1082">
        <w:rPr>
          <w:i/>
          <w:iCs/>
        </w:rPr>
        <w:t>Schøyen</w:t>
      </w:r>
      <w:r w:rsidR="006C1BCB" w:rsidRPr="006F1082">
        <w:rPr>
          <w:i/>
          <w:iCs/>
        </w:rPr>
        <w:t> </w:t>
      </w:r>
      <w:r w:rsidRPr="006F1082">
        <w:rPr>
          <w:i/>
          <w:iCs/>
        </w:rPr>
        <w:t>Collection</w:t>
      </w:r>
      <w:r w:rsidRPr="006F1082">
        <w:t>,</w:t>
      </w:r>
      <w:r w:rsidR="006C1BCB" w:rsidRPr="006F1082">
        <w:t> </w:t>
      </w:r>
      <w:r w:rsidRPr="006F1082">
        <w:t>accessed</w:t>
      </w:r>
      <w:r w:rsidR="006C1BCB" w:rsidRPr="006F1082">
        <w:t> </w:t>
      </w:r>
      <w:r w:rsidRPr="006F1082">
        <w:t>May</w:t>
      </w:r>
      <w:r w:rsidR="006C1BCB" w:rsidRPr="006F1082">
        <w:t> </w:t>
      </w:r>
      <w:r w:rsidRPr="006F1082">
        <w:t>5,</w:t>
      </w:r>
      <w:r w:rsidR="006C1BCB" w:rsidRPr="006F1082">
        <w:t> </w:t>
      </w:r>
      <w:r w:rsidRPr="006F1082">
        <w:t>2021</w:t>
      </w:r>
      <w:r w:rsidR="006C1BCB" w:rsidRPr="006F1082">
        <w:t>,</w:t>
      </w:r>
      <w:r w:rsidRPr="006F1082">
        <w:t xml:space="preserve"> </w:t>
      </w:r>
      <w:hyperlink r:id="rId34" w:history="1">
        <w:r w:rsidRPr="006F1082">
          <w:rPr>
            <w:rStyle w:val="Hypertextovodkaz"/>
          </w:rPr>
          <w:t>https://www.schoyencollection.com/magical-literature-introduction</w:t>
        </w:r>
      </w:hyperlink>
      <w:r w:rsidRPr="006F1082">
        <w:t xml:space="preserve">. </w:t>
      </w:r>
    </w:p>
  </w:footnote>
  <w:footnote w:id="299">
    <w:p w14:paraId="48E29040" w14:textId="76AC9023" w:rsidR="00A84A9A" w:rsidRPr="006F1082" w:rsidRDefault="00A84A9A" w:rsidP="006F1082">
      <w:pPr>
        <w:pStyle w:val="Footnotes"/>
        <w:rPr>
          <w:rtl/>
        </w:rPr>
      </w:pPr>
      <w:r w:rsidRPr="006F1082">
        <w:rPr>
          <w:rStyle w:val="Znakapoznpodarou"/>
        </w:rPr>
        <w:footnoteRef/>
      </w:r>
      <w:r w:rsidRPr="006F1082">
        <w:t xml:space="preserve"> </w:t>
      </w:r>
      <w:r w:rsidRPr="006F1082">
        <w:t xml:space="preserve">Shaul Shaked, “Transmission and Transformation of Spells: The Case of the Jewish Babylonian Aramaic Bowls,” in </w:t>
      </w:r>
      <w:r w:rsidRPr="006F1082">
        <w:rPr>
          <w:i/>
          <w:iCs/>
        </w:rPr>
        <w:t xml:space="preserve">Continuity and Innovation in the Magical Tradition, </w:t>
      </w:r>
      <w:r w:rsidRPr="006F1082">
        <w:t>edited by Gideon Bohak, Yuval Harari and Shaul Shaked (Leiden and Boston: Brill, 2011), 192.</w:t>
      </w:r>
    </w:p>
  </w:footnote>
  <w:footnote w:id="300">
    <w:p w14:paraId="2D38A6A8" w14:textId="3B50B4A1" w:rsidR="00A84A9A" w:rsidRPr="006F1082" w:rsidRDefault="00A84A9A" w:rsidP="006F1082">
      <w:pPr>
        <w:pStyle w:val="Footnotes"/>
      </w:pPr>
      <w:r w:rsidRPr="006F1082">
        <w:rPr>
          <w:rStyle w:val="Znakapoznpodarou"/>
        </w:rPr>
        <w:footnoteRef/>
      </w:r>
      <w:r w:rsidRPr="006F1082">
        <w:t xml:space="preserve"> Ibid, 208.</w:t>
      </w:r>
    </w:p>
  </w:footnote>
  <w:footnote w:id="301">
    <w:p w14:paraId="2147B0F6" w14:textId="6AA5BCC3" w:rsidR="00A84A9A" w:rsidRPr="006F1082" w:rsidRDefault="00A84A9A" w:rsidP="006F1082">
      <w:pPr>
        <w:pStyle w:val="Footnotes"/>
      </w:pPr>
      <w:r w:rsidRPr="006F1082">
        <w:rPr>
          <w:rStyle w:val="Znakapoznpodarou"/>
        </w:rPr>
        <w:footnoteRef/>
      </w:r>
      <w:r w:rsidRPr="006F1082">
        <w:t xml:space="preserve"> Ibid, 207.</w:t>
      </w:r>
    </w:p>
  </w:footnote>
  <w:footnote w:id="302">
    <w:p w14:paraId="5615B0E6" w14:textId="1604D3FF" w:rsidR="00A84A9A" w:rsidRPr="006F1082" w:rsidRDefault="00A84A9A" w:rsidP="006F1082">
      <w:pPr>
        <w:pStyle w:val="Footnotes"/>
      </w:pPr>
      <w:r w:rsidRPr="006F1082">
        <w:rPr>
          <w:rStyle w:val="Znakapoznpodarou"/>
        </w:rPr>
        <w:footnoteRef/>
      </w:r>
      <w:r w:rsidRPr="006F1082">
        <w:t xml:space="preserve"> Ibid, 209.</w:t>
      </w:r>
    </w:p>
  </w:footnote>
  <w:footnote w:id="303">
    <w:p w14:paraId="18078274" w14:textId="7B2CEC7D" w:rsidR="00A84A9A" w:rsidRPr="006F1082" w:rsidRDefault="00A84A9A" w:rsidP="006F1082">
      <w:pPr>
        <w:pStyle w:val="Footnotes"/>
      </w:pPr>
      <w:r w:rsidRPr="006F1082">
        <w:rPr>
          <w:rStyle w:val="Znakapoznpodarou"/>
        </w:rPr>
        <w:footnoteRef/>
      </w:r>
      <w:r w:rsidRPr="006F1082">
        <w:t xml:space="preserve"> </w:t>
      </w:r>
      <w:r w:rsidRPr="006F1082">
        <w:t>Shaul Shaked, “Dramatis Personae in the Jewish Magic Texts: Some Differences Between Incantation Bowls</w:t>
      </w:r>
      <w:r w:rsidR="006C1BCB" w:rsidRPr="006F1082">
        <w:t> </w:t>
      </w:r>
      <w:r w:rsidRPr="006F1082">
        <w:t>and</w:t>
      </w:r>
      <w:r w:rsidR="006C1BCB" w:rsidRPr="006F1082">
        <w:t> </w:t>
      </w:r>
      <w:r w:rsidRPr="006F1082">
        <w:t>Geniza</w:t>
      </w:r>
      <w:r w:rsidR="006C1BCB" w:rsidRPr="006F1082">
        <w:t> </w:t>
      </w:r>
      <w:r w:rsidRPr="006F1082">
        <w:t>Magic,”</w:t>
      </w:r>
      <w:r w:rsidR="006C1BCB" w:rsidRPr="006F1082">
        <w:t> </w:t>
      </w:r>
      <w:r w:rsidRPr="006F1082">
        <w:rPr>
          <w:i/>
          <w:iCs/>
        </w:rPr>
        <w:t>Jewish</w:t>
      </w:r>
      <w:r w:rsidR="006C1BCB" w:rsidRPr="006F1082">
        <w:rPr>
          <w:i/>
          <w:iCs/>
        </w:rPr>
        <w:t> </w:t>
      </w:r>
      <w:r w:rsidRPr="006F1082">
        <w:rPr>
          <w:i/>
          <w:iCs/>
        </w:rPr>
        <w:t>Studies</w:t>
      </w:r>
      <w:r w:rsidR="006C1BCB" w:rsidRPr="006F1082">
        <w:rPr>
          <w:i/>
          <w:iCs/>
        </w:rPr>
        <w:t> </w:t>
      </w:r>
      <w:r w:rsidRPr="006F1082">
        <w:rPr>
          <w:i/>
          <w:iCs/>
        </w:rPr>
        <w:t>Quarterly</w:t>
      </w:r>
      <w:r w:rsidR="006C1BCB" w:rsidRPr="006F1082">
        <w:t> </w:t>
      </w:r>
      <w:r w:rsidRPr="006F1082">
        <w:t>13,</w:t>
      </w:r>
      <w:r w:rsidR="006C1BCB" w:rsidRPr="006F1082">
        <w:t> </w:t>
      </w:r>
      <w:r w:rsidRPr="006F1082">
        <w:t>no.</w:t>
      </w:r>
      <w:r w:rsidR="006C1BCB" w:rsidRPr="006F1082">
        <w:t> </w:t>
      </w:r>
      <w:r w:rsidRPr="006F1082">
        <w:t>4</w:t>
      </w:r>
      <w:r w:rsidR="006C1BCB" w:rsidRPr="006F1082">
        <w:t> </w:t>
      </w:r>
      <w:r w:rsidRPr="006F1082">
        <w:t>(2006):</w:t>
      </w:r>
      <w:r w:rsidR="006C1BCB" w:rsidRPr="006F1082">
        <w:t> </w:t>
      </w:r>
      <w:r w:rsidRPr="006F1082">
        <w:t>376,</w:t>
      </w:r>
      <w:r w:rsidR="006C1BCB" w:rsidRPr="006F1082">
        <w:t> </w:t>
      </w:r>
      <w:r w:rsidRPr="006F1082">
        <w:t>accessed</w:t>
      </w:r>
      <w:r w:rsidR="006C1BCB" w:rsidRPr="006F1082">
        <w:t> </w:t>
      </w:r>
      <w:r w:rsidRPr="006F1082">
        <w:t>May</w:t>
      </w:r>
      <w:r w:rsidR="006C1BCB" w:rsidRPr="006F1082">
        <w:t> </w:t>
      </w:r>
      <w:r w:rsidRPr="006F1082">
        <w:t>5,</w:t>
      </w:r>
      <w:r w:rsidR="006C1BCB" w:rsidRPr="006F1082">
        <w:t> </w:t>
      </w:r>
      <w:r w:rsidRPr="006F1082">
        <w:t>2021</w:t>
      </w:r>
      <w:r w:rsidR="006C1BCB" w:rsidRPr="006F1082">
        <w:t>,</w:t>
      </w:r>
      <w:r w:rsidRPr="006F1082">
        <w:t xml:space="preserve"> </w:t>
      </w:r>
      <w:hyperlink r:id="rId35" w:history="1">
        <w:r w:rsidRPr="006F1082">
          <w:rPr>
            <w:rStyle w:val="Hypertextovodkaz"/>
          </w:rPr>
          <w:t>http://www.jstor.org/stable/40753416</w:t>
        </w:r>
      </w:hyperlink>
      <w:r w:rsidRPr="006F1082">
        <w:t xml:space="preserve">. </w:t>
      </w:r>
    </w:p>
  </w:footnote>
  <w:footnote w:id="304">
    <w:p w14:paraId="6D6801F7" w14:textId="6BD5B6C2" w:rsidR="00A84A9A" w:rsidRPr="006F1082" w:rsidRDefault="00A84A9A" w:rsidP="006F1082">
      <w:pPr>
        <w:pStyle w:val="Footnotes"/>
      </w:pPr>
      <w:r w:rsidRPr="006F1082">
        <w:rPr>
          <w:rStyle w:val="Znakapoznpodarou"/>
        </w:rPr>
        <w:footnoteRef/>
      </w:r>
      <w:r w:rsidRPr="006F1082">
        <w:t xml:space="preserve"> Ibid, 376.</w:t>
      </w:r>
    </w:p>
  </w:footnote>
  <w:footnote w:id="305">
    <w:p w14:paraId="64A835C5" w14:textId="26524B36" w:rsidR="00A84A9A" w:rsidRPr="006F1082" w:rsidRDefault="00A84A9A" w:rsidP="006F1082">
      <w:pPr>
        <w:pStyle w:val="Footnotes"/>
      </w:pPr>
      <w:r w:rsidRPr="006F1082">
        <w:rPr>
          <w:rStyle w:val="Znakapoznpodarou"/>
        </w:rPr>
        <w:footnoteRef/>
      </w:r>
      <w:r w:rsidRPr="006F1082">
        <w:t xml:space="preserve"> Discussion of Abraxas etymology, see page 18-20.</w:t>
      </w:r>
    </w:p>
  </w:footnote>
  <w:footnote w:id="306">
    <w:p w14:paraId="060CE513" w14:textId="0C316C21" w:rsidR="00A84A9A" w:rsidRPr="006F1082" w:rsidRDefault="00A84A9A" w:rsidP="006F1082">
      <w:pPr>
        <w:pStyle w:val="Footnotes"/>
      </w:pPr>
      <w:r w:rsidRPr="006F1082">
        <w:rPr>
          <w:rStyle w:val="Znakapoznpodarou"/>
        </w:rPr>
        <w:footnoteRef/>
      </w:r>
      <w:r w:rsidRPr="006F1082">
        <w:t xml:space="preserve"> Shaked, “Dramatis Personae in the Jewish Magic Texts”, 377-378.</w:t>
      </w:r>
    </w:p>
  </w:footnote>
  <w:footnote w:id="307">
    <w:p w14:paraId="0C058340" w14:textId="0A7107AD" w:rsidR="00A84A9A" w:rsidRPr="006F1082" w:rsidRDefault="00A84A9A" w:rsidP="006F1082">
      <w:pPr>
        <w:pStyle w:val="Footnotes"/>
      </w:pPr>
      <w:r w:rsidRPr="006F1082">
        <w:rPr>
          <w:rStyle w:val="Znakapoznpodarou"/>
        </w:rPr>
        <w:footnoteRef/>
      </w:r>
      <w:r w:rsidRPr="006F1082">
        <w:t xml:space="preserve"> </w:t>
      </w:r>
      <w:r w:rsidRPr="006F1082">
        <w:rPr>
          <w:rFonts w:asciiTheme="majorBidi" w:hAnsiTheme="majorBidi" w:cstheme="majorBidi"/>
        </w:rPr>
        <w:t xml:space="preserve">Shaked, Ford and </w:t>
      </w:r>
      <w:r w:rsidRPr="006F1082">
        <w:rPr>
          <w:rFonts w:asciiTheme="majorBidi" w:hAnsiTheme="majorBidi" w:cstheme="majorBidi"/>
        </w:rPr>
        <w:t xml:space="preserve">Bahyro, </w:t>
      </w:r>
      <w:r w:rsidRPr="006F1082">
        <w:rPr>
          <w:rFonts w:asciiTheme="majorBidi" w:hAnsiTheme="majorBidi" w:cstheme="majorBidi"/>
          <w:i/>
          <w:iCs/>
        </w:rPr>
        <w:t>Aramaic Bowl Spells</w:t>
      </w:r>
      <w:r w:rsidRPr="006F1082">
        <w:t>, 227, 230, 233, 236, and 239.</w:t>
      </w:r>
    </w:p>
  </w:footnote>
  <w:footnote w:id="308">
    <w:p w14:paraId="3799345D" w14:textId="6F19CE5A" w:rsidR="00A84A9A" w:rsidRPr="006F1082" w:rsidRDefault="00A84A9A" w:rsidP="006F1082">
      <w:pPr>
        <w:pStyle w:val="Footnotes"/>
      </w:pPr>
      <w:r w:rsidRPr="006F1082">
        <w:rPr>
          <w:rStyle w:val="Znakapoznpodarou"/>
        </w:rPr>
        <w:footnoteRef/>
      </w:r>
      <w:r w:rsidRPr="006F1082">
        <w:t xml:space="preserve"> Ibid.</w:t>
      </w:r>
    </w:p>
  </w:footnote>
  <w:footnote w:id="309">
    <w:p w14:paraId="3713FFE7" w14:textId="0271A532" w:rsidR="00A84A9A" w:rsidRPr="006F1082" w:rsidRDefault="00A84A9A" w:rsidP="006F1082">
      <w:pPr>
        <w:pStyle w:val="Footnotes"/>
      </w:pPr>
      <w:r w:rsidRPr="006F1082">
        <w:rPr>
          <w:rStyle w:val="Znakapoznpodarou"/>
        </w:rPr>
        <w:footnoteRef/>
      </w:r>
      <w:r w:rsidRPr="006F1082">
        <w:t xml:space="preserve"> Ibid, 226-227, 229-230, 232-233, 236, and 238-239.</w:t>
      </w:r>
    </w:p>
  </w:footnote>
  <w:footnote w:id="310">
    <w:p w14:paraId="568BDFED" w14:textId="2E948966" w:rsidR="00A84A9A" w:rsidRPr="006F1082" w:rsidRDefault="00A84A9A" w:rsidP="006F1082">
      <w:pPr>
        <w:pStyle w:val="Footnotes"/>
      </w:pPr>
      <w:r w:rsidRPr="006F1082">
        <w:rPr>
          <w:rStyle w:val="Znakapoznpodarou"/>
        </w:rPr>
        <w:footnoteRef/>
      </w:r>
      <w:r w:rsidR="006C1BCB" w:rsidRPr="006F1082">
        <w:t> </w:t>
      </w:r>
      <w:r w:rsidRPr="006F1082">
        <w:t>M.</w:t>
      </w:r>
      <w:r w:rsidR="006C1BCB" w:rsidRPr="006F1082">
        <w:t> </w:t>
      </w:r>
      <w:r w:rsidRPr="006F1082">
        <w:t>J.</w:t>
      </w:r>
      <w:r w:rsidR="006C1BCB" w:rsidRPr="006F1082">
        <w:t> </w:t>
      </w:r>
      <w:r w:rsidRPr="006F1082">
        <w:t>Geller,</w:t>
      </w:r>
      <w:r w:rsidR="006C1BCB" w:rsidRPr="006F1082">
        <w:t> </w:t>
      </w:r>
      <w:r w:rsidRPr="006F1082">
        <w:t>Nicholas</w:t>
      </w:r>
      <w:r w:rsidR="006C1BCB" w:rsidRPr="006F1082">
        <w:t> </w:t>
      </w:r>
      <w:r w:rsidRPr="006F1082">
        <w:t>Sims-Williams</w:t>
      </w:r>
      <w:r w:rsidR="006C1BCB" w:rsidRPr="006F1082">
        <w:t> </w:t>
      </w:r>
      <w:r w:rsidRPr="006F1082">
        <w:t>and</w:t>
      </w:r>
      <w:r w:rsidR="006C1BCB" w:rsidRPr="006F1082">
        <w:t> </w:t>
      </w:r>
      <w:r w:rsidRPr="006F1082">
        <w:t>J.</w:t>
      </w:r>
      <w:r w:rsidR="006C1BCB" w:rsidRPr="006F1082">
        <w:t> </w:t>
      </w:r>
      <w:r w:rsidRPr="006F1082">
        <w:t>C.</w:t>
      </w:r>
      <w:r w:rsidR="006C1BCB" w:rsidRPr="006F1082">
        <w:t> </w:t>
      </w:r>
      <w:r w:rsidRPr="006F1082">
        <w:t>Wright,</w:t>
      </w:r>
      <w:r w:rsidR="006C1BCB" w:rsidRPr="006F1082">
        <w:t> </w:t>
      </w:r>
      <w:r w:rsidRPr="006F1082">
        <w:t>“Notes</w:t>
      </w:r>
      <w:r w:rsidR="006C1BCB" w:rsidRPr="006F1082">
        <w:t> </w:t>
      </w:r>
      <w:r w:rsidRPr="006F1082">
        <w:t>and</w:t>
      </w:r>
      <w:r w:rsidR="006C1BCB" w:rsidRPr="006F1082">
        <w:t> </w:t>
      </w:r>
      <w:r w:rsidRPr="006F1082">
        <w:t>Communications,”</w:t>
      </w:r>
      <w:r w:rsidR="006C1BCB" w:rsidRPr="006F1082">
        <w:t> </w:t>
      </w:r>
      <w:r w:rsidRPr="006F1082">
        <w:rPr>
          <w:i/>
          <w:iCs/>
        </w:rPr>
        <w:t>Bulletin</w:t>
      </w:r>
      <w:r w:rsidR="006C1BCB" w:rsidRPr="006F1082">
        <w:rPr>
          <w:i/>
          <w:iCs/>
        </w:rPr>
        <w:t> </w:t>
      </w:r>
      <w:r w:rsidRPr="006F1082">
        <w:rPr>
          <w:i/>
          <w:iCs/>
        </w:rPr>
        <w:t>of</w:t>
      </w:r>
      <w:r w:rsidR="006C1BCB" w:rsidRPr="006F1082">
        <w:rPr>
          <w:i/>
          <w:iCs/>
        </w:rPr>
        <w:t> </w:t>
      </w:r>
      <w:r w:rsidRPr="006F1082">
        <w:rPr>
          <w:i/>
          <w:iCs/>
        </w:rPr>
        <w:t>the School</w:t>
      </w:r>
      <w:r w:rsidR="006C1BCB" w:rsidRPr="006F1082">
        <w:rPr>
          <w:i/>
          <w:iCs/>
        </w:rPr>
        <w:t> </w:t>
      </w:r>
      <w:r w:rsidRPr="006F1082">
        <w:rPr>
          <w:i/>
          <w:iCs/>
        </w:rPr>
        <w:t>of</w:t>
      </w:r>
      <w:r w:rsidR="006C1BCB" w:rsidRPr="006F1082">
        <w:rPr>
          <w:i/>
          <w:iCs/>
        </w:rPr>
        <w:t> </w:t>
      </w:r>
      <w:r w:rsidRPr="006F1082">
        <w:rPr>
          <w:i/>
          <w:iCs/>
        </w:rPr>
        <w:t>Oriental</w:t>
      </w:r>
      <w:r w:rsidR="006C1BCB" w:rsidRPr="006F1082">
        <w:rPr>
          <w:i/>
          <w:iCs/>
        </w:rPr>
        <w:t> </w:t>
      </w:r>
      <w:r w:rsidRPr="006F1082">
        <w:rPr>
          <w:i/>
          <w:iCs/>
        </w:rPr>
        <w:t>and</w:t>
      </w:r>
      <w:r w:rsidR="006C1BCB" w:rsidRPr="006F1082">
        <w:rPr>
          <w:i/>
          <w:iCs/>
        </w:rPr>
        <w:t> </w:t>
      </w:r>
      <w:r w:rsidRPr="006F1082">
        <w:rPr>
          <w:i/>
          <w:iCs/>
        </w:rPr>
        <w:t>African</w:t>
      </w:r>
      <w:r w:rsidR="006C1BCB" w:rsidRPr="006F1082">
        <w:rPr>
          <w:i/>
          <w:iCs/>
        </w:rPr>
        <w:t> </w:t>
      </w:r>
      <w:r w:rsidRPr="006F1082">
        <w:rPr>
          <w:i/>
          <w:iCs/>
        </w:rPr>
        <w:t>Studies,</w:t>
      </w:r>
      <w:r w:rsidR="006C1BCB" w:rsidRPr="006F1082">
        <w:rPr>
          <w:i/>
          <w:iCs/>
        </w:rPr>
        <w:t> </w:t>
      </w:r>
      <w:r w:rsidRPr="006F1082">
        <w:rPr>
          <w:i/>
          <w:iCs/>
        </w:rPr>
        <w:t>University</w:t>
      </w:r>
      <w:r w:rsidR="006C1BCB" w:rsidRPr="006F1082">
        <w:rPr>
          <w:i/>
          <w:iCs/>
        </w:rPr>
        <w:t> </w:t>
      </w:r>
      <w:r w:rsidRPr="006F1082">
        <w:rPr>
          <w:i/>
          <w:iCs/>
        </w:rPr>
        <w:t>of</w:t>
      </w:r>
      <w:r w:rsidR="006C1BCB" w:rsidRPr="006F1082">
        <w:rPr>
          <w:i/>
          <w:iCs/>
        </w:rPr>
        <w:t> </w:t>
      </w:r>
      <w:r w:rsidRPr="006F1082">
        <w:rPr>
          <w:i/>
          <w:iCs/>
        </w:rPr>
        <w:t>London</w:t>
      </w:r>
      <w:r w:rsidR="006C1BCB" w:rsidRPr="006F1082">
        <w:t> </w:t>
      </w:r>
      <w:r w:rsidRPr="006F1082">
        <w:t>60,</w:t>
      </w:r>
      <w:r w:rsidR="006C1BCB" w:rsidRPr="006F1082">
        <w:t> </w:t>
      </w:r>
      <w:r w:rsidRPr="006F1082">
        <w:t>no.</w:t>
      </w:r>
      <w:r w:rsidR="006C1BCB" w:rsidRPr="006F1082">
        <w:t> </w:t>
      </w:r>
      <w:r w:rsidRPr="006F1082">
        <w:t>2</w:t>
      </w:r>
      <w:r w:rsidR="006C1BCB" w:rsidRPr="006F1082">
        <w:t> </w:t>
      </w:r>
      <w:r w:rsidRPr="006F1082">
        <w:t>(1997):</w:t>
      </w:r>
      <w:r w:rsidR="006C1BCB" w:rsidRPr="006F1082">
        <w:t> </w:t>
      </w:r>
      <w:r w:rsidRPr="006F1082">
        <w:t>329,</w:t>
      </w:r>
      <w:r w:rsidR="006C1BCB" w:rsidRPr="006F1082">
        <w:t> </w:t>
      </w:r>
      <w:r w:rsidRPr="006F1082">
        <w:t>accessed</w:t>
      </w:r>
      <w:r w:rsidR="006C1BCB" w:rsidRPr="006F1082">
        <w:t> </w:t>
      </w:r>
      <w:r w:rsidRPr="006F1082">
        <w:t>May</w:t>
      </w:r>
      <w:r w:rsidR="006C1BCB" w:rsidRPr="006F1082">
        <w:t> </w:t>
      </w:r>
      <w:r w:rsidRPr="006F1082">
        <w:t>5,</w:t>
      </w:r>
      <w:r w:rsidR="006C1BCB" w:rsidRPr="006F1082">
        <w:t xml:space="preserve"> </w:t>
      </w:r>
      <w:r w:rsidRPr="006F1082">
        <w:t>2021</w:t>
      </w:r>
      <w:r w:rsidR="006C1BCB" w:rsidRPr="006F1082">
        <w:t>.</w:t>
      </w:r>
      <w:r w:rsidRPr="006F1082">
        <w:t xml:space="preserve"> </w:t>
      </w:r>
      <w:hyperlink r:id="rId36" w:history="1">
        <w:r w:rsidRPr="006F1082">
          <w:rPr>
            <w:rStyle w:val="Hypertextovodkaz"/>
          </w:rPr>
          <w:t>http://www.jstor.org/stable/620388</w:t>
        </w:r>
      </w:hyperlink>
      <w:r w:rsidRPr="006F1082">
        <w:t xml:space="preserve">. </w:t>
      </w:r>
    </w:p>
  </w:footnote>
  <w:footnote w:id="311">
    <w:p w14:paraId="3BD28643" w14:textId="214D1AB7" w:rsidR="00A84A9A" w:rsidRPr="006F1082" w:rsidRDefault="00A84A9A" w:rsidP="006F1082">
      <w:pPr>
        <w:pStyle w:val="Footnotes"/>
      </w:pPr>
      <w:r w:rsidRPr="006F1082">
        <w:rPr>
          <w:rStyle w:val="Znakapoznpodarou"/>
        </w:rPr>
        <w:footnoteRef/>
      </w:r>
      <w:r w:rsidRPr="006F1082">
        <w:t xml:space="preserve"> Ibid, 327. </w:t>
      </w:r>
    </w:p>
  </w:footnote>
  <w:footnote w:id="312">
    <w:p w14:paraId="5E82BF68" w14:textId="77777777" w:rsidR="00A75F1B" w:rsidRDefault="00A84A9A" w:rsidP="006F1082">
      <w:pPr>
        <w:pStyle w:val="Footnotes"/>
        <w:rPr>
          <w:rFonts w:asciiTheme="majorBidi" w:hAnsiTheme="majorBidi" w:cstheme="majorBidi"/>
        </w:rPr>
      </w:pPr>
      <w:r w:rsidRPr="006F1082">
        <w:rPr>
          <w:rStyle w:val="Znakapoznpodarou"/>
        </w:rPr>
        <w:footnoteRef/>
      </w:r>
      <w:r w:rsidRPr="006F1082">
        <w:t xml:space="preserve"> </w:t>
      </w:r>
      <w:r w:rsidRPr="006F1082">
        <w:rPr>
          <w:rFonts w:asciiTheme="majorBidi" w:hAnsiTheme="majorBidi" w:cstheme="majorBidi"/>
        </w:rPr>
        <w:t xml:space="preserve">Shaked, Ford and </w:t>
      </w:r>
      <w:r w:rsidRPr="006F1082">
        <w:rPr>
          <w:rFonts w:asciiTheme="majorBidi" w:hAnsiTheme="majorBidi" w:cstheme="majorBidi"/>
        </w:rPr>
        <w:t>Bahyro</w:t>
      </w:r>
    </w:p>
    <w:p w14:paraId="7D2B0C43" w14:textId="4F2BCDCB" w:rsidR="00A84A9A" w:rsidRPr="006F1082" w:rsidRDefault="00A84A9A" w:rsidP="006F1082">
      <w:pPr>
        <w:pStyle w:val="Footnotes"/>
      </w:pPr>
      <w:r w:rsidRPr="006F1082">
        <w:rPr>
          <w:rFonts w:asciiTheme="majorBidi" w:hAnsiTheme="majorBidi" w:cstheme="majorBidi"/>
        </w:rPr>
        <w:t xml:space="preserve">, </w:t>
      </w:r>
      <w:r w:rsidRPr="006F1082">
        <w:rPr>
          <w:rFonts w:asciiTheme="majorBidi" w:hAnsiTheme="majorBidi" w:cstheme="majorBidi"/>
          <w:i/>
          <w:iCs/>
        </w:rPr>
        <w:t>Aramaic Bowl Spells</w:t>
      </w:r>
      <w:r w:rsidRPr="006F1082">
        <w:t>, 153.</w:t>
      </w:r>
    </w:p>
  </w:footnote>
  <w:footnote w:id="313">
    <w:p w14:paraId="12D7249B" w14:textId="1CE24F4C" w:rsidR="00A84A9A" w:rsidRPr="006F1082" w:rsidRDefault="00A84A9A" w:rsidP="006F1082">
      <w:pPr>
        <w:pStyle w:val="Footnotes"/>
      </w:pPr>
      <w:r w:rsidRPr="006F1082">
        <w:rPr>
          <w:rStyle w:val="Znakapoznpodarou"/>
        </w:rPr>
        <w:footnoteRef/>
      </w:r>
      <w:r w:rsidRPr="006F1082">
        <w:t xml:space="preserve"> Ibid, 258.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D5990"/>
    <w:multiLevelType w:val="multilevel"/>
    <w:tmpl w:val="559A8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E354F85"/>
    <w:multiLevelType w:val="hybridMultilevel"/>
    <w:tmpl w:val="DDAA3BDC"/>
    <w:lvl w:ilvl="0" w:tplc="0F0EDBEA">
      <w:start w:val="1"/>
      <w:numFmt w:val="decimal"/>
      <w:lvlText w:val="%1."/>
      <w:lvlJc w:val="left"/>
      <w:pPr>
        <w:ind w:left="1778"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66215644"/>
    <w:multiLevelType w:val="hybridMultilevel"/>
    <w:tmpl w:val="066A4B6E"/>
    <w:lvl w:ilvl="0" w:tplc="86D4EE7E">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6EC25090"/>
    <w:multiLevelType w:val="hybridMultilevel"/>
    <w:tmpl w:val="C54EE6C6"/>
    <w:lvl w:ilvl="0" w:tplc="B4D6EBC0">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7"/>
    <w:rsid w:val="00000905"/>
    <w:rsid w:val="0000105A"/>
    <w:rsid w:val="0000173C"/>
    <w:rsid w:val="00001D75"/>
    <w:rsid w:val="0000436C"/>
    <w:rsid w:val="000043DF"/>
    <w:rsid w:val="00006801"/>
    <w:rsid w:val="00007E4C"/>
    <w:rsid w:val="000108F2"/>
    <w:rsid w:val="00010E3B"/>
    <w:rsid w:val="0001196B"/>
    <w:rsid w:val="00012560"/>
    <w:rsid w:val="00014703"/>
    <w:rsid w:val="000148AC"/>
    <w:rsid w:val="00015273"/>
    <w:rsid w:val="00016118"/>
    <w:rsid w:val="00016569"/>
    <w:rsid w:val="00017D1E"/>
    <w:rsid w:val="00017F15"/>
    <w:rsid w:val="00022CFA"/>
    <w:rsid w:val="000272A2"/>
    <w:rsid w:val="000279B4"/>
    <w:rsid w:val="00027E6B"/>
    <w:rsid w:val="00032039"/>
    <w:rsid w:val="0003247E"/>
    <w:rsid w:val="0003301B"/>
    <w:rsid w:val="00033C04"/>
    <w:rsid w:val="00034EC0"/>
    <w:rsid w:val="000365D1"/>
    <w:rsid w:val="0004323F"/>
    <w:rsid w:val="000445CB"/>
    <w:rsid w:val="00046D6B"/>
    <w:rsid w:val="000475E3"/>
    <w:rsid w:val="000477B7"/>
    <w:rsid w:val="000500B1"/>
    <w:rsid w:val="00053AFB"/>
    <w:rsid w:val="00055E07"/>
    <w:rsid w:val="000564AA"/>
    <w:rsid w:val="00060761"/>
    <w:rsid w:val="00062010"/>
    <w:rsid w:val="00063326"/>
    <w:rsid w:val="00064421"/>
    <w:rsid w:val="000647C6"/>
    <w:rsid w:val="00064D27"/>
    <w:rsid w:val="00065404"/>
    <w:rsid w:val="0006565C"/>
    <w:rsid w:val="000663C4"/>
    <w:rsid w:val="00067157"/>
    <w:rsid w:val="000671A2"/>
    <w:rsid w:val="000673B3"/>
    <w:rsid w:val="00071D02"/>
    <w:rsid w:val="00074A26"/>
    <w:rsid w:val="00074B1F"/>
    <w:rsid w:val="00075570"/>
    <w:rsid w:val="0007562A"/>
    <w:rsid w:val="00075851"/>
    <w:rsid w:val="000845E3"/>
    <w:rsid w:val="00084E1B"/>
    <w:rsid w:val="00085F8C"/>
    <w:rsid w:val="00086010"/>
    <w:rsid w:val="000875AF"/>
    <w:rsid w:val="00087A7A"/>
    <w:rsid w:val="00087D25"/>
    <w:rsid w:val="00090138"/>
    <w:rsid w:val="0009117F"/>
    <w:rsid w:val="00091DFD"/>
    <w:rsid w:val="00094DC9"/>
    <w:rsid w:val="00096FF2"/>
    <w:rsid w:val="000A04AD"/>
    <w:rsid w:val="000A17AD"/>
    <w:rsid w:val="000A20DD"/>
    <w:rsid w:val="000A2922"/>
    <w:rsid w:val="000A3C6F"/>
    <w:rsid w:val="000A61DC"/>
    <w:rsid w:val="000A69E0"/>
    <w:rsid w:val="000A7B07"/>
    <w:rsid w:val="000B0CC4"/>
    <w:rsid w:val="000B0DAD"/>
    <w:rsid w:val="000B153A"/>
    <w:rsid w:val="000B17EE"/>
    <w:rsid w:val="000B1CB0"/>
    <w:rsid w:val="000B1E5C"/>
    <w:rsid w:val="000B30C0"/>
    <w:rsid w:val="000B3ADE"/>
    <w:rsid w:val="000B3FEE"/>
    <w:rsid w:val="000B47F3"/>
    <w:rsid w:val="000B57DE"/>
    <w:rsid w:val="000B6635"/>
    <w:rsid w:val="000B7D06"/>
    <w:rsid w:val="000C0776"/>
    <w:rsid w:val="000C0DAA"/>
    <w:rsid w:val="000C1595"/>
    <w:rsid w:val="000C16F1"/>
    <w:rsid w:val="000C28D6"/>
    <w:rsid w:val="000C2E08"/>
    <w:rsid w:val="000C3041"/>
    <w:rsid w:val="000C4059"/>
    <w:rsid w:val="000C5267"/>
    <w:rsid w:val="000C677E"/>
    <w:rsid w:val="000C7465"/>
    <w:rsid w:val="000D1FF0"/>
    <w:rsid w:val="000D2C79"/>
    <w:rsid w:val="000D3A16"/>
    <w:rsid w:val="000D51ED"/>
    <w:rsid w:val="000D5448"/>
    <w:rsid w:val="000E0A22"/>
    <w:rsid w:val="000E0AF1"/>
    <w:rsid w:val="000E1064"/>
    <w:rsid w:val="000E534B"/>
    <w:rsid w:val="000E59E5"/>
    <w:rsid w:val="000E64A3"/>
    <w:rsid w:val="000E7769"/>
    <w:rsid w:val="000F0428"/>
    <w:rsid w:val="000F06DB"/>
    <w:rsid w:val="000F163F"/>
    <w:rsid w:val="000F1664"/>
    <w:rsid w:val="000F1A74"/>
    <w:rsid w:val="000F1B1C"/>
    <w:rsid w:val="000F45CB"/>
    <w:rsid w:val="000F46F4"/>
    <w:rsid w:val="000F475A"/>
    <w:rsid w:val="000F4BAC"/>
    <w:rsid w:val="001019EB"/>
    <w:rsid w:val="00101BCF"/>
    <w:rsid w:val="00103625"/>
    <w:rsid w:val="001046B0"/>
    <w:rsid w:val="00104A4E"/>
    <w:rsid w:val="001110C6"/>
    <w:rsid w:val="00113A70"/>
    <w:rsid w:val="001169A8"/>
    <w:rsid w:val="00117BD2"/>
    <w:rsid w:val="0012083B"/>
    <w:rsid w:val="00121DEE"/>
    <w:rsid w:val="00123977"/>
    <w:rsid w:val="0012406E"/>
    <w:rsid w:val="00126911"/>
    <w:rsid w:val="0013005A"/>
    <w:rsid w:val="001310C1"/>
    <w:rsid w:val="0013127C"/>
    <w:rsid w:val="00131BDD"/>
    <w:rsid w:val="00132C1B"/>
    <w:rsid w:val="00133208"/>
    <w:rsid w:val="00133410"/>
    <w:rsid w:val="00135A21"/>
    <w:rsid w:val="00141820"/>
    <w:rsid w:val="00141B98"/>
    <w:rsid w:val="00142D38"/>
    <w:rsid w:val="00142D7E"/>
    <w:rsid w:val="001435F8"/>
    <w:rsid w:val="001454CA"/>
    <w:rsid w:val="0015164C"/>
    <w:rsid w:val="00153E06"/>
    <w:rsid w:val="00153EB8"/>
    <w:rsid w:val="00154B32"/>
    <w:rsid w:val="00156E86"/>
    <w:rsid w:val="00156F9E"/>
    <w:rsid w:val="00162C80"/>
    <w:rsid w:val="00163C59"/>
    <w:rsid w:val="001663A0"/>
    <w:rsid w:val="00167038"/>
    <w:rsid w:val="001711C6"/>
    <w:rsid w:val="00172952"/>
    <w:rsid w:val="00173330"/>
    <w:rsid w:val="00174B9B"/>
    <w:rsid w:val="00176958"/>
    <w:rsid w:val="001820C7"/>
    <w:rsid w:val="001823BB"/>
    <w:rsid w:val="001824A5"/>
    <w:rsid w:val="001826FB"/>
    <w:rsid w:val="00184036"/>
    <w:rsid w:val="00185283"/>
    <w:rsid w:val="00185500"/>
    <w:rsid w:val="001855FA"/>
    <w:rsid w:val="00185642"/>
    <w:rsid w:val="00186EEC"/>
    <w:rsid w:val="0019292F"/>
    <w:rsid w:val="00195287"/>
    <w:rsid w:val="00196313"/>
    <w:rsid w:val="0019681E"/>
    <w:rsid w:val="00197080"/>
    <w:rsid w:val="001A3B5E"/>
    <w:rsid w:val="001A3EEA"/>
    <w:rsid w:val="001A4B57"/>
    <w:rsid w:val="001A70BA"/>
    <w:rsid w:val="001B0C60"/>
    <w:rsid w:val="001B0D1A"/>
    <w:rsid w:val="001B12B8"/>
    <w:rsid w:val="001B5185"/>
    <w:rsid w:val="001B5951"/>
    <w:rsid w:val="001B5B85"/>
    <w:rsid w:val="001B64E3"/>
    <w:rsid w:val="001B7E05"/>
    <w:rsid w:val="001C0158"/>
    <w:rsid w:val="001C0579"/>
    <w:rsid w:val="001C131D"/>
    <w:rsid w:val="001C1DED"/>
    <w:rsid w:val="001C4FA3"/>
    <w:rsid w:val="001C53D1"/>
    <w:rsid w:val="001C5E03"/>
    <w:rsid w:val="001C61FF"/>
    <w:rsid w:val="001C678B"/>
    <w:rsid w:val="001D06D2"/>
    <w:rsid w:val="001D3315"/>
    <w:rsid w:val="001D4512"/>
    <w:rsid w:val="001E2C47"/>
    <w:rsid w:val="001E3B26"/>
    <w:rsid w:val="001E4EF8"/>
    <w:rsid w:val="001E58E1"/>
    <w:rsid w:val="001E602B"/>
    <w:rsid w:val="001E7073"/>
    <w:rsid w:val="001F3F2C"/>
    <w:rsid w:val="001F5188"/>
    <w:rsid w:val="001F7F63"/>
    <w:rsid w:val="00200F88"/>
    <w:rsid w:val="002019FE"/>
    <w:rsid w:val="00202774"/>
    <w:rsid w:val="00203F53"/>
    <w:rsid w:val="00205738"/>
    <w:rsid w:val="00206C05"/>
    <w:rsid w:val="00207373"/>
    <w:rsid w:val="0020760A"/>
    <w:rsid w:val="00210B4F"/>
    <w:rsid w:val="002115AF"/>
    <w:rsid w:val="0021252A"/>
    <w:rsid w:val="00212E65"/>
    <w:rsid w:val="002140C2"/>
    <w:rsid w:val="00215782"/>
    <w:rsid w:val="00217660"/>
    <w:rsid w:val="00220253"/>
    <w:rsid w:val="0022149D"/>
    <w:rsid w:val="002215EA"/>
    <w:rsid w:val="0022441C"/>
    <w:rsid w:val="0022470E"/>
    <w:rsid w:val="00230F73"/>
    <w:rsid w:val="00232206"/>
    <w:rsid w:val="00234E96"/>
    <w:rsid w:val="00236427"/>
    <w:rsid w:val="002402BB"/>
    <w:rsid w:val="00242C2D"/>
    <w:rsid w:val="00246AC0"/>
    <w:rsid w:val="00251784"/>
    <w:rsid w:val="002530FD"/>
    <w:rsid w:val="00253CBE"/>
    <w:rsid w:val="00253CC4"/>
    <w:rsid w:val="00254F81"/>
    <w:rsid w:val="002561E0"/>
    <w:rsid w:val="0025642F"/>
    <w:rsid w:val="002573A0"/>
    <w:rsid w:val="0026070B"/>
    <w:rsid w:val="00261A0A"/>
    <w:rsid w:val="00265702"/>
    <w:rsid w:val="00265C48"/>
    <w:rsid w:val="0026769F"/>
    <w:rsid w:val="00272097"/>
    <w:rsid w:val="00273414"/>
    <w:rsid w:val="002752B5"/>
    <w:rsid w:val="00275D35"/>
    <w:rsid w:val="00276B49"/>
    <w:rsid w:val="00281496"/>
    <w:rsid w:val="0028275B"/>
    <w:rsid w:val="002836A2"/>
    <w:rsid w:val="00284B04"/>
    <w:rsid w:val="002857AA"/>
    <w:rsid w:val="0028763A"/>
    <w:rsid w:val="002900F8"/>
    <w:rsid w:val="00291234"/>
    <w:rsid w:val="00292333"/>
    <w:rsid w:val="00292442"/>
    <w:rsid w:val="00292496"/>
    <w:rsid w:val="0029319E"/>
    <w:rsid w:val="00293B32"/>
    <w:rsid w:val="00295F08"/>
    <w:rsid w:val="002A09DE"/>
    <w:rsid w:val="002A12CB"/>
    <w:rsid w:val="002A39B7"/>
    <w:rsid w:val="002A465C"/>
    <w:rsid w:val="002B24E8"/>
    <w:rsid w:val="002B2E07"/>
    <w:rsid w:val="002B440D"/>
    <w:rsid w:val="002B49FB"/>
    <w:rsid w:val="002B4A91"/>
    <w:rsid w:val="002B5F13"/>
    <w:rsid w:val="002B7269"/>
    <w:rsid w:val="002C07BA"/>
    <w:rsid w:val="002C07E8"/>
    <w:rsid w:val="002C09D1"/>
    <w:rsid w:val="002C0FCD"/>
    <w:rsid w:val="002C17D8"/>
    <w:rsid w:val="002C2CBB"/>
    <w:rsid w:val="002C35BF"/>
    <w:rsid w:val="002C3627"/>
    <w:rsid w:val="002C5577"/>
    <w:rsid w:val="002C5FB5"/>
    <w:rsid w:val="002C7F31"/>
    <w:rsid w:val="002D1797"/>
    <w:rsid w:val="002D1FE3"/>
    <w:rsid w:val="002D299C"/>
    <w:rsid w:val="002D5D59"/>
    <w:rsid w:val="002D6DDE"/>
    <w:rsid w:val="002D7B77"/>
    <w:rsid w:val="002E0D4C"/>
    <w:rsid w:val="002E35AC"/>
    <w:rsid w:val="002E55D6"/>
    <w:rsid w:val="002E6B2C"/>
    <w:rsid w:val="002E6BA1"/>
    <w:rsid w:val="002F56B5"/>
    <w:rsid w:val="002F5BA1"/>
    <w:rsid w:val="002F5BB7"/>
    <w:rsid w:val="0030274B"/>
    <w:rsid w:val="00305D21"/>
    <w:rsid w:val="003078B2"/>
    <w:rsid w:val="00307F67"/>
    <w:rsid w:val="0031247B"/>
    <w:rsid w:val="00313CC7"/>
    <w:rsid w:val="00314149"/>
    <w:rsid w:val="003148B6"/>
    <w:rsid w:val="00315D68"/>
    <w:rsid w:val="003162AD"/>
    <w:rsid w:val="00317D32"/>
    <w:rsid w:val="00321265"/>
    <w:rsid w:val="003225C4"/>
    <w:rsid w:val="00325083"/>
    <w:rsid w:val="00326586"/>
    <w:rsid w:val="00330354"/>
    <w:rsid w:val="0033129E"/>
    <w:rsid w:val="00331A37"/>
    <w:rsid w:val="00332EE2"/>
    <w:rsid w:val="00334A99"/>
    <w:rsid w:val="00336DEC"/>
    <w:rsid w:val="003376B8"/>
    <w:rsid w:val="00337DEE"/>
    <w:rsid w:val="00340507"/>
    <w:rsid w:val="003414D2"/>
    <w:rsid w:val="00346030"/>
    <w:rsid w:val="0034642B"/>
    <w:rsid w:val="00346B9A"/>
    <w:rsid w:val="003504AE"/>
    <w:rsid w:val="0035332A"/>
    <w:rsid w:val="00354AEA"/>
    <w:rsid w:val="00354F12"/>
    <w:rsid w:val="00357A92"/>
    <w:rsid w:val="00362F73"/>
    <w:rsid w:val="003640D4"/>
    <w:rsid w:val="00366F6C"/>
    <w:rsid w:val="00370EC6"/>
    <w:rsid w:val="00370EFA"/>
    <w:rsid w:val="00371DDA"/>
    <w:rsid w:val="00372915"/>
    <w:rsid w:val="00373778"/>
    <w:rsid w:val="00377339"/>
    <w:rsid w:val="00377713"/>
    <w:rsid w:val="00380A79"/>
    <w:rsid w:val="00380AE0"/>
    <w:rsid w:val="00381180"/>
    <w:rsid w:val="003820D0"/>
    <w:rsid w:val="003849C1"/>
    <w:rsid w:val="00384C14"/>
    <w:rsid w:val="00390322"/>
    <w:rsid w:val="003909D5"/>
    <w:rsid w:val="00390A1C"/>
    <w:rsid w:val="00390E0D"/>
    <w:rsid w:val="00392ABE"/>
    <w:rsid w:val="003949B8"/>
    <w:rsid w:val="00394EB8"/>
    <w:rsid w:val="00397057"/>
    <w:rsid w:val="00397915"/>
    <w:rsid w:val="003A1494"/>
    <w:rsid w:val="003A5169"/>
    <w:rsid w:val="003A51E4"/>
    <w:rsid w:val="003A54B2"/>
    <w:rsid w:val="003A6184"/>
    <w:rsid w:val="003A6E36"/>
    <w:rsid w:val="003B2CEC"/>
    <w:rsid w:val="003B5923"/>
    <w:rsid w:val="003B5CE1"/>
    <w:rsid w:val="003C079B"/>
    <w:rsid w:val="003C1AB2"/>
    <w:rsid w:val="003C3529"/>
    <w:rsid w:val="003C45BA"/>
    <w:rsid w:val="003C4E4B"/>
    <w:rsid w:val="003C56E7"/>
    <w:rsid w:val="003C576E"/>
    <w:rsid w:val="003C58F2"/>
    <w:rsid w:val="003C78CA"/>
    <w:rsid w:val="003D17B1"/>
    <w:rsid w:val="003D44F0"/>
    <w:rsid w:val="003D48D7"/>
    <w:rsid w:val="003D5A21"/>
    <w:rsid w:val="003D6933"/>
    <w:rsid w:val="003E1B0D"/>
    <w:rsid w:val="003E30BF"/>
    <w:rsid w:val="003E3747"/>
    <w:rsid w:val="003E3F2F"/>
    <w:rsid w:val="003E489E"/>
    <w:rsid w:val="003E48C4"/>
    <w:rsid w:val="003E5B71"/>
    <w:rsid w:val="003E6E7B"/>
    <w:rsid w:val="003F041E"/>
    <w:rsid w:val="003F1858"/>
    <w:rsid w:val="003F3D04"/>
    <w:rsid w:val="003F4ACA"/>
    <w:rsid w:val="003F4D74"/>
    <w:rsid w:val="003F59E7"/>
    <w:rsid w:val="003F64CB"/>
    <w:rsid w:val="004072DC"/>
    <w:rsid w:val="004072DE"/>
    <w:rsid w:val="00410169"/>
    <w:rsid w:val="00411388"/>
    <w:rsid w:val="00411E60"/>
    <w:rsid w:val="00414607"/>
    <w:rsid w:val="00414A1A"/>
    <w:rsid w:val="00420F9B"/>
    <w:rsid w:val="0042164B"/>
    <w:rsid w:val="0042253A"/>
    <w:rsid w:val="00422A42"/>
    <w:rsid w:val="00422FC9"/>
    <w:rsid w:val="00423752"/>
    <w:rsid w:val="004253B5"/>
    <w:rsid w:val="00426C67"/>
    <w:rsid w:val="004300B1"/>
    <w:rsid w:val="00430327"/>
    <w:rsid w:val="00431B6E"/>
    <w:rsid w:val="00432101"/>
    <w:rsid w:val="004336B3"/>
    <w:rsid w:val="00435B7B"/>
    <w:rsid w:val="004431E1"/>
    <w:rsid w:val="00444A91"/>
    <w:rsid w:val="0044553B"/>
    <w:rsid w:val="00447097"/>
    <w:rsid w:val="004502FB"/>
    <w:rsid w:val="00450406"/>
    <w:rsid w:val="004526DF"/>
    <w:rsid w:val="0045280C"/>
    <w:rsid w:val="00453DCB"/>
    <w:rsid w:val="00454430"/>
    <w:rsid w:val="00455701"/>
    <w:rsid w:val="00456A0C"/>
    <w:rsid w:val="00456D27"/>
    <w:rsid w:val="00460B22"/>
    <w:rsid w:val="00460CCB"/>
    <w:rsid w:val="00461DC1"/>
    <w:rsid w:val="00462164"/>
    <w:rsid w:val="00463FA9"/>
    <w:rsid w:val="004651EE"/>
    <w:rsid w:val="00465761"/>
    <w:rsid w:val="004661A0"/>
    <w:rsid w:val="00466CA6"/>
    <w:rsid w:val="0046717E"/>
    <w:rsid w:val="00470A94"/>
    <w:rsid w:val="004712F7"/>
    <w:rsid w:val="0047524F"/>
    <w:rsid w:val="00475374"/>
    <w:rsid w:val="0047581C"/>
    <w:rsid w:val="004806B6"/>
    <w:rsid w:val="00480D77"/>
    <w:rsid w:val="004838D2"/>
    <w:rsid w:val="00485D79"/>
    <w:rsid w:val="00490150"/>
    <w:rsid w:val="00490CD9"/>
    <w:rsid w:val="0049193C"/>
    <w:rsid w:val="004929E5"/>
    <w:rsid w:val="00493EA2"/>
    <w:rsid w:val="0049495E"/>
    <w:rsid w:val="00495177"/>
    <w:rsid w:val="00497D4B"/>
    <w:rsid w:val="004A0313"/>
    <w:rsid w:val="004A2168"/>
    <w:rsid w:val="004A27B0"/>
    <w:rsid w:val="004A2F93"/>
    <w:rsid w:val="004A40D7"/>
    <w:rsid w:val="004A4814"/>
    <w:rsid w:val="004A7F4B"/>
    <w:rsid w:val="004B07F7"/>
    <w:rsid w:val="004B4557"/>
    <w:rsid w:val="004B5A80"/>
    <w:rsid w:val="004B60D2"/>
    <w:rsid w:val="004B65FF"/>
    <w:rsid w:val="004B68FD"/>
    <w:rsid w:val="004C1184"/>
    <w:rsid w:val="004C1B3F"/>
    <w:rsid w:val="004C1DDC"/>
    <w:rsid w:val="004C31BD"/>
    <w:rsid w:val="004C325D"/>
    <w:rsid w:val="004C4DE8"/>
    <w:rsid w:val="004C5008"/>
    <w:rsid w:val="004C6B62"/>
    <w:rsid w:val="004D26BF"/>
    <w:rsid w:val="004D3548"/>
    <w:rsid w:val="004D384E"/>
    <w:rsid w:val="004D39F8"/>
    <w:rsid w:val="004D3F4A"/>
    <w:rsid w:val="004D40C5"/>
    <w:rsid w:val="004D5733"/>
    <w:rsid w:val="004D6962"/>
    <w:rsid w:val="004D7140"/>
    <w:rsid w:val="004D7F8E"/>
    <w:rsid w:val="004E1890"/>
    <w:rsid w:val="004E1F8A"/>
    <w:rsid w:val="004E2DF1"/>
    <w:rsid w:val="004E4F6F"/>
    <w:rsid w:val="004E7A34"/>
    <w:rsid w:val="004F031B"/>
    <w:rsid w:val="004F085A"/>
    <w:rsid w:val="004F20D9"/>
    <w:rsid w:val="004F2B2C"/>
    <w:rsid w:val="004F2E42"/>
    <w:rsid w:val="004F4B96"/>
    <w:rsid w:val="005011B6"/>
    <w:rsid w:val="0050147E"/>
    <w:rsid w:val="0050461D"/>
    <w:rsid w:val="00505BB9"/>
    <w:rsid w:val="00513230"/>
    <w:rsid w:val="005135B8"/>
    <w:rsid w:val="00513AEF"/>
    <w:rsid w:val="005156DF"/>
    <w:rsid w:val="005175A5"/>
    <w:rsid w:val="005229F1"/>
    <w:rsid w:val="00526870"/>
    <w:rsid w:val="00526D30"/>
    <w:rsid w:val="0052785C"/>
    <w:rsid w:val="005279F1"/>
    <w:rsid w:val="0053128C"/>
    <w:rsid w:val="0053243D"/>
    <w:rsid w:val="00535328"/>
    <w:rsid w:val="005354FC"/>
    <w:rsid w:val="00541BBA"/>
    <w:rsid w:val="00541D97"/>
    <w:rsid w:val="00545706"/>
    <w:rsid w:val="00545ADF"/>
    <w:rsid w:val="00550267"/>
    <w:rsid w:val="00550657"/>
    <w:rsid w:val="00551F98"/>
    <w:rsid w:val="00552854"/>
    <w:rsid w:val="0055297F"/>
    <w:rsid w:val="005534F6"/>
    <w:rsid w:val="00555EDC"/>
    <w:rsid w:val="00556113"/>
    <w:rsid w:val="00556864"/>
    <w:rsid w:val="00557F6C"/>
    <w:rsid w:val="00562884"/>
    <w:rsid w:val="00562DC3"/>
    <w:rsid w:val="00564502"/>
    <w:rsid w:val="00564BC1"/>
    <w:rsid w:val="005651A6"/>
    <w:rsid w:val="005662F7"/>
    <w:rsid w:val="00571FEA"/>
    <w:rsid w:val="005759DD"/>
    <w:rsid w:val="00576B27"/>
    <w:rsid w:val="00576F37"/>
    <w:rsid w:val="00582189"/>
    <w:rsid w:val="0058311F"/>
    <w:rsid w:val="0058608F"/>
    <w:rsid w:val="00587EF9"/>
    <w:rsid w:val="005905B5"/>
    <w:rsid w:val="0059085D"/>
    <w:rsid w:val="00591086"/>
    <w:rsid w:val="0059193E"/>
    <w:rsid w:val="00596106"/>
    <w:rsid w:val="00596DF0"/>
    <w:rsid w:val="0059757A"/>
    <w:rsid w:val="005975A4"/>
    <w:rsid w:val="005975D0"/>
    <w:rsid w:val="005A0D7E"/>
    <w:rsid w:val="005A243C"/>
    <w:rsid w:val="005A34C6"/>
    <w:rsid w:val="005A6847"/>
    <w:rsid w:val="005A7500"/>
    <w:rsid w:val="005B592F"/>
    <w:rsid w:val="005B69E2"/>
    <w:rsid w:val="005C03A6"/>
    <w:rsid w:val="005C11D6"/>
    <w:rsid w:val="005C23C2"/>
    <w:rsid w:val="005C3B80"/>
    <w:rsid w:val="005C509B"/>
    <w:rsid w:val="005C61D4"/>
    <w:rsid w:val="005C7E26"/>
    <w:rsid w:val="005D034B"/>
    <w:rsid w:val="005D1448"/>
    <w:rsid w:val="005D46FB"/>
    <w:rsid w:val="005D65BB"/>
    <w:rsid w:val="005E2498"/>
    <w:rsid w:val="005E4643"/>
    <w:rsid w:val="005E4AB0"/>
    <w:rsid w:val="005E5ACD"/>
    <w:rsid w:val="005E756B"/>
    <w:rsid w:val="005F10FE"/>
    <w:rsid w:val="005F1665"/>
    <w:rsid w:val="005F528F"/>
    <w:rsid w:val="005F5C27"/>
    <w:rsid w:val="005F6F49"/>
    <w:rsid w:val="0060029F"/>
    <w:rsid w:val="006009A8"/>
    <w:rsid w:val="00601FC4"/>
    <w:rsid w:val="00602418"/>
    <w:rsid w:val="00605D8D"/>
    <w:rsid w:val="006067B6"/>
    <w:rsid w:val="006073CB"/>
    <w:rsid w:val="006101C7"/>
    <w:rsid w:val="006107D6"/>
    <w:rsid w:val="00610B05"/>
    <w:rsid w:val="00611283"/>
    <w:rsid w:val="0061137A"/>
    <w:rsid w:val="00611DD1"/>
    <w:rsid w:val="00612458"/>
    <w:rsid w:val="00613146"/>
    <w:rsid w:val="00616DDB"/>
    <w:rsid w:val="00616F3C"/>
    <w:rsid w:val="00620374"/>
    <w:rsid w:val="0062098A"/>
    <w:rsid w:val="00626BBC"/>
    <w:rsid w:val="00626EF8"/>
    <w:rsid w:val="006278A6"/>
    <w:rsid w:val="00627A25"/>
    <w:rsid w:val="006303F0"/>
    <w:rsid w:val="00632017"/>
    <w:rsid w:val="0063256D"/>
    <w:rsid w:val="00632E64"/>
    <w:rsid w:val="00634084"/>
    <w:rsid w:val="00635452"/>
    <w:rsid w:val="006407CA"/>
    <w:rsid w:val="0064151C"/>
    <w:rsid w:val="00642BBB"/>
    <w:rsid w:val="00642FA3"/>
    <w:rsid w:val="006434FA"/>
    <w:rsid w:val="006442FB"/>
    <w:rsid w:val="00651AE9"/>
    <w:rsid w:val="00651D94"/>
    <w:rsid w:val="00651E35"/>
    <w:rsid w:val="00653514"/>
    <w:rsid w:val="00653985"/>
    <w:rsid w:val="00654142"/>
    <w:rsid w:val="00656976"/>
    <w:rsid w:val="00656E73"/>
    <w:rsid w:val="00656FB6"/>
    <w:rsid w:val="00660BFA"/>
    <w:rsid w:val="00660E2A"/>
    <w:rsid w:val="0066109E"/>
    <w:rsid w:val="00661CB1"/>
    <w:rsid w:val="00661F69"/>
    <w:rsid w:val="006635B3"/>
    <w:rsid w:val="006636BF"/>
    <w:rsid w:val="00664152"/>
    <w:rsid w:val="006645C1"/>
    <w:rsid w:val="00664627"/>
    <w:rsid w:val="0066760D"/>
    <w:rsid w:val="00672E9A"/>
    <w:rsid w:val="0067323E"/>
    <w:rsid w:val="00674852"/>
    <w:rsid w:val="00675C21"/>
    <w:rsid w:val="0067742C"/>
    <w:rsid w:val="00677B11"/>
    <w:rsid w:val="00681758"/>
    <w:rsid w:val="00683998"/>
    <w:rsid w:val="00686A6A"/>
    <w:rsid w:val="00686EA2"/>
    <w:rsid w:val="006870BC"/>
    <w:rsid w:val="00691357"/>
    <w:rsid w:val="00691689"/>
    <w:rsid w:val="006921A8"/>
    <w:rsid w:val="0069580D"/>
    <w:rsid w:val="00697D77"/>
    <w:rsid w:val="006A037B"/>
    <w:rsid w:val="006A5F99"/>
    <w:rsid w:val="006A7876"/>
    <w:rsid w:val="006B08EB"/>
    <w:rsid w:val="006B0A02"/>
    <w:rsid w:val="006B10F6"/>
    <w:rsid w:val="006B31DF"/>
    <w:rsid w:val="006B41E4"/>
    <w:rsid w:val="006B4D7D"/>
    <w:rsid w:val="006B60D3"/>
    <w:rsid w:val="006B6C8A"/>
    <w:rsid w:val="006C1BCB"/>
    <w:rsid w:val="006C1D08"/>
    <w:rsid w:val="006C2ABB"/>
    <w:rsid w:val="006C34F6"/>
    <w:rsid w:val="006C388B"/>
    <w:rsid w:val="006C3FFF"/>
    <w:rsid w:val="006C55AF"/>
    <w:rsid w:val="006C61B8"/>
    <w:rsid w:val="006D111F"/>
    <w:rsid w:val="006D119D"/>
    <w:rsid w:val="006D34FD"/>
    <w:rsid w:val="006D3504"/>
    <w:rsid w:val="006D3B5B"/>
    <w:rsid w:val="006D69DA"/>
    <w:rsid w:val="006E015D"/>
    <w:rsid w:val="006E0777"/>
    <w:rsid w:val="006E0EF5"/>
    <w:rsid w:val="006E2FC3"/>
    <w:rsid w:val="006E3A74"/>
    <w:rsid w:val="006E3F62"/>
    <w:rsid w:val="006E5F4A"/>
    <w:rsid w:val="006E6985"/>
    <w:rsid w:val="006E6A4F"/>
    <w:rsid w:val="006E6C0E"/>
    <w:rsid w:val="006F0CF0"/>
    <w:rsid w:val="006F1082"/>
    <w:rsid w:val="006F1899"/>
    <w:rsid w:val="006F1A91"/>
    <w:rsid w:val="006F1DE2"/>
    <w:rsid w:val="006F21CF"/>
    <w:rsid w:val="006F3431"/>
    <w:rsid w:val="006F3AB8"/>
    <w:rsid w:val="00700626"/>
    <w:rsid w:val="00700B49"/>
    <w:rsid w:val="00700FC7"/>
    <w:rsid w:val="007021EC"/>
    <w:rsid w:val="007029DC"/>
    <w:rsid w:val="00702B12"/>
    <w:rsid w:val="0070648B"/>
    <w:rsid w:val="007075CB"/>
    <w:rsid w:val="007116E3"/>
    <w:rsid w:val="00713657"/>
    <w:rsid w:val="00713BE3"/>
    <w:rsid w:val="00713F1F"/>
    <w:rsid w:val="0071404E"/>
    <w:rsid w:val="00720438"/>
    <w:rsid w:val="00721446"/>
    <w:rsid w:val="007216CF"/>
    <w:rsid w:val="00723CF4"/>
    <w:rsid w:val="0072455F"/>
    <w:rsid w:val="00724A0A"/>
    <w:rsid w:val="007259A3"/>
    <w:rsid w:val="00726C18"/>
    <w:rsid w:val="00731097"/>
    <w:rsid w:val="0073112B"/>
    <w:rsid w:val="0073195D"/>
    <w:rsid w:val="00732CD8"/>
    <w:rsid w:val="00735E4A"/>
    <w:rsid w:val="00735FC9"/>
    <w:rsid w:val="00741037"/>
    <w:rsid w:val="007410E9"/>
    <w:rsid w:val="007416CA"/>
    <w:rsid w:val="00742AF3"/>
    <w:rsid w:val="00743A99"/>
    <w:rsid w:val="007443A5"/>
    <w:rsid w:val="00745EFB"/>
    <w:rsid w:val="00752755"/>
    <w:rsid w:val="00754249"/>
    <w:rsid w:val="007551D8"/>
    <w:rsid w:val="00755855"/>
    <w:rsid w:val="007570F5"/>
    <w:rsid w:val="007612CF"/>
    <w:rsid w:val="00763C62"/>
    <w:rsid w:val="007641A4"/>
    <w:rsid w:val="007649B0"/>
    <w:rsid w:val="00764D79"/>
    <w:rsid w:val="007652DE"/>
    <w:rsid w:val="00766F96"/>
    <w:rsid w:val="00770C2C"/>
    <w:rsid w:val="00770F66"/>
    <w:rsid w:val="00770FA1"/>
    <w:rsid w:val="007729DF"/>
    <w:rsid w:val="00781266"/>
    <w:rsid w:val="00781BCE"/>
    <w:rsid w:val="00781DBD"/>
    <w:rsid w:val="00781E9C"/>
    <w:rsid w:val="0078640B"/>
    <w:rsid w:val="00786B35"/>
    <w:rsid w:val="00792170"/>
    <w:rsid w:val="0079398F"/>
    <w:rsid w:val="00795A85"/>
    <w:rsid w:val="007970AF"/>
    <w:rsid w:val="0079769E"/>
    <w:rsid w:val="007A042B"/>
    <w:rsid w:val="007A0D05"/>
    <w:rsid w:val="007A29B9"/>
    <w:rsid w:val="007A3339"/>
    <w:rsid w:val="007A5157"/>
    <w:rsid w:val="007A6741"/>
    <w:rsid w:val="007B05ED"/>
    <w:rsid w:val="007B0D32"/>
    <w:rsid w:val="007B1E65"/>
    <w:rsid w:val="007B4450"/>
    <w:rsid w:val="007B4C03"/>
    <w:rsid w:val="007B5F55"/>
    <w:rsid w:val="007B68AA"/>
    <w:rsid w:val="007B73B9"/>
    <w:rsid w:val="007C02BB"/>
    <w:rsid w:val="007C1B49"/>
    <w:rsid w:val="007C2CF3"/>
    <w:rsid w:val="007C4C01"/>
    <w:rsid w:val="007C5898"/>
    <w:rsid w:val="007C5E0E"/>
    <w:rsid w:val="007C6290"/>
    <w:rsid w:val="007C7E28"/>
    <w:rsid w:val="007D07B0"/>
    <w:rsid w:val="007D2036"/>
    <w:rsid w:val="007D251E"/>
    <w:rsid w:val="007D2E92"/>
    <w:rsid w:val="007D324A"/>
    <w:rsid w:val="007D3F8C"/>
    <w:rsid w:val="007D44A0"/>
    <w:rsid w:val="007D485B"/>
    <w:rsid w:val="007D5934"/>
    <w:rsid w:val="007D6DDE"/>
    <w:rsid w:val="007D7D17"/>
    <w:rsid w:val="007E6815"/>
    <w:rsid w:val="007F07BC"/>
    <w:rsid w:val="007F2386"/>
    <w:rsid w:val="007F38CF"/>
    <w:rsid w:val="007F46FE"/>
    <w:rsid w:val="007F5102"/>
    <w:rsid w:val="007F5F54"/>
    <w:rsid w:val="00800AF2"/>
    <w:rsid w:val="00802BA8"/>
    <w:rsid w:val="008033B9"/>
    <w:rsid w:val="00805B33"/>
    <w:rsid w:val="00807072"/>
    <w:rsid w:val="00807C1A"/>
    <w:rsid w:val="00807E5F"/>
    <w:rsid w:val="0081058B"/>
    <w:rsid w:val="00812AFE"/>
    <w:rsid w:val="00814F8C"/>
    <w:rsid w:val="00816D11"/>
    <w:rsid w:val="00820786"/>
    <w:rsid w:val="00821381"/>
    <w:rsid w:val="00821EA9"/>
    <w:rsid w:val="00823F4E"/>
    <w:rsid w:val="0082462D"/>
    <w:rsid w:val="00830647"/>
    <w:rsid w:val="00831189"/>
    <w:rsid w:val="00834F57"/>
    <w:rsid w:val="00835AB5"/>
    <w:rsid w:val="00836C00"/>
    <w:rsid w:val="00840268"/>
    <w:rsid w:val="0084039E"/>
    <w:rsid w:val="00842385"/>
    <w:rsid w:val="00842EC9"/>
    <w:rsid w:val="00844151"/>
    <w:rsid w:val="00844AC4"/>
    <w:rsid w:val="00846C58"/>
    <w:rsid w:val="008510D2"/>
    <w:rsid w:val="0085117D"/>
    <w:rsid w:val="00852557"/>
    <w:rsid w:val="008546C7"/>
    <w:rsid w:val="00854F11"/>
    <w:rsid w:val="0085513B"/>
    <w:rsid w:val="00856F7A"/>
    <w:rsid w:val="00857B76"/>
    <w:rsid w:val="00860CA3"/>
    <w:rsid w:val="00862314"/>
    <w:rsid w:val="00862BF6"/>
    <w:rsid w:val="008632AA"/>
    <w:rsid w:val="00864F3B"/>
    <w:rsid w:val="00865966"/>
    <w:rsid w:val="00866A44"/>
    <w:rsid w:val="00870E7F"/>
    <w:rsid w:val="00873335"/>
    <w:rsid w:val="00874D3A"/>
    <w:rsid w:val="008756B7"/>
    <w:rsid w:val="00876A4B"/>
    <w:rsid w:val="0088144A"/>
    <w:rsid w:val="008829CC"/>
    <w:rsid w:val="0088408F"/>
    <w:rsid w:val="00885334"/>
    <w:rsid w:val="0088796C"/>
    <w:rsid w:val="008912ED"/>
    <w:rsid w:val="008922DC"/>
    <w:rsid w:val="00892A9D"/>
    <w:rsid w:val="008936C9"/>
    <w:rsid w:val="008949E2"/>
    <w:rsid w:val="00895A68"/>
    <w:rsid w:val="00897C37"/>
    <w:rsid w:val="008A0B5A"/>
    <w:rsid w:val="008A2FD1"/>
    <w:rsid w:val="008A306F"/>
    <w:rsid w:val="008A383F"/>
    <w:rsid w:val="008A6E37"/>
    <w:rsid w:val="008B1DAA"/>
    <w:rsid w:val="008B2657"/>
    <w:rsid w:val="008B265A"/>
    <w:rsid w:val="008B2A49"/>
    <w:rsid w:val="008B37B4"/>
    <w:rsid w:val="008B37F2"/>
    <w:rsid w:val="008B3846"/>
    <w:rsid w:val="008B3A0A"/>
    <w:rsid w:val="008B5B35"/>
    <w:rsid w:val="008B5BFD"/>
    <w:rsid w:val="008B76E2"/>
    <w:rsid w:val="008C2DA1"/>
    <w:rsid w:val="008C489E"/>
    <w:rsid w:val="008C562F"/>
    <w:rsid w:val="008D0FF9"/>
    <w:rsid w:val="008D193C"/>
    <w:rsid w:val="008D34D7"/>
    <w:rsid w:val="008D7691"/>
    <w:rsid w:val="008D7C8C"/>
    <w:rsid w:val="008E0472"/>
    <w:rsid w:val="008E0EDA"/>
    <w:rsid w:val="008E3202"/>
    <w:rsid w:val="008E4EA4"/>
    <w:rsid w:val="008E5B08"/>
    <w:rsid w:val="008E7764"/>
    <w:rsid w:val="008E7881"/>
    <w:rsid w:val="008F07D3"/>
    <w:rsid w:val="008F3417"/>
    <w:rsid w:val="008F37AE"/>
    <w:rsid w:val="008F4F13"/>
    <w:rsid w:val="008F58C9"/>
    <w:rsid w:val="008F77A6"/>
    <w:rsid w:val="008F7B03"/>
    <w:rsid w:val="009025C6"/>
    <w:rsid w:val="00902E46"/>
    <w:rsid w:val="00904D5F"/>
    <w:rsid w:val="00905F86"/>
    <w:rsid w:val="00906074"/>
    <w:rsid w:val="00906D87"/>
    <w:rsid w:val="00906EBC"/>
    <w:rsid w:val="009077F6"/>
    <w:rsid w:val="00912CF3"/>
    <w:rsid w:val="0091380D"/>
    <w:rsid w:val="00913ED7"/>
    <w:rsid w:val="00914C96"/>
    <w:rsid w:val="0091530B"/>
    <w:rsid w:val="00916067"/>
    <w:rsid w:val="00923BBE"/>
    <w:rsid w:val="00923C26"/>
    <w:rsid w:val="00923E51"/>
    <w:rsid w:val="00924B9A"/>
    <w:rsid w:val="00924D65"/>
    <w:rsid w:val="009259A6"/>
    <w:rsid w:val="009267B1"/>
    <w:rsid w:val="00927EF6"/>
    <w:rsid w:val="00934FBA"/>
    <w:rsid w:val="009362EB"/>
    <w:rsid w:val="00936618"/>
    <w:rsid w:val="00937458"/>
    <w:rsid w:val="00937778"/>
    <w:rsid w:val="00943910"/>
    <w:rsid w:val="009446D1"/>
    <w:rsid w:val="00944F95"/>
    <w:rsid w:val="009472C8"/>
    <w:rsid w:val="00947996"/>
    <w:rsid w:val="00954F41"/>
    <w:rsid w:val="00954FAF"/>
    <w:rsid w:val="00955547"/>
    <w:rsid w:val="00955E7F"/>
    <w:rsid w:val="00957684"/>
    <w:rsid w:val="00960254"/>
    <w:rsid w:val="00960F86"/>
    <w:rsid w:val="00962119"/>
    <w:rsid w:val="00964878"/>
    <w:rsid w:val="0096637D"/>
    <w:rsid w:val="00966C08"/>
    <w:rsid w:val="009673EA"/>
    <w:rsid w:val="00973CB9"/>
    <w:rsid w:val="00973EEE"/>
    <w:rsid w:val="00976FB0"/>
    <w:rsid w:val="00977A86"/>
    <w:rsid w:val="0098069A"/>
    <w:rsid w:val="0098241A"/>
    <w:rsid w:val="009841DA"/>
    <w:rsid w:val="0098502B"/>
    <w:rsid w:val="00986002"/>
    <w:rsid w:val="00987C72"/>
    <w:rsid w:val="00990BA1"/>
    <w:rsid w:val="00990DAD"/>
    <w:rsid w:val="00990F1E"/>
    <w:rsid w:val="009911C1"/>
    <w:rsid w:val="00992AF2"/>
    <w:rsid w:val="00992F5B"/>
    <w:rsid w:val="00993490"/>
    <w:rsid w:val="00994E69"/>
    <w:rsid w:val="009953CC"/>
    <w:rsid w:val="009956EA"/>
    <w:rsid w:val="0099575D"/>
    <w:rsid w:val="00995997"/>
    <w:rsid w:val="00995ECE"/>
    <w:rsid w:val="00997C82"/>
    <w:rsid w:val="009A11BF"/>
    <w:rsid w:val="009A3704"/>
    <w:rsid w:val="009A3F0F"/>
    <w:rsid w:val="009A4438"/>
    <w:rsid w:val="009A456D"/>
    <w:rsid w:val="009A5B67"/>
    <w:rsid w:val="009A7043"/>
    <w:rsid w:val="009A7124"/>
    <w:rsid w:val="009A7338"/>
    <w:rsid w:val="009A74FE"/>
    <w:rsid w:val="009B0304"/>
    <w:rsid w:val="009B1BD1"/>
    <w:rsid w:val="009B5326"/>
    <w:rsid w:val="009B569B"/>
    <w:rsid w:val="009B60F6"/>
    <w:rsid w:val="009C02E9"/>
    <w:rsid w:val="009C061C"/>
    <w:rsid w:val="009C1A3F"/>
    <w:rsid w:val="009C2510"/>
    <w:rsid w:val="009C31DB"/>
    <w:rsid w:val="009C3267"/>
    <w:rsid w:val="009C548F"/>
    <w:rsid w:val="009C629C"/>
    <w:rsid w:val="009C651A"/>
    <w:rsid w:val="009C6B30"/>
    <w:rsid w:val="009D23FB"/>
    <w:rsid w:val="009D2C9D"/>
    <w:rsid w:val="009D35D6"/>
    <w:rsid w:val="009D3F5D"/>
    <w:rsid w:val="009D5212"/>
    <w:rsid w:val="009E41D4"/>
    <w:rsid w:val="009E491A"/>
    <w:rsid w:val="009E4C16"/>
    <w:rsid w:val="009E4C7B"/>
    <w:rsid w:val="009E59D3"/>
    <w:rsid w:val="009E7F86"/>
    <w:rsid w:val="009F08D6"/>
    <w:rsid w:val="009F0AC4"/>
    <w:rsid w:val="009F24D0"/>
    <w:rsid w:val="009F2A77"/>
    <w:rsid w:val="009F5889"/>
    <w:rsid w:val="009F6441"/>
    <w:rsid w:val="009F6575"/>
    <w:rsid w:val="009F7394"/>
    <w:rsid w:val="00A00DC0"/>
    <w:rsid w:val="00A0170E"/>
    <w:rsid w:val="00A02345"/>
    <w:rsid w:val="00A04FDC"/>
    <w:rsid w:val="00A1077A"/>
    <w:rsid w:val="00A11AFF"/>
    <w:rsid w:val="00A12CFF"/>
    <w:rsid w:val="00A131E1"/>
    <w:rsid w:val="00A14826"/>
    <w:rsid w:val="00A17856"/>
    <w:rsid w:val="00A21C19"/>
    <w:rsid w:val="00A21D20"/>
    <w:rsid w:val="00A2234D"/>
    <w:rsid w:val="00A2493C"/>
    <w:rsid w:val="00A24D9D"/>
    <w:rsid w:val="00A25C6F"/>
    <w:rsid w:val="00A25EBA"/>
    <w:rsid w:val="00A27CF0"/>
    <w:rsid w:val="00A3166D"/>
    <w:rsid w:val="00A31F7B"/>
    <w:rsid w:val="00A32F1B"/>
    <w:rsid w:val="00A34539"/>
    <w:rsid w:val="00A36E5C"/>
    <w:rsid w:val="00A405C9"/>
    <w:rsid w:val="00A412FA"/>
    <w:rsid w:val="00A420EC"/>
    <w:rsid w:val="00A42F02"/>
    <w:rsid w:val="00A47526"/>
    <w:rsid w:val="00A517DB"/>
    <w:rsid w:val="00A52DC6"/>
    <w:rsid w:val="00A535FD"/>
    <w:rsid w:val="00A5430E"/>
    <w:rsid w:val="00A54D84"/>
    <w:rsid w:val="00A55895"/>
    <w:rsid w:val="00A55CBF"/>
    <w:rsid w:val="00A57E61"/>
    <w:rsid w:val="00A6024A"/>
    <w:rsid w:val="00A60A7C"/>
    <w:rsid w:val="00A60B6D"/>
    <w:rsid w:val="00A610AA"/>
    <w:rsid w:val="00A61B90"/>
    <w:rsid w:val="00A62783"/>
    <w:rsid w:val="00A631B2"/>
    <w:rsid w:val="00A64506"/>
    <w:rsid w:val="00A64E80"/>
    <w:rsid w:val="00A6696F"/>
    <w:rsid w:val="00A67F1D"/>
    <w:rsid w:val="00A70AC6"/>
    <w:rsid w:val="00A71F80"/>
    <w:rsid w:val="00A71FF6"/>
    <w:rsid w:val="00A729C7"/>
    <w:rsid w:val="00A72EF8"/>
    <w:rsid w:val="00A72FC2"/>
    <w:rsid w:val="00A73273"/>
    <w:rsid w:val="00A74E30"/>
    <w:rsid w:val="00A75F1B"/>
    <w:rsid w:val="00A8064A"/>
    <w:rsid w:val="00A80A00"/>
    <w:rsid w:val="00A81E17"/>
    <w:rsid w:val="00A82D55"/>
    <w:rsid w:val="00A83301"/>
    <w:rsid w:val="00A83982"/>
    <w:rsid w:val="00A84A9A"/>
    <w:rsid w:val="00A86DC4"/>
    <w:rsid w:val="00A9046F"/>
    <w:rsid w:val="00A93267"/>
    <w:rsid w:val="00A95D41"/>
    <w:rsid w:val="00AA161E"/>
    <w:rsid w:val="00AA1DEB"/>
    <w:rsid w:val="00AA2DD2"/>
    <w:rsid w:val="00AA2F3E"/>
    <w:rsid w:val="00AA3948"/>
    <w:rsid w:val="00AA39CD"/>
    <w:rsid w:val="00AB1ACA"/>
    <w:rsid w:val="00AB6155"/>
    <w:rsid w:val="00AB6A69"/>
    <w:rsid w:val="00AB714D"/>
    <w:rsid w:val="00AB776F"/>
    <w:rsid w:val="00AC0E7C"/>
    <w:rsid w:val="00AC124F"/>
    <w:rsid w:val="00AC14ED"/>
    <w:rsid w:val="00AC1C20"/>
    <w:rsid w:val="00AC4052"/>
    <w:rsid w:val="00AC4147"/>
    <w:rsid w:val="00AC536A"/>
    <w:rsid w:val="00AC5F58"/>
    <w:rsid w:val="00AC6315"/>
    <w:rsid w:val="00AD16FE"/>
    <w:rsid w:val="00AD17DD"/>
    <w:rsid w:val="00AD477C"/>
    <w:rsid w:val="00AD56E2"/>
    <w:rsid w:val="00AE1E3C"/>
    <w:rsid w:val="00AE2313"/>
    <w:rsid w:val="00AE3C47"/>
    <w:rsid w:val="00AE5C8F"/>
    <w:rsid w:val="00AE6325"/>
    <w:rsid w:val="00AE69D9"/>
    <w:rsid w:val="00AE7BD5"/>
    <w:rsid w:val="00AF04B2"/>
    <w:rsid w:val="00AF62BC"/>
    <w:rsid w:val="00B008E7"/>
    <w:rsid w:val="00B00CBF"/>
    <w:rsid w:val="00B01236"/>
    <w:rsid w:val="00B025B8"/>
    <w:rsid w:val="00B02A89"/>
    <w:rsid w:val="00B03A8A"/>
    <w:rsid w:val="00B03DF6"/>
    <w:rsid w:val="00B04C00"/>
    <w:rsid w:val="00B04E5E"/>
    <w:rsid w:val="00B07AA0"/>
    <w:rsid w:val="00B1054E"/>
    <w:rsid w:val="00B12E36"/>
    <w:rsid w:val="00B14AF0"/>
    <w:rsid w:val="00B17096"/>
    <w:rsid w:val="00B21CBE"/>
    <w:rsid w:val="00B22F49"/>
    <w:rsid w:val="00B234A3"/>
    <w:rsid w:val="00B23D59"/>
    <w:rsid w:val="00B2435E"/>
    <w:rsid w:val="00B24769"/>
    <w:rsid w:val="00B252AD"/>
    <w:rsid w:val="00B265CD"/>
    <w:rsid w:val="00B31227"/>
    <w:rsid w:val="00B31790"/>
    <w:rsid w:val="00B32E49"/>
    <w:rsid w:val="00B34D78"/>
    <w:rsid w:val="00B34EA7"/>
    <w:rsid w:val="00B36D77"/>
    <w:rsid w:val="00B37871"/>
    <w:rsid w:val="00B43157"/>
    <w:rsid w:val="00B44323"/>
    <w:rsid w:val="00B4648F"/>
    <w:rsid w:val="00B46D0C"/>
    <w:rsid w:val="00B471DD"/>
    <w:rsid w:val="00B521F5"/>
    <w:rsid w:val="00B53674"/>
    <w:rsid w:val="00B5402C"/>
    <w:rsid w:val="00B56D89"/>
    <w:rsid w:val="00B57519"/>
    <w:rsid w:val="00B605CD"/>
    <w:rsid w:val="00B60C74"/>
    <w:rsid w:val="00B61CAB"/>
    <w:rsid w:val="00B626E5"/>
    <w:rsid w:val="00B70481"/>
    <w:rsid w:val="00B71E92"/>
    <w:rsid w:val="00B735BA"/>
    <w:rsid w:val="00B73983"/>
    <w:rsid w:val="00B74F89"/>
    <w:rsid w:val="00B77087"/>
    <w:rsid w:val="00B80BCB"/>
    <w:rsid w:val="00B811CA"/>
    <w:rsid w:val="00B81C76"/>
    <w:rsid w:val="00B81E57"/>
    <w:rsid w:val="00B82F03"/>
    <w:rsid w:val="00B851C7"/>
    <w:rsid w:val="00B90405"/>
    <w:rsid w:val="00B90B29"/>
    <w:rsid w:val="00B93544"/>
    <w:rsid w:val="00B93860"/>
    <w:rsid w:val="00B94034"/>
    <w:rsid w:val="00B94763"/>
    <w:rsid w:val="00B95ABF"/>
    <w:rsid w:val="00B96172"/>
    <w:rsid w:val="00B9715A"/>
    <w:rsid w:val="00BA0F81"/>
    <w:rsid w:val="00BA11CE"/>
    <w:rsid w:val="00BA1571"/>
    <w:rsid w:val="00BA54AA"/>
    <w:rsid w:val="00BA5664"/>
    <w:rsid w:val="00BA66A0"/>
    <w:rsid w:val="00BB32AA"/>
    <w:rsid w:val="00BB3837"/>
    <w:rsid w:val="00BB5FCB"/>
    <w:rsid w:val="00BB68E0"/>
    <w:rsid w:val="00BB73D1"/>
    <w:rsid w:val="00BC1293"/>
    <w:rsid w:val="00BC6C72"/>
    <w:rsid w:val="00BC6F95"/>
    <w:rsid w:val="00BC6FBB"/>
    <w:rsid w:val="00BC7792"/>
    <w:rsid w:val="00BD01EC"/>
    <w:rsid w:val="00BD021E"/>
    <w:rsid w:val="00BD1236"/>
    <w:rsid w:val="00BD387E"/>
    <w:rsid w:val="00BD4B27"/>
    <w:rsid w:val="00BD7C01"/>
    <w:rsid w:val="00BE0EDE"/>
    <w:rsid w:val="00BE0F78"/>
    <w:rsid w:val="00BE104C"/>
    <w:rsid w:val="00BE33FF"/>
    <w:rsid w:val="00BE5CE3"/>
    <w:rsid w:val="00BF059A"/>
    <w:rsid w:val="00BF11B2"/>
    <w:rsid w:val="00BF23E1"/>
    <w:rsid w:val="00BF57F7"/>
    <w:rsid w:val="00BF65AD"/>
    <w:rsid w:val="00BF6E28"/>
    <w:rsid w:val="00BF6E85"/>
    <w:rsid w:val="00C01D5D"/>
    <w:rsid w:val="00C10E98"/>
    <w:rsid w:val="00C13CBC"/>
    <w:rsid w:val="00C1627A"/>
    <w:rsid w:val="00C16AC2"/>
    <w:rsid w:val="00C23400"/>
    <w:rsid w:val="00C23C50"/>
    <w:rsid w:val="00C23EF1"/>
    <w:rsid w:val="00C25196"/>
    <w:rsid w:val="00C254D1"/>
    <w:rsid w:val="00C263C4"/>
    <w:rsid w:val="00C27725"/>
    <w:rsid w:val="00C27D18"/>
    <w:rsid w:val="00C304D6"/>
    <w:rsid w:val="00C30836"/>
    <w:rsid w:val="00C32BA6"/>
    <w:rsid w:val="00C33481"/>
    <w:rsid w:val="00C4249D"/>
    <w:rsid w:val="00C449C0"/>
    <w:rsid w:val="00C44F72"/>
    <w:rsid w:val="00C4576D"/>
    <w:rsid w:val="00C46012"/>
    <w:rsid w:val="00C4657E"/>
    <w:rsid w:val="00C4713B"/>
    <w:rsid w:val="00C47304"/>
    <w:rsid w:val="00C501E9"/>
    <w:rsid w:val="00C51E94"/>
    <w:rsid w:val="00C5252C"/>
    <w:rsid w:val="00C526A1"/>
    <w:rsid w:val="00C54A25"/>
    <w:rsid w:val="00C55CCC"/>
    <w:rsid w:val="00C61CF1"/>
    <w:rsid w:val="00C639B8"/>
    <w:rsid w:val="00C64549"/>
    <w:rsid w:val="00C64805"/>
    <w:rsid w:val="00C64F8D"/>
    <w:rsid w:val="00C651B3"/>
    <w:rsid w:val="00C67E27"/>
    <w:rsid w:val="00C70281"/>
    <w:rsid w:val="00C71440"/>
    <w:rsid w:val="00C73D7D"/>
    <w:rsid w:val="00C74389"/>
    <w:rsid w:val="00C74781"/>
    <w:rsid w:val="00C74986"/>
    <w:rsid w:val="00C75486"/>
    <w:rsid w:val="00C80AA5"/>
    <w:rsid w:val="00C81A06"/>
    <w:rsid w:val="00C830C3"/>
    <w:rsid w:val="00C83EB3"/>
    <w:rsid w:val="00C878B2"/>
    <w:rsid w:val="00C87C0F"/>
    <w:rsid w:val="00C87C94"/>
    <w:rsid w:val="00C9570F"/>
    <w:rsid w:val="00C9602C"/>
    <w:rsid w:val="00CA0266"/>
    <w:rsid w:val="00CA0ADB"/>
    <w:rsid w:val="00CA3172"/>
    <w:rsid w:val="00CA3855"/>
    <w:rsid w:val="00CA4E1F"/>
    <w:rsid w:val="00CA510E"/>
    <w:rsid w:val="00CA628D"/>
    <w:rsid w:val="00CA63DB"/>
    <w:rsid w:val="00CA69B2"/>
    <w:rsid w:val="00CB0B62"/>
    <w:rsid w:val="00CB1163"/>
    <w:rsid w:val="00CB3398"/>
    <w:rsid w:val="00CB779F"/>
    <w:rsid w:val="00CB7E86"/>
    <w:rsid w:val="00CC01E9"/>
    <w:rsid w:val="00CC02D3"/>
    <w:rsid w:val="00CC0787"/>
    <w:rsid w:val="00CC20FD"/>
    <w:rsid w:val="00CC22FB"/>
    <w:rsid w:val="00CC2400"/>
    <w:rsid w:val="00CC2BC9"/>
    <w:rsid w:val="00CC2D31"/>
    <w:rsid w:val="00CC2DF4"/>
    <w:rsid w:val="00CC3A8B"/>
    <w:rsid w:val="00CC3D0A"/>
    <w:rsid w:val="00CC4D48"/>
    <w:rsid w:val="00CC7AB9"/>
    <w:rsid w:val="00CD0AAD"/>
    <w:rsid w:val="00CD4770"/>
    <w:rsid w:val="00CD569D"/>
    <w:rsid w:val="00CD722C"/>
    <w:rsid w:val="00CE170E"/>
    <w:rsid w:val="00CE1DA8"/>
    <w:rsid w:val="00CE2561"/>
    <w:rsid w:val="00CE2C3B"/>
    <w:rsid w:val="00CE3DD2"/>
    <w:rsid w:val="00CE57EE"/>
    <w:rsid w:val="00CE5FF8"/>
    <w:rsid w:val="00CE6246"/>
    <w:rsid w:val="00CE6ADA"/>
    <w:rsid w:val="00CE7101"/>
    <w:rsid w:val="00CF284D"/>
    <w:rsid w:val="00CF28CE"/>
    <w:rsid w:val="00CF31B5"/>
    <w:rsid w:val="00D00E2E"/>
    <w:rsid w:val="00D036AE"/>
    <w:rsid w:val="00D040CE"/>
    <w:rsid w:val="00D044BE"/>
    <w:rsid w:val="00D0514C"/>
    <w:rsid w:val="00D05E0A"/>
    <w:rsid w:val="00D07462"/>
    <w:rsid w:val="00D1022E"/>
    <w:rsid w:val="00D10EA5"/>
    <w:rsid w:val="00D11578"/>
    <w:rsid w:val="00D11B21"/>
    <w:rsid w:val="00D14E5F"/>
    <w:rsid w:val="00D16A8E"/>
    <w:rsid w:val="00D16DE0"/>
    <w:rsid w:val="00D17728"/>
    <w:rsid w:val="00D24D0D"/>
    <w:rsid w:val="00D25B7B"/>
    <w:rsid w:val="00D300C1"/>
    <w:rsid w:val="00D31829"/>
    <w:rsid w:val="00D31F15"/>
    <w:rsid w:val="00D341E8"/>
    <w:rsid w:val="00D34E36"/>
    <w:rsid w:val="00D37CA3"/>
    <w:rsid w:val="00D40206"/>
    <w:rsid w:val="00D405C5"/>
    <w:rsid w:val="00D4198D"/>
    <w:rsid w:val="00D42CCF"/>
    <w:rsid w:val="00D431FB"/>
    <w:rsid w:val="00D433A0"/>
    <w:rsid w:val="00D43D86"/>
    <w:rsid w:val="00D45000"/>
    <w:rsid w:val="00D50F2B"/>
    <w:rsid w:val="00D520BB"/>
    <w:rsid w:val="00D5311B"/>
    <w:rsid w:val="00D534DD"/>
    <w:rsid w:val="00D536CD"/>
    <w:rsid w:val="00D539BE"/>
    <w:rsid w:val="00D57377"/>
    <w:rsid w:val="00D5767C"/>
    <w:rsid w:val="00D57B91"/>
    <w:rsid w:val="00D57D1C"/>
    <w:rsid w:val="00D650D3"/>
    <w:rsid w:val="00D6563B"/>
    <w:rsid w:val="00D66430"/>
    <w:rsid w:val="00D66642"/>
    <w:rsid w:val="00D677D9"/>
    <w:rsid w:val="00D7108E"/>
    <w:rsid w:val="00D72295"/>
    <w:rsid w:val="00D72503"/>
    <w:rsid w:val="00D73F3A"/>
    <w:rsid w:val="00D753A5"/>
    <w:rsid w:val="00D76A51"/>
    <w:rsid w:val="00D82E48"/>
    <w:rsid w:val="00D83DAB"/>
    <w:rsid w:val="00D85FD6"/>
    <w:rsid w:val="00D94485"/>
    <w:rsid w:val="00D946E1"/>
    <w:rsid w:val="00D952A4"/>
    <w:rsid w:val="00D95301"/>
    <w:rsid w:val="00D97448"/>
    <w:rsid w:val="00DA0811"/>
    <w:rsid w:val="00DA1F8C"/>
    <w:rsid w:val="00DA22F6"/>
    <w:rsid w:val="00DA233B"/>
    <w:rsid w:val="00DA300B"/>
    <w:rsid w:val="00DA36C4"/>
    <w:rsid w:val="00DA437A"/>
    <w:rsid w:val="00DA44DA"/>
    <w:rsid w:val="00DA645A"/>
    <w:rsid w:val="00DB10B1"/>
    <w:rsid w:val="00DB1FA4"/>
    <w:rsid w:val="00DB2CFB"/>
    <w:rsid w:val="00DB4295"/>
    <w:rsid w:val="00DB6A31"/>
    <w:rsid w:val="00DC211E"/>
    <w:rsid w:val="00DC3F66"/>
    <w:rsid w:val="00DC6A27"/>
    <w:rsid w:val="00DD1F15"/>
    <w:rsid w:val="00DD3837"/>
    <w:rsid w:val="00DD3D48"/>
    <w:rsid w:val="00DD5624"/>
    <w:rsid w:val="00DD617E"/>
    <w:rsid w:val="00DE33A3"/>
    <w:rsid w:val="00DE4BCE"/>
    <w:rsid w:val="00DE4CFE"/>
    <w:rsid w:val="00DE5290"/>
    <w:rsid w:val="00DE5FB5"/>
    <w:rsid w:val="00DE7FED"/>
    <w:rsid w:val="00DF049A"/>
    <w:rsid w:val="00DF17D5"/>
    <w:rsid w:val="00DF1BD8"/>
    <w:rsid w:val="00DF1D46"/>
    <w:rsid w:val="00DF277A"/>
    <w:rsid w:val="00DF27CD"/>
    <w:rsid w:val="00DF2D87"/>
    <w:rsid w:val="00DF3158"/>
    <w:rsid w:val="00DF498F"/>
    <w:rsid w:val="00DF5875"/>
    <w:rsid w:val="00DF5C8B"/>
    <w:rsid w:val="00DF7242"/>
    <w:rsid w:val="00E01A14"/>
    <w:rsid w:val="00E02EFA"/>
    <w:rsid w:val="00E032FF"/>
    <w:rsid w:val="00E056C5"/>
    <w:rsid w:val="00E05C72"/>
    <w:rsid w:val="00E1052A"/>
    <w:rsid w:val="00E112FB"/>
    <w:rsid w:val="00E12802"/>
    <w:rsid w:val="00E12BBE"/>
    <w:rsid w:val="00E143A2"/>
    <w:rsid w:val="00E14994"/>
    <w:rsid w:val="00E15C2B"/>
    <w:rsid w:val="00E164BF"/>
    <w:rsid w:val="00E16D20"/>
    <w:rsid w:val="00E1786E"/>
    <w:rsid w:val="00E1792F"/>
    <w:rsid w:val="00E17E4C"/>
    <w:rsid w:val="00E203B6"/>
    <w:rsid w:val="00E21A8E"/>
    <w:rsid w:val="00E21B77"/>
    <w:rsid w:val="00E22218"/>
    <w:rsid w:val="00E233F7"/>
    <w:rsid w:val="00E23531"/>
    <w:rsid w:val="00E24852"/>
    <w:rsid w:val="00E2530A"/>
    <w:rsid w:val="00E254E2"/>
    <w:rsid w:val="00E258F9"/>
    <w:rsid w:val="00E30E0B"/>
    <w:rsid w:val="00E34352"/>
    <w:rsid w:val="00E36083"/>
    <w:rsid w:val="00E37180"/>
    <w:rsid w:val="00E427A8"/>
    <w:rsid w:val="00E43AE7"/>
    <w:rsid w:val="00E51479"/>
    <w:rsid w:val="00E554B2"/>
    <w:rsid w:val="00E57E62"/>
    <w:rsid w:val="00E64BD7"/>
    <w:rsid w:val="00E70B89"/>
    <w:rsid w:val="00E70EB4"/>
    <w:rsid w:val="00E710AF"/>
    <w:rsid w:val="00E7181F"/>
    <w:rsid w:val="00E722F2"/>
    <w:rsid w:val="00E7252D"/>
    <w:rsid w:val="00E7260E"/>
    <w:rsid w:val="00E72981"/>
    <w:rsid w:val="00E75317"/>
    <w:rsid w:val="00E75891"/>
    <w:rsid w:val="00E76CDE"/>
    <w:rsid w:val="00E8170D"/>
    <w:rsid w:val="00E84685"/>
    <w:rsid w:val="00E85EAF"/>
    <w:rsid w:val="00E90BB6"/>
    <w:rsid w:val="00E91202"/>
    <w:rsid w:val="00E92787"/>
    <w:rsid w:val="00E92B23"/>
    <w:rsid w:val="00E93659"/>
    <w:rsid w:val="00E95F03"/>
    <w:rsid w:val="00E97B73"/>
    <w:rsid w:val="00EA1C04"/>
    <w:rsid w:val="00EA2DBB"/>
    <w:rsid w:val="00EA413F"/>
    <w:rsid w:val="00EA6486"/>
    <w:rsid w:val="00EA7337"/>
    <w:rsid w:val="00EA7411"/>
    <w:rsid w:val="00EB0651"/>
    <w:rsid w:val="00EB17D3"/>
    <w:rsid w:val="00EB1FB0"/>
    <w:rsid w:val="00EB7887"/>
    <w:rsid w:val="00EB7DBB"/>
    <w:rsid w:val="00EC0D3F"/>
    <w:rsid w:val="00EC1429"/>
    <w:rsid w:val="00EC2AE3"/>
    <w:rsid w:val="00EC35BA"/>
    <w:rsid w:val="00EC424F"/>
    <w:rsid w:val="00EC54E1"/>
    <w:rsid w:val="00EC5FFD"/>
    <w:rsid w:val="00EC6790"/>
    <w:rsid w:val="00EC69C3"/>
    <w:rsid w:val="00EC6C87"/>
    <w:rsid w:val="00EC7854"/>
    <w:rsid w:val="00EC7E9D"/>
    <w:rsid w:val="00ED3A71"/>
    <w:rsid w:val="00ED516D"/>
    <w:rsid w:val="00ED523A"/>
    <w:rsid w:val="00ED5ECA"/>
    <w:rsid w:val="00ED6A1D"/>
    <w:rsid w:val="00EE1559"/>
    <w:rsid w:val="00EE37A7"/>
    <w:rsid w:val="00EE466A"/>
    <w:rsid w:val="00EE49BB"/>
    <w:rsid w:val="00EE517D"/>
    <w:rsid w:val="00EE79D7"/>
    <w:rsid w:val="00EE7BAA"/>
    <w:rsid w:val="00EF08F9"/>
    <w:rsid w:val="00EF2CC5"/>
    <w:rsid w:val="00EF2D74"/>
    <w:rsid w:val="00EF3E20"/>
    <w:rsid w:val="00F006C6"/>
    <w:rsid w:val="00F0208D"/>
    <w:rsid w:val="00F02389"/>
    <w:rsid w:val="00F02950"/>
    <w:rsid w:val="00F03C56"/>
    <w:rsid w:val="00F04EAB"/>
    <w:rsid w:val="00F069F7"/>
    <w:rsid w:val="00F070DF"/>
    <w:rsid w:val="00F074A5"/>
    <w:rsid w:val="00F1140F"/>
    <w:rsid w:val="00F11D36"/>
    <w:rsid w:val="00F1244E"/>
    <w:rsid w:val="00F12FDD"/>
    <w:rsid w:val="00F16068"/>
    <w:rsid w:val="00F172CD"/>
    <w:rsid w:val="00F20A3A"/>
    <w:rsid w:val="00F20B5B"/>
    <w:rsid w:val="00F20BD1"/>
    <w:rsid w:val="00F218D6"/>
    <w:rsid w:val="00F22047"/>
    <w:rsid w:val="00F227A6"/>
    <w:rsid w:val="00F272FC"/>
    <w:rsid w:val="00F27991"/>
    <w:rsid w:val="00F302F1"/>
    <w:rsid w:val="00F30394"/>
    <w:rsid w:val="00F311E2"/>
    <w:rsid w:val="00F312BB"/>
    <w:rsid w:val="00F32A24"/>
    <w:rsid w:val="00F33185"/>
    <w:rsid w:val="00F33FA9"/>
    <w:rsid w:val="00F340AA"/>
    <w:rsid w:val="00F3419C"/>
    <w:rsid w:val="00F3765C"/>
    <w:rsid w:val="00F407F4"/>
    <w:rsid w:val="00F40DF7"/>
    <w:rsid w:val="00F42089"/>
    <w:rsid w:val="00F4279D"/>
    <w:rsid w:val="00F42EB7"/>
    <w:rsid w:val="00F43342"/>
    <w:rsid w:val="00F433A2"/>
    <w:rsid w:val="00F4366A"/>
    <w:rsid w:val="00F44239"/>
    <w:rsid w:val="00F450AA"/>
    <w:rsid w:val="00F46155"/>
    <w:rsid w:val="00F466D8"/>
    <w:rsid w:val="00F4748F"/>
    <w:rsid w:val="00F51771"/>
    <w:rsid w:val="00F5186E"/>
    <w:rsid w:val="00F518AD"/>
    <w:rsid w:val="00F52E78"/>
    <w:rsid w:val="00F53871"/>
    <w:rsid w:val="00F54688"/>
    <w:rsid w:val="00F54D6A"/>
    <w:rsid w:val="00F56CE6"/>
    <w:rsid w:val="00F572E6"/>
    <w:rsid w:val="00F60120"/>
    <w:rsid w:val="00F624F2"/>
    <w:rsid w:val="00F62943"/>
    <w:rsid w:val="00F6294B"/>
    <w:rsid w:val="00F64438"/>
    <w:rsid w:val="00F65AE2"/>
    <w:rsid w:val="00F6718D"/>
    <w:rsid w:val="00F70DA8"/>
    <w:rsid w:val="00F71A07"/>
    <w:rsid w:val="00F72FD9"/>
    <w:rsid w:val="00F7437F"/>
    <w:rsid w:val="00F76A49"/>
    <w:rsid w:val="00F76D81"/>
    <w:rsid w:val="00F80BF6"/>
    <w:rsid w:val="00F81B12"/>
    <w:rsid w:val="00F82750"/>
    <w:rsid w:val="00F849DB"/>
    <w:rsid w:val="00F84B47"/>
    <w:rsid w:val="00F84E4D"/>
    <w:rsid w:val="00F85E83"/>
    <w:rsid w:val="00F90219"/>
    <w:rsid w:val="00F9027E"/>
    <w:rsid w:val="00F935EB"/>
    <w:rsid w:val="00F9468E"/>
    <w:rsid w:val="00F94D6A"/>
    <w:rsid w:val="00F95103"/>
    <w:rsid w:val="00F9523D"/>
    <w:rsid w:val="00F95363"/>
    <w:rsid w:val="00F95BBF"/>
    <w:rsid w:val="00F96E24"/>
    <w:rsid w:val="00F97381"/>
    <w:rsid w:val="00F97EF4"/>
    <w:rsid w:val="00FA0488"/>
    <w:rsid w:val="00FA0A6F"/>
    <w:rsid w:val="00FA5B5C"/>
    <w:rsid w:val="00FB08EC"/>
    <w:rsid w:val="00FB29A0"/>
    <w:rsid w:val="00FB3C3D"/>
    <w:rsid w:val="00FB49CC"/>
    <w:rsid w:val="00FB5AB0"/>
    <w:rsid w:val="00FB6F2A"/>
    <w:rsid w:val="00FB7083"/>
    <w:rsid w:val="00FC5173"/>
    <w:rsid w:val="00FC5302"/>
    <w:rsid w:val="00FC5572"/>
    <w:rsid w:val="00FD25A1"/>
    <w:rsid w:val="00FD40FF"/>
    <w:rsid w:val="00FD46DB"/>
    <w:rsid w:val="00FD4FC6"/>
    <w:rsid w:val="00FD5434"/>
    <w:rsid w:val="00FD5A7E"/>
    <w:rsid w:val="00FD6F6E"/>
    <w:rsid w:val="00FE0028"/>
    <w:rsid w:val="00FE0D10"/>
    <w:rsid w:val="00FE1808"/>
    <w:rsid w:val="00FE1DA9"/>
    <w:rsid w:val="00FE449B"/>
    <w:rsid w:val="00FE4648"/>
    <w:rsid w:val="00FE4978"/>
    <w:rsid w:val="00FE5CEB"/>
    <w:rsid w:val="00FE5EB2"/>
    <w:rsid w:val="00FF02CE"/>
    <w:rsid w:val="00FF233D"/>
    <w:rsid w:val="00FF2C50"/>
    <w:rsid w:val="00FF32BD"/>
    <w:rsid w:val="00FF4299"/>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F49E8"/>
  <w15:chartTrackingRefBased/>
  <w15:docId w15:val="{3F387029-6506-4077-948D-714A2E24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BA6"/>
    <w:pPr>
      <w:spacing w:after="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9446D1"/>
    <w:pPr>
      <w:keepNext/>
      <w:keepLines/>
      <w:spacing w:before="360" w:after="240"/>
      <w:ind w:firstLine="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9446D1"/>
    <w:pPr>
      <w:keepNext/>
      <w:keepLines/>
      <w:spacing w:before="360" w:after="240"/>
      <w:ind w:firstLine="0"/>
      <w:outlineLvl w:val="1"/>
    </w:pPr>
    <w:rPr>
      <w:rFonts w:eastAsiaTheme="majorEastAsia"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412FA"/>
    <w:pPr>
      <w:spacing w:line="240" w:lineRule="auto"/>
    </w:pPr>
    <w:rPr>
      <w:sz w:val="20"/>
      <w:szCs w:val="20"/>
    </w:rPr>
  </w:style>
  <w:style w:type="character" w:customStyle="1" w:styleId="TextpoznpodarouChar">
    <w:name w:val="Text pozn. pod čarou Char"/>
    <w:basedOn w:val="Standardnpsmoodstavce"/>
    <w:link w:val="Textpoznpodarou"/>
    <w:uiPriority w:val="99"/>
    <w:rsid w:val="00A412FA"/>
    <w:rPr>
      <w:rFonts w:asciiTheme="minorBidi" w:hAnsiTheme="minorBidi"/>
      <w:sz w:val="20"/>
      <w:szCs w:val="20"/>
    </w:rPr>
  </w:style>
  <w:style w:type="character" w:styleId="Znakapoznpodarou">
    <w:name w:val="footnote reference"/>
    <w:basedOn w:val="Standardnpsmoodstavce"/>
    <w:uiPriority w:val="99"/>
    <w:semiHidden/>
    <w:unhideWhenUsed/>
    <w:rsid w:val="00A412FA"/>
    <w:rPr>
      <w:vertAlign w:val="superscript"/>
    </w:rPr>
  </w:style>
  <w:style w:type="paragraph" w:styleId="Textvysvtlivek">
    <w:name w:val="endnote text"/>
    <w:basedOn w:val="Normln"/>
    <w:link w:val="TextvysvtlivekChar"/>
    <w:uiPriority w:val="99"/>
    <w:semiHidden/>
    <w:unhideWhenUsed/>
    <w:rsid w:val="00DF17D5"/>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DF17D5"/>
    <w:rPr>
      <w:rFonts w:asciiTheme="minorBidi" w:hAnsiTheme="minorBidi"/>
      <w:sz w:val="20"/>
      <w:szCs w:val="20"/>
    </w:rPr>
  </w:style>
  <w:style w:type="character" w:styleId="Odkaznavysvtlivky">
    <w:name w:val="endnote reference"/>
    <w:basedOn w:val="Standardnpsmoodstavce"/>
    <w:uiPriority w:val="99"/>
    <w:semiHidden/>
    <w:unhideWhenUsed/>
    <w:rsid w:val="00DF17D5"/>
    <w:rPr>
      <w:vertAlign w:val="superscript"/>
    </w:rPr>
  </w:style>
  <w:style w:type="character" w:styleId="Hypertextovodkaz">
    <w:name w:val="Hyperlink"/>
    <w:basedOn w:val="Standardnpsmoodstavce"/>
    <w:uiPriority w:val="99"/>
    <w:unhideWhenUsed/>
    <w:rsid w:val="001823BB"/>
    <w:rPr>
      <w:color w:val="0563C1" w:themeColor="hyperlink"/>
      <w:u w:val="single"/>
    </w:rPr>
  </w:style>
  <w:style w:type="character" w:styleId="Nevyeenzmnka">
    <w:name w:val="Unresolved Mention"/>
    <w:basedOn w:val="Standardnpsmoodstavce"/>
    <w:uiPriority w:val="99"/>
    <w:semiHidden/>
    <w:unhideWhenUsed/>
    <w:rsid w:val="001823BB"/>
    <w:rPr>
      <w:color w:val="605E5C"/>
      <w:shd w:val="clear" w:color="auto" w:fill="E1DFDD"/>
    </w:rPr>
  </w:style>
  <w:style w:type="paragraph" w:styleId="Zhlav">
    <w:name w:val="header"/>
    <w:basedOn w:val="Normln"/>
    <w:link w:val="ZhlavChar"/>
    <w:uiPriority w:val="99"/>
    <w:unhideWhenUsed/>
    <w:rsid w:val="00A73273"/>
    <w:pPr>
      <w:tabs>
        <w:tab w:val="center" w:pos="4536"/>
        <w:tab w:val="right" w:pos="9072"/>
      </w:tabs>
      <w:spacing w:line="240" w:lineRule="auto"/>
    </w:pPr>
  </w:style>
  <w:style w:type="character" w:customStyle="1" w:styleId="ZhlavChar">
    <w:name w:val="Záhlaví Char"/>
    <w:basedOn w:val="Standardnpsmoodstavce"/>
    <w:link w:val="Zhlav"/>
    <w:uiPriority w:val="99"/>
    <w:rsid w:val="00A73273"/>
    <w:rPr>
      <w:rFonts w:asciiTheme="minorBidi" w:hAnsiTheme="minorBidi"/>
      <w:sz w:val="24"/>
    </w:rPr>
  </w:style>
  <w:style w:type="paragraph" w:styleId="Zpat">
    <w:name w:val="footer"/>
    <w:basedOn w:val="Normln"/>
    <w:link w:val="ZpatChar"/>
    <w:uiPriority w:val="99"/>
    <w:unhideWhenUsed/>
    <w:rsid w:val="00A73273"/>
    <w:pPr>
      <w:tabs>
        <w:tab w:val="center" w:pos="4536"/>
        <w:tab w:val="right" w:pos="9072"/>
      </w:tabs>
      <w:spacing w:line="240" w:lineRule="auto"/>
    </w:pPr>
  </w:style>
  <w:style w:type="character" w:customStyle="1" w:styleId="ZpatChar">
    <w:name w:val="Zápatí Char"/>
    <w:basedOn w:val="Standardnpsmoodstavce"/>
    <w:link w:val="Zpat"/>
    <w:uiPriority w:val="99"/>
    <w:rsid w:val="00A73273"/>
    <w:rPr>
      <w:rFonts w:asciiTheme="minorBidi" w:hAnsiTheme="minorBidi"/>
      <w:sz w:val="24"/>
    </w:rPr>
  </w:style>
  <w:style w:type="character" w:customStyle="1" w:styleId="Nadpis1Char">
    <w:name w:val="Nadpis 1 Char"/>
    <w:basedOn w:val="Standardnpsmoodstavce"/>
    <w:link w:val="Nadpis1"/>
    <w:uiPriority w:val="9"/>
    <w:rsid w:val="009446D1"/>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9446D1"/>
    <w:rPr>
      <w:rFonts w:ascii="Times New Roman" w:eastAsiaTheme="majorEastAsia" w:hAnsi="Times New Roman" w:cstheme="majorBidi"/>
      <w:b/>
      <w:sz w:val="28"/>
      <w:szCs w:val="26"/>
    </w:rPr>
  </w:style>
  <w:style w:type="paragraph" w:styleId="Odstavecseseznamem">
    <w:name w:val="List Paragraph"/>
    <w:basedOn w:val="Normln"/>
    <w:uiPriority w:val="34"/>
    <w:qFormat/>
    <w:rsid w:val="00B2435E"/>
    <w:pPr>
      <w:ind w:left="720"/>
      <w:contextualSpacing/>
    </w:pPr>
  </w:style>
  <w:style w:type="table" w:styleId="Mkatabulky">
    <w:name w:val="Table Grid"/>
    <w:basedOn w:val="Normlntabulka"/>
    <w:uiPriority w:val="39"/>
    <w:rsid w:val="0091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fie1">
    <w:name w:val="Bibliografie1"/>
    <w:basedOn w:val="Normln"/>
    <w:link w:val="BibliographyChar"/>
    <w:qFormat/>
    <w:rsid w:val="00B37871"/>
    <w:pPr>
      <w:spacing w:after="160"/>
      <w:ind w:firstLine="0"/>
    </w:pPr>
    <w:rPr>
      <w:lang w:val="en-US"/>
    </w:rPr>
  </w:style>
  <w:style w:type="paragraph" w:styleId="Nzev">
    <w:name w:val="Title"/>
    <w:basedOn w:val="Normln"/>
    <w:next w:val="Normln"/>
    <w:link w:val="NzevChar"/>
    <w:uiPriority w:val="10"/>
    <w:qFormat/>
    <w:rsid w:val="00AB776F"/>
    <w:pPr>
      <w:spacing w:line="240" w:lineRule="auto"/>
      <w:ind w:firstLine="0"/>
      <w:contextualSpacing/>
      <w:jc w:val="left"/>
    </w:pPr>
    <w:rPr>
      <w:rFonts w:asciiTheme="majorBidi" w:eastAsiaTheme="majorEastAsia" w:hAnsiTheme="majorBidi" w:cstheme="majorBidi"/>
      <w:b/>
      <w:spacing w:val="-10"/>
      <w:kern w:val="28"/>
      <w:sz w:val="32"/>
      <w:szCs w:val="56"/>
      <w:lang w:bidi="ar-SA"/>
    </w:rPr>
  </w:style>
  <w:style w:type="character" w:customStyle="1" w:styleId="BibliographyChar">
    <w:name w:val="Bibliography Char"/>
    <w:basedOn w:val="Standardnpsmoodstavce"/>
    <w:link w:val="Bibliografie1"/>
    <w:rsid w:val="00B37871"/>
    <w:rPr>
      <w:rFonts w:ascii="Times New Roman" w:hAnsi="Times New Roman"/>
      <w:sz w:val="24"/>
      <w:lang w:val="en-US"/>
    </w:rPr>
  </w:style>
  <w:style w:type="character" w:customStyle="1" w:styleId="NzevChar">
    <w:name w:val="Název Char"/>
    <w:basedOn w:val="Standardnpsmoodstavce"/>
    <w:link w:val="Nzev"/>
    <w:uiPriority w:val="10"/>
    <w:rsid w:val="00AB776F"/>
    <w:rPr>
      <w:rFonts w:asciiTheme="majorBidi" w:eastAsiaTheme="majorEastAsia" w:hAnsiTheme="majorBidi" w:cstheme="majorBidi"/>
      <w:b/>
      <w:spacing w:val="-10"/>
      <w:kern w:val="28"/>
      <w:sz w:val="32"/>
      <w:szCs w:val="56"/>
      <w:lang w:bidi="ar-SA"/>
    </w:rPr>
  </w:style>
  <w:style w:type="paragraph" w:styleId="Nadpisobsahu">
    <w:name w:val="TOC Heading"/>
    <w:basedOn w:val="Nadpis1"/>
    <w:next w:val="Normln"/>
    <w:uiPriority w:val="39"/>
    <w:unhideWhenUsed/>
    <w:qFormat/>
    <w:rsid w:val="00AB776F"/>
    <w:pPr>
      <w:spacing w:before="240" w:after="0"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AB776F"/>
    <w:pPr>
      <w:spacing w:after="100"/>
    </w:pPr>
  </w:style>
  <w:style w:type="paragraph" w:styleId="Obsah2">
    <w:name w:val="toc 2"/>
    <w:basedOn w:val="Normln"/>
    <w:next w:val="Normln"/>
    <w:autoRedefine/>
    <w:uiPriority w:val="39"/>
    <w:unhideWhenUsed/>
    <w:rsid w:val="00AB776F"/>
    <w:pPr>
      <w:spacing w:after="100"/>
      <w:ind w:left="240"/>
    </w:pPr>
  </w:style>
  <w:style w:type="character" w:styleId="Sledovanodkaz">
    <w:name w:val="FollowedHyperlink"/>
    <w:basedOn w:val="Standardnpsmoodstavce"/>
    <w:uiPriority w:val="99"/>
    <w:semiHidden/>
    <w:unhideWhenUsed/>
    <w:rsid w:val="00E15C2B"/>
    <w:rPr>
      <w:color w:val="954F72" w:themeColor="followedHyperlink"/>
      <w:u w:val="single"/>
    </w:rPr>
  </w:style>
  <w:style w:type="paragraph" w:customStyle="1" w:styleId="Footnotes">
    <w:name w:val="Footnotes"/>
    <w:basedOn w:val="Normln"/>
    <w:link w:val="FootnotesChar"/>
    <w:qFormat/>
    <w:rsid w:val="006F1082"/>
    <w:pPr>
      <w:spacing w:line="240" w:lineRule="auto"/>
      <w:ind w:firstLine="0"/>
    </w:pPr>
    <w:rPr>
      <w:sz w:val="20"/>
      <w:lang w:val="en-US"/>
    </w:rPr>
  </w:style>
  <w:style w:type="character" w:customStyle="1" w:styleId="FootnotesChar">
    <w:name w:val="Footnotes Char"/>
    <w:basedOn w:val="Standardnpsmoodstavce"/>
    <w:link w:val="Footnotes"/>
    <w:rsid w:val="006F1082"/>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46101">
      <w:bodyDiv w:val="1"/>
      <w:marLeft w:val="0"/>
      <w:marRight w:val="0"/>
      <w:marTop w:val="0"/>
      <w:marBottom w:val="0"/>
      <w:divBdr>
        <w:top w:val="none" w:sz="0" w:space="0" w:color="auto"/>
        <w:left w:val="none" w:sz="0" w:space="0" w:color="auto"/>
        <w:bottom w:val="none" w:sz="0" w:space="0" w:color="auto"/>
        <w:right w:val="none" w:sz="0" w:space="0" w:color="auto"/>
      </w:divBdr>
    </w:div>
    <w:div w:id="1086418990">
      <w:bodyDiv w:val="1"/>
      <w:marLeft w:val="0"/>
      <w:marRight w:val="0"/>
      <w:marTop w:val="0"/>
      <w:marBottom w:val="0"/>
      <w:divBdr>
        <w:top w:val="none" w:sz="0" w:space="0" w:color="auto"/>
        <w:left w:val="none" w:sz="0" w:space="0" w:color="auto"/>
        <w:bottom w:val="none" w:sz="0" w:space="0" w:color="auto"/>
        <w:right w:val="none" w:sz="0" w:space="0" w:color="auto"/>
      </w:divBdr>
    </w:div>
    <w:div w:id="11206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library.cornell.edu/catalog?f%5Bcollection_tesim%5D%5B%5D=Cornell+Gem+Impressions+Collection" TargetMode="External"/><Relationship Id="rId18" Type="http://schemas.openxmlformats.org/officeDocument/2006/relationships/hyperlink" Target="https://www.beazley.ox.ac.uk/gems/default.htm" TargetMode="External"/><Relationship Id="rId26" Type="http://schemas.openxmlformats.org/officeDocument/2006/relationships/hyperlink" Target="https://www.ifao.egnet.net/bifao/109/15/" TargetMode="External"/><Relationship Id="rId39" Type="http://schemas.openxmlformats.org/officeDocument/2006/relationships/hyperlink" Target="http://www.jstor.org/stable/40753416" TargetMode="External"/><Relationship Id="rId21" Type="http://schemas.openxmlformats.org/officeDocument/2006/relationships/hyperlink" Target="http://www.jstor.org/stable/40753384" TargetMode="External"/><Relationship Id="rId34" Type="http://schemas.openxmlformats.org/officeDocument/2006/relationships/hyperlink" Target="https://www.academia.edu/11756148/Figuring_out_the_Anguipede_snake_legged_god_and_his_relation_to_Judaism_Journal_of_Roman_Archaeology_15_2002_159_172" TargetMode="External"/><Relationship Id="rId42" Type="http://schemas.openxmlformats.org/officeDocument/2006/relationships/hyperlink" Target="https://doi.org/10.1515/9783110604337-00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stor.org/stable/25207779" TargetMode="External"/><Relationship Id="rId29" Type="http://schemas.openxmlformats.org/officeDocument/2006/relationships/hyperlink" Target="https://ccdl.claremont.edu/digital/collection/nha/id/2970/rec/1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mann-hesse.de/files/pdfs/en_lebenskrise.pdf" TargetMode="External"/><Relationship Id="rId24" Type="http://schemas.openxmlformats.org/officeDocument/2006/relationships/hyperlink" Target="http://www.jstor.org/stable/41216715" TargetMode="External"/><Relationship Id="rId32" Type="http://schemas.openxmlformats.org/officeDocument/2006/relationships/hyperlink" Target="https://ccdl.claremont.edu/digital/collection/nha/id/2600/rec/168" TargetMode="External"/><Relationship Id="rId37" Type="http://schemas.openxmlformats.org/officeDocument/2006/relationships/hyperlink" Target="https://romaninscriptionsofbritain.org/inscriptions/436" TargetMode="External"/><Relationship Id="rId40" Type="http://schemas.openxmlformats.org/officeDocument/2006/relationships/hyperlink" Target="https://archives.history.ac.uk/makinghistory/resources/articles/antiquarianism.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stor.org/stable/40753418" TargetMode="External"/><Relationship Id="rId23" Type="http://schemas.openxmlformats.org/officeDocument/2006/relationships/hyperlink" Target="https://www.schoyencollection.com/magical-literature-introduction" TargetMode="External"/><Relationship Id="rId28" Type="http://schemas.openxmlformats.org/officeDocument/2006/relationships/hyperlink" Target="https://ccdl.claremont.edu/digital/collection/nha/id/2783/rec/63" TargetMode="External"/><Relationship Id="rId36" Type="http://schemas.openxmlformats.org/officeDocument/2006/relationships/hyperlink" Target="https://www.researchgate.net/publication/261672933_The_Hermeneutics_of_Vision_C_G_Jung_and_Liber_Novus" TargetMode="External"/><Relationship Id="rId10" Type="http://schemas.openxmlformats.org/officeDocument/2006/relationships/hyperlink" Target="https://doi.org/10.4000/anatoliaantiqua.303" TargetMode="External"/><Relationship Id="rId19" Type="http://schemas.openxmlformats.org/officeDocument/2006/relationships/hyperlink" Target="http://www.jstor.org/stable/j.ctvzpv55g.5" TargetMode="External"/><Relationship Id="rId31" Type="http://schemas.openxmlformats.org/officeDocument/2006/relationships/hyperlink" Target="https://ccdl.claremont.edu/digital/collection/nha/id/3006/rec/133"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jstor.org/stable/41298725" TargetMode="External"/><Relationship Id="rId14" Type="http://schemas.openxmlformats.org/officeDocument/2006/relationships/hyperlink" Target="https://www.metmuseum.org/toah/hd/gems/hd_gems.htm" TargetMode="External"/><Relationship Id="rId22" Type="http://schemas.openxmlformats.org/officeDocument/2006/relationships/hyperlink" Target="http://www.jstor.org/stable/1560684" TargetMode="External"/><Relationship Id="rId27" Type="http://schemas.openxmlformats.org/officeDocument/2006/relationships/hyperlink" Target="http://hesse.projects.gss.ucsb.edu/papers/maier.pdf" TargetMode="External"/><Relationship Id="rId30" Type="http://schemas.openxmlformats.org/officeDocument/2006/relationships/hyperlink" Target="https://ccdl.claremont.edu/digital/collection/nha/id/2978/rec/120" TargetMode="External"/><Relationship Id="rId35" Type="http://schemas.openxmlformats.org/officeDocument/2006/relationships/hyperlink" Target="https://www.jewishvirtuallibrary.org/the-cairo-genizah" TargetMode="External"/><Relationship Id="rId43" Type="http://schemas.openxmlformats.org/officeDocument/2006/relationships/hyperlink" Target="https://www.academia.edu/30797200/ANOTHER_ARABIC_VERSION_OF_SEFER_HA_RAZIM_AND_%E1%B8%A4ARBA_DE_MO%C5%A0E_A_NEW_SIFR_%C4%80DAM_MANUSCRIPT"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jewishencyclopedia.com/articles/633-abraxas" TargetMode="External"/><Relationship Id="rId17" Type="http://schemas.openxmlformats.org/officeDocument/2006/relationships/hyperlink" Target="http://www.jstor.org/stable/620388" TargetMode="External"/><Relationship Id="rId25" Type="http://schemas.openxmlformats.org/officeDocument/2006/relationships/hyperlink" Target="https://www.britannica.com/biography/Judas-Maccabeus" TargetMode="External"/><Relationship Id="rId33" Type="http://schemas.openxmlformats.org/officeDocument/2006/relationships/hyperlink" Target="https://ccdl.claremont.edu/digital/collection/nha/id/3511/rec/253" TargetMode="External"/><Relationship Id="rId38" Type="http://schemas.openxmlformats.org/officeDocument/2006/relationships/hyperlink" Target="https://www.jewishvirtuallibrary.org/razim-sefer-ha" TargetMode="External"/><Relationship Id="rId46" Type="http://schemas.openxmlformats.org/officeDocument/2006/relationships/theme" Target="theme/theme1.xml"/><Relationship Id="rId20" Type="http://schemas.openxmlformats.org/officeDocument/2006/relationships/hyperlink" Target="http://www.jstor.org/stable/j.ctt7zvg9x" TargetMode="External"/><Relationship Id="rId41" Type="http://schemas.openxmlformats.org/officeDocument/2006/relationships/hyperlink" Target="http://cbd.mfab.h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hermann-hesse.de/files/pdfs/en_lebenskrise.pdf" TargetMode="External"/><Relationship Id="rId18" Type="http://schemas.openxmlformats.org/officeDocument/2006/relationships/hyperlink" Target="https://ccdl.claremont.edu/digital/collection/nha/id/2978/rec/120" TargetMode="External"/><Relationship Id="rId26" Type="http://schemas.openxmlformats.org/officeDocument/2006/relationships/hyperlink" Target="https://www.academia.edu/11756148/Figuring_out_the_Anguipede_snake_legged_god_and_his_relation_to_Judaism_Journal_of_Roman_Archaeology_15_2002_159_172" TargetMode="External"/><Relationship Id="rId3" Type="http://schemas.openxmlformats.org/officeDocument/2006/relationships/hyperlink" Target="https://www.metmuseum.org/toah/hd/gems/hd_gems.htm" TargetMode="External"/><Relationship Id="rId21" Type="http://schemas.openxmlformats.org/officeDocument/2006/relationships/hyperlink" Target="https://ccdl.claremont.edu/digital/collection/nha/id/3511/rec/253" TargetMode="External"/><Relationship Id="rId34" Type="http://schemas.openxmlformats.org/officeDocument/2006/relationships/hyperlink" Target="https://www.schoyencollection.com/magical-literature-introduction" TargetMode="External"/><Relationship Id="rId7" Type="http://schemas.openxmlformats.org/officeDocument/2006/relationships/hyperlink" Target="http://www.jstor.org/stable/25207779" TargetMode="External"/><Relationship Id="rId12" Type="http://schemas.openxmlformats.org/officeDocument/2006/relationships/hyperlink" Target="http://hesse.projects.gss.ucsb.edu/papers/maier.pdf" TargetMode="External"/><Relationship Id="rId17" Type="http://schemas.openxmlformats.org/officeDocument/2006/relationships/hyperlink" Target="https://ccdl.claremont.edu/digital/collection/nha/id/2970/rec/119" TargetMode="External"/><Relationship Id="rId25" Type="http://schemas.openxmlformats.org/officeDocument/2006/relationships/hyperlink" Target="https://www.ifao.egnet.net/bifao/109/15/" TargetMode="External"/><Relationship Id="rId33" Type="http://schemas.openxmlformats.org/officeDocument/2006/relationships/hyperlink" Target="http://www.jstor.org/stable/40753418" TargetMode="External"/><Relationship Id="rId2" Type="http://schemas.openxmlformats.org/officeDocument/2006/relationships/hyperlink" Target="https://www.britannica.com/biography/Judas-Maccabeus" TargetMode="External"/><Relationship Id="rId16" Type="http://schemas.openxmlformats.org/officeDocument/2006/relationships/hyperlink" Target="https://www.jewishencyclopedia.com/articles/633-abraxas" TargetMode="External"/><Relationship Id="rId20" Type="http://schemas.openxmlformats.org/officeDocument/2006/relationships/hyperlink" Target="https://ccdl.claremont.edu/digital/collection/nha/id/2600/rec/168" TargetMode="External"/><Relationship Id="rId29" Type="http://schemas.openxmlformats.org/officeDocument/2006/relationships/hyperlink" Target="http://cbd.mfab.hu/" TargetMode="External"/><Relationship Id="rId1" Type="http://schemas.openxmlformats.org/officeDocument/2006/relationships/hyperlink" Target="http://www.jstor.org/stable/j.ctvzpv55g.5" TargetMode="External"/><Relationship Id="rId6" Type="http://schemas.openxmlformats.org/officeDocument/2006/relationships/hyperlink" Target="http://www.jstor.org/stable/40753384" TargetMode="External"/><Relationship Id="rId11" Type="http://schemas.openxmlformats.org/officeDocument/2006/relationships/hyperlink" Target="https://www.researchgate.net/publication/261672933_The_Hermeneutics_of_Vision_C_G_Jung_and_Liber_Novus" TargetMode="External"/><Relationship Id="rId24" Type="http://schemas.openxmlformats.org/officeDocument/2006/relationships/hyperlink" Target="http://www.jstor.org/stable/41216715" TargetMode="External"/><Relationship Id="rId32" Type="http://schemas.openxmlformats.org/officeDocument/2006/relationships/hyperlink" Target="https://www.academia.edu/30797200/ANOTHER_ARABIC_VERSION_OF_SEFER_HA_RAZIM_AND_%E1%B8%A4ARBA_DE_MO%C5%A0E_A_NEW_SIFR_%C4%80DAM_MANUSCRIPT" TargetMode="External"/><Relationship Id="rId5" Type="http://schemas.openxmlformats.org/officeDocument/2006/relationships/hyperlink" Target="https://doi.org/10.1515/9783110604337-008" TargetMode="External"/><Relationship Id="rId15" Type="http://schemas.openxmlformats.org/officeDocument/2006/relationships/hyperlink" Target="https://romaninscriptionsofbritain.org/inscriptions/436" TargetMode="External"/><Relationship Id="rId23" Type="http://schemas.openxmlformats.org/officeDocument/2006/relationships/hyperlink" Target="http://www.jstor.org/stable/1560684" TargetMode="External"/><Relationship Id="rId28" Type="http://schemas.openxmlformats.org/officeDocument/2006/relationships/hyperlink" Target="https://doi.org/10.4000/anatoliaantiqua.303" TargetMode="External"/><Relationship Id="rId36" Type="http://schemas.openxmlformats.org/officeDocument/2006/relationships/hyperlink" Target="http://www.jstor.org/stable/620388" TargetMode="External"/><Relationship Id="rId10" Type="http://schemas.openxmlformats.org/officeDocument/2006/relationships/hyperlink" Target="https://www.schoyencollection.com/magical-literature-introduction" TargetMode="External"/><Relationship Id="rId19" Type="http://schemas.openxmlformats.org/officeDocument/2006/relationships/hyperlink" Target="https://ccdl.claremont.edu/digital/collection/nha/id/3006/rec/133" TargetMode="External"/><Relationship Id="rId31" Type="http://schemas.openxmlformats.org/officeDocument/2006/relationships/hyperlink" Target="https://www.beazley.ox.ac.uk/gems/default.htm" TargetMode="External"/><Relationship Id="rId4" Type="http://schemas.openxmlformats.org/officeDocument/2006/relationships/hyperlink" Target="https://archives.history.ac.uk/makinghistory/resources/articles/antiquarianism.html" TargetMode="External"/><Relationship Id="rId9" Type="http://schemas.openxmlformats.org/officeDocument/2006/relationships/hyperlink" Target="https://www.jewishvirtuallibrary.org/razim-sefer-ha" TargetMode="External"/><Relationship Id="rId14" Type="http://schemas.openxmlformats.org/officeDocument/2006/relationships/hyperlink" Target="http://www.jstor.org/stable/41298725" TargetMode="External"/><Relationship Id="rId22" Type="http://schemas.openxmlformats.org/officeDocument/2006/relationships/hyperlink" Target="https://ccdl.claremont.edu/digital/collection/nha/id/2783/rec/63" TargetMode="External"/><Relationship Id="rId27" Type="http://schemas.openxmlformats.org/officeDocument/2006/relationships/hyperlink" Target="http://www.jstor.org/stable/j.ctt7zvg9x" TargetMode="External"/><Relationship Id="rId30" Type="http://schemas.openxmlformats.org/officeDocument/2006/relationships/hyperlink" Target="https://digital.library.cornell.edu/catalog?f%5Bcollection_tesim%5D%5B%5D=Cornell+Gem+Impressions+Collection" TargetMode="External"/><Relationship Id="rId35" Type="http://schemas.openxmlformats.org/officeDocument/2006/relationships/hyperlink" Target="http://www.jstor.org/stable/40753416" TargetMode="External"/><Relationship Id="rId8" Type="http://schemas.openxmlformats.org/officeDocument/2006/relationships/hyperlink" Target="https://www.jewishvirtuallibrary.org/the-cairo-genizah"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94C4-C39F-4ABE-80C1-1267F6D3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76</Pages>
  <Words>19228</Words>
  <Characters>113446</Characters>
  <Application>Microsoft Office Word</Application>
  <DocSecurity>0</DocSecurity>
  <Lines>945</Lines>
  <Paragraphs>264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Svobodníková</dc:creator>
  <cp:keywords/>
  <dc:description/>
  <cp:lastModifiedBy>Nikola Svobodníková</cp:lastModifiedBy>
  <cp:revision>3</cp:revision>
  <dcterms:created xsi:type="dcterms:W3CDTF">2021-05-06T05:23:00Z</dcterms:created>
  <dcterms:modified xsi:type="dcterms:W3CDTF">2021-05-06T06:52:00Z</dcterms:modified>
</cp:coreProperties>
</file>