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C301A" w14:textId="77777777" w:rsidR="003B2CAA" w:rsidRPr="00707707" w:rsidRDefault="003B2CAA" w:rsidP="003B2CAA">
      <w:pPr>
        <w:pStyle w:val="NormalWeb"/>
        <w:jc w:val="center"/>
        <w:rPr>
          <w:sz w:val="32"/>
          <w:szCs w:val="32"/>
          <w:lang w:val="cs-CZ"/>
        </w:rPr>
      </w:pPr>
      <w:bookmarkStart w:id="0" w:name="_Toc132266307"/>
      <w:r>
        <w:rPr>
          <w:sz w:val="32"/>
          <w:szCs w:val="32"/>
          <w:lang w:val="cs-CZ"/>
        </w:rPr>
        <w:t>Univerzita Palackého v Olomouci</w:t>
      </w:r>
    </w:p>
    <w:p w14:paraId="110E2C84" w14:textId="77777777" w:rsidR="003B2CAA" w:rsidRDefault="003B2CAA" w:rsidP="003B2CAA">
      <w:pPr>
        <w:pStyle w:val="NormalWeb"/>
        <w:jc w:val="center"/>
        <w:rPr>
          <w:sz w:val="32"/>
          <w:szCs w:val="32"/>
          <w:lang w:val="en-GB"/>
        </w:rPr>
      </w:pPr>
      <w:proofErr w:type="spellStart"/>
      <w:r>
        <w:rPr>
          <w:sz w:val="32"/>
          <w:szCs w:val="32"/>
          <w:lang w:val="en-GB"/>
        </w:rPr>
        <w:t>Přírodovědecká</w:t>
      </w:r>
      <w:proofErr w:type="spellEnd"/>
      <w:r>
        <w:rPr>
          <w:sz w:val="32"/>
          <w:szCs w:val="32"/>
          <w:lang w:val="en-GB"/>
        </w:rPr>
        <w:t xml:space="preserve"> </w:t>
      </w:r>
      <w:proofErr w:type="spellStart"/>
      <w:r>
        <w:rPr>
          <w:sz w:val="32"/>
          <w:szCs w:val="32"/>
          <w:lang w:val="en-GB"/>
        </w:rPr>
        <w:t>fakulta</w:t>
      </w:r>
      <w:proofErr w:type="spellEnd"/>
    </w:p>
    <w:p w14:paraId="67CE79F9" w14:textId="77777777" w:rsidR="003B2CAA" w:rsidRDefault="003B2CAA" w:rsidP="003B2CAA">
      <w:pPr>
        <w:pStyle w:val="NormalWeb"/>
        <w:jc w:val="center"/>
        <w:rPr>
          <w:sz w:val="32"/>
          <w:szCs w:val="32"/>
          <w:lang w:val="en-GB"/>
        </w:rPr>
      </w:pPr>
      <w:proofErr w:type="spellStart"/>
      <w:r>
        <w:rPr>
          <w:sz w:val="32"/>
          <w:szCs w:val="32"/>
          <w:lang w:val="en-GB"/>
        </w:rPr>
        <w:t>Katedra</w:t>
      </w:r>
      <w:proofErr w:type="spellEnd"/>
      <w:r>
        <w:rPr>
          <w:sz w:val="32"/>
          <w:szCs w:val="32"/>
          <w:lang w:val="en-GB"/>
        </w:rPr>
        <w:t xml:space="preserve"> </w:t>
      </w:r>
      <w:proofErr w:type="spellStart"/>
      <w:r>
        <w:rPr>
          <w:sz w:val="32"/>
          <w:szCs w:val="32"/>
          <w:lang w:val="en-GB"/>
        </w:rPr>
        <w:t>rozvojových</w:t>
      </w:r>
      <w:proofErr w:type="spellEnd"/>
      <w:r>
        <w:rPr>
          <w:sz w:val="32"/>
          <w:szCs w:val="32"/>
          <w:lang w:val="en-GB"/>
        </w:rPr>
        <w:t xml:space="preserve"> a </w:t>
      </w:r>
      <w:proofErr w:type="spellStart"/>
      <w:r>
        <w:rPr>
          <w:sz w:val="32"/>
          <w:szCs w:val="32"/>
          <w:lang w:val="en-GB"/>
        </w:rPr>
        <w:t>environmentálních</w:t>
      </w:r>
      <w:proofErr w:type="spellEnd"/>
      <w:r>
        <w:rPr>
          <w:sz w:val="32"/>
          <w:szCs w:val="32"/>
          <w:lang w:val="en-GB"/>
        </w:rPr>
        <w:t xml:space="preserve"> </w:t>
      </w:r>
      <w:proofErr w:type="spellStart"/>
      <w:r>
        <w:rPr>
          <w:sz w:val="32"/>
          <w:szCs w:val="32"/>
          <w:lang w:val="en-GB"/>
        </w:rPr>
        <w:t>studií</w:t>
      </w:r>
      <w:proofErr w:type="spellEnd"/>
    </w:p>
    <w:p w14:paraId="772A443C" w14:textId="77777777" w:rsidR="003B2CAA" w:rsidRPr="00E74781" w:rsidRDefault="003B2CAA" w:rsidP="003B2CAA">
      <w:pPr>
        <w:pStyle w:val="NormalWeb"/>
        <w:jc w:val="center"/>
        <w:rPr>
          <w:lang w:val="en-GB"/>
        </w:rPr>
      </w:pPr>
    </w:p>
    <w:p w14:paraId="2B889886" w14:textId="77777777" w:rsidR="003B2CAA" w:rsidRPr="00E74781" w:rsidRDefault="003B2CAA" w:rsidP="003B2CAA">
      <w:pPr>
        <w:pStyle w:val="NormalWeb"/>
        <w:jc w:val="center"/>
        <w:rPr>
          <w:b/>
          <w:bCs/>
          <w:sz w:val="28"/>
          <w:szCs w:val="28"/>
        </w:rPr>
      </w:pPr>
    </w:p>
    <w:p w14:paraId="325027B8" w14:textId="77777777" w:rsidR="003B2CAA" w:rsidRPr="00E74781" w:rsidRDefault="003B2CAA" w:rsidP="003B2CAA">
      <w:pPr>
        <w:pStyle w:val="NormalWeb"/>
        <w:rPr>
          <w:b/>
          <w:bCs/>
          <w:sz w:val="28"/>
          <w:szCs w:val="28"/>
        </w:rPr>
      </w:pPr>
    </w:p>
    <w:p w14:paraId="48108BEB" w14:textId="77777777" w:rsidR="003B2CAA" w:rsidRPr="00E74781" w:rsidRDefault="003B2CAA" w:rsidP="003B2CAA">
      <w:pPr>
        <w:pStyle w:val="NormalWeb"/>
        <w:rPr>
          <w:b/>
          <w:bCs/>
          <w:sz w:val="28"/>
          <w:szCs w:val="28"/>
        </w:rPr>
      </w:pPr>
    </w:p>
    <w:p w14:paraId="3DD49A8D" w14:textId="77777777" w:rsidR="003B2CAA" w:rsidRPr="00E74781" w:rsidRDefault="003B2CAA" w:rsidP="003B2CAA">
      <w:pPr>
        <w:pStyle w:val="NormalWeb"/>
        <w:jc w:val="center"/>
        <w:rPr>
          <w:b/>
          <w:bCs/>
          <w:sz w:val="28"/>
          <w:szCs w:val="28"/>
        </w:rPr>
      </w:pPr>
    </w:p>
    <w:p w14:paraId="2039E772" w14:textId="77777777" w:rsidR="003B2CAA" w:rsidRPr="00E74781" w:rsidRDefault="003B2CAA" w:rsidP="003B2CAA">
      <w:pPr>
        <w:pStyle w:val="NormalWeb"/>
        <w:jc w:val="center"/>
        <w:rPr>
          <w:b/>
          <w:bCs/>
          <w:sz w:val="28"/>
          <w:szCs w:val="28"/>
        </w:rPr>
      </w:pPr>
    </w:p>
    <w:p w14:paraId="6870BA2E" w14:textId="77777777" w:rsidR="003B2CAA" w:rsidRPr="00E74781" w:rsidRDefault="003B2CAA" w:rsidP="003B2CAA">
      <w:pPr>
        <w:pStyle w:val="NormalWeb"/>
        <w:spacing w:line="360" w:lineRule="auto"/>
        <w:jc w:val="center"/>
        <w:rPr>
          <w:lang w:val="en-GB"/>
        </w:rPr>
      </w:pPr>
      <w:r w:rsidRPr="00E74781">
        <w:rPr>
          <w:b/>
          <w:bCs/>
          <w:sz w:val="28"/>
          <w:szCs w:val="28"/>
          <w:lang w:val="en-GB"/>
        </w:rPr>
        <w:t>RETHINKING THE SUSTAINABLE DEVELOPMENT GOALS? CRITICAL EXAMINATION OF THE 2030 GOALS.</w:t>
      </w:r>
    </w:p>
    <w:p w14:paraId="47A378A3" w14:textId="77777777" w:rsidR="003B2CAA" w:rsidRPr="003B2CAA" w:rsidRDefault="003B2CAA" w:rsidP="003B2CAA">
      <w:pPr>
        <w:pStyle w:val="NormalWeb"/>
        <w:jc w:val="center"/>
        <w:rPr>
          <w:rFonts w:asciiTheme="majorHAnsi" w:hAnsiTheme="majorHAnsi" w:cstheme="majorHAnsi"/>
          <w:sz w:val="28"/>
          <w:szCs w:val="28"/>
        </w:rPr>
      </w:pPr>
    </w:p>
    <w:p w14:paraId="6557DDB4" w14:textId="77777777" w:rsidR="003B2CAA" w:rsidRPr="003B2CAA" w:rsidRDefault="003B2CAA" w:rsidP="003B2CAA">
      <w:pPr>
        <w:pStyle w:val="NormalWeb"/>
        <w:jc w:val="center"/>
        <w:rPr>
          <w:rFonts w:asciiTheme="majorHAnsi" w:hAnsiTheme="majorHAnsi" w:cstheme="majorHAnsi"/>
          <w:sz w:val="28"/>
          <w:szCs w:val="28"/>
        </w:rPr>
      </w:pPr>
    </w:p>
    <w:p w14:paraId="76E13015" w14:textId="77777777" w:rsidR="003B2CAA" w:rsidRPr="003B2CAA" w:rsidRDefault="003B2CAA" w:rsidP="003B2CAA">
      <w:pPr>
        <w:pStyle w:val="NormalWeb"/>
        <w:jc w:val="center"/>
        <w:rPr>
          <w:rFonts w:asciiTheme="majorHAnsi" w:hAnsiTheme="majorHAnsi" w:cstheme="majorHAnsi"/>
          <w:sz w:val="28"/>
          <w:szCs w:val="28"/>
        </w:rPr>
      </w:pPr>
    </w:p>
    <w:p w14:paraId="37FE92D6" w14:textId="77777777" w:rsidR="003B2CAA" w:rsidRPr="003B2CAA" w:rsidRDefault="003B2CAA" w:rsidP="003B2CAA">
      <w:pPr>
        <w:pStyle w:val="NormalWeb"/>
        <w:jc w:val="center"/>
        <w:rPr>
          <w:rFonts w:asciiTheme="majorHAnsi" w:hAnsiTheme="majorHAnsi" w:cstheme="majorHAnsi"/>
          <w:sz w:val="28"/>
          <w:szCs w:val="28"/>
        </w:rPr>
      </w:pPr>
    </w:p>
    <w:p w14:paraId="3C53E34D" w14:textId="77777777" w:rsidR="003B2CAA" w:rsidRPr="003B2CAA" w:rsidRDefault="003B2CAA" w:rsidP="003B2CAA">
      <w:pPr>
        <w:pStyle w:val="NormalWeb"/>
        <w:jc w:val="center"/>
        <w:rPr>
          <w:rFonts w:asciiTheme="majorHAnsi" w:hAnsiTheme="majorHAnsi" w:cstheme="majorHAnsi"/>
          <w:lang w:val="en-GB"/>
        </w:rPr>
      </w:pPr>
      <w:r w:rsidRPr="003B2CAA">
        <w:rPr>
          <w:rFonts w:asciiTheme="majorHAnsi" w:hAnsiTheme="majorHAnsi" w:cstheme="majorHAnsi"/>
          <w:sz w:val="28"/>
          <w:szCs w:val="28"/>
          <w:lang w:val="en-GB"/>
        </w:rPr>
        <w:t>Zuzana Hudcová, LL.M.</w:t>
      </w:r>
    </w:p>
    <w:p w14:paraId="7943C65A" w14:textId="77777777" w:rsidR="003B2CAA" w:rsidRPr="003B2CAA" w:rsidRDefault="003B2CAA" w:rsidP="003B2CAA">
      <w:pPr>
        <w:pStyle w:val="NormalWeb"/>
        <w:jc w:val="center"/>
        <w:rPr>
          <w:rFonts w:asciiTheme="majorHAnsi" w:hAnsiTheme="majorHAnsi" w:cstheme="majorHAnsi"/>
          <w:lang w:val="en-GB"/>
        </w:rPr>
      </w:pPr>
      <w:r w:rsidRPr="003B2CAA">
        <w:rPr>
          <w:rFonts w:asciiTheme="majorHAnsi" w:hAnsiTheme="majorHAnsi" w:cstheme="majorHAnsi"/>
          <w:sz w:val="28"/>
          <w:szCs w:val="28"/>
        </w:rPr>
        <w:t xml:space="preserve">Supervisor: </w:t>
      </w:r>
      <w:r w:rsidRPr="003B2CAA">
        <w:rPr>
          <w:rFonts w:asciiTheme="majorHAnsi" w:hAnsiTheme="majorHAnsi" w:cstheme="majorHAnsi"/>
          <w:sz w:val="28"/>
          <w:szCs w:val="28"/>
          <w:lang w:val="en-GB"/>
        </w:rPr>
        <w:t xml:space="preserve">doc. Mgr. Miroslav </w:t>
      </w:r>
      <w:proofErr w:type="spellStart"/>
      <w:r w:rsidRPr="003B2CAA">
        <w:rPr>
          <w:rFonts w:asciiTheme="majorHAnsi" w:hAnsiTheme="majorHAnsi" w:cstheme="majorHAnsi"/>
          <w:sz w:val="28"/>
          <w:szCs w:val="28"/>
          <w:lang w:val="en-GB"/>
        </w:rPr>
        <w:t>Syrovátka</w:t>
      </w:r>
      <w:proofErr w:type="spellEnd"/>
      <w:r w:rsidRPr="003B2CAA">
        <w:rPr>
          <w:rFonts w:asciiTheme="majorHAnsi" w:hAnsiTheme="majorHAnsi" w:cstheme="majorHAnsi"/>
          <w:sz w:val="28"/>
          <w:szCs w:val="28"/>
          <w:lang w:val="en-GB"/>
        </w:rPr>
        <w:t>, PhD</w:t>
      </w:r>
    </w:p>
    <w:p w14:paraId="381D728B" w14:textId="77777777" w:rsidR="003B2CAA" w:rsidRPr="003B2CAA" w:rsidRDefault="003B2CAA" w:rsidP="003B2CAA">
      <w:pPr>
        <w:pStyle w:val="NormalWeb"/>
        <w:jc w:val="center"/>
        <w:rPr>
          <w:rFonts w:asciiTheme="majorHAnsi" w:hAnsiTheme="majorHAnsi" w:cstheme="majorHAnsi"/>
          <w:sz w:val="22"/>
          <w:szCs w:val="22"/>
          <w:lang w:val="en-GB"/>
        </w:rPr>
      </w:pPr>
    </w:p>
    <w:p w14:paraId="5CBFFE1C" w14:textId="77777777" w:rsidR="003B2CAA" w:rsidRPr="003B2CAA" w:rsidRDefault="003B2CAA" w:rsidP="003B2CAA">
      <w:pPr>
        <w:pStyle w:val="NormalWeb"/>
        <w:jc w:val="center"/>
        <w:rPr>
          <w:rFonts w:asciiTheme="majorHAnsi" w:hAnsiTheme="majorHAnsi" w:cstheme="majorHAnsi"/>
          <w:sz w:val="22"/>
          <w:szCs w:val="22"/>
          <w:lang w:val="en-GB"/>
        </w:rPr>
      </w:pPr>
    </w:p>
    <w:p w14:paraId="4C845A2D" w14:textId="77777777" w:rsidR="003B2CAA" w:rsidRPr="003B2CAA" w:rsidRDefault="003B2CAA" w:rsidP="003B2CAA">
      <w:pPr>
        <w:pStyle w:val="NormalWeb"/>
        <w:jc w:val="center"/>
        <w:rPr>
          <w:rFonts w:asciiTheme="majorHAnsi" w:hAnsiTheme="majorHAnsi" w:cstheme="majorHAnsi"/>
          <w:sz w:val="22"/>
          <w:szCs w:val="22"/>
          <w:lang w:val="en-GB"/>
        </w:rPr>
      </w:pPr>
    </w:p>
    <w:p w14:paraId="0C8460AB" w14:textId="77777777" w:rsidR="003B2CAA" w:rsidRPr="003B2CAA" w:rsidRDefault="003B2CAA" w:rsidP="003B2CAA">
      <w:pPr>
        <w:pStyle w:val="NormalWeb"/>
        <w:jc w:val="center"/>
        <w:rPr>
          <w:rFonts w:asciiTheme="majorHAnsi" w:hAnsiTheme="majorHAnsi" w:cstheme="majorHAnsi"/>
          <w:sz w:val="22"/>
          <w:szCs w:val="22"/>
          <w:lang w:val="en-GB"/>
        </w:rPr>
      </w:pPr>
    </w:p>
    <w:p w14:paraId="4D7D3E50" w14:textId="77777777" w:rsidR="003B2CAA" w:rsidRPr="003B2CAA" w:rsidRDefault="003B2CAA" w:rsidP="003B2CAA">
      <w:pPr>
        <w:pStyle w:val="NormalWeb"/>
        <w:jc w:val="center"/>
        <w:rPr>
          <w:rFonts w:asciiTheme="majorHAnsi" w:hAnsiTheme="majorHAnsi" w:cstheme="majorHAnsi"/>
          <w:lang w:val="en-GB"/>
        </w:rPr>
      </w:pPr>
      <w:r w:rsidRPr="003B2CAA">
        <w:rPr>
          <w:rFonts w:asciiTheme="majorHAnsi" w:hAnsiTheme="majorHAnsi" w:cstheme="majorHAnsi"/>
          <w:sz w:val="22"/>
          <w:szCs w:val="22"/>
          <w:lang w:val="en-GB"/>
        </w:rPr>
        <w:t>MSc in International Development and Environmental Studies</w:t>
      </w:r>
    </w:p>
    <w:p w14:paraId="58CC53C2" w14:textId="77777777" w:rsidR="003B2CAA" w:rsidRPr="003B2CAA" w:rsidRDefault="003B2CAA" w:rsidP="003B2CAA">
      <w:pPr>
        <w:jc w:val="center"/>
        <w:rPr>
          <w:rFonts w:asciiTheme="majorHAnsi" w:hAnsiTheme="majorHAnsi" w:cstheme="majorHAnsi"/>
        </w:rPr>
      </w:pPr>
    </w:p>
    <w:p w14:paraId="31B62B5E" w14:textId="77777777" w:rsidR="003B2CAA" w:rsidRPr="003B2CAA" w:rsidRDefault="003B2CAA" w:rsidP="003B2CAA">
      <w:pPr>
        <w:jc w:val="center"/>
        <w:rPr>
          <w:rFonts w:asciiTheme="majorHAnsi" w:hAnsiTheme="majorHAnsi" w:cstheme="majorHAnsi"/>
        </w:rPr>
      </w:pPr>
    </w:p>
    <w:p w14:paraId="34AA9296" w14:textId="4A82CF1C" w:rsidR="003B2CAA" w:rsidRPr="003B2CAA" w:rsidRDefault="003B2CAA" w:rsidP="003B2CAA">
      <w:pPr>
        <w:ind w:left="3600"/>
        <w:rPr>
          <w:rFonts w:asciiTheme="majorHAnsi" w:hAnsiTheme="majorHAnsi" w:cstheme="majorHAnsi"/>
          <w:lang w:val="en-GB"/>
        </w:rPr>
      </w:pPr>
      <w:r w:rsidRPr="003B2CAA">
        <w:rPr>
          <w:rFonts w:asciiTheme="majorHAnsi" w:hAnsiTheme="majorHAnsi" w:cstheme="majorHAnsi"/>
          <w:lang w:val="en-GB"/>
        </w:rPr>
        <w:t>December 2023</w:t>
      </w:r>
    </w:p>
    <w:p w14:paraId="6066ACCF" w14:textId="77777777" w:rsidR="003B2CAA" w:rsidRPr="00E74781" w:rsidRDefault="003B2CAA" w:rsidP="003B2CAA">
      <w:pPr>
        <w:pStyle w:val="Heading1"/>
        <w:rPr>
          <w:rFonts w:ascii="Times New Roman" w:hAnsi="Times New Roman" w:cs="Times New Roman"/>
          <w:color w:val="000000" w:themeColor="text1"/>
        </w:rPr>
      </w:pPr>
      <w:bookmarkStart w:id="1" w:name="_Toc132266302"/>
      <w:bookmarkStart w:id="2" w:name="_Toc153187386"/>
      <w:r w:rsidRPr="00E74781">
        <w:rPr>
          <w:rFonts w:ascii="Times New Roman" w:hAnsi="Times New Roman" w:cs="Times New Roman"/>
          <w:color w:val="000000" w:themeColor="text1"/>
        </w:rPr>
        <w:lastRenderedPageBreak/>
        <w:t>Declaration</w:t>
      </w:r>
      <w:bookmarkEnd w:id="1"/>
      <w:bookmarkEnd w:id="2"/>
      <w:r w:rsidRPr="00E74781">
        <w:rPr>
          <w:rFonts w:ascii="Times New Roman" w:hAnsi="Times New Roman" w:cs="Times New Roman"/>
          <w:color w:val="000000" w:themeColor="text1"/>
        </w:rPr>
        <w:t xml:space="preserve"> </w:t>
      </w:r>
    </w:p>
    <w:p w14:paraId="5E00763C" w14:textId="77777777" w:rsidR="003B2CAA" w:rsidRDefault="003B2CAA" w:rsidP="003B2CAA">
      <w:pPr>
        <w:pStyle w:val="NormalWeb"/>
        <w:spacing w:line="360" w:lineRule="auto"/>
        <w:jc w:val="both"/>
        <w:rPr>
          <w:rFonts w:ascii="TimesNewRomanPSMT" w:hAnsi="TimesNewRomanPSMT"/>
          <w:lang w:val="en-GB"/>
        </w:rPr>
      </w:pPr>
      <w:r>
        <w:rPr>
          <w:rFonts w:ascii="TimesNewRomanPSMT" w:hAnsi="TimesNewRomanPSMT"/>
        </w:rPr>
        <w:t xml:space="preserve">I, </w:t>
      </w:r>
      <w:r w:rsidRPr="00E74781">
        <w:rPr>
          <w:rFonts w:ascii="TimesNewRomanPS" w:hAnsi="TimesNewRomanPS"/>
          <w:lang w:val="en-GB"/>
        </w:rPr>
        <w:t>Zuzana Hudcova, LL.M</w:t>
      </w:r>
      <w:r>
        <w:rPr>
          <w:rFonts w:ascii="TimesNewRomanPS" w:hAnsi="TimesNewRomanPS"/>
          <w:b/>
          <w:bCs/>
          <w:lang w:val="en-GB"/>
        </w:rPr>
        <w:t xml:space="preserve">. </w:t>
      </w:r>
      <w:r>
        <w:rPr>
          <w:rFonts w:ascii="TimesNewRomanPSMT" w:hAnsi="TimesNewRomanPSMT"/>
        </w:rPr>
        <w:t xml:space="preserve">hereby declare that the Master thesis submitted to </w:t>
      </w:r>
      <w:r>
        <w:rPr>
          <w:rFonts w:ascii="TimesNewRomanPSMT" w:hAnsi="TimesNewRomanPSMT"/>
          <w:lang w:val="en-GB"/>
        </w:rPr>
        <w:t>the Faculty of Sciences</w:t>
      </w:r>
      <w:r>
        <w:rPr>
          <w:rFonts w:ascii="TimesNewRomanPSMT" w:hAnsi="TimesNewRomanPSMT"/>
        </w:rPr>
        <w:t xml:space="preserve"> as a thesis graduation requirement under the guidance and supervision of Professor </w:t>
      </w:r>
      <w:r>
        <w:rPr>
          <w:rFonts w:ascii="TimesNewRomanPSMT" w:hAnsi="TimesNewRomanPSMT"/>
          <w:lang w:val="en-GB"/>
        </w:rPr>
        <w:t xml:space="preserve">Doc. Mgr. Miroslav </w:t>
      </w:r>
      <w:proofErr w:type="spellStart"/>
      <w:r>
        <w:rPr>
          <w:rFonts w:ascii="TimesNewRomanPSMT" w:hAnsi="TimesNewRomanPSMT"/>
          <w:lang w:val="en-GB"/>
        </w:rPr>
        <w:t>Syrovatka</w:t>
      </w:r>
      <w:proofErr w:type="spellEnd"/>
      <w:r>
        <w:rPr>
          <w:rFonts w:ascii="TimesNewRomanPSMT" w:hAnsi="TimesNewRomanPSMT"/>
        </w:rPr>
        <w:t>,</w:t>
      </w:r>
      <w:r>
        <w:rPr>
          <w:rFonts w:ascii="TimesNewRomanPSMT" w:hAnsi="TimesNewRomanPSMT"/>
          <w:lang w:val="en-GB"/>
        </w:rPr>
        <w:t xml:space="preserve"> PhD,</w:t>
      </w:r>
      <w:r>
        <w:rPr>
          <w:rFonts w:ascii="TimesNewRomanPSMT" w:hAnsi="TimesNewRomanPSMT"/>
        </w:rPr>
        <w:t xml:space="preserve"> is my original work and any theoretical and empirical literature</w:t>
      </w:r>
      <w:r>
        <w:rPr>
          <w:rFonts w:ascii="TimesNewRomanPSMT" w:hAnsi="TimesNewRomanPSMT"/>
          <w:lang w:val="en-GB"/>
        </w:rPr>
        <w:t xml:space="preserve"> have been duly cited and the sources have been duly acknowledged. </w:t>
      </w:r>
    </w:p>
    <w:p w14:paraId="52C4D15C" w14:textId="77777777" w:rsidR="003B2CAA" w:rsidRDefault="003B2CAA" w:rsidP="003B2CAA">
      <w:pPr>
        <w:pStyle w:val="NormalWeb"/>
        <w:rPr>
          <w:rFonts w:ascii="TimesNewRomanPSMT" w:hAnsi="TimesNewRomanPSMT"/>
          <w:lang w:val="en-GB"/>
        </w:rPr>
      </w:pPr>
    </w:p>
    <w:p w14:paraId="63A09009" w14:textId="77777777" w:rsidR="003B2CAA" w:rsidRDefault="003B2CAA" w:rsidP="003B2CAA">
      <w:pPr>
        <w:pStyle w:val="NormalWeb"/>
        <w:rPr>
          <w:rFonts w:ascii="TimesNewRomanPSMT" w:hAnsi="TimesNewRomanPSMT"/>
          <w:lang w:val="en-GB"/>
        </w:rPr>
      </w:pPr>
    </w:p>
    <w:p w14:paraId="21C28C67" w14:textId="3D74D7B4" w:rsidR="003B2CAA" w:rsidRDefault="003B2CAA" w:rsidP="003B2CAA">
      <w:pPr>
        <w:pStyle w:val="NormalWeb"/>
        <w:rPr>
          <w:rFonts w:ascii="TimesNewRomanPSMT" w:hAnsi="TimesNewRomanPSMT"/>
          <w:lang w:val="en-GB"/>
        </w:rPr>
      </w:pPr>
      <w:r>
        <w:rPr>
          <w:rFonts w:ascii="TimesNewRomanPSMT" w:hAnsi="TimesNewRomanPSMT"/>
          <w:lang w:val="en-GB"/>
        </w:rPr>
        <w:t>In Olomouc, 11</w:t>
      </w:r>
      <w:r w:rsidRPr="003B2CAA">
        <w:rPr>
          <w:rFonts w:ascii="TimesNewRomanPSMT" w:hAnsi="TimesNewRomanPSMT"/>
          <w:vertAlign w:val="superscript"/>
          <w:lang w:val="en-GB"/>
        </w:rPr>
        <w:t>th</w:t>
      </w:r>
      <w:r>
        <w:rPr>
          <w:rFonts w:ascii="TimesNewRomanPSMT" w:hAnsi="TimesNewRomanPSMT"/>
          <w:lang w:val="en-GB"/>
        </w:rPr>
        <w:t xml:space="preserve"> December 2023.</w:t>
      </w:r>
    </w:p>
    <w:p w14:paraId="3F910ACF" w14:textId="77777777" w:rsidR="003B2CAA" w:rsidRDefault="003B2CAA" w:rsidP="003B2CAA">
      <w:pPr>
        <w:pStyle w:val="NormalWeb"/>
        <w:rPr>
          <w:rFonts w:ascii="TimesNewRomanPSMT" w:hAnsi="TimesNewRomanPSMT"/>
          <w:lang w:val="en-GB"/>
        </w:rPr>
      </w:pPr>
      <w:r>
        <w:rPr>
          <w:rFonts w:ascii="TimesNewRomanPSMT" w:hAnsi="TimesNewRomanPSMT"/>
          <w:lang w:val="en-GB"/>
        </w:rPr>
        <w:br/>
      </w:r>
    </w:p>
    <w:p w14:paraId="3A58744D" w14:textId="77777777" w:rsidR="003B2CAA" w:rsidRDefault="003B2CAA" w:rsidP="003B2CAA">
      <w:pPr>
        <w:pStyle w:val="NormalWeb"/>
        <w:rPr>
          <w:rFonts w:ascii="TimesNewRomanPSMT" w:hAnsi="TimesNewRomanPSMT"/>
          <w:lang w:val="en-GB"/>
        </w:rPr>
      </w:pPr>
    </w:p>
    <w:p w14:paraId="6E72844A" w14:textId="77777777" w:rsidR="003B2CAA" w:rsidRDefault="003B2CAA" w:rsidP="003B2CAA">
      <w:pPr>
        <w:pStyle w:val="NormalWeb"/>
        <w:rPr>
          <w:rFonts w:ascii="TimesNewRomanPSMT" w:hAnsi="TimesNewRomanPSMT"/>
          <w:lang w:val="en-GB"/>
        </w:rPr>
      </w:pPr>
      <w:r>
        <w:rPr>
          <w:rFonts w:ascii="TimesNewRomanPSMT" w:hAnsi="TimesNewRomanPSMT"/>
          <w:lang w:val="en-GB"/>
        </w:rPr>
        <w:t>……………………………………………</w:t>
      </w:r>
    </w:p>
    <w:p w14:paraId="3A49EE50" w14:textId="77777777" w:rsidR="003B2CAA" w:rsidRDefault="003B2CAA" w:rsidP="003B2CAA">
      <w:pPr>
        <w:pStyle w:val="NormalWeb"/>
        <w:rPr>
          <w:rFonts w:ascii="TimesNewRomanPSMT" w:hAnsi="TimesNewRomanPSMT"/>
          <w:lang w:val="en-GB"/>
        </w:rPr>
      </w:pPr>
    </w:p>
    <w:p w14:paraId="41484E66" w14:textId="77777777" w:rsidR="003B2CAA" w:rsidRDefault="003B2CAA" w:rsidP="003B2CAA">
      <w:pPr>
        <w:pStyle w:val="NormalWeb"/>
        <w:rPr>
          <w:rFonts w:ascii="TimesNewRomanPSMT" w:hAnsi="TimesNewRomanPSMT"/>
          <w:lang w:val="en-GB"/>
        </w:rPr>
      </w:pPr>
    </w:p>
    <w:p w14:paraId="0DF48902" w14:textId="77777777" w:rsidR="003B2CAA" w:rsidRDefault="003B2CAA" w:rsidP="003B2CAA">
      <w:pPr>
        <w:pStyle w:val="NormalWeb"/>
        <w:rPr>
          <w:rFonts w:ascii="TimesNewRomanPSMT" w:hAnsi="TimesNewRomanPSMT"/>
          <w:lang w:val="en-GB"/>
        </w:rPr>
      </w:pPr>
    </w:p>
    <w:p w14:paraId="7938BF0E" w14:textId="77777777" w:rsidR="003B2CAA" w:rsidRDefault="003B2CAA" w:rsidP="003B2CAA">
      <w:pPr>
        <w:pStyle w:val="NormalWeb"/>
        <w:rPr>
          <w:rFonts w:ascii="TimesNewRomanPSMT" w:hAnsi="TimesNewRomanPSMT"/>
          <w:lang w:val="en-GB"/>
        </w:rPr>
      </w:pPr>
    </w:p>
    <w:p w14:paraId="1106782C" w14:textId="77777777" w:rsidR="003B2CAA" w:rsidRPr="00E74781" w:rsidRDefault="003B2CAA" w:rsidP="003B2CAA">
      <w:pPr>
        <w:pStyle w:val="NormalWeb"/>
        <w:rPr>
          <w:lang w:val="en-GB"/>
        </w:rPr>
      </w:pPr>
    </w:p>
    <w:p w14:paraId="403CDBAB" w14:textId="77777777" w:rsidR="003B2CAA" w:rsidRDefault="003B2CAA" w:rsidP="003B2CAA"/>
    <w:p w14:paraId="79C404FC" w14:textId="77777777" w:rsidR="003B2CAA" w:rsidRDefault="003B2CAA" w:rsidP="003B2CAA"/>
    <w:p w14:paraId="70003DE4" w14:textId="77777777" w:rsidR="003B2CAA" w:rsidRDefault="003B2CAA" w:rsidP="003B2CAA"/>
    <w:p w14:paraId="545347E4" w14:textId="77777777" w:rsidR="003B2CAA" w:rsidRDefault="003B2CAA" w:rsidP="003B2CAA"/>
    <w:p w14:paraId="19F9DD9B" w14:textId="77777777" w:rsidR="003B2CAA" w:rsidRDefault="003B2CAA" w:rsidP="003B2CAA"/>
    <w:p w14:paraId="21B74CBE" w14:textId="77777777" w:rsidR="003B2CAA" w:rsidRDefault="003B2CAA" w:rsidP="003B2CAA"/>
    <w:p w14:paraId="1007C8CD" w14:textId="77777777" w:rsidR="003B2CAA" w:rsidRDefault="003B2CAA" w:rsidP="003B2CAA"/>
    <w:p w14:paraId="15AF27A8" w14:textId="77777777" w:rsidR="003B2CAA" w:rsidRDefault="003B2CAA" w:rsidP="003B2CAA"/>
    <w:p w14:paraId="7B9120EF" w14:textId="77777777" w:rsidR="003B2CAA" w:rsidRDefault="003B2CAA" w:rsidP="003B2CAA"/>
    <w:p w14:paraId="09A966EA" w14:textId="77777777" w:rsidR="003B2CAA" w:rsidRDefault="003B2CAA" w:rsidP="003B2CAA"/>
    <w:p w14:paraId="42DDDCAD" w14:textId="77777777" w:rsidR="003B2CAA" w:rsidRDefault="003B2CAA" w:rsidP="003B2CAA"/>
    <w:p w14:paraId="54679F21" w14:textId="77777777" w:rsidR="003B2CAA" w:rsidRDefault="003B2CAA" w:rsidP="003B2CAA"/>
    <w:p w14:paraId="26509D5E" w14:textId="77777777" w:rsidR="003B2CAA" w:rsidRDefault="003B2CAA" w:rsidP="003B2CAA"/>
    <w:p w14:paraId="7DB1D398" w14:textId="77777777" w:rsidR="003B2CAA" w:rsidRDefault="003B2CAA" w:rsidP="003B2CAA"/>
    <w:p w14:paraId="2A0F741E" w14:textId="77777777" w:rsidR="003B2CAA" w:rsidRDefault="003B2CAA" w:rsidP="003B2CAA"/>
    <w:p w14:paraId="2DE66D27" w14:textId="77777777" w:rsidR="003B2CAA" w:rsidRDefault="003B2CAA" w:rsidP="003B2CAA"/>
    <w:p w14:paraId="7BF64B3A" w14:textId="77777777" w:rsidR="003B2CAA" w:rsidRDefault="003B2CAA" w:rsidP="003B2CAA"/>
    <w:p w14:paraId="32B0FD03" w14:textId="77777777" w:rsidR="003B2CAA" w:rsidRDefault="003B2CAA" w:rsidP="003B2CAA"/>
    <w:p w14:paraId="4AE72931" w14:textId="77777777" w:rsidR="003B2CAA" w:rsidRDefault="003B2CAA" w:rsidP="003B2CAA"/>
    <w:p w14:paraId="2124131F" w14:textId="77777777" w:rsidR="003B2CAA" w:rsidRPr="00963A91" w:rsidRDefault="003B2CAA" w:rsidP="003B2CAA">
      <w:pPr>
        <w:pStyle w:val="Heading1"/>
        <w:rPr>
          <w:rFonts w:ascii="Times" w:hAnsi="Times"/>
          <w:lang w:val="en-GB"/>
        </w:rPr>
      </w:pPr>
      <w:bookmarkStart w:id="3" w:name="_Toc132266303"/>
      <w:bookmarkStart w:id="4" w:name="_Toc153187387"/>
      <w:r w:rsidRPr="00963A91">
        <w:rPr>
          <w:rFonts w:ascii="Times" w:hAnsi="Times"/>
          <w:lang w:val="en-GB"/>
        </w:rPr>
        <w:t>Abstract</w:t>
      </w:r>
      <w:bookmarkEnd w:id="3"/>
      <w:bookmarkEnd w:id="4"/>
      <w:r w:rsidRPr="00963A91">
        <w:rPr>
          <w:rFonts w:ascii="Times" w:hAnsi="Times"/>
          <w:lang w:val="en-GB"/>
        </w:rPr>
        <w:t xml:space="preserve"> </w:t>
      </w:r>
    </w:p>
    <w:p w14:paraId="7FFE4953" w14:textId="77777777" w:rsidR="003B2CAA" w:rsidRPr="00963A91" w:rsidRDefault="003B2CAA" w:rsidP="003B2CAA">
      <w:pPr>
        <w:rPr>
          <w:rFonts w:ascii="Times" w:hAnsi="Times"/>
          <w:lang w:val="en-GB"/>
        </w:rPr>
      </w:pPr>
    </w:p>
    <w:p w14:paraId="02E4FBFE" w14:textId="5231FA2D" w:rsidR="003B2CAA" w:rsidRDefault="003B2CAA" w:rsidP="003B2CAA">
      <w:pPr>
        <w:spacing w:line="360" w:lineRule="auto"/>
        <w:jc w:val="both"/>
        <w:rPr>
          <w:lang w:val="en-GB"/>
        </w:rPr>
      </w:pPr>
      <w:r w:rsidRPr="003B2CAA">
        <w:rPr>
          <w:rFonts w:asciiTheme="majorHAnsi" w:hAnsiTheme="majorHAnsi" w:cstheme="majorHAnsi"/>
          <w:lang w:val="en-GB"/>
        </w:rPr>
        <w:t xml:space="preserve">This </w:t>
      </w:r>
      <w:r w:rsidR="00D813D6">
        <w:rPr>
          <w:rFonts w:asciiTheme="majorHAnsi" w:hAnsiTheme="majorHAnsi" w:cstheme="majorHAnsi"/>
          <w:lang w:val="en-GB"/>
        </w:rPr>
        <w:t>M</w:t>
      </w:r>
      <w:r w:rsidRPr="003B2CAA">
        <w:rPr>
          <w:rFonts w:asciiTheme="majorHAnsi" w:hAnsiTheme="majorHAnsi" w:cstheme="majorHAnsi"/>
          <w:lang w:val="en-GB"/>
        </w:rPr>
        <w:t xml:space="preserve">aster </w:t>
      </w:r>
      <w:r w:rsidR="00D813D6">
        <w:rPr>
          <w:rFonts w:asciiTheme="majorHAnsi" w:hAnsiTheme="majorHAnsi" w:cstheme="majorHAnsi"/>
          <w:lang w:val="en-GB"/>
        </w:rPr>
        <w:t>T</w:t>
      </w:r>
      <w:r w:rsidRPr="003B2CAA">
        <w:rPr>
          <w:rFonts w:asciiTheme="majorHAnsi" w:hAnsiTheme="majorHAnsi" w:cstheme="majorHAnsi"/>
          <w:lang w:val="en-GB"/>
        </w:rPr>
        <w:t>hesis provides a critical analysis of the Sustainable Development Goals (SDGs) through an examination of 113 scholarly articles from prominent databases. The data analysis reveals significant concerns, with internal clashes (28%) and lack of integration (13.33%) identified as key issues. Proposed solutions include introducing additional indicators to foster synergy and cross-sectorial partnerships. Challenges associated with the current global system (11%) underscore the need for a redefined distribution of responsibilities and collaborative efforts. Inefficient monitoring mechanisms (7.77%) point to the necessity of an independent body to enhance transparency. Addressing vagueness (6.66%) involves advocating for SMART targets, while the lack of accountability (4.44%) calls for an investigative body inspired by human rights models. A conceptual flaw (3.33%) emphasizes prioritizing environmental goals, and non-legally binding commitments (3.33%) suggest translating key SDGs into jus cogens norms for enforceability. These findings contribute to structural recommendations aimed at refining the SDG framework and advancing global sustainable development by 2030.</w:t>
      </w:r>
    </w:p>
    <w:p w14:paraId="25A3E62A" w14:textId="77777777" w:rsidR="003B2CAA" w:rsidRDefault="003B2CAA" w:rsidP="003B2CAA">
      <w:pPr>
        <w:jc w:val="both"/>
        <w:rPr>
          <w:lang w:val="en-GB"/>
        </w:rPr>
      </w:pPr>
    </w:p>
    <w:p w14:paraId="1BC19727" w14:textId="77777777" w:rsidR="003B2CAA" w:rsidRDefault="003B2CAA" w:rsidP="003B2CAA">
      <w:pPr>
        <w:jc w:val="both"/>
        <w:rPr>
          <w:lang w:val="en-GB"/>
        </w:rPr>
      </w:pPr>
    </w:p>
    <w:p w14:paraId="6CD07EFE" w14:textId="77777777" w:rsidR="003B2CAA" w:rsidRDefault="003B2CAA" w:rsidP="003B2CAA">
      <w:pPr>
        <w:rPr>
          <w:lang w:val="en-GB"/>
        </w:rPr>
      </w:pPr>
    </w:p>
    <w:p w14:paraId="15A4CF96" w14:textId="77777777" w:rsidR="003B2CAA" w:rsidRDefault="003B2CAA" w:rsidP="003B2CAA">
      <w:pPr>
        <w:rPr>
          <w:lang w:val="en-GB"/>
        </w:rPr>
      </w:pPr>
    </w:p>
    <w:p w14:paraId="6EBC63F6" w14:textId="77777777" w:rsidR="003B2CAA" w:rsidRDefault="003B2CAA" w:rsidP="003B2CAA">
      <w:pPr>
        <w:rPr>
          <w:lang w:val="en-GB"/>
        </w:rPr>
      </w:pPr>
    </w:p>
    <w:p w14:paraId="4C53D698" w14:textId="77777777" w:rsidR="003B2CAA" w:rsidRDefault="003B2CAA" w:rsidP="003B2CAA">
      <w:pPr>
        <w:rPr>
          <w:lang w:val="en-GB"/>
        </w:rPr>
      </w:pPr>
    </w:p>
    <w:p w14:paraId="475C535E" w14:textId="77777777" w:rsidR="003B2CAA" w:rsidRDefault="003B2CAA" w:rsidP="003B2CAA">
      <w:pPr>
        <w:rPr>
          <w:lang w:val="en-GB"/>
        </w:rPr>
      </w:pPr>
    </w:p>
    <w:p w14:paraId="3BF7284C" w14:textId="77777777" w:rsidR="003B2CAA" w:rsidRDefault="003B2CAA" w:rsidP="003B2CAA">
      <w:pPr>
        <w:rPr>
          <w:lang w:val="en-GB"/>
        </w:rPr>
      </w:pPr>
    </w:p>
    <w:p w14:paraId="13D1BBB6" w14:textId="77777777" w:rsidR="003B2CAA" w:rsidRDefault="003B2CAA" w:rsidP="003B2CAA">
      <w:pPr>
        <w:rPr>
          <w:lang w:val="en-GB"/>
        </w:rPr>
      </w:pPr>
    </w:p>
    <w:p w14:paraId="701AEF42" w14:textId="77777777" w:rsidR="003B2CAA" w:rsidRDefault="003B2CAA" w:rsidP="003B2CAA">
      <w:pPr>
        <w:rPr>
          <w:lang w:val="en-GB"/>
        </w:rPr>
      </w:pPr>
    </w:p>
    <w:p w14:paraId="5459B561" w14:textId="77777777" w:rsidR="003B2CAA" w:rsidRDefault="003B2CAA" w:rsidP="003B2CAA">
      <w:pPr>
        <w:rPr>
          <w:lang w:val="en-GB"/>
        </w:rPr>
      </w:pPr>
    </w:p>
    <w:p w14:paraId="10903491" w14:textId="77777777" w:rsidR="003B2CAA" w:rsidRDefault="003B2CAA" w:rsidP="003B2CAA">
      <w:pPr>
        <w:rPr>
          <w:lang w:val="en-GB"/>
        </w:rPr>
      </w:pPr>
    </w:p>
    <w:p w14:paraId="073D487D" w14:textId="77777777" w:rsidR="003B2CAA" w:rsidRDefault="003B2CAA" w:rsidP="003B2CAA">
      <w:pPr>
        <w:rPr>
          <w:lang w:val="en-GB"/>
        </w:rPr>
      </w:pPr>
    </w:p>
    <w:p w14:paraId="5512A486" w14:textId="77777777" w:rsidR="003B2CAA" w:rsidRDefault="003B2CAA" w:rsidP="003B2CAA">
      <w:pPr>
        <w:rPr>
          <w:lang w:val="en-GB"/>
        </w:rPr>
      </w:pPr>
    </w:p>
    <w:p w14:paraId="473E7C99" w14:textId="77777777" w:rsidR="003B2CAA" w:rsidRDefault="003B2CAA" w:rsidP="003B2CAA">
      <w:pPr>
        <w:rPr>
          <w:lang w:val="en-GB"/>
        </w:rPr>
      </w:pPr>
    </w:p>
    <w:p w14:paraId="433EE435" w14:textId="77777777" w:rsidR="003B2CAA" w:rsidRDefault="003B2CAA" w:rsidP="003B2CAA">
      <w:pPr>
        <w:rPr>
          <w:lang w:val="en-GB"/>
        </w:rPr>
      </w:pPr>
    </w:p>
    <w:p w14:paraId="5EC58AF0" w14:textId="77777777" w:rsidR="003B2CAA" w:rsidRDefault="003B2CAA" w:rsidP="003B2CAA">
      <w:pPr>
        <w:rPr>
          <w:lang w:val="en-GB"/>
        </w:rPr>
      </w:pPr>
    </w:p>
    <w:p w14:paraId="5B6FF02E" w14:textId="77777777" w:rsidR="003B2CAA" w:rsidRDefault="003B2CAA" w:rsidP="003B2CAA">
      <w:pPr>
        <w:rPr>
          <w:lang w:val="en-GB"/>
        </w:rPr>
      </w:pPr>
    </w:p>
    <w:p w14:paraId="705DEA20" w14:textId="77777777" w:rsidR="003B2CAA" w:rsidRDefault="003B2CAA" w:rsidP="003B2CAA">
      <w:pPr>
        <w:rPr>
          <w:lang w:val="en-GB"/>
        </w:rPr>
      </w:pPr>
    </w:p>
    <w:p w14:paraId="5DEBD086" w14:textId="77777777" w:rsidR="003B2CAA" w:rsidRDefault="003B2CAA" w:rsidP="003B2CAA">
      <w:pPr>
        <w:rPr>
          <w:lang w:val="en-GB"/>
        </w:rPr>
      </w:pPr>
    </w:p>
    <w:p w14:paraId="3AAB8B1B" w14:textId="77777777" w:rsidR="003B2CAA" w:rsidRDefault="003B2CAA" w:rsidP="003B2CAA">
      <w:pPr>
        <w:rPr>
          <w:lang w:val="en-GB"/>
        </w:rPr>
      </w:pPr>
    </w:p>
    <w:p w14:paraId="62047042" w14:textId="77777777" w:rsidR="003B2CAA" w:rsidRDefault="003B2CAA" w:rsidP="003B2CAA">
      <w:pPr>
        <w:rPr>
          <w:lang w:val="en-GB"/>
        </w:rPr>
      </w:pPr>
    </w:p>
    <w:p w14:paraId="5F5391EE" w14:textId="77777777" w:rsidR="003B2CAA" w:rsidRDefault="003B2CAA" w:rsidP="003B2CAA">
      <w:pPr>
        <w:rPr>
          <w:lang w:val="en-GB"/>
        </w:rPr>
      </w:pPr>
    </w:p>
    <w:p w14:paraId="24123E44" w14:textId="77777777" w:rsidR="003B2CAA" w:rsidRDefault="003B2CAA" w:rsidP="003B2CAA">
      <w:pPr>
        <w:rPr>
          <w:lang w:val="en-GB"/>
        </w:rPr>
      </w:pPr>
    </w:p>
    <w:p w14:paraId="2EFE8629" w14:textId="77777777" w:rsidR="003B2CAA" w:rsidRDefault="003B2CAA" w:rsidP="003B2CAA">
      <w:pPr>
        <w:rPr>
          <w:lang w:val="en-GB"/>
        </w:rPr>
      </w:pPr>
    </w:p>
    <w:p w14:paraId="756D8EAF" w14:textId="77777777" w:rsidR="003B2CAA" w:rsidRPr="008007FE" w:rsidRDefault="003B2CAA" w:rsidP="003B2CAA">
      <w:pPr>
        <w:rPr>
          <w:lang w:val="en-GB"/>
        </w:rPr>
      </w:pPr>
    </w:p>
    <w:p w14:paraId="0707CDD5" w14:textId="77777777" w:rsidR="003B2CAA" w:rsidRPr="008007FE" w:rsidRDefault="003B2CAA" w:rsidP="003B2CAA">
      <w:pPr>
        <w:pStyle w:val="Heading1"/>
        <w:rPr>
          <w:rFonts w:ascii="Times New Roman" w:hAnsi="Times New Roman" w:cs="Times New Roman"/>
          <w:lang w:val="en-GB"/>
        </w:rPr>
      </w:pPr>
      <w:bookmarkStart w:id="5" w:name="_Toc132266304"/>
      <w:bookmarkStart w:id="6" w:name="_Toc153187388"/>
      <w:r w:rsidRPr="008007FE">
        <w:rPr>
          <w:rFonts w:ascii="Times New Roman" w:hAnsi="Times New Roman" w:cs="Times New Roman"/>
          <w:lang w:val="en-GB"/>
        </w:rPr>
        <w:lastRenderedPageBreak/>
        <w:t>Acknowledgements</w:t>
      </w:r>
      <w:bookmarkEnd w:id="5"/>
      <w:bookmarkEnd w:id="6"/>
      <w:r w:rsidRPr="008007FE">
        <w:rPr>
          <w:rFonts w:ascii="Times New Roman" w:hAnsi="Times New Roman" w:cs="Times New Roman"/>
          <w:lang w:val="en-GB"/>
        </w:rPr>
        <w:t xml:space="preserve"> </w:t>
      </w:r>
    </w:p>
    <w:p w14:paraId="51701A67" w14:textId="77777777" w:rsidR="003B2CAA" w:rsidRPr="003B2CAA" w:rsidRDefault="003B2CAA" w:rsidP="003B2CAA">
      <w:pPr>
        <w:spacing w:line="360" w:lineRule="auto"/>
        <w:rPr>
          <w:rFonts w:asciiTheme="majorHAnsi" w:hAnsiTheme="majorHAnsi" w:cstheme="majorHAnsi"/>
          <w:lang w:val="en-GB"/>
        </w:rPr>
      </w:pPr>
    </w:p>
    <w:p w14:paraId="5FFD7383" w14:textId="77777777" w:rsidR="0089105D" w:rsidRDefault="0089105D" w:rsidP="003B2CAA">
      <w:pPr>
        <w:spacing w:line="360" w:lineRule="auto"/>
        <w:rPr>
          <w:rFonts w:asciiTheme="majorHAnsi" w:hAnsiTheme="majorHAnsi" w:cstheme="majorHAnsi"/>
          <w:lang w:val="en-GB"/>
        </w:rPr>
      </w:pPr>
      <w:r w:rsidRPr="0089105D">
        <w:rPr>
          <w:rFonts w:asciiTheme="majorHAnsi" w:hAnsiTheme="majorHAnsi" w:cstheme="majorHAnsi"/>
          <w:lang w:val="en-GB"/>
        </w:rPr>
        <w:t xml:space="preserve">I extend my sincere appreciation to Doc. Mgr. Miroslav </w:t>
      </w:r>
      <w:proofErr w:type="spellStart"/>
      <w:r w:rsidRPr="0089105D">
        <w:rPr>
          <w:rFonts w:asciiTheme="majorHAnsi" w:hAnsiTheme="majorHAnsi" w:cstheme="majorHAnsi"/>
          <w:lang w:val="en-GB"/>
        </w:rPr>
        <w:t>Syrovátka</w:t>
      </w:r>
      <w:proofErr w:type="spellEnd"/>
      <w:r w:rsidRPr="0089105D">
        <w:rPr>
          <w:rFonts w:asciiTheme="majorHAnsi" w:hAnsiTheme="majorHAnsi" w:cstheme="majorHAnsi"/>
          <w:lang w:val="en-GB"/>
        </w:rPr>
        <w:t>, PhD, whose unwavering guidance, boundless patience, and invaluable advice have been instrumental in shaping this research project.</w:t>
      </w:r>
    </w:p>
    <w:p w14:paraId="1245D9CC" w14:textId="77777777" w:rsidR="0089105D" w:rsidRDefault="0089105D" w:rsidP="003B2CAA">
      <w:pPr>
        <w:spacing w:line="360" w:lineRule="auto"/>
        <w:rPr>
          <w:rFonts w:asciiTheme="majorHAnsi" w:hAnsiTheme="majorHAnsi" w:cstheme="majorHAnsi"/>
          <w:lang w:val="en-GB"/>
        </w:rPr>
      </w:pPr>
    </w:p>
    <w:p w14:paraId="08AD800A" w14:textId="1CC12D8B" w:rsidR="003B2CAA" w:rsidRPr="003B2CAA" w:rsidRDefault="0089105D" w:rsidP="003B2CAA">
      <w:pPr>
        <w:spacing w:line="360" w:lineRule="auto"/>
        <w:rPr>
          <w:rFonts w:asciiTheme="majorHAnsi" w:hAnsiTheme="majorHAnsi" w:cstheme="majorHAnsi"/>
          <w:lang w:val="en-GB"/>
        </w:rPr>
      </w:pPr>
      <w:r w:rsidRPr="0089105D">
        <w:rPr>
          <w:rFonts w:asciiTheme="majorHAnsi" w:hAnsiTheme="majorHAnsi" w:cstheme="majorHAnsi"/>
          <w:lang w:val="en-GB"/>
        </w:rPr>
        <w:t>My heartfelt thanks also go to my dear parents, Tim, and Lilly, whose unwavering support and inspiration have been a constant throughout my entire life.</w:t>
      </w:r>
    </w:p>
    <w:p w14:paraId="0315C193" w14:textId="77777777" w:rsidR="003B2CAA" w:rsidRDefault="003B2CAA" w:rsidP="003B2CAA">
      <w:pPr>
        <w:spacing w:line="360" w:lineRule="auto"/>
        <w:rPr>
          <w:lang w:val="en-GB"/>
        </w:rPr>
      </w:pPr>
    </w:p>
    <w:p w14:paraId="74AFD1E2" w14:textId="77777777" w:rsidR="003B2CAA" w:rsidRDefault="003B2CAA" w:rsidP="003B2CAA">
      <w:pPr>
        <w:spacing w:line="360" w:lineRule="auto"/>
        <w:rPr>
          <w:lang w:val="en-GB"/>
        </w:rPr>
      </w:pPr>
    </w:p>
    <w:p w14:paraId="1813AEC3" w14:textId="77777777" w:rsidR="003B2CAA" w:rsidRDefault="003B2CAA" w:rsidP="003B2CAA">
      <w:pPr>
        <w:spacing w:line="360" w:lineRule="auto"/>
        <w:rPr>
          <w:lang w:val="en-GB"/>
        </w:rPr>
      </w:pPr>
    </w:p>
    <w:p w14:paraId="4624295C" w14:textId="77777777" w:rsidR="003B2CAA" w:rsidRDefault="003B2CAA" w:rsidP="003B2CAA">
      <w:pPr>
        <w:spacing w:line="360" w:lineRule="auto"/>
        <w:rPr>
          <w:lang w:val="en-GB"/>
        </w:rPr>
      </w:pPr>
    </w:p>
    <w:p w14:paraId="745382F0" w14:textId="77777777" w:rsidR="003B2CAA" w:rsidRDefault="003B2CAA" w:rsidP="003B2CAA">
      <w:pPr>
        <w:spacing w:line="360" w:lineRule="auto"/>
        <w:rPr>
          <w:lang w:val="en-GB"/>
        </w:rPr>
      </w:pPr>
    </w:p>
    <w:p w14:paraId="42D32D32" w14:textId="77777777" w:rsidR="003B2CAA" w:rsidRDefault="003B2CAA" w:rsidP="003B2CAA">
      <w:pPr>
        <w:rPr>
          <w:lang w:val="en-GB"/>
        </w:rPr>
      </w:pPr>
    </w:p>
    <w:p w14:paraId="3A79A251" w14:textId="269381CE" w:rsidR="003B2CAA" w:rsidRDefault="003B2CAA" w:rsidP="003B2CAA">
      <w:pPr>
        <w:rPr>
          <w:lang w:val="en-GB"/>
        </w:rPr>
      </w:pPr>
    </w:p>
    <w:p w14:paraId="03E77E4D" w14:textId="62E507DE" w:rsidR="003B2CAA" w:rsidRDefault="003B2CAA" w:rsidP="003B2CAA">
      <w:pPr>
        <w:rPr>
          <w:lang w:val="en-GB"/>
        </w:rPr>
      </w:pPr>
    </w:p>
    <w:p w14:paraId="076BBCD3" w14:textId="4B3790B7" w:rsidR="003B2CAA" w:rsidRDefault="003B2CAA" w:rsidP="003B2CAA">
      <w:pPr>
        <w:rPr>
          <w:lang w:val="en-GB"/>
        </w:rPr>
      </w:pPr>
    </w:p>
    <w:p w14:paraId="2DB7A0D0" w14:textId="78A1075A" w:rsidR="003B2CAA" w:rsidRDefault="003B2CAA" w:rsidP="003B2CAA">
      <w:pPr>
        <w:rPr>
          <w:lang w:val="en-GB"/>
        </w:rPr>
      </w:pPr>
    </w:p>
    <w:p w14:paraId="54A405F3" w14:textId="338517AA" w:rsidR="003B2CAA" w:rsidRDefault="003B2CAA" w:rsidP="003B2CAA">
      <w:pPr>
        <w:rPr>
          <w:lang w:val="en-GB"/>
        </w:rPr>
      </w:pPr>
    </w:p>
    <w:p w14:paraId="13E9AD2D" w14:textId="06A557B7" w:rsidR="003B2CAA" w:rsidRDefault="003B2CAA" w:rsidP="003B2CAA">
      <w:pPr>
        <w:rPr>
          <w:lang w:val="en-GB"/>
        </w:rPr>
      </w:pPr>
    </w:p>
    <w:p w14:paraId="1022BC15" w14:textId="1F9638BD" w:rsidR="003B2CAA" w:rsidRDefault="003B2CAA" w:rsidP="003B2CAA">
      <w:pPr>
        <w:rPr>
          <w:lang w:val="en-GB"/>
        </w:rPr>
      </w:pPr>
    </w:p>
    <w:p w14:paraId="610B6C98" w14:textId="0E51FD6E" w:rsidR="003B2CAA" w:rsidRDefault="003B2CAA" w:rsidP="003B2CAA">
      <w:pPr>
        <w:rPr>
          <w:lang w:val="en-GB"/>
        </w:rPr>
      </w:pPr>
    </w:p>
    <w:p w14:paraId="7A742240" w14:textId="5452E16B" w:rsidR="003B2CAA" w:rsidRDefault="003B2CAA" w:rsidP="003B2CAA">
      <w:pPr>
        <w:rPr>
          <w:lang w:val="en-GB"/>
        </w:rPr>
      </w:pPr>
    </w:p>
    <w:p w14:paraId="0A9E9C91" w14:textId="01E9203A" w:rsidR="003B2CAA" w:rsidRDefault="003B2CAA" w:rsidP="003B2CAA">
      <w:pPr>
        <w:rPr>
          <w:lang w:val="en-GB"/>
        </w:rPr>
      </w:pPr>
    </w:p>
    <w:p w14:paraId="6785F15D" w14:textId="29E6A5EF" w:rsidR="003B2CAA" w:rsidRDefault="003B2CAA" w:rsidP="003B2CAA">
      <w:pPr>
        <w:rPr>
          <w:lang w:val="en-GB"/>
        </w:rPr>
      </w:pPr>
    </w:p>
    <w:p w14:paraId="10789260" w14:textId="0E4C3CDB" w:rsidR="00365466" w:rsidRDefault="00365466" w:rsidP="003B2CAA">
      <w:pPr>
        <w:rPr>
          <w:lang w:val="en-GB"/>
        </w:rPr>
      </w:pPr>
    </w:p>
    <w:p w14:paraId="1DC7589B" w14:textId="039EEAE2" w:rsidR="00365466" w:rsidRDefault="00365466" w:rsidP="003B2CAA">
      <w:pPr>
        <w:rPr>
          <w:lang w:val="en-GB"/>
        </w:rPr>
      </w:pPr>
    </w:p>
    <w:p w14:paraId="02A598E7" w14:textId="25E77D42" w:rsidR="00365466" w:rsidRDefault="00365466" w:rsidP="003B2CAA">
      <w:pPr>
        <w:rPr>
          <w:lang w:val="en-GB"/>
        </w:rPr>
      </w:pPr>
    </w:p>
    <w:p w14:paraId="3CBD0E51" w14:textId="3BDB12E4" w:rsidR="00365466" w:rsidRDefault="00365466" w:rsidP="003B2CAA">
      <w:pPr>
        <w:rPr>
          <w:lang w:val="en-GB"/>
        </w:rPr>
      </w:pPr>
    </w:p>
    <w:p w14:paraId="5E708A05" w14:textId="1E6BCFD0" w:rsidR="00365466" w:rsidRDefault="00365466" w:rsidP="003B2CAA">
      <w:pPr>
        <w:rPr>
          <w:lang w:val="en-GB"/>
        </w:rPr>
      </w:pPr>
    </w:p>
    <w:p w14:paraId="29102AEB" w14:textId="6C4B305E" w:rsidR="00365466" w:rsidRDefault="00365466" w:rsidP="003B2CAA">
      <w:pPr>
        <w:rPr>
          <w:lang w:val="en-GB"/>
        </w:rPr>
      </w:pPr>
    </w:p>
    <w:p w14:paraId="1B8B6C6E" w14:textId="4ECB6930" w:rsidR="00365466" w:rsidRDefault="00365466" w:rsidP="003B2CAA">
      <w:pPr>
        <w:rPr>
          <w:lang w:val="en-GB"/>
        </w:rPr>
      </w:pPr>
    </w:p>
    <w:p w14:paraId="6C8F3D3D" w14:textId="4E2D2F17" w:rsidR="00365466" w:rsidRDefault="00365466" w:rsidP="003B2CAA">
      <w:pPr>
        <w:rPr>
          <w:lang w:val="en-GB"/>
        </w:rPr>
      </w:pPr>
    </w:p>
    <w:p w14:paraId="36746EC8" w14:textId="2BCAB7F0" w:rsidR="00365466" w:rsidRDefault="00365466" w:rsidP="003B2CAA">
      <w:pPr>
        <w:rPr>
          <w:lang w:val="en-GB"/>
        </w:rPr>
      </w:pPr>
    </w:p>
    <w:p w14:paraId="1AFF3E64" w14:textId="4D0951C0" w:rsidR="00365466" w:rsidRDefault="00365466" w:rsidP="003B2CAA">
      <w:pPr>
        <w:rPr>
          <w:lang w:val="en-GB"/>
        </w:rPr>
      </w:pPr>
    </w:p>
    <w:p w14:paraId="79922144" w14:textId="76132AD5" w:rsidR="00365466" w:rsidRDefault="00365466" w:rsidP="003B2CAA">
      <w:pPr>
        <w:rPr>
          <w:lang w:val="en-GB"/>
        </w:rPr>
      </w:pPr>
    </w:p>
    <w:p w14:paraId="585F1467" w14:textId="529EAA54" w:rsidR="00365466" w:rsidRDefault="00365466" w:rsidP="003B2CAA">
      <w:pPr>
        <w:rPr>
          <w:lang w:val="en-GB"/>
        </w:rPr>
      </w:pPr>
    </w:p>
    <w:p w14:paraId="2BF93C79" w14:textId="1391AD46" w:rsidR="00365466" w:rsidRDefault="00365466" w:rsidP="003B2CAA">
      <w:pPr>
        <w:rPr>
          <w:lang w:val="en-GB"/>
        </w:rPr>
      </w:pPr>
    </w:p>
    <w:p w14:paraId="56B11C90" w14:textId="39FCFD72" w:rsidR="00365466" w:rsidRDefault="00365466" w:rsidP="003B2CAA">
      <w:pPr>
        <w:rPr>
          <w:lang w:val="en-GB"/>
        </w:rPr>
      </w:pPr>
    </w:p>
    <w:p w14:paraId="3993D0FC" w14:textId="76C533D4" w:rsidR="0089105D" w:rsidRDefault="0089105D" w:rsidP="003B2CAA">
      <w:pPr>
        <w:rPr>
          <w:lang w:val="en-GB"/>
        </w:rPr>
      </w:pPr>
    </w:p>
    <w:p w14:paraId="06623585" w14:textId="00ABD935" w:rsidR="0089105D" w:rsidRDefault="0089105D" w:rsidP="003B2CAA">
      <w:pPr>
        <w:rPr>
          <w:lang w:val="en-GB"/>
        </w:rPr>
      </w:pPr>
    </w:p>
    <w:p w14:paraId="5BB867F8" w14:textId="77777777" w:rsidR="0089105D" w:rsidRDefault="0089105D" w:rsidP="003B2CAA">
      <w:pPr>
        <w:rPr>
          <w:lang w:val="en-GB"/>
        </w:rPr>
      </w:pPr>
    </w:p>
    <w:sdt>
      <w:sdtPr>
        <w:rPr>
          <w:rFonts w:cstheme="majorHAnsi"/>
        </w:rPr>
        <w:id w:val="-988172666"/>
        <w:docPartObj>
          <w:docPartGallery w:val="Table of Contents"/>
          <w:docPartUnique/>
        </w:docPartObj>
      </w:sdtPr>
      <w:sdtEndPr>
        <w:rPr>
          <w:rFonts w:eastAsiaTheme="minorHAnsi"/>
          <w:b/>
          <w:bCs/>
          <w:noProof/>
          <w:color w:val="auto"/>
          <w:kern w:val="2"/>
          <w:sz w:val="24"/>
          <w:szCs w:val="24"/>
          <w14:ligatures w14:val="standardContextual"/>
        </w:rPr>
      </w:sdtEndPr>
      <w:sdtContent>
        <w:p w14:paraId="00E7AC71" w14:textId="663FBF73" w:rsidR="00365466" w:rsidRPr="004A5250" w:rsidRDefault="00365466">
          <w:pPr>
            <w:pStyle w:val="TOCHeading"/>
            <w:rPr>
              <w:rFonts w:cstheme="majorHAnsi"/>
            </w:rPr>
          </w:pPr>
          <w:r w:rsidRPr="004A5250">
            <w:rPr>
              <w:rFonts w:cstheme="majorHAnsi"/>
            </w:rPr>
            <w:t>Contents</w:t>
          </w:r>
        </w:p>
        <w:p w14:paraId="36A07EE9" w14:textId="77777777" w:rsidR="004A5250" w:rsidRPr="004A5250" w:rsidRDefault="004A5250" w:rsidP="004A5250">
          <w:pPr>
            <w:rPr>
              <w:rFonts w:asciiTheme="majorHAnsi" w:hAnsiTheme="majorHAnsi" w:cstheme="majorHAnsi"/>
            </w:rPr>
          </w:pPr>
        </w:p>
        <w:p w14:paraId="5715C6D7" w14:textId="35B58877" w:rsidR="004A5250" w:rsidRPr="004A5250" w:rsidRDefault="00365466">
          <w:pPr>
            <w:pStyle w:val="TOC1"/>
            <w:tabs>
              <w:tab w:val="right" w:leader="dot" w:pos="9016"/>
            </w:tabs>
            <w:rPr>
              <w:rFonts w:asciiTheme="majorHAnsi" w:eastAsiaTheme="minorEastAsia" w:hAnsiTheme="majorHAnsi" w:cstheme="majorHAnsi"/>
              <w:noProof/>
              <w:kern w:val="0"/>
              <w:sz w:val="22"/>
              <w:szCs w:val="22"/>
              <w14:ligatures w14:val="none"/>
            </w:rPr>
          </w:pPr>
          <w:r w:rsidRPr="004A5250">
            <w:rPr>
              <w:rFonts w:asciiTheme="majorHAnsi" w:hAnsiTheme="majorHAnsi" w:cstheme="majorHAnsi"/>
            </w:rPr>
            <w:fldChar w:fldCharType="begin"/>
          </w:r>
          <w:r w:rsidRPr="004A5250">
            <w:rPr>
              <w:rFonts w:asciiTheme="majorHAnsi" w:hAnsiTheme="majorHAnsi" w:cstheme="majorHAnsi"/>
            </w:rPr>
            <w:instrText xml:space="preserve"> TOC \o "1-3" \h \z \u </w:instrText>
          </w:r>
          <w:r w:rsidRPr="004A5250">
            <w:rPr>
              <w:rFonts w:asciiTheme="majorHAnsi" w:hAnsiTheme="majorHAnsi" w:cstheme="majorHAnsi"/>
            </w:rPr>
            <w:fldChar w:fldCharType="separate"/>
          </w:r>
          <w:hyperlink w:anchor="_Toc153187386" w:history="1">
            <w:r w:rsidR="004A5250" w:rsidRPr="004A5250">
              <w:rPr>
                <w:rStyle w:val="Hyperlink"/>
                <w:rFonts w:asciiTheme="majorHAnsi" w:hAnsiTheme="majorHAnsi" w:cstheme="majorHAnsi"/>
                <w:noProof/>
              </w:rPr>
              <w:t>Declaration</w:t>
            </w:r>
            <w:r w:rsidR="004A5250" w:rsidRPr="004A5250">
              <w:rPr>
                <w:rFonts w:asciiTheme="majorHAnsi" w:hAnsiTheme="majorHAnsi" w:cstheme="majorHAnsi"/>
                <w:noProof/>
                <w:webHidden/>
              </w:rPr>
              <w:tab/>
            </w:r>
            <w:r w:rsidR="004A5250" w:rsidRPr="004A5250">
              <w:rPr>
                <w:rFonts w:asciiTheme="majorHAnsi" w:hAnsiTheme="majorHAnsi" w:cstheme="majorHAnsi"/>
                <w:noProof/>
                <w:webHidden/>
              </w:rPr>
              <w:fldChar w:fldCharType="begin"/>
            </w:r>
            <w:r w:rsidR="004A5250" w:rsidRPr="004A5250">
              <w:rPr>
                <w:rFonts w:asciiTheme="majorHAnsi" w:hAnsiTheme="majorHAnsi" w:cstheme="majorHAnsi"/>
                <w:noProof/>
                <w:webHidden/>
              </w:rPr>
              <w:instrText xml:space="preserve"> PAGEREF _Toc153187386 \h </w:instrText>
            </w:r>
            <w:r w:rsidR="004A5250" w:rsidRPr="004A5250">
              <w:rPr>
                <w:rFonts w:asciiTheme="majorHAnsi" w:hAnsiTheme="majorHAnsi" w:cstheme="majorHAnsi"/>
                <w:noProof/>
                <w:webHidden/>
              </w:rPr>
            </w:r>
            <w:r w:rsidR="004A5250" w:rsidRPr="004A5250">
              <w:rPr>
                <w:rFonts w:asciiTheme="majorHAnsi" w:hAnsiTheme="majorHAnsi" w:cstheme="majorHAnsi"/>
                <w:noProof/>
                <w:webHidden/>
              </w:rPr>
              <w:fldChar w:fldCharType="separate"/>
            </w:r>
            <w:r w:rsidR="004A5250" w:rsidRPr="004A5250">
              <w:rPr>
                <w:rFonts w:asciiTheme="majorHAnsi" w:hAnsiTheme="majorHAnsi" w:cstheme="majorHAnsi"/>
                <w:noProof/>
                <w:webHidden/>
              </w:rPr>
              <w:t>2</w:t>
            </w:r>
            <w:r w:rsidR="004A5250" w:rsidRPr="004A5250">
              <w:rPr>
                <w:rFonts w:asciiTheme="majorHAnsi" w:hAnsiTheme="majorHAnsi" w:cstheme="majorHAnsi"/>
                <w:noProof/>
                <w:webHidden/>
              </w:rPr>
              <w:fldChar w:fldCharType="end"/>
            </w:r>
          </w:hyperlink>
        </w:p>
        <w:p w14:paraId="797A14C5" w14:textId="2119EF66" w:rsidR="004A5250" w:rsidRPr="004A5250" w:rsidRDefault="004A5250">
          <w:pPr>
            <w:pStyle w:val="TOC1"/>
            <w:tabs>
              <w:tab w:val="right" w:leader="dot" w:pos="9016"/>
            </w:tabs>
            <w:rPr>
              <w:rFonts w:asciiTheme="majorHAnsi" w:eastAsiaTheme="minorEastAsia" w:hAnsiTheme="majorHAnsi" w:cstheme="majorHAnsi"/>
              <w:noProof/>
              <w:kern w:val="0"/>
              <w:sz w:val="22"/>
              <w:szCs w:val="22"/>
              <w14:ligatures w14:val="none"/>
            </w:rPr>
          </w:pPr>
          <w:hyperlink w:anchor="_Toc153187387" w:history="1">
            <w:r w:rsidRPr="004A5250">
              <w:rPr>
                <w:rStyle w:val="Hyperlink"/>
                <w:rFonts w:asciiTheme="majorHAnsi" w:hAnsiTheme="majorHAnsi" w:cstheme="majorHAnsi"/>
                <w:noProof/>
                <w:lang w:val="en-GB"/>
              </w:rPr>
              <w:t>Abstract</w:t>
            </w:r>
            <w:r w:rsidRPr="004A5250">
              <w:rPr>
                <w:rFonts w:asciiTheme="majorHAnsi" w:hAnsiTheme="majorHAnsi" w:cstheme="majorHAnsi"/>
                <w:noProof/>
                <w:webHidden/>
              </w:rPr>
              <w:tab/>
            </w:r>
            <w:r w:rsidRPr="004A5250">
              <w:rPr>
                <w:rFonts w:asciiTheme="majorHAnsi" w:hAnsiTheme="majorHAnsi" w:cstheme="majorHAnsi"/>
                <w:noProof/>
                <w:webHidden/>
              </w:rPr>
              <w:fldChar w:fldCharType="begin"/>
            </w:r>
            <w:r w:rsidRPr="004A5250">
              <w:rPr>
                <w:rFonts w:asciiTheme="majorHAnsi" w:hAnsiTheme="majorHAnsi" w:cstheme="majorHAnsi"/>
                <w:noProof/>
                <w:webHidden/>
              </w:rPr>
              <w:instrText xml:space="preserve"> PAGEREF _Toc153187387 \h </w:instrText>
            </w:r>
            <w:r w:rsidRPr="004A5250">
              <w:rPr>
                <w:rFonts w:asciiTheme="majorHAnsi" w:hAnsiTheme="majorHAnsi" w:cstheme="majorHAnsi"/>
                <w:noProof/>
                <w:webHidden/>
              </w:rPr>
            </w:r>
            <w:r w:rsidRPr="004A5250">
              <w:rPr>
                <w:rFonts w:asciiTheme="majorHAnsi" w:hAnsiTheme="majorHAnsi" w:cstheme="majorHAnsi"/>
                <w:noProof/>
                <w:webHidden/>
              </w:rPr>
              <w:fldChar w:fldCharType="separate"/>
            </w:r>
            <w:r w:rsidRPr="004A5250">
              <w:rPr>
                <w:rFonts w:asciiTheme="majorHAnsi" w:hAnsiTheme="majorHAnsi" w:cstheme="majorHAnsi"/>
                <w:noProof/>
                <w:webHidden/>
              </w:rPr>
              <w:t>3</w:t>
            </w:r>
            <w:r w:rsidRPr="004A5250">
              <w:rPr>
                <w:rFonts w:asciiTheme="majorHAnsi" w:hAnsiTheme="majorHAnsi" w:cstheme="majorHAnsi"/>
                <w:noProof/>
                <w:webHidden/>
              </w:rPr>
              <w:fldChar w:fldCharType="end"/>
            </w:r>
          </w:hyperlink>
        </w:p>
        <w:p w14:paraId="5B7BD4A2" w14:textId="0970A9C7" w:rsidR="004A5250" w:rsidRPr="004A5250" w:rsidRDefault="004A5250">
          <w:pPr>
            <w:pStyle w:val="TOC1"/>
            <w:tabs>
              <w:tab w:val="right" w:leader="dot" w:pos="9016"/>
            </w:tabs>
            <w:rPr>
              <w:rFonts w:asciiTheme="majorHAnsi" w:eastAsiaTheme="minorEastAsia" w:hAnsiTheme="majorHAnsi" w:cstheme="majorHAnsi"/>
              <w:noProof/>
              <w:kern w:val="0"/>
              <w:sz w:val="22"/>
              <w:szCs w:val="22"/>
              <w14:ligatures w14:val="none"/>
            </w:rPr>
          </w:pPr>
          <w:hyperlink w:anchor="_Toc153187388" w:history="1">
            <w:r w:rsidRPr="004A5250">
              <w:rPr>
                <w:rStyle w:val="Hyperlink"/>
                <w:rFonts w:asciiTheme="majorHAnsi" w:hAnsiTheme="majorHAnsi" w:cstheme="majorHAnsi"/>
                <w:noProof/>
                <w:lang w:val="en-GB"/>
              </w:rPr>
              <w:t>Acknowledgements</w:t>
            </w:r>
            <w:r w:rsidRPr="004A5250">
              <w:rPr>
                <w:rFonts w:asciiTheme="majorHAnsi" w:hAnsiTheme="majorHAnsi" w:cstheme="majorHAnsi"/>
                <w:noProof/>
                <w:webHidden/>
              </w:rPr>
              <w:tab/>
            </w:r>
            <w:r w:rsidRPr="004A5250">
              <w:rPr>
                <w:rFonts w:asciiTheme="majorHAnsi" w:hAnsiTheme="majorHAnsi" w:cstheme="majorHAnsi"/>
                <w:noProof/>
                <w:webHidden/>
              </w:rPr>
              <w:fldChar w:fldCharType="begin"/>
            </w:r>
            <w:r w:rsidRPr="004A5250">
              <w:rPr>
                <w:rFonts w:asciiTheme="majorHAnsi" w:hAnsiTheme="majorHAnsi" w:cstheme="majorHAnsi"/>
                <w:noProof/>
                <w:webHidden/>
              </w:rPr>
              <w:instrText xml:space="preserve"> PAGEREF _Toc153187388 \h </w:instrText>
            </w:r>
            <w:r w:rsidRPr="004A5250">
              <w:rPr>
                <w:rFonts w:asciiTheme="majorHAnsi" w:hAnsiTheme="majorHAnsi" w:cstheme="majorHAnsi"/>
                <w:noProof/>
                <w:webHidden/>
              </w:rPr>
            </w:r>
            <w:r w:rsidRPr="004A5250">
              <w:rPr>
                <w:rFonts w:asciiTheme="majorHAnsi" w:hAnsiTheme="majorHAnsi" w:cstheme="majorHAnsi"/>
                <w:noProof/>
                <w:webHidden/>
              </w:rPr>
              <w:fldChar w:fldCharType="separate"/>
            </w:r>
            <w:r w:rsidRPr="004A5250">
              <w:rPr>
                <w:rFonts w:asciiTheme="majorHAnsi" w:hAnsiTheme="majorHAnsi" w:cstheme="majorHAnsi"/>
                <w:noProof/>
                <w:webHidden/>
              </w:rPr>
              <w:t>4</w:t>
            </w:r>
            <w:r w:rsidRPr="004A5250">
              <w:rPr>
                <w:rFonts w:asciiTheme="majorHAnsi" w:hAnsiTheme="majorHAnsi" w:cstheme="majorHAnsi"/>
                <w:noProof/>
                <w:webHidden/>
              </w:rPr>
              <w:fldChar w:fldCharType="end"/>
            </w:r>
          </w:hyperlink>
        </w:p>
        <w:p w14:paraId="3899297D" w14:textId="41D618A1" w:rsidR="004A5250" w:rsidRPr="004A5250" w:rsidRDefault="004A5250" w:rsidP="004A5250">
          <w:pPr>
            <w:pStyle w:val="TOC2"/>
            <w:tabs>
              <w:tab w:val="right" w:leader="dot" w:pos="9016"/>
            </w:tabs>
            <w:ind w:left="0"/>
            <w:rPr>
              <w:rFonts w:asciiTheme="majorHAnsi" w:eastAsiaTheme="minorEastAsia" w:hAnsiTheme="majorHAnsi" w:cstheme="majorHAnsi"/>
              <w:noProof/>
              <w:kern w:val="0"/>
              <w:sz w:val="22"/>
              <w:szCs w:val="22"/>
              <w14:ligatures w14:val="none"/>
            </w:rPr>
          </w:pPr>
          <w:hyperlink w:anchor="_Toc153187389" w:history="1">
            <w:r w:rsidRPr="004A5250">
              <w:rPr>
                <w:rStyle w:val="Hyperlink"/>
                <w:rFonts w:asciiTheme="majorHAnsi" w:hAnsiTheme="majorHAnsi" w:cstheme="majorHAnsi"/>
                <w:noProof/>
              </w:rPr>
              <w:t>Table of figures</w:t>
            </w:r>
            <w:r w:rsidRPr="004A5250">
              <w:rPr>
                <w:rFonts w:asciiTheme="majorHAnsi" w:hAnsiTheme="majorHAnsi" w:cstheme="majorHAnsi"/>
                <w:noProof/>
                <w:webHidden/>
              </w:rPr>
              <w:tab/>
            </w:r>
            <w:r w:rsidRPr="004A5250">
              <w:rPr>
                <w:rFonts w:asciiTheme="majorHAnsi" w:hAnsiTheme="majorHAnsi" w:cstheme="majorHAnsi"/>
                <w:noProof/>
                <w:webHidden/>
              </w:rPr>
              <w:fldChar w:fldCharType="begin"/>
            </w:r>
            <w:r w:rsidRPr="004A5250">
              <w:rPr>
                <w:rFonts w:asciiTheme="majorHAnsi" w:hAnsiTheme="majorHAnsi" w:cstheme="majorHAnsi"/>
                <w:noProof/>
                <w:webHidden/>
              </w:rPr>
              <w:instrText xml:space="preserve"> PAGEREF _Toc153187389 \h </w:instrText>
            </w:r>
            <w:r w:rsidRPr="004A5250">
              <w:rPr>
                <w:rFonts w:asciiTheme="majorHAnsi" w:hAnsiTheme="majorHAnsi" w:cstheme="majorHAnsi"/>
                <w:noProof/>
                <w:webHidden/>
              </w:rPr>
            </w:r>
            <w:r w:rsidRPr="004A5250">
              <w:rPr>
                <w:rFonts w:asciiTheme="majorHAnsi" w:hAnsiTheme="majorHAnsi" w:cstheme="majorHAnsi"/>
                <w:noProof/>
                <w:webHidden/>
              </w:rPr>
              <w:fldChar w:fldCharType="separate"/>
            </w:r>
            <w:r w:rsidRPr="004A5250">
              <w:rPr>
                <w:rFonts w:asciiTheme="majorHAnsi" w:hAnsiTheme="majorHAnsi" w:cstheme="majorHAnsi"/>
                <w:noProof/>
                <w:webHidden/>
              </w:rPr>
              <w:t>7</w:t>
            </w:r>
            <w:r w:rsidRPr="004A5250">
              <w:rPr>
                <w:rFonts w:asciiTheme="majorHAnsi" w:hAnsiTheme="majorHAnsi" w:cstheme="majorHAnsi"/>
                <w:noProof/>
                <w:webHidden/>
              </w:rPr>
              <w:fldChar w:fldCharType="end"/>
            </w:r>
          </w:hyperlink>
        </w:p>
        <w:p w14:paraId="66D963B2" w14:textId="4A3932E6" w:rsidR="004A5250" w:rsidRPr="004A5250" w:rsidRDefault="004A5250">
          <w:pPr>
            <w:pStyle w:val="TOC1"/>
            <w:tabs>
              <w:tab w:val="right" w:leader="dot" w:pos="9016"/>
            </w:tabs>
            <w:rPr>
              <w:rFonts w:asciiTheme="majorHAnsi" w:eastAsiaTheme="minorEastAsia" w:hAnsiTheme="majorHAnsi" w:cstheme="majorHAnsi"/>
              <w:noProof/>
              <w:kern w:val="0"/>
              <w:sz w:val="22"/>
              <w:szCs w:val="22"/>
              <w14:ligatures w14:val="none"/>
            </w:rPr>
          </w:pPr>
          <w:hyperlink w:anchor="_Toc153187390" w:history="1">
            <w:r w:rsidRPr="004A5250">
              <w:rPr>
                <w:rStyle w:val="Hyperlink"/>
                <w:rFonts w:asciiTheme="majorHAnsi" w:hAnsiTheme="majorHAnsi" w:cstheme="majorHAnsi"/>
                <w:noProof/>
                <w:lang w:val="en-GB"/>
              </w:rPr>
              <w:t>CHAPTER 1: INTRODUCTION</w:t>
            </w:r>
            <w:r w:rsidRPr="004A5250">
              <w:rPr>
                <w:rFonts w:asciiTheme="majorHAnsi" w:hAnsiTheme="majorHAnsi" w:cstheme="majorHAnsi"/>
                <w:noProof/>
                <w:webHidden/>
              </w:rPr>
              <w:tab/>
            </w:r>
            <w:r w:rsidRPr="004A5250">
              <w:rPr>
                <w:rFonts w:asciiTheme="majorHAnsi" w:hAnsiTheme="majorHAnsi" w:cstheme="majorHAnsi"/>
                <w:noProof/>
                <w:webHidden/>
              </w:rPr>
              <w:fldChar w:fldCharType="begin"/>
            </w:r>
            <w:r w:rsidRPr="004A5250">
              <w:rPr>
                <w:rFonts w:asciiTheme="majorHAnsi" w:hAnsiTheme="majorHAnsi" w:cstheme="majorHAnsi"/>
                <w:noProof/>
                <w:webHidden/>
              </w:rPr>
              <w:instrText xml:space="preserve"> PAGEREF _Toc153187390 \h </w:instrText>
            </w:r>
            <w:r w:rsidRPr="004A5250">
              <w:rPr>
                <w:rFonts w:asciiTheme="majorHAnsi" w:hAnsiTheme="majorHAnsi" w:cstheme="majorHAnsi"/>
                <w:noProof/>
                <w:webHidden/>
              </w:rPr>
            </w:r>
            <w:r w:rsidRPr="004A5250">
              <w:rPr>
                <w:rFonts w:asciiTheme="majorHAnsi" w:hAnsiTheme="majorHAnsi" w:cstheme="majorHAnsi"/>
                <w:noProof/>
                <w:webHidden/>
              </w:rPr>
              <w:fldChar w:fldCharType="separate"/>
            </w:r>
            <w:r w:rsidRPr="004A5250">
              <w:rPr>
                <w:rFonts w:asciiTheme="majorHAnsi" w:hAnsiTheme="majorHAnsi" w:cstheme="majorHAnsi"/>
                <w:noProof/>
                <w:webHidden/>
              </w:rPr>
              <w:t>8</w:t>
            </w:r>
            <w:r w:rsidRPr="004A5250">
              <w:rPr>
                <w:rFonts w:asciiTheme="majorHAnsi" w:hAnsiTheme="majorHAnsi" w:cstheme="majorHAnsi"/>
                <w:noProof/>
                <w:webHidden/>
              </w:rPr>
              <w:fldChar w:fldCharType="end"/>
            </w:r>
          </w:hyperlink>
        </w:p>
        <w:p w14:paraId="3CD281D9" w14:textId="00B73641" w:rsidR="004A5250" w:rsidRPr="004A5250" w:rsidRDefault="004A5250">
          <w:pPr>
            <w:pStyle w:val="TOC2"/>
            <w:tabs>
              <w:tab w:val="right" w:leader="dot" w:pos="9016"/>
            </w:tabs>
            <w:rPr>
              <w:rFonts w:asciiTheme="majorHAnsi" w:eastAsiaTheme="minorEastAsia" w:hAnsiTheme="majorHAnsi" w:cstheme="majorHAnsi"/>
              <w:noProof/>
              <w:kern w:val="0"/>
              <w:sz w:val="22"/>
              <w:szCs w:val="22"/>
              <w14:ligatures w14:val="none"/>
            </w:rPr>
          </w:pPr>
          <w:hyperlink w:anchor="_Toc153187391" w:history="1">
            <w:r w:rsidRPr="004A5250">
              <w:rPr>
                <w:rStyle w:val="Hyperlink"/>
                <w:rFonts w:asciiTheme="majorHAnsi" w:hAnsiTheme="majorHAnsi" w:cstheme="majorHAnsi"/>
                <w:noProof/>
              </w:rPr>
              <w:t>1.2 AIM OF THIS MASTER THESIS</w:t>
            </w:r>
            <w:r w:rsidRPr="004A5250">
              <w:rPr>
                <w:rFonts w:asciiTheme="majorHAnsi" w:hAnsiTheme="majorHAnsi" w:cstheme="majorHAnsi"/>
                <w:noProof/>
                <w:webHidden/>
              </w:rPr>
              <w:tab/>
            </w:r>
            <w:r w:rsidRPr="004A5250">
              <w:rPr>
                <w:rFonts w:asciiTheme="majorHAnsi" w:hAnsiTheme="majorHAnsi" w:cstheme="majorHAnsi"/>
                <w:noProof/>
                <w:webHidden/>
              </w:rPr>
              <w:fldChar w:fldCharType="begin"/>
            </w:r>
            <w:r w:rsidRPr="004A5250">
              <w:rPr>
                <w:rFonts w:asciiTheme="majorHAnsi" w:hAnsiTheme="majorHAnsi" w:cstheme="majorHAnsi"/>
                <w:noProof/>
                <w:webHidden/>
              </w:rPr>
              <w:instrText xml:space="preserve"> PAGEREF _Toc153187391 \h </w:instrText>
            </w:r>
            <w:r w:rsidRPr="004A5250">
              <w:rPr>
                <w:rFonts w:asciiTheme="majorHAnsi" w:hAnsiTheme="majorHAnsi" w:cstheme="majorHAnsi"/>
                <w:noProof/>
                <w:webHidden/>
              </w:rPr>
            </w:r>
            <w:r w:rsidRPr="004A5250">
              <w:rPr>
                <w:rFonts w:asciiTheme="majorHAnsi" w:hAnsiTheme="majorHAnsi" w:cstheme="majorHAnsi"/>
                <w:noProof/>
                <w:webHidden/>
              </w:rPr>
              <w:fldChar w:fldCharType="separate"/>
            </w:r>
            <w:r w:rsidRPr="004A5250">
              <w:rPr>
                <w:rFonts w:asciiTheme="majorHAnsi" w:hAnsiTheme="majorHAnsi" w:cstheme="majorHAnsi"/>
                <w:noProof/>
                <w:webHidden/>
              </w:rPr>
              <w:t>10</w:t>
            </w:r>
            <w:r w:rsidRPr="004A5250">
              <w:rPr>
                <w:rFonts w:asciiTheme="majorHAnsi" w:hAnsiTheme="majorHAnsi" w:cstheme="majorHAnsi"/>
                <w:noProof/>
                <w:webHidden/>
              </w:rPr>
              <w:fldChar w:fldCharType="end"/>
            </w:r>
          </w:hyperlink>
        </w:p>
        <w:p w14:paraId="72CC4808" w14:textId="4DD7FFF6" w:rsidR="004A5250" w:rsidRPr="004A5250" w:rsidRDefault="004A5250">
          <w:pPr>
            <w:pStyle w:val="TOC2"/>
            <w:tabs>
              <w:tab w:val="right" w:leader="dot" w:pos="9016"/>
            </w:tabs>
            <w:rPr>
              <w:rFonts w:asciiTheme="majorHAnsi" w:eastAsiaTheme="minorEastAsia" w:hAnsiTheme="majorHAnsi" w:cstheme="majorHAnsi"/>
              <w:noProof/>
              <w:kern w:val="0"/>
              <w:sz w:val="22"/>
              <w:szCs w:val="22"/>
              <w14:ligatures w14:val="none"/>
            </w:rPr>
          </w:pPr>
          <w:hyperlink w:anchor="_Toc153187392" w:history="1">
            <w:r w:rsidRPr="004A5250">
              <w:rPr>
                <w:rStyle w:val="Hyperlink"/>
                <w:rFonts w:asciiTheme="majorHAnsi" w:hAnsiTheme="majorHAnsi" w:cstheme="majorHAnsi"/>
                <w:noProof/>
                <w:lang w:val="en-GB"/>
              </w:rPr>
              <w:t xml:space="preserve">1.3 </w:t>
            </w:r>
            <w:r w:rsidRPr="004A5250">
              <w:rPr>
                <w:rStyle w:val="Hyperlink"/>
                <w:rFonts w:asciiTheme="majorHAnsi" w:hAnsiTheme="majorHAnsi" w:cstheme="majorHAnsi"/>
                <w:noProof/>
              </w:rPr>
              <w:t>METHODOLOGY</w:t>
            </w:r>
            <w:r w:rsidRPr="004A5250">
              <w:rPr>
                <w:rFonts w:asciiTheme="majorHAnsi" w:hAnsiTheme="majorHAnsi" w:cstheme="majorHAnsi"/>
                <w:noProof/>
                <w:webHidden/>
              </w:rPr>
              <w:tab/>
            </w:r>
            <w:r w:rsidRPr="004A5250">
              <w:rPr>
                <w:rFonts w:asciiTheme="majorHAnsi" w:hAnsiTheme="majorHAnsi" w:cstheme="majorHAnsi"/>
                <w:noProof/>
                <w:webHidden/>
              </w:rPr>
              <w:fldChar w:fldCharType="begin"/>
            </w:r>
            <w:r w:rsidRPr="004A5250">
              <w:rPr>
                <w:rFonts w:asciiTheme="majorHAnsi" w:hAnsiTheme="majorHAnsi" w:cstheme="majorHAnsi"/>
                <w:noProof/>
                <w:webHidden/>
              </w:rPr>
              <w:instrText xml:space="preserve"> PAGEREF _Toc153187392 \h </w:instrText>
            </w:r>
            <w:r w:rsidRPr="004A5250">
              <w:rPr>
                <w:rFonts w:asciiTheme="majorHAnsi" w:hAnsiTheme="majorHAnsi" w:cstheme="majorHAnsi"/>
                <w:noProof/>
                <w:webHidden/>
              </w:rPr>
            </w:r>
            <w:r w:rsidRPr="004A5250">
              <w:rPr>
                <w:rFonts w:asciiTheme="majorHAnsi" w:hAnsiTheme="majorHAnsi" w:cstheme="majorHAnsi"/>
                <w:noProof/>
                <w:webHidden/>
              </w:rPr>
              <w:fldChar w:fldCharType="separate"/>
            </w:r>
            <w:r w:rsidRPr="004A5250">
              <w:rPr>
                <w:rFonts w:asciiTheme="majorHAnsi" w:hAnsiTheme="majorHAnsi" w:cstheme="majorHAnsi"/>
                <w:noProof/>
                <w:webHidden/>
              </w:rPr>
              <w:t>12</w:t>
            </w:r>
            <w:r w:rsidRPr="004A5250">
              <w:rPr>
                <w:rFonts w:asciiTheme="majorHAnsi" w:hAnsiTheme="majorHAnsi" w:cstheme="majorHAnsi"/>
                <w:noProof/>
                <w:webHidden/>
              </w:rPr>
              <w:fldChar w:fldCharType="end"/>
            </w:r>
          </w:hyperlink>
        </w:p>
        <w:p w14:paraId="21F451D2" w14:textId="6B56323C" w:rsidR="004A5250" w:rsidRPr="004A5250" w:rsidRDefault="004A5250">
          <w:pPr>
            <w:pStyle w:val="TOC1"/>
            <w:tabs>
              <w:tab w:val="right" w:leader="dot" w:pos="9016"/>
            </w:tabs>
            <w:rPr>
              <w:rFonts w:asciiTheme="majorHAnsi" w:eastAsiaTheme="minorEastAsia" w:hAnsiTheme="majorHAnsi" w:cstheme="majorHAnsi"/>
              <w:noProof/>
              <w:kern w:val="0"/>
              <w:sz w:val="22"/>
              <w:szCs w:val="22"/>
              <w14:ligatures w14:val="none"/>
            </w:rPr>
          </w:pPr>
          <w:hyperlink w:anchor="_Toc153187393" w:history="1">
            <w:r w:rsidRPr="004A5250">
              <w:rPr>
                <w:rStyle w:val="Hyperlink"/>
                <w:rFonts w:asciiTheme="majorHAnsi" w:hAnsiTheme="majorHAnsi" w:cstheme="majorHAnsi"/>
                <w:noProof/>
              </w:rPr>
              <w:t>CHAPTER 2:  ANALYSIS OF LITERATURE ON CRITICISM OF SUSTAINABLE DEVELOPMENT GOALS</w:t>
            </w:r>
            <w:r w:rsidRPr="004A5250">
              <w:rPr>
                <w:rFonts w:asciiTheme="majorHAnsi" w:hAnsiTheme="majorHAnsi" w:cstheme="majorHAnsi"/>
                <w:noProof/>
                <w:webHidden/>
              </w:rPr>
              <w:tab/>
            </w:r>
            <w:r w:rsidRPr="004A5250">
              <w:rPr>
                <w:rFonts w:asciiTheme="majorHAnsi" w:hAnsiTheme="majorHAnsi" w:cstheme="majorHAnsi"/>
                <w:noProof/>
                <w:webHidden/>
              </w:rPr>
              <w:fldChar w:fldCharType="begin"/>
            </w:r>
            <w:r w:rsidRPr="004A5250">
              <w:rPr>
                <w:rFonts w:asciiTheme="majorHAnsi" w:hAnsiTheme="majorHAnsi" w:cstheme="majorHAnsi"/>
                <w:noProof/>
                <w:webHidden/>
              </w:rPr>
              <w:instrText xml:space="preserve"> PAGEREF _Toc153187393 \h </w:instrText>
            </w:r>
            <w:r w:rsidRPr="004A5250">
              <w:rPr>
                <w:rFonts w:asciiTheme="majorHAnsi" w:hAnsiTheme="majorHAnsi" w:cstheme="majorHAnsi"/>
                <w:noProof/>
                <w:webHidden/>
              </w:rPr>
            </w:r>
            <w:r w:rsidRPr="004A5250">
              <w:rPr>
                <w:rFonts w:asciiTheme="majorHAnsi" w:hAnsiTheme="majorHAnsi" w:cstheme="majorHAnsi"/>
                <w:noProof/>
                <w:webHidden/>
              </w:rPr>
              <w:fldChar w:fldCharType="separate"/>
            </w:r>
            <w:r w:rsidRPr="004A5250">
              <w:rPr>
                <w:rFonts w:asciiTheme="majorHAnsi" w:hAnsiTheme="majorHAnsi" w:cstheme="majorHAnsi"/>
                <w:noProof/>
                <w:webHidden/>
              </w:rPr>
              <w:t>14</w:t>
            </w:r>
            <w:r w:rsidRPr="004A5250">
              <w:rPr>
                <w:rFonts w:asciiTheme="majorHAnsi" w:hAnsiTheme="majorHAnsi" w:cstheme="majorHAnsi"/>
                <w:noProof/>
                <w:webHidden/>
              </w:rPr>
              <w:fldChar w:fldCharType="end"/>
            </w:r>
          </w:hyperlink>
        </w:p>
        <w:p w14:paraId="34F3A2F5" w14:textId="51852215" w:rsidR="004A5250" w:rsidRPr="004A5250" w:rsidRDefault="004A5250">
          <w:pPr>
            <w:pStyle w:val="TOC2"/>
            <w:tabs>
              <w:tab w:val="left" w:pos="660"/>
              <w:tab w:val="right" w:leader="dot" w:pos="9016"/>
            </w:tabs>
            <w:rPr>
              <w:rFonts w:asciiTheme="majorHAnsi" w:eastAsiaTheme="minorEastAsia" w:hAnsiTheme="majorHAnsi" w:cstheme="majorHAnsi"/>
              <w:noProof/>
              <w:kern w:val="0"/>
              <w:sz w:val="22"/>
              <w:szCs w:val="22"/>
              <w14:ligatures w14:val="none"/>
            </w:rPr>
          </w:pPr>
          <w:hyperlink w:anchor="_Toc153187394" w:history="1">
            <w:r w:rsidRPr="004A5250">
              <w:rPr>
                <w:rStyle w:val="Hyperlink"/>
                <w:rFonts w:asciiTheme="majorHAnsi" w:hAnsiTheme="majorHAnsi" w:cstheme="majorHAnsi"/>
                <w:noProof/>
              </w:rPr>
              <w:t>a)</w:t>
            </w:r>
            <w:r w:rsidRPr="004A5250">
              <w:rPr>
                <w:rFonts w:asciiTheme="majorHAnsi" w:eastAsiaTheme="minorEastAsia" w:hAnsiTheme="majorHAnsi" w:cstheme="majorHAnsi"/>
                <w:noProof/>
                <w:kern w:val="0"/>
                <w:sz w:val="22"/>
                <w:szCs w:val="22"/>
                <w14:ligatures w14:val="none"/>
              </w:rPr>
              <w:tab/>
            </w:r>
            <w:r w:rsidRPr="004A5250">
              <w:rPr>
                <w:rStyle w:val="Hyperlink"/>
                <w:rFonts w:asciiTheme="majorHAnsi" w:hAnsiTheme="majorHAnsi" w:cstheme="majorHAnsi"/>
                <w:noProof/>
              </w:rPr>
              <w:t>Central aspects criticized by the academic articles</w:t>
            </w:r>
            <w:r w:rsidRPr="004A5250">
              <w:rPr>
                <w:rFonts w:asciiTheme="majorHAnsi" w:hAnsiTheme="majorHAnsi" w:cstheme="majorHAnsi"/>
                <w:noProof/>
                <w:webHidden/>
              </w:rPr>
              <w:tab/>
            </w:r>
            <w:r w:rsidRPr="004A5250">
              <w:rPr>
                <w:rFonts w:asciiTheme="majorHAnsi" w:hAnsiTheme="majorHAnsi" w:cstheme="majorHAnsi"/>
                <w:noProof/>
                <w:webHidden/>
              </w:rPr>
              <w:fldChar w:fldCharType="begin"/>
            </w:r>
            <w:r w:rsidRPr="004A5250">
              <w:rPr>
                <w:rFonts w:asciiTheme="majorHAnsi" w:hAnsiTheme="majorHAnsi" w:cstheme="majorHAnsi"/>
                <w:noProof/>
                <w:webHidden/>
              </w:rPr>
              <w:instrText xml:space="preserve"> PAGEREF _Toc153187394 \h </w:instrText>
            </w:r>
            <w:r w:rsidRPr="004A5250">
              <w:rPr>
                <w:rFonts w:asciiTheme="majorHAnsi" w:hAnsiTheme="majorHAnsi" w:cstheme="majorHAnsi"/>
                <w:noProof/>
                <w:webHidden/>
              </w:rPr>
            </w:r>
            <w:r w:rsidRPr="004A5250">
              <w:rPr>
                <w:rFonts w:asciiTheme="majorHAnsi" w:hAnsiTheme="majorHAnsi" w:cstheme="majorHAnsi"/>
                <w:noProof/>
                <w:webHidden/>
              </w:rPr>
              <w:fldChar w:fldCharType="separate"/>
            </w:r>
            <w:r w:rsidRPr="004A5250">
              <w:rPr>
                <w:rFonts w:asciiTheme="majorHAnsi" w:hAnsiTheme="majorHAnsi" w:cstheme="majorHAnsi"/>
                <w:noProof/>
                <w:webHidden/>
              </w:rPr>
              <w:t>15</w:t>
            </w:r>
            <w:r w:rsidRPr="004A5250">
              <w:rPr>
                <w:rFonts w:asciiTheme="majorHAnsi" w:hAnsiTheme="majorHAnsi" w:cstheme="majorHAnsi"/>
                <w:noProof/>
                <w:webHidden/>
              </w:rPr>
              <w:fldChar w:fldCharType="end"/>
            </w:r>
          </w:hyperlink>
        </w:p>
        <w:p w14:paraId="01BF574A" w14:textId="586AFD10" w:rsidR="004A5250" w:rsidRPr="004A5250" w:rsidRDefault="004A5250">
          <w:pPr>
            <w:pStyle w:val="TOC2"/>
            <w:tabs>
              <w:tab w:val="left" w:pos="880"/>
              <w:tab w:val="right" w:leader="dot" w:pos="9016"/>
            </w:tabs>
            <w:rPr>
              <w:rFonts w:asciiTheme="majorHAnsi" w:eastAsiaTheme="minorEastAsia" w:hAnsiTheme="majorHAnsi" w:cstheme="majorHAnsi"/>
              <w:noProof/>
              <w:kern w:val="0"/>
              <w:sz w:val="22"/>
              <w:szCs w:val="22"/>
              <w14:ligatures w14:val="none"/>
            </w:rPr>
          </w:pPr>
          <w:hyperlink w:anchor="_Toc153187395" w:history="1">
            <w:r w:rsidRPr="004A5250">
              <w:rPr>
                <w:rStyle w:val="Hyperlink"/>
                <w:rFonts w:asciiTheme="majorHAnsi" w:hAnsiTheme="majorHAnsi" w:cstheme="majorHAnsi"/>
                <w:noProof/>
              </w:rPr>
              <w:t>b)</w:t>
            </w:r>
            <w:r w:rsidRPr="004A5250">
              <w:rPr>
                <w:rFonts w:asciiTheme="majorHAnsi" w:eastAsiaTheme="minorEastAsia" w:hAnsiTheme="majorHAnsi" w:cstheme="majorHAnsi"/>
                <w:noProof/>
                <w:kern w:val="0"/>
                <w:sz w:val="22"/>
                <w:szCs w:val="22"/>
                <w14:ligatures w14:val="none"/>
              </w:rPr>
              <w:tab/>
            </w:r>
            <w:r w:rsidRPr="004A5250">
              <w:rPr>
                <w:rStyle w:val="Hyperlink"/>
                <w:rFonts w:asciiTheme="majorHAnsi" w:hAnsiTheme="majorHAnsi" w:cstheme="majorHAnsi"/>
                <w:noProof/>
              </w:rPr>
              <w:t>Criticism linked to SDGs as framework</w:t>
            </w:r>
            <w:r w:rsidRPr="004A5250">
              <w:rPr>
                <w:rFonts w:asciiTheme="majorHAnsi" w:hAnsiTheme="majorHAnsi" w:cstheme="majorHAnsi"/>
                <w:noProof/>
                <w:webHidden/>
              </w:rPr>
              <w:tab/>
            </w:r>
            <w:r w:rsidRPr="004A5250">
              <w:rPr>
                <w:rFonts w:asciiTheme="majorHAnsi" w:hAnsiTheme="majorHAnsi" w:cstheme="majorHAnsi"/>
                <w:noProof/>
                <w:webHidden/>
              </w:rPr>
              <w:fldChar w:fldCharType="begin"/>
            </w:r>
            <w:r w:rsidRPr="004A5250">
              <w:rPr>
                <w:rFonts w:asciiTheme="majorHAnsi" w:hAnsiTheme="majorHAnsi" w:cstheme="majorHAnsi"/>
                <w:noProof/>
                <w:webHidden/>
              </w:rPr>
              <w:instrText xml:space="preserve"> PAGEREF _Toc153187395 \h </w:instrText>
            </w:r>
            <w:r w:rsidRPr="004A5250">
              <w:rPr>
                <w:rFonts w:asciiTheme="majorHAnsi" w:hAnsiTheme="majorHAnsi" w:cstheme="majorHAnsi"/>
                <w:noProof/>
                <w:webHidden/>
              </w:rPr>
            </w:r>
            <w:r w:rsidRPr="004A5250">
              <w:rPr>
                <w:rFonts w:asciiTheme="majorHAnsi" w:hAnsiTheme="majorHAnsi" w:cstheme="majorHAnsi"/>
                <w:noProof/>
                <w:webHidden/>
              </w:rPr>
              <w:fldChar w:fldCharType="separate"/>
            </w:r>
            <w:r w:rsidRPr="004A5250">
              <w:rPr>
                <w:rFonts w:asciiTheme="majorHAnsi" w:hAnsiTheme="majorHAnsi" w:cstheme="majorHAnsi"/>
                <w:noProof/>
                <w:webHidden/>
              </w:rPr>
              <w:t>16</w:t>
            </w:r>
            <w:r w:rsidRPr="004A5250">
              <w:rPr>
                <w:rFonts w:asciiTheme="majorHAnsi" w:hAnsiTheme="majorHAnsi" w:cstheme="majorHAnsi"/>
                <w:noProof/>
                <w:webHidden/>
              </w:rPr>
              <w:fldChar w:fldCharType="end"/>
            </w:r>
          </w:hyperlink>
        </w:p>
        <w:p w14:paraId="248473E6" w14:textId="278F9918" w:rsidR="004A5250" w:rsidRPr="004A5250" w:rsidRDefault="004A5250">
          <w:pPr>
            <w:pStyle w:val="TOC2"/>
            <w:tabs>
              <w:tab w:val="left" w:pos="660"/>
              <w:tab w:val="right" w:leader="dot" w:pos="9016"/>
            </w:tabs>
            <w:rPr>
              <w:rFonts w:asciiTheme="majorHAnsi" w:eastAsiaTheme="minorEastAsia" w:hAnsiTheme="majorHAnsi" w:cstheme="majorHAnsi"/>
              <w:noProof/>
              <w:kern w:val="0"/>
              <w:sz w:val="22"/>
              <w:szCs w:val="22"/>
              <w14:ligatures w14:val="none"/>
            </w:rPr>
          </w:pPr>
          <w:hyperlink w:anchor="_Toc153187396" w:history="1">
            <w:r w:rsidRPr="004A5250">
              <w:rPr>
                <w:rStyle w:val="Hyperlink"/>
                <w:rFonts w:asciiTheme="majorHAnsi" w:hAnsiTheme="majorHAnsi" w:cstheme="majorHAnsi"/>
                <w:noProof/>
              </w:rPr>
              <w:t>c)</w:t>
            </w:r>
            <w:r w:rsidRPr="004A5250">
              <w:rPr>
                <w:rFonts w:asciiTheme="majorHAnsi" w:eastAsiaTheme="minorEastAsia" w:hAnsiTheme="majorHAnsi" w:cstheme="majorHAnsi"/>
                <w:noProof/>
                <w:kern w:val="0"/>
                <w:sz w:val="22"/>
                <w:szCs w:val="22"/>
                <w14:ligatures w14:val="none"/>
              </w:rPr>
              <w:tab/>
            </w:r>
            <w:r w:rsidRPr="004A5250">
              <w:rPr>
                <w:rStyle w:val="Hyperlink"/>
                <w:rFonts w:asciiTheme="majorHAnsi" w:hAnsiTheme="majorHAnsi" w:cstheme="majorHAnsi"/>
                <w:noProof/>
              </w:rPr>
              <w:t>Criticism on the most recuring individual SDGs</w:t>
            </w:r>
            <w:r w:rsidRPr="004A5250">
              <w:rPr>
                <w:rFonts w:asciiTheme="majorHAnsi" w:hAnsiTheme="majorHAnsi" w:cstheme="majorHAnsi"/>
                <w:noProof/>
                <w:webHidden/>
              </w:rPr>
              <w:tab/>
            </w:r>
            <w:r w:rsidRPr="004A5250">
              <w:rPr>
                <w:rFonts w:asciiTheme="majorHAnsi" w:hAnsiTheme="majorHAnsi" w:cstheme="majorHAnsi"/>
                <w:noProof/>
                <w:webHidden/>
              </w:rPr>
              <w:fldChar w:fldCharType="begin"/>
            </w:r>
            <w:r w:rsidRPr="004A5250">
              <w:rPr>
                <w:rFonts w:asciiTheme="majorHAnsi" w:hAnsiTheme="majorHAnsi" w:cstheme="majorHAnsi"/>
                <w:noProof/>
                <w:webHidden/>
              </w:rPr>
              <w:instrText xml:space="preserve"> PAGEREF _Toc153187396 \h </w:instrText>
            </w:r>
            <w:r w:rsidRPr="004A5250">
              <w:rPr>
                <w:rFonts w:asciiTheme="majorHAnsi" w:hAnsiTheme="majorHAnsi" w:cstheme="majorHAnsi"/>
                <w:noProof/>
                <w:webHidden/>
              </w:rPr>
            </w:r>
            <w:r w:rsidRPr="004A5250">
              <w:rPr>
                <w:rFonts w:asciiTheme="majorHAnsi" w:hAnsiTheme="majorHAnsi" w:cstheme="majorHAnsi"/>
                <w:noProof/>
                <w:webHidden/>
              </w:rPr>
              <w:fldChar w:fldCharType="separate"/>
            </w:r>
            <w:r w:rsidRPr="004A5250">
              <w:rPr>
                <w:rFonts w:asciiTheme="majorHAnsi" w:hAnsiTheme="majorHAnsi" w:cstheme="majorHAnsi"/>
                <w:noProof/>
                <w:webHidden/>
              </w:rPr>
              <w:t>17</w:t>
            </w:r>
            <w:r w:rsidRPr="004A5250">
              <w:rPr>
                <w:rFonts w:asciiTheme="majorHAnsi" w:hAnsiTheme="majorHAnsi" w:cstheme="majorHAnsi"/>
                <w:noProof/>
                <w:webHidden/>
              </w:rPr>
              <w:fldChar w:fldCharType="end"/>
            </w:r>
          </w:hyperlink>
        </w:p>
        <w:p w14:paraId="085EF303" w14:textId="690FAC4B" w:rsidR="004A5250" w:rsidRPr="004A5250" w:rsidRDefault="004A5250">
          <w:pPr>
            <w:pStyle w:val="TOC2"/>
            <w:tabs>
              <w:tab w:val="left" w:pos="880"/>
              <w:tab w:val="right" w:leader="dot" w:pos="9016"/>
            </w:tabs>
            <w:rPr>
              <w:rFonts w:asciiTheme="majorHAnsi" w:eastAsiaTheme="minorEastAsia" w:hAnsiTheme="majorHAnsi" w:cstheme="majorHAnsi"/>
              <w:noProof/>
              <w:kern w:val="0"/>
              <w:sz w:val="22"/>
              <w:szCs w:val="22"/>
              <w14:ligatures w14:val="none"/>
            </w:rPr>
          </w:pPr>
          <w:hyperlink w:anchor="_Toc153187397" w:history="1">
            <w:r w:rsidRPr="004A5250">
              <w:rPr>
                <w:rStyle w:val="Hyperlink"/>
                <w:rFonts w:asciiTheme="majorHAnsi" w:hAnsiTheme="majorHAnsi" w:cstheme="majorHAnsi"/>
                <w:noProof/>
                <w:lang w:val="en-GB"/>
              </w:rPr>
              <w:t>d)</w:t>
            </w:r>
            <w:r w:rsidRPr="004A5250">
              <w:rPr>
                <w:rFonts w:asciiTheme="majorHAnsi" w:eastAsiaTheme="minorEastAsia" w:hAnsiTheme="majorHAnsi" w:cstheme="majorHAnsi"/>
                <w:noProof/>
                <w:kern w:val="0"/>
                <w:sz w:val="22"/>
                <w:szCs w:val="22"/>
                <w14:ligatures w14:val="none"/>
              </w:rPr>
              <w:tab/>
            </w:r>
            <w:r w:rsidRPr="004A5250">
              <w:rPr>
                <w:rStyle w:val="Hyperlink"/>
                <w:rFonts w:asciiTheme="majorHAnsi" w:hAnsiTheme="majorHAnsi" w:cstheme="majorHAnsi"/>
                <w:noProof/>
                <w:lang w:val="en-GB"/>
              </w:rPr>
              <w:t>Quartiles of articles analysed</w:t>
            </w:r>
            <w:r w:rsidRPr="004A5250">
              <w:rPr>
                <w:rFonts w:asciiTheme="majorHAnsi" w:hAnsiTheme="majorHAnsi" w:cstheme="majorHAnsi"/>
                <w:noProof/>
                <w:webHidden/>
              </w:rPr>
              <w:tab/>
            </w:r>
            <w:r w:rsidRPr="004A5250">
              <w:rPr>
                <w:rFonts w:asciiTheme="majorHAnsi" w:hAnsiTheme="majorHAnsi" w:cstheme="majorHAnsi"/>
                <w:noProof/>
                <w:webHidden/>
              </w:rPr>
              <w:fldChar w:fldCharType="begin"/>
            </w:r>
            <w:r w:rsidRPr="004A5250">
              <w:rPr>
                <w:rFonts w:asciiTheme="majorHAnsi" w:hAnsiTheme="majorHAnsi" w:cstheme="majorHAnsi"/>
                <w:noProof/>
                <w:webHidden/>
              </w:rPr>
              <w:instrText xml:space="preserve"> PAGEREF _Toc153187397 \h </w:instrText>
            </w:r>
            <w:r w:rsidRPr="004A5250">
              <w:rPr>
                <w:rFonts w:asciiTheme="majorHAnsi" w:hAnsiTheme="majorHAnsi" w:cstheme="majorHAnsi"/>
                <w:noProof/>
                <w:webHidden/>
              </w:rPr>
            </w:r>
            <w:r w:rsidRPr="004A5250">
              <w:rPr>
                <w:rFonts w:asciiTheme="majorHAnsi" w:hAnsiTheme="majorHAnsi" w:cstheme="majorHAnsi"/>
                <w:noProof/>
                <w:webHidden/>
              </w:rPr>
              <w:fldChar w:fldCharType="separate"/>
            </w:r>
            <w:r w:rsidRPr="004A5250">
              <w:rPr>
                <w:rFonts w:asciiTheme="majorHAnsi" w:hAnsiTheme="majorHAnsi" w:cstheme="majorHAnsi"/>
                <w:noProof/>
                <w:webHidden/>
              </w:rPr>
              <w:t>19</w:t>
            </w:r>
            <w:r w:rsidRPr="004A5250">
              <w:rPr>
                <w:rFonts w:asciiTheme="majorHAnsi" w:hAnsiTheme="majorHAnsi" w:cstheme="majorHAnsi"/>
                <w:noProof/>
                <w:webHidden/>
              </w:rPr>
              <w:fldChar w:fldCharType="end"/>
            </w:r>
          </w:hyperlink>
        </w:p>
        <w:p w14:paraId="3D9D63E6" w14:textId="586A2699" w:rsidR="004A5250" w:rsidRPr="004A5250" w:rsidRDefault="004A5250">
          <w:pPr>
            <w:pStyle w:val="TOC2"/>
            <w:tabs>
              <w:tab w:val="left" w:pos="660"/>
              <w:tab w:val="right" w:leader="dot" w:pos="9016"/>
            </w:tabs>
            <w:rPr>
              <w:rFonts w:asciiTheme="majorHAnsi" w:eastAsiaTheme="minorEastAsia" w:hAnsiTheme="majorHAnsi" w:cstheme="majorHAnsi"/>
              <w:noProof/>
              <w:kern w:val="0"/>
              <w:sz w:val="22"/>
              <w:szCs w:val="22"/>
              <w14:ligatures w14:val="none"/>
            </w:rPr>
          </w:pPr>
          <w:hyperlink w:anchor="_Toc153187398" w:history="1">
            <w:r w:rsidRPr="004A5250">
              <w:rPr>
                <w:rStyle w:val="Hyperlink"/>
                <w:rFonts w:asciiTheme="majorHAnsi" w:hAnsiTheme="majorHAnsi" w:cstheme="majorHAnsi"/>
                <w:noProof/>
                <w:lang w:val="en-GB"/>
              </w:rPr>
              <w:t>e)</w:t>
            </w:r>
            <w:r w:rsidRPr="004A5250">
              <w:rPr>
                <w:rFonts w:asciiTheme="majorHAnsi" w:eastAsiaTheme="minorEastAsia" w:hAnsiTheme="majorHAnsi" w:cstheme="majorHAnsi"/>
                <w:noProof/>
                <w:kern w:val="0"/>
                <w:sz w:val="22"/>
                <w:szCs w:val="22"/>
                <w14:ligatures w14:val="none"/>
              </w:rPr>
              <w:tab/>
            </w:r>
            <w:r w:rsidRPr="004A5250">
              <w:rPr>
                <w:rStyle w:val="Hyperlink"/>
                <w:rFonts w:asciiTheme="majorHAnsi" w:hAnsiTheme="majorHAnsi" w:cstheme="majorHAnsi"/>
                <w:noProof/>
                <w:lang w:val="en-GB"/>
              </w:rPr>
              <w:t>Relationship between quartiles and centre of SDG criticism</w:t>
            </w:r>
            <w:r w:rsidRPr="004A5250">
              <w:rPr>
                <w:rFonts w:asciiTheme="majorHAnsi" w:hAnsiTheme="majorHAnsi" w:cstheme="majorHAnsi"/>
                <w:noProof/>
                <w:webHidden/>
              </w:rPr>
              <w:tab/>
            </w:r>
            <w:r w:rsidRPr="004A5250">
              <w:rPr>
                <w:rFonts w:asciiTheme="majorHAnsi" w:hAnsiTheme="majorHAnsi" w:cstheme="majorHAnsi"/>
                <w:noProof/>
                <w:webHidden/>
              </w:rPr>
              <w:fldChar w:fldCharType="begin"/>
            </w:r>
            <w:r w:rsidRPr="004A5250">
              <w:rPr>
                <w:rFonts w:asciiTheme="majorHAnsi" w:hAnsiTheme="majorHAnsi" w:cstheme="majorHAnsi"/>
                <w:noProof/>
                <w:webHidden/>
              </w:rPr>
              <w:instrText xml:space="preserve"> PAGEREF _Toc153187398 \h </w:instrText>
            </w:r>
            <w:r w:rsidRPr="004A5250">
              <w:rPr>
                <w:rFonts w:asciiTheme="majorHAnsi" w:hAnsiTheme="majorHAnsi" w:cstheme="majorHAnsi"/>
                <w:noProof/>
                <w:webHidden/>
              </w:rPr>
            </w:r>
            <w:r w:rsidRPr="004A5250">
              <w:rPr>
                <w:rFonts w:asciiTheme="majorHAnsi" w:hAnsiTheme="majorHAnsi" w:cstheme="majorHAnsi"/>
                <w:noProof/>
                <w:webHidden/>
              </w:rPr>
              <w:fldChar w:fldCharType="separate"/>
            </w:r>
            <w:r w:rsidRPr="004A5250">
              <w:rPr>
                <w:rFonts w:asciiTheme="majorHAnsi" w:hAnsiTheme="majorHAnsi" w:cstheme="majorHAnsi"/>
                <w:noProof/>
                <w:webHidden/>
              </w:rPr>
              <w:t>20</w:t>
            </w:r>
            <w:r w:rsidRPr="004A5250">
              <w:rPr>
                <w:rFonts w:asciiTheme="majorHAnsi" w:hAnsiTheme="majorHAnsi" w:cstheme="majorHAnsi"/>
                <w:noProof/>
                <w:webHidden/>
              </w:rPr>
              <w:fldChar w:fldCharType="end"/>
            </w:r>
          </w:hyperlink>
        </w:p>
        <w:p w14:paraId="5A0E5608" w14:textId="26CD5C15" w:rsidR="004A5250" w:rsidRPr="004A5250" w:rsidRDefault="004A5250">
          <w:pPr>
            <w:pStyle w:val="TOC2"/>
            <w:tabs>
              <w:tab w:val="left" w:pos="660"/>
              <w:tab w:val="right" w:leader="dot" w:pos="9016"/>
            </w:tabs>
            <w:rPr>
              <w:rFonts w:asciiTheme="majorHAnsi" w:eastAsiaTheme="minorEastAsia" w:hAnsiTheme="majorHAnsi" w:cstheme="majorHAnsi"/>
              <w:noProof/>
              <w:kern w:val="0"/>
              <w:sz w:val="22"/>
              <w:szCs w:val="22"/>
              <w14:ligatures w14:val="none"/>
            </w:rPr>
          </w:pPr>
          <w:hyperlink w:anchor="_Toc153187399" w:history="1">
            <w:r w:rsidRPr="004A5250">
              <w:rPr>
                <w:rStyle w:val="Hyperlink"/>
                <w:rFonts w:asciiTheme="majorHAnsi" w:hAnsiTheme="majorHAnsi" w:cstheme="majorHAnsi"/>
                <w:noProof/>
                <w:lang w:val="en-GB"/>
              </w:rPr>
              <w:t>f)</w:t>
            </w:r>
            <w:r w:rsidRPr="004A5250">
              <w:rPr>
                <w:rFonts w:asciiTheme="majorHAnsi" w:eastAsiaTheme="minorEastAsia" w:hAnsiTheme="majorHAnsi" w:cstheme="majorHAnsi"/>
                <w:noProof/>
                <w:kern w:val="0"/>
                <w:sz w:val="22"/>
                <w:szCs w:val="22"/>
                <w14:ligatures w14:val="none"/>
              </w:rPr>
              <w:tab/>
            </w:r>
            <w:r w:rsidRPr="004A5250">
              <w:rPr>
                <w:rStyle w:val="Hyperlink"/>
                <w:rFonts w:asciiTheme="majorHAnsi" w:hAnsiTheme="majorHAnsi" w:cstheme="majorHAnsi"/>
                <w:noProof/>
                <w:lang w:val="en-GB"/>
              </w:rPr>
              <w:t>Year of release of analysed articles</w:t>
            </w:r>
            <w:r w:rsidRPr="004A5250">
              <w:rPr>
                <w:rFonts w:asciiTheme="majorHAnsi" w:hAnsiTheme="majorHAnsi" w:cstheme="majorHAnsi"/>
                <w:noProof/>
                <w:webHidden/>
              </w:rPr>
              <w:tab/>
            </w:r>
            <w:r w:rsidRPr="004A5250">
              <w:rPr>
                <w:rFonts w:asciiTheme="majorHAnsi" w:hAnsiTheme="majorHAnsi" w:cstheme="majorHAnsi"/>
                <w:noProof/>
                <w:webHidden/>
              </w:rPr>
              <w:fldChar w:fldCharType="begin"/>
            </w:r>
            <w:r w:rsidRPr="004A5250">
              <w:rPr>
                <w:rFonts w:asciiTheme="majorHAnsi" w:hAnsiTheme="majorHAnsi" w:cstheme="majorHAnsi"/>
                <w:noProof/>
                <w:webHidden/>
              </w:rPr>
              <w:instrText xml:space="preserve"> PAGEREF _Toc153187399 \h </w:instrText>
            </w:r>
            <w:r w:rsidRPr="004A5250">
              <w:rPr>
                <w:rFonts w:asciiTheme="majorHAnsi" w:hAnsiTheme="majorHAnsi" w:cstheme="majorHAnsi"/>
                <w:noProof/>
                <w:webHidden/>
              </w:rPr>
            </w:r>
            <w:r w:rsidRPr="004A5250">
              <w:rPr>
                <w:rFonts w:asciiTheme="majorHAnsi" w:hAnsiTheme="majorHAnsi" w:cstheme="majorHAnsi"/>
                <w:noProof/>
                <w:webHidden/>
              </w:rPr>
              <w:fldChar w:fldCharType="separate"/>
            </w:r>
            <w:r w:rsidRPr="004A5250">
              <w:rPr>
                <w:rFonts w:asciiTheme="majorHAnsi" w:hAnsiTheme="majorHAnsi" w:cstheme="majorHAnsi"/>
                <w:noProof/>
                <w:webHidden/>
              </w:rPr>
              <w:t>25</w:t>
            </w:r>
            <w:r w:rsidRPr="004A5250">
              <w:rPr>
                <w:rFonts w:asciiTheme="majorHAnsi" w:hAnsiTheme="majorHAnsi" w:cstheme="majorHAnsi"/>
                <w:noProof/>
                <w:webHidden/>
              </w:rPr>
              <w:fldChar w:fldCharType="end"/>
            </w:r>
          </w:hyperlink>
        </w:p>
        <w:p w14:paraId="730744D3" w14:textId="2DC3E540" w:rsidR="004A5250" w:rsidRPr="004A5250" w:rsidRDefault="004A5250">
          <w:pPr>
            <w:pStyle w:val="TOC2"/>
            <w:tabs>
              <w:tab w:val="left" w:pos="660"/>
              <w:tab w:val="right" w:leader="dot" w:pos="9016"/>
            </w:tabs>
            <w:rPr>
              <w:rFonts w:asciiTheme="majorHAnsi" w:eastAsiaTheme="minorEastAsia" w:hAnsiTheme="majorHAnsi" w:cstheme="majorHAnsi"/>
              <w:noProof/>
              <w:kern w:val="0"/>
              <w:sz w:val="22"/>
              <w:szCs w:val="22"/>
              <w14:ligatures w14:val="none"/>
            </w:rPr>
          </w:pPr>
          <w:hyperlink w:anchor="_Toc153187400" w:history="1">
            <w:r w:rsidRPr="004A5250">
              <w:rPr>
                <w:rStyle w:val="Hyperlink"/>
                <w:rFonts w:asciiTheme="majorHAnsi" w:hAnsiTheme="majorHAnsi" w:cstheme="majorHAnsi"/>
                <w:noProof/>
                <w:lang w:val="en-GB"/>
              </w:rPr>
              <w:t>g)</w:t>
            </w:r>
            <w:r w:rsidRPr="004A5250">
              <w:rPr>
                <w:rFonts w:asciiTheme="majorHAnsi" w:eastAsiaTheme="minorEastAsia" w:hAnsiTheme="majorHAnsi" w:cstheme="majorHAnsi"/>
                <w:noProof/>
                <w:kern w:val="0"/>
                <w:sz w:val="22"/>
                <w:szCs w:val="22"/>
                <w14:ligatures w14:val="none"/>
              </w:rPr>
              <w:tab/>
            </w:r>
            <w:r w:rsidRPr="004A5250">
              <w:rPr>
                <w:rStyle w:val="Hyperlink"/>
                <w:rFonts w:asciiTheme="majorHAnsi" w:hAnsiTheme="majorHAnsi" w:cstheme="majorHAnsi"/>
                <w:noProof/>
                <w:lang w:val="en-GB"/>
              </w:rPr>
              <w:t>Country classification by World Bank of economic level of institutions releasing analysed article</w:t>
            </w:r>
            <w:r w:rsidRPr="004A5250">
              <w:rPr>
                <w:rFonts w:asciiTheme="majorHAnsi" w:hAnsiTheme="majorHAnsi" w:cstheme="majorHAnsi"/>
                <w:noProof/>
                <w:webHidden/>
              </w:rPr>
              <w:tab/>
            </w:r>
            <w:r w:rsidRPr="004A5250">
              <w:rPr>
                <w:rFonts w:asciiTheme="majorHAnsi" w:hAnsiTheme="majorHAnsi" w:cstheme="majorHAnsi"/>
                <w:noProof/>
                <w:webHidden/>
              </w:rPr>
              <w:fldChar w:fldCharType="begin"/>
            </w:r>
            <w:r w:rsidRPr="004A5250">
              <w:rPr>
                <w:rFonts w:asciiTheme="majorHAnsi" w:hAnsiTheme="majorHAnsi" w:cstheme="majorHAnsi"/>
                <w:noProof/>
                <w:webHidden/>
              </w:rPr>
              <w:instrText xml:space="preserve"> PAGEREF _Toc153187400 \h </w:instrText>
            </w:r>
            <w:r w:rsidRPr="004A5250">
              <w:rPr>
                <w:rFonts w:asciiTheme="majorHAnsi" w:hAnsiTheme="majorHAnsi" w:cstheme="majorHAnsi"/>
                <w:noProof/>
                <w:webHidden/>
              </w:rPr>
            </w:r>
            <w:r w:rsidRPr="004A5250">
              <w:rPr>
                <w:rFonts w:asciiTheme="majorHAnsi" w:hAnsiTheme="majorHAnsi" w:cstheme="majorHAnsi"/>
                <w:noProof/>
                <w:webHidden/>
              </w:rPr>
              <w:fldChar w:fldCharType="separate"/>
            </w:r>
            <w:r w:rsidRPr="004A5250">
              <w:rPr>
                <w:rFonts w:asciiTheme="majorHAnsi" w:hAnsiTheme="majorHAnsi" w:cstheme="majorHAnsi"/>
                <w:noProof/>
                <w:webHidden/>
              </w:rPr>
              <w:t>27</w:t>
            </w:r>
            <w:r w:rsidRPr="004A5250">
              <w:rPr>
                <w:rFonts w:asciiTheme="majorHAnsi" w:hAnsiTheme="majorHAnsi" w:cstheme="majorHAnsi"/>
                <w:noProof/>
                <w:webHidden/>
              </w:rPr>
              <w:fldChar w:fldCharType="end"/>
            </w:r>
          </w:hyperlink>
        </w:p>
        <w:p w14:paraId="78E83D46" w14:textId="72C848B1" w:rsidR="004A5250" w:rsidRPr="004A5250" w:rsidRDefault="004A5250">
          <w:pPr>
            <w:pStyle w:val="TOC1"/>
            <w:tabs>
              <w:tab w:val="left" w:pos="440"/>
              <w:tab w:val="right" w:leader="dot" w:pos="9016"/>
            </w:tabs>
            <w:rPr>
              <w:rFonts w:asciiTheme="majorHAnsi" w:eastAsiaTheme="minorEastAsia" w:hAnsiTheme="majorHAnsi" w:cstheme="majorHAnsi"/>
              <w:noProof/>
              <w:kern w:val="0"/>
              <w:sz w:val="22"/>
              <w:szCs w:val="22"/>
              <w14:ligatures w14:val="none"/>
            </w:rPr>
          </w:pPr>
          <w:hyperlink w:anchor="_Toc153187401" w:history="1">
            <w:r w:rsidRPr="004A5250">
              <w:rPr>
                <w:rStyle w:val="Hyperlink"/>
                <w:rFonts w:asciiTheme="majorHAnsi" w:hAnsiTheme="majorHAnsi" w:cstheme="majorHAnsi"/>
                <w:noProof/>
              </w:rPr>
              <w:t>h)</w:t>
            </w:r>
            <w:r w:rsidRPr="004A5250">
              <w:rPr>
                <w:rFonts w:asciiTheme="majorHAnsi" w:eastAsiaTheme="minorEastAsia" w:hAnsiTheme="majorHAnsi" w:cstheme="majorHAnsi"/>
                <w:noProof/>
                <w:kern w:val="0"/>
                <w:sz w:val="22"/>
                <w:szCs w:val="22"/>
                <w14:ligatures w14:val="none"/>
              </w:rPr>
              <w:tab/>
            </w:r>
            <w:r w:rsidRPr="004A5250">
              <w:rPr>
                <w:rStyle w:val="Hyperlink"/>
                <w:rFonts w:asciiTheme="majorHAnsi" w:hAnsiTheme="majorHAnsi" w:cstheme="majorHAnsi"/>
                <w:noProof/>
              </w:rPr>
              <w:t>Criticism of separate SDGs</w:t>
            </w:r>
            <w:r w:rsidRPr="004A5250">
              <w:rPr>
                <w:rFonts w:asciiTheme="majorHAnsi" w:hAnsiTheme="majorHAnsi" w:cstheme="majorHAnsi"/>
                <w:noProof/>
                <w:webHidden/>
              </w:rPr>
              <w:tab/>
            </w:r>
            <w:r w:rsidRPr="004A5250">
              <w:rPr>
                <w:rFonts w:asciiTheme="majorHAnsi" w:hAnsiTheme="majorHAnsi" w:cstheme="majorHAnsi"/>
                <w:noProof/>
                <w:webHidden/>
              </w:rPr>
              <w:fldChar w:fldCharType="begin"/>
            </w:r>
            <w:r w:rsidRPr="004A5250">
              <w:rPr>
                <w:rFonts w:asciiTheme="majorHAnsi" w:hAnsiTheme="majorHAnsi" w:cstheme="majorHAnsi"/>
                <w:noProof/>
                <w:webHidden/>
              </w:rPr>
              <w:instrText xml:space="preserve"> PAGEREF _Toc153187401 \h </w:instrText>
            </w:r>
            <w:r w:rsidRPr="004A5250">
              <w:rPr>
                <w:rFonts w:asciiTheme="majorHAnsi" w:hAnsiTheme="majorHAnsi" w:cstheme="majorHAnsi"/>
                <w:noProof/>
                <w:webHidden/>
              </w:rPr>
            </w:r>
            <w:r w:rsidRPr="004A5250">
              <w:rPr>
                <w:rFonts w:asciiTheme="majorHAnsi" w:hAnsiTheme="majorHAnsi" w:cstheme="majorHAnsi"/>
                <w:noProof/>
                <w:webHidden/>
              </w:rPr>
              <w:fldChar w:fldCharType="separate"/>
            </w:r>
            <w:r w:rsidRPr="004A5250">
              <w:rPr>
                <w:rFonts w:asciiTheme="majorHAnsi" w:hAnsiTheme="majorHAnsi" w:cstheme="majorHAnsi"/>
                <w:noProof/>
                <w:webHidden/>
              </w:rPr>
              <w:t>28</w:t>
            </w:r>
            <w:r w:rsidRPr="004A5250">
              <w:rPr>
                <w:rFonts w:asciiTheme="majorHAnsi" w:hAnsiTheme="majorHAnsi" w:cstheme="majorHAnsi"/>
                <w:noProof/>
                <w:webHidden/>
              </w:rPr>
              <w:fldChar w:fldCharType="end"/>
            </w:r>
          </w:hyperlink>
        </w:p>
        <w:p w14:paraId="0083928E" w14:textId="65165F00" w:rsidR="004A5250" w:rsidRPr="004A5250" w:rsidRDefault="004A5250">
          <w:pPr>
            <w:pStyle w:val="TOC1"/>
            <w:tabs>
              <w:tab w:val="right" w:leader="dot" w:pos="9016"/>
            </w:tabs>
            <w:rPr>
              <w:rFonts w:asciiTheme="majorHAnsi" w:eastAsiaTheme="minorEastAsia" w:hAnsiTheme="majorHAnsi" w:cstheme="majorHAnsi"/>
              <w:noProof/>
              <w:kern w:val="0"/>
              <w:sz w:val="22"/>
              <w:szCs w:val="22"/>
              <w14:ligatures w14:val="none"/>
            </w:rPr>
          </w:pPr>
          <w:hyperlink w:anchor="_Toc153187402" w:history="1">
            <w:r w:rsidRPr="004A5250">
              <w:rPr>
                <w:rStyle w:val="Hyperlink"/>
                <w:rFonts w:asciiTheme="majorHAnsi" w:hAnsiTheme="majorHAnsi" w:cstheme="majorHAnsi"/>
                <w:noProof/>
                <w:lang w:val="en-GB"/>
              </w:rPr>
              <w:t>CHAPTER 3: DESCRIBING CRITICISM OF SDGS AS FRAMEWORK</w:t>
            </w:r>
            <w:r w:rsidRPr="004A5250">
              <w:rPr>
                <w:rFonts w:asciiTheme="majorHAnsi" w:hAnsiTheme="majorHAnsi" w:cstheme="majorHAnsi"/>
                <w:noProof/>
                <w:webHidden/>
              </w:rPr>
              <w:tab/>
            </w:r>
            <w:r w:rsidRPr="004A5250">
              <w:rPr>
                <w:rFonts w:asciiTheme="majorHAnsi" w:hAnsiTheme="majorHAnsi" w:cstheme="majorHAnsi"/>
                <w:noProof/>
                <w:webHidden/>
              </w:rPr>
              <w:fldChar w:fldCharType="begin"/>
            </w:r>
            <w:r w:rsidRPr="004A5250">
              <w:rPr>
                <w:rFonts w:asciiTheme="majorHAnsi" w:hAnsiTheme="majorHAnsi" w:cstheme="majorHAnsi"/>
                <w:noProof/>
                <w:webHidden/>
              </w:rPr>
              <w:instrText xml:space="preserve"> PAGEREF _Toc153187402 \h </w:instrText>
            </w:r>
            <w:r w:rsidRPr="004A5250">
              <w:rPr>
                <w:rFonts w:asciiTheme="majorHAnsi" w:hAnsiTheme="majorHAnsi" w:cstheme="majorHAnsi"/>
                <w:noProof/>
                <w:webHidden/>
              </w:rPr>
            </w:r>
            <w:r w:rsidRPr="004A5250">
              <w:rPr>
                <w:rFonts w:asciiTheme="majorHAnsi" w:hAnsiTheme="majorHAnsi" w:cstheme="majorHAnsi"/>
                <w:noProof/>
                <w:webHidden/>
              </w:rPr>
              <w:fldChar w:fldCharType="separate"/>
            </w:r>
            <w:r w:rsidRPr="004A5250">
              <w:rPr>
                <w:rFonts w:asciiTheme="majorHAnsi" w:hAnsiTheme="majorHAnsi" w:cstheme="majorHAnsi"/>
                <w:noProof/>
                <w:webHidden/>
              </w:rPr>
              <w:t>31</w:t>
            </w:r>
            <w:r w:rsidRPr="004A5250">
              <w:rPr>
                <w:rFonts w:asciiTheme="majorHAnsi" w:hAnsiTheme="majorHAnsi" w:cstheme="majorHAnsi"/>
                <w:noProof/>
                <w:webHidden/>
              </w:rPr>
              <w:fldChar w:fldCharType="end"/>
            </w:r>
          </w:hyperlink>
        </w:p>
        <w:p w14:paraId="529A0942" w14:textId="5AAA788E" w:rsidR="004A5250" w:rsidRPr="004A5250" w:rsidRDefault="004A5250">
          <w:pPr>
            <w:pStyle w:val="TOC1"/>
            <w:tabs>
              <w:tab w:val="left" w:pos="660"/>
              <w:tab w:val="right" w:leader="dot" w:pos="9016"/>
            </w:tabs>
            <w:rPr>
              <w:rFonts w:asciiTheme="majorHAnsi" w:eastAsiaTheme="minorEastAsia" w:hAnsiTheme="majorHAnsi" w:cstheme="majorHAnsi"/>
              <w:noProof/>
              <w:kern w:val="0"/>
              <w:sz w:val="22"/>
              <w:szCs w:val="22"/>
              <w14:ligatures w14:val="none"/>
            </w:rPr>
          </w:pPr>
          <w:hyperlink w:anchor="_Toc153187403" w:history="1">
            <w:r w:rsidRPr="004A5250">
              <w:rPr>
                <w:rStyle w:val="Hyperlink"/>
                <w:rFonts w:asciiTheme="majorHAnsi" w:hAnsiTheme="majorHAnsi" w:cstheme="majorHAnsi"/>
                <w:noProof/>
                <w:lang w:val="en-GB"/>
              </w:rPr>
              <w:t>3.1</w:t>
            </w:r>
            <w:r w:rsidRPr="004A5250">
              <w:rPr>
                <w:rFonts w:asciiTheme="majorHAnsi" w:eastAsiaTheme="minorEastAsia" w:hAnsiTheme="majorHAnsi" w:cstheme="majorHAnsi"/>
                <w:noProof/>
                <w:kern w:val="0"/>
                <w:sz w:val="22"/>
                <w:szCs w:val="22"/>
                <w14:ligatures w14:val="none"/>
              </w:rPr>
              <w:tab/>
            </w:r>
            <w:r w:rsidRPr="004A5250">
              <w:rPr>
                <w:rStyle w:val="Hyperlink"/>
                <w:rFonts w:asciiTheme="majorHAnsi" w:hAnsiTheme="majorHAnsi" w:cstheme="majorHAnsi"/>
                <w:noProof/>
                <w:lang w:val="en-GB"/>
              </w:rPr>
              <w:t>Internal clashes</w:t>
            </w:r>
            <w:r w:rsidRPr="004A5250">
              <w:rPr>
                <w:rFonts w:asciiTheme="majorHAnsi" w:hAnsiTheme="majorHAnsi" w:cstheme="majorHAnsi"/>
                <w:noProof/>
                <w:webHidden/>
              </w:rPr>
              <w:tab/>
            </w:r>
            <w:r w:rsidRPr="004A5250">
              <w:rPr>
                <w:rFonts w:asciiTheme="majorHAnsi" w:hAnsiTheme="majorHAnsi" w:cstheme="majorHAnsi"/>
                <w:noProof/>
                <w:webHidden/>
              </w:rPr>
              <w:fldChar w:fldCharType="begin"/>
            </w:r>
            <w:r w:rsidRPr="004A5250">
              <w:rPr>
                <w:rFonts w:asciiTheme="majorHAnsi" w:hAnsiTheme="majorHAnsi" w:cstheme="majorHAnsi"/>
                <w:noProof/>
                <w:webHidden/>
              </w:rPr>
              <w:instrText xml:space="preserve"> PAGEREF _Toc153187403 \h </w:instrText>
            </w:r>
            <w:r w:rsidRPr="004A5250">
              <w:rPr>
                <w:rFonts w:asciiTheme="majorHAnsi" w:hAnsiTheme="majorHAnsi" w:cstheme="majorHAnsi"/>
                <w:noProof/>
                <w:webHidden/>
              </w:rPr>
            </w:r>
            <w:r w:rsidRPr="004A5250">
              <w:rPr>
                <w:rFonts w:asciiTheme="majorHAnsi" w:hAnsiTheme="majorHAnsi" w:cstheme="majorHAnsi"/>
                <w:noProof/>
                <w:webHidden/>
              </w:rPr>
              <w:fldChar w:fldCharType="separate"/>
            </w:r>
            <w:r w:rsidRPr="004A5250">
              <w:rPr>
                <w:rFonts w:asciiTheme="majorHAnsi" w:hAnsiTheme="majorHAnsi" w:cstheme="majorHAnsi"/>
                <w:noProof/>
                <w:webHidden/>
              </w:rPr>
              <w:t>31</w:t>
            </w:r>
            <w:r w:rsidRPr="004A5250">
              <w:rPr>
                <w:rFonts w:asciiTheme="majorHAnsi" w:hAnsiTheme="majorHAnsi" w:cstheme="majorHAnsi"/>
                <w:noProof/>
                <w:webHidden/>
              </w:rPr>
              <w:fldChar w:fldCharType="end"/>
            </w:r>
          </w:hyperlink>
        </w:p>
        <w:p w14:paraId="7A62013D" w14:textId="4ED980B5" w:rsidR="004A5250" w:rsidRPr="004A5250" w:rsidRDefault="004A5250">
          <w:pPr>
            <w:pStyle w:val="TOC2"/>
            <w:tabs>
              <w:tab w:val="left" w:pos="660"/>
              <w:tab w:val="right" w:leader="dot" w:pos="9016"/>
            </w:tabs>
            <w:rPr>
              <w:rFonts w:asciiTheme="majorHAnsi" w:eastAsiaTheme="minorEastAsia" w:hAnsiTheme="majorHAnsi" w:cstheme="majorHAnsi"/>
              <w:noProof/>
              <w:kern w:val="0"/>
              <w:sz w:val="22"/>
              <w:szCs w:val="22"/>
              <w14:ligatures w14:val="none"/>
            </w:rPr>
          </w:pPr>
          <w:hyperlink w:anchor="_Toc153187404" w:history="1">
            <w:r w:rsidRPr="004A5250">
              <w:rPr>
                <w:rStyle w:val="Hyperlink"/>
                <w:rFonts w:asciiTheme="majorHAnsi" w:hAnsiTheme="majorHAnsi" w:cstheme="majorHAnsi"/>
                <w:noProof/>
                <w:lang w:val="en-GB"/>
              </w:rPr>
              <w:t>a)</w:t>
            </w:r>
            <w:r w:rsidRPr="004A5250">
              <w:rPr>
                <w:rFonts w:asciiTheme="majorHAnsi" w:eastAsiaTheme="minorEastAsia" w:hAnsiTheme="majorHAnsi" w:cstheme="majorHAnsi"/>
                <w:noProof/>
                <w:kern w:val="0"/>
                <w:sz w:val="22"/>
                <w:szCs w:val="22"/>
                <w14:ligatures w14:val="none"/>
              </w:rPr>
              <w:tab/>
            </w:r>
            <w:r w:rsidRPr="004A5250">
              <w:rPr>
                <w:rStyle w:val="Hyperlink"/>
                <w:rFonts w:asciiTheme="majorHAnsi" w:hAnsiTheme="majorHAnsi" w:cstheme="majorHAnsi"/>
                <w:noProof/>
                <w:lang w:val="en-GB"/>
              </w:rPr>
              <w:t>Economic g</w:t>
            </w:r>
            <w:r w:rsidRPr="004A5250">
              <w:rPr>
                <w:rStyle w:val="Hyperlink"/>
                <w:rFonts w:asciiTheme="majorHAnsi" w:hAnsiTheme="majorHAnsi" w:cstheme="majorHAnsi"/>
                <w:noProof/>
              </w:rPr>
              <w:t xml:space="preserve">rowth </w:t>
            </w:r>
            <w:r w:rsidRPr="004A5250">
              <w:rPr>
                <w:rStyle w:val="Hyperlink"/>
                <w:rFonts w:asciiTheme="majorHAnsi" w:hAnsiTheme="majorHAnsi" w:cstheme="majorHAnsi"/>
                <w:noProof/>
                <w:lang w:val="en-GB"/>
              </w:rPr>
              <w:t xml:space="preserve">(SDG 8) versus the </w:t>
            </w:r>
            <w:r w:rsidRPr="004A5250">
              <w:rPr>
                <w:rStyle w:val="Hyperlink"/>
                <w:rFonts w:asciiTheme="majorHAnsi" w:hAnsiTheme="majorHAnsi" w:cstheme="majorHAnsi"/>
                <w:noProof/>
              </w:rPr>
              <w:t>environment</w:t>
            </w:r>
            <w:r w:rsidRPr="004A5250">
              <w:rPr>
                <w:rStyle w:val="Hyperlink"/>
                <w:rFonts w:asciiTheme="majorHAnsi" w:hAnsiTheme="majorHAnsi" w:cstheme="majorHAnsi"/>
                <w:noProof/>
                <w:lang w:val="en-GB"/>
              </w:rPr>
              <w:t xml:space="preserve"> (SDG 6, 12, 13, 14, 15)</w:t>
            </w:r>
            <w:r w:rsidRPr="004A5250">
              <w:rPr>
                <w:rFonts w:asciiTheme="majorHAnsi" w:hAnsiTheme="majorHAnsi" w:cstheme="majorHAnsi"/>
                <w:noProof/>
                <w:webHidden/>
              </w:rPr>
              <w:tab/>
            </w:r>
            <w:r w:rsidRPr="004A5250">
              <w:rPr>
                <w:rFonts w:asciiTheme="majorHAnsi" w:hAnsiTheme="majorHAnsi" w:cstheme="majorHAnsi"/>
                <w:noProof/>
                <w:webHidden/>
              </w:rPr>
              <w:fldChar w:fldCharType="begin"/>
            </w:r>
            <w:r w:rsidRPr="004A5250">
              <w:rPr>
                <w:rFonts w:asciiTheme="majorHAnsi" w:hAnsiTheme="majorHAnsi" w:cstheme="majorHAnsi"/>
                <w:noProof/>
                <w:webHidden/>
              </w:rPr>
              <w:instrText xml:space="preserve"> PAGEREF _Toc153187404 \h </w:instrText>
            </w:r>
            <w:r w:rsidRPr="004A5250">
              <w:rPr>
                <w:rFonts w:asciiTheme="majorHAnsi" w:hAnsiTheme="majorHAnsi" w:cstheme="majorHAnsi"/>
                <w:noProof/>
                <w:webHidden/>
              </w:rPr>
            </w:r>
            <w:r w:rsidRPr="004A5250">
              <w:rPr>
                <w:rFonts w:asciiTheme="majorHAnsi" w:hAnsiTheme="majorHAnsi" w:cstheme="majorHAnsi"/>
                <w:noProof/>
                <w:webHidden/>
              </w:rPr>
              <w:fldChar w:fldCharType="separate"/>
            </w:r>
            <w:r w:rsidRPr="004A5250">
              <w:rPr>
                <w:rFonts w:asciiTheme="majorHAnsi" w:hAnsiTheme="majorHAnsi" w:cstheme="majorHAnsi"/>
                <w:noProof/>
                <w:webHidden/>
              </w:rPr>
              <w:t>31</w:t>
            </w:r>
            <w:r w:rsidRPr="004A5250">
              <w:rPr>
                <w:rFonts w:asciiTheme="majorHAnsi" w:hAnsiTheme="majorHAnsi" w:cstheme="majorHAnsi"/>
                <w:noProof/>
                <w:webHidden/>
              </w:rPr>
              <w:fldChar w:fldCharType="end"/>
            </w:r>
          </w:hyperlink>
        </w:p>
        <w:p w14:paraId="1CD68BC8" w14:textId="003165CE" w:rsidR="004A5250" w:rsidRPr="004A5250" w:rsidRDefault="004A5250">
          <w:pPr>
            <w:pStyle w:val="TOC2"/>
            <w:tabs>
              <w:tab w:val="right" w:leader="dot" w:pos="9016"/>
            </w:tabs>
            <w:rPr>
              <w:rFonts w:asciiTheme="majorHAnsi" w:eastAsiaTheme="minorEastAsia" w:hAnsiTheme="majorHAnsi" w:cstheme="majorHAnsi"/>
              <w:noProof/>
              <w:kern w:val="0"/>
              <w:sz w:val="22"/>
              <w:szCs w:val="22"/>
              <w14:ligatures w14:val="none"/>
            </w:rPr>
          </w:pPr>
          <w:hyperlink w:anchor="_Toc153187405" w:history="1">
            <w:r w:rsidRPr="004A5250">
              <w:rPr>
                <w:rStyle w:val="Hyperlink"/>
                <w:rFonts w:asciiTheme="majorHAnsi" w:hAnsiTheme="majorHAnsi" w:cstheme="majorHAnsi"/>
                <w:noProof/>
                <w:lang w:val="en-GB"/>
              </w:rPr>
              <w:t>b)  Access to safe drinking water and no hunger</w:t>
            </w:r>
            <w:r w:rsidRPr="004A5250">
              <w:rPr>
                <w:rFonts w:asciiTheme="majorHAnsi" w:hAnsiTheme="majorHAnsi" w:cstheme="majorHAnsi"/>
                <w:noProof/>
                <w:webHidden/>
              </w:rPr>
              <w:tab/>
            </w:r>
            <w:r w:rsidRPr="004A5250">
              <w:rPr>
                <w:rFonts w:asciiTheme="majorHAnsi" w:hAnsiTheme="majorHAnsi" w:cstheme="majorHAnsi"/>
                <w:noProof/>
                <w:webHidden/>
              </w:rPr>
              <w:fldChar w:fldCharType="begin"/>
            </w:r>
            <w:r w:rsidRPr="004A5250">
              <w:rPr>
                <w:rFonts w:asciiTheme="majorHAnsi" w:hAnsiTheme="majorHAnsi" w:cstheme="majorHAnsi"/>
                <w:noProof/>
                <w:webHidden/>
              </w:rPr>
              <w:instrText xml:space="preserve"> PAGEREF _Toc153187405 \h </w:instrText>
            </w:r>
            <w:r w:rsidRPr="004A5250">
              <w:rPr>
                <w:rFonts w:asciiTheme="majorHAnsi" w:hAnsiTheme="majorHAnsi" w:cstheme="majorHAnsi"/>
                <w:noProof/>
                <w:webHidden/>
              </w:rPr>
            </w:r>
            <w:r w:rsidRPr="004A5250">
              <w:rPr>
                <w:rFonts w:asciiTheme="majorHAnsi" w:hAnsiTheme="majorHAnsi" w:cstheme="majorHAnsi"/>
                <w:noProof/>
                <w:webHidden/>
              </w:rPr>
              <w:fldChar w:fldCharType="separate"/>
            </w:r>
            <w:r w:rsidRPr="004A5250">
              <w:rPr>
                <w:rFonts w:asciiTheme="majorHAnsi" w:hAnsiTheme="majorHAnsi" w:cstheme="majorHAnsi"/>
                <w:noProof/>
                <w:webHidden/>
              </w:rPr>
              <w:t>34</w:t>
            </w:r>
            <w:r w:rsidRPr="004A5250">
              <w:rPr>
                <w:rFonts w:asciiTheme="majorHAnsi" w:hAnsiTheme="majorHAnsi" w:cstheme="majorHAnsi"/>
                <w:noProof/>
                <w:webHidden/>
              </w:rPr>
              <w:fldChar w:fldCharType="end"/>
            </w:r>
          </w:hyperlink>
        </w:p>
        <w:p w14:paraId="6DBD2CA1" w14:textId="5767D58C" w:rsidR="004A5250" w:rsidRPr="004A5250" w:rsidRDefault="004A5250">
          <w:pPr>
            <w:pStyle w:val="TOC1"/>
            <w:tabs>
              <w:tab w:val="right" w:leader="dot" w:pos="9016"/>
            </w:tabs>
            <w:rPr>
              <w:rFonts w:asciiTheme="majorHAnsi" w:eastAsiaTheme="minorEastAsia" w:hAnsiTheme="majorHAnsi" w:cstheme="majorHAnsi"/>
              <w:noProof/>
              <w:kern w:val="0"/>
              <w:sz w:val="22"/>
              <w:szCs w:val="22"/>
              <w14:ligatures w14:val="none"/>
            </w:rPr>
          </w:pPr>
          <w:hyperlink w:anchor="_Toc153187406" w:history="1">
            <w:r w:rsidRPr="004A5250">
              <w:rPr>
                <w:rStyle w:val="Hyperlink"/>
                <w:rFonts w:asciiTheme="majorHAnsi" w:hAnsiTheme="majorHAnsi" w:cstheme="majorHAnsi"/>
                <w:noProof/>
                <w:lang w:val="en-GB"/>
              </w:rPr>
              <w:t>3.2 Lack of integration amongst SDGs</w:t>
            </w:r>
            <w:r w:rsidRPr="004A5250">
              <w:rPr>
                <w:rFonts w:asciiTheme="majorHAnsi" w:hAnsiTheme="majorHAnsi" w:cstheme="majorHAnsi"/>
                <w:noProof/>
                <w:webHidden/>
              </w:rPr>
              <w:tab/>
            </w:r>
            <w:r w:rsidRPr="004A5250">
              <w:rPr>
                <w:rFonts w:asciiTheme="majorHAnsi" w:hAnsiTheme="majorHAnsi" w:cstheme="majorHAnsi"/>
                <w:noProof/>
                <w:webHidden/>
              </w:rPr>
              <w:fldChar w:fldCharType="begin"/>
            </w:r>
            <w:r w:rsidRPr="004A5250">
              <w:rPr>
                <w:rFonts w:asciiTheme="majorHAnsi" w:hAnsiTheme="majorHAnsi" w:cstheme="majorHAnsi"/>
                <w:noProof/>
                <w:webHidden/>
              </w:rPr>
              <w:instrText xml:space="preserve"> PAGEREF _Toc153187406 \h </w:instrText>
            </w:r>
            <w:r w:rsidRPr="004A5250">
              <w:rPr>
                <w:rFonts w:asciiTheme="majorHAnsi" w:hAnsiTheme="majorHAnsi" w:cstheme="majorHAnsi"/>
                <w:noProof/>
                <w:webHidden/>
              </w:rPr>
            </w:r>
            <w:r w:rsidRPr="004A5250">
              <w:rPr>
                <w:rFonts w:asciiTheme="majorHAnsi" w:hAnsiTheme="majorHAnsi" w:cstheme="majorHAnsi"/>
                <w:noProof/>
                <w:webHidden/>
              </w:rPr>
              <w:fldChar w:fldCharType="separate"/>
            </w:r>
            <w:r w:rsidRPr="004A5250">
              <w:rPr>
                <w:rFonts w:asciiTheme="majorHAnsi" w:hAnsiTheme="majorHAnsi" w:cstheme="majorHAnsi"/>
                <w:noProof/>
                <w:webHidden/>
              </w:rPr>
              <w:t>36</w:t>
            </w:r>
            <w:r w:rsidRPr="004A5250">
              <w:rPr>
                <w:rFonts w:asciiTheme="majorHAnsi" w:hAnsiTheme="majorHAnsi" w:cstheme="majorHAnsi"/>
                <w:noProof/>
                <w:webHidden/>
              </w:rPr>
              <w:fldChar w:fldCharType="end"/>
            </w:r>
          </w:hyperlink>
        </w:p>
        <w:p w14:paraId="0D660671" w14:textId="455C4BFB" w:rsidR="004A5250" w:rsidRPr="004A5250" w:rsidRDefault="004A5250">
          <w:pPr>
            <w:pStyle w:val="TOC1"/>
            <w:tabs>
              <w:tab w:val="right" w:leader="dot" w:pos="9016"/>
            </w:tabs>
            <w:rPr>
              <w:rFonts w:asciiTheme="majorHAnsi" w:eastAsiaTheme="minorEastAsia" w:hAnsiTheme="majorHAnsi" w:cstheme="majorHAnsi"/>
              <w:noProof/>
              <w:kern w:val="0"/>
              <w:sz w:val="22"/>
              <w:szCs w:val="22"/>
              <w14:ligatures w14:val="none"/>
            </w:rPr>
          </w:pPr>
          <w:hyperlink w:anchor="_Toc153187407" w:history="1">
            <w:r w:rsidRPr="004A5250">
              <w:rPr>
                <w:rStyle w:val="Hyperlink"/>
                <w:rFonts w:asciiTheme="majorHAnsi" w:hAnsiTheme="majorHAnsi" w:cstheme="majorHAnsi"/>
                <w:noProof/>
                <w:lang w:val="en-GB"/>
              </w:rPr>
              <w:t>3.3 Issues with current global settings</w:t>
            </w:r>
            <w:r w:rsidRPr="004A5250">
              <w:rPr>
                <w:rFonts w:asciiTheme="majorHAnsi" w:hAnsiTheme="majorHAnsi" w:cstheme="majorHAnsi"/>
                <w:noProof/>
                <w:webHidden/>
              </w:rPr>
              <w:tab/>
            </w:r>
            <w:r w:rsidRPr="004A5250">
              <w:rPr>
                <w:rFonts w:asciiTheme="majorHAnsi" w:hAnsiTheme="majorHAnsi" w:cstheme="majorHAnsi"/>
                <w:noProof/>
                <w:webHidden/>
              </w:rPr>
              <w:fldChar w:fldCharType="begin"/>
            </w:r>
            <w:r w:rsidRPr="004A5250">
              <w:rPr>
                <w:rFonts w:asciiTheme="majorHAnsi" w:hAnsiTheme="majorHAnsi" w:cstheme="majorHAnsi"/>
                <w:noProof/>
                <w:webHidden/>
              </w:rPr>
              <w:instrText xml:space="preserve"> PAGEREF _Toc153187407 \h </w:instrText>
            </w:r>
            <w:r w:rsidRPr="004A5250">
              <w:rPr>
                <w:rFonts w:asciiTheme="majorHAnsi" w:hAnsiTheme="majorHAnsi" w:cstheme="majorHAnsi"/>
                <w:noProof/>
                <w:webHidden/>
              </w:rPr>
            </w:r>
            <w:r w:rsidRPr="004A5250">
              <w:rPr>
                <w:rFonts w:asciiTheme="majorHAnsi" w:hAnsiTheme="majorHAnsi" w:cstheme="majorHAnsi"/>
                <w:noProof/>
                <w:webHidden/>
              </w:rPr>
              <w:fldChar w:fldCharType="separate"/>
            </w:r>
            <w:r w:rsidRPr="004A5250">
              <w:rPr>
                <w:rFonts w:asciiTheme="majorHAnsi" w:hAnsiTheme="majorHAnsi" w:cstheme="majorHAnsi"/>
                <w:noProof/>
                <w:webHidden/>
              </w:rPr>
              <w:t>39</w:t>
            </w:r>
            <w:r w:rsidRPr="004A5250">
              <w:rPr>
                <w:rFonts w:asciiTheme="majorHAnsi" w:hAnsiTheme="majorHAnsi" w:cstheme="majorHAnsi"/>
                <w:noProof/>
                <w:webHidden/>
              </w:rPr>
              <w:fldChar w:fldCharType="end"/>
            </w:r>
          </w:hyperlink>
        </w:p>
        <w:p w14:paraId="1E11CA89" w14:textId="405042C2" w:rsidR="004A5250" w:rsidRPr="004A5250" w:rsidRDefault="004A5250">
          <w:pPr>
            <w:pStyle w:val="TOC1"/>
            <w:tabs>
              <w:tab w:val="right" w:leader="dot" w:pos="9016"/>
            </w:tabs>
            <w:rPr>
              <w:rFonts w:asciiTheme="majorHAnsi" w:eastAsiaTheme="minorEastAsia" w:hAnsiTheme="majorHAnsi" w:cstheme="majorHAnsi"/>
              <w:noProof/>
              <w:kern w:val="0"/>
              <w:sz w:val="22"/>
              <w:szCs w:val="22"/>
              <w14:ligatures w14:val="none"/>
            </w:rPr>
          </w:pPr>
          <w:hyperlink w:anchor="_Toc153187408" w:history="1">
            <w:r w:rsidRPr="004A5250">
              <w:rPr>
                <w:rStyle w:val="Hyperlink"/>
                <w:rFonts w:asciiTheme="majorHAnsi" w:hAnsiTheme="majorHAnsi" w:cstheme="majorHAnsi"/>
                <w:noProof/>
                <w:lang w:val="en-GB"/>
              </w:rPr>
              <w:t>3.4 Inefficient targets and indicators</w:t>
            </w:r>
            <w:r w:rsidRPr="004A5250">
              <w:rPr>
                <w:rFonts w:asciiTheme="majorHAnsi" w:hAnsiTheme="majorHAnsi" w:cstheme="majorHAnsi"/>
                <w:noProof/>
                <w:webHidden/>
              </w:rPr>
              <w:tab/>
            </w:r>
            <w:r w:rsidRPr="004A5250">
              <w:rPr>
                <w:rFonts w:asciiTheme="majorHAnsi" w:hAnsiTheme="majorHAnsi" w:cstheme="majorHAnsi"/>
                <w:noProof/>
                <w:webHidden/>
              </w:rPr>
              <w:fldChar w:fldCharType="begin"/>
            </w:r>
            <w:r w:rsidRPr="004A5250">
              <w:rPr>
                <w:rFonts w:asciiTheme="majorHAnsi" w:hAnsiTheme="majorHAnsi" w:cstheme="majorHAnsi"/>
                <w:noProof/>
                <w:webHidden/>
              </w:rPr>
              <w:instrText xml:space="preserve"> PAGEREF _Toc153187408 \h </w:instrText>
            </w:r>
            <w:r w:rsidRPr="004A5250">
              <w:rPr>
                <w:rFonts w:asciiTheme="majorHAnsi" w:hAnsiTheme="majorHAnsi" w:cstheme="majorHAnsi"/>
                <w:noProof/>
                <w:webHidden/>
              </w:rPr>
            </w:r>
            <w:r w:rsidRPr="004A5250">
              <w:rPr>
                <w:rFonts w:asciiTheme="majorHAnsi" w:hAnsiTheme="majorHAnsi" w:cstheme="majorHAnsi"/>
                <w:noProof/>
                <w:webHidden/>
              </w:rPr>
              <w:fldChar w:fldCharType="separate"/>
            </w:r>
            <w:r w:rsidRPr="004A5250">
              <w:rPr>
                <w:rFonts w:asciiTheme="majorHAnsi" w:hAnsiTheme="majorHAnsi" w:cstheme="majorHAnsi"/>
                <w:noProof/>
                <w:webHidden/>
              </w:rPr>
              <w:t>41</w:t>
            </w:r>
            <w:r w:rsidRPr="004A5250">
              <w:rPr>
                <w:rFonts w:asciiTheme="majorHAnsi" w:hAnsiTheme="majorHAnsi" w:cstheme="majorHAnsi"/>
                <w:noProof/>
                <w:webHidden/>
              </w:rPr>
              <w:fldChar w:fldCharType="end"/>
            </w:r>
          </w:hyperlink>
        </w:p>
        <w:p w14:paraId="2B93A710" w14:textId="1CDEDCA4" w:rsidR="004A5250" w:rsidRPr="004A5250" w:rsidRDefault="004A5250">
          <w:pPr>
            <w:pStyle w:val="TOC1"/>
            <w:tabs>
              <w:tab w:val="right" w:leader="dot" w:pos="9016"/>
            </w:tabs>
            <w:rPr>
              <w:rFonts w:asciiTheme="majorHAnsi" w:eastAsiaTheme="minorEastAsia" w:hAnsiTheme="majorHAnsi" w:cstheme="majorHAnsi"/>
              <w:noProof/>
              <w:kern w:val="0"/>
              <w:sz w:val="22"/>
              <w:szCs w:val="22"/>
              <w14:ligatures w14:val="none"/>
            </w:rPr>
          </w:pPr>
          <w:hyperlink w:anchor="_Toc153187409" w:history="1">
            <w:r w:rsidRPr="004A5250">
              <w:rPr>
                <w:rStyle w:val="Hyperlink"/>
                <w:rFonts w:asciiTheme="majorHAnsi" w:hAnsiTheme="majorHAnsi" w:cstheme="majorHAnsi"/>
                <w:noProof/>
                <w:lang w:val="en-GB"/>
              </w:rPr>
              <w:t>3.5 Lack of efficient mechanism for monitoring</w:t>
            </w:r>
            <w:r w:rsidRPr="004A5250">
              <w:rPr>
                <w:rFonts w:asciiTheme="majorHAnsi" w:hAnsiTheme="majorHAnsi" w:cstheme="majorHAnsi"/>
                <w:noProof/>
                <w:webHidden/>
              </w:rPr>
              <w:tab/>
            </w:r>
            <w:r w:rsidRPr="004A5250">
              <w:rPr>
                <w:rFonts w:asciiTheme="majorHAnsi" w:hAnsiTheme="majorHAnsi" w:cstheme="majorHAnsi"/>
                <w:noProof/>
                <w:webHidden/>
              </w:rPr>
              <w:fldChar w:fldCharType="begin"/>
            </w:r>
            <w:r w:rsidRPr="004A5250">
              <w:rPr>
                <w:rFonts w:asciiTheme="majorHAnsi" w:hAnsiTheme="majorHAnsi" w:cstheme="majorHAnsi"/>
                <w:noProof/>
                <w:webHidden/>
              </w:rPr>
              <w:instrText xml:space="preserve"> PAGEREF _Toc153187409 \h </w:instrText>
            </w:r>
            <w:r w:rsidRPr="004A5250">
              <w:rPr>
                <w:rFonts w:asciiTheme="majorHAnsi" w:hAnsiTheme="majorHAnsi" w:cstheme="majorHAnsi"/>
                <w:noProof/>
                <w:webHidden/>
              </w:rPr>
            </w:r>
            <w:r w:rsidRPr="004A5250">
              <w:rPr>
                <w:rFonts w:asciiTheme="majorHAnsi" w:hAnsiTheme="majorHAnsi" w:cstheme="majorHAnsi"/>
                <w:noProof/>
                <w:webHidden/>
              </w:rPr>
              <w:fldChar w:fldCharType="separate"/>
            </w:r>
            <w:r w:rsidRPr="004A5250">
              <w:rPr>
                <w:rFonts w:asciiTheme="majorHAnsi" w:hAnsiTheme="majorHAnsi" w:cstheme="majorHAnsi"/>
                <w:noProof/>
                <w:webHidden/>
              </w:rPr>
              <w:t>43</w:t>
            </w:r>
            <w:r w:rsidRPr="004A5250">
              <w:rPr>
                <w:rFonts w:asciiTheme="majorHAnsi" w:hAnsiTheme="majorHAnsi" w:cstheme="majorHAnsi"/>
                <w:noProof/>
                <w:webHidden/>
              </w:rPr>
              <w:fldChar w:fldCharType="end"/>
            </w:r>
          </w:hyperlink>
        </w:p>
        <w:p w14:paraId="5A7CDA9E" w14:textId="087EFC9B" w:rsidR="004A5250" w:rsidRPr="004A5250" w:rsidRDefault="004A5250">
          <w:pPr>
            <w:pStyle w:val="TOC1"/>
            <w:tabs>
              <w:tab w:val="right" w:leader="dot" w:pos="9016"/>
            </w:tabs>
            <w:rPr>
              <w:rFonts w:asciiTheme="majorHAnsi" w:eastAsiaTheme="minorEastAsia" w:hAnsiTheme="majorHAnsi" w:cstheme="majorHAnsi"/>
              <w:noProof/>
              <w:kern w:val="0"/>
              <w:sz w:val="22"/>
              <w:szCs w:val="22"/>
              <w14:ligatures w14:val="none"/>
            </w:rPr>
          </w:pPr>
          <w:hyperlink w:anchor="_Toc153187410" w:history="1">
            <w:r w:rsidRPr="004A5250">
              <w:rPr>
                <w:rStyle w:val="Hyperlink"/>
                <w:rFonts w:asciiTheme="majorHAnsi" w:hAnsiTheme="majorHAnsi" w:cstheme="majorHAnsi"/>
                <w:noProof/>
                <w:lang w:val="en-GB"/>
              </w:rPr>
              <w:t>3.6 Lack of accountability mechanism</w:t>
            </w:r>
            <w:r w:rsidRPr="004A5250">
              <w:rPr>
                <w:rFonts w:asciiTheme="majorHAnsi" w:hAnsiTheme="majorHAnsi" w:cstheme="majorHAnsi"/>
                <w:noProof/>
                <w:webHidden/>
              </w:rPr>
              <w:tab/>
            </w:r>
            <w:r w:rsidRPr="004A5250">
              <w:rPr>
                <w:rFonts w:asciiTheme="majorHAnsi" w:hAnsiTheme="majorHAnsi" w:cstheme="majorHAnsi"/>
                <w:noProof/>
                <w:webHidden/>
              </w:rPr>
              <w:fldChar w:fldCharType="begin"/>
            </w:r>
            <w:r w:rsidRPr="004A5250">
              <w:rPr>
                <w:rFonts w:asciiTheme="majorHAnsi" w:hAnsiTheme="majorHAnsi" w:cstheme="majorHAnsi"/>
                <w:noProof/>
                <w:webHidden/>
              </w:rPr>
              <w:instrText xml:space="preserve"> PAGEREF _Toc153187410 \h </w:instrText>
            </w:r>
            <w:r w:rsidRPr="004A5250">
              <w:rPr>
                <w:rFonts w:asciiTheme="majorHAnsi" w:hAnsiTheme="majorHAnsi" w:cstheme="majorHAnsi"/>
                <w:noProof/>
                <w:webHidden/>
              </w:rPr>
            </w:r>
            <w:r w:rsidRPr="004A5250">
              <w:rPr>
                <w:rFonts w:asciiTheme="majorHAnsi" w:hAnsiTheme="majorHAnsi" w:cstheme="majorHAnsi"/>
                <w:noProof/>
                <w:webHidden/>
              </w:rPr>
              <w:fldChar w:fldCharType="separate"/>
            </w:r>
            <w:r w:rsidRPr="004A5250">
              <w:rPr>
                <w:rFonts w:asciiTheme="majorHAnsi" w:hAnsiTheme="majorHAnsi" w:cstheme="majorHAnsi"/>
                <w:noProof/>
                <w:webHidden/>
              </w:rPr>
              <w:t>44</w:t>
            </w:r>
            <w:r w:rsidRPr="004A5250">
              <w:rPr>
                <w:rFonts w:asciiTheme="majorHAnsi" w:hAnsiTheme="majorHAnsi" w:cstheme="majorHAnsi"/>
                <w:noProof/>
                <w:webHidden/>
              </w:rPr>
              <w:fldChar w:fldCharType="end"/>
            </w:r>
          </w:hyperlink>
        </w:p>
        <w:p w14:paraId="02DBB605" w14:textId="1FE89BC9" w:rsidR="004A5250" w:rsidRPr="004A5250" w:rsidRDefault="004A5250">
          <w:pPr>
            <w:pStyle w:val="TOC1"/>
            <w:tabs>
              <w:tab w:val="right" w:leader="dot" w:pos="9016"/>
            </w:tabs>
            <w:rPr>
              <w:rFonts w:asciiTheme="majorHAnsi" w:eastAsiaTheme="minorEastAsia" w:hAnsiTheme="majorHAnsi" w:cstheme="majorHAnsi"/>
              <w:noProof/>
              <w:kern w:val="0"/>
              <w:sz w:val="22"/>
              <w:szCs w:val="22"/>
              <w14:ligatures w14:val="none"/>
            </w:rPr>
          </w:pPr>
          <w:hyperlink w:anchor="_Toc153187411" w:history="1">
            <w:r w:rsidRPr="004A5250">
              <w:rPr>
                <w:rStyle w:val="Hyperlink"/>
                <w:rFonts w:asciiTheme="majorHAnsi" w:hAnsiTheme="majorHAnsi" w:cstheme="majorHAnsi"/>
                <w:noProof/>
                <w:lang w:val="en-GB"/>
              </w:rPr>
              <w:t>3.6 Wrong concept of sustainability</w:t>
            </w:r>
            <w:r w:rsidRPr="004A5250">
              <w:rPr>
                <w:rFonts w:asciiTheme="majorHAnsi" w:hAnsiTheme="majorHAnsi" w:cstheme="majorHAnsi"/>
                <w:noProof/>
                <w:webHidden/>
              </w:rPr>
              <w:tab/>
            </w:r>
            <w:r w:rsidRPr="004A5250">
              <w:rPr>
                <w:rFonts w:asciiTheme="majorHAnsi" w:hAnsiTheme="majorHAnsi" w:cstheme="majorHAnsi"/>
                <w:noProof/>
                <w:webHidden/>
              </w:rPr>
              <w:fldChar w:fldCharType="begin"/>
            </w:r>
            <w:r w:rsidRPr="004A5250">
              <w:rPr>
                <w:rFonts w:asciiTheme="majorHAnsi" w:hAnsiTheme="majorHAnsi" w:cstheme="majorHAnsi"/>
                <w:noProof/>
                <w:webHidden/>
              </w:rPr>
              <w:instrText xml:space="preserve"> PAGEREF _Toc153187411 \h </w:instrText>
            </w:r>
            <w:r w:rsidRPr="004A5250">
              <w:rPr>
                <w:rFonts w:asciiTheme="majorHAnsi" w:hAnsiTheme="majorHAnsi" w:cstheme="majorHAnsi"/>
                <w:noProof/>
                <w:webHidden/>
              </w:rPr>
            </w:r>
            <w:r w:rsidRPr="004A5250">
              <w:rPr>
                <w:rFonts w:asciiTheme="majorHAnsi" w:hAnsiTheme="majorHAnsi" w:cstheme="majorHAnsi"/>
                <w:noProof/>
                <w:webHidden/>
              </w:rPr>
              <w:fldChar w:fldCharType="separate"/>
            </w:r>
            <w:r w:rsidRPr="004A5250">
              <w:rPr>
                <w:rFonts w:asciiTheme="majorHAnsi" w:hAnsiTheme="majorHAnsi" w:cstheme="majorHAnsi"/>
                <w:noProof/>
                <w:webHidden/>
              </w:rPr>
              <w:t>47</w:t>
            </w:r>
            <w:r w:rsidRPr="004A5250">
              <w:rPr>
                <w:rFonts w:asciiTheme="majorHAnsi" w:hAnsiTheme="majorHAnsi" w:cstheme="majorHAnsi"/>
                <w:noProof/>
                <w:webHidden/>
              </w:rPr>
              <w:fldChar w:fldCharType="end"/>
            </w:r>
          </w:hyperlink>
        </w:p>
        <w:p w14:paraId="41E29065" w14:textId="04E26BA1" w:rsidR="004A5250" w:rsidRPr="004A5250" w:rsidRDefault="004A5250">
          <w:pPr>
            <w:pStyle w:val="TOC2"/>
            <w:tabs>
              <w:tab w:val="right" w:leader="dot" w:pos="9016"/>
            </w:tabs>
            <w:rPr>
              <w:rFonts w:asciiTheme="majorHAnsi" w:eastAsiaTheme="minorEastAsia" w:hAnsiTheme="majorHAnsi" w:cstheme="majorHAnsi"/>
              <w:noProof/>
              <w:kern w:val="0"/>
              <w:sz w:val="22"/>
              <w:szCs w:val="22"/>
              <w14:ligatures w14:val="none"/>
            </w:rPr>
          </w:pPr>
          <w:hyperlink w:anchor="_Toc153187412" w:history="1">
            <w:r w:rsidRPr="004A5250">
              <w:rPr>
                <w:rStyle w:val="Hyperlink"/>
                <w:rFonts w:asciiTheme="majorHAnsi" w:hAnsiTheme="majorHAnsi" w:cstheme="majorHAnsi"/>
                <w:noProof/>
              </w:rPr>
              <w:t xml:space="preserve">Case study 1: Deepening gender inequality in </w:t>
            </w:r>
            <w:r w:rsidRPr="004A5250">
              <w:rPr>
                <w:rStyle w:val="Hyperlink"/>
                <w:rFonts w:asciiTheme="majorHAnsi" w:hAnsiTheme="majorHAnsi" w:cstheme="majorHAnsi"/>
                <w:noProof/>
                <w:lang w:val="en-GB"/>
              </w:rPr>
              <w:t>North-eastern Ghana (SDG 5)</w:t>
            </w:r>
            <w:r w:rsidRPr="004A5250">
              <w:rPr>
                <w:rFonts w:asciiTheme="majorHAnsi" w:hAnsiTheme="majorHAnsi" w:cstheme="majorHAnsi"/>
                <w:noProof/>
                <w:webHidden/>
              </w:rPr>
              <w:tab/>
            </w:r>
            <w:r w:rsidRPr="004A5250">
              <w:rPr>
                <w:rFonts w:asciiTheme="majorHAnsi" w:hAnsiTheme="majorHAnsi" w:cstheme="majorHAnsi"/>
                <w:noProof/>
                <w:webHidden/>
              </w:rPr>
              <w:fldChar w:fldCharType="begin"/>
            </w:r>
            <w:r w:rsidRPr="004A5250">
              <w:rPr>
                <w:rFonts w:asciiTheme="majorHAnsi" w:hAnsiTheme="majorHAnsi" w:cstheme="majorHAnsi"/>
                <w:noProof/>
                <w:webHidden/>
              </w:rPr>
              <w:instrText xml:space="preserve"> PAGEREF _Toc153187412 \h </w:instrText>
            </w:r>
            <w:r w:rsidRPr="004A5250">
              <w:rPr>
                <w:rFonts w:asciiTheme="majorHAnsi" w:hAnsiTheme="majorHAnsi" w:cstheme="majorHAnsi"/>
                <w:noProof/>
                <w:webHidden/>
              </w:rPr>
            </w:r>
            <w:r w:rsidRPr="004A5250">
              <w:rPr>
                <w:rFonts w:asciiTheme="majorHAnsi" w:hAnsiTheme="majorHAnsi" w:cstheme="majorHAnsi"/>
                <w:noProof/>
                <w:webHidden/>
              </w:rPr>
              <w:fldChar w:fldCharType="separate"/>
            </w:r>
            <w:r w:rsidRPr="004A5250">
              <w:rPr>
                <w:rFonts w:asciiTheme="majorHAnsi" w:hAnsiTheme="majorHAnsi" w:cstheme="majorHAnsi"/>
                <w:noProof/>
                <w:webHidden/>
              </w:rPr>
              <w:t>49</w:t>
            </w:r>
            <w:r w:rsidRPr="004A5250">
              <w:rPr>
                <w:rFonts w:asciiTheme="majorHAnsi" w:hAnsiTheme="majorHAnsi" w:cstheme="majorHAnsi"/>
                <w:noProof/>
                <w:webHidden/>
              </w:rPr>
              <w:fldChar w:fldCharType="end"/>
            </w:r>
          </w:hyperlink>
        </w:p>
        <w:p w14:paraId="2BCA3D79" w14:textId="11768193" w:rsidR="004A5250" w:rsidRPr="004A5250" w:rsidRDefault="004A5250">
          <w:pPr>
            <w:pStyle w:val="TOC2"/>
            <w:tabs>
              <w:tab w:val="right" w:leader="dot" w:pos="9016"/>
            </w:tabs>
            <w:rPr>
              <w:rFonts w:asciiTheme="majorHAnsi" w:eastAsiaTheme="minorEastAsia" w:hAnsiTheme="majorHAnsi" w:cstheme="majorHAnsi"/>
              <w:noProof/>
              <w:kern w:val="0"/>
              <w:sz w:val="22"/>
              <w:szCs w:val="22"/>
              <w14:ligatures w14:val="none"/>
            </w:rPr>
          </w:pPr>
          <w:hyperlink w:anchor="_Toc153187413" w:history="1">
            <w:r w:rsidRPr="004A5250">
              <w:rPr>
                <w:rStyle w:val="Hyperlink"/>
                <w:rFonts w:asciiTheme="majorHAnsi" w:hAnsiTheme="majorHAnsi" w:cstheme="majorHAnsi"/>
                <w:noProof/>
              </w:rPr>
              <w:t xml:space="preserve">Case study 2: Worsening the access to safe water due to climate change in Jordan </w:t>
            </w:r>
            <w:r w:rsidRPr="004A5250">
              <w:rPr>
                <w:rStyle w:val="Hyperlink"/>
                <w:rFonts w:asciiTheme="majorHAnsi" w:hAnsiTheme="majorHAnsi" w:cstheme="majorHAnsi"/>
                <w:noProof/>
                <w:lang w:val="en-GB"/>
              </w:rPr>
              <w:t>(SDG 6)</w:t>
            </w:r>
            <w:r w:rsidRPr="004A5250">
              <w:rPr>
                <w:rFonts w:asciiTheme="majorHAnsi" w:hAnsiTheme="majorHAnsi" w:cstheme="majorHAnsi"/>
                <w:noProof/>
                <w:webHidden/>
              </w:rPr>
              <w:tab/>
            </w:r>
            <w:r w:rsidRPr="004A5250">
              <w:rPr>
                <w:rFonts w:asciiTheme="majorHAnsi" w:hAnsiTheme="majorHAnsi" w:cstheme="majorHAnsi"/>
                <w:noProof/>
                <w:webHidden/>
              </w:rPr>
              <w:fldChar w:fldCharType="begin"/>
            </w:r>
            <w:r w:rsidRPr="004A5250">
              <w:rPr>
                <w:rFonts w:asciiTheme="majorHAnsi" w:hAnsiTheme="majorHAnsi" w:cstheme="majorHAnsi"/>
                <w:noProof/>
                <w:webHidden/>
              </w:rPr>
              <w:instrText xml:space="preserve"> PAGEREF _Toc153187413 \h </w:instrText>
            </w:r>
            <w:r w:rsidRPr="004A5250">
              <w:rPr>
                <w:rFonts w:asciiTheme="majorHAnsi" w:hAnsiTheme="majorHAnsi" w:cstheme="majorHAnsi"/>
                <w:noProof/>
                <w:webHidden/>
              </w:rPr>
            </w:r>
            <w:r w:rsidRPr="004A5250">
              <w:rPr>
                <w:rFonts w:asciiTheme="majorHAnsi" w:hAnsiTheme="majorHAnsi" w:cstheme="majorHAnsi"/>
                <w:noProof/>
                <w:webHidden/>
              </w:rPr>
              <w:fldChar w:fldCharType="separate"/>
            </w:r>
            <w:r w:rsidRPr="004A5250">
              <w:rPr>
                <w:rFonts w:asciiTheme="majorHAnsi" w:hAnsiTheme="majorHAnsi" w:cstheme="majorHAnsi"/>
                <w:noProof/>
                <w:webHidden/>
              </w:rPr>
              <w:t>50</w:t>
            </w:r>
            <w:r w:rsidRPr="004A5250">
              <w:rPr>
                <w:rFonts w:asciiTheme="majorHAnsi" w:hAnsiTheme="majorHAnsi" w:cstheme="majorHAnsi"/>
                <w:noProof/>
                <w:webHidden/>
              </w:rPr>
              <w:fldChar w:fldCharType="end"/>
            </w:r>
          </w:hyperlink>
        </w:p>
        <w:p w14:paraId="08A52014" w14:textId="2428FA44" w:rsidR="004A5250" w:rsidRPr="004A5250" w:rsidRDefault="004A5250">
          <w:pPr>
            <w:pStyle w:val="TOC2"/>
            <w:tabs>
              <w:tab w:val="right" w:leader="dot" w:pos="9016"/>
            </w:tabs>
            <w:rPr>
              <w:rFonts w:asciiTheme="majorHAnsi" w:eastAsiaTheme="minorEastAsia" w:hAnsiTheme="majorHAnsi" w:cstheme="majorHAnsi"/>
              <w:noProof/>
              <w:kern w:val="0"/>
              <w:sz w:val="22"/>
              <w:szCs w:val="22"/>
              <w14:ligatures w14:val="none"/>
            </w:rPr>
          </w:pPr>
          <w:hyperlink w:anchor="_Toc153187414" w:history="1">
            <w:r w:rsidRPr="004A5250">
              <w:rPr>
                <w:rStyle w:val="Hyperlink"/>
                <w:rFonts w:asciiTheme="majorHAnsi" w:hAnsiTheme="majorHAnsi" w:cstheme="majorHAnsi"/>
                <w:noProof/>
              </w:rPr>
              <w:t xml:space="preserve">Case study 3: Climate Change and its effects on health and wellbeing </w:t>
            </w:r>
            <w:r w:rsidRPr="004A5250">
              <w:rPr>
                <w:rStyle w:val="Hyperlink"/>
                <w:rFonts w:asciiTheme="majorHAnsi" w:hAnsiTheme="majorHAnsi" w:cstheme="majorHAnsi"/>
                <w:noProof/>
                <w:lang w:val="en-GB"/>
              </w:rPr>
              <w:t>(SDG 3)</w:t>
            </w:r>
            <w:r w:rsidRPr="004A5250">
              <w:rPr>
                <w:rFonts w:asciiTheme="majorHAnsi" w:hAnsiTheme="majorHAnsi" w:cstheme="majorHAnsi"/>
                <w:noProof/>
                <w:webHidden/>
              </w:rPr>
              <w:tab/>
            </w:r>
            <w:r w:rsidRPr="004A5250">
              <w:rPr>
                <w:rFonts w:asciiTheme="majorHAnsi" w:hAnsiTheme="majorHAnsi" w:cstheme="majorHAnsi"/>
                <w:noProof/>
                <w:webHidden/>
              </w:rPr>
              <w:fldChar w:fldCharType="begin"/>
            </w:r>
            <w:r w:rsidRPr="004A5250">
              <w:rPr>
                <w:rFonts w:asciiTheme="majorHAnsi" w:hAnsiTheme="majorHAnsi" w:cstheme="majorHAnsi"/>
                <w:noProof/>
                <w:webHidden/>
              </w:rPr>
              <w:instrText xml:space="preserve"> PAGEREF _Toc153187414 \h </w:instrText>
            </w:r>
            <w:r w:rsidRPr="004A5250">
              <w:rPr>
                <w:rFonts w:asciiTheme="majorHAnsi" w:hAnsiTheme="majorHAnsi" w:cstheme="majorHAnsi"/>
                <w:noProof/>
                <w:webHidden/>
              </w:rPr>
            </w:r>
            <w:r w:rsidRPr="004A5250">
              <w:rPr>
                <w:rFonts w:asciiTheme="majorHAnsi" w:hAnsiTheme="majorHAnsi" w:cstheme="majorHAnsi"/>
                <w:noProof/>
                <w:webHidden/>
              </w:rPr>
              <w:fldChar w:fldCharType="separate"/>
            </w:r>
            <w:r w:rsidRPr="004A5250">
              <w:rPr>
                <w:rFonts w:asciiTheme="majorHAnsi" w:hAnsiTheme="majorHAnsi" w:cstheme="majorHAnsi"/>
                <w:noProof/>
                <w:webHidden/>
              </w:rPr>
              <w:t>51</w:t>
            </w:r>
            <w:r w:rsidRPr="004A5250">
              <w:rPr>
                <w:rFonts w:asciiTheme="majorHAnsi" w:hAnsiTheme="majorHAnsi" w:cstheme="majorHAnsi"/>
                <w:noProof/>
                <w:webHidden/>
              </w:rPr>
              <w:fldChar w:fldCharType="end"/>
            </w:r>
          </w:hyperlink>
        </w:p>
        <w:p w14:paraId="41CC5FEE" w14:textId="396B0FDA" w:rsidR="004A5250" w:rsidRPr="004A5250" w:rsidRDefault="004A5250">
          <w:pPr>
            <w:pStyle w:val="TOC2"/>
            <w:tabs>
              <w:tab w:val="right" w:leader="dot" w:pos="9016"/>
            </w:tabs>
            <w:rPr>
              <w:rFonts w:asciiTheme="majorHAnsi" w:eastAsiaTheme="minorEastAsia" w:hAnsiTheme="majorHAnsi" w:cstheme="majorHAnsi"/>
              <w:noProof/>
              <w:kern w:val="0"/>
              <w:sz w:val="22"/>
              <w:szCs w:val="22"/>
              <w14:ligatures w14:val="none"/>
            </w:rPr>
          </w:pPr>
          <w:hyperlink w:anchor="_Toc153187415" w:history="1">
            <w:r w:rsidRPr="004A5250">
              <w:rPr>
                <w:rStyle w:val="Hyperlink"/>
                <w:rFonts w:asciiTheme="majorHAnsi" w:hAnsiTheme="majorHAnsi" w:cstheme="majorHAnsi"/>
                <w:noProof/>
                <w:lang w:val="en-GB"/>
              </w:rPr>
              <w:t>Case study 4: Corruption and its effect on SDG 16 amongst others</w:t>
            </w:r>
            <w:r w:rsidRPr="004A5250">
              <w:rPr>
                <w:rFonts w:asciiTheme="majorHAnsi" w:hAnsiTheme="majorHAnsi" w:cstheme="majorHAnsi"/>
                <w:noProof/>
                <w:webHidden/>
              </w:rPr>
              <w:tab/>
            </w:r>
            <w:r w:rsidRPr="004A5250">
              <w:rPr>
                <w:rFonts w:asciiTheme="majorHAnsi" w:hAnsiTheme="majorHAnsi" w:cstheme="majorHAnsi"/>
                <w:noProof/>
                <w:webHidden/>
              </w:rPr>
              <w:fldChar w:fldCharType="begin"/>
            </w:r>
            <w:r w:rsidRPr="004A5250">
              <w:rPr>
                <w:rFonts w:asciiTheme="majorHAnsi" w:hAnsiTheme="majorHAnsi" w:cstheme="majorHAnsi"/>
                <w:noProof/>
                <w:webHidden/>
              </w:rPr>
              <w:instrText xml:space="preserve"> PAGEREF _Toc153187415 \h </w:instrText>
            </w:r>
            <w:r w:rsidRPr="004A5250">
              <w:rPr>
                <w:rFonts w:asciiTheme="majorHAnsi" w:hAnsiTheme="majorHAnsi" w:cstheme="majorHAnsi"/>
                <w:noProof/>
                <w:webHidden/>
              </w:rPr>
            </w:r>
            <w:r w:rsidRPr="004A5250">
              <w:rPr>
                <w:rFonts w:asciiTheme="majorHAnsi" w:hAnsiTheme="majorHAnsi" w:cstheme="majorHAnsi"/>
                <w:noProof/>
                <w:webHidden/>
              </w:rPr>
              <w:fldChar w:fldCharType="separate"/>
            </w:r>
            <w:r w:rsidRPr="004A5250">
              <w:rPr>
                <w:rFonts w:asciiTheme="majorHAnsi" w:hAnsiTheme="majorHAnsi" w:cstheme="majorHAnsi"/>
                <w:noProof/>
                <w:webHidden/>
              </w:rPr>
              <w:t>53</w:t>
            </w:r>
            <w:r w:rsidRPr="004A5250">
              <w:rPr>
                <w:rFonts w:asciiTheme="majorHAnsi" w:hAnsiTheme="majorHAnsi" w:cstheme="majorHAnsi"/>
                <w:noProof/>
                <w:webHidden/>
              </w:rPr>
              <w:fldChar w:fldCharType="end"/>
            </w:r>
          </w:hyperlink>
        </w:p>
        <w:p w14:paraId="5888FDEF" w14:textId="5FCD174D" w:rsidR="004A5250" w:rsidRPr="004A5250" w:rsidRDefault="004A5250">
          <w:pPr>
            <w:pStyle w:val="TOC2"/>
            <w:tabs>
              <w:tab w:val="right" w:leader="dot" w:pos="9016"/>
            </w:tabs>
            <w:rPr>
              <w:rFonts w:asciiTheme="majorHAnsi" w:eastAsiaTheme="minorEastAsia" w:hAnsiTheme="majorHAnsi" w:cstheme="majorHAnsi"/>
              <w:noProof/>
              <w:kern w:val="0"/>
              <w:sz w:val="22"/>
              <w:szCs w:val="22"/>
              <w14:ligatures w14:val="none"/>
            </w:rPr>
          </w:pPr>
          <w:hyperlink w:anchor="_Toc153187416" w:history="1">
            <w:r w:rsidRPr="004A5250">
              <w:rPr>
                <w:rStyle w:val="Hyperlink"/>
                <w:rFonts w:asciiTheme="majorHAnsi" w:hAnsiTheme="majorHAnsi" w:cstheme="majorHAnsi"/>
                <w:noProof/>
              </w:rPr>
              <w:t>Case study 5: Conflicts and unstability and its effect on SDGs as a framework</w:t>
            </w:r>
            <w:r w:rsidRPr="004A5250">
              <w:rPr>
                <w:rFonts w:asciiTheme="majorHAnsi" w:hAnsiTheme="majorHAnsi" w:cstheme="majorHAnsi"/>
                <w:noProof/>
                <w:webHidden/>
              </w:rPr>
              <w:tab/>
            </w:r>
            <w:r w:rsidRPr="004A5250">
              <w:rPr>
                <w:rFonts w:asciiTheme="majorHAnsi" w:hAnsiTheme="majorHAnsi" w:cstheme="majorHAnsi"/>
                <w:noProof/>
                <w:webHidden/>
              </w:rPr>
              <w:fldChar w:fldCharType="begin"/>
            </w:r>
            <w:r w:rsidRPr="004A5250">
              <w:rPr>
                <w:rFonts w:asciiTheme="majorHAnsi" w:hAnsiTheme="majorHAnsi" w:cstheme="majorHAnsi"/>
                <w:noProof/>
                <w:webHidden/>
              </w:rPr>
              <w:instrText xml:space="preserve"> PAGEREF _Toc153187416 \h </w:instrText>
            </w:r>
            <w:r w:rsidRPr="004A5250">
              <w:rPr>
                <w:rFonts w:asciiTheme="majorHAnsi" w:hAnsiTheme="majorHAnsi" w:cstheme="majorHAnsi"/>
                <w:noProof/>
                <w:webHidden/>
              </w:rPr>
            </w:r>
            <w:r w:rsidRPr="004A5250">
              <w:rPr>
                <w:rFonts w:asciiTheme="majorHAnsi" w:hAnsiTheme="majorHAnsi" w:cstheme="majorHAnsi"/>
                <w:noProof/>
                <w:webHidden/>
              </w:rPr>
              <w:fldChar w:fldCharType="separate"/>
            </w:r>
            <w:r w:rsidRPr="004A5250">
              <w:rPr>
                <w:rFonts w:asciiTheme="majorHAnsi" w:hAnsiTheme="majorHAnsi" w:cstheme="majorHAnsi"/>
                <w:noProof/>
                <w:webHidden/>
              </w:rPr>
              <w:t>54</w:t>
            </w:r>
            <w:r w:rsidRPr="004A5250">
              <w:rPr>
                <w:rFonts w:asciiTheme="majorHAnsi" w:hAnsiTheme="majorHAnsi" w:cstheme="majorHAnsi"/>
                <w:noProof/>
                <w:webHidden/>
              </w:rPr>
              <w:fldChar w:fldCharType="end"/>
            </w:r>
          </w:hyperlink>
        </w:p>
        <w:p w14:paraId="1A8296D0" w14:textId="65B999E3" w:rsidR="004A5250" w:rsidRPr="004A5250" w:rsidRDefault="004A5250">
          <w:pPr>
            <w:pStyle w:val="TOC1"/>
            <w:tabs>
              <w:tab w:val="right" w:leader="dot" w:pos="9016"/>
            </w:tabs>
            <w:rPr>
              <w:rFonts w:asciiTheme="majorHAnsi" w:eastAsiaTheme="minorEastAsia" w:hAnsiTheme="majorHAnsi" w:cstheme="majorHAnsi"/>
              <w:noProof/>
              <w:kern w:val="0"/>
              <w:sz w:val="22"/>
              <w:szCs w:val="22"/>
              <w14:ligatures w14:val="none"/>
            </w:rPr>
          </w:pPr>
          <w:hyperlink w:anchor="_Toc153187417" w:history="1">
            <w:r w:rsidRPr="004A5250">
              <w:rPr>
                <w:rStyle w:val="Hyperlink"/>
                <w:rFonts w:asciiTheme="majorHAnsi" w:hAnsiTheme="majorHAnsi" w:cstheme="majorHAnsi"/>
                <w:noProof/>
                <w:lang w:val="en-GB"/>
              </w:rPr>
              <w:t>3.7 Non-legally binding nature</w:t>
            </w:r>
            <w:r w:rsidRPr="004A5250">
              <w:rPr>
                <w:rFonts w:asciiTheme="majorHAnsi" w:hAnsiTheme="majorHAnsi" w:cstheme="majorHAnsi"/>
                <w:noProof/>
                <w:webHidden/>
              </w:rPr>
              <w:tab/>
            </w:r>
            <w:r w:rsidRPr="004A5250">
              <w:rPr>
                <w:rFonts w:asciiTheme="majorHAnsi" w:hAnsiTheme="majorHAnsi" w:cstheme="majorHAnsi"/>
                <w:noProof/>
                <w:webHidden/>
              </w:rPr>
              <w:fldChar w:fldCharType="begin"/>
            </w:r>
            <w:r w:rsidRPr="004A5250">
              <w:rPr>
                <w:rFonts w:asciiTheme="majorHAnsi" w:hAnsiTheme="majorHAnsi" w:cstheme="majorHAnsi"/>
                <w:noProof/>
                <w:webHidden/>
              </w:rPr>
              <w:instrText xml:space="preserve"> PAGEREF _Toc153187417 \h </w:instrText>
            </w:r>
            <w:r w:rsidRPr="004A5250">
              <w:rPr>
                <w:rFonts w:asciiTheme="majorHAnsi" w:hAnsiTheme="majorHAnsi" w:cstheme="majorHAnsi"/>
                <w:noProof/>
                <w:webHidden/>
              </w:rPr>
            </w:r>
            <w:r w:rsidRPr="004A5250">
              <w:rPr>
                <w:rFonts w:asciiTheme="majorHAnsi" w:hAnsiTheme="majorHAnsi" w:cstheme="majorHAnsi"/>
                <w:noProof/>
                <w:webHidden/>
              </w:rPr>
              <w:fldChar w:fldCharType="separate"/>
            </w:r>
            <w:r w:rsidRPr="004A5250">
              <w:rPr>
                <w:rFonts w:asciiTheme="majorHAnsi" w:hAnsiTheme="majorHAnsi" w:cstheme="majorHAnsi"/>
                <w:noProof/>
                <w:webHidden/>
              </w:rPr>
              <w:t>56</w:t>
            </w:r>
            <w:r w:rsidRPr="004A5250">
              <w:rPr>
                <w:rFonts w:asciiTheme="majorHAnsi" w:hAnsiTheme="majorHAnsi" w:cstheme="majorHAnsi"/>
                <w:noProof/>
                <w:webHidden/>
              </w:rPr>
              <w:fldChar w:fldCharType="end"/>
            </w:r>
          </w:hyperlink>
        </w:p>
        <w:p w14:paraId="1EE06D00" w14:textId="475A055C" w:rsidR="004A5250" w:rsidRPr="004A5250" w:rsidRDefault="004A5250">
          <w:pPr>
            <w:pStyle w:val="TOC1"/>
            <w:tabs>
              <w:tab w:val="right" w:leader="dot" w:pos="9016"/>
            </w:tabs>
            <w:rPr>
              <w:rFonts w:asciiTheme="majorHAnsi" w:eastAsiaTheme="minorEastAsia" w:hAnsiTheme="majorHAnsi" w:cstheme="majorHAnsi"/>
              <w:noProof/>
              <w:kern w:val="0"/>
              <w:sz w:val="22"/>
              <w:szCs w:val="22"/>
              <w14:ligatures w14:val="none"/>
            </w:rPr>
          </w:pPr>
          <w:hyperlink w:anchor="_Toc153187418" w:history="1">
            <w:r w:rsidRPr="004A5250">
              <w:rPr>
                <w:rStyle w:val="Hyperlink"/>
                <w:rFonts w:asciiTheme="majorHAnsi" w:hAnsiTheme="majorHAnsi" w:cstheme="majorHAnsi"/>
                <w:noProof/>
                <w:lang w:val="en-GB"/>
              </w:rPr>
              <w:t>3.8 Vagueness</w:t>
            </w:r>
            <w:r w:rsidRPr="004A5250">
              <w:rPr>
                <w:rFonts w:asciiTheme="majorHAnsi" w:hAnsiTheme="majorHAnsi" w:cstheme="majorHAnsi"/>
                <w:noProof/>
                <w:webHidden/>
              </w:rPr>
              <w:tab/>
            </w:r>
            <w:r w:rsidRPr="004A5250">
              <w:rPr>
                <w:rFonts w:asciiTheme="majorHAnsi" w:hAnsiTheme="majorHAnsi" w:cstheme="majorHAnsi"/>
                <w:noProof/>
                <w:webHidden/>
              </w:rPr>
              <w:fldChar w:fldCharType="begin"/>
            </w:r>
            <w:r w:rsidRPr="004A5250">
              <w:rPr>
                <w:rFonts w:asciiTheme="majorHAnsi" w:hAnsiTheme="majorHAnsi" w:cstheme="majorHAnsi"/>
                <w:noProof/>
                <w:webHidden/>
              </w:rPr>
              <w:instrText xml:space="preserve"> PAGEREF _Toc153187418 \h </w:instrText>
            </w:r>
            <w:r w:rsidRPr="004A5250">
              <w:rPr>
                <w:rFonts w:asciiTheme="majorHAnsi" w:hAnsiTheme="majorHAnsi" w:cstheme="majorHAnsi"/>
                <w:noProof/>
                <w:webHidden/>
              </w:rPr>
            </w:r>
            <w:r w:rsidRPr="004A5250">
              <w:rPr>
                <w:rFonts w:asciiTheme="majorHAnsi" w:hAnsiTheme="majorHAnsi" w:cstheme="majorHAnsi"/>
                <w:noProof/>
                <w:webHidden/>
              </w:rPr>
              <w:fldChar w:fldCharType="separate"/>
            </w:r>
            <w:r w:rsidRPr="004A5250">
              <w:rPr>
                <w:rFonts w:asciiTheme="majorHAnsi" w:hAnsiTheme="majorHAnsi" w:cstheme="majorHAnsi"/>
                <w:noProof/>
                <w:webHidden/>
              </w:rPr>
              <w:t>60</w:t>
            </w:r>
            <w:r w:rsidRPr="004A5250">
              <w:rPr>
                <w:rFonts w:asciiTheme="majorHAnsi" w:hAnsiTheme="majorHAnsi" w:cstheme="majorHAnsi"/>
                <w:noProof/>
                <w:webHidden/>
              </w:rPr>
              <w:fldChar w:fldCharType="end"/>
            </w:r>
          </w:hyperlink>
        </w:p>
        <w:p w14:paraId="22C25EC3" w14:textId="4C361279" w:rsidR="004A5250" w:rsidRPr="004A5250" w:rsidRDefault="004A5250">
          <w:pPr>
            <w:pStyle w:val="TOC1"/>
            <w:tabs>
              <w:tab w:val="right" w:leader="dot" w:pos="9016"/>
            </w:tabs>
            <w:rPr>
              <w:rFonts w:asciiTheme="majorHAnsi" w:eastAsiaTheme="minorEastAsia" w:hAnsiTheme="majorHAnsi" w:cstheme="majorHAnsi"/>
              <w:noProof/>
              <w:kern w:val="0"/>
              <w:sz w:val="22"/>
              <w:szCs w:val="22"/>
              <w14:ligatures w14:val="none"/>
            </w:rPr>
          </w:pPr>
          <w:hyperlink w:anchor="_Toc153187419" w:history="1">
            <w:r w:rsidRPr="004A5250">
              <w:rPr>
                <w:rStyle w:val="Hyperlink"/>
                <w:rFonts w:asciiTheme="majorHAnsi" w:hAnsiTheme="majorHAnsi" w:cstheme="majorHAnsi"/>
                <w:noProof/>
                <w:lang w:val="en-GB"/>
              </w:rPr>
              <w:t>CHAPTER 4: RECOMMENDATIONS</w:t>
            </w:r>
            <w:r w:rsidRPr="004A5250">
              <w:rPr>
                <w:rFonts w:asciiTheme="majorHAnsi" w:hAnsiTheme="majorHAnsi" w:cstheme="majorHAnsi"/>
                <w:noProof/>
                <w:webHidden/>
              </w:rPr>
              <w:tab/>
            </w:r>
            <w:r w:rsidRPr="004A5250">
              <w:rPr>
                <w:rFonts w:asciiTheme="majorHAnsi" w:hAnsiTheme="majorHAnsi" w:cstheme="majorHAnsi"/>
                <w:noProof/>
                <w:webHidden/>
              </w:rPr>
              <w:fldChar w:fldCharType="begin"/>
            </w:r>
            <w:r w:rsidRPr="004A5250">
              <w:rPr>
                <w:rFonts w:asciiTheme="majorHAnsi" w:hAnsiTheme="majorHAnsi" w:cstheme="majorHAnsi"/>
                <w:noProof/>
                <w:webHidden/>
              </w:rPr>
              <w:instrText xml:space="preserve"> PAGEREF _Toc153187419 \h </w:instrText>
            </w:r>
            <w:r w:rsidRPr="004A5250">
              <w:rPr>
                <w:rFonts w:asciiTheme="majorHAnsi" w:hAnsiTheme="majorHAnsi" w:cstheme="majorHAnsi"/>
                <w:noProof/>
                <w:webHidden/>
              </w:rPr>
            </w:r>
            <w:r w:rsidRPr="004A5250">
              <w:rPr>
                <w:rFonts w:asciiTheme="majorHAnsi" w:hAnsiTheme="majorHAnsi" w:cstheme="majorHAnsi"/>
                <w:noProof/>
                <w:webHidden/>
              </w:rPr>
              <w:fldChar w:fldCharType="separate"/>
            </w:r>
            <w:r w:rsidRPr="004A5250">
              <w:rPr>
                <w:rFonts w:asciiTheme="majorHAnsi" w:hAnsiTheme="majorHAnsi" w:cstheme="majorHAnsi"/>
                <w:noProof/>
                <w:webHidden/>
              </w:rPr>
              <w:t>62</w:t>
            </w:r>
            <w:r w:rsidRPr="004A5250">
              <w:rPr>
                <w:rFonts w:asciiTheme="majorHAnsi" w:hAnsiTheme="majorHAnsi" w:cstheme="majorHAnsi"/>
                <w:noProof/>
                <w:webHidden/>
              </w:rPr>
              <w:fldChar w:fldCharType="end"/>
            </w:r>
          </w:hyperlink>
        </w:p>
        <w:p w14:paraId="15BA1671" w14:textId="6C0D1C9E" w:rsidR="004A5250" w:rsidRPr="004A5250" w:rsidRDefault="004A5250">
          <w:pPr>
            <w:pStyle w:val="TOC1"/>
            <w:tabs>
              <w:tab w:val="left" w:pos="660"/>
              <w:tab w:val="right" w:leader="dot" w:pos="9016"/>
            </w:tabs>
            <w:rPr>
              <w:rFonts w:asciiTheme="majorHAnsi" w:eastAsiaTheme="minorEastAsia" w:hAnsiTheme="majorHAnsi" w:cstheme="majorHAnsi"/>
              <w:noProof/>
              <w:kern w:val="0"/>
              <w:sz w:val="22"/>
              <w:szCs w:val="22"/>
              <w14:ligatures w14:val="none"/>
            </w:rPr>
          </w:pPr>
          <w:hyperlink w:anchor="_Toc153187420" w:history="1">
            <w:r w:rsidRPr="004A5250">
              <w:rPr>
                <w:rStyle w:val="Hyperlink"/>
                <w:rFonts w:asciiTheme="majorHAnsi" w:hAnsiTheme="majorHAnsi" w:cstheme="majorHAnsi"/>
                <w:noProof/>
              </w:rPr>
              <w:t>4.1</w:t>
            </w:r>
            <w:r w:rsidRPr="004A5250">
              <w:rPr>
                <w:rFonts w:asciiTheme="majorHAnsi" w:eastAsiaTheme="minorEastAsia" w:hAnsiTheme="majorHAnsi" w:cstheme="majorHAnsi"/>
                <w:noProof/>
                <w:kern w:val="0"/>
                <w:sz w:val="22"/>
                <w:szCs w:val="22"/>
                <w14:ligatures w14:val="none"/>
              </w:rPr>
              <w:tab/>
            </w:r>
            <w:r w:rsidRPr="004A5250">
              <w:rPr>
                <w:rStyle w:val="Hyperlink"/>
                <w:rFonts w:asciiTheme="majorHAnsi" w:hAnsiTheme="majorHAnsi" w:cstheme="majorHAnsi"/>
                <w:noProof/>
              </w:rPr>
              <w:t>How do internal clashes among SDGs undermine the coherence and effectiveness of the overall SDG framework?</w:t>
            </w:r>
            <w:r w:rsidRPr="004A5250">
              <w:rPr>
                <w:rFonts w:asciiTheme="majorHAnsi" w:hAnsiTheme="majorHAnsi" w:cstheme="majorHAnsi"/>
                <w:noProof/>
                <w:webHidden/>
              </w:rPr>
              <w:tab/>
            </w:r>
            <w:r w:rsidRPr="004A5250">
              <w:rPr>
                <w:rFonts w:asciiTheme="majorHAnsi" w:hAnsiTheme="majorHAnsi" w:cstheme="majorHAnsi"/>
                <w:noProof/>
                <w:webHidden/>
              </w:rPr>
              <w:fldChar w:fldCharType="begin"/>
            </w:r>
            <w:r w:rsidRPr="004A5250">
              <w:rPr>
                <w:rFonts w:asciiTheme="majorHAnsi" w:hAnsiTheme="majorHAnsi" w:cstheme="majorHAnsi"/>
                <w:noProof/>
                <w:webHidden/>
              </w:rPr>
              <w:instrText xml:space="preserve"> PAGEREF _Toc153187420 \h </w:instrText>
            </w:r>
            <w:r w:rsidRPr="004A5250">
              <w:rPr>
                <w:rFonts w:asciiTheme="majorHAnsi" w:hAnsiTheme="majorHAnsi" w:cstheme="majorHAnsi"/>
                <w:noProof/>
                <w:webHidden/>
              </w:rPr>
            </w:r>
            <w:r w:rsidRPr="004A5250">
              <w:rPr>
                <w:rFonts w:asciiTheme="majorHAnsi" w:hAnsiTheme="majorHAnsi" w:cstheme="majorHAnsi"/>
                <w:noProof/>
                <w:webHidden/>
              </w:rPr>
              <w:fldChar w:fldCharType="separate"/>
            </w:r>
            <w:r w:rsidRPr="004A5250">
              <w:rPr>
                <w:rFonts w:asciiTheme="majorHAnsi" w:hAnsiTheme="majorHAnsi" w:cstheme="majorHAnsi"/>
                <w:noProof/>
                <w:webHidden/>
              </w:rPr>
              <w:t>62</w:t>
            </w:r>
            <w:r w:rsidRPr="004A5250">
              <w:rPr>
                <w:rFonts w:asciiTheme="majorHAnsi" w:hAnsiTheme="majorHAnsi" w:cstheme="majorHAnsi"/>
                <w:noProof/>
                <w:webHidden/>
              </w:rPr>
              <w:fldChar w:fldCharType="end"/>
            </w:r>
          </w:hyperlink>
        </w:p>
        <w:p w14:paraId="1EFB97FD" w14:textId="45AB7B23" w:rsidR="004A5250" w:rsidRPr="004A5250" w:rsidRDefault="004A5250">
          <w:pPr>
            <w:pStyle w:val="TOC2"/>
            <w:tabs>
              <w:tab w:val="left" w:pos="880"/>
              <w:tab w:val="right" w:leader="dot" w:pos="9016"/>
            </w:tabs>
            <w:rPr>
              <w:rFonts w:asciiTheme="majorHAnsi" w:eastAsiaTheme="minorEastAsia" w:hAnsiTheme="majorHAnsi" w:cstheme="majorHAnsi"/>
              <w:noProof/>
              <w:kern w:val="0"/>
              <w:sz w:val="22"/>
              <w:szCs w:val="22"/>
              <w14:ligatures w14:val="none"/>
            </w:rPr>
          </w:pPr>
          <w:hyperlink w:anchor="_Toc153187421" w:history="1">
            <w:r w:rsidRPr="004A5250">
              <w:rPr>
                <w:rStyle w:val="Hyperlink"/>
                <w:rFonts w:asciiTheme="majorHAnsi" w:hAnsiTheme="majorHAnsi" w:cstheme="majorHAnsi"/>
                <w:noProof/>
              </w:rPr>
              <w:t>A)</w:t>
            </w:r>
            <w:r w:rsidRPr="004A5250">
              <w:rPr>
                <w:rFonts w:asciiTheme="majorHAnsi" w:eastAsiaTheme="minorEastAsia" w:hAnsiTheme="majorHAnsi" w:cstheme="majorHAnsi"/>
                <w:noProof/>
                <w:kern w:val="0"/>
                <w:sz w:val="22"/>
                <w:szCs w:val="22"/>
                <w14:ligatures w14:val="none"/>
              </w:rPr>
              <w:tab/>
            </w:r>
            <w:r w:rsidRPr="004A5250">
              <w:rPr>
                <w:rStyle w:val="Hyperlink"/>
                <w:rFonts w:asciiTheme="majorHAnsi" w:hAnsiTheme="majorHAnsi" w:cstheme="majorHAnsi"/>
                <w:noProof/>
              </w:rPr>
              <w:t>Clash between environment and economic growth</w:t>
            </w:r>
            <w:r w:rsidRPr="004A5250">
              <w:rPr>
                <w:rFonts w:asciiTheme="majorHAnsi" w:hAnsiTheme="majorHAnsi" w:cstheme="majorHAnsi"/>
                <w:noProof/>
                <w:webHidden/>
              </w:rPr>
              <w:tab/>
            </w:r>
            <w:r w:rsidRPr="004A5250">
              <w:rPr>
                <w:rFonts w:asciiTheme="majorHAnsi" w:hAnsiTheme="majorHAnsi" w:cstheme="majorHAnsi"/>
                <w:noProof/>
                <w:webHidden/>
              </w:rPr>
              <w:fldChar w:fldCharType="begin"/>
            </w:r>
            <w:r w:rsidRPr="004A5250">
              <w:rPr>
                <w:rFonts w:asciiTheme="majorHAnsi" w:hAnsiTheme="majorHAnsi" w:cstheme="majorHAnsi"/>
                <w:noProof/>
                <w:webHidden/>
              </w:rPr>
              <w:instrText xml:space="preserve"> PAGEREF _Toc153187421 \h </w:instrText>
            </w:r>
            <w:r w:rsidRPr="004A5250">
              <w:rPr>
                <w:rFonts w:asciiTheme="majorHAnsi" w:hAnsiTheme="majorHAnsi" w:cstheme="majorHAnsi"/>
                <w:noProof/>
                <w:webHidden/>
              </w:rPr>
            </w:r>
            <w:r w:rsidRPr="004A5250">
              <w:rPr>
                <w:rFonts w:asciiTheme="majorHAnsi" w:hAnsiTheme="majorHAnsi" w:cstheme="majorHAnsi"/>
                <w:noProof/>
                <w:webHidden/>
              </w:rPr>
              <w:fldChar w:fldCharType="separate"/>
            </w:r>
            <w:r w:rsidRPr="004A5250">
              <w:rPr>
                <w:rFonts w:asciiTheme="majorHAnsi" w:hAnsiTheme="majorHAnsi" w:cstheme="majorHAnsi"/>
                <w:noProof/>
                <w:webHidden/>
              </w:rPr>
              <w:t>62</w:t>
            </w:r>
            <w:r w:rsidRPr="004A5250">
              <w:rPr>
                <w:rFonts w:asciiTheme="majorHAnsi" w:hAnsiTheme="majorHAnsi" w:cstheme="majorHAnsi"/>
                <w:noProof/>
                <w:webHidden/>
              </w:rPr>
              <w:fldChar w:fldCharType="end"/>
            </w:r>
          </w:hyperlink>
        </w:p>
        <w:p w14:paraId="35027B75" w14:textId="5BC3D507" w:rsidR="004A5250" w:rsidRPr="004A5250" w:rsidRDefault="004A5250">
          <w:pPr>
            <w:pStyle w:val="TOC2"/>
            <w:tabs>
              <w:tab w:val="left" w:pos="880"/>
              <w:tab w:val="right" w:leader="dot" w:pos="9016"/>
            </w:tabs>
            <w:rPr>
              <w:rFonts w:asciiTheme="majorHAnsi" w:eastAsiaTheme="minorEastAsia" w:hAnsiTheme="majorHAnsi" w:cstheme="majorHAnsi"/>
              <w:noProof/>
              <w:kern w:val="0"/>
              <w:sz w:val="22"/>
              <w:szCs w:val="22"/>
              <w14:ligatures w14:val="none"/>
            </w:rPr>
          </w:pPr>
          <w:hyperlink w:anchor="_Toc153187422" w:history="1">
            <w:r w:rsidRPr="004A5250">
              <w:rPr>
                <w:rStyle w:val="Hyperlink"/>
                <w:rFonts w:asciiTheme="majorHAnsi" w:hAnsiTheme="majorHAnsi" w:cstheme="majorHAnsi"/>
                <w:noProof/>
                <w:lang w:val="en-GB"/>
              </w:rPr>
              <w:t>B)</w:t>
            </w:r>
            <w:r w:rsidRPr="004A5250">
              <w:rPr>
                <w:rFonts w:asciiTheme="majorHAnsi" w:eastAsiaTheme="minorEastAsia" w:hAnsiTheme="majorHAnsi" w:cstheme="majorHAnsi"/>
                <w:noProof/>
                <w:kern w:val="0"/>
                <w:sz w:val="22"/>
                <w:szCs w:val="22"/>
                <w14:ligatures w14:val="none"/>
              </w:rPr>
              <w:tab/>
            </w:r>
            <w:r w:rsidRPr="004A5250">
              <w:rPr>
                <w:rStyle w:val="Hyperlink"/>
                <w:rFonts w:asciiTheme="majorHAnsi" w:hAnsiTheme="majorHAnsi" w:cstheme="majorHAnsi"/>
                <w:noProof/>
                <w:lang w:val="en-GB"/>
              </w:rPr>
              <w:t>Clash between access to clean water and sanitation and hunger eradication</w:t>
            </w:r>
            <w:r w:rsidRPr="004A5250">
              <w:rPr>
                <w:rFonts w:asciiTheme="majorHAnsi" w:hAnsiTheme="majorHAnsi" w:cstheme="majorHAnsi"/>
                <w:noProof/>
                <w:webHidden/>
              </w:rPr>
              <w:tab/>
            </w:r>
            <w:r w:rsidRPr="004A5250">
              <w:rPr>
                <w:rFonts w:asciiTheme="majorHAnsi" w:hAnsiTheme="majorHAnsi" w:cstheme="majorHAnsi"/>
                <w:noProof/>
                <w:webHidden/>
              </w:rPr>
              <w:fldChar w:fldCharType="begin"/>
            </w:r>
            <w:r w:rsidRPr="004A5250">
              <w:rPr>
                <w:rFonts w:asciiTheme="majorHAnsi" w:hAnsiTheme="majorHAnsi" w:cstheme="majorHAnsi"/>
                <w:noProof/>
                <w:webHidden/>
              </w:rPr>
              <w:instrText xml:space="preserve"> PAGEREF _Toc153187422 \h </w:instrText>
            </w:r>
            <w:r w:rsidRPr="004A5250">
              <w:rPr>
                <w:rFonts w:asciiTheme="majorHAnsi" w:hAnsiTheme="majorHAnsi" w:cstheme="majorHAnsi"/>
                <w:noProof/>
                <w:webHidden/>
              </w:rPr>
            </w:r>
            <w:r w:rsidRPr="004A5250">
              <w:rPr>
                <w:rFonts w:asciiTheme="majorHAnsi" w:hAnsiTheme="majorHAnsi" w:cstheme="majorHAnsi"/>
                <w:noProof/>
                <w:webHidden/>
              </w:rPr>
              <w:fldChar w:fldCharType="separate"/>
            </w:r>
            <w:r w:rsidRPr="004A5250">
              <w:rPr>
                <w:rFonts w:asciiTheme="majorHAnsi" w:hAnsiTheme="majorHAnsi" w:cstheme="majorHAnsi"/>
                <w:noProof/>
                <w:webHidden/>
              </w:rPr>
              <w:t>63</w:t>
            </w:r>
            <w:r w:rsidRPr="004A5250">
              <w:rPr>
                <w:rFonts w:asciiTheme="majorHAnsi" w:hAnsiTheme="majorHAnsi" w:cstheme="majorHAnsi"/>
                <w:noProof/>
                <w:webHidden/>
              </w:rPr>
              <w:fldChar w:fldCharType="end"/>
            </w:r>
          </w:hyperlink>
        </w:p>
        <w:p w14:paraId="3B471A56" w14:textId="1B2AD6C9" w:rsidR="004A5250" w:rsidRPr="004A5250" w:rsidRDefault="004A5250">
          <w:pPr>
            <w:pStyle w:val="TOC1"/>
            <w:tabs>
              <w:tab w:val="left" w:pos="660"/>
              <w:tab w:val="right" w:leader="dot" w:pos="9016"/>
            </w:tabs>
            <w:rPr>
              <w:rFonts w:asciiTheme="majorHAnsi" w:eastAsiaTheme="minorEastAsia" w:hAnsiTheme="majorHAnsi" w:cstheme="majorHAnsi"/>
              <w:noProof/>
              <w:kern w:val="0"/>
              <w:sz w:val="22"/>
              <w:szCs w:val="22"/>
              <w14:ligatures w14:val="none"/>
            </w:rPr>
          </w:pPr>
          <w:hyperlink w:anchor="_Toc153187423" w:history="1">
            <w:r w:rsidRPr="004A5250">
              <w:rPr>
                <w:rStyle w:val="Hyperlink"/>
                <w:rFonts w:asciiTheme="majorHAnsi" w:hAnsiTheme="majorHAnsi" w:cstheme="majorHAnsi"/>
                <w:noProof/>
              </w:rPr>
              <w:t>4.2</w:t>
            </w:r>
            <w:r w:rsidRPr="004A5250">
              <w:rPr>
                <w:rFonts w:asciiTheme="majorHAnsi" w:eastAsiaTheme="minorEastAsia" w:hAnsiTheme="majorHAnsi" w:cstheme="majorHAnsi"/>
                <w:noProof/>
                <w:kern w:val="0"/>
                <w:sz w:val="22"/>
                <w:szCs w:val="22"/>
                <w14:ligatures w14:val="none"/>
              </w:rPr>
              <w:tab/>
            </w:r>
            <w:r w:rsidRPr="004A5250">
              <w:rPr>
                <w:rStyle w:val="Hyperlink"/>
                <w:rFonts w:asciiTheme="majorHAnsi" w:hAnsiTheme="majorHAnsi" w:cstheme="majorHAnsi"/>
                <w:noProof/>
              </w:rPr>
              <w:t>In what ways does the perceived lack of integration within the SDG framework hinder its ability to address interconnected global challenges comprehensively?</w:t>
            </w:r>
            <w:r w:rsidRPr="004A5250">
              <w:rPr>
                <w:rFonts w:asciiTheme="majorHAnsi" w:hAnsiTheme="majorHAnsi" w:cstheme="majorHAnsi"/>
                <w:noProof/>
                <w:webHidden/>
              </w:rPr>
              <w:tab/>
            </w:r>
            <w:r w:rsidRPr="004A5250">
              <w:rPr>
                <w:rFonts w:asciiTheme="majorHAnsi" w:hAnsiTheme="majorHAnsi" w:cstheme="majorHAnsi"/>
                <w:noProof/>
                <w:webHidden/>
              </w:rPr>
              <w:fldChar w:fldCharType="begin"/>
            </w:r>
            <w:r w:rsidRPr="004A5250">
              <w:rPr>
                <w:rFonts w:asciiTheme="majorHAnsi" w:hAnsiTheme="majorHAnsi" w:cstheme="majorHAnsi"/>
                <w:noProof/>
                <w:webHidden/>
              </w:rPr>
              <w:instrText xml:space="preserve"> PAGEREF _Toc153187423 \h </w:instrText>
            </w:r>
            <w:r w:rsidRPr="004A5250">
              <w:rPr>
                <w:rFonts w:asciiTheme="majorHAnsi" w:hAnsiTheme="majorHAnsi" w:cstheme="majorHAnsi"/>
                <w:noProof/>
                <w:webHidden/>
              </w:rPr>
            </w:r>
            <w:r w:rsidRPr="004A5250">
              <w:rPr>
                <w:rFonts w:asciiTheme="majorHAnsi" w:hAnsiTheme="majorHAnsi" w:cstheme="majorHAnsi"/>
                <w:noProof/>
                <w:webHidden/>
              </w:rPr>
              <w:fldChar w:fldCharType="separate"/>
            </w:r>
            <w:r w:rsidRPr="004A5250">
              <w:rPr>
                <w:rFonts w:asciiTheme="majorHAnsi" w:hAnsiTheme="majorHAnsi" w:cstheme="majorHAnsi"/>
                <w:noProof/>
                <w:webHidden/>
              </w:rPr>
              <w:t>63</w:t>
            </w:r>
            <w:r w:rsidRPr="004A5250">
              <w:rPr>
                <w:rFonts w:asciiTheme="majorHAnsi" w:hAnsiTheme="majorHAnsi" w:cstheme="majorHAnsi"/>
                <w:noProof/>
                <w:webHidden/>
              </w:rPr>
              <w:fldChar w:fldCharType="end"/>
            </w:r>
          </w:hyperlink>
        </w:p>
        <w:p w14:paraId="31CA1F1F" w14:textId="31C05FA1" w:rsidR="004A5250" w:rsidRPr="004A5250" w:rsidRDefault="004A5250">
          <w:pPr>
            <w:pStyle w:val="TOC1"/>
            <w:tabs>
              <w:tab w:val="left" w:pos="660"/>
              <w:tab w:val="right" w:leader="dot" w:pos="9016"/>
            </w:tabs>
            <w:rPr>
              <w:rFonts w:asciiTheme="majorHAnsi" w:eastAsiaTheme="minorEastAsia" w:hAnsiTheme="majorHAnsi" w:cstheme="majorHAnsi"/>
              <w:noProof/>
              <w:kern w:val="0"/>
              <w:sz w:val="22"/>
              <w:szCs w:val="22"/>
              <w14:ligatures w14:val="none"/>
            </w:rPr>
          </w:pPr>
          <w:hyperlink w:anchor="_Toc153187424" w:history="1">
            <w:r w:rsidRPr="004A5250">
              <w:rPr>
                <w:rStyle w:val="Hyperlink"/>
                <w:rFonts w:asciiTheme="majorHAnsi" w:hAnsiTheme="majorHAnsi" w:cstheme="majorHAnsi"/>
                <w:noProof/>
              </w:rPr>
              <w:t>4.3</w:t>
            </w:r>
            <w:r w:rsidRPr="004A5250">
              <w:rPr>
                <w:rFonts w:asciiTheme="majorHAnsi" w:eastAsiaTheme="minorEastAsia" w:hAnsiTheme="majorHAnsi" w:cstheme="majorHAnsi"/>
                <w:noProof/>
                <w:kern w:val="0"/>
                <w:sz w:val="22"/>
                <w:szCs w:val="22"/>
                <w14:ligatures w14:val="none"/>
              </w:rPr>
              <w:tab/>
            </w:r>
            <w:r w:rsidRPr="004A5250">
              <w:rPr>
                <w:rStyle w:val="Hyperlink"/>
                <w:rFonts w:asciiTheme="majorHAnsi" w:hAnsiTheme="majorHAnsi" w:cstheme="majorHAnsi"/>
                <w:noProof/>
              </w:rPr>
              <w:t>How do criticisms related to current global settings shed light on systemic challenges and geopolitical factors that impede the successful implementation of the SDGs?</w:t>
            </w:r>
            <w:r w:rsidRPr="004A5250">
              <w:rPr>
                <w:rFonts w:asciiTheme="majorHAnsi" w:hAnsiTheme="majorHAnsi" w:cstheme="majorHAnsi"/>
                <w:noProof/>
                <w:webHidden/>
              </w:rPr>
              <w:tab/>
            </w:r>
            <w:r w:rsidRPr="004A5250">
              <w:rPr>
                <w:rFonts w:asciiTheme="majorHAnsi" w:hAnsiTheme="majorHAnsi" w:cstheme="majorHAnsi"/>
                <w:noProof/>
                <w:webHidden/>
              </w:rPr>
              <w:fldChar w:fldCharType="begin"/>
            </w:r>
            <w:r w:rsidRPr="004A5250">
              <w:rPr>
                <w:rFonts w:asciiTheme="majorHAnsi" w:hAnsiTheme="majorHAnsi" w:cstheme="majorHAnsi"/>
                <w:noProof/>
                <w:webHidden/>
              </w:rPr>
              <w:instrText xml:space="preserve"> PAGEREF _Toc153187424 \h </w:instrText>
            </w:r>
            <w:r w:rsidRPr="004A5250">
              <w:rPr>
                <w:rFonts w:asciiTheme="majorHAnsi" w:hAnsiTheme="majorHAnsi" w:cstheme="majorHAnsi"/>
                <w:noProof/>
                <w:webHidden/>
              </w:rPr>
            </w:r>
            <w:r w:rsidRPr="004A5250">
              <w:rPr>
                <w:rFonts w:asciiTheme="majorHAnsi" w:hAnsiTheme="majorHAnsi" w:cstheme="majorHAnsi"/>
                <w:noProof/>
                <w:webHidden/>
              </w:rPr>
              <w:fldChar w:fldCharType="separate"/>
            </w:r>
            <w:r w:rsidRPr="004A5250">
              <w:rPr>
                <w:rFonts w:asciiTheme="majorHAnsi" w:hAnsiTheme="majorHAnsi" w:cstheme="majorHAnsi"/>
                <w:noProof/>
                <w:webHidden/>
              </w:rPr>
              <w:t>65</w:t>
            </w:r>
            <w:r w:rsidRPr="004A5250">
              <w:rPr>
                <w:rFonts w:asciiTheme="majorHAnsi" w:hAnsiTheme="majorHAnsi" w:cstheme="majorHAnsi"/>
                <w:noProof/>
                <w:webHidden/>
              </w:rPr>
              <w:fldChar w:fldCharType="end"/>
            </w:r>
          </w:hyperlink>
        </w:p>
        <w:p w14:paraId="3218C5D9" w14:textId="41829CCA" w:rsidR="004A5250" w:rsidRPr="004A5250" w:rsidRDefault="004A5250">
          <w:pPr>
            <w:pStyle w:val="TOC1"/>
            <w:tabs>
              <w:tab w:val="left" w:pos="660"/>
              <w:tab w:val="right" w:leader="dot" w:pos="9016"/>
            </w:tabs>
            <w:rPr>
              <w:rFonts w:asciiTheme="majorHAnsi" w:eastAsiaTheme="minorEastAsia" w:hAnsiTheme="majorHAnsi" w:cstheme="majorHAnsi"/>
              <w:noProof/>
              <w:kern w:val="0"/>
              <w:sz w:val="22"/>
              <w:szCs w:val="22"/>
              <w14:ligatures w14:val="none"/>
            </w:rPr>
          </w:pPr>
          <w:hyperlink w:anchor="_Toc153187425" w:history="1">
            <w:r w:rsidRPr="004A5250">
              <w:rPr>
                <w:rStyle w:val="Hyperlink"/>
                <w:rFonts w:asciiTheme="majorHAnsi" w:hAnsiTheme="majorHAnsi" w:cstheme="majorHAnsi"/>
                <w:noProof/>
              </w:rPr>
              <w:t>4.4</w:t>
            </w:r>
            <w:r w:rsidRPr="004A5250">
              <w:rPr>
                <w:rFonts w:asciiTheme="majorHAnsi" w:eastAsiaTheme="minorEastAsia" w:hAnsiTheme="majorHAnsi" w:cstheme="majorHAnsi"/>
                <w:noProof/>
                <w:kern w:val="0"/>
                <w:sz w:val="22"/>
                <w:szCs w:val="22"/>
                <w14:ligatures w14:val="none"/>
              </w:rPr>
              <w:tab/>
            </w:r>
            <w:r w:rsidRPr="004A5250">
              <w:rPr>
                <w:rStyle w:val="Hyperlink"/>
                <w:rFonts w:asciiTheme="majorHAnsi" w:hAnsiTheme="majorHAnsi" w:cstheme="majorHAnsi"/>
                <w:noProof/>
              </w:rPr>
              <w:t>How do inefficiencies in the indicators associated with SDGs impact the accurate assessment and measurement of progress, and what are the implications for the overall success of the framework?</w:t>
            </w:r>
            <w:r w:rsidRPr="004A5250">
              <w:rPr>
                <w:rFonts w:asciiTheme="majorHAnsi" w:hAnsiTheme="majorHAnsi" w:cstheme="majorHAnsi"/>
                <w:noProof/>
                <w:webHidden/>
              </w:rPr>
              <w:tab/>
            </w:r>
            <w:r w:rsidRPr="004A5250">
              <w:rPr>
                <w:rFonts w:asciiTheme="majorHAnsi" w:hAnsiTheme="majorHAnsi" w:cstheme="majorHAnsi"/>
                <w:noProof/>
                <w:webHidden/>
              </w:rPr>
              <w:fldChar w:fldCharType="begin"/>
            </w:r>
            <w:r w:rsidRPr="004A5250">
              <w:rPr>
                <w:rFonts w:asciiTheme="majorHAnsi" w:hAnsiTheme="majorHAnsi" w:cstheme="majorHAnsi"/>
                <w:noProof/>
                <w:webHidden/>
              </w:rPr>
              <w:instrText xml:space="preserve"> PAGEREF _Toc153187425 \h </w:instrText>
            </w:r>
            <w:r w:rsidRPr="004A5250">
              <w:rPr>
                <w:rFonts w:asciiTheme="majorHAnsi" w:hAnsiTheme="majorHAnsi" w:cstheme="majorHAnsi"/>
                <w:noProof/>
                <w:webHidden/>
              </w:rPr>
            </w:r>
            <w:r w:rsidRPr="004A5250">
              <w:rPr>
                <w:rFonts w:asciiTheme="majorHAnsi" w:hAnsiTheme="majorHAnsi" w:cstheme="majorHAnsi"/>
                <w:noProof/>
                <w:webHidden/>
              </w:rPr>
              <w:fldChar w:fldCharType="separate"/>
            </w:r>
            <w:r w:rsidRPr="004A5250">
              <w:rPr>
                <w:rFonts w:asciiTheme="majorHAnsi" w:hAnsiTheme="majorHAnsi" w:cstheme="majorHAnsi"/>
                <w:noProof/>
                <w:webHidden/>
              </w:rPr>
              <w:t>66</w:t>
            </w:r>
            <w:r w:rsidRPr="004A5250">
              <w:rPr>
                <w:rFonts w:asciiTheme="majorHAnsi" w:hAnsiTheme="majorHAnsi" w:cstheme="majorHAnsi"/>
                <w:noProof/>
                <w:webHidden/>
              </w:rPr>
              <w:fldChar w:fldCharType="end"/>
            </w:r>
          </w:hyperlink>
        </w:p>
        <w:p w14:paraId="7B6AEAA6" w14:textId="49B77403" w:rsidR="004A5250" w:rsidRPr="004A5250" w:rsidRDefault="004A5250">
          <w:pPr>
            <w:pStyle w:val="TOC1"/>
            <w:tabs>
              <w:tab w:val="left" w:pos="660"/>
              <w:tab w:val="right" w:leader="dot" w:pos="9016"/>
            </w:tabs>
            <w:rPr>
              <w:rFonts w:asciiTheme="majorHAnsi" w:eastAsiaTheme="minorEastAsia" w:hAnsiTheme="majorHAnsi" w:cstheme="majorHAnsi"/>
              <w:noProof/>
              <w:kern w:val="0"/>
              <w:sz w:val="22"/>
              <w:szCs w:val="22"/>
              <w14:ligatures w14:val="none"/>
            </w:rPr>
          </w:pPr>
          <w:hyperlink w:anchor="_Toc153187426" w:history="1">
            <w:r w:rsidRPr="004A5250">
              <w:rPr>
                <w:rStyle w:val="Hyperlink"/>
                <w:rFonts w:asciiTheme="majorHAnsi" w:hAnsiTheme="majorHAnsi" w:cstheme="majorHAnsi"/>
                <w:noProof/>
              </w:rPr>
              <w:t>4.5</w:t>
            </w:r>
            <w:r w:rsidRPr="004A5250">
              <w:rPr>
                <w:rFonts w:asciiTheme="majorHAnsi" w:eastAsiaTheme="minorEastAsia" w:hAnsiTheme="majorHAnsi" w:cstheme="majorHAnsi"/>
                <w:noProof/>
                <w:kern w:val="0"/>
                <w:sz w:val="22"/>
                <w:szCs w:val="22"/>
                <w14:ligatures w14:val="none"/>
              </w:rPr>
              <w:tab/>
            </w:r>
            <w:r w:rsidRPr="004A5250">
              <w:rPr>
                <w:rStyle w:val="Hyperlink"/>
                <w:rFonts w:asciiTheme="majorHAnsi" w:hAnsiTheme="majorHAnsi" w:cstheme="majorHAnsi"/>
                <w:noProof/>
              </w:rPr>
              <w:t>In what ways does the identified lack of a monitoring mechanism contribute to challenges in tracking and evaluating progress toward SDG goals, and what alternative mechanisms are proposed by critics?</w:t>
            </w:r>
            <w:r w:rsidRPr="004A5250">
              <w:rPr>
                <w:rFonts w:asciiTheme="majorHAnsi" w:hAnsiTheme="majorHAnsi" w:cstheme="majorHAnsi"/>
                <w:noProof/>
                <w:webHidden/>
              </w:rPr>
              <w:tab/>
            </w:r>
            <w:r w:rsidRPr="004A5250">
              <w:rPr>
                <w:rFonts w:asciiTheme="majorHAnsi" w:hAnsiTheme="majorHAnsi" w:cstheme="majorHAnsi"/>
                <w:noProof/>
                <w:webHidden/>
              </w:rPr>
              <w:fldChar w:fldCharType="begin"/>
            </w:r>
            <w:r w:rsidRPr="004A5250">
              <w:rPr>
                <w:rFonts w:asciiTheme="majorHAnsi" w:hAnsiTheme="majorHAnsi" w:cstheme="majorHAnsi"/>
                <w:noProof/>
                <w:webHidden/>
              </w:rPr>
              <w:instrText xml:space="preserve"> PAGEREF _Toc153187426 \h </w:instrText>
            </w:r>
            <w:r w:rsidRPr="004A5250">
              <w:rPr>
                <w:rFonts w:asciiTheme="majorHAnsi" w:hAnsiTheme="majorHAnsi" w:cstheme="majorHAnsi"/>
                <w:noProof/>
                <w:webHidden/>
              </w:rPr>
            </w:r>
            <w:r w:rsidRPr="004A5250">
              <w:rPr>
                <w:rFonts w:asciiTheme="majorHAnsi" w:hAnsiTheme="majorHAnsi" w:cstheme="majorHAnsi"/>
                <w:noProof/>
                <w:webHidden/>
              </w:rPr>
              <w:fldChar w:fldCharType="separate"/>
            </w:r>
            <w:r w:rsidRPr="004A5250">
              <w:rPr>
                <w:rFonts w:asciiTheme="majorHAnsi" w:hAnsiTheme="majorHAnsi" w:cstheme="majorHAnsi"/>
                <w:noProof/>
                <w:webHidden/>
              </w:rPr>
              <w:t>67</w:t>
            </w:r>
            <w:r w:rsidRPr="004A5250">
              <w:rPr>
                <w:rFonts w:asciiTheme="majorHAnsi" w:hAnsiTheme="majorHAnsi" w:cstheme="majorHAnsi"/>
                <w:noProof/>
                <w:webHidden/>
              </w:rPr>
              <w:fldChar w:fldCharType="end"/>
            </w:r>
          </w:hyperlink>
        </w:p>
        <w:p w14:paraId="4FB8D3D2" w14:textId="33F957B0" w:rsidR="004A5250" w:rsidRPr="004A5250" w:rsidRDefault="004A5250">
          <w:pPr>
            <w:pStyle w:val="TOC1"/>
            <w:tabs>
              <w:tab w:val="left" w:pos="660"/>
              <w:tab w:val="right" w:leader="dot" w:pos="9016"/>
            </w:tabs>
            <w:rPr>
              <w:rFonts w:asciiTheme="majorHAnsi" w:eastAsiaTheme="minorEastAsia" w:hAnsiTheme="majorHAnsi" w:cstheme="majorHAnsi"/>
              <w:noProof/>
              <w:kern w:val="0"/>
              <w:sz w:val="22"/>
              <w:szCs w:val="22"/>
              <w14:ligatures w14:val="none"/>
            </w:rPr>
          </w:pPr>
          <w:hyperlink w:anchor="_Toc153187427" w:history="1">
            <w:r w:rsidRPr="004A5250">
              <w:rPr>
                <w:rStyle w:val="Hyperlink"/>
                <w:rFonts w:asciiTheme="majorHAnsi" w:hAnsiTheme="majorHAnsi" w:cstheme="majorHAnsi"/>
                <w:noProof/>
              </w:rPr>
              <w:t>4.6</w:t>
            </w:r>
            <w:r w:rsidRPr="004A5250">
              <w:rPr>
                <w:rFonts w:asciiTheme="majorHAnsi" w:eastAsiaTheme="minorEastAsia" w:hAnsiTheme="majorHAnsi" w:cstheme="majorHAnsi"/>
                <w:noProof/>
                <w:kern w:val="0"/>
                <w:sz w:val="22"/>
                <w:szCs w:val="22"/>
                <w14:ligatures w14:val="none"/>
              </w:rPr>
              <w:tab/>
            </w:r>
            <w:r w:rsidRPr="004A5250">
              <w:rPr>
                <w:rStyle w:val="Hyperlink"/>
                <w:rFonts w:asciiTheme="majorHAnsi" w:hAnsiTheme="majorHAnsi" w:cstheme="majorHAnsi"/>
                <w:noProof/>
              </w:rPr>
              <w:t>How does the perceived lack of accountability within the SDG framework hinder the commitment of nations and stakeholders, and what accountability mechanisms are suggested for improvement?</w:t>
            </w:r>
            <w:r w:rsidRPr="004A5250">
              <w:rPr>
                <w:rFonts w:asciiTheme="majorHAnsi" w:hAnsiTheme="majorHAnsi" w:cstheme="majorHAnsi"/>
                <w:noProof/>
                <w:webHidden/>
              </w:rPr>
              <w:tab/>
            </w:r>
            <w:r w:rsidRPr="004A5250">
              <w:rPr>
                <w:rFonts w:asciiTheme="majorHAnsi" w:hAnsiTheme="majorHAnsi" w:cstheme="majorHAnsi"/>
                <w:noProof/>
                <w:webHidden/>
              </w:rPr>
              <w:fldChar w:fldCharType="begin"/>
            </w:r>
            <w:r w:rsidRPr="004A5250">
              <w:rPr>
                <w:rFonts w:asciiTheme="majorHAnsi" w:hAnsiTheme="majorHAnsi" w:cstheme="majorHAnsi"/>
                <w:noProof/>
                <w:webHidden/>
              </w:rPr>
              <w:instrText xml:space="preserve"> PAGEREF _Toc153187427 \h </w:instrText>
            </w:r>
            <w:r w:rsidRPr="004A5250">
              <w:rPr>
                <w:rFonts w:asciiTheme="majorHAnsi" w:hAnsiTheme="majorHAnsi" w:cstheme="majorHAnsi"/>
                <w:noProof/>
                <w:webHidden/>
              </w:rPr>
            </w:r>
            <w:r w:rsidRPr="004A5250">
              <w:rPr>
                <w:rFonts w:asciiTheme="majorHAnsi" w:hAnsiTheme="majorHAnsi" w:cstheme="majorHAnsi"/>
                <w:noProof/>
                <w:webHidden/>
              </w:rPr>
              <w:fldChar w:fldCharType="separate"/>
            </w:r>
            <w:r w:rsidRPr="004A5250">
              <w:rPr>
                <w:rFonts w:asciiTheme="majorHAnsi" w:hAnsiTheme="majorHAnsi" w:cstheme="majorHAnsi"/>
                <w:noProof/>
                <w:webHidden/>
              </w:rPr>
              <w:t>68</w:t>
            </w:r>
            <w:r w:rsidRPr="004A5250">
              <w:rPr>
                <w:rFonts w:asciiTheme="majorHAnsi" w:hAnsiTheme="majorHAnsi" w:cstheme="majorHAnsi"/>
                <w:noProof/>
                <w:webHidden/>
              </w:rPr>
              <w:fldChar w:fldCharType="end"/>
            </w:r>
          </w:hyperlink>
        </w:p>
        <w:p w14:paraId="00A30053" w14:textId="205A4778" w:rsidR="004A5250" w:rsidRPr="004A5250" w:rsidRDefault="004A5250">
          <w:pPr>
            <w:pStyle w:val="TOC1"/>
            <w:tabs>
              <w:tab w:val="left" w:pos="660"/>
              <w:tab w:val="right" w:leader="dot" w:pos="9016"/>
            </w:tabs>
            <w:rPr>
              <w:rFonts w:asciiTheme="majorHAnsi" w:eastAsiaTheme="minorEastAsia" w:hAnsiTheme="majorHAnsi" w:cstheme="majorHAnsi"/>
              <w:noProof/>
              <w:kern w:val="0"/>
              <w:sz w:val="22"/>
              <w:szCs w:val="22"/>
              <w14:ligatures w14:val="none"/>
            </w:rPr>
          </w:pPr>
          <w:hyperlink w:anchor="_Toc153187428" w:history="1">
            <w:r w:rsidRPr="004A5250">
              <w:rPr>
                <w:rStyle w:val="Hyperlink"/>
                <w:rFonts w:asciiTheme="majorHAnsi" w:hAnsiTheme="majorHAnsi" w:cstheme="majorHAnsi"/>
                <w:noProof/>
              </w:rPr>
              <w:t>4.7</w:t>
            </w:r>
            <w:r w:rsidRPr="004A5250">
              <w:rPr>
                <w:rFonts w:asciiTheme="majorHAnsi" w:eastAsiaTheme="minorEastAsia" w:hAnsiTheme="majorHAnsi" w:cstheme="majorHAnsi"/>
                <w:noProof/>
                <w:kern w:val="0"/>
                <w:sz w:val="22"/>
                <w:szCs w:val="22"/>
                <w14:ligatures w14:val="none"/>
              </w:rPr>
              <w:tab/>
            </w:r>
            <w:r w:rsidRPr="004A5250">
              <w:rPr>
                <w:rStyle w:val="Hyperlink"/>
                <w:rFonts w:asciiTheme="majorHAnsi" w:hAnsiTheme="majorHAnsi" w:cstheme="majorHAnsi"/>
                <w:noProof/>
              </w:rPr>
              <w:t>In what aspects does the criticism regarding the wrong concept of sustainability challenge the foundational principles of the SDGs, and how might a redefined concept enhance the framework?</w:t>
            </w:r>
            <w:r w:rsidRPr="004A5250">
              <w:rPr>
                <w:rFonts w:asciiTheme="majorHAnsi" w:hAnsiTheme="majorHAnsi" w:cstheme="majorHAnsi"/>
                <w:noProof/>
                <w:webHidden/>
              </w:rPr>
              <w:tab/>
            </w:r>
            <w:r w:rsidRPr="004A5250">
              <w:rPr>
                <w:rFonts w:asciiTheme="majorHAnsi" w:hAnsiTheme="majorHAnsi" w:cstheme="majorHAnsi"/>
                <w:noProof/>
                <w:webHidden/>
              </w:rPr>
              <w:fldChar w:fldCharType="begin"/>
            </w:r>
            <w:r w:rsidRPr="004A5250">
              <w:rPr>
                <w:rFonts w:asciiTheme="majorHAnsi" w:hAnsiTheme="majorHAnsi" w:cstheme="majorHAnsi"/>
                <w:noProof/>
                <w:webHidden/>
              </w:rPr>
              <w:instrText xml:space="preserve"> PAGEREF _Toc153187428 \h </w:instrText>
            </w:r>
            <w:r w:rsidRPr="004A5250">
              <w:rPr>
                <w:rFonts w:asciiTheme="majorHAnsi" w:hAnsiTheme="majorHAnsi" w:cstheme="majorHAnsi"/>
                <w:noProof/>
                <w:webHidden/>
              </w:rPr>
            </w:r>
            <w:r w:rsidRPr="004A5250">
              <w:rPr>
                <w:rFonts w:asciiTheme="majorHAnsi" w:hAnsiTheme="majorHAnsi" w:cstheme="majorHAnsi"/>
                <w:noProof/>
                <w:webHidden/>
              </w:rPr>
              <w:fldChar w:fldCharType="separate"/>
            </w:r>
            <w:r w:rsidRPr="004A5250">
              <w:rPr>
                <w:rFonts w:asciiTheme="majorHAnsi" w:hAnsiTheme="majorHAnsi" w:cstheme="majorHAnsi"/>
                <w:noProof/>
                <w:webHidden/>
              </w:rPr>
              <w:t>69</w:t>
            </w:r>
            <w:r w:rsidRPr="004A5250">
              <w:rPr>
                <w:rFonts w:asciiTheme="majorHAnsi" w:hAnsiTheme="majorHAnsi" w:cstheme="majorHAnsi"/>
                <w:noProof/>
                <w:webHidden/>
              </w:rPr>
              <w:fldChar w:fldCharType="end"/>
            </w:r>
          </w:hyperlink>
        </w:p>
        <w:p w14:paraId="08502C40" w14:textId="15668F60" w:rsidR="004A5250" w:rsidRPr="004A5250" w:rsidRDefault="004A5250">
          <w:pPr>
            <w:pStyle w:val="TOC1"/>
            <w:tabs>
              <w:tab w:val="left" w:pos="660"/>
              <w:tab w:val="right" w:leader="dot" w:pos="9016"/>
            </w:tabs>
            <w:rPr>
              <w:rFonts w:asciiTheme="majorHAnsi" w:eastAsiaTheme="minorEastAsia" w:hAnsiTheme="majorHAnsi" w:cstheme="majorHAnsi"/>
              <w:noProof/>
              <w:kern w:val="0"/>
              <w:sz w:val="22"/>
              <w:szCs w:val="22"/>
              <w14:ligatures w14:val="none"/>
            </w:rPr>
          </w:pPr>
          <w:hyperlink w:anchor="_Toc153187429" w:history="1">
            <w:r w:rsidRPr="004A5250">
              <w:rPr>
                <w:rStyle w:val="Hyperlink"/>
                <w:rFonts w:asciiTheme="majorHAnsi" w:hAnsiTheme="majorHAnsi" w:cstheme="majorHAnsi"/>
                <w:noProof/>
              </w:rPr>
              <w:t>4.8</w:t>
            </w:r>
            <w:r w:rsidRPr="004A5250">
              <w:rPr>
                <w:rFonts w:asciiTheme="majorHAnsi" w:eastAsiaTheme="minorEastAsia" w:hAnsiTheme="majorHAnsi" w:cstheme="majorHAnsi"/>
                <w:noProof/>
                <w:kern w:val="0"/>
                <w:sz w:val="22"/>
                <w:szCs w:val="22"/>
                <w14:ligatures w14:val="none"/>
              </w:rPr>
              <w:tab/>
            </w:r>
            <w:r w:rsidRPr="004A5250">
              <w:rPr>
                <w:rStyle w:val="Hyperlink"/>
                <w:rFonts w:asciiTheme="majorHAnsi" w:hAnsiTheme="majorHAnsi" w:cstheme="majorHAnsi"/>
                <w:noProof/>
              </w:rPr>
              <w:t>What are the consequences of the non-legally binding nature of the SDGs on the commitment and compliance of nations, and what arguments exist for or against making the SDGs legally binding?</w:t>
            </w:r>
            <w:r w:rsidRPr="004A5250">
              <w:rPr>
                <w:rFonts w:asciiTheme="majorHAnsi" w:hAnsiTheme="majorHAnsi" w:cstheme="majorHAnsi"/>
                <w:noProof/>
                <w:webHidden/>
              </w:rPr>
              <w:tab/>
            </w:r>
            <w:r w:rsidRPr="004A5250">
              <w:rPr>
                <w:rFonts w:asciiTheme="majorHAnsi" w:hAnsiTheme="majorHAnsi" w:cstheme="majorHAnsi"/>
                <w:noProof/>
                <w:webHidden/>
              </w:rPr>
              <w:fldChar w:fldCharType="begin"/>
            </w:r>
            <w:r w:rsidRPr="004A5250">
              <w:rPr>
                <w:rFonts w:asciiTheme="majorHAnsi" w:hAnsiTheme="majorHAnsi" w:cstheme="majorHAnsi"/>
                <w:noProof/>
                <w:webHidden/>
              </w:rPr>
              <w:instrText xml:space="preserve"> PAGEREF _Toc153187429 \h </w:instrText>
            </w:r>
            <w:r w:rsidRPr="004A5250">
              <w:rPr>
                <w:rFonts w:asciiTheme="majorHAnsi" w:hAnsiTheme="majorHAnsi" w:cstheme="majorHAnsi"/>
                <w:noProof/>
                <w:webHidden/>
              </w:rPr>
            </w:r>
            <w:r w:rsidRPr="004A5250">
              <w:rPr>
                <w:rFonts w:asciiTheme="majorHAnsi" w:hAnsiTheme="majorHAnsi" w:cstheme="majorHAnsi"/>
                <w:noProof/>
                <w:webHidden/>
              </w:rPr>
              <w:fldChar w:fldCharType="separate"/>
            </w:r>
            <w:r w:rsidRPr="004A5250">
              <w:rPr>
                <w:rFonts w:asciiTheme="majorHAnsi" w:hAnsiTheme="majorHAnsi" w:cstheme="majorHAnsi"/>
                <w:noProof/>
                <w:webHidden/>
              </w:rPr>
              <w:t>69</w:t>
            </w:r>
            <w:r w:rsidRPr="004A5250">
              <w:rPr>
                <w:rFonts w:asciiTheme="majorHAnsi" w:hAnsiTheme="majorHAnsi" w:cstheme="majorHAnsi"/>
                <w:noProof/>
                <w:webHidden/>
              </w:rPr>
              <w:fldChar w:fldCharType="end"/>
            </w:r>
          </w:hyperlink>
        </w:p>
        <w:p w14:paraId="06BE3A4B" w14:textId="6B30D08C" w:rsidR="004A5250" w:rsidRPr="004A5250" w:rsidRDefault="004A5250">
          <w:pPr>
            <w:pStyle w:val="TOC1"/>
            <w:tabs>
              <w:tab w:val="left" w:pos="660"/>
              <w:tab w:val="right" w:leader="dot" w:pos="9016"/>
            </w:tabs>
            <w:rPr>
              <w:rFonts w:asciiTheme="majorHAnsi" w:eastAsiaTheme="minorEastAsia" w:hAnsiTheme="majorHAnsi" w:cstheme="majorHAnsi"/>
              <w:noProof/>
              <w:kern w:val="0"/>
              <w:sz w:val="22"/>
              <w:szCs w:val="22"/>
              <w14:ligatures w14:val="none"/>
            </w:rPr>
          </w:pPr>
          <w:hyperlink w:anchor="_Toc153187430" w:history="1">
            <w:r w:rsidRPr="004A5250">
              <w:rPr>
                <w:rStyle w:val="Hyperlink"/>
                <w:rFonts w:asciiTheme="majorHAnsi" w:hAnsiTheme="majorHAnsi" w:cstheme="majorHAnsi"/>
                <w:noProof/>
              </w:rPr>
              <w:t>4.9</w:t>
            </w:r>
            <w:r w:rsidRPr="004A5250">
              <w:rPr>
                <w:rFonts w:asciiTheme="majorHAnsi" w:eastAsiaTheme="minorEastAsia" w:hAnsiTheme="majorHAnsi" w:cstheme="majorHAnsi"/>
                <w:noProof/>
                <w:kern w:val="0"/>
                <w:sz w:val="22"/>
                <w:szCs w:val="22"/>
                <w14:ligatures w14:val="none"/>
              </w:rPr>
              <w:tab/>
            </w:r>
            <w:r w:rsidRPr="004A5250">
              <w:rPr>
                <w:rStyle w:val="Hyperlink"/>
                <w:rFonts w:asciiTheme="majorHAnsi" w:hAnsiTheme="majorHAnsi" w:cstheme="majorHAnsi"/>
                <w:noProof/>
              </w:rPr>
              <w:t>How does the criticism related to the lack of specification impact the clarity and precision required for effective implementation, and what recommendations are proposed to enhance specificity?</w:t>
            </w:r>
            <w:r w:rsidRPr="004A5250">
              <w:rPr>
                <w:rFonts w:asciiTheme="majorHAnsi" w:hAnsiTheme="majorHAnsi" w:cstheme="majorHAnsi"/>
                <w:noProof/>
                <w:webHidden/>
              </w:rPr>
              <w:tab/>
            </w:r>
            <w:r w:rsidRPr="004A5250">
              <w:rPr>
                <w:rFonts w:asciiTheme="majorHAnsi" w:hAnsiTheme="majorHAnsi" w:cstheme="majorHAnsi"/>
                <w:noProof/>
                <w:webHidden/>
              </w:rPr>
              <w:fldChar w:fldCharType="begin"/>
            </w:r>
            <w:r w:rsidRPr="004A5250">
              <w:rPr>
                <w:rFonts w:asciiTheme="majorHAnsi" w:hAnsiTheme="majorHAnsi" w:cstheme="majorHAnsi"/>
                <w:noProof/>
                <w:webHidden/>
              </w:rPr>
              <w:instrText xml:space="preserve"> PAGEREF _Toc153187430 \h </w:instrText>
            </w:r>
            <w:r w:rsidRPr="004A5250">
              <w:rPr>
                <w:rFonts w:asciiTheme="majorHAnsi" w:hAnsiTheme="majorHAnsi" w:cstheme="majorHAnsi"/>
                <w:noProof/>
                <w:webHidden/>
              </w:rPr>
            </w:r>
            <w:r w:rsidRPr="004A5250">
              <w:rPr>
                <w:rFonts w:asciiTheme="majorHAnsi" w:hAnsiTheme="majorHAnsi" w:cstheme="majorHAnsi"/>
                <w:noProof/>
                <w:webHidden/>
              </w:rPr>
              <w:fldChar w:fldCharType="separate"/>
            </w:r>
            <w:r w:rsidRPr="004A5250">
              <w:rPr>
                <w:rFonts w:asciiTheme="majorHAnsi" w:hAnsiTheme="majorHAnsi" w:cstheme="majorHAnsi"/>
                <w:noProof/>
                <w:webHidden/>
              </w:rPr>
              <w:t>70</w:t>
            </w:r>
            <w:r w:rsidRPr="004A5250">
              <w:rPr>
                <w:rFonts w:asciiTheme="majorHAnsi" w:hAnsiTheme="majorHAnsi" w:cstheme="majorHAnsi"/>
                <w:noProof/>
                <w:webHidden/>
              </w:rPr>
              <w:fldChar w:fldCharType="end"/>
            </w:r>
          </w:hyperlink>
        </w:p>
        <w:p w14:paraId="4ACF0036" w14:textId="3A5E6E16" w:rsidR="004A5250" w:rsidRPr="004A5250" w:rsidRDefault="004A5250">
          <w:pPr>
            <w:pStyle w:val="TOC1"/>
            <w:tabs>
              <w:tab w:val="right" w:leader="dot" w:pos="9016"/>
            </w:tabs>
            <w:rPr>
              <w:rFonts w:asciiTheme="majorHAnsi" w:eastAsiaTheme="minorEastAsia" w:hAnsiTheme="majorHAnsi" w:cstheme="majorHAnsi"/>
              <w:noProof/>
              <w:kern w:val="0"/>
              <w:sz w:val="22"/>
              <w:szCs w:val="22"/>
              <w14:ligatures w14:val="none"/>
            </w:rPr>
          </w:pPr>
          <w:hyperlink w:anchor="_Toc153187431" w:history="1">
            <w:r w:rsidRPr="004A5250">
              <w:rPr>
                <w:rStyle w:val="Hyperlink"/>
                <w:rFonts w:asciiTheme="majorHAnsi" w:hAnsiTheme="majorHAnsi" w:cstheme="majorHAnsi"/>
                <w:noProof/>
              </w:rPr>
              <w:t>CHAPTER 5: CONCLUSION</w:t>
            </w:r>
            <w:r w:rsidRPr="004A5250">
              <w:rPr>
                <w:rFonts w:asciiTheme="majorHAnsi" w:hAnsiTheme="majorHAnsi" w:cstheme="majorHAnsi"/>
                <w:noProof/>
                <w:webHidden/>
              </w:rPr>
              <w:tab/>
            </w:r>
            <w:r w:rsidRPr="004A5250">
              <w:rPr>
                <w:rFonts w:asciiTheme="majorHAnsi" w:hAnsiTheme="majorHAnsi" w:cstheme="majorHAnsi"/>
                <w:noProof/>
                <w:webHidden/>
              </w:rPr>
              <w:fldChar w:fldCharType="begin"/>
            </w:r>
            <w:r w:rsidRPr="004A5250">
              <w:rPr>
                <w:rFonts w:asciiTheme="majorHAnsi" w:hAnsiTheme="majorHAnsi" w:cstheme="majorHAnsi"/>
                <w:noProof/>
                <w:webHidden/>
              </w:rPr>
              <w:instrText xml:space="preserve"> PAGEREF _Toc153187431 \h </w:instrText>
            </w:r>
            <w:r w:rsidRPr="004A5250">
              <w:rPr>
                <w:rFonts w:asciiTheme="majorHAnsi" w:hAnsiTheme="majorHAnsi" w:cstheme="majorHAnsi"/>
                <w:noProof/>
                <w:webHidden/>
              </w:rPr>
            </w:r>
            <w:r w:rsidRPr="004A5250">
              <w:rPr>
                <w:rFonts w:asciiTheme="majorHAnsi" w:hAnsiTheme="majorHAnsi" w:cstheme="majorHAnsi"/>
                <w:noProof/>
                <w:webHidden/>
              </w:rPr>
              <w:fldChar w:fldCharType="separate"/>
            </w:r>
            <w:r w:rsidRPr="004A5250">
              <w:rPr>
                <w:rFonts w:asciiTheme="majorHAnsi" w:hAnsiTheme="majorHAnsi" w:cstheme="majorHAnsi"/>
                <w:noProof/>
                <w:webHidden/>
              </w:rPr>
              <w:t>71</w:t>
            </w:r>
            <w:r w:rsidRPr="004A5250">
              <w:rPr>
                <w:rFonts w:asciiTheme="majorHAnsi" w:hAnsiTheme="majorHAnsi" w:cstheme="majorHAnsi"/>
                <w:noProof/>
                <w:webHidden/>
              </w:rPr>
              <w:fldChar w:fldCharType="end"/>
            </w:r>
          </w:hyperlink>
        </w:p>
        <w:p w14:paraId="0247F937" w14:textId="7610FBAE" w:rsidR="004A5250" w:rsidRPr="004A5250" w:rsidRDefault="004A5250">
          <w:pPr>
            <w:pStyle w:val="TOC1"/>
            <w:tabs>
              <w:tab w:val="right" w:leader="dot" w:pos="9016"/>
            </w:tabs>
            <w:rPr>
              <w:rFonts w:asciiTheme="majorHAnsi" w:eastAsiaTheme="minorEastAsia" w:hAnsiTheme="majorHAnsi" w:cstheme="majorHAnsi"/>
              <w:noProof/>
              <w:kern w:val="0"/>
              <w:sz w:val="22"/>
              <w:szCs w:val="22"/>
              <w14:ligatures w14:val="none"/>
            </w:rPr>
          </w:pPr>
          <w:hyperlink w:anchor="_Toc153187432" w:history="1">
            <w:r w:rsidRPr="004A5250">
              <w:rPr>
                <w:rStyle w:val="Hyperlink"/>
                <w:rFonts w:asciiTheme="majorHAnsi" w:hAnsiTheme="majorHAnsi" w:cstheme="majorHAnsi"/>
                <w:noProof/>
              </w:rPr>
              <w:t>REFERENCES</w:t>
            </w:r>
            <w:r w:rsidRPr="004A5250">
              <w:rPr>
                <w:rFonts w:asciiTheme="majorHAnsi" w:hAnsiTheme="majorHAnsi" w:cstheme="majorHAnsi"/>
                <w:noProof/>
                <w:webHidden/>
              </w:rPr>
              <w:tab/>
            </w:r>
            <w:r w:rsidRPr="004A5250">
              <w:rPr>
                <w:rFonts w:asciiTheme="majorHAnsi" w:hAnsiTheme="majorHAnsi" w:cstheme="majorHAnsi"/>
                <w:noProof/>
                <w:webHidden/>
              </w:rPr>
              <w:fldChar w:fldCharType="begin"/>
            </w:r>
            <w:r w:rsidRPr="004A5250">
              <w:rPr>
                <w:rFonts w:asciiTheme="majorHAnsi" w:hAnsiTheme="majorHAnsi" w:cstheme="majorHAnsi"/>
                <w:noProof/>
                <w:webHidden/>
              </w:rPr>
              <w:instrText xml:space="preserve"> PAGEREF _Toc153187432 \h </w:instrText>
            </w:r>
            <w:r w:rsidRPr="004A5250">
              <w:rPr>
                <w:rFonts w:asciiTheme="majorHAnsi" w:hAnsiTheme="majorHAnsi" w:cstheme="majorHAnsi"/>
                <w:noProof/>
                <w:webHidden/>
              </w:rPr>
            </w:r>
            <w:r w:rsidRPr="004A5250">
              <w:rPr>
                <w:rFonts w:asciiTheme="majorHAnsi" w:hAnsiTheme="majorHAnsi" w:cstheme="majorHAnsi"/>
                <w:noProof/>
                <w:webHidden/>
              </w:rPr>
              <w:fldChar w:fldCharType="separate"/>
            </w:r>
            <w:r w:rsidRPr="004A5250">
              <w:rPr>
                <w:rFonts w:asciiTheme="majorHAnsi" w:hAnsiTheme="majorHAnsi" w:cstheme="majorHAnsi"/>
                <w:noProof/>
                <w:webHidden/>
              </w:rPr>
              <w:t>75</w:t>
            </w:r>
            <w:r w:rsidRPr="004A5250">
              <w:rPr>
                <w:rFonts w:asciiTheme="majorHAnsi" w:hAnsiTheme="majorHAnsi" w:cstheme="majorHAnsi"/>
                <w:noProof/>
                <w:webHidden/>
              </w:rPr>
              <w:fldChar w:fldCharType="end"/>
            </w:r>
          </w:hyperlink>
        </w:p>
        <w:p w14:paraId="1E3069D5" w14:textId="5CEC26F4" w:rsidR="004A5250" w:rsidRPr="004A5250" w:rsidRDefault="004A5250">
          <w:pPr>
            <w:pStyle w:val="TOC1"/>
            <w:tabs>
              <w:tab w:val="right" w:leader="dot" w:pos="9016"/>
            </w:tabs>
            <w:rPr>
              <w:rFonts w:asciiTheme="majorHAnsi" w:eastAsiaTheme="minorEastAsia" w:hAnsiTheme="majorHAnsi" w:cstheme="majorHAnsi"/>
              <w:noProof/>
              <w:kern w:val="0"/>
              <w:sz w:val="22"/>
              <w:szCs w:val="22"/>
              <w14:ligatures w14:val="none"/>
            </w:rPr>
          </w:pPr>
          <w:hyperlink w:anchor="_Toc153187433" w:history="1">
            <w:r w:rsidRPr="004A5250">
              <w:rPr>
                <w:rStyle w:val="Hyperlink"/>
                <w:rFonts w:asciiTheme="majorHAnsi" w:hAnsiTheme="majorHAnsi" w:cstheme="majorHAnsi"/>
                <w:noProof/>
              </w:rPr>
              <w:t>ANNEXES</w:t>
            </w:r>
            <w:r w:rsidRPr="004A5250">
              <w:rPr>
                <w:rFonts w:asciiTheme="majorHAnsi" w:hAnsiTheme="majorHAnsi" w:cstheme="majorHAnsi"/>
                <w:noProof/>
                <w:webHidden/>
              </w:rPr>
              <w:tab/>
            </w:r>
            <w:r w:rsidRPr="004A5250">
              <w:rPr>
                <w:rFonts w:asciiTheme="majorHAnsi" w:hAnsiTheme="majorHAnsi" w:cstheme="majorHAnsi"/>
                <w:noProof/>
                <w:webHidden/>
              </w:rPr>
              <w:fldChar w:fldCharType="begin"/>
            </w:r>
            <w:r w:rsidRPr="004A5250">
              <w:rPr>
                <w:rFonts w:asciiTheme="majorHAnsi" w:hAnsiTheme="majorHAnsi" w:cstheme="majorHAnsi"/>
                <w:noProof/>
                <w:webHidden/>
              </w:rPr>
              <w:instrText xml:space="preserve"> PAGEREF _Toc153187433 \h </w:instrText>
            </w:r>
            <w:r w:rsidRPr="004A5250">
              <w:rPr>
                <w:rFonts w:asciiTheme="majorHAnsi" w:hAnsiTheme="majorHAnsi" w:cstheme="majorHAnsi"/>
                <w:noProof/>
                <w:webHidden/>
              </w:rPr>
            </w:r>
            <w:r w:rsidRPr="004A5250">
              <w:rPr>
                <w:rFonts w:asciiTheme="majorHAnsi" w:hAnsiTheme="majorHAnsi" w:cstheme="majorHAnsi"/>
                <w:noProof/>
                <w:webHidden/>
              </w:rPr>
              <w:fldChar w:fldCharType="separate"/>
            </w:r>
            <w:r w:rsidRPr="004A5250">
              <w:rPr>
                <w:rFonts w:asciiTheme="majorHAnsi" w:hAnsiTheme="majorHAnsi" w:cstheme="majorHAnsi"/>
                <w:noProof/>
                <w:webHidden/>
              </w:rPr>
              <w:t>88</w:t>
            </w:r>
            <w:r w:rsidRPr="004A5250">
              <w:rPr>
                <w:rFonts w:asciiTheme="majorHAnsi" w:hAnsiTheme="majorHAnsi" w:cstheme="majorHAnsi"/>
                <w:noProof/>
                <w:webHidden/>
              </w:rPr>
              <w:fldChar w:fldCharType="end"/>
            </w:r>
          </w:hyperlink>
        </w:p>
        <w:p w14:paraId="4258C25C" w14:textId="1FF2A469" w:rsidR="004A5250" w:rsidRPr="004A5250" w:rsidRDefault="004A5250">
          <w:pPr>
            <w:pStyle w:val="TOC2"/>
            <w:tabs>
              <w:tab w:val="left" w:pos="660"/>
              <w:tab w:val="right" w:leader="dot" w:pos="9016"/>
            </w:tabs>
            <w:rPr>
              <w:rFonts w:asciiTheme="majorHAnsi" w:eastAsiaTheme="minorEastAsia" w:hAnsiTheme="majorHAnsi" w:cstheme="majorHAnsi"/>
              <w:noProof/>
              <w:kern w:val="0"/>
              <w:sz w:val="22"/>
              <w:szCs w:val="22"/>
              <w14:ligatures w14:val="none"/>
            </w:rPr>
          </w:pPr>
          <w:hyperlink w:anchor="_Toc153187434" w:history="1">
            <w:r w:rsidRPr="004A5250">
              <w:rPr>
                <w:rStyle w:val="Hyperlink"/>
                <w:rFonts w:asciiTheme="majorHAnsi" w:hAnsiTheme="majorHAnsi" w:cstheme="majorHAnsi"/>
                <w:noProof/>
                <w:lang w:val="en-GB"/>
              </w:rPr>
              <w:t>1.</w:t>
            </w:r>
            <w:r w:rsidRPr="004A5250">
              <w:rPr>
                <w:rFonts w:asciiTheme="majorHAnsi" w:eastAsiaTheme="minorEastAsia" w:hAnsiTheme="majorHAnsi" w:cstheme="majorHAnsi"/>
                <w:noProof/>
                <w:kern w:val="0"/>
                <w:sz w:val="22"/>
                <w:szCs w:val="22"/>
                <w14:ligatures w14:val="none"/>
              </w:rPr>
              <w:tab/>
            </w:r>
            <w:r w:rsidRPr="004A5250">
              <w:rPr>
                <w:rStyle w:val="Hyperlink"/>
                <w:rFonts w:asciiTheme="majorHAnsi" w:hAnsiTheme="majorHAnsi" w:cstheme="majorHAnsi"/>
                <w:noProof/>
                <w:lang w:val="en-GB"/>
              </w:rPr>
              <w:t>COLLECTED DATA</w:t>
            </w:r>
            <w:r w:rsidRPr="004A5250">
              <w:rPr>
                <w:rFonts w:asciiTheme="majorHAnsi" w:hAnsiTheme="majorHAnsi" w:cstheme="majorHAnsi"/>
                <w:noProof/>
                <w:webHidden/>
              </w:rPr>
              <w:tab/>
            </w:r>
            <w:r w:rsidRPr="004A5250">
              <w:rPr>
                <w:rFonts w:asciiTheme="majorHAnsi" w:hAnsiTheme="majorHAnsi" w:cstheme="majorHAnsi"/>
                <w:noProof/>
                <w:webHidden/>
              </w:rPr>
              <w:fldChar w:fldCharType="begin"/>
            </w:r>
            <w:r w:rsidRPr="004A5250">
              <w:rPr>
                <w:rFonts w:asciiTheme="majorHAnsi" w:hAnsiTheme="majorHAnsi" w:cstheme="majorHAnsi"/>
                <w:noProof/>
                <w:webHidden/>
              </w:rPr>
              <w:instrText xml:space="preserve"> PAGEREF _Toc153187434 \h </w:instrText>
            </w:r>
            <w:r w:rsidRPr="004A5250">
              <w:rPr>
                <w:rFonts w:asciiTheme="majorHAnsi" w:hAnsiTheme="majorHAnsi" w:cstheme="majorHAnsi"/>
                <w:noProof/>
                <w:webHidden/>
              </w:rPr>
            </w:r>
            <w:r w:rsidRPr="004A5250">
              <w:rPr>
                <w:rFonts w:asciiTheme="majorHAnsi" w:hAnsiTheme="majorHAnsi" w:cstheme="majorHAnsi"/>
                <w:noProof/>
                <w:webHidden/>
              </w:rPr>
              <w:fldChar w:fldCharType="separate"/>
            </w:r>
            <w:r w:rsidRPr="004A5250">
              <w:rPr>
                <w:rFonts w:asciiTheme="majorHAnsi" w:hAnsiTheme="majorHAnsi" w:cstheme="majorHAnsi"/>
                <w:noProof/>
                <w:webHidden/>
              </w:rPr>
              <w:t>89</w:t>
            </w:r>
            <w:r w:rsidRPr="004A5250">
              <w:rPr>
                <w:rFonts w:asciiTheme="majorHAnsi" w:hAnsiTheme="majorHAnsi" w:cstheme="majorHAnsi"/>
                <w:noProof/>
                <w:webHidden/>
              </w:rPr>
              <w:fldChar w:fldCharType="end"/>
            </w:r>
          </w:hyperlink>
        </w:p>
        <w:p w14:paraId="52CF1802" w14:textId="622513D1" w:rsidR="00365466" w:rsidRPr="004A5250" w:rsidRDefault="00365466">
          <w:pPr>
            <w:rPr>
              <w:rFonts w:asciiTheme="majorHAnsi" w:hAnsiTheme="majorHAnsi" w:cstheme="majorHAnsi"/>
            </w:rPr>
          </w:pPr>
          <w:r w:rsidRPr="004A5250">
            <w:rPr>
              <w:rFonts w:asciiTheme="majorHAnsi" w:hAnsiTheme="majorHAnsi" w:cstheme="majorHAnsi"/>
              <w:noProof/>
            </w:rPr>
            <w:fldChar w:fldCharType="end"/>
          </w:r>
        </w:p>
      </w:sdtContent>
    </w:sdt>
    <w:p w14:paraId="49BA9ACE" w14:textId="77777777" w:rsidR="00365466" w:rsidRPr="004A5250" w:rsidRDefault="00365466" w:rsidP="003B2CAA">
      <w:pPr>
        <w:rPr>
          <w:rFonts w:asciiTheme="majorHAnsi" w:hAnsiTheme="majorHAnsi" w:cstheme="majorHAnsi"/>
          <w:lang w:val="en-GB"/>
        </w:rPr>
      </w:pPr>
    </w:p>
    <w:p w14:paraId="6973ADC9" w14:textId="15DEF6BA" w:rsidR="003B2CAA" w:rsidRPr="004A5250" w:rsidRDefault="003B2CAA" w:rsidP="003B2CAA">
      <w:pPr>
        <w:rPr>
          <w:rFonts w:asciiTheme="majorHAnsi" w:hAnsiTheme="majorHAnsi" w:cstheme="majorHAnsi"/>
          <w:lang w:val="en-GB"/>
        </w:rPr>
      </w:pPr>
    </w:p>
    <w:p w14:paraId="25ABF6F8" w14:textId="512E40D0" w:rsidR="003B2CAA" w:rsidRPr="004A5250" w:rsidRDefault="003B2CAA" w:rsidP="003B2CAA">
      <w:pPr>
        <w:rPr>
          <w:rFonts w:asciiTheme="majorHAnsi" w:hAnsiTheme="majorHAnsi" w:cstheme="majorHAnsi"/>
          <w:lang w:val="en-GB"/>
        </w:rPr>
      </w:pPr>
    </w:p>
    <w:p w14:paraId="767958A8" w14:textId="284B10DB" w:rsidR="003B2CAA" w:rsidRPr="004A5250" w:rsidRDefault="003B2CAA" w:rsidP="003B2CAA">
      <w:pPr>
        <w:rPr>
          <w:rFonts w:asciiTheme="majorHAnsi" w:hAnsiTheme="majorHAnsi" w:cstheme="majorHAnsi"/>
          <w:lang w:val="en-GB"/>
        </w:rPr>
      </w:pPr>
    </w:p>
    <w:p w14:paraId="62D263B8" w14:textId="3C487298" w:rsidR="003B2CAA" w:rsidRPr="004A5250" w:rsidRDefault="003B2CAA" w:rsidP="003B2CAA">
      <w:pPr>
        <w:rPr>
          <w:rFonts w:asciiTheme="majorHAnsi" w:hAnsiTheme="majorHAnsi" w:cstheme="majorHAnsi"/>
          <w:lang w:val="en-GB"/>
        </w:rPr>
      </w:pPr>
    </w:p>
    <w:p w14:paraId="42610883" w14:textId="1F905485" w:rsidR="003B2CAA" w:rsidRPr="004A5250" w:rsidRDefault="003B2CAA" w:rsidP="003B2CAA">
      <w:pPr>
        <w:rPr>
          <w:rFonts w:asciiTheme="majorHAnsi" w:hAnsiTheme="majorHAnsi" w:cstheme="majorHAnsi"/>
          <w:lang w:val="en-GB"/>
        </w:rPr>
      </w:pPr>
    </w:p>
    <w:p w14:paraId="7F073E5D" w14:textId="53F08400" w:rsidR="003B2CAA" w:rsidRPr="004A5250" w:rsidRDefault="003B2CAA" w:rsidP="003B2CAA">
      <w:pPr>
        <w:rPr>
          <w:rFonts w:asciiTheme="majorHAnsi" w:hAnsiTheme="majorHAnsi" w:cstheme="majorHAnsi"/>
          <w:lang w:val="en-GB"/>
        </w:rPr>
      </w:pPr>
    </w:p>
    <w:p w14:paraId="4D04C48C" w14:textId="4AF512D0" w:rsidR="003B2CAA" w:rsidRPr="004A5250" w:rsidRDefault="003B2CAA" w:rsidP="003B2CAA">
      <w:pPr>
        <w:rPr>
          <w:rFonts w:asciiTheme="majorHAnsi" w:hAnsiTheme="majorHAnsi" w:cstheme="majorHAnsi"/>
          <w:lang w:val="en-GB"/>
        </w:rPr>
      </w:pPr>
    </w:p>
    <w:p w14:paraId="36DF9B3E" w14:textId="3B535FA8" w:rsidR="003B2CAA" w:rsidRPr="004A5250" w:rsidRDefault="003B2CAA" w:rsidP="003B2CAA">
      <w:pPr>
        <w:rPr>
          <w:rFonts w:asciiTheme="majorHAnsi" w:hAnsiTheme="majorHAnsi" w:cstheme="majorHAnsi"/>
          <w:lang w:val="en-GB"/>
        </w:rPr>
      </w:pPr>
    </w:p>
    <w:p w14:paraId="3F35AB96" w14:textId="0904683F" w:rsidR="00365466" w:rsidRPr="004A5250" w:rsidRDefault="00365466" w:rsidP="003B2CAA">
      <w:pPr>
        <w:rPr>
          <w:rFonts w:asciiTheme="majorHAnsi" w:hAnsiTheme="majorHAnsi" w:cstheme="majorHAnsi"/>
          <w:lang w:val="en-GB"/>
        </w:rPr>
      </w:pPr>
    </w:p>
    <w:p w14:paraId="091FE8B2" w14:textId="59C210FB" w:rsidR="00365466" w:rsidRPr="004A5250" w:rsidRDefault="00365466" w:rsidP="003B2CAA">
      <w:pPr>
        <w:rPr>
          <w:rFonts w:asciiTheme="majorHAnsi" w:hAnsiTheme="majorHAnsi" w:cstheme="majorHAnsi"/>
          <w:lang w:val="en-GB"/>
        </w:rPr>
      </w:pPr>
    </w:p>
    <w:p w14:paraId="05124335" w14:textId="28A8E973" w:rsidR="004A5250" w:rsidRDefault="004A5250" w:rsidP="003B2CAA">
      <w:pPr>
        <w:rPr>
          <w:lang w:val="en-GB"/>
        </w:rPr>
      </w:pPr>
    </w:p>
    <w:p w14:paraId="7310A628" w14:textId="60C35460" w:rsidR="004A5250" w:rsidRPr="0089105D" w:rsidRDefault="004A5250" w:rsidP="003B2CAA">
      <w:pPr>
        <w:rPr>
          <w:lang w:val="en-GB"/>
        </w:rPr>
      </w:pPr>
    </w:p>
    <w:p w14:paraId="763C10E0" w14:textId="77777777" w:rsidR="003B2CAA" w:rsidRPr="0089105D" w:rsidRDefault="003B2CAA" w:rsidP="003B2CAA">
      <w:pPr>
        <w:rPr>
          <w:lang w:val="en-GB"/>
        </w:rPr>
      </w:pPr>
    </w:p>
    <w:p w14:paraId="55CA46F2" w14:textId="095ABC44" w:rsidR="0043388B" w:rsidRPr="0089105D" w:rsidRDefault="003B2CAA" w:rsidP="004A5250">
      <w:pPr>
        <w:pStyle w:val="Heading2"/>
        <w:rPr>
          <w:noProof/>
          <w:color w:val="auto"/>
        </w:rPr>
      </w:pPr>
      <w:bookmarkStart w:id="7" w:name="_Toc153187389"/>
      <w:r w:rsidRPr="0089105D">
        <w:rPr>
          <w:noProof/>
          <w:color w:val="auto"/>
        </w:rPr>
        <w:t>Table of figures</w:t>
      </w:r>
      <w:bookmarkEnd w:id="7"/>
      <w:r w:rsidRPr="0089105D">
        <w:rPr>
          <w:noProof/>
          <w:color w:val="auto"/>
        </w:rPr>
        <w:t xml:space="preserve"> </w:t>
      </w:r>
    </w:p>
    <w:p w14:paraId="3446A056" w14:textId="1481C45C" w:rsidR="0043388B" w:rsidRPr="0089105D" w:rsidRDefault="0043388B">
      <w:pPr>
        <w:rPr>
          <w:b/>
          <w:bCs/>
          <w:noProof/>
        </w:rPr>
      </w:pPr>
    </w:p>
    <w:p w14:paraId="7D64CE51" w14:textId="1F4BFC54" w:rsidR="0043388B" w:rsidRPr="0089105D" w:rsidRDefault="0043388B">
      <w:pPr>
        <w:rPr>
          <w:b/>
          <w:bCs/>
          <w:noProof/>
        </w:rPr>
      </w:pPr>
    </w:p>
    <w:p w14:paraId="4F1CCD4E" w14:textId="70CDD795" w:rsidR="00291F96" w:rsidRPr="0089105D" w:rsidRDefault="00291F96">
      <w:pPr>
        <w:pStyle w:val="TableofFigures"/>
        <w:tabs>
          <w:tab w:val="right" w:leader="dot" w:pos="9016"/>
        </w:tabs>
        <w:rPr>
          <w:rFonts w:eastAsiaTheme="minorEastAsia"/>
          <w:noProof/>
          <w:kern w:val="0"/>
          <w:sz w:val="22"/>
          <w:szCs w:val="22"/>
          <w14:ligatures w14:val="none"/>
        </w:rPr>
      </w:pPr>
      <w:r w:rsidRPr="0089105D">
        <w:rPr>
          <w:rFonts w:cstheme="majorHAnsi"/>
          <w:b/>
          <w:bCs/>
          <w:lang w:val="en-GB"/>
        </w:rPr>
        <w:fldChar w:fldCharType="begin"/>
      </w:r>
      <w:r w:rsidRPr="0089105D">
        <w:rPr>
          <w:rFonts w:cstheme="majorHAnsi"/>
          <w:b/>
          <w:bCs/>
          <w:lang w:val="en-GB"/>
        </w:rPr>
        <w:instrText xml:space="preserve"> TOC \h \z \c "Table" </w:instrText>
      </w:r>
      <w:r w:rsidRPr="0089105D">
        <w:rPr>
          <w:rFonts w:cstheme="majorHAnsi"/>
          <w:b/>
          <w:bCs/>
          <w:lang w:val="en-GB"/>
        </w:rPr>
        <w:fldChar w:fldCharType="separate"/>
      </w:r>
      <w:hyperlink w:anchor="_Toc153169541" w:history="1">
        <w:r w:rsidRPr="0089105D">
          <w:rPr>
            <w:rStyle w:val="Hyperlink"/>
            <w:rFonts w:asciiTheme="majorHAnsi" w:hAnsiTheme="majorHAnsi" w:cstheme="majorHAnsi"/>
            <w:noProof/>
            <w:color w:val="auto"/>
          </w:rPr>
          <w:t>Table 1: This diagram illustrates the quantity of articles identified through the utilization of specific academic databases. The highest number of articles was found in Scopus.</w:t>
        </w:r>
        <w:r w:rsidRPr="0089105D">
          <w:rPr>
            <w:noProof/>
            <w:webHidden/>
          </w:rPr>
          <w:tab/>
        </w:r>
        <w:r w:rsidRPr="0089105D">
          <w:rPr>
            <w:noProof/>
            <w:webHidden/>
          </w:rPr>
          <w:fldChar w:fldCharType="begin"/>
        </w:r>
        <w:r w:rsidRPr="0089105D">
          <w:rPr>
            <w:noProof/>
            <w:webHidden/>
          </w:rPr>
          <w:instrText xml:space="preserve"> PAGEREF _Toc153169541 \h </w:instrText>
        </w:r>
        <w:r w:rsidRPr="0089105D">
          <w:rPr>
            <w:noProof/>
            <w:webHidden/>
          </w:rPr>
        </w:r>
        <w:r w:rsidRPr="0089105D">
          <w:rPr>
            <w:noProof/>
            <w:webHidden/>
          </w:rPr>
          <w:fldChar w:fldCharType="separate"/>
        </w:r>
        <w:r w:rsidR="004519D8" w:rsidRPr="0089105D">
          <w:rPr>
            <w:noProof/>
            <w:webHidden/>
          </w:rPr>
          <w:t>12</w:t>
        </w:r>
        <w:r w:rsidRPr="0089105D">
          <w:rPr>
            <w:noProof/>
            <w:webHidden/>
          </w:rPr>
          <w:fldChar w:fldCharType="end"/>
        </w:r>
      </w:hyperlink>
    </w:p>
    <w:p w14:paraId="1EFD04E7" w14:textId="3AFF95E6" w:rsidR="00291F96" w:rsidRPr="0089105D" w:rsidRDefault="00291F96">
      <w:pPr>
        <w:pStyle w:val="TableofFigures"/>
        <w:tabs>
          <w:tab w:val="right" w:leader="dot" w:pos="9016"/>
        </w:tabs>
        <w:rPr>
          <w:rFonts w:eastAsiaTheme="minorEastAsia"/>
          <w:noProof/>
          <w:kern w:val="0"/>
          <w:sz w:val="22"/>
          <w:szCs w:val="22"/>
          <w14:ligatures w14:val="none"/>
        </w:rPr>
      </w:pPr>
      <w:hyperlink r:id="rId8" w:anchor="_Toc153169542" w:history="1">
        <w:r w:rsidRPr="0089105D">
          <w:rPr>
            <w:rStyle w:val="Hyperlink"/>
            <w:rFonts w:asciiTheme="majorHAnsi" w:hAnsiTheme="majorHAnsi" w:cstheme="majorHAnsi"/>
            <w:noProof/>
            <w:color w:val="auto"/>
          </w:rPr>
          <w:t>Table 2: This table summarizes the thematic scope of criticized SDGs which stem from the data analysis.</w:t>
        </w:r>
        <w:r w:rsidRPr="0089105D">
          <w:rPr>
            <w:noProof/>
            <w:webHidden/>
          </w:rPr>
          <w:tab/>
        </w:r>
        <w:r w:rsidRPr="0089105D">
          <w:rPr>
            <w:noProof/>
            <w:webHidden/>
          </w:rPr>
          <w:fldChar w:fldCharType="begin"/>
        </w:r>
        <w:r w:rsidRPr="0089105D">
          <w:rPr>
            <w:noProof/>
            <w:webHidden/>
          </w:rPr>
          <w:instrText xml:space="preserve"> PAGEREF _Toc153169542 \h </w:instrText>
        </w:r>
        <w:r w:rsidRPr="0089105D">
          <w:rPr>
            <w:noProof/>
            <w:webHidden/>
          </w:rPr>
        </w:r>
        <w:r w:rsidRPr="0089105D">
          <w:rPr>
            <w:noProof/>
            <w:webHidden/>
          </w:rPr>
          <w:fldChar w:fldCharType="separate"/>
        </w:r>
        <w:r w:rsidR="004519D8" w:rsidRPr="0089105D">
          <w:rPr>
            <w:noProof/>
            <w:webHidden/>
          </w:rPr>
          <w:t>13</w:t>
        </w:r>
        <w:r w:rsidRPr="0089105D">
          <w:rPr>
            <w:noProof/>
            <w:webHidden/>
          </w:rPr>
          <w:fldChar w:fldCharType="end"/>
        </w:r>
      </w:hyperlink>
    </w:p>
    <w:p w14:paraId="6BB1C40B" w14:textId="30C2D592" w:rsidR="00291F96" w:rsidRPr="0089105D" w:rsidRDefault="00291F96">
      <w:pPr>
        <w:pStyle w:val="TableofFigures"/>
        <w:tabs>
          <w:tab w:val="right" w:leader="dot" w:pos="9016"/>
        </w:tabs>
        <w:rPr>
          <w:rFonts w:eastAsiaTheme="minorEastAsia"/>
          <w:noProof/>
          <w:kern w:val="0"/>
          <w:sz w:val="22"/>
          <w:szCs w:val="22"/>
          <w14:ligatures w14:val="none"/>
        </w:rPr>
      </w:pPr>
      <w:hyperlink r:id="rId9" w:anchor="_Toc153169543" w:history="1">
        <w:r w:rsidRPr="0089105D">
          <w:rPr>
            <w:rStyle w:val="Hyperlink"/>
            <w:rFonts w:asciiTheme="majorHAnsi" w:hAnsiTheme="majorHAnsi" w:cstheme="majorHAnsi"/>
            <w:noProof/>
            <w:color w:val="auto"/>
          </w:rPr>
          <w:t>Table 3: This table indicates the most criticized aspects of SDGs as a framework.</w:t>
        </w:r>
        <w:r w:rsidRPr="0089105D">
          <w:rPr>
            <w:noProof/>
            <w:webHidden/>
          </w:rPr>
          <w:tab/>
        </w:r>
        <w:r w:rsidRPr="0089105D">
          <w:rPr>
            <w:noProof/>
            <w:webHidden/>
          </w:rPr>
          <w:fldChar w:fldCharType="begin"/>
        </w:r>
        <w:r w:rsidRPr="0089105D">
          <w:rPr>
            <w:noProof/>
            <w:webHidden/>
          </w:rPr>
          <w:instrText xml:space="preserve"> PAGEREF _Toc153169543 \h </w:instrText>
        </w:r>
        <w:r w:rsidRPr="0089105D">
          <w:rPr>
            <w:noProof/>
            <w:webHidden/>
          </w:rPr>
        </w:r>
        <w:r w:rsidRPr="0089105D">
          <w:rPr>
            <w:noProof/>
            <w:webHidden/>
          </w:rPr>
          <w:fldChar w:fldCharType="separate"/>
        </w:r>
        <w:r w:rsidR="004519D8" w:rsidRPr="0089105D">
          <w:rPr>
            <w:noProof/>
            <w:webHidden/>
          </w:rPr>
          <w:t>14</w:t>
        </w:r>
        <w:r w:rsidRPr="0089105D">
          <w:rPr>
            <w:noProof/>
            <w:webHidden/>
          </w:rPr>
          <w:fldChar w:fldCharType="end"/>
        </w:r>
      </w:hyperlink>
    </w:p>
    <w:p w14:paraId="1DBAC7B2" w14:textId="27D66D1B" w:rsidR="00291F96" w:rsidRPr="0089105D" w:rsidRDefault="00291F96">
      <w:pPr>
        <w:pStyle w:val="TableofFigures"/>
        <w:tabs>
          <w:tab w:val="right" w:leader="dot" w:pos="9016"/>
        </w:tabs>
        <w:rPr>
          <w:rFonts w:eastAsiaTheme="minorEastAsia"/>
          <w:noProof/>
          <w:kern w:val="0"/>
          <w:sz w:val="22"/>
          <w:szCs w:val="22"/>
          <w14:ligatures w14:val="none"/>
        </w:rPr>
      </w:pPr>
      <w:hyperlink w:anchor="_Toc153169544" w:history="1">
        <w:r w:rsidRPr="0089105D">
          <w:rPr>
            <w:rStyle w:val="Hyperlink"/>
            <w:rFonts w:asciiTheme="majorHAnsi" w:hAnsiTheme="majorHAnsi" w:cstheme="majorHAnsi"/>
            <w:noProof/>
            <w:color w:val="auto"/>
          </w:rPr>
          <w:t>Table 4: This table describes the main aspects of criticism of SDG 5 as outlined in the data analysis.</w:t>
        </w:r>
        <w:r w:rsidRPr="0089105D">
          <w:rPr>
            <w:noProof/>
            <w:webHidden/>
          </w:rPr>
          <w:tab/>
        </w:r>
        <w:r w:rsidRPr="0089105D">
          <w:rPr>
            <w:noProof/>
            <w:webHidden/>
          </w:rPr>
          <w:fldChar w:fldCharType="begin"/>
        </w:r>
        <w:r w:rsidRPr="0089105D">
          <w:rPr>
            <w:noProof/>
            <w:webHidden/>
          </w:rPr>
          <w:instrText xml:space="preserve"> PAGEREF _Toc153169544 \h </w:instrText>
        </w:r>
        <w:r w:rsidRPr="0089105D">
          <w:rPr>
            <w:noProof/>
            <w:webHidden/>
          </w:rPr>
        </w:r>
        <w:r w:rsidRPr="0089105D">
          <w:rPr>
            <w:noProof/>
            <w:webHidden/>
          </w:rPr>
          <w:fldChar w:fldCharType="separate"/>
        </w:r>
        <w:r w:rsidR="004519D8" w:rsidRPr="0089105D">
          <w:rPr>
            <w:noProof/>
            <w:webHidden/>
          </w:rPr>
          <w:t>15</w:t>
        </w:r>
        <w:r w:rsidRPr="0089105D">
          <w:rPr>
            <w:noProof/>
            <w:webHidden/>
          </w:rPr>
          <w:fldChar w:fldCharType="end"/>
        </w:r>
      </w:hyperlink>
    </w:p>
    <w:p w14:paraId="218BA825" w14:textId="565E6E8D" w:rsidR="00291F96" w:rsidRPr="0089105D" w:rsidRDefault="00291F96">
      <w:pPr>
        <w:pStyle w:val="TableofFigures"/>
        <w:tabs>
          <w:tab w:val="right" w:leader="dot" w:pos="9016"/>
        </w:tabs>
        <w:rPr>
          <w:rFonts w:eastAsiaTheme="minorEastAsia"/>
          <w:noProof/>
          <w:kern w:val="0"/>
          <w:sz w:val="22"/>
          <w:szCs w:val="22"/>
          <w14:ligatures w14:val="none"/>
        </w:rPr>
      </w:pPr>
      <w:hyperlink w:anchor="_Toc153169545" w:history="1">
        <w:r w:rsidRPr="0089105D">
          <w:rPr>
            <w:rStyle w:val="Hyperlink"/>
            <w:rFonts w:asciiTheme="majorHAnsi" w:hAnsiTheme="majorHAnsi" w:cstheme="majorHAnsi"/>
            <w:noProof/>
            <w:color w:val="auto"/>
          </w:rPr>
          <w:t>Table 5: This table showcases the main aspects of criticism of SGD6, the data come from the data analysis of academic articles.</w:t>
        </w:r>
        <w:r w:rsidRPr="0089105D">
          <w:rPr>
            <w:noProof/>
            <w:webHidden/>
          </w:rPr>
          <w:tab/>
        </w:r>
        <w:r w:rsidRPr="0089105D">
          <w:rPr>
            <w:noProof/>
            <w:webHidden/>
          </w:rPr>
          <w:fldChar w:fldCharType="begin"/>
        </w:r>
        <w:r w:rsidRPr="0089105D">
          <w:rPr>
            <w:noProof/>
            <w:webHidden/>
          </w:rPr>
          <w:instrText xml:space="preserve"> PAGEREF _Toc153169545 \h </w:instrText>
        </w:r>
        <w:r w:rsidRPr="0089105D">
          <w:rPr>
            <w:noProof/>
            <w:webHidden/>
          </w:rPr>
        </w:r>
        <w:r w:rsidRPr="0089105D">
          <w:rPr>
            <w:noProof/>
            <w:webHidden/>
          </w:rPr>
          <w:fldChar w:fldCharType="separate"/>
        </w:r>
        <w:r w:rsidR="004519D8" w:rsidRPr="0089105D">
          <w:rPr>
            <w:noProof/>
            <w:webHidden/>
          </w:rPr>
          <w:t>16</w:t>
        </w:r>
        <w:r w:rsidRPr="0089105D">
          <w:rPr>
            <w:noProof/>
            <w:webHidden/>
          </w:rPr>
          <w:fldChar w:fldCharType="end"/>
        </w:r>
      </w:hyperlink>
    </w:p>
    <w:p w14:paraId="05BE5AED" w14:textId="1CDB2F47" w:rsidR="00291F96" w:rsidRPr="0089105D" w:rsidRDefault="00291F96">
      <w:pPr>
        <w:pStyle w:val="TableofFigures"/>
        <w:tabs>
          <w:tab w:val="right" w:leader="dot" w:pos="9016"/>
        </w:tabs>
        <w:rPr>
          <w:rFonts w:eastAsiaTheme="minorEastAsia"/>
          <w:noProof/>
          <w:kern w:val="0"/>
          <w:sz w:val="22"/>
          <w:szCs w:val="22"/>
          <w14:ligatures w14:val="none"/>
        </w:rPr>
      </w:pPr>
      <w:hyperlink w:anchor="_Toc153169546" w:history="1">
        <w:r w:rsidRPr="0089105D">
          <w:rPr>
            <w:rStyle w:val="Hyperlink"/>
            <w:rFonts w:asciiTheme="majorHAnsi" w:hAnsiTheme="majorHAnsi" w:cstheme="majorHAnsi"/>
            <w:noProof/>
            <w:color w:val="auto"/>
          </w:rPr>
          <w:t>Table 6: This table summarizes the quartiles of analyzed articles</w:t>
        </w:r>
        <w:r w:rsidRPr="0089105D">
          <w:rPr>
            <w:noProof/>
            <w:webHidden/>
          </w:rPr>
          <w:tab/>
        </w:r>
        <w:r w:rsidRPr="0089105D">
          <w:rPr>
            <w:noProof/>
            <w:webHidden/>
          </w:rPr>
          <w:fldChar w:fldCharType="begin"/>
        </w:r>
        <w:r w:rsidRPr="0089105D">
          <w:rPr>
            <w:noProof/>
            <w:webHidden/>
          </w:rPr>
          <w:instrText xml:space="preserve"> PAGEREF _Toc153169546 \h </w:instrText>
        </w:r>
        <w:r w:rsidRPr="0089105D">
          <w:rPr>
            <w:noProof/>
            <w:webHidden/>
          </w:rPr>
        </w:r>
        <w:r w:rsidRPr="0089105D">
          <w:rPr>
            <w:noProof/>
            <w:webHidden/>
          </w:rPr>
          <w:fldChar w:fldCharType="separate"/>
        </w:r>
        <w:r w:rsidR="004519D8" w:rsidRPr="0089105D">
          <w:rPr>
            <w:noProof/>
            <w:webHidden/>
          </w:rPr>
          <w:t>16</w:t>
        </w:r>
        <w:r w:rsidRPr="0089105D">
          <w:rPr>
            <w:noProof/>
            <w:webHidden/>
          </w:rPr>
          <w:fldChar w:fldCharType="end"/>
        </w:r>
      </w:hyperlink>
    </w:p>
    <w:p w14:paraId="72B2F483" w14:textId="766E91E8" w:rsidR="00291F96" w:rsidRPr="0089105D" w:rsidRDefault="00291F96">
      <w:pPr>
        <w:pStyle w:val="TableofFigures"/>
        <w:tabs>
          <w:tab w:val="right" w:leader="dot" w:pos="9016"/>
        </w:tabs>
        <w:rPr>
          <w:rFonts w:eastAsiaTheme="minorEastAsia"/>
          <w:noProof/>
          <w:kern w:val="0"/>
          <w:sz w:val="22"/>
          <w:szCs w:val="22"/>
          <w14:ligatures w14:val="none"/>
        </w:rPr>
      </w:pPr>
      <w:hyperlink w:anchor="_Toc153169547" w:history="1">
        <w:r w:rsidRPr="0089105D">
          <w:rPr>
            <w:rStyle w:val="Hyperlink"/>
            <w:rFonts w:asciiTheme="majorHAnsi" w:hAnsiTheme="majorHAnsi" w:cstheme="majorHAnsi"/>
            <w:noProof/>
            <w:color w:val="auto"/>
          </w:rPr>
          <w:t>Table 7: This table analyzed the relationship of specific quartile and scope of criticism of SDGs as a framework.</w:t>
        </w:r>
        <w:r w:rsidRPr="0089105D">
          <w:rPr>
            <w:noProof/>
            <w:webHidden/>
          </w:rPr>
          <w:tab/>
        </w:r>
        <w:r w:rsidRPr="0089105D">
          <w:rPr>
            <w:noProof/>
            <w:webHidden/>
          </w:rPr>
          <w:fldChar w:fldCharType="begin"/>
        </w:r>
        <w:r w:rsidRPr="0089105D">
          <w:rPr>
            <w:noProof/>
            <w:webHidden/>
          </w:rPr>
          <w:instrText xml:space="preserve"> PAGEREF _Toc153169547 \h </w:instrText>
        </w:r>
        <w:r w:rsidRPr="0089105D">
          <w:rPr>
            <w:noProof/>
            <w:webHidden/>
          </w:rPr>
        </w:r>
        <w:r w:rsidRPr="0089105D">
          <w:rPr>
            <w:noProof/>
            <w:webHidden/>
          </w:rPr>
          <w:fldChar w:fldCharType="separate"/>
        </w:r>
        <w:r w:rsidR="004519D8" w:rsidRPr="0089105D">
          <w:rPr>
            <w:noProof/>
            <w:webHidden/>
          </w:rPr>
          <w:t>18</w:t>
        </w:r>
        <w:r w:rsidRPr="0089105D">
          <w:rPr>
            <w:noProof/>
            <w:webHidden/>
          </w:rPr>
          <w:fldChar w:fldCharType="end"/>
        </w:r>
      </w:hyperlink>
    </w:p>
    <w:p w14:paraId="565B2B31" w14:textId="5BC55DF4" w:rsidR="00291F96" w:rsidRPr="0089105D" w:rsidRDefault="00291F96">
      <w:pPr>
        <w:pStyle w:val="TableofFigures"/>
        <w:tabs>
          <w:tab w:val="right" w:leader="dot" w:pos="9016"/>
        </w:tabs>
        <w:rPr>
          <w:rFonts w:eastAsiaTheme="minorEastAsia"/>
          <w:noProof/>
          <w:kern w:val="0"/>
          <w:sz w:val="22"/>
          <w:szCs w:val="22"/>
          <w14:ligatures w14:val="none"/>
        </w:rPr>
      </w:pPr>
      <w:hyperlink w:anchor="_Toc153169548" w:history="1">
        <w:r w:rsidRPr="0089105D">
          <w:rPr>
            <w:rStyle w:val="Hyperlink"/>
            <w:rFonts w:asciiTheme="majorHAnsi" w:hAnsiTheme="majorHAnsi" w:cstheme="majorHAnsi"/>
            <w:noProof/>
            <w:color w:val="auto"/>
          </w:rPr>
          <w:t>Table 8: This table summarizes relationship between quartile 2 and scope of criticism of SDGs as framework</w:t>
        </w:r>
        <w:r w:rsidRPr="0089105D">
          <w:rPr>
            <w:noProof/>
            <w:webHidden/>
          </w:rPr>
          <w:tab/>
        </w:r>
        <w:r w:rsidRPr="0089105D">
          <w:rPr>
            <w:noProof/>
            <w:webHidden/>
          </w:rPr>
          <w:fldChar w:fldCharType="begin"/>
        </w:r>
        <w:r w:rsidRPr="0089105D">
          <w:rPr>
            <w:noProof/>
            <w:webHidden/>
          </w:rPr>
          <w:instrText xml:space="preserve"> PAGEREF _Toc153169548 \h </w:instrText>
        </w:r>
        <w:r w:rsidRPr="0089105D">
          <w:rPr>
            <w:noProof/>
            <w:webHidden/>
          </w:rPr>
        </w:r>
        <w:r w:rsidRPr="0089105D">
          <w:rPr>
            <w:noProof/>
            <w:webHidden/>
          </w:rPr>
          <w:fldChar w:fldCharType="separate"/>
        </w:r>
        <w:r w:rsidR="004519D8" w:rsidRPr="0089105D">
          <w:rPr>
            <w:noProof/>
            <w:webHidden/>
          </w:rPr>
          <w:t>19</w:t>
        </w:r>
        <w:r w:rsidRPr="0089105D">
          <w:rPr>
            <w:noProof/>
            <w:webHidden/>
          </w:rPr>
          <w:fldChar w:fldCharType="end"/>
        </w:r>
      </w:hyperlink>
    </w:p>
    <w:p w14:paraId="0294DC55" w14:textId="79849ACF" w:rsidR="00291F96" w:rsidRPr="0089105D" w:rsidRDefault="00291F96">
      <w:pPr>
        <w:pStyle w:val="TableofFigures"/>
        <w:tabs>
          <w:tab w:val="right" w:leader="dot" w:pos="9016"/>
        </w:tabs>
        <w:rPr>
          <w:rFonts w:eastAsiaTheme="minorEastAsia"/>
          <w:noProof/>
          <w:kern w:val="0"/>
          <w:sz w:val="22"/>
          <w:szCs w:val="22"/>
          <w14:ligatures w14:val="none"/>
        </w:rPr>
      </w:pPr>
      <w:hyperlink r:id="rId10" w:anchor="_Toc153169549" w:history="1">
        <w:r w:rsidRPr="0089105D">
          <w:rPr>
            <w:rStyle w:val="Hyperlink"/>
            <w:rFonts w:asciiTheme="majorHAnsi" w:hAnsiTheme="majorHAnsi" w:cstheme="majorHAnsi"/>
            <w:noProof/>
            <w:color w:val="auto"/>
          </w:rPr>
          <w:t>Table 9: This table investigates the relationship between articles ranked with quartile 3 and criticism of SDGs</w:t>
        </w:r>
        <w:r w:rsidRPr="0089105D">
          <w:rPr>
            <w:noProof/>
            <w:webHidden/>
          </w:rPr>
          <w:tab/>
        </w:r>
        <w:r w:rsidRPr="0089105D">
          <w:rPr>
            <w:noProof/>
            <w:webHidden/>
          </w:rPr>
          <w:fldChar w:fldCharType="begin"/>
        </w:r>
        <w:r w:rsidRPr="0089105D">
          <w:rPr>
            <w:noProof/>
            <w:webHidden/>
          </w:rPr>
          <w:instrText xml:space="preserve"> PAGEREF _Toc153169549 \h </w:instrText>
        </w:r>
        <w:r w:rsidRPr="0089105D">
          <w:rPr>
            <w:noProof/>
            <w:webHidden/>
          </w:rPr>
        </w:r>
        <w:r w:rsidRPr="0089105D">
          <w:rPr>
            <w:noProof/>
            <w:webHidden/>
          </w:rPr>
          <w:fldChar w:fldCharType="separate"/>
        </w:r>
        <w:r w:rsidR="004519D8" w:rsidRPr="0089105D">
          <w:rPr>
            <w:noProof/>
            <w:webHidden/>
          </w:rPr>
          <w:t>20</w:t>
        </w:r>
        <w:r w:rsidRPr="0089105D">
          <w:rPr>
            <w:noProof/>
            <w:webHidden/>
          </w:rPr>
          <w:fldChar w:fldCharType="end"/>
        </w:r>
      </w:hyperlink>
    </w:p>
    <w:p w14:paraId="23D56114" w14:textId="352BB8D2" w:rsidR="00291F96" w:rsidRPr="0089105D" w:rsidRDefault="00291F96">
      <w:pPr>
        <w:pStyle w:val="TableofFigures"/>
        <w:tabs>
          <w:tab w:val="right" w:leader="dot" w:pos="9016"/>
        </w:tabs>
        <w:rPr>
          <w:rFonts w:eastAsiaTheme="minorEastAsia"/>
          <w:noProof/>
          <w:kern w:val="0"/>
          <w:sz w:val="22"/>
          <w:szCs w:val="22"/>
          <w14:ligatures w14:val="none"/>
        </w:rPr>
      </w:pPr>
      <w:hyperlink w:anchor="_Toc153169550" w:history="1">
        <w:r w:rsidRPr="0089105D">
          <w:rPr>
            <w:rStyle w:val="Hyperlink"/>
            <w:rFonts w:asciiTheme="majorHAnsi" w:hAnsiTheme="majorHAnsi" w:cstheme="majorHAnsi"/>
            <w:noProof/>
            <w:color w:val="auto"/>
          </w:rPr>
          <w:t>Table 10: This chart analyzes scope of criticism of SDG as a framework together with quartile of their journals</w:t>
        </w:r>
        <w:r w:rsidRPr="0089105D">
          <w:rPr>
            <w:noProof/>
            <w:webHidden/>
          </w:rPr>
          <w:tab/>
        </w:r>
        <w:r w:rsidRPr="0089105D">
          <w:rPr>
            <w:noProof/>
            <w:webHidden/>
          </w:rPr>
          <w:fldChar w:fldCharType="begin"/>
        </w:r>
        <w:r w:rsidRPr="0089105D">
          <w:rPr>
            <w:noProof/>
            <w:webHidden/>
          </w:rPr>
          <w:instrText xml:space="preserve"> PAGEREF _Toc153169550 \h </w:instrText>
        </w:r>
        <w:r w:rsidRPr="0089105D">
          <w:rPr>
            <w:noProof/>
            <w:webHidden/>
          </w:rPr>
        </w:r>
        <w:r w:rsidRPr="0089105D">
          <w:rPr>
            <w:noProof/>
            <w:webHidden/>
          </w:rPr>
          <w:fldChar w:fldCharType="separate"/>
        </w:r>
        <w:r w:rsidR="004519D8" w:rsidRPr="0089105D">
          <w:rPr>
            <w:noProof/>
            <w:webHidden/>
          </w:rPr>
          <w:t>21</w:t>
        </w:r>
        <w:r w:rsidRPr="0089105D">
          <w:rPr>
            <w:noProof/>
            <w:webHidden/>
          </w:rPr>
          <w:fldChar w:fldCharType="end"/>
        </w:r>
      </w:hyperlink>
    </w:p>
    <w:p w14:paraId="4BF9F896" w14:textId="5D0CFF73" w:rsidR="00291F96" w:rsidRPr="0089105D" w:rsidRDefault="00291F96">
      <w:pPr>
        <w:pStyle w:val="TableofFigures"/>
        <w:tabs>
          <w:tab w:val="right" w:leader="dot" w:pos="9016"/>
        </w:tabs>
        <w:rPr>
          <w:rFonts w:eastAsiaTheme="minorEastAsia"/>
          <w:noProof/>
          <w:kern w:val="0"/>
          <w:sz w:val="22"/>
          <w:szCs w:val="22"/>
          <w14:ligatures w14:val="none"/>
        </w:rPr>
      </w:pPr>
      <w:hyperlink w:anchor="_Toc153169551" w:history="1">
        <w:r w:rsidRPr="0089105D">
          <w:rPr>
            <w:rStyle w:val="Hyperlink"/>
            <w:rFonts w:asciiTheme="majorHAnsi" w:hAnsiTheme="majorHAnsi" w:cstheme="majorHAnsi"/>
            <w:noProof/>
            <w:color w:val="auto"/>
          </w:rPr>
          <w:t>Table 11: This chart visualizes the period of when analyzed articles were released.</w:t>
        </w:r>
        <w:r w:rsidRPr="0089105D">
          <w:rPr>
            <w:noProof/>
            <w:webHidden/>
          </w:rPr>
          <w:tab/>
        </w:r>
        <w:r w:rsidRPr="0089105D">
          <w:rPr>
            <w:noProof/>
            <w:webHidden/>
          </w:rPr>
          <w:fldChar w:fldCharType="begin"/>
        </w:r>
        <w:r w:rsidRPr="0089105D">
          <w:rPr>
            <w:noProof/>
            <w:webHidden/>
          </w:rPr>
          <w:instrText xml:space="preserve"> PAGEREF _Toc153169551 \h </w:instrText>
        </w:r>
        <w:r w:rsidRPr="0089105D">
          <w:rPr>
            <w:noProof/>
            <w:webHidden/>
          </w:rPr>
        </w:r>
        <w:r w:rsidRPr="0089105D">
          <w:rPr>
            <w:noProof/>
            <w:webHidden/>
          </w:rPr>
          <w:fldChar w:fldCharType="separate"/>
        </w:r>
        <w:r w:rsidR="004519D8" w:rsidRPr="0089105D">
          <w:rPr>
            <w:noProof/>
            <w:webHidden/>
          </w:rPr>
          <w:t>22</w:t>
        </w:r>
        <w:r w:rsidRPr="0089105D">
          <w:rPr>
            <w:noProof/>
            <w:webHidden/>
          </w:rPr>
          <w:fldChar w:fldCharType="end"/>
        </w:r>
      </w:hyperlink>
    </w:p>
    <w:p w14:paraId="4FC26570" w14:textId="596FDFFA" w:rsidR="00291F96" w:rsidRPr="0089105D" w:rsidRDefault="00291F96">
      <w:pPr>
        <w:pStyle w:val="TableofFigures"/>
        <w:tabs>
          <w:tab w:val="right" w:leader="dot" w:pos="9016"/>
        </w:tabs>
        <w:rPr>
          <w:rFonts w:eastAsiaTheme="minorEastAsia"/>
          <w:noProof/>
          <w:kern w:val="0"/>
          <w:sz w:val="22"/>
          <w:szCs w:val="22"/>
          <w14:ligatures w14:val="none"/>
        </w:rPr>
      </w:pPr>
      <w:hyperlink w:anchor="_Toc153169552" w:history="1">
        <w:r w:rsidRPr="0089105D">
          <w:rPr>
            <w:rStyle w:val="Hyperlink"/>
            <w:rFonts w:asciiTheme="majorHAnsi" w:hAnsiTheme="majorHAnsi" w:cstheme="majorHAnsi"/>
            <w:noProof/>
            <w:color w:val="auto"/>
          </w:rPr>
          <w:t> Table 12: This table looks into how did the criticism shape over the years.</w:t>
        </w:r>
        <w:r w:rsidRPr="0089105D">
          <w:rPr>
            <w:noProof/>
            <w:webHidden/>
          </w:rPr>
          <w:tab/>
        </w:r>
        <w:r w:rsidRPr="0089105D">
          <w:rPr>
            <w:noProof/>
            <w:webHidden/>
          </w:rPr>
          <w:fldChar w:fldCharType="begin"/>
        </w:r>
        <w:r w:rsidRPr="0089105D">
          <w:rPr>
            <w:noProof/>
            <w:webHidden/>
          </w:rPr>
          <w:instrText xml:space="preserve"> PAGEREF _Toc153169552 \h </w:instrText>
        </w:r>
        <w:r w:rsidRPr="0089105D">
          <w:rPr>
            <w:noProof/>
            <w:webHidden/>
          </w:rPr>
        </w:r>
        <w:r w:rsidRPr="0089105D">
          <w:rPr>
            <w:noProof/>
            <w:webHidden/>
          </w:rPr>
          <w:fldChar w:fldCharType="separate"/>
        </w:r>
        <w:r w:rsidR="004519D8" w:rsidRPr="0089105D">
          <w:rPr>
            <w:noProof/>
            <w:webHidden/>
          </w:rPr>
          <w:t>23</w:t>
        </w:r>
        <w:r w:rsidRPr="0089105D">
          <w:rPr>
            <w:noProof/>
            <w:webHidden/>
          </w:rPr>
          <w:fldChar w:fldCharType="end"/>
        </w:r>
      </w:hyperlink>
    </w:p>
    <w:p w14:paraId="6FBA5672" w14:textId="2713BD11" w:rsidR="00291F96" w:rsidRPr="0089105D" w:rsidRDefault="00291F96">
      <w:pPr>
        <w:pStyle w:val="TableofFigures"/>
        <w:tabs>
          <w:tab w:val="right" w:leader="dot" w:pos="9016"/>
        </w:tabs>
        <w:rPr>
          <w:rFonts w:eastAsiaTheme="minorEastAsia"/>
          <w:noProof/>
          <w:kern w:val="0"/>
          <w:sz w:val="22"/>
          <w:szCs w:val="22"/>
          <w14:ligatures w14:val="none"/>
        </w:rPr>
      </w:pPr>
      <w:hyperlink w:anchor="_Toc153169553" w:history="1">
        <w:r w:rsidRPr="0089105D">
          <w:rPr>
            <w:rStyle w:val="Hyperlink"/>
            <w:rFonts w:asciiTheme="majorHAnsi" w:hAnsiTheme="majorHAnsi" w:cstheme="majorHAnsi"/>
            <w:noProof/>
            <w:color w:val="auto"/>
          </w:rPr>
          <w:t>Table 13: This table diagram analyzes the economic classification of institutions publishing the articles in the data analysis</w:t>
        </w:r>
        <w:r w:rsidRPr="0089105D">
          <w:rPr>
            <w:noProof/>
            <w:webHidden/>
          </w:rPr>
          <w:tab/>
        </w:r>
        <w:r w:rsidRPr="0089105D">
          <w:rPr>
            <w:noProof/>
            <w:webHidden/>
          </w:rPr>
          <w:fldChar w:fldCharType="begin"/>
        </w:r>
        <w:r w:rsidRPr="0089105D">
          <w:rPr>
            <w:noProof/>
            <w:webHidden/>
          </w:rPr>
          <w:instrText xml:space="preserve"> PAGEREF _Toc153169553 \h </w:instrText>
        </w:r>
        <w:r w:rsidRPr="0089105D">
          <w:rPr>
            <w:noProof/>
            <w:webHidden/>
          </w:rPr>
        </w:r>
        <w:r w:rsidRPr="0089105D">
          <w:rPr>
            <w:noProof/>
            <w:webHidden/>
          </w:rPr>
          <w:fldChar w:fldCharType="separate"/>
        </w:r>
        <w:r w:rsidR="004519D8" w:rsidRPr="0089105D">
          <w:rPr>
            <w:noProof/>
            <w:webHidden/>
          </w:rPr>
          <w:t>24</w:t>
        </w:r>
        <w:r w:rsidRPr="0089105D">
          <w:rPr>
            <w:noProof/>
            <w:webHidden/>
          </w:rPr>
          <w:fldChar w:fldCharType="end"/>
        </w:r>
      </w:hyperlink>
    </w:p>
    <w:p w14:paraId="5A934EAB" w14:textId="7A1A3D6B" w:rsidR="00291F96" w:rsidRPr="0089105D" w:rsidRDefault="00291F96">
      <w:pPr>
        <w:pStyle w:val="TableofFigures"/>
        <w:tabs>
          <w:tab w:val="right" w:leader="dot" w:pos="9016"/>
        </w:tabs>
        <w:rPr>
          <w:rFonts w:eastAsiaTheme="minorEastAsia"/>
          <w:noProof/>
          <w:kern w:val="0"/>
          <w:sz w:val="22"/>
          <w:szCs w:val="22"/>
          <w14:ligatures w14:val="none"/>
        </w:rPr>
      </w:pPr>
      <w:hyperlink w:anchor="_Toc153169554" w:history="1">
        <w:r w:rsidRPr="0089105D">
          <w:rPr>
            <w:rStyle w:val="Hyperlink"/>
            <w:rFonts w:asciiTheme="majorHAnsi" w:hAnsiTheme="majorHAnsi" w:cstheme="majorHAnsi"/>
            <w:noProof/>
            <w:color w:val="auto"/>
          </w:rPr>
          <w:t>Table 14: This table provides summary of criticism of separate SDGs</w:t>
        </w:r>
        <w:r w:rsidRPr="0089105D">
          <w:rPr>
            <w:noProof/>
            <w:webHidden/>
          </w:rPr>
          <w:tab/>
        </w:r>
        <w:r w:rsidRPr="0089105D">
          <w:rPr>
            <w:noProof/>
            <w:webHidden/>
          </w:rPr>
          <w:fldChar w:fldCharType="begin"/>
        </w:r>
        <w:r w:rsidRPr="0089105D">
          <w:rPr>
            <w:noProof/>
            <w:webHidden/>
          </w:rPr>
          <w:instrText xml:space="preserve"> PAGEREF _Toc153169554 \h </w:instrText>
        </w:r>
        <w:r w:rsidRPr="0089105D">
          <w:rPr>
            <w:noProof/>
            <w:webHidden/>
          </w:rPr>
        </w:r>
        <w:r w:rsidRPr="0089105D">
          <w:rPr>
            <w:noProof/>
            <w:webHidden/>
          </w:rPr>
          <w:fldChar w:fldCharType="separate"/>
        </w:r>
        <w:r w:rsidR="004519D8" w:rsidRPr="0089105D">
          <w:rPr>
            <w:noProof/>
            <w:webHidden/>
          </w:rPr>
          <w:t>27</w:t>
        </w:r>
        <w:r w:rsidRPr="0089105D">
          <w:rPr>
            <w:noProof/>
            <w:webHidden/>
          </w:rPr>
          <w:fldChar w:fldCharType="end"/>
        </w:r>
      </w:hyperlink>
    </w:p>
    <w:p w14:paraId="603DEEAE" w14:textId="047DD5B0" w:rsidR="00291F96" w:rsidRPr="0089105D" w:rsidRDefault="00291F96">
      <w:pPr>
        <w:pStyle w:val="TableofFigures"/>
        <w:tabs>
          <w:tab w:val="right" w:leader="dot" w:pos="9016"/>
        </w:tabs>
        <w:rPr>
          <w:rFonts w:eastAsiaTheme="minorEastAsia"/>
          <w:noProof/>
          <w:kern w:val="0"/>
          <w:sz w:val="22"/>
          <w:szCs w:val="22"/>
          <w14:ligatures w14:val="none"/>
        </w:rPr>
      </w:pPr>
      <w:hyperlink r:id="rId11" w:anchor="_Toc153169555" w:history="1">
        <w:r w:rsidRPr="0089105D">
          <w:rPr>
            <w:rStyle w:val="Hyperlink"/>
            <w:rFonts w:asciiTheme="majorHAnsi" w:hAnsiTheme="majorHAnsi" w:cstheme="majorHAnsi"/>
            <w:noProof/>
            <w:color w:val="auto"/>
          </w:rPr>
          <w:t>Table 15: This Environmental Kuznetz Curve describes the nexus between environmental degradation and economic growth.</w:t>
        </w:r>
        <w:r w:rsidRPr="0089105D">
          <w:rPr>
            <w:noProof/>
            <w:webHidden/>
          </w:rPr>
          <w:tab/>
        </w:r>
        <w:r w:rsidRPr="0089105D">
          <w:rPr>
            <w:noProof/>
            <w:webHidden/>
          </w:rPr>
          <w:fldChar w:fldCharType="begin"/>
        </w:r>
        <w:r w:rsidRPr="0089105D">
          <w:rPr>
            <w:noProof/>
            <w:webHidden/>
          </w:rPr>
          <w:instrText xml:space="preserve"> PAGEREF _Toc153169555 \h </w:instrText>
        </w:r>
        <w:r w:rsidRPr="0089105D">
          <w:rPr>
            <w:noProof/>
            <w:webHidden/>
          </w:rPr>
        </w:r>
        <w:r w:rsidRPr="0089105D">
          <w:rPr>
            <w:noProof/>
            <w:webHidden/>
          </w:rPr>
          <w:fldChar w:fldCharType="separate"/>
        </w:r>
        <w:r w:rsidR="004519D8" w:rsidRPr="0089105D">
          <w:rPr>
            <w:noProof/>
            <w:webHidden/>
          </w:rPr>
          <w:t>29</w:t>
        </w:r>
        <w:r w:rsidRPr="0089105D">
          <w:rPr>
            <w:noProof/>
            <w:webHidden/>
          </w:rPr>
          <w:fldChar w:fldCharType="end"/>
        </w:r>
      </w:hyperlink>
    </w:p>
    <w:p w14:paraId="42FA6D04" w14:textId="1D58F63E" w:rsidR="00291F96" w:rsidRPr="0089105D" w:rsidRDefault="00291F96">
      <w:pPr>
        <w:pStyle w:val="TableofFigures"/>
        <w:tabs>
          <w:tab w:val="right" w:leader="dot" w:pos="9016"/>
        </w:tabs>
        <w:rPr>
          <w:rFonts w:eastAsiaTheme="minorEastAsia"/>
          <w:noProof/>
          <w:kern w:val="0"/>
          <w:sz w:val="22"/>
          <w:szCs w:val="22"/>
          <w14:ligatures w14:val="none"/>
        </w:rPr>
      </w:pPr>
      <w:hyperlink w:anchor="_Toc153169556" w:history="1">
        <w:r w:rsidRPr="0089105D">
          <w:rPr>
            <w:rStyle w:val="Hyperlink"/>
            <w:rFonts w:asciiTheme="majorHAnsi" w:hAnsiTheme="majorHAnsi" w:cstheme="majorHAnsi"/>
            <w:noProof/>
            <w:color w:val="auto"/>
          </w:rPr>
          <w:t>Table 16: This table summarizes all the targets for SDG 6, enabling further analysis in the text below. (United Nations, 2015)</w:t>
        </w:r>
        <w:r w:rsidRPr="0089105D">
          <w:rPr>
            <w:noProof/>
            <w:webHidden/>
          </w:rPr>
          <w:tab/>
        </w:r>
        <w:r w:rsidRPr="0089105D">
          <w:rPr>
            <w:noProof/>
            <w:webHidden/>
          </w:rPr>
          <w:fldChar w:fldCharType="begin"/>
        </w:r>
        <w:r w:rsidRPr="0089105D">
          <w:rPr>
            <w:noProof/>
            <w:webHidden/>
          </w:rPr>
          <w:instrText xml:space="preserve"> PAGEREF _Toc153169556 \h </w:instrText>
        </w:r>
        <w:r w:rsidRPr="0089105D">
          <w:rPr>
            <w:noProof/>
            <w:webHidden/>
          </w:rPr>
        </w:r>
        <w:r w:rsidRPr="0089105D">
          <w:rPr>
            <w:noProof/>
            <w:webHidden/>
          </w:rPr>
          <w:fldChar w:fldCharType="separate"/>
        </w:r>
        <w:r w:rsidR="004519D8" w:rsidRPr="0089105D">
          <w:rPr>
            <w:noProof/>
            <w:webHidden/>
          </w:rPr>
          <w:t>34</w:t>
        </w:r>
        <w:r w:rsidRPr="0089105D">
          <w:rPr>
            <w:noProof/>
            <w:webHidden/>
          </w:rPr>
          <w:fldChar w:fldCharType="end"/>
        </w:r>
      </w:hyperlink>
    </w:p>
    <w:p w14:paraId="1C350A32" w14:textId="7A6004B5" w:rsidR="00291F96" w:rsidRPr="0089105D" w:rsidRDefault="00291F96">
      <w:pPr>
        <w:pStyle w:val="TableofFigures"/>
        <w:tabs>
          <w:tab w:val="right" w:leader="dot" w:pos="9016"/>
        </w:tabs>
        <w:rPr>
          <w:rFonts w:eastAsiaTheme="minorEastAsia"/>
          <w:noProof/>
          <w:kern w:val="0"/>
          <w:sz w:val="22"/>
          <w:szCs w:val="22"/>
          <w14:ligatures w14:val="none"/>
        </w:rPr>
      </w:pPr>
      <w:hyperlink w:anchor="_Toc153169557" w:history="1">
        <w:r w:rsidRPr="0089105D">
          <w:rPr>
            <w:rStyle w:val="Hyperlink"/>
            <w:rFonts w:asciiTheme="majorHAnsi" w:hAnsiTheme="majorHAnsi" w:cstheme="majorHAnsi"/>
            <w:noProof/>
            <w:color w:val="auto"/>
          </w:rPr>
          <w:t>Table 17: Structure of UPR visually described.</w:t>
        </w:r>
        <w:r w:rsidRPr="0089105D">
          <w:rPr>
            <w:noProof/>
            <w:webHidden/>
          </w:rPr>
          <w:tab/>
        </w:r>
        <w:r w:rsidRPr="0089105D">
          <w:rPr>
            <w:noProof/>
            <w:webHidden/>
          </w:rPr>
          <w:fldChar w:fldCharType="begin"/>
        </w:r>
        <w:r w:rsidRPr="0089105D">
          <w:rPr>
            <w:noProof/>
            <w:webHidden/>
          </w:rPr>
          <w:instrText xml:space="preserve"> PAGEREF _Toc153169557 \h </w:instrText>
        </w:r>
        <w:r w:rsidRPr="0089105D">
          <w:rPr>
            <w:noProof/>
            <w:webHidden/>
          </w:rPr>
        </w:r>
        <w:r w:rsidRPr="0089105D">
          <w:rPr>
            <w:noProof/>
            <w:webHidden/>
          </w:rPr>
          <w:fldChar w:fldCharType="separate"/>
        </w:r>
        <w:r w:rsidR="004519D8" w:rsidRPr="0089105D">
          <w:rPr>
            <w:noProof/>
            <w:webHidden/>
          </w:rPr>
          <w:t>45</w:t>
        </w:r>
        <w:r w:rsidRPr="0089105D">
          <w:rPr>
            <w:noProof/>
            <w:webHidden/>
          </w:rPr>
          <w:fldChar w:fldCharType="end"/>
        </w:r>
      </w:hyperlink>
    </w:p>
    <w:p w14:paraId="39D4EE8A" w14:textId="63315EAE" w:rsidR="00291F96" w:rsidRPr="0089105D" w:rsidRDefault="00291F96">
      <w:pPr>
        <w:pStyle w:val="TableofFigures"/>
        <w:tabs>
          <w:tab w:val="right" w:leader="dot" w:pos="9016"/>
        </w:tabs>
        <w:rPr>
          <w:rFonts w:eastAsiaTheme="minorEastAsia"/>
          <w:noProof/>
          <w:kern w:val="0"/>
          <w:sz w:val="22"/>
          <w:szCs w:val="22"/>
          <w14:ligatures w14:val="none"/>
        </w:rPr>
      </w:pPr>
      <w:hyperlink w:anchor="_Toc153169558" w:history="1">
        <w:r w:rsidRPr="0089105D">
          <w:rPr>
            <w:rStyle w:val="Hyperlink"/>
            <w:rFonts w:asciiTheme="majorHAnsi" w:hAnsiTheme="majorHAnsi" w:cstheme="majorHAnsi"/>
            <w:noProof/>
            <w:color w:val="auto"/>
          </w:rPr>
          <w:t>Table 18: The SDG wedding cake, this table visually represents a theory by Stockholm resilience center (2016), which highlights that the fulfillment of environmental SDGs is prerequisite for fulfillment of non-environmental SDGs.</w:t>
        </w:r>
        <w:r w:rsidRPr="0089105D">
          <w:rPr>
            <w:noProof/>
            <w:webHidden/>
          </w:rPr>
          <w:tab/>
        </w:r>
        <w:r w:rsidRPr="0089105D">
          <w:rPr>
            <w:noProof/>
            <w:webHidden/>
          </w:rPr>
          <w:fldChar w:fldCharType="begin"/>
        </w:r>
        <w:r w:rsidRPr="0089105D">
          <w:rPr>
            <w:noProof/>
            <w:webHidden/>
          </w:rPr>
          <w:instrText xml:space="preserve"> PAGEREF _Toc153169558 \h </w:instrText>
        </w:r>
        <w:r w:rsidRPr="0089105D">
          <w:rPr>
            <w:noProof/>
            <w:webHidden/>
          </w:rPr>
        </w:r>
        <w:r w:rsidRPr="0089105D">
          <w:rPr>
            <w:noProof/>
            <w:webHidden/>
          </w:rPr>
          <w:fldChar w:fldCharType="separate"/>
        </w:r>
        <w:r w:rsidR="004519D8" w:rsidRPr="0089105D">
          <w:rPr>
            <w:noProof/>
            <w:webHidden/>
          </w:rPr>
          <w:t>48</w:t>
        </w:r>
        <w:r w:rsidRPr="0089105D">
          <w:rPr>
            <w:noProof/>
            <w:webHidden/>
          </w:rPr>
          <w:fldChar w:fldCharType="end"/>
        </w:r>
      </w:hyperlink>
    </w:p>
    <w:p w14:paraId="38CFFDD3" w14:textId="357B4C0B" w:rsidR="00291F96" w:rsidRPr="0089105D" w:rsidRDefault="00291F96">
      <w:pPr>
        <w:pStyle w:val="TableofFigures"/>
        <w:tabs>
          <w:tab w:val="right" w:leader="dot" w:pos="9016"/>
        </w:tabs>
        <w:rPr>
          <w:rFonts w:eastAsiaTheme="minorEastAsia"/>
          <w:noProof/>
          <w:kern w:val="0"/>
          <w:sz w:val="22"/>
          <w:szCs w:val="22"/>
          <w14:ligatures w14:val="none"/>
        </w:rPr>
      </w:pPr>
      <w:hyperlink w:anchor="_Toc153169559" w:history="1">
        <w:r w:rsidRPr="0089105D">
          <w:rPr>
            <w:rStyle w:val="Hyperlink"/>
            <w:rFonts w:asciiTheme="majorHAnsi" w:hAnsiTheme="majorHAnsi" w:cstheme="majorHAnsi"/>
            <w:noProof/>
            <w:color w:val="auto"/>
          </w:rPr>
          <w:t>Table 19: This chart visually represents the recommendation on accountability mechanism of SDGs. It is inspired by the current system of UPR.</w:t>
        </w:r>
        <w:r w:rsidRPr="0089105D">
          <w:rPr>
            <w:noProof/>
            <w:webHidden/>
          </w:rPr>
          <w:tab/>
        </w:r>
        <w:r w:rsidRPr="0089105D">
          <w:rPr>
            <w:noProof/>
            <w:webHidden/>
          </w:rPr>
          <w:fldChar w:fldCharType="begin"/>
        </w:r>
        <w:r w:rsidRPr="0089105D">
          <w:rPr>
            <w:noProof/>
            <w:webHidden/>
          </w:rPr>
          <w:instrText xml:space="preserve"> PAGEREF _Toc153169559 \h </w:instrText>
        </w:r>
        <w:r w:rsidRPr="0089105D">
          <w:rPr>
            <w:noProof/>
            <w:webHidden/>
          </w:rPr>
        </w:r>
        <w:r w:rsidRPr="0089105D">
          <w:rPr>
            <w:noProof/>
            <w:webHidden/>
          </w:rPr>
          <w:fldChar w:fldCharType="separate"/>
        </w:r>
        <w:r w:rsidR="004519D8" w:rsidRPr="0089105D">
          <w:rPr>
            <w:noProof/>
            <w:webHidden/>
          </w:rPr>
          <w:t>66</w:t>
        </w:r>
        <w:r w:rsidRPr="0089105D">
          <w:rPr>
            <w:noProof/>
            <w:webHidden/>
          </w:rPr>
          <w:fldChar w:fldCharType="end"/>
        </w:r>
      </w:hyperlink>
    </w:p>
    <w:p w14:paraId="00973328" w14:textId="5E0617DA" w:rsidR="00291F96" w:rsidRPr="0089105D" w:rsidRDefault="00291F96" w:rsidP="00DE713C">
      <w:pPr>
        <w:pStyle w:val="Heading1"/>
        <w:spacing w:line="360" w:lineRule="auto"/>
        <w:rPr>
          <w:rFonts w:cstheme="majorHAnsi"/>
          <w:b/>
          <w:bCs/>
          <w:color w:val="auto"/>
          <w:lang w:val="en-GB"/>
        </w:rPr>
      </w:pPr>
      <w:r w:rsidRPr="0089105D">
        <w:rPr>
          <w:rFonts w:asciiTheme="minorHAnsi" w:eastAsiaTheme="minorHAnsi" w:hAnsiTheme="minorHAnsi" w:cstheme="majorHAnsi"/>
          <w:b/>
          <w:bCs/>
          <w:color w:val="auto"/>
          <w:sz w:val="24"/>
          <w:szCs w:val="24"/>
          <w:lang w:val="en-GB"/>
        </w:rPr>
        <w:fldChar w:fldCharType="end"/>
      </w:r>
      <w:bookmarkStart w:id="8" w:name="_Toc153142460"/>
    </w:p>
    <w:p w14:paraId="2ACDEF9F" w14:textId="396E700B" w:rsidR="00291F96" w:rsidRPr="0089105D" w:rsidRDefault="00291F96" w:rsidP="00291F96">
      <w:pPr>
        <w:rPr>
          <w:lang w:val="en-GB"/>
        </w:rPr>
      </w:pPr>
    </w:p>
    <w:p w14:paraId="5CCD2232" w14:textId="44A5CDF4" w:rsidR="00291F96" w:rsidRPr="0089105D" w:rsidRDefault="00291F96" w:rsidP="00291F96">
      <w:pPr>
        <w:rPr>
          <w:lang w:val="en-GB"/>
        </w:rPr>
      </w:pPr>
    </w:p>
    <w:p w14:paraId="27DAD1CC" w14:textId="282EA3CC" w:rsidR="00291F96" w:rsidRPr="0089105D" w:rsidRDefault="00291F96" w:rsidP="00291F96">
      <w:pPr>
        <w:rPr>
          <w:lang w:val="en-GB"/>
        </w:rPr>
      </w:pPr>
    </w:p>
    <w:p w14:paraId="204E8641" w14:textId="7F81277A" w:rsidR="00365466" w:rsidRPr="0089105D" w:rsidRDefault="00365466" w:rsidP="00291F96">
      <w:pPr>
        <w:rPr>
          <w:lang w:val="en-GB"/>
        </w:rPr>
      </w:pPr>
    </w:p>
    <w:p w14:paraId="18D4788C" w14:textId="77777777" w:rsidR="00365466" w:rsidRPr="0089105D" w:rsidRDefault="00365466" w:rsidP="00291F96">
      <w:pPr>
        <w:rPr>
          <w:lang w:val="en-GB"/>
        </w:rPr>
      </w:pPr>
    </w:p>
    <w:p w14:paraId="317E5941" w14:textId="5732D526" w:rsidR="00291F96" w:rsidRPr="0089105D" w:rsidRDefault="00291F96" w:rsidP="00291F96">
      <w:pPr>
        <w:rPr>
          <w:lang w:val="en-GB"/>
        </w:rPr>
      </w:pPr>
    </w:p>
    <w:p w14:paraId="5427F808" w14:textId="77777777" w:rsidR="00291F96" w:rsidRPr="0089105D" w:rsidRDefault="00291F96" w:rsidP="00291F96">
      <w:pPr>
        <w:rPr>
          <w:lang w:val="en-GB"/>
        </w:rPr>
      </w:pPr>
    </w:p>
    <w:p w14:paraId="5C7785E1" w14:textId="46929627" w:rsidR="00DE713C" w:rsidRPr="0089105D" w:rsidRDefault="00DE713C" w:rsidP="00DE713C">
      <w:pPr>
        <w:pStyle w:val="Heading1"/>
        <w:spacing w:line="360" w:lineRule="auto"/>
        <w:rPr>
          <w:rFonts w:cstheme="majorHAnsi"/>
          <w:b/>
          <w:bCs/>
          <w:color w:val="auto"/>
          <w:lang w:val="en-GB"/>
        </w:rPr>
      </w:pPr>
      <w:bookmarkStart w:id="9" w:name="_Toc153187390"/>
      <w:r w:rsidRPr="0089105D">
        <w:rPr>
          <w:rFonts w:cstheme="majorHAnsi"/>
          <w:b/>
          <w:bCs/>
          <w:color w:val="auto"/>
          <w:lang w:val="en-GB"/>
        </w:rPr>
        <w:lastRenderedPageBreak/>
        <w:t xml:space="preserve">CHAPTER </w:t>
      </w:r>
      <w:r w:rsidR="005F45A0" w:rsidRPr="0089105D">
        <w:rPr>
          <w:rFonts w:cstheme="majorHAnsi"/>
          <w:b/>
          <w:bCs/>
          <w:color w:val="auto"/>
          <w:lang w:val="en-GB"/>
        </w:rPr>
        <w:t>1</w:t>
      </w:r>
      <w:r w:rsidRPr="0089105D">
        <w:rPr>
          <w:rFonts w:cstheme="majorHAnsi"/>
          <w:b/>
          <w:bCs/>
          <w:color w:val="auto"/>
          <w:lang w:val="en-GB"/>
        </w:rPr>
        <w:t>: INTRODUCTION</w:t>
      </w:r>
      <w:bookmarkEnd w:id="0"/>
      <w:bookmarkEnd w:id="8"/>
      <w:bookmarkEnd w:id="9"/>
      <w:r w:rsidRPr="0089105D">
        <w:rPr>
          <w:rFonts w:cstheme="majorHAnsi"/>
          <w:b/>
          <w:bCs/>
          <w:color w:val="auto"/>
          <w:lang w:val="en-GB"/>
        </w:rPr>
        <w:t xml:space="preserve"> </w:t>
      </w:r>
    </w:p>
    <w:p w14:paraId="7057EC8A" w14:textId="77777777" w:rsidR="00DE713C" w:rsidRPr="0089105D" w:rsidRDefault="00DE713C" w:rsidP="00DE713C">
      <w:pPr>
        <w:spacing w:line="360" w:lineRule="auto"/>
        <w:rPr>
          <w:rFonts w:asciiTheme="majorHAnsi" w:hAnsiTheme="majorHAnsi" w:cstheme="majorHAnsi"/>
          <w:b/>
          <w:bCs/>
          <w:lang w:val="cs-CZ"/>
        </w:rPr>
      </w:pPr>
    </w:p>
    <w:p w14:paraId="585470E0" w14:textId="0AB37E9B" w:rsidR="00DE713C" w:rsidRPr="0089105D" w:rsidRDefault="00DE713C" w:rsidP="00147714">
      <w:pPr>
        <w:spacing w:line="360" w:lineRule="auto"/>
        <w:jc w:val="both"/>
        <w:rPr>
          <w:rFonts w:asciiTheme="majorHAnsi" w:hAnsiTheme="majorHAnsi" w:cstheme="majorHAnsi"/>
        </w:rPr>
      </w:pPr>
      <w:r w:rsidRPr="0089105D">
        <w:rPr>
          <w:rFonts w:asciiTheme="majorHAnsi" w:hAnsiTheme="majorHAnsi" w:cstheme="majorHAnsi"/>
        </w:rPr>
        <w:t>In the late 1970s, it became increasingly apparent that "the exponential growth in production and consumption within the limited Earth ecosystem is not sustainable in the long term" (</w:t>
      </w:r>
      <w:proofErr w:type="spellStart"/>
      <w:r w:rsidRPr="0089105D">
        <w:rPr>
          <w:rFonts w:asciiTheme="majorHAnsi" w:hAnsiTheme="majorHAnsi" w:cstheme="majorHAnsi"/>
        </w:rPr>
        <w:t>Novacek</w:t>
      </w:r>
      <w:proofErr w:type="spellEnd"/>
      <w:r w:rsidRPr="0089105D">
        <w:rPr>
          <w:rFonts w:asciiTheme="majorHAnsi" w:hAnsiTheme="majorHAnsi" w:cstheme="majorHAnsi"/>
        </w:rPr>
        <w:t xml:space="preserve">, 2001). Recognizing this reality, the international community established a commission to develop a global response to sustainable development efforts (Mensah, 2019). Headed by the Prime Minister of Norway, Gro Harlem </w:t>
      </w:r>
      <w:proofErr w:type="spellStart"/>
      <w:r w:rsidRPr="0089105D">
        <w:rPr>
          <w:rFonts w:asciiTheme="majorHAnsi" w:hAnsiTheme="majorHAnsi" w:cstheme="majorHAnsi"/>
        </w:rPr>
        <w:t>Brundland</w:t>
      </w:r>
      <w:proofErr w:type="spellEnd"/>
      <w:r w:rsidRPr="0089105D">
        <w:rPr>
          <w:rFonts w:asciiTheme="majorHAnsi" w:hAnsiTheme="majorHAnsi" w:cstheme="majorHAnsi"/>
        </w:rPr>
        <w:t xml:space="preserve">, and supported by the UN-Secretary General, Javier Perez, years of research culminated in the release of the 1987 'Our Common Future Report,' a seminal document that first emphasized the critical notion of sustainable development (Purvis, 2018). Various scholars, including </w:t>
      </w:r>
      <w:proofErr w:type="spellStart"/>
      <w:r w:rsidRPr="0089105D">
        <w:rPr>
          <w:rFonts w:asciiTheme="majorHAnsi" w:hAnsiTheme="majorHAnsi" w:cstheme="majorHAnsi"/>
        </w:rPr>
        <w:t>Brundland</w:t>
      </w:r>
      <w:proofErr w:type="spellEnd"/>
      <w:r w:rsidRPr="0089105D">
        <w:rPr>
          <w:rFonts w:asciiTheme="majorHAnsi" w:hAnsiTheme="majorHAnsi" w:cstheme="majorHAnsi"/>
        </w:rPr>
        <w:t xml:space="preserve">, provided their definitions of sustainable development. </w:t>
      </w:r>
      <w:r w:rsidR="0089105D" w:rsidRPr="0089105D">
        <w:rPr>
          <w:rFonts w:asciiTheme="majorHAnsi" w:hAnsiTheme="majorHAnsi" w:cstheme="majorHAnsi"/>
        </w:rPr>
        <w:t xml:space="preserve">On that note, </w:t>
      </w:r>
      <w:proofErr w:type="spellStart"/>
      <w:r w:rsidRPr="0089105D">
        <w:rPr>
          <w:rFonts w:asciiTheme="majorHAnsi" w:hAnsiTheme="majorHAnsi" w:cstheme="majorHAnsi"/>
        </w:rPr>
        <w:t>Brundland's</w:t>
      </w:r>
      <w:proofErr w:type="spellEnd"/>
      <w:r w:rsidRPr="0089105D">
        <w:rPr>
          <w:rFonts w:asciiTheme="majorHAnsi" w:hAnsiTheme="majorHAnsi" w:cstheme="majorHAnsi"/>
        </w:rPr>
        <w:t xml:space="preserve"> definition, for instance, describes it as </w:t>
      </w:r>
      <w:r w:rsidR="0089105D" w:rsidRPr="0089105D">
        <w:rPr>
          <w:rFonts w:asciiTheme="majorHAnsi" w:hAnsiTheme="majorHAnsi" w:cstheme="majorHAnsi"/>
        </w:rPr>
        <w:t>“</w:t>
      </w:r>
      <w:r w:rsidRPr="0089105D">
        <w:rPr>
          <w:rFonts w:asciiTheme="majorHAnsi" w:hAnsiTheme="majorHAnsi" w:cstheme="majorHAnsi"/>
        </w:rPr>
        <w:t>development that meets the needs of the present while safeguarding Earth's life-support system, on which the welfare of current and future generations depends</w:t>
      </w:r>
      <w:r w:rsidR="0089105D" w:rsidRPr="0089105D">
        <w:rPr>
          <w:rFonts w:asciiTheme="majorHAnsi" w:hAnsiTheme="majorHAnsi" w:cstheme="majorHAnsi"/>
        </w:rPr>
        <w:t>”</w:t>
      </w:r>
      <w:r w:rsidRPr="0089105D">
        <w:rPr>
          <w:rFonts w:asciiTheme="majorHAnsi" w:hAnsiTheme="majorHAnsi" w:cstheme="majorHAnsi"/>
        </w:rPr>
        <w:t xml:space="preserve"> (United Nations, 1987).</w:t>
      </w:r>
    </w:p>
    <w:p w14:paraId="41063BAE" w14:textId="77777777" w:rsidR="00147714" w:rsidRPr="0089105D" w:rsidRDefault="00147714" w:rsidP="00147714">
      <w:pPr>
        <w:spacing w:line="360" w:lineRule="auto"/>
        <w:jc w:val="both"/>
        <w:rPr>
          <w:rFonts w:asciiTheme="majorHAnsi" w:hAnsiTheme="majorHAnsi" w:cstheme="majorHAnsi"/>
        </w:rPr>
      </w:pPr>
    </w:p>
    <w:p w14:paraId="20039C54" w14:textId="15C71F98" w:rsidR="00DE713C" w:rsidRPr="0089105D" w:rsidRDefault="00DE713C" w:rsidP="00147714">
      <w:pPr>
        <w:spacing w:line="360" w:lineRule="auto"/>
        <w:jc w:val="both"/>
        <w:rPr>
          <w:rFonts w:asciiTheme="majorHAnsi" w:hAnsiTheme="majorHAnsi" w:cstheme="majorHAnsi"/>
        </w:rPr>
      </w:pPr>
      <w:r w:rsidRPr="0089105D">
        <w:rPr>
          <w:rFonts w:asciiTheme="majorHAnsi" w:hAnsiTheme="majorHAnsi" w:cstheme="majorHAnsi"/>
        </w:rPr>
        <w:t xml:space="preserve">Building on this foundation, the United Nations currently defines sustainable development as </w:t>
      </w:r>
      <w:r w:rsidR="0089105D" w:rsidRPr="0089105D">
        <w:rPr>
          <w:rFonts w:asciiTheme="majorHAnsi" w:hAnsiTheme="majorHAnsi" w:cstheme="majorHAnsi"/>
        </w:rPr>
        <w:t>“</w:t>
      </w:r>
      <w:r w:rsidRPr="0089105D">
        <w:rPr>
          <w:rFonts w:asciiTheme="majorHAnsi" w:hAnsiTheme="majorHAnsi" w:cstheme="majorHAnsi"/>
        </w:rPr>
        <w:t>development that meets the needs of the present without compromising the ability of future generations to meet their own needs</w:t>
      </w:r>
      <w:r w:rsidR="0089105D" w:rsidRPr="0089105D">
        <w:rPr>
          <w:rFonts w:asciiTheme="majorHAnsi" w:hAnsiTheme="majorHAnsi" w:cstheme="majorHAnsi"/>
        </w:rPr>
        <w:t>”</w:t>
      </w:r>
      <w:r w:rsidRPr="0089105D">
        <w:rPr>
          <w:rFonts w:asciiTheme="majorHAnsi" w:hAnsiTheme="majorHAnsi" w:cstheme="majorHAnsi"/>
        </w:rPr>
        <w:t xml:space="preserve"> (United Nations, 2023). Over the years, diverse approaches have been pursued to achieve systematic sustainable development, resulting in numerous international legal frameworks and policies of significance on local, national, regional, or international levels (Chassagne, 2020).</w:t>
      </w:r>
    </w:p>
    <w:p w14:paraId="6AE59B20" w14:textId="77777777" w:rsidR="00147714" w:rsidRPr="0089105D" w:rsidRDefault="00147714" w:rsidP="00147714">
      <w:pPr>
        <w:spacing w:line="360" w:lineRule="auto"/>
        <w:jc w:val="both"/>
        <w:rPr>
          <w:rFonts w:asciiTheme="majorHAnsi" w:hAnsiTheme="majorHAnsi" w:cstheme="majorHAnsi"/>
        </w:rPr>
      </w:pPr>
    </w:p>
    <w:p w14:paraId="658A5F52" w14:textId="272C55D5" w:rsidR="00DE713C" w:rsidRPr="0089105D" w:rsidRDefault="00DE713C" w:rsidP="00147714">
      <w:pPr>
        <w:spacing w:line="360" w:lineRule="auto"/>
        <w:jc w:val="both"/>
        <w:rPr>
          <w:rFonts w:asciiTheme="majorHAnsi" w:hAnsiTheme="majorHAnsi" w:cstheme="majorHAnsi"/>
        </w:rPr>
      </w:pPr>
      <w:r w:rsidRPr="0089105D">
        <w:rPr>
          <w:rFonts w:asciiTheme="majorHAnsi" w:hAnsiTheme="majorHAnsi" w:cstheme="majorHAnsi"/>
        </w:rPr>
        <w:t>In 2000, world leaders reconvened at the Millennium Summit in New York for three days, bringing together approximately 150 global leaders. This summit yielded the Millennium Development Goals (MDGs), comprising eight objectives aimed at eradicating extreme poverty, achieving universal primary education, promoting gender equality, reducing child mortality, improving maternal health, combating HIV/AIDS, malaria, and other diseases, ensuring environmental sustainability, and creating a global partnership for development. The ambitious timeline for achieving these goals was set for 2015 (</w:t>
      </w:r>
      <w:proofErr w:type="spellStart"/>
      <w:r w:rsidRPr="0089105D">
        <w:rPr>
          <w:rFonts w:asciiTheme="majorHAnsi" w:hAnsiTheme="majorHAnsi" w:cstheme="majorHAnsi"/>
        </w:rPr>
        <w:t>Lomazzi</w:t>
      </w:r>
      <w:proofErr w:type="spellEnd"/>
      <w:r w:rsidRPr="0089105D">
        <w:rPr>
          <w:rFonts w:asciiTheme="majorHAnsi" w:hAnsiTheme="majorHAnsi" w:cstheme="majorHAnsi"/>
        </w:rPr>
        <w:t xml:space="preserve"> et al., 2014, p. 3).</w:t>
      </w:r>
    </w:p>
    <w:p w14:paraId="2AEE2F2D" w14:textId="77777777" w:rsidR="00147714" w:rsidRPr="0089105D" w:rsidRDefault="00147714" w:rsidP="00147714">
      <w:pPr>
        <w:spacing w:line="360" w:lineRule="auto"/>
        <w:jc w:val="both"/>
        <w:rPr>
          <w:rFonts w:asciiTheme="majorHAnsi" w:hAnsiTheme="majorHAnsi" w:cstheme="majorHAnsi"/>
        </w:rPr>
      </w:pPr>
    </w:p>
    <w:p w14:paraId="1E2E1771" w14:textId="77777777" w:rsidR="00147714" w:rsidRPr="0089105D" w:rsidRDefault="00DE713C" w:rsidP="00147714">
      <w:pPr>
        <w:spacing w:line="360" w:lineRule="auto"/>
        <w:jc w:val="both"/>
        <w:rPr>
          <w:rFonts w:asciiTheme="majorHAnsi" w:hAnsiTheme="majorHAnsi" w:cstheme="majorHAnsi"/>
        </w:rPr>
      </w:pPr>
      <w:r w:rsidRPr="0089105D">
        <w:rPr>
          <w:rFonts w:asciiTheme="majorHAnsi" w:hAnsiTheme="majorHAnsi" w:cstheme="majorHAnsi"/>
        </w:rPr>
        <w:t>The MDGs, despite their ambitious nature, garnered widespread support and were considered the most comprehensive development goals established up to that point (</w:t>
      </w:r>
      <w:proofErr w:type="spellStart"/>
      <w:r w:rsidRPr="0089105D">
        <w:rPr>
          <w:rFonts w:asciiTheme="majorHAnsi" w:hAnsiTheme="majorHAnsi" w:cstheme="majorHAnsi"/>
        </w:rPr>
        <w:t>Lomazzi</w:t>
      </w:r>
      <w:proofErr w:type="spellEnd"/>
      <w:r w:rsidRPr="0089105D">
        <w:rPr>
          <w:rFonts w:asciiTheme="majorHAnsi" w:hAnsiTheme="majorHAnsi" w:cstheme="majorHAnsi"/>
        </w:rPr>
        <w:t xml:space="preserve"> et al., 2014). However, critics such as Jakob (2017) and </w:t>
      </w:r>
      <w:proofErr w:type="spellStart"/>
      <w:r w:rsidRPr="0089105D">
        <w:rPr>
          <w:rFonts w:asciiTheme="majorHAnsi" w:hAnsiTheme="majorHAnsi" w:cstheme="majorHAnsi"/>
        </w:rPr>
        <w:t>Lomazzi</w:t>
      </w:r>
      <w:proofErr w:type="spellEnd"/>
      <w:r w:rsidRPr="0089105D">
        <w:rPr>
          <w:rFonts w:asciiTheme="majorHAnsi" w:hAnsiTheme="majorHAnsi" w:cstheme="majorHAnsi"/>
        </w:rPr>
        <w:t xml:space="preserve"> et al. (2014) questioned their effectiveness, </w:t>
      </w:r>
      <w:r w:rsidRPr="0089105D">
        <w:rPr>
          <w:rFonts w:asciiTheme="majorHAnsi" w:hAnsiTheme="majorHAnsi" w:cstheme="majorHAnsi"/>
        </w:rPr>
        <w:lastRenderedPageBreak/>
        <w:t>citing ambiguity, excessive ambition, inefficient data collection, and a lack of appropriate leadership in enforcement. Issues arising from clashes among specific MDGs, particularly in education, health, and gender, were also noted, along with the oversight of environmental destruction linked to the fulfillment of other MDGs (Jakob, 2017, p. 2).</w:t>
      </w:r>
    </w:p>
    <w:p w14:paraId="401E530E" w14:textId="77777777" w:rsidR="00147714" w:rsidRPr="0089105D" w:rsidRDefault="00147714" w:rsidP="00147714">
      <w:pPr>
        <w:spacing w:line="360" w:lineRule="auto"/>
        <w:jc w:val="both"/>
        <w:rPr>
          <w:rFonts w:asciiTheme="majorHAnsi" w:hAnsiTheme="majorHAnsi" w:cstheme="majorHAnsi"/>
        </w:rPr>
      </w:pPr>
    </w:p>
    <w:p w14:paraId="732311D5" w14:textId="3BEC17C0" w:rsidR="00283D90" w:rsidRPr="0089105D" w:rsidRDefault="00DE713C" w:rsidP="00147714">
      <w:pPr>
        <w:spacing w:line="360" w:lineRule="auto"/>
        <w:jc w:val="both"/>
        <w:rPr>
          <w:rFonts w:asciiTheme="majorHAnsi" w:hAnsiTheme="majorHAnsi" w:cstheme="majorHAnsi"/>
        </w:rPr>
      </w:pPr>
      <w:r w:rsidRPr="0089105D">
        <w:rPr>
          <w:rFonts w:asciiTheme="majorHAnsi" w:hAnsiTheme="majorHAnsi" w:cstheme="majorHAnsi"/>
        </w:rPr>
        <w:t>Nevertheless, the MDGs served as a catalyst for change, contributing, for instance, to the significant reduction of the population living in extreme poverty (</w:t>
      </w:r>
      <w:proofErr w:type="spellStart"/>
      <w:r w:rsidRPr="0089105D">
        <w:rPr>
          <w:rFonts w:asciiTheme="majorHAnsi" w:hAnsiTheme="majorHAnsi" w:cstheme="majorHAnsi"/>
        </w:rPr>
        <w:t>Aseefa</w:t>
      </w:r>
      <w:proofErr w:type="spellEnd"/>
      <w:r w:rsidRPr="0089105D">
        <w:rPr>
          <w:rFonts w:asciiTheme="majorHAnsi" w:hAnsiTheme="majorHAnsi" w:cstheme="majorHAnsi"/>
        </w:rPr>
        <w:t>, 2017, p. 2). Recognizing the need for a successor, the Sustainable Development Goals (SDGs) were introduced, extending the agenda into other areas and incorporating an additional nine goals. These new goals predominantly focus on principles that embed environmentally sustainable practices in the realms of water, land, ecosystems, energy, climate change, sustainable cities, and the deepening of specific indicators and goals. The SDGs were formulated at the United Nations Conference on Sustainable Development in 2012 in Rio de Janeiro (</w:t>
      </w:r>
      <w:proofErr w:type="spellStart"/>
      <w:r w:rsidR="00365466" w:rsidRPr="0089105D">
        <w:rPr>
          <w:rFonts w:asciiTheme="majorHAnsi" w:hAnsiTheme="majorHAnsi" w:cstheme="majorHAnsi"/>
        </w:rPr>
        <w:t>Issever</w:t>
      </w:r>
      <w:proofErr w:type="spellEnd"/>
      <w:r w:rsidR="00365466" w:rsidRPr="0089105D">
        <w:rPr>
          <w:rFonts w:asciiTheme="majorHAnsi" w:hAnsiTheme="majorHAnsi" w:cstheme="majorHAnsi"/>
        </w:rPr>
        <w:t xml:space="preserve">, </w:t>
      </w:r>
      <w:proofErr w:type="spellStart"/>
      <w:r w:rsidRPr="0089105D">
        <w:rPr>
          <w:rFonts w:asciiTheme="majorHAnsi" w:hAnsiTheme="majorHAnsi" w:cstheme="majorHAnsi"/>
        </w:rPr>
        <w:t>Grochova</w:t>
      </w:r>
      <w:proofErr w:type="spellEnd"/>
      <w:r w:rsidRPr="0089105D">
        <w:rPr>
          <w:rFonts w:asciiTheme="majorHAnsi" w:hAnsiTheme="majorHAnsi" w:cstheme="majorHAnsi"/>
        </w:rPr>
        <w:t xml:space="preserve"> and Litzman, 2021, p. 712).</w:t>
      </w:r>
      <w:r w:rsidR="00147714" w:rsidRPr="0089105D">
        <w:rPr>
          <w:rFonts w:asciiTheme="majorHAnsi" w:hAnsiTheme="majorHAnsi" w:cstheme="majorHAnsi"/>
        </w:rPr>
        <w:t xml:space="preserve"> </w:t>
      </w:r>
      <w:r w:rsidRPr="0089105D">
        <w:rPr>
          <w:rFonts w:asciiTheme="majorHAnsi" w:hAnsiTheme="majorHAnsi" w:cstheme="majorHAnsi"/>
        </w:rPr>
        <w:t xml:space="preserve">However, the SDGs faced criticism during negotiations, with scholars such as Griggs et al. (2014) expressing skepticism about the framework's efficiency and Constanza et al. (2016) highlighting the lack of required </w:t>
      </w:r>
      <w:r w:rsidR="00147714" w:rsidRPr="0089105D">
        <w:rPr>
          <w:rFonts w:asciiTheme="majorHAnsi" w:hAnsiTheme="majorHAnsi" w:cstheme="majorHAnsi"/>
        </w:rPr>
        <w:t>“</w:t>
      </w:r>
      <w:r w:rsidRPr="0089105D">
        <w:rPr>
          <w:rFonts w:asciiTheme="majorHAnsi" w:hAnsiTheme="majorHAnsi" w:cstheme="majorHAnsi"/>
        </w:rPr>
        <w:t>end goals</w:t>
      </w:r>
      <w:r w:rsidR="00147714" w:rsidRPr="0089105D">
        <w:rPr>
          <w:rFonts w:asciiTheme="majorHAnsi" w:hAnsiTheme="majorHAnsi" w:cstheme="majorHAnsi"/>
        </w:rPr>
        <w:t>”</w:t>
      </w:r>
      <w:r w:rsidRPr="0089105D">
        <w:rPr>
          <w:rFonts w:asciiTheme="majorHAnsi" w:hAnsiTheme="majorHAnsi" w:cstheme="majorHAnsi"/>
        </w:rPr>
        <w:t xml:space="preserve"> as an approval aspect for states regarding their compliance </w:t>
      </w:r>
      <w:r w:rsidR="00CB13F4" w:rsidRPr="0089105D">
        <w:rPr>
          <w:rFonts w:asciiTheme="majorHAnsi" w:hAnsiTheme="majorHAnsi" w:cstheme="majorHAnsi"/>
        </w:rPr>
        <w:t xml:space="preserve">amongst others. </w:t>
      </w:r>
      <w:r w:rsidRPr="0089105D">
        <w:rPr>
          <w:rFonts w:asciiTheme="majorHAnsi" w:hAnsiTheme="majorHAnsi" w:cstheme="majorHAnsi"/>
        </w:rPr>
        <w:t>(Griggs et al., 2014, p. 306; Constanza et al., 2016, p. 354).</w:t>
      </w:r>
      <w:r w:rsidR="00CB13F4" w:rsidRPr="0089105D">
        <w:rPr>
          <w:rFonts w:asciiTheme="majorHAnsi" w:hAnsiTheme="majorHAnsi" w:cstheme="majorHAnsi"/>
        </w:rPr>
        <w:t xml:space="preserve"> </w:t>
      </w:r>
    </w:p>
    <w:p w14:paraId="1D6EE942" w14:textId="77777777" w:rsidR="00283D90" w:rsidRPr="0089105D" w:rsidRDefault="00283D90" w:rsidP="00147714">
      <w:pPr>
        <w:spacing w:line="360" w:lineRule="auto"/>
        <w:jc w:val="both"/>
        <w:rPr>
          <w:rFonts w:asciiTheme="majorHAnsi" w:hAnsiTheme="majorHAnsi" w:cstheme="majorHAnsi"/>
        </w:rPr>
      </w:pPr>
    </w:p>
    <w:p w14:paraId="1BBB10FB" w14:textId="237011FD" w:rsidR="00DE713C" w:rsidRPr="0089105D" w:rsidRDefault="00283D90" w:rsidP="00147714">
      <w:pPr>
        <w:spacing w:line="360" w:lineRule="auto"/>
        <w:jc w:val="both"/>
        <w:rPr>
          <w:rFonts w:asciiTheme="majorHAnsi" w:hAnsiTheme="majorHAnsi" w:cstheme="majorHAnsi"/>
        </w:rPr>
      </w:pPr>
      <w:r w:rsidRPr="0089105D">
        <w:rPr>
          <w:rFonts w:asciiTheme="majorHAnsi" w:hAnsiTheme="majorHAnsi" w:cstheme="majorHAnsi"/>
        </w:rPr>
        <w:t xml:space="preserve">This </w:t>
      </w:r>
      <w:r w:rsidRPr="0089105D">
        <w:rPr>
          <w:rFonts w:asciiTheme="majorHAnsi" w:hAnsiTheme="majorHAnsi" w:cstheme="majorHAnsi"/>
        </w:rPr>
        <w:t>M</w:t>
      </w:r>
      <w:r w:rsidRPr="0089105D">
        <w:rPr>
          <w:rFonts w:asciiTheme="majorHAnsi" w:hAnsiTheme="majorHAnsi" w:cstheme="majorHAnsi"/>
        </w:rPr>
        <w:t xml:space="preserve">aster </w:t>
      </w:r>
      <w:r w:rsidRPr="0089105D">
        <w:rPr>
          <w:rFonts w:asciiTheme="majorHAnsi" w:hAnsiTheme="majorHAnsi" w:cstheme="majorHAnsi"/>
        </w:rPr>
        <w:t>T</w:t>
      </w:r>
      <w:r w:rsidRPr="0089105D">
        <w:rPr>
          <w:rFonts w:asciiTheme="majorHAnsi" w:hAnsiTheme="majorHAnsi" w:cstheme="majorHAnsi"/>
        </w:rPr>
        <w:t>hesis explores a highly relevant topic as the world approaches the seven-year mark from the looming deadline for the fulfillment of the Sustainable Development Goals (SDGs). The significance of this inquiry lies in its potential implications for the subsequent generation of SDGs beyond 2030. Assessing the current framework becomes crucial, considering the probable continuation of a similar concept. The objective is to identify areas for improvement and refinement, shaping the foundation for the evolution of future global sustainability goals.</w:t>
      </w:r>
    </w:p>
    <w:p w14:paraId="06F78673" w14:textId="1313B4A2" w:rsidR="00DE713C" w:rsidRPr="0089105D" w:rsidRDefault="00DE713C" w:rsidP="00DE713C">
      <w:pPr>
        <w:rPr>
          <w:rFonts w:asciiTheme="majorHAnsi" w:hAnsiTheme="majorHAnsi" w:cstheme="majorHAnsi"/>
          <w:sz w:val="28"/>
          <w:szCs w:val="28"/>
          <w:lang w:val="en-GB"/>
        </w:rPr>
      </w:pPr>
    </w:p>
    <w:p w14:paraId="760556FB" w14:textId="45E6DADD" w:rsidR="0089105D" w:rsidRPr="0089105D" w:rsidRDefault="0089105D" w:rsidP="00DE713C">
      <w:pPr>
        <w:rPr>
          <w:rFonts w:asciiTheme="majorHAnsi" w:hAnsiTheme="majorHAnsi" w:cstheme="majorHAnsi"/>
          <w:sz w:val="28"/>
          <w:szCs w:val="28"/>
          <w:lang w:val="en-GB"/>
        </w:rPr>
      </w:pPr>
    </w:p>
    <w:p w14:paraId="4467178B" w14:textId="4B8C5BF0" w:rsidR="0089105D" w:rsidRPr="0089105D" w:rsidRDefault="0089105D" w:rsidP="00DE713C">
      <w:pPr>
        <w:rPr>
          <w:rFonts w:asciiTheme="majorHAnsi" w:hAnsiTheme="majorHAnsi" w:cstheme="majorHAnsi"/>
          <w:sz w:val="28"/>
          <w:szCs w:val="28"/>
          <w:lang w:val="en-GB"/>
        </w:rPr>
      </w:pPr>
    </w:p>
    <w:p w14:paraId="62AFEF4F" w14:textId="4536FD1A" w:rsidR="0089105D" w:rsidRPr="0089105D" w:rsidRDefault="0089105D" w:rsidP="00DE713C">
      <w:pPr>
        <w:rPr>
          <w:rFonts w:asciiTheme="majorHAnsi" w:hAnsiTheme="majorHAnsi" w:cstheme="majorHAnsi"/>
          <w:sz w:val="28"/>
          <w:szCs w:val="28"/>
          <w:lang w:val="en-GB"/>
        </w:rPr>
      </w:pPr>
    </w:p>
    <w:p w14:paraId="6998A4B0" w14:textId="2B7D834B" w:rsidR="0089105D" w:rsidRPr="0089105D" w:rsidRDefault="0089105D" w:rsidP="00DE713C">
      <w:pPr>
        <w:rPr>
          <w:rFonts w:asciiTheme="majorHAnsi" w:hAnsiTheme="majorHAnsi" w:cstheme="majorHAnsi"/>
          <w:sz w:val="28"/>
          <w:szCs w:val="28"/>
          <w:lang w:val="en-GB"/>
        </w:rPr>
      </w:pPr>
    </w:p>
    <w:p w14:paraId="0922AF96" w14:textId="61F41615" w:rsidR="0089105D" w:rsidRPr="0089105D" w:rsidRDefault="0089105D" w:rsidP="00DE713C">
      <w:pPr>
        <w:rPr>
          <w:rFonts w:asciiTheme="majorHAnsi" w:hAnsiTheme="majorHAnsi" w:cstheme="majorHAnsi"/>
          <w:sz w:val="28"/>
          <w:szCs w:val="28"/>
          <w:lang w:val="en-GB"/>
        </w:rPr>
      </w:pPr>
    </w:p>
    <w:p w14:paraId="6C001C09" w14:textId="3BC0816A" w:rsidR="0089105D" w:rsidRPr="0089105D" w:rsidRDefault="0089105D" w:rsidP="00DE713C">
      <w:pPr>
        <w:rPr>
          <w:rFonts w:asciiTheme="majorHAnsi" w:hAnsiTheme="majorHAnsi" w:cstheme="majorHAnsi"/>
          <w:sz w:val="28"/>
          <w:szCs w:val="28"/>
          <w:lang w:val="en-GB"/>
        </w:rPr>
      </w:pPr>
    </w:p>
    <w:p w14:paraId="633197FF" w14:textId="77777777" w:rsidR="0089105D" w:rsidRPr="0089105D" w:rsidRDefault="0089105D" w:rsidP="00DE713C">
      <w:pPr>
        <w:rPr>
          <w:rFonts w:asciiTheme="majorHAnsi" w:hAnsiTheme="majorHAnsi" w:cstheme="majorHAnsi"/>
          <w:sz w:val="28"/>
          <w:szCs w:val="28"/>
          <w:lang w:val="en-GB"/>
        </w:rPr>
      </w:pPr>
    </w:p>
    <w:p w14:paraId="60ED96A8" w14:textId="6984A2DE" w:rsidR="00DE713C" w:rsidRPr="0089105D" w:rsidRDefault="00DE713C" w:rsidP="00DE713C">
      <w:pPr>
        <w:pStyle w:val="Heading2"/>
        <w:rPr>
          <w:rFonts w:cstheme="majorHAnsi"/>
          <w:b/>
          <w:bCs/>
          <w:color w:val="auto"/>
          <w:sz w:val="28"/>
          <w:szCs w:val="28"/>
        </w:rPr>
      </w:pPr>
      <w:bookmarkStart w:id="10" w:name="_Toc132266308"/>
      <w:bookmarkStart w:id="11" w:name="_Toc153142461"/>
      <w:bookmarkStart w:id="12" w:name="_Toc153187391"/>
      <w:r w:rsidRPr="0089105D">
        <w:rPr>
          <w:rFonts w:cstheme="majorHAnsi"/>
          <w:b/>
          <w:bCs/>
          <w:color w:val="auto"/>
          <w:sz w:val="28"/>
          <w:szCs w:val="28"/>
        </w:rPr>
        <w:lastRenderedPageBreak/>
        <w:t xml:space="preserve">1.2 AIM OF THIS </w:t>
      </w:r>
      <w:bookmarkEnd w:id="10"/>
      <w:r w:rsidR="00CB13F4" w:rsidRPr="0089105D">
        <w:rPr>
          <w:rFonts w:cstheme="majorHAnsi"/>
          <w:b/>
          <w:bCs/>
          <w:color w:val="auto"/>
          <w:sz w:val="28"/>
          <w:szCs w:val="28"/>
        </w:rPr>
        <w:t>MASTER THESIS</w:t>
      </w:r>
      <w:bookmarkEnd w:id="11"/>
      <w:bookmarkEnd w:id="12"/>
      <w:r w:rsidR="00CB13F4" w:rsidRPr="0089105D">
        <w:rPr>
          <w:rFonts w:cstheme="majorHAnsi"/>
          <w:b/>
          <w:bCs/>
          <w:color w:val="auto"/>
          <w:sz w:val="28"/>
          <w:szCs w:val="28"/>
        </w:rPr>
        <w:t xml:space="preserve"> </w:t>
      </w:r>
    </w:p>
    <w:p w14:paraId="655FBF95" w14:textId="77777777" w:rsidR="00147714" w:rsidRPr="0089105D" w:rsidRDefault="00147714" w:rsidP="00147714">
      <w:pPr>
        <w:spacing w:line="360" w:lineRule="auto"/>
        <w:jc w:val="both"/>
        <w:rPr>
          <w:rFonts w:asciiTheme="majorHAnsi" w:eastAsia="Times New Roman" w:hAnsiTheme="majorHAnsi" w:cstheme="majorHAnsi"/>
          <w:kern w:val="0"/>
          <w:lang w:eastAsia="en-GB"/>
          <w14:ligatures w14:val="none"/>
        </w:rPr>
      </w:pPr>
    </w:p>
    <w:p w14:paraId="1444F911" w14:textId="77777777" w:rsidR="00FD006B" w:rsidRPr="0089105D" w:rsidRDefault="00FD006B" w:rsidP="00FD006B">
      <w:pPr>
        <w:spacing w:line="360" w:lineRule="auto"/>
        <w:jc w:val="both"/>
        <w:rPr>
          <w:rFonts w:asciiTheme="majorHAnsi" w:eastAsia="Times New Roman" w:hAnsiTheme="majorHAnsi" w:cstheme="majorHAnsi"/>
          <w:kern w:val="0"/>
          <w:lang w:eastAsia="en-GB"/>
          <w14:ligatures w14:val="none"/>
        </w:rPr>
      </w:pPr>
      <w:r w:rsidRPr="0089105D">
        <w:rPr>
          <w:rFonts w:asciiTheme="majorHAnsi" w:eastAsia="Times New Roman" w:hAnsiTheme="majorHAnsi" w:cstheme="majorHAnsi"/>
          <w:kern w:val="0"/>
          <w:lang w:eastAsia="en-GB"/>
          <w14:ligatures w14:val="none"/>
        </w:rPr>
        <w:t>This Master Thesis has a primary objective of conducting a thorough analysis to closely examine the inherent weaknesses in the Sustainable Development Goals (SDGs) framework. The study focuses on analyzing weaknesses related to the relationships among SDGs, their synergy, targets, indicators, monitoring, accountability mechanisms, and other pertinent aspects.</w:t>
      </w:r>
    </w:p>
    <w:p w14:paraId="3513AE82" w14:textId="77777777" w:rsidR="00FD006B" w:rsidRPr="0089105D" w:rsidRDefault="00FD006B" w:rsidP="00FD006B">
      <w:pPr>
        <w:spacing w:line="360" w:lineRule="auto"/>
        <w:jc w:val="both"/>
        <w:rPr>
          <w:rFonts w:asciiTheme="majorHAnsi" w:eastAsia="Times New Roman" w:hAnsiTheme="majorHAnsi" w:cstheme="majorHAnsi"/>
          <w:kern w:val="0"/>
          <w:lang w:eastAsia="en-GB"/>
          <w14:ligatures w14:val="none"/>
        </w:rPr>
      </w:pPr>
    </w:p>
    <w:p w14:paraId="62B163CD" w14:textId="47B7C3F6" w:rsidR="00147714" w:rsidRPr="0089105D" w:rsidRDefault="00FD006B" w:rsidP="00FD006B">
      <w:pPr>
        <w:spacing w:line="360" w:lineRule="auto"/>
        <w:jc w:val="both"/>
        <w:rPr>
          <w:rFonts w:asciiTheme="majorHAnsi" w:eastAsia="Times New Roman" w:hAnsiTheme="majorHAnsi" w:cstheme="majorHAnsi"/>
          <w:kern w:val="0"/>
          <w:lang w:eastAsia="en-GB"/>
          <w14:ligatures w14:val="none"/>
        </w:rPr>
      </w:pPr>
      <w:r w:rsidRPr="0089105D">
        <w:rPr>
          <w:rFonts w:asciiTheme="majorHAnsi" w:eastAsia="Times New Roman" w:hAnsiTheme="majorHAnsi" w:cstheme="majorHAnsi"/>
          <w:kern w:val="0"/>
          <w:lang w:eastAsia="en-GB"/>
          <w14:ligatures w14:val="none"/>
        </w:rPr>
        <w:t>In addition to scrutinizing the inter-SDG relationships, this thesis aims to identify and address notable deficiencies within the SDGs framework. Drawing from relevant literature, the Master Thesis aims to provide recommendations that could effectively address the identified issues. The overarching goal is to contribute insights that can enhance the robustness and effectiveness of the SDGs as a comprehensive framework for sustainable development.</w:t>
      </w:r>
    </w:p>
    <w:p w14:paraId="2B78B3E8" w14:textId="10724748" w:rsidR="00DE713C" w:rsidRPr="0089105D" w:rsidRDefault="00DE713C" w:rsidP="00DE713C">
      <w:pPr>
        <w:spacing w:line="360" w:lineRule="auto"/>
        <w:jc w:val="both"/>
        <w:rPr>
          <w:rFonts w:asciiTheme="majorHAnsi" w:hAnsiTheme="majorHAnsi" w:cstheme="majorHAnsi"/>
        </w:rPr>
      </w:pPr>
    </w:p>
    <w:p w14:paraId="0E10EC02" w14:textId="0A23FF76" w:rsidR="0089105D" w:rsidRPr="0089105D" w:rsidRDefault="007A572E" w:rsidP="007A572E">
      <w:pPr>
        <w:spacing w:line="360" w:lineRule="auto"/>
        <w:jc w:val="both"/>
        <w:rPr>
          <w:rFonts w:asciiTheme="majorHAnsi" w:hAnsiTheme="majorHAnsi" w:cstheme="majorHAnsi"/>
          <w:b/>
          <w:bCs/>
        </w:rPr>
      </w:pPr>
      <w:r w:rsidRPr="0089105D">
        <w:rPr>
          <w:rFonts w:asciiTheme="majorHAnsi" w:hAnsiTheme="majorHAnsi" w:cstheme="majorHAnsi"/>
        </w:rPr>
        <w:t xml:space="preserve">Therefore, </w:t>
      </w:r>
      <w:r w:rsidR="005E2AFF" w:rsidRPr="0089105D">
        <w:rPr>
          <w:rFonts w:asciiTheme="majorHAnsi" w:hAnsiTheme="majorHAnsi" w:cstheme="majorHAnsi"/>
        </w:rPr>
        <w:t>learning on the results from the aforementioned data analysis</w:t>
      </w:r>
      <w:r w:rsidRPr="0089105D">
        <w:rPr>
          <w:rFonts w:asciiTheme="majorHAnsi" w:hAnsiTheme="majorHAnsi" w:cstheme="majorHAnsi"/>
        </w:rPr>
        <w:t>, this Master Thesis aims to answer the following central question</w:t>
      </w:r>
      <w:r w:rsidRPr="0089105D">
        <w:rPr>
          <w:rFonts w:asciiTheme="majorHAnsi" w:hAnsiTheme="majorHAnsi" w:cstheme="majorHAnsi"/>
          <w:b/>
          <w:bCs/>
        </w:rPr>
        <w:t xml:space="preserve">: </w:t>
      </w:r>
      <w:r w:rsidR="0089105D" w:rsidRPr="0089105D">
        <w:rPr>
          <w:rFonts w:asciiTheme="majorHAnsi" w:hAnsiTheme="majorHAnsi" w:cstheme="majorHAnsi"/>
          <w:b/>
          <w:bCs/>
        </w:rPr>
        <w:t xml:space="preserve">What are the main critical points and weaknesses of Sustainable Development Goals? </w:t>
      </w:r>
    </w:p>
    <w:p w14:paraId="7A55C86E" w14:textId="77777777" w:rsidR="0089105D" w:rsidRPr="0089105D" w:rsidRDefault="0089105D" w:rsidP="007A572E">
      <w:pPr>
        <w:spacing w:line="360" w:lineRule="auto"/>
        <w:jc w:val="both"/>
        <w:rPr>
          <w:rFonts w:asciiTheme="majorHAnsi" w:hAnsiTheme="majorHAnsi" w:cstheme="majorHAnsi"/>
        </w:rPr>
      </w:pPr>
    </w:p>
    <w:p w14:paraId="70F8D8AE" w14:textId="3A3ABC47" w:rsidR="007A572E" w:rsidRPr="0089105D" w:rsidRDefault="007A572E" w:rsidP="007A572E">
      <w:pPr>
        <w:spacing w:line="360" w:lineRule="auto"/>
        <w:jc w:val="both"/>
        <w:rPr>
          <w:rFonts w:asciiTheme="majorHAnsi" w:hAnsiTheme="majorHAnsi" w:cstheme="majorHAnsi"/>
        </w:rPr>
      </w:pPr>
      <w:r w:rsidRPr="0089105D">
        <w:rPr>
          <w:rFonts w:asciiTheme="majorHAnsi" w:hAnsiTheme="majorHAnsi" w:cstheme="majorHAnsi"/>
        </w:rPr>
        <w:t>In order to unravel the central question, this research dissect</w:t>
      </w:r>
      <w:r w:rsidR="00EB25C2" w:rsidRPr="0089105D">
        <w:rPr>
          <w:rFonts w:asciiTheme="majorHAnsi" w:hAnsiTheme="majorHAnsi" w:cstheme="majorHAnsi"/>
        </w:rPr>
        <w:t>s</w:t>
      </w:r>
      <w:r w:rsidRPr="0089105D">
        <w:rPr>
          <w:rFonts w:asciiTheme="majorHAnsi" w:hAnsiTheme="majorHAnsi" w:cstheme="majorHAnsi"/>
        </w:rPr>
        <w:t xml:space="preserve"> several sub-questions, including:</w:t>
      </w:r>
    </w:p>
    <w:p w14:paraId="159D8C17" w14:textId="77777777" w:rsidR="007A572E" w:rsidRPr="0089105D" w:rsidRDefault="007A572E" w:rsidP="007A572E">
      <w:pPr>
        <w:spacing w:line="360" w:lineRule="auto"/>
        <w:jc w:val="both"/>
        <w:rPr>
          <w:rFonts w:asciiTheme="majorHAnsi" w:hAnsiTheme="majorHAnsi" w:cstheme="majorHAnsi"/>
        </w:rPr>
      </w:pPr>
    </w:p>
    <w:p w14:paraId="7AED5F2D" w14:textId="258A74AC" w:rsidR="005E2AFF" w:rsidRPr="0089105D" w:rsidRDefault="005E2AFF" w:rsidP="005E2AFF">
      <w:pPr>
        <w:pStyle w:val="ListParagraph"/>
        <w:numPr>
          <w:ilvl w:val="0"/>
          <w:numId w:val="5"/>
        </w:numPr>
        <w:spacing w:line="360" w:lineRule="auto"/>
        <w:jc w:val="both"/>
        <w:rPr>
          <w:rFonts w:asciiTheme="majorHAnsi" w:hAnsiTheme="majorHAnsi" w:cstheme="majorHAnsi"/>
          <w:i/>
          <w:iCs/>
        </w:rPr>
      </w:pPr>
      <w:bookmarkStart w:id="13" w:name="_Hlk153141360"/>
      <w:r w:rsidRPr="0089105D">
        <w:rPr>
          <w:rFonts w:asciiTheme="majorHAnsi" w:hAnsiTheme="majorHAnsi" w:cstheme="majorHAnsi"/>
          <w:i/>
          <w:iCs/>
        </w:rPr>
        <w:t>How do internal clashes among SDGs undermine the coherence and effectiveness of the overall SDG framework?</w:t>
      </w:r>
    </w:p>
    <w:p w14:paraId="4BAAA6A7" w14:textId="77777777" w:rsidR="005E2AFF" w:rsidRPr="0089105D" w:rsidRDefault="005E2AFF" w:rsidP="005E2AFF">
      <w:pPr>
        <w:pStyle w:val="ListParagraph"/>
        <w:spacing w:line="360" w:lineRule="auto"/>
        <w:jc w:val="both"/>
        <w:rPr>
          <w:rFonts w:asciiTheme="majorHAnsi" w:hAnsiTheme="majorHAnsi" w:cstheme="majorHAnsi"/>
          <w:i/>
          <w:iCs/>
        </w:rPr>
      </w:pPr>
    </w:p>
    <w:p w14:paraId="7F692EE4" w14:textId="6CC82909" w:rsidR="005E2AFF" w:rsidRPr="0089105D" w:rsidRDefault="005E2AFF" w:rsidP="005E2AFF">
      <w:pPr>
        <w:pStyle w:val="ListParagraph"/>
        <w:numPr>
          <w:ilvl w:val="0"/>
          <w:numId w:val="5"/>
        </w:numPr>
        <w:spacing w:line="360" w:lineRule="auto"/>
        <w:jc w:val="both"/>
        <w:rPr>
          <w:rFonts w:asciiTheme="majorHAnsi" w:hAnsiTheme="majorHAnsi" w:cstheme="majorHAnsi"/>
          <w:i/>
          <w:iCs/>
        </w:rPr>
      </w:pPr>
      <w:r w:rsidRPr="0089105D">
        <w:rPr>
          <w:rFonts w:asciiTheme="majorHAnsi" w:hAnsiTheme="majorHAnsi" w:cstheme="majorHAnsi"/>
          <w:i/>
          <w:iCs/>
        </w:rPr>
        <w:t>In what ways does the perceived lack of integration within the SDG framework hinder its ability to address interconnected global challenges comprehensively?</w:t>
      </w:r>
    </w:p>
    <w:p w14:paraId="5440D900" w14:textId="77777777" w:rsidR="005E2AFF" w:rsidRPr="0089105D" w:rsidRDefault="005E2AFF" w:rsidP="005E2AFF">
      <w:pPr>
        <w:pStyle w:val="ListParagraph"/>
        <w:rPr>
          <w:rFonts w:asciiTheme="majorHAnsi" w:hAnsiTheme="majorHAnsi" w:cstheme="majorHAnsi"/>
          <w:i/>
          <w:iCs/>
        </w:rPr>
      </w:pPr>
    </w:p>
    <w:p w14:paraId="55DB2C57" w14:textId="77777777" w:rsidR="005E2AFF" w:rsidRPr="0089105D" w:rsidRDefault="005E2AFF" w:rsidP="005E2AFF">
      <w:pPr>
        <w:pStyle w:val="ListParagraph"/>
        <w:spacing w:line="360" w:lineRule="auto"/>
        <w:jc w:val="both"/>
        <w:rPr>
          <w:rFonts w:asciiTheme="majorHAnsi" w:hAnsiTheme="majorHAnsi" w:cstheme="majorHAnsi"/>
          <w:i/>
          <w:iCs/>
        </w:rPr>
      </w:pPr>
    </w:p>
    <w:p w14:paraId="0138D040" w14:textId="30F6ED19" w:rsidR="005E2AFF" w:rsidRPr="0089105D" w:rsidRDefault="005E2AFF" w:rsidP="005E2AFF">
      <w:pPr>
        <w:pStyle w:val="ListParagraph"/>
        <w:numPr>
          <w:ilvl w:val="0"/>
          <w:numId w:val="5"/>
        </w:numPr>
        <w:spacing w:line="360" w:lineRule="auto"/>
        <w:jc w:val="both"/>
        <w:rPr>
          <w:rFonts w:asciiTheme="majorHAnsi" w:hAnsiTheme="majorHAnsi" w:cstheme="majorHAnsi"/>
          <w:i/>
          <w:iCs/>
        </w:rPr>
      </w:pPr>
      <w:r w:rsidRPr="0089105D">
        <w:rPr>
          <w:rFonts w:asciiTheme="majorHAnsi" w:hAnsiTheme="majorHAnsi" w:cstheme="majorHAnsi"/>
          <w:i/>
          <w:iCs/>
        </w:rPr>
        <w:t>How do criticisms related to current global settings shed light on systemic challenges and geopolitical factors that impede the successful implementation of the SDGs?</w:t>
      </w:r>
    </w:p>
    <w:p w14:paraId="0BF29860" w14:textId="77777777" w:rsidR="005E2AFF" w:rsidRPr="0089105D" w:rsidRDefault="005E2AFF" w:rsidP="005E2AFF">
      <w:pPr>
        <w:pStyle w:val="ListParagraph"/>
        <w:spacing w:line="360" w:lineRule="auto"/>
        <w:jc w:val="both"/>
        <w:rPr>
          <w:rFonts w:asciiTheme="majorHAnsi" w:hAnsiTheme="majorHAnsi" w:cstheme="majorHAnsi"/>
          <w:i/>
          <w:iCs/>
        </w:rPr>
      </w:pPr>
    </w:p>
    <w:p w14:paraId="7B99DE9E" w14:textId="74CC5401" w:rsidR="005E2AFF" w:rsidRPr="0089105D" w:rsidRDefault="005E2AFF" w:rsidP="005E2AFF">
      <w:pPr>
        <w:pStyle w:val="ListParagraph"/>
        <w:numPr>
          <w:ilvl w:val="0"/>
          <w:numId w:val="5"/>
        </w:numPr>
        <w:spacing w:line="360" w:lineRule="auto"/>
        <w:jc w:val="both"/>
        <w:rPr>
          <w:rFonts w:asciiTheme="majorHAnsi" w:hAnsiTheme="majorHAnsi" w:cstheme="majorHAnsi"/>
          <w:i/>
          <w:iCs/>
        </w:rPr>
      </w:pPr>
      <w:r w:rsidRPr="0089105D">
        <w:rPr>
          <w:rFonts w:asciiTheme="majorHAnsi" w:hAnsiTheme="majorHAnsi" w:cstheme="majorHAnsi"/>
          <w:i/>
          <w:iCs/>
        </w:rPr>
        <w:t>How do inefficiencies in the indicators associated with SDGs impact the accurate assessment and measurement of progress, and what are the implications for the overall success of the framework?</w:t>
      </w:r>
    </w:p>
    <w:p w14:paraId="5DBFAA9A" w14:textId="77777777" w:rsidR="005E2AFF" w:rsidRPr="0089105D" w:rsidRDefault="005E2AFF" w:rsidP="005E2AFF">
      <w:pPr>
        <w:spacing w:line="360" w:lineRule="auto"/>
        <w:jc w:val="both"/>
        <w:rPr>
          <w:rFonts w:asciiTheme="majorHAnsi" w:hAnsiTheme="majorHAnsi" w:cstheme="majorHAnsi"/>
          <w:i/>
          <w:iCs/>
        </w:rPr>
      </w:pPr>
    </w:p>
    <w:p w14:paraId="58FE5C84" w14:textId="624DB5F3" w:rsidR="005E2AFF" w:rsidRPr="0089105D" w:rsidRDefault="005E2AFF" w:rsidP="005E2AFF">
      <w:pPr>
        <w:pStyle w:val="ListParagraph"/>
        <w:numPr>
          <w:ilvl w:val="0"/>
          <w:numId w:val="5"/>
        </w:numPr>
        <w:spacing w:line="360" w:lineRule="auto"/>
        <w:jc w:val="both"/>
        <w:rPr>
          <w:rFonts w:asciiTheme="majorHAnsi" w:hAnsiTheme="majorHAnsi" w:cstheme="majorHAnsi"/>
          <w:i/>
          <w:iCs/>
        </w:rPr>
      </w:pPr>
      <w:r w:rsidRPr="0089105D">
        <w:rPr>
          <w:rFonts w:asciiTheme="majorHAnsi" w:hAnsiTheme="majorHAnsi" w:cstheme="majorHAnsi"/>
          <w:i/>
          <w:iCs/>
        </w:rPr>
        <w:lastRenderedPageBreak/>
        <w:t>In what ways does the identified lack of a monitoring mechanism contribute to challenges in tracking and evaluating progress toward SDG goals, and what alternative mechanisms are proposed by critics?</w:t>
      </w:r>
    </w:p>
    <w:p w14:paraId="5A4A1BBE" w14:textId="77777777" w:rsidR="005E2AFF" w:rsidRPr="0089105D" w:rsidRDefault="005E2AFF" w:rsidP="005E2AFF">
      <w:pPr>
        <w:spacing w:line="360" w:lineRule="auto"/>
        <w:jc w:val="both"/>
        <w:rPr>
          <w:rFonts w:asciiTheme="majorHAnsi" w:hAnsiTheme="majorHAnsi" w:cstheme="majorHAnsi"/>
          <w:i/>
          <w:iCs/>
        </w:rPr>
      </w:pPr>
    </w:p>
    <w:p w14:paraId="313028C4" w14:textId="1C223AF6" w:rsidR="005E2AFF" w:rsidRPr="0089105D" w:rsidRDefault="005E2AFF" w:rsidP="005E2AFF">
      <w:pPr>
        <w:pStyle w:val="ListParagraph"/>
        <w:numPr>
          <w:ilvl w:val="0"/>
          <w:numId w:val="5"/>
        </w:numPr>
        <w:spacing w:line="360" w:lineRule="auto"/>
        <w:jc w:val="both"/>
        <w:rPr>
          <w:rFonts w:asciiTheme="majorHAnsi" w:hAnsiTheme="majorHAnsi" w:cstheme="majorHAnsi"/>
          <w:i/>
          <w:iCs/>
        </w:rPr>
      </w:pPr>
      <w:r w:rsidRPr="0089105D">
        <w:rPr>
          <w:rFonts w:asciiTheme="majorHAnsi" w:hAnsiTheme="majorHAnsi" w:cstheme="majorHAnsi"/>
          <w:i/>
          <w:iCs/>
        </w:rPr>
        <w:t>How does the perceived lack of accountability within the SDG framework hinder the commitment of nations and stakeholders, and what accountability mechanisms are suggested for improvement?</w:t>
      </w:r>
    </w:p>
    <w:p w14:paraId="683CA47D" w14:textId="77777777" w:rsidR="00291220" w:rsidRPr="0089105D" w:rsidRDefault="00291220" w:rsidP="00291220">
      <w:pPr>
        <w:spacing w:line="360" w:lineRule="auto"/>
        <w:jc w:val="both"/>
        <w:rPr>
          <w:rFonts w:asciiTheme="majorHAnsi" w:hAnsiTheme="majorHAnsi" w:cstheme="majorHAnsi"/>
          <w:i/>
          <w:iCs/>
        </w:rPr>
      </w:pPr>
    </w:p>
    <w:p w14:paraId="1F98C7DD" w14:textId="12D9502F" w:rsidR="005E2AFF" w:rsidRPr="0089105D" w:rsidRDefault="005E2AFF" w:rsidP="005E2AFF">
      <w:pPr>
        <w:pStyle w:val="ListParagraph"/>
        <w:numPr>
          <w:ilvl w:val="0"/>
          <w:numId w:val="5"/>
        </w:numPr>
        <w:spacing w:line="360" w:lineRule="auto"/>
        <w:jc w:val="both"/>
        <w:rPr>
          <w:rFonts w:asciiTheme="majorHAnsi" w:hAnsiTheme="majorHAnsi" w:cstheme="majorHAnsi"/>
          <w:i/>
          <w:iCs/>
        </w:rPr>
      </w:pPr>
      <w:r w:rsidRPr="0089105D">
        <w:rPr>
          <w:rFonts w:asciiTheme="majorHAnsi" w:hAnsiTheme="majorHAnsi" w:cstheme="majorHAnsi"/>
          <w:i/>
          <w:iCs/>
        </w:rPr>
        <w:t>In what aspects does the criticism regarding the wrong concept of sustainability challenge the foundational principles of the SDGs, and how might a redefined concept enhance the framework?</w:t>
      </w:r>
    </w:p>
    <w:p w14:paraId="4DF7F476" w14:textId="77777777" w:rsidR="00D9162A" w:rsidRPr="0089105D" w:rsidRDefault="00D9162A" w:rsidP="00D9162A">
      <w:pPr>
        <w:pStyle w:val="ListParagraph"/>
        <w:rPr>
          <w:rFonts w:asciiTheme="majorHAnsi" w:hAnsiTheme="majorHAnsi" w:cstheme="majorHAnsi"/>
          <w:i/>
          <w:iCs/>
        </w:rPr>
      </w:pPr>
    </w:p>
    <w:p w14:paraId="35E5DA64" w14:textId="77777777" w:rsidR="00D9162A" w:rsidRPr="0089105D" w:rsidRDefault="00D9162A" w:rsidP="00D9162A">
      <w:pPr>
        <w:pStyle w:val="ListParagraph"/>
        <w:spacing w:line="360" w:lineRule="auto"/>
        <w:jc w:val="both"/>
        <w:rPr>
          <w:rFonts w:asciiTheme="majorHAnsi" w:hAnsiTheme="majorHAnsi" w:cstheme="majorHAnsi"/>
          <w:i/>
          <w:iCs/>
        </w:rPr>
      </w:pPr>
    </w:p>
    <w:p w14:paraId="0D0BA583" w14:textId="77777777" w:rsidR="00D9162A" w:rsidRPr="0089105D" w:rsidRDefault="00D9162A" w:rsidP="00D9162A">
      <w:pPr>
        <w:pStyle w:val="ListParagraph"/>
        <w:numPr>
          <w:ilvl w:val="0"/>
          <w:numId w:val="5"/>
        </w:numPr>
        <w:spacing w:line="360" w:lineRule="auto"/>
        <w:jc w:val="both"/>
        <w:rPr>
          <w:rFonts w:asciiTheme="majorHAnsi" w:hAnsiTheme="majorHAnsi" w:cstheme="majorHAnsi"/>
          <w:i/>
          <w:iCs/>
        </w:rPr>
      </w:pPr>
      <w:r w:rsidRPr="0089105D">
        <w:rPr>
          <w:rFonts w:asciiTheme="majorHAnsi" w:hAnsiTheme="majorHAnsi" w:cstheme="majorHAnsi"/>
          <w:i/>
          <w:iCs/>
        </w:rPr>
        <w:t xml:space="preserve">How does the criticism of vagueness and lack of specification in certain SDGs contribute to challenges in interpretation and operationalization, and what strategies are suggested for improving clarity and precision? </w:t>
      </w:r>
    </w:p>
    <w:p w14:paraId="24706724" w14:textId="77777777" w:rsidR="005E2AFF" w:rsidRPr="0089105D" w:rsidRDefault="005E2AFF" w:rsidP="005E2AFF">
      <w:pPr>
        <w:spacing w:line="360" w:lineRule="auto"/>
        <w:jc w:val="both"/>
        <w:rPr>
          <w:rFonts w:asciiTheme="majorHAnsi" w:hAnsiTheme="majorHAnsi" w:cstheme="majorHAnsi"/>
          <w:i/>
          <w:iCs/>
          <w:highlight w:val="magenta"/>
        </w:rPr>
      </w:pPr>
    </w:p>
    <w:p w14:paraId="5C85E18F" w14:textId="56E7E7FF" w:rsidR="005E2AFF" w:rsidRPr="0089105D" w:rsidRDefault="005E2AFF" w:rsidP="005E2AFF">
      <w:pPr>
        <w:pStyle w:val="ListParagraph"/>
        <w:numPr>
          <w:ilvl w:val="0"/>
          <w:numId w:val="5"/>
        </w:numPr>
        <w:spacing w:line="360" w:lineRule="auto"/>
        <w:jc w:val="both"/>
        <w:rPr>
          <w:rFonts w:asciiTheme="majorHAnsi" w:hAnsiTheme="majorHAnsi" w:cstheme="majorHAnsi"/>
          <w:i/>
          <w:iCs/>
        </w:rPr>
      </w:pPr>
      <w:r w:rsidRPr="0089105D">
        <w:rPr>
          <w:rFonts w:asciiTheme="majorHAnsi" w:hAnsiTheme="majorHAnsi" w:cstheme="majorHAnsi"/>
          <w:i/>
          <w:iCs/>
        </w:rPr>
        <w:t>What are the consequences of the non-legally binding nature of the SDGs on the commitment and compliance of nations, and what arguments exist for or against making the SDGs legally binding?</w:t>
      </w:r>
    </w:p>
    <w:bookmarkEnd w:id="13"/>
    <w:p w14:paraId="19BC0931" w14:textId="48223510" w:rsidR="005E2AFF" w:rsidRPr="0089105D" w:rsidRDefault="005E2AFF" w:rsidP="005E2AFF">
      <w:pPr>
        <w:spacing w:line="360" w:lineRule="auto"/>
        <w:jc w:val="both"/>
        <w:rPr>
          <w:rFonts w:asciiTheme="majorHAnsi" w:hAnsiTheme="majorHAnsi" w:cstheme="majorHAnsi"/>
          <w:i/>
          <w:iCs/>
          <w:highlight w:val="magenta"/>
        </w:rPr>
      </w:pPr>
    </w:p>
    <w:p w14:paraId="635A80A6" w14:textId="22065858" w:rsidR="00A1284B" w:rsidRPr="0089105D" w:rsidRDefault="00A1284B" w:rsidP="005E2AFF">
      <w:pPr>
        <w:spacing w:line="360" w:lineRule="auto"/>
        <w:jc w:val="both"/>
        <w:rPr>
          <w:rFonts w:asciiTheme="majorHAnsi" w:hAnsiTheme="majorHAnsi" w:cstheme="majorHAnsi"/>
          <w:i/>
          <w:iCs/>
          <w:highlight w:val="magenta"/>
        </w:rPr>
      </w:pPr>
    </w:p>
    <w:p w14:paraId="6877DAFE" w14:textId="591936DC" w:rsidR="00A1284B" w:rsidRPr="0089105D" w:rsidRDefault="00A1284B" w:rsidP="005E2AFF">
      <w:pPr>
        <w:spacing w:line="360" w:lineRule="auto"/>
        <w:jc w:val="both"/>
        <w:rPr>
          <w:rFonts w:asciiTheme="majorHAnsi" w:hAnsiTheme="majorHAnsi" w:cstheme="majorHAnsi"/>
          <w:i/>
          <w:iCs/>
          <w:highlight w:val="magenta"/>
        </w:rPr>
      </w:pPr>
    </w:p>
    <w:p w14:paraId="375A880A" w14:textId="2721B39D" w:rsidR="00A1284B" w:rsidRPr="0089105D" w:rsidRDefault="00A1284B" w:rsidP="005E2AFF">
      <w:pPr>
        <w:spacing w:line="360" w:lineRule="auto"/>
        <w:jc w:val="both"/>
        <w:rPr>
          <w:rFonts w:asciiTheme="majorHAnsi" w:hAnsiTheme="majorHAnsi" w:cstheme="majorHAnsi"/>
          <w:i/>
          <w:iCs/>
          <w:highlight w:val="magenta"/>
        </w:rPr>
      </w:pPr>
    </w:p>
    <w:p w14:paraId="52F4488E" w14:textId="0090441C" w:rsidR="00A1284B" w:rsidRPr="0089105D" w:rsidRDefault="00A1284B" w:rsidP="005E2AFF">
      <w:pPr>
        <w:spacing w:line="360" w:lineRule="auto"/>
        <w:jc w:val="both"/>
        <w:rPr>
          <w:rFonts w:asciiTheme="majorHAnsi" w:hAnsiTheme="majorHAnsi" w:cstheme="majorHAnsi"/>
          <w:i/>
          <w:iCs/>
          <w:highlight w:val="magenta"/>
        </w:rPr>
      </w:pPr>
    </w:p>
    <w:p w14:paraId="39919574" w14:textId="211F4E39" w:rsidR="00A1284B" w:rsidRPr="0089105D" w:rsidRDefault="00A1284B" w:rsidP="005E2AFF">
      <w:pPr>
        <w:spacing w:line="360" w:lineRule="auto"/>
        <w:jc w:val="both"/>
        <w:rPr>
          <w:rFonts w:asciiTheme="majorHAnsi" w:hAnsiTheme="majorHAnsi" w:cstheme="majorHAnsi"/>
          <w:i/>
          <w:iCs/>
          <w:highlight w:val="magenta"/>
        </w:rPr>
      </w:pPr>
    </w:p>
    <w:p w14:paraId="49089FCC" w14:textId="6AE72CB3" w:rsidR="00A1284B" w:rsidRPr="0089105D" w:rsidRDefault="00A1284B" w:rsidP="005E2AFF">
      <w:pPr>
        <w:spacing w:line="360" w:lineRule="auto"/>
        <w:jc w:val="both"/>
        <w:rPr>
          <w:rFonts w:asciiTheme="majorHAnsi" w:hAnsiTheme="majorHAnsi" w:cstheme="majorHAnsi"/>
          <w:i/>
          <w:iCs/>
          <w:highlight w:val="magenta"/>
        </w:rPr>
      </w:pPr>
    </w:p>
    <w:p w14:paraId="41AAB5D4" w14:textId="4D0E67F2" w:rsidR="00A1284B" w:rsidRPr="0089105D" w:rsidRDefault="00A1284B" w:rsidP="005E2AFF">
      <w:pPr>
        <w:spacing w:line="360" w:lineRule="auto"/>
        <w:jc w:val="both"/>
        <w:rPr>
          <w:rFonts w:asciiTheme="majorHAnsi" w:hAnsiTheme="majorHAnsi" w:cstheme="majorHAnsi"/>
          <w:i/>
          <w:iCs/>
          <w:highlight w:val="magenta"/>
        </w:rPr>
      </w:pPr>
    </w:p>
    <w:p w14:paraId="3CB69844" w14:textId="43FC2B04" w:rsidR="00A1284B" w:rsidRPr="0089105D" w:rsidRDefault="00A1284B" w:rsidP="005E2AFF">
      <w:pPr>
        <w:spacing w:line="360" w:lineRule="auto"/>
        <w:jc w:val="both"/>
        <w:rPr>
          <w:rFonts w:asciiTheme="majorHAnsi" w:hAnsiTheme="majorHAnsi" w:cstheme="majorHAnsi"/>
          <w:i/>
          <w:iCs/>
          <w:highlight w:val="magenta"/>
        </w:rPr>
      </w:pPr>
    </w:p>
    <w:p w14:paraId="3C0B08C7" w14:textId="0E5C8958" w:rsidR="00A1284B" w:rsidRPr="0089105D" w:rsidRDefault="00A1284B" w:rsidP="005E2AFF">
      <w:pPr>
        <w:spacing w:line="360" w:lineRule="auto"/>
        <w:jc w:val="both"/>
        <w:rPr>
          <w:rFonts w:asciiTheme="majorHAnsi" w:hAnsiTheme="majorHAnsi" w:cstheme="majorHAnsi"/>
          <w:i/>
          <w:iCs/>
          <w:highlight w:val="magenta"/>
        </w:rPr>
      </w:pPr>
    </w:p>
    <w:p w14:paraId="0F0DC0A6" w14:textId="1DA46551" w:rsidR="00A1284B" w:rsidRPr="0089105D" w:rsidRDefault="00A1284B" w:rsidP="005E2AFF">
      <w:pPr>
        <w:spacing w:line="360" w:lineRule="auto"/>
        <w:jc w:val="both"/>
        <w:rPr>
          <w:rFonts w:asciiTheme="majorHAnsi" w:hAnsiTheme="majorHAnsi" w:cstheme="majorHAnsi"/>
          <w:i/>
          <w:iCs/>
          <w:highlight w:val="magenta"/>
        </w:rPr>
      </w:pPr>
    </w:p>
    <w:p w14:paraId="46CF9311" w14:textId="2449C753" w:rsidR="00A1284B" w:rsidRPr="0089105D" w:rsidRDefault="00A1284B" w:rsidP="005E2AFF">
      <w:pPr>
        <w:spacing w:line="360" w:lineRule="auto"/>
        <w:jc w:val="both"/>
        <w:rPr>
          <w:rFonts w:asciiTheme="majorHAnsi" w:hAnsiTheme="majorHAnsi" w:cstheme="majorHAnsi"/>
          <w:i/>
          <w:iCs/>
          <w:highlight w:val="magenta"/>
        </w:rPr>
      </w:pPr>
    </w:p>
    <w:p w14:paraId="3D706DF4" w14:textId="1D370954" w:rsidR="00A1284B" w:rsidRPr="0089105D" w:rsidRDefault="00A1284B" w:rsidP="005E2AFF">
      <w:pPr>
        <w:spacing w:line="360" w:lineRule="auto"/>
        <w:jc w:val="both"/>
        <w:rPr>
          <w:rFonts w:asciiTheme="majorHAnsi" w:hAnsiTheme="majorHAnsi" w:cstheme="majorHAnsi"/>
          <w:i/>
          <w:iCs/>
          <w:highlight w:val="magenta"/>
        </w:rPr>
      </w:pPr>
    </w:p>
    <w:p w14:paraId="3A70EEE7" w14:textId="77777777" w:rsidR="00DE713C" w:rsidRPr="0089105D" w:rsidRDefault="00DE713C" w:rsidP="00DE713C">
      <w:pPr>
        <w:spacing w:line="360" w:lineRule="auto"/>
        <w:jc w:val="both"/>
        <w:rPr>
          <w:rFonts w:asciiTheme="majorHAnsi" w:hAnsiTheme="majorHAnsi" w:cstheme="majorHAnsi"/>
        </w:rPr>
      </w:pPr>
    </w:p>
    <w:p w14:paraId="1989F39B" w14:textId="3C3E6F7F" w:rsidR="00DE713C" w:rsidRPr="0089105D" w:rsidRDefault="00DE713C" w:rsidP="00DE713C">
      <w:pPr>
        <w:pStyle w:val="Heading2"/>
        <w:spacing w:line="360" w:lineRule="auto"/>
        <w:rPr>
          <w:rFonts w:cstheme="majorHAnsi"/>
          <w:b/>
          <w:bCs/>
          <w:color w:val="auto"/>
          <w:sz w:val="28"/>
          <w:szCs w:val="28"/>
        </w:rPr>
      </w:pPr>
      <w:bookmarkStart w:id="14" w:name="_Toc132266309"/>
      <w:bookmarkStart w:id="15" w:name="_Toc153142462"/>
      <w:bookmarkStart w:id="16" w:name="_Toc153187392"/>
      <w:r w:rsidRPr="0089105D">
        <w:rPr>
          <w:rFonts w:cstheme="majorHAnsi"/>
          <w:b/>
          <w:bCs/>
          <w:color w:val="auto"/>
          <w:sz w:val="28"/>
          <w:szCs w:val="28"/>
          <w:lang w:val="en-GB"/>
        </w:rPr>
        <w:lastRenderedPageBreak/>
        <w:t xml:space="preserve">1.3 </w:t>
      </w:r>
      <w:r w:rsidRPr="0089105D">
        <w:rPr>
          <w:rFonts w:cstheme="majorHAnsi"/>
          <w:b/>
          <w:bCs/>
          <w:color w:val="auto"/>
          <w:sz w:val="28"/>
          <w:szCs w:val="28"/>
        </w:rPr>
        <w:t>METHODOLOGY</w:t>
      </w:r>
      <w:bookmarkEnd w:id="14"/>
      <w:bookmarkEnd w:id="15"/>
      <w:bookmarkEnd w:id="16"/>
      <w:r w:rsidRPr="0089105D">
        <w:rPr>
          <w:rFonts w:cstheme="majorHAnsi"/>
          <w:b/>
          <w:bCs/>
          <w:color w:val="auto"/>
          <w:sz w:val="28"/>
          <w:szCs w:val="28"/>
        </w:rPr>
        <w:t xml:space="preserve"> </w:t>
      </w:r>
    </w:p>
    <w:p w14:paraId="6A9D3959" w14:textId="77777777" w:rsidR="007A572E" w:rsidRPr="0089105D" w:rsidRDefault="007A572E" w:rsidP="007A572E"/>
    <w:p w14:paraId="29E03E70" w14:textId="1D272047" w:rsidR="003203AD" w:rsidRPr="0089105D" w:rsidRDefault="003203AD" w:rsidP="003203AD">
      <w:pPr>
        <w:spacing w:line="360" w:lineRule="auto"/>
        <w:jc w:val="both"/>
        <w:rPr>
          <w:rFonts w:asciiTheme="majorHAnsi" w:hAnsiTheme="majorHAnsi" w:cstheme="majorHAnsi"/>
        </w:rPr>
      </w:pPr>
      <w:r w:rsidRPr="0089105D">
        <w:rPr>
          <w:rFonts w:asciiTheme="majorHAnsi" w:hAnsiTheme="majorHAnsi" w:cstheme="majorHAnsi"/>
        </w:rPr>
        <w:t xml:space="preserve">This </w:t>
      </w:r>
      <w:r w:rsidR="00365466" w:rsidRPr="0089105D">
        <w:rPr>
          <w:rFonts w:asciiTheme="majorHAnsi" w:hAnsiTheme="majorHAnsi" w:cstheme="majorHAnsi"/>
        </w:rPr>
        <w:t>M</w:t>
      </w:r>
      <w:r w:rsidRPr="0089105D">
        <w:rPr>
          <w:rFonts w:asciiTheme="majorHAnsi" w:hAnsiTheme="majorHAnsi" w:cstheme="majorHAnsi"/>
        </w:rPr>
        <w:t xml:space="preserve">aster </w:t>
      </w:r>
      <w:r w:rsidR="00365466" w:rsidRPr="0089105D">
        <w:rPr>
          <w:rFonts w:asciiTheme="majorHAnsi" w:hAnsiTheme="majorHAnsi" w:cstheme="majorHAnsi"/>
        </w:rPr>
        <w:t>T</w:t>
      </w:r>
      <w:r w:rsidRPr="0089105D">
        <w:rPr>
          <w:rFonts w:asciiTheme="majorHAnsi" w:hAnsiTheme="majorHAnsi" w:cstheme="majorHAnsi"/>
        </w:rPr>
        <w:t>hesis predominantly employs qualitative research methods to conduct a comprehensive examination of academic sources, encompassing articles, journals, and official reports by the UN. The research is organized into six sections, each dedicated to addressing specific aspects derived from the central question.</w:t>
      </w:r>
    </w:p>
    <w:p w14:paraId="1AC80790" w14:textId="77777777" w:rsidR="003203AD" w:rsidRPr="0089105D" w:rsidRDefault="003203AD" w:rsidP="003203AD">
      <w:pPr>
        <w:spacing w:line="360" w:lineRule="auto"/>
        <w:jc w:val="both"/>
        <w:rPr>
          <w:rFonts w:asciiTheme="majorHAnsi" w:hAnsiTheme="majorHAnsi" w:cstheme="majorHAnsi"/>
        </w:rPr>
      </w:pPr>
    </w:p>
    <w:p w14:paraId="06D6CD9F" w14:textId="6DA46020" w:rsidR="003203AD" w:rsidRPr="0089105D" w:rsidRDefault="003203AD" w:rsidP="003203AD">
      <w:pPr>
        <w:spacing w:line="360" w:lineRule="auto"/>
        <w:jc w:val="both"/>
        <w:rPr>
          <w:rFonts w:asciiTheme="majorHAnsi" w:hAnsiTheme="majorHAnsi" w:cstheme="majorHAnsi"/>
        </w:rPr>
      </w:pPr>
      <w:r w:rsidRPr="0089105D">
        <w:rPr>
          <w:rFonts w:asciiTheme="majorHAnsi" w:hAnsiTheme="majorHAnsi" w:cstheme="majorHAnsi"/>
        </w:rPr>
        <w:t xml:space="preserve">The literature analysis commenced by searching for articles across scientific databases, including the Web of Science, Scopus, Science Direct, </w:t>
      </w:r>
      <w:proofErr w:type="spellStart"/>
      <w:r w:rsidRPr="0089105D">
        <w:rPr>
          <w:rFonts w:asciiTheme="majorHAnsi" w:hAnsiTheme="majorHAnsi" w:cstheme="majorHAnsi"/>
        </w:rPr>
        <w:t>JStor</w:t>
      </w:r>
      <w:proofErr w:type="spellEnd"/>
      <w:r w:rsidRPr="0089105D">
        <w:rPr>
          <w:rFonts w:asciiTheme="majorHAnsi" w:hAnsiTheme="majorHAnsi" w:cstheme="majorHAnsi"/>
        </w:rPr>
        <w:t xml:space="preserve">, and Google Scholar. A review of the first 113 relevant articles formed a robust foundation for the subsequent analytical phase. Strict adherence to inclusion and exclusion criteria ensured that only articles from the specified databases, under key search terms such as </w:t>
      </w:r>
      <w:r w:rsidRPr="0089105D">
        <w:rPr>
          <w:rFonts w:asciiTheme="majorHAnsi" w:hAnsiTheme="majorHAnsi" w:cstheme="majorHAnsi"/>
        </w:rPr>
        <w:t>“</w:t>
      </w:r>
      <w:r w:rsidRPr="0089105D">
        <w:rPr>
          <w:rFonts w:asciiTheme="majorHAnsi" w:hAnsiTheme="majorHAnsi" w:cstheme="majorHAnsi"/>
        </w:rPr>
        <w:t>weaknesses of SDGs,</w:t>
      </w:r>
      <w:r w:rsidRPr="0089105D">
        <w:rPr>
          <w:rFonts w:asciiTheme="majorHAnsi" w:hAnsiTheme="majorHAnsi" w:cstheme="majorHAnsi"/>
        </w:rPr>
        <w:t>”</w:t>
      </w:r>
      <w:r w:rsidRPr="0089105D">
        <w:rPr>
          <w:rFonts w:asciiTheme="majorHAnsi" w:hAnsiTheme="majorHAnsi" w:cstheme="majorHAnsi"/>
        </w:rPr>
        <w:t xml:space="preserve"> </w:t>
      </w:r>
      <w:r w:rsidRPr="0089105D">
        <w:rPr>
          <w:rFonts w:asciiTheme="majorHAnsi" w:hAnsiTheme="majorHAnsi" w:cstheme="majorHAnsi"/>
        </w:rPr>
        <w:t>“</w:t>
      </w:r>
      <w:r w:rsidRPr="0089105D">
        <w:rPr>
          <w:rFonts w:asciiTheme="majorHAnsi" w:hAnsiTheme="majorHAnsi" w:cstheme="majorHAnsi"/>
        </w:rPr>
        <w:t>criticism of SDGs,</w:t>
      </w:r>
      <w:r w:rsidRPr="0089105D">
        <w:rPr>
          <w:rFonts w:asciiTheme="majorHAnsi" w:hAnsiTheme="majorHAnsi" w:cstheme="majorHAnsi"/>
        </w:rPr>
        <w:t>”</w:t>
      </w:r>
      <w:r w:rsidRPr="0089105D">
        <w:rPr>
          <w:rFonts w:asciiTheme="majorHAnsi" w:hAnsiTheme="majorHAnsi" w:cstheme="majorHAnsi"/>
        </w:rPr>
        <w:t xml:space="preserve"> </w:t>
      </w:r>
      <w:r w:rsidRPr="0089105D">
        <w:rPr>
          <w:rFonts w:asciiTheme="majorHAnsi" w:hAnsiTheme="majorHAnsi" w:cstheme="majorHAnsi"/>
        </w:rPr>
        <w:t>“</w:t>
      </w:r>
      <w:r w:rsidRPr="0089105D">
        <w:rPr>
          <w:rFonts w:asciiTheme="majorHAnsi" w:hAnsiTheme="majorHAnsi" w:cstheme="majorHAnsi"/>
        </w:rPr>
        <w:t>assessment of SDGs,</w:t>
      </w:r>
      <w:r w:rsidRPr="0089105D">
        <w:rPr>
          <w:rFonts w:asciiTheme="majorHAnsi" w:hAnsiTheme="majorHAnsi" w:cstheme="majorHAnsi"/>
        </w:rPr>
        <w:t>”</w:t>
      </w:r>
      <w:r w:rsidRPr="0089105D">
        <w:rPr>
          <w:rFonts w:asciiTheme="majorHAnsi" w:hAnsiTheme="majorHAnsi" w:cstheme="majorHAnsi"/>
        </w:rPr>
        <w:t xml:space="preserve"> and others, were selected.</w:t>
      </w:r>
    </w:p>
    <w:p w14:paraId="799B09FA" w14:textId="77777777" w:rsidR="003203AD" w:rsidRPr="0089105D" w:rsidRDefault="003203AD" w:rsidP="003203AD">
      <w:pPr>
        <w:spacing w:line="360" w:lineRule="auto"/>
        <w:jc w:val="both"/>
        <w:rPr>
          <w:rFonts w:asciiTheme="majorHAnsi" w:hAnsiTheme="majorHAnsi" w:cstheme="majorHAnsi"/>
        </w:rPr>
      </w:pPr>
    </w:p>
    <w:p w14:paraId="4BDAA505" w14:textId="77777777" w:rsidR="003203AD" w:rsidRPr="0089105D" w:rsidRDefault="003203AD" w:rsidP="003203AD">
      <w:pPr>
        <w:spacing w:line="360" w:lineRule="auto"/>
        <w:jc w:val="both"/>
        <w:rPr>
          <w:rFonts w:asciiTheme="majorHAnsi" w:hAnsiTheme="majorHAnsi" w:cstheme="majorHAnsi"/>
        </w:rPr>
      </w:pPr>
      <w:r w:rsidRPr="0089105D">
        <w:rPr>
          <w:rFonts w:asciiTheme="majorHAnsi" w:hAnsiTheme="majorHAnsi" w:cstheme="majorHAnsi"/>
        </w:rPr>
        <w:t>Following data collection, analysis focused on the most frequent criticisms, leading to the creation of sub-questions. Further literature review and data analysis ensued. The data analysis delved into key issues surrounding SDGs, while also examining patterns in academic literature and rhetoric towards the SDGs. This stage involved analyzing the release time of articles, the quartile of the institution, and its economic background in relation to specific criticisms, revealing patterns in how criticisms are shaped.</w:t>
      </w:r>
    </w:p>
    <w:p w14:paraId="1DF98B8F" w14:textId="77777777" w:rsidR="003203AD" w:rsidRPr="0089105D" w:rsidRDefault="003203AD" w:rsidP="003203AD">
      <w:pPr>
        <w:spacing w:line="360" w:lineRule="auto"/>
        <w:jc w:val="both"/>
        <w:rPr>
          <w:rFonts w:asciiTheme="majorHAnsi" w:hAnsiTheme="majorHAnsi" w:cstheme="majorHAnsi"/>
        </w:rPr>
      </w:pPr>
    </w:p>
    <w:p w14:paraId="0D897D8F" w14:textId="5608A60F" w:rsidR="00B67E7F" w:rsidRPr="0089105D" w:rsidRDefault="003203AD" w:rsidP="003203AD">
      <w:pPr>
        <w:spacing w:line="360" w:lineRule="auto"/>
        <w:jc w:val="both"/>
        <w:rPr>
          <w:rFonts w:asciiTheme="majorHAnsi" w:hAnsiTheme="majorHAnsi" w:cstheme="majorHAnsi"/>
        </w:rPr>
      </w:pPr>
      <w:r w:rsidRPr="0089105D">
        <w:rPr>
          <w:rFonts w:asciiTheme="majorHAnsi" w:hAnsiTheme="majorHAnsi" w:cstheme="majorHAnsi"/>
        </w:rPr>
        <w:t>Upon identifying key issues through data analysis, an additional research phase explored relevant literature to inform the creation of recommendations. This iterative process ensures a comprehensive and well-informed exploration of SDGs' strengths and weaknesses, contributing valuable insights to the discourse on sustainable development.</w:t>
      </w:r>
    </w:p>
    <w:p w14:paraId="24D75FCC" w14:textId="77777777" w:rsidR="003203AD" w:rsidRPr="0089105D" w:rsidRDefault="003203AD" w:rsidP="003203AD">
      <w:pPr>
        <w:spacing w:line="360" w:lineRule="auto"/>
        <w:jc w:val="both"/>
        <w:rPr>
          <w:rFonts w:asciiTheme="majorHAnsi" w:hAnsiTheme="majorHAnsi" w:cstheme="majorHAnsi"/>
          <w:lang w:val="en-GB"/>
        </w:rPr>
      </w:pPr>
    </w:p>
    <w:p w14:paraId="4CBED6B9" w14:textId="4257C2DC" w:rsidR="00DE713C" w:rsidRPr="0089105D" w:rsidRDefault="00A1284B" w:rsidP="00A1284B">
      <w:pPr>
        <w:spacing w:line="360" w:lineRule="auto"/>
        <w:jc w:val="both"/>
        <w:rPr>
          <w:rFonts w:asciiTheme="majorHAnsi" w:hAnsiTheme="majorHAnsi" w:cstheme="majorHAnsi"/>
          <w:lang w:val="en-GB"/>
        </w:rPr>
      </w:pPr>
      <w:r w:rsidRPr="0089105D">
        <w:rPr>
          <w:rFonts w:asciiTheme="majorHAnsi" w:hAnsiTheme="majorHAnsi" w:cstheme="majorHAnsi"/>
          <w:lang w:val="en-GB"/>
        </w:rPr>
        <w:t>Th</w:t>
      </w:r>
      <w:r w:rsidR="007B6D61" w:rsidRPr="0089105D">
        <w:rPr>
          <w:rFonts w:asciiTheme="majorHAnsi" w:hAnsiTheme="majorHAnsi" w:cstheme="majorHAnsi"/>
          <w:lang w:val="en-GB"/>
        </w:rPr>
        <w:t xml:space="preserve">e first subsection looked into the problematics of internal clashes. For this part, this Master Thesis leant on various scholars who have explored the internal conflicts within the Sustainable Development Goals (SDGs). Notably, </w:t>
      </w:r>
      <w:proofErr w:type="spellStart"/>
      <w:r w:rsidR="007B6D61" w:rsidRPr="0089105D">
        <w:rPr>
          <w:rFonts w:asciiTheme="majorHAnsi" w:hAnsiTheme="majorHAnsi" w:cstheme="majorHAnsi"/>
          <w:lang w:val="en-GB"/>
        </w:rPr>
        <w:t>Redclift</w:t>
      </w:r>
      <w:proofErr w:type="spellEnd"/>
      <w:r w:rsidR="007B6D61" w:rsidRPr="0089105D">
        <w:rPr>
          <w:rFonts w:asciiTheme="majorHAnsi" w:hAnsiTheme="majorHAnsi" w:cstheme="majorHAnsi"/>
          <w:lang w:val="en-GB"/>
        </w:rPr>
        <w:t xml:space="preserve"> (2005), Dasgupta (2013), </w:t>
      </w:r>
      <w:proofErr w:type="spellStart"/>
      <w:r w:rsidR="007B6D61" w:rsidRPr="0089105D">
        <w:rPr>
          <w:rFonts w:asciiTheme="majorHAnsi" w:hAnsiTheme="majorHAnsi" w:cstheme="majorHAnsi"/>
          <w:lang w:val="en-GB"/>
        </w:rPr>
        <w:t>Novovic</w:t>
      </w:r>
      <w:proofErr w:type="spellEnd"/>
      <w:r w:rsidR="007B6D61" w:rsidRPr="0089105D">
        <w:rPr>
          <w:rFonts w:asciiTheme="majorHAnsi" w:hAnsiTheme="majorHAnsi" w:cstheme="majorHAnsi"/>
          <w:lang w:val="en-GB"/>
        </w:rPr>
        <w:t xml:space="preserve"> (2021), Cumming (2018), and </w:t>
      </w:r>
      <w:proofErr w:type="spellStart"/>
      <w:r w:rsidR="007B6D61" w:rsidRPr="0089105D">
        <w:rPr>
          <w:rFonts w:asciiTheme="majorHAnsi" w:hAnsiTheme="majorHAnsi" w:cstheme="majorHAnsi"/>
          <w:lang w:val="en-GB"/>
        </w:rPr>
        <w:t>Kopnina</w:t>
      </w:r>
      <w:proofErr w:type="spellEnd"/>
      <w:r w:rsidR="007B6D61" w:rsidRPr="0089105D">
        <w:rPr>
          <w:rFonts w:asciiTheme="majorHAnsi" w:hAnsiTheme="majorHAnsi" w:cstheme="majorHAnsi"/>
          <w:lang w:val="en-GB"/>
        </w:rPr>
        <w:t xml:space="preserve"> (</w:t>
      </w:r>
      <w:r w:rsidR="00DA6076" w:rsidRPr="0089105D">
        <w:rPr>
          <w:rFonts w:asciiTheme="majorHAnsi" w:hAnsiTheme="majorHAnsi" w:cstheme="majorHAnsi"/>
          <w:lang w:val="en-GB"/>
        </w:rPr>
        <w:t>2016</w:t>
      </w:r>
      <w:r w:rsidR="007B6D61" w:rsidRPr="0089105D">
        <w:rPr>
          <w:rFonts w:asciiTheme="majorHAnsi" w:hAnsiTheme="majorHAnsi" w:cstheme="majorHAnsi"/>
          <w:lang w:val="en-GB"/>
        </w:rPr>
        <w:t>) have highlighted the challenges arising from conflicting goals and priorities within the SDG framework, contributing to a lack of synergy.</w:t>
      </w:r>
    </w:p>
    <w:p w14:paraId="6E466207" w14:textId="77777777" w:rsidR="00A1284B" w:rsidRPr="0089105D" w:rsidRDefault="00A1284B" w:rsidP="00A1284B">
      <w:pPr>
        <w:spacing w:line="360" w:lineRule="auto"/>
        <w:jc w:val="both"/>
        <w:rPr>
          <w:rFonts w:asciiTheme="majorHAnsi" w:hAnsiTheme="majorHAnsi" w:cstheme="majorHAnsi"/>
          <w:lang w:val="cs-CZ"/>
        </w:rPr>
      </w:pPr>
    </w:p>
    <w:p w14:paraId="68C365A6" w14:textId="55E0E230" w:rsidR="005F45A0" w:rsidRPr="0089105D" w:rsidRDefault="005F45A0" w:rsidP="005F45A0">
      <w:pPr>
        <w:spacing w:line="360" w:lineRule="auto"/>
        <w:jc w:val="both"/>
        <w:rPr>
          <w:rFonts w:asciiTheme="majorHAnsi" w:hAnsiTheme="majorHAnsi" w:cstheme="majorHAnsi"/>
          <w:lang w:val="en-GB"/>
        </w:rPr>
      </w:pPr>
      <w:r w:rsidRPr="0089105D">
        <w:rPr>
          <w:rFonts w:asciiTheme="majorHAnsi" w:hAnsiTheme="majorHAnsi" w:cstheme="majorHAnsi"/>
          <w:lang w:val="en-GB"/>
        </w:rPr>
        <w:lastRenderedPageBreak/>
        <w:t xml:space="preserve">The second subsection </w:t>
      </w:r>
      <w:proofErr w:type="spellStart"/>
      <w:r w:rsidRPr="0089105D">
        <w:rPr>
          <w:rFonts w:asciiTheme="majorHAnsi" w:hAnsiTheme="majorHAnsi" w:cstheme="majorHAnsi"/>
          <w:lang w:val="en-GB"/>
        </w:rPr>
        <w:t>analyzed</w:t>
      </w:r>
      <w:proofErr w:type="spellEnd"/>
      <w:r w:rsidRPr="0089105D">
        <w:rPr>
          <w:rFonts w:asciiTheme="majorHAnsi" w:hAnsiTheme="majorHAnsi" w:cstheme="majorHAnsi"/>
          <w:lang w:val="en-GB"/>
        </w:rPr>
        <w:t xml:space="preserve"> the issue of the lack of synergy and integration among SDGs. Major authors for this part included </w:t>
      </w:r>
      <w:proofErr w:type="spellStart"/>
      <w:r w:rsidRPr="0089105D">
        <w:rPr>
          <w:rFonts w:asciiTheme="majorHAnsi" w:hAnsiTheme="majorHAnsi" w:cstheme="majorHAnsi"/>
          <w:lang w:val="en-GB"/>
        </w:rPr>
        <w:t>Saez</w:t>
      </w:r>
      <w:proofErr w:type="spellEnd"/>
      <w:r w:rsidRPr="0089105D">
        <w:rPr>
          <w:rFonts w:asciiTheme="majorHAnsi" w:hAnsiTheme="majorHAnsi" w:cstheme="majorHAnsi"/>
          <w:lang w:val="en-GB"/>
        </w:rPr>
        <w:t xml:space="preserve"> de Camara (2021), </w:t>
      </w:r>
      <w:proofErr w:type="spellStart"/>
      <w:r w:rsidRPr="0089105D">
        <w:rPr>
          <w:rFonts w:asciiTheme="majorHAnsi" w:hAnsiTheme="majorHAnsi" w:cstheme="majorHAnsi"/>
          <w:lang w:val="en-GB"/>
        </w:rPr>
        <w:t>Moldavska</w:t>
      </w:r>
      <w:proofErr w:type="spellEnd"/>
      <w:r w:rsidRPr="0089105D">
        <w:rPr>
          <w:rFonts w:asciiTheme="majorHAnsi" w:hAnsiTheme="majorHAnsi" w:cstheme="majorHAnsi"/>
          <w:lang w:val="en-GB"/>
        </w:rPr>
        <w:t xml:space="preserve"> and </w:t>
      </w:r>
      <w:proofErr w:type="spellStart"/>
      <w:r w:rsidRPr="0089105D">
        <w:rPr>
          <w:rFonts w:asciiTheme="majorHAnsi" w:hAnsiTheme="majorHAnsi" w:cstheme="majorHAnsi"/>
          <w:lang w:val="en-GB"/>
        </w:rPr>
        <w:t>Welo</w:t>
      </w:r>
      <w:proofErr w:type="spellEnd"/>
      <w:r w:rsidRPr="0089105D">
        <w:rPr>
          <w:rFonts w:asciiTheme="majorHAnsi" w:hAnsiTheme="majorHAnsi" w:cstheme="majorHAnsi"/>
          <w:lang w:val="en-GB"/>
        </w:rPr>
        <w:t xml:space="preserve"> (2019), Lim (2018), and </w:t>
      </w:r>
      <w:proofErr w:type="spellStart"/>
      <w:r w:rsidR="00365466" w:rsidRPr="0089105D">
        <w:rPr>
          <w:rFonts w:asciiTheme="majorHAnsi" w:hAnsiTheme="majorHAnsi" w:cstheme="majorHAnsi"/>
          <w:lang w:val="en-GB"/>
        </w:rPr>
        <w:t>Lalawmpuii</w:t>
      </w:r>
      <w:proofErr w:type="spellEnd"/>
      <w:r w:rsidR="00365466" w:rsidRPr="0089105D">
        <w:rPr>
          <w:rFonts w:asciiTheme="majorHAnsi" w:hAnsiTheme="majorHAnsi" w:cstheme="majorHAnsi"/>
          <w:lang w:val="en-GB"/>
        </w:rPr>
        <w:t xml:space="preserve"> and </w:t>
      </w:r>
      <w:r w:rsidRPr="0089105D">
        <w:rPr>
          <w:rFonts w:asciiTheme="majorHAnsi" w:hAnsiTheme="majorHAnsi" w:cstheme="majorHAnsi"/>
          <w:lang w:val="en-GB"/>
        </w:rPr>
        <w:t>Rai (</w:t>
      </w:r>
      <w:r w:rsidR="00365466" w:rsidRPr="0089105D">
        <w:rPr>
          <w:rFonts w:asciiTheme="majorHAnsi" w:hAnsiTheme="majorHAnsi" w:cstheme="majorHAnsi"/>
          <w:lang w:val="en-GB"/>
        </w:rPr>
        <w:t>2023</w:t>
      </w:r>
      <w:r w:rsidRPr="0089105D">
        <w:rPr>
          <w:rFonts w:asciiTheme="majorHAnsi" w:hAnsiTheme="majorHAnsi" w:cstheme="majorHAnsi"/>
          <w:lang w:val="en-GB"/>
        </w:rPr>
        <w:t>).</w:t>
      </w:r>
    </w:p>
    <w:p w14:paraId="2B1F7689" w14:textId="77777777" w:rsidR="005F45A0" w:rsidRPr="0089105D" w:rsidRDefault="005F45A0" w:rsidP="005F45A0">
      <w:pPr>
        <w:spacing w:line="360" w:lineRule="auto"/>
        <w:ind w:firstLine="720"/>
        <w:jc w:val="both"/>
        <w:rPr>
          <w:rFonts w:asciiTheme="majorHAnsi" w:hAnsiTheme="majorHAnsi" w:cstheme="majorHAnsi"/>
          <w:lang w:val="en-GB"/>
        </w:rPr>
      </w:pPr>
    </w:p>
    <w:p w14:paraId="71132874" w14:textId="77777777" w:rsidR="005F45A0" w:rsidRPr="0089105D" w:rsidRDefault="005F45A0" w:rsidP="005F45A0">
      <w:pPr>
        <w:spacing w:line="360" w:lineRule="auto"/>
        <w:jc w:val="both"/>
        <w:rPr>
          <w:rFonts w:asciiTheme="majorHAnsi" w:hAnsiTheme="majorHAnsi" w:cstheme="majorHAnsi"/>
          <w:lang w:val="en-GB"/>
        </w:rPr>
      </w:pPr>
      <w:r w:rsidRPr="0089105D">
        <w:rPr>
          <w:rFonts w:asciiTheme="majorHAnsi" w:hAnsiTheme="majorHAnsi" w:cstheme="majorHAnsi"/>
          <w:lang w:val="en-GB"/>
        </w:rPr>
        <w:t xml:space="preserve">Moreover, the third subsection assessed global settings as another problematic aspect, drawing on the works of </w:t>
      </w:r>
      <w:proofErr w:type="spellStart"/>
      <w:r w:rsidRPr="0089105D">
        <w:rPr>
          <w:rFonts w:asciiTheme="majorHAnsi" w:hAnsiTheme="majorHAnsi" w:cstheme="majorHAnsi"/>
          <w:lang w:val="en-GB"/>
        </w:rPr>
        <w:t>Carant</w:t>
      </w:r>
      <w:proofErr w:type="spellEnd"/>
      <w:r w:rsidRPr="0089105D">
        <w:rPr>
          <w:rFonts w:asciiTheme="majorHAnsi" w:hAnsiTheme="majorHAnsi" w:cstheme="majorHAnsi"/>
          <w:lang w:val="en-GB"/>
        </w:rPr>
        <w:t xml:space="preserve"> (2016), </w:t>
      </w:r>
      <w:proofErr w:type="spellStart"/>
      <w:r w:rsidRPr="0089105D">
        <w:rPr>
          <w:rFonts w:asciiTheme="majorHAnsi" w:hAnsiTheme="majorHAnsi" w:cstheme="majorHAnsi"/>
          <w:lang w:val="en-GB"/>
        </w:rPr>
        <w:t>Brisset</w:t>
      </w:r>
      <w:proofErr w:type="spellEnd"/>
      <w:r w:rsidRPr="0089105D">
        <w:rPr>
          <w:rFonts w:asciiTheme="majorHAnsi" w:hAnsiTheme="majorHAnsi" w:cstheme="majorHAnsi"/>
          <w:lang w:val="en-GB"/>
        </w:rPr>
        <w:t xml:space="preserve"> (2017), Arora-</w:t>
      </w:r>
      <w:proofErr w:type="spellStart"/>
      <w:r w:rsidRPr="0089105D">
        <w:rPr>
          <w:rFonts w:asciiTheme="majorHAnsi" w:hAnsiTheme="majorHAnsi" w:cstheme="majorHAnsi"/>
          <w:lang w:val="en-GB"/>
        </w:rPr>
        <w:t>Jonssen</w:t>
      </w:r>
      <w:proofErr w:type="spellEnd"/>
      <w:r w:rsidRPr="0089105D">
        <w:rPr>
          <w:rFonts w:asciiTheme="majorHAnsi" w:hAnsiTheme="majorHAnsi" w:cstheme="majorHAnsi"/>
          <w:lang w:val="en-GB"/>
        </w:rPr>
        <w:t xml:space="preserve"> (2023), Cummings (2016), and Pogge and Sengupta (2016).</w:t>
      </w:r>
    </w:p>
    <w:p w14:paraId="0703DD4F" w14:textId="77777777" w:rsidR="005F45A0" w:rsidRPr="0089105D" w:rsidRDefault="005F45A0" w:rsidP="005F45A0">
      <w:pPr>
        <w:spacing w:line="360" w:lineRule="auto"/>
        <w:ind w:firstLine="720"/>
        <w:jc w:val="both"/>
        <w:rPr>
          <w:rFonts w:asciiTheme="majorHAnsi" w:hAnsiTheme="majorHAnsi" w:cstheme="majorHAnsi"/>
          <w:lang w:val="en-GB"/>
        </w:rPr>
      </w:pPr>
    </w:p>
    <w:p w14:paraId="3A4DDA38" w14:textId="77777777" w:rsidR="005F45A0" w:rsidRPr="0089105D" w:rsidRDefault="005F45A0" w:rsidP="005F45A0">
      <w:pPr>
        <w:spacing w:line="360" w:lineRule="auto"/>
        <w:jc w:val="both"/>
        <w:rPr>
          <w:rFonts w:asciiTheme="majorHAnsi" w:hAnsiTheme="majorHAnsi" w:cstheme="majorHAnsi"/>
          <w:lang w:val="en-GB"/>
        </w:rPr>
      </w:pPr>
      <w:r w:rsidRPr="0089105D">
        <w:rPr>
          <w:rFonts w:asciiTheme="majorHAnsi" w:hAnsiTheme="majorHAnsi" w:cstheme="majorHAnsi"/>
          <w:lang w:val="en-GB"/>
        </w:rPr>
        <w:t xml:space="preserve">The fourth subsection investigated the inefficiency of SDG indicators, with key articles from Schmidt-Traub et al. (2017), </w:t>
      </w:r>
      <w:proofErr w:type="spellStart"/>
      <w:r w:rsidRPr="0089105D">
        <w:rPr>
          <w:rFonts w:asciiTheme="majorHAnsi" w:hAnsiTheme="majorHAnsi" w:cstheme="majorHAnsi"/>
          <w:lang w:val="en-GB"/>
        </w:rPr>
        <w:t>Hak</w:t>
      </w:r>
      <w:proofErr w:type="spellEnd"/>
      <w:r w:rsidRPr="0089105D">
        <w:rPr>
          <w:rFonts w:asciiTheme="majorHAnsi" w:hAnsiTheme="majorHAnsi" w:cstheme="majorHAnsi"/>
          <w:lang w:val="en-GB"/>
        </w:rPr>
        <w:t xml:space="preserve"> and </w:t>
      </w:r>
      <w:proofErr w:type="spellStart"/>
      <w:r w:rsidRPr="0089105D">
        <w:rPr>
          <w:rFonts w:asciiTheme="majorHAnsi" w:hAnsiTheme="majorHAnsi" w:cstheme="majorHAnsi"/>
          <w:lang w:val="en-GB"/>
        </w:rPr>
        <w:t>Janouskova</w:t>
      </w:r>
      <w:proofErr w:type="spellEnd"/>
      <w:r w:rsidRPr="0089105D">
        <w:rPr>
          <w:rFonts w:asciiTheme="majorHAnsi" w:hAnsiTheme="majorHAnsi" w:cstheme="majorHAnsi"/>
          <w:lang w:val="en-GB"/>
        </w:rPr>
        <w:t xml:space="preserve"> (2018), Guppy (2019), and others.</w:t>
      </w:r>
    </w:p>
    <w:p w14:paraId="57B96ADD" w14:textId="77777777" w:rsidR="005F45A0" w:rsidRPr="0089105D" w:rsidRDefault="005F45A0" w:rsidP="005F45A0">
      <w:pPr>
        <w:spacing w:line="360" w:lineRule="auto"/>
        <w:ind w:firstLine="720"/>
        <w:jc w:val="both"/>
        <w:rPr>
          <w:rFonts w:asciiTheme="majorHAnsi" w:hAnsiTheme="majorHAnsi" w:cstheme="majorHAnsi"/>
          <w:lang w:val="en-GB"/>
        </w:rPr>
      </w:pPr>
    </w:p>
    <w:p w14:paraId="7F4575ED" w14:textId="77777777" w:rsidR="005F45A0" w:rsidRPr="0089105D" w:rsidRDefault="005F45A0" w:rsidP="005F45A0">
      <w:pPr>
        <w:spacing w:line="360" w:lineRule="auto"/>
        <w:jc w:val="both"/>
        <w:rPr>
          <w:rFonts w:asciiTheme="majorHAnsi" w:hAnsiTheme="majorHAnsi" w:cstheme="majorHAnsi"/>
          <w:lang w:val="en-GB"/>
        </w:rPr>
      </w:pPr>
      <w:r w:rsidRPr="0089105D">
        <w:rPr>
          <w:rFonts w:asciiTheme="majorHAnsi" w:hAnsiTheme="majorHAnsi" w:cstheme="majorHAnsi"/>
          <w:lang w:val="en-GB"/>
        </w:rPr>
        <w:t xml:space="preserve">Furthermore, the subsection dedicated to examining the lack of a monitoring mechanism for SDGs drew on crucial literature, including works by </w:t>
      </w:r>
      <w:proofErr w:type="spellStart"/>
      <w:r w:rsidRPr="0089105D">
        <w:rPr>
          <w:rFonts w:asciiTheme="majorHAnsi" w:hAnsiTheme="majorHAnsi" w:cstheme="majorHAnsi"/>
          <w:lang w:val="en-GB"/>
        </w:rPr>
        <w:t>Forbye</w:t>
      </w:r>
      <w:proofErr w:type="spellEnd"/>
      <w:r w:rsidRPr="0089105D">
        <w:rPr>
          <w:rFonts w:asciiTheme="majorHAnsi" w:hAnsiTheme="majorHAnsi" w:cstheme="majorHAnsi"/>
          <w:lang w:val="en-GB"/>
        </w:rPr>
        <w:t xml:space="preserve">, Constanza et al. (2016), Costanza et al. (2016), Merry (2011), Morse (2015), Smith (2020), Glass and </w:t>
      </w:r>
      <w:proofErr w:type="spellStart"/>
      <w:r w:rsidRPr="0089105D">
        <w:rPr>
          <w:rFonts w:asciiTheme="majorHAnsi" w:hAnsiTheme="majorHAnsi" w:cstheme="majorHAnsi"/>
          <w:lang w:val="en-GB"/>
        </w:rPr>
        <w:t>Newig</w:t>
      </w:r>
      <w:proofErr w:type="spellEnd"/>
      <w:r w:rsidRPr="0089105D">
        <w:rPr>
          <w:rFonts w:asciiTheme="majorHAnsi" w:hAnsiTheme="majorHAnsi" w:cstheme="majorHAnsi"/>
          <w:lang w:val="en-GB"/>
        </w:rPr>
        <w:t xml:space="preserve"> (2019), Fisher and Parr (2019).</w:t>
      </w:r>
    </w:p>
    <w:p w14:paraId="26C9F68A" w14:textId="77777777" w:rsidR="005F45A0" w:rsidRPr="0089105D" w:rsidRDefault="005F45A0" w:rsidP="005F45A0">
      <w:pPr>
        <w:spacing w:line="360" w:lineRule="auto"/>
        <w:ind w:firstLine="720"/>
        <w:jc w:val="both"/>
        <w:rPr>
          <w:rFonts w:asciiTheme="majorHAnsi" w:hAnsiTheme="majorHAnsi" w:cstheme="majorHAnsi"/>
          <w:lang w:val="en-GB"/>
        </w:rPr>
      </w:pPr>
    </w:p>
    <w:p w14:paraId="2D03E646" w14:textId="77777777" w:rsidR="005F45A0" w:rsidRPr="0089105D" w:rsidRDefault="005F45A0" w:rsidP="005F45A0">
      <w:pPr>
        <w:spacing w:line="360" w:lineRule="auto"/>
        <w:jc w:val="both"/>
        <w:rPr>
          <w:rFonts w:asciiTheme="majorHAnsi" w:hAnsiTheme="majorHAnsi" w:cstheme="majorHAnsi"/>
          <w:lang w:val="en-GB"/>
        </w:rPr>
      </w:pPr>
      <w:r w:rsidRPr="0089105D">
        <w:rPr>
          <w:rFonts w:asciiTheme="majorHAnsi" w:hAnsiTheme="majorHAnsi" w:cstheme="majorHAnsi"/>
          <w:lang w:val="en-GB"/>
        </w:rPr>
        <w:t>The sixth subsection focused on the lack of an accountability mechanism pushing states to follow the SDG agenda. Major sources for this part included academic works by Friedman (2016), Donald et al. (2016), Hunt (2015), Lin (2020), or Merry (2011).</w:t>
      </w:r>
    </w:p>
    <w:p w14:paraId="09A5D29D" w14:textId="77777777" w:rsidR="005F45A0" w:rsidRPr="0089105D" w:rsidRDefault="005F45A0" w:rsidP="005F45A0">
      <w:pPr>
        <w:spacing w:line="360" w:lineRule="auto"/>
        <w:ind w:firstLine="720"/>
        <w:jc w:val="both"/>
        <w:rPr>
          <w:rFonts w:asciiTheme="majorHAnsi" w:hAnsiTheme="majorHAnsi" w:cstheme="majorHAnsi"/>
          <w:lang w:val="en-GB"/>
        </w:rPr>
      </w:pPr>
    </w:p>
    <w:p w14:paraId="398D99F1" w14:textId="77777777" w:rsidR="005F45A0" w:rsidRPr="0089105D" w:rsidRDefault="005F45A0" w:rsidP="005F45A0">
      <w:pPr>
        <w:spacing w:line="360" w:lineRule="auto"/>
        <w:jc w:val="both"/>
        <w:rPr>
          <w:rFonts w:asciiTheme="majorHAnsi" w:hAnsiTheme="majorHAnsi" w:cstheme="majorHAnsi"/>
          <w:lang w:val="en-GB"/>
        </w:rPr>
      </w:pPr>
      <w:r w:rsidRPr="0089105D">
        <w:rPr>
          <w:rFonts w:asciiTheme="majorHAnsi" w:hAnsiTheme="majorHAnsi" w:cstheme="majorHAnsi"/>
          <w:lang w:val="en-GB"/>
        </w:rPr>
        <w:t xml:space="preserve">The seventh subsection explored issues linked to the application of the wrong model of sustainability and drew on academic work by </w:t>
      </w:r>
      <w:proofErr w:type="spellStart"/>
      <w:r w:rsidRPr="0089105D">
        <w:rPr>
          <w:rFonts w:asciiTheme="majorHAnsi" w:hAnsiTheme="majorHAnsi" w:cstheme="majorHAnsi"/>
          <w:lang w:val="en-GB"/>
        </w:rPr>
        <w:t>Asadikia</w:t>
      </w:r>
      <w:proofErr w:type="spellEnd"/>
      <w:r w:rsidRPr="0089105D">
        <w:rPr>
          <w:rFonts w:asciiTheme="majorHAnsi" w:hAnsiTheme="majorHAnsi" w:cstheme="majorHAnsi"/>
          <w:lang w:val="en-GB"/>
        </w:rPr>
        <w:t xml:space="preserve"> et al. (2021), </w:t>
      </w:r>
      <w:proofErr w:type="spellStart"/>
      <w:r w:rsidRPr="0089105D">
        <w:rPr>
          <w:rFonts w:asciiTheme="majorHAnsi" w:hAnsiTheme="majorHAnsi" w:cstheme="majorHAnsi"/>
          <w:lang w:val="en-GB"/>
        </w:rPr>
        <w:t>Berrone</w:t>
      </w:r>
      <w:proofErr w:type="spellEnd"/>
      <w:r w:rsidRPr="0089105D">
        <w:rPr>
          <w:rFonts w:asciiTheme="majorHAnsi" w:hAnsiTheme="majorHAnsi" w:cstheme="majorHAnsi"/>
          <w:lang w:val="en-GB"/>
        </w:rPr>
        <w:t xml:space="preserve"> (2023), Yang et al. (2020), Eisenmenger et al. (2020), Hickel (2020), </w:t>
      </w:r>
      <w:proofErr w:type="spellStart"/>
      <w:r w:rsidRPr="0089105D">
        <w:rPr>
          <w:rFonts w:asciiTheme="majorHAnsi" w:hAnsiTheme="majorHAnsi" w:cstheme="majorHAnsi"/>
          <w:lang w:val="en-GB"/>
        </w:rPr>
        <w:t>Rockstrom</w:t>
      </w:r>
      <w:proofErr w:type="spellEnd"/>
      <w:r w:rsidRPr="0089105D">
        <w:rPr>
          <w:rFonts w:asciiTheme="majorHAnsi" w:hAnsiTheme="majorHAnsi" w:cstheme="majorHAnsi"/>
          <w:lang w:val="en-GB"/>
        </w:rPr>
        <w:t xml:space="preserve"> and Sukhdev (2016), Sachs (2017), Wesley, Tittle, and </w:t>
      </w:r>
      <w:proofErr w:type="spellStart"/>
      <w:r w:rsidRPr="0089105D">
        <w:rPr>
          <w:rFonts w:asciiTheme="majorHAnsi" w:hAnsiTheme="majorHAnsi" w:cstheme="majorHAnsi"/>
          <w:lang w:val="en-GB"/>
        </w:rPr>
        <w:t>Seida</w:t>
      </w:r>
      <w:proofErr w:type="spellEnd"/>
      <w:r w:rsidRPr="0089105D">
        <w:rPr>
          <w:rFonts w:asciiTheme="majorHAnsi" w:hAnsiTheme="majorHAnsi" w:cstheme="majorHAnsi"/>
          <w:lang w:val="en-GB"/>
        </w:rPr>
        <w:t xml:space="preserve"> (2021), Mackey, Vain, and Kohler (2018), </w:t>
      </w:r>
      <w:proofErr w:type="spellStart"/>
      <w:r w:rsidRPr="0089105D">
        <w:rPr>
          <w:rFonts w:asciiTheme="majorHAnsi" w:hAnsiTheme="majorHAnsi" w:cstheme="majorHAnsi"/>
          <w:lang w:val="en-GB"/>
        </w:rPr>
        <w:t>Nehan</w:t>
      </w:r>
      <w:proofErr w:type="spellEnd"/>
      <w:r w:rsidRPr="0089105D">
        <w:rPr>
          <w:rFonts w:asciiTheme="majorHAnsi" w:hAnsiTheme="majorHAnsi" w:cstheme="majorHAnsi"/>
          <w:lang w:val="en-GB"/>
        </w:rPr>
        <w:t xml:space="preserve"> and Cox (2022), </w:t>
      </w:r>
      <w:proofErr w:type="spellStart"/>
      <w:r w:rsidRPr="0089105D">
        <w:rPr>
          <w:rFonts w:asciiTheme="majorHAnsi" w:hAnsiTheme="majorHAnsi" w:cstheme="majorHAnsi"/>
          <w:lang w:val="en-GB"/>
        </w:rPr>
        <w:t>Hoffiani</w:t>
      </w:r>
      <w:proofErr w:type="spellEnd"/>
      <w:r w:rsidRPr="0089105D">
        <w:rPr>
          <w:rFonts w:asciiTheme="majorHAnsi" w:hAnsiTheme="majorHAnsi" w:cstheme="majorHAnsi"/>
          <w:lang w:val="en-GB"/>
        </w:rPr>
        <w:t xml:space="preserve"> (2019), and Kunar (2018).</w:t>
      </w:r>
    </w:p>
    <w:p w14:paraId="08578247" w14:textId="77777777" w:rsidR="005F45A0" w:rsidRPr="0089105D" w:rsidRDefault="005F45A0" w:rsidP="005F45A0">
      <w:pPr>
        <w:spacing w:line="360" w:lineRule="auto"/>
        <w:ind w:firstLine="720"/>
        <w:jc w:val="both"/>
        <w:rPr>
          <w:rFonts w:asciiTheme="majorHAnsi" w:hAnsiTheme="majorHAnsi" w:cstheme="majorHAnsi"/>
          <w:lang w:val="en-GB"/>
        </w:rPr>
      </w:pPr>
    </w:p>
    <w:p w14:paraId="202D9B76" w14:textId="77777777" w:rsidR="005F45A0" w:rsidRPr="0089105D" w:rsidRDefault="005F45A0" w:rsidP="005F45A0">
      <w:pPr>
        <w:spacing w:line="360" w:lineRule="auto"/>
        <w:jc w:val="both"/>
        <w:rPr>
          <w:rFonts w:asciiTheme="majorHAnsi" w:hAnsiTheme="majorHAnsi" w:cstheme="majorHAnsi"/>
          <w:lang w:val="en-GB"/>
        </w:rPr>
      </w:pPr>
      <w:r w:rsidRPr="0089105D">
        <w:rPr>
          <w:rFonts w:asciiTheme="majorHAnsi" w:hAnsiTheme="majorHAnsi" w:cstheme="majorHAnsi"/>
          <w:lang w:val="en-GB"/>
        </w:rPr>
        <w:t xml:space="preserve">In addition, part number eight investigated the non-binding nature of SDGs. Influential academic writings by Friedman (2016), Biermann &amp; Boas (2017), Spangenberg (2017), </w:t>
      </w:r>
      <w:proofErr w:type="spellStart"/>
      <w:r w:rsidRPr="0089105D">
        <w:rPr>
          <w:rFonts w:asciiTheme="majorHAnsi" w:hAnsiTheme="majorHAnsi" w:cstheme="majorHAnsi"/>
          <w:lang w:val="en-GB"/>
        </w:rPr>
        <w:t>Brisset</w:t>
      </w:r>
      <w:proofErr w:type="spellEnd"/>
      <w:r w:rsidRPr="0089105D">
        <w:rPr>
          <w:rFonts w:asciiTheme="majorHAnsi" w:hAnsiTheme="majorHAnsi" w:cstheme="majorHAnsi"/>
          <w:lang w:val="en-GB"/>
        </w:rPr>
        <w:t xml:space="preserve"> (2015), Pogge &amp; Sengupta (2018), </w:t>
      </w:r>
      <w:proofErr w:type="spellStart"/>
      <w:r w:rsidRPr="0089105D">
        <w:rPr>
          <w:rFonts w:asciiTheme="majorHAnsi" w:hAnsiTheme="majorHAnsi" w:cstheme="majorHAnsi"/>
          <w:lang w:val="en-GB"/>
        </w:rPr>
        <w:t>Berridge</w:t>
      </w:r>
      <w:proofErr w:type="spellEnd"/>
      <w:r w:rsidRPr="0089105D">
        <w:rPr>
          <w:rFonts w:asciiTheme="majorHAnsi" w:hAnsiTheme="majorHAnsi" w:cstheme="majorHAnsi"/>
          <w:lang w:val="en-GB"/>
        </w:rPr>
        <w:t xml:space="preserve"> (2001), </w:t>
      </w:r>
      <w:proofErr w:type="spellStart"/>
      <w:r w:rsidRPr="0089105D">
        <w:rPr>
          <w:rFonts w:asciiTheme="majorHAnsi" w:hAnsiTheme="majorHAnsi" w:cstheme="majorHAnsi"/>
          <w:lang w:val="en-GB"/>
        </w:rPr>
        <w:t>Klabbers</w:t>
      </w:r>
      <w:proofErr w:type="spellEnd"/>
      <w:r w:rsidRPr="0089105D">
        <w:rPr>
          <w:rFonts w:asciiTheme="majorHAnsi" w:hAnsiTheme="majorHAnsi" w:cstheme="majorHAnsi"/>
          <w:lang w:val="en-GB"/>
        </w:rPr>
        <w:t xml:space="preserve"> (2017), or Shaw (2001).</w:t>
      </w:r>
    </w:p>
    <w:p w14:paraId="10B1C427" w14:textId="77777777" w:rsidR="005F45A0" w:rsidRPr="0089105D" w:rsidRDefault="005F45A0" w:rsidP="005F45A0">
      <w:pPr>
        <w:spacing w:line="360" w:lineRule="auto"/>
        <w:ind w:firstLine="720"/>
        <w:jc w:val="both"/>
        <w:rPr>
          <w:rFonts w:asciiTheme="majorHAnsi" w:hAnsiTheme="majorHAnsi" w:cstheme="majorHAnsi"/>
          <w:lang w:val="en-GB"/>
        </w:rPr>
      </w:pPr>
    </w:p>
    <w:p w14:paraId="2CF8AAC6" w14:textId="54F3C0B2" w:rsidR="00B67E7F" w:rsidRPr="0089105D" w:rsidRDefault="005F45A0" w:rsidP="005F45A0">
      <w:pPr>
        <w:spacing w:line="360" w:lineRule="auto"/>
        <w:jc w:val="both"/>
        <w:rPr>
          <w:rFonts w:asciiTheme="majorHAnsi" w:hAnsiTheme="majorHAnsi" w:cstheme="majorHAnsi"/>
          <w:lang w:val="en-GB"/>
        </w:rPr>
      </w:pPr>
      <w:r w:rsidRPr="0089105D">
        <w:rPr>
          <w:rFonts w:asciiTheme="majorHAnsi" w:hAnsiTheme="majorHAnsi" w:cstheme="majorHAnsi"/>
          <w:lang w:val="en-GB"/>
        </w:rPr>
        <w:t xml:space="preserve">Lastly, the last subsection looking into issues arising from the vagueness of SDGs was based mainly on the following authors: Burger and Parker (2022), Langford (2016), </w:t>
      </w:r>
      <w:proofErr w:type="spellStart"/>
      <w:r w:rsidRPr="0089105D">
        <w:rPr>
          <w:rFonts w:asciiTheme="majorHAnsi" w:hAnsiTheme="majorHAnsi" w:cstheme="majorHAnsi"/>
          <w:lang w:val="en-GB"/>
        </w:rPr>
        <w:t>Engelbretsen</w:t>
      </w:r>
      <w:proofErr w:type="spellEnd"/>
      <w:r w:rsidRPr="0089105D">
        <w:rPr>
          <w:rFonts w:asciiTheme="majorHAnsi" w:hAnsiTheme="majorHAnsi" w:cstheme="majorHAnsi"/>
          <w:lang w:val="en-GB"/>
        </w:rPr>
        <w:t xml:space="preserve"> (2017), Filho et al. (202</w:t>
      </w:r>
      <w:r w:rsidR="003455A5" w:rsidRPr="0089105D">
        <w:rPr>
          <w:rFonts w:asciiTheme="majorHAnsi" w:hAnsiTheme="majorHAnsi" w:cstheme="majorHAnsi"/>
          <w:lang w:val="en-GB"/>
        </w:rPr>
        <w:t>3</w:t>
      </w:r>
      <w:r w:rsidRPr="0089105D">
        <w:rPr>
          <w:rFonts w:asciiTheme="majorHAnsi" w:hAnsiTheme="majorHAnsi" w:cstheme="majorHAnsi"/>
          <w:lang w:val="en-GB"/>
        </w:rPr>
        <w:t xml:space="preserve">), and </w:t>
      </w:r>
      <w:proofErr w:type="spellStart"/>
      <w:r w:rsidRPr="0089105D">
        <w:rPr>
          <w:rFonts w:asciiTheme="majorHAnsi" w:hAnsiTheme="majorHAnsi" w:cstheme="majorHAnsi"/>
          <w:lang w:val="en-GB"/>
        </w:rPr>
        <w:t>Mustajoki</w:t>
      </w:r>
      <w:proofErr w:type="spellEnd"/>
      <w:r w:rsidRPr="0089105D">
        <w:rPr>
          <w:rFonts w:asciiTheme="majorHAnsi" w:hAnsiTheme="majorHAnsi" w:cstheme="majorHAnsi"/>
          <w:lang w:val="en-GB"/>
        </w:rPr>
        <w:t xml:space="preserve"> et al. (2020).</w:t>
      </w:r>
    </w:p>
    <w:p w14:paraId="028A9438" w14:textId="1964D8C0" w:rsidR="00B67E7F" w:rsidRPr="0089105D" w:rsidRDefault="00B67E7F" w:rsidP="00DE713C">
      <w:pPr>
        <w:spacing w:line="360" w:lineRule="auto"/>
        <w:ind w:firstLine="720"/>
        <w:jc w:val="both"/>
        <w:rPr>
          <w:rFonts w:asciiTheme="majorHAnsi" w:hAnsiTheme="majorHAnsi" w:cstheme="majorHAnsi"/>
          <w:lang w:val="en-GB"/>
        </w:rPr>
      </w:pPr>
    </w:p>
    <w:p w14:paraId="367F5C65" w14:textId="464A2972" w:rsidR="005F45A0" w:rsidRPr="0089105D" w:rsidRDefault="005F45A0" w:rsidP="00DE713C">
      <w:pPr>
        <w:rPr>
          <w:rFonts w:asciiTheme="majorHAnsi" w:hAnsiTheme="majorHAnsi" w:cstheme="majorHAnsi"/>
        </w:rPr>
      </w:pPr>
    </w:p>
    <w:p w14:paraId="2624D18F" w14:textId="77777777" w:rsidR="005F45A0" w:rsidRPr="0089105D" w:rsidRDefault="005F45A0" w:rsidP="00DE713C">
      <w:pPr>
        <w:rPr>
          <w:rFonts w:asciiTheme="majorHAnsi" w:hAnsiTheme="majorHAnsi" w:cstheme="majorHAnsi"/>
        </w:rPr>
      </w:pPr>
    </w:p>
    <w:p w14:paraId="070B1865" w14:textId="29F17A1C" w:rsidR="003203AD" w:rsidRPr="0089105D" w:rsidRDefault="00DE713C" w:rsidP="003203AD">
      <w:pPr>
        <w:pStyle w:val="Heading1"/>
        <w:spacing w:after="120" w:line="360" w:lineRule="auto"/>
        <w:jc w:val="both"/>
        <w:rPr>
          <w:rFonts w:cstheme="majorHAnsi"/>
          <w:b/>
          <w:bCs/>
          <w:color w:val="auto"/>
          <w:sz w:val="28"/>
          <w:szCs w:val="28"/>
        </w:rPr>
      </w:pPr>
      <w:bookmarkStart w:id="17" w:name="_Toc132266310"/>
      <w:bookmarkStart w:id="18" w:name="_Toc153142463"/>
      <w:bookmarkStart w:id="19" w:name="_Toc153187393"/>
      <w:r w:rsidRPr="0089105D">
        <w:rPr>
          <w:rFonts w:cstheme="majorHAnsi"/>
          <w:b/>
          <w:bCs/>
          <w:color w:val="auto"/>
          <w:sz w:val="28"/>
          <w:szCs w:val="28"/>
        </w:rPr>
        <w:t>CHAPTER 2:  ANALYSIS OF LITERATURE ON CRITICISM OF SUSTAINABLE DEVELOPMENT GOALS</w:t>
      </w:r>
      <w:bookmarkEnd w:id="17"/>
      <w:bookmarkEnd w:id="18"/>
      <w:bookmarkEnd w:id="19"/>
    </w:p>
    <w:p w14:paraId="234A4C5D" w14:textId="5FEC4B21" w:rsidR="00DE713C" w:rsidRPr="0089105D" w:rsidRDefault="004A45B8" w:rsidP="0094007C">
      <w:pPr>
        <w:pStyle w:val="NormalWeb"/>
        <w:spacing w:before="0" w:beforeAutospacing="0" w:after="0" w:afterAutospacing="0" w:line="360" w:lineRule="auto"/>
        <w:jc w:val="both"/>
        <w:rPr>
          <w:rFonts w:asciiTheme="majorHAnsi" w:hAnsiTheme="majorHAnsi" w:cstheme="majorHAnsi"/>
          <w:lang w:val="en-GB"/>
        </w:rPr>
      </w:pPr>
      <w:r w:rsidRPr="0089105D">
        <w:rPr>
          <w:rFonts w:asciiTheme="majorHAnsi" w:hAnsiTheme="majorHAnsi" w:cstheme="majorHAnsi"/>
          <w:lang w:val="en-GB"/>
        </w:rPr>
        <w:t>The data analysis conducted in this study delved into a comprehensive exploration of scholarly articles sourced from various academic databases. The investigation focused on five prominent platforms: Web of Science, Scopus, JSTOR, Science Direct, and Google Scholar. The dataset comprised a total of 113 articles, with each database contributing a distinct number of publications. Specifically, Web of Science yielded 20 articles, Scopus provided access to 54, JSTOR featured 4, Science Direct contributed 20, and Google Scholar encompassed 15 articles. This diverse selection of databases ensured a broad and multi-faceted representation of academic literature, laying the foundation for a thorough and insightful analysis of the chosen articles.</w:t>
      </w:r>
    </w:p>
    <w:p w14:paraId="746059EF" w14:textId="77777777" w:rsidR="00DE713C" w:rsidRPr="0089105D" w:rsidRDefault="00DE713C" w:rsidP="00DE713C">
      <w:pPr>
        <w:pStyle w:val="NormalWeb"/>
        <w:spacing w:before="0" w:beforeAutospacing="0" w:after="0" w:afterAutospacing="0" w:line="360" w:lineRule="auto"/>
        <w:ind w:firstLine="720"/>
        <w:jc w:val="both"/>
        <w:rPr>
          <w:rFonts w:asciiTheme="majorHAnsi" w:hAnsiTheme="majorHAnsi" w:cstheme="majorHAnsi"/>
          <w:lang w:val="en-GB"/>
        </w:rPr>
      </w:pPr>
    </w:p>
    <w:p w14:paraId="2F6710F9" w14:textId="77777777" w:rsidR="00DE713C" w:rsidRPr="0089105D" w:rsidRDefault="00DE713C" w:rsidP="00DE713C">
      <w:pPr>
        <w:pStyle w:val="NormalWeb"/>
        <w:spacing w:before="0" w:beforeAutospacing="0" w:after="0" w:afterAutospacing="0" w:line="360" w:lineRule="auto"/>
        <w:ind w:firstLine="720"/>
        <w:jc w:val="both"/>
        <w:rPr>
          <w:rFonts w:asciiTheme="majorHAnsi" w:hAnsiTheme="majorHAnsi" w:cstheme="majorHAnsi"/>
          <w:lang w:val="en-GB"/>
        </w:rPr>
      </w:pPr>
    </w:p>
    <w:p w14:paraId="2394B207" w14:textId="35C85FFD" w:rsidR="00DE713C" w:rsidRPr="0089105D" w:rsidRDefault="00DE713C" w:rsidP="007A572E">
      <w:pPr>
        <w:pStyle w:val="NormalWeb"/>
        <w:spacing w:before="0" w:beforeAutospacing="0" w:after="0" w:afterAutospacing="0" w:line="360" w:lineRule="auto"/>
        <w:ind w:firstLine="720"/>
        <w:jc w:val="both"/>
        <w:rPr>
          <w:rFonts w:asciiTheme="majorHAnsi" w:hAnsiTheme="majorHAnsi" w:cstheme="majorHAnsi"/>
          <w:lang w:val="en-GB"/>
        </w:rPr>
      </w:pPr>
      <w:r w:rsidRPr="0089105D">
        <w:rPr>
          <w:rFonts w:asciiTheme="majorHAnsi" w:hAnsiTheme="majorHAnsi" w:cstheme="majorHAnsi"/>
          <w:noProof/>
          <w:lang w:val="en-GB"/>
        </w:rPr>
        <w:drawing>
          <wp:inline distT="0" distB="0" distL="0" distR="0" wp14:anchorId="777F41D4" wp14:editId="34313C8A">
            <wp:extent cx="5588000" cy="3200400"/>
            <wp:effectExtent l="0" t="0" r="12700" b="0"/>
            <wp:docPr id="645578184"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41A02A4E" w14:textId="5E6D0891" w:rsidR="00CB13F4" w:rsidRPr="0089105D" w:rsidRDefault="00CB13F4" w:rsidP="00CB13F4">
      <w:pPr>
        <w:pStyle w:val="Caption"/>
        <w:keepNext/>
        <w:jc w:val="both"/>
        <w:rPr>
          <w:rFonts w:asciiTheme="majorHAnsi" w:hAnsiTheme="majorHAnsi" w:cstheme="majorHAnsi"/>
          <w:color w:val="auto"/>
          <w:sz w:val="20"/>
          <w:szCs w:val="20"/>
        </w:rPr>
      </w:pPr>
      <w:bookmarkStart w:id="20" w:name="_Toc153085119"/>
      <w:bookmarkStart w:id="21" w:name="_Toc153091210"/>
      <w:bookmarkStart w:id="22" w:name="_Toc153169541"/>
      <w:r w:rsidRPr="0089105D">
        <w:rPr>
          <w:rFonts w:asciiTheme="majorHAnsi" w:hAnsiTheme="majorHAnsi" w:cstheme="majorHAnsi"/>
          <w:color w:val="auto"/>
          <w:sz w:val="20"/>
          <w:szCs w:val="20"/>
        </w:rPr>
        <w:t xml:space="preserve">Table </w:t>
      </w:r>
      <w:r w:rsidRPr="0089105D">
        <w:rPr>
          <w:rFonts w:asciiTheme="majorHAnsi" w:hAnsiTheme="majorHAnsi" w:cstheme="majorHAnsi"/>
          <w:color w:val="auto"/>
          <w:sz w:val="20"/>
          <w:szCs w:val="20"/>
        </w:rPr>
        <w:fldChar w:fldCharType="begin"/>
      </w:r>
      <w:r w:rsidRPr="0089105D">
        <w:rPr>
          <w:rFonts w:asciiTheme="majorHAnsi" w:hAnsiTheme="majorHAnsi" w:cstheme="majorHAnsi"/>
          <w:color w:val="auto"/>
          <w:sz w:val="20"/>
          <w:szCs w:val="20"/>
        </w:rPr>
        <w:instrText xml:space="preserve"> SEQ Table \* ARABIC </w:instrText>
      </w:r>
      <w:r w:rsidRPr="0089105D">
        <w:rPr>
          <w:rFonts w:asciiTheme="majorHAnsi" w:hAnsiTheme="majorHAnsi" w:cstheme="majorHAnsi"/>
          <w:color w:val="auto"/>
          <w:sz w:val="20"/>
          <w:szCs w:val="20"/>
        </w:rPr>
        <w:fldChar w:fldCharType="separate"/>
      </w:r>
      <w:r w:rsidR="004519D8" w:rsidRPr="0089105D">
        <w:rPr>
          <w:rFonts w:asciiTheme="majorHAnsi" w:hAnsiTheme="majorHAnsi" w:cstheme="majorHAnsi"/>
          <w:noProof/>
          <w:color w:val="auto"/>
          <w:sz w:val="20"/>
          <w:szCs w:val="20"/>
        </w:rPr>
        <w:t>1</w:t>
      </w:r>
      <w:r w:rsidRPr="0089105D">
        <w:rPr>
          <w:rFonts w:asciiTheme="majorHAnsi" w:hAnsiTheme="majorHAnsi" w:cstheme="majorHAnsi"/>
          <w:color w:val="auto"/>
          <w:sz w:val="20"/>
          <w:szCs w:val="20"/>
        </w:rPr>
        <w:fldChar w:fldCharType="end"/>
      </w:r>
      <w:r w:rsidR="0043388B" w:rsidRPr="0089105D">
        <w:rPr>
          <w:rFonts w:asciiTheme="majorHAnsi" w:hAnsiTheme="majorHAnsi" w:cstheme="majorHAnsi"/>
          <w:color w:val="auto"/>
          <w:sz w:val="20"/>
          <w:szCs w:val="20"/>
        </w:rPr>
        <w:t xml:space="preserve"> </w:t>
      </w:r>
      <w:r w:rsidRPr="0089105D">
        <w:rPr>
          <w:rFonts w:asciiTheme="majorHAnsi" w:hAnsiTheme="majorHAnsi" w:cstheme="majorHAnsi"/>
          <w:color w:val="auto"/>
          <w:sz w:val="20"/>
          <w:szCs w:val="20"/>
        </w:rPr>
        <w:t>This diagram illustrates the quantity of articles identified through the utilization of specific academic databases. The highest number of articles was found in Scopus.</w:t>
      </w:r>
      <w:bookmarkEnd w:id="20"/>
      <w:bookmarkEnd w:id="21"/>
      <w:bookmarkEnd w:id="22"/>
    </w:p>
    <w:p w14:paraId="51E2D31B" w14:textId="77777777" w:rsidR="00DE713C" w:rsidRPr="0089105D" w:rsidRDefault="00DE713C" w:rsidP="00DE713C">
      <w:pPr>
        <w:pStyle w:val="NormalWeb"/>
        <w:spacing w:before="0" w:beforeAutospacing="0" w:after="0" w:afterAutospacing="0" w:line="360" w:lineRule="auto"/>
        <w:jc w:val="both"/>
        <w:rPr>
          <w:rFonts w:asciiTheme="majorHAnsi" w:hAnsiTheme="majorHAnsi" w:cstheme="majorHAnsi"/>
        </w:rPr>
      </w:pPr>
    </w:p>
    <w:p w14:paraId="79973AA6" w14:textId="77777777" w:rsidR="004A45B8" w:rsidRPr="0089105D" w:rsidRDefault="004A45B8" w:rsidP="00DE713C">
      <w:pPr>
        <w:pStyle w:val="Heading2"/>
        <w:rPr>
          <w:rFonts w:cstheme="majorHAnsi"/>
          <w:color w:val="auto"/>
          <w:sz w:val="24"/>
          <w:szCs w:val="24"/>
        </w:rPr>
      </w:pPr>
    </w:p>
    <w:p w14:paraId="7766FCF0" w14:textId="77777777" w:rsidR="004A45B8" w:rsidRPr="0089105D" w:rsidRDefault="004A45B8" w:rsidP="00DE713C">
      <w:pPr>
        <w:pStyle w:val="Heading2"/>
        <w:rPr>
          <w:rFonts w:cstheme="majorHAnsi"/>
          <w:color w:val="auto"/>
          <w:sz w:val="24"/>
          <w:szCs w:val="24"/>
        </w:rPr>
      </w:pPr>
    </w:p>
    <w:p w14:paraId="5850DE4A" w14:textId="300F57BD" w:rsidR="004A45B8" w:rsidRPr="0089105D" w:rsidRDefault="004A45B8" w:rsidP="00DE713C">
      <w:pPr>
        <w:pStyle w:val="Heading2"/>
        <w:rPr>
          <w:rFonts w:cstheme="majorHAnsi"/>
          <w:color w:val="auto"/>
          <w:sz w:val="24"/>
          <w:szCs w:val="24"/>
        </w:rPr>
      </w:pPr>
    </w:p>
    <w:p w14:paraId="57A5BF68" w14:textId="0CACD924" w:rsidR="00B67E7F" w:rsidRPr="0089105D" w:rsidRDefault="00B67E7F" w:rsidP="00B67E7F"/>
    <w:p w14:paraId="4982BF94" w14:textId="77777777" w:rsidR="003203AD" w:rsidRPr="0089105D" w:rsidRDefault="003203AD" w:rsidP="003203AD">
      <w:pPr>
        <w:pStyle w:val="NormalWeb"/>
        <w:spacing w:before="0" w:beforeAutospacing="0" w:after="0" w:afterAutospacing="0" w:line="360" w:lineRule="auto"/>
        <w:jc w:val="both"/>
        <w:rPr>
          <w:rFonts w:asciiTheme="majorHAnsi" w:hAnsiTheme="majorHAnsi" w:cstheme="majorHAnsi"/>
        </w:rPr>
      </w:pPr>
    </w:p>
    <w:p w14:paraId="187E669C" w14:textId="3878A76C" w:rsidR="00DE713C" w:rsidRPr="0089105D" w:rsidRDefault="004909CC" w:rsidP="003203AD">
      <w:pPr>
        <w:pStyle w:val="Heading2"/>
        <w:numPr>
          <w:ilvl w:val="0"/>
          <w:numId w:val="17"/>
        </w:numPr>
        <w:rPr>
          <w:b/>
          <w:bCs/>
          <w:color w:val="auto"/>
        </w:rPr>
      </w:pPr>
      <w:bookmarkStart w:id="23" w:name="_Toc153142465"/>
      <w:bookmarkStart w:id="24" w:name="_Toc153187394"/>
      <w:r w:rsidRPr="0089105D">
        <w:rPr>
          <w:b/>
          <w:bCs/>
          <w:color w:val="auto"/>
        </w:rPr>
        <w:t>Central aspects criticized by the academic articles</w:t>
      </w:r>
      <w:bookmarkEnd w:id="23"/>
      <w:bookmarkEnd w:id="24"/>
      <w:r w:rsidRPr="0089105D">
        <w:rPr>
          <w:b/>
          <w:bCs/>
          <w:color w:val="auto"/>
        </w:rPr>
        <w:t xml:space="preserve"> </w:t>
      </w:r>
    </w:p>
    <w:p w14:paraId="4433382D" w14:textId="77777777" w:rsidR="00DE713C" w:rsidRPr="0089105D" w:rsidRDefault="00DE713C" w:rsidP="00DE713C">
      <w:pPr>
        <w:rPr>
          <w:rFonts w:asciiTheme="majorHAnsi" w:hAnsiTheme="majorHAnsi" w:cstheme="majorHAnsi"/>
          <w:lang w:val="en-GB"/>
        </w:rPr>
      </w:pPr>
    </w:p>
    <w:p w14:paraId="7BFEF774" w14:textId="4C94CEB8" w:rsidR="00DE713C" w:rsidRPr="0089105D" w:rsidRDefault="00291220" w:rsidP="0043388B">
      <w:pPr>
        <w:pStyle w:val="NormalWeb"/>
        <w:spacing w:before="0" w:beforeAutospacing="0" w:after="0" w:afterAutospacing="0" w:line="360" w:lineRule="auto"/>
        <w:jc w:val="both"/>
        <w:rPr>
          <w:rFonts w:asciiTheme="majorHAnsi" w:hAnsiTheme="majorHAnsi" w:cstheme="majorHAnsi"/>
        </w:rPr>
      </w:pPr>
      <w:r w:rsidRPr="0089105D">
        <w:rPr>
          <w:noProof/>
        </w:rPr>
        <mc:AlternateContent>
          <mc:Choice Requires="wps">
            <w:drawing>
              <wp:anchor distT="0" distB="0" distL="114300" distR="114300" simplePos="0" relativeHeight="251669504" behindDoc="1" locked="0" layoutInCell="1" allowOverlap="1" wp14:anchorId="13758BD4" wp14:editId="09A2C693">
                <wp:simplePos x="0" y="0"/>
                <wp:positionH relativeFrom="column">
                  <wp:posOffset>-50800</wp:posOffset>
                </wp:positionH>
                <wp:positionV relativeFrom="paragraph">
                  <wp:posOffset>5650230</wp:posOffset>
                </wp:positionV>
                <wp:extent cx="6012815" cy="457200"/>
                <wp:effectExtent l="0" t="0" r="6985" b="0"/>
                <wp:wrapTight wrapText="bothSides">
                  <wp:wrapPolygon edited="0">
                    <wp:start x="0" y="0"/>
                    <wp:lineTo x="0" y="20700"/>
                    <wp:lineTo x="21557" y="20700"/>
                    <wp:lineTo x="21557" y="0"/>
                    <wp:lineTo x="0" y="0"/>
                  </wp:wrapPolygon>
                </wp:wrapTight>
                <wp:docPr id="10" name="Text Box 10"/>
                <wp:cNvGraphicFramePr/>
                <a:graphic xmlns:a="http://schemas.openxmlformats.org/drawingml/2006/main">
                  <a:graphicData uri="http://schemas.microsoft.com/office/word/2010/wordprocessingShape">
                    <wps:wsp>
                      <wps:cNvSpPr txBox="1"/>
                      <wps:spPr>
                        <a:xfrm>
                          <a:off x="0" y="0"/>
                          <a:ext cx="6012815" cy="457200"/>
                        </a:xfrm>
                        <a:prstGeom prst="rect">
                          <a:avLst/>
                        </a:prstGeom>
                        <a:solidFill>
                          <a:prstClr val="white"/>
                        </a:solidFill>
                        <a:ln>
                          <a:noFill/>
                        </a:ln>
                      </wps:spPr>
                      <wps:txbx>
                        <w:txbxContent>
                          <w:p w14:paraId="7F4D65F9" w14:textId="734AAE67" w:rsidR="00291220" w:rsidRPr="00291220" w:rsidRDefault="00291220" w:rsidP="00291220">
                            <w:pPr>
                              <w:pStyle w:val="Caption"/>
                              <w:rPr>
                                <w:rFonts w:asciiTheme="majorHAnsi" w:eastAsia="Times New Roman" w:hAnsiTheme="majorHAnsi" w:cstheme="majorHAnsi"/>
                                <w:noProof/>
                                <w:sz w:val="28"/>
                                <w:szCs w:val="28"/>
                                <w:lang w:val="en-GB" w:eastAsia="en-GB"/>
                              </w:rPr>
                            </w:pPr>
                            <w:bookmarkStart w:id="25" w:name="_Toc153091211"/>
                            <w:bookmarkStart w:id="26" w:name="_Toc153169542"/>
                            <w:r w:rsidRPr="00291220">
                              <w:rPr>
                                <w:rFonts w:asciiTheme="majorHAnsi" w:hAnsiTheme="majorHAnsi" w:cstheme="majorHAnsi"/>
                                <w:sz w:val="20"/>
                                <w:szCs w:val="20"/>
                              </w:rPr>
                              <w:t xml:space="preserve">Table </w:t>
                            </w:r>
                            <w:r w:rsidRPr="00291220">
                              <w:rPr>
                                <w:rFonts w:asciiTheme="majorHAnsi" w:hAnsiTheme="majorHAnsi" w:cstheme="majorHAnsi"/>
                                <w:sz w:val="20"/>
                                <w:szCs w:val="20"/>
                              </w:rPr>
                              <w:fldChar w:fldCharType="begin"/>
                            </w:r>
                            <w:r w:rsidRPr="00291220">
                              <w:rPr>
                                <w:rFonts w:asciiTheme="majorHAnsi" w:hAnsiTheme="majorHAnsi" w:cstheme="majorHAnsi"/>
                                <w:sz w:val="20"/>
                                <w:szCs w:val="20"/>
                              </w:rPr>
                              <w:instrText xml:space="preserve"> SEQ Table \* ARABIC </w:instrText>
                            </w:r>
                            <w:r w:rsidRPr="00291220">
                              <w:rPr>
                                <w:rFonts w:asciiTheme="majorHAnsi" w:hAnsiTheme="majorHAnsi" w:cstheme="majorHAnsi"/>
                                <w:sz w:val="20"/>
                                <w:szCs w:val="20"/>
                              </w:rPr>
                              <w:fldChar w:fldCharType="separate"/>
                            </w:r>
                            <w:r w:rsidR="004519D8">
                              <w:rPr>
                                <w:rFonts w:asciiTheme="majorHAnsi" w:hAnsiTheme="majorHAnsi" w:cstheme="majorHAnsi"/>
                                <w:noProof/>
                                <w:sz w:val="20"/>
                                <w:szCs w:val="20"/>
                              </w:rPr>
                              <w:t>2</w:t>
                            </w:r>
                            <w:r w:rsidRPr="00291220">
                              <w:rPr>
                                <w:rFonts w:asciiTheme="majorHAnsi" w:hAnsiTheme="majorHAnsi" w:cstheme="majorHAnsi"/>
                                <w:sz w:val="20"/>
                                <w:szCs w:val="20"/>
                              </w:rPr>
                              <w:fldChar w:fldCharType="end"/>
                            </w:r>
                            <w:r w:rsidRPr="00291220">
                              <w:rPr>
                                <w:rFonts w:asciiTheme="majorHAnsi" w:hAnsiTheme="majorHAnsi" w:cstheme="majorHAnsi"/>
                                <w:sz w:val="20"/>
                                <w:szCs w:val="20"/>
                              </w:rPr>
                              <w:t xml:space="preserve"> This table summarizes the thematic scope of criticized SDGs which stem from the data analysis.</w:t>
                            </w:r>
                            <w:bookmarkEnd w:id="25"/>
                            <w:bookmarkEnd w:id="26"/>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13758BD4" id="_x0000_t202" coordsize="21600,21600" o:spt="202" path="m,l,21600r21600,l21600,xe">
                <v:stroke joinstyle="miter"/>
                <v:path gradientshapeok="t" o:connecttype="rect"/>
              </v:shapetype>
              <v:shape id="Text Box 10" o:spid="_x0000_s1026" type="#_x0000_t202" style="position:absolute;left:0;text-align:left;margin-left:-4pt;margin-top:444.9pt;width:473.45pt;height:36pt;z-index:-2516469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" stroked="f">
                <v:textbox inset="0,0,0,0">
                  <w:txbxContent>
                    <w:p w14:paraId="7F4D65F9" w14:textId="734AAE67" w:rsidR="00291220" w:rsidRPr="00291220" w:rsidRDefault="00291220" w:rsidP="00291220">
                      <w:pPr>
                        <w:pStyle w:val="Caption"/>
                        <w:rPr>
                          <w:rFonts w:asciiTheme="majorHAnsi" w:eastAsia="Times New Roman" w:hAnsiTheme="majorHAnsi" w:cstheme="majorHAnsi"/>
                          <w:noProof/>
                          <w:sz w:val="28"/>
                          <w:szCs w:val="28"/>
                          <w:lang w:val="en-GB" w:eastAsia="en-GB"/>
                        </w:rPr>
                      </w:pPr>
                      <w:bookmarkStart w:id="27" w:name="_Toc153091211"/>
                      <w:bookmarkStart w:id="28" w:name="_Toc153169542"/>
                      <w:r w:rsidRPr="00291220">
                        <w:rPr>
                          <w:rFonts w:asciiTheme="majorHAnsi" w:hAnsiTheme="majorHAnsi" w:cstheme="majorHAnsi"/>
                          <w:sz w:val="20"/>
                          <w:szCs w:val="20"/>
                        </w:rPr>
                        <w:t xml:space="preserve">Table </w:t>
                      </w:r>
                      <w:r w:rsidRPr="00291220">
                        <w:rPr>
                          <w:rFonts w:asciiTheme="majorHAnsi" w:hAnsiTheme="majorHAnsi" w:cstheme="majorHAnsi"/>
                          <w:sz w:val="20"/>
                          <w:szCs w:val="20"/>
                        </w:rPr>
                        <w:fldChar w:fldCharType="begin"/>
                      </w:r>
                      <w:r w:rsidRPr="00291220">
                        <w:rPr>
                          <w:rFonts w:asciiTheme="majorHAnsi" w:hAnsiTheme="majorHAnsi" w:cstheme="majorHAnsi"/>
                          <w:sz w:val="20"/>
                          <w:szCs w:val="20"/>
                        </w:rPr>
                        <w:instrText xml:space="preserve"> SEQ Table \* ARABIC </w:instrText>
                      </w:r>
                      <w:r w:rsidRPr="00291220">
                        <w:rPr>
                          <w:rFonts w:asciiTheme="majorHAnsi" w:hAnsiTheme="majorHAnsi" w:cstheme="majorHAnsi"/>
                          <w:sz w:val="20"/>
                          <w:szCs w:val="20"/>
                        </w:rPr>
                        <w:fldChar w:fldCharType="separate"/>
                      </w:r>
                      <w:r w:rsidR="004519D8">
                        <w:rPr>
                          <w:rFonts w:asciiTheme="majorHAnsi" w:hAnsiTheme="majorHAnsi" w:cstheme="majorHAnsi"/>
                          <w:noProof/>
                          <w:sz w:val="20"/>
                          <w:szCs w:val="20"/>
                        </w:rPr>
                        <w:t>2</w:t>
                      </w:r>
                      <w:r w:rsidRPr="00291220">
                        <w:rPr>
                          <w:rFonts w:asciiTheme="majorHAnsi" w:hAnsiTheme="majorHAnsi" w:cstheme="majorHAnsi"/>
                          <w:sz w:val="20"/>
                          <w:szCs w:val="20"/>
                        </w:rPr>
                        <w:fldChar w:fldCharType="end"/>
                      </w:r>
                      <w:r w:rsidRPr="00291220">
                        <w:rPr>
                          <w:rFonts w:asciiTheme="majorHAnsi" w:hAnsiTheme="majorHAnsi" w:cstheme="majorHAnsi"/>
                          <w:sz w:val="20"/>
                          <w:szCs w:val="20"/>
                        </w:rPr>
                        <w:t xml:space="preserve"> This table summarizes the thematic scope of criticized SDGs which stem from the data analysis.</w:t>
                      </w:r>
                      <w:bookmarkEnd w:id="27"/>
                      <w:bookmarkEnd w:id="28"/>
                    </w:p>
                  </w:txbxContent>
                </v:textbox>
                <w10:wrap type="tight"/>
              </v:shape>
            </w:pict>
          </mc:Fallback>
        </mc:AlternateContent>
      </w:r>
      <w:r w:rsidR="00DE713C" w:rsidRPr="0089105D">
        <w:rPr>
          <w:rFonts w:asciiTheme="majorHAnsi" w:hAnsiTheme="majorHAnsi" w:cstheme="majorHAnsi"/>
          <w:noProof/>
          <w:lang w:val="en-GB"/>
        </w:rPr>
        <w:drawing>
          <wp:anchor distT="0" distB="0" distL="114300" distR="114300" simplePos="0" relativeHeight="251665408" behindDoc="1" locked="0" layoutInCell="1" allowOverlap="1" wp14:anchorId="60B51BBF" wp14:editId="5C52AF2A">
            <wp:simplePos x="0" y="0"/>
            <wp:positionH relativeFrom="column">
              <wp:posOffset>-60773</wp:posOffset>
            </wp:positionH>
            <wp:positionV relativeFrom="paragraph">
              <wp:posOffset>1974501</wp:posOffset>
            </wp:positionV>
            <wp:extent cx="6012815" cy="3584448"/>
            <wp:effectExtent l="0" t="0" r="6985" b="16510"/>
            <wp:wrapTight wrapText="bothSides">
              <wp:wrapPolygon edited="0">
                <wp:start x="0" y="0"/>
                <wp:lineTo x="0" y="21585"/>
                <wp:lineTo x="21557" y="21585"/>
                <wp:lineTo x="21557" y="0"/>
                <wp:lineTo x="0" y="0"/>
              </wp:wrapPolygon>
            </wp:wrapTight>
            <wp:docPr id="4"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page">
              <wp14:pctHeight>0</wp14:pctHeight>
            </wp14:sizeRelV>
          </wp:anchor>
        </w:drawing>
      </w:r>
      <w:r w:rsidR="003203AD" w:rsidRPr="0089105D">
        <w:rPr>
          <w:rFonts w:asciiTheme="majorHAnsi" w:hAnsiTheme="majorHAnsi" w:cstheme="majorHAnsi"/>
        </w:rPr>
        <w:t>The first, and arguably the most important, factor in this literature analysis involved examining which SDG each article focused on in its criticism. The findings revealed that 81% of the articles critically analyzed the SDGs as a framework, addressing their inconsistencies on a systematic level and assessing their coherence among other structural factors. Furthermore, while the second most frequent criticism was directed towards SDG 5 (gender equality), the third most recurring focus was on SDG 6, which pertains to access to safe and clean water.</w:t>
      </w:r>
      <w:r w:rsidR="00DE713C" w:rsidRPr="0089105D">
        <w:rPr>
          <w:rFonts w:asciiTheme="majorHAnsi" w:hAnsiTheme="majorHAnsi" w:cstheme="majorHAnsi"/>
        </w:rPr>
        <w:t xml:space="preserve"> </w:t>
      </w:r>
    </w:p>
    <w:p w14:paraId="7F680690" w14:textId="77777777" w:rsidR="00DE713C" w:rsidRPr="0089105D" w:rsidRDefault="00DE713C" w:rsidP="00DE713C">
      <w:pPr>
        <w:pStyle w:val="NormalWeb"/>
        <w:spacing w:before="0" w:beforeAutospacing="0" w:after="0" w:afterAutospacing="0" w:line="360" w:lineRule="auto"/>
        <w:ind w:firstLine="720"/>
        <w:jc w:val="both"/>
        <w:rPr>
          <w:rFonts w:asciiTheme="majorHAnsi" w:hAnsiTheme="majorHAnsi" w:cstheme="majorHAnsi"/>
        </w:rPr>
      </w:pPr>
    </w:p>
    <w:p w14:paraId="54D0B208" w14:textId="48D856EC" w:rsidR="00DE713C" w:rsidRPr="0089105D" w:rsidRDefault="003203AD" w:rsidP="003203AD">
      <w:pPr>
        <w:pStyle w:val="Heading2"/>
        <w:numPr>
          <w:ilvl w:val="0"/>
          <w:numId w:val="17"/>
        </w:numPr>
        <w:rPr>
          <w:b/>
          <w:bCs/>
          <w:color w:val="auto"/>
        </w:rPr>
      </w:pPr>
      <w:bookmarkStart w:id="29" w:name="_Toc153187395"/>
      <w:r w:rsidRPr="0089105D">
        <w:rPr>
          <w:b/>
          <w:bCs/>
          <w:color w:val="auto"/>
        </w:rPr>
        <w:t>Criticism linked to SDGs as framework</w:t>
      </w:r>
      <w:bookmarkEnd w:id="29"/>
      <w:r w:rsidRPr="0089105D">
        <w:rPr>
          <w:b/>
          <w:bCs/>
          <w:color w:val="auto"/>
        </w:rPr>
        <w:t xml:space="preserve"> </w:t>
      </w:r>
    </w:p>
    <w:p w14:paraId="57470003" w14:textId="77777777" w:rsidR="003203AD" w:rsidRPr="0089105D" w:rsidRDefault="003203AD" w:rsidP="003203AD">
      <w:pPr>
        <w:pStyle w:val="NormalWeb"/>
        <w:spacing w:line="360" w:lineRule="auto"/>
        <w:jc w:val="both"/>
        <w:rPr>
          <w:rFonts w:asciiTheme="majorHAnsi" w:hAnsiTheme="majorHAnsi" w:cstheme="majorHAnsi"/>
        </w:rPr>
      </w:pPr>
      <w:r w:rsidRPr="0089105D">
        <w:rPr>
          <w:rFonts w:asciiTheme="majorHAnsi" w:hAnsiTheme="majorHAnsi" w:cstheme="majorHAnsi"/>
        </w:rPr>
        <w:t>If one closely observes the criticisms related to issues regarding SDGs as a framework, the most frequently cited concern was internal clashes among SDGs. In fact, the most prevalent criticism (28%) analyzed one of the most profound clashes—the conflict between economic growth and environmental SDGs, and the trade-offs associated with it. Unfortunately, many states prioritize economic growth, significantly undermining the fulfillment of environmentally oriented goals.</w:t>
      </w:r>
    </w:p>
    <w:p w14:paraId="59D85B64" w14:textId="77777777" w:rsidR="003203AD" w:rsidRPr="0089105D" w:rsidRDefault="003203AD" w:rsidP="003203AD">
      <w:pPr>
        <w:pStyle w:val="NormalWeb"/>
        <w:spacing w:line="360" w:lineRule="auto"/>
        <w:jc w:val="both"/>
        <w:rPr>
          <w:rFonts w:asciiTheme="majorHAnsi" w:hAnsiTheme="majorHAnsi" w:cstheme="majorHAnsi"/>
        </w:rPr>
      </w:pPr>
    </w:p>
    <w:p w14:paraId="3109EAF5" w14:textId="5C36DF2C" w:rsidR="00760C13" w:rsidRPr="0089105D" w:rsidRDefault="003203AD" w:rsidP="003203AD">
      <w:pPr>
        <w:pStyle w:val="NormalWeb"/>
        <w:spacing w:before="0" w:beforeAutospacing="0" w:after="0" w:afterAutospacing="0" w:line="360" w:lineRule="auto"/>
        <w:jc w:val="both"/>
        <w:rPr>
          <w:rFonts w:asciiTheme="majorHAnsi" w:hAnsiTheme="majorHAnsi" w:cstheme="majorHAnsi"/>
          <w:lang w:val="en-GB"/>
        </w:rPr>
      </w:pPr>
      <w:r w:rsidRPr="0089105D">
        <w:rPr>
          <w:rFonts w:asciiTheme="majorHAnsi" w:hAnsiTheme="majorHAnsi" w:cstheme="majorHAnsi"/>
        </w:rPr>
        <w:t>Furthermore, the second most emphasized concern centered around the insufficient integration of goals, accounting for 13.33% of the criticisms. This issue highlights a noticeable 'separation' within the SDGs, actively contributing to their weakening. Additionally, a recurring theme involved critiques related to the inefficiency of indicators, ranking as the third prominent element in the analysis.</w:t>
      </w:r>
    </w:p>
    <w:p w14:paraId="44A32A16" w14:textId="57A916E3" w:rsidR="006F2507" w:rsidRPr="0089105D" w:rsidRDefault="003203AD" w:rsidP="006F2507">
      <w:pPr>
        <w:pStyle w:val="NormalWeb"/>
        <w:spacing w:before="0" w:beforeAutospacing="0" w:after="0" w:afterAutospacing="0" w:line="360" w:lineRule="auto"/>
        <w:jc w:val="both"/>
        <w:rPr>
          <w:rFonts w:asciiTheme="majorHAnsi" w:hAnsiTheme="majorHAnsi" w:cstheme="majorHAnsi"/>
          <w:lang w:val="en-GB"/>
        </w:rPr>
      </w:pPr>
      <w:r w:rsidRPr="0089105D">
        <w:rPr>
          <w:rFonts w:asciiTheme="majorHAnsi" w:hAnsiTheme="majorHAnsi" w:cstheme="majorHAnsi"/>
          <w:noProof/>
          <w:highlight w:val="yellow"/>
          <w:lang w:val="en-GB"/>
        </w:rPr>
        <w:drawing>
          <wp:anchor distT="0" distB="0" distL="114300" distR="114300" simplePos="0" relativeHeight="251664384" behindDoc="1" locked="0" layoutInCell="1" allowOverlap="1" wp14:anchorId="6C6B2624" wp14:editId="761889B7">
            <wp:simplePos x="0" y="0"/>
            <wp:positionH relativeFrom="margin">
              <wp:align>left</wp:align>
            </wp:positionH>
            <wp:positionV relativeFrom="paragraph">
              <wp:posOffset>262255</wp:posOffset>
            </wp:positionV>
            <wp:extent cx="6206490" cy="4238625"/>
            <wp:effectExtent l="0" t="0" r="3810" b="9525"/>
            <wp:wrapTight wrapText="bothSides">
              <wp:wrapPolygon edited="0">
                <wp:start x="0" y="0"/>
                <wp:lineTo x="0" y="21551"/>
                <wp:lineTo x="21547" y="21551"/>
                <wp:lineTo x="21547" y="0"/>
                <wp:lineTo x="0" y="0"/>
              </wp:wrapPolygon>
            </wp:wrapTight>
            <wp:docPr id="5" name="Graf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r w:rsidR="00760C13" w:rsidRPr="0089105D">
        <w:rPr>
          <w:noProof/>
        </w:rPr>
        <mc:AlternateContent>
          <mc:Choice Requires="wps">
            <w:drawing>
              <wp:anchor distT="0" distB="0" distL="114300" distR="114300" simplePos="0" relativeHeight="251671552" behindDoc="1" locked="0" layoutInCell="1" allowOverlap="1" wp14:anchorId="2FAFAE08" wp14:editId="358818E1">
                <wp:simplePos x="0" y="0"/>
                <wp:positionH relativeFrom="column">
                  <wp:posOffset>72970</wp:posOffset>
                </wp:positionH>
                <wp:positionV relativeFrom="paragraph">
                  <wp:posOffset>4519765</wp:posOffset>
                </wp:positionV>
                <wp:extent cx="6206490" cy="457200"/>
                <wp:effectExtent l="0" t="0" r="3810" b="0"/>
                <wp:wrapTight wrapText="bothSides">
                  <wp:wrapPolygon edited="0">
                    <wp:start x="0" y="0"/>
                    <wp:lineTo x="0" y="20700"/>
                    <wp:lineTo x="21547" y="20700"/>
                    <wp:lineTo x="21547" y="0"/>
                    <wp:lineTo x="0" y="0"/>
                  </wp:wrapPolygon>
                </wp:wrapTight>
                <wp:docPr id="11" name="Text Box 11"/>
                <wp:cNvGraphicFramePr/>
                <a:graphic xmlns:a="http://schemas.openxmlformats.org/drawingml/2006/main">
                  <a:graphicData uri="http://schemas.microsoft.com/office/word/2010/wordprocessingShape">
                    <wps:wsp>
                      <wps:cNvSpPr txBox="1"/>
                      <wps:spPr>
                        <a:xfrm>
                          <a:off x="0" y="0"/>
                          <a:ext cx="6206490" cy="457200"/>
                        </a:xfrm>
                        <a:prstGeom prst="rect">
                          <a:avLst/>
                        </a:prstGeom>
                        <a:solidFill>
                          <a:prstClr val="white"/>
                        </a:solidFill>
                        <a:ln>
                          <a:noFill/>
                        </a:ln>
                      </wps:spPr>
                      <wps:txbx>
                        <w:txbxContent>
                          <w:p w14:paraId="422ACB94" w14:textId="67801308" w:rsidR="00760C13" w:rsidRPr="00760C13" w:rsidRDefault="00760C13" w:rsidP="00760C13">
                            <w:pPr>
                              <w:pStyle w:val="Caption"/>
                              <w:rPr>
                                <w:rFonts w:asciiTheme="majorHAnsi" w:eastAsia="Times New Roman" w:hAnsiTheme="majorHAnsi" w:cstheme="majorHAnsi"/>
                                <w:noProof/>
                                <w:sz w:val="28"/>
                                <w:szCs w:val="28"/>
                                <w:lang w:val="en-GB" w:eastAsia="en-GB"/>
                              </w:rPr>
                            </w:pPr>
                            <w:bookmarkStart w:id="30" w:name="_Toc153091212"/>
                            <w:bookmarkStart w:id="31" w:name="_Toc153169543"/>
                            <w:r w:rsidRPr="00760C13">
                              <w:rPr>
                                <w:rFonts w:asciiTheme="majorHAnsi" w:hAnsiTheme="majorHAnsi" w:cstheme="majorHAnsi"/>
                                <w:sz w:val="20"/>
                                <w:szCs w:val="20"/>
                              </w:rPr>
                              <w:t xml:space="preserve">Table </w:t>
                            </w:r>
                            <w:r w:rsidRPr="00760C13">
                              <w:rPr>
                                <w:rFonts w:asciiTheme="majorHAnsi" w:hAnsiTheme="majorHAnsi" w:cstheme="majorHAnsi"/>
                                <w:sz w:val="20"/>
                                <w:szCs w:val="20"/>
                              </w:rPr>
                              <w:fldChar w:fldCharType="begin"/>
                            </w:r>
                            <w:r w:rsidRPr="00760C13">
                              <w:rPr>
                                <w:rFonts w:asciiTheme="majorHAnsi" w:hAnsiTheme="majorHAnsi" w:cstheme="majorHAnsi"/>
                                <w:sz w:val="20"/>
                                <w:szCs w:val="20"/>
                              </w:rPr>
                              <w:instrText xml:space="preserve"> SEQ Table \* ARABIC </w:instrText>
                            </w:r>
                            <w:r w:rsidRPr="00760C13">
                              <w:rPr>
                                <w:rFonts w:asciiTheme="majorHAnsi" w:hAnsiTheme="majorHAnsi" w:cstheme="majorHAnsi"/>
                                <w:sz w:val="20"/>
                                <w:szCs w:val="20"/>
                              </w:rPr>
                              <w:fldChar w:fldCharType="separate"/>
                            </w:r>
                            <w:r w:rsidR="004519D8">
                              <w:rPr>
                                <w:rFonts w:asciiTheme="majorHAnsi" w:hAnsiTheme="majorHAnsi" w:cstheme="majorHAnsi"/>
                                <w:noProof/>
                                <w:sz w:val="20"/>
                                <w:szCs w:val="20"/>
                              </w:rPr>
                              <w:t>3</w:t>
                            </w:r>
                            <w:r w:rsidRPr="00760C13">
                              <w:rPr>
                                <w:rFonts w:asciiTheme="majorHAnsi" w:hAnsiTheme="majorHAnsi" w:cstheme="majorHAnsi"/>
                                <w:sz w:val="20"/>
                                <w:szCs w:val="20"/>
                              </w:rPr>
                              <w:fldChar w:fldCharType="end"/>
                            </w:r>
                            <w:r w:rsidRPr="00760C13">
                              <w:rPr>
                                <w:rFonts w:asciiTheme="majorHAnsi" w:hAnsiTheme="majorHAnsi" w:cstheme="majorHAnsi"/>
                                <w:sz w:val="20"/>
                                <w:szCs w:val="20"/>
                              </w:rPr>
                              <w:t xml:space="preserve"> This table indicates the most criticized aspects of SDGs as a framework.</w:t>
                            </w:r>
                            <w:bookmarkEnd w:id="30"/>
                            <w:bookmarkEnd w:id="31"/>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2FAFAE08" id="Text Box 11" o:spid="_x0000_s1027" type="#_x0000_t202" style="position:absolute;left:0;text-align:left;margin-left:5.75pt;margin-top:355.9pt;width:488.7pt;height:36pt;z-index:-2516449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" stroked="f">
                <v:textbox inset="0,0,0,0">
                  <w:txbxContent>
                    <w:p w14:paraId="422ACB94" w14:textId="67801308" w:rsidR="00760C13" w:rsidRPr="00760C13" w:rsidRDefault="00760C13" w:rsidP="00760C13">
                      <w:pPr>
                        <w:pStyle w:val="Caption"/>
                        <w:rPr>
                          <w:rFonts w:asciiTheme="majorHAnsi" w:eastAsia="Times New Roman" w:hAnsiTheme="majorHAnsi" w:cstheme="majorHAnsi"/>
                          <w:noProof/>
                          <w:sz w:val="28"/>
                          <w:szCs w:val="28"/>
                          <w:lang w:val="en-GB" w:eastAsia="en-GB"/>
                        </w:rPr>
                      </w:pPr>
                      <w:bookmarkStart w:id="32" w:name="_Toc153091212"/>
                      <w:bookmarkStart w:id="33" w:name="_Toc153169543"/>
                      <w:r w:rsidRPr="00760C13">
                        <w:rPr>
                          <w:rFonts w:asciiTheme="majorHAnsi" w:hAnsiTheme="majorHAnsi" w:cstheme="majorHAnsi"/>
                          <w:sz w:val="20"/>
                          <w:szCs w:val="20"/>
                        </w:rPr>
                        <w:t xml:space="preserve">Table </w:t>
                      </w:r>
                      <w:r w:rsidRPr="00760C13">
                        <w:rPr>
                          <w:rFonts w:asciiTheme="majorHAnsi" w:hAnsiTheme="majorHAnsi" w:cstheme="majorHAnsi"/>
                          <w:sz w:val="20"/>
                          <w:szCs w:val="20"/>
                        </w:rPr>
                        <w:fldChar w:fldCharType="begin"/>
                      </w:r>
                      <w:r w:rsidRPr="00760C13">
                        <w:rPr>
                          <w:rFonts w:asciiTheme="majorHAnsi" w:hAnsiTheme="majorHAnsi" w:cstheme="majorHAnsi"/>
                          <w:sz w:val="20"/>
                          <w:szCs w:val="20"/>
                        </w:rPr>
                        <w:instrText xml:space="preserve"> SEQ Table \* ARABIC </w:instrText>
                      </w:r>
                      <w:r w:rsidRPr="00760C13">
                        <w:rPr>
                          <w:rFonts w:asciiTheme="majorHAnsi" w:hAnsiTheme="majorHAnsi" w:cstheme="majorHAnsi"/>
                          <w:sz w:val="20"/>
                          <w:szCs w:val="20"/>
                        </w:rPr>
                        <w:fldChar w:fldCharType="separate"/>
                      </w:r>
                      <w:r w:rsidR="004519D8">
                        <w:rPr>
                          <w:rFonts w:asciiTheme="majorHAnsi" w:hAnsiTheme="majorHAnsi" w:cstheme="majorHAnsi"/>
                          <w:noProof/>
                          <w:sz w:val="20"/>
                          <w:szCs w:val="20"/>
                        </w:rPr>
                        <w:t>3</w:t>
                      </w:r>
                      <w:r w:rsidRPr="00760C13">
                        <w:rPr>
                          <w:rFonts w:asciiTheme="majorHAnsi" w:hAnsiTheme="majorHAnsi" w:cstheme="majorHAnsi"/>
                          <w:sz w:val="20"/>
                          <w:szCs w:val="20"/>
                        </w:rPr>
                        <w:fldChar w:fldCharType="end"/>
                      </w:r>
                      <w:r w:rsidRPr="00760C13">
                        <w:rPr>
                          <w:rFonts w:asciiTheme="majorHAnsi" w:hAnsiTheme="majorHAnsi" w:cstheme="majorHAnsi"/>
                          <w:sz w:val="20"/>
                          <w:szCs w:val="20"/>
                        </w:rPr>
                        <w:t xml:space="preserve"> This table indicates the most criticized aspects of SDGs as a framework.</w:t>
                      </w:r>
                      <w:bookmarkEnd w:id="32"/>
                      <w:bookmarkEnd w:id="33"/>
                    </w:p>
                  </w:txbxContent>
                </v:textbox>
                <w10:wrap type="tight"/>
              </v:shape>
            </w:pict>
          </mc:Fallback>
        </mc:AlternateContent>
      </w:r>
    </w:p>
    <w:p w14:paraId="0BCEDD69" w14:textId="33D16BFD" w:rsidR="003203AD" w:rsidRPr="0089105D" w:rsidRDefault="003203AD" w:rsidP="003203AD">
      <w:pPr>
        <w:pStyle w:val="Heading2"/>
        <w:numPr>
          <w:ilvl w:val="0"/>
          <w:numId w:val="17"/>
        </w:numPr>
        <w:rPr>
          <w:b/>
          <w:bCs/>
          <w:color w:val="auto"/>
        </w:rPr>
      </w:pPr>
      <w:bookmarkStart w:id="34" w:name="_Toc153187396"/>
      <w:r w:rsidRPr="0089105D">
        <w:rPr>
          <w:b/>
          <w:bCs/>
          <w:color w:val="auto"/>
        </w:rPr>
        <w:t>Criticism on the most recuring individual SDGs</w:t>
      </w:r>
      <w:bookmarkEnd w:id="34"/>
    </w:p>
    <w:p w14:paraId="18963E88" w14:textId="4289CFF5" w:rsidR="003203AD" w:rsidRPr="0089105D" w:rsidRDefault="003203AD" w:rsidP="003203AD">
      <w:pPr>
        <w:pStyle w:val="NormalWeb"/>
        <w:spacing w:line="360" w:lineRule="auto"/>
        <w:jc w:val="both"/>
        <w:rPr>
          <w:rFonts w:asciiTheme="majorHAnsi" w:hAnsiTheme="majorHAnsi" w:cstheme="majorHAnsi"/>
        </w:rPr>
      </w:pPr>
      <w:r w:rsidRPr="0089105D">
        <w:rPr>
          <w:rFonts w:asciiTheme="majorHAnsi" w:hAnsiTheme="majorHAnsi" w:cstheme="majorHAnsi"/>
        </w:rPr>
        <w:t xml:space="preserve">Deviating from the examination of the SDGs as a framework, a close analysis of the primary areas of criticism surrounding the second and third most </w:t>
      </w:r>
      <w:r w:rsidRPr="0089105D">
        <w:rPr>
          <w:rFonts w:asciiTheme="majorHAnsi" w:hAnsiTheme="majorHAnsi" w:cstheme="majorHAnsi"/>
        </w:rPr>
        <w:t xml:space="preserve">SDGs </w:t>
      </w:r>
      <w:r w:rsidRPr="0089105D">
        <w:rPr>
          <w:rFonts w:asciiTheme="majorHAnsi" w:hAnsiTheme="majorHAnsi" w:cstheme="majorHAnsi"/>
        </w:rPr>
        <w:t>in this study—specifically, SDG 5 and SDG 6—reveals the following issues.</w:t>
      </w:r>
    </w:p>
    <w:p w14:paraId="56E9AAEA" w14:textId="77777777" w:rsidR="003203AD" w:rsidRPr="0089105D" w:rsidRDefault="003203AD" w:rsidP="003203AD">
      <w:pPr>
        <w:pStyle w:val="NormalWeb"/>
        <w:spacing w:line="360" w:lineRule="auto"/>
        <w:jc w:val="both"/>
        <w:rPr>
          <w:rFonts w:asciiTheme="majorHAnsi" w:hAnsiTheme="majorHAnsi" w:cstheme="majorHAnsi"/>
        </w:rPr>
      </w:pPr>
    </w:p>
    <w:p w14:paraId="02FA06D6" w14:textId="5D4EC619" w:rsidR="006F2507" w:rsidRPr="0089105D" w:rsidRDefault="003203AD" w:rsidP="003203AD">
      <w:pPr>
        <w:pStyle w:val="NormalWeb"/>
        <w:spacing w:before="0" w:beforeAutospacing="0" w:after="0" w:afterAutospacing="0" w:line="360" w:lineRule="auto"/>
        <w:jc w:val="both"/>
        <w:rPr>
          <w:rFonts w:asciiTheme="majorHAnsi" w:hAnsiTheme="majorHAnsi" w:cstheme="majorHAnsi"/>
          <w:lang w:val="en-GB"/>
        </w:rPr>
      </w:pPr>
      <w:r w:rsidRPr="0089105D">
        <w:rPr>
          <w:rFonts w:asciiTheme="majorHAnsi" w:hAnsiTheme="majorHAnsi" w:cstheme="majorHAnsi"/>
        </w:rPr>
        <w:lastRenderedPageBreak/>
        <w:t>Regarding SDG 5, which pertains to ensuring gender equality, 6.54% of the articles in the literature review focused on this goal. Notably, almost half (49.99%) of the articles also delved into another critical aspect related to this SDG—the inadequate integration of the goal within its targets. A notable argument raised was the omission of LGBTQ issues from the specified targets (</w:t>
      </w:r>
      <w:proofErr w:type="spellStart"/>
      <w:r w:rsidRPr="0089105D">
        <w:rPr>
          <w:rFonts w:asciiTheme="majorHAnsi" w:hAnsiTheme="majorHAnsi" w:cstheme="majorHAnsi"/>
        </w:rPr>
        <w:t>Celebi</w:t>
      </w:r>
      <w:proofErr w:type="spellEnd"/>
      <w:r w:rsidRPr="0089105D">
        <w:rPr>
          <w:rFonts w:asciiTheme="majorHAnsi" w:hAnsiTheme="majorHAnsi" w:cstheme="majorHAnsi"/>
        </w:rPr>
        <w:t>, 2022). Simultaneously, 33.33% of the articles explored how SDG 5 engendered internal conflicts with other SDGs, specifically SDG 8, which centers on economic growth. Another dimension of criticism centered on problems associated with global governance settings, wherein the author argued that women are systematically discriminated against (Sen, 2019). The ensuing diagram visually represents the analyzed data.</w:t>
      </w:r>
    </w:p>
    <w:p w14:paraId="225432BB" w14:textId="261BE015" w:rsidR="00760C13" w:rsidRPr="0089105D" w:rsidRDefault="00DE713C" w:rsidP="00760C13">
      <w:pPr>
        <w:pStyle w:val="NormalWeb"/>
        <w:spacing w:before="0" w:beforeAutospacing="0" w:after="0" w:afterAutospacing="0" w:line="360" w:lineRule="auto"/>
        <w:jc w:val="both"/>
        <w:rPr>
          <w:rFonts w:asciiTheme="majorHAnsi" w:hAnsiTheme="majorHAnsi" w:cstheme="majorHAnsi"/>
          <w:lang w:val="en-GB"/>
        </w:rPr>
      </w:pPr>
      <w:r w:rsidRPr="0089105D">
        <w:rPr>
          <w:rFonts w:asciiTheme="majorHAnsi" w:hAnsiTheme="majorHAnsi" w:cstheme="majorHAnsi"/>
          <w:noProof/>
          <w:lang w:val="en-GB"/>
          <w14:ligatures w14:val="standardContextual"/>
        </w:rPr>
        <w:drawing>
          <wp:inline distT="0" distB="0" distL="0" distR="0" wp14:anchorId="3E949E1E" wp14:editId="4F8A3570">
            <wp:extent cx="5874327" cy="2840182"/>
            <wp:effectExtent l="0" t="0" r="12700" b="17780"/>
            <wp:docPr id="1070776981"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132AE609" w14:textId="1D4EE55C" w:rsidR="00760C13" w:rsidRPr="0089105D" w:rsidRDefault="00760C13" w:rsidP="00760C13">
      <w:pPr>
        <w:pStyle w:val="Caption"/>
        <w:keepNext/>
        <w:jc w:val="both"/>
        <w:rPr>
          <w:rFonts w:asciiTheme="majorHAnsi" w:hAnsiTheme="majorHAnsi" w:cstheme="majorHAnsi"/>
          <w:color w:val="auto"/>
          <w:sz w:val="20"/>
          <w:szCs w:val="20"/>
        </w:rPr>
      </w:pPr>
      <w:bookmarkStart w:id="35" w:name="_Toc153091213"/>
      <w:bookmarkStart w:id="36" w:name="_Toc153169544"/>
      <w:r w:rsidRPr="0089105D">
        <w:rPr>
          <w:rFonts w:asciiTheme="majorHAnsi" w:hAnsiTheme="majorHAnsi" w:cstheme="majorHAnsi"/>
          <w:color w:val="auto"/>
          <w:sz w:val="20"/>
          <w:szCs w:val="20"/>
        </w:rPr>
        <w:t xml:space="preserve">Table </w:t>
      </w:r>
      <w:r w:rsidRPr="0089105D">
        <w:rPr>
          <w:rFonts w:asciiTheme="majorHAnsi" w:hAnsiTheme="majorHAnsi" w:cstheme="majorHAnsi"/>
          <w:color w:val="auto"/>
          <w:sz w:val="20"/>
          <w:szCs w:val="20"/>
        </w:rPr>
        <w:fldChar w:fldCharType="begin"/>
      </w:r>
      <w:r w:rsidRPr="0089105D">
        <w:rPr>
          <w:rFonts w:asciiTheme="majorHAnsi" w:hAnsiTheme="majorHAnsi" w:cstheme="majorHAnsi"/>
          <w:color w:val="auto"/>
          <w:sz w:val="20"/>
          <w:szCs w:val="20"/>
        </w:rPr>
        <w:instrText xml:space="preserve"> SEQ Table \* ARABIC </w:instrText>
      </w:r>
      <w:r w:rsidRPr="0089105D">
        <w:rPr>
          <w:rFonts w:asciiTheme="majorHAnsi" w:hAnsiTheme="majorHAnsi" w:cstheme="majorHAnsi"/>
          <w:color w:val="auto"/>
          <w:sz w:val="20"/>
          <w:szCs w:val="20"/>
        </w:rPr>
        <w:fldChar w:fldCharType="separate"/>
      </w:r>
      <w:r w:rsidR="004519D8" w:rsidRPr="0089105D">
        <w:rPr>
          <w:rFonts w:asciiTheme="majorHAnsi" w:hAnsiTheme="majorHAnsi" w:cstheme="majorHAnsi"/>
          <w:noProof/>
          <w:color w:val="auto"/>
          <w:sz w:val="20"/>
          <w:szCs w:val="20"/>
        </w:rPr>
        <w:t>4</w:t>
      </w:r>
      <w:r w:rsidRPr="0089105D">
        <w:rPr>
          <w:rFonts w:asciiTheme="majorHAnsi" w:hAnsiTheme="majorHAnsi" w:cstheme="majorHAnsi"/>
          <w:color w:val="auto"/>
          <w:sz w:val="20"/>
          <w:szCs w:val="20"/>
        </w:rPr>
        <w:fldChar w:fldCharType="end"/>
      </w:r>
      <w:r w:rsidRPr="0089105D">
        <w:rPr>
          <w:rFonts w:asciiTheme="majorHAnsi" w:hAnsiTheme="majorHAnsi" w:cstheme="majorHAnsi"/>
          <w:color w:val="auto"/>
          <w:sz w:val="20"/>
          <w:szCs w:val="20"/>
        </w:rPr>
        <w:t xml:space="preserve"> This table describes the main aspects of criticism of SDG 5 as outlined in the data analysis.</w:t>
      </w:r>
      <w:bookmarkEnd w:id="35"/>
      <w:bookmarkEnd w:id="36"/>
    </w:p>
    <w:p w14:paraId="0C71BB13" w14:textId="6FC7A04A" w:rsidR="00DE713C" w:rsidRPr="0089105D" w:rsidRDefault="00DE713C" w:rsidP="00DE713C">
      <w:pPr>
        <w:pStyle w:val="NormalWeb"/>
        <w:spacing w:before="0" w:beforeAutospacing="0" w:after="0" w:afterAutospacing="0" w:line="360" w:lineRule="auto"/>
        <w:jc w:val="both"/>
        <w:rPr>
          <w:rFonts w:asciiTheme="majorHAnsi" w:hAnsiTheme="majorHAnsi" w:cstheme="majorHAnsi"/>
          <w:lang w:val="en-GB"/>
        </w:rPr>
      </w:pPr>
    </w:p>
    <w:p w14:paraId="00F7FD80" w14:textId="55782F57" w:rsidR="00DE713C" w:rsidRPr="0089105D" w:rsidRDefault="000F7205" w:rsidP="00DE713C">
      <w:pPr>
        <w:pStyle w:val="NormalWeb"/>
        <w:spacing w:before="0" w:beforeAutospacing="0" w:after="0" w:afterAutospacing="0" w:line="360" w:lineRule="auto"/>
        <w:jc w:val="both"/>
        <w:rPr>
          <w:rFonts w:asciiTheme="majorHAnsi" w:hAnsiTheme="majorHAnsi" w:cstheme="majorHAnsi"/>
          <w:lang w:val="en-GB"/>
        </w:rPr>
      </w:pPr>
      <w:r w:rsidRPr="0089105D">
        <w:rPr>
          <w:rFonts w:asciiTheme="majorHAnsi" w:hAnsiTheme="majorHAnsi" w:cstheme="majorHAnsi"/>
          <w:lang w:val="en-GB"/>
        </w:rPr>
        <w:t>In regard to SDG 6, the third most criticized SDG in this literature analysis, 5.60% of the articles condemned it. Half of the articles expressed critical views on the insufficient integration of SDG 6 within the framework of SDGs, particularly in terms of wastewater (</w:t>
      </w:r>
      <w:proofErr w:type="spellStart"/>
      <w:r w:rsidRPr="0089105D">
        <w:rPr>
          <w:rFonts w:asciiTheme="majorHAnsi" w:hAnsiTheme="majorHAnsi" w:cstheme="majorHAnsi"/>
          <w:lang w:val="en-GB"/>
        </w:rPr>
        <w:t>Obaideen</w:t>
      </w:r>
      <w:proofErr w:type="spellEnd"/>
      <w:r w:rsidRPr="0089105D">
        <w:rPr>
          <w:rFonts w:asciiTheme="majorHAnsi" w:hAnsiTheme="majorHAnsi" w:cstheme="majorHAnsi"/>
          <w:lang w:val="en-GB"/>
        </w:rPr>
        <w:t xml:space="preserve">, 2022), and the lack of sanitation integration into the framework (German, 2023). The second most discussed aspect was the wrongful indicators, overlooking tremendously important realities such as 6.1 and 6.2, and the issues linked to their design and impossible monitoring (Guppy, 2019). Lastly, the last argument lies in the non-legally binding nature of this SDG and its insufficient translation into the accompanying international human rights </w:t>
      </w:r>
      <w:r w:rsidRPr="0089105D">
        <w:rPr>
          <w:rFonts w:asciiTheme="majorHAnsi" w:hAnsiTheme="majorHAnsi" w:cstheme="majorHAnsi"/>
          <w:lang w:val="en-GB"/>
        </w:rPr>
        <w:lastRenderedPageBreak/>
        <w:t>network (Winkler, 2018). The data are indicated in a visual manner in the diagram below.</w:t>
      </w:r>
      <w:r w:rsidR="00DE713C" w:rsidRPr="0089105D">
        <w:rPr>
          <w:rFonts w:asciiTheme="majorHAnsi" w:hAnsiTheme="majorHAnsi" w:cstheme="majorHAnsi"/>
          <w:noProof/>
          <w:lang w:val="en-GB"/>
          <w14:ligatures w14:val="standardContextual"/>
        </w:rPr>
        <w:drawing>
          <wp:inline distT="0" distB="0" distL="0" distR="0" wp14:anchorId="3EDF6139" wp14:editId="74B04081">
            <wp:extent cx="5873750" cy="2770632"/>
            <wp:effectExtent l="0" t="0" r="12700" b="10795"/>
            <wp:docPr id="624274852"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00DE713C" w:rsidRPr="0089105D">
        <w:rPr>
          <w:rFonts w:asciiTheme="majorHAnsi" w:hAnsiTheme="majorHAnsi" w:cstheme="majorHAnsi"/>
          <w:lang w:val="en-GB"/>
        </w:rPr>
        <w:t xml:space="preserve"> </w:t>
      </w:r>
    </w:p>
    <w:p w14:paraId="1BB7FCD1" w14:textId="24FF161B" w:rsidR="00760C13" w:rsidRPr="0089105D" w:rsidRDefault="00760C13" w:rsidP="00760C13">
      <w:pPr>
        <w:pStyle w:val="Caption"/>
        <w:keepNext/>
        <w:jc w:val="both"/>
        <w:rPr>
          <w:rFonts w:asciiTheme="majorHAnsi" w:hAnsiTheme="majorHAnsi" w:cstheme="majorHAnsi"/>
          <w:color w:val="auto"/>
          <w:sz w:val="20"/>
          <w:szCs w:val="20"/>
        </w:rPr>
      </w:pPr>
      <w:bookmarkStart w:id="37" w:name="_Toc153091214"/>
      <w:bookmarkStart w:id="38" w:name="_Toc153169545"/>
      <w:r w:rsidRPr="0089105D">
        <w:rPr>
          <w:rFonts w:asciiTheme="majorHAnsi" w:hAnsiTheme="majorHAnsi" w:cstheme="majorHAnsi"/>
          <w:color w:val="auto"/>
          <w:sz w:val="20"/>
          <w:szCs w:val="20"/>
        </w:rPr>
        <w:t xml:space="preserve">Table </w:t>
      </w:r>
      <w:r w:rsidRPr="0089105D">
        <w:rPr>
          <w:rFonts w:asciiTheme="majorHAnsi" w:hAnsiTheme="majorHAnsi" w:cstheme="majorHAnsi"/>
          <w:color w:val="auto"/>
          <w:sz w:val="20"/>
          <w:szCs w:val="20"/>
        </w:rPr>
        <w:fldChar w:fldCharType="begin"/>
      </w:r>
      <w:r w:rsidRPr="0089105D">
        <w:rPr>
          <w:rFonts w:asciiTheme="majorHAnsi" w:hAnsiTheme="majorHAnsi" w:cstheme="majorHAnsi"/>
          <w:color w:val="auto"/>
          <w:sz w:val="20"/>
          <w:szCs w:val="20"/>
        </w:rPr>
        <w:instrText xml:space="preserve"> SEQ Table \* ARABIC </w:instrText>
      </w:r>
      <w:r w:rsidRPr="0089105D">
        <w:rPr>
          <w:rFonts w:asciiTheme="majorHAnsi" w:hAnsiTheme="majorHAnsi" w:cstheme="majorHAnsi"/>
          <w:color w:val="auto"/>
          <w:sz w:val="20"/>
          <w:szCs w:val="20"/>
        </w:rPr>
        <w:fldChar w:fldCharType="separate"/>
      </w:r>
      <w:r w:rsidR="004519D8" w:rsidRPr="0089105D">
        <w:rPr>
          <w:rFonts w:asciiTheme="majorHAnsi" w:hAnsiTheme="majorHAnsi" w:cstheme="majorHAnsi"/>
          <w:noProof/>
          <w:color w:val="auto"/>
          <w:sz w:val="20"/>
          <w:szCs w:val="20"/>
        </w:rPr>
        <w:t>5</w:t>
      </w:r>
      <w:r w:rsidRPr="0089105D">
        <w:rPr>
          <w:rFonts w:asciiTheme="majorHAnsi" w:hAnsiTheme="majorHAnsi" w:cstheme="majorHAnsi"/>
          <w:color w:val="auto"/>
          <w:sz w:val="20"/>
          <w:szCs w:val="20"/>
        </w:rPr>
        <w:fldChar w:fldCharType="end"/>
      </w:r>
      <w:r w:rsidRPr="0089105D">
        <w:rPr>
          <w:rFonts w:asciiTheme="majorHAnsi" w:hAnsiTheme="majorHAnsi" w:cstheme="majorHAnsi"/>
          <w:color w:val="auto"/>
          <w:sz w:val="20"/>
          <w:szCs w:val="20"/>
        </w:rPr>
        <w:t xml:space="preserve"> This table showcases the main aspects of criticism of SGD6, the data come from the data analysis of academic articles.</w:t>
      </w:r>
      <w:bookmarkEnd w:id="37"/>
      <w:bookmarkEnd w:id="38"/>
    </w:p>
    <w:p w14:paraId="44C4BE8A" w14:textId="28A7875B" w:rsidR="00DE713C" w:rsidRPr="0089105D" w:rsidRDefault="00DE713C" w:rsidP="00DE713C">
      <w:pPr>
        <w:pStyle w:val="NormalWeb"/>
        <w:spacing w:before="0" w:beforeAutospacing="0" w:after="0" w:afterAutospacing="0" w:line="360" w:lineRule="auto"/>
        <w:ind w:firstLine="720"/>
        <w:jc w:val="both"/>
        <w:rPr>
          <w:rFonts w:asciiTheme="majorHAnsi" w:hAnsiTheme="majorHAnsi" w:cstheme="majorHAnsi"/>
        </w:rPr>
      </w:pPr>
    </w:p>
    <w:p w14:paraId="72821223" w14:textId="76D59D6B" w:rsidR="00DE713C" w:rsidRPr="0089105D" w:rsidRDefault="000F7205" w:rsidP="000F7205">
      <w:pPr>
        <w:pStyle w:val="Heading2"/>
        <w:numPr>
          <w:ilvl w:val="0"/>
          <w:numId w:val="17"/>
        </w:numPr>
        <w:rPr>
          <w:b/>
          <w:bCs/>
          <w:color w:val="auto"/>
          <w:lang w:val="en-GB"/>
        </w:rPr>
      </w:pPr>
      <w:bookmarkStart w:id="39" w:name="_Toc153187397"/>
      <w:r w:rsidRPr="0089105D">
        <w:rPr>
          <w:b/>
          <w:bCs/>
          <w:color w:val="auto"/>
          <w:lang w:val="en-GB"/>
        </w:rPr>
        <w:t>Quartiles of articles analysed</w:t>
      </w:r>
      <w:bookmarkEnd w:id="39"/>
      <w:r w:rsidRPr="0089105D">
        <w:rPr>
          <w:b/>
          <w:bCs/>
          <w:color w:val="auto"/>
          <w:lang w:val="en-GB"/>
        </w:rPr>
        <w:t xml:space="preserve"> </w:t>
      </w:r>
    </w:p>
    <w:p w14:paraId="01F049C3" w14:textId="77777777" w:rsidR="00B67E7F" w:rsidRPr="0089105D" w:rsidRDefault="00B67E7F" w:rsidP="00B67E7F">
      <w:pPr>
        <w:pStyle w:val="NormalWeb"/>
        <w:spacing w:before="0" w:beforeAutospacing="0" w:after="0" w:afterAutospacing="0" w:line="360" w:lineRule="auto"/>
        <w:jc w:val="both"/>
        <w:rPr>
          <w:rFonts w:asciiTheme="majorHAnsi" w:hAnsiTheme="majorHAnsi" w:cstheme="majorHAnsi"/>
          <w:highlight w:val="yellow"/>
        </w:rPr>
      </w:pPr>
    </w:p>
    <w:p w14:paraId="1B7BCE7D" w14:textId="2FC0EE92" w:rsidR="00DE713C" w:rsidRPr="0089105D" w:rsidRDefault="000F7205" w:rsidP="00DE713C">
      <w:pPr>
        <w:pStyle w:val="NormalWeb"/>
        <w:spacing w:before="0" w:beforeAutospacing="0" w:after="0" w:afterAutospacing="0" w:line="360" w:lineRule="auto"/>
        <w:jc w:val="both"/>
        <w:rPr>
          <w:rFonts w:asciiTheme="majorHAnsi" w:hAnsiTheme="majorHAnsi" w:cstheme="majorHAnsi"/>
        </w:rPr>
      </w:pPr>
      <w:r w:rsidRPr="0089105D">
        <w:rPr>
          <w:rFonts w:asciiTheme="majorHAnsi" w:hAnsiTheme="majorHAnsi" w:cstheme="majorHAnsi"/>
        </w:rPr>
        <w:t xml:space="preserve">By the same token, in the ranking of respective articles, the analysis delved into the specific quartile for each field, along with the year, as the quartiles—and thus, the ranking of each journal—might shift. While the quartile of Scopus was automatically given, the quartile of Web of Science was calculated using an </w:t>
      </w:r>
      <w:r w:rsidR="0089105D" w:rsidRPr="0089105D">
        <w:rPr>
          <w:rFonts w:asciiTheme="majorHAnsi" w:hAnsiTheme="majorHAnsi" w:cstheme="majorHAnsi"/>
        </w:rPr>
        <w:t xml:space="preserve">internal </w:t>
      </w:r>
      <w:r w:rsidRPr="0089105D">
        <w:rPr>
          <w:rFonts w:asciiTheme="majorHAnsi" w:hAnsiTheme="majorHAnsi" w:cstheme="majorHAnsi"/>
        </w:rPr>
        <w:t>website</w:t>
      </w:r>
      <w:r w:rsidR="0089105D" w:rsidRPr="0089105D">
        <w:rPr>
          <w:rFonts w:asciiTheme="majorHAnsi" w:hAnsiTheme="majorHAnsi" w:cstheme="majorHAnsi"/>
        </w:rPr>
        <w:t xml:space="preserve"> called Web of Science Info. </w:t>
      </w:r>
    </w:p>
    <w:p w14:paraId="225E62C9" w14:textId="543BFEA7" w:rsidR="006F2507" w:rsidRPr="0089105D" w:rsidRDefault="006F2507" w:rsidP="006F2507">
      <w:pPr>
        <w:pStyle w:val="Caption"/>
        <w:keepNext/>
        <w:jc w:val="both"/>
        <w:rPr>
          <w:rFonts w:asciiTheme="majorHAnsi" w:hAnsiTheme="majorHAnsi" w:cstheme="majorHAnsi"/>
          <w:color w:val="auto"/>
          <w:sz w:val="20"/>
          <w:szCs w:val="20"/>
        </w:rPr>
      </w:pPr>
    </w:p>
    <w:p w14:paraId="77AD440E" w14:textId="1B57DF7E" w:rsidR="00DE713C" w:rsidRPr="0089105D" w:rsidRDefault="00DE713C" w:rsidP="00DE713C">
      <w:pPr>
        <w:pStyle w:val="NormalWeb"/>
        <w:spacing w:before="0" w:beforeAutospacing="0" w:after="0" w:afterAutospacing="0" w:line="360" w:lineRule="auto"/>
        <w:jc w:val="both"/>
        <w:rPr>
          <w:rFonts w:asciiTheme="majorHAnsi" w:hAnsiTheme="majorHAnsi" w:cstheme="majorHAnsi"/>
          <w:highlight w:val="yellow"/>
        </w:rPr>
      </w:pPr>
      <w:r w:rsidRPr="0089105D">
        <w:rPr>
          <w:rFonts w:asciiTheme="majorHAnsi" w:hAnsiTheme="majorHAnsi" w:cstheme="majorHAnsi"/>
          <w:noProof/>
          <w:sz w:val="20"/>
          <w:szCs w:val="20"/>
          <w:highlight w:val="yellow"/>
          <w:lang w:val="en-GB"/>
        </w:rPr>
        <w:drawing>
          <wp:inline distT="0" distB="0" distL="0" distR="0" wp14:anchorId="45C22967" wp14:editId="416CD0CB">
            <wp:extent cx="5842660" cy="2719449"/>
            <wp:effectExtent l="0" t="0" r="5715" b="5080"/>
            <wp:docPr id="449044579"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4D18BD8E" w14:textId="6FA6C74B" w:rsidR="00DE713C" w:rsidRPr="0089105D" w:rsidRDefault="006F2507" w:rsidP="00DE713C">
      <w:pPr>
        <w:pStyle w:val="NormalWeb"/>
        <w:spacing w:before="0" w:beforeAutospacing="0" w:after="0" w:afterAutospacing="0" w:line="360" w:lineRule="auto"/>
        <w:jc w:val="both"/>
        <w:rPr>
          <w:rFonts w:asciiTheme="majorHAnsi" w:hAnsiTheme="majorHAnsi" w:cstheme="majorHAnsi"/>
          <w:i/>
          <w:iCs/>
          <w:sz w:val="20"/>
          <w:szCs w:val="20"/>
        </w:rPr>
      </w:pPr>
      <w:bookmarkStart w:id="40" w:name="_Toc153091215"/>
      <w:bookmarkStart w:id="41" w:name="_Toc153169546"/>
      <w:r w:rsidRPr="0089105D">
        <w:rPr>
          <w:rFonts w:asciiTheme="majorHAnsi" w:hAnsiTheme="majorHAnsi" w:cstheme="majorHAnsi"/>
          <w:i/>
          <w:iCs/>
          <w:sz w:val="20"/>
          <w:szCs w:val="20"/>
        </w:rPr>
        <w:t xml:space="preserve">Table </w:t>
      </w:r>
      <w:r w:rsidRPr="0089105D">
        <w:rPr>
          <w:rFonts w:asciiTheme="majorHAnsi" w:hAnsiTheme="majorHAnsi" w:cstheme="majorHAnsi"/>
          <w:i/>
          <w:iCs/>
          <w:sz w:val="20"/>
          <w:szCs w:val="20"/>
        </w:rPr>
        <w:fldChar w:fldCharType="begin"/>
      </w:r>
      <w:r w:rsidRPr="0089105D">
        <w:rPr>
          <w:rFonts w:asciiTheme="majorHAnsi" w:hAnsiTheme="majorHAnsi" w:cstheme="majorHAnsi"/>
          <w:i/>
          <w:iCs/>
          <w:sz w:val="20"/>
          <w:szCs w:val="20"/>
        </w:rPr>
        <w:instrText xml:space="preserve"> SEQ Table \* ARABIC </w:instrText>
      </w:r>
      <w:r w:rsidRPr="0089105D">
        <w:rPr>
          <w:rFonts w:asciiTheme="majorHAnsi" w:hAnsiTheme="majorHAnsi" w:cstheme="majorHAnsi"/>
          <w:i/>
          <w:iCs/>
          <w:sz w:val="20"/>
          <w:szCs w:val="20"/>
        </w:rPr>
        <w:fldChar w:fldCharType="separate"/>
      </w:r>
      <w:r w:rsidR="004519D8" w:rsidRPr="0089105D">
        <w:rPr>
          <w:rFonts w:asciiTheme="majorHAnsi" w:hAnsiTheme="majorHAnsi" w:cstheme="majorHAnsi"/>
          <w:i/>
          <w:iCs/>
          <w:noProof/>
          <w:sz w:val="20"/>
          <w:szCs w:val="20"/>
        </w:rPr>
        <w:t>6</w:t>
      </w:r>
      <w:r w:rsidRPr="0089105D">
        <w:rPr>
          <w:rFonts w:asciiTheme="majorHAnsi" w:hAnsiTheme="majorHAnsi" w:cstheme="majorHAnsi"/>
          <w:i/>
          <w:iCs/>
          <w:sz w:val="20"/>
          <w:szCs w:val="20"/>
        </w:rPr>
        <w:fldChar w:fldCharType="end"/>
      </w:r>
      <w:r w:rsidRPr="0089105D">
        <w:rPr>
          <w:rFonts w:asciiTheme="majorHAnsi" w:hAnsiTheme="majorHAnsi" w:cstheme="majorHAnsi"/>
          <w:i/>
          <w:iCs/>
          <w:sz w:val="20"/>
          <w:szCs w:val="20"/>
        </w:rPr>
        <w:t xml:space="preserve"> This table summarizes the quartiles of analyzed articles</w:t>
      </w:r>
      <w:bookmarkEnd w:id="40"/>
      <w:bookmarkEnd w:id="41"/>
    </w:p>
    <w:p w14:paraId="29069E1C" w14:textId="77777777" w:rsidR="006F2507" w:rsidRPr="0089105D" w:rsidRDefault="006F2507" w:rsidP="00DE713C">
      <w:pPr>
        <w:pStyle w:val="NormalWeb"/>
        <w:spacing w:before="0" w:beforeAutospacing="0" w:after="0" w:afterAutospacing="0" w:line="360" w:lineRule="auto"/>
        <w:jc w:val="both"/>
        <w:rPr>
          <w:rFonts w:asciiTheme="majorHAnsi" w:hAnsiTheme="majorHAnsi" w:cstheme="majorHAnsi"/>
          <w:highlight w:val="yellow"/>
        </w:rPr>
      </w:pPr>
    </w:p>
    <w:p w14:paraId="3FA18CBE" w14:textId="77777777" w:rsidR="000F7205" w:rsidRPr="0089105D" w:rsidRDefault="000F7205" w:rsidP="000F7205">
      <w:pPr>
        <w:pStyle w:val="NormalWeb"/>
        <w:spacing w:line="360" w:lineRule="auto"/>
        <w:jc w:val="both"/>
        <w:rPr>
          <w:rFonts w:asciiTheme="majorHAnsi" w:hAnsiTheme="majorHAnsi" w:cstheme="majorHAnsi"/>
          <w:lang w:val="en-GB"/>
        </w:rPr>
      </w:pPr>
      <w:r w:rsidRPr="0089105D">
        <w:rPr>
          <w:rFonts w:asciiTheme="majorHAnsi" w:hAnsiTheme="majorHAnsi" w:cstheme="majorHAnsi"/>
          <w:lang w:val="en-GB"/>
        </w:rPr>
        <w:lastRenderedPageBreak/>
        <w:t>While 69.2% of articles were ranked in Quartile 1, 21% reached Quartile 2, Quartile 3 represented 7% of articles, and lastly, only 3% of the articles were ranked in Quartile 4. These findings reveal that the majority of articles were ranked with the best grade they could, thereby increasing the added value of this analysis.</w:t>
      </w:r>
    </w:p>
    <w:p w14:paraId="1FED8586" w14:textId="0F21D5E3" w:rsidR="00DE713C" w:rsidRPr="0089105D" w:rsidRDefault="000F7205" w:rsidP="00CE504E">
      <w:pPr>
        <w:pStyle w:val="NormalWeb"/>
        <w:spacing w:line="360" w:lineRule="auto"/>
        <w:jc w:val="both"/>
        <w:rPr>
          <w:rFonts w:asciiTheme="majorHAnsi" w:hAnsiTheme="majorHAnsi" w:cstheme="majorHAnsi"/>
          <w:lang w:val="en-GB"/>
        </w:rPr>
      </w:pPr>
      <w:r w:rsidRPr="0089105D">
        <w:rPr>
          <w:rFonts w:asciiTheme="majorHAnsi" w:hAnsiTheme="majorHAnsi" w:cstheme="majorHAnsi"/>
          <w:lang w:val="en-GB"/>
        </w:rPr>
        <w:t xml:space="preserve">The reason for choosing this factor was as follows: the collected data could create an opportunity to </w:t>
      </w:r>
      <w:proofErr w:type="spellStart"/>
      <w:r w:rsidRPr="0089105D">
        <w:rPr>
          <w:rFonts w:asciiTheme="majorHAnsi" w:hAnsiTheme="majorHAnsi" w:cstheme="majorHAnsi"/>
          <w:lang w:val="en-GB"/>
        </w:rPr>
        <w:t>analyze</w:t>
      </w:r>
      <w:proofErr w:type="spellEnd"/>
      <w:r w:rsidRPr="0089105D">
        <w:rPr>
          <w:rFonts w:asciiTheme="majorHAnsi" w:hAnsiTheme="majorHAnsi" w:cstheme="majorHAnsi"/>
          <w:lang w:val="en-GB"/>
        </w:rPr>
        <w:t xml:space="preserve"> the pattern between the quality of the journal and the scope of criticism in specific articles. Such analysis was undertaken after data collection, and the findings revealed the following.</w:t>
      </w:r>
    </w:p>
    <w:p w14:paraId="76281FD2" w14:textId="2017230F" w:rsidR="00DE713C" w:rsidRPr="0089105D" w:rsidRDefault="00DE713C" w:rsidP="000F7205">
      <w:pPr>
        <w:pStyle w:val="Heading2"/>
        <w:numPr>
          <w:ilvl w:val="0"/>
          <w:numId w:val="17"/>
        </w:numPr>
        <w:rPr>
          <w:rFonts w:cstheme="majorHAnsi"/>
          <w:b/>
          <w:bCs/>
          <w:color w:val="auto"/>
          <w:lang w:val="en-GB"/>
        </w:rPr>
      </w:pPr>
      <w:bookmarkStart w:id="42" w:name="_Toc132266314"/>
      <w:bookmarkStart w:id="43" w:name="_Toc153142467"/>
      <w:bookmarkStart w:id="44" w:name="_Toc153187398"/>
      <w:r w:rsidRPr="0089105D">
        <w:rPr>
          <w:rFonts w:cstheme="majorHAnsi"/>
          <w:b/>
          <w:bCs/>
          <w:color w:val="auto"/>
          <w:lang w:val="en-GB"/>
        </w:rPr>
        <w:t xml:space="preserve">Relationship between </w:t>
      </w:r>
      <w:r w:rsidR="006F2507" w:rsidRPr="0089105D">
        <w:rPr>
          <w:rFonts w:cstheme="majorHAnsi"/>
          <w:b/>
          <w:bCs/>
          <w:color w:val="auto"/>
          <w:lang w:val="en-GB"/>
        </w:rPr>
        <w:t>q</w:t>
      </w:r>
      <w:r w:rsidRPr="0089105D">
        <w:rPr>
          <w:rFonts w:cstheme="majorHAnsi"/>
          <w:b/>
          <w:bCs/>
          <w:color w:val="auto"/>
          <w:lang w:val="en-GB"/>
        </w:rPr>
        <w:t xml:space="preserve">uartiles and </w:t>
      </w:r>
      <w:r w:rsidR="000F7205" w:rsidRPr="0089105D">
        <w:rPr>
          <w:rFonts w:cstheme="majorHAnsi"/>
          <w:b/>
          <w:bCs/>
          <w:color w:val="auto"/>
          <w:lang w:val="en-GB"/>
        </w:rPr>
        <w:t>centre</w:t>
      </w:r>
      <w:r w:rsidRPr="0089105D">
        <w:rPr>
          <w:rFonts w:cstheme="majorHAnsi"/>
          <w:b/>
          <w:bCs/>
          <w:color w:val="auto"/>
          <w:lang w:val="en-GB"/>
        </w:rPr>
        <w:t xml:space="preserve"> of SDG criticism</w:t>
      </w:r>
      <w:bookmarkEnd w:id="42"/>
      <w:bookmarkEnd w:id="43"/>
      <w:bookmarkEnd w:id="44"/>
      <w:r w:rsidRPr="0089105D">
        <w:rPr>
          <w:rFonts w:cstheme="majorHAnsi"/>
          <w:b/>
          <w:bCs/>
          <w:color w:val="auto"/>
          <w:lang w:val="en-GB"/>
        </w:rPr>
        <w:t xml:space="preserve"> </w:t>
      </w:r>
    </w:p>
    <w:p w14:paraId="32A8B5C4" w14:textId="0D51E657" w:rsidR="00CE504E" w:rsidRPr="0089105D" w:rsidRDefault="00CE504E" w:rsidP="00CE504E">
      <w:pPr>
        <w:rPr>
          <w:lang w:val="en-GB"/>
        </w:rPr>
      </w:pPr>
    </w:p>
    <w:p w14:paraId="19FE4BAF" w14:textId="4BE4F09F" w:rsidR="00CE504E" w:rsidRPr="0089105D" w:rsidRDefault="00CE504E" w:rsidP="00CE504E">
      <w:pPr>
        <w:spacing w:line="360" w:lineRule="auto"/>
        <w:jc w:val="both"/>
        <w:rPr>
          <w:rFonts w:asciiTheme="majorHAnsi" w:hAnsiTheme="majorHAnsi" w:cstheme="majorHAnsi"/>
          <w:lang w:val="en-GB"/>
        </w:rPr>
      </w:pPr>
      <w:r w:rsidRPr="0089105D">
        <w:rPr>
          <w:rFonts w:asciiTheme="majorHAnsi" w:hAnsiTheme="majorHAnsi" w:cstheme="majorHAnsi"/>
          <w:lang w:val="en-GB"/>
        </w:rPr>
        <w:t xml:space="preserve">For articles ranked in Quartile 1, the most frequently perceived issue with SDGs concerned internal clashes (28%), followed by another oftentimes recurring problem—the sparse integration of goals (25.90%). Moreover, the third most </w:t>
      </w:r>
      <w:proofErr w:type="spellStart"/>
      <w:r w:rsidRPr="0089105D">
        <w:rPr>
          <w:rFonts w:asciiTheme="majorHAnsi" w:hAnsiTheme="majorHAnsi" w:cstheme="majorHAnsi"/>
          <w:lang w:val="en-GB"/>
        </w:rPr>
        <w:t>analyzed</w:t>
      </w:r>
      <w:proofErr w:type="spellEnd"/>
      <w:r w:rsidRPr="0089105D">
        <w:rPr>
          <w:rFonts w:asciiTheme="majorHAnsi" w:hAnsiTheme="majorHAnsi" w:cstheme="majorHAnsi"/>
          <w:lang w:val="en-GB"/>
        </w:rPr>
        <w:t xml:space="preserve"> aspect was the challenges linked to not correctly defined indicators (15.58%). Additionally, 7.79% of articles highlighted the importance of issues with current global governance settings. The inefficient monitoring of the performance of states in different SDG areas was another discussed issue and was represented by 6.40% of articles. Furthermore, 2.59% of articles investigated the ambiguous nature of SDGs, and the same number, 2.59%, looked into the lack of mechanisms to hold states accountable. Lastly, 1.29% of articles deemed SDGs too ambitious.</w:t>
      </w:r>
    </w:p>
    <w:p w14:paraId="5BCA507C" w14:textId="7B7E9CA1" w:rsidR="00CE504E" w:rsidRPr="0089105D" w:rsidRDefault="00CE504E" w:rsidP="00CE504E">
      <w:pPr>
        <w:rPr>
          <w:lang w:val="en-GB"/>
        </w:rPr>
      </w:pPr>
    </w:p>
    <w:p w14:paraId="434BC8CB" w14:textId="4D62FAC6" w:rsidR="00CE504E" w:rsidRPr="0089105D" w:rsidRDefault="00CE504E" w:rsidP="00CE504E">
      <w:pPr>
        <w:rPr>
          <w:lang w:val="en-GB"/>
        </w:rPr>
      </w:pPr>
    </w:p>
    <w:p w14:paraId="693B4E67" w14:textId="233BA268" w:rsidR="00CE504E" w:rsidRPr="0089105D" w:rsidRDefault="00CE504E" w:rsidP="00CE504E">
      <w:pPr>
        <w:rPr>
          <w:lang w:val="en-GB"/>
        </w:rPr>
      </w:pPr>
    </w:p>
    <w:p w14:paraId="41D23338" w14:textId="3803B11A" w:rsidR="00CE504E" w:rsidRPr="0089105D" w:rsidRDefault="00CE504E" w:rsidP="00CE504E">
      <w:pPr>
        <w:rPr>
          <w:lang w:val="en-GB"/>
        </w:rPr>
      </w:pPr>
    </w:p>
    <w:p w14:paraId="00AE1069" w14:textId="77777777" w:rsidR="00CE504E" w:rsidRPr="0089105D" w:rsidRDefault="00CE504E" w:rsidP="00CE504E">
      <w:pPr>
        <w:rPr>
          <w:lang w:val="en-GB"/>
        </w:rPr>
      </w:pPr>
    </w:p>
    <w:p w14:paraId="7C59B9B1" w14:textId="77777777" w:rsidR="00DE713C" w:rsidRPr="0089105D" w:rsidRDefault="00DE713C" w:rsidP="00DE713C">
      <w:pPr>
        <w:pStyle w:val="NormalWeb"/>
        <w:spacing w:before="0" w:beforeAutospacing="0" w:after="0" w:afterAutospacing="0" w:line="360" w:lineRule="auto"/>
        <w:jc w:val="both"/>
        <w:rPr>
          <w:rFonts w:asciiTheme="majorHAnsi" w:hAnsiTheme="majorHAnsi" w:cstheme="majorHAnsi"/>
          <w:highlight w:val="yellow"/>
          <w:lang w:val="en-GB"/>
        </w:rPr>
      </w:pPr>
    </w:p>
    <w:p w14:paraId="1935A5A0" w14:textId="77777777" w:rsidR="00DE713C" w:rsidRPr="0089105D" w:rsidRDefault="00DE713C" w:rsidP="00DE713C">
      <w:pPr>
        <w:pStyle w:val="NormalWeb"/>
        <w:spacing w:before="0" w:beforeAutospacing="0" w:after="0" w:afterAutospacing="0" w:line="360" w:lineRule="auto"/>
        <w:jc w:val="both"/>
        <w:rPr>
          <w:rFonts w:asciiTheme="majorHAnsi" w:hAnsiTheme="majorHAnsi" w:cstheme="majorHAnsi"/>
          <w:highlight w:val="yellow"/>
          <w:lang w:val="en-GB"/>
        </w:rPr>
      </w:pPr>
      <w:r w:rsidRPr="0089105D">
        <w:rPr>
          <w:rFonts w:asciiTheme="majorHAnsi" w:hAnsiTheme="majorHAnsi" w:cstheme="majorHAnsi"/>
          <w:noProof/>
          <w:highlight w:val="yellow"/>
          <w:lang w:val="en-GB"/>
        </w:rPr>
        <w:lastRenderedPageBreak/>
        <w:drawing>
          <wp:inline distT="0" distB="0" distL="0" distR="0" wp14:anchorId="5B3B1389" wp14:editId="2625D72E">
            <wp:extent cx="6144768" cy="3986530"/>
            <wp:effectExtent l="0" t="0" r="8890" b="13970"/>
            <wp:docPr id="87592974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6DE23567" w14:textId="0C5A2DB9" w:rsidR="00D052F1" w:rsidRPr="0089105D" w:rsidRDefault="00D052F1" w:rsidP="00D052F1">
      <w:pPr>
        <w:pStyle w:val="Caption"/>
        <w:keepNext/>
        <w:jc w:val="both"/>
        <w:rPr>
          <w:rFonts w:asciiTheme="majorHAnsi" w:hAnsiTheme="majorHAnsi" w:cstheme="majorHAnsi"/>
          <w:color w:val="auto"/>
          <w:sz w:val="20"/>
          <w:szCs w:val="20"/>
        </w:rPr>
      </w:pPr>
      <w:bookmarkStart w:id="45" w:name="_Toc153091216"/>
      <w:bookmarkStart w:id="46" w:name="_Toc153169547"/>
      <w:r w:rsidRPr="0089105D">
        <w:rPr>
          <w:rFonts w:asciiTheme="majorHAnsi" w:hAnsiTheme="majorHAnsi" w:cstheme="majorHAnsi"/>
          <w:color w:val="auto"/>
          <w:sz w:val="20"/>
          <w:szCs w:val="20"/>
        </w:rPr>
        <w:t xml:space="preserve">Table </w:t>
      </w:r>
      <w:r w:rsidRPr="0089105D">
        <w:rPr>
          <w:rFonts w:asciiTheme="majorHAnsi" w:hAnsiTheme="majorHAnsi" w:cstheme="majorHAnsi"/>
          <w:color w:val="auto"/>
          <w:sz w:val="20"/>
          <w:szCs w:val="20"/>
        </w:rPr>
        <w:fldChar w:fldCharType="begin"/>
      </w:r>
      <w:r w:rsidRPr="0089105D">
        <w:rPr>
          <w:rFonts w:asciiTheme="majorHAnsi" w:hAnsiTheme="majorHAnsi" w:cstheme="majorHAnsi"/>
          <w:color w:val="auto"/>
          <w:sz w:val="20"/>
          <w:szCs w:val="20"/>
        </w:rPr>
        <w:instrText xml:space="preserve"> SEQ Table \* ARABIC </w:instrText>
      </w:r>
      <w:r w:rsidRPr="0089105D">
        <w:rPr>
          <w:rFonts w:asciiTheme="majorHAnsi" w:hAnsiTheme="majorHAnsi" w:cstheme="majorHAnsi"/>
          <w:color w:val="auto"/>
          <w:sz w:val="20"/>
          <w:szCs w:val="20"/>
        </w:rPr>
        <w:fldChar w:fldCharType="separate"/>
      </w:r>
      <w:r w:rsidR="004519D8" w:rsidRPr="0089105D">
        <w:rPr>
          <w:rFonts w:asciiTheme="majorHAnsi" w:hAnsiTheme="majorHAnsi" w:cstheme="majorHAnsi"/>
          <w:noProof/>
          <w:color w:val="auto"/>
          <w:sz w:val="20"/>
          <w:szCs w:val="20"/>
        </w:rPr>
        <w:t>7</w:t>
      </w:r>
      <w:r w:rsidRPr="0089105D">
        <w:rPr>
          <w:rFonts w:asciiTheme="majorHAnsi" w:hAnsiTheme="majorHAnsi" w:cstheme="majorHAnsi"/>
          <w:color w:val="auto"/>
          <w:sz w:val="20"/>
          <w:szCs w:val="20"/>
        </w:rPr>
        <w:fldChar w:fldCharType="end"/>
      </w:r>
      <w:r w:rsidRPr="0089105D">
        <w:rPr>
          <w:rFonts w:asciiTheme="majorHAnsi" w:hAnsiTheme="majorHAnsi" w:cstheme="majorHAnsi"/>
          <w:color w:val="auto"/>
          <w:sz w:val="20"/>
          <w:szCs w:val="20"/>
        </w:rPr>
        <w:t xml:space="preserve"> This table analyzed the relationship of specific quartile and scope of criticism of SDGs as a framework.</w:t>
      </w:r>
      <w:bookmarkEnd w:id="45"/>
      <w:bookmarkEnd w:id="46"/>
    </w:p>
    <w:p w14:paraId="3A1FBB60" w14:textId="77777777" w:rsidR="00DE713C" w:rsidRPr="0089105D" w:rsidRDefault="00DE713C" w:rsidP="00DE713C">
      <w:pPr>
        <w:pStyle w:val="NormalWeb"/>
        <w:spacing w:before="0" w:beforeAutospacing="0" w:after="0" w:afterAutospacing="0" w:line="360" w:lineRule="auto"/>
        <w:ind w:firstLine="720"/>
        <w:jc w:val="both"/>
        <w:rPr>
          <w:rFonts w:asciiTheme="majorHAnsi" w:hAnsiTheme="majorHAnsi" w:cstheme="majorHAnsi"/>
          <w:highlight w:val="yellow"/>
          <w:lang w:val="en-GB"/>
        </w:rPr>
      </w:pPr>
    </w:p>
    <w:p w14:paraId="205FE3CC" w14:textId="73C83603" w:rsidR="000F7205" w:rsidRPr="0089105D" w:rsidRDefault="000F7205" w:rsidP="000F7205">
      <w:pPr>
        <w:pStyle w:val="NormalWeb"/>
        <w:spacing w:before="0" w:beforeAutospacing="0" w:after="0" w:afterAutospacing="0" w:line="360" w:lineRule="auto"/>
        <w:jc w:val="both"/>
        <w:rPr>
          <w:rFonts w:asciiTheme="majorHAnsi" w:hAnsiTheme="majorHAnsi" w:cstheme="majorHAnsi"/>
          <w:lang w:val="en-GB"/>
        </w:rPr>
      </w:pPr>
      <w:r w:rsidRPr="0089105D">
        <w:rPr>
          <w:rFonts w:asciiTheme="majorHAnsi" w:hAnsiTheme="majorHAnsi" w:cstheme="majorHAnsi"/>
          <w:lang w:val="en-GB"/>
        </w:rPr>
        <w:t xml:space="preserve">Additionally, within Quartile 2, internal clashes were a prevalent concern, represented by 28% of articles. Lack of integration was another significant issue, accounting for 25.90% of articles. Critiques related to indicators were present in 15.58% of articles, highlighting challenges in accurately defining and measuring SDG targets. Problems with global governance were mentioned in 7.79% of articles, emphasizing the impact of neoliberal assumptions on SDG implementation. Monitoring issues were raised in 6.40% of articles, indicating concerns about tracking progress effectively. The need for a robust accountability mechanism was discussed in 5.59% of articles. Vagueness in certain aspects of the SDGs was </w:t>
      </w:r>
      <w:proofErr w:type="spellStart"/>
      <w:r w:rsidRPr="0089105D">
        <w:rPr>
          <w:rFonts w:asciiTheme="majorHAnsi" w:hAnsiTheme="majorHAnsi" w:cstheme="majorHAnsi"/>
          <w:lang w:val="en-GB"/>
        </w:rPr>
        <w:t>analyzed</w:t>
      </w:r>
      <w:proofErr w:type="spellEnd"/>
      <w:r w:rsidRPr="0089105D">
        <w:rPr>
          <w:rFonts w:asciiTheme="majorHAnsi" w:hAnsiTheme="majorHAnsi" w:cstheme="majorHAnsi"/>
          <w:lang w:val="en-GB"/>
        </w:rPr>
        <w:t xml:space="preserve"> in 2.59% of articles, and the non-legally binding nature of SDGs was criticized in 1.29% of articles. Furthermore, 26.66% of articles in Quartile 2 emphasized the lack of interaction between SDGs, while 19.9% criticized the non-legally binding nature of SDGs. Lastly, 6.66% of articles </w:t>
      </w:r>
      <w:proofErr w:type="spellStart"/>
      <w:r w:rsidRPr="0089105D">
        <w:rPr>
          <w:rFonts w:asciiTheme="majorHAnsi" w:hAnsiTheme="majorHAnsi" w:cstheme="majorHAnsi"/>
          <w:lang w:val="en-GB"/>
        </w:rPr>
        <w:t>analyzed</w:t>
      </w:r>
      <w:proofErr w:type="spellEnd"/>
      <w:r w:rsidRPr="0089105D">
        <w:rPr>
          <w:rFonts w:asciiTheme="majorHAnsi" w:hAnsiTheme="majorHAnsi" w:cstheme="majorHAnsi"/>
          <w:lang w:val="en-GB"/>
        </w:rPr>
        <w:t xml:space="preserve"> problems with SDG measurement, and another 6.66% investigated issues with SDG indicators.</w:t>
      </w:r>
      <w:r w:rsidRPr="0089105D">
        <w:rPr>
          <w:rFonts w:asciiTheme="majorHAnsi" w:hAnsiTheme="majorHAnsi" w:cstheme="majorHAnsi"/>
          <w:lang w:val="en-GB"/>
        </w:rPr>
        <w:t xml:space="preserve"> The chart below allows to visualise the data. </w:t>
      </w:r>
    </w:p>
    <w:p w14:paraId="7D57C5DA" w14:textId="77777777" w:rsidR="000F7205" w:rsidRPr="0089105D" w:rsidRDefault="000F7205" w:rsidP="000F7205">
      <w:pPr>
        <w:pStyle w:val="NormalWeb"/>
        <w:spacing w:before="0" w:beforeAutospacing="0" w:after="0" w:afterAutospacing="0" w:line="360" w:lineRule="auto"/>
        <w:jc w:val="both"/>
        <w:rPr>
          <w:rFonts w:asciiTheme="majorHAnsi" w:hAnsiTheme="majorHAnsi" w:cstheme="majorHAnsi"/>
          <w:lang w:val="en-GB"/>
        </w:rPr>
      </w:pPr>
    </w:p>
    <w:p w14:paraId="1019F28C" w14:textId="0B1ADB68" w:rsidR="00DE713C" w:rsidRPr="0089105D" w:rsidRDefault="00DE713C" w:rsidP="000F7205">
      <w:pPr>
        <w:pStyle w:val="NormalWeb"/>
        <w:spacing w:before="0" w:beforeAutospacing="0" w:after="0" w:afterAutospacing="0" w:line="360" w:lineRule="auto"/>
        <w:jc w:val="both"/>
        <w:rPr>
          <w:rFonts w:asciiTheme="majorHAnsi" w:hAnsiTheme="majorHAnsi" w:cstheme="majorHAnsi"/>
          <w:highlight w:val="yellow"/>
          <w:lang w:val="en-GB"/>
        </w:rPr>
      </w:pPr>
      <w:r w:rsidRPr="0089105D">
        <w:rPr>
          <w:rFonts w:asciiTheme="majorHAnsi" w:hAnsiTheme="majorHAnsi" w:cstheme="majorHAnsi"/>
          <w:noProof/>
          <w:highlight w:val="yellow"/>
          <w:lang w:val="en-GB"/>
        </w:rPr>
        <w:lastRenderedPageBreak/>
        <w:drawing>
          <wp:inline distT="0" distB="0" distL="0" distR="0" wp14:anchorId="592F9685" wp14:editId="1E1157BA">
            <wp:extent cx="6034405" cy="4882896"/>
            <wp:effectExtent l="0" t="0" r="4445" b="13335"/>
            <wp:docPr id="2111552636"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3D3B3929" w14:textId="77777777" w:rsidR="000F7205" w:rsidRPr="0089105D" w:rsidRDefault="000F7205" w:rsidP="00D75852">
      <w:pPr>
        <w:pStyle w:val="Caption"/>
        <w:keepNext/>
        <w:jc w:val="both"/>
        <w:rPr>
          <w:rFonts w:asciiTheme="majorHAnsi" w:hAnsiTheme="majorHAnsi" w:cstheme="majorHAnsi"/>
          <w:color w:val="auto"/>
          <w:sz w:val="20"/>
          <w:szCs w:val="20"/>
        </w:rPr>
      </w:pPr>
      <w:bookmarkStart w:id="47" w:name="_Toc153091217"/>
    </w:p>
    <w:p w14:paraId="57A7E677" w14:textId="217859D2" w:rsidR="00D75852" w:rsidRPr="0089105D" w:rsidRDefault="00D75852" w:rsidP="00D75852">
      <w:pPr>
        <w:pStyle w:val="Caption"/>
        <w:keepNext/>
        <w:jc w:val="both"/>
        <w:rPr>
          <w:rFonts w:asciiTheme="majorHAnsi" w:hAnsiTheme="majorHAnsi" w:cstheme="majorHAnsi"/>
          <w:color w:val="auto"/>
          <w:sz w:val="20"/>
          <w:szCs w:val="20"/>
        </w:rPr>
      </w:pPr>
      <w:bookmarkStart w:id="48" w:name="_Toc153169548"/>
      <w:r w:rsidRPr="0089105D">
        <w:rPr>
          <w:rFonts w:asciiTheme="majorHAnsi" w:hAnsiTheme="majorHAnsi" w:cstheme="majorHAnsi"/>
          <w:color w:val="auto"/>
          <w:sz w:val="20"/>
          <w:szCs w:val="20"/>
        </w:rPr>
        <w:t xml:space="preserve">Table </w:t>
      </w:r>
      <w:r w:rsidRPr="0089105D">
        <w:rPr>
          <w:rFonts w:asciiTheme="majorHAnsi" w:hAnsiTheme="majorHAnsi" w:cstheme="majorHAnsi"/>
          <w:color w:val="auto"/>
          <w:sz w:val="20"/>
          <w:szCs w:val="20"/>
        </w:rPr>
        <w:fldChar w:fldCharType="begin"/>
      </w:r>
      <w:r w:rsidRPr="0089105D">
        <w:rPr>
          <w:rFonts w:asciiTheme="majorHAnsi" w:hAnsiTheme="majorHAnsi" w:cstheme="majorHAnsi"/>
          <w:color w:val="auto"/>
          <w:sz w:val="20"/>
          <w:szCs w:val="20"/>
        </w:rPr>
        <w:instrText xml:space="preserve"> SEQ Table \* ARABIC </w:instrText>
      </w:r>
      <w:r w:rsidRPr="0089105D">
        <w:rPr>
          <w:rFonts w:asciiTheme="majorHAnsi" w:hAnsiTheme="majorHAnsi" w:cstheme="majorHAnsi"/>
          <w:color w:val="auto"/>
          <w:sz w:val="20"/>
          <w:szCs w:val="20"/>
        </w:rPr>
        <w:fldChar w:fldCharType="separate"/>
      </w:r>
      <w:r w:rsidR="004519D8" w:rsidRPr="0089105D">
        <w:rPr>
          <w:rFonts w:asciiTheme="majorHAnsi" w:hAnsiTheme="majorHAnsi" w:cstheme="majorHAnsi"/>
          <w:noProof/>
          <w:color w:val="auto"/>
          <w:sz w:val="20"/>
          <w:szCs w:val="20"/>
        </w:rPr>
        <w:t>8</w:t>
      </w:r>
      <w:r w:rsidRPr="0089105D">
        <w:rPr>
          <w:rFonts w:asciiTheme="majorHAnsi" w:hAnsiTheme="majorHAnsi" w:cstheme="majorHAnsi"/>
          <w:color w:val="auto"/>
          <w:sz w:val="20"/>
          <w:szCs w:val="20"/>
        </w:rPr>
        <w:fldChar w:fldCharType="end"/>
      </w:r>
      <w:r w:rsidRPr="0089105D">
        <w:rPr>
          <w:rFonts w:asciiTheme="majorHAnsi" w:hAnsiTheme="majorHAnsi" w:cstheme="majorHAnsi"/>
          <w:color w:val="auto"/>
          <w:sz w:val="20"/>
          <w:szCs w:val="20"/>
        </w:rPr>
        <w:t xml:space="preserve"> This table summarizes relationship between quartile 2 and scope of criticism of SDGs as framework</w:t>
      </w:r>
      <w:bookmarkEnd w:id="47"/>
      <w:bookmarkEnd w:id="48"/>
    </w:p>
    <w:p w14:paraId="4E7AADFD" w14:textId="5F413DAB" w:rsidR="00DE713C" w:rsidRPr="0089105D" w:rsidRDefault="00DE713C" w:rsidP="00DE713C">
      <w:pPr>
        <w:pStyle w:val="NormalWeb"/>
        <w:spacing w:before="0" w:beforeAutospacing="0" w:after="0" w:afterAutospacing="0" w:line="360" w:lineRule="auto"/>
        <w:jc w:val="both"/>
        <w:rPr>
          <w:rFonts w:asciiTheme="majorHAnsi" w:hAnsiTheme="majorHAnsi" w:cstheme="majorHAnsi"/>
          <w:highlight w:val="yellow"/>
        </w:rPr>
      </w:pPr>
    </w:p>
    <w:p w14:paraId="5371A78A" w14:textId="77777777" w:rsidR="00DE713C" w:rsidRPr="0089105D" w:rsidRDefault="00DE713C" w:rsidP="00DE713C">
      <w:pPr>
        <w:pStyle w:val="NormalWeb"/>
        <w:spacing w:before="0" w:beforeAutospacing="0" w:after="0" w:afterAutospacing="0" w:line="360" w:lineRule="auto"/>
        <w:ind w:firstLine="720"/>
        <w:jc w:val="both"/>
        <w:rPr>
          <w:rFonts w:asciiTheme="majorHAnsi" w:hAnsiTheme="majorHAnsi" w:cstheme="majorHAnsi"/>
          <w:highlight w:val="yellow"/>
          <w:lang w:val="en-GB"/>
        </w:rPr>
      </w:pPr>
    </w:p>
    <w:p w14:paraId="5FC58FB7" w14:textId="77777777" w:rsidR="00CE504E" w:rsidRPr="0089105D" w:rsidRDefault="00CE504E" w:rsidP="00CE504E">
      <w:pPr>
        <w:pStyle w:val="NormalWeb"/>
        <w:spacing w:line="360" w:lineRule="auto"/>
        <w:jc w:val="both"/>
        <w:rPr>
          <w:rFonts w:asciiTheme="majorHAnsi" w:hAnsiTheme="majorHAnsi" w:cstheme="majorHAnsi"/>
          <w:lang w:val="en-GB"/>
        </w:rPr>
      </w:pPr>
      <w:r w:rsidRPr="0089105D">
        <w:rPr>
          <w:rFonts w:asciiTheme="majorHAnsi" w:hAnsiTheme="majorHAnsi" w:cstheme="majorHAnsi"/>
          <w:lang w:val="en-GB"/>
        </w:rPr>
        <w:t xml:space="preserve">Thirdly, concerning articles ranked in Quartile 3, there was not a single 'most-repeating' answer. The percentage was distributed equally among finding an issue with persisting concerns about the feasibility of SDGs in the current global settings (25%), inefficient indicators (25%), and insufficient integration of the goals (25%). Subsequently, two other elements were </w:t>
      </w:r>
      <w:proofErr w:type="spellStart"/>
      <w:r w:rsidRPr="0089105D">
        <w:rPr>
          <w:rFonts w:asciiTheme="majorHAnsi" w:hAnsiTheme="majorHAnsi" w:cstheme="majorHAnsi"/>
          <w:lang w:val="en-GB"/>
        </w:rPr>
        <w:t>analyzed</w:t>
      </w:r>
      <w:proofErr w:type="spellEnd"/>
      <w:r w:rsidRPr="0089105D">
        <w:rPr>
          <w:rFonts w:asciiTheme="majorHAnsi" w:hAnsiTheme="majorHAnsi" w:cstheme="majorHAnsi"/>
          <w:lang w:val="en-GB"/>
        </w:rPr>
        <w:t xml:space="preserve"> with the same percentage, as 12.5% of articles examined problems related to the problematic concept of sustainable development, and another 12.5% criticized faulty reporting as an issue.</w:t>
      </w:r>
    </w:p>
    <w:p w14:paraId="392758DE" w14:textId="77777777" w:rsidR="00CE504E" w:rsidRPr="0089105D" w:rsidRDefault="00CE504E" w:rsidP="00CE504E">
      <w:pPr>
        <w:pStyle w:val="NormalWeb"/>
        <w:spacing w:line="360" w:lineRule="auto"/>
        <w:ind w:firstLine="720"/>
        <w:jc w:val="both"/>
        <w:rPr>
          <w:rFonts w:asciiTheme="majorHAnsi" w:hAnsiTheme="majorHAnsi" w:cstheme="majorHAnsi"/>
          <w:lang w:val="en-GB"/>
        </w:rPr>
      </w:pPr>
    </w:p>
    <w:p w14:paraId="198CE2E3" w14:textId="0CED0D2C" w:rsidR="00DE713C" w:rsidRPr="0089105D" w:rsidRDefault="00CE504E" w:rsidP="00CE504E">
      <w:pPr>
        <w:pStyle w:val="NormalWeb"/>
        <w:spacing w:before="0" w:beforeAutospacing="0" w:after="0" w:afterAutospacing="0" w:line="360" w:lineRule="auto"/>
        <w:ind w:firstLine="720"/>
        <w:jc w:val="both"/>
        <w:rPr>
          <w:rFonts w:asciiTheme="majorHAnsi" w:hAnsiTheme="majorHAnsi" w:cstheme="majorHAnsi"/>
          <w:highlight w:val="yellow"/>
          <w:lang w:val="en-GB"/>
        </w:rPr>
      </w:pPr>
      <w:r w:rsidRPr="0089105D">
        <w:rPr>
          <w:rFonts w:asciiTheme="majorHAnsi" w:hAnsiTheme="majorHAnsi" w:cstheme="majorHAnsi"/>
          <w:lang w:val="en-GB"/>
        </w:rPr>
        <w:lastRenderedPageBreak/>
        <w:t xml:space="preserve">Finally, regarding articles </w:t>
      </w:r>
      <w:proofErr w:type="spellStart"/>
      <w:r w:rsidRPr="0089105D">
        <w:rPr>
          <w:rFonts w:asciiTheme="majorHAnsi" w:hAnsiTheme="majorHAnsi" w:cstheme="majorHAnsi"/>
          <w:lang w:val="en-GB"/>
        </w:rPr>
        <w:t>labeled</w:t>
      </w:r>
      <w:proofErr w:type="spellEnd"/>
      <w:r w:rsidRPr="0089105D">
        <w:rPr>
          <w:rFonts w:asciiTheme="majorHAnsi" w:hAnsiTheme="majorHAnsi" w:cstheme="majorHAnsi"/>
          <w:lang w:val="en-GB"/>
        </w:rPr>
        <w:t xml:space="preserve"> with Quartile 4, there were only two articles in total, each covering different problems. Therefore, 50% of the articles investigated fragmentation occurring due to strong sectionalism and a lack of further integration of the goals. The second article, and therefore another 50% of articles for Quartile 4, looked into the absence of the translation of SDGs into the human rights framework. Due to its low number, the diagram was excluded.</w:t>
      </w:r>
      <w:r w:rsidRPr="0089105D">
        <w:rPr>
          <w:rFonts w:asciiTheme="majorHAnsi" w:hAnsiTheme="majorHAnsi" w:cstheme="majorHAnsi"/>
          <w:noProof/>
          <w:lang w:val="en-GB"/>
          <w14:ligatures w14:val="standardContextual"/>
        </w:rPr>
        <w:drawing>
          <wp:anchor distT="0" distB="0" distL="114300" distR="114300" simplePos="0" relativeHeight="251675648" behindDoc="0" locked="0" layoutInCell="1" allowOverlap="1" wp14:anchorId="4631EF4E" wp14:editId="5C2644AB">
            <wp:simplePos x="0" y="0"/>
            <wp:positionH relativeFrom="margin">
              <wp:align>left</wp:align>
            </wp:positionH>
            <wp:positionV relativeFrom="paragraph">
              <wp:posOffset>10654</wp:posOffset>
            </wp:positionV>
            <wp:extent cx="5779911" cy="3200400"/>
            <wp:effectExtent l="0" t="0" r="11430" b="0"/>
            <wp:wrapNone/>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anchor>
        </w:drawing>
      </w:r>
    </w:p>
    <w:p w14:paraId="4CE8E678" w14:textId="4A98D16F" w:rsidR="00DE713C" w:rsidRPr="0089105D" w:rsidRDefault="00DE713C" w:rsidP="00DE713C">
      <w:pPr>
        <w:pStyle w:val="NormalWeb"/>
        <w:spacing w:before="0" w:beforeAutospacing="0" w:after="0" w:afterAutospacing="0" w:line="360" w:lineRule="auto"/>
        <w:ind w:firstLine="720"/>
        <w:jc w:val="both"/>
        <w:rPr>
          <w:rFonts w:asciiTheme="majorHAnsi" w:hAnsiTheme="majorHAnsi" w:cstheme="majorHAnsi"/>
          <w:highlight w:val="yellow"/>
          <w:lang w:val="en-GB"/>
        </w:rPr>
      </w:pPr>
    </w:p>
    <w:p w14:paraId="1DDE78CA" w14:textId="2CF28E0F" w:rsidR="00DE713C" w:rsidRPr="0089105D" w:rsidRDefault="00DE713C" w:rsidP="00DE713C">
      <w:pPr>
        <w:pStyle w:val="NormalWeb"/>
        <w:spacing w:before="0" w:beforeAutospacing="0" w:after="0" w:afterAutospacing="0" w:line="360" w:lineRule="auto"/>
        <w:ind w:firstLine="720"/>
        <w:jc w:val="both"/>
        <w:rPr>
          <w:rFonts w:asciiTheme="majorHAnsi" w:hAnsiTheme="majorHAnsi" w:cstheme="majorHAnsi"/>
          <w:highlight w:val="yellow"/>
          <w:lang w:val="en-GB"/>
        </w:rPr>
      </w:pPr>
    </w:p>
    <w:p w14:paraId="7ACCA623" w14:textId="7935A615" w:rsidR="00DE713C" w:rsidRPr="0089105D" w:rsidRDefault="00DE713C" w:rsidP="00DE713C">
      <w:pPr>
        <w:pStyle w:val="NormalWeb"/>
        <w:spacing w:before="0" w:beforeAutospacing="0" w:after="0" w:afterAutospacing="0" w:line="360" w:lineRule="auto"/>
        <w:jc w:val="both"/>
        <w:rPr>
          <w:rFonts w:asciiTheme="majorHAnsi" w:hAnsiTheme="majorHAnsi" w:cstheme="majorHAnsi"/>
          <w:highlight w:val="yellow"/>
          <w:lang w:val="en-GB"/>
        </w:rPr>
      </w:pPr>
    </w:p>
    <w:p w14:paraId="180E74DE" w14:textId="77777777" w:rsidR="00DE713C" w:rsidRPr="0089105D" w:rsidRDefault="00DE713C" w:rsidP="00DE713C">
      <w:pPr>
        <w:pStyle w:val="NormalWeb"/>
        <w:spacing w:before="0" w:beforeAutospacing="0" w:after="0" w:afterAutospacing="0" w:line="360" w:lineRule="auto"/>
        <w:jc w:val="both"/>
        <w:rPr>
          <w:rFonts w:asciiTheme="majorHAnsi" w:hAnsiTheme="majorHAnsi" w:cstheme="majorHAnsi"/>
          <w:highlight w:val="yellow"/>
          <w:lang w:val="en-GB"/>
        </w:rPr>
      </w:pPr>
    </w:p>
    <w:p w14:paraId="7DA62EB4" w14:textId="77777777" w:rsidR="00DE713C" w:rsidRPr="0089105D" w:rsidRDefault="00DE713C" w:rsidP="00DE713C">
      <w:pPr>
        <w:pStyle w:val="NormalWeb"/>
        <w:spacing w:before="0" w:beforeAutospacing="0" w:after="0" w:afterAutospacing="0" w:line="360" w:lineRule="auto"/>
        <w:jc w:val="both"/>
        <w:rPr>
          <w:rFonts w:asciiTheme="majorHAnsi" w:hAnsiTheme="majorHAnsi" w:cstheme="majorHAnsi"/>
          <w:highlight w:val="yellow"/>
          <w:lang w:val="en-GB"/>
        </w:rPr>
      </w:pPr>
    </w:p>
    <w:p w14:paraId="6B5AA939" w14:textId="3A347A23" w:rsidR="00DE713C" w:rsidRPr="0089105D" w:rsidRDefault="00DE713C" w:rsidP="00DE713C">
      <w:pPr>
        <w:pStyle w:val="NormalWeb"/>
        <w:spacing w:before="0" w:beforeAutospacing="0" w:after="0" w:afterAutospacing="0" w:line="360" w:lineRule="auto"/>
        <w:jc w:val="both"/>
        <w:rPr>
          <w:rFonts w:asciiTheme="majorHAnsi" w:hAnsiTheme="majorHAnsi" w:cstheme="majorHAnsi"/>
          <w:highlight w:val="yellow"/>
          <w:lang w:val="en-GB"/>
        </w:rPr>
      </w:pPr>
    </w:p>
    <w:p w14:paraId="101AD709" w14:textId="7D1F0402" w:rsidR="00DE713C" w:rsidRPr="0089105D" w:rsidRDefault="00CE504E" w:rsidP="00DE713C">
      <w:pPr>
        <w:pStyle w:val="NormalWeb"/>
        <w:spacing w:before="0" w:beforeAutospacing="0" w:after="0" w:afterAutospacing="0" w:line="360" w:lineRule="auto"/>
        <w:jc w:val="both"/>
        <w:rPr>
          <w:rFonts w:asciiTheme="majorHAnsi" w:hAnsiTheme="majorHAnsi" w:cstheme="majorHAnsi"/>
          <w:highlight w:val="yellow"/>
          <w:lang w:val="en-GB"/>
        </w:rPr>
      </w:pPr>
      <w:r w:rsidRPr="0089105D">
        <w:rPr>
          <w:noProof/>
        </w:rPr>
        <mc:AlternateContent>
          <mc:Choice Requires="wps">
            <w:drawing>
              <wp:anchor distT="0" distB="0" distL="114300" distR="114300" simplePos="0" relativeHeight="251677696" behindDoc="0" locked="0" layoutInCell="1" allowOverlap="1" wp14:anchorId="6082A147" wp14:editId="2300F72B">
                <wp:simplePos x="0" y="0"/>
                <wp:positionH relativeFrom="margin">
                  <wp:posOffset>143651</wp:posOffset>
                </wp:positionH>
                <wp:positionV relativeFrom="paragraph">
                  <wp:posOffset>213713</wp:posOffset>
                </wp:positionV>
                <wp:extent cx="5779770" cy="457200"/>
                <wp:effectExtent l="0" t="0" r="0" b="0"/>
                <wp:wrapNone/>
                <wp:docPr id="2" name="Text Box 2"/>
                <wp:cNvGraphicFramePr/>
                <a:graphic xmlns:a="http://schemas.openxmlformats.org/drawingml/2006/main">
                  <a:graphicData uri="http://schemas.microsoft.com/office/word/2010/wordprocessingShape">
                    <wps:wsp>
                      <wps:cNvSpPr txBox="1"/>
                      <wps:spPr>
                        <a:xfrm>
                          <a:off x="0" y="0"/>
                          <a:ext cx="5779770" cy="457200"/>
                        </a:xfrm>
                        <a:prstGeom prst="rect">
                          <a:avLst/>
                        </a:prstGeom>
                        <a:solidFill>
                          <a:prstClr val="white"/>
                        </a:solidFill>
                        <a:ln>
                          <a:noFill/>
                        </a:ln>
                      </wps:spPr>
                      <wps:txbx>
                        <w:txbxContent>
                          <w:p w14:paraId="3B0A0268" w14:textId="62886EED" w:rsidR="00CE504E" w:rsidRPr="00CE504E" w:rsidRDefault="00CE504E" w:rsidP="00CE504E">
                            <w:pPr>
                              <w:pStyle w:val="Caption"/>
                              <w:rPr>
                                <w:rFonts w:asciiTheme="majorHAnsi" w:eastAsia="Times New Roman" w:hAnsiTheme="majorHAnsi" w:cstheme="majorHAnsi"/>
                                <w:color w:val="000000"/>
                                <w:sz w:val="24"/>
                                <w:szCs w:val="24"/>
                                <w:lang w:val="en-GB" w:eastAsia="en-GB"/>
                              </w:rPr>
                            </w:pPr>
                            <w:bookmarkStart w:id="49" w:name="_Toc153169549"/>
                            <w:r w:rsidRPr="00CE504E">
                              <w:rPr>
                                <w:rFonts w:asciiTheme="majorHAnsi" w:hAnsiTheme="majorHAnsi" w:cstheme="majorHAnsi"/>
                              </w:rPr>
                              <w:t xml:space="preserve">Table </w:t>
                            </w:r>
                            <w:r w:rsidRPr="00CE504E">
                              <w:rPr>
                                <w:rFonts w:asciiTheme="majorHAnsi" w:hAnsiTheme="majorHAnsi" w:cstheme="majorHAnsi"/>
                              </w:rPr>
                              <w:fldChar w:fldCharType="begin"/>
                            </w:r>
                            <w:r w:rsidRPr="00CE504E">
                              <w:rPr>
                                <w:rFonts w:asciiTheme="majorHAnsi" w:hAnsiTheme="majorHAnsi" w:cstheme="majorHAnsi"/>
                              </w:rPr>
                              <w:instrText xml:space="preserve"> SEQ Table \* ARABIC </w:instrText>
                            </w:r>
                            <w:r w:rsidRPr="00CE504E">
                              <w:rPr>
                                <w:rFonts w:asciiTheme="majorHAnsi" w:hAnsiTheme="majorHAnsi" w:cstheme="majorHAnsi"/>
                              </w:rPr>
                              <w:fldChar w:fldCharType="separate"/>
                            </w:r>
                            <w:r w:rsidR="004519D8">
                              <w:rPr>
                                <w:rFonts w:asciiTheme="majorHAnsi" w:hAnsiTheme="majorHAnsi" w:cstheme="majorHAnsi"/>
                                <w:noProof/>
                              </w:rPr>
                              <w:t>9</w:t>
                            </w:r>
                            <w:r w:rsidRPr="00CE504E">
                              <w:rPr>
                                <w:rFonts w:asciiTheme="majorHAnsi" w:hAnsiTheme="majorHAnsi" w:cstheme="majorHAnsi"/>
                              </w:rPr>
                              <w:fldChar w:fldCharType="end"/>
                            </w:r>
                            <w:r w:rsidRPr="00CE504E">
                              <w:rPr>
                                <w:rFonts w:asciiTheme="majorHAnsi" w:hAnsiTheme="majorHAnsi" w:cstheme="majorHAnsi"/>
                              </w:rPr>
                              <w:t xml:space="preserve"> This table investigates the relationship between articles ranked with quartile 3 and criticism of SDGs</w:t>
                            </w:r>
                            <w:bookmarkEnd w:id="49"/>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6082A147" id="Text Box 2" o:spid="_x0000_s1028" type="#_x0000_t202" style="position:absolute;left:0;text-align:left;margin-left:11.3pt;margin-top:16.85pt;width:455.1pt;height:36pt;z-index:25167769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" stroked="f">
                <v:textbox inset="0,0,0,0">
                  <w:txbxContent>
                    <w:p w14:paraId="3B0A0268" w14:textId="62886EED" w:rsidR="00CE504E" w:rsidRPr="00CE504E" w:rsidRDefault="00CE504E" w:rsidP="00CE504E">
                      <w:pPr>
                        <w:pStyle w:val="Caption"/>
                        <w:rPr>
                          <w:rFonts w:asciiTheme="majorHAnsi" w:eastAsia="Times New Roman" w:hAnsiTheme="majorHAnsi" w:cstheme="majorHAnsi"/>
                          <w:color w:val="000000"/>
                          <w:sz w:val="24"/>
                          <w:szCs w:val="24"/>
                          <w:lang w:val="en-GB" w:eastAsia="en-GB"/>
                        </w:rPr>
                      </w:pPr>
                      <w:bookmarkStart w:id="50" w:name="_Toc153169549"/>
                      <w:r w:rsidRPr="00CE504E">
                        <w:rPr>
                          <w:rFonts w:asciiTheme="majorHAnsi" w:hAnsiTheme="majorHAnsi" w:cstheme="majorHAnsi"/>
                        </w:rPr>
                        <w:t xml:space="preserve">Table </w:t>
                      </w:r>
                      <w:r w:rsidRPr="00CE504E">
                        <w:rPr>
                          <w:rFonts w:asciiTheme="majorHAnsi" w:hAnsiTheme="majorHAnsi" w:cstheme="majorHAnsi"/>
                        </w:rPr>
                        <w:fldChar w:fldCharType="begin"/>
                      </w:r>
                      <w:r w:rsidRPr="00CE504E">
                        <w:rPr>
                          <w:rFonts w:asciiTheme="majorHAnsi" w:hAnsiTheme="majorHAnsi" w:cstheme="majorHAnsi"/>
                        </w:rPr>
                        <w:instrText xml:space="preserve"> SEQ Table \* ARABIC </w:instrText>
                      </w:r>
                      <w:r w:rsidRPr="00CE504E">
                        <w:rPr>
                          <w:rFonts w:asciiTheme="majorHAnsi" w:hAnsiTheme="majorHAnsi" w:cstheme="majorHAnsi"/>
                        </w:rPr>
                        <w:fldChar w:fldCharType="separate"/>
                      </w:r>
                      <w:r w:rsidR="004519D8">
                        <w:rPr>
                          <w:rFonts w:asciiTheme="majorHAnsi" w:hAnsiTheme="majorHAnsi" w:cstheme="majorHAnsi"/>
                          <w:noProof/>
                        </w:rPr>
                        <w:t>9</w:t>
                      </w:r>
                      <w:r w:rsidRPr="00CE504E">
                        <w:rPr>
                          <w:rFonts w:asciiTheme="majorHAnsi" w:hAnsiTheme="majorHAnsi" w:cstheme="majorHAnsi"/>
                        </w:rPr>
                        <w:fldChar w:fldCharType="end"/>
                      </w:r>
                      <w:r w:rsidRPr="00CE504E">
                        <w:rPr>
                          <w:rFonts w:asciiTheme="majorHAnsi" w:hAnsiTheme="majorHAnsi" w:cstheme="majorHAnsi"/>
                        </w:rPr>
                        <w:t xml:space="preserve"> This table investigates the relationship between articles ranked with quartile 3 and criticism of SDGs</w:t>
                      </w:r>
                      <w:bookmarkEnd w:id="50"/>
                    </w:p>
                  </w:txbxContent>
                </v:textbox>
                <w10:wrap anchorx="margin"/>
              </v:shape>
            </w:pict>
          </mc:Fallback>
        </mc:AlternateContent>
      </w:r>
    </w:p>
    <w:p w14:paraId="70B83A53" w14:textId="3DAB4C1A" w:rsidR="00DE713C" w:rsidRPr="0089105D" w:rsidRDefault="00DE713C" w:rsidP="00DE713C">
      <w:pPr>
        <w:pStyle w:val="NormalWeb"/>
        <w:spacing w:before="0" w:beforeAutospacing="0" w:after="0" w:afterAutospacing="0" w:line="360" w:lineRule="auto"/>
        <w:jc w:val="both"/>
        <w:rPr>
          <w:rFonts w:asciiTheme="majorHAnsi" w:hAnsiTheme="majorHAnsi" w:cstheme="majorHAnsi"/>
          <w:highlight w:val="yellow"/>
          <w:lang w:val="en-GB"/>
        </w:rPr>
      </w:pPr>
    </w:p>
    <w:p w14:paraId="00AADC4C" w14:textId="2B106A07" w:rsidR="00CE504E" w:rsidRPr="0089105D" w:rsidRDefault="00CE504E" w:rsidP="00DE713C">
      <w:pPr>
        <w:pStyle w:val="NormalWeb"/>
        <w:spacing w:before="0" w:beforeAutospacing="0" w:after="0" w:afterAutospacing="0" w:line="360" w:lineRule="auto"/>
        <w:jc w:val="both"/>
        <w:rPr>
          <w:rFonts w:asciiTheme="majorHAnsi" w:hAnsiTheme="majorHAnsi" w:cstheme="majorHAnsi"/>
          <w:highlight w:val="yellow"/>
          <w:lang w:val="en-GB"/>
        </w:rPr>
      </w:pPr>
    </w:p>
    <w:p w14:paraId="2FC05BA5" w14:textId="01889F43" w:rsidR="00CE504E" w:rsidRPr="0089105D" w:rsidRDefault="00CE504E" w:rsidP="00DE713C">
      <w:pPr>
        <w:pStyle w:val="NormalWeb"/>
        <w:spacing w:before="0" w:beforeAutospacing="0" w:after="0" w:afterAutospacing="0" w:line="360" w:lineRule="auto"/>
        <w:jc w:val="both"/>
        <w:rPr>
          <w:rFonts w:asciiTheme="majorHAnsi" w:hAnsiTheme="majorHAnsi" w:cstheme="majorHAnsi"/>
          <w:highlight w:val="yellow"/>
          <w:lang w:val="en-GB"/>
        </w:rPr>
      </w:pPr>
    </w:p>
    <w:p w14:paraId="71528A67" w14:textId="346B9000" w:rsidR="00CE504E" w:rsidRPr="0089105D" w:rsidRDefault="00CE504E" w:rsidP="00DE713C">
      <w:pPr>
        <w:pStyle w:val="NormalWeb"/>
        <w:spacing w:before="0" w:beforeAutospacing="0" w:after="0" w:afterAutospacing="0" w:line="360" w:lineRule="auto"/>
        <w:jc w:val="both"/>
        <w:rPr>
          <w:rFonts w:asciiTheme="majorHAnsi" w:hAnsiTheme="majorHAnsi" w:cstheme="majorHAnsi"/>
          <w:highlight w:val="yellow"/>
          <w:lang w:val="en-GB"/>
        </w:rPr>
      </w:pPr>
      <w:r w:rsidRPr="0089105D">
        <w:rPr>
          <w:rFonts w:asciiTheme="majorHAnsi" w:hAnsiTheme="majorHAnsi" w:cstheme="majorHAnsi"/>
          <w:lang w:val="en-GB"/>
        </w:rPr>
        <w:t xml:space="preserve">To summarize the aforementioned data, upon observing the first three Quartiles due to sufficient data, it becomes apparent that the most frequent points of criticism were internal contradictions, insufficient integration among the goals, and issues with indicators, along with challenges linked to the current global governance settings. Only minor issues were considered in the following features: monitoring, non-legally binding nature, ambiguity, accountability, and excessively ambitious goals, which the international community would not be able to </w:t>
      </w:r>
      <w:r w:rsidRPr="0089105D">
        <w:rPr>
          <w:rFonts w:asciiTheme="majorHAnsi" w:hAnsiTheme="majorHAnsi" w:cstheme="majorHAnsi"/>
          <w:lang w:val="en-GB"/>
        </w:rPr>
        <w:t>fulfil</w:t>
      </w:r>
      <w:r w:rsidRPr="0089105D">
        <w:rPr>
          <w:rFonts w:asciiTheme="majorHAnsi" w:hAnsiTheme="majorHAnsi" w:cstheme="majorHAnsi"/>
          <w:lang w:val="en-GB"/>
        </w:rPr>
        <w:t xml:space="preserve"> by 2030. The following table puts all the quartiles together, enabling an easier extent of comparison of differences among the data.</w:t>
      </w:r>
    </w:p>
    <w:p w14:paraId="0CD9FB85" w14:textId="2192CDB9" w:rsidR="00CE504E" w:rsidRPr="0089105D" w:rsidRDefault="00CE504E" w:rsidP="00DE713C">
      <w:pPr>
        <w:pStyle w:val="NormalWeb"/>
        <w:spacing w:before="0" w:beforeAutospacing="0" w:after="0" w:afterAutospacing="0" w:line="360" w:lineRule="auto"/>
        <w:jc w:val="both"/>
        <w:rPr>
          <w:rFonts w:asciiTheme="majorHAnsi" w:hAnsiTheme="majorHAnsi" w:cstheme="majorHAnsi"/>
          <w:highlight w:val="yellow"/>
          <w:lang w:val="en-GB"/>
        </w:rPr>
      </w:pPr>
    </w:p>
    <w:p w14:paraId="17EAF2B9" w14:textId="77777777" w:rsidR="00CE504E" w:rsidRPr="0089105D" w:rsidRDefault="00CE504E" w:rsidP="00DE713C">
      <w:pPr>
        <w:pStyle w:val="NormalWeb"/>
        <w:spacing w:before="0" w:beforeAutospacing="0" w:after="0" w:afterAutospacing="0" w:line="360" w:lineRule="auto"/>
        <w:jc w:val="both"/>
        <w:rPr>
          <w:rFonts w:asciiTheme="majorHAnsi" w:hAnsiTheme="majorHAnsi" w:cstheme="majorHAnsi"/>
          <w:highlight w:val="yellow"/>
          <w:lang w:val="en-GB"/>
        </w:rPr>
      </w:pPr>
    </w:p>
    <w:p w14:paraId="5133AC5B" w14:textId="77777777" w:rsidR="00DE713C" w:rsidRPr="0089105D" w:rsidRDefault="00DE713C" w:rsidP="00DE713C">
      <w:pPr>
        <w:pStyle w:val="NormalWeb"/>
        <w:spacing w:before="0" w:beforeAutospacing="0" w:after="0" w:afterAutospacing="0" w:line="360" w:lineRule="auto"/>
        <w:jc w:val="both"/>
        <w:rPr>
          <w:rFonts w:asciiTheme="majorHAnsi" w:hAnsiTheme="majorHAnsi" w:cstheme="majorHAnsi"/>
          <w:highlight w:val="yellow"/>
          <w:lang w:val="en-GB"/>
        </w:rPr>
      </w:pPr>
    </w:p>
    <w:p w14:paraId="49FC6F79" w14:textId="71CAA2EF" w:rsidR="00C74A04" w:rsidRPr="0089105D" w:rsidRDefault="00C74A04" w:rsidP="00C74A04">
      <w:pPr>
        <w:pStyle w:val="Caption"/>
        <w:keepNext/>
        <w:jc w:val="both"/>
        <w:rPr>
          <w:rFonts w:asciiTheme="majorHAnsi" w:hAnsiTheme="majorHAnsi" w:cstheme="majorHAnsi"/>
          <w:color w:val="auto"/>
          <w:sz w:val="20"/>
          <w:szCs w:val="20"/>
        </w:rPr>
      </w:pPr>
    </w:p>
    <w:p w14:paraId="466811ED" w14:textId="77777777" w:rsidR="00DE713C" w:rsidRPr="0089105D" w:rsidRDefault="00DE713C" w:rsidP="00DE713C">
      <w:pPr>
        <w:pStyle w:val="NormalWeb"/>
        <w:spacing w:before="0" w:beforeAutospacing="0" w:after="0" w:afterAutospacing="0" w:line="360" w:lineRule="auto"/>
        <w:jc w:val="both"/>
        <w:rPr>
          <w:rFonts w:asciiTheme="majorHAnsi" w:hAnsiTheme="majorHAnsi" w:cstheme="majorHAnsi"/>
          <w:highlight w:val="yellow"/>
          <w:lang w:val="en-GB"/>
        </w:rPr>
      </w:pPr>
      <w:r w:rsidRPr="0089105D">
        <w:rPr>
          <w:rFonts w:asciiTheme="majorHAnsi" w:hAnsiTheme="majorHAnsi" w:cstheme="majorHAnsi"/>
          <w:noProof/>
          <w:highlight w:val="yellow"/>
          <w:lang w:val="en-GB"/>
          <w14:ligatures w14:val="standardContextual"/>
        </w:rPr>
        <w:drawing>
          <wp:inline distT="0" distB="0" distL="0" distR="0" wp14:anchorId="35F161E7" wp14:editId="1C45268C">
            <wp:extent cx="6189980" cy="7833183"/>
            <wp:effectExtent l="0" t="0" r="1270" b="15875"/>
            <wp:docPr id="646667733"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21848D09" w14:textId="10015F5F" w:rsidR="00DE713C" w:rsidRPr="0089105D" w:rsidRDefault="00C74A04" w:rsidP="00DE713C">
      <w:pPr>
        <w:pStyle w:val="NormalWeb"/>
        <w:spacing w:before="0" w:beforeAutospacing="0" w:after="0" w:afterAutospacing="0" w:line="360" w:lineRule="auto"/>
        <w:jc w:val="both"/>
        <w:rPr>
          <w:rFonts w:asciiTheme="majorHAnsi" w:hAnsiTheme="majorHAnsi" w:cstheme="majorHAnsi"/>
          <w:i/>
          <w:iCs/>
          <w:highlight w:val="yellow"/>
          <w:lang w:val="en-GB"/>
        </w:rPr>
      </w:pPr>
      <w:bookmarkStart w:id="51" w:name="_Toc153169550"/>
      <w:r w:rsidRPr="0089105D">
        <w:rPr>
          <w:rFonts w:asciiTheme="majorHAnsi" w:hAnsiTheme="majorHAnsi" w:cstheme="majorHAnsi"/>
          <w:i/>
          <w:iCs/>
          <w:sz w:val="20"/>
          <w:szCs w:val="20"/>
        </w:rPr>
        <w:t xml:space="preserve">Table </w:t>
      </w:r>
      <w:r w:rsidRPr="0089105D">
        <w:rPr>
          <w:rFonts w:asciiTheme="majorHAnsi" w:hAnsiTheme="majorHAnsi" w:cstheme="majorHAnsi"/>
          <w:i/>
          <w:iCs/>
          <w:sz w:val="20"/>
          <w:szCs w:val="20"/>
        </w:rPr>
        <w:fldChar w:fldCharType="begin"/>
      </w:r>
      <w:r w:rsidRPr="0089105D">
        <w:rPr>
          <w:rFonts w:asciiTheme="majorHAnsi" w:hAnsiTheme="majorHAnsi" w:cstheme="majorHAnsi"/>
          <w:i/>
          <w:iCs/>
          <w:sz w:val="20"/>
          <w:szCs w:val="20"/>
        </w:rPr>
        <w:instrText xml:space="preserve"> SEQ Table \* ARABIC </w:instrText>
      </w:r>
      <w:r w:rsidRPr="0089105D">
        <w:rPr>
          <w:rFonts w:asciiTheme="majorHAnsi" w:hAnsiTheme="majorHAnsi" w:cstheme="majorHAnsi"/>
          <w:i/>
          <w:iCs/>
          <w:sz w:val="20"/>
          <w:szCs w:val="20"/>
        </w:rPr>
        <w:fldChar w:fldCharType="separate"/>
      </w:r>
      <w:r w:rsidR="004519D8" w:rsidRPr="0089105D">
        <w:rPr>
          <w:rFonts w:asciiTheme="majorHAnsi" w:hAnsiTheme="majorHAnsi" w:cstheme="majorHAnsi"/>
          <w:i/>
          <w:iCs/>
          <w:noProof/>
          <w:sz w:val="20"/>
          <w:szCs w:val="20"/>
        </w:rPr>
        <w:t>10</w:t>
      </w:r>
      <w:r w:rsidRPr="0089105D">
        <w:rPr>
          <w:rFonts w:asciiTheme="majorHAnsi" w:hAnsiTheme="majorHAnsi" w:cstheme="majorHAnsi"/>
          <w:i/>
          <w:iCs/>
          <w:sz w:val="20"/>
          <w:szCs w:val="20"/>
        </w:rPr>
        <w:fldChar w:fldCharType="end"/>
      </w:r>
      <w:r w:rsidRPr="0089105D">
        <w:rPr>
          <w:rFonts w:asciiTheme="majorHAnsi" w:hAnsiTheme="majorHAnsi" w:cstheme="majorHAnsi"/>
          <w:i/>
          <w:iCs/>
          <w:sz w:val="20"/>
          <w:szCs w:val="20"/>
        </w:rPr>
        <w:t xml:space="preserve"> This chart analyzes scope of criticism of SDG as a framework together with quartile of their journals</w:t>
      </w:r>
      <w:bookmarkEnd w:id="51"/>
    </w:p>
    <w:p w14:paraId="7523673C" w14:textId="77777777" w:rsidR="00DE713C" w:rsidRPr="0089105D" w:rsidRDefault="00DE713C" w:rsidP="00DE713C">
      <w:pPr>
        <w:pStyle w:val="NormalWeb"/>
        <w:spacing w:before="0" w:beforeAutospacing="0" w:after="0" w:afterAutospacing="0" w:line="360" w:lineRule="auto"/>
        <w:jc w:val="both"/>
        <w:rPr>
          <w:rFonts w:asciiTheme="majorHAnsi" w:hAnsiTheme="majorHAnsi" w:cstheme="majorHAnsi"/>
          <w:highlight w:val="yellow"/>
          <w:lang w:val="en-GB"/>
        </w:rPr>
      </w:pPr>
    </w:p>
    <w:p w14:paraId="6A3C683F" w14:textId="77777777" w:rsidR="00DE713C" w:rsidRPr="0089105D" w:rsidRDefault="00DE713C" w:rsidP="00DE713C">
      <w:pPr>
        <w:pStyle w:val="NormalWeb"/>
        <w:spacing w:before="0" w:beforeAutospacing="0" w:after="0" w:afterAutospacing="0" w:line="360" w:lineRule="auto"/>
        <w:jc w:val="both"/>
        <w:rPr>
          <w:rFonts w:asciiTheme="majorHAnsi" w:hAnsiTheme="majorHAnsi" w:cstheme="majorHAnsi"/>
          <w:lang w:val="en-GB"/>
        </w:rPr>
      </w:pPr>
    </w:p>
    <w:p w14:paraId="2A78380B" w14:textId="08CBE04B" w:rsidR="00DE713C" w:rsidRPr="0089105D" w:rsidRDefault="00DE713C" w:rsidP="00CE504E">
      <w:pPr>
        <w:pStyle w:val="Heading2"/>
        <w:numPr>
          <w:ilvl w:val="0"/>
          <w:numId w:val="17"/>
        </w:numPr>
        <w:rPr>
          <w:rFonts w:cstheme="majorHAnsi"/>
          <w:b/>
          <w:bCs/>
          <w:color w:val="auto"/>
          <w:lang w:val="en-GB"/>
        </w:rPr>
      </w:pPr>
      <w:bookmarkStart w:id="52" w:name="_Toc132266315"/>
      <w:bookmarkStart w:id="53" w:name="_Toc153142468"/>
      <w:bookmarkStart w:id="54" w:name="_Toc153187399"/>
      <w:r w:rsidRPr="0089105D">
        <w:rPr>
          <w:rFonts w:cstheme="majorHAnsi"/>
          <w:b/>
          <w:bCs/>
          <w:color w:val="auto"/>
          <w:lang w:val="en-GB"/>
        </w:rPr>
        <w:t xml:space="preserve">Year of release of </w:t>
      </w:r>
      <w:r w:rsidR="00C74A04" w:rsidRPr="0089105D">
        <w:rPr>
          <w:rFonts w:cstheme="majorHAnsi"/>
          <w:b/>
          <w:bCs/>
          <w:color w:val="auto"/>
          <w:lang w:val="en-GB"/>
        </w:rPr>
        <w:t>analysed</w:t>
      </w:r>
      <w:r w:rsidRPr="0089105D">
        <w:rPr>
          <w:rFonts w:cstheme="majorHAnsi"/>
          <w:b/>
          <w:bCs/>
          <w:color w:val="auto"/>
          <w:lang w:val="en-GB"/>
        </w:rPr>
        <w:t xml:space="preserve"> articles</w:t>
      </w:r>
      <w:bookmarkEnd w:id="52"/>
      <w:bookmarkEnd w:id="53"/>
      <w:bookmarkEnd w:id="54"/>
      <w:r w:rsidRPr="0089105D">
        <w:rPr>
          <w:rFonts w:cstheme="majorHAnsi"/>
          <w:b/>
          <w:bCs/>
          <w:color w:val="auto"/>
          <w:lang w:val="en-GB"/>
        </w:rPr>
        <w:t xml:space="preserve"> </w:t>
      </w:r>
    </w:p>
    <w:p w14:paraId="610ABAD6" w14:textId="77777777" w:rsidR="00DE713C" w:rsidRPr="0089105D" w:rsidRDefault="00DE713C" w:rsidP="00DE713C">
      <w:pPr>
        <w:pStyle w:val="NormalWeb"/>
        <w:spacing w:before="0" w:beforeAutospacing="0" w:after="0" w:afterAutospacing="0" w:line="360" w:lineRule="auto"/>
        <w:jc w:val="both"/>
        <w:rPr>
          <w:rFonts w:asciiTheme="majorHAnsi" w:hAnsiTheme="majorHAnsi" w:cstheme="majorHAnsi"/>
          <w:lang w:val="en-GB"/>
        </w:rPr>
      </w:pPr>
    </w:p>
    <w:p w14:paraId="4E6E78FD" w14:textId="693451CC" w:rsidR="00C74A04" w:rsidRPr="0089105D" w:rsidRDefault="00291F96" w:rsidP="00C60285">
      <w:pPr>
        <w:pStyle w:val="NormalWeb"/>
        <w:spacing w:before="0" w:beforeAutospacing="0" w:after="0" w:afterAutospacing="0" w:line="360" w:lineRule="auto"/>
        <w:jc w:val="both"/>
        <w:rPr>
          <w:rFonts w:asciiTheme="majorHAnsi" w:hAnsiTheme="majorHAnsi" w:cstheme="majorHAnsi"/>
        </w:rPr>
      </w:pPr>
      <w:r w:rsidRPr="0089105D">
        <w:rPr>
          <w:rFonts w:asciiTheme="majorHAnsi" w:hAnsiTheme="majorHAnsi" w:cstheme="majorHAnsi"/>
          <w:lang w:val="en-GB"/>
        </w:rPr>
        <w:t xml:space="preserve">Another aspect of our analysis involved examining the time periods when specific articles were released. This data collection allows us to </w:t>
      </w:r>
      <w:r w:rsidRPr="0089105D">
        <w:rPr>
          <w:rFonts w:asciiTheme="majorHAnsi" w:hAnsiTheme="majorHAnsi" w:cstheme="majorHAnsi"/>
          <w:lang w:val="en-GB"/>
        </w:rPr>
        <w:t>analyse</w:t>
      </w:r>
      <w:r w:rsidRPr="0089105D">
        <w:rPr>
          <w:rFonts w:asciiTheme="majorHAnsi" w:hAnsiTheme="majorHAnsi" w:cstheme="majorHAnsi"/>
          <w:lang w:val="en-GB"/>
        </w:rPr>
        <w:t xml:space="preserve"> the academic community's approach over time, enabling us to identify the evolution of certain critical points. The majority of the collected articles were released in 2022 (24.29%), followed by 2019 (15.88%) and 2020 (14.95%). One possible reason behind the prevalence of articles from these specific time periods could be attributed to the accessibility of data during these years. Notably, the Sustainable Development Goals (SDGs) were established in 2015, providing the academic community with ample time to recognize and thoroughly investigate the associated challenges.</w:t>
      </w:r>
      <w:r w:rsidR="00DE713C" w:rsidRPr="0089105D">
        <w:rPr>
          <w:rFonts w:asciiTheme="majorHAnsi" w:hAnsiTheme="majorHAnsi" w:cstheme="majorHAnsi"/>
        </w:rPr>
        <w:t> </w:t>
      </w:r>
    </w:p>
    <w:p w14:paraId="1732FE7E" w14:textId="77777777" w:rsidR="00291F96" w:rsidRPr="0089105D" w:rsidRDefault="00291F96" w:rsidP="00C60285">
      <w:pPr>
        <w:pStyle w:val="NormalWeb"/>
        <w:spacing w:before="0" w:beforeAutospacing="0" w:after="0" w:afterAutospacing="0" w:line="360" w:lineRule="auto"/>
        <w:jc w:val="both"/>
      </w:pPr>
    </w:p>
    <w:p w14:paraId="25076476" w14:textId="7BF9C015" w:rsidR="00DE713C" w:rsidRPr="0089105D" w:rsidRDefault="00DE713C" w:rsidP="00DE713C">
      <w:pPr>
        <w:pStyle w:val="NormalWeb"/>
        <w:spacing w:before="0" w:beforeAutospacing="0" w:after="0" w:afterAutospacing="0" w:line="360" w:lineRule="auto"/>
        <w:jc w:val="both"/>
        <w:rPr>
          <w:rFonts w:asciiTheme="majorHAnsi" w:hAnsiTheme="majorHAnsi" w:cstheme="majorHAnsi"/>
        </w:rPr>
      </w:pPr>
      <w:r w:rsidRPr="0089105D">
        <w:rPr>
          <w:rFonts w:asciiTheme="majorHAnsi" w:hAnsiTheme="majorHAnsi" w:cstheme="majorHAnsi"/>
          <w:noProof/>
          <w:lang w:val="en-GB"/>
        </w:rPr>
        <w:drawing>
          <wp:inline distT="0" distB="0" distL="0" distR="0" wp14:anchorId="752BA889" wp14:editId="5421777E">
            <wp:extent cx="5724250" cy="3102618"/>
            <wp:effectExtent l="0" t="0" r="10160" b="2540"/>
            <wp:docPr id="1107439384"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48534301" w14:textId="77777777" w:rsidR="00C60285" w:rsidRPr="0089105D" w:rsidRDefault="00DE713C" w:rsidP="00C60285">
      <w:pPr>
        <w:pStyle w:val="NormalWeb"/>
        <w:spacing w:before="0" w:beforeAutospacing="0" w:after="0" w:afterAutospacing="0" w:line="360" w:lineRule="auto"/>
        <w:jc w:val="both"/>
        <w:rPr>
          <w:rFonts w:asciiTheme="majorHAnsi" w:hAnsiTheme="majorHAnsi" w:cstheme="majorHAnsi"/>
          <w:sz w:val="28"/>
          <w:szCs w:val="28"/>
        </w:rPr>
      </w:pPr>
      <w:r w:rsidRPr="0089105D">
        <w:rPr>
          <w:rFonts w:asciiTheme="majorHAnsi" w:hAnsiTheme="majorHAnsi" w:cstheme="majorHAnsi"/>
        </w:rPr>
        <w:t> </w:t>
      </w:r>
      <w:r w:rsidRPr="0089105D">
        <w:rPr>
          <w:rFonts w:asciiTheme="majorHAnsi" w:hAnsiTheme="majorHAnsi" w:cstheme="majorHAnsi"/>
          <w:lang w:val="en-GB"/>
        </w:rPr>
        <w:t xml:space="preserve"> </w:t>
      </w:r>
    </w:p>
    <w:p w14:paraId="3D3E5A93" w14:textId="7187FCC9" w:rsidR="00C60285" w:rsidRPr="0089105D" w:rsidRDefault="00C60285" w:rsidP="00C60285">
      <w:pPr>
        <w:pStyle w:val="Caption"/>
        <w:keepNext/>
        <w:jc w:val="both"/>
        <w:rPr>
          <w:rFonts w:asciiTheme="majorHAnsi" w:hAnsiTheme="majorHAnsi" w:cstheme="majorHAnsi"/>
          <w:color w:val="auto"/>
          <w:sz w:val="20"/>
          <w:szCs w:val="20"/>
        </w:rPr>
      </w:pPr>
      <w:bookmarkStart w:id="55" w:name="_Toc153169551"/>
      <w:r w:rsidRPr="0089105D">
        <w:rPr>
          <w:rFonts w:asciiTheme="majorHAnsi" w:hAnsiTheme="majorHAnsi" w:cstheme="majorHAnsi"/>
          <w:color w:val="auto"/>
          <w:sz w:val="20"/>
          <w:szCs w:val="20"/>
        </w:rPr>
        <w:t xml:space="preserve">Table </w:t>
      </w:r>
      <w:r w:rsidRPr="0089105D">
        <w:rPr>
          <w:rFonts w:asciiTheme="majorHAnsi" w:hAnsiTheme="majorHAnsi" w:cstheme="majorHAnsi"/>
          <w:color w:val="auto"/>
          <w:sz w:val="20"/>
          <w:szCs w:val="20"/>
        </w:rPr>
        <w:fldChar w:fldCharType="begin"/>
      </w:r>
      <w:r w:rsidRPr="0089105D">
        <w:rPr>
          <w:rFonts w:asciiTheme="majorHAnsi" w:hAnsiTheme="majorHAnsi" w:cstheme="majorHAnsi"/>
          <w:color w:val="auto"/>
          <w:sz w:val="20"/>
          <w:szCs w:val="20"/>
        </w:rPr>
        <w:instrText xml:space="preserve"> SEQ Table \* ARABIC </w:instrText>
      </w:r>
      <w:r w:rsidRPr="0089105D">
        <w:rPr>
          <w:rFonts w:asciiTheme="majorHAnsi" w:hAnsiTheme="majorHAnsi" w:cstheme="majorHAnsi"/>
          <w:color w:val="auto"/>
          <w:sz w:val="20"/>
          <w:szCs w:val="20"/>
        </w:rPr>
        <w:fldChar w:fldCharType="separate"/>
      </w:r>
      <w:r w:rsidR="004519D8" w:rsidRPr="0089105D">
        <w:rPr>
          <w:rFonts w:asciiTheme="majorHAnsi" w:hAnsiTheme="majorHAnsi" w:cstheme="majorHAnsi"/>
          <w:noProof/>
          <w:color w:val="auto"/>
          <w:sz w:val="20"/>
          <w:szCs w:val="20"/>
        </w:rPr>
        <w:t>11</w:t>
      </w:r>
      <w:r w:rsidRPr="0089105D">
        <w:rPr>
          <w:rFonts w:asciiTheme="majorHAnsi" w:hAnsiTheme="majorHAnsi" w:cstheme="majorHAnsi"/>
          <w:color w:val="auto"/>
          <w:sz w:val="20"/>
          <w:szCs w:val="20"/>
        </w:rPr>
        <w:fldChar w:fldCharType="end"/>
      </w:r>
      <w:r w:rsidRPr="0089105D">
        <w:rPr>
          <w:rFonts w:asciiTheme="majorHAnsi" w:hAnsiTheme="majorHAnsi" w:cstheme="majorHAnsi"/>
          <w:color w:val="auto"/>
          <w:sz w:val="20"/>
          <w:szCs w:val="20"/>
        </w:rPr>
        <w:t xml:space="preserve"> This chart visualizes the period of when analyzed articles were released.</w:t>
      </w:r>
      <w:bookmarkEnd w:id="55"/>
    </w:p>
    <w:p w14:paraId="27A5CA5A" w14:textId="1C2591BF" w:rsidR="00DE713C" w:rsidRPr="0089105D" w:rsidRDefault="00DE713C" w:rsidP="00DE713C">
      <w:pPr>
        <w:pStyle w:val="NormalWeb"/>
        <w:spacing w:before="0" w:beforeAutospacing="0" w:after="0" w:afterAutospacing="0" w:line="360" w:lineRule="auto"/>
        <w:jc w:val="both"/>
        <w:rPr>
          <w:rFonts w:asciiTheme="majorHAnsi" w:hAnsiTheme="majorHAnsi" w:cstheme="majorHAnsi"/>
          <w:lang w:val="en-GB"/>
        </w:rPr>
      </w:pPr>
    </w:p>
    <w:p w14:paraId="4BBC3410" w14:textId="4B79DC09" w:rsidR="00DE713C" w:rsidRPr="0089105D" w:rsidRDefault="00291F96" w:rsidP="00C60285">
      <w:pPr>
        <w:pStyle w:val="NormalWeb"/>
        <w:spacing w:before="0" w:beforeAutospacing="0" w:after="0" w:afterAutospacing="0" w:line="360" w:lineRule="auto"/>
        <w:jc w:val="both"/>
        <w:rPr>
          <w:rFonts w:asciiTheme="majorHAnsi" w:hAnsiTheme="majorHAnsi" w:cstheme="majorHAnsi"/>
        </w:rPr>
      </w:pPr>
      <w:r w:rsidRPr="0089105D">
        <w:rPr>
          <w:rFonts w:asciiTheme="majorHAnsi" w:hAnsiTheme="majorHAnsi" w:cstheme="majorHAnsi"/>
          <w:lang w:val="en-GB"/>
        </w:rPr>
        <w:t xml:space="preserve">An interesting shift can be observed regarding calls for integration among the SDGs, aimed at preventing the fragmentation of SDGs and fostering an environment for the higher efficiency of SDG synergies. Upon close examination of the data from the period 2019-2023, it becomes evident that a higher number of articles over time intensify their calls for such reform. This trend can be explained by the growing recognition that interlinkages and the call for synergy among multiple policies, covering a greater number of goals, are increasingly desired and </w:t>
      </w:r>
      <w:r w:rsidRPr="0089105D">
        <w:rPr>
          <w:rFonts w:asciiTheme="majorHAnsi" w:hAnsiTheme="majorHAnsi" w:cstheme="majorHAnsi"/>
          <w:lang w:val="en-GB"/>
        </w:rPr>
        <w:lastRenderedPageBreak/>
        <w:t>considered an efficient approach. The chart below enables us to demonstrate this interlink visually.</w:t>
      </w:r>
      <w:r w:rsidR="00C60285" w:rsidRPr="0089105D">
        <w:rPr>
          <w:rFonts w:asciiTheme="majorHAnsi" w:hAnsiTheme="majorHAnsi" w:cstheme="majorHAnsi"/>
          <w:lang w:val="en-GB"/>
        </w:rPr>
        <w:t xml:space="preserve"> </w:t>
      </w:r>
    </w:p>
    <w:p w14:paraId="2C330167" w14:textId="1F42674E" w:rsidR="00C60285" w:rsidRPr="0089105D" w:rsidRDefault="00C60285" w:rsidP="00C60285">
      <w:pPr>
        <w:pStyle w:val="Caption"/>
        <w:keepNext/>
        <w:jc w:val="both"/>
        <w:rPr>
          <w:rFonts w:asciiTheme="majorHAnsi" w:hAnsiTheme="majorHAnsi" w:cstheme="majorHAnsi"/>
          <w:color w:val="auto"/>
          <w:sz w:val="20"/>
          <w:szCs w:val="20"/>
        </w:rPr>
      </w:pPr>
    </w:p>
    <w:p w14:paraId="0E262CA5" w14:textId="1A01AC46" w:rsidR="00DE713C" w:rsidRPr="0089105D" w:rsidRDefault="00DE713C" w:rsidP="00DE713C">
      <w:pPr>
        <w:pStyle w:val="NormalWeb"/>
        <w:spacing w:before="0" w:beforeAutospacing="0" w:after="0" w:afterAutospacing="0"/>
        <w:jc w:val="both"/>
        <w:rPr>
          <w:rFonts w:asciiTheme="majorHAnsi" w:hAnsiTheme="majorHAnsi" w:cstheme="majorHAnsi"/>
        </w:rPr>
      </w:pPr>
      <w:bookmarkStart w:id="56" w:name="_Toc153169552"/>
      <w:r w:rsidRPr="0089105D">
        <w:rPr>
          <w:rFonts w:asciiTheme="majorHAnsi" w:hAnsiTheme="majorHAnsi" w:cstheme="majorHAnsi"/>
          <w:noProof/>
        </w:rPr>
        <w:drawing>
          <wp:inline distT="0" distB="0" distL="0" distR="0" wp14:anchorId="7EC262ED" wp14:editId="3C2C86C9">
            <wp:extent cx="5903958" cy="7177775"/>
            <wp:effectExtent l="0" t="0" r="1905" b="4445"/>
            <wp:docPr id="747359690"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r w:rsidRPr="0089105D">
        <w:rPr>
          <w:rFonts w:asciiTheme="majorHAnsi" w:hAnsiTheme="majorHAnsi" w:cstheme="majorHAnsi"/>
          <w:sz w:val="22"/>
          <w:szCs w:val="22"/>
        </w:rPr>
        <w:t> </w:t>
      </w:r>
      <w:r w:rsidR="00C60285" w:rsidRPr="0089105D">
        <w:rPr>
          <w:rFonts w:asciiTheme="majorHAnsi" w:hAnsiTheme="majorHAnsi" w:cstheme="majorHAnsi"/>
          <w:i/>
          <w:iCs/>
          <w:sz w:val="20"/>
          <w:szCs w:val="20"/>
        </w:rPr>
        <w:t xml:space="preserve">Table </w:t>
      </w:r>
      <w:r w:rsidR="00C60285" w:rsidRPr="0089105D">
        <w:rPr>
          <w:rFonts w:asciiTheme="majorHAnsi" w:hAnsiTheme="majorHAnsi" w:cstheme="majorHAnsi"/>
          <w:i/>
          <w:iCs/>
          <w:sz w:val="20"/>
          <w:szCs w:val="20"/>
        </w:rPr>
        <w:fldChar w:fldCharType="begin"/>
      </w:r>
      <w:r w:rsidR="00C60285" w:rsidRPr="0089105D">
        <w:rPr>
          <w:rFonts w:asciiTheme="majorHAnsi" w:hAnsiTheme="majorHAnsi" w:cstheme="majorHAnsi"/>
          <w:i/>
          <w:iCs/>
          <w:sz w:val="20"/>
          <w:szCs w:val="20"/>
        </w:rPr>
        <w:instrText xml:space="preserve"> SEQ Table \* ARABIC </w:instrText>
      </w:r>
      <w:r w:rsidR="00C60285" w:rsidRPr="0089105D">
        <w:rPr>
          <w:rFonts w:asciiTheme="majorHAnsi" w:hAnsiTheme="majorHAnsi" w:cstheme="majorHAnsi"/>
          <w:i/>
          <w:iCs/>
          <w:sz w:val="20"/>
          <w:szCs w:val="20"/>
        </w:rPr>
        <w:fldChar w:fldCharType="separate"/>
      </w:r>
      <w:r w:rsidR="004519D8" w:rsidRPr="0089105D">
        <w:rPr>
          <w:rFonts w:asciiTheme="majorHAnsi" w:hAnsiTheme="majorHAnsi" w:cstheme="majorHAnsi"/>
          <w:i/>
          <w:iCs/>
          <w:noProof/>
          <w:sz w:val="20"/>
          <w:szCs w:val="20"/>
        </w:rPr>
        <w:t>12</w:t>
      </w:r>
      <w:r w:rsidR="00C60285" w:rsidRPr="0089105D">
        <w:rPr>
          <w:rFonts w:asciiTheme="majorHAnsi" w:hAnsiTheme="majorHAnsi" w:cstheme="majorHAnsi"/>
          <w:i/>
          <w:iCs/>
          <w:sz w:val="20"/>
          <w:szCs w:val="20"/>
        </w:rPr>
        <w:fldChar w:fldCharType="end"/>
      </w:r>
      <w:r w:rsidR="00C60285" w:rsidRPr="0089105D">
        <w:rPr>
          <w:rFonts w:asciiTheme="majorHAnsi" w:hAnsiTheme="majorHAnsi" w:cstheme="majorHAnsi"/>
          <w:i/>
          <w:iCs/>
          <w:sz w:val="20"/>
          <w:szCs w:val="20"/>
        </w:rPr>
        <w:t xml:space="preserve"> This table looks into how did the criticism shape over the years.</w:t>
      </w:r>
      <w:bookmarkEnd w:id="56"/>
    </w:p>
    <w:p w14:paraId="698B7FD2" w14:textId="77777777" w:rsidR="00DE713C" w:rsidRPr="0089105D" w:rsidRDefault="00DE713C" w:rsidP="00DE713C">
      <w:pPr>
        <w:pStyle w:val="NormalWeb"/>
        <w:spacing w:before="0" w:beforeAutospacing="0" w:after="0" w:afterAutospacing="0"/>
        <w:jc w:val="both"/>
        <w:rPr>
          <w:rFonts w:asciiTheme="majorHAnsi" w:hAnsiTheme="majorHAnsi" w:cstheme="majorHAnsi"/>
        </w:rPr>
      </w:pPr>
      <w:r w:rsidRPr="0089105D">
        <w:rPr>
          <w:rFonts w:asciiTheme="majorHAnsi" w:hAnsiTheme="majorHAnsi" w:cstheme="majorHAnsi"/>
          <w:sz w:val="22"/>
          <w:szCs w:val="22"/>
        </w:rPr>
        <w:t>     </w:t>
      </w:r>
    </w:p>
    <w:p w14:paraId="27B378E0" w14:textId="77777777" w:rsidR="00DE713C" w:rsidRPr="0089105D" w:rsidRDefault="00DE713C" w:rsidP="00DE713C">
      <w:pPr>
        <w:rPr>
          <w:rFonts w:asciiTheme="majorHAnsi" w:hAnsiTheme="majorHAnsi" w:cstheme="majorHAnsi"/>
          <w:highlight w:val="yellow"/>
        </w:rPr>
      </w:pPr>
    </w:p>
    <w:p w14:paraId="2B30FE32" w14:textId="32E878DB" w:rsidR="00DE713C" w:rsidRPr="0089105D" w:rsidRDefault="00DE713C" w:rsidP="00CE504E">
      <w:pPr>
        <w:pStyle w:val="Heading2"/>
        <w:numPr>
          <w:ilvl w:val="0"/>
          <w:numId w:val="17"/>
        </w:numPr>
        <w:spacing w:line="360" w:lineRule="auto"/>
        <w:rPr>
          <w:rFonts w:cstheme="majorHAnsi"/>
          <w:b/>
          <w:bCs/>
          <w:color w:val="auto"/>
          <w:lang w:val="en-GB"/>
        </w:rPr>
      </w:pPr>
      <w:bookmarkStart w:id="57" w:name="_Toc132266316"/>
      <w:bookmarkStart w:id="58" w:name="_Toc153142469"/>
      <w:bookmarkStart w:id="59" w:name="_Toc153187400"/>
      <w:r w:rsidRPr="0089105D">
        <w:rPr>
          <w:rFonts w:cstheme="majorHAnsi"/>
          <w:b/>
          <w:bCs/>
          <w:color w:val="auto"/>
          <w:lang w:val="en-GB"/>
        </w:rPr>
        <w:lastRenderedPageBreak/>
        <w:t>Country classification by World Bank of economic level of institutions releasing analysed article</w:t>
      </w:r>
      <w:bookmarkEnd w:id="57"/>
      <w:bookmarkEnd w:id="58"/>
      <w:bookmarkEnd w:id="59"/>
      <w:r w:rsidRPr="0089105D">
        <w:rPr>
          <w:rFonts w:cstheme="majorHAnsi"/>
          <w:b/>
          <w:bCs/>
          <w:color w:val="auto"/>
          <w:lang w:val="en-GB"/>
        </w:rPr>
        <w:t xml:space="preserve">  </w:t>
      </w:r>
    </w:p>
    <w:p w14:paraId="11948F52" w14:textId="77777777" w:rsidR="00DE713C" w:rsidRPr="0089105D" w:rsidRDefault="00DE713C" w:rsidP="00DE713C">
      <w:pPr>
        <w:rPr>
          <w:rFonts w:asciiTheme="majorHAnsi" w:hAnsiTheme="majorHAnsi" w:cstheme="majorHAnsi"/>
          <w:lang w:val="en-GB"/>
        </w:rPr>
      </w:pPr>
    </w:p>
    <w:p w14:paraId="79EFC786" w14:textId="02E27921" w:rsidR="00291F96" w:rsidRPr="0089105D" w:rsidRDefault="00291F96" w:rsidP="00291F96">
      <w:pPr>
        <w:pStyle w:val="Caption"/>
        <w:keepNext/>
        <w:spacing w:line="360" w:lineRule="auto"/>
        <w:jc w:val="both"/>
        <w:rPr>
          <w:rFonts w:asciiTheme="majorHAnsi" w:hAnsiTheme="majorHAnsi" w:cstheme="majorHAnsi"/>
          <w:i w:val="0"/>
          <w:iCs w:val="0"/>
          <w:color w:val="auto"/>
          <w:kern w:val="2"/>
          <w:sz w:val="24"/>
          <w:szCs w:val="24"/>
          <w:lang w:val="en-GB"/>
          <w14:ligatures w14:val="standardContextual"/>
        </w:rPr>
      </w:pPr>
      <w:r w:rsidRPr="0089105D">
        <w:rPr>
          <w:rFonts w:asciiTheme="majorHAnsi" w:hAnsiTheme="majorHAnsi" w:cstheme="majorHAnsi"/>
          <w:i w:val="0"/>
          <w:iCs w:val="0"/>
          <w:color w:val="auto"/>
          <w:kern w:val="2"/>
          <w:sz w:val="24"/>
          <w:szCs w:val="24"/>
          <w:lang w:val="en-GB"/>
          <w14:ligatures w14:val="standardContextual"/>
        </w:rPr>
        <w:t>An intriguing correlation emerges when combining data on the economic classification of institutions, specifically distinguishing between high-income, middle-income, and low-income categories as defined by the World Bank, with the primary subject (SDG) of criticism. This combination allows for the exploration of potential parallels that could reveal distinctions in the perception of weaknesses in different SDGs by institutions and scholars from various economic backgrounds. It is plausible that low-income and middle-income countries might approach the identification of problems and challenges within SDGs differently.</w:t>
      </w:r>
    </w:p>
    <w:p w14:paraId="613A9B96" w14:textId="7EC66293" w:rsidR="00DC1A44" w:rsidRPr="0089105D" w:rsidRDefault="00291F96" w:rsidP="00291F96">
      <w:pPr>
        <w:pStyle w:val="Caption"/>
        <w:keepNext/>
        <w:spacing w:line="360" w:lineRule="auto"/>
        <w:jc w:val="both"/>
        <w:rPr>
          <w:rFonts w:asciiTheme="majorHAnsi" w:hAnsiTheme="majorHAnsi" w:cstheme="majorHAnsi"/>
          <w:color w:val="auto"/>
          <w:sz w:val="22"/>
          <w:szCs w:val="22"/>
        </w:rPr>
      </w:pPr>
      <w:r w:rsidRPr="0089105D">
        <w:rPr>
          <w:rFonts w:asciiTheme="majorHAnsi" w:hAnsiTheme="majorHAnsi" w:cstheme="majorHAnsi"/>
          <w:i w:val="0"/>
          <w:iCs w:val="0"/>
          <w:color w:val="auto"/>
          <w:kern w:val="2"/>
          <w:sz w:val="24"/>
          <w:szCs w:val="24"/>
          <w:lang w:val="en-GB"/>
          <w14:ligatures w14:val="standardContextual"/>
        </w:rPr>
        <w:t>However, this analysis encountered limitations in the data collection process, as the vast majority of sources were published by high-income countries (94%). Only a small percentage of data was collected from middle-income (4%) and low-income (2%) countries, which hinders the ability to draw meaningful parallels in this aspect. Despite this limitation, future research could delve into these aspects, along with cultural divisions as distinguished by Huntington (1996), to provide a more comprehensive understanding of how economic background and cultural factors influence the perception of SDG challenges. It is important to note that in instances involving multiple authors from different countries, the representation is determined based on the dominant institution and country. In such cases, the emphasis is placed on the institution and country that play a more prominent role in the collaborative work.</w:t>
      </w:r>
      <w:r w:rsidR="00DE713C" w:rsidRPr="0089105D">
        <w:rPr>
          <w:rFonts w:asciiTheme="majorHAnsi" w:hAnsiTheme="majorHAnsi" w:cstheme="majorHAnsi"/>
          <w:color w:val="auto"/>
        </w:rPr>
        <w:tab/>
      </w:r>
      <w:r w:rsidR="00DC1A44" w:rsidRPr="0089105D">
        <w:rPr>
          <w:rFonts w:ascii="Segoe UI" w:hAnsi="Segoe UI" w:cs="Segoe UI"/>
          <w:color w:val="auto"/>
          <w:sz w:val="20"/>
          <w:szCs w:val="20"/>
        </w:rPr>
        <w:t xml:space="preserve"> </w:t>
      </w:r>
    </w:p>
    <w:p w14:paraId="667B0A3C" w14:textId="206FC055" w:rsidR="00935B52" w:rsidRPr="0089105D" w:rsidRDefault="00935B52" w:rsidP="00DE713C">
      <w:r w:rsidRPr="0089105D">
        <w:rPr>
          <w:rFonts w:asciiTheme="majorHAnsi" w:hAnsiTheme="majorHAnsi" w:cstheme="majorHAnsi"/>
          <w:noProof/>
          <w:lang w:val="en-GB"/>
        </w:rPr>
        <w:drawing>
          <wp:inline distT="0" distB="0" distL="0" distR="0" wp14:anchorId="655A6EAF" wp14:editId="2BAF57F2">
            <wp:extent cx="5731510" cy="2749550"/>
            <wp:effectExtent l="0" t="0" r="2540" b="12700"/>
            <wp:docPr id="723533447"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09EAB1E2" w14:textId="3E6ED9A1" w:rsidR="00DE713C" w:rsidRPr="0089105D" w:rsidRDefault="00DC1A44" w:rsidP="00DE713C">
      <w:pPr>
        <w:rPr>
          <w:rFonts w:asciiTheme="majorHAnsi" w:hAnsiTheme="majorHAnsi" w:cstheme="majorHAnsi"/>
          <w:i/>
          <w:iCs/>
          <w:sz w:val="20"/>
          <w:szCs w:val="20"/>
          <w:lang w:val="en-GB"/>
        </w:rPr>
      </w:pPr>
      <w:bookmarkStart w:id="60" w:name="_Toc153169553"/>
      <w:r w:rsidRPr="0089105D">
        <w:rPr>
          <w:rFonts w:asciiTheme="majorHAnsi" w:hAnsiTheme="majorHAnsi" w:cstheme="majorHAnsi"/>
          <w:i/>
          <w:iCs/>
          <w:sz w:val="20"/>
          <w:szCs w:val="20"/>
        </w:rPr>
        <w:t xml:space="preserve">Table </w:t>
      </w:r>
      <w:r w:rsidRPr="0089105D">
        <w:rPr>
          <w:rFonts w:asciiTheme="majorHAnsi" w:hAnsiTheme="majorHAnsi" w:cstheme="majorHAnsi"/>
          <w:i/>
          <w:iCs/>
          <w:sz w:val="20"/>
          <w:szCs w:val="20"/>
        </w:rPr>
        <w:fldChar w:fldCharType="begin"/>
      </w:r>
      <w:r w:rsidRPr="0089105D">
        <w:rPr>
          <w:rFonts w:asciiTheme="majorHAnsi" w:hAnsiTheme="majorHAnsi" w:cstheme="majorHAnsi"/>
          <w:i/>
          <w:iCs/>
          <w:sz w:val="20"/>
          <w:szCs w:val="20"/>
        </w:rPr>
        <w:instrText xml:space="preserve"> SEQ Table \* ARABIC </w:instrText>
      </w:r>
      <w:r w:rsidRPr="0089105D">
        <w:rPr>
          <w:rFonts w:asciiTheme="majorHAnsi" w:hAnsiTheme="majorHAnsi" w:cstheme="majorHAnsi"/>
          <w:i/>
          <w:iCs/>
          <w:sz w:val="20"/>
          <w:szCs w:val="20"/>
        </w:rPr>
        <w:fldChar w:fldCharType="separate"/>
      </w:r>
      <w:r w:rsidR="004519D8" w:rsidRPr="0089105D">
        <w:rPr>
          <w:rFonts w:asciiTheme="majorHAnsi" w:hAnsiTheme="majorHAnsi" w:cstheme="majorHAnsi"/>
          <w:i/>
          <w:iCs/>
          <w:noProof/>
          <w:sz w:val="20"/>
          <w:szCs w:val="20"/>
        </w:rPr>
        <w:t>13</w:t>
      </w:r>
      <w:r w:rsidRPr="0089105D">
        <w:rPr>
          <w:rFonts w:asciiTheme="majorHAnsi" w:hAnsiTheme="majorHAnsi" w:cstheme="majorHAnsi"/>
          <w:i/>
          <w:iCs/>
          <w:sz w:val="20"/>
          <w:szCs w:val="20"/>
        </w:rPr>
        <w:fldChar w:fldCharType="end"/>
      </w:r>
      <w:r w:rsidRPr="0089105D">
        <w:rPr>
          <w:rFonts w:asciiTheme="majorHAnsi" w:hAnsiTheme="majorHAnsi" w:cstheme="majorHAnsi"/>
          <w:i/>
          <w:iCs/>
          <w:sz w:val="20"/>
          <w:szCs w:val="20"/>
        </w:rPr>
        <w:t xml:space="preserve"> This table diagram analyzes the economic classification of institutions publishing the articles in the data analysis</w:t>
      </w:r>
      <w:bookmarkEnd w:id="60"/>
    </w:p>
    <w:p w14:paraId="0BB6D032" w14:textId="77777777" w:rsidR="00DE713C" w:rsidRPr="0089105D" w:rsidRDefault="00DE713C" w:rsidP="00DE713C">
      <w:pPr>
        <w:rPr>
          <w:rFonts w:asciiTheme="majorHAnsi" w:hAnsiTheme="majorHAnsi" w:cstheme="majorHAnsi"/>
        </w:rPr>
      </w:pPr>
    </w:p>
    <w:p w14:paraId="7F5DBE44" w14:textId="77777777" w:rsidR="00DE713C" w:rsidRPr="0089105D" w:rsidRDefault="00DE713C" w:rsidP="00DE713C">
      <w:pPr>
        <w:rPr>
          <w:rFonts w:asciiTheme="majorHAnsi" w:hAnsiTheme="majorHAnsi" w:cstheme="majorHAnsi"/>
        </w:rPr>
      </w:pPr>
    </w:p>
    <w:p w14:paraId="7F48EFDF" w14:textId="689CCC9B" w:rsidR="00DE713C" w:rsidRPr="0089105D" w:rsidRDefault="000E64E9" w:rsidP="00CE504E">
      <w:pPr>
        <w:pStyle w:val="Heading1"/>
        <w:numPr>
          <w:ilvl w:val="0"/>
          <w:numId w:val="17"/>
        </w:numPr>
        <w:rPr>
          <w:b/>
          <w:bCs/>
          <w:color w:val="auto"/>
          <w:sz w:val="28"/>
          <w:szCs w:val="28"/>
        </w:rPr>
      </w:pPr>
      <w:bookmarkStart w:id="61" w:name="_Toc153142470"/>
      <w:r w:rsidRPr="0089105D">
        <w:rPr>
          <w:b/>
          <w:bCs/>
          <w:color w:val="auto"/>
          <w:sz w:val="28"/>
          <w:szCs w:val="28"/>
        </w:rPr>
        <w:t xml:space="preserve"> </w:t>
      </w:r>
      <w:bookmarkStart w:id="62" w:name="_Toc153187401"/>
      <w:r w:rsidR="00845EAF" w:rsidRPr="0089105D">
        <w:rPr>
          <w:b/>
          <w:bCs/>
          <w:color w:val="auto"/>
          <w:sz w:val="28"/>
          <w:szCs w:val="28"/>
        </w:rPr>
        <w:t>Criticism of separate SDGs</w:t>
      </w:r>
      <w:bookmarkEnd w:id="61"/>
      <w:bookmarkEnd w:id="62"/>
    </w:p>
    <w:p w14:paraId="62624101" w14:textId="6E64B660" w:rsidR="00291F96" w:rsidRPr="0089105D" w:rsidRDefault="00291F96" w:rsidP="00291F96">
      <w:pPr>
        <w:spacing w:line="360" w:lineRule="auto"/>
        <w:jc w:val="both"/>
        <w:rPr>
          <w:rFonts w:asciiTheme="majorHAnsi" w:hAnsiTheme="majorHAnsi" w:cstheme="majorHAnsi"/>
        </w:rPr>
      </w:pPr>
    </w:p>
    <w:p w14:paraId="6B4B95A1" w14:textId="1A1E999C" w:rsidR="00291F96" w:rsidRPr="0089105D" w:rsidRDefault="00291F96" w:rsidP="00291F96">
      <w:pPr>
        <w:spacing w:line="360" w:lineRule="auto"/>
        <w:jc w:val="both"/>
        <w:rPr>
          <w:rFonts w:asciiTheme="majorHAnsi" w:hAnsiTheme="majorHAnsi" w:cstheme="majorHAnsi"/>
        </w:rPr>
      </w:pPr>
      <w:r w:rsidRPr="0089105D">
        <w:rPr>
          <w:rFonts w:asciiTheme="majorHAnsi" w:hAnsiTheme="majorHAnsi" w:cstheme="majorHAnsi"/>
        </w:rPr>
        <w:t>The preceding section meticulously examined data related to the criticism of the SDGs as a framework. In contrast, this section briefly addresses specific deficiencies found in individual SDGs, acknowledging that this aspect is not the primary focus of the master thesis. A comprehensive overview is provided through the attached chart, offering insights derived from an exhaustive analysis of relevant articles. Noteworthy are the diverse and nuanced critiques associated with each Sustainable Development Goal (SDG), shedding light on multifaceted challenges and areas for improvement within each SDGS. Examples include criticisms ranging from the absence of a clear definition of poverty and inadequate acknowledgment of inequalities in SDG 1 to the limited focus on mental health and non-communicable diseases in SDG 3. Gender equality issues and the neglect of LGBTQ concerns emerge in SDG 5, while SDG 14 faces calls for a higher degree of ambition in its indicators and increased consideration of global governance for oceans.</w:t>
      </w:r>
    </w:p>
    <w:p w14:paraId="22F7C3AD" w14:textId="77777777" w:rsidR="00291F96" w:rsidRPr="0089105D" w:rsidRDefault="00291F96" w:rsidP="00291F96">
      <w:pPr>
        <w:spacing w:line="360" w:lineRule="auto"/>
        <w:jc w:val="both"/>
        <w:rPr>
          <w:rFonts w:asciiTheme="majorHAnsi" w:hAnsiTheme="majorHAnsi" w:cstheme="majorHAnsi"/>
        </w:rPr>
      </w:pPr>
    </w:p>
    <w:p w14:paraId="4DB822D2" w14:textId="77777777" w:rsidR="00291F96" w:rsidRPr="0089105D" w:rsidRDefault="00291F96" w:rsidP="00291F96">
      <w:pPr>
        <w:spacing w:line="360" w:lineRule="auto"/>
        <w:jc w:val="both"/>
        <w:rPr>
          <w:rFonts w:asciiTheme="majorHAnsi" w:hAnsiTheme="majorHAnsi" w:cstheme="majorHAnsi"/>
        </w:rPr>
      </w:pPr>
      <w:r w:rsidRPr="0089105D">
        <w:rPr>
          <w:rFonts w:asciiTheme="majorHAnsi" w:hAnsiTheme="majorHAnsi" w:cstheme="majorHAnsi"/>
        </w:rPr>
        <w:t>Crucially, despite the thorough exploration of these individual criticisms, the subsequent sections of this Master Thesis will not extensively analyze specific SDGs. Instead, the primary focus remains on the overarching critique of the SDGs as a framework. This strategic decision ensures alignment with the core objective of scrutinizing the effectiveness and coherence of SDG framework itself, as revealed by the central theme in the major findings of the comprehensive data analysis.</w:t>
      </w:r>
    </w:p>
    <w:p w14:paraId="2C1CAA55" w14:textId="77777777" w:rsidR="00291F96" w:rsidRPr="0089105D" w:rsidRDefault="00291F96" w:rsidP="00291F96"/>
    <w:p w14:paraId="28B57A1C" w14:textId="77777777" w:rsidR="00291F96" w:rsidRPr="0089105D" w:rsidRDefault="00291F96" w:rsidP="00291F96"/>
    <w:p w14:paraId="443D6A78" w14:textId="77777777" w:rsidR="00DC1A44" w:rsidRPr="0089105D" w:rsidRDefault="00DC1A44" w:rsidP="00DC1A44">
      <w:pPr>
        <w:pStyle w:val="Caption"/>
        <w:keepNext/>
        <w:spacing w:line="360" w:lineRule="auto"/>
        <w:jc w:val="both"/>
        <w:rPr>
          <w:rFonts w:asciiTheme="majorHAnsi" w:hAnsiTheme="majorHAnsi" w:cstheme="majorHAnsi"/>
          <w:i w:val="0"/>
          <w:iCs w:val="0"/>
          <w:color w:val="auto"/>
          <w:kern w:val="2"/>
          <w:sz w:val="24"/>
          <w:szCs w:val="24"/>
          <w14:ligatures w14:val="standardContextual"/>
        </w:rPr>
      </w:pPr>
    </w:p>
    <w:p w14:paraId="0CE9F306" w14:textId="7C43A3E9" w:rsidR="00E910A1" w:rsidRPr="0089105D" w:rsidRDefault="00E910A1" w:rsidP="00E910A1">
      <w:pPr>
        <w:pStyle w:val="Caption"/>
        <w:keepNext/>
        <w:rPr>
          <w:color w:val="auto"/>
        </w:rPr>
      </w:pPr>
    </w:p>
    <w:tbl>
      <w:tblPr>
        <w:tblStyle w:val="TableGrid"/>
        <w:tblpPr w:leftFromText="180" w:rightFromText="180" w:vertAnchor="page" w:horzAnchor="margin" w:tblpY="3116"/>
        <w:tblW w:w="9468" w:type="dxa"/>
        <w:tblLook w:val="04A0" w:firstRow="1" w:lastRow="0" w:firstColumn="1" w:lastColumn="0" w:noHBand="0" w:noVBand="1"/>
      </w:tblPr>
      <w:tblGrid>
        <w:gridCol w:w="739"/>
        <w:gridCol w:w="2828"/>
        <w:gridCol w:w="5901"/>
      </w:tblGrid>
      <w:tr w:rsidR="0089105D" w:rsidRPr="0089105D" w14:paraId="4969AE6B" w14:textId="77777777" w:rsidTr="00DC1A44">
        <w:trPr>
          <w:trHeight w:val="274"/>
        </w:trPr>
        <w:tc>
          <w:tcPr>
            <w:tcW w:w="739" w:type="dxa"/>
          </w:tcPr>
          <w:p w14:paraId="1A7E6D3E" w14:textId="77777777" w:rsidR="00DE713C" w:rsidRPr="0089105D" w:rsidRDefault="00DE713C" w:rsidP="00DC1A44">
            <w:pPr>
              <w:spacing w:line="360" w:lineRule="auto"/>
              <w:jc w:val="both"/>
              <w:rPr>
                <w:rFonts w:asciiTheme="majorHAnsi" w:hAnsiTheme="majorHAnsi" w:cstheme="majorHAnsi"/>
                <w:b/>
                <w:bCs/>
                <w:lang w:val="en-GB"/>
              </w:rPr>
            </w:pPr>
            <w:r w:rsidRPr="0089105D">
              <w:rPr>
                <w:rFonts w:asciiTheme="majorHAnsi" w:hAnsiTheme="majorHAnsi" w:cstheme="majorHAnsi"/>
                <w:b/>
                <w:bCs/>
                <w:lang w:val="en-GB"/>
              </w:rPr>
              <w:t>SDG</w:t>
            </w:r>
          </w:p>
        </w:tc>
        <w:tc>
          <w:tcPr>
            <w:tcW w:w="2828" w:type="dxa"/>
          </w:tcPr>
          <w:p w14:paraId="7F31ADEC" w14:textId="77777777" w:rsidR="00DE713C" w:rsidRPr="0089105D" w:rsidRDefault="00DE713C" w:rsidP="00DC1A44">
            <w:pPr>
              <w:spacing w:line="360" w:lineRule="auto"/>
              <w:jc w:val="both"/>
              <w:rPr>
                <w:rFonts w:asciiTheme="majorHAnsi" w:hAnsiTheme="majorHAnsi" w:cstheme="majorHAnsi"/>
                <w:b/>
                <w:bCs/>
                <w:lang w:val="en-GB"/>
              </w:rPr>
            </w:pPr>
            <w:r w:rsidRPr="0089105D">
              <w:rPr>
                <w:rFonts w:asciiTheme="majorHAnsi" w:hAnsiTheme="majorHAnsi" w:cstheme="majorHAnsi"/>
                <w:b/>
                <w:bCs/>
                <w:lang w:val="en-GB"/>
              </w:rPr>
              <w:t>Goal</w:t>
            </w:r>
          </w:p>
        </w:tc>
        <w:tc>
          <w:tcPr>
            <w:tcW w:w="5901" w:type="dxa"/>
          </w:tcPr>
          <w:p w14:paraId="2FEA4519" w14:textId="77777777" w:rsidR="00DE713C" w:rsidRPr="0089105D" w:rsidRDefault="00DE713C" w:rsidP="00DC1A44">
            <w:pPr>
              <w:spacing w:line="360" w:lineRule="auto"/>
              <w:jc w:val="both"/>
              <w:rPr>
                <w:rFonts w:asciiTheme="majorHAnsi" w:hAnsiTheme="majorHAnsi" w:cstheme="majorHAnsi"/>
                <w:b/>
                <w:bCs/>
                <w:lang w:val="en-GB"/>
              </w:rPr>
            </w:pPr>
            <w:r w:rsidRPr="0089105D">
              <w:rPr>
                <w:rFonts w:asciiTheme="majorHAnsi" w:hAnsiTheme="majorHAnsi" w:cstheme="majorHAnsi"/>
                <w:b/>
                <w:bCs/>
                <w:lang w:val="en-GB"/>
              </w:rPr>
              <w:t>Criticism</w:t>
            </w:r>
          </w:p>
        </w:tc>
      </w:tr>
      <w:tr w:rsidR="0089105D" w:rsidRPr="0089105D" w14:paraId="742B5661" w14:textId="77777777" w:rsidTr="00DC1A44">
        <w:trPr>
          <w:trHeight w:val="468"/>
        </w:trPr>
        <w:tc>
          <w:tcPr>
            <w:tcW w:w="739" w:type="dxa"/>
          </w:tcPr>
          <w:p w14:paraId="76550CA5" w14:textId="77777777" w:rsidR="00DE713C" w:rsidRPr="0089105D" w:rsidRDefault="00DE713C" w:rsidP="00DC1A44">
            <w:pPr>
              <w:spacing w:line="360" w:lineRule="auto"/>
              <w:jc w:val="both"/>
              <w:rPr>
                <w:rFonts w:asciiTheme="majorHAnsi" w:hAnsiTheme="majorHAnsi" w:cstheme="majorHAnsi"/>
                <w:lang w:val="en-GB"/>
              </w:rPr>
            </w:pPr>
            <w:r w:rsidRPr="0089105D">
              <w:rPr>
                <w:rFonts w:asciiTheme="majorHAnsi" w:hAnsiTheme="majorHAnsi" w:cstheme="majorHAnsi"/>
                <w:lang w:val="en-GB"/>
              </w:rPr>
              <w:t>1</w:t>
            </w:r>
          </w:p>
        </w:tc>
        <w:tc>
          <w:tcPr>
            <w:tcW w:w="2828" w:type="dxa"/>
          </w:tcPr>
          <w:p w14:paraId="37D3049C" w14:textId="77777777" w:rsidR="00DE713C" w:rsidRPr="0089105D" w:rsidRDefault="00DE713C" w:rsidP="00DC1A44">
            <w:pPr>
              <w:spacing w:line="360" w:lineRule="auto"/>
              <w:jc w:val="both"/>
              <w:rPr>
                <w:rFonts w:asciiTheme="majorHAnsi" w:hAnsiTheme="majorHAnsi" w:cstheme="majorHAnsi"/>
                <w:lang w:val="en-GB"/>
              </w:rPr>
            </w:pPr>
            <w:r w:rsidRPr="0089105D">
              <w:rPr>
                <w:rFonts w:asciiTheme="majorHAnsi" w:hAnsiTheme="majorHAnsi" w:cstheme="majorHAnsi"/>
                <w:lang w:val="en-GB"/>
              </w:rPr>
              <w:t>Eradicate poverty</w:t>
            </w:r>
          </w:p>
        </w:tc>
        <w:tc>
          <w:tcPr>
            <w:tcW w:w="5901" w:type="dxa"/>
          </w:tcPr>
          <w:p w14:paraId="3564B974" w14:textId="77777777" w:rsidR="00DE713C" w:rsidRPr="0089105D" w:rsidRDefault="00DE713C" w:rsidP="00DC1A44">
            <w:pPr>
              <w:spacing w:line="360" w:lineRule="auto"/>
              <w:jc w:val="both"/>
              <w:rPr>
                <w:rFonts w:asciiTheme="majorHAnsi" w:hAnsiTheme="majorHAnsi" w:cstheme="majorHAnsi"/>
                <w:lang w:val="en-GB"/>
              </w:rPr>
            </w:pPr>
            <w:r w:rsidRPr="0089105D">
              <w:rPr>
                <w:rFonts w:asciiTheme="majorHAnsi" w:hAnsiTheme="majorHAnsi" w:cstheme="majorHAnsi"/>
                <w:lang w:val="en-GB"/>
              </w:rPr>
              <w:t>Lack of definition of poverty, (</w:t>
            </w:r>
            <w:proofErr w:type="spellStart"/>
            <w:r w:rsidRPr="0089105D">
              <w:rPr>
                <w:rFonts w:asciiTheme="majorHAnsi" w:hAnsiTheme="majorHAnsi" w:cstheme="majorHAnsi"/>
                <w:lang w:val="en-GB"/>
              </w:rPr>
              <w:t>Cuaresma</w:t>
            </w:r>
            <w:proofErr w:type="spellEnd"/>
            <w:r w:rsidRPr="0089105D">
              <w:rPr>
                <w:rFonts w:asciiTheme="majorHAnsi" w:hAnsiTheme="majorHAnsi" w:cstheme="majorHAnsi"/>
                <w:lang w:val="en-GB"/>
              </w:rPr>
              <w:t>, 2016), Insufficient acknowledgement of inequalities, (</w:t>
            </w:r>
            <w:proofErr w:type="spellStart"/>
            <w:r w:rsidRPr="0089105D">
              <w:rPr>
                <w:rFonts w:asciiTheme="majorHAnsi" w:hAnsiTheme="majorHAnsi" w:cstheme="majorHAnsi"/>
                <w:lang w:val="en-GB"/>
              </w:rPr>
              <w:t>Oerther</w:t>
            </w:r>
            <w:proofErr w:type="spellEnd"/>
            <w:r w:rsidRPr="0089105D">
              <w:rPr>
                <w:rFonts w:asciiTheme="majorHAnsi" w:hAnsiTheme="majorHAnsi" w:cstheme="majorHAnsi"/>
                <w:lang w:val="en-GB"/>
              </w:rPr>
              <w:t>, 2020), lack of emphasis on social protection, (</w:t>
            </w:r>
            <w:proofErr w:type="spellStart"/>
            <w:r w:rsidRPr="0089105D">
              <w:rPr>
                <w:rFonts w:asciiTheme="majorHAnsi" w:hAnsiTheme="majorHAnsi" w:cstheme="majorHAnsi"/>
                <w:lang w:val="en-GB"/>
              </w:rPr>
              <w:t>Oerther</w:t>
            </w:r>
            <w:proofErr w:type="spellEnd"/>
            <w:r w:rsidRPr="0089105D">
              <w:rPr>
                <w:rFonts w:asciiTheme="majorHAnsi" w:hAnsiTheme="majorHAnsi" w:cstheme="majorHAnsi"/>
                <w:lang w:val="en-GB"/>
              </w:rPr>
              <w:t xml:space="preserve">, 2020). </w:t>
            </w:r>
          </w:p>
        </w:tc>
      </w:tr>
      <w:tr w:rsidR="0089105D" w:rsidRPr="0089105D" w14:paraId="545C4A83" w14:textId="77777777" w:rsidTr="00DC1A44">
        <w:trPr>
          <w:trHeight w:val="468"/>
        </w:trPr>
        <w:tc>
          <w:tcPr>
            <w:tcW w:w="739" w:type="dxa"/>
          </w:tcPr>
          <w:p w14:paraId="3D9DACC4" w14:textId="77777777" w:rsidR="00DE713C" w:rsidRPr="0089105D" w:rsidRDefault="00DE713C" w:rsidP="00DC1A44">
            <w:pPr>
              <w:spacing w:line="360" w:lineRule="auto"/>
              <w:jc w:val="both"/>
              <w:rPr>
                <w:rFonts w:asciiTheme="majorHAnsi" w:hAnsiTheme="majorHAnsi" w:cstheme="majorHAnsi"/>
                <w:lang w:val="en-GB"/>
              </w:rPr>
            </w:pPr>
            <w:r w:rsidRPr="0089105D">
              <w:rPr>
                <w:rFonts w:asciiTheme="majorHAnsi" w:hAnsiTheme="majorHAnsi" w:cstheme="majorHAnsi"/>
                <w:lang w:val="en-GB"/>
              </w:rPr>
              <w:t>2</w:t>
            </w:r>
          </w:p>
        </w:tc>
        <w:tc>
          <w:tcPr>
            <w:tcW w:w="2828" w:type="dxa"/>
          </w:tcPr>
          <w:p w14:paraId="64F9B9D6" w14:textId="77777777" w:rsidR="00DE713C" w:rsidRPr="0089105D" w:rsidRDefault="00DE713C" w:rsidP="00DC1A44">
            <w:pPr>
              <w:spacing w:line="360" w:lineRule="auto"/>
              <w:jc w:val="both"/>
              <w:rPr>
                <w:rFonts w:asciiTheme="majorHAnsi" w:hAnsiTheme="majorHAnsi" w:cstheme="majorHAnsi"/>
                <w:lang w:val="en-GB"/>
              </w:rPr>
            </w:pPr>
            <w:r w:rsidRPr="0089105D">
              <w:rPr>
                <w:rFonts w:asciiTheme="majorHAnsi" w:hAnsiTheme="majorHAnsi" w:cstheme="majorHAnsi"/>
                <w:lang w:val="en-GB"/>
              </w:rPr>
              <w:t>End hunger</w:t>
            </w:r>
          </w:p>
        </w:tc>
        <w:tc>
          <w:tcPr>
            <w:tcW w:w="5901" w:type="dxa"/>
          </w:tcPr>
          <w:p w14:paraId="5B5B3064" w14:textId="77777777" w:rsidR="00DE713C" w:rsidRPr="0089105D" w:rsidRDefault="00DE713C" w:rsidP="00DC1A44">
            <w:pPr>
              <w:tabs>
                <w:tab w:val="num" w:pos="720"/>
              </w:tabs>
              <w:spacing w:line="360" w:lineRule="auto"/>
              <w:jc w:val="both"/>
              <w:rPr>
                <w:rFonts w:asciiTheme="majorHAnsi" w:hAnsiTheme="majorHAnsi" w:cstheme="majorHAnsi"/>
                <w:lang w:val="en-GB"/>
              </w:rPr>
            </w:pPr>
            <w:r w:rsidRPr="0089105D">
              <w:rPr>
                <w:rFonts w:asciiTheme="majorHAnsi" w:hAnsiTheme="majorHAnsi" w:cstheme="majorHAnsi"/>
              </w:rPr>
              <w:t xml:space="preserve">Limited focus on small-scale farmers, </w:t>
            </w:r>
            <w:r w:rsidRPr="0089105D">
              <w:rPr>
                <w:rFonts w:asciiTheme="majorHAnsi" w:hAnsiTheme="majorHAnsi" w:cstheme="majorHAnsi"/>
                <w:lang w:val="en-GB"/>
              </w:rPr>
              <w:t xml:space="preserve">(Gil, 2019), </w:t>
            </w:r>
            <w:r w:rsidRPr="0089105D">
              <w:rPr>
                <w:rFonts w:asciiTheme="majorHAnsi" w:hAnsiTheme="majorHAnsi" w:cstheme="majorHAnsi"/>
              </w:rPr>
              <w:t>Insufficient attention to gender equality</w:t>
            </w:r>
            <w:r w:rsidRPr="0089105D">
              <w:rPr>
                <w:rFonts w:asciiTheme="majorHAnsi" w:hAnsiTheme="majorHAnsi" w:cstheme="majorHAnsi"/>
                <w:lang w:val="en-GB"/>
              </w:rPr>
              <w:t xml:space="preserve">, Disregarding the downside of </w:t>
            </w:r>
            <w:r w:rsidRPr="0089105D">
              <w:rPr>
                <w:rFonts w:asciiTheme="majorHAnsi" w:hAnsiTheme="majorHAnsi" w:cstheme="majorHAnsi"/>
              </w:rPr>
              <w:t xml:space="preserve">high-tech solutions, Limited attention to food waste, </w:t>
            </w:r>
            <w:r w:rsidRPr="0089105D">
              <w:rPr>
                <w:rFonts w:asciiTheme="majorHAnsi" w:hAnsiTheme="majorHAnsi" w:cstheme="majorHAnsi"/>
                <w:lang w:val="en-GB"/>
              </w:rPr>
              <w:t>(</w:t>
            </w:r>
            <w:proofErr w:type="spellStart"/>
            <w:r w:rsidRPr="0089105D">
              <w:rPr>
                <w:rFonts w:asciiTheme="majorHAnsi" w:hAnsiTheme="majorHAnsi" w:cstheme="majorHAnsi"/>
                <w:lang w:val="en-GB"/>
              </w:rPr>
              <w:t>Atukunda</w:t>
            </w:r>
            <w:proofErr w:type="spellEnd"/>
            <w:r w:rsidRPr="0089105D">
              <w:rPr>
                <w:rFonts w:asciiTheme="majorHAnsi" w:hAnsiTheme="majorHAnsi" w:cstheme="majorHAnsi"/>
                <w:lang w:val="en-GB"/>
              </w:rPr>
              <w:t xml:space="preserve">, 2021), </w:t>
            </w:r>
          </w:p>
        </w:tc>
      </w:tr>
      <w:tr w:rsidR="0089105D" w:rsidRPr="0089105D" w14:paraId="03389014" w14:textId="77777777" w:rsidTr="00DC1A44">
        <w:trPr>
          <w:trHeight w:val="468"/>
        </w:trPr>
        <w:tc>
          <w:tcPr>
            <w:tcW w:w="739" w:type="dxa"/>
          </w:tcPr>
          <w:p w14:paraId="73A369CA" w14:textId="77777777" w:rsidR="00DE713C" w:rsidRPr="0089105D" w:rsidRDefault="00DE713C" w:rsidP="00DC1A44">
            <w:pPr>
              <w:spacing w:line="360" w:lineRule="auto"/>
              <w:jc w:val="both"/>
              <w:rPr>
                <w:rFonts w:asciiTheme="majorHAnsi" w:hAnsiTheme="majorHAnsi" w:cstheme="majorHAnsi"/>
                <w:lang w:val="en-GB"/>
              </w:rPr>
            </w:pPr>
            <w:r w:rsidRPr="0089105D">
              <w:rPr>
                <w:rFonts w:asciiTheme="majorHAnsi" w:hAnsiTheme="majorHAnsi" w:cstheme="majorHAnsi"/>
                <w:lang w:val="en-GB"/>
              </w:rPr>
              <w:t>3</w:t>
            </w:r>
          </w:p>
        </w:tc>
        <w:tc>
          <w:tcPr>
            <w:tcW w:w="2828" w:type="dxa"/>
          </w:tcPr>
          <w:p w14:paraId="5F1E614B" w14:textId="77777777" w:rsidR="00DE713C" w:rsidRPr="0089105D" w:rsidRDefault="00DE713C" w:rsidP="00DC1A44">
            <w:pPr>
              <w:spacing w:line="360" w:lineRule="auto"/>
              <w:jc w:val="both"/>
              <w:rPr>
                <w:rFonts w:asciiTheme="majorHAnsi" w:hAnsiTheme="majorHAnsi" w:cstheme="majorHAnsi"/>
                <w:lang w:val="en-GB"/>
              </w:rPr>
            </w:pPr>
            <w:r w:rsidRPr="0089105D">
              <w:rPr>
                <w:rFonts w:asciiTheme="majorHAnsi" w:hAnsiTheme="majorHAnsi" w:cstheme="majorHAnsi"/>
                <w:lang w:val="en-GB"/>
              </w:rPr>
              <w:t>Good health and wellbeing</w:t>
            </w:r>
          </w:p>
        </w:tc>
        <w:tc>
          <w:tcPr>
            <w:tcW w:w="5901" w:type="dxa"/>
          </w:tcPr>
          <w:p w14:paraId="2B875E47" w14:textId="77777777" w:rsidR="00DE713C" w:rsidRPr="0089105D" w:rsidRDefault="00DE713C" w:rsidP="00DC1A44">
            <w:pPr>
              <w:spacing w:line="360" w:lineRule="auto"/>
              <w:jc w:val="both"/>
              <w:rPr>
                <w:rFonts w:asciiTheme="majorHAnsi" w:hAnsiTheme="majorHAnsi" w:cstheme="majorHAnsi"/>
                <w:lang w:val="en-GB"/>
              </w:rPr>
            </w:pPr>
            <w:r w:rsidRPr="0089105D">
              <w:rPr>
                <w:rFonts w:asciiTheme="majorHAnsi" w:hAnsiTheme="majorHAnsi" w:cstheme="majorHAnsi"/>
                <w:lang w:val="en-GB"/>
              </w:rPr>
              <w:t>Limited focus on mental health (Votruba, 2016), underrepresentation of non-communicable diseases. (</w:t>
            </w:r>
            <w:proofErr w:type="spellStart"/>
            <w:r w:rsidRPr="0089105D">
              <w:rPr>
                <w:rFonts w:asciiTheme="majorHAnsi" w:hAnsiTheme="majorHAnsi" w:cstheme="majorHAnsi"/>
                <w:lang w:val="en-GB"/>
              </w:rPr>
              <w:t>Kuefoglu</w:t>
            </w:r>
            <w:proofErr w:type="spellEnd"/>
            <w:r w:rsidRPr="0089105D">
              <w:rPr>
                <w:rFonts w:asciiTheme="majorHAnsi" w:hAnsiTheme="majorHAnsi" w:cstheme="majorHAnsi"/>
                <w:lang w:val="en-GB"/>
              </w:rPr>
              <w:t>, 2022)</w:t>
            </w:r>
          </w:p>
        </w:tc>
      </w:tr>
      <w:tr w:rsidR="0089105D" w:rsidRPr="0089105D" w14:paraId="421EF8F2" w14:textId="77777777" w:rsidTr="00DC1A44">
        <w:trPr>
          <w:trHeight w:val="468"/>
        </w:trPr>
        <w:tc>
          <w:tcPr>
            <w:tcW w:w="739" w:type="dxa"/>
          </w:tcPr>
          <w:p w14:paraId="2BFC1147" w14:textId="77777777" w:rsidR="00DE713C" w:rsidRPr="0089105D" w:rsidRDefault="00DE713C" w:rsidP="00DC1A44">
            <w:pPr>
              <w:spacing w:line="360" w:lineRule="auto"/>
              <w:jc w:val="both"/>
              <w:rPr>
                <w:rFonts w:asciiTheme="majorHAnsi" w:hAnsiTheme="majorHAnsi" w:cstheme="majorHAnsi"/>
                <w:lang w:val="en-GB"/>
              </w:rPr>
            </w:pPr>
            <w:r w:rsidRPr="0089105D">
              <w:rPr>
                <w:rFonts w:asciiTheme="majorHAnsi" w:hAnsiTheme="majorHAnsi" w:cstheme="majorHAnsi"/>
                <w:lang w:val="en-GB"/>
              </w:rPr>
              <w:t>4</w:t>
            </w:r>
          </w:p>
        </w:tc>
        <w:tc>
          <w:tcPr>
            <w:tcW w:w="2828" w:type="dxa"/>
          </w:tcPr>
          <w:p w14:paraId="002FAB9D" w14:textId="77777777" w:rsidR="00DE713C" w:rsidRPr="0089105D" w:rsidRDefault="00DE713C" w:rsidP="00DC1A44">
            <w:pPr>
              <w:spacing w:line="360" w:lineRule="auto"/>
              <w:jc w:val="both"/>
              <w:rPr>
                <w:rFonts w:asciiTheme="majorHAnsi" w:hAnsiTheme="majorHAnsi" w:cstheme="majorHAnsi"/>
                <w:lang w:val="en-GB"/>
              </w:rPr>
            </w:pPr>
            <w:r w:rsidRPr="0089105D">
              <w:rPr>
                <w:rFonts w:asciiTheme="majorHAnsi" w:hAnsiTheme="majorHAnsi" w:cstheme="majorHAnsi"/>
                <w:lang w:val="en-GB"/>
              </w:rPr>
              <w:t xml:space="preserve">Quality education </w:t>
            </w:r>
          </w:p>
        </w:tc>
        <w:tc>
          <w:tcPr>
            <w:tcW w:w="5901" w:type="dxa"/>
          </w:tcPr>
          <w:p w14:paraId="3FD74FD8" w14:textId="77777777" w:rsidR="00DE713C" w:rsidRPr="0089105D" w:rsidRDefault="00DE713C" w:rsidP="00DC1A44">
            <w:pPr>
              <w:spacing w:line="360" w:lineRule="auto"/>
              <w:jc w:val="both"/>
              <w:rPr>
                <w:rFonts w:asciiTheme="majorHAnsi" w:hAnsiTheme="majorHAnsi" w:cstheme="majorHAnsi"/>
                <w:lang w:val="en-GB"/>
              </w:rPr>
            </w:pPr>
            <w:r w:rsidRPr="0089105D">
              <w:rPr>
                <w:rFonts w:asciiTheme="majorHAnsi" w:hAnsiTheme="majorHAnsi" w:cstheme="majorHAnsi"/>
                <w:lang w:val="en-GB"/>
              </w:rPr>
              <w:t>Narrow focus on access to education, (Saini, 2022), lack of focus on early childhood, (</w:t>
            </w:r>
            <w:proofErr w:type="spellStart"/>
            <w:r w:rsidRPr="0089105D">
              <w:rPr>
                <w:rFonts w:asciiTheme="majorHAnsi" w:hAnsiTheme="majorHAnsi" w:cstheme="majorHAnsi"/>
                <w:lang w:val="en-GB"/>
              </w:rPr>
              <w:t>Brisset</w:t>
            </w:r>
            <w:proofErr w:type="spellEnd"/>
            <w:r w:rsidRPr="0089105D">
              <w:rPr>
                <w:rFonts w:asciiTheme="majorHAnsi" w:hAnsiTheme="majorHAnsi" w:cstheme="majorHAnsi"/>
                <w:lang w:val="en-GB"/>
              </w:rPr>
              <w:t>), education and non-formal education, (</w:t>
            </w:r>
            <w:proofErr w:type="spellStart"/>
            <w:r w:rsidRPr="0089105D">
              <w:rPr>
                <w:rFonts w:asciiTheme="majorHAnsi" w:hAnsiTheme="majorHAnsi" w:cstheme="majorHAnsi"/>
                <w:lang w:val="en-GB"/>
              </w:rPr>
              <w:t>Boeren</w:t>
            </w:r>
            <w:proofErr w:type="spellEnd"/>
            <w:r w:rsidRPr="0089105D">
              <w:rPr>
                <w:rFonts w:asciiTheme="majorHAnsi" w:hAnsiTheme="majorHAnsi" w:cstheme="majorHAnsi"/>
                <w:lang w:val="en-GB"/>
              </w:rPr>
              <w:t>, 2019),</w:t>
            </w:r>
          </w:p>
        </w:tc>
      </w:tr>
      <w:tr w:rsidR="0089105D" w:rsidRPr="0089105D" w14:paraId="35347749" w14:textId="77777777" w:rsidTr="00DC1A44">
        <w:trPr>
          <w:trHeight w:val="487"/>
        </w:trPr>
        <w:tc>
          <w:tcPr>
            <w:tcW w:w="739" w:type="dxa"/>
          </w:tcPr>
          <w:p w14:paraId="39413E39" w14:textId="77777777" w:rsidR="00DE713C" w:rsidRPr="0089105D" w:rsidRDefault="00DE713C" w:rsidP="00DC1A44">
            <w:pPr>
              <w:spacing w:line="360" w:lineRule="auto"/>
              <w:jc w:val="both"/>
              <w:rPr>
                <w:rFonts w:asciiTheme="majorHAnsi" w:hAnsiTheme="majorHAnsi" w:cstheme="majorHAnsi"/>
                <w:lang w:val="en-GB"/>
              </w:rPr>
            </w:pPr>
            <w:r w:rsidRPr="0089105D">
              <w:rPr>
                <w:rFonts w:asciiTheme="majorHAnsi" w:hAnsiTheme="majorHAnsi" w:cstheme="majorHAnsi"/>
                <w:lang w:val="en-GB"/>
              </w:rPr>
              <w:t>5</w:t>
            </w:r>
          </w:p>
        </w:tc>
        <w:tc>
          <w:tcPr>
            <w:tcW w:w="2828" w:type="dxa"/>
          </w:tcPr>
          <w:p w14:paraId="16FCD02D" w14:textId="77777777" w:rsidR="00DE713C" w:rsidRPr="0089105D" w:rsidRDefault="00DE713C" w:rsidP="00DC1A44">
            <w:pPr>
              <w:spacing w:line="360" w:lineRule="auto"/>
              <w:jc w:val="both"/>
              <w:rPr>
                <w:rFonts w:asciiTheme="majorHAnsi" w:hAnsiTheme="majorHAnsi" w:cstheme="majorHAnsi"/>
                <w:lang w:val="en-GB"/>
              </w:rPr>
            </w:pPr>
            <w:r w:rsidRPr="0089105D">
              <w:rPr>
                <w:rFonts w:asciiTheme="majorHAnsi" w:hAnsiTheme="majorHAnsi" w:cstheme="majorHAnsi"/>
                <w:lang w:val="en-GB"/>
              </w:rPr>
              <w:t>Gender Equality</w:t>
            </w:r>
          </w:p>
        </w:tc>
        <w:tc>
          <w:tcPr>
            <w:tcW w:w="5901" w:type="dxa"/>
          </w:tcPr>
          <w:p w14:paraId="7BCAFC0D" w14:textId="77777777" w:rsidR="00DE713C" w:rsidRPr="0089105D" w:rsidRDefault="00DE713C" w:rsidP="00DC1A44">
            <w:pPr>
              <w:spacing w:line="360" w:lineRule="auto"/>
              <w:jc w:val="both"/>
              <w:rPr>
                <w:rFonts w:asciiTheme="majorHAnsi" w:hAnsiTheme="majorHAnsi" w:cstheme="majorHAnsi"/>
                <w:lang w:val="en-GB"/>
              </w:rPr>
            </w:pPr>
            <w:r w:rsidRPr="0089105D">
              <w:rPr>
                <w:rFonts w:asciiTheme="majorHAnsi" w:hAnsiTheme="majorHAnsi" w:cstheme="majorHAnsi"/>
                <w:lang w:val="en-GB"/>
              </w:rPr>
              <w:t>Narrow focus on all genders, lack of LGBTQ, insufficient integration, (</w:t>
            </w:r>
            <w:proofErr w:type="spellStart"/>
            <w:r w:rsidRPr="0089105D">
              <w:rPr>
                <w:rFonts w:asciiTheme="majorHAnsi" w:hAnsiTheme="majorHAnsi" w:cstheme="majorHAnsi"/>
                <w:lang w:val="en-GB"/>
              </w:rPr>
              <w:t>Ognuspactnum</w:t>
            </w:r>
            <w:proofErr w:type="spellEnd"/>
            <w:r w:rsidRPr="0089105D">
              <w:rPr>
                <w:rFonts w:asciiTheme="majorHAnsi" w:hAnsiTheme="majorHAnsi" w:cstheme="majorHAnsi"/>
                <w:lang w:val="en-GB"/>
              </w:rPr>
              <w:t xml:space="preserve">, 2020) </w:t>
            </w:r>
          </w:p>
        </w:tc>
      </w:tr>
      <w:tr w:rsidR="0089105D" w:rsidRPr="0089105D" w14:paraId="1A97C9C1" w14:textId="77777777" w:rsidTr="00DC1A44">
        <w:trPr>
          <w:trHeight w:val="468"/>
        </w:trPr>
        <w:tc>
          <w:tcPr>
            <w:tcW w:w="739" w:type="dxa"/>
          </w:tcPr>
          <w:p w14:paraId="38D0E909" w14:textId="77777777" w:rsidR="00DE713C" w:rsidRPr="0089105D" w:rsidRDefault="00DE713C" w:rsidP="00DC1A44">
            <w:pPr>
              <w:spacing w:line="360" w:lineRule="auto"/>
              <w:jc w:val="both"/>
              <w:rPr>
                <w:rFonts w:asciiTheme="majorHAnsi" w:hAnsiTheme="majorHAnsi" w:cstheme="majorHAnsi"/>
                <w:lang w:val="en-GB"/>
              </w:rPr>
            </w:pPr>
            <w:r w:rsidRPr="0089105D">
              <w:rPr>
                <w:rFonts w:asciiTheme="majorHAnsi" w:hAnsiTheme="majorHAnsi" w:cstheme="majorHAnsi"/>
                <w:lang w:val="en-GB"/>
              </w:rPr>
              <w:t>6</w:t>
            </w:r>
          </w:p>
        </w:tc>
        <w:tc>
          <w:tcPr>
            <w:tcW w:w="2828" w:type="dxa"/>
          </w:tcPr>
          <w:p w14:paraId="4188DCFB" w14:textId="77777777" w:rsidR="00DE713C" w:rsidRPr="0089105D" w:rsidRDefault="00DE713C" w:rsidP="00DC1A44">
            <w:pPr>
              <w:spacing w:line="360" w:lineRule="auto"/>
              <w:jc w:val="both"/>
              <w:rPr>
                <w:rFonts w:asciiTheme="majorHAnsi" w:hAnsiTheme="majorHAnsi" w:cstheme="majorHAnsi"/>
                <w:lang w:val="en-GB"/>
              </w:rPr>
            </w:pPr>
            <w:r w:rsidRPr="0089105D">
              <w:rPr>
                <w:rFonts w:asciiTheme="majorHAnsi" w:hAnsiTheme="majorHAnsi" w:cstheme="majorHAnsi"/>
                <w:lang w:val="en-GB"/>
              </w:rPr>
              <w:t>Safe drinking water</w:t>
            </w:r>
          </w:p>
        </w:tc>
        <w:tc>
          <w:tcPr>
            <w:tcW w:w="5901" w:type="dxa"/>
          </w:tcPr>
          <w:p w14:paraId="3A925370" w14:textId="1757D199" w:rsidR="00DE713C" w:rsidRPr="0089105D" w:rsidRDefault="00DE713C" w:rsidP="00DC1A44">
            <w:pPr>
              <w:spacing w:line="360" w:lineRule="auto"/>
              <w:jc w:val="both"/>
              <w:rPr>
                <w:rFonts w:asciiTheme="majorHAnsi" w:hAnsiTheme="majorHAnsi" w:cstheme="majorHAnsi"/>
                <w:lang w:val="en-GB"/>
              </w:rPr>
            </w:pPr>
            <w:r w:rsidRPr="0089105D">
              <w:rPr>
                <w:rFonts w:asciiTheme="majorHAnsi" w:hAnsiTheme="majorHAnsi" w:cstheme="majorHAnsi"/>
                <w:lang w:val="en-GB"/>
              </w:rPr>
              <w:t xml:space="preserve">Limited focus on </w:t>
            </w:r>
            <w:r w:rsidR="00291F96" w:rsidRPr="0089105D">
              <w:rPr>
                <w:rFonts w:asciiTheme="majorHAnsi" w:hAnsiTheme="majorHAnsi" w:cstheme="majorHAnsi"/>
                <w:lang w:val="en-GB"/>
              </w:rPr>
              <w:t>wastewater</w:t>
            </w:r>
            <w:r w:rsidRPr="0089105D">
              <w:rPr>
                <w:rFonts w:asciiTheme="majorHAnsi" w:hAnsiTheme="majorHAnsi" w:cstheme="majorHAnsi"/>
                <w:lang w:val="en-GB"/>
              </w:rPr>
              <w:t xml:space="preserve"> management, (Winkler, 2018) lack of climate change </w:t>
            </w:r>
            <w:proofErr w:type="spellStart"/>
            <w:r w:rsidRPr="0089105D">
              <w:rPr>
                <w:rFonts w:asciiTheme="majorHAnsi" w:hAnsiTheme="majorHAnsi" w:cstheme="majorHAnsi"/>
                <w:lang w:val="en-GB"/>
              </w:rPr>
              <w:t>acknowledegement</w:t>
            </w:r>
            <w:proofErr w:type="spellEnd"/>
            <w:r w:rsidRPr="0089105D">
              <w:rPr>
                <w:rFonts w:asciiTheme="majorHAnsi" w:hAnsiTheme="majorHAnsi" w:cstheme="majorHAnsi"/>
                <w:lang w:val="en-GB"/>
              </w:rPr>
              <w:t>, (Guppy, 2019),</w:t>
            </w:r>
          </w:p>
        </w:tc>
      </w:tr>
      <w:tr w:rsidR="0089105D" w:rsidRPr="0089105D" w14:paraId="1897AD06" w14:textId="77777777" w:rsidTr="00DC1A44">
        <w:trPr>
          <w:trHeight w:val="468"/>
        </w:trPr>
        <w:tc>
          <w:tcPr>
            <w:tcW w:w="739" w:type="dxa"/>
          </w:tcPr>
          <w:p w14:paraId="4C23B154" w14:textId="77777777" w:rsidR="00DE713C" w:rsidRPr="0089105D" w:rsidRDefault="00DE713C" w:rsidP="00DC1A44">
            <w:pPr>
              <w:spacing w:line="360" w:lineRule="auto"/>
              <w:jc w:val="both"/>
              <w:rPr>
                <w:rFonts w:asciiTheme="majorHAnsi" w:hAnsiTheme="majorHAnsi" w:cstheme="majorHAnsi"/>
                <w:lang w:val="en-GB"/>
              </w:rPr>
            </w:pPr>
            <w:r w:rsidRPr="0089105D">
              <w:rPr>
                <w:rFonts w:asciiTheme="majorHAnsi" w:hAnsiTheme="majorHAnsi" w:cstheme="majorHAnsi"/>
                <w:lang w:val="en-GB"/>
              </w:rPr>
              <w:t>7</w:t>
            </w:r>
          </w:p>
        </w:tc>
        <w:tc>
          <w:tcPr>
            <w:tcW w:w="2828" w:type="dxa"/>
          </w:tcPr>
          <w:p w14:paraId="1056B08C" w14:textId="77777777" w:rsidR="00DE713C" w:rsidRPr="0089105D" w:rsidRDefault="00DE713C" w:rsidP="00DC1A44">
            <w:pPr>
              <w:spacing w:line="360" w:lineRule="auto"/>
              <w:jc w:val="both"/>
              <w:rPr>
                <w:rFonts w:asciiTheme="majorHAnsi" w:hAnsiTheme="majorHAnsi" w:cstheme="majorHAnsi"/>
                <w:lang w:val="en-GB"/>
              </w:rPr>
            </w:pPr>
            <w:r w:rsidRPr="0089105D">
              <w:rPr>
                <w:rFonts w:asciiTheme="majorHAnsi" w:hAnsiTheme="majorHAnsi" w:cstheme="majorHAnsi"/>
                <w:lang w:val="en-GB"/>
              </w:rPr>
              <w:t>Affordable and clean energy</w:t>
            </w:r>
          </w:p>
        </w:tc>
        <w:tc>
          <w:tcPr>
            <w:tcW w:w="5901" w:type="dxa"/>
          </w:tcPr>
          <w:p w14:paraId="68BF93D8" w14:textId="77777777" w:rsidR="00DE713C" w:rsidRPr="0089105D" w:rsidRDefault="00DE713C" w:rsidP="00DC1A44">
            <w:pPr>
              <w:spacing w:line="360" w:lineRule="auto"/>
              <w:jc w:val="both"/>
              <w:rPr>
                <w:rFonts w:asciiTheme="majorHAnsi" w:hAnsiTheme="majorHAnsi" w:cstheme="majorHAnsi"/>
                <w:lang w:val="en-GB"/>
              </w:rPr>
            </w:pPr>
            <w:r w:rsidRPr="0089105D">
              <w:rPr>
                <w:rFonts w:asciiTheme="majorHAnsi" w:hAnsiTheme="majorHAnsi" w:cstheme="majorHAnsi"/>
                <w:lang w:val="en-GB"/>
              </w:rPr>
              <w:t>Limited attention to energy governance, (Burke, 2022), no attention given to social justice, (</w:t>
            </w:r>
            <w:proofErr w:type="spellStart"/>
            <w:r w:rsidRPr="0089105D">
              <w:rPr>
                <w:rFonts w:asciiTheme="majorHAnsi" w:hAnsiTheme="majorHAnsi" w:cstheme="majorHAnsi"/>
                <w:lang w:val="en-GB"/>
              </w:rPr>
              <w:t>Tucho</w:t>
            </w:r>
            <w:proofErr w:type="spellEnd"/>
            <w:r w:rsidRPr="0089105D">
              <w:rPr>
                <w:rFonts w:asciiTheme="majorHAnsi" w:hAnsiTheme="majorHAnsi" w:cstheme="majorHAnsi"/>
                <w:lang w:val="en-GB"/>
              </w:rPr>
              <w:t xml:space="preserve">, 2020), </w:t>
            </w:r>
          </w:p>
        </w:tc>
      </w:tr>
      <w:tr w:rsidR="0089105D" w:rsidRPr="0089105D" w14:paraId="6B901BB8" w14:textId="77777777" w:rsidTr="00DC1A44">
        <w:trPr>
          <w:trHeight w:val="468"/>
        </w:trPr>
        <w:tc>
          <w:tcPr>
            <w:tcW w:w="739" w:type="dxa"/>
          </w:tcPr>
          <w:p w14:paraId="0DD573B5" w14:textId="77777777" w:rsidR="00DE713C" w:rsidRPr="0089105D" w:rsidRDefault="00DE713C" w:rsidP="00DC1A44">
            <w:pPr>
              <w:spacing w:line="360" w:lineRule="auto"/>
              <w:jc w:val="both"/>
              <w:rPr>
                <w:rFonts w:asciiTheme="majorHAnsi" w:hAnsiTheme="majorHAnsi" w:cstheme="majorHAnsi"/>
                <w:lang w:val="en-GB"/>
              </w:rPr>
            </w:pPr>
            <w:r w:rsidRPr="0089105D">
              <w:rPr>
                <w:rFonts w:asciiTheme="majorHAnsi" w:hAnsiTheme="majorHAnsi" w:cstheme="majorHAnsi"/>
                <w:lang w:val="en-GB"/>
              </w:rPr>
              <w:t>8</w:t>
            </w:r>
          </w:p>
        </w:tc>
        <w:tc>
          <w:tcPr>
            <w:tcW w:w="2828" w:type="dxa"/>
          </w:tcPr>
          <w:p w14:paraId="50C4A6E4" w14:textId="77777777" w:rsidR="00DE713C" w:rsidRPr="0089105D" w:rsidRDefault="00DE713C" w:rsidP="00DC1A44">
            <w:pPr>
              <w:spacing w:line="360" w:lineRule="auto"/>
              <w:jc w:val="both"/>
              <w:rPr>
                <w:rFonts w:asciiTheme="majorHAnsi" w:hAnsiTheme="majorHAnsi" w:cstheme="majorHAnsi"/>
                <w:lang w:val="en-GB"/>
              </w:rPr>
            </w:pPr>
            <w:r w:rsidRPr="0089105D">
              <w:rPr>
                <w:rFonts w:asciiTheme="majorHAnsi" w:hAnsiTheme="majorHAnsi" w:cstheme="majorHAnsi"/>
                <w:lang w:val="en-GB"/>
              </w:rPr>
              <w:t>Decent work and economic growth</w:t>
            </w:r>
          </w:p>
        </w:tc>
        <w:tc>
          <w:tcPr>
            <w:tcW w:w="5901" w:type="dxa"/>
          </w:tcPr>
          <w:p w14:paraId="23436540" w14:textId="77777777" w:rsidR="00DE713C" w:rsidRPr="0089105D" w:rsidRDefault="00DE713C" w:rsidP="00DC1A44">
            <w:pPr>
              <w:spacing w:line="360" w:lineRule="auto"/>
              <w:jc w:val="both"/>
              <w:rPr>
                <w:rFonts w:asciiTheme="majorHAnsi" w:hAnsiTheme="majorHAnsi" w:cstheme="majorHAnsi"/>
                <w:lang w:val="en-GB"/>
              </w:rPr>
            </w:pPr>
            <w:r w:rsidRPr="0089105D">
              <w:rPr>
                <w:rFonts w:asciiTheme="majorHAnsi" w:hAnsiTheme="majorHAnsi" w:cstheme="majorHAnsi"/>
                <w:lang w:val="en-GB"/>
              </w:rPr>
              <w:t xml:space="preserve">Economic growth in </w:t>
            </w:r>
            <w:proofErr w:type="spellStart"/>
            <w:r w:rsidRPr="0089105D">
              <w:rPr>
                <w:rFonts w:asciiTheme="majorHAnsi" w:hAnsiTheme="majorHAnsi" w:cstheme="majorHAnsi"/>
                <w:lang w:val="en-GB"/>
              </w:rPr>
              <w:t>sportlight</w:t>
            </w:r>
            <w:proofErr w:type="spellEnd"/>
            <w:r w:rsidRPr="0089105D">
              <w:rPr>
                <w:rFonts w:asciiTheme="majorHAnsi" w:hAnsiTheme="majorHAnsi" w:cstheme="majorHAnsi"/>
                <w:lang w:val="en-GB"/>
              </w:rPr>
              <w:t xml:space="preserve"> whilst overlooking social and environmental impact, Overlooking environmental sustainability, (</w:t>
            </w:r>
            <w:proofErr w:type="spellStart"/>
            <w:r w:rsidRPr="0089105D">
              <w:rPr>
                <w:rFonts w:asciiTheme="majorHAnsi" w:hAnsiTheme="majorHAnsi" w:cstheme="majorHAnsi"/>
                <w:lang w:val="en-GB"/>
              </w:rPr>
              <w:t>Steindl</w:t>
            </w:r>
            <w:proofErr w:type="spellEnd"/>
            <w:r w:rsidRPr="0089105D">
              <w:rPr>
                <w:rFonts w:asciiTheme="majorHAnsi" w:hAnsiTheme="majorHAnsi" w:cstheme="majorHAnsi"/>
                <w:lang w:val="en-GB"/>
              </w:rPr>
              <w:t xml:space="preserve">, 2022),  </w:t>
            </w:r>
          </w:p>
        </w:tc>
      </w:tr>
      <w:tr w:rsidR="0089105D" w:rsidRPr="0089105D" w14:paraId="1FF64C01" w14:textId="77777777" w:rsidTr="00DC1A44">
        <w:trPr>
          <w:trHeight w:val="487"/>
        </w:trPr>
        <w:tc>
          <w:tcPr>
            <w:tcW w:w="739" w:type="dxa"/>
          </w:tcPr>
          <w:p w14:paraId="12844906" w14:textId="77777777" w:rsidR="00DE713C" w:rsidRPr="0089105D" w:rsidRDefault="00DE713C" w:rsidP="00DC1A44">
            <w:pPr>
              <w:spacing w:line="360" w:lineRule="auto"/>
              <w:jc w:val="both"/>
              <w:rPr>
                <w:rFonts w:asciiTheme="majorHAnsi" w:hAnsiTheme="majorHAnsi" w:cstheme="majorHAnsi"/>
                <w:lang w:val="en-GB"/>
              </w:rPr>
            </w:pPr>
            <w:r w:rsidRPr="0089105D">
              <w:rPr>
                <w:rFonts w:asciiTheme="majorHAnsi" w:hAnsiTheme="majorHAnsi" w:cstheme="majorHAnsi"/>
                <w:lang w:val="en-GB"/>
              </w:rPr>
              <w:t>9</w:t>
            </w:r>
          </w:p>
        </w:tc>
        <w:tc>
          <w:tcPr>
            <w:tcW w:w="2828" w:type="dxa"/>
          </w:tcPr>
          <w:p w14:paraId="77F2234C" w14:textId="77777777" w:rsidR="00DE713C" w:rsidRPr="0089105D" w:rsidRDefault="00DE713C" w:rsidP="00DC1A44">
            <w:pPr>
              <w:spacing w:line="360" w:lineRule="auto"/>
              <w:jc w:val="both"/>
              <w:rPr>
                <w:rFonts w:asciiTheme="majorHAnsi" w:hAnsiTheme="majorHAnsi" w:cstheme="majorHAnsi"/>
                <w:lang w:val="en-GB"/>
              </w:rPr>
            </w:pPr>
            <w:r w:rsidRPr="0089105D">
              <w:rPr>
                <w:rFonts w:asciiTheme="majorHAnsi" w:hAnsiTheme="majorHAnsi" w:cstheme="majorHAnsi"/>
                <w:lang w:val="en-GB"/>
              </w:rPr>
              <w:t>Industry, innovation and infrastructure</w:t>
            </w:r>
          </w:p>
        </w:tc>
        <w:tc>
          <w:tcPr>
            <w:tcW w:w="5901" w:type="dxa"/>
          </w:tcPr>
          <w:p w14:paraId="1F411CB0" w14:textId="5D5F767E" w:rsidR="00DE713C" w:rsidRPr="0089105D" w:rsidRDefault="00DE713C" w:rsidP="00DC1A44">
            <w:pPr>
              <w:spacing w:line="360" w:lineRule="auto"/>
              <w:jc w:val="both"/>
              <w:rPr>
                <w:rFonts w:asciiTheme="majorHAnsi" w:hAnsiTheme="majorHAnsi" w:cstheme="majorHAnsi"/>
                <w:lang w:val="en-GB"/>
              </w:rPr>
            </w:pPr>
            <w:r w:rsidRPr="0089105D">
              <w:rPr>
                <w:rFonts w:asciiTheme="majorHAnsi" w:hAnsiTheme="majorHAnsi" w:cstheme="majorHAnsi"/>
                <w:lang w:val="en-GB"/>
              </w:rPr>
              <w:t xml:space="preserve">Limited focus on rural areas, </w:t>
            </w:r>
            <w:r w:rsidR="00291F96" w:rsidRPr="0089105D">
              <w:rPr>
                <w:rFonts w:asciiTheme="majorHAnsi" w:hAnsiTheme="majorHAnsi" w:cstheme="majorHAnsi"/>
                <w:lang w:val="en-GB"/>
              </w:rPr>
              <w:t>solely</w:t>
            </w:r>
            <w:r w:rsidRPr="0089105D">
              <w:rPr>
                <w:rFonts w:asciiTheme="majorHAnsi" w:hAnsiTheme="majorHAnsi" w:cstheme="majorHAnsi"/>
                <w:lang w:val="en-GB"/>
              </w:rPr>
              <w:t xml:space="preserve"> focusing on technology transfer, (</w:t>
            </w:r>
            <w:proofErr w:type="spellStart"/>
            <w:r w:rsidRPr="0089105D">
              <w:rPr>
                <w:rFonts w:asciiTheme="majorHAnsi" w:hAnsiTheme="majorHAnsi" w:cstheme="majorHAnsi"/>
                <w:lang w:val="en-GB"/>
              </w:rPr>
              <w:t>Kufeoglu</w:t>
            </w:r>
            <w:proofErr w:type="spellEnd"/>
            <w:r w:rsidRPr="0089105D">
              <w:rPr>
                <w:rFonts w:asciiTheme="majorHAnsi" w:hAnsiTheme="majorHAnsi" w:cstheme="majorHAnsi"/>
                <w:lang w:val="en-GB"/>
              </w:rPr>
              <w:t xml:space="preserve">, 2020), </w:t>
            </w:r>
          </w:p>
        </w:tc>
      </w:tr>
      <w:tr w:rsidR="0089105D" w:rsidRPr="0089105D" w14:paraId="37AF103B" w14:textId="77777777" w:rsidTr="00DC1A44">
        <w:trPr>
          <w:trHeight w:val="468"/>
        </w:trPr>
        <w:tc>
          <w:tcPr>
            <w:tcW w:w="739" w:type="dxa"/>
          </w:tcPr>
          <w:p w14:paraId="46CE8174" w14:textId="77777777" w:rsidR="00DE713C" w:rsidRPr="0089105D" w:rsidRDefault="00DE713C" w:rsidP="00DC1A44">
            <w:pPr>
              <w:spacing w:line="360" w:lineRule="auto"/>
              <w:jc w:val="both"/>
              <w:rPr>
                <w:rFonts w:asciiTheme="majorHAnsi" w:hAnsiTheme="majorHAnsi" w:cstheme="majorHAnsi"/>
                <w:lang w:val="en-GB"/>
              </w:rPr>
            </w:pPr>
            <w:r w:rsidRPr="0089105D">
              <w:rPr>
                <w:rFonts w:asciiTheme="majorHAnsi" w:hAnsiTheme="majorHAnsi" w:cstheme="majorHAnsi"/>
                <w:lang w:val="en-GB"/>
              </w:rPr>
              <w:t>10</w:t>
            </w:r>
          </w:p>
        </w:tc>
        <w:tc>
          <w:tcPr>
            <w:tcW w:w="2828" w:type="dxa"/>
          </w:tcPr>
          <w:p w14:paraId="7B4916BA" w14:textId="77777777" w:rsidR="00DE713C" w:rsidRPr="0089105D" w:rsidRDefault="00DE713C" w:rsidP="00DC1A44">
            <w:pPr>
              <w:spacing w:line="360" w:lineRule="auto"/>
              <w:jc w:val="both"/>
              <w:rPr>
                <w:rFonts w:asciiTheme="majorHAnsi" w:hAnsiTheme="majorHAnsi" w:cstheme="majorHAnsi"/>
                <w:lang w:val="en-GB"/>
              </w:rPr>
            </w:pPr>
            <w:r w:rsidRPr="0089105D">
              <w:rPr>
                <w:rFonts w:asciiTheme="majorHAnsi" w:hAnsiTheme="majorHAnsi" w:cstheme="majorHAnsi"/>
                <w:lang w:val="en-GB"/>
              </w:rPr>
              <w:t xml:space="preserve">Reduced inequalities </w:t>
            </w:r>
          </w:p>
        </w:tc>
        <w:tc>
          <w:tcPr>
            <w:tcW w:w="5901" w:type="dxa"/>
          </w:tcPr>
          <w:p w14:paraId="3DF9EABC" w14:textId="77777777" w:rsidR="00DE713C" w:rsidRPr="0089105D" w:rsidRDefault="00DE713C" w:rsidP="00DC1A44">
            <w:pPr>
              <w:spacing w:line="360" w:lineRule="auto"/>
              <w:jc w:val="both"/>
              <w:rPr>
                <w:rFonts w:asciiTheme="majorHAnsi" w:hAnsiTheme="majorHAnsi" w:cstheme="majorHAnsi"/>
                <w:lang w:val="en-GB"/>
              </w:rPr>
            </w:pPr>
            <w:r w:rsidRPr="0089105D">
              <w:rPr>
                <w:rFonts w:asciiTheme="majorHAnsi" w:hAnsiTheme="majorHAnsi" w:cstheme="majorHAnsi"/>
                <w:lang w:val="en-GB"/>
              </w:rPr>
              <w:t>I</w:t>
            </w:r>
            <w:proofErr w:type="spellStart"/>
            <w:r w:rsidRPr="0089105D">
              <w:rPr>
                <w:rFonts w:asciiTheme="majorHAnsi" w:hAnsiTheme="majorHAnsi" w:cstheme="majorHAnsi"/>
              </w:rPr>
              <w:t>nadequate</w:t>
            </w:r>
            <w:proofErr w:type="spellEnd"/>
            <w:r w:rsidRPr="0089105D">
              <w:rPr>
                <w:rFonts w:asciiTheme="majorHAnsi" w:hAnsiTheme="majorHAnsi" w:cstheme="majorHAnsi"/>
              </w:rPr>
              <w:t xml:space="preserve"> focus on intersectionality, Limited focus on wealth inequality, </w:t>
            </w:r>
            <w:r w:rsidRPr="0089105D">
              <w:rPr>
                <w:rFonts w:asciiTheme="majorHAnsi" w:hAnsiTheme="majorHAnsi" w:cstheme="majorHAnsi"/>
                <w:lang w:val="en-GB"/>
              </w:rPr>
              <w:t>(</w:t>
            </w:r>
            <w:proofErr w:type="spellStart"/>
            <w:r w:rsidRPr="0089105D">
              <w:rPr>
                <w:rFonts w:asciiTheme="majorHAnsi" w:hAnsiTheme="majorHAnsi" w:cstheme="majorHAnsi"/>
                <w:lang w:val="en-GB"/>
              </w:rPr>
              <w:t>Oerther</w:t>
            </w:r>
            <w:proofErr w:type="spellEnd"/>
            <w:r w:rsidRPr="0089105D">
              <w:rPr>
                <w:rFonts w:asciiTheme="majorHAnsi" w:hAnsiTheme="majorHAnsi" w:cstheme="majorHAnsi"/>
                <w:lang w:val="en-GB"/>
              </w:rPr>
              <w:t>, 2020),</w:t>
            </w:r>
          </w:p>
        </w:tc>
      </w:tr>
      <w:tr w:rsidR="0089105D" w:rsidRPr="0089105D" w14:paraId="2C3AE420" w14:textId="77777777" w:rsidTr="00DC1A44">
        <w:trPr>
          <w:trHeight w:val="468"/>
        </w:trPr>
        <w:tc>
          <w:tcPr>
            <w:tcW w:w="739" w:type="dxa"/>
          </w:tcPr>
          <w:p w14:paraId="520E6A6B" w14:textId="77777777" w:rsidR="00DE713C" w:rsidRPr="0089105D" w:rsidRDefault="00DE713C" w:rsidP="00DC1A44">
            <w:pPr>
              <w:spacing w:line="360" w:lineRule="auto"/>
              <w:jc w:val="both"/>
              <w:rPr>
                <w:rFonts w:asciiTheme="majorHAnsi" w:hAnsiTheme="majorHAnsi" w:cstheme="majorHAnsi"/>
                <w:lang w:val="en-GB"/>
              </w:rPr>
            </w:pPr>
            <w:r w:rsidRPr="0089105D">
              <w:rPr>
                <w:rFonts w:asciiTheme="majorHAnsi" w:hAnsiTheme="majorHAnsi" w:cstheme="majorHAnsi"/>
                <w:lang w:val="en-GB"/>
              </w:rPr>
              <w:lastRenderedPageBreak/>
              <w:t>11</w:t>
            </w:r>
          </w:p>
        </w:tc>
        <w:tc>
          <w:tcPr>
            <w:tcW w:w="2828" w:type="dxa"/>
          </w:tcPr>
          <w:p w14:paraId="0E15738D" w14:textId="77777777" w:rsidR="00DE713C" w:rsidRPr="0089105D" w:rsidRDefault="00DE713C" w:rsidP="00DC1A44">
            <w:pPr>
              <w:spacing w:line="360" w:lineRule="auto"/>
              <w:jc w:val="both"/>
              <w:rPr>
                <w:rFonts w:asciiTheme="majorHAnsi" w:hAnsiTheme="majorHAnsi" w:cstheme="majorHAnsi"/>
                <w:lang w:val="en-GB"/>
              </w:rPr>
            </w:pPr>
            <w:r w:rsidRPr="0089105D">
              <w:rPr>
                <w:rFonts w:asciiTheme="majorHAnsi" w:hAnsiTheme="majorHAnsi" w:cstheme="majorHAnsi"/>
                <w:lang w:val="en-GB"/>
              </w:rPr>
              <w:t xml:space="preserve">Sustainable cities and communities </w:t>
            </w:r>
          </w:p>
        </w:tc>
        <w:tc>
          <w:tcPr>
            <w:tcW w:w="5901" w:type="dxa"/>
          </w:tcPr>
          <w:p w14:paraId="67FE922E" w14:textId="2AE123A3" w:rsidR="00DE713C" w:rsidRPr="0089105D" w:rsidRDefault="00DE713C" w:rsidP="00DC1A44">
            <w:pPr>
              <w:spacing w:line="360" w:lineRule="auto"/>
              <w:jc w:val="both"/>
              <w:rPr>
                <w:rFonts w:asciiTheme="majorHAnsi" w:hAnsiTheme="majorHAnsi" w:cstheme="majorHAnsi"/>
                <w:lang w:val="en-GB"/>
              </w:rPr>
            </w:pPr>
            <w:r w:rsidRPr="0089105D">
              <w:rPr>
                <w:rFonts w:asciiTheme="majorHAnsi" w:hAnsiTheme="majorHAnsi" w:cstheme="majorHAnsi"/>
                <w:lang w:val="en-GB"/>
              </w:rPr>
              <w:t xml:space="preserve">No higher focus on rural areas, Utterly overlooking social inequality, </w:t>
            </w:r>
            <w:r w:rsidR="00291F96" w:rsidRPr="0089105D">
              <w:rPr>
                <w:rFonts w:asciiTheme="majorHAnsi" w:hAnsiTheme="majorHAnsi" w:cstheme="majorHAnsi"/>
                <w:lang w:val="en-GB"/>
              </w:rPr>
              <w:t>contradictions, (</w:t>
            </w:r>
            <w:proofErr w:type="spellStart"/>
            <w:r w:rsidRPr="0089105D">
              <w:rPr>
                <w:rFonts w:asciiTheme="majorHAnsi" w:hAnsiTheme="majorHAnsi" w:cstheme="majorHAnsi"/>
                <w:lang w:val="en-GB"/>
              </w:rPr>
              <w:t>Songuepta</w:t>
            </w:r>
            <w:proofErr w:type="spellEnd"/>
            <w:r w:rsidRPr="0089105D">
              <w:rPr>
                <w:rFonts w:asciiTheme="majorHAnsi" w:hAnsiTheme="majorHAnsi" w:cstheme="majorHAnsi"/>
                <w:lang w:val="en-GB"/>
              </w:rPr>
              <w:t xml:space="preserve">, 2020) </w:t>
            </w:r>
          </w:p>
        </w:tc>
      </w:tr>
      <w:tr w:rsidR="0089105D" w:rsidRPr="0089105D" w14:paraId="7A585C99" w14:textId="77777777" w:rsidTr="00DC1A44">
        <w:trPr>
          <w:trHeight w:val="468"/>
        </w:trPr>
        <w:tc>
          <w:tcPr>
            <w:tcW w:w="739" w:type="dxa"/>
          </w:tcPr>
          <w:p w14:paraId="6A4E6B4D" w14:textId="77777777" w:rsidR="00DE713C" w:rsidRPr="0089105D" w:rsidRDefault="00DE713C" w:rsidP="00DC1A44">
            <w:pPr>
              <w:spacing w:line="360" w:lineRule="auto"/>
              <w:jc w:val="both"/>
              <w:rPr>
                <w:rFonts w:asciiTheme="majorHAnsi" w:hAnsiTheme="majorHAnsi" w:cstheme="majorHAnsi"/>
                <w:lang w:val="en-GB"/>
              </w:rPr>
            </w:pPr>
            <w:r w:rsidRPr="0089105D">
              <w:rPr>
                <w:rFonts w:asciiTheme="majorHAnsi" w:hAnsiTheme="majorHAnsi" w:cstheme="majorHAnsi"/>
                <w:lang w:val="en-GB"/>
              </w:rPr>
              <w:t>12</w:t>
            </w:r>
          </w:p>
        </w:tc>
        <w:tc>
          <w:tcPr>
            <w:tcW w:w="2828" w:type="dxa"/>
          </w:tcPr>
          <w:p w14:paraId="5D775458" w14:textId="77777777" w:rsidR="00DE713C" w:rsidRPr="0089105D" w:rsidRDefault="00DE713C" w:rsidP="00DC1A44">
            <w:pPr>
              <w:spacing w:line="360" w:lineRule="auto"/>
              <w:jc w:val="both"/>
              <w:rPr>
                <w:rFonts w:asciiTheme="majorHAnsi" w:hAnsiTheme="majorHAnsi" w:cstheme="majorHAnsi"/>
                <w:lang w:val="en-GB"/>
              </w:rPr>
            </w:pPr>
            <w:r w:rsidRPr="0089105D">
              <w:rPr>
                <w:rFonts w:asciiTheme="majorHAnsi" w:hAnsiTheme="majorHAnsi" w:cstheme="majorHAnsi"/>
                <w:lang w:val="en-GB"/>
              </w:rPr>
              <w:t>Responsible consumption and production</w:t>
            </w:r>
          </w:p>
        </w:tc>
        <w:tc>
          <w:tcPr>
            <w:tcW w:w="5901" w:type="dxa"/>
          </w:tcPr>
          <w:p w14:paraId="45EB98F9" w14:textId="77777777" w:rsidR="00DE713C" w:rsidRPr="0089105D" w:rsidRDefault="00DE713C" w:rsidP="00DC1A44">
            <w:pPr>
              <w:spacing w:line="360" w:lineRule="auto"/>
              <w:jc w:val="both"/>
              <w:rPr>
                <w:rFonts w:asciiTheme="majorHAnsi" w:hAnsiTheme="majorHAnsi" w:cstheme="majorHAnsi"/>
                <w:lang w:val="en-GB"/>
              </w:rPr>
            </w:pPr>
            <w:r w:rsidRPr="0089105D">
              <w:rPr>
                <w:rFonts w:asciiTheme="majorHAnsi" w:hAnsiTheme="majorHAnsi" w:cstheme="majorHAnsi"/>
                <w:lang w:val="en-GB"/>
              </w:rPr>
              <w:t xml:space="preserve">Not applied on corporate responsibility adequately, Lack of recognition of Global North-South </w:t>
            </w:r>
            <w:proofErr w:type="spellStart"/>
            <w:r w:rsidRPr="0089105D">
              <w:rPr>
                <w:rFonts w:asciiTheme="majorHAnsi" w:hAnsiTheme="majorHAnsi" w:cstheme="majorHAnsi"/>
                <w:lang w:val="en-GB"/>
              </w:rPr>
              <w:t>divison</w:t>
            </w:r>
            <w:proofErr w:type="spellEnd"/>
            <w:r w:rsidRPr="0089105D">
              <w:rPr>
                <w:rFonts w:asciiTheme="majorHAnsi" w:hAnsiTheme="majorHAnsi" w:cstheme="majorHAnsi"/>
                <w:lang w:val="en-GB"/>
              </w:rPr>
              <w:t xml:space="preserve">, (Gasper, 2019) </w:t>
            </w:r>
          </w:p>
        </w:tc>
      </w:tr>
      <w:tr w:rsidR="0089105D" w:rsidRPr="0089105D" w14:paraId="0656067C" w14:textId="77777777" w:rsidTr="00DC1A44">
        <w:trPr>
          <w:trHeight w:val="468"/>
        </w:trPr>
        <w:tc>
          <w:tcPr>
            <w:tcW w:w="739" w:type="dxa"/>
          </w:tcPr>
          <w:p w14:paraId="2AE5591D" w14:textId="77777777" w:rsidR="00DE713C" w:rsidRPr="0089105D" w:rsidRDefault="00DE713C" w:rsidP="00DC1A44">
            <w:pPr>
              <w:spacing w:line="360" w:lineRule="auto"/>
              <w:jc w:val="both"/>
              <w:rPr>
                <w:rFonts w:asciiTheme="majorHAnsi" w:hAnsiTheme="majorHAnsi" w:cstheme="majorHAnsi"/>
                <w:lang w:val="en-GB"/>
              </w:rPr>
            </w:pPr>
            <w:r w:rsidRPr="0089105D">
              <w:rPr>
                <w:rFonts w:asciiTheme="majorHAnsi" w:hAnsiTheme="majorHAnsi" w:cstheme="majorHAnsi"/>
                <w:lang w:val="en-GB"/>
              </w:rPr>
              <w:t>13</w:t>
            </w:r>
          </w:p>
        </w:tc>
        <w:tc>
          <w:tcPr>
            <w:tcW w:w="2828" w:type="dxa"/>
          </w:tcPr>
          <w:p w14:paraId="3B986701" w14:textId="77777777" w:rsidR="00DE713C" w:rsidRPr="0089105D" w:rsidRDefault="00DE713C" w:rsidP="00DC1A44">
            <w:pPr>
              <w:spacing w:line="360" w:lineRule="auto"/>
              <w:jc w:val="both"/>
              <w:rPr>
                <w:rFonts w:asciiTheme="majorHAnsi" w:hAnsiTheme="majorHAnsi" w:cstheme="majorHAnsi"/>
                <w:lang w:val="en-GB"/>
              </w:rPr>
            </w:pPr>
            <w:r w:rsidRPr="0089105D">
              <w:rPr>
                <w:rFonts w:asciiTheme="majorHAnsi" w:hAnsiTheme="majorHAnsi" w:cstheme="majorHAnsi"/>
                <w:lang w:val="en-GB"/>
              </w:rPr>
              <w:t>Climate Change</w:t>
            </w:r>
          </w:p>
        </w:tc>
        <w:tc>
          <w:tcPr>
            <w:tcW w:w="5901" w:type="dxa"/>
          </w:tcPr>
          <w:p w14:paraId="60B4776A" w14:textId="7B2FF9C0" w:rsidR="00DE713C" w:rsidRPr="0089105D" w:rsidRDefault="00DE713C" w:rsidP="00DC1A44">
            <w:pPr>
              <w:spacing w:line="360" w:lineRule="auto"/>
              <w:jc w:val="both"/>
              <w:rPr>
                <w:rFonts w:asciiTheme="majorHAnsi" w:hAnsiTheme="majorHAnsi" w:cstheme="majorHAnsi"/>
                <w:lang w:val="en-GB"/>
              </w:rPr>
            </w:pPr>
            <w:r w:rsidRPr="0089105D">
              <w:rPr>
                <w:rFonts w:asciiTheme="majorHAnsi" w:hAnsiTheme="majorHAnsi" w:cstheme="majorHAnsi"/>
                <w:lang w:val="en-GB"/>
              </w:rPr>
              <w:t xml:space="preserve">Limited scope of climate change adaptation, Not integrated sufficiently into the SDG framework, </w:t>
            </w:r>
            <w:r w:rsidR="00291F96" w:rsidRPr="0089105D">
              <w:rPr>
                <w:rFonts w:asciiTheme="majorHAnsi" w:hAnsiTheme="majorHAnsi" w:cstheme="majorHAnsi"/>
                <w:lang w:val="en-GB"/>
              </w:rPr>
              <w:t>oftentimes</w:t>
            </w:r>
            <w:r w:rsidRPr="0089105D">
              <w:rPr>
                <w:rFonts w:asciiTheme="majorHAnsi" w:hAnsiTheme="majorHAnsi" w:cstheme="majorHAnsi"/>
                <w:lang w:val="en-GB"/>
              </w:rPr>
              <w:t xml:space="preserve"> subject to trade-offs, </w:t>
            </w:r>
          </w:p>
        </w:tc>
      </w:tr>
      <w:tr w:rsidR="0089105D" w:rsidRPr="0089105D" w14:paraId="0D91FDE6" w14:textId="77777777" w:rsidTr="00DC1A44">
        <w:trPr>
          <w:trHeight w:val="487"/>
        </w:trPr>
        <w:tc>
          <w:tcPr>
            <w:tcW w:w="739" w:type="dxa"/>
          </w:tcPr>
          <w:p w14:paraId="2D4388E2" w14:textId="77777777" w:rsidR="00DE713C" w:rsidRPr="0089105D" w:rsidRDefault="00DE713C" w:rsidP="00DC1A44">
            <w:pPr>
              <w:spacing w:line="360" w:lineRule="auto"/>
              <w:jc w:val="both"/>
              <w:rPr>
                <w:rFonts w:asciiTheme="majorHAnsi" w:hAnsiTheme="majorHAnsi" w:cstheme="majorHAnsi"/>
                <w:lang w:val="en-GB"/>
              </w:rPr>
            </w:pPr>
            <w:r w:rsidRPr="0089105D">
              <w:rPr>
                <w:rFonts w:asciiTheme="majorHAnsi" w:hAnsiTheme="majorHAnsi" w:cstheme="majorHAnsi"/>
                <w:lang w:val="en-GB"/>
              </w:rPr>
              <w:t>14</w:t>
            </w:r>
          </w:p>
        </w:tc>
        <w:tc>
          <w:tcPr>
            <w:tcW w:w="2828" w:type="dxa"/>
          </w:tcPr>
          <w:p w14:paraId="12E704AB" w14:textId="77777777" w:rsidR="00DE713C" w:rsidRPr="0089105D" w:rsidRDefault="00DE713C" w:rsidP="00DC1A44">
            <w:pPr>
              <w:spacing w:line="360" w:lineRule="auto"/>
              <w:jc w:val="both"/>
              <w:rPr>
                <w:rFonts w:asciiTheme="majorHAnsi" w:hAnsiTheme="majorHAnsi" w:cstheme="majorHAnsi"/>
                <w:lang w:val="en-GB"/>
              </w:rPr>
            </w:pPr>
            <w:r w:rsidRPr="0089105D">
              <w:rPr>
                <w:rFonts w:asciiTheme="majorHAnsi" w:hAnsiTheme="majorHAnsi" w:cstheme="majorHAnsi"/>
                <w:lang w:val="en-GB"/>
              </w:rPr>
              <w:t>Life below water</w:t>
            </w:r>
          </w:p>
        </w:tc>
        <w:tc>
          <w:tcPr>
            <w:tcW w:w="5901" w:type="dxa"/>
          </w:tcPr>
          <w:p w14:paraId="43AAE14C" w14:textId="77777777" w:rsidR="00DE713C" w:rsidRPr="0089105D" w:rsidRDefault="00DE713C" w:rsidP="00DC1A44">
            <w:pPr>
              <w:spacing w:line="360" w:lineRule="auto"/>
              <w:jc w:val="both"/>
              <w:rPr>
                <w:rFonts w:asciiTheme="majorHAnsi" w:hAnsiTheme="majorHAnsi" w:cstheme="majorHAnsi"/>
                <w:lang w:val="en-GB"/>
              </w:rPr>
            </w:pPr>
            <w:r w:rsidRPr="0089105D">
              <w:rPr>
                <w:rFonts w:asciiTheme="majorHAnsi" w:hAnsiTheme="majorHAnsi" w:cstheme="majorHAnsi"/>
                <w:lang w:val="en-GB"/>
              </w:rPr>
              <w:t xml:space="preserve">Higher degree of ambition is needed to be codified in the indicators, Not considering the global governance in terms of the oceans, (Baker, 2023), </w:t>
            </w:r>
          </w:p>
        </w:tc>
      </w:tr>
      <w:tr w:rsidR="0089105D" w:rsidRPr="0089105D" w14:paraId="710CBE8E" w14:textId="77777777" w:rsidTr="00DC1A44">
        <w:trPr>
          <w:trHeight w:val="468"/>
        </w:trPr>
        <w:tc>
          <w:tcPr>
            <w:tcW w:w="739" w:type="dxa"/>
          </w:tcPr>
          <w:p w14:paraId="34C61980" w14:textId="77777777" w:rsidR="00DE713C" w:rsidRPr="0089105D" w:rsidRDefault="00DE713C" w:rsidP="00DC1A44">
            <w:pPr>
              <w:spacing w:line="360" w:lineRule="auto"/>
              <w:jc w:val="both"/>
              <w:rPr>
                <w:rFonts w:asciiTheme="majorHAnsi" w:hAnsiTheme="majorHAnsi" w:cstheme="majorHAnsi"/>
                <w:lang w:val="en-GB"/>
              </w:rPr>
            </w:pPr>
            <w:r w:rsidRPr="0089105D">
              <w:rPr>
                <w:rFonts w:asciiTheme="majorHAnsi" w:hAnsiTheme="majorHAnsi" w:cstheme="majorHAnsi"/>
                <w:lang w:val="en-GB"/>
              </w:rPr>
              <w:t>15</w:t>
            </w:r>
          </w:p>
        </w:tc>
        <w:tc>
          <w:tcPr>
            <w:tcW w:w="2828" w:type="dxa"/>
          </w:tcPr>
          <w:p w14:paraId="2ECD1F24" w14:textId="77777777" w:rsidR="00DE713C" w:rsidRPr="0089105D" w:rsidRDefault="00DE713C" w:rsidP="00DC1A44">
            <w:pPr>
              <w:spacing w:line="360" w:lineRule="auto"/>
              <w:jc w:val="both"/>
              <w:rPr>
                <w:rFonts w:asciiTheme="majorHAnsi" w:hAnsiTheme="majorHAnsi" w:cstheme="majorHAnsi"/>
                <w:lang w:val="en-GB"/>
              </w:rPr>
            </w:pPr>
            <w:r w:rsidRPr="0089105D">
              <w:rPr>
                <w:rFonts w:asciiTheme="majorHAnsi" w:hAnsiTheme="majorHAnsi" w:cstheme="majorHAnsi"/>
                <w:lang w:val="en-GB"/>
              </w:rPr>
              <w:t>Life on land</w:t>
            </w:r>
          </w:p>
        </w:tc>
        <w:tc>
          <w:tcPr>
            <w:tcW w:w="5901" w:type="dxa"/>
          </w:tcPr>
          <w:p w14:paraId="0E30612D" w14:textId="43BD8159" w:rsidR="00DE713C" w:rsidRPr="0089105D" w:rsidRDefault="00291F96" w:rsidP="00DC1A44">
            <w:pPr>
              <w:spacing w:line="360" w:lineRule="auto"/>
              <w:jc w:val="both"/>
              <w:rPr>
                <w:rFonts w:asciiTheme="majorHAnsi" w:hAnsiTheme="majorHAnsi" w:cstheme="majorHAnsi"/>
                <w:lang w:val="en-GB"/>
              </w:rPr>
            </w:pPr>
            <w:r w:rsidRPr="0089105D">
              <w:rPr>
                <w:rFonts w:asciiTheme="majorHAnsi" w:hAnsiTheme="majorHAnsi" w:cstheme="majorHAnsi"/>
                <w:lang w:val="en-GB"/>
              </w:rPr>
              <w:t>Inappropriate</w:t>
            </w:r>
            <w:r w:rsidR="00DE713C" w:rsidRPr="0089105D">
              <w:rPr>
                <w:rFonts w:asciiTheme="majorHAnsi" w:hAnsiTheme="majorHAnsi" w:cstheme="majorHAnsi"/>
                <w:lang w:val="en-GB"/>
              </w:rPr>
              <w:t xml:space="preserve"> attention to land-use change, (Katila, 2020), Lack of consideration of social and economic dimensions, (Kraus, 2022),</w:t>
            </w:r>
          </w:p>
        </w:tc>
      </w:tr>
      <w:tr w:rsidR="0089105D" w:rsidRPr="0089105D" w14:paraId="01D6999A" w14:textId="77777777" w:rsidTr="00DC1A44">
        <w:trPr>
          <w:trHeight w:val="468"/>
        </w:trPr>
        <w:tc>
          <w:tcPr>
            <w:tcW w:w="739" w:type="dxa"/>
          </w:tcPr>
          <w:p w14:paraId="10F74B2B" w14:textId="77777777" w:rsidR="00DE713C" w:rsidRPr="0089105D" w:rsidRDefault="00DE713C" w:rsidP="00DC1A44">
            <w:pPr>
              <w:spacing w:line="360" w:lineRule="auto"/>
              <w:jc w:val="both"/>
              <w:rPr>
                <w:rFonts w:asciiTheme="majorHAnsi" w:hAnsiTheme="majorHAnsi" w:cstheme="majorHAnsi"/>
                <w:lang w:val="en-GB"/>
              </w:rPr>
            </w:pPr>
            <w:r w:rsidRPr="0089105D">
              <w:rPr>
                <w:rFonts w:asciiTheme="majorHAnsi" w:hAnsiTheme="majorHAnsi" w:cstheme="majorHAnsi"/>
                <w:lang w:val="en-GB"/>
              </w:rPr>
              <w:t>16</w:t>
            </w:r>
          </w:p>
        </w:tc>
        <w:tc>
          <w:tcPr>
            <w:tcW w:w="2828" w:type="dxa"/>
          </w:tcPr>
          <w:p w14:paraId="7A0B7494" w14:textId="77777777" w:rsidR="00DE713C" w:rsidRPr="0089105D" w:rsidRDefault="00DE713C" w:rsidP="00DC1A44">
            <w:pPr>
              <w:spacing w:line="360" w:lineRule="auto"/>
              <w:jc w:val="both"/>
              <w:rPr>
                <w:rFonts w:asciiTheme="majorHAnsi" w:hAnsiTheme="majorHAnsi" w:cstheme="majorHAnsi"/>
                <w:lang w:val="en-GB"/>
              </w:rPr>
            </w:pPr>
            <w:r w:rsidRPr="0089105D">
              <w:rPr>
                <w:rFonts w:asciiTheme="majorHAnsi" w:hAnsiTheme="majorHAnsi" w:cstheme="majorHAnsi"/>
                <w:lang w:val="en-GB"/>
              </w:rPr>
              <w:t xml:space="preserve">Just, peaceful and inclusive societies </w:t>
            </w:r>
          </w:p>
        </w:tc>
        <w:tc>
          <w:tcPr>
            <w:tcW w:w="5901" w:type="dxa"/>
          </w:tcPr>
          <w:p w14:paraId="2484484E" w14:textId="10E1D702" w:rsidR="00DE713C" w:rsidRPr="0089105D" w:rsidRDefault="00291F96" w:rsidP="00DC1A44">
            <w:pPr>
              <w:spacing w:line="360" w:lineRule="auto"/>
              <w:jc w:val="both"/>
              <w:rPr>
                <w:rFonts w:asciiTheme="majorHAnsi" w:hAnsiTheme="majorHAnsi" w:cstheme="majorHAnsi"/>
                <w:lang w:val="en-GB"/>
              </w:rPr>
            </w:pPr>
            <w:r w:rsidRPr="0089105D">
              <w:rPr>
                <w:rFonts w:asciiTheme="majorHAnsi" w:hAnsiTheme="majorHAnsi" w:cstheme="majorHAnsi"/>
                <w:lang w:val="en-GB"/>
              </w:rPr>
              <w:t>Ambiguous</w:t>
            </w:r>
            <w:r w:rsidR="00DE713C" w:rsidRPr="0089105D">
              <w:rPr>
                <w:rFonts w:asciiTheme="majorHAnsi" w:hAnsiTheme="majorHAnsi" w:cstheme="majorHAnsi"/>
                <w:lang w:val="en-GB"/>
              </w:rPr>
              <w:t xml:space="preserve"> indicators, Deflection from key issues, such as corruption, Limited accountability mechanisms, (Massey, 2022)</w:t>
            </w:r>
          </w:p>
        </w:tc>
      </w:tr>
      <w:tr w:rsidR="0089105D" w:rsidRPr="0089105D" w14:paraId="1BCA67B4" w14:textId="77777777" w:rsidTr="00DC1A44">
        <w:trPr>
          <w:trHeight w:val="468"/>
        </w:trPr>
        <w:tc>
          <w:tcPr>
            <w:tcW w:w="739" w:type="dxa"/>
          </w:tcPr>
          <w:p w14:paraId="20CF6471" w14:textId="77777777" w:rsidR="00DE713C" w:rsidRPr="0089105D" w:rsidRDefault="00DE713C" w:rsidP="00DC1A44">
            <w:pPr>
              <w:spacing w:line="360" w:lineRule="auto"/>
              <w:jc w:val="both"/>
              <w:rPr>
                <w:rFonts w:asciiTheme="majorHAnsi" w:hAnsiTheme="majorHAnsi" w:cstheme="majorHAnsi"/>
                <w:lang w:val="en-GB"/>
              </w:rPr>
            </w:pPr>
            <w:r w:rsidRPr="0089105D">
              <w:rPr>
                <w:rFonts w:asciiTheme="majorHAnsi" w:hAnsiTheme="majorHAnsi" w:cstheme="majorHAnsi"/>
                <w:lang w:val="en-GB"/>
              </w:rPr>
              <w:t>17</w:t>
            </w:r>
          </w:p>
        </w:tc>
        <w:tc>
          <w:tcPr>
            <w:tcW w:w="2828" w:type="dxa"/>
          </w:tcPr>
          <w:p w14:paraId="4F4CFF12" w14:textId="77777777" w:rsidR="00DE713C" w:rsidRPr="0089105D" w:rsidRDefault="00DE713C" w:rsidP="00DC1A44">
            <w:pPr>
              <w:spacing w:line="360" w:lineRule="auto"/>
              <w:jc w:val="both"/>
              <w:rPr>
                <w:rFonts w:asciiTheme="majorHAnsi" w:hAnsiTheme="majorHAnsi" w:cstheme="majorHAnsi"/>
                <w:lang w:val="en-GB"/>
              </w:rPr>
            </w:pPr>
            <w:r w:rsidRPr="0089105D">
              <w:rPr>
                <w:rFonts w:asciiTheme="majorHAnsi" w:hAnsiTheme="majorHAnsi" w:cstheme="majorHAnsi"/>
                <w:lang w:val="en-GB"/>
              </w:rPr>
              <w:t xml:space="preserve">Partnerships for the goals </w:t>
            </w:r>
          </w:p>
        </w:tc>
        <w:tc>
          <w:tcPr>
            <w:tcW w:w="5901" w:type="dxa"/>
          </w:tcPr>
          <w:p w14:paraId="57E232F9" w14:textId="65B1283E" w:rsidR="00DE713C" w:rsidRPr="0089105D" w:rsidRDefault="00DE713C" w:rsidP="00DC1A44">
            <w:pPr>
              <w:spacing w:line="360" w:lineRule="auto"/>
              <w:jc w:val="both"/>
              <w:rPr>
                <w:rFonts w:asciiTheme="majorHAnsi" w:hAnsiTheme="majorHAnsi" w:cstheme="majorHAnsi"/>
                <w:lang w:val="en-GB"/>
              </w:rPr>
            </w:pPr>
            <w:r w:rsidRPr="0089105D">
              <w:rPr>
                <w:rFonts w:asciiTheme="majorHAnsi" w:hAnsiTheme="majorHAnsi" w:cstheme="majorHAnsi"/>
                <w:lang w:val="en-GB"/>
              </w:rPr>
              <w:t>No concrete actions, Unbalanced power structure. (Filho, 202</w:t>
            </w:r>
            <w:r w:rsidR="003455A5" w:rsidRPr="0089105D">
              <w:rPr>
                <w:rFonts w:asciiTheme="majorHAnsi" w:hAnsiTheme="majorHAnsi" w:cstheme="majorHAnsi"/>
                <w:lang w:val="en-GB"/>
              </w:rPr>
              <w:t>3</w:t>
            </w:r>
            <w:r w:rsidRPr="0089105D">
              <w:rPr>
                <w:rFonts w:asciiTheme="majorHAnsi" w:hAnsiTheme="majorHAnsi" w:cstheme="majorHAnsi"/>
                <w:lang w:val="en-GB"/>
              </w:rPr>
              <w:t>)</w:t>
            </w:r>
          </w:p>
        </w:tc>
      </w:tr>
    </w:tbl>
    <w:p w14:paraId="2C27373F" w14:textId="709A6418" w:rsidR="00DE713C" w:rsidRPr="0089105D" w:rsidRDefault="00DE713C" w:rsidP="00DE713C">
      <w:pPr>
        <w:rPr>
          <w:rFonts w:asciiTheme="majorHAnsi" w:hAnsiTheme="majorHAnsi" w:cstheme="majorHAnsi"/>
        </w:rPr>
      </w:pPr>
    </w:p>
    <w:p w14:paraId="027B4502" w14:textId="49D5594C" w:rsidR="00DC1A44" w:rsidRPr="0089105D" w:rsidRDefault="00DC1A44" w:rsidP="00DC1A44">
      <w:pPr>
        <w:pStyle w:val="Caption"/>
        <w:keepNext/>
        <w:rPr>
          <w:rFonts w:asciiTheme="majorHAnsi" w:hAnsiTheme="majorHAnsi" w:cstheme="majorHAnsi"/>
          <w:color w:val="auto"/>
          <w:sz w:val="20"/>
          <w:szCs w:val="20"/>
        </w:rPr>
      </w:pPr>
      <w:bookmarkStart w:id="63" w:name="_Toc153085120"/>
      <w:bookmarkStart w:id="64" w:name="_Toc153091218"/>
      <w:bookmarkStart w:id="65" w:name="_Toc153169554"/>
      <w:r w:rsidRPr="0089105D">
        <w:rPr>
          <w:rFonts w:asciiTheme="majorHAnsi" w:hAnsiTheme="majorHAnsi" w:cstheme="majorHAnsi"/>
          <w:color w:val="auto"/>
          <w:sz w:val="20"/>
          <w:szCs w:val="20"/>
        </w:rPr>
        <w:t xml:space="preserve">Table </w:t>
      </w:r>
      <w:r w:rsidRPr="0089105D">
        <w:rPr>
          <w:rFonts w:asciiTheme="majorHAnsi" w:hAnsiTheme="majorHAnsi" w:cstheme="majorHAnsi"/>
          <w:color w:val="auto"/>
          <w:sz w:val="20"/>
          <w:szCs w:val="20"/>
        </w:rPr>
        <w:fldChar w:fldCharType="begin"/>
      </w:r>
      <w:r w:rsidRPr="0089105D">
        <w:rPr>
          <w:rFonts w:asciiTheme="majorHAnsi" w:hAnsiTheme="majorHAnsi" w:cstheme="majorHAnsi"/>
          <w:color w:val="auto"/>
          <w:sz w:val="20"/>
          <w:szCs w:val="20"/>
        </w:rPr>
        <w:instrText xml:space="preserve"> SEQ Table \* ARABIC </w:instrText>
      </w:r>
      <w:r w:rsidRPr="0089105D">
        <w:rPr>
          <w:rFonts w:asciiTheme="majorHAnsi" w:hAnsiTheme="majorHAnsi" w:cstheme="majorHAnsi"/>
          <w:color w:val="auto"/>
          <w:sz w:val="20"/>
          <w:szCs w:val="20"/>
        </w:rPr>
        <w:fldChar w:fldCharType="separate"/>
      </w:r>
      <w:r w:rsidR="004519D8" w:rsidRPr="0089105D">
        <w:rPr>
          <w:rFonts w:asciiTheme="majorHAnsi" w:hAnsiTheme="majorHAnsi" w:cstheme="majorHAnsi"/>
          <w:noProof/>
          <w:color w:val="auto"/>
          <w:sz w:val="20"/>
          <w:szCs w:val="20"/>
        </w:rPr>
        <w:t>14</w:t>
      </w:r>
      <w:r w:rsidRPr="0089105D">
        <w:rPr>
          <w:rFonts w:asciiTheme="majorHAnsi" w:hAnsiTheme="majorHAnsi" w:cstheme="majorHAnsi"/>
          <w:noProof/>
          <w:color w:val="auto"/>
          <w:sz w:val="20"/>
          <w:szCs w:val="20"/>
        </w:rPr>
        <w:fldChar w:fldCharType="end"/>
      </w:r>
      <w:r w:rsidRPr="0089105D">
        <w:rPr>
          <w:rFonts w:asciiTheme="majorHAnsi" w:hAnsiTheme="majorHAnsi" w:cstheme="majorHAnsi"/>
          <w:color w:val="auto"/>
          <w:sz w:val="20"/>
          <w:szCs w:val="20"/>
        </w:rPr>
        <w:t xml:space="preserve"> This table provides summary of criticism of separate SDGs</w:t>
      </w:r>
      <w:bookmarkEnd w:id="63"/>
      <w:bookmarkEnd w:id="64"/>
      <w:bookmarkEnd w:id="65"/>
    </w:p>
    <w:p w14:paraId="6DFEF024" w14:textId="684F85FE" w:rsidR="00845EAF" w:rsidRPr="0089105D" w:rsidRDefault="00845EAF" w:rsidP="00DE713C">
      <w:pPr>
        <w:rPr>
          <w:rFonts w:asciiTheme="majorHAnsi" w:hAnsiTheme="majorHAnsi" w:cstheme="majorHAnsi"/>
        </w:rPr>
      </w:pPr>
    </w:p>
    <w:p w14:paraId="4DD45749" w14:textId="66256894" w:rsidR="00845EAF" w:rsidRPr="0089105D" w:rsidRDefault="00845EAF" w:rsidP="00DE713C">
      <w:pPr>
        <w:rPr>
          <w:rFonts w:asciiTheme="majorHAnsi" w:hAnsiTheme="majorHAnsi" w:cstheme="majorHAnsi"/>
        </w:rPr>
      </w:pPr>
    </w:p>
    <w:p w14:paraId="4429E688" w14:textId="77777777" w:rsidR="00845EAF" w:rsidRPr="0089105D" w:rsidRDefault="00845EAF" w:rsidP="00DE713C">
      <w:pPr>
        <w:rPr>
          <w:rFonts w:asciiTheme="majorHAnsi" w:hAnsiTheme="majorHAnsi" w:cstheme="majorHAnsi"/>
        </w:rPr>
      </w:pPr>
    </w:p>
    <w:p w14:paraId="4455F20B" w14:textId="77777777" w:rsidR="00DE713C" w:rsidRPr="0089105D" w:rsidRDefault="00DE713C" w:rsidP="00501463">
      <w:pPr>
        <w:pStyle w:val="Heading1"/>
        <w:rPr>
          <w:rFonts w:cstheme="majorHAnsi"/>
          <w:color w:val="auto"/>
          <w:lang w:val="en-GB"/>
        </w:rPr>
      </w:pPr>
    </w:p>
    <w:p w14:paraId="5E6341B9" w14:textId="032A515E" w:rsidR="00DE713C" w:rsidRPr="0089105D" w:rsidRDefault="00DE713C" w:rsidP="00501463">
      <w:pPr>
        <w:pStyle w:val="Heading1"/>
        <w:rPr>
          <w:rFonts w:cstheme="majorHAnsi"/>
          <w:color w:val="auto"/>
          <w:lang w:val="en-GB"/>
        </w:rPr>
      </w:pPr>
    </w:p>
    <w:p w14:paraId="098044F0" w14:textId="18E1711A" w:rsidR="00DC1A44" w:rsidRPr="0089105D" w:rsidRDefault="00DC1A44" w:rsidP="00DC1A44">
      <w:pPr>
        <w:rPr>
          <w:lang w:val="en-GB"/>
        </w:rPr>
      </w:pPr>
    </w:p>
    <w:p w14:paraId="1BBCA89D" w14:textId="2F9D3FC7" w:rsidR="00DC1A44" w:rsidRPr="0089105D" w:rsidRDefault="00DC1A44" w:rsidP="00DC1A44">
      <w:pPr>
        <w:rPr>
          <w:lang w:val="en-GB"/>
        </w:rPr>
      </w:pPr>
    </w:p>
    <w:p w14:paraId="3EA481FC" w14:textId="481B63B8" w:rsidR="00DC1A44" w:rsidRPr="0089105D" w:rsidRDefault="00DC1A44" w:rsidP="00DC1A44">
      <w:pPr>
        <w:rPr>
          <w:lang w:val="en-GB"/>
        </w:rPr>
      </w:pPr>
    </w:p>
    <w:p w14:paraId="5DCD70CB" w14:textId="2D6D0B9E" w:rsidR="00DC1A44" w:rsidRPr="0089105D" w:rsidRDefault="00DC1A44" w:rsidP="00DC1A44">
      <w:pPr>
        <w:rPr>
          <w:lang w:val="en-GB"/>
        </w:rPr>
      </w:pPr>
    </w:p>
    <w:p w14:paraId="4B636724" w14:textId="3F78B981" w:rsidR="00DC1A44" w:rsidRPr="0089105D" w:rsidRDefault="00DC1A44" w:rsidP="00DC1A44">
      <w:pPr>
        <w:rPr>
          <w:lang w:val="en-GB"/>
        </w:rPr>
      </w:pPr>
    </w:p>
    <w:p w14:paraId="15715325" w14:textId="378F7EA5" w:rsidR="00DC1A44" w:rsidRPr="0089105D" w:rsidRDefault="00DC1A44" w:rsidP="00DC1A44">
      <w:pPr>
        <w:rPr>
          <w:lang w:val="en-GB"/>
        </w:rPr>
      </w:pPr>
    </w:p>
    <w:p w14:paraId="16FA4F5E" w14:textId="1BC3914F" w:rsidR="00DC1A44" w:rsidRPr="0089105D" w:rsidRDefault="00DC1A44" w:rsidP="00DC1A44">
      <w:pPr>
        <w:rPr>
          <w:lang w:val="en-GB"/>
        </w:rPr>
      </w:pPr>
    </w:p>
    <w:p w14:paraId="38AA341B" w14:textId="77777777" w:rsidR="00DC1A44" w:rsidRPr="0089105D" w:rsidRDefault="00DC1A44" w:rsidP="00DC1A44">
      <w:pPr>
        <w:rPr>
          <w:lang w:val="en-GB"/>
        </w:rPr>
      </w:pPr>
    </w:p>
    <w:p w14:paraId="3FEABB5F" w14:textId="77777777" w:rsidR="00DE713C" w:rsidRPr="0089105D" w:rsidRDefault="00DE713C" w:rsidP="00DE713C">
      <w:pPr>
        <w:rPr>
          <w:rFonts w:asciiTheme="majorHAnsi" w:hAnsiTheme="majorHAnsi" w:cstheme="majorHAnsi"/>
          <w:lang w:val="en-GB"/>
        </w:rPr>
      </w:pPr>
    </w:p>
    <w:p w14:paraId="01955479" w14:textId="01C2274D" w:rsidR="00684C8A" w:rsidRPr="0089105D" w:rsidRDefault="00684C8A" w:rsidP="00501463">
      <w:pPr>
        <w:pStyle w:val="Heading1"/>
        <w:rPr>
          <w:rFonts w:cstheme="majorHAnsi"/>
          <w:b/>
          <w:bCs/>
          <w:color w:val="auto"/>
          <w:lang w:val="en-GB"/>
        </w:rPr>
      </w:pPr>
      <w:bookmarkStart w:id="66" w:name="_Toc153142471"/>
      <w:bookmarkStart w:id="67" w:name="_Toc153187402"/>
      <w:r w:rsidRPr="0089105D">
        <w:rPr>
          <w:rFonts w:cstheme="majorHAnsi"/>
          <w:b/>
          <w:bCs/>
          <w:color w:val="auto"/>
          <w:lang w:val="en-GB"/>
        </w:rPr>
        <w:lastRenderedPageBreak/>
        <w:t xml:space="preserve">CHAPTER 3: </w:t>
      </w:r>
      <w:r w:rsidR="00457E03" w:rsidRPr="0089105D">
        <w:rPr>
          <w:rFonts w:cstheme="majorHAnsi"/>
          <w:b/>
          <w:bCs/>
          <w:color w:val="auto"/>
          <w:lang w:val="en-GB"/>
        </w:rPr>
        <w:t>DESCRIBING CRITICISM OF SDGS AS FRAMEWORK</w:t>
      </w:r>
      <w:bookmarkEnd w:id="66"/>
      <w:bookmarkEnd w:id="67"/>
      <w:r w:rsidR="00457E03" w:rsidRPr="0089105D">
        <w:rPr>
          <w:rFonts w:cstheme="majorHAnsi"/>
          <w:b/>
          <w:bCs/>
          <w:color w:val="auto"/>
          <w:lang w:val="en-GB"/>
        </w:rPr>
        <w:t xml:space="preserve"> </w:t>
      </w:r>
    </w:p>
    <w:p w14:paraId="6847D0F5" w14:textId="111A0751" w:rsidR="00501463" w:rsidRPr="0089105D" w:rsidRDefault="004519D8" w:rsidP="004519D8">
      <w:pPr>
        <w:pStyle w:val="Heading1"/>
        <w:numPr>
          <w:ilvl w:val="1"/>
          <w:numId w:val="18"/>
        </w:numPr>
        <w:rPr>
          <w:rFonts w:cstheme="majorHAnsi"/>
          <w:b/>
          <w:bCs/>
          <w:color w:val="auto"/>
          <w:lang w:val="en-GB"/>
        </w:rPr>
      </w:pPr>
      <w:bookmarkStart w:id="68" w:name="_Toc153142472"/>
      <w:r w:rsidRPr="0089105D">
        <w:rPr>
          <w:rFonts w:cstheme="majorHAnsi"/>
          <w:b/>
          <w:bCs/>
          <w:color w:val="auto"/>
          <w:lang w:val="en-GB"/>
        </w:rPr>
        <w:t xml:space="preserve"> </w:t>
      </w:r>
      <w:bookmarkStart w:id="69" w:name="_Toc153187403"/>
      <w:r w:rsidR="00501463" w:rsidRPr="0089105D">
        <w:rPr>
          <w:rFonts w:cstheme="majorHAnsi"/>
          <w:b/>
          <w:bCs/>
          <w:color w:val="auto"/>
          <w:lang w:val="en-GB"/>
        </w:rPr>
        <w:t>Internal clashes</w:t>
      </w:r>
      <w:bookmarkEnd w:id="68"/>
      <w:bookmarkEnd w:id="69"/>
    </w:p>
    <w:p w14:paraId="2E977263" w14:textId="030C1024" w:rsidR="009458ED" w:rsidRPr="0089105D" w:rsidRDefault="009458ED" w:rsidP="009458ED">
      <w:pPr>
        <w:rPr>
          <w:lang w:val="en-GB"/>
        </w:rPr>
      </w:pPr>
    </w:p>
    <w:p w14:paraId="00D3F632" w14:textId="3C25CD8D" w:rsidR="009458ED" w:rsidRPr="0089105D" w:rsidRDefault="009458ED" w:rsidP="009458ED">
      <w:pPr>
        <w:spacing w:line="360" w:lineRule="auto"/>
        <w:jc w:val="both"/>
        <w:rPr>
          <w:rFonts w:asciiTheme="majorHAnsi" w:hAnsiTheme="majorHAnsi" w:cstheme="majorHAnsi"/>
          <w:lang w:val="en-GB"/>
        </w:rPr>
      </w:pPr>
      <w:r w:rsidRPr="0089105D">
        <w:rPr>
          <w:rFonts w:asciiTheme="majorHAnsi" w:hAnsiTheme="majorHAnsi" w:cstheme="majorHAnsi"/>
          <w:lang w:val="en-GB"/>
        </w:rPr>
        <w:t>The primary and most frequently identified criticism emerging from the data analysis revolve</w:t>
      </w:r>
      <w:r w:rsidRPr="0089105D">
        <w:rPr>
          <w:rFonts w:asciiTheme="majorHAnsi" w:hAnsiTheme="majorHAnsi" w:cstheme="majorHAnsi"/>
          <w:lang w:val="en-GB"/>
        </w:rPr>
        <w:t xml:space="preserve">d </w:t>
      </w:r>
      <w:r w:rsidRPr="0089105D">
        <w:rPr>
          <w:rFonts w:asciiTheme="majorHAnsi" w:hAnsiTheme="majorHAnsi" w:cstheme="majorHAnsi"/>
          <w:lang w:val="en-GB"/>
        </w:rPr>
        <w:t>around the tension</w:t>
      </w:r>
      <w:r w:rsidRPr="0089105D">
        <w:rPr>
          <w:rFonts w:asciiTheme="majorHAnsi" w:hAnsiTheme="majorHAnsi" w:cstheme="majorHAnsi"/>
          <w:lang w:val="en-GB"/>
        </w:rPr>
        <w:t xml:space="preserve"> and clashes</w:t>
      </w:r>
      <w:r w:rsidRPr="0089105D">
        <w:rPr>
          <w:rFonts w:asciiTheme="majorHAnsi" w:hAnsiTheme="majorHAnsi" w:cstheme="majorHAnsi"/>
          <w:lang w:val="en-GB"/>
        </w:rPr>
        <w:t xml:space="preserve"> between different</w:t>
      </w:r>
      <w:r w:rsidRPr="0089105D">
        <w:rPr>
          <w:rFonts w:asciiTheme="majorHAnsi" w:hAnsiTheme="majorHAnsi" w:cstheme="majorHAnsi"/>
          <w:lang w:val="en-GB"/>
        </w:rPr>
        <w:t xml:space="preserve"> SDGs</w:t>
      </w:r>
      <w:r w:rsidRPr="0089105D">
        <w:rPr>
          <w:rFonts w:asciiTheme="majorHAnsi" w:hAnsiTheme="majorHAnsi" w:cstheme="majorHAnsi"/>
          <w:lang w:val="en-GB"/>
        </w:rPr>
        <w:t xml:space="preserve">. The literature predominantly underscores two pivotal types of clashes. The first and most prominent </w:t>
      </w:r>
      <w:proofErr w:type="spellStart"/>
      <w:r w:rsidRPr="0089105D">
        <w:rPr>
          <w:rFonts w:asciiTheme="majorHAnsi" w:hAnsiTheme="majorHAnsi" w:cstheme="majorHAnsi"/>
          <w:lang w:val="en-GB"/>
        </w:rPr>
        <w:t>centers</w:t>
      </w:r>
      <w:proofErr w:type="spellEnd"/>
      <w:r w:rsidRPr="0089105D">
        <w:rPr>
          <w:rFonts w:asciiTheme="majorHAnsi" w:hAnsiTheme="majorHAnsi" w:cstheme="majorHAnsi"/>
          <w:lang w:val="en-GB"/>
        </w:rPr>
        <w:t xml:space="preserve"> on the conflict between SDG 8, which emphasizes economic growth, and environmental goals. This clash is particularly pronounced, echoing concerns about prioritizing economic interests over environmental considerations. Secondly, there is a noteworthy tension between SDG 2 and SDG 6, which will be further explored in the subsequent discussion. </w:t>
      </w:r>
    </w:p>
    <w:p w14:paraId="318250C7" w14:textId="77777777" w:rsidR="00034D68" w:rsidRPr="0089105D" w:rsidRDefault="00034D68" w:rsidP="00034D68">
      <w:pPr>
        <w:rPr>
          <w:rFonts w:asciiTheme="majorHAnsi" w:hAnsiTheme="majorHAnsi" w:cstheme="majorHAnsi"/>
          <w:b/>
          <w:bCs/>
          <w:lang w:val="en-GB"/>
        </w:rPr>
      </w:pPr>
    </w:p>
    <w:p w14:paraId="3FC60607" w14:textId="109AD565" w:rsidR="00501463" w:rsidRPr="0089105D" w:rsidRDefault="00501463" w:rsidP="004519D8">
      <w:pPr>
        <w:pStyle w:val="Heading2"/>
        <w:numPr>
          <w:ilvl w:val="0"/>
          <w:numId w:val="19"/>
        </w:numPr>
        <w:rPr>
          <w:rFonts w:cstheme="majorHAnsi"/>
          <w:b/>
          <w:bCs/>
          <w:color w:val="auto"/>
          <w:lang w:val="en-GB"/>
        </w:rPr>
      </w:pPr>
      <w:bookmarkStart w:id="70" w:name="_Toc132266331"/>
      <w:bookmarkStart w:id="71" w:name="_Toc153142473"/>
      <w:bookmarkStart w:id="72" w:name="_Toc153187404"/>
      <w:r w:rsidRPr="0089105D">
        <w:rPr>
          <w:rFonts w:cstheme="majorHAnsi"/>
          <w:b/>
          <w:bCs/>
          <w:color w:val="auto"/>
          <w:lang w:val="en-GB"/>
        </w:rPr>
        <w:t>Economic g</w:t>
      </w:r>
      <w:proofErr w:type="spellStart"/>
      <w:r w:rsidRPr="0089105D">
        <w:rPr>
          <w:rFonts w:cstheme="majorHAnsi"/>
          <w:b/>
          <w:bCs/>
          <w:color w:val="auto"/>
        </w:rPr>
        <w:t>rowth</w:t>
      </w:r>
      <w:proofErr w:type="spellEnd"/>
      <w:r w:rsidRPr="0089105D">
        <w:rPr>
          <w:rFonts w:cstheme="majorHAnsi"/>
          <w:b/>
          <w:bCs/>
          <w:color w:val="auto"/>
        </w:rPr>
        <w:t xml:space="preserve"> </w:t>
      </w:r>
      <w:r w:rsidRPr="0089105D">
        <w:rPr>
          <w:rFonts w:cstheme="majorHAnsi"/>
          <w:b/>
          <w:bCs/>
          <w:color w:val="auto"/>
          <w:lang w:val="en-GB"/>
        </w:rPr>
        <w:t xml:space="preserve">(SDG 8) versus the </w:t>
      </w:r>
      <w:r w:rsidRPr="0089105D">
        <w:rPr>
          <w:rFonts w:cstheme="majorHAnsi"/>
          <w:b/>
          <w:bCs/>
          <w:color w:val="auto"/>
        </w:rPr>
        <w:t>environment</w:t>
      </w:r>
      <w:r w:rsidRPr="0089105D">
        <w:rPr>
          <w:rFonts w:cstheme="majorHAnsi"/>
          <w:b/>
          <w:bCs/>
          <w:color w:val="auto"/>
          <w:lang w:val="en-GB"/>
        </w:rPr>
        <w:t xml:space="preserve"> (SDG 6, 12, 13, 14, 15)</w:t>
      </w:r>
      <w:bookmarkEnd w:id="70"/>
      <w:bookmarkEnd w:id="71"/>
      <w:bookmarkEnd w:id="72"/>
      <w:r w:rsidRPr="0089105D">
        <w:rPr>
          <w:rFonts w:cstheme="majorHAnsi"/>
          <w:b/>
          <w:bCs/>
          <w:color w:val="auto"/>
          <w:lang w:val="en-GB"/>
        </w:rPr>
        <w:t xml:space="preserve"> </w:t>
      </w:r>
    </w:p>
    <w:p w14:paraId="09C88C94" w14:textId="114B6BF9" w:rsidR="0023287E" w:rsidRPr="0089105D" w:rsidRDefault="00501463" w:rsidP="009458ED">
      <w:pPr>
        <w:spacing w:line="360" w:lineRule="auto"/>
        <w:jc w:val="both"/>
        <w:rPr>
          <w:rFonts w:asciiTheme="majorHAnsi" w:hAnsiTheme="majorHAnsi" w:cstheme="majorHAnsi"/>
          <w:lang w:val="en-GB"/>
        </w:rPr>
      </w:pPr>
      <w:r w:rsidRPr="0089105D">
        <w:rPr>
          <w:rFonts w:asciiTheme="majorHAnsi" w:hAnsiTheme="majorHAnsi" w:cstheme="majorHAnsi"/>
          <w:lang w:val="en-GB"/>
        </w:rPr>
        <w:t xml:space="preserve"> </w:t>
      </w:r>
    </w:p>
    <w:p w14:paraId="40249700" w14:textId="77777777" w:rsidR="00DD1102" w:rsidRPr="0089105D" w:rsidRDefault="00DD1102" w:rsidP="0023287E">
      <w:pPr>
        <w:pStyle w:val="FootnoteText"/>
        <w:spacing w:line="360" w:lineRule="auto"/>
        <w:jc w:val="both"/>
        <w:rPr>
          <w:rFonts w:asciiTheme="majorHAnsi" w:hAnsiTheme="majorHAnsi" w:cstheme="majorHAnsi"/>
          <w:sz w:val="24"/>
          <w:szCs w:val="24"/>
          <w:lang w:val="cs-CZ"/>
        </w:rPr>
      </w:pPr>
      <w:bookmarkStart w:id="73" w:name="_Hlk153170695"/>
      <w:bookmarkStart w:id="74" w:name="_Hlk153171030"/>
    </w:p>
    <w:p w14:paraId="7F98BDA2" w14:textId="458E81B8" w:rsidR="00DD1102" w:rsidRPr="0089105D" w:rsidRDefault="00DD1102" w:rsidP="00DD1102">
      <w:pPr>
        <w:spacing w:line="360" w:lineRule="auto"/>
        <w:jc w:val="both"/>
        <w:rPr>
          <w:rFonts w:ascii="Times New Roman" w:hAnsi="Times New Roman" w:cs="Times New Roman"/>
        </w:rPr>
      </w:pPr>
      <w:r w:rsidRPr="0089105D">
        <w:rPr>
          <w:rFonts w:ascii="Times New Roman" w:hAnsi="Times New Roman" w:cs="Times New Roman"/>
        </w:rPr>
        <w:t>To dig deeper into the clash, it</w:t>
      </w:r>
      <w:r w:rsidR="003703D1" w:rsidRPr="0089105D">
        <w:rPr>
          <w:rFonts w:ascii="Times New Roman" w:hAnsi="Times New Roman" w:cs="Times New Roman"/>
        </w:rPr>
        <w:t xml:space="preserve"> is</w:t>
      </w:r>
      <w:r w:rsidRPr="0089105D">
        <w:rPr>
          <w:rFonts w:ascii="Times New Roman" w:hAnsi="Times New Roman" w:cs="Times New Roman"/>
        </w:rPr>
        <w:t xml:space="preserve"> crucial to examine SDG 8, which strives for sustained economic growth at a rate of “at least 7 percent of GDP per annum” (United Nations, 2015). The crux of the issue lies in the observation that economic growth often gives rise to unsustainable and environmentally damaging practices, accompanied by intensified industrialization. This raises concerns about the potential environmental repercussions.</w:t>
      </w:r>
      <w:r w:rsidR="003703D1" w:rsidRPr="0089105D">
        <w:rPr>
          <w:rFonts w:ascii="Times New Roman" w:hAnsi="Times New Roman" w:cs="Times New Roman"/>
        </w:rPr>
        <w:t xml:space="preserve"> (</w:t>
      </w:r>
      <w:proofErr w:type="spellStart"/>
      <w:r w:rsidR="003703D1" w:rsidRPr="0089105D">
        <w:rPr>
          <w:rFonts w:ascii="Times New Roman" w:hAnsi="Times New Roman" w:cs="Times New Roman"/>
        </w:rPr>
        <w:t>Novovic</w:t>
      </w:r>
      <w:proofErr w:type="spellEnd"/>
      <w:r w:rsidR="003703D1" w:rsidRPr="0089105D">
        <w:rPr>
          <w:rFonts w:ascii="Times New Roman" w:hAnsi="Times New Roman" w:cs="Times New Roman"/>
        </w:rPr>
        <w:t>, 2021</w:t>
      </w:r>
      <w:r w:rsidR="003703D1" w:rsidRPr="0089105D">
        <w:rPr>
          <w:rFonts w:ascii="Times New Roman" w:hAnsi="Times New Roman" w:cs="Times New Roman"/>
        </w:rPr>
        <w:t>)</w:t>
      </w:r>
    </w:p>
    <w:p w14:paraId="73AAADEE" w14:textId="77777777" w:rsidR="00DD1102" w:rsidRPr="0089105D" w:rsidRDefault="00DD1102" w:rsidP="00DD1102">
      <w:pPr>
        <w:spacing w:line="360" w:lineRule="auto"/>
        <w:jc w:val="both"/>
        <w:rPr>
          <w:rFonts w:ascii="Times New Roman" w:hAnsi="Times New Roman" w:cs="Times New Roman"/>
        </w:rPr>
      </w:pPr>
    </w:p>
    <w:p w14:paraId="21AFF2AE" w14:textId="65D2D1B3" w:rsidR="00DD1102" w:rsidRPr="0089105D" w:rsidRDefault="00DD1102" w:rsidP="00DD1102">
      <w:pPr>
        <w:spacing w:line="360" w:lineRule="auto"/>
        <w:jc w:val="both"/>
        <w:rPr>
          <w:rFonts w:ascii="Times New Roman" w:hAnsi="Times New Roman" w:cs="Times New Roman"/>
        </w:rPr>
      </w:pPr>
      <w:r w:rsidRPr="0089105D">
        <w:rPr>
          <w:rFonts w:ascii="Times New Roman" w:hAnsi="Times New Roman" w:cs="Times New Roman"/>
        </w:rPr>
        <w:t>The underlying assumption supporting SDG 8 is that economic growth acts as a pivotal tool, mobilizing financial resources for the realization of other SDGs, such as SDG 1, 2, and 3 (United Nations, 2015). However, Hickel (201</w:t>
      </w:r>
      <w:r w:rsidR="00DA6076" w:rsidRPr="0089105D">
        <w:rPr>
          <w:rFonts w:ascii="Times New Roman" w:hAnsi="Times New Roman" w:cs="Times New Roman"/>
        </w:rPr>
        <w:t>9</w:t>
      </w:r>
      <w:r w:rsidRPr="0089105D">
        <w:rPr>
          <w:rFonts w:ascii="Times New Roman" w:hAnsi="Times New Roman" w:cs="Times New Roman"/>
        </w:rPr>
        <w:t>) challenges this notion, emphasizing that beyond a certain threshold, additional GDP becomes non-essential for achieving these goals, particularly in the case of high-income countries (Hickel, 201</w:t>
      </w:r>
      <w:r w:rsidR="00DA6076" w:rsidRPr="0089105D">
        <w:rPr>
          <w:rFonts w:ascii="Times New Roman" w:hAnsi="Times New Roman" w:cs="Times New Roman"/>
        </w:rPr>
        <w:t>9</w:t>
      </w:r>
      <w:r w:rsidRPr="0089105D">
        <w:rPr>
          <w:rFonts w:ascii="Times New Roman" w:hAnsi="Times New Roman" w:cs="Times New Roman"/>
        </w:rPr>
        <w:t>, p. 880). This critical perspective adds a layer of complexity to the discussion, questioning the necessity of prioritizing continuous economic growth in achieving sustainable development goals, especially in more affluent nations.</w:t>
      </w:r>
      <w:r w:rsidR="00DA6076" w:rsidRPr="0089105D">
        <w:rPr>
          <w:rFonts w:ascii="Times New Roman" w:hAnsi="Times New Roman" w:cs="Times New Roman"/>
        </w:rPr>
        <w:t xml:space="preserve"> </w:t>
      </w:r>
      <w:r w:rsidR="00F22A61" w:rsidRPr="0089105D">
        <w:rPr>
          <w:rFonts w:ascii="Times New Roman" w:hAnsi="Times New Roman" w:cs="Times New Roman"/>
        </w:rPr>
        <w:t xml:space="preserve">And also, what about the fulfillment of this goal by developing countries? </w:t>
      </w:r>
    </w:p>
    <w:p w14:paraId="6A2BE063" w14:textId="304C338C" w:rsidR="00DA6076" w:rsidRPr="0089105D" w:rsidRDefault="00DA6076" w:rsidP="00DD1102">
      <w:pPr>
        <w:spacing w:line="360" w:lineRule="auto"/>
        <w:jc w:val="both"/>
        <w:rPr>
          <w:rFonts w:ascii="Times New Roman" w:hAnsi="Times New Roman" w:cs="Times New Roman"/>
        </w:rPr>
      </w:pPr>
    </w:p>
    <w:p w14:paraId="39C34E30" w14:textId="77777777" w:rsidR="00F22A61" w:rsidRPr="0089105D" w:rsidRDefault="00F22A61" w:rsidP="00F22A61">
      <w:pPr>
        <w:spacing w:line="360" w:lineRule="auto"/>
        <w:jc w:val="both"/>
        <w:rPr>
          <w:rFonts w:ascii="Times New Roman" w:hAnsi="Times New Roman" w:cs="Times New Roman"/>
        </w:rPr>
      </w:pPr>
      <w:r w:rsidRPr="0089105D">
        <w:rPr>
          <w:rFonts w:ascii="Times New Roman" w:hAnsi="Times New Roman" w:cs="Times New Roman"/>
        </w:rPr>
        <w:t xml:space="preserve">According to the statistics by the UNCTAD (2023) the economies of the 46 Least developed countries are based on agrarian revenues. (UNCTAD, 2023) It is also immensely important to </w:t>
      </w:r>
      <w:r w:rsidRPr="0089105D">
        <w:rPr>
          <w:rFonts w:ascii="Times New Roman" w:hAnsi="Times New Roman" w:cs="Times New Roman"/>
        </w:rPr>
        <w:lastRenderedPageBreak/>
        <w:t xml:space="preserve">highlight that the actors in agriculture of these countries encounter colossal hardship caused by the natural hazards linked to climate change, such as drought, extreme temperatures or seasonal floods. In terms of increasing their GDPs, Rostow (1962) in his theory analyzed particular stages of the transformation from agrarian economies towards the industrial deflect, and emphasized that it takes five steps, more precisely “The Traditional Society”, “Pre-conditions to take off”, “The Takeoff, Drive to Maturity” which results in “Age of High-Mass Consumption” which with its nature and concept highly environmentally unsustainable. (Rostow, 1962) If this aspect would be applied on the least developed countries it could lead to environmentally detrimental practices. </w:t>
      </w:r>
    </w:p>
    <w:p w14:paraId="149B4B40" w14:textId="77777777" w:rsidR="00F22A61" w:rsidRPr="0089105D" w:rsidRDefault="00F22A61" w:rsidP="00F22A61">
      <w:pPr>
        <w:spacing w:line="360" w:lineRule="auto"/>
        <w:jc w:val="both"/>
        <w:rPr>
          <w:rFonts w:ascii="Times New Roman" w:hAnsi="Times New Roman" w:cs="Times New Roman"/>
        </w:rPr>
      </w:pPr>
    </w:p>
    <w:p w14:paraId="59167E5F" w14:textId="2EB3ED58" w:rsidR="00F22A61" w:rsidRPr="0089105D" w:rsidRDefault="00F22A61" w:rsidP="00F22A61">
      <w:pPr>
        <w:spacing w:line="360" w:lineRule="auto"/>
        <w:jc w:val="both"/>
        <w:rPr>
          <w:rFonts w:ascii="Times New Roman" w:hAnsi="Times New Roman" w:cs="Times New Roman"/>
        </w:rPr>
      </w:pPr>
      <w:r w:rsidRPr="0089105D">
        <w:rPr>
          <w:rFonts w:ascii="Times New Roman" w:hAnsi="Times New Roman" w:cs="Times New Roman"/>
        </w:rPr>
        <w:t>Nonetheless, there is another paradigm</w:t>
      </w:r>
      <w:r w:rsidRPr="0089105D">
        <w:rPr>
          <w:rFonts w:ascii="Times New Roman" w:hAnsi="Times New Roman" w:cs="Times New Roman"/>
        </w:rPr>
        <w:t xml:space="preserve"> called the Environmental Kuznets Curve, which</w:t>
      </w:r>
      <w:r w:rsidRPr="0089105D">
        <w:rPr>
          <w:rFonts w:ascii="Times New Roman" w:hAnsi="Times New Roman" w:cs="Times New Roman"/>
        </w:rPr>
        <w:t xml:space="preserve"> indicates that with the increasing economic growth the environmental damage initially increases, however soon reaches the turning point which will gradually stabilize the environmental damage resulting in its fall even though the economic growth will persist. </w:t>
      </w:r>
      <w:r w:rsidRPr="0089105D">
        <w:rPr>
          <w:rFonts w:ascii="Times New Roman" w:hAnsi="Times New Roman" w:cs="Times New Roman"/>
        </w:rPr>
        <w:t xml:space="preserve">Its visual explanation can be found below. </w:t>
      </w:r>
    </w:p>
    <w:p w14:paraId="0C76513F" w14:textId="150EE080" w:rsidR="00F22A61" w:rsidRPr="0089105D" w:rsidRDefault="00F22A61" w:rsidP="00F22A61">
      <w:pPr>
        <w:spacing w:line="360" w:lineRule="auto"/>
        <w:jc w:val="both"/>
        <w:rPr>
          <w:rFonts w:ascii="Times New Roman" w:hAnsi="Times New Roman" w:cs="Times New Roman"/>
        </w:rPr>
      </w:pPr>
      <w:r w:rsidRPr="0089105D">
        <w:rPr>
          <w:rFonts w:asciiTheme="majorHAnsi" w:hAnsiTheme="majorHAnsi" w:cstheme="majorHAnsi"/>
          <w:noProof/>
          <w:highlight w:val="yellow"/>
        </w:rPr>
        <w:drawing>
          <wp:anchor distT="0" distB="0" distL="114300" distR="114300" simplePos="0" relativeHeight="251679744" behindDoc="0" locked="0" layoutInCell="1" allowOverlap="1" wp14:anchorId="6215C5C2" wp14:editId="6A0F691F">
            <wp:simplePos x="0" y="0"/>
            <wp:positionH relativeFrom="margin">
              <wp:posOffset>812800</wp:posOffset>
            </wp:positionH>
            <wp:positionV relativeFrom="paragraph">
              <wp:posOffset>226272</wp:posOffset>
            </wp:positionV>
            <wp:extent cx="3463200" cy="1958658"/>
            <wp:effectExtent l="0" t="0" r="4445" b="3810"/>
            <wp:wrapThrough wrapText="bothSides">
              <wp:wrapPolygon edited="0">
                <wp:start x="0" y="0"/>
                <wp:lineTo x="0" y="21432"/>
                <wp:lineTo x="21509" y="21432"/>
                <wp:lineTo x="21509" y="0"/>
                <wp:lineTo x="0" y="0"/>
              </wp:wrapPolygon>
            </wp:wrapThrough>
            <wp:docPr id="13" name="Picture 13" descr="Introducing John Vidal to the environmental Kuznets curve — Adam Smith  Instit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roducing John Vidal to the environmental Kuznets curve — Adam Smith  Institut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463200" cy="1958658"/>
                    </a:xfrm>
                    <a:prstGeom prst="rect">
                      <a:avLst/>
                    </a:prstGeom>
                    <a:noFill/>
                    <a:ln>
                      <a:noFill/>
                    </a:ln>
                  </pic:spPr>
                </pic:pic>
              </a:graphicData>
            </a:graphic>
          </wp:anchor>
        </w:drawing>
      </w:r>
    </w:p>
    <w:p w14:paraId="41B14F06" w14:textId="5A101E99" w:rsidR="00F22A61" w:rsidRPr="0089105D" w:rsidRDefault="00F22A61" w:rsidP="00F22A61">
      <w:pPr>
        <w:spacing w:line="360" w:lineRule="auto"/>
        <w:jc w:val="both"/>
        <w:rPr>
          <w:rFonts w:ascii="Times New Roman" w:hAnsi="Times New Roman" w:cs="Times New Roman"/>
        </w:rPr>
      </w:pPr>
    </w:p>
    <w:p w14:paraId="67EDC347" w14:textId="77777777" w:rsidR="00F22A61" w:rsidRPr="0089105D" w:rsidRDefault="00F22A61" w:rsidP="00F22A61">
      <w:pPr>
        <w:spacing w:line="360" w:lineRule="auto"/>
        <w:jc w:val="both"/>
        <w:rPr>
          <w:rFonts w:ascii="Times New Roman" w:hAnsi="Times New Roman" w:cs="Times New Roman"/>
        </w:rPr>
      </w:pPr>
    </w:p>
    <w:p w14:paraId="1102C3F4" w14:textId="77777777" w:rsidR="00F22A61" w:rsidRPr="0089105D" w:rsidRDefault="00F22A61" w:rsidP="00F22A61">
      <w:pPr>
        <w:spacing w:line="360" w:lineRule="auto"/>
        <w:jc w:val="both"/>
        <w:rPr>
          <w:rFonts w:ascii="Times New Roman" w:hAnsi="Times New Roman" w:cs="Times New Roman"/>
        </w:rPr>
      </w:pPr>
    </w:p>
    <w:p w14:paraId="4C3379D6" w14:textId="4C91EBC6" w:rsidR="00F22A61" w:rsidRPr="0089105D" w:rsidRDefault="00F22A61" w:rsidP="00F22A61">
      <w:pPr>
        <w:spacing w:line="360" w:lineRule="auto"/>
        <w:jc w:val="both"/>
        <w:rPr>
          <w:rFonts w:ascii="Times New Roman" w:hAnsi="Times New Roman" w:cs="Times New Roman"/>
        </w:rPr>
      </w:pPr>
    </w:p>
    <w:p w14:paraId="439F2893" w14:textId="77777777" w:rsidR="00F22A61" w:rsidRPr="0089105D" w:rsidRDefault="00F22A61" w:rsidP="00F22A61">
      <w:pPr>
        <w:spacing w:line="360" w:lineRule="auto"/>
        <w:jc w:val="both"/>
        <w:rPr>
          <w:rFonts w:ascii="Times New Roman" w:hAnsi="Times New Roman" w:cs="Times New Roman"/>
        </w:rPr>
      </w:pPr>
    </w:p>
    <w:p w14:paraId="12FCD457" w14:textId="76C7529B" w:rsidR="00F22A61" w:rsidRPr="0089105D" w:rsidRDefault="00F22A61" w:rsidP="00F22A61">
      <w:pPr>
        <w:spacing w:line="360" w:lineRule="auto"/>
        <w:jc w:val="both"/>
        <w:rPr>
          <w:rFonts w:ascii="Times New Roman" w:hAnsi="Times New Roman" w:cs="Times New Roman"/>
        </w:rPr>
      </w:pPr>
    </w:p>
    <w:p w14:paraId="57B908C8" w14:textId="42E7666C" w:rsidR="00F22A61" w:rsidRPr="0089105D" w:rsidRDefault="00F22A61" w:rsidP="00F22A61">
      <w:pPr>
        <w:spacing w:line="360" w:lineRule="auto"/>
        <w:jc w:val="both"/>
        <w:rPr>
          <w:rFonts w:ascii="Times New Roman" w:hAnsi="Times New Roman" w:cs="Times New Roman"/>
        </w:rPr>
      </w:pPr>
    </w:p>
    <w:p w14:paraId="42510FBB" w14:textId="3AD55240" w:rsidR="00F22A61" w:rsidRPr="0089105D" w:rsidRDefault="00F22A61" w:rsidP="00F22A61">
      <w:pPr>
        <w:spacing w:line="360" w:lineRule="auto"/>
        <w:jc w:val="both"/>
        <w:rPr>
          <w:rFonts w:ascii="Times New Roman" w:hAnsi="Times New Roman" w:cs="Times New Roman"/>
        </w:rPr>
      </w:pPr>
    </w:p>
    <w:p w14:paraId="24C12882" w14:textId="6684418B" w:rsidR="00F22A61" w:rsidRPr="0089105D" w:rsidRDefault="00F22A61" w:rsidP="00F22A61">
      <w:pPr>
        <w:spacing w:line="360" w:lineRule="auto"/>
        <w:jc w:val="both"/>
        <w:rPr>
          <w:rFonts w:ascii="Times New Roman" w:hAnsi="Times New Roman" w:cs="Times New Roman"/>
        </w:rPr>
      </w:pPr>
      <w:r w:rsidRPr="0089105D">
        <w:rPr>
          <w:noProof/>
          <w:highlight w:val="yellow"/>
        </w:rPr>
        <mc:AlternateContent>
          <mc:Choice Requires="wps">
            <w:drawing>
              <wp:anchor distT="0" distB="0" distL="114300" distR="114300" simplePos="0" relativeHeight="251667456" behindDoc="0" locked="0" layoutInCell="1" allowOverlap="1" wp14:anchorId="3459047E" wp14:editId="5DF5AA5B">
                <wp:simplePos x="0" y="0"/>
                <wp:positionH relativeFrom="margin">
                  <wp:posOffset>895138</wp:posOffset>
                </wp:positionH>
                <wp:positionV relativeFrom="paragraph">
                  <wp:posOffset>20955</wp:posOffset>
                </wp:positionV>
                <wp:extent cx="3462655" cy="457200"/>
                <wp:effectExtent l="0" t="0" r="4445" b="0"/>
                <wp:wrapThrough wrapText="bothSides">
                  <wp:wrapPolygon edited="0">
                    <wp:start x="0" y="0"/>
                    <wp:lineTo x="0" y="20700"/>
                    <wp:lineTo x="21509" y="20700"/>
                    <wp:lineTo x="21509" y="0"/>
                    <wp:lineTo x="0" y="0"/>
                  </wp:wrapPolygon>
                </wp:wrapThrough>
                <wp:docPr id="6" name="Text Box 6"/>
                <wp:cNvGraphicFramePr/>
                <a:graphic xmlns:a="http://schemas.openxmlformats.org/drawingml/2006/main">
                  <a:graphicData uri="http://schemas.microsoft.com/office/word/2010/wordprocessingShape">
                    <wps:wsp>
                      <wps:cNvSpPr txBox="1"/>
                      <wps:spPr>
                        <a:xfrm>
                          <a:off x="0" y="0"/>
                          <a:ext cx="3462655" cy="457200"/>
                        </a:xfrm>
                        <a:prstGeom prst="rect">
                          <a:avLst/>
                        </a:prstGeom>
                        <a:solidFill>
                          <a:prstClr val="white"/>
                        </a:solidFill>
                        <a:ln>
                          <a:noFill/>
                        </a:ln>
                      </wps:spPr>
                      <wps:txbx>
                        <w:txbxContent>
                          <w:p w14:paraId="653A35FA" w14:textId="14C4835E" w:rsidR="00E910A1" w:rsidRPr="00D325C2" w:rsidRDefault="00E910A1" w:rsidP="00E910A1">
                            <w:pPr>
                              <w:pStyle w:val="Caption"/>
                              <w:rPr>
                                <w:rFonts w:asciiTheme="majorHAnsi" w:hAnsiTheme="majorHAnsi" w:cstheme="majorHAnsi"/>
                                <w:noProof/>
                                <w:kern w:val="2"/>
                                <w:sz w:val="28"/>
                                <w:szCs w:val="28"/>
                                <w14:ligatures w14:val="standardContextual"/>
                              </w:rPr>
                            </w:pPr>
                            <w:bookmarkStart w:id="75" w:name="_Toc153085121"/>
                            <w:bookmarkStart w:id="76" w:name="_Toc153091219"/>
                            <w:bookmarkStart w:id="77" w:name="_Toc153169555"/>
                            <w:r w:rsidRPr="00D325C2">
                              <w:rPr>
                                <w:rFonts w:asciiTheme="majorHAnsi" w:hAnsiTheme="majorHAnsi" w:cstheme="majorHAnsi"/>
                                <w:sz w:val="20"/>
                                <w:szCs w:val="20"/>
                              </w:rPr>
                              <w:t xml:space="preserve">Table </w:t>
                            </w:r>
                            <w:r w:rsidRPr="00D325C2">
                              <w:rPr>
                                <w:rFonts w:asciiTheme="majorHAnsi" w:hAnsiTheme="majorHAnsi" w:cstheme="majorHAnsi"/>
                                <w:sz w:val="20"/>
                                <w:szCs w:val="20"/>
                              </w:rPr>
                              <w:fldChar w:fldCharType="begin"/>
                            </w:r>
                            <w:r w:rsidRPr="00D325C2">
                              <w:rPr>
                                <w:rFonts w:asciiTheme="majorHAnsi" w:hAnsiTheme="majorHAnsi" w:cstheme="majorHAnsi"/>
                                <w:sz w:val="20"/>
                                <w:szCs w:val="20"/>
                              </w:rPr>
                              <w:instrText xml:space="preserve"> SEQ Table \* ARABIC </w:instrText>
                            </w:r>
                            <w:r w:rsidRPr="00D325C2">
                              <w:rPr>
                                <w:rFonts w:asciiTheme="majorHAnsi" w:hAnsiTheme="majorHAnsi" w:cstheme="majorHAnsi"/>
                                <w:sz w:val="20"/>
                                <w:szCs w:val="20"/>
                              </w:rPr>
                              <w:fldChar w:fldCharType="separate"/>
                            </w:r>
                            <w:r w:rsidR="004519D8">
                              <w:rPr>
                                <w:rFonts w:asciiTheme="majorHAnsi" w:hAnsiTheme="majorHAnsi" w:cstheme="majorHAnsi"/>
                                <w:noProof/>
                                <w:sz w:val="20"/>
                                <w:szCs w:val="20"/>
                              </w:rPr>
                              <w:t>15</w:t>
                            </w:r>
                            <w:r w:rsidRPr="00D325C2">
                              <w:rPr>
                                <w:rFonts w:asciiTheme="majorHAnsi" w:hAnsiTheme="majorHAnsi" w:cstheme="majorHAnsi"/>
                                <w:sz w:val="20"/>
                                <w:szCs w:val="20"/>
                              </w:rPr>
                              <w:fldChar w:fldCharType="end"/>
                            </w:r>
                            <w:r w:rsidRPr="00D325C2">
                              <w:rPr>
                                <w:rFonts w:asciiTheme="majorHAnsi" w:hAnsiTheme="majorHAnsi" w:cstheme="majorHAnsi"/>
                                <w:sz w:val="20"/>
                                <w:szCs w:val="20"/>
                              </w:rPr>
                              <w:t xml:space="preserve"> This Environmental </w:t>
                            </w:r>
                            <w:proofErr w:type="spellStart"/>
                            <w:r w:rsidRPr="00D325C2">
                              <w:rPr>
                                <w:rFonts w:asciiTheme="majorHAnsi" w:hAnsiTheme="majorHAnsi" w:cstheme="majorHAnsi"/>
                                <w:sz w:val="20"/>
                                <w:szCs w:val="20"/>
                              </w:rPr>
                              <w:t>Kuznetz</w:t>
                            </w:r>
                            <w:proofErr w:type="spellEnd"/>
                            <w:r w:rsidRPr="00D325C2">
                              <w:rPr>
                                <w:rFonts w:asciiTheme="majorHAnsi" w:hAnsiTheme="majorHAnsi" w:cstheme="majorHAnsi"/>
                                <w:sz w:val="20"/>
                                <w:szCs w:val="20"/>
                              </w:rPr>
                              <w:t xml:space="preserve"> Curve describes the </w:t>
                            </w:r>
                            <w:r w:rsidRPr="00D325C2">
                              <w:rPr>
                                <w:rFonts w:asciiTheme="majorHAnsi" w:hAnsiTheme="majorHAnsi" w:cstheme="majorHAnsi"/>
                                <w:noProof/>
                                <w:sz w:val="20"/>
                                <w:szCs w:val="20"/>
                              </w:rPr>
                              <w:t>nexus between environmental degradation and economic growth.</w:t>
                            </w:r>
                            <w:bookmarkEnd w:id="75"/>
                            <w:bookmarkEnd w:id="76"/>
                            <w:bookmarkEnd w:id="77"/>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3459047E" id="Text Box 6" o:spid="_x0000_s1029" type="#_x0000_t202" style="position:absolute;left:0;text-align:left;margin-left:70.5pt;margin-top:1.65pt;width:272.65pt;height:36pt;z-index:25166745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" stroked="f">
                <v:textbox inset="0,0,0,0">
                  <w:txbxContent>
                    <w:p w14:paraId="653A35FA" w14:textId="14C4835E" w:rsidR="00E910A1" w:rsidRPr="00D325C2" w:rsidRDefault="00E910A1" w:rsidP="00E910A1">
                      <w:pPr>
                        <w:pStyle w:val="Caption"/>
                        <w:rPr>
                          <w:rFonts w:asciiTheme="majorHAnsi" w:hAnsiTheme="majorHAnsi" w:cstheme="majorHAnsi"/>
                          <w:noProof/>
                          <w:kern w:val="2"/>
                          <w:sz w:val="28"/>
                          <w:szCs w:val="28"/>
                          <w14:ligatures w14:val="standardContextual"/>
                        </w:rPr>
                      </w:pPr>
                      <w:bookmarkStart w:id="78" w:name="_Toc153085121"/>
                      <w:bookmarkStart w:id="79" w:name="_Toc153091219"/>
                      <w:bookmarkStart w:id="80" w:name="_Toc153169555"/>
                      <w:r w:rsidRPr="00D325C2">
                        <w:rPr>
                          <w:rFonts w:asciiTheme="majorHAnsi" w:hAnsiTheme="majorHAnsi" w:cstheme="majorHAnsi"/>
                          <w:sz w:val="20"/>
                          <w:szCs w:val="20"/>
                        </w:rPr>
                        <w:t xml:space="preserve">Table </w:t>
                      </w:r>
                      <w:r w:rsidRPr="00D325C2">
                        <w:rPr>
                          <w:rFonts w:asciiTheme="majorHAnsi" w:hAnsiTheme="majorHAnsi" w:cstheme="majorHAnsi"/>
                          <w:sz w:val="20"/>
                          <w:szCs w:val="20"/>
                        </w:rPr>
                        <w:fldChar w:fldCharType="begin"/>
                      </w:r>
                      <w:r w:rsidRPr="00D325C2">
                        <w:rPr>
                          <w:rFonts w:asciiTheme="majorHAnsi" w:hAnsiTheme="majorHAnsi" w:cstheme="majorHAnsi"/>
                          <w:sz w:val="20"/>
                          <w:szCs w:val="20"/>
                        </w:rPr>
                        <w:instrText xml:space="preserve"> SEQ Table \* ARABIC </w:instrText>
                      </w:r>
                      <w:r w:rsidRPr="00D325C2">
                        <w:rPr>
                          <w:rFonts w:asciiTheme="majorHAnsi" w:hAnsiTheme="majorHAnsi" w:cstheme="majorHAnsi"/>
                          <w:sz w:val="20"/>
                          <w:szCs w:val="20"/>
                        </w:rPr>
                        <w:fldChar w:fldCharType="separate"/>
                      </w:r>
                      <w:r w:rsidR="004519D8">
                        <w:rPr>
                          <w:rFonts w:asciiTheme="majorHAnsi" w:hAnsiTheme="majorHAnsi" w:cstheme="majorHAnsi"/>
                          <w:noProof/>
                          <w:sz w:val="20"/>
                          <w:szCs w:val="20"/>
                        </w:rPr>
                        <w:t>15</w:t>
                      </w:r>
                      <w:r w:rsidRPr="00D325C2">
                        <w:rPr>
                          <w:rFonts w:asciiTheme="majorHAnsi" w:hAnsiTheme="majorHAnsi" w:cstheme="majorHAnsi"/>
                          <w:sz w:val="20"/>
                          <w:szCs w:val="20"/>
                        </w:rPr>
                        <w:fldChar w:fldCharType="end"/>
                      </w:r>
                      <w:r w:rsidRPr="00D325C2">
                        <w:rPr>
                          <w:rFonts w:asciiTheme="majorHAnsi" w:hAnsiTheme="majorHAnsi" w:cstheme="majorHAnsi"/>
                          <w:sz w:val="20"/>
                          <w:szCs w:val="20"/>
                        </w:rPr>
                        <w:t xml:space="preserve"> This Environmental </w:t>
                      </w:r>
                      <w:proofErr w:type="spellStart"/>
                      <w:r w:rsidRPr="00D325C2">
                        <w:rPr>
                          <w:rFonts w:asciiTheme="majorHAnsi" w:hAnsiTheme="majorHAnsi" w:cstheme="majorHAnsi"/>
                          <w:sz w:val="20"/>
                          <w:szCs w:val="20"/>
                        </w:rPr>
                        <w:t>Kuznetz</w:t>
                      </w:r>
                      <w:proofErr w:type="spellEnd"/>
                      <w:r w:rsidRPr="00D325C2">
                        <w:rPr>
                          <w:rFonts w:asciiTheme="majorHAnsi" w:hAnsiTheme="majorHAnsi" w:cstheme="majorHAnsi"/>
                          <w:sz w:val="20"/>
                          <w:szCs w:val="20"/>
                        </w:rPr>
                        <w:t xml:space="preserve"> Curve describes the </w:t>
                      </w:r>
                      <w:r w:rsidRPr="00D325C2">
                        <w:rPr>
                          <w:rFonts w:asciiTheme="majorHAnsi" w:hAnsiTheme="majorHAnsi" w:cstheme="majorHAnsi"/>
                          <w:noProof/>
                          <w:sz w:val="20"/>
                          <w:szCs w:val="20"/>
                        </w:rPr>
                        <w:t>nexus between environmental degradation and economic growth.</w:t>
                      </w:r>
                      <w:bookmarkEnd w:id="78"/>
                      <w:bookmarkEnd w:id="79"/>
                      <w:bookmarkEnd w:id="80"/>
                    </w:p>
                  </w:txbxContent>
                </v:textbox>
                <w10:wrap type="through" anchorx="margin"/>
              </v:shape>
            </w:pict>
          </mc:Fallback>
        </mc:AlternateContent>
      </w:r>
    </w:p>
    <w:p w14:paraId="0F1E580D" w14:textId="77777777" w:rsidR="00F22A61" w:rsidRPr="0089105D" w:rsidRDefault="00F22A61" w:rsidP="00F22A61">
      <w:pPr>
        <w:spacing w:line="360" w:lineRule="auto"/>
        <w:jc w:val="both"/>
        <w:rPr>
          <w:rFonts w:ascii="Times New Roman" w:hAnsi="Times New Roman" w:cs="Times New Roman"/>
        </w:rPr>
      </w:pPr>
    </w:p>
    <w:p w14:paraId="766245D1" w14:textId="543A97DF" w:rsidR="00DA6076" w:rsidRPr="0089105D" w:rsidRDefault="00F22A61" w:rsidP="00F22A61">
      <w:pPr>
        <w:spacing w:line="360" w:lineRule="auto"/>
        <w:jc w:val="both"/>
        <w:rPr>
          <w:rFonts w:ascii="Times New Roman" w:hAnsi="Times New Roman" w:cs="Times New Roman"/>
        </w:rPr>
      </w:pPr>
      <w:r w:rsidRPr="0089105D">
        <w:rPr>
          <w:rFonts w:ascii="Times New Roman" w:hAnsi="Times New Roman" w:cs="Times New Roman"/>
        </w:rPr>
        <w:t xml:space="preserve">The only issue is that the Earth is in such an environmental crisis, it is questionable whether such actions would be in compliance with planetary boundaries. </w:t>
      </w:r>
      <w:r w:rsidRPr="0089105D">
        <w:rPr>
          <w:rFonts w:ascii="Times New Roman" w:hAnsi="Times New Roman" w:cs="Times New Roman"/>
        </w:rPr>
        <w:t>And</w:t>
      </w:r>
      <w:r w:rsidRPr="0089105D">
        <w:rPr>
          <w:rFonts w:ascii="Times New Roman" w:hAnsi="Times New Roman" w:cs="Times New Roman"/>
        </w:rPr>
        <w:t xml:space="preserve">, it is important to highlight that the relationship between rise of GDP and human development is not always immensely strong. (Reddy and </w:t>
      </w:r>
      <w:proofErr w:type="spellStart"/>
      <w:r w:rsidRPr="0089105D">
        <w:rPr>
          <w:rFonts w:ascii="Times New Roman" w:hAnsi="Times New Roman" w:cs="Times New Roman"/>
        </w:rPr>
        <w:t>Kvantgraden</w:t>
      </w:r>
      <w:proofErr w:type="spellEnd"/>
      <w:r w:rsidRPr="0089105D">
        <w:rPr>
          <w:rFonts w:ascii="Times New Roman" w:hAnsi="Times New Roman" w:cs="Times New Roman"/>
        </w:rPr>
        <w:t>, 2015</w:t>
      </w:r>
      <w:r w:rsidRPr="0089105D">
        <w:rPr>
          <w:rFonts w:ascii="Times New Roman" w:hAnsi="Times New Roman" w:cs="Times New Roman"/>
        </w:rPr>
        <w:t>)</w:t>
      </w:r>
    </w:p>
    <w:p w14:paraId="69BBC9C2" w14:textId="5C5C4453" w:rsidR="00DA6076" w:rsidRPr="0089105D" w:rsidRDefault="00DA6076" w:rsidP="00DD1102">
      <w:pPr>
        <w:spacing w:line="360" w:lineRule="auto"/>
        <w:jc w:val="both"/>
        <w:rPr>
          <w:rFonts w:ascii="Times New Roman" w:hAnsi="Times New Roman" w:cs="Times New Roman"/>
        </w:rPr>
      </w:pPr>
    </w:p>
    <w:p w14:paraId="610CA4B9" w14:textId="77777777" w:rsidR="00DD1102" w:rsidRPr="0089105D" w:rsidRDefault="00DD1102" w:rsidP="0023287E">
      <w:pPr>
        <w:pStyle w:val="FootnoteText"/>
        <w:spacing w:line="360" w:lineRule="auto"/>
        <w:jc w:val="both"/>
        <w:rPr>
          <w:rFonts w:asciiTheme="majorHAnsi" w:hAnsiTheme="majorHAnsi" w:cstheme="majorHAnsi"/>
          <w:sz w:val="24"/>
          <w:szCs w:val="24"/>
          <w:lang w:val="cs-CZ"/>
        </w:rPr>
      </w:pPr>
    </w:p>
    <w:p w14:paraId="6550A9FE" w14:textId="77777777" w:rsidR="00DD1102" w:rsidRPr="0089105D" w:rsidRDefault="00DD1102" w:rsidP="0023287E">
      <w:pPr>
        <w:pStyle w:val="FootnoteText"/>
        <w:spacing w:line="360" w:lineRule="auto"/>
        <w:jc w:val="both"/>
        <w:rPr>
          <w:rFonts w:asciiTheme="majorHAnsi" w:hAnsiTheme="majorHAnsi" w:cstheme="majorHAnsi"/>
          <w:sz w:val="24"/>
          <w:szCs w:val="24"/>
          <w:lang w:val="cs-CZ"/>
        </w:rPr>
      </w:pPr>
    </w:p>
    <w:p w14:paraId="3C968F80" w14:textId="77777777" w:rsidR="00DD1102" w:rsidRPr="0089105D" w:rsidRDefault="00DD1102" w:rsidP="0023287E">
      <w:pPr>
        <w:pStyle w:val="FootnoteText"/>
        <w:spacing w:line="360" w:lineRule="auto"/>
        <w:jc w:val="both"/>
        <w:rPr>
          <w:rFonts w:asciiTheme="majorHAnsi" w:hAnsiTheme="majorHAnsi" w:cstheme="majorHAnsi"/>
          <w:sz w:val="24"/>
          <w:szCs w:val="24"/>
          <w:lang w:val="cs-CZ"/>
        </w:rPr>
      </w:pPr>
    </w:p>
    <w:bookmarkEnd w:id="74"/>
    <w:p w14:paraId="320FECB9" w14:textId="3EF09A8D" w:rsidR="00501463" w:rsidRPr="0089105D" w:rsidRDefault="00501463" w:rsidP="00501463">
      <w:pPr>
        <w:spacing w:line="360" w:lineRule="auto"/>
        <w:ind w:firstLine="720"/>
        <w:jc w:val="both"/>
        <w:rPr>
          <w:rFonts w:asciiTheme="majorHAnsi" w:hAnsiTheme="majorHAnsi" w:cstheme="majorHAnsi"/>
          <w:highlight w:val="yellow"/>
          <w:lang w:val="en-GB"/>
        </w:rPr>
      </w:pPr>
    </w:p>
    <w:p w14:paraId="215F7509" w14:textId="77777777" w:rsidR="00F22A61" w:rsidRPr="0089105D" w:rsidRDefault="00F22A61" w:rsidP="00F22A61">
      <w:pPr>
        <w:spacing w:line="360" w:lineRule="auto"/>
        <w:jc w:val="both"/>
        <w:rPr>
          <w:rFonts w:asciiTheme="majorHAnsi" w:hAnsiTheme="majorHAnsi" w:cstheme="majorHAnsi"/>
          <w:lang w:val="en-GB"/>
        </w:rPr>
      </w:pPr>
      <w:r w:rsidRPr="0089105D">
        <w:rPr>
          <w:rFonts w:asciiTheme="majorHAnsi" w:hAnsiTheme="majorHAnsi" w:cstheme="majorHAnsi"/>
          <w:lang w:val="en-GB"/>
        </w:rPr>
        <w:t>A potential solution to the challenges posed by the economic development models discussed earlier is found in degrowth theory. This theory advocates for a gradual and equitable reduction in economic activity to achieve both environmental sustainability and social justice. Proponents argue that the current economic system, driven by continuous growth and consumerism, is unsustainable and has contributed to environmental degradation, social inequality, and economic instability (</w:t>
      </w:r>
      <w:proofErr w:type="spellStart"/>
      <w:r w:rsidRPr="0089105D">
        <w:rPr>
          <w:rFonts w:asciiTheme="majorHAnsi" w:hAnsiTheme="majorHAnsi" w:cstheme="majorHAnsi"/>
          <w:lang w:val="en-GB"/>
        </w:rPr>
        <w:t>Robra</w:t>
      </w:r>
      <w:proofErr w:type="spellEnd"/>
      <w:r w:rsidRPr="0089105D">
        <w:rPr>
          <w:rFonts w:asciiTheme="majorHAnsi" w:hAnsiTheme="majorHAnsi" w:cstheme="majorHAnsi"/>
          <w:lang w:val="en-GB"/>
        </w:rPr>
        <w:t xml:space="preserve"> and </w:t>
      </w:r>
      <w:proofErr w:type="spellStart"/>
      <w:r w:rsidRPr="0089105D">
        <w:rPr>
          <w:rFonts w:asciiTheme="majorHAnsi" w:hAnsiTheme="majorHAnsi" w:cstheme="majorHAnsi"/>
          <w:lang w:val="en-GB"/>
        </w:rPr>
        <w:t>Heikurrinen</w:t>
      </w:r>
      <w:proofErr w:type="spellEnd"/>
      <w:r w:rsidRPr="0089105D">
        <w:rPr>
          <w:rFonts w:asciiTheme="majorHAnsi" w:hAnsiTheme="majorHAnsi" w:cstheme="majorHAnsi"/>
          <w:lang w:val="en-GB"/>
        </w:rPr>
        <w:t>, 2021, p. 254).</w:t>
      </w:r>
    </w:p>
    <w:p w14:paraId="66199456" w14:textId="77777777" w:rsidR="00F22A61" w:rsidRPr="0089105D" w:rsidRDefault="00F22A61" w:rsidP="00F22A61">
      <w:pPr>
        <w:spacing w:line="360" w:lineRule="auto"/>
        <w:jc w:val="both"/>
        <w:rPr>
          <w:rFonts w:asciiTheme="majorHAnsi" w:hAnsiTheme="majorHAnsi" w:cstheme="majorHAnsi"/>
          <w:lang w:val="en-GB"/>
        </w:rPr>
      </w:pPr>
    </w:p>
    <w:p w14:paraId="7E5C9EAD" w14:textId="77777777" w:rsidR="00F22A61" w:rsidRPr="0089105D" w:rsidRDefault="00F22A61" w:rsidP="00F22A61">
      <w:pPr>
        <w:spacing w:line="360" w:lineRule="auto"/>
        <w:jc w:val="both"/>
        <w:rPr>
          <w:rFonts w:asciiTheme="majorHAnsi" w:hAnsiTheme="majorHAnsi" w:cstheme="majorHAnsi"/>
          <w:lang w:val="en-GB"/>
        </w:rPr>
      </w:pPr>
      <w:r w:rsidRPr="0089105D">
        <w:rPr>
          <w:rFonts w:asciiTheme="majorHAnsi" w:hAnsiTheme="majorHAnsi" w:cstheme="majorHAnsi"/>
          <w:lang w:val="en-GB"/>
        </w:rPr>
        <w:t>Degrowth theory calls for a transition towards a more sustainable and equitable society, prioritizing well-being, social justice, and environmental protection. This involves reducing reliance on fossil fuels, transitioning to renewable energy sources, decreasing material consumption, and emphasizing local production and consumption. Additionally, proponents stress the need for wealth redistribution and a shift towards economic systems that prioritize social well-being and ecological sustainability over profit (</w:t>
      </w:r>
      <w:proofErr w:type="spellStart"/>
      <w:r w:rsidRPr="0089105D">
        <w:rPr>
          <w:rFonts w:asciiTheme="majorHAnsi" w:hAnsiTheme="majorHAnsi" w:cstheme="majorHAnsi"/>
          <w:lang w:val="en-GB"/>
        </w:rPr>
        <w:t>Bolmonte</w:t>
      </w:r>
      <w:proofErr w:type="spellEnd"/>
      <w:r w:rsidRPr="0089105D">
        <w:rPr>
          <w:rFonts w:asciiTheme="majorHAnsi" w:hAnsiTheme="majorHAnsi" w:cstheme="majorHAnsi"/>
          <w:lang w:val="en-GB"/>
        </w:rPr>
        <w:t>-Urena, 2021).</w:t>
      </w:r>
    </w:p>
    <w:p w14:paraId="42404138" w14:textId="77777777" w:rsidR="00F22A61" w:rsidRPr="0089105D" w:rsidRDefault="00F22A61" w:rsidP="00F22A61">
      <w:pPr>
        <w:spacing w:line="360" w:lineRule="auto"/>
        <w:jc w:val="both"/>
        <w:rPr>
          <w:rFonts w:asciiTheme="majorHAnsi" w:hAnsiTheme="majorHAnsi" w:cstheme="majorHAnsi"/>
          <w:lang w:val="en-GB"/>
        </w:rPr>
      </w:pPr>
    </w:p>
    <w:bookmarkEnd w:id="73"/>
    <w:p w14:paraId="06635EB3" w14:textId="77777777" w:rsidR="004A5250" w:rsidRPr="0089105D" w:rsidRDefault="004A5250" w:rsidP="004A5250">
      <w:pPr>
        <w:spacing w:line="360" w:lineRule="auto"/>
        <w:jc w:val="both"/>
        <w:rPr>
          <w:rFonts w:asciiTheme="majorHAnsi" w:hAnsiTheme="majorHAnsi" w:cstheme="majorHAnsi"/>
          <w:lang w:val="en-GB"/>
        </w:rPr>
      </w:pPr>
      <w:r w:rsidRPr="0089105D">
        <w:rPr>
          <w:rFonts w:asciiTheme="majorHAnsi" w:hAnsiTheme="majorHAnsi" w:cstheme="majorHAnsi"/>
          <w:lang w:val="en-GB"/>
        </w:rPr>
        <w:t>Critics argue that degrowth is unrealistic, fearing potential economic stagnation, unemployment, and decreased innovation. However, proponents assert that such a shift is necessary to address pressing social and environmental challenges, particularly in staying within planetary boundaries.</w:t>
      </w:r>
    </w:p>
    <w:p w14:paraId="2D34A9E2" w14:textId="77777777" w:rsidR="004A5250" w:rsidRPr="0089105D" w:rsidRDefault="004A5250" w:rsidP="004A5250">
      <w:pPr>
        <w:spacing w:line="360" w:lineRule="auto"/>
        <w:jc w:val="both"/>
        <w:rPr>
          <w:rFonts w:asciiTheme="majorHAnsi" w:hAnsiTheme="majorHAnsi" w:cstheme="majorHAnsi"/>
          <w:lang w:val="en-GB"/>
        </w:rPr>
      </w:pPr>
    </w:p>
    <w:p w14:paraId="5866070F" w14:textId="77777777" w:rsidR="004A5250" w:rsidRPr="0089105D" w:rsidRDefault="004A5250" w:rsidP="004A5250">
      <w:pPr>
        <w:spacing w:line="360" w:lineRule="auto"/>
        <w:jc w:val="both"/>
        <w:rPr>
          <w:rFonts w:asciiTheme="majorHAnsi" w:hAnsiTheme="majorHAnsi" w:cstheme="majorHAnsi"/>
          <w:lang w:val="en-GB"/>
        </w:rPr>
      </w:pPr>
      <w:r w:rsidRPr="0089105D">
        <w:rPr>
          <w:rFonts w:asciiTheme="majorHAnsi" w:hAnsiTheme="majorHAnsi" w:cstheme="majorHAnsi"/>
          <w:lang w:val="en-GB"/>
        </w:rPr>
        <w:t>A potential alternative involves applying a concept proposed by the initiative "</w:t>
      </w:r>
      <w:proofErr w:type="spellStart"/>
      <w:r w:rsidRPr="0089105D">
        <w:rPr>
          <w:rFonts w:asciiTheme="majorHAnsi" w:hAnsiTheme="majorHAnsi" w:cstheme="majorHAnsi"/>
          <w:lang w:val="en-GB"/>
        </w:rPr>
        <w:t>L'Association</w:t>
      </w:r>
      <w:proofErr w:type="spellEnd"/>
      <w:r w:rsidRPr="0089105D">
        <w:rPr>
          <w:rFonts w:asciiTheme="majorHAnsi" w:hAnsiTheme="majorHAnsi" w:cstheme="majorHAnsi"/>
          <w:lang w:val="en-GB"/>
        </w:rPr>
        <w:t xml:space="preserve"> </w:t>
      </w:r>
      <w:proofErr w:type="spellStart"/>
      <w:r w:rsidRPr="0089105D">
        <w:rPr>
          <w:rFonts w:asciiTheme="majorHAnsi" w:hAnsiTheme="majorHAnsi" w:cstheme="majorHAnsi"/>
          <w:lang w:val="en-GB"/>
        </w:rPr>
        <w:t>Solidarite</w:t>
      </w:r>
      <w:proofErr w:type="spellEnd"/>
      <w:r w:rsidRPr="0089105D">
        <w:rPr>
          <w:rFonts w:asciiTheme="majorHAnsi" w:hAnsiTheme="majorHAnsi" w:cstheme="majorHAnsi"/>
          <w:lang w:val="en-GB"/>
        </w:rPr>
        <w:t xml:space="preserve"> </w:t>
      </w:r>
      <w:proofErr w:type="spellStart"/>
      <w:r w:rsidRPr="0089105D">
        <w:rPr>
          <w:rFonts w:asciiTheme="majorHAnsi" w:hAnsiTheme="majorHAnsi" w:cstheme="majorHAnsi"/>
          <w:lang w:val="en-GB"/>
        </w:rPr>
        <w:t>Echange</w:t>
      </w:r>
      <w:proofErr w:type="spellEnd"/>
      <w:r w:rsidRPr="0089105D">
        <w:rPr>
          <w:rFonts w:asciiTheme="majorHAnsi" w:hAnsiTheme="majorHAnsi" w:cstheme="majorHAnsi"/>
          <w:lang w:val="en-GB"/>
        </w:rPr>
        <w:t xml:space="preserve"> et </w:t>
      </w:r>
      <w:proofErr w:type="spellStart"/>
      <w:r w:rsidRPr="0089105D">
        <w:rPr>
          <w:rFonts w:asciiTheme="majorHAnsi" w:hAnsiTheme="majorHAnsi" w:cstheme="majorHAnsi"/>
          <w:lang w:val="en-GB"/>
        </w:rPr>
        <w:t>Developpement</w:t>
      </w:r>
      <w:proofErr w:type="spellEnd"/>
      <w:r w:rsidRPr="0089105D">
        <w:rPr>
          <w:rFonts w:asciiTheme="majorHAnsi" w:hAnsiTheme="majorHAnsi" w:cstheme="majorHAnsi"/>
          <w:lang w:val="en-GB"/>
        </w:rPr>
        <w:t xml:space="preserve">," in which a carbon intensity target is suggested for each Sustainable Development Goal (SDG). This serves as a tool for prioritizing goals that are more environmentally friendly. In the current context, some goals may inadvertently undermine environmentally oriented SDGs. This aligns with </w:t>
      </w:r>
      <w:proofErr w:type="spellStart"/>
      <w:r w:rsidRPr="0089105D">
        <w:rPr>
          <w:rFonts w:asciiTheme="majorHAnsi" w:hAnsiTheme="majorHAnsi" w:cstheme="majorHAnsi"/>
          <w:lang w:val="en-GB"/>
        </w:rPr>
        <w:t>Norstrom</w:t>
      </w:r>
      <w:proofErr w:type="spellEnd"/>
      <w:r w:rsidRPr="0089105D">
        <w:rPr>
          <w:rFonts w:asciiTheme="majorHAnsi" w:hAnsiTheme="majorHAnsi" w:cstheme="majorHAnsi"/>
          <w:lang w:val="en-GB"/>
        </w:rPr>
        <w:t xml:space="preserve"> et al.'s (2014) suggestion that integrating economic growth with environmental goals is crucial for implementing SDGs and achieving truly sustainable development.</w:t>
      </w:r>
    </w:p>
    <w:p w14:paraId="5D29C0FC" w14:textId="77777777" w:rsidR="004A5250" w:rsidRPr="0089105D" w:rsidRDefault="004A5250" w:rsidP="004A5250">
      <w:pPr>
        <w:spacing w:line="360" w:lineRule="auto"/>
        <w:jc w:val="both"/>
        <w:rPr>
          <w:rFonts w:asciiTheme="majorHAnsi" w:hAnsiTheme="majorHAnsi" w:cstheme="majorHAnsi"/>
          <w:lang w:val="en-GB"/>
        </w:rPr>
      </w:pPr>
    </w:p>
    <w:p w14:paraId="25DD6B06" w14:textId="77777777" w:rsidR="004A5250" w:rsidRPr="0089105D" w:rsidRDefault="004A5250" w:rsidP="004A5250">
      <w:pPr>
        <w:spacing w:line="360" w:lineRule="auto"/>
        <w:jc w:val="both"/>
        <w:rPr>
          <w:rFonts w:asciiTheme="majorHAnsi" w:hAnsiTheme="majorHAnsi" w:cstheme="majorHAnsi"/>
          <w:lang w:val="en-GB"/>
        </w:rPr>
      </w:pPr>
      <w:r w:rsidRPr="0089105D">
        <w:rPr>
          <w:rFonts w:asciiTheme="majorHAnsi" w:hAnsiTheme="majorHAnsi" w:cstheme="majorHAnsi"/>
          <w:lang w:val="en-GB"/>
        </w:rPr>
        <w:t>Their model could be further developed into a more complex system linking SDGs to their environmental impact. For instance, SDG 8 (economic growth) could be assessed by offering alternative green policies with a reduced carbon footprint. In such a system, each SDG would be ranked with a carbon intensity target and its potential environmental effects. This ensures interlinkages, guiding states away from policies harmful to the environment.</w:t>
      </w:r>
    </w:p>
    <w:p w14:paraId="3A5F991A" w14:textId="77777777" w:rsidR="004A5250" w:rsidRPr="0089105D" w:rsidRDefault="004A5250" w:rsidP="004A5250">
      <w:pPr>
        <w:spacing w:line="360" w:lineRule="auto"/>
        <w:jc w:val="both"/>
        <w:rPr>
          <w:rFonts w:asciiTheme="majorHAnsi" w:hAnsiTheme="majorHAnsi" w:cstheme="majorHAnsi"/>
          <w:lang w:val="en-GB"/>
        </w:rPr>
      </w:pPr>
    </w:p>
    <w:p w14:paraId="6BBF93D3" w14:textId="77777777" w:rsidR="00501463" w:rsidRPr="0089105D" w:rsidRDefault="00501463" w:rsidP="00501463">
      <w:pPr>
        <w:spacing w:line="360" w:lineRule="auto"/>
        <w:jc w:val="both"/>
        <w:rPr>
          <w:rFonts w:asciiTheme="majorHAnsi" w:hAnsiTheme="majorHAnsi" w:cstheme="majorHAnsi"/>
          <w:sz w:val="26"/>
          <w:szCs w:val="26"/>
          <w:lang w:val="en-GB"/>
        </w:rPr>
      </w:pPr>
    </w:p>
    <w:p w14:paraId="3B6FDCA5" w14:textId="198AA081" w:rsidR="00501463" w:rsidRPr="0089105D" w:rsidRDefault="002B1753" w:rsidP="00501463">
      <w:pPr>
        <w:pStyle w:val="Heading2"/>
        <w:rPr>
          <w:rFonts w:cstheme="majorHAnsi"/>
          <w:b/>
          <w:bCs/>
          <w:color w:val="auto"/>
          <w:sz w:val="28"/>
          <w:szCs w:val="28"/>
          <w:lang w:val="en-GB"/>
        </w:rPr>
      </w:pPr>
      <w:bookmarkStart w:id="81" w:name="_Toc132266334"/>
      <w:bookmarkStart w:id="82" w:name="_Toc153142474"/>
      <w:bookmarkStart w:id="83" w:name="_Toc153187405"/>
      <w:r w:rsidRPr="0089105D">
        <w:rPr>
          <w:rFonts w:cstheme="majorHAnsi"/>
          <w:b/>
          <w:bCs/>
          <w:color w:val="auto"/>
          <w:sz w:val="28"/>
          <w:szCs w:val="28"/>
          <w:lang w:val="en-GB"/>
        </w:rPr>
        <w:t xml:space="preserve">b) </w:t>
      </w:r>
      <w:r w:rsidR="00501463" w:rsidRPr="0089105D">
        <w:rPr>
          <w:rFonts w:cstheme="majorHAnsi"/>
          <w:b/>
          <w:bCs/>
          <w:color w:val="auto"/>
          <w:sz w:val="28"/>
          <w:szCs w:val="28"/>
          <w:lang w:val="en-GB"/>
        </w:rPr>
        <w:t xml:space="preserve"> Access to safe drinking water and no hunger</w:t>
      </w:r>
      <w:bookmarkEnd w:id="81"/>
      <w:bookmarkEnd w:id="82"/>
      <w:bookmarkEnd w:id="83"/>
      <w:r w:rsidR="00501463" w:rsidRPr="0089105D">
        <w:rPr>
          <w:rFonts w:cstheme="majorHAnsi"/>
          <w:b/>
          <w:bCs/>
          <w:color w:val="auto"/>
          <w:sz w:val="28"/>
          <w:szCs w:val="28"/>
          <w:lang w:val="en-GB"/>
        </w:rPr>
        <w:t xml:space="preserve">  </w:t>
      </w:r>
    </w:p>
    <w:p w14:paraId="276DF90F" w14:textId="77777777" w:rsidR="0023287E" w:rsidRPr="0089105D" w:rsidRDefault="0023287E" w:rsidP="0023287E">
      <w:pPr>
        <w:spacing w:line="360" w:lineRule="auto"/>
        <w:jc w:val="both"/>
        <w:rPr>
          <w:rFonts w:asciiTheme="majorHAnsi" w:hAnsiTheme="majorHAnsi" w:cstheme="majorHAnsi"/>
        </w:rPr>
      </w:pPr>
    </w:p>
    <w:p w14:paraId="735A07A8" w14:textId="77777777" w:rsidR="00DD1102" w:rsidRPr="0089105D" w:rsidRDefault="00501463" w:rsidP="0023287E">
      <w:pPr>
        <w:spacing w:line="360" w:lineRule="auto"/>
        <w:jc w:val="both"/>
        <w:rPr>
          <w:rFonts w:asciiTheme="majorHAnsi" w:hAnsiTheme="majorHAnsi" w:cstheme="majorHAnsi"/>
          <w:lang w:val="en-GB"/>
        </w:rPr>
      </w:pPr>
      <w:r w:rsidRPr="0089105D">
        <w:rPr>
          <w:rFonts w:asciiTheme="majorHAnsi" w:hAnsiTheme="majorHAnsi" w:cstheme="majorHAnsi"/>
          <w:lang w:val="en-GB"/>
        </w:rPr>
        <w:t xml:space="preserve">Whilst the section above analysed the clash between environmental SDGs and economic growth, this section will investigate another conflict, the one between SDG 6 which is </w:t>
      </w:r>
      <w:r w:rsidRPr="0089105D">
        <w:rPr>
          <w:rFonts w:asciiTheme="majorHAnsi" w:hAnsiTheme="majorHAnsi" w:cstheme="majorHAnsi"/>
        </w:rPr>
        <w:t xml:space="preserve">ensuring access to clean water and sanitation for all </w:t>
      </w:r>
      <w:r w:rsidRPr="0089105D">
        <w:rPr>
          <w:rFonts w:asciiTheme="majorHAnsi" w:hAnsiTheme="majorHAnsi" w:cstheme="majorHAnsi"/>
          <w:lang w:val="en-GB"/>
        </w:rPr>
        <w:t xml:space="preserve">with </w:t>
      </w:r>
      <w:r w:rsidRPr="0089105D">
        <w:rPr>
          <w:rFonts w:asciiTheme="majorHAnsi" w:hAnsiTheme="majorHAnsi" w:cstheme="majorHAnsi"/>
        </w:rPr>
        <w:t xml:space="preserve">the SDG of </w:t>
      </w:r>
      <w:r w:rsidRPr="0089105D">
        <w:rPr>
          <w:rFonts w:asciiTheme="majorHAnsi" w:hAnsiTheme="majorHAnsi" w:cstheme="majorHAnsi"/>
          <w:lang w:val="en-GB"/>
        </w:rPr>
        <w:t xml:space="preserve">2 aiming to </w:t>
      </w:r>
      <w:proofErr w:type="spellStart"/>
      <w:r w:rsidRPr="0089105D">
        <w:rPr>
          <w:rFonts w:asciiTheme="majorHAnsi" w:hAnsiTheme="majorHAnsi" w:cstheme="majorHAnsi"/>
        </w:rPr>
        <w:t>eradicat</w:t>
      </w:r>
      <w:proofErr w:type="spellEnd"/>
      <w:r w:rsidRPr="0089105D">
        <w:rPr>
          <w:rFonts w:asciiTheme="majorHAnsi" w:hAnsiTheme="majorHAnsi" w:cstheme="majorHAnsi"/>
          <w:lang w:val="en-GB"/>
        </w:rPr>
        <w:t>e</w:t>
      </w:r>
      <w:r w:rsidRPr="0089105D">
        <w:rPr>
          <w:rFonts w:asciiTheme="majorHAnsi" w:hAnsiTheme="majorHAnsi" w:cstheme="majorHAnsi"/>
        </w:rPr>
        <w:t xml:space="preserve"> hunger and promoting sustainable agriculture</w:t>
      </w:r>
      <w:r w:rsidRPr="0089105D">
        <w:rPr>
          <w:rFonts w:asciiTheme="majorHAnsi" w:hAnsiTheme="majorHAnsi" w:cstheme="majorHAnsi"/>
          <w:lang w:val="en-GB"/>
        </w:rPr>
        <w:t xml:space="preserve">. If one targeted to entirely fulfil SDG 2 related to hunger, the responsible and sustainable agricultural production would be needed. </w:t>
      </w:r>
    </w:p>
    <w:p w14:paraId="65263FFD" w14:textId="77777777" w:rsidR="00DD1102" w:rsidRPr="0089105D" w:rsidRDefault="00DD1102" w:rsidP="0023287E">
      <w:pPr>
        <w:spacing w:line="360" w:lineRule="auto"/>
        <w:jc w:val="both"/>
        <w:rPr>
          <w:rFonts w:asciiTheme="majorHAnsi" w:hAnsiTheme="majorHAnsi" w:cstheme="majorHAnsi"/>
          <w:lang w:val="en-GB"/>
        </w:rPr>
      </w:pPr>
    </w:p>
    <w:p w14:paraId="2E2B0485" w14:textId="77777777" w:rsidR="00DD1102" w:rsidRPr="0089105D" w:rsidRDefault="00501463" w:rsidP="0023287E">
      <w:pPr>
        <w:spacing w:line="360" w:lineRule="auto"/>
        <w:jc w:val="both"/>
        <w:rPr>
          <w:rFonts w:asciiTheme="majorHAnsi" w:hAnsiTheme="majorHAnsi" w:cstheme="majorHAnsi"/>
          <w:lang w:val="en-GB"/>
        </w:rPr>
      </w:pPr>
      <w:r w:rsidRPr="0089105D">
        <w:rPr>
          <w:rFonts w:asciiTheme="majorHAnsi" w:hAnsiTheme="majorHAnsi" w:cstheme="majorHAnsi"/>
          <w:lang w:val="en-GB"/>
        </w:rPr>
        <w:t xml:space="preserve">According to the Data by World Food and Agriculture Organisation (2017), for agricultural purposes, globally humankind uses 70 percent of freshwater withdrawals. (FAO, 2017) Accompanied by the data from the World Bank (2017), the highest rank of freshwater withdrawal occurs in South Asia and reaches 92 percent. The second highest rank takes place in the Middle East getting as far as 85 percent of total water withdrawal. (World Bank, 2017) </w:t>
      </w:r>
    </w:p>
    <w:p w14:paraId="3530FBAA" w14:textId="43591EDC" w:rsidR="0023287E" w:rsidRPr="0089105D" w:rsidRDefault="00501463" w:rsidP="0023287E">
      <w:pPr>
        <w:spacing w:line="360" w:lineRule="auto"/>
        <w:jc w:val="both"/>
        <w:rPr>
          <w:rFonts w:asciiTheme="majorHAnsi" w:hAnsiTheme="majorHAnsi" w:cstheme="majorHAnsi"/>
          <w:lang w:val="en-GB"/>
        </w:rPr>
      </w:pPr>
      <w:r w:rsidRPr="0089105D">
        <w:rPr>
          <w:rFonts w:asciiTheme="majorHAnsi" w:hAnsiTheme="majorHAnsi" w:cstheme="majorHAnsi"/>
          <w:lang w:val="en-GB"/>
        </w:rPr>
        <w:t>I</w:t>
      </w:r>
      <w:r w:rsidRPr="0089105D">
        <w:rPr>
          <w:rFonts w:asciiTheme="majorHAnsi" w:hAnsiTheme="majorHAnsi" w:cstheme="majorHAnsi"/>
        </w:rPr>
        <w:t xml:space="preserve">n </w:t>
      </w:r>
      <w:r w:rsidRPr="0089105D">
        <w:rPr>
          <w:rFonts w:asciiTheme="majorHAnsi" w:hAnsiTheme="majorHAnsi" w:cstheme="majorHAnsi"/>
          <w:lang w:val="en-GB"/>
        </w:rPr>
        <w:t>these</w:t>
      </w:r>
      <w:r w:rsidRPr="0089105D">
        <w:rPr>
          <w:rFonts w:asciiTheme="majorHAnsi" w:hAnsiTheme="majorHAnsi" w:cstheme="majorHAnsi"/>
        </w:rPr>
        <w:t xml:space="preserve"> regions, water scarcity can make it difficult for farmers to irrigate their crops, leading to lower crop yields and decreased food production. </w:t>
      </w:r>
      <w:r w:rsidRPr="0089105D">
        <w:rPr>
          <w:rFonts w:asciiTheme="majorHAnsi" w:hAnsiTheme="majorHAnsi" w:cstheme="majorHAnsi"/>
          <w:lang w:val="en-GB"/>
        </w:rPr>
        <w:t>(</w:t>
      </w:r>
      <w:proofErr w:type="spellStart"/>
      <w:r w:rsidRPr="0089105D">
        <w:rPr>
          <w:rFonts w:asciiTheme="majorHAnsi" w:hAnsiTheme="majorHAnsi" w:cstheme="majorHAnsi"/>
          <w:lang w:val="en-GB"/>
        </w:rPr>
        <w:t>Jagermeyir</w:t>
      </w:r>
      <w:proofErr w:type="spellEnd"/>
      <w:r w:rsidRPr="0089105D">
        <w:rPr>
          <w:rFonts w:asciiTheme="majorHAnsi" w:hAnsiTheme="majorHAnsi" w:cstheme="majorHAnsi"/>
          <w:lang w:val="en-GB"/>
        </w:rPr>
        <w:t xml:space="preserve">, 2020) </w:t>
      </w:r>
      <w:r w:rsidRPr="0089105D">
        <w:rPr>
          <w:rFonts w:asciiTheme="majorHAnsi" w:hAnsiTheme="majorHAnsi" w:cstheme="majorHAnsi"/>
        </w:rPr>
        <w:t>In such cases, efforts to ensure access to clean water for domestic and industrial uses may compete with the needs of agriculture for irrigation water, creating a potential conflict between SDG 6 and SDG 2.</w:t>
      </w:r>
      <w:r w:rsidRPr="0089105D">
        <w:rPr>
          <w:rFonts w:asciiTheme="majorHAnsi" w:hAnsiTheme="majorHAnsi" w:cstheme="majorHAnsi"/>
          <w:lang w:val="en-GB"/>
        </w:rPr>
        <w:t xml:space="preserve"> In fact, the nexus between water as a tool for irrigation for farmers to grow their crops make these two SDGs either inherently interconnected or extremely conflictual. (</w:t>
      </w:r>
      <w:proofErr w:type="spellStart"/>
      <w:r w:rsidRPr="0089105D">
        <w:rPr>
          <w:rFonts w:asciiTheme="majorHAnsi" w:hAnsiTheme="majorHAnsi" w:cstheme="majorHAnsi"/>
          <w:lang w:val="en-GB"/>
        </w:rPr>
        <w:t>Su</w:t>
      </w:r>
      <w:proofErr w:type="spellEnd"/>
      <w:r w:rsidRPr="0089105D">
        <w:rPr>
          <w:rFonts w:asciiTheme="majorHAnsi" w:hAnsiTheme="majorHAnsi" w:cstheme="majorHAnsi"/>
          <w:lang w:val="en-GB"/>
        </w:rPr>
        <w:t xml:space="preserve">, 2022) </w:t>
      </w:r>
    </w:p>
    <w:p w14:paraId="6869115C" w14:textId="77777777" w:rsidR="0023287E" w:rsidRPr="0089105D" w:rsidRDefault="0023287E" w:rsidP="0023287E">
      <w:pPr>
        <w:spacing w:line="360" w:lineRule="auto"/>
        <w:jc w:val="both"/>
        <w:rPr>
          <w:rFonts w:asciiTheme="majorHAnsi" w:hAnsiTheme="majorHAnsi" w:cstheme="majorHAnsi"/>
          <w:lang w:val="en-GB"/>
        </w:rPr>
      </w:pPr>
    </w:p>
    <w:p w14:paraId="3CB99214" w14:textId="77777777" w:rsidR="00DD1102" w:rsidRPr="0089105D" w:rsidRDefault="00501463" w:rsidP="0023287E">
      <w:pPr>
        <w:spacing w:line="360" w:lineRule="auto"/>
        <w:jc w:val="both"/>
        <w:rPr>
          <w:rFonts w:asciiTheme="majorHAnsi" w:hAnsiTheme="majorHAnsi" w:cstheme="majorHAnsi"/>
          <w:lang w:val="en-GB"/>
        </w:rPr>
      </w:pPr>
      <w:r w:rsidRPr="0089105D">
        <w:rPr>
          <w:rFonts w:asciiTheme="majorHAnsi" w:hAnsiTheme="majorHAnsi" w:cstheme="majorHAnsi"/>
          <w:lang w:val="en-GB"/>
        </w:rPr>
        <w:t xml:space="preserve">To put the two goals together, it is important to walk through the aforementioned goals. Target 2.3 calls for “increasing agricultural productivity and income of small-scale food producers.” Although the goal could be highly efficient when fulfilled in effort to combat hunger, the achievement of this goal would require a significant increase in water usage for irrigation, which could put a strain on water resources and potentially conflict with the objectives of SDG 6, especially given the fact that water is becoming more and more valuable asset given its decreasing availability and soaring importance in humankind’s lives and dependency on it for agricultural purposes. The water situation is also being exacerbated by the negative effects of climate change and extreme temperatures leading to dry periods, oftentimes triggering climate migration. </w:t>
      </w:r>
    </w:p>
    <w:p w14:paraId="6480EBC2" w14:textId="77777777" w:rsidR="00DD1102" w:rsidRPr="0089105D" w:rsidRDefault="00DD1102" w:rsidP="0023287E">
      <w:pPr>
        <w:spacing w:line="360" w:lineRule="auto"/>
        <w:jc w:val="both"/>
        <w:rPr>
          <w:rFonts w:asciiTheme="majorHAnsi" w:hAnsiTheme="majorHAnsi" w:cstheme="majorHAnsi"/>
          <w:lang w:val="en-GB"/>
        </w:rPr>
      </w:pPr>
    </w:p>
    <w:p w14:paraId="5DEFC1C8" w14:textId="3625D59E" w:rsidR="0023287E" w:rsidRPr="0089105D" w:rsidRDefault="00501463" w:rsidP="0023287E">
      <w:pPr>
        <w:spacing w:line="360" w:lineRule="auto"/>
        <w:jc w:val="both"/>
        <w:rPr>
          <w:rFonts w:asciiTheme="majorHAnsi" w:hAnsiTheme="majorHAnsi" w:cstheme="majorHAnsi"/>
          <w:lang w:val="en-GB"/>
        </w:rPr>
      </w:pPr>
      <w:r w:rsidRPr="0089105D">
        <w:rPr>
          <w:rFonts w:asciiTheme="majorHAnsi" w:hAnsiTheme="majorHAnsi" w:cstheme="majorHAnsi"/>
          <w:lang w:val="en-GB"/>
        </w:rPr>
        <w:t xml:space="preserve">In contrast to Target 2.3, the essential message of SDG 6 is to ensure universal access to safe and affordable drinking water for all. Achieving this goal requires sustainable water </w:t>
      </w:r>
      <w:r w:rsidRPr="0089105D">
        <w:rPr>
          <w:rFonts w:asciiTheme="majorHAnsi" w:hAnsiTheme="majorHAnsi" w:cstheme="majorHAnsi"/>
          <w:lang w:val="en-GB"/>
        </w:rPr>
        <w:lastRenderedPageBreak/>
        <w:t xml:space="preserve">management practices, including reducing water usage in agriculture and other sectors. (Kai, 2021) If SDG 2 targets are achieved without considering the sustainable use of water resources, it could potentially conflict with the objectives of SDG 6. One could argue that Target 2.4 hints towards the direction of environmental sustainability in the food production as it states the following: </w:t>
      </w:r>
    </w:p>
    <w:p w14:paraId="16AF8BA6" w14:textId="77777777" w:rsidR="0023287E" w:rsidRPr="0089105D" w:rsidRDefault="0023287E" w:rsidP="0023287E">
      <w:pPr>
        <w:spacing w:line="360" w:lineRule="auto"/>
        <w:jc w:val="both"/>
        <w:rPr>
          <w:rFonts w:asciiTheme="majorHAnsi" w:hAnsiTheme="majorHAnsi" w:cstheme="majorHAnsi"/>
          <w:lang w:val="en-GB"/>
        </w:rPr>
      </w:pPr>
    </w:p>
    <w:p w14:paraId="6209F523" w14:textId="330F90F8" w:rsidR="00501463" w:rsidRPr="0089105D" w:rsidRDefault="00501463" w:rsidP="0023287E">
      <w:pPr>
        <w:spacing w:line="360" w:lineRule="auto"/>
        <w:jc w:val="both"/>
        <w:rPr>
          <w:rFonts w:asciiTheme="majorHAnsi" w:hAnsiTheme="majorHAnsi" w:cstheme="majorHAnsi"/>
          <w:lang w:val="en-GB"/>
        </w:rPr>
      </w:pPr>
      <w:r w:rsidRPr="0089105D">
        <w:rPr>
          <w:rFonts w:asciiTheme="majorHAnsi" w:hAnsiTheme="majorHAnsi" w:cstheme="majorHAnsi"/>
          <w:lang w:val="en-GB"/>
        </w:rPr>
        <w:t>“</w:t>
      </w:r>
      <w:r w:rsidRPr="0089105D">
        <w:rPr>
          <w:rFonts w:asciiTheme="majorHAnsi" w:hAnsiTheme="majorHAnsi" w:cstheme="majorHAnsi"/>
        </w:rPr>
        <w:t>By 2030, ensure sustainable food production systems and implement resilient agricultural practices that increase productivity and production, that help maintain ecosystems, that strengthen capacity for adaptation to climate change, extreme weather, drought, flooding and other disasters and that progressively improve land and soil quality.</w:t>
      </w:r>
      <w:r w:rsidRPr="0089105D">
        <w:rPr>
          <w:rFonts w:asciiTheme="majorHAnsi" w:hAnsiTheme="majorHAnsi" w:cstheme="majorHAnsi"/>
          <w:lang w:val="en-GB"/>
        </w:rPr>
        <w:t>” (</w:t>
      </w:r>
      <w:r w:rsidR="00DD1102" w:rsidRPr="0089105D">
        <w:rPr>
          <w:rFonts w:asciiTheme="majorHAnsi" w:hAnsiTheme="majorHAnsi" w:cstheme="majorHAnsi"/>
          <w:lang w:val="en-GB"/>
        </w:rPr>
        <w:t>United Nations</w:t>
      </w:r>
      <w:r w:rsidRPr="0089105D">
        <w:rPr>
          <w:rFonts w:asciiTheme="majorHAnsi" w:hAnsiTheme="majorHAnsi" w:cstheme="majorHAnsi"/>
          <w:lang w:val="en-GB"/>
        </w:rPr>
        <w:t>, 20</w:t>
      </w:r>
      <w:r w:rsidR="00DD1102" w:rsidRPr="0089105D">
        <w:rPr>
          <w:rFonts w:asciiTheme="majorHAnsi" w:hAnsiTheme="majorHAnsi" w:cstheme="majorHAnsi"/>
          <w:lang w:val="en-GB"/>
        </w:rPr>
        <w:t>15</w:t>
      </w:r>
      <w:r w:rsidRPr="0089105D">
        <w:rPr>
          <w:rFonts w:asciiTheme="majorHAnsi" w:hAnsiTheme="majorHAnsi" w:cstheme="majorHAnsi"/>
          <w:lang w:val="en-GB"/>
        </w:rPr>
        <w:t xml:space="preserve">) </w:t>
      </w:r>
    </w:p>
    <w:p w14:paraId="2A35F2E8" w14:textId="77777777" w:rsidR="0023287E" w:rsidRPr="0089105D" w:rsidRDefault="0023287E" w:rsidP="0023287E">
      <w:pPr>
        <w:spacing w:line="360" w:lineRule="auto"/>
        <w:jc w:val="both"/>
        <w:rPr>
          <w:rFonts w:asciiTheme="majorHAnsi" w:hAnsiTheme="majorHAnsi" w:cstheme="majorHAnsi"/>
          <w:lang w:val="en-GB"/>
        </w:rPr>
      </w:pPr>
    </w:p>
    <w:p w14:paraId="330E1EF3" w14:textId="678D139A" w:rsidR="00501463" w:rsidRPr="0089105D" w:rsidRDefault="00501463" w:rsidP="0023287E">
      <w:pPr>
        <w:spacing w:line="360" w:lineRule="auto"/>
        <w:jc w:val="both"/>
        <w:rPr>
          <w:rFonts w:asciiTheme="majorHAnsi" w:hAnsiTheme="majorHAnsi" w:cstheme="majorHAnsi"/>
          <w:lang w:val="en-GB"/>
        </w:rPr>
      </w:pPr>
      <w:r w:rsidRPr="0089105D">
        <w:rPr>
          <w:rFonts w:asciiTheme="majorHAnsi" w:hAnsiTheme="majorHAnsi" w:cstheme="majorHAnsi"/>
          <w:lang w:val="en-GB"/>
        </w:rPr>
        <w:t xml:space="preserve">Notwithstanding the aforementioned statement, its vague nature again, does not provide sufficient base for linking the problematic to the water sector, due to fact that it is not being explicitly mentioned and therefore, such omission leads towards likelihood of overlooking this important synergy. There is a room for improvement of these aspect, which lies in higher extent of integration of these two goals and their targets. </w:t>
      </w:r>
    </w:p>
    <w:p w14:paraId="11BA4BBD" w14:textId="77777777" w:rsidR="0023287E" w:rsidRPr="0089105D" w:rsidRDefault="0023287E" w:rsidP="0023287E">
      <w:pPr>
        <w:spacing w:line="360" w:lineRule="auto"/>
        <w:jc w:val="both"/>
        <w:rPr>
          <w:rFonts w:asciiTheme="majorHAnsi" w:hAnsiTheme="majorHAnsi" w:cstheme="majorHAnsi"/>
          <w:lang w:val="en-GB"/>
        </w:rPr>
      </w:pPr>
    </w:p>
    <w:p w14:paraId="64FB4D43" w14:textId="0E0F89CC" w:rsidR="006B2FB8" w:rsidRPr="0089105D" w:rsidRDefault="00501463" w:rsidP="0023287E">
      <w:pPr>
        <w:spacing w:line="360" w:lineRule="auto"/>
        <w:jc w:val="both"/>
        <w:rPr>
          <w:rFonts w:asciiTheme="majorHAnsi" w:hAnsiTheme="majorHAnsi" w:cstheme="majorHAnsi"/>
          <w:lang w:val="en-GB"/>
        </w:rPr>
      </w:pPr>
      <w:r w:rsidRPr="0089105D">
        <w:rPr>
          <w:rFonts w:asciiTheme="majorHAnsi" w:hAnsiTheme="majorHAnsi" w:cstheme="majorHAnsi"/>
          <w:lang w:val="en-GB"/>
        </w:rPr>
        <w:t xml:space="preserve">In effort to </w:t>
      </w:r>
      <w:r w:rsidRPr="0089105D">
        <w:rPr>
          <w:rFonts w:asciiTheme="majorHAnsi" w:hAnsiTheme="majorHAnsi" w:cstheme="majorHAnsi"/>
        </w:rPr>
        <w:t xml:space="preserve">address </w:t>
      </w:r>
      <w:r w:rsidRPr="0089105D">
        <w:rPr>
          <w:rFonts w:asciiTheme="majorHAnsi" w:hAnsiTheme="majorHAnsi" w:cstheme="majorHAnsi"/>
          <w:lang w:val="en-GB"/>
        </w:rPr>
        <w:t>this</w:t>
      </w:r>
      <w:r w:rsidRPr="0089105D">
        <w:rPr>
          <w:rFonts w:asciiTheme="majorHAnsi" w:hAnsiTheme="majorHAnsi" w:cstheme="majorHAnsi"/>
        </w:rPr>
        <w:t xml:space="preserve"> </w:t>
      </w:r>
      <w:r w:rsidRPr="0089105D">
        <w:rPr>
          <w:rFonts w:asciiTheme="majorHAnsi" w:hAnsiTheme="majorHAnsi" w:cstheme="majorHAnsi"/>
          <w:lang w:val="en-GB"/>
        </w:rPr>
        <w:t>contradictory issue</w:t>
      </w:r>
      <w:r w:rsidRPr="0089105D">
        <w:rPr>
          <w:rFonts w:asciiTheme="majorHAnsi" w:hAnsiTheme="majorHAnsi" w:cstheme="majorHAnsi"/>
        </w:rPr>
        <w:t>, it is important to adopt integrated approaches that take into account the interconnections between water resources, food production, and human well-being. This can involve promoting sustainable agricultural practices that minimize water use and reduce the impact of agriculture on water quality. It can also involve investing in technologies and infrastructure that help to conserve and manage water resources, such as improved irrigation systems and water treatment facilities.</w:t>
      </w:r>
      <w:r w:rsidRPr="0089105D">
        <w:rPr>
          <w:rFonts w:asciiTheme="majorHAnsi" w:hAnsiTheme="majorHAnsi" w:cstheme="majorHAnsi"/>
          <w:lang w:val="en-GB"/>
        </w:rPr>
        <w:t xml:space="preserve"> Kroll </w:t>
      </w:r>
      <w:r w:rsidR="00A81505" w:rsidRPr="0089105D">
        <w:rPr>
          <w:rFonts w:asciiTheme="majorHAnsi" w:hAnsiTheme="majorHAnsi" w:cstheme="majorHAnsi"/>
          <w:lang w:val="en-GB"/>
        </w:rPr>
        <w:t xml:space="preserve">et al. </w:t>
      </w:r>
      <w:r w:rsidRPr="0089105D">
        <w:rPr>
          <w:rFonts w:asciiTheme="majorHAnsi" w:hAnsiTheme="majorHAnsi" w:cstheme="majorHAnsi"/>
          <w:lang w:val="en-GB"/>
        </w:rPr>
        <w:t xml:space="preserve">(2019) distinguishes this practice as “transforming from trade-off to a synergy,” (Kroll, 2019) and such approach could become an efficient tool how to make potential trade-off more efficiently implemented. </w:t>
      </w:r>
    </w:p>
    <w:p w14:paraId="2186A448" w14:textId="77777777" w:rsidR="006B2FB8" w:rsidRPr="0089105D" w:rsidRDefault="006B2FB8" w:rsidP="0023287E">
      <w:pPr>
        <w:spacing w:line="360" w:lineRule="auto"/>
        <w:jc w:val="both"/>
        <w:rPr>
          <w:rFonts w:asciiTheme="majorHAnsi" w:hAnsiTheme="majorHAnsi" w:cstheme="majorHAnsi"/>
          <w:lang w:val="en-GB"/>
        </w:rPr>
      </w:pPr>
    </w:p>
    <w:p w14:paraId="3FC624F2" w14:textId="4FE56969" w:rsidR="00501463" w:rsidRPr="0089105D" w:rsidRDefault="00501463" w:rsidP="0023287E">
      <w:pPr>
        <w:spacing w:line="360" w:lineRule="auto"/>
        <w:jc w:val="both"/>
        <w:rPr>
          <w:rFonts w:asciiTheme="majorHAnsi" w:hAnsiTheme="majorHAnsi" w:cstheme="majorHAnsi"/>
        </w:rPr>
      </w:pPr>
      <w:r w:rsidRPr="0089105D">
        <w:rPr>
          <w:rFonts w:asciiTheme="majorHAnsi" w:hAnsiTheme="majorHAnsi" w:cstheme="majorHAnsi"/>
          <w:lang w:val="en-GB"/>
        </w:rPr>
        <w:t xml:space="preserve">Prospective solution for this problematic could be found in translating the conflicts into additional indicators which would create the link much more visible and therefore, would effectively guide the policy makers and states to focus their attention on the inherent, mutually reinforcing link, rather than perceiving these two elements </w:t>
      </w:r>
      <w:r w:rsidRPr="0089105D">
        <w:rPr>
          <w:rFonts w:asciiTheme="majorHAnsi" w:hAnsiTheme="majorHAnsi" w:cstheme="majorHAnsi"/>
        </w:rPr>
        <w:t>as competing priorities.</w:t>
      </w:r>
    </w:p>
    <w:p w14:paraId="2F09D01D" w14:textId="77777777" w:rsidR="004A5250" w:rsidRPr="0089105D" w:rsidRDefault="004A5250" w:rsidP="0023287E">
      <w:pPr>
        <w:spacing w:line="360" w:lineRule="auto"/>
        <w:jc w:val="both"/>
        <w:rPr>
          <w:rFonts w:asciiTheme="majorHAnsi" w:hAnsiTheme="majorHAnsi" w:cstheme="majorHAnsi"/>
          <w:lang w:val="en-GB"/>
        </w:rPr>
      </w:pPr>
    </w:p>
    <w:p w14:paraId="2F843B7F" w14:textId="77777777" w:rsidR="00501463" w:rsidRPr="0089105D" w:rsidRDefault="00501463" w:rsidP="00501463">
      <w:pPr>
        <w:spacing w:line="360" w:lineRule="auto"/>
        <w:rPr>
          <w:rFonts w:asciiTheme="majorHAnsi" w:hAnsiTheme="majorHAnsi" w:cstheme="majorHAnsi"/>
        </w:rPr>
      </w:pPr>
    </w:p>
    <w:p w14:paraId="26283F31" w14:textId="4B250787" w:rsidR="00501463" w:rsidRPr="0089105D" w:rsidRDefault="0023287E" w:rsidP="00501463">
      <w:pPr>
        <w:pStyle w:val="Heading1"/>
        <w:rPr>
          <w:rFonts w:cstheme="majorHAnsi"/>
          <w:b/>
          <w:bCs/>
          <w:color w:val="auto"/>
          <w:lang w:val="en-GB"/>
        </w:rPr>
      </w:pPr>
      <w:bookmarkStart w:id="84" w:name="_Toc153142475"/>
      <w:bookmarkStart w:id="85" w:name="_Toc153187406"/>
      <w:r w:rsidRPr="0089105D">
        <w:rPr>
          <w:rFonts w:cstheme="majorHAnsi"/>
          <w:b/>
          <w:bCs/>
          <w:color w:val="auto"/>
          <w:lang w:val="en-GB"/>
        </w:rPr>
        <w:lastRenderedPageBreak/>
        <w:t>3.</w:t>
      </w:r>
      <w:r w:rsidR="00522539" w:rsidRPr="0089105D">
        <w:rPr>
          <w:rFonts w:cstheme="majorHAnsi"/>
          <w:b/>
          <w:bCs/>
          <w:color w:val="auto"/>
          <w:lang w:val="en-GB"/>
        </w:rPr>
        <w:t xml:space="preserve">2 </w:t>
      </w:r>
      <w:r w:rsidR="00501463" w:rsidRPr="0089105D">
        <w:rPr>
          <w:rFonts w:cstheme="majorHAnsi"/>
          <w:b/>
          <w:bCs/>
          <w:color w:val="auto"/>
          <w:lang w:val="en-GB"/>
        </w:rPr>
        <w:t>Lack of integration amongst SDGs</w:t>
      </w:r>
      <w:bookmarkEnd w:id="84"/>
      <w:bookmarkEnd w:id="85"/>
    </w:p>
    <w:p w14:paraId="2EDDB65C" w14:textId="77777777" w:rsidR="0023287E" w:rsidRPr="0089105D" w:rsidRDefault="0023287E" w:rsidP="0023287E">
      <w:pPr>
        <w:spacing w:line="360" w:lineRule="auto"/>
        <w:jc w:val="both"/>
        <w:rPr>
          <w:lang w:val="en-GB"/>
        </w:rPr>
      </w:pPr>
    </w:p>
    <w:p w14:paraId="65490512" w14:textId="17C47693" w:rsidR="0023287E" w:rsidRPr="0089105D" w:rsidRDefault="0023287E" w:rsidP="0023287E">
      <w:pPr>
        <w:spacing w:line="360" w:lineRule="auto"/>
        <w:jc w:val="both"/>
        <w:rPr>
          <w:rFonts w:asciiTheme="majorHAnsi" w:hAnsiTheme="majorHAnsi" w:cstheme="majorHAnsi"/>
          <w:lang w:val="en-GB"/>
        </w:rPr>
      </w:pPr>
      <w:r w:rsidRPr="0089105D">
        <w:rPr>
          <w:rFonts w:asciiTheme="majorHAnsi" w:hAnsiTheme="majorHAnsi" w:cstheme="majorHAnsi"/>
          <w:lang w:val="en-GB"/>
        </w:rPr>
        <w:t xml:space="preserve">The Sustainable Development Goals (SDGs encapsulate the essence of the concept of three-pillared sustainable development, embodying 17 principles that address diverse spheres of drivers for change. These spheres, with their profound interconnected nature, collectively seek to confront challenges associated with various facets of development. Referred to as a </w:t>
      </w:r>
      <w:r w:rsidR="006B2FB8" w:rsidRPr="0089105D">
        <w:rPr>
          <w:rFonts w:asciiTheme="majorHAnsi" w:hAnsiTheme="majorHAnsi" w:cstheme="majorHAnsi"/>
          <w:lang w:val="en-GB"/>
        </w:rPr>
        <w:t>“</w:t>
      </w:r>
      <w:r w:rsidRPr="0089105D">
        <w:rPr>
          <w:rFonts w:asciiTheme="majorHAnsi" w:hAnsiTheme="majorHAnsi" w:cstheme="majorHAnsi"/>
          <w:lang w:val="en-GB"/>
        </w:rPr>
        <w:t>holistic approach</w:t>
      </w:r>
      <w:r w:rsidR="006B2FB8" w:rsidRPr="0089105D">
        <w:rPr>
          <w:rFonts w:asciiTheme="majorHAnsi" w:hAnsiTheme="majorHAnsi" w:cstheme="majorHAnsi"/>
          <w:lang w:val="en-GB"/>
        </w:rPr>
        <w:t>”</w:t>
      </w:r>
      <w:r w:rsidRPr="0089105D">
        <w:rPr>
          <w:rFonts w:asciiTheme="majorHAnsi" w:hAnsiTheme="majorHAnsi" w:cstheme="majorHAnsi"/>
          <w:lang w:val="en-GB"/>
        </w:rPr>
        <w:t xml:space="preserve"> by numerous scholars and international institutions, including UNEP (2019), </w:t>
      </w:r>
      <w:proofErr w:type="spellStart"/>
      <w:r w:rsidRPr="0089105D">
        <w:rPr>
          <w:rFonts w:asciiTheme="majorHAnsi" w:hAnsiTheme="majorHAnsi" w:cstheme="majorHAnsi"/>
          <w:lang w:val="en-GB"/>
        </w:rPr>
        <w:t>Saez</w:t>
      </w:r>
      <w:proofErr w:type="spellEnd"/>
      <w:r w:rsidRPr="0089105D">
        <w:rPr>
          <w:rFonts w:asciiTheme="majorHAnsi" w:hAnsiTheme="majorHAnsi" w:cstheme="majorHAnsi"/>
          <w:lang w:val="en-GB"/>
        </w:rPr>
        <w:t xml:space="preserve"> de Camara (2021), and </w:t>
      </w:r>
      <w:proofErr w:type="spellStart"/>
      <w:r w:rsidRPr="0089105D">
        <w:rPr>
          <w:rFonts w:asciiTheme="majorHAnsi" w:hAnsiTheme="majorHAnsi" w:cstheme="majorHAnsi"/>
          <w:lang w:val="en-GB"/>
        </w:rPr>
        <w:t>Moldavska</w:t>
      </w:r>
      <w:proofErr w:type="spellEnd"/>
      <w:r w:rsidRPr="0089105D">
        <w:rPr>
          <w:rFonts w:asciiTheme="majorHAnsi" w:hAnsiTheme="majorHAnsi" w:cstheme="majorHAnsi"/>
          <w:lang w:val="en-GB"/>
        </w:rPr>
        <w:t xml:space="preserve"> and </w:t>
      </w:r>
      <w:proofErr w:type="spellStart"/>
      <w:r w:rsidRPr="0089105D">
        <w:rPr>
          <w:rFonts w:asciiTheme="majorHAnsi" w:hAnsiTheme="majorHAnsi" w:cstheme="majorHAnsi"/>
          <w:lang w:val="en-GB"/>
        </w:rPr>
        <w:t>Welo</w:t>
      </w:r>
      <w:proofErr w:type="spellEnd"/>
      <w:r w:rsidRPr="0089105D">
        <w:rPr>
          <w:rFonts w:asciiTheme="majorHAnsi" w:hAnsiTheme="majorHAnsi" w:cstheme="majorHAnsi"/>
          <w:lang w:val="en-GB"/>
        </w:rPr>
        <w:t xml:space="preserve"> (2019), this methodology is considered essential for effectively addressing the majority of the </w:t>
      </w:r>
      <w:r w:rsidR="002B1753" w:rsidRPr="0089105D">
        <w:rPr>
          <w:rFonts w:asciiTheme="majorHAnsi" w:hAnsiTheme="majorHAnsi" w:cstheme="majorHAnsi"/>
          <w:lang w:val="en-GB"/>
        </w:rPr>
        <w:t>SDGs (</w:t>
      </w:r>
      <w:proofErr w:type="spellStart"/>
      <w:r w:rsidRPr="0089105D">
        <w:rPr>
          <w:rFonts w:asciiTheme="majorHAnsi" w:hAnsiTheme="majorHAnsi" w:cstheme="majorHAnsi"/>
          <w:lang w:val="en-GB"/>
        </w:rPr>
        <w:t>Saez</w:t>
      </w:r>
      <w:proofErr w:type="spellEnd"/>
      <w:r w:rsidRPr="0089105D">
        <w:rPr>
          <w:rFonts w:asciiTheme="majorHAnsi" w:hAnsiTheme="majorHAnsi" w:cstheme="majorHAnsi"/>
          <w:lang w:val="en-GB"/>
        </w:rPr>
        <w:t xml:space="preserve"> de Camara, 2021</w:t>
      </w:r>
      <w:r w:rsidR="002B1753" w:rsidRPr="0089105D">
        <w:rPr>
          <w:rFonts w:asciiTheme="majorHAnsi" w:hAnsiTheme="majorHAnsi" w:cstheme="majorHAnsi"/>
          <w:lang w:val="en-GB"/>
        </w:rPr>
        <w:t xml:space="preserve">, </w:t>
      </w:r>
      <w:proofErr w:type="spellStart"/>
      <w:r w:rsidRPr="0089105D">
        <w:rPr>
          <w:rFonts w:asciiTheme="majorHAnsi" w:hAnsiTheme="majorHAnsi" w:cstheme="majorHAnsi"/>
          <w:lang w:val="en-GB"/>
        </w:rPr>
        <w:t>Moldavska</w:t>
      </w:r>
      <w:proofErr w:type="spellEnd"/>
      <w:r w:rsidRPr="0089105D">
        <w:rPr>
          <w:rFonts w:asciiTheme="majorHAnsi" w:hAnsiTheme="majorHAnsi" w:cstheme="majorHAnsi"/>
          <w:lang w:val="en-GB"/>
        </w:rPr>
        <w:t xml:space="preserve"> and </w:t>
      </w:r>
      <w:proofErr w:type="spellStart"/>
      <w:r w:rsidRPr="0089105D">
        <w:rPr>
          <w:rFonts w:asciiTheme="majorHAnsi" w:hAnsiTheme="majorHAnsi" w:cstheme="majorHAnsi"/>
          <w:lang w:val="en-GB"/>
        </w:rPr>
        <w:t>Welo</w:t>
      </w:r>
      <w:proofErr w:type="spellEnd"/>
      <w:r w:rsidRPr="0089105D">
        <w:rPr>
          <w:rFonts w:asciiTheme="majorHAnsi" w:hAnsiTheme="majorHAnsi" w:cstheme="majorHAnsi"/>
          <w:lang w:val="en-GB"/>
        </w:rPr>
        <w:t xml:space="preserve">, 2019). </w:t>
      </w:r>
      <w:r w:rsidR="006B2FB8" w:rsidRPr="0089105D">
        <w:rPr>
          <w:rFonts w:asciiTheme="majorHAnsi" w:hAnsiTheme="majorHAnsi" w:cstheme="majorHAnsi"/>
          <w:lang w:val="en-GB"/>
        </w:rPr>
        <w:t xml:space="preserve">Likewise, </w:t>
      </w:r>
      <w:r w:rsidRPr="0089105D">
        <w:rPr>
          <w:rFonts w:asciiTheme="majorHAnsi" w:hAnsiTheme="majorHAnsi" w:cstheme="majorHAnsi"/>
          <w:lang w:val="en-GB"/>
        </w:rPr>
        <w:t>Lim (2018) emphasizes that the continuous failure to integrate within the SDGs jeopardizes the realization of the ultimate end-goal (Lim, 2018, p. 220).</w:t>
      </w:r>
      <w:r w:rsidR="00BE2E21" w:rsidRPr="0089105D">
        <w:rPr>
          <w:rFonts w:asciiTheme="majorHAnsi" w:hAnsiTheme="majorHAnsi" w:cstheme="majorHAnsi"/>
          <w:lang w:val="en-GB"/>
        </w:rPr>
        <w:t xml:space="preserve">  </w:t>
      </w:r>
    </w:p>
    <w:p w14:paraId="3D547CB3" w14:textId="77777777" w:rsidR="0023287E" w:rsidRPr="0089105D" w:rsidRDefault="0023287E" w:rsidP="0023287E">
      <w:pPr>
        <w:spacing w:line="360" w:lineRule="auto"/>
        <w:jc w:val="both"/>
        <w:rPr>
          <w:rFonts w:asciiTheme="majorHAnsi" w:hAnsiTheme="majorHAnsi" w:cstheme="majorHAnsi"/>
          <w:lang w:val="en-GB"/>
        </w:rPr>
      </w:pPr>
    </w:p>
    <w:p w14:paraId="570F6162" w14:textId="514B1C6E" w:rsidR="004F02E9" w:rsidRPr="0089105D" w:rsidRDefault="0023287E" w:rsidP="0023287E">
      <w:pPr>
        <w:spacing w:line="360" w:lineRule="auto"/>
        <w:jc w:val="both"/>
        <w:rPr>
          <w:rFonts w:asciiTheme="majorHAnsi" w:hAnsiTheme="majorHAnsi" w:cstheme="majorHAnsi"/>
          <w:lang w:val="en-GB"/>
        </w:rPr>
      </w:pPr>
      <w:r w:rsidRPr="0089105D">
        <w:rPr>
          <w:rFonts w:asciiTheme="majorHAnsi" w:hAnsiTheme="majorHAnsi" w:cstheme="majorHAnsi"/>
          <w:lang w:val="en-GB"/>
        </w:rPr>
        <w:t xml:space="preserve">Despite the advocacy for a holistic approach, a critical examination of the SDGs reveals a notable deficiency in the incorporation of this holistic perspective. This observation </w:t>
      </w:r>
      <w:r w:rsidR="006B2FB8" w:rsidRPr="0089105D">
        <w:rPr>
          <w:rFonts w:asciiTheme="majorHAnsi" w:hAnsiTheme="majorHAnsi" w:cstheme="majorHAnsi"/>
          <w:lang w:val="en-GB"/>
        </w:rPr>
        <w:t>can be</w:t>
      </w:r>
      <w:r w:rsidRPr="0089105D">
        <w:rPr>
          <w:rFonts w:asciiTheme="majorHAnsi" w:hAnsiTheme="majorHAnsi" w:cstheme="majorHAnsi"/>
          <w:lang w:val="en-GB"/>
        </w:rPr>
        <w:t xml:space="preserve"> exemplified by SDG 6, which focuses on ensuring sustainable water management, access to water, and sanitation, often described as the </w:t>
      </w:r>
      <w:r w:rsidR="006B2FB8" w:rsidRPr="0089105D">
        <w:rPr>
          <w:rFonts w:asciiTheme="majorHAnsi" w:hAnsiTheme="majorHAnsi" w:cstheme="majorHAnsi"/>
          <w:lang w:val="en-GB"/>
        </w:rPr>
        <w:t>“</w:t>
      </w:r>
      <w:r w:rsidRPr="0089105D">
        <w:rPr>
          <w:rFonts w:asciiTheme="majorHAnsi" w:hAnsiTheme="majorHAnsi" w:cstheme="majorHAnsi"/>
          <w:lang w:val="en-GB"/>
        </w:rPr>
        <w:t>lonely wolf of the SDGs</w:t>
      </w:r>
      <w:r w:rsidR="006B2FB8" w:rsidRPr="0089105D">
        <w:rPr>
          <w:rFonts w:asciiTheme="majorHAnsi" w:hAnsiTheme="majorHAnsi" w:cstheme="majorHAnsi"/>
          <w:lang w:val="en-GB"/>
        </w:rPr>
        <w:t>”</w:t>
      </w:r>
      <w:r w:rsidRPr="0089105D">
        <w:rPr>
          <w:rFonts w:asciiTheme="majorHAnsi" w:hAnsiTheme="majorHAnsi" w:cstheme="majorHAnsi"/>
          <w:lang w:val="en-GB"/>
        </w:rPr>
        <w:t xml:space="preserve"> (</w:t>
      </w:r>
      <w:proofErr w:type="spellStart"/>
      <w:r w:rsidR="00365466" w:rsidRPr="0089105D">
        <w:rPr>
          <w:rFonts w:asciiTheme="majorHAnsi" w:hAnsiTheme="majorHAnsi" w:cstheme="majorHAnsi"/>
          <w:lang w:val="en-GB"/>
        </w:rPr>
        <w:t>Lalawmpui</w:t>
      </w:r>
      <w:proofErr w:type="spellEnd"/>
      <w:r w:rsidR="00365466" w:rsidRPr="0089105D">
        <w:rPr>
          <w:rFonts w:asciiTheme="majorHAnsi" w:hAnsiTheme="majorHAnsi" w:cstheme="majorHAnsi"/>
          <w:lang w:val="en-GB"/>
        </w:rPr>
        <w:t xml:space="preserve"> and </w:t>
      </w:r>
      <w:r w:rsidRPr="0089105D">
        <w:rPr>
          <w:rFonts w:asciiTheme="majorHAnsi" w:hAnsiTheme="majorHAnsi" w:cstheme="majorHAnsi"/>
          <w:lang w:val="en-GB"/>
        </w:rPr>
        <w:t>Rai, 2019). A</w:t>
      </w:r>
      <w:r w:rsidR="006B2FB8" w:rsidRPr="0089105D">
        <w:rPr>
          <w:rFonts w:asciiTheme="majorHAnsi" w:hAnsiTheme="majorHAnsi" w:cstheme="majorHAnsi"/>
          <w:lang w:val="en-GB"/>
        </w:rPr>
        <w:t xml:space="preserve">n </w:t>
      </w:r>
      <w:r w:rsidRPr="0089105D">
        <w:rPr>
          <w:rFonts w:asciiTheme="majorHAnsi" w:hAnsiTheme="majorHAnsi" w:cstheme="majorHAnsi"/>
          <w:lang w:val="en-GB"/>
        </w:rPr>
        <w:t xml:space="preserve">analysis of the SDG structure reveals that the key objective is to </w:t>
      </w:r>
      <w:r w:rsidR="006B2FB8" w:rsidRPr="0089105D">
        <w:rPr>
          <w:rFonts w:asciiTheme="majorHAnsi" w:hAnsiTheme="majorHAnsi" w:cstheme="majorHAnsi"/>
          <w:lang w:val="en-GB"/>
        </w:rPr>
        <w:t>“</w:t>
      </w:r>
      <w:r w:rsidRPr="0089105D">
        <w:rPr>
          <w:rFonts w:asciiTheme="majorHAnsi" w:hAnsiTheme="majorHAnsi" w:cstheme="majorHAnsi"/>
          <w:lang w:val="en-GB"/>
        </w:rPr>
        <w:t>achieve universal and equitable access to safe and affordable drinking water for all by 2030</w:t>
      </w:r>
      <w:r w:rsidR="006B2FB8" w:rsidRPr="0089105D">
        <w:rPr>
          <w:rFonts w:asciiTheme="majorHAnsi" w:hAnsiTheme="majorHAnsi" w:cstheme="majorHAnsi"/>
          <w:lang w:val="en-GB"/>
        </w:rPr>
        <w:t>”</w:t>
      </w:r>
      <w:r w:rsidRPr="0089105D">
        <w:rPr>
          <w:rFonts w:asciiTheme="majorHAnsi" w:hAnsiTheme="majorHAnsi" w:cstheme="majorHAnsi"/>
          <w:lang w:val="en-GB"/>
        </w:rPr>
        <w:t xml:space="preserve"> (United Nations, 2015).</w:t>
      </w:r>
      <w:r w:rsidR="006B2FB8" w:rsidRPr="0089105D">
        <w:rPr>
          <w:rFonts w:asciiTheme="majorHAnsi" w:hAnsiTheme="majorHAnsi" w:cstheme="majorHAnsi"/>
          <w:lang w:val="en-GB"/>
        </w:rPr>
        <w:t xml:space="preserve"> </w:t>
      </w:r>
      <w:r w:rsidR="004F02E9" w:rsidRPr="0089105D">
        <w:rPr>
          <w:rFonts w:asciiTheme="majorHAnsi" w:hAnsiTheme="majorHAnsi" w:cstheme="majorHAnsi"/>
          <w:lang w:val="en-GB"/>
        </w:rPr>
        <w:t xml:space="preserve">The table below summarises all the targets of this goal. </w:t>
      </w:r>
    </w:p>
    <w:p w14:paraId="684B5678" w14:textId="52DCC2C8" w:rsidR="004F02E9" w:rsidRPr="0089105D" w:rsidRDefault="004F02E9" w:rsidP="004F02E9">
      <w:pPr>
        <w:pStyle w:val="Caption"/>
        <w:keepNext/>
        <w:rPr>
          <w:color w:val="auto"/>
        </w:rPr>
      </w:pPr>
    </w:p>
    <w:tbl>
      <w:tblPr>
        <w:tblStyle w:val="TableGrid"/>
        <w:tblW w:w="0" w:type="auto"/>
        <w:tblLook w:val="04A0" w:firstRow="1" w:lastRow="0" w:firstColumn="1" w:lastColumn="0" w:noHBand="0" w:noVBand="1"/>
      </w:tblPr>
      <w:tblGrid>
        <w:gridCol w:w="846"/>
        <w:gridCol w:w="8170"/>
      </w:tblGrid>
      <w:tr w:rsidR="0089105D" w:rsidRPr="0089105D" w14:paraId="75A5A9BD" w14:textId="77777777" w:rsidTr="00480109">
        <w:tc>
          <w:tcPr>
            <w:tcW w:w="846" w:type="dxa"/>
          </w:tcPr>
          <w:p w14:paraId="100CBC53" w14:textId="77777777" w:rsidR="00501463" w:rsidRPr="0089105D" w:rsidRDefault="00501463" w:rsidP="00480109">
            <w:pPr>
              <w:spacing w:line="360" w:lineRule="auto"/>
              <w:jc w:val="both"/>
              <w:rPr>
                <w:rFonts w:asciiTheme="majorHAnsi" w:hAnsiTheme="majorHAnsi" w:cstheme="majorHAnsi"/>
                <w:lang w:val="en-GB"/>
              </w:rPr>
            </w:pPr>
            <w:r w:rsidRPr="0089105D">
              <w:rPr>
                <w:rFonts w:asciiTheme="majorHAnsi" w:hAnsiTheme="majorHAnsi" w:cstheme="majorHAnsi"/>
                <w:lang w:val="en-GB"/>
              </w:rPr>
              <w:t>Target</w:t>
            </w:r>
          </w:p>
        </w:tc>
        <w:tc>
          <w:tcPr>
            <w:tcW w:w="8170" w:type="dxa"/>
          </w:tcPr>
          <w:p w14:paraId="53A17F83" w14:textId="77777777" w:rsidR="00501463" w:rsidRPr="0089105D" w:rsidRDefault="00501463" w:rsidP="00480109">
            <w:pPr>
              <w:spacing w:line="360" w:lineRule="auto"/>
              <w:jc w:val="both"/>
              <w:rPr>
                <w:rFonts w:asciiTheme="majorHAnsi" w:hAnsiTheme="majorHAnsi" w:cstheme="majorHAnsi"/>
                <w:lang w:val="en-GB"/>
              </w:rPr>
            </w:pPr>
            <w:r w:rsidRPr="0089105D">
              <w:rPr>
                <w:rFonts w:asciiTheme="majorHAnsi" w:hAnsiTheme="majorHAnsi" w:cstheme="majorHAnsi"/>
                <w:lang w:val="en-GB"/>
              </w:rPr>
              <w:t xml:space="preserve">Objective </w:t>
            </w:r>
          </w:p>
        </w:tc>
      </w:tr>
      <w:tr w:rsidR="0089105D" w:rsidRPr="0089105D" w14:paraId="34DF7250" w14:textId="77777777" w:rsidTr="00480109">
        <w:tc>
          <w:tcPr>
            <w:tcW w:w="846" w:type="dxa"/>
          </w:tcPr>
          <w:p w14:paraId="6F6DC01A" w14:textId="77777777" w:rsidR="00501463" w:rsidRPr="0089105D" w:rsidRDefault="00501463" w:rsidP="00480109">
            <w:pPr>
              <w:spacing w:line="360" w:lineRule="auto"/>
              <w:jc w:val="both"/>
              <w:rPr>
                <w:rFonts w:asciiTheme="majorHAnsi" w:hAnsiTheme="majorHAnsi" w:cstheme="majorHAnsi"/>
                <w:lang w:val="en-GB"/>
              </w:rPr>
            </w:pPr>
            <w:r w:rsidRPr="0089105D">
              <w:rPr>
                <w:rFonts w:asciiTheme="majorHAnsi" w:hAnsiTheme="majorHAnsi" w:cstheme="majorHAnsi"/>
                <w:lang w:val="en-GB"/>
              </w:rPr>
              <w:t>6.1</w:t>
            </w:r>
          </w:p>
        </w:tc>
        <w:tc>
          <w:tcPr>
            <w:tcW w:w="8170" w:type="dxa"/>
          </w:tcPr>
          <w:p w14:paraId="606F9CCE" w14:textId="77777777" w:rsidR="00501463" w:rsidRPr="0089105D" w:rsidRDefault="00501463" w:rsidP="00480109">
            <w:pPr>
              <w:spacing w:line="360" w:lineRule="auto"/>
              <w:jc w:val="both"/>
              <w:rPr>
                <w:rFonts w:asciiTheme="majorHAnsi" w:hAnsiTheme="majorHAnsi" w:cstheme="majorHAnsi"/>
                <w:lang w:val="en-GB"/>
              </w:rPr>
            </w:pPr>
            <w:r w:rsidRPr="0089105D">
              <w:rPr>
                <w:rFonts w:asciiTheme="majorHAnsi" w:hAnsiTheme="majorHAnsi" w:cstheme="majorHAnsi"/>
              </w:rPr>
              <w:t>“</w:t>
            </w:r>
            <w:r w:rsidRPr="0089105D">
              <w:rPr>
                <w:rFonts w:asciiTheme="majorHAnsi" w:hAnsiTheme="majorHAnsi" w:cstheme="majorHAnsi"/>
                <w:lang w:val="en-GB"/>
              </w:rPr>
              <w:t>A</w:t>
            </w:r>
            <w:proofErr w:type="spellStart"/>
            <w:r w:rsidRPr="0089105D">
              <w:rPr>
                <w:rFonts w:asciiTheme="majorHAnsi" w:hAnsiTheme="majorHAnsi" w:cstheme="majorHAnsi"/>
              </w:rPr>
              <w:t>chieve</w:t>
            </w:r>
            <w:proofErr w:type="spellEnd"/>
            <w:r w:rsidRPr="0089105D">
              <w:rPr>
                <w:rFonts w:asciiTheme="majorHAnsi" w:hAnsiTheme="majorHAnsi" w:cstheme="majorHAnsi"/>
              </w:rPr>
              <w:t xml:space="preserve"> access to adequate and equitable sanitation and hygiene for all and end open defecation, paying special attention to the needs of women and girls and those in vulnerable situations</w:t>
            </w:r>
            <w:r w:rsidRPr="0089105D">
              <w:rPr>
                <w:rFonts w:asciiTheme="majorHAnsi" w:hAnsiTheme="majorHAnsi" w:cstheme="majorHAnsi"/>
                <w:lang w:val="en-GB"/>
              </w:rPr>
              <w:t>.” (United Nations, 2015)</w:t>
            </w:r>
          </w:p>
        </w:tc>
      </w:tr>
      <w:tr w:rsidR="0089105D" w:rsidRPr="0089105D" w14:paraId="06B317F8" w14:textId="77777777" w:rsidTr="00480109">
        <w:tc>
          <w:tcPr>
            <w:tcW w:w="846" w:type="dxa"/>
          </w:tcPr>
          <w:p w14:paraId="7B313AFB" w14:textId="77777777" w:rsidR="00501463" w:rsidRPr="0089105D" w:rsidRDefault="00501463" w:rsidP="00480109">
            <w:pPr>
              <w:spacing w:line="360" w:lineRule="auto"/>
              <w:jc w:val="both"/>
              <w:rPr>
                <w:rFonts w:asciiTheme="majorHAnsi" w:hAnsiTheme="majorHAnsi" w:cstheme="majorHAnsi"/>
                <w:lang w:val="en-GB"/>
              </w:rPr>
            </w:pPr>
            <w:r w:rsidRPr="0089105D">
              <w:rPr>
                <w:rFonts w:asciiTheme="majorHAnsi" w:hAnsiTheme="majorHAnsi" w:cstheme="majorHAnsi"/>
                <w:lang w:val="en-GB"/>
              </w:rPr>
              <w:t>6.2</w:t>
            </w:r>
          </w:p>
        </w:tc>
        <w:tc>
          <w:tcPr>
            <w:tcW w:w="8170" w:type="dxa"/>
          </w:tcPr>
          <w:p w14:paraId="2AB099CF" w14:textId="77777777" w:rsidR="00501463" w:rsidRPr="0089105D" w:rsidRDefault="00501463" w:rsidP="00480109">
            <w:pPr>
              <w:spacing w:line="360" w:lineRule="auto"/>
              <w:jc w:val="both"/>
              <w:rPr>
                <w:rFonts w:asciiTheme="majorHAnsi" w:hAnsiTheme="majorHAnsi" w:cstheme="majorHAnsi"/>
                <w:lang w:val="en-GB"/>
              </w:rPr>
            </w:pPr>
            <w:r w:rsidRPr="0089105D">
              <w:rPr>
                <w:rFonts w:asciiTheme="majorHAnsi" w:hAnsiTheme="majorHAnsi" w:cstheme="majorHAnsi"/>
                <w:lang w:val="en-GB"/>
              </w:rPr>
              <w:t>“I</w:t>
            </w:r>
            <w:proofErr w:type="spellStart"/>
            <w:r w:rsidRPr="0089105D">
              <w:rPr>
                <w:rFonts w:asciiTheme="majorHAnsi" w:hAnsiTheme="majorHAnsi" w:cstheme="majorHAnsi"/>
              </w:rPr>
              <w:t>mprove</w:t>
            </w:r>
            <w:proofErr w:type="spellEnd"/>
            <w:r w:rsidRPr="0089105D">
              <w:rPr>
                <w:rFonts w:asciiTheme="majorHAnsi" w:hAnsiTheme="majorHAnsi" w:cstheme="majorHAnsi"/>
              </w:rPr>
              <w:t xml:space="preserve"> water quality by reducing pollution, eliminating dumping and minimizing release of hazardous chemicals and materials, halving the proportion of untreated wastewater and substantially increasing recycling and safe reuse globally.</w:t>
            </w:r>
            <w:r w:rsidRPr="0089105D">
              <w:rPr>
                <w:rFonts w:asciiTheme="majorHAnsi" w:hAnsiTheme="majorHAnsi" w:cstheme="majorHAnsi"/>
                <w:lang w:val="en-GB"/>
              </w:rPr>
              <w:t>” (United Nations, 2015)</w:t>
            </w:r>
          </w:p>
          <w:p w14:paraId="54095FF5" w14:textId="77777777" w:rsidR="00501463" w:rsidRPr="0089105D" w:rsidRDefault="00501463" w:rsidP="00480109">
            <w:pPr>
              <w:spacing w:line="360" w:lineRule="auto"/>
              <w:jc w:val="both"/>
              <w:rPr>
                <w:rFonts w:asciiTheme="majorHAnsi" w:hAnsiTheme="majorHAnsi" w:cstheme="majorHAnsi"/>
                <w:lang w:val="en-GB"/>
              </w:rPr>
            </w:pPr>
          </w:p>
        </w:tc>
      </w:tr>
      <w:tr w:rsidR="0089105D" w:rsidRPr="0089105D" w14:paraId="3911AF56" w14:textId="77777777" w:rsidTr="00480109">
        <w:tc>
          <w:tcPr>
            <w:tcW w:w="846" w:type="dxa"/>
          </w:tcPr>
          <w:p w14:paraId="1FAB3008" w14:textId="77777777" w:rsidR="00501463" w:rsidRPr="0089105D" w:rsidRDefault="00501463" w:rsidP="00480109">
            <w:pPr>
              <w:spacing w:line="360" w:lineRule="auto"/>
              <w:jc w:val="both"/>
              <w:rPr>
                <w:rFonts w:asciiTheme="majorHAnsi" w:hAnsiTheme="majorHAnsi" w:cstheme="majorHAnsi"/>
                <w:lang w:val="en-GB"/>
              </w:rPr>
            </w:pPr>
            <w:r w:rsidRPr="0089105D">
              <w:rPr>
                <w:rFonts w:asciiTheme="majorHAnsi" w:hAnsiTheme="majorHAnsi" w:cstheme="majorHAnsi"/>
                <w:lang w:val="en-GB"/>
              </w:rPr>
              <w:t>6.3</w:t>
            </w:r>
          </w:p>
        </w:tc>
        <w:tc>
          <w:tcPr>
            <w:tcW w:w="8170" w:type="dxa"/>
          </w:tcPr>
          <w:p w14:paraId="055E5975" w14:textId="77777777" w:rsidR="00501463" w:rsidRPr="0089105D" w:rsidRDefault="00501463" w:rsidP="00480109">
            <w:pPr>
              <w:spacing w:line="360" w:lineRule="auto"/>
              <w:jc w:val="both"/>
              <w:rPr>
                <w:rFonts w:asciiTheme="majorHAnsi" w:hAnsiTheme="majorHAnsi" w:cstheme="majorHAnsi"/>
                <w:lang w:val="en-GB"/>
              </w:rPr>
            </w:pPr>
            <w:r w:rsidRPr="0089105D">
              <w:rPr>
                <w:rFonts w:asciiTheme="majorHAnsi" w:hAnsiTheme="majorHAnsi" w:cstheme="majorHAnsi"/>
                <w:lang w:val="en-GB"/>
              </w:rPr>
              <w:t>“S</w:t>
            </w:r>
            <w:proofErr w:type="spellStart"/>
            <w:r w:rsidRPr="0089105D">
              <w:rPr>
                <w:rFonts w:asciiTheme="majorHAnsi" w:hAnsiTheme="majorHAnsi" w:cstheme="majorHAnsi"/>
              </w:rPr>
              <w:t>ubstantially</w:t>
            </w:r>
            <w:proofErr w:type="spellEnd"/>
            <w:r w:rsidRPr="0089105D">
              <w:rPr>
                <w:rFonts w:asciiTheme="majorHAnsi" w:hAnsiTheme="majorHAnsi" w:cstheme="majorHAnsi"/>
              </w:rPr>
              <w:t xml:space="preserve"> increase water-use efficiency across all sectors and ensure sustainable withdrawals and supply of freshwater to address water scarcity, and substantially reduce the number of people suffering from water scarcity.</w:t>
            </w:r>
            <w:r w:rsidRPr="0089105D">
              <w:rPr>
                <w:rFonts w:asciiTheme="majorHAnsi" w:hAnsiTheme="majorHAnsi" w:cstheme="majorHAnsi"/>
                <w:lang w:val="en-GB"/>
              </w:rPr>
              <w:t>” (United Nations, 2015)</w:t>
            </w:r>
          </w:p>
          <w:p w14:paraId="0F9A99F9" w14:textId="77777777" w:rsidR="00501463" w:rsidRPr="0089105D" w:rsidRDefault="00501463" w:rsidP="00480109">
            <w:pPr>
              <w:spacing w:line="360" w:lineRule="auto"/>
              <w:jc w:val="both"/>
              <w:rPr>
                <w:rFonts w:asciiTheme="majorHAnsi" w:hAnsiTheme="majorHAnsi" w:cstheme="majorHAnsi"/>
                <w:lang w:val="en-GB"/>
              </w:rPr>
            </w:pPr>
          </w:p>
        </w:tc>
      </w:tr>
      <w:tr w:rsidR="0089105D" w:rsidRPr="0089105D" w14:paraId="4E1E9CE5" w14:textId="77777777" w:rsidTr="00480109">
        <w:tc>
          <w:tcPr>
            <w:tcW w:w="846" w:type="dxa"/>
          </w:tcPr>
          <w:p w14:paraId="768053D3" w14:textId="77777777" w:rsidR="00501463" w:rsidRPr="0089105D" w:rsidRDefault="00501463" w:rsidP="00480109">
            <w:pPr>
              <w:spacing w:line="360" w:lineRule="auto"/>
              <w:jc w:val="both"/>
              <w:rPr>
                <w:rFonts w:asciiTheme="majorHAnsi" w:hAnsiTheme="majorHAnsi" w:cstheme="majorHAnsi"/>
                <w:lang w:val="en-GB"/>
              </w:rPr>
            </w:pPr>
            <w:r w:rsidRPr="0089105D">
              <w:rPr>
                <w:rFonts w:asciiTheme="majorHAnsi" w:hAnsiTheme="majorHAnsi" w:cstheme="majorHAnsi"/>
                <w:lang w:val="en-GB"/>
              </w:rPr>
              <w:t>6.4</w:t>
            </w:r>
          </w:p>
        </w:tc>
        <w:tc>
          <w:tcPr>
            <w:tcW w:w="8170" w:type="dxa"/>
          </w:tcPr>
          <w:p w14:paraId="341CC0D6" w14:textId="77777777" w:rsidR="00501463" w:rsidRPr="0089105D" w:rsidRDefault="00501463" w:rsidP="00480109">
            <w:pPr>
              <w:spacing w:line="360" w:lineRule="auto"/>
              <w:jc w:val="both"/>
              <w:rPr>
                <w:rFonts w:asciiTheme="majorHAnsi" w:hAnsiTheme="majorHAnsi" w:cstheme="majorHAnsi"/>
                <w:lang w:val="en-GB"/>
              </w:rPr>
            </w:pPr>
            <w:r w:rsidRPr="0089105D">
              <w:rPr>
                <w:rFonts w:asciiTheme="majorHAnsi" w:hAnsiTheme="majorHAnsi" w:cstheme="majorHAnsi"/>
                <w:lang w:val="en-GB"/>
              </w:rPr>
              <w:t>“I</w:t>
            </w:r>
            <w:proofErr w:type="spellStart"/>
            <w:r w:rsidRPr="0089105D">
              <w:rPr>
                <w:rFonts w:asciiTheme="majorHAnsi" w:hAnsiTheme="majorHAnsi" w:cstheme="majorHAnsi"/>
              </w:rPr>
              <w:t>mplement</w:t>
            </w:r>
            <w:proofErr w:type="spellEnd"/>
            <w:r w:rsidRPr="0089105D">
              <w:rPr>
                <w:rFonts w:asciiTheme="majorHAnsi" w:hAnsiTheme="majorHAnsi" w:cstheme="majorHAnsi"/>
              </w:rPr>
              <w:t xml:space="preserve"> integrated water resources management at all levels, including through transboundary cooperation as appropriate.</w:t>
            </w:r>
            <w:r w:rsidRPr="0089105D">
              <w:rPr>
                <w:rFonts w:asciiTheme="majorHAnsi" w:hAnsiTheme="majorHAnsi" w:cstheme="majorHAnsi"/>
                <w:lang w:val="en-GB"/>
              </w:rPr>
              <w:t>” (United Nations, 2015)</w:t>
            </w:r>
          </w:p>
        </w:tc>
      </w:tr>
      <w:tr w:rsidR="0089105D" w:rsidRPr="0089105D" w14:paraId="60627204" w14:textId="77777777" w:rsidTr="00480109">
        <w:tc>
          <w:tcPr>
            <w:tcW w:w="846" w:type="dxa"/>
          </w:tcPr>
          <w:p w14:paraId="0775DE27" w14:textId="77777777" w:rsidR="00501463" w:rsidRPr="0089105D" w:rsidRDefault="00501463" w:rsidP="00480109">
            <w:pPr>
              <w:spacing w:line="360" w:lineRule="auto"/>
              <w:jc w:val="both"/>
              <w:rPr>
                <w:rFonts w:asciiTheme="majorHAnsi" w:hAnsiTheme="majorHAnsi" w:cstheme="majorHAnsi"/>
                <w:lang w:val="en-GB"/>
              </w:rPr>
            </w:pPr>
            <w:r w:rsidRPr="0089105D">
              <w:rPr>
                <w:rFonts w:asciiTheme="majorHAnsi" w:hAnsiTheme="majorHAnsi" w:cstheme="majorHAnsi"/>
                <w:lang w:val="en-GB"/>
              </w:rPr>
              <w:t>6.5</w:t>
            </w:r>
          </w:p>
        </w:tc>
        <w:tc>
          <w:tcPr>
            <w:tcW w:w="8170" w:type="dxa"/>
          </w:tcPr>
          <w:p w14:paraId="4FD8334B" w14:textId="77777777" w:rsidR="00501463" w:rsidRPr="0089105D" w:rsidRDefault="00501463" w:rsidP="00480109">
            <w:pPr>
              <w:spacing w:line="360" w:lineRule="auto"/>
              <w:jc w:val="both"/>
              <w:rPr>
                <w:rFonts w:asciiTheme="majorHAnsi" w:hAnsiTheme="majorHAnsi" w:cstheme="majorHAnsi"/>
                <w:lang w:val="en-GB"/>
              </w:rPr>
            </w:pPr>
            <w:r w:rsidRPr="0089105D">
              <w:rPr>
                <w:rFonts w:asciiTheme="majorHAnsi" w:hAnsiTheme="majorHAnsi" w:cstheme="majorHAnsi"/>
                <w:lang w:val="en-GB"/>
              </w:rPr>
              <w:t>“P</w:t>
            </w:r>
            <w:proofErr w:type="spellStart"/>
            <w:r w:rsidRPr="0089105D">
              <w:rPr>
                <w:rFonts w:asciiTheme="majorHAnsi" w:hAnsiTheme="majorHAnsi" w:cstheme="majorHAnsi"/>
              </w:rPr>
              <w:t>rotect</w:t>
            </w:r>
            <w:proofErr w:type="spellEnd"/>
            <w:r w:rsidRPr="0089105D">
              <w:rPr>
                <w:rFonts w:asciiTheme="majorHAnsi" w:hAnsiTheme="majorHAnsi" w:cstheme="majorHAnsi"/>
              </w:rPr>
              <w:t xml:space="preserve"> and restore water-related ecosystems, including mountains, forests, wetlands, rivers, aquifers and lakes.</w:t>
            </w:r>
            <w:r w:rsidRPr="0089105D">
              <w:rPr>
                <w:rFonts w:asciiTheme="majorHAnsi" w:hAnsiTheme="majorHAnsi" w:cstheme="majorHAnsi"/>
                <w:lang w:val="en-GB"/>
              </w:rPr>
              <w:t>” (United Nations, 2015)</w:t>
            </w:r>
          </w:p>
          <w:p w14:paraId="343495C5" w14:textId="77777777" w:rsidR="00501463" w:rsidRPr="0089105D" w:rsidRDefault="00501463" w:rsidP="00480109">
            <w:pPr>
              <w:spacing w:line="360" w:lineRule="auto"/>
              <w:jc w:val="both"/>
              <w:rPr>
                <w:rFonts w:asciiTheme="majorHAnsi" w:hAnsiTheme="majorHAnsi" w:cstheme="majorHAnsi"/>
                <w:lang w:val="en-GB"/>
              </w:rPr>
            </w:pPr>
          </w:p>
        </w:tc>
      </w:tr>
      <w:tr w:rsidR="0089105D" w:rsidRPr="0089105D" w14:paraId="50D70740" w14:textId="77777777" w:rsidTr="00480109">
        <w:tc>
          <w:tcPr>
            <w:tcW w:w="846" w:type="dxa"/>
          </w:tcPr>
          <w:p w14:paraId="3BBD0049" w14:textId="77777777" w:rsidR="00501463" w:rsidRPr="0089105D" w:rsidRDefault="00501463" w:rsidP="00480109">
            <w:pPr>
              <w:spacing w:line="360" w:lineRule="auto"/>
              <w:jc w:val="both"/>
              <w:rPr>
                <w:rFonts w:asciiTheme="majorHAnsi" w:hAnsiTheme="majorHAnsi" w:cstheme="majorHAnsi"/>
                <w:lang w:val="en-GB"/>
              </w:rPr>
            </w:pPr>
            <w:r w:rsidRPr="0089105D">
              <w:rPr>
                <w:rFonts w:asciiTheme="majorHAnsi" w:hAnsiTheme="majorHAnsi" w:cstheme="majorHAnsi"/>
                <w:lang w:val="en-GB"/>
              </w:rPr>
              <w:t>6.a</w:t>
            </w:r>
          </w:p>
        </w:tc>
        <w:tc>
          <w:tcPr>
            <w:tcW w:w="8170" w:type="dxa"/>
          </w:tcPr>
          <w:p w14:paraId="5CC0BB85" w14:textId="77777777" w:rsidR="00501463" w:rsidRPr="0089105D" w:rsidRDefault="00501463" w:rsidP="00480109">
            <w:pPr>
              <w:spacing w:line="360" w:lineRule="auto"/>
              <w:jc w:val="both"/>
              <w:rPr>
                <w:rFonts w:asciiTheme="majorHAnsi" w:hAnsiTheme="majorHAnsi" w:cstheme="majorHAnsi"/>
                <w:lang w:val="en-GB"/>
              </w:rPr>
            </w:pPr>
            <w:r w:rsidRPr="0089105D">
              <w:rPr>
                <w:rFonts w:asciiTheme="majorHAnsi" w:hAnsiTheme="majorHAnsi" w:cstheme="majorHAnsi"/>
              </w:rPr>
              <w:t xml:space="preserve">“Expand international cooperation and capacity-building support to developing countries in water- and sanitation-related activities and </w:t>
            </w:r>
            <w:proofErr w:type="spellStart"/>
            <w:r w:rsidRPr="0089105D">
              <w:rPr>
                <w:rFonts w:asciiTheme="majorHAnsi" w:hAnsiTheme="majorHAnsi" w:cstheme="majorHAnsi"/>
              </w:rPr>
              <w:t>programmes</w:t>
            </w:r>
            <w:proofErr w:type="spellEnd"/>
            <w:r w:rsidRPr="0089105D">
              <w:rPr>
                <w:rFonts w:asciiTheme="majorHAnsi" w:hAnsiTheme="majorHAnsi" w:cstheme="majorHAnsi"/>
              </w:rPr>
              <w:t>, including water harvesting, desalination, water efficiency, wastewater treatment, recycling and reuse technologies</w:t>
            </w:r>
            <w:r w:rsidRPr="0089105D">
              <w:rPr>
                <w:rFonts w:asciiTheme="majorHAnsi" w:hAnsiTheme="majorHAnsi" w:cstheme="majorHAnsi"/>
                <w:lang w:val="en-GB"/>
              </w:rPr>
              <w:t>.” (United Nations, 2015)</w:t>
            </w:r>
          </w:p>
          <w:p w14:paraId="68E6D6B3" w14:textId="77777777" w:rsidR="00501463" w:rsidRPr="0089105D" w:rsidRDefault="00501463" w:rsidP="00480109">
            <w:pPr>
              <w:spacing w:line="360" w:lineRule="auto"/>
              <w:jc w:val="both"/>
              <w:rPr>
                <w:rFonts w:asciiTheme="majorHAnsi" w:hAnsiTheme="majorHAnsi" w:cstheme="majorHAnsi"/>
              </w:rPr>
            </w:pPr>
          </w:p>
          <w:p w14:paraId="7AC774C1" w14:textId="77777777" w:rsidR="00501463" w:rsidRPr="0089105D" w:rsidRDefault="00501463" w:rsidP="00480109">
            <w:pPr>
              <w:spacing w:line="360" w:lineRule="auto"/>
              <w:jc w:val="both"/>
              <w:rPr>
                <w:rFonts w:asciiTheme="majorHAnsi" w:hAnsiTheme="majorHAnsi" w:cstheme="majorHAnsi"/>
                <w:lang w:val="en-GB"/>
              </w:rPr>
            </w:pPr>
          </w:p>
        </w:tc>
      </w:tr>
      <w:tr w:rsidR="0089105D" w:rsidRPr="0089105D" w14:paraId="7B5DC06D" w14:textId="77777777" w:rsidTr="00480109">
        <w:tc>
          <w:tcPr>
            <w:tcW w:w="846" w:type="dxa"/>
          </w:tcPr>
          <w:p w14:paraId="643DF4E5" w14:textId="77777777" w:rsidR="00501463" w:rsidRPr="0089105D" w:rsidRDefault="00501463" w:rsidP="00480109">
            <w:pPr>
              <w:spacing w:line="360" w:lineRule="auto"/>
              <w:jc w:val="both"/>
              <w:rPr>
                <w:rFonts w:asciiTheme="majorHAnsi" w:hAnsiTheme="majorHAnsi" w:cstheme="majorHAnsi"/>
                <w:lang w:val="en-GB"/>
              </w:rPr>
            </w:pPr>
            <w:r w:rsidRPr="0089105D">
              <w:rPr>
                <w:rFonts w:asciiTheme="majorHAnsi" w:hAnsiTheme="majorHAnsi" w:cstheme="majorHAnsi"/>
                <w:lang w:val="en-GB"/>
              </w:rPr>
              <w:t>6.b</w:t>
            </w:r>
          </w:p>
        </w:tc>
        <w:tc>
          <w:tcPr>
            <w:tcW w:w="8170" w:type="dxa"/>
          </w:tcPr>
          <w:p w14:paraId="37E8DC72" w14:textId="77777777" w:rsidR="00501463" w:rsidRPr="0089105D" w:rsidRDefault="00501463" w:rsidP="00480109">
            <w:pPr>
              <w:spacing w:line="360" w:lineRule="auto"/>
              <w:jc w:val="both"/>
              <w:rPr>
                <w:rFonts w:asciiTheme="majorHAnsi" w:hAnsiTheme="majorHAnsi" w:cstheme="majorHAnsi"/>
                <w:lang w:val="en-GB"/>
              </w:rPr>
            </w:pPr>
            <w:r w:rsidRPr="0089105D">
              <w:rPr>
                <w:rFonts w:asciiTheme="majorHAnsi" w:hAnsiTheme="majorHAnsi" w:cstheme="majorHAnsi"/>
                <w:lang w:val="en-GB"/>
              </w:rPr>
              <w:t>“</w:t>
            </w:r>
            <w:r w:rsidRPr="0089105D">
              <w:rPr>
                <w:rFonts w:asciiTheme="majorHAnsi" w:hAnsiTheme="majorHAnsi" w:cstheme="majorHAnsi"/>
              </w:rPr>
              <w:t>Support and strengthen the participation of local communities in improving water and sanitation management.”</w:t>
            </w:r>
            <w:r w:rsidRPr="0089105D">
              <w:rPr>
                <w:rFonts w:asciiTheme="majorHAnsi" w:hAnsiTheme="majorHAnsi" w:cstheme="majorHAnsi"/>
                <w:lang w:val="en-GB"/>
              </w:rPr>
              <w:t xml:space="preserve"> (United Nations, 2015)</w:t>
            </w:r>
          </w:p>
        </w:tc>
      </w:tr>
    </w:tbl>
    <w:p w14:paraId="56AC0C95" w14:textId="47BCAB46" w:rsidR="00501463" w:rsidRPr="0089105D" w:rsidRDefault="002B1753" w:rsidP="00501463">
      <w:pPr>
        <w:spacing w:line="360" w:lineRule="auto"/>
        <w:jc w:val="both"/>
        <w:rPr>
          <w:rFonts w:asciiTheme="majorHAnsi" w:hAnsiTheme="majorHAnsi" w:cstheme="majorHAnsi"/>
          <w:i/>
          <w:iCs/>
          <w:sz w:val="20"/>
          <w:szCs w:val="20"/>
          <w:lang w:val="en-GB"/>
        </w:rPr>
      </w:pPr>
      <w:bookmarkStart w:id="86" w:name="_Toc153085122"/>
      <w:bookmarkStart w:id="87" w:name="_Toc153091220"/>
      <w:bookmarkStart w:id="88" w:name="_Toc153169556"/>
      <w:r w:rsidRPr="0089105D">
        <w:rPr>
          <w:rFonts w:asciiTheme="majorHAnsi" w:hAnsiTheme="majorHAnsi" w:cstheme="majorHAnsi"/>
          <w:i/>
          <w:iCs/>
          <w:sz w:val="20"/>
          <w:szCs w:val="20"/>
        </w:rPr>
        <w:t xml:space="preserve">Table </w:t>
      </w:r>
      <w:r w:rsidRPr="0089105D">
        <w:rPr>
          <w:rFonts w:asciiTheme="majorHAnsi" w:hAnsiTheme="majorHAnsi" w:cstheme="majorHAnsi"/>
          <w:i/>
          <w:iCs/>
          <w:sz w:val="20"/>
          <w:szCs w:val="20"/>
        </w:rPr>
        <w:fldChar w:fldCharType="begin"/>
      </w:r>
      <w:r w:rsidRPr="0089105D">
        <w:rPr>
          <w:rFonts w:asciiTheme="majorHAnsi" w:hAnsiTheme="majorHAnsi" w:cstheme="majorHAnsi"/>
          <w:i/>
          <w:iCs/>
          <w:sz w:val="20"/>
          <w:szCs w:val="20"/>
        </w:rPr>
        <w:instrText xml:space="preserve"> SEQ Table \* ARABIC </w:instrText>
      </w:r>
      <w:r w:rsidRPr="0089105D">
        <w:rPr>
          <w:rFonts w:asciiTheme="majorHAnsi" w:hAnsiTheme="majorHAnsi" w:cstheme="majorHAnsi"/>
          <w:i/>
          <w:iCs/>
          <w:sz w:val="20"/>
          <w:szCs w:val="20"/>
        </w:rPr>
        <w:fldChar w:fldCharType="separate"/>
      </w:r>
      <w:r w:rsidR="004519D8" w:rsidRPr="0089105D">
        <w:rPr>
          <w:rFonts w:asciiTheme="majorHAnsi" w:hAnsiTheme="majorHAnsi" w:cstheme="majorHAnsi"/>
          <w:i/>
          <w:iCs/>
          <w:noProof/>
          <w:sz w:val="20"/>
          <w:szCs w:val="20"/>
        </w:rPr>
        <w:t>16</w:t>
      </w:r>
      <w:r w:rsidRPr="0089105D">
        <w:rPr>
          <w:rFonts w:asciiTheme="majorHAnsi" w:hAnsiTheme="majorHAnsi" w:cstheme="majorHAnsi"/>
          <w:i/>
          <w:iCs/>
          <w:sz w:val="20"/>
          <w:szCs w:val="20"/>
        </w:rPr>
        <w:fldChar w:fldCharType="end"/>
      </w:r>
      <w:r w:rsidRPr="0089105D">
        <w:rPr>
          <w:rFonts w:asciiTheme="majorHAnsi" w:hAnsiTheme="majorHAnsi" w:cstheme="majorHAnsi"/>
          <w:i/>
          <w:iCs/>
          <w:sz w:val="20"/>
          <w:szCs w:val="20"/>
        </w:rPr>
        <w:t xml:space="preserve"> This table summarizes all the targets for SDG 6, enabling further analysis in the text below. (United Nations, 2015)</w:t>
      </w:r>
      <w:bookmarkEnd w:id="86"/>
      <w:bookmarkEnd w:id="87"/>
      <w:bookmarkEnd w:id="88"/>
    </w:p>
    <w:p w14:paraId="216B9B0E" w14:textId="77777777" w:rsidR="00501463" w:rsidRPr="0089105D" w:rsidRDefault="00501463" w:rsidP="00501463">
      <w:pPr>
        <w:spacing w:line="360" w:lineRule="auto"/>
        <w:jc w:val="both"/>
        <w:rPr>
          <w:rFonts w:asciiTheme="majorHAnsi" w:hAnsiTheme="majorHAnsi" w:cstheme="majorHAnsi"/>
          <w:lang w:val="en-GB"/>
        </w:rPr>
      </w:pPr>
    </w:p>
    <w:p w14:paraId="02589FA1" w14:textId="22F15377" w:rsidR="004F02E9" w:rsidRPr="0089105D" w:rsidRDefault="004F02E9" w:rsidP="004F02E9">
      <w:pPr>
        <w:spacing w:line="360" w:lineRule="auto"/>
        <w:jc w:val="both"/>
        <w:rPr>
          <w:rFonts w:asciiTheme="majorHAnsi" w:hAnsiTheme="majorHAnsi" w:cstheme="majorHAnsi"/>
          <w:lang w:val="en-GB"/>
        </w:rPr>
      </w:pPr>
      <w:r w:rsidRPr="0089105D">
        <w:rPr>
          <w:rFonts w:asciiTheme="majorHAnsi" w:hAnsiTheme="majorHAnsi" w:cstheme="majorHAnsi"/>
          <w:lang w:val="en-GB"/>
        </w:rPr>
        <w:t>Upon a thorough examination of the targets, it becomes evident that while the second indicator of Sustainable Development Goal 6 (SDG 6) incorporates a cross-cutting issue in the form of gender equality, specifically addressing menstrual hygiene management, the integration of other cross-cutting issues remains notably deficient (Lucks, 2016). Notably absent is the nexus between climate change, encapsulated in a separate target, despite its profound impact on water management and broader aspects of sustainability within the water sector.</w:t>
      </w:r>
      <w:r w:rsidR="006B2FB8" w:rsidRPr="0089105D">
        <w:rPr>
          <w:rFonts w:asciiTheme="majorHAnsi" w:hAnsiTheme="majorHAnsi" w:cstheme="majorHAnsi"/>
          <w:lang w:val="en-GB"/>
        </w:rPr>
        <w:t xml:space="preserve"> </w:t>
      </w:r>
    </w:p>
    <w:p w14:paraId="0433644D" w14:textId="77777777" w:rsidR="006B2FB8" w:rsidRPr="0089105D" w:rsidRDefault="006B2FB8" w:rsidP="004F02E9">
      <w:pPr>
        <w:spacing w:line="360" w:lineRule="auto"/>
        <w:jc w:val="both"/>
        <w:rPr>
          <w:rFonts w:asciiTheme="majorHAnsi" w:hAnsiTheme="majorHAnsi" w:cstheme="majorHAnsi"/>
          <w:lang w:val="en-GB"/>
        </w:rPr>
      </w:pPr>
    </w:p>
    <w:p w14:paraId="56D91C83" w14:textId="383A683A" w:rsidR="004F02E9" w:rsidRPr="0089105D" w:rsidRDefault="004F02E9" w:rsidP="004F02E9">
      <w:pPr>
        <w:spacing w:line="360" w:lineRule="auto"/>
        <w:jc w:val="both"/>
        <w:rPr>
          <w:rFonts w:asciiTheme="majorHAnsi" w:hAnsiTheme="majorHAnsi" w:cstheme="majorHAnsi"/>
          <w:lang w:val="en-GB"/>
        </w:rPr>
      </w:pPr>
      <w:r w:rsidRPr="0089105D">
        <w:rPr>
          <w:rFonts w:asciiTheme="majorHAnsi" w:hAnsiTheme="majorHAnsi" w:cstheme="majorHAnsi"/>
          <w:lang w:val="en-GB"/>
        </w:rPr>
        <w:t>It is arguable that certain</w:t>
      </w:r>
      <w:r w:rsidR="006B2FB8" w:rsidRPr="0089105D">
        <w:rPr>
          <w:rFonts w:asciiTheme="majorHAnsi" w:hAnsiTheme="majorHAnsi" w:cstheme="majorHAnsi"/>
          <w:lang w:val="en-GB"/>
        </w:rPr>
        <w:t xml:space="preserve"> climate</w:t>
      </w:r>
      <w:r w:rsidRPr="0089105D">
        <w:rPr>
          <w:rFonts w:asciiTheme="majorHAnsi" w:hAnsiTheme="majorHAnsi" w:cstheme="majorHAnsi"/>
          <w:lang w:val="en-GB"/>
        </w:rPr>
        <w:t xml:space="preserve"> effects </w:t>
      </w:r>
      <w:r w:rsidR="006B2FB8" w:rsidRPr="0089105D">
        <w:rPr>
          <w:rFonts w:asciiTheme="majorHAnsi" w:hAnsiTheme="majorHAnsi" w:cstheme="majorHAnsi"/>
          <w:lang w:val="en-GB"/>
        </w:rPr>
        <w:t xml:space="preserve">can be </w:t>
      </w:r>
      <w:r w:rsidRPr="0089105D">
        <w:rPr>
          <w:rFonts w:asciiTheme="majorHAnsi" w:hAnsiTheme="majorHAnsi" w:cstheme="majorHAnsi"/>
          <w:lang w:val="en-GB"/>
        </w:rPr>
        <w:t>underscored in existing indicators, such as water scarcity; however, other significant issues, particularly water-borne diseases resulting from elevated temperatures and extreme weather events, affecting the most vulnerable populations, remain overlooked. Consequently, there exists a compelling case for the inclusion of these elements within the framework through the establishment of new indicators. Such an augmentation would not only contribute to a more nuanced understanding but would also introduce a crucial layer of knowledge and action in areas where integration is imperative.</w:t>
      </w:r>
    </w:p>
    <w:p w14:paraId="6227BD75" w14:textId="77777777" w:rsidR="004F02E9" w:rsidRPr="0089105D" w:rsidRDefault="004F02E9" w:rsidP="004F02E9">
      <w:pPr>
        <w:spacing w:line="360" w:lineRule="auto"/>
        <w:jc w:val="both"/>
        <w:rPr>
          <w:rFonts w:asciiTheme="majorHAnsi" w:hAnsiTheme="majorHAnsi" w:cstheme="majorHAnsi"/>
          <w:lang w:val="en-GB"/>
        </w:rPr>
      </w:pPr>
    </w:p>
    <w:p w14:paraId="434B22F1" w14:textId="02BD93D4" w:rsidR="004F02E9" w:rsidRPr="0089105D" w:rsidRDefault="004F02E9" w:rsidP="004F02E9">
      <w:pPr>
        <w:spacing w:line="360" w:lineRule="auto"/>
        <w:jc w:val="both"/>
        <w:rPr>
          <w:rFonts w:asciiTheme="majorHAnsi" w:hAnsiTheme="majorHAnsi" w:cstheme="majorHAnsi"/>
          <w:lang w:val="en-GB"/>
        </w:rPr>
      </w:pPr>
      <w:r w:rsidRPr="0089105D">
        <w:rPr>
          <w:rFonts w:asciiTheme="majorHAnsi" w:hAnsiTheme="majorHAnsi" w:cstheme="majorHAnsi"/>
          <w:lang w:val="en-GB"/>
        </w:rPr>
        <w:t xml:space="preserve">The absence of an indicator addressing water-borne diseases poses a tangible concern, given its far-reaching implications. Beyond impacting SDG 6, it jeopardizes the </w:t>
      </w:r>
      <w:r w:rsidR="006B2FB8" w:rsidRPr="0089105D">
        <w:rPr>
          <w:rFonts w:asciiTheme="majorHAnsi" w:hAnsiTheme="majorHAnsi" w:cstheme="majorHAnsi"/>
          <w:lang w:val="en-GB"/>
        </w:rPr>
        <w:t>fulfilment</w:t>
      </w:r>
      <w:r w:rsidRPr="0089105D">
        <w:rPr>
          <w:rFonts w:asciiTheme="majorHAnsi" w:hAnsiTheme="majorHAnsi" w:cstheme="majorHAnsi"/>
          <w:lang w:val="en-GB"/>
        </w:rPr>
        <w:t xml:space="preserve"> of SDG 3 </w:t>
      </w:r>
      <w:r w:rsidRPr="0089105D">
        <w:rPr>
          <w:rFonts w:asciiTheme="majorHAnsi" w:hAnsiTheme="majorHAnsi" w:cstheme="majorHAnsi"/>
          <w:lang w:val="en-GB"/>
        </w:rPr>
        <w:lastRenderedPageBreak/>
        <w:t>(Good Health and Well-being), SDG 1 (No Poverty), and SDG 10 (Reduced Inequality). Therefore, the incorporation of a pertinent indicator is essential to fortify the comprehensive approach to SDG 6 and mitigate potential impediments to the achievement of four interconnected SDGs.</w:t>
      </w:r>
    </w:p>
    <w:p w14:paraId="02A7DC45" w14:textId="77777777" w:rsidR="004F02E9" w:rsidRPr="0089105D" w:rsidRDefault="004F02E9" w:rsidP="004F02E9">
      <w:pPr>
        <w:spacing w:line="360" w:lineRule="auto"/>
        <w:jc w:val="both"/>
        <w:rPr>
          <w:rFonts w:asciiTheme="majorHAnsi" w:hAnsiTheme="majorHAnsi" w:cstheme="majorHAnsi"/>
          <w:lang w:val="en-GB"/>
        </w:rPr>
      </w:pPr>
    </w:p>
    <w:p w14:paraId="5B587C07" w14:textId="0E1467F8" w:rsidR="00844D56" w:rsidRPr="0089105D" w:rsidRDefault="00844D56" w:rsidP="00844D56">
      <w:pPr>
        <w:spacing w:line="360" w:lineRule="auto"/>
        <w:jc w:val="both"/>
        <w:rPr>
          <w:rFonts w:asciiTheme="majorHAnsi" w:hAnsiTheme="majorHAnsi" w:cstheme="majorHAnsi"/>
        </w:rPr>
      </w:pPr>
      <w:r w:rsidRPr="0089105D">
        <w:rPr>
          <w:rFonts w:asciiTheme="majorHAnsi" w:hAnsiTheme="majorHAnsi" w:cstheme="majorHAnsi"/>
        </w:rPr>
        <w:t xml:space="preserve">Moreover, </w:t>
      </w:r>
      <w:proofErr w:type="spellStart"/>
      <w:r w:rsidRPr="0089105D">
        <w:rPr>
          <w:rFonts w:asciiTheme="majorHAnsi" w:hAnsiTheme="majorHAnsi" w:cstheme="majorHAnsi"/>
        </w:rPr>
        <w:t>Obaideen</w:t>
      </w:r>
      <w:proofErr w:type="spellEnd"/>
      <w:r w:rsidRPr="0089105D">
        <w:rPr>
          <w:rFonts w:asciiTheme="majorHAnsi" w:hAnsiTheme="majorHAnsi" w:cstheme="majorHAnsi"/>
        </w:rPr>
        <w:t xml:space="preserve"> et al. (2022) approach this issue from a distinct perspective, as evidenced in their research focused on wastewater, an integral component </w:t>
      </w:r>
      <w:r w:rsidR="00322CE9" w:rsidRPr="0089105D">
        <w:rPr>
          <w:rFonts w:asciiTheme="majorHAnsi" w:hAnsiTheme="majorHAnsi" w:cstheme="majorHAnsi"/>
        </w:rPr>
        <w:t>of SDGs</w:t>
      </w:r>
      <w:r w:rsidR="006B2FB8" w:rsidRPr="0089105D">
        <w:rPr>
          <w:rFonts w:asciiTheme="majorHAnsi" w:hAnsiTheme="majorHAnsi" w:cstheme="majorHAnsi"/>
        </w:rPr>
        <w:t xml:space="preserve">. </w:t>
      </w:r>
      <w:r w:rsidRPr="0089105D">
        <w:rPr>
          <w:rFonts w:asciiTheme="majorHAnsi" w:hAnsiTheme="majorHAnsi" w:cstheme="majorHAnsi"/>
        </w:rPr>
        <w:t>Their comprehensive analysis illuminates the multifaceted contributions of wastewater treatment towards 11 out of the 17 SDGs. These contributions encompass augmenting water availability, enhancing human health, generating new sources of income, converting waste to energy, and mitigating environmental impacts. The research posits a set of indicators designed to optimize the impact of wastewater treatment in advancing the UN's SDGs globally.</w:t>
      </w:r>
    </w:p>
    <w:p w14:paraId="6C9AF2E7" w14:textId="77777777" w:rsidR="00844D56" w:rsidRPr="0089105D" w:rsidRDefault="00844D56" w:rsidP="00844D56">
      <w:pPr>
        <w:spacing w:line="360" w:lineRule="auto"/>
        <w:jc w:val="both"/>
        <w:rPr>
          <w:rFonts w:asciiTheme="majorHAnsi" w:hAnsiTheme="majorHAnsi" w:cstheme="majorHAnsi"/>
        </w:rPr>
      </w:pPr>
    </w:p>
    <w:p w14:paraId="0F658A5F" w14:textId="13E69EB4" w:rsidR="00844D56" w:rsidRPr="0089105D" w:rsidRDefault="00844D56" w:rsidP="00844D56">
      <w:pPr>
        <w:spacing w:line="360" w:lineRule="auto"/>
        <w:jc w:val="both"/>
        <w:rPr>
          <w:rFonts w:asciiTheme="majorHAnsi" w:hAnsiTheme="majorHAnsi" w:cstheme="majorHAnsi"/>
        </w:rPr>
      </w:pPr>
      <w:r w:rsidRPr="0089105D">
        <w:rPr>
          <w:rFonts w:asciiTheme="majorHAnsi" w:hAnsiTheme="majorHAnsi" w:cstheme="majorHAnsi"/>
        </w:rPr>
        <w:t xml:space="preserve">The study by </w:t>
      </w:r>
      <w:proofErr w:type="spellStart"/>
      <w:r w:rsidRPr="0089105D">
        <w:rPr>
          <w:rFonts w:asciiTheme="majorHAnsi" w:hAnsiTheme="majorHAnsi" w:cstheme="majorHAnsi"/>
        </w:rPr>
        <w:t>Obaideen</w:t>
      </w:r>
      <w:proofErr w:type="spellEnd"/>
      <w:r w:rsidRPr="0089105D">
        <w:rPr>
          <w:rFonts w:asciiTheme="majorHAnsi" w:hAnsiTheme="majorHAnsi" w:cstheme="majorHAnsi"/>
        </w:rPr>
        <w:t xml:space="preserve"> et al. (2022) underscores the profound influence of wastewater treatment on the attainment of SDGs and targets, with a particular emphasis on its significance for social SDGs, including SDG 1 (No Poverty), SDG 2 (Zero Hunger), SDG 3 (Good Health and Well-being), SDG 4 (Quality Education), and SDG 5 (Gender Equality). </w:t>
      </w:r>
    </w:p>
    <w:p w14:paraId="457A1B21" w14:textId="77777777" w:rsidR="00844D56" w:rsidRPr="0089105D" w:rsidRDefault="00844D56" w:rsidP="00844D56">
      <w:pPr>
        <w:spacing w:line="360" w:lineRule="auto"/>
        <w:jc w:val="both"/>
        <w:rPr>
          <w:rFonts w:asciiTheme="majorHAnsi" w:hAnsiTheme="majorHAnsi" w:cstheme="majorHAnsi"/>
        </w:rPr>
      </w:pPr>
    </w:p>
    <w:p w14:paraId="786F98CD" w14:textId="116315CB" w:rsidR="00844D56" w:rsidRPr="0089105D" w:rsidRDefault="00844D56" w:rsidP="00844D56">
      <w:pPr>
        <w:spacing w:line="360" w:lineRule="auto"/>
        <w:jc w:val="both"/>
        <w:rPr>
          <w:rFonts w:asciiTheme="majorHAnsi" w:hAnsiTheme="majorHAnsi" w:cstheme="majorHAnsi"/>
        </w:rPr>
      </w:pPr>
      <w:r w:rsidRPr="0089105D">
        <w:rPr>
          <w:rFonts w:asciiTheme="majorHAnsi" w:hAnsiTheme="majorHAnsi" w:cstheme="majorHAnsi"/>
        </w:rPr>
        <w:t xml:space="preserve">Moreover, </w:t>
      </w:r>
      <w:proofErr w:type="spellStart"/>
      <w:r w:rsidRPr="0089105D">
        <w:rPr>
          <w:rFonts w:asciiTheme="majorHAnsi" w:hAnsiTheme="majorHAnsi" w:cstheme="majorHAnsi"/>
        </w:rPr>
        <w:t>Dilekli</w:t>
      </w:r>
      <w:proofErr w:type="spellEnd"/>
      <w:r w:rsidRPr="0089105D">
        <w:rPr>
          <w:rFonts w:asciiTheme="majorHAnsi" w:hAnsiTheme="majorHAnsi" w:cstheme="majorHAnsi"/>
        </w:rPr>
        <w:t xml:space="preserve"> and </w:t>
      </w:r>
      <w:proofErr w:type="spellStart"/>
      <w:r w:rsidRPr="0089105D">
        <w:rPr>
          <w:rFonts w:asciiTheme="majorHAnsi" w:hAnsiTheme="majorHAnsi" w:cstheme="majorHAnsi"/>
        </w:rPr>
        <w:t>Caszarro</w:t>
      </w:r>
      <w:proofErr w:type="spellEnd"/>
      <w:r w:rsidRPr="0089105D">
        <w:rPr>
          <w:rFonts w:asciiTheme="majorHAnsi" w:hAnsiTheme="majorHAnsi" w:cstheme="majorHAnsi"/>
        </w:rPr>
        <w:t xml:space="preserve"> (2019) identify a challenge in the measurement of progress on SDG 6, which commonly relies on assessing access to basic services such as safe drinking water and sanitation facilities. While pivotal indicators, they fall short of capturing the broader complexities inherent in water and sanitation management, including water quality, scarcity, and the sustainable utilization of water resources (</w:t>
      </w:r>
      <w:proofErr w:type="spellStart"/>
      <w:r w:rsidRPr="0089105D">
        <w:rPr>
          <w:rFonts w:asciiTheme="majorHAnsi" w:hAnsiTheme="majorHAnsi" w:cstheme="majorHAnsi"/>
        </w:rPr>
        <w:t>Dilekli</w:t>
      </w:r>
      <w:proofErr w:type="spellEnd"/>
      <w:r w:rsidRPr="0089105D">
        <w:rPr>
          <w:rFonts w:asciiTheme="majorHAnsi" w:hAnsiTheme="majorHAnsi" w:cstheme="majorHAnsi"/>
        </w:rPr>
        <w:t xml:space="preserve"> and </w:t>
      </w:r>
      <w:proofErr w:type="spellStart"/>
      <w:r w:rsidRPr="0089105D">
        <w:rPr>
          <w:rFonts w:asciiTheme="majorHAnsi" w:hAnsiTheme="majorHAnsi" w:cstheme="majorHAnsi"/>
        </w:rPr>
        <w:t>Caszarro</w:t>
      </w:r>
      <w:proofErr w:type="spellEnd"/>
      <w:r w:rsidRPr="0089105D">
        <w:rPr>
          <w:rFonts w:asciiTheme="majorHAnsi" w:hAnsiTheme="majorHAnsi" w:cstheme="majorHAnsi"/>
        </w:rPr>
        <w:t xml:space="preserve">, 2019, p. 374). This </w:t>
      </w:r>
      <w:r w:rsidR="000E64E9" w:rsidRPr="0089105D">
        <w:rPr>
          <w:rFonts w:asciiTheme="majorHAnsi" w:hAnsiTheme="majorHAnsi" w:cstheme="majorHAnsi"/>
        </w:rPr>
        <w:t>more complex</w:t>
      </w:r>
      <w:r w:rsidRPr="0089105D">
        <w:rPr>
          <w:rFonts w:asciiTheme="majorHAnsi" w:hAnsiTheme="majorHAnsi" w:cstheme="majorHAnsi"/>
        </w:rPr>
        <w:t xml:space="preserve"> perspective emphasizes the imperative of adopting a more encompassing approach to evaluating progress on SDG 6, considering its interconnectedness with various facets of sustainable development.</w:t>
      </w:r>
    </w:p>
    <w:p w14:paraId="5182765A" w14:textId="77777777" w:rsidR="00844D56" w:rsidRPr="0089105D" w:rsidRDefault="00844D56" w:rsidP="00844D56">
      <w:pPr>
        <w:spacing w:line="360" w:lineRule="auto"/>
        <w:jc w:val="both"/>
        <w:rPr>
          <w:rFonts w:asciiTheme="majorHAnsi" w:hAnsiTheme="majorHAnsi" w:cstheme="majorHAnsi"/>
        </w:rPr>
      </w:pPr>
    </w:p>
    <w:p w14:paraId="3ABEACE1" w14:textId="77777777" w:rsidR="006B2FB8" w:rsidRPr="0089105D" w:rsidRDefault="00844D56" w:rsidP="00844D56">
      <w:pPr>
        <w:spacing w:line="360" w:lineRule="auto"/>
        <w:jc w:val="both"/>
        <w:rPr>
          <w:rFonts w:asciiTheme="majorHAnsi" w:hAnsiTheme="majorHAnsi" w:cstheme="majorHAnsi"/>
        </w:rPr>
      </w:pPr>
      <w:r w:rsidRPr="0089105D">
        <w:rPr>
          <w:rFonts w:asciiTheme="majorHAnsi" w:hAnsiTheme="majorHAnsi" w:cstheme="majorHAnsi"/>
        </w:rPr>
        <w:t xml:space="preserve">In conclusion, this section underscored the imperative for enhanced integration of certain Sustainable Development Goals (SDGs) within the broader framework. A focused examination of SDG 6 reveals the need for a more cohesive alignment with other SDGs. To better integrate SDG 6 into the comprehensive SDG framework, it is crucial to acknowledge and address the interdependencies of water and sanitation issues </w:t>
      </w:r>
      <w:r w:rsidR="002B1753" w:rsidRPr="0089105D">
        <w:rPr>
          <w:rFonts w:asciiTheme="majorHAnsi" w:hAnsiTheme="majorHAnsi" w:cstheme="majorHAnsi"/>
        </w:rPr>
        <w:t xml:space="preserve">amongst others crosscutting issues </w:t>
      </w:r>
      <w:r w:rsidRPr="0089105D">
        <w:rPr>
          <w:rFonts w:asciiTheme="majorHAnsi" w:hAnsiTheme="majorHAnsi" w:cstheme="majorHAnsi"/>
        </w:rPr>
        <w:t xml:space="preserve">with various sustainable development challenges and goals (Rimba &amp; </w:t>
      </w:r>
      <w:proofErr w:type="spellStart"/>
      <w:r w:rsidRPr="0089105D">
        <w:rPr>
          <w:rFonts w:asciiTheme="majorHAnsi" w:hAnsiTheme="majorHAnsi" w:cstheme="majorHAnsi"/>
        </w:rPr>
        <w:t>Hirabayashi</w:t>
      </w:r>
      <w:proofErr w:type="spellEnd"/>
      <w:r w:rsidRPr="0089105D">
        <w:rPr>
          <w:rFonts w:asciiTheme="majorHAnsi" w:hAnsiTheme="majorHAnsi" w:cstheme="majorHAnsi"/>
        </w:rPr>
        <w:t>, 2023, p. 613-615).</w:t>
      </w:r>
      <w:r w:rsidR="002B1753" w:rsidRPr="0089105D">
        <w:rPr>
          <w:rFonts w:asciiTheme="majorHAnsi" w:hAnsiTheme="majorHAnsi" w:cstheme="majorHAnsi"/>
        </w:rPr>
        <w:t xml:space="preserve"> </w:t>
      </w:r>
    </w:p>
    <w:p w14:paraId="19D53704" w14:textId="77777777" w:rsidR="006B2FB8" w:rsidRPr="0089105D" w:rsidRDefault="006B2FB8" w:rsidP="00844D56">
      <w:pPr>
        <w:spacing w:line="360" w:lineRule="auto"/>
        <w:jc w:val="both"/>
        <w:rPr>
          <w:rFonts w:asciiTheme="majorHAnsi" w:hAnsiTheme="majorHAnsi" w:cstheme="majorHAnsi"/>
        </w:rPr>
      </w:pPr>
    </w:p>
    <w:p w14:paraId="26E53DE1" w14:textId="77777777" w:rsidR="006B2FB8" w:rsidRPr="0089105D" w:rsidRDefault="002B1753" w:rsidP="00844D56">
      <w:pPr>
        <w:spacing w:line="360" w:lineRule="auto"/>
        <w:jc w:val="both"/>
        <w:rPr>
          <w:rFonts w:asciiTheme="majorHAnsi" w:hAnsiTheme="majorHAnsi" w:cstheme="majorHAnsi"/>
        </w:rPr>
      </w:pPr>
      <w:r w:rsidRPr="0089105D">
        <w:rPr>
          <w:rFonts w:asciiTheme="majorHAnsi" w:hAnsiTheme="majorHAnsi" w:cstheme="majorHAnsi"/>
        </w:rPr>
        <w:t xml:space="preserve">In the sphere of </w:t>
      </w:r>
      <w:r w:rsidR="006B2FB8" w:rsidRPr="0089105D">
        <w:rPr>
          <w:rFonts w:asciiTheme="majorHAnsi" w:hAnsiTheme="majorHAnsi" w:cstheme="majorHAnsi"/>
        </w:rPr>
        <w:t>WASH</w:t>
      </w:r>
      <w:r w:rsidRPr="0089105D">
        <w:rPr>
          <w:rFonts w:asciiTheme="majorHAnsi" w:hAnsiTheme="majorHAnsi" w:cstheme="majorHAnsi"/>
        </w:rPr>
        <w:t xml:space="preserve">, </w:t>
      </w:r>
      <w:r w:rsidR="006B2FB8" w:rsidRPr="0089105D">
        <w:rPr>
          <w:rFonts w:asciiTheme="majorHAnsi" w:hAnsiTheme="majorHAnsi" w:cstheme="majorHAnsi"/>
        </w:rPr>
        <w:t xml:space="preserve">there are many </w:t>
      </w:r>
      <w:r w:rsidR="00844D56" w:rsidRPr="0089105D">
        <w:rPr>
          <w:rFonts w:asciiTheme="majorHAnsi" w:hAnsiTheme="majorHAnsi" w:cstheme="majorHAnsi"/>
        </w:rPr>
        <w:t>issues</w:t>
      </w:r>
      <w:r w:rsidRPr="0089105D">
        <w:rPr>
          <w:rFonts w:asciiTheme="majorHAnsi" w:hAnsiTheme="majorHAnsi" w:cstheme="majorHAnsi"/>
        </w:rPr>
        <w:t xml:space="preserve"> </w:t>
      </w:r>
      <w:r w:rsidR="00844D56" w:rsidRPr="0089105D">
        <w:rPr>
          <w:rFonts w:asciiTheme="majorHAnsi" w:hAnsiTheme="majorHAnsi" w:cstheme="majorHAnsi"/>
        </w:rPr>
        <w:t xml:space="preserve">such as water scarcity, pollution, and the profound impacts of climate change on water resources. These challenges are intricately linked to broader societal aspects including poverty, inequality, education, and health (Alcamo, 2019, p. 348). To foster a more professional and holistic integration of SDG 6, stakeholders </w:t>
      </w:r>
      <w:r w:rsidRPr="0089105D">
        <w:rPr>
          <w:rFonts w:asciiTheme="majorHAnsi" w:hAnsiTheme="majorHAnsi" w:cstheme="majorHAnsi"/>
        </w:rPr>
        <w:t>should</w:t>
      </w:r>
      <w:r w:rsidR="00844D56" w:rsidRPr="0089105D">
        <w:rPr>
          <w:rFonts w:asciiTheme="majorHAnsi" w:hAnsiTheme="majorHAnsi" w:cstheme="majorHAnsi"/>
        </w:rPr>
        <w:t xml:space="preserve"> recognize the interconnected nature of water and sanitation challenges and their profound implications for achieving a comprehensive spectrum of sustainable development goals.</w:t>
      </w:r>
      <w:r w:rsidRPr="0089105D">
        <w:rPr>
          <w:rFonts w:asciiTheme="majorHAnsi" w:hAnsiTheme="majorHAnsi" w:cstheme="majorHAnsi"/>
        </w:rPr>
        <w:t xml:space="preserve"> </w:t>
      </w:r>
    </w:p>
    <w:p w14:paraId="2DFE83EF" w14:textId="77777777" w:rsidR="006B2FB8" w:rsidRPr="0089105D" w:rsidRDefault="006B2FB8" w:rsidP="00322CE9">
      <w:pPr>
        <w:spacing w:line="360" w:lineRule="auto"/>
        <w:jc w:val="both"/>
        <w:rPr>
          <w:rFonts w:asciiTheme="majorHAnsi" w:hAnsiTheme="majorHAnsi" w:cstheme="majorHAnsi"/>
        </w:rPr>
      </w:pPr>
    </w:p>
    <w:p w14:paraId="41541623" w14:textId="07D06C52" w:rsidR="00BE2E21" w:rsidRPr="0089105D" w:rsidRDefault="002B1753" w:rsidP="00322CE9">
      <w:pPr>
        <w:spacing w:line="360" w:lineRule="auto"/>
        <w:jc w:val="both"/>
        <w:rPr>
          <w:rFonts w:asciiTheme="majorHAnsi" w:hAnsiTheme="majorHAnsi" w:cstheme="majorHAnsi"/>
        </w:rPr>
      </w:pPr>
      <w:r w:rsidRPr="0089105D">
        <w:rPr>
          <w:rFonts w:asciiTheme="majorHAnsi" w:hAnsiTheme="majorHAnsi" w:cstheme="majorHAnsi"/>
        </w:rPr>
        <w:t xml:space="preserve">Whilst this sub section looked into SDG 6 as the case study, it is important to emphasize that </w:t>
      </w:r>
      <w:proofErr w:type="spellStart"/>
      <w:r w:rsidRPr="0089105D">
        <w:rPr>
          <w:rFonts w:asciiTheme="majorHAnsi" w:hAnsiTheme="majorHAnsi" w:cstheme="majorHAnsi"/>
        </w:rPr>
        <w:t>its</w:t>
      </w:r>
      <w:proofErr w:type="spellEnd"/>
      <w:r w:rsidRPr="0089105D">
        <w:rPr>
          <w:rFonts w:asciiTheme="majorHAnsi" w:hAnsiTheme="majorHAnsi" w:cstheme="majorHAnsi"/>
        </w:rPr>
        <w:t xml:space="preserve"> not only SDG 6 that need to be more integrated with other SDGs, on the contrary, the whole spectrum of SDGs should integrate relevant cross-cutting aspects and deepen the complexity of current “holistic” approach. </w:t>
      </w:r>
      <w:r w:rsidR="00BE2E21" w:rsidRPr="0089105D">
        <w:rPr>
          <w:rFonts w:asciiTheme="majorHAnsi" w:hAnsiTheme="majorHAnsi" w:cstheme="majorHAnsi"/>
        </w:rPr>
        <w:t xml:space="preserve">Otherwise, the SDGs will keep confirming words from </w:t>
      </w:r>
      <w:proofErr w:type="spellStart"/>
      <w:r w:rsidR="00BE2E21" w:rsidRPr="0089105D">
        <w:rPr>
          <w:rFonts w:asciiTheme="majorHAnsi" w:hAnsiTheme="majorHAnsi" w:cstheme="majorHAnsi"/>
        </w:rPr>
        <w:t>Bogers</w:t>
      </w:r>
      <w:proofErr w:type="spellEnd"/>
      <w:r w:rsidR="00BE2E21" w:rsidRPr="0089105D">
        <w:rPr>
          <w:rFonts w:asciiTheme="majorHAnsi" w:hAnsiTheme="majorHAnsi" w:cstheme="majorHAnsi"/>
        </w:rPr>
        <w:t xml:space="preserve">, </w:t>
      </w:r>
      <w:proofErr w:type="spellStart"/>
      <w:r w:rsidR="00BE2E21" w:rsidRPr="0089105D">
        <w:rPr>
          <w:rFonts w:asciiTheme="majorHAnsi" w:hAnsiTheme="majorHAnsi" w:cstheme="majorHAnsi"/>
        </w:rPr>
        <w:t>Biermann,Kalfagianni</w:t>
      </w:r>
      <w:proofErr w:type="spellEnd"/>
      <w:r w:rsidR="00BE2E21" w:rsidRPr="0089105D">
        <w:rPr>
          <w:rFonts w:asciiTheme="majorHAnsi" w:hAnsiTheme="majorHAnsi" w:cstheme="majorHAnsi"/>
        </w:rPr>
        <w:t xml:space="preserve"> and Kim (2022)</w:t>
      </w:r>
      <w:r w:rsidR="00322CE9" w:rsidRPr="0089105D">
        <w:rPr>
          <w:rFonts w:asciiTheme="majorHAnsi" w:hAnsiTheme="majorHAnsi" w:cstheme="majorHAnsi"/>
        </w:rPr>
        <w:t>, “</w:t>
      </w:r>
      <w:r w:rsidR="00BE2E21" w:rsidRPr="0089105D">
        <w:rPr>
          <w:rFonts w:asciiTheme="majorHAnsi" w:hAnsiTheme="majorHAnsi" w:cstheme="majorHAnsi"/>
        </w:rPr>
        <w:t xml:space="preserve">SDGs </w:t>
      </w:r>
      <w:r w:rsidR="00BE2E21" w:rsidRPr="0089105D">
        <w:rPr>
          <w:rFonts w:asciiTheme="majorHAnsi" w:hAnsiTheme="majorHAnsi" w:cstheme="majorHAnsi"/>
        </w:rPr>
        <w:t>they fail to deliver on one of their key ambitions: to increase policy integration and “break down the silos” of global sustainable development.</w:t>
      </w:r>
      <w:r w:rsidR="00322CE9" w:rsidRPr="0089105D">
        <w:rPr>
          <w:rFonts w:asciiTheme="majorHAnsi" w:hAnsiTheme="majorHAnsi" w:cstheme="majorHAnsi"/>
        </w:rPr>
        <w:t>” (</w:t>
      </w:r>
      <w:proofErr w:type="spellStart"/>
      <w:r w:rsidR="00322CE9" w:rsidRPr="0089105D">
        <w:rPr>
          <w:rFonts w:asciiTheme="majorHAnsi" w:hAnsiTheme="majorHAnsi" w:cstheme="majorHAnsi"/>
        </w:rPr>
        <w:t>Bogers</w:t>
      </w:r>
      <w:proofErr w:type="spellEnd"/>
      <w:r w:rsidR="00322CE9" w:rsidRPr="0089105D">
        <w:rPr>
          <w:rFonts w:asciiTheme="majorHAnsi" w:hAnsiTheme="majorHAnsi" w:cstheme="majorHAnsi"/>
        </w:rPr>
        <w:t xml:space="preserve">, Biermann, </w:t>
      </w:r>
      <w:proofErr w:type="spellStart"/>
      <w:r w:rsidR="00322CE9" w:rsidRPr="0089105D">
        <w:rPr>
          <w:rFonts w:asciiTheme="majorHAnsi" w:hAnsiTheme="majorHAnsi" w:cstheme="majorHAnsi"/>
        </w:rPr>
        <w:t>Kalfaginanni</w:t>
      </w:r>
      <w:proofErr w:type="spellEnd"/>
      <w:r w:rsidR="00322CE9" w:rsidRPr="0089105D">
        <w:rPr>
          <w:rFonts w:asciiTheme="majorHAnsi" w:hAnsiTheme="majorHAnsi" w:cstheme="majorHAnsi"/>
        </w:rPr>
        <w:t xml:space="preserve"> and Kim, 2022) </w:t>
      </w:r>
    </w:p>
    <w:p w14:paraId="0586AEEC" w14:textId="5B190DE6" w:rsidR="00844D56" w:rsidRPr="0089105D" w:rsidRDefault="00844D56" w:rsidP="00844D56">
      <w:pPr>
        <w:spacing w:line="360" w:lineRule="auto"/>
        <w:jc w:val="both"/>
        <w:rPr>
          <w:rFonts w:asciiTheme="majorHAnsi" w:hAnsiTheme="majorHAnsi" w:cstheme="majorHAnsi"/>
        </w:rPr>
      </w:pPr>
    </w:p>
    <w:p w14:paraId="416F9C7A" w14:textId="77777777" w:rsidR="00322CE9" w:rsidRPr="0089105D" w:rsidRDefault="00322CE9" w:rsidP="00844D56">
      <w:pPr>
        <w:spacing w:line="360" w:lineRule="auto"/>
        <w:jc w:val="both"/>
        <w:rPr>
          <w:rFonts w:asciiTheme="majorHAnsi" w:hAnsiTheme="majorHAnsi" w:cstheme="majorHAnsi"/>
          <w:lang w:val="en-GB"/>
        </w:rPr>
      </w:pPr>
    </w:p>
    <w:p w14:paraId="710CFBC3" w14:textId="31B2B130" w:rsidR="00501463" w:rsidRPr="0089105D" w:rsidRDefault="00522539" w:rsidP="00501463">
      <w:pPr>
        <w:pStyle w:val="Heading1"/>
        <w:rPr>
          <w:rFonts w:cstheme="majorHAnsi"/>
          <w:b/>
          <w:bCs/>
          <w:color w:val="auto"/>
          <w:lang w:val="en-GB"/>
        </w:rPr>
      </w:pPr>
      <w:bookmarkStart w:id="89" w:name="_Toc153142476"/>
      <w:bookmarkStart w:id="90" w:name="_Toc153187407"/>
      <w:r w:rsidRPr="0089105D">
        <w:rPr>
          <w:rFonts w:cstheme="majorHAnsi"/>
          <w:b/>
          <w:bCs/>
          <w:color w:val="auto"/>
          <w:lang w:val="en-GB"/>
        </w:rPr>
        <w:t xml:space="preserve">3.3 </w:t>
      </w:r>
      <w:r w:rsidR="00501463" w:rsidRPr="0089105D">
        <w:rPr>
          <w:rFonts w:cstheme="majorHAnsi"/>
          <w:b/>
          <w:bCs/>
          <w:color w:val="auto"/>
          <w:lang w:val="en-GB"/>
        </w:rPr>
        <w:t>Issues with current global settings</w:t>
      </w:r>
      <w:bookmarkEnd w:id="89"/>
      <w:bookmarkEnd w:id="90"/>
      <w:r w:rsidR="00501463" w:rsidRPr="0089105D">
        <w:rPr>
          <w:rFonts w:cstheme="majorHAnsi"/>
          <w:b/>
          <w:bCs/>
          <w:color w:val="auto"/>
          <w:lang w:val="en-GB"/>
        </w:rPr>
        <w:t xml:space="preserve"> </w:t>
      </w:r>
    </w:p>
    <w:p w14:paraId="1ACBCB5F" w14:textId="77777777" w:rsidR="00134752" w:rsidRPr="0089105D" w:rsidRDefault="00134752" w:rsidP="00134752">
      <w:pPr>
        <w:rPr>
          <w:rFonts w:asciiTheme="majorHAnsi" w:hAnsiTheme="majorHAnsi" w:cstheme="majorHAnsi"/>
          <w:lang w:val="en-GB"/>
        </w:rPr>
      </w:pPr>
    </w:p>
    <w:p w14:paraId="0F4B0470" w14:textId="77777777" w:rsidR="00414E05" w:rsidRPr="0089105D" w:rsidRDefault="00414E05" w:rsidP="00322CE9">
      <w:pPr>
        <w:rPr>
          <w:rFonts w:asciiTheme="majorHAnsi" w:hAnsiTheme="majorHAnsi" w:cstheme="majorHAnsi"/>
          <w:lang w:val="en-GB"/>
        </w:rPr>
      </w:pPr>
    </w:p>
    <w:p w14:paraId="28B41E6C" w14:textId="1D20C73A" w:rsidR="0055733C" w:rsidRPr="0089105D" w:rsidRDefault="00322CE9" w:rsidP="00CE6643">
      <w:pPr>
        <w:spacing w:line="360" w:lineRule="auto"/>
        <w:jc w:val="both"/>
        <w:rPr>
          <w:rFonts w:asciiTheme="majorHAnsi" w:hAnsiTheme="majorHAnsi" w:cstheme="majorHAnsi"/>
          <w:lang w:val="en-GB"/>
        </w:rPr>
      </w:pPr>
      <w:r w:rsidRPr="0089105D">
        <w:rPr>
          <w:rFonts w:asciiTheme="majorHAnsi" w:hAnsiTheme="majorHAnsi" w:cstheme="majorHAnsi"/>
          <w:lang w:val="en-GB"/>
        </w:rPr>
        <w:t>Another issue arising from the data analysis stands for issues with current global setting and more precisely,</w:t>
      </w:r>
      <w:r w:rsidR="00CE6643" w:rsidRPr="0089105D">
        <w:rPr>
          <w:rFonts w:asciiTheme="majorHAnsi" w:hAnsiTheme="majorHAnsi" w:cstheme="majorHAnsi"/>
          <w:lang w:val="en-GB"/>
        </w:rPr>
        <w:t xml:space="preserve"> the Global South and North divide, coupled with a universalist divide, which presents a formidable obstacle to the successful fulfilment of SDGS. (</w:t>
      </w:r>
      <w:proofErr w:type="spellStart"/>
      <w:r w:rsidR="00CE6643" w:rsidRPr="0089105D">
        <w:rPr>
          <w:rFonts w:asciiTheme="majorHAnsi" w:hAnsiTheme="majorHAnsi" w:cstheme="majorHAnsi"/>
          <w:lang w:val="en-GB"/>
        </w:rPr>
        <w:t>Carant</w:t>
      </w:r>
      <w:proofErr w:type="spellEnd"/>
      <w:r w:rsidR="00CE6643" w:rsidRPr="0089105D">
        <w:rPr>
          <w:rFonts w:asciiTheme="majorHAnsi" w:hAnsiTheme="majorHAnsi" w:cstheme="majorHAnsi"/>
          <w:lang w:val="en-GB"/>
        </w:rPr>
        <w:t xml:space="preserve">, 2016, p. 17) </w:t>
      </w:r>
      <w:r w:rsidR="000A0E06" w:rsidRPr="0089105D">
        <w:rPr>
          <w:rFonts w:asciiTheme="majorHAnsi" w:hAnsiTheme="majorHAnsi" w:cstheme="majorHAnsi"/>
          <w:lang w:val="en-GB"/>
        </w:rPr>
        <w:t xml:space="preserve">According to </w:t>
      </w:r>
      <w:proofErr w:type="spellStart"/>
      <w:r w:rsidR="000A0E06" w:rsidRPr="0089105D">
        <w:rPr>
          <w:rFonts w:asciiTheme="majorHAnsi" w:hAnsiTheme="majorHAnsi" w:cstheme="majorHAnsi"/>
          <w:lang w:val="en-GB"/>
        </w:rPr>
        <w:t>Brisset</w:t>
      </w:r>
      <w:proofErr w:type="spellEnd"/>
      <w:r w:rsidR="000A0E06" w:rsidRPr="0089105D">
        <w:rPr>
          <w:rFonts w:asciiTheme="majorHAnsi" w:hAnsiTheme="majorHAnsi" w:cstheme="majorHAnsi"/>
          <w:lang w:val="en-GB"/>
        </w:rPr>
        <w:t xml:space="preserve"> (2017), the conceptualization of progress inherent in the Sustainable Development Goals (SDGs) reflects a universalist Western perspective, perpetuating a vision that </w:t>
      </w:r>
      <w:proofErr w:type="spellStart"/>
      <w:r w:rsidR="000A0E06" w:rsidRPr="0089105D">
        <w:rPr>
          <w:rFonts w:asciiTheme="majorHAnsi" w:hAnsiTheme="majorHAnsi" w:cstheme="majorHAnsi"/>
          <w:lang w:val="en-GB"/>
        </w:rPr>
        <w:t>favors</w:t>
      </w:r>
      <w:proofErr w:type="spellEnd"/>
      <w:r w:rsidR="000A0E06" w:rsidRPr="0089105D">
        <w:rPr>
          <w:rFonts w:asciiTheme="majorHAnsi" w:hAnsiTheme="majorHAnsi" w:cstheme="majorHAnsi"/>
          <w:lang w:val="en-GB"/>
        </w:rPr>
        <w:t xml:space="preserve"> Western power dynamics. This perspective, as argued by </w:t>
      </w:r>
      <w:proofErr w:type="spellStart"/>
      <w:r w:rsidR="000A0E06" w:rsidRPr="0089105D">
        <w:rPr>
          <w:rFonts w:asciiTheme="majorHAnsi" w:hAnsiTheme="majorHAnsi" w:cstheme="majorHAnsi"/>
          <w:lang w:val="en-GB"/>
        </w:rPr>
        <w:t>Brisset</w:t>
      </w:r>
      <w:proofErr w:type="spellEnd"/>
      <w:r w:rsidRPr="0089105D">
        <w:rPr>
          <w:rFonts w:asciiTheme="majorHAnsi" w:hAnsiTheme="majorHAnsi" w:cstheme="majorHAnsi"/>
          <w:lang w:val="en-GB"/>
        </w:rPr>
        <w:t xml:space="preserve"> (2017)</w:t>
      </w:r>
      <w:r w:rsidR="000A0E06" w:rsidRPr="0089105D">
        <w:rPr>
          <w:rFonts w:asciiTheme="majorHAnsi" w:hAnsiTheme="majorHAnsi" w:cstheme="majorHAnsi"/>
          <w:lang w:val="en-GB"/>
        </w:rPr>
        <w:t>, influences the formulation of global economic and institutional structures, ultimately benefitting powerful stakeholders from the Western world. (</w:t>
      </w:r>
      <w:proofErr w:type="spellStart"/>
      <w:r w:rsidR="000A0E06" w:rsidRPr="0089105D">
        <w:rPr>
          <w:rFonts w:asciiTheme="majorHAnsi" w:hAnsiTheme="majorHAnsi" w:cstheme="majorHAnsi"/>
          <w:lang w:val="en-GB"/>
        </w:rPr>
        <w:t>Brisset</w:t>
      </w:r>
      <w:proofErr w:type="spellEnd"/>
      <w:r w:rsidR="000A0E06" w:rsidRPr="0089105D">
        <w:rPr>
          <w:rFonts w:asciiTheme="majorHAnsi" w:hAnsiTheme="majorHAnsi" w:cstheme="majorHAnsi"/>
          <w:lang w:val="en-GB"/>
        </w:rPr>
        <w:t>, 2017)</w:t>
      </w:r>
    </w:p>
    <w:p w14:paraId="1033DAC0" w14:textId="77777777" w:rsidR="0055733C" w:rsidRPr="0089105D" w:rsidRDefault="0055733C" w:rsidP="00CE6643">
      <w:pPr>
        <w:spacing w:line="360" w:lineRule="auto"/>
        <w:jc w:val="both"/>
        <w:rPr>
          <w:rFonts w:asciiTheme="majorHAnsi" w:hAnsiTheme="majorHAnsi" w:cstheme="majorHAnsi"/>
          <w:lang w:val="en-GB"/>
        </w:rPr>
      </w:pPr>
    </w:p>
    <w:p w14:paraId="1D30B461" w14:textId="32759C28" w:rsidR="00CE6643" w:rsidRPr="0089105D" w:rsidRDefault="00CE6643" w:rsidP="00CE6643">
      <w:pPr>
        <w:spacing w:line="360" w:lineRule="auto"/>
        <w:jc w:val="both"/>
        <w:rPr>
          <w:rFonts w:asciiTheme="majorHAnsi" w:hAnsiTheme="majorHAnsi" w:cstheme="majorHAnsi"/>
          <w:lang w:val="en-GB"/>
        </w:rPr>
      </w:pPr>
      <w:r w:rsidRPr="0089105D">
        <w:rPr>
          <w:rFonts w:asciiTheme="majorHAnsi" w:hAnsiTheme="majorHAnsi" w:cstheme="majorHAnsi"/>
          <w:lang w:val="en-GB"/>
        </w:rPr>
        <w:t>In fact, the universalist divide encompasses differing perspectives on development and governance, often shaped by historical power dynamics and cultural contexts. This divide complicates the implementation of the SDGs, designed as a universal agenda applicable to all countries, as it reflects varying priorities, ideologies, and approaches to sustainable development. (Arora-</w:t>
      </w:r>
      <w:proofErr w:type="spellStart"/>
      <w:r w:rsidRPr="0089105D">
        <w:rPr>
          <w:rFonts w:asciiTheme="majorHAnsi" w:hAnsiTheme="majorHAnsi" w:cstheme="majorHAnsi"/>
          <w:lang w:val="en-GB"/>
        </w:rPr>
        <w:t>Jonssen</w:t>
      </w:r>
      <w:proofErr w:type="spellEnd"/>
      <w:r w:rsidRPr="0089105D">
        <w:rPr>
          <w:rFonts w:asciiTheme="majorHAnsi" w:hAnsiTheme="majorHAnsi" w:cstheme="majorHAnsi"/>
          <w:lang w:val="en-GB"/>
        </w:rPr>
        <w:t xml:space="preserve">, 2023) In the realm of governance and policy, the universalist </w:t>
      </w:r>
      <w:r w:rsidRPr="0089105D">
        <w:rPr>
          <w:rFonts w:asciiTheme="majorHAnsi" w:hAnsiTheme="majorHAnsi" w:cstheme="majorHAnsi"/>
          <w:lang w:val="en-GB"/>
        </w:rPr>
        <w:lastRenderedPageBreak/>
        <w:t xml:space="preserve">divide manifests in </w:t>
      </w:r>
      <w:r w:rsidR="000A0E06" w:rsidRPr="0089105D">
        <w:rPr>
          <w:rFonts w:asciiTheme="majorHAnsi" w:hAnsiTheme="majorHAnsi" w:cstheme="majorHAnsi"/>
          <w:lang w:val="en-GB"/>
        </w:rPr>
        <w:t xml:space="preserve">diverse </w:t>
      </w:r>
      <w:r w:rsidRPr="0089105D">
        <w:rPr>
          <w:rFonts w:asciiTheme="majorHAnsi" w:hAnsiTheme="majorHAnsi" w:cstheme="majorHAnsi"/>
          <w:lang w:val="en-GB"/>
        </w:rPr>
        <w:t xml:space="preserve">interpretations of concepts such as human rights, democracy, and social justice. This ideological </w:t>
      </w:r>
      <w:r w:rsidR="000A0E06" w:rsidRPr="0089105D">
        <w:rPr>
          <w:rFonts w:asciiTheme="majorHAnsi" w:hAnsiTheme="majorHAnsi" w:cstheme="majorHAnsi"/>
          <w:lang w:val="en-GB"/>
        </w:rPr>
        <w:t>diversity</w:t>
      </w:r>
      <w:r w:rsidRPr="0089105D">
        <w:rPr>
          <w:rFonts w:asciiTheme="majorHAnsi" w:hAnsiTheme="majorHAnsi" w:cstheme="majorHAnsi"/>
          <w:lang w:val="en-GB"/>
        </w:rPr>
        <w:t xml:space="preserve"> </w:t>
      </w:r>
      <w:r w:rsidR="000A0E06" w:rsidRPr="0089105D">
        <w:rPr>
          <w:rFonts w:asciiTheme="majorHAnsi" w:hAnsiTheme="majorHAnsi" w:cstheme="majorHAnsi"/>
          <w:lang w:val="en-GB"/>
        </w:rPr>
        <w:t xml:space="preserve">contributes to </w:t>
      </w:r>
      <w:proofErr w:type="spellStart"/>
      <w:r w:rsidR="000A0E06" w:rsidRPr="0089105D">
        <w:rPr>
          <w:rFonts w:asciiTheme="majorHAnsi" w:hAnsiTheme="majorHAnsi" w:cstheme="majorHAnsi"/>
          <w:lang w:val="en-GB"/>
        </w:rPr>
        <w:t>hidering</w:t>
      </w:r>
      <w:proofErr w:type="spellEnd"/>
      <w:r w:rsidRPr="0089105D">
        <w:rPr>
          <w:rFonts w:asciiTheme="majorHAnsi" w:hAnsiTheme="majorHAnsi" w:cstheme="majorHAnsi"/>
          <w:lang w:val="en-GB"/>
        </w:rPr>
        <w:t xml:space="preserve"> consensus and cooperation on SDGs related to peace, justice, and strong institutions (SDG 16) as nations grapple with different visions of what constitutes a just and equitable society.</w:t>
      </w:r>
    </w:p>
    <w:p w14:paraId="70849CF7" w14:textId="77777777" w:rsidR="00CE6643" w:rsidRPr="0089105D" w:rsidRDefault="00CE6643" w:rsidP="00CE6643">
      <w:pPr>
        <w:spacing w:line="360" w:lineRule="auto"/>
        <w:jc w:val="both"/>
        <w:rPr>
          <w:rFonts w:asciiTheme="majorHAnsi" w:hAnsiTheme="majorHAnsi" w:cstheme="majorHAnsi"/>
          <w:lang w:val="en-GB"/>
        </w:rPr>
      </w:pPr>
    </w:p>
    <w:p w14:paraId="206C7B24" w14:textId="1F040FDF" w:rsidR="006578CB" w:rsidRPr="0089105D" w:rsidRDefault="00CE6643" w:rsidP="00CE6643">
      <w:pPr>
        <w:spacing w:line="360" w:lineRule="auto"/>
        <w:jc w:val="both"/>
        <w:rPr>
          <w:rFonts w:asciiTheme="majorHAnsi" w:hAnsiTheme="majorHAnsi" w:cstheme="majorHAnsi"/>
          <w:lang w:val="en-GB"/>
        </w:rPr>
      </w:pPr>
      <w:r w:rsidRPr="0089105D">
        <w:rPr>
          <w:rFonts w:asciiTheme="majorHAnsi" w:hAnsiTheme="majorHAnsi" w:cstheme="majorHAnsi"/>
          <w:lang w:val="en-GB"/>
        </w:rPr>
        <w:t>Moreover, the universalist divide intersects with the Global North-South economic disparities, further complicating efforts to address poverty (SDG 1) and inequality (SDG 10). The imposition of one-size-fits-all development models, often influenced by Northern perspectives, does not adequately consider the unique challenges</w:t>
      </w:r>
      <w:r w:rsidR="000A0E06" w:rsidRPr="0089105D">
        <w:rPr>
          <w:rFonts w:asciiTheme="majorHAnsi" w:hAnsiTheme="majorHAnsi" w:cstheme="majorHAnsi"/>
          <w:lang w:val="en-GB"/>
        </w:rPr>
        <w:t xml:space="preserve">, root causes </w:t>
      </w:r>
      <w:r w:rsidRPr="0089105D">
        <w:rPr>
          <w:rFonts w:asciiTheme="majorHAnsi" w:hAnsiTheme="majorHAnsi" w:cstheme="majorHAnsi"/>
          <w:lang w:val="en-GB"/>
        </w:rPr>
        <w:t>and contexts of Southern nations.</w:t>
      </w:r>
      <w:r w:rsidR="000A0E06" w:rsidRPr="0089105D">
        <w:rPr>
          <w:rFonts w:asciiTheme="majorHAnsi" w:hAnsiTheme="majorHAnsi" w:cstheme="majorHAnsi"/>
          <w:lang w:val="en-GB"/>
        </w:rPr>
        <w:t xml:space="preserve"> Linked to this, Cummings (2016) states that the international scope of the Sustainable Development Goals (SDGs) falls short, necessitating a focus on geopolitical spaces, collaboration, and the active involvement of civil-society organizations. The emergence of issues related to equality, justice, and dignity within official documents can be attributed primarily to the influence of civil society during the negotiation process. The interventions from these grassroots groups played a crucial role in shaping procedural rules that not only elevated the prominence of such thematic concerns but also paved the way for increased participation from grassroots organizations in subsequent negotiations. (Cummings, 2016, p.737)</w:t>
      </w:r>
    </w:p>
    <w:p w14:paraId="74A47D33" w14:textId="71FC77A4" w:rsidR="006578CB" w:rsidRPr="0089105D" w:rsidRDefault="006578CB" w:rsidP="00134752">
      <w:pPr>
        <w:rPr>
          <w:rFonts w:asciiTheme="majorHAnsi" w:hAnsiTheme="majorHAnsi" w:cstheme="majorHAnsi"/>
          <w:lang w:val="en-GB"/>
        </w:rPr>
      </w:pPr>
    </w:p>
    <w:p w14:paraId="283D5FA9" w14:textId="2FB74B68" w:rsidR="00EA178A" w:rsidRPr="0089105D" w:rsidRDefault="00EA178A" w:rsidP="00EA178A">
      <w:pPr>
        <w:spacing w:line="360" w:lineRule="auto"/>
        <w:jc w:val="both"/>
        <w:rPr>
          <w:rFonts w:asciiTheme="majorHAnsi" w:hAnsiTheme="majorHAnsi" w:cstheme="majorHAnsi"/>
          <w:lang w:val="en-GB"/>
        </w:rPr>
      </w:pPr>
      <w:r w:rsidRPr="0089105D">
        <w:rPr>
          <w:rFonts w:asciiTheme="majorHAnsi" w:hAnsiTheme="majorHAnsi" w:cstheme="majorHAnsi"/>
          <w:lang w:val="en-GB"/>
        </w:rPr>
        <w:t>On that note, Pogge and Sengupta (2016) argue that t</w:t>
      </w:r>
      <w:r w:rsidRPr="0089105D">
        <w:rPr>
          <w:rFonts w:asciiTheme="majorHAnsi" w:hAnsiTheme="majorHAnsi" w:cstheme="majorHAnsi"/>
          <w:lang w:val="en-GB"/>
        </w:rPr>
        <w:t xml:space="preserve">he lack of a clear division of </w:t>
      </w:r>
      <w:r w:rsidRPr="0089105D">
        <w:rPr>
          <w:rFonts w:asciiTheme="majorHAnsi" w:hAnsiTheme="majorHAnsi" w:cstheme="majorHAnsi"/>
          <w:lang w:val="en-GB"/>
        </w:rPr>
        <w:t>labour</w:t>
      </w:r>
      <w:r w:rsidRPr="0089105D">
        <w:rPr>
          <w:rFonts w:asciiTheme="majorHAnsi" w:hAnsiTheme="majorHAnsi" w:cstheme="majorHAnsi"/>
          <w:lang w:val="en-GB"/>
        </w:rPr>
        <w:t xml:space="preserve"> among nations to ensure the success of these goals poses a significant problem. In the absence of a well-defined plan outlining each country's responsibilities, there is a risk of progress stalling without a mechanism to identify and rectify the issues. The ambitious aim of "ending poverty in all its forms everywhere" remains elusive without a concrete agreement on who bears the responsibility for specific actions.</w:t>
      </w:r>
    </w:p>
    <w:p w14:paraId="558BA55E" w14:textId="77777777" w:rsidR="00EA178A" w:rsidRPr="0089105D" w:rsidRDefault="00EA178A" w:rsidP="00EA178A">
      <w:pPr>
        <w:spacing w:line="360" w:lineRule="auto"/>
        <w:jc w:val="both"/>
        <w:rPr>
          <w:rFonts w:asciiTheme="majorHAnsi" w:hAnsiTheme="majorHAnsi" w:cstheme="majorHAnsi"/>
          <w:lang w:val="en-GB"/>
        </w:rPr>
      </w:pPr>
    </w:p>
    <w:p w14:paraId="6953F238" w14:textId="1D57B291" w:rsidR="00EA178A" w:rsidRPr="0089105D" w:rsidRDefault="00EA178A" w:rsidP="00EA178A">
      <w:pPr>
        <w:spacing w:line="360" w:lineRule="auto"/>
        <w:jc w:val="both"/>
        <w:rPr>
          <w:rFonts w:asciiTheme="majorHAnsi" w:hAnsiTheme="majorHAnsi" w:cstheme="majorHAnsi"/>
          <w:lang w:val="en-GB"/>
        </w:rPr>
      </w:pPr>
      <w:r w:rsidRPr="0089105D">
        <w:rPr>
          <w:rFonts w:asciiTheme="majorHAnsi" w:hAnsiTheme="majorHAnsi" w:cstheme="majorHAnsi"/>
          <w:lang w:val="en-GB"/>
        </w:rPr>
        <w:t xml:space="preserve">Furthermore, the SDGs fall short in addressing the urgency required to combat global inequalities. Despite containing a goal dedicated to inequality reduction, a crucial shortcoming emerges – this reduction is not set to commence until 2029. This delay not only jeopardizes the lives and well-being of the impoverished, but it also allows the affluent to shape national and supranational agendas in their </w:t>
      </w:r>
      <w:proofErr w:type="spellStart"/>
      <w:r w:rsidRPr="0089105D">
        <w:rPr>
          <w:rFonts w:asciiTheme="majorHAnsi" w:hAnsiTheme="majorHAnsi" w:cstheme="majorHAnsi"/>
          <w:lang w:val="en-GB"/>
        </w:rPr>
        <w:t>favor</w:t>
      </w:r>
      <w:proofErr w:type="spellEnd"/>
      <w:r w:rsidRPr="0089105D">
        <w:rPr>
          <w:rFonts w:asciiTheme="majorHAnsi" w:hAnsiTheme="majorHAnsi" w:cstheme="majorHAnsi"/>
          <w:lang w:val="en-GB"/>
        </w:rPr>
        <w:t xml:space="preserve"> during this period.</w:t>
      </w:r>
      <w:r w:rsidRPr="0089105D">
        <w:rPr>
          <w:rFonts w:asciiTheme="majorHAnsi" w:hAnsiTheme="majorHAnsi" w:cstheme="majorHAnsi"/>
          <w:lang w:val="en-GB"/>
        </w:rPr>
        <w:t xml:space="preserve"> (Pogge and Sengupta, 2016)</w:t>
      </w:r>
    </w:p>
    <w:p w14:paraId="54803DD6" w14:textId="77777777" w:rsidR="00EA178A" w:rsidRPr="0089105D" w:rsidRDefault="00EA178A" w:rsidP="00EA178A">
      <w:pPr>
        <w:spacing w:line="360" w:lineRule="auto"/>
        <w:jc w:val="both"/>
        <w:rPr>
          <w:rFonts w:asciiTheme="majorHAnsi" w:hAnsiTheme="majorHAnsi" w:cstheme="majorHAnsi"/>
          <w:lang w:val="en-GB"/>
        </w:rPr>
      </w:pPr>
    </w:p>
    <w:p w14:paraId="7D86D598" w14:textId="201DC5FD" w:rsidR="007643AB" w:rsidRPr="0089105D" w:rsidRDefault="00EA178A" w:rsidP="00EA178A">
      <w:pPr>
        <w:spacing w:line="360" w:lineRule="auto"/>
        <w:jc w:val="both"/>
        <w:rPr>
          <w:rFonts w:asciiTheme="majorHAnsi" w:hAnsiTheme="majorHAnsi" w:cstheme="majorHAnsi"/>
          <w:lang w:val="en-GB"/>
        </w:rPr>
      </w:pPr>
      <w:r w:rsidRPr="0089105D">
        <w:rPr>
          <w:rFonts w:asciiTheme="majorHAnsi" w:hAnsiTheme="majorHAnsi" w:cstheme="majorHAnsi"/>
          <w:lang w:val="en-GB"/>
        </w:rPr>
        <w:t xml:space="preserve">Pogge and Sengupta (2016) </w:t>
      </w:r>
      <w:r w:rsidRPr="0089105D">
        <w:rPr>
          <w:rFonts w:asciiTheme="majorHAnsi" w:hAnsiTheme="majorHAnsi" w:cstheme="majorHAnsi"/>
          <w:lang w:val="en-GB"/>
        </w:rPr>
        <w:t>point out</w:t>
      </w:r>
      <w:r w:rsidRPr="0089105D">
        <w:rPr>
          <w:rFonts w:asciiTheme="majorHAnsi" w:hAnsiTheme="majorHAnsi" w:cstheme="majorHAnsi"/>
          <w:lang w:val="en-GB"/>
        </w:rPr>
        <w:t xml:space="preserve"> that a more effective solution would involve refraining from diluting the SDGs by setting generic targets achievable with national resources. Instead, </w:t>
      </w:r>
      <w:r w:rsidRPr="0089105D">
        <w:rPr>
          <w:rFonts w:asciiTheme="majorHAnsi" w:hAnsiTheme="majorHAnsi" w:cstheme="majorHAnsi"/>
          <w:lang w:val="en-GB"/>
        </w:rPr>
        <w:lastRenderedPageBreak/>
        <w:t>they advocate for a more explicit delineation of responsibilities for wealthy countries and enterprises in driving sustainable development. They contend that the concepts of partnership (SDG 17) and universalism should carry more significant weight, avoiding the risk of becoming mere smokescreens that obscure extreme global inequalities.</w:t>
      </w:r>
      <w:r w:rsidRPr="0089105D">
        <w:rPr>
          <w:rFonts w:asciiTheme="majorHAnsi" w:hAnsiTheme="majorHAnsi" w:cstheme="majorHAnsi"/>
          <w:lang w:val="en-GB"/>
        </w:rPr>
        <w:t xml:space="preserve"> (Pogge and Sengupta, 2016)</w:t>
      </w:r>
    </w:p>
    <w:p w14:paraId="31413B46" w14:textId="2E8BC765" w:rsidR="008B7671" w:rsidRPr="0089105D" w:rsidRDefault="008B7671" w:rsidP="00EA178A">
      <w:pPr>
        <w:spacing w:line="360" w:lineRule="auto"/>
        <w:jc w:val="both"/>
        <w:rPr>
          <w:rFonts w:asciiTheme="majorHAnsi" w:hAnsiTheme="majorHAnsi" w:cstheme="majorHAnsi"/>
          <w:lang w:val="en-GB"/>
        </w:rPr>
      </w:pPr>
    </w:p>
    <w:p w14:paraId="7D505978" w14:textId="7983732E" w:rsidR="008B7671" w:rsidRPr="0089105D" w:rsidRDefault="008B7671" w:rsidP="008B7671">
      <w:pPr>
        <w:spacing w:line="360" w:lineRule="auto"/>
        <w:jc w:val="both"/>
        <w:rPr>
          <w:rFonts w:asciiTheme="majorHAnsi" w:hAnsiTheme="majorHAnsi" w:cstheme="majorHAnsi"/>
          <w:lang w:val="en-GB"/>
        </w:rPr>
      </w:pPr>
      <w:r w:rsidRPr="0089105D">
        <w:rPr>
          <w:rFonts w:asciiTheme="majorHAnsi" w:hAnsiTheme="majorHAnsi" w:cstheme="majorHAnsi"/>
          <w:lang w:val="en-GB"/>
        </w:rPr>
        <w:t xml:space="preserve">Building upon the points raised, </w:t>
      </w:r>
      <w:proofErr w:type="spellStart"/>
      <w:r w:rsidRPr="0089105D">
        <w:rPr>
          <w:rFonts w:asciiTheme="majorHAnsi" w:hAnsiTheme="majorHAnsi" w:cstheme="majorHAnsi"/>
          <w:lang w:val="en-GB"/>
        </w:rPr>
        <w:t>Brisset</w:t>
      </w:r>
      <w:proofErr w:type="spellEnd"/>
      <w:r w:rsidRPr="0089105D">
        <w:rPr>
          <w:rFonts w:asciiTheme="majorHAnsi" w:hAnsiTheme="majorHAnsi" w:cstheme="majorHAnsi"/>
          <w:lang w:val="en-GB"/>
        </w:rPr>
        <w:t xml:space="preserve"> (2017) conducted an analysis of the power structure of the SDGs and proposed an amendment for institutions to establish a new global tax system. This proposed system would include a mechanism enabling developing countries, such as those in the Caribbean, to collect funds from transnational organizations that frequently employ strategies to evade national tax obligations. The recommendation is designed to address challenges associated with tax avoidance by large, multinational entities, a practice that can disproportionately affect developing nations. By advocating for a global tax system, the proposal seeks to create a more equitable and standardized framework for taxation that transcends national borders. Simultaneously, the suggested mechanism aims to empower developing countries to capture revenue from transnational organizations operating within their jurisdictions, potentially mitigating the negative impacts of tax avoidance on these economies.</w:t>
      </w:r>
      <w:r w:rsidRPr="0089105D">
        <w:rPr>
          <w:rFonts w:asciiTheme="majorHAnsi" w:hAnsiTheme="majorHAnsi" w:cstheme="majorHAnsi"/>
          <w:lang w:val="en-GB"/>
        </w:rPr>
        <w:t xml:space="preserve"> (</w:t>
      </w:r>
      <w:proofErr w:type="spellStart"/>
      <w:r w:rsidRPr="0089105D">
        <w:rPr>
          <w:rFonts w:asciiTheme="majorHAnsi" w:hAnsiTheme="majorHAnsi" w:cstheme="majorHAnsi"/>
          <w:lang w:val="en-GB"/>
        </w:rPr>
        <w:t>Brisset</w:t>
      </w:r>
      <w:proofErr w:type="spellEnd"/>
      <w:r w:rsidRPr="0089105D">
        <w:rPr>
          <w:rFonts w:asciiTheme="majorHAnsi" w:hAnsiTheme="majorHAnsi" w:cstheme="majorHAnsi"/>
          <w:lang w:val="en-GB"/>
        </w:rPr>
        <w:t>, 2017)</w:t>
      </w:r>
    </w:p>
    <w:p w14:paraId="6ADF8152" w14:textId="77777777" w:rsidR="00EA178A" w:rsidRPr="0089105D" w:rsidRDefault="00EA178A" w:rsidP="00134752">
      <w:pPr>
        <w:rPr>
          <w:rFonts w:asciiTheme="majorHAnsi" w:hAnsiTheme="majorHAnsi" w:cstheme="majorHAnsi"/>
          <w:lang w:val="en-GB"/>
        </w:rPr>
      </w:pPr>
    </w:p>
    <w:p w14:paraId="1A235430" w14:textId="343CE081" w:rsidR="00501463" w:rsidRPr="0089105D" w:rsidRDefault="00522539" w:rsidP="00501463">
      <w:pPr>
        <w:pStyle w:val="Heading1"/>
        <w:rPr>
          <w:rFonts w:cstheme="majorHAnsi"/>
          <w:b/>
          <w:bCs/>
          <w:color w:val="auto"/>
          <w:lang w:val="en-GB"/>
        </w:rPr>
      </w:pPr>
      <w:bookmarkStart w:id="91" w:name="_Toc153142479"/>
      <w:bookmarkStart w:id="92" w:name="_Toc153187408"/>
      <w:r w:rsidRPr="0089105D">
        <w:rPr>
          <w:rFonts w:cstheme="majorHAnsi"/>
          <w:b/>
          <w:bCs/>
          <w:color w:val="auto"/>
          <w:lang w:val="en-GB"/>
        </w:rPr>
        <w:t xml:space="preserve">3.4 </w:t>
      </w:r>
      <w:r w:rsidR="00501463" w:rsidRPr="0089105D">
        <w:rPr>
          <w:rFonts w:cstheme="majorHAnsi"/>
          <w:b/>
          <w:bCs/>
          <w:color w:val="auto"/>
          <w:lang w:val="en-GB"/>
        </w:rPr>
        <w:t xml:space="preserve">Inefficient </w:t>
      </w:r>
      <w:r w:rsidR="0099296E" w:rsidRPr="0089105D">
        <w:rPr>
          <w:rFonts w:cstheme="majorHAnsi"/>
          <w:b/>
          <w:bCs/>
          <w:color w:val="auto"/>
          <w:lang w:val="en-GB"/>
        </w:rPr>
        <w:t xml:space="preserve">targets and </w:t>
      </w:r>
      <w:r w:rsidR="00501463" w:rsidRPr="0089105D">
        <w:rPr>
          <w:rFonts w:cstheme="majorHAnsi"/>
          <w:b/>
          <w:bCs/>
          <w:color w:val="auto"/>
          <w:lang w:val="en-GB"/>
        </w:rPr>
        <w:t>indicators</w:t>
      </w:r>
      <w:bookmarkEnd w:id="91"/>
      <w:bookmarkEnd w:id="92"/>
      <w:r w:rsidR="0099296E" w:rsidRPr="0089105D">
        <w:rPr>
          <w:rFonts w:cstheme="majorHAnsi"/>
          <w:b/>
          <w:bCs/>
          <w:color w:val="auto"/>
          <w:lang w:val="en-GB"/>
        </w:rPr>
        <w:t xml:space="preserve"> </w:t>
      </w:r>
    </w:p>
    <w:p w14:paraId="22227886" w14:textId="77777777" w:rsidR="00C408B9" w:rsidRPr="0089105D" w:rsidRDefault="00C408B9" w:rsidP="00CE6643">
      <w:pPr>
        <w:spacing w:line="360" w:lineRule="auto"/>
        <w:jc w:val="both"/>
        <w:rPr>
          <w:rFonts w:asciiTheme="majorHAnsi" w:hAnsiTheme="majorHAnsi" w:cstheme="majorHAnsi"/>
          <w:lang w:val="en-GB"/>
        </w:rPr>
      </w:pPr>
      <w:bookmarkStart w:id="93" w:name="_Hlk153175701"/>
    </w:p>
    <w:p w14:paraId="4E84410F" w14:textId="28212C49" w:rsidR="00E84BA8" w:rsidRPr="0089105D" w:rsidRDefault="00E84BA8" w:rsidP="00E84BA8">
      <w:pPr>
        <w:spacing w:line="360" w:lineRule="auto"/>
        <w:jc w:val="both"/>
        <w:rPr>
          <w:rFonts w:asciiTheme="majorHAnsi" w:hAnsiTheme="majorHAnsi" w:cstheme="majorHAnsi"/>
          <w:lang w:val="en-GB"/>
        </w:rPr>
      </w:pPr>
    </w:p>
    <w:p w14:paraId="03A4C875" w14:textId="3F164B14" w:rsidR="00DF7A6B" w:rsidRPr="0089105D" w:rsidRDefault="00DF7A6B" w:rsidP="00DF7A6B">
      <w:pPr>
        <w:spacing w:line="360" w:lineRule="auto"/>
        <w:jc w:val="both"/>
        <w:rPr>
          <w:rFonts w:ascii="Times New Roman" w:hAnsi="Times New Roman" w:cs="Times New Roman"/>
        </w:rPr>
      </w:pPr>
      <w:r w:rsidRPr="0089105D">
        <w:rPr>
          <w:rFonts w:ascii="Times New Roman" w:hAnsi="Times New Roman" w:cs="Times New Roman"/>
        </w:rPr>
        <w:t>The monitoring procedure and measurement of the Sustainable Development Goals (SDGs) heavily rely on targets and indicators, each representing a specific sub-field of change within the framework of each SDG. One notable strength of the SDG indicators lies in their evidence-based and scientifically sound foundation (Schmidt-Traub et al., 2017, p. 9). These indicators underwent a complex development process characterized by rigorous methodologies and extensive consultations with diverse stakeholders, including governments, civil society, and the private sector (</w:t>
      </w:r>
      <w:proofErr w:type="spellStart"/>
      <w:r w:rsidRPr="0089105D">
        <w:rPr>
          <w:rFonts w:ascii="Times New Roman" w:hAnsi="Times New Roman" w:cs="Times New Roman"/>
        </w:rPr>
        <w:t>Hák</w:t>
      </w:r>
      <w:proofErr w:type="spellEnd"/>
      <w:r w:rsidRPr="0089105D">
        <w:rPr>
          <w:rFonts w:ascii="Times New Roman" w:hAnsi="Times New Roman" w:cs="Times New Roman"/>
        </w:rPr>
        <w:t xml:space="preserve"> and </w:t>
      </w:r>
      <w:proofErr w:type="spellStart"/>
      <w:r w:rsidRPr="0089105D">
        <w:rPr>
          <w:rFonts w:ascii="Times New Roman" w:hAnsi="Times New Roman" w:cs="Times New Roman"/>
        </w:rPr>
        <w:t>Janoušková</w:t>
      </w:r>
      <w:proofErr w:type="spellEnd"/>
      <w:r w:rsidRPr="0089105D">
        <w:rPr>
          <w:rFonts w:ascii="Times New Roman" w:hAnsi="Times New Roman" w:cs="Times New Roman"/>
        </w:rPr>
        <w:t>, 2018). Such a collaborative approach aimed to ensure the relevance and reliability of the indicators, intending to capture key dimensions of sustainable development effectively.</w:t>
      </w:r>
    </w:p>
    <w:p w14:paraId="554B22AB" w14:textId="77777777" w:rsidR="00DF7A6B" w:rsidRPr="0089105D" w:rsidRDefault="00DF7A6B" w:rsidP="00DF7A6B">
      <w:pPr>
        <w:spacing w:line="360" w:lineRule="auto"/>
        <w:jc w:val="both"/>
        <w:rPr>
          <w:rFonts w:ascii="Times New Roman" w:hAnsi="Times New Roman" w:cs="Times New Roman"/>
        </w:rPr>
      </w:pPr>
    </w:p>
    <w:p w14:paraId="63AADB83" w14:textId="4BCE674A" w:rsidR="00DF7A6B" w:rsidRPr="0089105D" w:rsidRDefault="00DF7A6B" w:rsidP="00DF7A6B">
      <w:pPr>
        <w:spacing w:line="360" w:lineRule="auto"/>
        <w:jc w:val="both"/>
        <w:rPr>
          <w:rFonts w:ascii="Times New Roman" w:hAnsi="Times New Roman" w:cs="Times New Roman"/>
        </w:rPr>
      </w:pPr>
      <w:r w:rsidRPr="0089105D">
        <w:rPr>
          <w:rFonts w:ascii="Times New Roman" w:hAnsi="Times New Roman" w:cs="Times New Roman"/>
        </w:rPr>
        <w:lastRenderedPageBreak/>
        <w:t xml:space="preserve">Despite the positive aspects, such as providing states with indicators that shorten and simplify information while deflecting from complexities, criticism has been directed at the inefficiency of respective targets and indicators (Merry, 2011; Morse, 2015, p. 364; Guppy, 2019; </w:t>
      </w:r>
      <w:proofErr w:type="spellStart"/>
      <w:r w:rsidRPr="0089105D">
        <w:rPr>
          <w:rFonts w:ascii="Times New Roman" w:hAnsi="Times New Roman" w:cs="Times New Roman"/>
        </w:rPr>
        <w:t>Liberio</w:t>
      </w:r>
      <w:proofErr w:type="spellEnd"/>
      <w:r w:rsidRPr="0089105D">
        <w:rPr>
          <w:rFonts w:ascii="Times New Roman" w:hAnsi="Times New Roman" w:cs="Times New Roman"/>
        </w:rPr>
        <w:t xml:space="preserve">, 2022). Some issues with the inefficiency of targets and indicators of SDG 6 were already described above, highlighting the need for further integration of cross-cutting and other relevant issues. However, the criticism extends to various targets and indicators. On that note, the International Council for Science and the International Social Science Council (2015) highlighted that "without clearer wording and better quantification for the targets, it will be difficult to monitor and evaluate progress" (International Council for Science and International Social Science Council, 2015). Similarly, </w:t>
      </w:r>
      <w:proofErr w:type="spellStart"/>
      <w:r w:rsidRPr="0089105D">
        <w:rPr>
          <w:rFonts w:ascii="Times New Roman" w:hAnsi="Times New Roman" w:cs="Times New Roman"/>
        </w:rPr>
        <w:t>Forbye</w:t>
      </w:r>
      <w:proofErr w:type="spellEnd"/>
      <w:r w:rsidRPr="0089105D">
        <w:rPr>
          <w:rFonts w:ascii="Times New Roman" w:hAnsi="Times New Roman" w:cs="Times New Roman"/>
        </w:rPr>
        <w:t xml:space="preserve">, Constanza et al. (2016) pointed out that a change is required in the wording of SDGs, in effort to guide the states adequately, the narrative must be changed to use more specific narrative detailly describing room for policy improvements and societal changes that are integral for the SDGs fulfilment. (Costanza et al., 2016, p. 347) </w:t>
      </w:r>
    </w:p>
    <w:p w14:paraId="485D51C2" w14:textId="77777777" w:rsidR="00DF7A6B" w:rsidRPr="0089105D" w:rsidRDefault="00DF7A6B" w:rsidP="00DF7A6B">
      <w:pPr>
        <w:spacing w:line="360" w:lineRule="auto"/>
        <w:jc w:val="both"/>
        <w:rPr>
          <w:rFonts w:ascii="Times New Roman" w:hAnsi="Times New Roman" w:cs="Times New Roman"/>
        </w:rPr>
      </w:pPr>
    </w:p>
    <w:p w14:paraId="2CB41479" w14:textId="7F703A64" w:rsidR="00DF7A6B" w:rsidRPr="0089105D" w:rsidRDefault="00DF7A6B" w:rsidP="00DF7A6B">
      <w:pPr>
        <w:spacing w:line="360" w:lineRule="auto"/>
        <w:jc w:val="both"/>
        <w:rPr>
          <w:rFonts w:ascii="Times New Roman" w:hAnsi="Times New Roman" w:cs="Times New Roman"/>
        </w:rPr>
      </w:pPr>
      <w:r w:rsidRPr="0089105D">
        <w:rPr>
          <w:rFonts w:ascii="Times New Roman" w:hAnsi="Times New Roman" w:cs="Times New Roman"/>
        </w:rPr>
        <w:t xml:space="preserve">In order to identify the issues with indicators, it is essential to demonstrate some specific examples. For example, </w:t>
      </w:r>
      <w:proofErr w:type="spellStart"/>
      <w:r w:rsidRPr="0089105D">
        <w:rPr>
          <w:rFonts w:ascii="Times New Roman" w:hAnsi="Times New Roman" w:cs="Times New Roman"/>
        </w:rPr>
        <w:t>Gulseven</w:t>
      </w:r>
      <w:proofErr w:type="spellEnd"/>
      <w:r w:rsidRPr="0089105D">
        <w:rPr>
          <w:rFonts w:ascii="Times New Roman" w:hAnsi="Times New Roman" w:cs="Times New Roman"/>
        </w:rPr>
        <w:t xml:space="preserve"> (2020) sheds light on the challenges faced by the United Arab Emirates in achieving SDG number 14, focusing on life underwater. The paper argues that certain indicators, particularly 14b1, pose inherent difficulties in measurement. This specific indicator relates to “the degree of application of a legal/regulatory/policy/institutional framework which recognizes and protects access rights for small-scale fisheries.” According to </w:t>
      </w:r>
      <w:proofErr w:type="spellStart"/>
      <w:r w:rsidRPr="0089105D">
        <w:rPr>
          <w:rFonts w:ascii="Times New Roman" w:hAnsi="Times New Roman" w:cs="Times New Roman"/>
        </w:rPr>
        <w:t>Gulseven</w:t>
      </w:r>
      <w:proofErr w:type="spellEnd"/>
      <w:r w:rsidRPr="0089105D">
        <w:rPr>
          <w:rFonts w:ascii="Times New Roman" w:hAnsi="Times New Roman" w:cs="Times New Roman"/>
        </w:rPr>
        <w:t>, the absence of clear starting points for measuring progress on this indicator renders it “unmeasurable.” This case study highlights a broader issue—some sustainable development goals lack the SMART aspect, representing Specificness, Measurability, Achievability, Relevance, and Time-orientation (</w:t>
      </w:r>
      <w:proofErr w:type="spellStart"/>
      <w:r w:rsidRPr="0089105D">
        <w:rPr>
          <w:rFonts w:ascii="Times New Roman" w:hAnsi="Times New Roman" w:cs="Times New Roman"/>
        </w:rPr>
        <w:t>Gulseven</w:t>
      </w:r>
      <w:proofErr w:type="spellEnd"/>
      <w:r w:rsidRPr="0089105D">
        <w:rPr>
          <w:rFonts w:ascii="Times New Roman" w:hAnsi="Times New Roman" w:cs="Times New Roman"/>
        </w:rPr>
        <w:t>, 2020, p. 53).</w:t>
      </w:r>
    </w:p>
    <w:p w14:paraId="0F7D0FA8" w14:textId="77777777" w:rsidR="00DF7A6B" w:rsidRPr="0089105D" w:rsidRDefault="00DF7A6B" w:rsidP="00DF7A6B">
      <w:pPr>
        <w:spacing w:line="360" w:lineRule="auto"/>
        <w:jc w:val="both"/>
        <w:rPr>
          <w:rFonts w:ascii="Times New Roman" w:hAnsi="Times New Roman" w:cs="Times New Roman"/>
        </w:rPr>
      </w:pPr>
    </w:p>
    <w:p w14:paraId="13821E4E" w14:textId="63299060" w:rsidR="00DF7A6B" w:rsidRPr="0089105D" w:rsidRDefault="00DF7A6B" w:rsidP="00DF7A6B">
      <w:pPr>
        <w:spacing w:line="360" w:lineRule="auto"/>
        <w:jc w:val="both"/>
        <w:rPr>
          <w:rFonts w:ascii="Times New Roman" w:hAnsi="Times New Roman" w:cs="Times New Roman"/>
        </w:rPr>
      </w:pPr>
      <w:r w:rsidRPr="0089105D">
        <w:rPr>
          <w:rFonts w:ascii="Times New Roman" w:hAnsi="Times New Roman" w:cs="Times New Roman"/>
        </w:rPr>
        <w:t xml:space="preserve">Furthermore, </w:t>
      </w:r>
      <w:proofErr w:type="spellStart"/>
      <w:r w:rsidRPr="0089105D">
        <w:rPr>
          <w:rFonts w:ascii="Times New Roman" w:hAnsi="Times New Roman" w:cs="Times New Roman"/>
        </w:rPr>
        <w:t>Vandemoortele</w:t>
      </w:r>
      <w:proofErr w:type="spellEnd"/>
      <w:r w:rsidRPr="0089105D">
        <w:rPr>
          <w:rFonts w:ascii="Times New Roman" w:hAnsi="Times New Roman" w:cs="Times New Roman"/>
        </w:rPr>
        <w:t xml:space="preserve"> (2016) pointed out that the current issue lies in the inadequacy of target 10.1, which addresses inequality, as it lacks precision and effectiveness. The deficiency becomes apparent when considering the use of the Palma ratio, which could substantially enhance the measurement and understanding of inequality within this target. Similarly, the author found deficiencies with target 2.2, focusing on malnutrition, which faces limitations by not encompassing the broader spectrum of nutritional concerns such as overweight and obesity. His idea of addressing this issue lies in incorporating the body mass index (BMI) as an additional metric would provide a more comprehensive and accurate evaluation of </w:t>
      </w:r>
      <w:r w:rsidRPr="0089105D">
        <w:rPr>
          <w:rFonts w:ascii="Times New Roman" w:hAnsi="Times New Roman" w:cs="Times New Roman"/>
        </w:rPr>
        <w:lastRenderedPageBreak/>
        <w:t>malnutrition, aligning with contemporary health challenges. (</w:t>
      </w:r>
      <w:proofErr w:type="spellStart"/>
      <w:r w:rsidRPr="0089105D">
        <w:rPr>
          <w:rFonts w:ascii="Times New Roman" w:hAnsi="Times New Roman" w:cs="Times New Roman"/>
        </w:rPr>
        <w:t>Vondermontele</w:t>
      </w:r>
      <w:proofErr w:type="spellEnd"/>
      <w:r w:rsidRPr="0089105D">
        <w:rPr>
          <w:rFonts w:ascii="Times New Roman" w:hAnsi="Times New Roman" w:cs="Times New Roman"/>
        </w:rPr>
        <w:t xml:space="preserve">, 2016) And therefore, his suggestion strengthens argument made in the previous section on goals integration (3.2), calling for more integrated approach and integration of relevant issues in the indicators. </w:t>
      </w:r>
    </w:p>
    <w:p w14:paraId="4C94B1A7" w14:textId="77777777" w:rsidR="00DF7A6B" w:rsidRPr="0089105D" w:rsidRDefault="00DF7A6B" w:rsidP="00DF7A6B">
      <w:pPr>
        <w:spacing w:line="360" w:lineRule="auto"/>
        <w:jc w:val="both"/>
        <w:rPr>
          <w:rFonts w:ascii="Times New Roman" w:hAnsi="Times New Roman" w:cs="Times New Roman"/>
        </w:rPr>
      </w:pPr>
    </w:p>
    <w:p w14:paraId="01D16098" w14:textId="1A99099B" w:rsidR="00DF7A6B" w:rsidRPr="0089105D" w:rsidRDefault="00DF7A6B" w:rsidP="00DF7A6B">
      <w:pPr>
        <w:spacing w:line="360" w:lineRule="auto"/>
        <w:jc w:val="both"/>
        <w:rPr>
          <w:rFonts w:ascii="Times New Roman" w:hAnsi="Times New Roman" w:cs="Times New Roman"/>
        </w:rPr>
      </w:pPr>
      <w:r w:rsidRPr="0089105D">
        <w:rPr>
          <w:rFonts w:ascii="Times New Roman" w:hAnsi="Times New Roman" w:cs="Times New Roman"/>
        </w:rPr>
        <w:t xml:space="preserve">The implication is that reforming indicators crucial for measuring states' performance on specific development goals becomes essential. </w:t>
      </w:r>
      <w:proofErr w:type="spellStart"/>
      <w:r w:rsidRPr="0089105D">
        <w:rPr>
          <w:rFonts w:ascii="Times New Roman" w:hAnsi="Times New Roman" w:cs="Times New Roman"/>
        </w:rPr>
        <w:t>Gulseven</w:t>
      </w:r>
      <w:proofErr w:type="spellEnd"/>
      <w:r w:rsidRPr="0089105D">
        <w:rPr>
          <w:rFonts w:ascii="Times New Roman" w:hAnsi="Times New Roman" w:cs="Times New Roman"/>
        </w:rPr>
        <w:t xml:space="preserve"> (2020) argues that incorporating more specific instructions, measurable units, relevance, and a well-defined time frame is pivotal for achieving more reliable data measurement. This strategic enhancement would not only ensure more systematic and efficient indicators but also provide states with clearer guidance in their pursuit of sustainable development goals (</w:t>
      </w:r>
      <w:proofErr w:type="spellStart"/>
      <w:r w:rsidRPr="0089105D">
        <w:rPr>
          <w:rFonts w:ascii="Times New Roman" w:hAnsi="Times New Roman" w:cs="Times New Roman"/>
        </w:rPr>
        <w:t>Gulseven</w:t>
      </w:r>
      <w:proofErr w:type="spellEnd"/>
      <w:r w:rsidRPr="0089105D">
        <w:rPr>
          <w:rFonts w:ascii="Times New Roman" w:hAnsi="Times New Roman" w:cs="Times New Roman"/>
        </w:rPr>
        <w:t xml:space="preserve">, 2020, p. 58). The same argument was done by </w:t>
      </w:r>
      <w:proofErr w:type="spellStart"/>
      <w:r w:rsidRPr="0089105D">
        <w:rPr>
          <w:rFonts w:ascii="Times New Roman" w:hAnsi="Times New Roman" w:cs="Times New Roman"/>
        </w:rPr>
        <w:t>Hak</w:t>
      </w:r>
      <w:proofErr w:type="spellEnd"/>
      <w:r w:rsidRPr="0089105D">
        <w:rPr>
          <w:rFonts w:ascii="Times New Roman" w:hAnsi="Times New Roman" w:cs="Times New Roman"/>
        </w:rPr>
        <w:t xml:space="preserve"> and </w:t>
      </w:r>
      <w:proofErr w:type="spellStart"/>
      <w:r w:rsidRPr="0089105D">
        <w:rPr>
          <w:rFonts w:ascii="Times New Roman" w:hAnsi="Times New Roman" w:cs="Times New Roman"/>
        </w:rPr>
        <w:t>Janouskova</w:t>
      </w:r>
      <w:proofErr w:type="spellEnd"/>
      <w:r w:rsidRPr="0089105D">
        <w:rPr>
          <w:rFonts w:ascii="Times New Roman" w:hAnsi="Times New Roman" w:cs="Times New Roman"/>
        </w:rPr>
        <w:t xml:space="preserve"> (2018) who call for more measurable targets and indicators. </w:t>
      </w:r>
    </w:p>
    <w:p w14:paraId="2F789497" w14:textId="42E6A445" w:rsidR="00DF7A6B" w:rsidRPr="0089105D" w:rsidRDefault="00DF7A6B" w:rsidP="00E84BA8">
      <w:pPr>
        <w:spacing w:line="360" w:lineRule="auto"/>
        <w:jc w:val="both"/>
        <w:rPr>
          <w:rFonts w:asciiTheme="majorHAnsi" w:hAnsiTheme="majorHAnsi" w:cstheme="majorHAnsi"/>
          <w:lang w:val="en-GB"/>
        </w:rPr>
      </w:pPr>
    </w:p>
    <w:p w14:paraId="2417238D" w14:textId="77777777" w:rsidR="008B7671" w:rsidRPr="0089105D" w:rsidRDefault="008B7671" w:rsidP="00E84BA8">
      <w:pPr>
        <w:spacing w:line="360" w:lineRule="auto"/>
        <w:jc w:val="both"/>
        <w:rPr>
          <w:rFonts w:asciiTheme="majorHAnsi" w:hAnsiTheme="majorHAnsi" w:cstheme="majorHAnsi"/>
          <w:lang w:val="en-GB"/>
        </w:rPr>
      </w:pPr>
    </w:p>
    <w:p w14:paraId="58618217" w14:textId="68F35FC7" w:rsidR="00501463" w:rsidRPr="0089105D" w:rsidRDefault="00522539" w:rsidP="00501463">
      <w:pPr>
        <w:pStyle w:val="Heading1"/>
        <w:rPr>
          <w:rFonts w:cstheme="majorHAnsi"/>
          <w:b/>
          <w:bCs/>
          <w:color w:val="auto"/>
          <w:lang w:val="en-GB"/>
        </w:rPr>
      </w:pPr>
      <w:bookmarkStart w:id="94" w:name="_Toc153142480"/>
      <w:bookmarkStart w:id="95" w:name="_Hlk153177754"/>
      <w:bookmarkStart w:id="96" w:name="_Toc153187409"/>
      <w:bookmarkEnd w:id="93"/>
      <w:r w:rsidRPr="0089105D">
        <w:rPr>
          <w:rFonts w:cstheme="majorHAnsi"/>
          <w:b/>
          <w:bCs/>
          <w:color w:val="auto"/>
          <w:lang w:val="en-GB"/>
        </w:rPr>
        <w:t xml:space="preserve">3.5 </w:t>
      </w:r>
      <w:r w:rsidR="00501463" w:rsidRPr="0089105D">
        <w:rPr>
          <w:rFonts w:cstheme="majorHAnsi"/>
          <w:b/>
          <w:bCs/>
          <w:color w:val="auto"/>
          <w:lang w:val="en-GB"/>
        </w:rPr>
        <w:t xml:space="preserve">Lack of </w:t>
      </w:r>
      <w:r w:rsidR="009A65AB" w:rsidRPr="0089105D">
        <w:rPr>
          <w:rFonts w:cstheme="majorHAnsi"/>
          <w:b/>
          <w:bCs/>
          <w:color w:val="auto"/>
          <w:lang w:val="en-GB"/>
        </w:rPr>
        <w:t xml:space="preserve">efficient </w:t>
      </w:r>
      <w:r w:rsidR="00501463" w:rsidRPr="0089105D">
        <w:rPr>
          <w:rFonts w:cstheme="majorHAnsi"/>
          <w:b/>
          <w:bCs/>
          <w:color w:val="auto"/>
          <w:lang w:val="en-GB"/>
        </w:rPr>
        <w:t>mechanism for monitoring</w:t>
      </w:r>
      <w:bookmarkEnd w:id="94"/>
      <w:bookmarkEnd w:id="96"/>
      <w:r w:rsidR="00501463" w:rsidRPr="0089105D">
        <w:rPr>
          <w:rFonts w:cstheme="majorHAnsi"/>
          <w:b/>
          <w:bCs/>
          <w:color w:val="auto"/>
          <w:lang w:val="en-GB"/>
        </w:rPr>
        <w:t xml:space="preserve"> </w:t>
      </w:r>
    </w:p>
    <w:p w14:paraId="70786D86" w14:textId="77777777" w:rsidR="00EF6FE0" w:rsidRPr="0089105D" w:rsidRDefault="00EF6FE0" w:rsidP="00EF6FE0">
      <w:pPr>
        <w:spacing w:line="360" w:lineRule="auto"/>
        <w:jc w:val="both"/>
        <w:rPr>
          <w:rFonts w:ascii="Times New Roman" w:hAnsi="Times New Roman" w:cs="Times New Roman"/>
        </w:rPr>
      </w:pPr>
    </w:p>
    <w:p w14:paraId="2CD0A2F3" w14:textId="5D0A5554" w:rsidR="00EF6FE0" w:rsidRPr="0089105D" w:rsidRDefault="00EF6FE0" w:rsidP="00EF6FE0">
      <w:pPr>
        <w:spacing w:line="360" w:lineRule="auto"/>
        <w:jc w:val="both"/>
        <w:rPr>
          <w:rFonts w:ascii="Times New Roman" w:hAnsi="Times New Roman" w:cs="Times New Roman"/>
        </w:rPr>
      </w:pPr>
      <w:r w:rsidRPr="0089105D">
        <w:rPr>
          <w:rFonts w:ascii="Times New Roman" w:hAnsi="Times New Roman" w:cs="Times New Roman"/>
        </w:rPr>
        <w:t>States are actively engaged in reporting on the progress of Sustainable Development Goals (SDGs), a commitment undertaken upon the acceptance of these global objectives. However, challenges have emerged in the effectiveness of this monitoring system. The World Bank (2021) highlights significant deficiencies in data collection, revealing that, on average, countries reported information on only 55% of SDG indicators. Despite advancements, data reporting remains a critical challenge within the SDG framework.</w:t>
      </w:r>
    </w:p>
    <w:p w14:paraId="5B081AAC" w14:textId="77777777" w:rsidR="00EF6FE0" w:rsidRPr="0089105D" w:rsidRDefault="00EF6FE0" w:rsidP="00EF6FE0">
      <w:pPr>
        <w:spacing w:line="360" w:lineRule="auto"/>
        <w:jc w:val="both"/>
        <w:rPr>
          <w:rFonts w:ascii="Times New Roman" w:hAnsi="Times New Roman" w:cs="Times New Roman"/>
        </w:rPr>
      </w:pPr>
    </w:p>
    <w:p w14:paraId="4DB80BCD" w14:textId="29ADEA7B" w:rsidR="009E1535" w:rsidRPr="0089105D" w:rsidRDefault="00EF6FE0" w:rsidP="00EF6FE0">
      <w:pPr>
        <w:spacing w:line="360" w:lineRule="auto"/>
        <w:jc w:val="both"/>
        <w:rPr>
          <w:rFonts w:ascii="Times New Roman" w:hAnsi="Times New Roman" w:cs="Times New Roman"/>
        </w:rPr>
      </w:pPr>
      <w:r w:rsidRPr="0089105D">
        <w:rPr>
          <w:rFonts w:ascii="Times New Roman" w:hAnsi="Times New Roman" w:cs="Times New Roman"/>
        </w:rPr>
        <w:t xml:space="preserve">One notable issue arises from states' reluctance to report sensitive information that could potentially harm their reputations or diplomatic relations. This hesitancy introduces a challenge in achieving a comprehensive and accurate representation of SDG progress. Additionally, concerns have been raised about the susceptibility to </w:t>
      </w:r>
      <w:r w:rsidR="009E1535" w:rsidRPr="0089105D">
        <w:rPr>
          <w:rFonts w:ascii="Times New Roman" w:hAnsi="Times New Roman" w:cs="Times New Roman"/>
        </w:rPr>
        <w:t>“data manipulation”</w:t>
      </w:r>
      <w:r w:rsidRPr="0089105D">
        <w:rPr>
          <w:rFonts w:ascii="Times New Roman" w:hAnsi="Times New Roman" w:cs="Times New Roman"/>
        </w:rPr>
        <w:t xml:space="preserve"> in national reports, as underscored by Glass and </w:t>
      </w:r>
      <w:proofErr w:type="spellStart"/>
      <w:r w:rsidRPr="0089105D">
        <w:rPr>
          <w:rFonts w:ascii="Times New Roman" w:hAnsi="Times New Roman" w:cs="Times New Roman"/>
        </w:rPr>
        <w:t>Newig</w:t>
      </w:r>
      <w:proofErr w:type="spellEnd"/>
      <w:r w:rsidRPr="0089105D">
        <w:rPr>
          <w:rFonts w:ascii="Times New Roman" w:hAnsi="Times New Roman" w:cs="Times New Roman"/>
        </w:rPr>
        <w:t xml:space="preserve"> (2019) and Fisher and Parr (2019). Such manipulation may be attributed to problems with data collection at the national level, where states may encounter difficulties in obtaining the necessary </w:t>
      </w:r>
      <w:r w:rsidR="00C80144" w:rsidRPr="0089105D">
        <w:rPr>
          <w:rFonts w:ascii="Times New Roman" w:hAnsi="Times New Roman" w:cs="Times New Roman"/>
        </w:rPr>
        <w:t>and</w:t>
      </w:r>
      <w:r w:rsidR="009E1535" w:rsidRPr="0089105D">
        <w:rPr>
          <w:rFonts w:ascii="Times New Roman" w:hAnsi="Times New Roman" w:cs="Times New Roman"/>
        </w:rPr>
        <w:t xml:space="preserve"> issues with </w:t>
      </w:r>
      <w:r w:rsidRPr="0089105D">
        <w:rPr>
          <w:rFonts w:ascii="Times New Roman" w:hAnsi="Times New Roman" w:cs="Times New Roman"/>
        </w:rPr>
        <w:t>data</w:t>
      </w:r>
      <w:r w:rsidR="009E1535" w:rsidRPr="0089105D">
        <w:rPr>
          <w:rFonts w:ascii="Times New Roman" w:hAnsi="Times New Roman" w:cs="Times New Roman"/>
        </w:rPr>
        <w:t xml:space="preserve"> v</w:t>
      </w:r>
      <w:r w:rsidR="009E1535" w:rsidRPr="0089105D">
        <w:rPr>
          <w:rFonts w:ascii="Times New Roman" w:hAnsi="Times New Roman" w:cs="Times New Roman"/>
        </w:rPr>
        <w:t>ariability in the methodologies employed by different countries for data collection and reporting</w:t>
      </w:r>
      <w:r w:rsidR="00C80144" w:rsidRPr="0089105D">
        <w:rPr>
          <w:rFonts w:ascii="Times New Roman" w:hAnsi="Times New Roman" w:cs="Times New Roman"/>
        </w:rPr>
        <w:t xml:space="preserve">, </w:t>
      </w:r>
      <w:r w:rsidR="009E1535" w:rsidRPr="0089105D">
        <w:rPr>
          <w:rFonts w:ascii="Times New Roman" w:hAnsi="Times New Roman" w:cs="Times New Roman"/>
        </w:rPr>
        <w:t>which oftentimes</w:t>
      </w:r>
      <w:r w:rsidR="009E1535" w:rsidRPr="0089105D">
        <w:rPr>
          <w:rFonts w:ascii="Times New Roman" w:hAnsi="Times New Roman" w:cs="Times New Roman"/>
        </w:rPr>
        <w:t xml:space="preserve"> lead to inconsistencies. This makes it challenging to compare progress across nations and undermines the ability to derive meaningful global </w:t>
      </w:r>
      <w:r w:rsidR="00C80144" w:rsidRPr="0089105D">
        <w:rPr>
          <w:rFonts w:ascii="Times New Roman" w:hAnsi="Times New Roman" w:cs="Times New Roman"/>
        </w:rPr>
        <w:t>insights. (</w:t>
      </w:r>
      <w:proofErr w:type="spellStart"/>
      <w:r w:rsidR="00C80144" w:rsidRPr="0089105D">
        <w:rPr>
          <w:rFonts w:ascii="Times New Roman" w:hAnsi="Times New Roman" w:cs="Times New Roman"/>
        </w:rPr>
        <w:t>Gabay</w:t>
      </w:r>
      <w:proofErr w:type="spellEnd"/>
      <w:r w:rsidR="00C80144" w:rsidRPr="0089105D">
        <w:rPr>
          <w:rFonts w:ascii="Times New Roman" w:hAnsi="Times New Roman" w:cs="Times New Roman"/>
        </w:rPr>
        <w:t xml:space="preserve"> and </w:t>
      </w:r>
      <w:proofErr w:type="spellStart"/>
      <w:r w:rsidR="00C80144" w:rsidRPr="0089105D">
        <w:rPr>
          <w:rFonts w:ascii="Times New Roman" w:hAnsi="Times New Roman" w:cs="Times New Roman"/>
        </w:rPr>
        <w:t>Ilkan</w:t>
      </w:r>
      <w:proofErr w:type="spellEnd"/>
      <w:r w:rsidR="00C80144" w:rsidRPr="0089105D">
        <w:rPr>
          <w:rFonts w:ascii="Times New Roman" w:hAnsi="Times New Roman" w:cs="Times New Roman"/>
        </w:rPr>
        <w:t>, 2017, p.469)</w:t>
      </w:r>
    </w:p>
    <w:p w14:paraId="0D3B3019" w14:textId="77777777" w:rsidR="009E1535" w:rsidRPr="0089105D" w:rsidRDefault="009E1535" w:rsidP="00EF6FE0">
      <w:pPr>
        <w:spacing w:line="360" w:lineRule="auto"/>
        <w:jc w:val="both"/>
        <w:rPr>
          <w:rFonts w:ascii="Times New Roman" w:hAnsi="Times New Roman" w:cs="Times New Roman"/>
        </w:rPr>
      </w:pPr>
    </w:p>
    <w:p w14:paraId="28586447" w14:textId="77777777" w:rsidR="009E1535" w:rsidRPr="0089105D" w:rsidRDefault="009E1535" w:rsidP="009E1535">
      <w:pPr>
        <w:spacing w:line="360" w:lineRule="auto"/>
        <w:jc w:val="both"/>
        <w:rPr>
          <w:rFonts w:ascii="Times New Roman" w:hAnsi="Times New Roman" w:cs="Times New Roman"/>
        </w:rPr>
      </w:pPr>
      <w:r w:rsidRPr="0089105D">
        <w:rPr>
          <w:rFonts w:ascii="Times New Roman" w:hAnsi="Times New Roman" w:cs="Times New Roman"/>
        </w:rPr>
        <w:t>Diverse cultural interpretations significantly contribute to discrepancies throughout the entire data process, affecting how information is collected, analyzed, and presented. Cultural nuances play a substantial role in shaping data collection and understanding. The distinctive blend of cultural values, norms, and traditions greatly influences the methodology employed in data collection and impacts the willingness of individuals to participate. For instance, subjects considered sensitive or private in certain cultures may lead to underreporting or a hesitancy to share specific details, introducing inherent biases into the collected data.</w:t>
      </w:r>
    </w:p>
    <w:p w14:paraId="620BB874" w14:textId="77777777" w:rsidR="009E1535" w:rsidRPr="0089105D" w:rsidRDefault="009E1535" w:rsidP="009E1535">
      <w:pPr>
        <w:spacing w:line="360" w:lineRule="auto"/>
        <w:jc w:val="both"/>
        <w:rPr>
          <w:rFonts w:ascii="Times New Roman" w:hAnsi="Times New Roman" w:cs="Times New Roman"/>
        </w:rPr>
      </w:pPr>
    </w:p>
    <w:p w14:paraId="088B9FB7" w14:textId="4BAAD95B" w:rsidR="009E1535" w:rsidRPr="0089105D" w:rsidRDefault="009E1535" w:rsidP="009E1535">
      <w:pPr>
        <w:spacing w:line="360" w:lineRule="auto"/>
        <w:jc w:val="both"/>
        <w:rPr>
          <w:rFonts w:ascii="Times New Roman" w:hAnsi="Times New Roman" w:cs="Times New Roman"/>
        </w:rPr>
      </w:pPr>
      <w:r w:rsidRPr="0089105D">
        <w:rPr>
          <w:rFonts w:ascii="Times New Roman" w:hAnsi="Times New Roman" w:cs="Times New Roman"/>
        </w:rPr>
        <w:t>Moreover, cultural differences extend to how data is presented, adding another layer of complexity to the interpretation process. The unique mix of cultural values influences the choice of language, terminology, and visual representation methods in data reports.</w:t>
      </w:r>
      <w:r w:rsidR="00C80144" w:rsidRPr="0089105D">
        <w:rPr>
          <w:rFonts w:ascii="Times New Roman" w:hAnsi="Times New Roman" w:cs="Times New Roman"/>
        </w:rPr>
        <w:t xml:space="preserve"> </w:t>
      </w:r>
      <w:r w:rsidR="00C80144" w:rsidRPr="0089105D">
        <w:rPr>
          <w:rFonts w:ascii="Times New Roman" w:hAnsi="Times New Roman" w:cs="Times New Roman"/>
        </w:rPr>
        <w:t>(Friedman et al., 2016)</w:t>
      </w:r>
      <w:r w:rsidRPr="0089105D">
        <w:rPr>
          <w:rFonts w:ascii="Times New Roman" w:hAnsi="Times New Roman" w:cs="Times New Roman"/>
        </w:rPr>
        <w:t xml:space="preserve"> This can lead to variations in emphasis, highlighting different aspects of the data based on cultural perspectives.</w:t>
      </w:r>
      <w:r w:rsidR="00C80144" w:rsidRPr="0089105D">
        <w:rPr>
          <w:rFonts w:ascii="Times New Roman" w:hAnsi="Times New Roman" w:cs="Times New Roman"/>
        </w:rPr>
        <w:t xml:space="preserve"> Which is extremely problematic in measuring the data for SDGs fulfillment.</w:t>
      </w:r>
      <w:r w:rsidR="008B7671" w:rsidRPr="0089105D">
        <w:rPr>
          <w:rFonts w:ascii="Times New Roman" w:hAnsi="Times New Roman" w:cs="Times New Roman"/>
        </w:rPr>
        <w:t xml:space="preserve"> </w:t>
      </w:r>
    </w:p>
    <w:p w14:paraId="062BAC10" w14:textId="77777777" w:rsidR="00C80144" w:rsidRPr="0089105D" w:rsidRDefault="00C80144" w:rsidP="00C80144">
      <w:pPr>
        <w:spacing w:line="360" w:lineRule="auto"/>
        <w:jc w:val="both"/>
        <w:rPr>
          <w:rFonts w:ascii="Times New Roman" w:hAnsi="Times New Roman" w:cs="Times New Roman"/>
        </w:rPr>
      </w:pPr>
    </w:p>
    <w:p w14:paraId="566A994F" w14:textId="5D9DFF42" w:rsidR="009E1535" w:rsidRPr="0089105D" w:rsidRDefault="00C80144" w:rsidP="00C80144">
      <w:pPr>
        <w:spacing w:line="360" w:lineRule="auto"/>
        <w:jc w:val="both"/>
        <w:rPr>
          <w:rFonts w:ascii="Times New Roman" w:hAnsi="Times New Roman" w:cs="Times New Roman"/>
        </w:rPr>
      </w:pPr>
      <w:r w:rsidRPr="0089105D">
        <w:rPr>
          <w:rFonts w:ascii="Times New Roman" w:hAnsi="Times New Roman" w:cs="Times New Roman"/>
        </w:rPr>
        <w:t>Drawing from the aforementioned arguments, a potential solution lies in the creation of an independent monitoring body present in every state. This body would operate with true independence, ensuring it is not affiliated with any UN agency</w:t>
      </w:r>
      <w:r w:rsidRPr="0089105D">
        <w:rPr>
          <w:rFonts w:ascii="Times New Roman" w:hAnsi="Times New Roman" w:cs="Times New Roman"/>
        </w:rPr>
        <w:t xml:space="preserve"> nor state actor</w:t>
      </w:r>
      <w:r w:rsidRPr="0089105D">
        <w:rPr>
          <w:rFonts w:ascii="Times New Roman" w:hAnsi="Times New Roman" w:cs="Times New Roman"/>
        </w:rPr>
        <w:t xml:space="preserve"> responsible for program implementatio</w:t>
      </w:r>
      <w:r w:rsidRPr="0089105D">
        <w:rPr>
          <w:rFonts w:ascii="Times New Roman" w:hAnsi="Times New Roman" w:cs="Times New Roman"/>
        </w:rPr>
        <w:t xml:space="preserve">n. </w:t>
      </w:r>
      <w:r w:rsidRPr="0089105D">
        <w:rPr>
          <w:rFonts w:ascii="Times New Roman" w:hAnsi="Times New Roman" w:cs="Times New Roman"/>
        </w:rPr>
        <w:t>Further details regarding this recommendation will be outlined in the recommendations chapter.</w:t>
      </w:r>
    </w:p>
    <w:p w14:paraId="27A1196B" w14:textId="77777777" w:rsidR="008B7671" w:rsidRPr="0089105D" w:rsidRDefault="008B7671" w:rsidP="00365CC9">
      <w:pPr>
        <w:rPr>
          <w:highlight w:val="yellow"/>
          <w:lang w:val="en-GB"/>
        </w:rPr>
      </w:pPr>
    </w:p>
    <w:p w14:paraId="2FC87F3A" w14:textId="0B6C1CFE" w:rsidR="00501463" w:rsidRPr="0089105D" w:rsidRDefault="00522539" w:rsidP="00501463">
      <w:pPr>
        <w:pStyle w:val="Heading1"/>
        <w:rPr>
          <w:rFonts w:cstheme="majorHAnsi"/>
          <w:b/>
          <w:bCs/>
          <w:color w:val="auto"/>
          <w:lang w:val="en-GB"/>
        </w:rPr>
      </w:pPr>
      <w:bookmarkStart w:id="97" w:name="_Toc153142481"/>
      <w:bookmarkStart w:id="98" w:name="_Toc153187410"/>
      <w:bookmarkEnd w:id="95"/>
      <w:r w:rsidRPr="0089105D">
        <w:rPr>
          <w:rFonts w:cstheme="majorHAnsi"/>
          <w:b/>
          <w:bCs/>
          <w:color w:val="auto"/>
          <w:lang w:val="en-GB"/>
        </w:rPr>
        <w:t xml:space="preserve">3.6 </w:t>
      </w:r>
      <w:r w:rsidR="00501463" w:rsidRPr="0089105D">
        <w:rPr>
          <w:rFonts w:cstheme="majorHAnsi"/>
          <w:b/>
          <w:bCs/>
          <w:color w:val="auto"/>
          <w:lang w:val="en-GB"/>
        </w:rPr>
        <w:t xml:space="preserve">Lack of accountability </w:t>
      </w:r>
      <w:r w:rsidR="007643AB" w:rsidRPr="0089105D">
        <w:rPr>
          <w:rFonts w:cstheme="majorHAnsi"/>
          <w:b/>
          <w:bCs/>
          <w:color w:val="auto"/>
          <w:lang w:val="en-GB"/>
        </w:rPr>
        <w:t>mechanism</w:t>
      </w:r>
      <w:bookmarkEnd w:id="97"/>
      <w:bookmarkEnd w:id="98"/>
      <w:r w:rsidR="007643AB" w:rsidRPr="0089105D">
        <w:rPr>
          <w:rFonts w:cstheme="majorHAnsi"/>
          <w:b/>
          <w:bCs/>
          <w:color w:val="auto"/>
          <w:lang w:val="en-GB"/>
        </w:rPr>
        <w:t xml:space="preserve"> </w:t>
      </w:r>
    </w:p>
    <w:p w14:paraId="5532945B" w14:textId="77777777" w:rsidR="00457E03" w:rsidRPr="0089105D" w:rsidRDefault="00457E03" w:rsidP="00457E03">
      <w:pPr>
        <w:rPr>
          <w:lang w:val="en-GB"/>
        </w:rPr>
      </w:pPr>
    </w:p>
    <w:p w14:paraId="7C7FD9D8" w14:textId="77777777" w:rsidR="00522539" w:rsidRPr="0089105D" w:rsidRDefault="00522539" w:rsidP="00522539">
      <w:pPr>
        <w:spacing w:line="360" w:lineRule="auto"/>
        <w:jc w:val="both"/>
        <w:rPr>
          <w:rFonts w:asciiTheme="majorHAnsi" w:hAnsiTheme="majorHAnsi" w:cstheme="majorHAnsi"/>
          <w:lang w:val="en-GB"/>
        </w:rPr>
      </w:pPr>
    </w:p>
    <w:p w14:paraId="5DFB82C7" w14:textId="77777777" w:rsidR="00C80144" w:rsidRPr="0089105D" w:rsidRDefault="00C80144" w:rsidP="00C80144">
      <w:pPr>
        <w:spacing w:line="360" w:lineRule="auto"/>
        <w:jc w:val="both"/>
        <w:rPr>
          <w:rFonts w:asciiTheme="majorHAnsi" w:hAnsiTheme="majorHAnsi" w:cstheme="majorHAnsi"/>
          <w:lang w:val="en-GB"/>
        </w:rPr>
      </w:pPr>
      <w:proofErr w:type="spellStart"/>
      <w:r w:rsidRPr="0089105D">
        <w:rPr>
          <w:rFonts w:asciiTheme="majorHAnsi" w:hAnsiTheme="majorHAnsi" w:cstheme="majorHAnsi"/>
          <w:lang w:val="en-GB"/>
        </w:rPr>
        <w:t>Engelbretsen</w:t>
      </w:r>
      <w:proofErr w:type="spellEnd"/>
      <w:r w:rsidRPr="0089105D">
        <w:rPr>
          <w:rFonts w:asciiTheme="majorHAnsi" w:hAnsiTheme="majorHAnsi" w:cstheme="majorHAnsi"/>
          <w:lang w:val="en-GB"/>
        </w:rPr>
        <w:t xml:space="preserve">, Haggen, and </w:t>
      </w:r>
      <w:proofErr w:type="spellStart"/>
      <w:r w:rsidRPr="0089105D">
        <w:rPr>
          <w:rFonts w:asciiTheme="majorHAnsi" w:hAnsiTheme="majorHAnsi" w:cstheme="majorHAnsi"/>
          <w:lang w:val="en-GB"/>
        </w:rPr>
        <w:t>Ottersen</w:t>
      </w:r>
      <w:proofErr w:type="spellEnd"/>
      <w:r w:rsidRPr="0089105D">
        <w:rPr>
          <w:rFonts w:asciiTheme="majorHAnsi" w:hAnsiTheme="majorHAnsi" w:cstheme="majorHAnsi"/>
          <w:lang w:val="en-GB"/>
        </w:rPr>
        <w:t xml:space="preserve"> (2017) emphasize the general weakness of mechanisms holding states accountable for their responsibilities arising from international conventions (p. 365). Friedman (2016) suggests the need for improvement by introducing an efficient, independent accountability mechanism to encourage states to genuinely comply with the ambitious agenda (p. 134). According to Hunt (2015), while the current monitoring process is somewhat effective as a first step in ensuring SDG compliance, there is a need to shift focus from measuring "global" accountability to assessing accountability at the "national" and "sub-national" levels. Hunt stresses the importance of involving not only state actors but also local stakeholders, as they play a significant role in contributing to the 2030 SDG agenda.</w:t>
      </w:r>
    </w:p>
    <w:p w14:paraId="14D4F798" w14:textId="77777777" w:rsidR="00C80144" w:rsidRPr="0089105D" w:rsidRDefault="00C80144" w:rsidP="00C80144">
      <w:pPr>
        <w:spacing w:line="360" w:lineRule="auto"/>
        <w:jc w:val="both"/>
        <w:rPr>
          <w:rFonts w:asciiTheme="majorHAnsi" w:hAnsiTheme="majorHAnsi" w:cstheme="majorHAnsi"/>
          <w:lang w:val="en-GB"/>
        </w:rPr>
      </w:pPr>
    </w:p>
    <w:p w14:paraId="589B4982" w14:textId="6EA98EE9" w:rsidR="00C80144" w:rsidRPr="0089105D" w:rsidRDefault="00C80144" w:rsidP="00C80144">
      <w:pPr>
        <w:spacing w:line="360" w:lineRule="auto"/>
        <w:jc w:val="both"/>
        <w:rPr>
          <w:rFonts w:asciiTheme="majorHAnsi" w:hAnsiTheme="majorHAnsi" w:cstheme="majorHAnsi"/>
          <w:lang w:val="en-GB"/>
        </w:rPr>
      </w:pPr>
      <w:r w:rsidRPr="0089105D">
        <w:rPr>
          <w:rFonts w:asciiTheme="majorHAnsi" w:hAnsiTheme="majorHAnsi" w:cstheme="majorHAnsi"/>
          <w:lang w:val="en-GB"/>
        </w:rPr>
        <w:t xml:space="preserve">Donald et al. (2016) argue that relying on a single accountability mechanism is insufficient and propose the use of a "web of accountability" as an efficient alternative (p. 203). This multifaceted approach ensures that states are actively monitored and held accountable for sustainability compliance, moving away from the current system that measures states' performance in a less </w:t>
      </w:r>
      <w:r w:rsidRPr="0089105D">
        <w:rPr>
          <w:rFonts w:asciiTheme="majorHAnsi" w:hAnsiTheme="majorHAnsi" w:cstheme="majorHAnsi"/>
          <w:lang w:val="en-GB"/>
        </w:rPr>
        <w:t>“</w:t>
      </w:r>
      <w:r w:rsidRPr="0089105D">
        <w:rPr>
          <w:rFonts w:asciiTheme="majorHAnsi" w:hAnsiTheme="majorHAnsi" w:cstheme="majorHAnsi"/>
          <w:lang w:val="en-GB"/>
        </w:rPr>
        <w:t>holistic</w:t>
      </w:r>
      <w:r w:rsidRPr="0089105D">
        <w:rPr>
          <w:rFonts w:asciiTheme="majorHAnsi" w:hAnsiTheme="majorHAnsi" w:cstheme="majorHAnsi"/>
          <w:lang w:val="en-GB"/>
        </w:rPr>
        <w:t>”</w:t>
      </w:r>
      <w:r w:rsidRPr="0089105D">
        <w:rPr>
          <w:rFonts w:asciiTheme="majorHAnsi" w:hAnsiTheme="majorHAnsi" w:cstheme="majorHAnsi"/>
          <w:lang w:val="en-GB"/>
        </w:rPr>
        <w:t xml:space="preserve"> manner.</w:t>
      </w:r>
    </w:p>
    <w:p w14:paraId="71A4DFAE" w14:textId="77777777" w:rsidR="00C80144" w:rsidRPr="0089105D" w:rsidRDefault="00C80144" w:rsidP="00C80144">
      <w:pPr>
        <w:spacing w:line="360" w:lineRule="auto"/>
        <w:jc w:val="both"/>
        <w:rPr>
          <w:rFonts w:asciiTheme="majorHAnsi" w:hAnsiTheme="majorHAnsi" w:cstheme="majorHAnsi"/>
          <w:lang w:val="en-GB"/>
        </w:rPr>
      </w:pPr>
    </w:p>
    <w:p w14:paraId="5E86BFE1" w14:textId="77777777" w:rsidR="00C80144" w:rsidRPr="0089105D" w:rsidRDefault="00C80144" w:rsidP="00C80144">
      <w:pPr>
        <w:spacing w:line="360" w:lineRule="auto"/>
        <w:jc w:val="both"/>
        <w:rPr>
          <w:rFonts w:asciiTheme="majorHAnsi" w:hAnsiTheme="majorHAnsi" w:cstheme="majorHAnsi"/>
          <w:lang w:val="en-GB"/>
        </w:rPr>
      </w:pPr>
      <w:r w:rsidRPr="0089105D">
        <w:rPr>
          <w:rFonts w:asciiTheme="majorHAnsi" w:hAnsiTheme="majorHAnsi" w:cstheme="majorHAnsi"/>
          <w:lang w:val="en-GB"/>
        </w:rPr>
        <w:t>The current accountability mechanism relies on the monitoring toolkit and data collections conducted by states and various UN agencies. The SDG Annual Report, released by the United Nations Secretariat, provides regular updates on the progress of each goal. This process, however, has its shortcomings, including issues like data unavailability. Developing countries, in particular, often lack the capacity to monitor and report effectively on SDGs, and there is no unified method for reporting progress (Guo et al., 2022, p. 1793).</w:t>
      </w:r>
    </w:p>
    <w:p w14:paraId="727C0CA0" w14:textId="77777777" w:rsidR="00C80144" w:rsidRPr="0089105D" w:rsidRDefault="00C80144" w:rsidP="00C80144">
      <w:pPr>
        <w:spacing w:line="360" w:lineRule="auto"/>
        <w:jc w:val="both"/>
        <w:rPr>
          <w:rFonts w:asciiTheme="majorHAnsi" w:hAnsiTheme="majorHAnsi" w:cstheme="majorHAnsi"/>
          <w:lang w:val="en-GB"/>
        </w:rPr>
      </w:pPr>
    </w:p>
    <w:p w14:paraId="1BFD59ED" w14:textId="77777777" w:rsidR="00C80144" w:rsidRPr="0089105D" w:rsidRDefault="00C80144" w:rsidP="00C80144">
      <w:pPr>
        <w:spacing w:line="360" w:lineRule="auto"/>
        <w:jc w:val="both"/>
        <w:rPr>
          <w:rFonts w:asciiTheme="majorHAnsi" w:hAnsiTheme="majorHAnsi" w:cstheme="majorHAnsi"/>
          <w:lang w:val="en-GB"/>
        </w:rPr>
      </w:pPr>
      <w:r w:rsidRPr="0089105D">
        <w:rPr>
          <w:rFonts w:asciiTheme="majorHAnsi" w:hAnsiTheme="majorHAnsi" w:cstheme="majorHAnsi"/>
          <w:lang w:val="en-GB"/>
        </w:rPr>
        <w:t xml:space="preserve">One potential solution could involve replicating the international human rights system. Specifically, creating an explicit and independent soft law framework for sustainable development goals with its investigative body could monitor and enforce these goals. This body would exert pressure on governments and local non-state actors through a regular review procedure. Drawing inspiration from the Universal Periodic Review (UPR), a distinctive process of the United Nations Human Rights Council that occurs biannually and </w:t>
      </w:r>
      <w:proofErr w:type="spellStart"/>
      <w:r w:rsidRPr="0089105D">
        <w:rPr>
          <w:rFonts w:asciiTheme="majorHAnsi" w:hAnsiTheme="majorHAnsi" w:cstheme="majorHAnsi"/>
          <w:lang w:val="en-GB"/>
        </w:rPr>
        <w:t>analyzes</w:t>
      </w:r>
      <w:proofErr w:type="spellEnd"/>
      <w:r w:rsidRPr="0089105D">
        <w:rPr>
          <w:rFonts w:asciiTheme="majorHAnsi" w:hAnsiTheme="majorHAnsi" w:cstheme="majorHAnsi"/>
          <w:lang w:val="en-GB"/>
        </w:rPr>
        <w:t xml:space="preserve"> the human rights situation in 48 states annually, this approach aims to enhance constitutional rights, civil liberties, and other universal human rights globally and nationally. The UPR process promotes dialogue, cooperation, and an enabling environment for the exchange of recommendations. While some countries remain reluctant to embrace the concept of human rights, and certain authoritarian states resist such governance, evidence shows a positive impact on progressing states' human rights situations and compliance. For instance, a study by the OHCHR (2023) revealed that after the first cycle of the UPR, approximately 85 percent of acquired recommendations led states to fully or partially implement them into their human rights framework. Additionally, another study by the World Future Council indicated that the UPR contributed to progress in various human rights areas, including the protection of children's rights, the abolition of the death penalty, and the promotion of gender equality (OHCHR, 2023).</w:t>
      </w:r>
    </w:p>
    <w:p w14:paraId="7DD84730" w14:textId="77777777" w:rsidR="00C80144" w:rsidRPr="0089105D" w:rsidRDefault="00C80144" w:rsidP="00C80144">
      <w:pPr>
        <w:spacing w:line="360" w:lineRule="auto"/>
        <w:jc w:val="both"/>
        <w:rPr>
          <w:rFonts w:asciiTheme="majorHAnsi" w:hAnsiTheme="majorHAnsi" w:cstheme="majorHAnsi"/>
          <w:lang w:val="en-GB"/>
        </w:rPr>
      </w:pPr>
    </w:p>
    <w:p w14:paraId="3EC68E87" w14:textId="77777777" w:rsidR="00C80144" w:rsidRPr="0089105D" w:rsidRDefault="00C80144" w:rsidP="00C80144">
      <w:pPr>
        <w:keepNext/>
        <w:spacing w:line="360" w:lineRule="auto"/>
        <w:jc w:val="both"/>
        <w:rPr>
          <w:rFonts w:asciiTheme="majorHAnsi" w:hAnsiTheme="majorHAnsi" w:cstheme="majorHAnsi"/>
          <w:lang w:val="en-GB"/>
        </w:rPr>
      </w:pPr>
      <w:r w:rsidRPr="0089105D">
        <w:rPr>
          <w:rFonts w:asciiTheme="majorHAnsi" w:hAnsiTheme="majorHAnsi" w:cstheme="majorHAnsi"/>
          <w:lang w:val="en-GB"/>
        </w:rPr>
        <w:lastRenderedPageBreak/>
        <w:t>Hence, there is potential in creating a platform for international dialogue, transparency, and recommendations for states through participatory approaches. If a similar concept of regular monitoring sessions, implemented by a dedicated UN agency focused on monitoring, collecting data, and enforcing SDGs, were established with a "voluntary" nature, it could serve as a starting point for major changes and a higher level of compliance and implementation. However, the establishment of such a concept could be challenging, requiring significant effort to adapt the UPR system to the terms of the SDGs. The process would begin with the submission of a national report by the "State under review," providing an overview of the national human rights situation and highlighting measures taken based on previous UPR recommendations. Various UN agencies, civil society organizations, and other stakeholders would contribute to forming the report and delivering additional data on human rights implementation. This step could be replicated in the SDG system, involving the collection of necessary data and the submission of national reports with contributions from non-state actors, such as UN agencies or non-profit organizations, to provide unbiased and up-to-date data.</w:t>
      </w:r>
    </w:p>
    <w:p w14:paraId="625699B9" w14:textId="77777777" w:rsidR="00C80144" w:rsidRPr="0089105D" w:rsidRDefault="00C80144" w:rsidP="00C80144">
      <w:pPr>
        <w:keepNext/>
        <w:spacing w:line="360" w:lineRule="auto"/>
        <w:jc w:val="both"/>
        <w:rPr>
          <w:rFonts w:asciiTheme="majorHAnsi" w:hAnsiTheme="majorHAnsi" w:cstheme="majorHAnsi"/>
          <w:lang w:val="en-GB"/>
        </w:rPr>
      </w:pPr>
    </w:p>
    <w:p w14:paraId="57ED649D" w14:textId="2F542F64" w:rsidR="00457E03" w:rsidRPr="0089105D" w:rsidRDefault="00C80144" w:rsidP="00C80144">
      <w:pPr>
        <w:keepNext/>
        <w:spacing w:line="360" w:lineRule="auto"/>
        <w:jc w:val="both"/>
      </w:pPr>
      <w:r w:rsidRPr="0089105D">
        <w:rPr>
          <w:rFonts w:asciiTheme="majorHAnsi" w:hAnsiTheme="majorHAnsi" w:cstheme="majorHAnsi"/>
          <w:lang w:val="en-GB"/>
        </w:rPr>
        <w:t xml:space="preserve">Returning to the UPR process, review sessions take place at the Human Rights Council in Geneva, allowing states to ask questions and make comments on the human rights situation in the country under review. The state under review responds to each recommendation, indicating acceptance or rejection and outlining plans for implementation. This process has the potential to create a transparent and participatory way for states to interact, exchange good practices, and offer recommendations to enhance their future </w:t>
      </w:r>
      <w:proofErr w:type="spellStart"/>
      <w:r w:rsidRPr="0089105D">
        <w:rPr>
          <w:rFonts w:asciiTheme="majorHAnsi" w:hAnsiTheme="majorHAnsi" w:cstheme="majorHAnsi"/>
          <w:lang w:val="en-GB"/>
        </w:rPr>
        <w:t>fulfillment</w:t>
      </w:r>
      <w:proofErr w:type="spellEnd"/>
      <w:r w:rsidRPr="0089105D">
        <w:rPr>
          <w:rFonts w:asciiTheme="majorHAnsi" w:hAnsiTheme="majorHAnsi" w:cstheme="majorHAnsi"/>
          <w:lang w:val="en-GB"/>
        </w:rPr>
        <w:t xml:space="preserve">. It would be desirable for a particular UN agency to host the review progress or for a new UN body to be created with the sole role of measuring, reviewing, and facilitating the SDG review process. Following the UPR process, there is a post-review session where the state under review provides an interim report on the procedure and progress in implementing received UPR recommendations after four and a half years (Shan and </w:t>
      </w:r>
      <w:proofErr w:type="spellStart"/>
      <w:r w:rsidRPr="0089105D">
        <w:rPr>
          <w:rFonts w:asciiTheme="majorHAnsi" w:hAnsiTheme="majorHAnsi" w:cstheme="majorHAnsi"/>
          <w:lang w:val="en-GB"/>
        </w:rPr>
        <w:t>Sivakunuran</w:t>
      </w:r>
      <w:proofErr w:type="spellEnd"/>
      <w:r w:rsidRPr="0089105D">
        <w:rPr>
          <w:rFonts w:asciiTheme="majorHAnsi" w:hAnsiTheme="majorHAnsi" w:cstheme="majorHAnsi"/>
          <w:lang w:val="en-GB"/>
        </w:rPr>
        <w:t xml:space="preserve">, 2021, p. 298). Applying this cyclical nature to the SDG review would be highly beneficial, promoting the goals and ensuring the pathway to their </w:t>
      </w:r>
      <w:proofErr w:type="spellStart"/>
      <w:r w:rsidRPr="0089105D">
        <w:rPr>
          <w:rFonts w:asciiTheme="majorHAnsi" w:hAnsiTheme="majorHAnsi" w:cstheme="majorHAnsi"/>
          <w:lang w:val="en-GB"/>
        </w:rPr>
        <w:t>fulfillment</w:t>
      </w:r>
      <w:proofErr w:type="spellEnd"/>
      <w:r w:rsidRPr="0089105D">
        <w:rPr>
          <w:rFonts w:asciiTheme="majorHAnsi" w:hAnsiTheme="majorHAnsi" w:cstheme="majorHAnsi"/>
          <w:lang w:val="en-GB"/>
        </w:rPr>
        <w:t xml:space="preserve">. However, the UPR's repeating period of four and a half years might not align with the SDGs' limited timeframe for implementation, necessitating a shorter (halved) monitoring period for more efficient review. Thanks to its "friendly" and "collaborative" essence, the acquired recommendations could also provide policy suggestions, financial shifts, or </w:t>
      </w:r>
      <w:r w:rsidRPr="0089105D">
        <w:rPr>
          <w:rFonts w:asciiTheme="majorHAnsi" w:hAnsiTheme="majorHAnsi" w:cstheme="majorHAnsi"/>
          <w:lang w:val="en-GB"/>
        </w:rPr>
        <w:lastRenderedPageBreak/>
        <w:t>innovations for SDG contributions.</w:t>
      </w:r>
      <w:r w:rsidR="00457E03" w:rsidRPr="0089105D">
        <w:rPr>
          <w:noProof/>
          <w:lang w:val="en-GB"/>
        </w:rPr>
        <w:drawing>
          <wp:inline distT="0" distB="0" distL="0" distR="0" wp14:anchorId="45FF457F" wp14:editId="6D19E76F">
            <wp:extent cx="6274340" cy="1536970"/>
            <wp:effectExtent l="19050" t="0" r="50800" b="0"/>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6" r:lo="rId27" r:qs="rId28" r:cs="rId29"/>
              </a:graphicData>
            </a:graphic>
          </wp:inline>
        </w:drawing>
      </w:r>
    </w:p>
    <w:p w14:paraId="26721295" w14:textId="6BCD8650" w:rsidR="00F02442" w:rsidRPr="0089105D" w:rsidRDefault="00F02442" w:rsidP="00F02442">
      <w:pPr>
        <w:pStyle w:val="Caption"/>
        <w:keepNext/>
        <w:rPr>
          <w:rFonts w:asciiTheme="majorHAnsi" w:hAnsiTheme="majorHAnsi" w:cstheme="majorHAnsi"/>
          <w:color w:val="auto"/>
          <w:sz w:val="20"/>
          <w:szCs w:val="20"/>
        </w:rPr>
      </w:pPr>
      <w:bookmarkStart w:id="99" w:name="_Toc153091221"/>
      <w:bookmarkStart w:id="100" w:name="_Toc153169557"/>
      <w:r w:rsidRPr="0089105D">
        <w:rPr>
          <w:rFonts w:asciiTheme="majorHAnsi" w:hAnsiTheme="majorHAnsi" w:cstheme="majorHAnsi"/>
          <w:color w:val="auto"/>
          <w:sz w:val="20"/>
          <w:szCs w:val="20"/>
        </w:rPr>
        <w:t xml:space="preserve">Table </w:t>
      </w:r>
      <w:r w:rsidRPr="0089105D">
        <w:rPr>
          <w:rFonts w:asciiTheme="majorHAnsi" w:hAnsiTheme="majorHAnsi" w:cstheme="majorHAnsi"/>
          <w:color w:val="auto"/>
          <w:sz w:val="20"/>
          <w:szCs w:val="20"/>
        </w:rPr>
        <w:fldChar w:fldCharType="begin"/>
      </w:r>
      <w:r w:rsidRPr="0089105D">
        <w:rPr>
          <w:rFonts w:asciiTheme="majorHAnsi" w:hAnsiTheme="majorHAnsi" w:cstheme="majorHAnsi"/>
          <w:color w:val="auto"/>
          <w:sz w:val="20"/>
          <w:szCs w:val="20"/>
        </w:rPr>
        <w:instrText xml:space="preserve"> SEQ Table \* ARABIC </w:instrText>
      </w:r>
      <w:r w:rsidRPr="0089105D">
        <w:rPr>
          <w:rFonts w:asciiTheme="majorHAnsi" w:hAnsiTheme="majorHAnsi" w:cstheme="majorHAnsi"/>
          <w:color w:val="auto"/>
          <w:sz w:val="20"/>
          <w:szCs w:val="20"/>
        </w:rPr>
        <w:fldChar w:fldCharType="separate"/>
      </w:r>
      <w:r w:rsidR="004519D8" w:rsidRPr="0089105D">
        <w:rPr>
          <w:rFonts w:asciiTheme="majorHAnsi" w:hAnsiTheme="majorHAnsi" w:cstheme="majorHAnsi"/>
          <w:noProof/>
          <w:color w:val="auto"/>
          <w:sz w:val="20"/>
          <w:szCs w:val="20"/>
        </w:rPr>
        <w:t>17</w:t>
      </w:r>
      <w:r w:rsidRPr="0089105D">
        <w:rPr>
          <w:rFonts w:asciiTheme="majorHAnsi" w:hAnsiTheme="majorHAnsi" w:cstheme="majorHAnsi"/>
          <w:color w:val="auto"/>
          <w:sz w:val="20"/>
          <w:szCs w:val="20"/>
        </w:rPr>
        <w:fldChar w:fldCharType="end"/>
      </w:r>
      <w:r w:rsidRPr="0089105D">
        <w:rPr>
          <w:rFonts w:asciiTheme="majorHAnsi" w:hAnsiTheme="majorHAnsi" w:cstheme="majorHAnsi"/>
          <w:color w:val="auto"/>
          <w:sz w:val="20"/>
          <w:szCs w:val="20"/>
        </w:rPr>
        <w:t xml:space="preserve"> Structure of UPR visually described.</w:t>
      </w:r>
      <w:bookmarkEnd w:id="99"/>
      <w:bookmarkEnd w:id="100"/>
    </w:p>
    <w:p w14:paraId="6D06494A" w14:textId="77777777" w:rsidR="00255A02" w:rsidRPr="0089105D" w:rsidRDefault="00255A02" w:rsidP="00255A02"/>
    <w:p w14:paraId="39C5A9DD" w14:textId="6E5B03F6" w:rsidR="00501463" w:rsidRPr="0089105D" w:rsidRDefault="00522539" w:rsidP="00501463">
      <w:pPr>
        <w:pStyle w:val="Heading1"/>
        <w:rPr>
          <w:rFonts w:cstheme="majorHAnsi"/>
          <w:b/>
          <w:bCs/>
          <w:color w:val="auto"/>
          <w:lang w:val="en-GB"/>
        </w:rPr>
      </w:pPr>
      <w:bookmarkStart w:id="101" w:name="_Toc153142482"/>
      <w:bookmarkStart w:id="102" w:name="_Hlk153180778"/>
      <w:bookmarkStart w:id="103" w:name="_Toc153187411"/>
      <w:r w:rsidRPr="0089105D">
        <w:rPr>
          <w:rFonts w:cstheme="majorHAnsi"/>
          <w:b/>
          <w:bCs/>
          <w:color w:val="auto"/>
          <w:lang w:val="en-GB"/>
        </w:rPr>
        <w:t xml:space="preserve">3.6 </w:t>
      </w:r>
      <w:r w:rsidR="00501463" w:rsidRPr="0089105D">
        <w:rPr>
          <w:rFonts w:cstheme="majorHAnsi"/>
          <w:b/>
          <w:bCs/>
          <w:color w:val="auto"/>
          <w:lang w:val="en-GB"/>
        </w:rPr>
        <w:t>Wrong concept of sustainability</w:t>
      </w:r>
      <w:bookmarkEnd w:id="101"/>
      <w:bookmarkEnd w:id="103"/>
      <w:r w:rsidR="00501463" w:rsidRPr="0089105D">
        <w:rPr>
          <w:rFonts w:cstheme="majorHAnsi"/>
          <w:b/>
          <w:bCs/>
          <w:color w:val="auto"/>
          <w:lang w:val="en-GB"/>
        </w:rPr>
        <w:t xml:space="preserve"> </w:t>
      </w:r>
    </w:p>
    <w:p w14:paraId="6DD83BE0" w14:textId="77777777" w:rsidR="00522539" w:rsidRPr="0089105D" w:rsidRDefault="00522539" w:rsidP="00522539">
      <w:pPr>
        <w:spacing w:line="360" w:lineRule="auto"/>
        <w:jc w:val="both"/>
        <w:rPr>
          <w:rFonts w:asciiTheme="majorHAnsi" w:hAnsiTheme="majorHAnsi" w:cstheme="majorHAnsi"/>
          <w:highlight w:val="yellow"/>
        </w:rPr>
      </w:pPr>
    </w:p>
    <w:p w14:paraId="004FBC54" w14:textId="77777777" w:rsidR="004519D8" w:rsidRPr="0089105D" w:rsidRDefault="004519D8" w:rsidP="00522539">
      <w:pPr>
        <w:spacing w:line="360" w:lineRule="auto"/>
        <w:jc w:val="both"/>
        <w:rPr>
          <w:rFonts w:asciiTheme="majorHAnsi" w:hAnsiTheme="majorHAnsi" w:cstheme="majorHAnsi"/>
          <w:highlight w:val="yellow"/>
        </w:rPr>
      </w:pPr>
    </w:p>
    <w:p w14:paraId="11386EBE" w14:textId="4AAC0708" w:rsidR="00F93F2B" w:rsidRPr="0089105D" w:rsidRDefault="00F93F2B" w:rsidP="00F93F2B">
      <w:pPr>
        <w:spacing w:line="360" w:lineRule="auto"/>
        <w:jc w:val="both"/>
        <w:rPr>
          <w:rFonts w:ascii="Times New Roman" w:hAnsi="Times New Roman" w:cs="Times New Roman"/>
        </w:rPr>
      </w:pPr>
      <w:r w:rsidRPr="0089105D">
        <w:rPr>
          <w:rFonts w:ascii="Times New Roman" w:hAnsi="Times New Roman" w:cs="Times New Roman"/>
        </w:rPr>
        <w:t>The foundational concept of three-pillared sustainable development has been met with robust criticism from scholars who contend that it masks inherent conflicts between human and natural systems (</w:t>
      </w:r>
      <w:proofErr w:type="spellStart"/>
      <w:r w:rsidRPr="0089105D">
        <w:rPr>
          <w:rFonts w:ascii="Times New Roman" w:hAnsi="Times New Roman" w:cs="Times New Roman"/>
        </w:rPr>
        <w:t>Redclift</w:t>
      </w:r>
      <w:proofErr w:type="spellEnd"/>
      <w:r w:rsidRPr="0089105D">
        <w:rPr>
          <w:rFonts w:ascii="Times New Roman" w:hAnsi="Times New Roman" w:cs="Times New Roman"/>
        </w:rPr>
        <w:t xml:space="preserve">, 2005). This perspective asserts that the economic, social, and environmental pillars are not inherently equal, posing challenges in balancing their priorities. In this vein, Dasgupta (2013) highlights a bias against nature within contemporary development thinking, emphasizing concerns about the unequal value assigned to environmental goals (Dasgupta, 2013, p. 2). Griggs and colleagues (2013) underscore sustainable development as </w:t>
      </w:r>
      <w:r w:rsidR="003703D1" w:rsidRPr="0089105D">
        <w:rPr>
          <w:rFonts w:ascii="Times New Roman" w:hAnsi="Times New Roman" w:cs="Times New Roman"/>
        </w:rPr>
        <w:t>“</w:t>
      </w:r>
      <w:r w:rsidRPr="0089105D">
        <w:rPr>
          <w:rFonts w:ascii="Times New Roman" w:hAnsi="Times New Roman" w:cs="Times New Roman"/>
        </w:rPr>
        <w:t>a development that meets the needs of the present while safeguarding Earth’s life support system, on which the welfare of current and future generations depend</w:t>
      </w:r>
      <w:r w:rsidR="003703D1" w:rsidRPr="0089105D">
        <w:rPr>
          <w:rFonts w:ascii="Times New Roman" w:hAnsi="Times New Roman" w:cs="Times New Roman"/>
        </w:rPr>
        <w:t>.”</w:t>
      </w:r>
      <w:r w:rsidRPr="0089105D">
        <w:rPr>
          <w:rFonts w:ascii="Times New Roman" w:hAnsi="Times New Roman" w:cs="Times New Roman"/>
        </w:rPr>
        <w:t xml:space="preserve"> (Griggs et al., 2013, p. 305)</w:t>
      </w:r>
    </w:p>
    <w:p w14:paraId="3CFD3C20" w14:textId="77777777" w:rsidR="00F93F2B" w:rsidRPr="0089105D" w:rsidRDefault="00F93F2B" w:rsidP="00F93F2B">
      <w:pPr>
        <w:spacing w:line="360" w:lineRule="auto"/>
        <w:jc w:val="both"/>
        <w:rPr>
          <w:rFonts w:ascii="Times New Roman" w:hAnsi="Times New Roman" w:cs="Times New Roman"/>
        </w:rPr>
      </w:pPr>
    </w:p>
    <w:p w14:paraId="59F86DF1" w14:textId="77777777" w:rsidR="00F93F2B" w:rsidRPr="0089105D" w:rsidRDefault="00F93F2B" w:rsidP="00F93F2B">
      <w:pPr>
        <w:spacing w:line="360" w:lineRule="auto"/>
        <w:jc w:val="both"/>
        <w:rPr>
          <w:rFonts w:ascii="Times New Roman" w:hAnsi="Times New Roman" w:cs="Times New Roman"/>
        </w:rPr>
      </w:pPr>
      <w:r w:rsidRPr="0089105D">
        <w:rPr>
          <w:rFonts w:ascii="Times New Roman" w:hAnsi="Times New Roman" w:cs="Times New Roman"/>
        </w:rPr>
        <w:t>The perceived equality of the SDGs representing the three pillars comes into question when examining the numerical disparities between social and environmental goals, revealing an imbalance (</w:t>
      </w:r>
      <w:proofErr w:type="spellStart"/>
      <w:r w:rsidRPr="0089105D">
        <w:rPr>
          <w:rFonts w:ascii="Times New Roman" w:hAnsi="Times New Roman" w:cs="Times New Roman"/>
        </w:rPr>
        <w:t>Asadikia</w:t>
      </w:r>
      <w:proofErr w:type="spellEnd"/>
      <w:r w:rsidRPr="0089105D">
        <w:rPr>
          <w:rFonts w:ascii="Times New Roman" w:hAnsi="Times New Roman" w:cs="Times New Roman"/>
        </w:rPr>
        <w:t xml:space="preserve"> et al., 2021, p. 14). Critics like </w:t>
      </w:r>
      <w:proofErr w:type="spellStart"/>
      <w:r w:rsidRPr="0089105D">
        <w:rPr>
          <w:rFonts w:ascii="Times New Roman" w:hAnsi="Times New Roman" w:cs="Times New Roman"/>
        </w:rPr>
        <w:t>Berrone</w:t>
      </w:r>
      <w:proofErr w:type="spellEnd"/>
      <w:r w:rsidRPr="0089105D">
        <w:rPr>
          <w:rFonts w:ascii="Times New Roman" w:hAnsi="Times New Roman" w:cs="Times New Roman"/>
        </w:rPr>
        <w:t xml:space="preserve"> (2023) argue that SDG 8 is excessively prioritized, disrupting the envisioned balance in the three-pillar framework (</w:t>
      </w:r>
      <w:proofErr w:type="spellStart"/>
      <w:r w:rsidRPr="0089105D">
        <w:rPr>
          <w:rFonts w:ascii="Times New Roman" w:hAnsi="Times New Roman" w:cs="Times New Roman"/>
        </w:rPr>
        <w:t>Berrone</w:t>
      </w:r>
      <w:proofErr w:type="spellEnd"/>
      <w:r w:rsidRPr="0089105D">
        <w:rPr>
          <w:rFonts w:ascii="Times New Roman" w:hAnsi="Times New Roman" w:cs="Times New Roman"/>
        </w:rPr>
        <w:t>, 2023, p. 320). Yang et al. (2020) draw attention to regional variations in SDG priorities, underscoring the need to recognize differing contextual priorities (Yang et al., 2020, p. 320). Eisenmenger et al. (2020) note that the equal value assigned to all SDGs does not reflect their interconnectedness, necessitating an acknowledgment of trade-offs and prioritization based on contextual realities (Eisenmenger et al., 2020, p. 1109).</w:t>
      </w:r>
    </w:p>
    <w:p w14:paraId="2A9E99FB" w14:textId="77777777" w:rsidR="00F93F2B" w:rsidRPr="0089105D" w:rsidRDefault="00F93F2B" w:rsidP="00F93F2B">
      <w:pPr>
        <w:spacing w:line="360" w:lineRule="auto"/>
        <w:jc w:val="both"/>
        <w:rPr>
          <w:rFonts w:ascii="Times New Roman" w:hAnsi="Times New Roman" w:cs="Times New Roman"/>
        </w:rPr>
      </w:pPr>
    </w:p>
    <w:p w14:paraId="21860D73" w14:textId="02E600ED" w:rsidR="00F93F2B" w:rsidRPr="0089105D" w:rsidRDefault="00F93F2B" w:rsidP="00F93F2B">
      <w:pPr>
        <w:spacing w:line="360" w:lineRule="auto"/>
        <w:jc w:val="both"/>
        <w:rPr>
          <w:rFonts w:ascii="Times New Roman" w:hAnsi="Times New Roman" w:cs="Times New Roman"/>
        </w:rPr>
      </w:pPr>
      <w:r w:rsidRPr="0089105D">
        <w:rPr>
          <w:rFonts w:ascii="Times New Roman" w:hAnsi="Times New Roman" w:cs="Times New Roman"/>
        </w:rPr>
        <w:lastRenderedPageBreak/>
        <w:t>Hence, it can be argued that the current concept of sustainability falls short in capturing and representing the interconnected social, economic, and environmental issues comprehensively and accurately. The inefficiency in the sustainability model of SDGs stems from the uneven value assigned to social goals compared to environmental and economic ones, as highlighted by Hickel (2020). With 70% of the SDGs in the social field, an environmental ranking challenge emerges, potentially creating a misleading impression that states excelling in social goals inherently achieve sustainability across all fields. For instance, Sweden, despite ranking high on the SDG index, is considered one of the least environmentally sustainable countries when considering its material footprint (Hickel, 2020).</w:t>
      </w:r>
    </w:p>
    <w:p w14:paraId="4CBE2AE9" w14:textId="77777777" w:rsidR="00F93F2B" w:rsidRPr="0089105D" w:rsidRDefault="00F93F2B" w:rsidP="00F93F2B">
      <w:pPr>
        <w:spacing w:line="360" w:lineRule="auto"/>
        <w:jc w:val="both"/>
        <w:rPr>
          <w:rFonts w:ascii="Times New Roman" w:hAnsi="Times New Roman" w:cs="Times New Roman"/>
        </w:rPr>
      </w:pPr>
    </w:p>
    <w:p w14:paraId="2EBEB165" w14:textId="37C4F47C" w:rsidR="00F93F2B" w:rsidRPr="0089105D" w:rsidRDefault="00F93F2B" w:rsidP="00F93F2B">
      <w:pPr>
        <w:spacing w:line="360" w:lineRule="auto"/>
        <w:jc w:val="both"/>
        <w:rPr>
          <w:rFonts w:ascii="Times New Roman" w:hAnsi="Times New Roman" w:cs="Times New Roman"/>
        </w:rPr>
      </w:pPr>
      <w:r w:rsidRPr="0089105D">
        <w:rPr>
          <w:rFonts w:ascii="Times New Roman" w:hAnsi="Times New Roman" w:cs="Times New Roman"/>
        </w:rPr>
        <w:t xml:space="preserve">In response to these criticisms, the Stockholm Resilience Centre introduced a paradigm shift by restructuring both the SDGs and the sustainability concept into the </w:t>
      </w:r>
      <w:r w:rsidR="003703D1" w:rsidRPr="0089105D">
        <w:rPr>
          <w:rFonts w:ascii="Times New Roman" w:hAnsi="Times New Roman" w:cs="Times New Roman"/>
        </w:rPr>
        <w:t>“</w:t>
      </w:r>
      <w:r w:rsidRPr="0089105D">
        <w:rPr>
          <w:rFonts w:ascii="Times New Roman" w:hAnsi="Times New Roman" w:cs="Times New Roman"/>
        </w:rPr>
        <w:t>wedding cake</w:t>
      </w:r>
      <w:r w:rsidR="003703D1" w:rsidRPr="0089105D">
        <w:rPr>
          <w:rFonts w:ascii="Times New Roman" w:hAnsi="Times New Roman" w:cs="Times New Roman"/>
        </w:rPr>
        <w:t>”</w:t>
      </w:r>
      <w:r w:rsidRPr="0089105D">
        <w:rPr>
          <w:rFonts w:ascii="Times New Roman" w:hAnsi="Times New Roman" w:cs="Times New Roman"/>
        </w:rPr>
        <w:t xml:space="preserve"> model, a layered approach to sustainable development goals (Stockholm Resilience Centre, 2016). This model strategically places goals linked to the environment, particularly the biosphere, as the most fundamental ones on which other goals depend. </w:t>
      </w:r>
      <w:proofErr w:type="spellStart"/>
      <w:r w:rsidRPr="0089105D">
        <w:rPr>
          <w:rFonts w:ascii="Times New Roman" w:hAnsi="Times New Roman" w:cs="Times New Roman"/>
        </w:rPr>
        <w:t>Rockstrom</w:t>
      </w:r>
      <w:proofErr w:type="spellEnd"/>
      <w:r w:rsidRPr="0089105D">
        <w:rPr>
          <w:rFonts w:ascii="Times New Roman" w:hAnsi="Times New Roman" w:cs="Times New Roman"/>
        </w:rPr>
        <w:t xml:space="preserve"> and Sukhdev (2016), the authors of the model, explain that their assumption is to recreate the SDGs to respect planetary boundaries, creating a more conducive environment for achieving the other 16 SDGs. In essence, the "wedding cake" structure portrays the biosphere as the foundation for all 17 SDGs, fostering a comprehensive approach to sustainable development by integrating social, economic, and ecological considerations.</w:t>
      </w:r>
    </w:p>
    <w:p w14:paraId="48D7FC34" w14:textId="77777777" w:rsidR="00244437" w:rsidRDefault="00F93F2B" w:rsidP="00244437">
      <w:pPr>
        <w:pStyle w:val="Caption"/>
        <w:keepNext/>
        <w:rPr>
          <w:rFonts w:asciiTheme="majorHAnsi" w:hAnsiTheme="majorHAnsi" w:cstheme="majorHAnsi"/>
          <w:color w:val="auto"/>
          <w:sz w:val="20"/>
          <w:szCs w:val="20"/>
        </w:rPr>
      </w:pPr>
      <w:r w:rsidRPr="0089105D">
        <w:rPr>
          <w:rFonts w:asciiTheme="majorHAnsi" w:hAnsiTheme="majorHAnsi" w:cstheme="majorHAnsi"/>
          <w:noProof/>
          <w:color w:val="auto"/>
          <w:highlight w:val="yellow"/>
        </w:rPr>
        <w:lastRenderedPageBreak/>
        <w:drawing>
          <wp:inline distT="0" distB="0" distL="0" distR="0" wp14:anchorId="43D3BC33" wp14:editId="318F3C31">
            <wp:extent cx="4741333" cy="3090477"/>
            <wp:effectExtent l="0" t="0" r="2540" b="0"/>
            <wp:docPr id="3" name="Picture 3" descr="Contributions to Agenda 2030 - Stockholm Resilience Cent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ntributions to Agenda 2030 - Stockholm Resilience Centre"/>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4754720" cy="3099203"/>
                    </a:xfrm>
                    <a:prstGeom prst="rect">
                      <a:avLst/>
                    </a:prstGeom>
                    <a:noFill/>
                    <a:ln>
                      <a:noFill/>
                    </a:ln>
                  </pic:spPr>
                </pic:pic>
              </a:graphicData>
            </a:graphic>
          </wp:inline>
        </w:drawing>
      </w:r>
      <w:bookmarkStart w:id="104" w:name="_Toc153091222"/>
      <w:bookmarkStart w:id="105" w:name="_Toc153169558"/>
      <w:r w:rsidR="00244437" w:rsidRPr="00244437">
        <w:rPr>
          <w:rFonts w:asciiTheme="majorHAnsi" w:hAnsiTheme="majorHAnsi" w:cstheme="majorHAnsi"/>
          <w:color w:val="auto"/>
          <w:sz w:val="20"/>
          <w:szCs w:val="20"/>
        </w:rPr>
        <w:t xml:space="preserve"> </w:t>
      </w:r>
    </w:p>
    <w:p w14:paraId="652EB898" w14:textId="7B5A0DFF" w:rsidR="00244437" w:rsidRPr="0089105D" w:rsidRDefault="00244437" w:rsidP="00244437">
      <w:pPr>
        <w:pStyle w:val="Caption"/>
        <w:keepNext/>
        <w:rPr>
          <w:rFonts w:asciiTheme="majorHAnsi" w:hAnsiTheme="majorHAnsi" w:cstheme="majorHAnsi"/>
          <w:color w:val="auto"/>
          <w:sz w:val="20"/>
          <w:szCs w:val="20"/>
        </w:rPr>
      </w:pPr>
      <w:r w:rsidRPr="0089105D">
        <w:rPr>
          <w:rFonts w:asciiTheme="majorHAnsi" w:hAnsiTheme="majorHAnsi" w:cstheme="majorHAnsi"/>
          <w:color w:val="auto"/>
          <w:sz w:val="20"/>
          <w:szCs w:val="20"/>
        </w:rPr>
        <w:t xml:space="preserve">Table </w:t>
      </w:r>
      <w:r w:rsidRPr="0089105D">
        <w:rPr>
          <w:rFonts w:asciiTheme="majorHAnsi" w:hAnsiTheme="majorHAnsi" w:cstheme="majorHAnsi"/>
          <w:color w:val="auto"/>
          <w:sz w:val="20"/>
          <w:szCs w:val="20"/>
        </w:rPr>
        <w:fldChar w:fldCharType="begin"/>
      </w:r>
      <w:r w:rsidRPr="0089105D">
        <w:rPr>
          <w:rFonts w:asciiTheme="majorHAnsi" w:hAnsiTheme="majorHAnsi" w:cstheme="majorHAnsi"/>
          <w:color w:val="auto"/>
          <w:sz w:val="20"/>
          <w:szCs w:val="20"/>
        </w:rPr>
        <w:instrText xml:space="preserve"> SEQ Table \* ARABIC </w:instrText>
      </w:r>
      <w:r w:rsidRPr="0089105D">
        <w:rPr>
          <w:rFonts w:asciiTheme="majorHAnsi" w:hAnsiTheme="majorHAnsi" w:cstheme="majorHAnsi"/>
          <w:color w:val="auto"/>
          <w:sz w:val="20"/>
          <w:szCs w:val="20"/>
        </w:rPr>
        <w:fldChar w:fldCharType="separate"/>
      </w:r>
      <w:r w:rsidRPr="0089105D">
        <w:rPr>
          <w:rFonts w:asciiTheme="majorHAnsi" w:hAnsiTheme="majorHAnsi" w:cstheme="majorHAnsi"/>
          <w:noProof/>
          <w:color w:val="auto"/>
          <w:sz w:val="20"/>
          <w:szCs w:val="20"/>
        </w:rPr>
        <w:t>18</w:t>
      </w:r>
      <w:r w:rsidRPr="0089105D">
        <w:rPr>
          <w:rFonts w:asciiTheme="majorHAnsi" w:hAnsiTheme="majorHAnsi" w:cstheme="majorHAnsi"/>
          <w:color w:val="auto"/>
          <w:sz w:val="20"/>
          <w:szCs w:val="20"/>
        </w:rPr>
        <w:fldChar w:fldCharType="end"/>
      </w:r>
      <w:r w:rsidRPr="0089105D">
        <w:rPr>
          <w:rFonts w:asciiTheme="majorHAnsi" w:hAnsiTheme="majorHAnsi" w:cstheme="majorHAnsi"/>
          <w:color w:val="auto"/>
          <w:sz w:val="20"/>
          <w:szCs w:val="20"/>
        </w:rPr>
        <w:t xml:space="preserve"> The SDG wedding cake, this table visually represents a theory by Stockholm resilience center (2016), which highlights that the fulfillment of environmental SDGs is prerequisite for fulfillment of non-environmental SDGs.</w:t>
      </w:r>
      <w:bookmarkEnd w:id="104"/>
      <w:bookmarkEnd w:id="105"/>
    </w:p>
    <w:p w14:paraId="64A84781" w14:textId="4C6C94B5" w:rsidR="00F93F2B" w:rsidRPr="0089105D" w:rsidRDefault="00F93F2B" w:rsidP="00F93F2B">
      <w:pPr>
        <w:spacing w:line="360" w:lineRule="auto"/>
        <w:ind w:firstLine="360"/>
        <w:jc w:val="both"/>
        <w:rPr>
          <w:rFonts w:ascii="Times New Roman" w:hAnsi="Times New Roman" w:cs="Times New Roman"/>
        </w:rPr>
      </w:pPr>
    </w:p>
    <w:p w14:paraId="2A5E9217" w14:textId="77777777" w:rsidR="00F93F2B" w:rsidRPr="0089105D" w:rsidRDefault="00F93F2B" w:rsidP="00F93F2B">
      <w:pPr>
        <w:spacing w:line="360" w:lineRule="auto"/>
        <w:jc w:val="both"/>
        <w:rPr>
          <w:rFonts w:ascii="Times New Roman" w:hAnsi="Times New Roman" w:cs="Times New Roman"/>
        </w:rPr>
      </w:pPr>
    </w:p>
    <w:p w14:paraId="5FBA092E" w14:textId="77777777" w:rsidR="00F93F2B" w:rsidRPr="0089105D" w:rsidRDefault="00F93F2B" w:rsidP="00F93F2B">
      <w:pPr>
        <w:spacing w:line="360" w:lineRule="auto"/>
        <w:jc w:val="both"/>
        <w:rPr>
          <w:rFonts w:ascii="Times New Roman" w:hAnsi="Times New Roman" w:cs="Times New Roman"/>
        </w:rPr>
      </w:pPr>
    </w:p>
    <w:p w14:paraId="2BB97FC1" w14:textId="77777777" w:rsidR="00F93F2B" w:rsidRPr="0089105D" w:rsidRDefault="00F93F2B" w:rsidP="00F93F2B">
      <w:pPr>
        <w:spacing w:line="360" w:lineRule="auto"/>
        <w:jc w:val="both"/>
        <w:rPr>
          <w:rFonts w:ascii="Times New Roman" w:hAnsi="Times New Roman" w:cs="Times New Roman"/>
        </w:rPr>
      </w:pPr>
      <w:r w:rsidRPr="0089105D">
        <w:rPr>
          <w:rFonts w:ascii="Times New Roman" w:hAnsi="Times New Roman" w:cs="Times New Roman"/>
        </w:rPr>
        <w:t xml:space="preserve">This paradigm suggests that environmental SDGs play a crucial role in creating an enabling environment for the fulfillment of other SDGs. This viewpoint is reiterated in a report by UNICEF Jordan (2019), explicitly stating, “All the SDGs are of importance; however, it is imperative to remember that our societies and economies are based on what the biosphere can offer us in terms of water, biomass, a functioning climate, and healthy oceans. Without achieving the following SDGs: SDG 6 Clean Water and Sanitation; SDG 13 Climate Action; SDG 14 Life below Water; and SDG 15 Life on Land, we do not have a basis to build thriving societies with resilient functioning economies that can nurture, protect, and safeguard children” (UNICEF Jordan, 2019, p. 23). </w:t>
      </w:r>
    </w:p>
    <w:p w14:paraId="301B82D4" w14:textId="77777777" w:rsidR="00F93F2B" w:rsidRPr="0089105D" w:rsidRDefault="00F93F2B" w:rsidP="00F93F2B">
      <w:pPr>
        <w:spacing w:line="360" w:lineRule="auto"/>
        <w:jc w:val="both"/>
        <w:rPr>
          <w:rFonts w:ascii="Times New Roman" w:hAnsi="Times New Roman" w:cs="Times New Roman"/>
        </w:rPr>
      </w:pPr>
    </w:p>
    <w:p w14:paraId="2C057FC2" w14:textId="77777777" w:rsidR="00F93F2B" w:rsidRPr="0089105D" w:rsidRDefault="00F93F2B" w:rsidP="00F93F2B">
      <w:pPr>
        <w:spacing w:line="360" w:lineRule="auto"/>
        <w:jc w:val="both"/>
        <w:rPr>
          <w:rFonts w:ascii="Times New Roman" w:hAnsi="Times New Roman" w:cs="Times New Roman"/>
        </w:rPr>
      </w:pPr>
    </w:p>
    <w:p w14:paraId="26CC1B92" w14:textId="5C4E28FF" w:rsidR="00F93F2B" w:rsidRPr="0089105D" w:rsidRDefault="00F93F2B" w:rsidP="00F93F2B">
      <w:pPr>
        <w:spacing w:line="360" w:lineRule="auto"/>
        <w:jc w:val="both"/>
        <w:rPr>
          <w:rFonts w:ascii="Times New Roman" w:hAnsi="Times New Roman" w:cs="Times New Roman"/>
        </w:rPr>
      </w:pPr>
      <w:r w:rsidRPr="0089105D">
        <w:rPr>
          <w:rFonts w:ascii="Times New Roman" w:hAnsi="Times New Roman" w:cs="Times New Roman"/>
        </w:rPr>
        <w:t xml:space="preserve">Based on the evidence above and given the environmentally and socially detrimental effect of climate change, one could say that fulfilling SDG 13 and mitigating climate change, should </w:t>
      </w:r>
      <w:r w:rsidR="00201661" w:rsidRPr="0089105D">
        <w:rPr>
          <w:rFonts w:ascii="Times New Roman" w:hAnsi="Times New Roman" w:cs="Times New Roman"/>
        </w:rPr>
        <w:t xml:space="preserve">be the top priority of states. </w:t>
      </w:r>
      <w:r w:rsidRPr="0089105D">
        <w:rPr>
          <w:rFonts w:ascii="Times New Roman" w:hAnsi="Times New Roman" w:cs="Times New Roman"/>
        </w:rPr>
        <w:t>These premises can be further illustrated through specific case studies</w:t>
      </w:r>
      <w:r w:rsidR="00201661" w:rsidRPr="0089105D">
        <w:rPr>
          <w:rFonts w:ascii="Times New Roman" w:hAnsi="Times New Roman" w:cs="Times New Roman"/>
        </w:rPr>
        <w:t xml:space="preserve"> which demonstrate the way negative climate change effects are undermining fulfillment of other SDGs. </w:t>
      </w:r>
    </w:p>
    <w:p w14:paraId="7F4A859B" w14:textId="77777777" w:rsidR="00F93F2B" w:rsidRPr="0089105D" w:rsidRDefault="00F93F2B" w:rsidP="00F93F2B">
      <w:pPr>
        <w:pStyle w:val="Heading2"/>
        <w:rPr>
          <w:rFonts w:ascii="Times New Roman" w:hAnsi="Times New Roman" w:cs="Times New Roman"/>
          <w:color w:val="auto"/>
          <w:sz w:val="28"/>
          <w:szCs w:val="28"/>
          <w:highlight w:val="yellow"/>
        </w:rPr>
      </w:pPr>
    </w:p>
    <w:p w14:paraId="68F475C8" w14:textId="77777777" w:rsidR="00F93F2B" w:rsidRPr="0089105D" w:rsidRDefault="00F93F2B" w:rsidP="00F93F2B">
      <w:pPr>
        <w:rPr>
          <w:rFonts w:ascii="Times New Roman" w:hAnsi="Times New Roman" w:cs="Times New Roman"/>
          <w:i/>
          <w:iCs/>
          <w:highlight w:val="yellow"/>
        </w:rPr>
      </w:pPr>
      <w:r w:rsidRPr="0089105D">
        <w:rPr>
          <w:rFonts w:ascii="Times New Roman" w:hAnsi="Times New Roman" w:cs="Times New Roman"/>
          <w:highlight w:val="yellow"/>
          <w:lang w:val="en-GB"/>
        </w:rPr>
        <w:t xml:space="preserve"> </w:t>
      </w:r>
    </w:p>
    <w:p w14:paraId="1D4422C2" w14:textId="77777777" w:rsidR="00501463" w:rsidRPr="0089105D" w:rsidRDefault="00501463" w:rsidP="00501463">
      <w:pPr>
        <w:pStyle w:val="Heading2"/>
        <w:rPr>
          <w:rFonts w:cstheme="majorHAnsi"/>
          <w:b/>
          <w:bCs/>
          <w:color w:val="auto"/>
          <w:lang w:val="en-GB"/>
        </w:rPr>
      </w:pPr>
      <w:bookmarkStart w:id="106" w:name="_Toc132266326"/>
      <w:bookmarkStart w:id="107" w:name="_Toc153142483"/>
      <w:bookmarkStart w:id="108" w:name="_Toc153187412"/>
      <w:bookmarkEnd w:id="102"/>
      <w:r w:rsidRPr="0089105D">
        <w:rPr>
          <w:rFonts w:cstheme="majorHAnsi"/>
          <w:b/>
          <w:bCs/>
          <w:color w:val="auto"/>
        </w:rPr>
        <w:t xml:space="preserve">Case study 1: Deepening gender inequality in </w:t>
      </w:r>
      <w:r w:rsidRPr="0089105D">
        <w:rPr>
          <w:rFonts w:cstheme="majorHAnsi"/>
          <w:b/>
          <w:bCs/>
          <w:color w:val="auto"/>
          <w:lang w:val="en-GB"/>
        </w:rPr>
        <w:t>North-eastern Ghana (SDG 5)</w:t>
      </w:r>
      <w:bookmarkEnd w:id="106"/>
      <w:bookmarkEnd w:id="107"/>
      <w:bookmarkEnd w:id="108"/>
      <w:r w:rsidRPr="0089105D">
        <w:rPr>
          <w:rFonts w:cstheme="majorHAnsi"/>
          <w:b/>
          <w:bCs/>
          <w:color w:val="auto"/>
          <w:lang w:val="en-GB"/>
        </w:rPr>
        <w:t xml:space="preserve"> </w:t>
      </w:r>
    </w:p>
    <w:p w14:paraId="59F62785" w14:textId="77777777" w:rsidR="00501463" w:rsidRPr="0089105D" w:rsidRDefault="00501463" w:rsidP="00501463">
      <w:pPr>
        <w:rPr>
          <w:rFonts w:asciiTheme="majorHAnsi" w:hAnsiTheme="majorHAnsi" w:cstheme="majorHAnsi"/>
          <w:lang w:val="en-GB"/>
        </w:rPr>
      </w:pPr>
    </w:p>
    <w:p w14:paraId="5356F840" w14:textId="3FC71DA6" w:rsidR="00501463" w:rsidRPr="0089105D" w:rsidRDefault="00501463" w:rsidP="008526E5">
      <w:pPr>
        <w:spacing w:line="360" w:lineRule="auto"/>
        <w:jc w:val="both"/>
        <w:rPr>
          <w:rFonts w:asciiTheme="majorHAnsi" w:hAnsiTheme="majorHAnsi" w:cstheme="majorHAnsi"/>
        </w:rPr>
      </w:pPr>
      <w:r w:rsidRPr="0089105D">
        <w:rPr>
          <w:rFonts w:asciiTheme="majorHAnsi" w:hAnsiTheme="majorHAnsi" w:cstheme="majorHAnsi"/>
        </w:rPr>
        <w:t xml:space="preserve">A growing number of </w:t>
      </w:r>
      <w:r w:rsidR="00201661" w:rsidRPr="0089105D">
        <w:rPr>
          <w:rFonts w:asciiTheme="majorHAnsi" w:hAnsiTheme="majorHAnsi" w:cstheme="majorHAnsi"/>
        </w:rPr>
        <w:t xml:space="preserve">literature </w:t>
      </w:r>
      <w:r w:rsidRPr="0089105D">
        <w:rPr>
          <w:rFonts w:asciiTheme="majorHAnsi" w:hAnsiTheme="majorHAnsi" w:cstheme="majorHAnsi"/>
        </w:rPr>
        <w:t xml:space="preserve">highlights the way climate change undermines gender equality. For instance, UN WOMEN </w:t>
      </w:r>
      <w:r w:rsidRPr="0089105D">
        <w:rPr>
          <w:rFonts w:asciiTheme="majorHAnsi" w:hAnsiTheme="majorHAnsi" w:cstheme="majorHAnsi"/>
          <w:lang w:val="en-GB"/>
        </w:rPr>
        <w:t xml:space="preserve">(2022) </w:t>
      </w:r>
      <w:r w:rsidRPr="0089105D">
        <w:rPr>
          <w:rFonts w:asciiTheme="majorHAnsi" w:hAnsiTheme="majorHAnsi" w:cstheme="majorHAnsi"/>
        </w:rPr>
        <w:t>highlights that women are usually more dependent, albeit do not have access to natural resources.</w:t>
      </w:r>
      <w:r w:rsidRPr="0089105D">
        <w:rPr>
          <w:rFonts w:asciiTheme="majorHAnsi" w:hAnsiTheme="majorHAnsi" w:cstheme="majorHAnsi"/>
          <w:lang w:val="en-GB"/>
        </w:rPr>
        <w:t xml:space="preserve"> (UN WOMEN, 2022)</w:t>
      </w:r>
      <w:r w:rsidRPr="0089105D">
        <w:rPr>
          <w:rFonts w:asciiTheme="majorHAnsi" w:hAnsiTheme="majorHAnsi" w:cstheme="majorHAnsi"/>
        </w:rPr>
        <w:t xml:space="preserve"> This statement also could be underlined by another factor, namely women being the most frequently responsible for</w:t>
      </w:r>
      <w:r w:rsidRPr="0089105D">
        <w:rPr>
          <w:rFonts w:asciiTheme="majorHAnsi" w:hAnsiTheme="majorHAnsi" w:cstheme="majorHAnsi"/>
          <w:lang w:val="en-GB"/>
        </w:rPr>
        <w:t xml:space="preserve"> water collection and household maintenance. </w:t>
      </w:r>
      <w:r w:rsidRPr="0089105D">
        <w:rPr>
          <w:rFonts w:asciiTheme="majorHAnsi" w:hAnsiTheme="majorHAnsi" w:cstheme="majorHAnsi"/>
        </w:rPr>
        <w:t xml:space="preserve"> </w:t>
      </w:r>
    </w:p>
    <w:p w14:paraId="35F3EC43" w14:textId="77777777" w:rsidR="008526E5" w:rsidRPr="0089105D" w:rsidRDefault="008526E5" w:rsidP="008526E5">
      <w:pPr>
        <w:spacing w:line="360" w:lineRule="auto"/>
        <w:jc w:val="both"/>
        <w:rPr>
          <w:rFonts w:asciiTheme="majorHAnsi" w:hAnsiTheme="majorHAnsi" w:cstheme="majorHAnsi"/>
        </w:rPr>
      </w:pPr>
    </w:p>
    <w:p w14:paraId="4A7E8E69" w14:textId="2B88B0D0" w:rsidR="00501463" w:rsidRPr="0089105D" w:rsidRDefault="00501463" w:rsidP="008526E5">
      <w:pPr>
        <w:spacing w:line="360" w:lineRule="auto"/>
        <w:jc w:val="both"/>
        <w:rPr>
          <w:rFonts w:asciiTheme="majorHAnsi" w:hAnsiTheme="majorHAnsi" w:cstheme="majorHAnsi"/>
          <w:lang w:val="en-GB"/>
        </w:rPr>
      </w:pPr>
      <w:r w:rsidRPr="0089105D">
        <w:rPr>
          <w:rFonts w:asciiTheme="majorHAnsi" w:hAnsiTheme="majorHAnsi" w:cstheme="majorHAnsi"/>
        </w:rPr>
        <w:t xml:space="preserve">On that note, Eastin </w:t>
      </w:r>
      <w:r w:rsidRPr="0089105D">
        <w:rPr>
          <w:rFonts w:asciiTheme="majorHAnsi" w:hAnsiTheme="majorHAnsi" w:cstheme="majorHAnsi"/>
          <w:lang w:val="en-GB"/>
        </w:rPr>
        <w:t xml:space="preserve">(2018) </w:t>
      </w:r>
      <w:r w:rsidRPr="0089105D">
        <w:rPr>
          <w:rFonts w:asciiTheme="majorHAnsi" w:hAnsiTheme="majorHAnsi" w:cstheme="majorHAnsi"/>
        </w:rPr>
        <w:t>highlights the high extent to which women are prone to environmentally detrimental effects of climate change, and “the gender disparities in climate change vulnerability not only reflect pre-existing gender inequalities, but also reinforce them.”</w:t>
      </w:r>
      <w:r w:rsidRPr="0089105D">
        <w:rPr>
          <w:rFonts w:asciiTheme="majorHAnsi" w:hAnsiTheme="majorHAnsi" w:cstheme="majorHAnsi"/>
          <w:lang w:val="en-GB"/>
        </w:rPr>
        <w:t xml:space="preserve"> (Eastin, 2018, p. 293-298) </w:t>
      </w:r>
      <w:r w:rsidRPr="0089105D">
        <w:rPr>
          <w:rFonts w:asciiTheme="majorHAnsi" w:hAnsiTheme="majorHAnsi" w:cstheme="majorHAnsi"/>
        </w:rPr>
        <w:t>This</w:t>
      </w:r>
      <w:r w:rsidRPr="0089105D">
        <w:rPr>
          <w:rFonts w:asciiTheme="majorHAnsi" w:hAnsiTheme="majorHAnsi" w:cstheme="majorHAnsi"/>
          <w:lang w:val="en-GB"/>
        </w:rPr>
        <w:t xml:space="preserve"> could be demonstrated further on the following case study. </w:t>
      </w:r>
      <w:r w:rsidRPr="0089105D">
        <w:rPr>
          <w:rFonts w:asciiTheme="majorHAnsi" w:hAnsiTheme="majorHAnsi" w:cstheme="majorHAnsi"/>
        </w:rPr>
        <w:t xml:space="preserve">As </w:t>
      </w:r>
      <w:proofErr w:type="spellStart"/>
      <w:r w:rsidRPr="0089105D">
        <w:rPr>
          <w:rFonts w:asciiTheme="majorHAnsi" w:hAnsiTheme="majorHAnsi" w:cstheme="majorHAnsi"/>
          <w:lang w:val="en-GB"/>
        </w:rPr>
        <w:t>Glazenbrook</w:t>
      </w:r>
      <w:proofErr w:type="spellEnd"/>
      <w:r w:rsidRPr="0089105D">
        <w:rPr>
          <w:rFonts w:asciiTheme="majorHAnsi" w:hAnsiTheme="majorHAnsi" w:cstheme="majorHAnsi"/>
          <w:lang w:val="en-GB"/>
        </w:rPr>
        <w:t xml:space="preserve"> (2011) explains when </w:t>
      </w:r>
      <w:r w:rsidRPr="0089105D">
        <w:rPr>
          <w:rFonts w:asciiTheme="majorHAnsi" w:hAnsiTheme="majorHAnsi" w:cstheme="majorHAnsi"/>
        </w:rPr>
        <w:t>climate change intensifies, women may have to take on additional unpaid care work, such as caring for sick family members, tending to crops and livestock, and collecting water and firewood. This can lead to increased time poverty, limiting women's opportunities to pursue education, work, and other activities outside the home.</w:t>
      </w:r>
      <w:r w:rsidRPr="0089105D">
        <w:rPr>
          <w:rFonts w:asciiTheme="majorHAnsi" w:hAnsiTheme="majorHAnsi" w:cstheme="majorHAnsi"/>
          <w:lang w:val="en-GB"/>
        </w:rPr>
        <w:t xml:space="preserve"> His analysis was based on data collection in </w:t>
      </w:r>
      <w:proofErr w:type="spellStart"/>
      <w:r w:rsidRPr="0089105D">
        <w:rPr>
          <w:rFonts w:asciiTheme="majorHAnsi" w:hAnsiTheme="majorHAnsi" w:cstheme="majorHAnsi"/>
          <w:lang w:val="en-GB"/>
        </w:rPr>
        <w:t>Northeastrn</w:t>
      </w:r>
      <w:proofErr w:type="spellEnd"/>
      <w:r w:rsidRPr="0089105D">
        <w:rPr>
          <w:rFonts w:asciiTheme="majorHAnsi" w:hAnsiTheme="majorHAnsi" w:cstheme="majorHAnsi"/>
          <w:lang w:val="en-GB"/>
        </w:rPr>
        <w:t xml:space="preserve"> Ghana where women were not able to access basic services such as education and subsequent work and were left in an extreme poverty. (</w:t>
      </w:r>
      <w:proofErr w:type="spellStart"/>
      <w:r w:rsidRPr="0089105D">
        <w:rPr>
          <w:rFonts w:asciiTheme="majorHAnsi" w:hAnsiTheme="majorHAnsi" w:cstheme="majorHAnsi"/>
          <w:lang w:val="en-GB"/>
        </w:rPr>
        <w:t>Glazenbrook</w:t>
      </w:r>
      <w:proofErr w:type="spellEnd"/>
      <w:r w:rsidRPr="0089105D">
        <w:rPr>
          <w:rFonts w:asciiTheme="majorHAnsi" w:hAnsiTheme="majorHAnsi" w:cstheme="majorHAnsi"/>
          <w:lang w:val="en-GB"/>
        </w:rPr>
        <w:t xml:space="preserve">, 2011, p. 775) </w:t>
      </w:r>
    </w:p>
    <w:p w14:paraId="5BD7CF15" w14:textId="77777777" w:rsidR="008526E5" w:rsidRPr="0089105D" w:rsidRDefault="008526E5" w:rsidP="008526E5">
      <w:pPr>
        <w:spacing w:line="360" w:lineRule="auto"/>
        <w:jc w:val="both"/>
        <w:rPr>
          <w:rFonts w:asciiTheme="majorHAnsi" w:hAnsiTheme="majorHAnsi" w:cstheme="majorHAnsi"/>
          <w:lang w:val="en-GB"/>
        </w:rPr>
      </w:pPr>
    </w:p>
    <w:p w14:paraId="742A1FD8" w14:textId="69BB91DE" w:rsidR="00501463" w:rsidRPr="0089105D" w:rsidRDefault="00501463" w:rsidP="008526E5">
      <w:pPr>
        <w:spacing w:line="360" w:lineRule="auto"/>
        <w:jc w:val="both"/>
        <w:rPr>
          <w:rFonts w:asciiTheme="majorHAnsi" w:hAnsiTheme="majorHAnsi" w:cstheme="majorHAnsi"/>
          <w:lang w:val="en-GB"/>
        </w:rPr>
      </w:pPr>
      <w:r w:rsidRPr="0089105D">
        <w:rPr>
          <w:rFonts w:asciiTheme="majorHAnsi" w:hAnsiTheme="majorHAnsi" w:cstheme="majorHAnsi"/>
          <w:lang w:val="en-GB"/>
        </w:rPr>
        <w:t>Another dimension to which climate change undermines SDG 5 is gender dimension of climate migration. Due to numerous natural hazards, c</w:t>
      </w:r>
      <w:proofErr w:type="spellStart"/>
      <w:r w:rsidRPr="0089105D">
        <w:rPr>
          <w:rFonts w:asciiTheme="majorHAnsi" w:hAnsiTheme="majorHAnsi" w:cstheme="majorHAnsi"/>
        </w:rPr>
        <w:t>limate</w:t>
      </w:r>
      <w:proofErr w:type="spellEnd"/>
      <w:r w:rsidRPr="0089105D">
        <w:rPr>
          <w:rFonts w:asciiTheme="majorHAnsi" w:hAnsiTheme="majorHAnsi" w:cstheme="majorHAnsi"/>
        </w:rPr>
        <w:t xml:space="preserve"> change can lead to displacement and migration, which can have differential impacts on women and men. Women and girls may face additional risks and challenges during migration, such as increased risk of sexual violence, restricted mobility, and limited access to healthcare.</w:t>
      </w:r>
      <w:r w:rsidRPr="0089105D">
        <w:rPr>
          <w:rFonts w:asciiTheme="majorHAnsi" w:hAnsiTheme="majorHAnsi" w:cstheme="majorHAnsi"/>
          <w:lang w:val="en-GB"/>
        </w:rPr>
        <w:t xml:space="preserve"> This could thereby, undermine not only SDG 5, but multiple, such as SDG 4, SDG 3, SDG 2, SDG 1 and SDG 10. (Lama, 2019, p. 354)</w:t>
      </w:r>
    </w:p>
    <w:p w14:paraId="0F14892C" w14:textId="77777777" w:rsidR="00501463" w:rsidRPr="0089105D" w:rsidRDefault="00501463" w:rsidP="00501463">
      <w:pPr>
        <w:spacing w:line="360" w:lineRule="auto"/>
        <w:jc w:val="both"/>
        <w:rPr>
          <w:rFonts w:asciiTheme="majorHAnsi" w:hAnsiTheme="majorHAnsi" w:cstheme="majorHAnsi"/>
        </w:rPr>
      </w:pPr>
    </w:p>
    <w:p w14:paraId="21DF1F73" w14:textId="77777777" w:rsidR="00501463" w:rsidRPr="0089105D" w:rsidRDefault="00501463" w:rsidP="004A5250">
      <w:pPr>
        <w:pStyle w:val="Heading2"/>
        <w:rPr>
          <w:rFonts w:cstheme="majorHAnsi"/>
          <w:b/>
          <w:bCs/>
          <w:color w:val="auto"/>
          <w:lang w:val="en-GB"/>
        </w:rPr>
      </w:pPr>
      <w:bookmarkStart w:id="109" w:name="_Toc132266327"/>
      <w:bookmarkStart w:id="110" w:name="_Toc153142484"/>
      <w:bookmarkStart w:id="111" w:name="_Toc153187413"/>
      <w:r w:rsidRPr="0089105D">
        <w:rPr>
          <w:rFonts w:cstheme="majorHAnsi"/>
          <w:b/>
          <w:bCs/>
          <w:color w:val="auto"/>
        </w:rPr>
        <w:t xml:space="preserve">Case study 2: Worsening the access to safe water due to climate change in Jordan </w:t>
      </w:r>
      <w:r w:rsidRPr="0089105D">
        <w:rPr>
          <w:rFonts w:cstheme="majorHAnsi"/>
          <w:b/>
          <w:bCs/>
          <w:color w:val="auto"/>
          <w:lang w:val="en-GB"/>
        </w:rPr>
        <w:t>(SDG 6)</w:t>
      </w:r>
      <w:bookmarkEnd w:id="109"/>
      <w:bookmarkEnd w:id="110"/>
      <w:bookmarkEnd w:id="111"/>
    </w:p>
    <w:p w14:paraId="33F575C5" w14:textId="77777777" w:rsidR="008526E5" w:rsidRPr="0089105D" w:rsidRDefault="008526E5" w:rsidP="008526E5">
      <w:pPr>
        <w:spacing w:line="360" w:lineRule="auto"/>
        <w:jc w:val="both"/>
        <w:rPr>
          <w:rFonts w:asciiTheme="majorHAnsi" w:hAnsiTheme="majorHAnsi" w:cstheme="majorHAnsi"/>
        </w:rPr>
      </w:pPr>
    </w:p>
    <w:p w14:paraId="5A2C51A7" w14:textId="7496952E" w:rsidR="00501463" w:rsidRPr="0089105D" w:rsidRDefault="00501463" w:rsidP="008526E5">
      <w:pPr>
        <w:spacing w:line="360" w:lineRule="auto"/>
        <w:jc w:val="both"/>
        <w:rPr>
          <w:rFonts w:asciiTheme="majorHAnsi" w:hAnsiTheme="majorHAnsi" w:cstheme="majorHAnsi"/>
          <w:lang w:val="en-GB"/>
        </w:rPr>
      </w:pPr>
      <w:r w:rsidRPr="0089105D">
        <w:rPr>
          <w:rFonts w:asciiTheme="majorHAnsi" w:hAnsiTheme="majorHAnsi" w:cstheme="majorHAnsi"/>
        </w:rPr>
        <w:t xml:space="preserve">Another fitting example on which the higher salience of tackling environmental SDGs with soaring priority can be demonstrated on decreased access to safe water due to extreme </w:t>
      </w:r>
      <w:r w:rsidRPr="0089105D">
        <w:rPr>
          <w:rFonts w:asciiTheme="majorHAnsi" w:hAnsiTheme="majorHAnsi" w:cstheme="majorHAnsi"/>
        </w:rPr>
        <w:lastRenderedPageBreak/>
        <w:t xml:space="preserve">temperatures, a natural hazard that is driven by climate change. The access to safe and clean water can be found under SDG number 6, and apart from sustainable water management, one can find access to safe drinking water and sanitation for all. Yet, the extreme temperatures, minimal </w:t>
      </w:r>
      <w:r w:rsidR="003703D1" w:rsidRPr="0089105D">
        <w:rPr>
          <w:rFonts w:asciiTheme="majorHAnsi" w:hAnsiTheme="majorHAnsi" w:cstheme="majorHAnsi"/>
        </w:rPr>
        <w:t>precipitation,</w:t>
      </w:r>
      <w:r w:rsidRPr="0089105D">
        <w:rPr>
          <w:rFonts w:asciiTheme="majorHAnsi" w:hAnsiTheme="majorHAnsi" w:cstheme="majorHAnsi"/>
        </w:rPr>
        <w:t xml:space="preserve"> and inability of groundwater basins to replenish tremendously undermine the efforts to make “clean water for all.” According to a recent report by the Economist Impact, “the impacts of climate change effect on water stress are among the key risks to long-term growth in Jordan, exacerbating already difficult economic situation the country faces.” (</w:t>
      </w:r>
      <w:r w:rsidRPr="0089105D">
        <w:rPr>
          <w:rFonts w:asciiTheme="majorHAnsi" w:hAnsiTheme="majorHAnsi" w:cstheme="majorHAnsi"/>
          <w:lang w:val="cs-CZ"/>
        </w:rPr>
        <w:t xml:space="preserve">The </w:t>
      </w:r>
      <w:r w:rsidRPr="0089105D">
        <w:rPr>
          <w:rFonts w:asciiTheme="majorHAnsi" w:hAnsiTheme="majorHAnsi" w:cstheme="majorHAnsi"/>
          <w:lang w:val="en-GB"/>
        </w:rPr>
        <w:t>Economist’s Impact, 2022, p. 95-97)</w:t>
      </w:r>
      <w:r w:rsidRPr="0089105D">
        <w:rPr>
          <w:rFonts w:asciiTheme="majorHAnsi" w:hAnsiTheme="majorHAnsi" w:cstheme="majorHAnsi"/>
        </w:rPr>
        <w:t xml:space="preserve"> On that note, apart from economic growth and hence, inability to end poverty, there are numerous studies analyzing the negative effects of water stress in further sectors in Jordan, such as the agriculture leading to food insecurity, higher percentage of infant mortality or for instance education attainment by girls. UNICEF Jordan conducted detailed research regarding water stress and its role in increase of gender inequality and the findings revealed that due to increasing water stress, women and girls are unable to either work or study, especially if menstruating or pregnant, because the lack of water does not provide an enabling environment for them to menstruate in educational premises or at their workplaces. Therefore, one can observe that the water stress induced by climate change hampers the fulfilment of SDGs further, especially those related to economic growth, gender equality, no hunger and health and well-being. </w:t>
      </w:r>
      <w:r w:rsidRPr="0089105D">
        <w:rPr>
          <w:rFonts w:asciiTheme="majorHAnsi" w:hAnsiTheme="majorHAnsi" w:cstheme="majorHAnsi"/>
          <w:lang w:val="en-GB"/>
        </w:rPr>
        <w:t xml:space="preserve">(UNICEF, 2019, p. 61-64) </w:t>
      </w:r>
    </w:p>
    <w:p w14:paraId="71456675" w14:textId="77777777" w:rsidR="00501463" w:rsidRPr="0089105D" w:rsidRDefault="00501463" w:rsidP="00501463">
      <w:pPr>
        <w:spacing w:line="360" w:lineRule="auto"/>
        <w:jc w:val="both"/>
        <w:rPr>
          <w:rFonts w:asciiTheme="majorHAnsi" w:hAnsiTheme="majorHAnsi" w:cstheme="majorHAnsi"/>
        </w:rPr>
      </w:pPr>
    </w:p>
    <w:p w14:paraId="0E787AD6" w14:textId="77777777" w:rsidR="00501463" w:rsidRPr="0089105D" w:rsidRDefault="00501463" w:rsidP="00501463">
      <w:pPr>
        <w:pStyle w:val="Heading2"/>
        <w:rPr>
          <w:rFonts w:cstheme="majorHAnsi"/>
          <w:b/>
          <w:bCs/>
          <w:color w:val="auto"/>
          <w:lang w:val="en-GB"/>
        </w:rPr>
      </w:pPr>
      <w:bookmarkStart w:id="112" w:name="_Toc132266328"/>
      <w:bookmarkStart w:id="113" w:name="_Toc153142485"/>
      <w:bookmarkStart w:id="114" w:name="_Toc153187414"/>
      <w:r w:rsidRPr="0089105D">
        <w:rPr>
          <w:rFonts w:cstheme="majorHAnsi"/>
          <w:b/>
          <w:bCs/>
          <w:color w:val="auto"/>
        </w:rPr>
        <w:t xml:space="preserve">Case study 3: Climate Change and its effects on health and wellbeing </w:t>
      </w:r>
      <w:r w:rsidRPr="0089105D">
        <w:rPr>
          <w:rFonts w:cstheme="majorHAnsi"/>
          <w:b/>
          <w:bCs/>
          <w:color w:val="auto"/>
          <w:lang w:val="en-GB"/>
        </w:rPr>
        <w:t>(SDG 3)</w:t>
      </w:r>
      <w:bookmarkEnd w:id="112"/>
      <w:bookmarkEnd w:id="113"/>
      <w:bookmarkEnd w:id="114"/>
      <w:r w:rsidRPr="0089105D">
        <w:rPr>
          <w:rFonts w:cstheme="majorHAnsi"/>
          <w:b/>
          <w:bCs/>
          <w:color w:val="auto"/>
          <w:lang w:val="en-GB"/>
        </w:rPr>
        <w:t xml:space="preserve"> </w:t>
      </w:r>
    </w:p>
    <w:p w14:paraId="12A927F7" w14:textId="77777777" w:rsidR="008526E5" w:rsidRPr="0089105D" w:rsidRDefault="008526E5" w:rsidP="008526E5">
      <w:pPr>
        <w:spacing w:line="360" w:lineRule="auto"/>
        <w:jc w:val="both"/>
        <w:rPr>
          <w:rFonts w:asciiTheme="majorHAnsi" w:hAnsiTheme="majorHAnsi" w:cstheme="majorHAnsi"/>
        </w:rPr>
      </w:pPr>
    </w:p>
    <w:p w14:paraId="75828287" w14:textId="6AB3E6C6" w:rsidR="00501463" w:rsidRPr="0089105D" w:rsidRDefault="00501463" w:rsidP="008526E5">
      <w:pPr>
        <w:spacing w:line="360" w:lineRule="auto"/>
        <w:jc w:val="both"/>
        <w:rPr>
          <w:rFonts w:asciiTheme="majorHAnsi" w:hAnsiTheme="majorHAnsi" w:cstheme="majorHAnsi"/>
          <w:lang w:val="en-GB"/>
        </w:rPr>
      </w:pPr>
      <w:r w:rsidRPr="0089105D">
        <w:rPr>
          <w:rFonts w:asciiTheme="majorHAnsi" w:hAnsiTheme="majorHAnsi" w:cstheme="majorHAnsi"/>
        </w:rPr>
        <w:t>The climate change toll is being paid in the field of health and wellbeing as well. Climate change can lead to an increase in the frequency and intensity of extreme weather events, such as heatwaves, floods, and hurricanes. These events can cause physical injuries, illnesses, and death, all of which can impact the health and well-being of individuals, communities, and entire populations.</w:t>
      </w:r>
      <w:r w:rsidRPr="0089105D">
        <w:rPr>
          <w:rFonts w:asciiTheme="majorHAnsi" w:hAnsiTheme="majorHAnsi" w:cstheme="majorHAnsi"/>
          <w:lang w:val="en-GB"/>
        </w:rPr>
        <w:t xml:space="preserve"> (</w:t>
      </w:r>
      <w:proofErr w:type="spellStart"/>
      <w:r w:rsidRPr="0089105D">
        <w:rPr>
          <w:rFonts w:asciiTheme="majorHAnsi" w:hAnsiTheme="majorHAnsi" w:cstheme="majorHAnsi"/>
          <w:lang w:val="en-GB"/>
        </w:rPr>
        <w:t>Rocque</w:t>
      </w:r>
      <w:proofErr w:type="spellEnd"/>
      <w:r w:rsidRPr="0089105D">
        <w:rPr>
          <w:rFonts w:asciiTheme="majorHAnsi" w:hAnsiTheme="majorHAnsi" w:cstheme="majorHAnsi"/>
          <w:lang w:val="en-GB"/>
        </w:rPr>
        <w:t>, 2021, p. 156) Moreover, c</w:t>
      </w:r>
      <w:proofErr w:type="spellStart"/>
      <w:r w:rsidRPr="0089105D">
        <w:rPr>
          <w:rFonts w:asciiTheme="majorHAnsi" w:hAnsiTheme="majorHAnsi" w:cstheme="majorHAnsi"/>
        </w:rPr>
        <w:t>limate</w:t>
      </w:r>
      <w:proofErr w:type="spellEnd"/>
      <w:r w:rsidRPr="0089105D">
        <w:rPr>
          <w:rFonts w:asciiTheme="majorHAnsi" w:hAnsiTheme="majorHAnsi" w:cstheme="majorHAnsi"/>
        </w:rPr>
        <w:t xml:space="preserve"> change can also contribute to the spread of vector-borne diseases, such as malaria and dengue fever, as well as waterborne diseases, such as cholera. These diseases can have a significant impact on the health of individuals and communities, particularly in low- and middle-income countries that may lack the resources to effectively manage and treat them.</w:t>
      </w:r>
      <w:r w:rsidRPr="0089105D">
        <w:rPr>
          <w:rFonts w:asciiTheme="majorHAnsi" w:hAnsiTheme="majorHAnsi" w:cstheme="majorHAnsi"/>
          <w:lang w:val="en-GB"/>
        </w:rPr>
        <w:t xml:space="preserve">  And therefore, this would significantly undermine the SDG 3. Furthermore, a</w:t>
      </w:r>
      <w:proofErr w:type="spellStart"/>
      <w:r w:rsidRPr="0089105D">
        <w:rPr>
          <w:rFonts w:asciiTheme="majorHAnsi" w:hAnsiTheme="majorHAnsi" w:cstheme="majorHAnsi"/>
        </w:rPr>
        <w:t>ir</w:t>
      </w:r>
      <w:proofErr w:type="spellEnd"/>
      <w:r w:rsidRPr="0089105D">
        <w:rPr>
          <w:rFonts w:asciiTheme="majorHAnsi" w:hAnsiTheme="majorHAnsi" w:cstheme="majorHAnsi"/>
        </w:rPr>
        <w:t xml:space="preserve"> pollution, which is often exacerbated by climate change, can also have a significant impact on health. Exposure to high levels of air pollution can cause respiratory illnesses, such as asthma and chronic obstructive pulmonary disease (COPD), and can increase the risk of heart disease and stroke.</w:t>
      </w:r>
      <w:r w:rsidRPr="0089105D">
        <w:rPr>
          <w:rFonts w:asciiTheme="majorHAnsi" w:hAnsiTheme="majorHAnsi" w:cstheme="majorHAnsi"/>
          <w:lang w:val="en-GB"/>
        </w:rPr>
        <w:t xml:space="preserve"> (</w:t>
      </w:r>
      <w:proofErr w:type="spellStart"/>
      <w:r w:rsidRPr="0089105D">
        <w:rPr>
          <w:rFonts w:asciiTheme="majorHAnsi" w:hAnsiTheme="majorHAnsi" w:cstheme="majorHAnsi"/>
          <w:lang w:val="en-GB"/>
        </w:rPr>
        <w:t>Rocklov</w:t>
      </w:r>
      <w:proofErr w:type="spellEnd"/>
      <w:r w:rsidRPr="0089105D">
        <w:rPr>
          <w:rFonts w:asciiTheme="majorHAnsi" w:hAnsiTheme="majorHAnsi" w:cstheme="majorHAnsi"/>
          <w:lang w:val="en-GB"/>
        </w:rPr>
        <w:t xml:space="preserve"> and </w:t>
      </w:r>
      <w:proofErr w:type="spellStart"/>
      <w:r w:rsidRPr="0089105D">
        <w:rPr>
          <w:rFonts w:asciiTheme="majorHAnsi" w:hAnsiTheme="majorHAnsi" w:cstheme="majorHAnsi"/>
          <w:lang w:val="en-GB"/>
        </w:rPr>
        <w:t>Dublow</w:t>
      </w:r>
      <w:proofErr w:type="spellEnd"/>
      <w:r w:rsidRPr="0089105D">
        <w:rPr>
          <w:rFonts w:asciiTheme="majorHAnsi" w:hAnsiTheme="majorHAnsi" w:cstheme="majorHAnsi"/>
          <w:lang w:val="en-GB"/>
        </w:rPr>
        <w:t xml:space="preserve">, 2020, p. 482) By the same token, </w:t>
      </w:r>
      <w:r w:rsidRPr="0089105D">
        <w:rPr>
          <w:rFonts w:asciiTheme="majorHAnsi" w:hAnsiTheme="majorHAnsi" w:cstheme="majorHAnsi"/>
        </w:rPr>
        <w:lastRenderedPageBreak/>
        <w:t>climate change can impact SDG 3 by exacerbating health inequalities and making it more difficult to achieve the goal of ensuring healthy lives and promoting well-being for all at all ages. To address these challenges, it is essential to take action to mitigate and adapt to the impacts of climate change, while also working to promote health and well-being through targeted interventions and policies.</w:t>
      </w:r>
      <w:r w:rsidRPr="0089105D">
        <w:rPr>
          <w:rFonts w:asciiTheme="majorHAnsi" w:hAnsiTheme="majorHAnsi" w:cstheme="majorHAnsi"/>
          <w:lang w:val="en-GB"/>
        </w:rPr>
        <w:t xml:space="preserve"> (</w:t>
      </w:r>
      <w:proofErr w:type="spellStart"/>
      <w:r w:rsidRPr="0089105D">
        <w:rPr>
          <w:rFonts w:asciiTheme="majorHAnsi" w:hAnsiTheme="majorHAnsi" w:cstheme="majorHAnsi"/>
          <w:lang w:val="en-GB"/>
        </w:rPr>
        <w:t>Laumann</w:t>
      </w:r>
      <w:proofErr w:type="spellEnd"/>
      <w:r w:rsidRPr="0089105D">
        <w:rPr>
          <w:rFonts w:asciiTheme="majorHAnsi" w:hAnsiTheme="majorHAnsi" w:cstheme="majorHAnsi"/>
          <w:lang w:val="en-GB"/>
        </w:rPr>
        <w:t xml:space="preserve">, 2022) </w:t>
      </w:r>
    </w:p>
    <w:p w14:paraId="004A6D06" w14:textId="77777777" w:rsidR="008526E5" w:rsidRPr="0089105D" w:rsidRDefault="008526E5" w:rsidP="008526E5">
      <w:pPr>
        <w:spacing w:line="360" w:lineRule="auto"/>
        <w:jc w:val="both"/>
        <w:rPr>
          <w:rFonts w:asciiTheme="majorHAnsi" w:hAnsiTheme="majorHAnsi" w:cstheme="majorHAnsi"/>
          <w:lang w:val="en-GB"/>
        </w:rPr>
      </w:pPr>
    </w:p>
    <w:p w14:paraId="5AA8A44A" w14:textId="77777777" w:rsidR="00201661" w:rsidRPr="0089105D" w:rsidRDefault="00201661" w:rsidP="00501463">
      <w:pPr>
        <w:spacing w:line="360" w:lineRule="auto"/>
        <w:jc w:val="both"/>
        <w:rPr>
          <w:rStyle w:val="Hyperlink"/>
          <w:rFonts w:asciiTheme="majorHAnsi" w:hAnsiTheme="majorHAnsi" w:cstheme="majorHAnsi"/>
          <w:color w:val="auto"/>
          <w:u w:val="none"/>
        </w:rPr>
      </w:pPr>
      <w:r w:rsidRPr="0089105D">
        <w:rPr>
          <w:rStyle w:val="Hyperlink"/>
          <w:rFonts w:asciiTheme="majorHAnsi" w:hAnsiTheme="majorHAnsi" w:cstheme="majorHAnsi"/>
          <w:color w:val="auto"/>
          <w:u w:val="none"/>
        </w:rPr>
        <w:t xml:space="preserve">While the aforementioned case studies shed light on the critical oversight of </w:t>
      </w:r>
      <w:r w:rsidRPr="0089105D">
        <w:rPr>
          <w:rStyle w:val="Hyperlink"/>
          <w:rFonts w:asciiTheme="majorHAnsi" w:hAnsiTheme="majorHAnsi" w:cstheme="majorHAnsi"/>
          <w:color w:val="auto"/>
          <w:u w:val="none"/>
        </w:rPr>
        <w:t xml:space="preserve">application of wrong concept of sustainability and </w:t>
      </w:r>
      <w:r w:rsidRPr="0089105D">
        <w:rPr>
          <w:rStyle w:val="Hyperlink"/>
          <w:rFonts w:asciiTheme="majorHAnsi" w:hAnsiTheme="majorHAnsi" w:cstheme="majorHAnsi"/>
          <w:color w:val="auto"/>
          <w:u w:val="none"/>
        </w:rPr>
        <w:t xml:space="preserve">neglecting the paramount value of efficiently combating climate change to fulfill the remaining SDGs, it is crucial to recognize that climate change has a detrimental impact, actively undermining the rest of the SDGs. For instance, global warming exacerbates and deepens poverty, significantly affects the viability of numerous plant and animal species, endangers ecosystems, disrupts underwater ecosystems, and contributes to socio-economic aspects that drive undemocratic systems and societies that oppress minorities. </w:t>
      </w:r>
    </w:p>
    <w:p w14:paraId="0FEB515C" w14:textId="77777777" w:rsidR="00201661" w:rsidRPr="0089105D" w:rsidRDefault="00201661" w:rsidP="00501463">
      <w:pPr>
        <w:spacing w:line="360" w:lineRule="auto"/>
        <w:jc w:val="both"/>
        <w:rPr>
          <w:rStyle w:val="Hyperlink"/>
          <w:rFonts w:asciiTheme="majorHAnsi" w:hAnsiTheme="majorHAnsi" w:cstheme="majorHAnsi"/>
          <w:color w:val="auto"/>
          <w:u w:val="none"/>
        </w:rPr>
      </w:pPr>
    </w:p>
    <w:p w14:paraId="07BCE49E" w14:textId="12B39F1A" w:rsidR="00501463" w:rsidRPr="0089105D" w:rsidRDefault="00201661" w:rsidP="00501463">
      <w:pPr>
        <w:spacing w:line="360" w:lineRule="auto"/>
        <w:jc w:val="both"/>
        <w:rPr>
          <w:rStyle w:val="Hyperlink"/>
          <w:rFonts w:asciiTheme="majorHAnsi" w:hAnsiTheme="majorHAnsi" w:cstheme="majorHAnsi"/>
          <w:color w:val="auto"/>
          <w:u w:val="none"/>
        </w:rPr>
      </w:pPr>
      <w:r w:rsidRPr="0089105D">
        <w:rPr>
          <w:rStyle w:val="Hyperlink"/>
          <w:rFonts w:asciiTheme="majorHAnsi" w:hAnsiTheme="majorHAnsi" w:cstheme="majorHAnsi"/>
          <w:color w:val="auto"/>
          <w:u w:val="none"/>
        </w:rPr>
        <w:t>In essence, addressing global warming and mitigating its effects on ecological capital form the bedrock of SDG fulfillment. Climate-resilient policies should thus serve as a guiding principle on the path toward sustainability. Without acknowledging the prominent significance of climate change and restructuring states' policies around this pivotal issue, the fulfillment of the remaining SDGs remains unattainable.</w:t>
      </w:r>
    </w:p>
    <w:p w14:paraId="27BC20B5" w14:textId="773F8941" w:rsidR="00201661" w:rsidRPr="0089105D" w:rsidRDefault="00201661" w:rsidP="00501463">
      <w:pPr>
        <w:spacing w:line="360" w:lineRule="auto"/>
        <w:jc w:val="both"/>
        <w:rPr>
          <w:rStyle w:val="Hyperlink"/>
          <w:rFonts w:asciiTheme="majorHAnsi" w:hAnsiTheme="majorHAnsi" w:cstheme="majorHAnsi"/>
          <w:i/>
          <w:iCs/>
          <w:color w:val="auto"/>
        </w:rPr>
      </w:pPr>
    </w:p>
    <w:p w14:paraId="5B818A15" w14:textId="139B310E" w:rsidR="00201661" w:rsidRPr="0089105D" w:rsidRDefault="00201661" w:rsidP="00501463">
      <w:pPr>
        <w:spacing w:line="360" w:lineRule="auto"/>
        <w:jc w:val="both"/>
        <w:rPr>
          <w:rStyle w:val="Hyperlink"/>
          <w:rFonts w:asciiTheme="majorHAnsi" w:hAnsiTheme="majorHAnsi" w:cstheme="majorHAnsi"/>
          <w:i/>
          <w:iCs/>
          <w:color w:val="auto"/>
        </w:rPr>
      </w:pPr>
    </w:p>
    <w:p w14:paraId="43B5AF5E" w14:textId="2C15755A" w:rsidR="00201661" w:rsidRPr="0089105D" w:rsidRDefault="00201661" w:rsidP="00501463">
      <w:pPr>
        <w:spacing w:line="360" w:lineRule="auto"/>
        <w:jc w:val="both"/>
        <w:rPr>
          <w:rStyle w:val="Hyperlink"/>
          <w:rFonts w:asciiTheme="majorHAnsi" w:hAnsiTheme="majorHAnsi" w:cstheme="majorHAnsi"/>
          <w:i/>
          <w:iCs/>
          <w:color w:val="auto"/>
        </w:rPr>
      </w:pPr>
    </w:p>
    <w:p w14:paraId="45BA7454" w14:textId="05682B0C" w:rsidR="00201661" w:rsidRPr="0089105D" w:rsidRDefault="00201661" w:rsidP="00501463">
      <w:pPr>
        <w:spacing w:line="360" w:lineRule="auto"/>
        <w:jc w:val="both"/>
        <w:rPr>
          <w:rStyle w:val="Hyperlink"/>
          <w:rFonts w:asciiTheme="majorHAnsi" w:hAnsiTheme="majorHAnsi" w:cstheme="majorHAnsi"/>
          <w:color w:val="auto"/>
          <w:u w:val="none"/>
        </w:rPr>
      </w:pPr>
      <w:r w:rsidRPr="0089105D">
        <w:rPr>
          <w:rStyle w:val="Hyperlink"/>
          <w:rFonts w:asciiTheme="majorHAnsi" w:hAnsiTheme="majorHAnsi" w:cstheme="majorHAnsi"/>
          <w:color w:val="auto"/>
          <w:u w:val="none"/>
        </w:rPr>
        <w:t>The preceding section delved into the paradox of sustainability and questioned the efficacy of a sustainable development model that may not be universally effective. It underscored the notion that certain Sustainable Development Goals (SDGs) might outweigh others in significance. Specifically, while SDG 13, addressing climate change, was identified as holding considerable importance, the data analysis also strongly advocated for assigning a higher value to SDG 16.</w:t>
      </w:r>
    </w:p>
    <w:p w14:paraId="6D4531C5" w14:textId="77777777" w:rsidR="00201661" w:rsidRPr="0089105D" w:rsidRDefault="00201661" w:rsidP="00501463">
      <w:pPr>
        <w:spacing w:line="360" w:lineRule="auto"/>
        <w:jc w:val="both"/>
        <w:rPr>
          <w:rStyle w:val="Hyperlink"/>
          <w:rFonts w:asciiTheme="majorHAnsi" w:hAnsiTheme="majorHAnsi" w:cstheme="majorHAnsi"/>
          <w:i/>
          <w:iCs/>
          <w:color w:val="auto"/>
        </w:rPr>
      </w:pPr>
    </w:p>
    <w:p w14:paraId="749B4342" w14:textId="6F8DDB94" w:rsidR="00501463" w:rsidRPr="0089105D" w:rsidRDefault="00201661" w:rsidP="004970B0">
      <w:pPr>
        <w:spacing w:line="360" w:lineRule="auto"/>
        <w:jc w:val="both"/>
        <w:rPr>
          <w:rFonts w:asciiTheme="majorHAnsi" w:hAnsiTheme="majorHAnsi" w:cstheme="majorHAnsi"/>
          <w:lang w:val="en-GB"/>
        </w:rPr>
      </w:pPr>
      <w:r w:rsidRPr="0089105D">
        <w:rPr>
          <w:rFonts w:asciiTheme="majorHAnsi" w:hAnsiTheme="majorHAnsi" w:cstheme="majorHAnsi"/>
        </w:rPr>
        <w:t xml:space="preserve">On that note, </w:t>
      </w:r>
      <w:r w:rsidR="00501463" w:rsidRPr="0089105D">
        <w:rPr>
          <w:rFonts w:asciiTheme="majorHAnsi" w:hAnsiTheme="majorHAnsi" w:cstheme="majorHAnsi"/>
        </w:rPr>
        <w:t>Sachs</w:t>
      </w:r>
      <w:r w:rsidR="00501463" w:rsidRPr="0089105D">
        <w:rPr>
          <w:rFonts w:asciiTheme="majorHAnsi" w:hAnsiTheme="majorHAnsi" w:cstheme="majorHAnsi"/>
          <w:lang w:val="en-GB"/>
        </w:rPr>
        <w:t xml:space="preserve"> (2017) </w:t>
      </w:r>
      <w:r w:rsidR="00501463" w:rsidRPr="0089105D">
        <w:rPr>
          <w:rFonts w:asciiTheme="majorHAnsi" w:hAnsiTheme="majorHAnsi" w:cstheme="majorHAnsi"/>
        </w:rPr>
        <w:t>argue</w:t>
      </w:r>
      <w:r w:rsidR="00501463" w:rsidRPr="0089105D">
        <w:rPr>
          <w:rFonts w:asciiTheme="majorHAnsi" w:hAnsiTheme="majorHAnsi" w:cstheme="majorHAnsi"/>
          <w:lang w:val="en-GB"/>
        </w:rPr>
        <w:t>s</w:t>
      </w:r>
      <w:r w:rsidR="00501463" w:rsidRPr="0089105D">
        <w:rPr>
          <w:rFonts w:asciiTheme="majorHAnsi" w:hAnsiTheme="majorHAnsi" w:cstheme="majorHAnsi"/>
        </w:rPr>
        <w:t xml:space="preserve"> that SDG 16 is </w:t>
      </w:r>
      <w:r w:rsidR="00501463" w:rsidRPr="0089105D">
        <w:rPr>
          <w:rFonts w:asciiTheme="majorHAnsi" w:hAnsiTheme="majorHAnsi" w:cstheme="majorHAnsi"/>
          <w:lang w:val="en-GB"/>
        </w:rPr>
        <w:t>“</w:t>
      </w:r>
      <w:r w:rsidR="00501463" w:rsidRPr="0089105D">
        <w:rPr>
          <w:rFonts w:asciiTheme="majorHAnsi" w:hAnsiTheme="majorHAnsi" w:cstheme="majorHAnsi"/>
        </w:rPr>
        <w:t>the most important of all the SDGs</w:t>
      </w:r>
      <w:r w:rsidR="00501463" w:rsidRPr="0089105D">
        <w:rPr>
          <w:rFonts w:asciiTheme="majorHAnsi" w:hAnsiTheme="majorHAnsi" w:cstheme="majorHAnsi"/>
          <w:lang w:val="en-GB"/>
        </w:rPr>
        <w:t>”</w:t>
      </w:r>
      <w:r w:rsidR="00501463" w:rsidRPr="0089105D">
        <w:rPr>
          <w:rFonts w:asciiTheme="majorHAnsi" w:hAnsiTheme="majorHAnsi" w:cstheme="majorHAnsi"/>
        </w:rPr>
        <w:t xml:space="preserve"> because it provides the foundation for effective governance, rule of law, and accountability, which are necessary for achieving progress on all of the other goals.</w:t>
      </w:r>
      <w:r w:rsidR="00501463" w:rsidRPr="0089105D">
        <w:rPr>
          <w:rStyle w:val="FootnoteReference"/>
          <w:rFonts w:asciiTheme="majorHAnsi" w:hAnsiTheme="majorHAnsi" w:cstheme="majorHAnsi"/>
          <w:lang w:val="en-GB"/>
        </w:rPr>
        <w:t xml:space="preserve"> </w:t>
      </w:r>
      <w:r w:rsidR="00501463" w:rsidRPr="0089105D">
        <w:rPr>
          <w:rFonts w:asciiTheme="majorHAnsi" w:hAnsiTheme="majorHAnsi" w:cstheme="majorHAnsi"/>
          <w:lang w:val="en-GB"/>
        </w:rPr>
        <w:t>(Sachs, 2017, p. 2574)</w:t>
      </w:r>
      <w:r w:rsidR="00501463" w:rsidRPr="0089105D">
        <w:rPr>
          <w:rFonts w:asciiTheme="majorHAnsi" w:hAnsiTheme="majorHAnsi" w:cstheme="majorHAnsi"/>
        </w:rPr>
        <w:t xml:space="preserve"> Similarly, the Center for Strategic and International Studies (CSIS)</w:t>
      </w:r>
      <w:r w:rsidR="00501463" w:rsidRPr="0089105D">
        <w:rPr>
          <w:rFonts w:asciiTheme="majorHAnsi" w:hAnsiTheme="majorHAnsi" w:cstheme="majorHAnsi"/>
          <w:lang w:val="en-GB"/>
        </w:rPr>
        <w:t xml:space="preserve"> (2021), </w:t>
      </w:r>
      <w:r w:rsidR="00501463" w:rsidRPr="0089105D">
        <w:rPr>
          <w:rFonts w:asciiTheme="majorHAnsi" w:hAnsiTheme="majorHAnsi" w:cstheme="majorHAnsi"/>
        </w:rPr>
        <w:t xml:space="preserve">a think tank focused on global security issues, has argued that SDG 16 is </w:t>
      </w:r>
      <w:r w:rsidR="00501463" w:rsidRPr="0089105D">
        <w:rPr>
          <w:rFonts w:asciiTheme="majorHAnsi" w:hAnsiTheme="majorHAnsi" w:cstheme="majorHAnsi"/>
          <w:lang w:val="en-GB"/>
        </w:rPr>
        <w:t>“</w:t>
      </w:r>
      <w:r w:rsidR="00501463" w:rsidRPr="0089105D">
        <w:rPr>
          <w:rFonts w:asciiTheme="majorHAnsi" w:hAnsiTheme="majorHAnsi" w:cstheme="majorHAnsi"/>
        </w:rPr>
        <w:t>critical for the success of the 2030 Agenda</w:t>
      </w:r>
      <w:r w:rsidR="00501463" w:rsidRPr="0089105D">
        <w:rPr>
          <w:rFonts w:asciiTheme="majorHAnsi" w:hAnsiTheme="majorHAnsi" w:cstheme="majorHAnsi"/>
          <w:lang w:val="en-GB"/>
        </w:rPr>
        <w:t xml:space="preserve">” </w:t>
      </w:r>
      <w:r w:rsidR="00501463" w:rsidRPr="0089105D">
        <w:rPr>
          <w:rFonts w:asciiTheme="majorHAnsi" w:hAnsiTheme="majorHAnsi" w:cstheme="majorHAnsi"/>
        </w:rPr>
        <w:t xml:space="preserve">because </w:t>
      </w:r>
      <w:r w:rsidR="00501463" w:rsidRPr="0089105D">
        <w:rPr>
          <w:rFonts w:asciiTheme="majorHAnsi" w:hAnsiTheme="majorHAnsi" w:cstheme="majorHAnsi"/>
        </w:rPr>
        <w:lastRenderedPageBreak/>
        <w:t>it promotes stable and peaceful societies, which are necessary for achieving progress on all of the other goals.</w:t>
      </w:r>
      <w:r w:rsidR="00501463" w:rsidRPr="0089105D">
        <w:rPr>
          <w:rFonts w:asciiTheme="majorHAnsi" w:hAnsiTheme="majorHAnsi" w:cstheme="majorHAnsi"/>
          <w:lang w:val="en-GB"/>
        </w:rPr>
        <w:t xml:space="preserve"> (Centre for Strategic and International Studies, 2021) </w:t>
      </w:r>
    </w:p>
    <w:p w14:paraId="726D7772" w14:textId="77777777" w:rsidR="008526E5" w:rsidRPr="0089105D" w:rsidRDefault="008526E5" w:rsidP="008526E5">
      <w:pPr>
        <w:spacing w:line="360" w:lineRule="auto"/>
        <w:jc w:val="both"/>
        <w:rPr>
          <w:rFonts w:asciiTheme="majorHAnsi" w:hAnsiTheme="majorHAnsi" w:cstheme="majorHAnsi"/>
          <w:lang w:val="en-GB"/>
        </w:rPr>
      </w:pPr>
    </w:p>
    <w:p w14:paraId="33CA1594" w14:textId="77777777" w:rsidR="00201661" w:rsidRPr="0089105D" w:rsidRDefault="00501463" w:rsidP="008526E5">
      <w:pPr>
        <w:spacing w:line="360" w:lineRule="auto"/>
        <w:jc w:val="both"/>
        <w:rPr>
          <w:rFonts w:asciiTheme="majorHAnsi" w:hAnsiTheme="majorHAnsi" w:cstheme="majorHAnsi"/>
          <w:lang w:val="en-GB"/>
        </w:rPr>
      </w:pPr>
      <w:r w:rsidRPr="0089105D">
        <w:rPr>
          <w:rFonts w:asciiTheme="majorHAnsi" w:hAnsiTheme="majorHAnsi" w:cstheme="majorHAnsi"/>
          <w:lang w:val="en-GB"/>
        </w:rPr>
        <w:t>In other words, t</w:t>
      </w:r>
      <w:r w:rsidRPr="0089105D">
        <w:rPr>
          <w:rFonts w:asciiTheme="majorHAnsi" w:hAnsiTheme="majorHAnsi" w:cstheme="majorHAnsi"/>
        </w:rPr>
        <w:t>he reason</w:t>
      </w:r>
      <w:r w:rsidRPr="0089105D">
        <w:rPr>
          <w:rFonts w:asciiTheme="majorHAnsi" w:hAnsiTheme="majorHAnsi" w:cstheme="majorHAnsi"/>
          <w:lang w:val="en-GB"/>
        </w:rPr>
        <w:t xml:space="preserve"> why</w:t>
      </w:r>
      <w:r w:rsidRPr="0089105D">
        <w:rPr>
          <w:rFonts w:asciiTheme="majorHAnsi" w:hAnsiTheme="majorHAnsi" w:cstheme="majorHAnsi"/>
        </w:rPr>
        <w:t xml:space="preserve"> SDG 16 is considered a key goal is because it underpins the achievement of all the other SDGs. Without peaceful and inclusive societies, access to justice, and effective institutions, progress on other goals may be undermined or even reversed. For example, conflict and violence can lead to the displacement of populations, undermine economic development, and limit access to education, health care, and other basic services. Ineffective governance and corruption can undermine efforts to reduce poverty, promote economic growth, and </w:t>
      </w:r>
      <w:r w:rsidRPr="0089105D">
        <w:rPr>
          <w:rFonts w:asciiTheme="majorHAnsi" w:hAnsiTheme="majorHAnsi" w:cstheme="majorHAnsi"/>
          <w:lang w:val="en-GB"/>
        </w:rPr>
        <w:t xml:space="preserve">last but not least to </w:t>
      </w:r>
      <w:r w:rsidRPr="0089105D">
        <w:rPr>
          <w:rFonts w:asciiTheme="majorHAnsi" w:hAnsiTheme="majorHAnsi" w:cstheme="majorHAnsi"/>
        </w:rPr>
        <w:t>protect the environment.</w:t>
      </w:r>
      <w:r w:rsidRPr="0089105D">
        <w:rPr>
          <w:rFonts w:asciiTheme="majorHAnsi" w:hAnsiTheme="majorHAnsi" w:cstheme="majorHAnsi"/>
          <w:lang w:val="en-GB"/>
        </w:rPr>
        <w:t xml:space="preserve"> </w:t>
      </w:r>
      <w:r w:rsidRPr="0089105D">
        <w:rPr>
          <w:rFonts w:asciiTheme="majorHAnsi" w:hAnsiTheme="majorHAnsi" w:cstheme="majorHAnsi"/>
          <w:lang w:val="en-GB"/>
        </w:rPr>
        <w:tab/>
      </w:r>
    </w:p>
    <w:p w14:paraId="3C66A4BE" w14:textId="13AECBB8" w:rsidR="008526E5" w:rsidRPr="0089105D" w:rsidRDefault="00501463" w:rsidP="008526E5">
      <w:pPr>
        <w:spacing w:line="360" w:lineRule="auto"/>
        <w:jc w:val="both"/>
        <w:rPr>
          <w:rFonts w:asciiTheme="majorHAnsi" w:hAnsiTheme="majorHAnsi" w:cstheme="majorHAnsi"/>
          <w:lang w:val="en-GB"/>
        </w:rPr>
      </w:pPr>
      <w:r w:rsidRPr="0089105D">
        <w:rPr>
          <w:rFonts w:asciiTheme="majorHAnsi" w:hAnsiTheme="majorHAnsi" w:cstheme="majorHAnsi"/>
          <w:lang w:val="en-GB"/>
        </w:rPr>
        <w:tab/>
      </w:r>
      <w:r w:rsidRPr="0089105D">
        <w:rPr>
          <w:rFonts w:asciiTheme="majorHAnsi" w:hAnsiTheme="majorHAnsi" w:cstheme="majorHAnsi"/>
          <w:lang w:val="en-GB"/>
        </w:rPr>
        <w:tab/>
      </w:r>
    </w:p>
    <w:p w14:paraId="03703C99" w14:textId="5BBEA902" w:rsidR="00501463" w:rsidRPr="0089105D" w:rsidRDefault="00501463" w:rsidP="008526E5">
      <w:pPr>
        <w:spacing w:line="360" w:lineRule="auto"/>
        <w:jc w:val="both"/>
        <w:rPr>
          <w:rFonts w:asciiTheme="majorHAnsi" w:hAnsiTheme="majorHAnsi" w:cstheme="majorHAnsi"/>
          <w:lang w:val="en-GB"/>
        </w:rPr>
      </w:pPr>
      <w:r w:rsidRPr="0089105D">
        <w:rPr>
          <w:rFonts w:asciiTheme="majorHAnsi" w:hAnsiTheme="majorHAnsi" w:cstheme="majorHAnsi"/>
        </w:rPr>
        <w:t xml:space="preserve">In addition, SDG 16 is critical for ensuring that </w:t>
      </w:r>
      <w:r w:rsidRPr="0089105D">
        <w:rPr>
          <w:rFonts w:asciiTheme="majorHAnsi" w:hAnsiTheme="majorHAnsi" w:cstheme="majorHAnsi"/>
          <w:lang w:val="en-GB"/>
        </w:rPr>
        <w:t>“</w:t>
      </w:r>
      <w:r w:rsidRPr="0089105D">
        <w:rPr>
          <w:rFonts w:asciiTheme="majorHAnsi" w:hAnsiTheme="majorHAnsi" w:cstheme="majorHAnsi"/>
        </w:rPr>
        <w:t>no one is left behind</w:t>
      </w:r>
      <w:r w:rsidRPr="0089105D">
        <w:rPr>
          <w:rFonts w:asciiTheme="majorHAnsi" w:hAnsiTheme="majorHAnsi" w:cstheme="majorHAnsi"/>
          <w:lang w:val="en-GB"/>
        </w:rPr>
        <w:t>”</w:t>
      </w:r>
      <w:r w:rsidRPr="0089105D">
        <w:rPr>
          <w:rFonts w:asciiTheme="majorHAnsi" w:hAnsiTheme="majorHAnsi" w:cstheme="majorHAnsi"/>
        </w:rPr>
        <w:t xml:space="preserve"> in the pursuit of sustainable development. It emphasizes the need to promote and protect the rights of all individuals and ensure that they have access to justice and effective institutions. This is particularly important for vulnerable and marginalized populations, such as women, children, refugees, and indigenous peoples, who may face discrimination, violence, and exclusion.</w:t>
      </w:r>
      <w:r w:rsidRPr="0089105D">
        <w:rPr>
          <w:rFonts w:asciiTheme="majorHAnsi" w:hAnsiTheme="majorHAnsi" w:cstheme="majorHAnsi"/>
          <w:lang w:val="en-GB"/>
        </w:rPr>
        <w:t xml:space="preserve"> </w:t>
      </w:r>
    </w:p>
    <w:p w14:paraId="29FC29FC" w14:textId="77777777" w:rsidR="008526E5" w:rsidRPr="0089105D" w:rsidRDefault="008526E5" w:rsidP="008526E5">
      <w:pPr>
        <w:spacing w:line="360" w:lineRule="auto"/>
        <w:jc w:val="both"/>
        <w:rPr>
          <w:rFonts w:asciiTheme="majorHAnsi" w:hAnsiTheme="majorHAnsi" w:cstheme="majorHAnsi"/>
          <w:lang w:val="en-GB"/>
        </w:rPr>
      </w:pPr>
    </w:p>
    <w:p w14:paraId="03D16711" w14:textId="0E87CB95" w:rsidR="00501463" w:rsidRPr="0089105D" w:rsidRDefault="00501463" w:rsidP="008526E5">
      <w:pPr>
        <w:spacing w:line="360" w:lineRule="auto"/>
        <w:jc w:val="both"/>
        <w:rPr>
          <w:rFonts w:asciiTheme="majorHAnsi" w:hAnsiTheme="majorHAnsi" w:cstheme="majorHAnsi"/>
          <w:lang w:val="cs-CZ"/>
        </w:rPr>
      </w:pPr>
      <w:r w:rsidRPr="0089105D">
        <w:rPr>
          <w:rFonts w:asciiTheme="majorHAnsi" w:hAnsiTheme="majorHAnsi" w:cstheme="majorHAnsi"/>
          <w:lang w:val="en-GB"/>
        </w:rPr>
        <w:t xml:space="preserve">Wesley, Tittle and </w:t>
      </w:r>
      <w:proofErr w:type="spellStart"/>
      <w:r w:rsidRPr="0089105D">
        <w:rPr>
          <w:rFonts w:asciiTheme="majorHAnsi" w:hAnsiTheme="majorHAnsi" w:cstheme="majorHAnsi"/>
          <w:lang w:val="en-GB"/>
        </w:rPr>
        <w:t>Seida</w:t>
      </w:r>
      <w:proofErr w:type="spellEnd"/>
      <w:r w:rsidRPr="0089105D">
        <w:rPr>
          <w:rFonts w:asciiTheme="majorHAnsi" w:hAnsiTheme="majorHAnsi" w:cstheme="majorHAnsi"/>
          <w:lang w:val="en-GB"/>
        </w:rPr>
        <w:t xml:space="preserve"> (2021) call attention to SDG 16 being the most fundamental feature and condition for achievement of SDG 3 (Good health and wellbeing). In their paper they emphasise the institutional importance by using the case study on Syria where due to the destructive Syrian civil war, in the first five years of the conflict, the national life expectation rate decreased by 20 years, and therefore, the institutional unrest caused by the civil war took its toll on the development in many areas, including health and wellbeing. (Wesley, Tittle and </w:t>
      </w:r>
      <w:proofErr w:type="spellStart"/>
      <w:r w:rsidRPr="0089105D">
        <w:rPr>
          <w:rFonts w:asciiTheme="majorHAnsi" w:hAnsiTheme="majorHAnsi" w:cstheme="majorHAnsi"/>
          <w:lang w:val="en-GB"/>
        </w:rPr>
        <w:t>Seida</w:t>
      </w:r>
      <w:proofErr w:type="spellEnd"/>
      <w:r w:rsidRPr="0089105D">
        <w:rPr>
          <w:rFonts w:asciiTheme="majorHAnsi" w:hAnsiTheme="majorHAnsi" w:cstheme="majorHAnsi"/>
          <w:lang w:val="en-GB"/>
        </w:rPr>
        <w:t>, 2021)</w:t>
      </w:r>
      <w:r w:rsidR="00201661" w:rsidRPr="0089105D">
        <w:rPr>
          <w:rFonts w:asciiTheme="majorHAnsi" w:hAnsiTheme="majorHAnsi" w:cstheme="majorHAnsi"/>
          <w:lang w:val="en-GB"/>
        </w:rPr>
        <w:t xml:space="preserve"> </w:t>
      </w:r>
      <w:r w:rsidR="00201661" w:rsidRPr="0089105D">
        <w:rPr>
          <w:rFonts w:asciiTheme="majorHAnsi" w:hAnsiTheme="majorHAnsi" w:cstheme="majorHAnsi"/>
          <w:lang w:val="en-GB"/>
        </w:rPr>
        <w:t>The ensuing case studies illustrate the heightened significance of SDG 16 by revealing the repercussions - how the non-</w:t>
      </w:r>
      <w:r w:rsidR="00201661" w:rsidRPr="0089105D">
        <w:rPr>
          <w:rFonts w:asciiTheme="majorHAnsi" w:hAnsiTheme="majorHAnsi" w:cstheme="majorHAnsi"/>
          <w:lang w:val="en-GB"/>
        </w:rPr>
        <w:t>fulfilment</w:t>
      </w:r>
      <w:r w:rsidR="00201661" w:rsidRPr="0089105D">
        <w:rPr>
          <w:rFonts w:asciiTheme="majorHAnsi" w:hAnsiTheme="majorHAnsi" w:cstheme="majorHAnsi"/>
          <w:lang w:val="en-GB"/>
        </w:rPr>
        <w:t xml:space="preserve"> of SDG 16 endangers various other SDGs.</w:t>
      </w:r>
    </w:p>
    <w:p w14:paraId="136BB478" w14:textId="77777777" w:rsidR="00501463" w:rsidRPr="0089105D" w:rsidRDefault="00501463" w:rsidP="004A5250">
      <w:pPr>
        <w:pStyle w:val="Heading2"/>
        <w:rPr>
          <w:rStyle w:val="Hyperlink"/>
          <w:rFonts w:cstheme="majorHAnsi"/>
          <w:color w:val="auto"/>
        </w:rPr>
      </w:pPr>
    </w:p>
    <w:p w14:paraId="25F72966" w14:textId="6B371BB3" w:rsidR="00501463" w:rsidRPr="0089105D" w:rsidRDefault="00501463" w:rsidP="004A5250">
      <w:pPr>
        <w:pStyle w:val="Heading2"/>
        <w:rPr>
          <w:rStyle w:val="Hyperlink"/>
          <w:rFonts w:cstheme="majorHAnsi"/>
          <w:b/>
          <w:bCs/>
          <w:color w:val="auto"/>
          <w:lang w:val="en-GB"/>
        </w:rPr>
      </w:pPr>
      <w:bookmarkStart w:id="115" w:name="_Toc153187415"/>
      <w:r w:rsidRPr="0089105D">
        <w:rPr>
          <w:rStyle w:val="Hyperlink"/>
          <w:rFonts w:cstheme="majorHAnsi"/>
          <w:b/>
          <w:bCs/>
          <w:color w:val="auto"/>
          <w:lang w:val="en-GB"/>
        </w:rPr>
        <w:t>Case study 4: Corruption and its effect on SDG 16 amongst others</w:t>
      </w:r>
      <w:bookmarkEnd w:id="115"/>
    </w:p>
    <w:p w14:paraId="37EE430F" w14:textId="77777777" w:rsidR="008526E5" w:rsidRPr="0089105D" w:rsidRDefault="008526E5" w:rsidP="008526E5">
      <w:pPr>
        <w:spacing w:line="360" w:lineRule="auto"/>
        <w:jc w:val="both"/>
        <w:rPr>
          <w:rFonts w:asciiTheme="majorHAnsi" w:hAnsiTheme="majorHAnsi" w:cstheme="majorHAnsi"/>
          <w:lang w:val="en-GB"/>
        </w:rPr>
      </w:pPr>
    </w:p>
    <w:p w14:paraId="15FC04AD" w14:textId="49E38190" w:rsidR="00501463" w:rsidRPr="0089105D" w:rsidRDefault="00501463" w:rsidP="008526E5">
      <w:pPr>
        <w:spacing w:line="360" w:lineRule="auto"/>
        <w:jc w:val="both"/>
        <w:rPr>
          <w:rFonts w:asciiTheme="majorHAnsi" w:hAnsiTheme="majorHAnsi" w:cstheme="majorHAnsi"/>
          <w:lang w:val="en-GB"/>
        </w:rPr>
      </w:pPr>
      <w:r w:rsidRPr="0089105D">
        <w:rPr>
          <w:rFonts w:asciiTheme="majorHAnsi" w:hAnsiTheme="majorHAnsi" w:cstheme="majorHAnsi"/>
          <w:lang w:val="en-GB"/>
        </w:rPr>
        <w:t>One more aspect characteristic for undermining of SDG 16 is corruption. As Mackey, Vain and Kohler (2018) indicate that c</w:t>
      </w:r>
      <w:proofErr w:type="spellStart"/>
      <w:r w:rsidRPr="0089105D">
        <w:rPr>
          <w:rFonts w:asciiTheme="majorHAnsi" w:hAnsiTheme="majorHAnsi" w:cstheme="majorHAnsi"/>
        </w:rPr>
        <w:t>orruption</w:t>
      </w:r>
      <w:proofErr w:type="spellEnd"/>
      <w:r w:rsidRPr="0089105D">
        <w:rPr>
          <w:rFonts w:asciiTheme="majorHAnsi" w:hAnsiTheme="majorHAnsi" w:cstheme="majorHAnsi"/>
        </w:rPr>
        <w:t xml:space="preserve"> is a major barrier to achieving sustainable development, and it undermines the progress made towards other SDGs.</w:t>
      </w:r>
      <w:r w:rsidRPr="0089105D">
        <w:rPr>
          <w:rFonts w:asciiTheme="majorHAnsi" w:hAnsiTheme="majorHAnsi" w:cstheme="majorHAnsi"/>
          <w:lang w:val="en-GB"/>
        </w:rPr>
        <w:t xml:space="preserve"> In their work they presume that corruption-free governance is needed for creation of enabling environment for fulfilment of SDG 3. (Mackey, Vain and Kohler, 2018, p. 639-641) The core issue about the </w:t>
      </w:r>
      <w:r w:rsidRPr="0089105D">
        <w:rPr>
          <w:rFonts w:asciiTheme="majorHAnsi" w:hAnsiTheme="majorHAnsi" w:cstheme="majorHAnsi"/>
        </w:rPr>
        <w:t xml:space="preserve">corruption </w:t>
      </w:r>
      <w:r w:rsidRPr="0089105D">
        <w:rPr>
          <w:rFonts w:asciiTheme="majorHAnsi" w:hAnsiTheme="majorHAnsi" w:cstheme="majorHAnsi"/>
          <w:lang w:val="en-GB"/>
        </w:rPr>
        <w:t>is that this phenomenon can</w:t>
      </w:r>
      <w:r w:rsidRPr="0089105D">
        <w:rPr>
          <w:rFonts w:asciiTheme="majorHAnsi" w:hAnsiTheme="majorHAnsi" w:cstheme="majorHAnsi"/>
        </w:rPr>
        <w:t xml:space="preserve"> lead to the misallocation of resources, weak governance, and reduced </w:t>
      </w:r>
      <w:r w:rsidRPr="0089105D">
        <w:rPr>
          <w:rFonts w:asciiTheme="majorHAnsi" w:hAnsiTheme="majorHAnsi" w:cstheme="majorHAnsi"/>
        </w:rPr>
        <w:lastRenderedPageBreak/>
        <w:t>trust in public institutions, which in turn can hamper economic growth, undermine social cohesion, and exacerbate poverty and inequality. Corruption can also lead to human rights violations, such as restrictions on freedom of speech, association, and assembly, and denial of access to justice.</w:t>
      </w:r>
      <w:r w:rsidRPr="0089105D">
        <w:rPr>
          <w:rFonts w:asciiTheme="majorHAnsi" w:hAnsiTheme="majorHAnsi" w:cstheme="majorHAnsi"/>
          <w:lang w:val="en-GB"/>
        </w:rPr>
        <w:t xml:space="preserve"> It is obvious that all the aforementioned aspects put numerous SDGs in jeopardy. </w:t>
      </w:r>
    </w:p>
    <w:p w14:paraId="7CCDAD4D" w14:textId="77777777" w:rsidR="008526E5" w:rsidRPr="0089105D" w:rsidRDefault="008526E5" w:rsidP="008526E5">
      <w:pPr>
        <w:spacing w:line="360" w:lineRule="auto"/>
        <w:jc w:val="both"/>
        <w:rPr>
          <w:rFonts w:asciiTheme="majorHAnsi" w:hAnsiTheme="majorHAnsi" w:cstheme="majorHAnsi"/>
        </w:rPr>
      </w:pPr>
    </w:p>
    <w:p w14:paraId="004C136E" w14:textId="4A8F76CF" w:rsidR="00501463" w:rsidRPr="0089105D" w:rsidRDefault="00501463" w:rsidP="008526E5">
      <w:pPr>
        <w:spacing w:line="360" w:lineRule="auto"/>
        <w:jc w:val="both"/>
        <w:rPr>
          <w:rFonts w:asciiTheme="majorHAnsi" w:hAnsiTheme="majorHAnsi" w:cstheme="majorHAnsi"/>
          <w:lang w:val="en-GB"/>
        </w:rPr>
      </w:pPr>
      <w:r w:rsidRPr="0089105D">
        <w:rPr>
          <w:rFonts w:asciiTheme="majorHAnsi" w:hAnsiTheme="majorHAnsi" w:cstheme="majorHAnsi"/>
        </w:rPr>
        <w:t>The failure to achieve SDG 16, and in particular, t</w:t>
      </w:r>
      <w:r w:rsidRPr="0089105D">
        <w:rPr>
          <w:rFonts w:asciiTheme="majorHAnsi" w:hAnsiTheme="majorHAnsi" w:cstheme="majorHAnsi"/>
          <w:lang w:val="en-GB"/>
        </w:rPr>
        <w:t>he indicator aiming to</w:t>
      </w:r>
      <w:r w:rsidRPr="0089105D">
        <w:rPr>
          <w:rFonts w:asciiTheme="majorHAnsi" w:hAnsiTheme="majorHAnsi" w:cstheme="majorHAnsi"/>
        </w:rPr>
        <w:t xml:space="preserve"> address</w:t>
      </w:r>
      <w:proofErr w:type="spellStart"/>
      <w:r w:rsidRPr="0089105D">
        <w:rPr>
          <w:rFonts w:asciiTheme="majorHAnsi" w:hAnsiTheme="majorHAnsi" w:cstheme="majorHAnsi"/>
          <w:lang w:val="en-GB"/>
        </w:rPr>
        <w:t>ing</w:t>
      </w:r>
      <w:proofErr w:type="spellEnd"/>
      <w:r w:rsidRPr="0089105D">
        <w:rPr>
          <w:rFonts w:asciiTheme="majorHAnsi" w:hAnsiTheme="majorHAnsi" w:cstheme="majorHAnsi"/>
        </w:rPr>
        <w:t xml:space="preserve"> corruption, can undermine progress towards other SDGs. For example, corruption can undermine progress on SDG 1, which aims to end poverty in all its forms everywhere, by diverting resources away from poverty alleviation programs and into the pockets of corrupt officials. </w:t>
      </w:r>
      <w:r w:rsidRPr="0089105D">
        <w:rPr>
          <w:rFonts w:asciiTheme="majorHAnsi" w:hAnsiTheme="majorHAnsi" w:cstheme="majorHAnsi"/>
          <w:lang w:val="en-GB"/>
        </w:rPr>
        <w:t>Moreover, c</w:t>
      </w:r>
      <w:proofErr w:type="spellStart"/>
      <w:r w:rsidRPr="0089105D">
        <w:rPr>
          <w:rFonts w:asciiTheme="majorHAnsi" w:hAnsiTheme="majorHAnsi" w:cstheme="majorHAnsi"/>
        </w:rPr>
        <w:t>orruption</w:t>
      </w:r>
      <w:proofErr w:type="spellEnd"/>
      <w:r w:rsidRPr="0089105D">
        <w:rPr>
          <w:rFonts w:asciiTheme="majorHAnsi" w:hAnsiTheme="majorHAnsi" w:cstheme="majorHAnsi"/>
        </w:rPr>
        <w:t xml:space="preserve"> can also undermine progress on SDG 5, which aims to achieve gender equality and empower all women and girls, by perpetuating gender-based discrimination and denying women access to education, healthcare, and economic opportunities.</w:t>
      </w:r>
      <w:r w:rsidRPr="0089105D">
        <w:rPr>
          <w:rFonts w:asciiTheme="majorHAnsi" w:hAnsiTheme="majorHAnsi" w:cstheme="majorHAnsi"/>
          <w:lang w:val="en-GB"/>
        </w:rPr>
        <w:t xml:space="preserve"> To demonstrate how does corruption hinder on women’s rights in practice, </w:t>
      </w:r>
      <w:proofErr w:type="spellStart"/>
      <w:r w:rsidRPr="0089105D">
        <w:rPr>
          <w:rFonts w:asciiTheme="majorHAnsi" w:hAnsiTheme="majorHAnsi" w:cstheme="majorHAnsi"/>
          <w:lang w:val="en-GB"/>
        </w:rPr>
        <w:t>Nehan</w:t>
      </w:r>
      <w:proofErr w:type="spellEnd"/>
      <w:r w:rsidRPr="0089105D">
        <w:rPr>
          <w:rFonts w:asciiTheme="majorHAnsi" w:hAnsiTheme="majorHAnsi" w:cstheme="majorHAnsi"/>
          <w:lang w:val="en-GB"/>
        </w:rPr>
        <w:t xml:space="preserve"> and Cox (2022) described the women right nosedive that occurred in Afghanistan after takeover by Taliban. The practices of this unstable and increasingly corrupt country classified women as the second-class citizens who have no access to education, only worsening the gender inequality in the country. (</w:t>
      </w:r>
      <w:proofErr w:type="spellStart"/>
      <w:r w:rsidRPr="0089105D">
        <w:rPr>
          <w:rFonts w:asciiTheme="majorHAnsi" w:hAnsiTheme="majorHAnsi" w:cstheme="majorHAnsi"/>
          <w:lang w:val="en-GB"/>
        </w:rPr>
        <w:t>Nehan</w:t>
      </w:r>
      <w:proofErr w:type="spellEnd"/>
      <w:r w:rsidRPr="0089105D">
        <w:rPr>
          <w:rFonts w:asciiTheme="majorHAnsi" w:hAnsiTheme="majorHAnsi" w:cstheme="majorHAnsi"/>
          <w:lang w:val="en-GB"/>
        </w:rPr>
        <w:t xml:space="preserve"> and Cox, 2022, p. 59) </w:t>
      </w:r>
    </w:p>
    <w:p w14:paraId="01920761" w14:textId="77777777" w:rsidR="00501463" w:rsidRPr="0089105D" w:rsidRDefault="00501463" w:rsidP="00501463">
      <w:pPr>
        <w:spacing w:line="360" w:lineRule="auto"/>
        <w:ind w:firstLine="720"/>
        <w:jc w:val="both"/>
        <w:rPr>
          <w:rFonts w:asciiTheme="majorHAnsi" w:hAnsiTheme="majorHAnsi" w:cstheme="majorHAnsi"/>
          <w:lang w:val="en-GB"/>
        </w:rPr>
      </w:pPr>
    </w:p>
    <w:p w14:paraId="5A31D25B" w14:textId="77777777" w:rsidR="00501463" w:rsidRPr="0089105D" w:rsidRDefault="00501463" w:rsidP="004970B0">
      <w:pPr>
        <w:spacing w:line="360" w:lineRule="auto"/>
        <w:jc w:val="both"/>
        <w:rPr>
          <w:rFonts w:asciiTheme="majorHAnsi" w:hAnsiTheme="majorHAnsi" w:cstheme="majorHAnsi"/>
        </w:rPr>
      </w:pPr>
      <w:r w:rsidRPr="0089105D">
        <w:rPr>
          <w:rFonts w:asciiTheme="majorHAnsi" w:hAnsiTheme="majorHAnsi" w:cstheme="majorHAnsi"/>
        </w:rPr>
        <w:t>Moreover, corruption can undermine progress on SDG 8, which aims to promote sustained, inclusive, and sustainable economic growth, full and productive employment and decent work for all, by creating an uneven playing field for businesses and deterring foreign investment.</w:t>
      </w:r>
      <w:r w:rsidRPr="0089105D">
        <w:rPr>
          <w:rFonts w:asciiTheme="majorHAnsi" w:hAnsiTheme="majorHAnsi" w:cstheme="majorHAnsi"/>
          <w:lang w:val="en-GB"/>
        </w:rPr>
        <w:t xml:space="preserve"> (</w:t>
      </w:r>
      <w:proofErr w:type="spellStart"/>
      <w:r w:rsidRPr="0089105D">
        <w:rPr>
          <w:rFonts w:asciiTheme="majorHAnsi" w:hAnsiTheme="majorHAnsi" w:cstheme="majorHAnsi"/>
          <w:lang w:val="en-GB"/>
        </w:rPr>
        <w:t>Hoffiani</w:t>
      </w:r>
      <w:proofErr w:type="spellEnd"/>
      <w:r w:rsidRPr="0089105D">
        <w:rPr>
          <w:rFonts w:asciiTheme="majorHAnsi" w:hAnsiTheme="majorHAnsi" w:cstheme="majorHAnsi"/>
          <w:lang w:val="en-GB"/>
        </w:rPr>
        <w:t>, 2019)</w:t>
      </w:r>
      <w:r w:rsidRPr="0089105D">
        <w:rPr>
          <w:rFonts w:asciiTheme="majorHAnsi" w:hAnsiTheme="majorHAnsi" w:cstheme="majorHAnsi"/>
        </w:rPr>
        <w:t xml:space="preserve"> </w:t>
      </w:r>
      <w:r w:rsidRPr="0089105D">
        <w:rPr>
          <w:rFonts w:asciiTheme="majorHAnsi" w:hAnsiTheme="majorHAnsi" w:cstheme="majorHAnsi"/>
          <w:lang w:val="en-GB"/>
        </w:rPr>
        <w:t>By the same token, c</w:t>
      </w:r>
      <w:proofErr w:type="spellStart"/>
      <w:r w:rsidRPr="0089105D">
        <w:rPr>
          <w:rFonts w:asciiTheme="majorHAnsi" w:hAnsiTheme="majorHAnsi" w:cstheme="majorHAnsi"/>
        </w:rPr>
        <w:t>orruption</w:t>
      </w:r>
      <w:proofErr w:type="spellEnd"/>
      <w:r w:rsidRPr="0089105D">
        <w:rPr>
          <w:rFonts w:asciiTheme="majorHAnsi" w:hAnsiTheme="majorHAnsi" w:cstheme="majorHAnsi"/>
        </w:rPr>
        <w:t xml:space="preserve"> also undermine</w:t>
      </w:r>
      <w:r w:rsidRPr="0089105D">
        <w:rPr>
          <w:rFonts w:asciiTheme="majorHAnsi" w:hAnsiTheme="majorHAnsi" w:cstheme="majorHAnsi"/>
          <w:lang w:val="en-GB"/>
        </w:rPr>
        <w:t>s</w:t>
      </w:r>
      <w:r w:rsidRPr="0089105D">
        <w:rPr>
          <w:rFonts w:asciiTheme="majorHAnsi" w:hAnsiTheme="majorHAnsi" w:cstheme="majorHAnsi"/>
        </w:rPr>
        <w:t xml:space="preserve"> progress on SDG 10, which aims to reduce inequality within and among countries, by reinforcing existing inequalities and creating new ones.</w:t>
      </w:r>
    </w:p>
    <w:p w14:paraId="445FC529" w14:textId="77777777" w:rsidR="00501463" w:rsidRPr="0089105D" w:rsidRDefault="00501463" w:rsidP="00501463">
      <w:pPr>
        <w:spacing w:line="360" w:lineRule="auto"/>
        <w:jc w:val="both"/>
        <w:rPr>
          <w:rStyle w:val="Hyperlink"/>
          <w:rFonts w:asciiTheme="majorHAnsi" w:hAnsiTheme="majorHAnsi" w:cstheme="majorHAnsi"/>
          <w:b/>
          <w:bCs/>
          <w:i/>
          <w:iCs/>
          <w:color w:val="auto"/>
        </w:rPr>
      </w:pPr>
    </w:p>
    <w:p w14:paraId="291B9BB9" w14:textId="77777777" w:rsidR="00501463" w:rsidRPr="0089105D" w:rsidRDefault="00501463" w:rsidP="004A5250">
      <w:pPr>
        <w:pStyle w:val="Heading2"/>
        <w:rPr>
          <w:rStyle w:val="Hyperlink"/>
          <w:b/>
          <w:bCs/>
          <w:color w:val="auto"/>
          <w:u w:val="none"/>
        </w:rPr>
      </w:pPr>
      <w:bookmarkStart w:id="116" w:name="_Toc132266329"/>
      <w:bookmarkStart w:id="117" w:name="_Toc153142486"/>
      <w:bookmarkStart w:id="118" w:name="_Toc153187416"/>
      <w:r w:rsidRPr="0089105D">
        <w:rPr>
          <w:rStyle w:val="Hyperlink"/>
          <w:b/>
          <w:bCs/>
          <w:color w:val="auto"/>
          <w:u w:val="none"/>
        </w:rPr>
        <w:t xml:space="preserve">Case study 5: Conflicts and </w:t>
      </w:r>
      <w:proofErr w:type="spellStart"/>
      <w:r w:rsidRPr="0089105D">
        <w:rPr>
          <w:rStyle w:val="Hyperlink"/>
          <w:b/>
          <w:bCs/>
          <w:color w:val="auto"/>
          <w:u w:val="none"/>
        </w:rPr>
        <w:t>unstability</w:t>
      </w:r>
      <w:proofErr w:type="spellEnd"/>
      <w:r w:rsidRPr="0089105D">
        <w:rPr>
          <w:rStyle w:val="Hyperlink"/>
          <w:b/>
          <w:bCs/>
          <w:color w:val="auto"/>
          <w:u w:val="none"/>
        </w:rPr>
        <w:t xml:space="preserve"> and its effect on SDGs as a framework</w:t>
      </w:r>
      <w:bookmarkEnd w:id="116"/>
      <w:bookmarkEnd w:id="117"/>
      <w:bookmarkEnd w:id="118"/>
      <w:r w:rsidRPr="0089105D">
        <w:rPr>
          <w:rStyle w:val="Hyperlink"/>
          <w:b/>
          <w:bCs/>
          <w:color w:val="auto"/>
          <w:u w:val="none"/>
        </w:rPr>
        <w:t xml:space="preserve">  </w:t>
      </w:r>
    </w:p>
    <w:p w14:paraId="2331DC47" w14:textId="77777777" w:rsidR="00501463" w:rsidRPr="0089105D" w:rsidRDefault="00501463" w:rsidP="00501463">
      <w:pPr>
        <w:spacing w:line="360" w:lineRule="auto"/>
        <w:jc w:val="both"/>
        <w:rPr>
          <w:rStyle w:val="Hyperlink"/>
          <w:rFonts w:asciiTheme="majorHAnsi" w:hAnsiTheme="majorHAnsi" w:cstheme="majorHAnsi"/>
          <w:color w:val="auto"/>
          <w:lang w:val="en-GB"/>
        </w:rPr>
      </w:pPr>
    </w:p>
    <w:p w14:paraId="4A9981D2" w14:textId="77777777" w:rsidR="00201661" w:rsidRPr="0089105D" w:rsidRDefault="00201661" w:rsidP="00201661">
      <w:pPr>
        <w:spacing w:line="360" w:lineRule="auto"/>
        <w:jc w:val="both"/>
        <w:rPr>
          <w:rStyle w:val="Hyperlink"/>
          <w:rFonts w:asciiTheme="majorHAnsi" w:hAnsiTheme="majorHAnsi" w:cstheme="majorHAnsi"/>
          <w:color w:val="auto"/>
          <w:u w:val="none"/>
          <w:lang w:val="en-GB"/>
        </w:rPr>
      </w:pPr>
      <w:r w:rsidRPr="0089105D">
        <w:rPr>
          <w:rStyle w:val="Hyperlink"/>
          <w:rFonts w:asciiTheme="majorHAnsi" w:hAnsiTheme="majorHAnsi" w:cstheme="majorHAnsi"/>
          <w:color w:val="auto"/>
          <w:u w:val="none"/>
          <w:lang w:val="en-GB"/>
        </w:rPr>
        <w:t>The failure to achieve SDG 16, characterized by injustice and weak institutions, can lead to the eruption of conflicts, thereby posing a significant threat to the accomplishment of other SDGs. In conflict-affected countries, striving for SDG attainment becomes a formidable challenge as resources are diverted to address conflict-related issues and expenses. Concurrently, physical insecurity undermines progress in crucial areas such as education, health, and economic growth (Kunar, 2018).</w:t>
      </w:r>
    </w:p>
    <w:p w14:paraId="7E161FEA" w14:textId="77777777" w:rsidR="00201661" w:rsidRPr="0089105D" w:rsidRDefault="00201661" w:rsidP="00201661">
      <w:pPr>
        <w:spacing w:line="360" w:lineRule="auto"/>
        <w:jc w:val="both"/>
        <w:rPr>
          <w:rStyle w:val="Hyperlink"/>
          <w:rFonts w:asciiTheme="majorHAnsi" w:hAnsiTheme="majorHAnsi" w:cstheme="majorHAnsi"/>
          <w:color w:val="auto"/>
          <w:u w:val="none"/>
          <w:lang w:val="en-GB"/>
        </w:rPr>
      </w:pPr>
    </w:p>
    <w:p w14:paraId="31D350EA" w14:textId="66AAC261" w:rsidR="00201661" w:rsidRPr="0089105D" w:rsidRDefault="00201661" w:rsidP="00201661">
      <w:pPr>
        <w:spacing w:line="360" w:lineRule="auto"/>
        <w:jc w:val="both"/>
        <w:rPr>
          <w:rStyle w:val="Hyperlink"/>
          <w:rFonts w:asciiTheme="majorHAnsi" w:hAnsiTheme="majorHAnsi" w:cstheme="majorHAnsi"/>
          <w:color w:val="auto"/>
          <w:u w:val="none"/>
          <w:lang w:val="en-GB"/>
        </w:rPr>
      </w:pPr>
      <w:r w:rsidRPr="0089105D">
        <w:rPr>
          <w:rStyle w:val="Hyperlink"/>
          <w:rFonts w:asciiTheme="majorHAnsi" w:hAnsiTheme="majorHAnsi" w:cstheme="majorHAnsi"/>
          <w:color w:val="auto"/>
          <w:u w:val="none"/>
          <w:lang w:val="en-GB"/>
        </w:rPr>
        <w:t>For instance, in Afghanistan, despite some progress in SDG achievement, decades of conflict have severely impeded advancements in SDG 3 (health) and SDG 4 (education), leaving the country grappling with high maternal mortality rates, low literacy levels, and restricted access to basic services.</w:t>
      </w:r>
      <w:r w:rsidRPr="0089105D">
        <w:rPr>
          <w:rStyle w:val="Hyperlink"/>
          <w:rFonts w:asciiTheme="majorHAnsi" w:hAnsiTheme="majorHAnsi" w:cstheme="majorHAnsi"/>
          <w:color w:val="auto"/>
          <w:u w:val="none"/>
          <w:lang w:val="en-GB"/>
        </w:rPr>
        <w:t xml:space="preserve"> (</w:t>
      </w:r>
      <w:proofErr w:type="spellStart"/>
      <w:r w:rsidRPr="0089105D">
        <w:rPr>
          <w:rStyle w:val="Hyperlink"/>
          <w:rFonts w:asciiTheme="majorHAnsi" w:hAnsiTheme="majorHAnsi" w:cstheme="majorHAnsi"/>
          <w:color w:val="auto"/>
          <w:u w:val="none"/>
          <w:lang w:val="en-GB"/>
        </w:rPr>
        <w:t>Nehan</w:t>
      </w:r>
      <w:proofErr w:type="spellEnd"/>
      <w:r w:rsidRPr="0089105D">
        <w:rPr>
          <w:rStyle w:val="Hyperlink"/>
          <w:rFonts w:asciiTheme="majorHAnsi" w:hAnsiTheme="majorHAnsi" w:cstheme="majorHAnsi"/>
          <w:color w:val="auto"/>
          <w:u w:val="none"/>
          <w:lang w:val="en-GB"/>
        </w:rPr>
        <w:t xml:space="preserve"> and Cox, 2022)</w:t>
      </w:r>
    </w:p>
    <w:p w14:paraId="12D3F30F" w14:textId="77777777" w:rsidR="00201661" w:rsidRPr="0089105D" w:rsidRDefault="00201661" w:rsidP="00201661">
      <w:pPr>
        <w:spacing w:line="360" w:lineRule="auto"/>
        <w:jc w:val="both"/>
        <w:rPr>
          <w:rStyle w:val="Hyperlink"/>
          <w:rFonts w:asciiTheme="majorHAnsi" w:hAnsiTheme="majorHAnsi" w:cstheme="majorHAnsi"/>
          <w:color w:val="auto"/>
          <w:u w:val="none"/>
          <w:lang w:val="en-GB"/>
        </w:rPr>
      </w:pPr>
    </w:p>
    <w:p w14:paraId="662514C0" w14:textId="7490256E" w:rsidR="00201661" w:rsidRPr="0089105D" w:rsidRDefault="00201661" w:rsidP="00201661">
      <w:pPr>
        <w:spacing w:line="360" w:lineRule="auto"/>
        <w:jc w:val="both"/>
        <w:rPr>
          <w:rStyle w:val="Hyperlink"/>
          <w:rFonts w:asciiTheme="majorHAnsi" w:hAnsiTheme="majorHAnsi" w:cstheme="majorHAnsi"/>
          <w:color w:val="auto"/>
          <w:u w:val="none"/>
          <w:lang w:val="en-GB"/>
        </w:rPr>
      </w:pPr>
      <w:r w:rsidRPr="0089105D">
        <w:rPr>
          <w:rStyle w:val="Hyperlink"/>
          <w:rFonts w:asciiTheme="majorHAnsi" w:hAnsiTheme="majorHAnsi" w:cstheme="majorHAnsi"/>
          <w:color w:val="auto"/>
          <w:u w:val="none"/>
          <w:lang w:val="en-GB"/>
        </w:rPr>
        <w:t xml:space="preserve">Another poignant example is the ongoing conflict in Yemen, one of the most extensive humanitarian crises, which has transformed Yemen into a failed state, disrupting access to justice, weakening institutions, and threatening the rule of law. The Yemen war has resulted in thousands facing starvation, forced displacement, and the pervasive spread of physical and gender-based violence. Governance in Yemen has suffered as different factions, amidst chaos and violence, have asserted control over various parts of the country, imposing their own rules and regulations. This institutional uncertainty and the inability to restore order have led to the collapse of the justice system, leaving individuals without access to fair and impartial legal proceedings. It is evident that conflict and instability do not provide an enabling environment for SDG </w:t>
      </w:r>
      <w:r w:rsidRPr="0089105D">
        <w:rPr>
          <w:rStyle w:val="Hyperlink"/>
          <w:rFonts w:asciiTheme="majorHAnsi" w:hAnsiTheme="majorHAnsi" w:cstheme="majorHAnsi"/>
          <w:color w:val="auto"/>
          <w:u w:val="none"/>
          <w:lang w:val="en-GB"/>
        </w:rPr>
        <w:t>fulfilment</w:t>
      </w:r>
      <w:r w:rsidRPr="0089105D">
        <w:rPr>
          <w:rStyle w:val="Hyperlink"/>
          <w:rFonts w:asciiTheme="majorHAnsi" w:hAnsiTheme="majorHAnsi" w:cstheme="majorHAnsi"/>
          <w:color w:val="auto"/>
          <w:u w:val="none"/>
          <w:lang w:val="en-GB"/>
        </w:rPr>
        <w:t>; instead, they jeopardize the achievement of all SDGs.</w:t>
      </w:r>
    </w:p>
    <w:p w14:paraId="26C55DA2" w14:textId="77777777" w:rsidR="00201661" w:rsidRPr="0089105D" w:rsidRDefault="00201661" w:rsidP="00201661">
      <w:pPr>
        <w:spacing w:line="360" w:lineRule="auto"/>
        <w:jc w:val="both"/>
        <w:rPr>
          <w:rStyle w:val="Hyperlink"/>
          <w:rFonts w:asciiTheme="majorHAnsi" w:hAnsiTheme="majorHAnsi" w:cstheme="majorHAnsi"/>
          <w:color w:val="auto"/>
          <w:lang w:val="en-GB"/>
        </w:rPr>
      </w:pPr>
    </w:p>
    <w:p w14:paraId="7EDE7833" w14:textId="77777777" w:rsidR="00201661" w:rsidRPr="0089105D" w:rsidRDefault="00201661" w:rsidP="00201661">
      <w:pPr>
        <w:spacing w:line="360" w:lineRule="auto"/>
        <w:jc w:val="both"/>
        <w:rPr>
          <w:rStyle w:val="Hyperlink"/>
          <w:rFonts w:asciiTheme="majorHAnsi" w:hAnsiTheme="majorHAnsi" w:cstheme="majorHAnsi"/>
          <w:color w:val="auto"/>
          <w:lang w:val="en-GB"/>
        </w:rPr>
      </w:pPr>
    </w:p>
    <w:p w14:paraId="35B79ED0" w14:textId="77777777" w:rsidR="008C2AC9" w:rsidRPr="0089105D" w:rsidRDefault="008C2AC9" w:rsidP="008C2AC9">
      <w:pPr>
        <w:spacing w:line="360" w:lineRule="auto"/>
        <w:jc w:val="both"/>
        <w:rPr>
          <w:rFonts w:asciiTheme="majorHAnsi" w:hAnsiTheme="majorHAnsi" w:cstheme="majorHAnsi"/>
          <w:lang w:val="en-GB"/>
        </w:rPr>
      </w:pPr>
      <w:r w:rsidRPr="0089105D">
        <w:rPr>
          <w:rFonts w:asciiTheme="majorHAnsi" w:hAnsiTheme="majorHAnsi" w:cstheme="majorHAnsi"/>
          <w:lang w:val="en-GB"/>
        </w:rPr>
        <w:t xml:space="preserve">In conclusion, a critical examination of sustainability, particularly the tripartite framework emphasizing economic, social, and environmental pillars, has drawn substantial critique from scholars and articles arising from data analyses. This critique extends to the realm of Sustainable Development Goals (SDGs), where a numerical disparity between social and environmental goals is observable, leading to instances where states prioritize the former over the latter in pursuit of economic and social advancement. An alternative perspective, introduced by the Stockholm Resilience </w:t>
      </w:r>
      <w:proofErr w:type="spellStart"/>
      <w:r w:rsidRPr="0089105D">
        <w:rPr>
          <w:rFonts w:asciiTheme="majorHAnsi" w:hAnsiTheme="majorHAnsi" w:cstheme="majorHAnsi"/>
          <w:lang w:val="en-GB"/>
        </w:rPr>
        <w:t>Center</w:t>
      </w:r>
      <w:proofErr w:type="spellEnd"/>
      <w:r w:rsidRPr="0089105D">
        <w:rPr>
          <w:rFonts w:asciiTheme="majorHAnsi" w:hAnsiTheme="majorHAnsi" w:cstheme="majorHAnsi"/>
          <w:lang w:val="en-GB"/>
        </w:rPr>
        <w:t xml:space="preserve"> through the Wedding Cake model, challenges this notion by positing environmental goals as a prerequisite for achieving social and economic progress, contingent on ensuring sufficient biocapacity. The synthesized evidence from these analyses suggests that SDG 13, focusing on climate action, ought to be accorded higher value than other goals due to its pivotal role and detrimental impact on the </w:t>
      </w:r>
      <w:proofErr w:type="spellStart"/>
      <w:r w:rsidRPr="0089105D">
        <w:rPr>
          <w:rFonts w:asciiTheme="majorHAnsi" w:hAnsiTheme="majorHAnsi" w:cstheme="majorHAnsi"/>
          <w:lang w:val="en-GB"/>
        </w:rPr>
        <w:t>fulfillment</w:t>
      </w:r>
      <w:proofErr w:type="spellEnd"/>
      <w:r w:rsidRPr="0089105D">
        <w:rPr>
          <w:rFonts w:asciiTheme="majorHAnsi" w:hAnsiTheme="majorHAnsi" w:cstheme="majorHAnsi"/>
          <w:lang w:val="en-GB"/>
        </w:rPr>
        <w:t xml:space="preserve"> of other SDGs.</w:t>
      </w:r>
    </w:p>
    <w:p w14:paraId="60547271" w14:textId="77777777" w:rsidR="008C2AC9" w:rsidRPr="0089105D" w:rsidRDefault="008C2AC9" w:rsidP="008C2AC9">
      <w:pPr>
        <w:spacing w:line="360" w:lineRule="auto"/>
        <w:jc w:val="both"/>
        <w:rPr>
          <w:rFonts w:asciiTheme="majorHAnsi" w:hAnsiTheme="majorHAnsi" w:cstheme="majorHAnsi"/>
          <w:lang w:val="en-GB"/>
        </w:rPr>
      </w:pPr>
    </w:p>
    <w:p w14:paraId="79D51118" w14:textId="0F1778D2" w:rsidR="00D11DE3" w:rsidRPr="0089105D" w:rsidRDefault="008C2AC9" w:rsidP="008C2AC9">
      <w:pPr>
        <w:spacing w:line="360" w:lineRule="auto"/>
        <w:jc w:val="both"/>
        <w:rPr>
          <w:rFonts w:asciiTheme="majorHAnsi" w:hAnsiTheme="majorHAnsi" w:cstheme="majorHAnsi"/>
          <w:lang w:val="en-GB"/>
        </w:rPr>
      </w:pPr>
      <w:r w:rsidRPr="0089105D">
        <w:rPr>
          <w:rFonts w:asciiTheme="majorHAnsi" w:hAnsiTheme="majorHAnsi" w:cstheme="majorHAnsi"/>
          <w:lang w:val="en-GB"/>
        </w:rPr>
        <w:t>Conversely, an alternate line of evidence elevates the importance of SDG 16, emphasizing peace as a precondition for achieving progress in other goals. As a result, this discourse posits that both SDG 13 and SDG 16 should be ascribed higher value and necessitate prioritization by states in their pursuit of sustainable development objectives.</w:t>
      </w:r>
    </w:p>
    <w:p w14:paraId="1282BDB3" w14:textId="3CB4325A" w:rsidR="004A5250" w:rsidRPr="0089105D" w:rsidRDefault="004A5250" w:rsidP="008C2AC9">
      <w:pPr>
        <w:spacing w:line="360" w:lineRule="auto"/>
        <w:jc w:val="both"/>
        <w:rPr>
          <w:rFonts w:asciiTheme="majorHAnsi" w:hAnsiTheme="majorHAnsi" w:cstheme="majorHAnsi"/>
          <w:lang w:val="en-GB"/>
        </w:rPr>
      </w:pPr>
    </w:p>
    <w:p w14:paraId="67FC749E" w14:textId="5B12CE01" w:rsidR="004A5250" w:rsidRPr="0089105D" w:rsidRDefault="004A5250" w:rsidP="008C2AC9">
      <w:pPr>
        <w:spacing w:line="360" w:lineRule="auto"/>
        <w:jc w:val="both"/>
        <w:rPr>
          <w:rFonts w:asciiTheme="majorHAnsi" w:hAnsiTheme="majorHAnsi" w:cstheme="majorHAnsi"/>
          <w:lang w:val="en-GB"/>
        </w:rPr>
      </w:pPr>
    </w:p>
    <w:p w14:paraId="7B75D8D2" w14:textId="730BF609" w:rsidR="004A5250" w:rsidRPr="0089105D" w:rsidRDefault="004A5250" w:rsidP="008C2AC9">
      <w:pPr>
        <w:spacing w:line="360" w:lineRule="auto"/>
        <w:jc w:val="both"/>
        <w:rPr>
          <w:rFonts w:asciiTheme="majorHAnsi" w:hAnsiTheme="majorHAnsi" w:cstheme="majorHAnsi"/>
          <w:lang w:val="en-GB"/>
        </w:rPr>
      </w:pPr>
    </w:p>
    <w:p w14:paraId="2CEA99F4" w14:textId="3F20E1A9" w:rsidR="004A5250" w:rsidRPr="0089105D" w:rsidRDefault="004A5250" w:rsidP="008C2AC9">
      <w:pPr>
        <w:spacing w:line="360" w:lineRule="auto"/>
        <w:jc w:val="both"/>
        <w:rPr>
          <w:rFonts w:asciiTheme="majorHAnsi" w:hAnsiTheme="majorHAnsi" w:cstheme="majorHAnsi"/>
          <w:lang w:val="en-GB"/>
        </w:rPr>
      </w:pPr>
    </w:p>
    <w:p w14:paraId="6B7DD6D3" w14:textId="55A752F7" w:rsidR="004A5250" w:rsidRPr="0089105D" w:rsidRDefault="004A5250" w:rsidP="008C2AC9">
      <w:pPr>
        <w:spacing w:line="360" w:lineRule="auto"/>
        <w:jc w:val="both"/>
        <w:rPr>
          <w:rFonts w:asciiTheme="majorHAnsi" w:hAnsiTheme="majorHAnsi" w:cstheme="majorHAnsi"/>
          <w:lang w:val="en-GB"/>
        </w:rPr>
      </w:pPr>
    </w:p>
    <w:p w14:paraId="0F26A061" w14:textId="57E36A20" w:rsidR="004A5250" w:rsidRPr="0089105D" w:rsidRDefault="004A5250" w:rsidP="008C2AC9">
      <w:pPr>
        <w:spacing w:line="360" w:lineRule="auto"/>
        <w:jc w:val="both"/>
        <w:rPr>
          <w:rFonts w:asciiTheme="majorHAnsi" w:hAnsiTheme="majorHAnsi" w:cstheme="majorHAnsi"/>
          <w:lang w:val="en-GB"/>
        </w:rPr>
      </w:pPr>
    </w:p>
    <w:p w14:paraId="4A6B3301" w14:textId="0D907DFD" w:rsidR="004A5250" w:rsidRPr="0089105D" w:rsidRDefault="004A5250" w:rsidP="008C2AC9">
      <w:pPr>
        <w:spacing w:line="360" w:lineRule="auto"/>
        <w:jc w:val="both"/>
        <w:rPr>
          <w:rFonts w:asciiTheme="majorHAnsi" w:hAnsiTheme="majorHAnsi" w:cstheme="majorHAnsi"/>
          <w:lang w:val="en-GB"/>
        </w:rPr>
      </w:pPr>
    </w:p>
    <w:p w14:paraId="7B3E1777" w14:textId="18173827" w:rsidR="004A5250" w:rsidRPr="0089105D" w:rsidRDefault="004A5250" w:rsidP="008C2AC9">
      <w:pPr>
        <w:spacing w:line="360" w:lineRule="auto"/>
        <w:jc w:val="both"/>
        <w:rPr>
          <w:rFonts w:asciiTheme="majorHAnsi" w:hAnsiTheme="majorHAnsi" w:cstheme="majorHAnsi"/>
          <w:lang w:val="en-GB"/>
        </w:rPr>
      </w:pPr>
    </w:p>
    <w:p w14:paraId="4DD1F6D3" w14:textId="0AF6E182" w:rsidR="004A5250" w:rsidRPr="0089105D" w:rsidRDefault="004A5250" w:rsidP="008C2AC9">
      <w:pPr>
        <w:spacing w:line="360" w:lineRule="auto"/>
        <w:jc w:val="both"/>
        <w:rPr>
          <w:rFonts w:asciiTheme="majorHAnsi" w:hAnsiTheme="majorHAnsi" w:cstheme="majorHAnsi"/>
          <w:lang w:val="en-GB"/>
        </w:rPr>
      </w:pPr>
    </w:p>
    <w:p w14:paraId="3C35FE6F" w14:textId="77777777" w:rsidR="004A5250" w:rsidRPr="0089105D" w:rsidRDefault="004A5250" w:rsidP="008C2AC9">
      <w:pPr>
        <w:spacing w:line="360" w:lineRule="auto"/>
        <w:jc w:val="both"/>
        <w:rPr>
          <w:rFonts w:asciiTheme="majorHAnsi" w:hAnsiTheme="majorHAnsi" w:cstheme="majorHAnsi"/>
          <w:lang w:val="en-GB"/>
        </w:rPr>
      </w:pPr>
    </w:p>
    <w:p w14:paraId="3BA63FAC" w14:textId="77777777" w:rsidR="008C2AC9" w:rsidRPr="0089105D" w:rsidRDefault="008C2AC9" w:rsidP="008C2AC9">
      <w:pPr>
        <w:spacing w:line="360" w:lineRule="auto"/>
        <w:jc w:val="both"/>
        <w:rPr>
          <w:rFonts w:asciiTheme="majorHAnsi" w:hAnsiTheme="majorHAnsi" w:cstheme="majorHAnsi"/>
          <w:lang w:val="en-GB"/>
        </w:rPr>
      </w:pPr>
    </w:p>
    <w:p w14:paraId="2E6BC7B9" w14:textId="64F3AD88" w:rsidR="00501463" w:rsidRPr="0089105D" w:rsidRDefault="00522539" w:rsidP="00501463">
      <w:pPr>
        <w:pStyle w:val="Heading1"/>
        <w:rPr>
          <w:rFonts w:cstheme="majorHAnsi"/>
          <w:b/>
          <w:bCs/>
          <w:color w:val="auto"/>
          <w:lang w:val="en-GB"/>
        </w:rPr>
      </w:pPr>
      <w:bookmarkStart w:id="119" w:name="_Toc153142487"/>
      <w:bookmarkStart w:id="120" w:name="_Toc153187417"/>
      <w:r w:rsidRPr="0089105D">
        <w:rPr>
          <w:rFonts w:cstheme="majorHAnsi"/>
          <w:b/>
          <w:bCs/>
          <w:color w:val="auto"/>
          <w:lang w:val="en-GB"/>
        </w:rPr>
        <w:t>3.</w:t>
      </w:r>
      <w:r w:rsidR="009119FF" w:rsidRPr="0089105D">
        <w:rPr>
          <w:rFonts w:cstheme="majorHAnsi"/>
          <w:b/>
          <w:bCs/>
          <w:color w:val="auto"/>
          <w:lang w:val="en-GB"/>
        </w:rPr>
        <w:t>7</w:t>
      </w:r>
      <w:r w:rsidRPr="0089105D">
        <w:rPr>
          <w:rFonts w:cstheme="majorHAnsi"/>
          <w:b/>
          <w:bCs/>
          <w:color w:val="auto"/>
          <w:lang w:val="en-GB"/>
        </w:rPr>
        <w:t xml:space="preserve"> </w:t>
      </w:r>
      <w:r w:rsidR="00501463" w:rsidRPr="0089105D">
        <w:rPr>
          <w:rFonts w:cstheme="majorHAnsi"/>
          <w:b/>
          <w:bCs/>
          <w:color w:val="auto"/>
          <w:lang w:val="en-GB"/>
        </w:rPr>
        <w:t>Non-legally binding</w:t>
      </w:r>
      <w:bookmarkEnd w:id="119"/>
      <w:r w:rsidR="00501463" w:rsidRPr="0089105D">
        <w:rPr>
          <w:rFonts w:cstheme="majorHAnsi"/>
          <w:b/>
          <w:bCs/>
          <w:color w:val="auto"/>
          <w:lang w:val="en-GB"/>
        </w:rPr>
        <w:t xml:space="preserve"> </w:t>
      </w:r>
      <w:r w:rsidR="004A5250" w:rsidRPr="0089105D">
        <w:rPr>
          <w:rFonts w:cstheme="majorHAnsi"/>
          <w:b/>
          <w:bCs/>
          <w:color w:val="auto"/>
          <w:lang w:val="en-GB"/>
        </w:rPr>
        <w:t>nature</w:t>
      </w:r>
      <w:bookmarkEnd w:id="120"/>
    </w:p>
    <w:p w14:paraId="0683CA5B" w14:textId="77777777" w:rsidR="00522539" w:rsidRPr="0089105D" w:rsidRDefault="00522539" w:rsidP="00522539">
      <w:pPr>
        <w:spacing w:line="360" w:lineRule="auto"/>
        <w:jc w:val="both"/>
        <w:rPr>
          <w:rFonts w:asciiTheme="majorHAnsi" w:hAnsiTheme="majorHAnsi" w:cstheme="majorHAnsi"/>
          <w:highlight w:val="yellow"/>
          <w:lang w:val="en-GB"/>
        </w:rPr>
      </w:pPr>
    </w:p>
    <w:p w14:paraId="5FDCD301" w14:textId="77777777" w:rsidR="008C2AC9" w:rsidRPr="0089105D" w:rsidRDefault="008C2AC9" w:rsidP="008C2AC9">
      <w:pPr>
        <w:spacing w:line="360" w:lineRule="auto"/>
        <w:jc w:val="both"/>
        <w:rPr>
          <w:rFonts w:asciiTheme="majorHAnsi" w:hAnsiTheme="majorHAnsi" w:cstheme="majorHAnsi"/>
        </w:rPr>
      </w:pPr>
      <w:r w:rsidRPr="0089105D">
        <w:rPr>
          <w:rFonts w:asciiTheme="majorHAnsi" w:hAnsiTheme="majorHAnsi" w:cstheme="majorHAnsi"/>
        </w:rPr>
        <w:t>While the sustainable development agenda provides guidance on achieving a profound level of sustainability across various spheres, Friedman (2016) highlights a major deficiency of the Sustainable Development Goals (SDGs) in his article – the goals are not inherently legally binding. Biermann et al. (2017) characterize the nature of SDGs enforcement as "detached from the international legal system." In essence, states are not legally obligated to fulfill their commitments, and consequently, non-compliance with the goals does not incur penalties, providing no passive motivation for states to fulfill their agendas (Spangenberg, 2017).</w:t>
      </w:r>
    </w:p>
    <w:p w14:paraId="3597AA20" w14:textId="77777777" w:rsidR="008C2AC9" w:rsidRPr="0089105D" w:rsidRDefault="008C2AC9" w:rsidP="008C2AC9">
      <w:pPr>
        <w:spacing w:line="360" w:lineRule="auto"/>
        <w:jc w:val="both"/>
        <w:rPr>
          <w:rFonts w:asciiTheme="majorHAnsi" w:hAnsiTheme="majorHAnsi" w:cstheme="majorHAnsi"/>
        </w:rPr>
      </w:pPr>
    </w:p>
    <w:p w14:paraId="16666286" w14:textId="77777777" w:rsidR="008C2AC9" w:rsidRPr="0089105D" w:rsidRDefault="008C2AC9" w:rsidP="008C2AC9">
      <w:pPr>
        <w:spacing w:line="360" w:lineRule="auto"/>
        <w:jc w:val="both"/>
        <w:rPr>
          <w:rFonts w:asciiTheme="majorHAnsi" w:hAnsiTheme="majorHAnsi" w:cstheme="majorHAnsi"/>
        </w:rPr>
      </w:pPr>
      <w:r w:rsidRPr="0089105D">
        <w:rPr>
          <w:rFonts w:asciiTheme="majorHAnsi" w:hAnsiTheme="majorHAnsi" w:cstheme="majorHAnsi"/>
        </w:rPr>
        <w:t>Viewed through the lens of political realism, one might argue that the most unsustainable practices of states can be easily overlooked. While some scholars commend the participatory approaches made possible by the lack of legal codification, others criticize the non-mandatory nature. Stemming from liberalist notions of global governance, this criticism can be explained by applying realist assumptions regarding the balance of power, state ecocentrism, a drive for national interest over collective interests, and a high degree of selfishness among great powers and hegemonies. Consequently, the legal codification of SDGs could be seen as a potential platform for states to collectively implement their agenda (for those with a liberal perception of international relations) or as a limitation on states' national interest and selfishness (for political realists) (</w:t>
      </w:r>
      <w:proofErr w:type="spellStart"/>
      <w:r w:rsidRPr="0089105D">
        <w:rPr>
          <w:rFonts w:asciiTheme="majorHAnsi" w:hAnsiTheme="majorHAnsi" w:cstheme="majorHAnsi"/>
        </w:rPr>
        <w:t>Berridge</w:t>
      </w:r>
      <w:proofErr w:type="spellEnd"/>
      <w:r w:rsidRPr="0089105D">
        <w:rPr>
          <w:rFonts w:asciiTheme="majorHAnsi" w:hAnsiTheme="majorHAnsi" w:cstheme="majorHAnsi"/>
        </w:rPr>
        <w:t>, 2001).</w:t>
      </w:r>
    </w:p>
    <w:p w14:paraId="70DE5A6F" w14:textId="77777777" w:rsidR="008C2AC9" w:rsidRPr="0089105D" w:rsidRDefault="008C2AC9" w:rsidP="008C2AC9">
      <w:pPr>
        <w:spacing w:line="360" w:lineRule="auto"/>
        <w:jc w:val="both"/>
        <w:rPr>
          <w:rFonts w:asciiTheme="majorHAnsi" w:hAnsiTheme="majorHAnsi" w:cstheme="majorHAnsi"/>
        </w:rPr>
      </w:pPr>
    </w:p>
    <w:p w14:paraId="72F4F10F" w14:textId="486A8B9E" w:rsidR="00522539" w:rsidRPr="0089105D" w:rsidRDefault="008C2AC9" w:rsidP="008C2AC9">
      <w:pPr>
        <w:spacing w:line="360" w:lineRule="auto"/>
        <w:jc w:val="both"/>
        <w:rPr>
          <w:rFonts w:asciiTheme="majorHAnsi" w:hAnsiTheme="majorHAnsi" w:cstheme="majorHAnsi"/>
        </w:rPr>
      </w:pPr>
      <w:r w:rsidRPr="0089105D">
        <w:rPr>
          <w:rFonts w:asciiTheme="majorHAnsi" w:hAnsiTheme="majorHAnsi" w:cstheme="majorHAnsi"/>
        </w:rPr>
        <w:lastRenderedPageBreak/>
        <w:t xml:space="preserve">It is not entirely accurate to assert that SDGs are entirely excluded from the international legal system. Kim (2016) analyzed the "proxy" nexus between international law and the SDGs, noting that they did not emerge from a normative vacuum but are grounded in international law. The author highlighted existing international legal sources, such as the 1945 UN Charter, the 1948 Universal Declaration of Human Rights, the 2015 Paris Agreement, the 1997 Kyoto Protocol, or the 2002 ILA New Delhi Declaration of Principles of International Law Relating to Sustainable Development, among others. Kim (2016) also pointed out that the main tenets of sustainability were long established in International Court of Justice (ICJ) rulings, emphasizing the need to reconcile economic development with environmental protection. Additionally, </w:t>
      </w:r>
      <w:proofErr w:type="spellStart"/>
      <w:r w:rsidRPr="0089105D">
        <w:rPr>
          <w:rFonts w:asciiTheme="majorHAnsi" w:hAnsiTheme="majorHAnsi" w:cstheme="majorHAnsi"/>
        </w:rPr>
        <w:t>Ebesson</w:t>
      </w:r>
      <w:proofErr w:type="spellEnd"/>
      <w:r w:rsidRPr="0089105D">
        <w:rPr>
          <w:rFonts w:asciiTheme="majorHAnsi" w:hAnsiTheme="majorHAnsi" w:cstheme="majorHAnsi"/>
        </w:rPr>
        <w:t xml:space="preserve"> (2022) emphasized that certain SDGs are enshrined in existing agreements such as the Convention on Biological Diversity or the United Nations Convention to Combat Desertification. Notably, in 2023, a new treaty regarding SDG 14, the protection of oceans, was concluded, named the High Seas Treaty.</w:t>
      </w:r>
    </w:p>
    <w:p w14:paraId="3A7B015E" w14:textId="77777777" w:rsidR="008C2AC9" w:rsidRPr="0089105D" w:rsidRDefault="008C2AC9" w:rsidP="008C2AC9">
      <w:pPr>
        <w:spacing w:line="360" w:lineRule="auto"/>
        <w:jc w:val="both"/>
        <w:rPr>
          <w:rFonts w:asciiTheme="majorHAnsi" w:hAnsiTheme="majorHAnsi" w:cstheme="majorHAnsi"/>
          <w:highlight w:val="yellow"/>
        </w:rPr>
      </w:pPr>
    </w:p>
    <w:p w14:paraId="326BFA8E" w14:textId="77777777" w:rsidR="008C2AC9" w:rsidRPr="0089105D" w:rsidRDefault="008C2AC9" w:rsidP="008C2AC9">
      <w:pPr>
        <w:spacing w:line="360" w:lineRule="auto"/>
        <w:jc w:val="both"/>
        <w:rPr>
          <w:rFonts w:asciiTheme="majorHAnsi" w:hAnsiTheme="majorHAnsi" w:cstheme="majorHAnsi"/>
        </w:rPr>
      </w:pPr>
      <w:r w:rsidRPr="0089105D">
        <w:rPr>
          <w:rFonts w:asciiTheme="majorHAnsi" w:hAnsiTheme="majorHAnsi" w:cstheme="majorHAnsi"/>
        </w:rPr>
        <w:t>This statement could further serve as evidence that there is an undeniable link between the established norms of international law and the SDGs; nevertheless, the current system is more "sporadic in nature" and hence contains tremendous inconsistencies, as the system does not approach a degree of fully efficient and explicit codification of all the SDGs. Either a more comprehensive systematic framework could be established, comprising and legalizing every single SDG, or the principles of sustainable development could be enshrined in bloc legislation based on the type of sustainable development that the legislative framework would enforce, for instance, "the Convention on Sustainable Social Development," "the Convention on Sustainable Environmental Development," and "the Convention on Sustainable Economic Development." All these would translate the targets and indicators into legal norms, which would actively push states to implement the goals by 2030 as they would be legally bound to do so.</w:t>
      </w:r>
    </w:p>
    <w:p w14:paraId="7377D719" w14:textId="77777777" w:rsidR="008C2AC9" w:rsidRPr="0089105D" w:rsidRDefault="008C2AC9" w:rsidP="008C2AC9">
      <w:pPr>
        <w:spacing w:line="360" w:lineRule="auto"/>
        <w:jc w:val="both"/>
        <w:rPr>
          <w:rFonts w:asciiTheme="majorHAnsi" w:hAnsiTheme="majorHAnsi" w:cstheme="majorHAnsi"/>
        </w:rPr>
      </w:pPr>
    </w:p>
    <w:p w14:paraId="1928815A" w14:textId="6CB82503" w:rsidR="00522539" w:rsidRPr="0089105D" w:rsidRDefault="008C2AC9" w:rsidP="008C2AC9">
      <w:pPr>
        <w:spacing w:line="360" w:lineRule="auto"/>
        <w:jc w:val="both"/>
        <w:rPr>
          <w:rFonts w:asciiTheme="majorHAnsi" w:hAnsiTheme="majorHAnsi" w:cstheme="majorHAnsi"/>
        </w:rPr>
      </w:pPr>
      <w:r w:rsidRPr="0089105D">
        <w:rPr>
          <w:rFonts w:asciiTheme="majorHAnsi" w:hAnsiTheme="majorHAnsi" w:cstheme="majorHAnsi"/>
        </w:rPr>
        <w:t xml:space="preserve">While the invention and emergence of new legal mechanisms might sound too good to be true, its birth might have a dark side. In fact, it is questionable whether, within the given timeframe, the international community would be able to implement and accept such legislation and also, if the international system in its current settings enables appropriate enforcement of the international legal norms and thus, would act as a driving force if the sustainable development agenda ever becomes legally codified. This problem stems from the nature of international law. Unlike national law, as its name implies, international law refers to legal norms concluded </w:t>
      </w:r>
      <w:r w:rsidRPr="0089105D">
        <w:rPr>
          <w:rFonts w:asciiTheme="majorHAnsi" w:hAnsiTheme="majorHAnsi" w:cstheme="majorHAnsi"/>
        </w:rPr>
        <w:lastRenderedPageBreak/>
        <w:t xml:space="preserve">predominantly among states that are deemed to possess their sovereignty, and therefore, in practice, there is no above authority over them, meaning that international law can be made solely if states give their consent. Hence, </w:t>
      </w:r>
      <w:proofErr w:type="spellStart"/>
      <w:r w:rsidRPr="0089105D">
        <w:rPr>
          <w:rFonts w:asciiTheme="majorHAnsi" w:hAnsiTheme="majorHAnsi" w:cstheme="majorHAnsi"/>
        </w:rPr>
        <w:t>Klabbers</w:t>
      </w:r>
      <w:proofErr w:type="spellEnd"/>
      <w:r w:rsidRPr="0089105D">
        <w:rPr>
          <w:rFonts w:asciiTheme="majorHAnsi" w:hAnsiTheme="majorHAnsi" w:cstheme="majorHAnsi"/>
        </w:rPr>
        <w:t xml:space="preserve"> (2017) proclaimed international law to be a </w:t>
      </w:r>
      <w:r w:rsidR="009119FF" w:rsidRPr="0089105D">
        <w:rPr>
          <w:rFonts w:asciiTheme="majorHAnsi" w:hAnsiTheme="majorHAnsi" w:cstheme="majorHAnsi"/>
        </w:rPr>
        <w:t>“</w:t>
      </w:r>
      <w:r w:rsidRPr="0089105D">
        <w:rPr>
          <w:rFonts w:asciiTheme="majorHAnsi" w:hAnsiTheme="majorHAnsi" w:cstheme="majorHAnsi"/>
        </w:rPr>
        <w:t>consensual system.</w:t>
      </w:r>
      <w:r w:rsidR="009119FF" w:rsidRPr="0089105D">
        <w:rPr>
          <w:rFonts w:asciiTheme="majorHAnsi" w:hAnsiTheme="majorHAnsi" w:cstheme="majorHAnsi"/>
        </w:rPr>
        <w:t>”</w:t>
      </w:r>
      <w:r w:rsidRPr="0089105D">
        <w:rPr>
          <w:rFonts w:asciiTheme="majorHAnsi" w:hAnsiTheme="majorHAnsi" w:cstheme="majorHAnsi"/>
        </w:rPr>
        <w:t xml:space="preserve"> (</w:t>
      </w:r>
      <w:proofErr w:type="spellStart"/>
      <w:r w:rsidRPr="0089105D">
        <w:rPr>
          <w:rFonts w:asciiTheme="majorHAnsi" w:hAnsiTheme="majorHAnsi" w:cstheme="majorHAnsi"/>
        </w:rPr>
        <w:t>Klabbers</w:t>
      </w:r>
      <w:proofErr w:type="spellEnd"/>
      <w:r w:rsidRPr="0089105D">
        <w:rPr>
          <w:rFonts w:asciiTheme="majorHAnsi" w:hAnsiTheme="majorHAnsi" w:cstheme="majorHAnsi"/>
        </w:rPr>
        <w:t>, 2017, p. 12-15) Numerous political neorealists have analyzed this problem further; for instance, Waltz (1974) highlighted the anarchic nature of the international system, where states are not supervised, and he emphasized that there is no superior authority enforcing the transboundary legal norms. (Waltz, 1974) In other words, unlike internal legal enforcement within a state, in the international arena, the executive authority, such as "police in the national system," is lacking. Surely, there have been various international active legal mechanisms that became a stage for states to settle their disputes, such as the International Court of Justice, the International Criminal Law, or the International Court of Human Rights; nonetheless, their efficiency lies in states' willingness to be a party in such a dispute or conflict resolution procedure (Shaw, 2001).</w:t>
      </w:r>
    </w:p>
    <w:p w14:paraId="2DDAB816" w14:textId="77777777" w:rsidR="008C2AC9" w:rsidRPr="0089105D" w:rsidRDefault="008C2AC9" w:rsidP="008C2AC9">
      <w:pPr>
        <w:spacing w:line="360" w:lineRule="auto"/>
        <w:jc w:val="both"/>
        <w:rPr>
          <w:rFonts w:asciiTheme="majorHAnsi" w:hAnsiTheme="majorHAnsi" w:cstheme="majorHAnsi"/>
          <w:highlight w:val="yellow"/>
          <w:lang w:val="en-GB"/>
        </w:rPr>
      </w:pPr>
    </w:p>
    <w:p w14:paraId="04C4F1FF" w14:textId="77777777" w:rsidR="00457533" w:rsidRPr="0089105D" w:rsidRDefault="00457533" w:rsidP="00522539">
      <w:pPr>
        <w:spacing w:line="360" w:lineRule="auto"/>
        <w:jc w:val="both"/>
        <w:rPr>
          <w:rFonts w:asciiTheme="majorHAnsi" w:hAnsiTheme="majorHAnsi" w:cstheme="majorHAnsi"/>
          <w:lang w:val="en-GB"/>
        </w:rPr>
      </w:pPr>
      <w:r w:rsidRPr="0089105D">
        <w:rPr>
          <w:rFonts w:asciiTheme="majorHAnsi" w:hAnsiTheme="majorHAnsi" w:cstheme="majorHAnsi"/>
          <w:lang w:val="en-GB"/>
        </w:rPr>
        <w:t>One could demonstrate this problem using the following case study: the enforcement of the Kyoto Protocol. In 1997, in the spirit of combating climate change, the international community agreed to reduce the number of greenhouse gases and CO2 emissions into the atmosphere for industrialized countries, aiming specifically to lower the amount below the level of emissions in 1990. While the effort to establish such a legal base marked the first-ever incentive on an international level to decrease CO2 contributions, it led to 191 countries ratifying and thus becoming parties to this legislation (Falkner, 2019). However, some countries never signed this legislation, especially those whose economies were highly reliant on industry and heavily polluted the atmosphere, such as the United States, a hegemony. Another convenient example would be Canada, which was a signatory party to the Protocol but never ratified it and even withdrew 15 years afterward (Peterson, 2009).</w:t>
      </w:r>
    </w:p>
    <w:p w14:paraId="019205EA" w14:textId="77777777" w:rsidR="00457533" w:rsidRPr="0089105D" w:rsidRDefault="00457533" w:rsidP="00522539">
      <w:pPr>
        <w:spacing w:line="360" w:lineRule="auto"/>
        <w:jc w:val="both"/>
        <w:rPr>
          <w:rFonts w:asciiTheme="majorHAnsi" w:hAnsiTheme="majorHAnsi" w:cstheme="majorHAnsi"/>
          <w:lang w:val="en-GB"/>
        </w:rPr>
      </w:pPr>
    </w:p>
    <w:p w14:paraId="3B6334AD" w14:textId="12848940" w:rsidR="00501463" w:rsidRPr="0089105D" w:rsidRDefault="00501463" w:rsidP="00522539">
      <w:pPr>
        <w:spacing w:line="360" w:lineRule="auto"/>
        <w:jc w:val="both"/>
        <w:rPr>
          <w:rFonts w:asciiTheme="majorHAnsi" w:hAnsiTheme="majorHAnsi" w:cstheme="majorHAnsi"/>
          <w:lang w:val="en-GB"/>
        </w:rPr>
      </w:pPr>
      <w:r w:rsidRPr="0089105D">
        <w:rPr>
          <w:rFonts w:asciiTheme="majorHAnsi" w:hAnsiTheme="majorHAnsi" w:cstheme="majorHAnsi"/>
          <w:lang w:val="en-GB"/>
        </w:rPr>
        <w:t xml:space="preserve">This problematic was a referent object of </w:t>
      </w:r>
      <w:r w:rsidRPr="0089105D">
        <w:rPr>
          <w:rFonts w:asciiTheme="majorHAnsi" w:hAnsiTheme="majorHAnsi" w:cstheme="majorHAnsi"/>
        </w:rPr>
        <w:t>Morgenthau</w:t>
      </w:r>
      <w:r w:rsidRPr="0089105D">
        <w:rPr>
          <w:rFonts w:asciiTheme="majorHAnsi" w:hAnsiTheme="majorHAnsi" w:cstheme="majorHAnsi"/>
          <w:lang w:val="en-GB"/>
        </w:rPr>
        <w:t>’s (1949) work,</w:t>
      </w:r>
      <w:r w:rsidRPr="0089105D">
        <w:rPr>
          <w:rFonts w:asciiTheme="majorHAnsi" w:hAnsiTheme="majorHAnsi" w:cstheme="majorHAnsi"/>
        </w:rPr>
        <w:t xml:space="preserve"> </w:t>
      </w:r>
      <w:r w:rsidRPr="0089105D">
        <w:rPr>
          <w:rFonts w:asciiTheme="majorHAnsi" w:hAnsiTheme="majorHAnsi" w:cstheme="majorHAnsi"/>
          <w:lang w:val="en-GB"/>
        </w:rPr>
        <w:t xml:space="preserve">called the Politics Amongst nations, </w:t>
      </w:r>
      <w:r w:rsidRPr="0089105D">
        <w:rPr>
          <w:rFonts w:asciiTheme="majorHAnsi" w:hAnsiTheme="majorHAnsi" w:cstheme="majorHAnsi"/>
        </w:rPr>
        <w:t>a realist classic</w:t>
      </w:r>
      <w:r w:rsidRPr="0089105D">
        <w:rPr>
          <w:rFonts w:asciiTheme="majorHAnsi" w:hAnsiTheme="majorHAnsi" w:cstheme="majorHAnsi"/>
          <w:lang w:val="en-GB"/>
        </w:rPr>
        <w:t xml:space="preserve"> that</w:t>
      </w:r>
      <w:r w:rsidRPr="0089105D">
        <w:rPr>
          <w:rFonts w:asciiTheme="majorHAnsi" w:hAnsiTheme="majorHAnsi" w:cstheme="majorHAnsi"/>
        </w:rPr>
        <w:t xml:space="preserve"> explains how the power is distributed in the international community and how hegemonies have power to sway the norms in the manner they desire</w:t>
      </w:r>
      <w:r w:rsidRPr="0089105D">
        <w:rPr>
          <w:rFonts w:asciiTheme="majorHAnsi" w:hAnsiTheme="majorHAnsi" w:cstheme="majorHAnsi"/>
          <w:lang w:val="en-GB"/>
        </w:rPr>
        <w:t xml:space="preserve"> because of the political and economic interdependency of less powerful states on hegemonies. Again, t</w:t>
      </w:r>
      <w:r w:rsidRPr="0089105D">
        <w:rPr>
          <w:rFonts w:asciiTheme="majorHAnsi" w:hAnsiTheme="majorHAnsi" w:cstheme="majorHAnsi"/>
        </w:rPr>
        <w:t>his could be very relevant point put in context with the SDGs.</w:t>
      </w:r>
      <w:r w:rsidRPr="0089105D">
        <w:rPr>
          <w:rFonts w:asciiTheme="majorHAnsi" w:hAnsiTheme="majorHAnsi" w:cstheme="majorHAnsi"/>
          <w:lang w:val="en-GB"/>
        </w:rPr>
        <w:t xml:space="preserve"> (Morgenthau, 1949)</w:t>
      </w:r>
      <w:r w:rsidRPr="0089105D">
        <w:rPr>
          <w:rFonts w:asciiTheme="majorHAnsi" w:hAnsiTheme="majorHAnsi" w:cstheme="majorHAnsi"/>
        </w:rPr>
        <w:t xml:space="preserve"> For example, if one observes closely the current hegemony, the United States, it becomes apparent that some of the theoretical paradigms could be applicable in practice. Whilst the rest of the international community relatively “globally” signed and ratified arguably the most recent </w:t>
      </w:r>
      <w:r w:rsidRPr="0089105D">
        <w:rPr>
          <w:rFonts w:asciiTheme="majorHAnsi" w:hAnsiTheme="majorHAnsi" w:cstheme="majorHAnsi"/>
        </w:rPr>
        <w:lastRenderedPageBreak/>
        <w:t xml:space="preserve">environmental contract, strongly arising from the SDGs, the </w:t>
      </w:r>
      <w:r w:rsidRPr="0089105D">
        <w:rPr>
          <w:rFonts w:asciiTheme="majorHAnsi" w:hAnsiTheme="majorHAnsi" w:cstheme="majorHAnsi"/>
          <w:i/>
          <w:iCs/>
        </w:rPr>
        <w:t>2015 Paris Agreement</w:t>
      </w:r>
      <w:r w:rsidRPr="0089105D">
        <w:rPr>
          <w:rFonts w:asciiTheme="majorHAnsi" w:hAnsiTheme="majorHAnsi" w:cstheme="majorHAnsi"/>
        </w:rPr>
        <w:t>, the United States infamously withdrawn from the treaty in 2017. Such action, committed by smaller and “less-prominent” power would be faced with economic sanctions, freeze of diplomatic relations and other forms of soft power which would lead to the state compliance and re-consideration.</w:t>
      </w:r>
      <w:r w:rsidRPr="0089105D">
        <w:rPr>
          <w:rFonts w:asciiTheme="majorHAnsi" w:hAnsiTheme="majorHAnsi" w:cstheme="majorHAnsi"/>
          <w:lang w:val="en-GB"/>
        </w:rPr>
        <w:t xml:space="preserve"> </w:t>
      </w:r>
      <w:r w:rsidRPr="0089105D">
        <w:rPr>
          <w:rFonts w:asciiTheme="majorHAnsi" w:hAnsiTheme="majorHAnsi" w:cstheme="majorHAnsi"/>
        </w:rPr>
        <w:t xml:space="preserve"> Nonetheless, since the US is indeed a hegemony, and the rest of the international community is heavily dependent on its economic, military and political power, which in practice means that the US can get away with actions like this. The same is applicable to another emerging hegemony, China, which happened to bypass the international law oftentimes,</w:t>
      </w:r>
      <w:r w:rsidRPr="0089105D">
        <w:rPr>
          <w:rFonts w:asciiTheme="majorHAnsi" w:hAnsiTheme="majorHAnsi" w:cstheme="majorHAnsi"/>
          <w:lang w:val="en-GB"/>
        </w:rPr>
        <w:t xml:space="preserve"> such as in the </w:t>
      </w:r>
      <w:r w:rsidRPr="0089105D">
        <w:rPr>
          <w:rFonts w:asciiTheme="majorHAnsi" w:hAnsiTheme="majorHAnsi" w:cstheme="majorHAnsi"/>
          <w:i/>
          <w:iCs/>
          <w:lang w:val="en-GB"/>
        </w:rPr>
        <w:t xml:space="preserve">Philippines v. China </w:t>
      </w:r>
      <w:r w:rsidRPr="0089105D">
        <w:rPr>
          <w:rFonts w:asciiTheme="majorHAnsi" w:hAnsiTheme="majorHAnsi" w:cstheme="majorHAnsi"/>
          <w:lang w:val="en-GB"/>
        </w:rPr>
        <w:t>(South China Sea Arbitration, ICJ, 2019),</w:t>
      </w:r>
      <w:r w:rsidRPr="0089105D">
        <w:rPr>
          <w:rFonts w:asciiTheme="majorHAnsi" w:hAnsiTheme="majorHAnsi" w:cstheme="majorHAnsi"/>
        </w:rPr>
        <w:t xml:space="preserve"> without any profound consequences.</w:t>
      </w:r>
      <w:r w:rsidRPr="0089105D">
        <w:rPr>
          <w:rFonts w:asciiTheme="majorHAnsi" w:hAnsiTheme="majorHAnsi" w:cstheme="majorHAnsi"/>
        </w:rPr>
        <w:tab/>
      </w:r>
      <w:r w:rsidRPr="0089105D">
        <w:rPr>
          <w:rFonts w:asciiTheme="majorHAnsi" w:hAnsiTheme="majorHAnsi" w:cstheme="majorHAnsi"/>
          <w:lang w:val="en-GB"/>
        </w:rPr>
        <w:t xml:space="preserve"> (De Castro, 2018) (Jones, 2016)</w:t>
      </w:r>
    </w:p>
    <w:p w14:paraId="7924C455" w14:textId="77777777" w:rsidR="00522539" w:rsidRPr="0089105D" w:rsidRDefault="00522539" w:rsidP="00522539">
      <w:pPr>
        <w:spacing w:line="360" w:lineRule="auto"/>
        <w:jc w:val="both"/>
        <w:rPr>
          <w:rFonts w:asciiTheme="majorHAnsi" w:hAnsiTheme="majorHAnsi" w:cstheme="majorHAnsi"/>
          <w:highlight w:val="yellow"/>
          <w:lang w:val="en-GB"/>
        </w:rPr>
      </w:pPr>
    </w:p>
    <w:p w14:paraId="67E8A1B1" w14:textId="52FAC357" w:rsidR="00501463" w:rsidRPr="0089105D" w:rsidRDefault="00501463" w:rsidP="00522539">
      <w:pPr>
        <w:spacing w:line="360" w:lineRule="auto"/>
        <w:jc w:val="both"/>
        <w:rPr>
          <w:rFonts w:asciiTheme="majorHAnsi" w:hAnsiTheme="majorHAnsi" w:cstheme="majorHAnsi"/>
          <w:lang w:val="en-GB"/>
        </w:rPr>
      </w:pPr>
      <w:r w:rsidRPr="0089105D">
        <w:rPr>
          <w:rFonts w:asciiTheme="majorHAnsi" w:hAnsiTheme="majorHAnsi" w:cstheme="majorHAnsi"/>
          <w:lang w:val="en-GB"/>
        </w:rPr>
        <w:t>To summarise, it is not certain if translation of SDGs into framework in the sphere of public international law would be fully efficient due to states sovereignty and consensual nature of international law.</w:t>
      </w:r>
      <w:r w:rsidRPr="0089105D">
        <w:rPr>
          <w:rStyle w:val="FootnoteReference"/>
          <w:rFonts w:asciiTheme="majorHAnsi" w:hAnsiTheme="majorHAnsi" w:cstheme="majorHAnsi"/>
          <w:lang w:val="en-GB"/>
        </w:rPr>
        <w:t xml:space="preserve"> </w:t>
      </w:r>
      <w:r w:rsidRPr="0089105D">
        <w:rPr>
          <w:rFonts w:asciiTheme="majorHAnsi" w:hAnsiTheme="majorHAnsi" w:cstheme="majorHAnsi"/>
          <w:lang w:val="en-GB"/>
        </w:rPr>
        <w:t xml:space="preserve">Therefore, if implemented, it is essential to acknowledge the risks linked to its implementation. </w:t>
      </w:r>
    </w:p>
    <w:p w14:paraId="42ADB419" w14:textId="4E74BB67" w:rsidR="00522539" w:rsidRPr="0089105D" w:rsidRDefault="00522539" w:rsidP="00522539">
      <w:pPr>
        <w:spacing w:line="360" w:lineRule="auto"/>
        <w:jc w:val="both"/>
        <w:rPr>
          <w:rFonts w:asciiTheme="majorHAnsi" w:hAnsiTheme="majorHAnsi" w:cstheme="majorHAnsi"/>
          <w:highlight w:val="yellow"/>
          <w:lang w:val="en-GB"/>
        </w:rPr>
      </w:pPr>
    </w:p>
    <w:p w14:paraId="2913FDDB" w14:textId="017DD4ED" w:rsidR="00457533" w:rsidRPr="0089105D" w:rsidRDefault="00457533" w:rsidP="00457533">
      <w:pPr>
        <w:spacing w:line="360" w:lineRule="auto"/>
        <w:jc w:val="both"/>
        <w:rPr>
          <w:rFonts w:asciiTheme="majorHAnsi" w:hAnsiTheme="majorHAnsi" w:cstheme="majorHAnsi"/>
          <w:lang w:val="en-GB"/>
        </w:rPr>
      </w:pPr>
      <w:r w:rsidRPr="0089105D">
        <w:rPr>
          <w:rFonts w:asciiTheme="majorHAnsi" w:hAnsiTheme="majorHAnsi" w:cstheme="majorHAnsi"/>
          <w:lang w:val="en-GB"/>
        </w:rPr>
        <w:t>Arguably, a potential solution to prevent low participation would be treating and accepting some SDGs as 'jus cogens' norms (</w:t>
      </w:r>
      <w:proofErr w:type="spellStart"/>
      <w:r w:rsidRPr="0089105D">
        <w:rPr>
          <w:rFonts w:asciiTheme="majorHAnsi" w:hAnsiTheme="majorHAnsi" w:cstheme="majorHAnsi"/>
          <w:lang w:val="en-GB"/>
        </w:rPr>
        <w:t>Kleinklein</w:t>
      </w:r>
      <w:proofErr w:type="spellEnd"/>
      <w:r w:rsidRPr="0089105D">
        <w:rPr>
          <w:rFonts w:asciiTheme="majorHAnsi" w:hAnsiTheme="majorHAnsi" w:cstheme="majorHAnsi"/>
          <w:lang w:val="en-GB"/>
        </w:rPr>
        <w:t xml:space="preserve">, 2017, p. 309-317). Jus cogens is a so-called 'peremptory' norm, embodying a fundamental principle of international law accepted by the international community and which must not be derogated from under any circumstances. By the same token, jus cogens belongs to </w:t>
      </w:r>
      <w:proofErr w:type="spellStart"/>
      <w:r w:rsidRPr="0089105D">
        <w:rPr>
          <w:rFonts w:asciiTheme="majorHAnsi" w:hAnsiTheme="majorHAnsi" w:cstheme="majorHAnsi"/>
          <w:lang w:val="en-GB"/>
        </w:rPr>
        <w:t>erga</w:t>
      </w:r>
      <w:proofErr w:type="spellEnd"/>
      <w:r w:rsidRPr="0089105D">
        <w:rPr>
          <w:rFonts w:asciiTheme="majorHAnsi" w:hAnsiTheme="majorHAnsi" w:cstheme="majorHAnsi"/>
          <w:lang w:val="en-GB"/>
        </w:rPr>
        <w:t xml:space="preserve"> omnes norms owned by the whole international community (</w:t>
      </w:r>
      <w:proofErr w:type="spellStart"/>
      <w:r w:rsidRPr="0089105D">
        <w:rPr>
          <w:rFonts w:asciiTheme="majorHAnsi" w:hAnsiTheme="majorHAnsi" w:cstheme="majorHAnsi"/>
          <w:lang w:val="en-GB"/>
        </w:rPr>
        <w:t>Klabbers</w:t>
      </w:r>
      <w:proofErr w:type="spellEnd"/>
      <w:r w:rsidRPr="0089105D">
        <w:rPr>
          <w:rFonts w:asciiTheme="majorHAnsi" w:hAnsiTheme="majorHAnsi" w:cstheme="majorHAnsi"/>
          <w:lang w:val="en-GB"/>
        </w:rPr>
        <w:t>, 2017, p. 58). The concept of jus cogens is important because it helps establish a hierarchy of norms in international law, with jus cogens norms at the top of the importance of international law (Shaw, 2001). This means that if a state violates a jus cogens norm, it can be held accountable by the international community, even if it has not ratified the relevant treaty or convention. Additionally, jus cogens norms provide a basis for the international community to intervene in the internal affairs of a state to protect fundamental human rights. Traditionally, jus cogens norms comprise the most heinous actions, such as genocide, piracy, or slavery. Nonetheless, recently, numerous scholars started to ponder whether climate change commitments would not be applicable via a jus cogens norm (Cervantes, 2022) (Kotze</w:t>
      </w:r>
      <w:r w:rsidR="00DA6076" w:rsidRPr="0089105D">
        <w:rPr>
          <w:rFonts w:asciiTheme="majorHAnsi" w:hAnsiTheme="majorHAnsi" w:cstheme="majorHAnsi"/>
          <w:lang w:val="en-GB"/>
        </w:rPr>
        <w:t xml:space="preserve"> and </w:t>
      </w:r>
      <w:proofErr w:type="spellStart"/>
      <w:r w:rsidR="00DA6076" w:rsidRPr="0089105D">
        <w:rPr>
          <w:rFonts w:asciiTheme="majorHAnsi" w:hAnsiTheme="majorHAnsi" w:cstheme="majorHAnsi"/>
          <w:lang w:val="en-GB"/>
        </w:rPr>
        <w:t>Muzangaza</w:t>
      </w:r>
      <w:proofErr w:type="spellEnd"/>
      <w:r w:rsidRPr="0089105D">
        <w:rPr>
          <w:rFonts w:asciiTheme="majorHAnsi" w:hAnsiTheme="majorHAnsi" w:cstheme="majorHAnsi"/>
          <w:lang w:val="en-GB"/>
        </w:rPr>
        <w:t>, 2016).</w:t>
      </w:r>
    </w:p>
    <w:p w14:paraId="7EFE8AA7" w14:textId="77777777" w:rsidR="00457533" w:rsidRPr="0089105D" w:rsidRDefault="00457533" w:rsidP="00457533">
      <w:pPr>
        <w:spacing w:line="360" w:lineRule="auto"/>
        <w:jc w:val="both"/>
        <w:rPr>
          <w:rFonts w:asciiTheme="majorHAnsi" w:hAnsiTheme="majorHAnsi" w:cstheme="majorHAnsi"/>
          <w:lang w:val="en-GB"/>
        </w:rPr>
      </w:pPr>
    </w:p>
    <w:p w14:paraId="6F462E24" w14:textId="2067173C" w:rsidR="00457533" w:rsidRPr="0089105D" w:rsidRDefault="00457533" w:rsidP="00457533">
      <w:pPr>
        <w:spacing w:line="360" w:lineRule="auto"/>
        <w:jc w:val="both"/>
        <w:rPr>
          <w:rFonts w:asciiTheme="majorHAnsi" w:hAnsiTheme="majorHAnsi" w:cstheme="majorHAnsi"/>
          <w:highlight w:val="yellow"/>
          <w:lang w:val="en-GB"/>
        </w:rPr>
      </w:pPr>
      <w:r w:rsidRPr="0089105D">
        <w:rPr>
          <w:rFonts w:asciiTheme="majorHAnsi" w:hAnsiTheme="majorHAnsi" w:cstheme="majorHAnsi"/>
          <w:lang w:val="en-GB"/>
        </w:rPr>
        <w:t xml:space="preserve">Since climate change is a global issue that poses a threat to the environment, human rights, and sustainable development, it is widely recognized that the impacts of climate change have the </w:t>
      </w:r>
      <w:r w:rsidRPr="0089105D">
        <w:rPr>
          <w:rFonts w:asciiTheme="majorHAnsi" w:hAnsiTheme="majorHAnsi" w:cstheme="majorHAnsi"/>
          <w:lang w:val="en-GB"/>
        </w:rPr>
        <w:lastRenderedPageBreak/>
        <w:t>potential to affect the entire world population, including future generations. This is also the reason why the principles of jus cogens are being applied to climate change in the following ways</w:t>
      </w:r>
      <w:r w:rsidRPr="0089105D">
        <w:rPr>
          <w:rFonts w:asciiTheme="majorHAnsi" w:hAnsiTheme="majorHAnsi" w:cstheme="majorHAnsi"/>
          <w:lang w:val="en-GB"/>
        </w:rPr>
        <w:t xml:space="preserve">. </w:t>
      </w:r>
    </w:p>
    <w:p w14:paraId="18042F6C" w14:textId="77777777" w:rsidR="00457533" w:rsidRPr="0089105D" w:rsidRDefault="00457533" w:rsidP="00457533">
      <w:pPr>
        <w:spacing w:line="360" w:lineRule="auto"/>
        <w:jc w:val="both"/>
        <w:rPr>
          <w:rFonts w:asciiTheme="majorHAnsi" w:hAnsiTheme="majorHAnsi" w:cstheme="majorHAnsi"/>
          <w:lang w:val="en-GB"/>
        </w:rPr>
      </w:pPr>
      <w:r w:rsidRPr="0089105D">
        <w:rPr>
          <w:rFonts w:asciiTheme="majorHAnsi" w:hAnsiTheme="majorHAnsi" w:cstheme="majorHAnsi"/>
          <w:lang w:val="en-GB"/>
        </w:rPr>
        <w:t>Firstly, jus cogens norms include the right to a healthy environment, recognized as a basic human right. Climate change has the potential to cause significant harm to the environment, including the destruction of ecosystems, biodiversity loss, and changes in weather patterns. The right to a healthy environment may be invoked to protect against the impacts of climate change, and therefore, it has higher legal value.</w:t>
      </w:r>
    </w:p>
    <w:p w14:paraId="739C0EE2" w14:textId="77777777" w:rsidR="00457533" w:rsidRPr="0089105D" w:rsidRDefault="00457533" w:rsidP="00457533">
      <w:pPr>
        <w:spacing w:line="360" w:lineRule="auto"/>
        <w:jc w:val="both"/>
        <w:rPr>
          <w:rFonts w:asciiTheme="majorHAnsi" w:hAnsiTheme="majorHAnsi" w:cstheme="majorHAnsi"/>
          <w:lang w:val="en-GB"/>
        </w:rPr>
      </w:pPr>
    </w:p>
    <w:p w14:paraId="44F3ED56" w14:textId="77777777" w:rsidR="00457533" w:rsidRPr="0089105D" w:rsidRDefault="00457533" w:rsidP="00457533">
      <w:pPr>
        <w:spacing w:line="360" w:lineRule="auto"/>
        <w:jc w:val="both"/>
        <w:rPr>
          <w:rFonts w:asciiTheme="majorHAnsi" w:hAnsiTheme="majorHAnsi" w:cstheme="majorHAnsi"/>
          <w:lang w:val="en-GB"/>
        </w:rPr>
      </w:pPr>
      <w:r w:rsidRPr="0089105D">
        <w:rPr>
          <w:rFonts w:asciiTheme="majorHAnsi" w:hAnsiTheme="majorHAnsi" w:cstheme="majorHAnsi"/>
          <w:lang w:val="en-GB"/>
        </w:rPr>
        <w:t>Secondly, another basis of jus cogens is the duty to prevent harm. This principle requires states to take steps to prevent harm to the environment and human rights, including the impacts of climate change. States have a duty to take measures to mitigate the causes and effects of climate change, including reducing greenhouse gas emissions and promoting sustainable development.</w:t>
      </w:r>
    </w:p>
    <w:p w14:paraId="5CE4D22F" w14:textId="77777777" w:rsidR="00457533" w:rsidRPr="0089105D" w:rsidRDefault="00457533" w:rsidP="00457533">
      <w:pPr>
        <w:spacing w:line="360" w:lineRule="auto"/>
        <w:jc w:val="both"/>
        <w:rPr>
          <w:rFonts w:asciiTheme="majorHAnsi" w:hAnsiTheme="majorHAnsi" w:cstheme="majorHAnsi"/>
          <w:lang w:val="en-GB"/>
        </w:rPr>
      </w:pPr>
    </w:p>
    <w:p w14:paraId="51603C06" w14:textId="77777777" w:rsidR="00457533" w:rsidRPr="0089105D" w:rsidRDefault="00457533" w:rsidP="00457533">
      <w:pPr>
        <w:spacing w:line="360" w:lineRule="auto"/>
        <w:jc w:val="both"/>
        <w:rPr>
          <w:rFonts w:asciiTheme="majorHAnsi" w:hAnsiTheme="majorHAnsi" w:cstheme="majorHAnsi"/>
          <w:lang w:val="en-GB"/>
        </w:rPr>
      </w:pPr>
      <w:r w:rsidRPr="0089105D">
        <w:rPr>
          <w:rFonts w:asciiTheme="majorHAnsi" w:hAnsiTheme="majorHAnsi" w:cstheme="majorHAnsi"/>
          <w:lang w:val="en-GB"/>
        </w:rPr>
        <w:t>Thirdly, jus cogens norms also include the principle of intergenerational equity, recognizing the need to protect the rights of future generations. Climate change poses a threat to future generations, who will be most affected by its impacts. The principle of intergenerational equity may be invoked to protect the rights of future generations and ensure that they are not unfairly burdened by the impacts of climate change (Cervantes, 2022).</w:t>
      </w:r>
    </w:p>
    <w:p w14:paraId="73EBA20B" w14:textId="77777777" w:rsidR="00457533" w:rsidRPr="0089105D" w:rsidRDefault="00457533" w:rsidP="00457533">
      <w:pPr>
        <w:spacing w:line="360" w:lineRule="auto"/>
        <w:jc w:val="both"/>
        <w:rPr>
          <w:rFonts w:asciiTheme="majorHAnsi" w:hAnsiTheme="majorHAnsi" w:cstheme="majorHAnsi"/>
          <w:lang w:val="en-GB"/>
        </w:rPr>
      </w:pPr>
    </w:p>
    <w:p w14:paraId="4E8990EB" w14:textId="75BDC9A7" w:rsidR="00457533" w:rsidRPr="0089105D" w:rsidRDefault="00457533" w:rsidP="00457533">
      <w:pPr>
        <w:spacing w:line="360" w:lineRule="auto"/>
        <w:jc w:val="both"/>
        <w:rPr>
          <w:rFonts w:asciiTheme="majorHAnsi" w:hAnsiTheme="majorHAnsi" w:cstheme="majorHAnsi"/>
          <w:lang w:val="en-GB"/>
        </w:rPr>
      </w:pPr>
      <w:r w:rsidRPr="0089105D">
        <w:rPr>
          <w:rFonts w:asciiTheme="majorHAnsi" w:hAnsiTheme="majorHAnsi" w:cstheme="majorHAnsi"/>
          <w:lang w:val="en-GB"/>
        </w:rPr>
        <w:t>Additionally, SDG 16, which focuses on peace, justice, and strong institutions, aligns with the principles of jus cogens by emphasizing the importance of accountable and inclusive governance. Recognizing the interdependence of peace and sustainability, SDG 16 contributes to the overall framework, promoting the rule of law and addressing social inequalities for a more just and equitable society</w:t>
      </w:r>
    </w:p>
    <w:p w14:paraId="0CEDFB51" w14:textId="77777777" w:rsidR="00457533" w:rsidRPr="0089105D" w:rsidRDefault="00457533" w:rsidP="00457533">
      <w:pPr>
        <w:spacing w:line="360" w:lineRule="auto"/>
        <w:jc w:val="both"/>
        <w:rPr>
          <w:rFonts w:asciiTheme="majorHAnsi" w:hAnsiTheme="majorHAnsi" w:cstheme="majorHAnsi"/>
          <w:highlight w:val="yellow"/>
          <w:lang w:val="en-GB"/>
        </w:rPr>
      </w:pPr>
    </w:p>
    <w:p w14:paraId="121AF54A" w14:textId="77777777" w:rsidR="00457533" w:rsidRPr="0089105D" w:rsidRDefault="00457533" w:rsidP="00457533">
      <w:pPr>
        <w:spacing w:line="360" w:lineRule="auto"/>
        <w:jc w:val="both"/>
        <w:rPr>
          <w:rFonts w:asciiTheme="majorHAnsi" w:hAnsiTheme="majorHAnsi" w:cstheme="majorHAnsi"/>
          <w:lang w:val="en-GB"/>
        </w:rPr>
      </w:pPr>
      <w:bookmarkStart w:id="121" w:name="_Toc153142488"/>
      <w:r w:rsidRPr="0089105D">
        <w:rPr>
          <w:rFonts w:asciiTheme="majorHAnsi" w:hAnsiTheme="majorHAnsi" w:cstheme="majorHAnsi"/>
          <w:lang w:val="en-GB"/>
        </w:rPr>
        <w:t>Hence, a plausible recommendation lies in the designation of the pivotal SDGs—13 and 16—as jus cogens norms. By elevating these goals to this status, they would not only embody fundamental principles accepted by the entire international community (</w:t>
      </w:r>
      <w:proofErr w:type="spellStart"/>
      <w:r w:rsidRPr="0089105D">
        <w:rPr>
          <w:rFonts w:asciiTheme="majorHAnsi" w:hAnsiTheme="majorHAnsi" w:cstheme="majorHAnsi"/>
          <w:lang w:val="en-GB"/>
        </w:rPr>
        <w:t>erga</w:t>
      </w:r>
      <w:proofErr w:type="spellEnd"/>
      <w:r w:rsidRPr="0089105D">
        <w:rPr>
          <w:rFonts w:asciiTheme="majorHAnsi" w:hAnsiTheme="majorHAnsi" w:cstheme="majorHAnsi"/>
          <w:lang w:val="en-GB"/>
        </w:rPr>
        <w:t xml:space="preserve"> omnes) but also enforceable with dire consequences for non-compliance. Both SDGs, addressing climate change and conflicts, exert profound impacts on the global community, justifying their consideration as jus cogens and </w:t>
      </w:r>
      <w:proofErr w:type="spellStart"/>
      <w:r w:rsidRPr="0089105D">
        <w:rPr>
          <w:rFonts w:asciiTheme="majorHAnsi" w:hAnsiTheme="majorHAnsi" w:cstheme="majorHAnsi"/>
          <w:lang w:val="en-GB"/>
        </w:rPr>
        <w:t>erga</w:t>
      </w:r>
      <w:proofErr w:type="spellEnd"/>
      <w:r w:rsidRPr="0089105D">
        <w:rPr>
          <w:rFonts w:asciiTheme="majorHAnsi" w:hAnsiTheme="majorHAnsi" w:cstheme="majorHAnsi"/>
          <w:lang w:val="en-GB"/>
        </w:rPr>
        <w:t xml:space="preserve"> omnes norms.</w:t>
      </w:r>
    </w:p>
    <w:p w14:paraId="550430A1" w14:textId="77777777" w:rsidR="00457533" w:rsidRPr="0089105D" w:rsidRDefault="00457533" w:rsidP="00457533">
      <w:pPr>
        <w:rPr>
          <w:lang w:val="en-GB"/>
        </w:rPr>
      </w:pPr>
    </w:p>
    <w:p w14:paraId="4B83CC8F" w14:textId="4A5CC051" w:rsidR="0023287E" w:rsidRPr="0089105D" w:rsidRDefault="00522539" w:rsidP="0023287E">
      <w:pPr>
        <w:pStyle w:val="Heading1"/>
        <w:rPr>
          <w:rFonts w:cstheme="majorHAnsi"/>
          <w:b/>
          <w:bCs/>
          <w:color w:val="auto"/>
          <w:lang w:val="en-GB"/>
        </w:rPr>
      </w:pPr>
      <w:bookmarkStart w:id="122" w:name="_Toc153187418"/>
      <w:r w:rsidRPr="0089105D">
        <w:rPr>
          <w:rFonts w:cstheme="majorHAnsi"/>
          <w:b/>
          <w:bCs/>
          <w:color w:val="auto"/>
          <w:lang w:val="en-GB"/>
        </w:rPr>
        <w:lastRenderedPageBreak/>
        <w:t>3.</w:t>
      </w:r>
      <w:r w:rsidR="009119FF" w:rsidRPr="0089105D">
        <w:rPr>
          <w:rFonts w:cstheme="majorHAnsi"/>
          <w:b/>
          <w:bCs/>
          <w:color w:val="auto"/>
          <w:lang w:val="en-GB"/>
        </w:rPr>
        <w:t>8</w:t>
      </w:r>
      <w:r w:rsidRPr="0089105D">
        <w:rPr>
          <w:rFonts w:cstheme="majorHAnsi"/>
          <w:b/>
          <w:bCs/>
          <w:color w:val="auto"/>
          <w:lang w:val="en-GB"/>
        </w:rPr>
        <w:t xml:space="preserve"> </w:t>
      </w:r>
      <w:r w:rsidR="00501463" w:rsidRPr="0089105D">
        <w:rPr>
          <w:rFonts w:cstheme="majorHAnsi"/>
          <w:b/>
          <w:bCs/>
          <w:color w:val="auto"/>
          <w:lang w:val="en-GB"/>
        </w:rPr>
        <w:t>Vague</w:t>
      </w:r>
      <w:r w:rsidRPr="0089105D">
        <w:rPr>
          <w:rFonts w:cstheme="majorHAnsi"/>
          <w:b/>
          <w:bCs/>
          <w:color w:val="auto"/>
          <w:lang w:val="en-GB"/>
        </w:rPr>
        <w:t>ness</w:t>
      </w:r>
      <w:bookmarkEnd w:id="121"/>
      <w:bookmarkEnd w:id="122"/>
    </w:p>
    <w:p w14:paraId="3B47EB16" w14:textId="77777777" w:rsidR="00890E5D" w:rsidRPr="0089105D" w:rsidRDefault="00890E5D" w:rsidP="00890E5D">
      <w:pPr>
        <w:pStyle w:val="Heading1"/>
        <w:rPr>
          <w:rFonts w:cstheme="majorHAnsi"/>
          <w:color w:val="auto"/>
          <w:lang w:val="en-GB"/>
        </w:rPr>
      </w:pPr>
    </w:p>
    <w:p w14:paraId="2E3809CF" w14:textId="77777777" w:rsidR="009119FF" w:rsidRPr="0089105D" w:rsidRDefault="009119FF" w:rsidP="009119FF">
      <w:pPr>
        <w:spacing w:line="360" w:lineRule="auto"/>
        <w:jc w:val="both"/>
        <w:rPr>
          <w:rFonts w:asciiTheme="majorHAnsi" w:hAnsiTheme="majorHAnsi" w:cstheme="majorHAnsi"/>
          <w:lang w:val="en-GB"/>
        </w:rPr>
      </w:pPr>
      <w:r w:rsidRPr="0089105D">
        <w:rPr>
          <w:rFonts w:asciiTheme="majorHAnsi" w:hAnsiTheme="majorHAnsi" w:cstheme="majorHAnsi"/>
          <w:lang w:val="en-GB"/>
        </w:rPr>
        <w:t>The characteristic of high ambiguity within the Sustainable Development Goals (SDGs) can be perceived both as a strength and a weakness. According to Burger and Parker (2022), this ambiguity provides states with 'interpretive' flexibility, enabling them to tailor the interpretation and implementation of the goals to their specific context, thereby avoiding a rigid 'one size fits all' approach (Burger and Parker, 2022, p. 17-23).</w:t>
      </w:r>
    </w:p>
    <w:p w14:paraId="36DD0D7C" w14:textId="77777777" w:rsidR="009119FF" w:rsidRPr="0089105D" w:rsidRDefault="009119FF" w:rsidP="009119FF">
      <w:pPr>
        <w:spacing w:line="360" w:lineRule="auto"/>
        <w:jc w:val="both"/>
        <w:rPr>
          <w:rFonts w:asciiTheme="majorHAnsi" w:hAnsiTheme="majorHAnsi" w:cstheme="majorHAnsi"/>
          <w:lang w:val="en-GB"/>
        </w:rPr>
      </w:pPr>
    </w:p>
    <w:p w14:paraId="6E5A2A37" w14:textId="3EE9A647" w:rsidR="00501463" w:rsidRPr="0089105D" w:rsidRDefault="009119FF" w:rsidP="009119FF">
      <w:pPr>
        <w:spacing w:line="360" w:lineRule="auto"/>
        <w:jc w:val="both"/>
        <w:rPr>
          <w:rFonts w:asciiTheme="majorHAnsi" w:hAnsiTheme="majorHAnsi" w:cstheme="majorHAnsi"/>
          <w:lang w:val="en-GB"/>
        </w:rPr>
      </w:pPr>
      <w:r w:rsidRPr="0089105D">
        <w:rPr>
          <w:rFonts w:asciiTheme="majorHAnsi" w:hAnsiTheme="majorHAnsi" w:cstheme="majorHAnsi"/>
          <w:lang w:val="en-GB"/>
        </w:rPr>
        <w:t>On the positive side, a high degree of flexibility opens up space for innovation, allowing states to explore novel approaches and solutions to achieve the goals. As pointed out by Langford (2016), this flexibility also supports an inclusive approach, permitting diverse stakeholders to contribute their expertise toward the goals. The unrestrictive nature of SDGs and their liberal interpretation can, in reality, be more efficient than adopting narrow and restrictive policy sets, especially considering the global application of SDGs across states with varying levels of sustainable development (Langford, 2016). However, this flexibility, when viewed through a critical lens, can be a double-edged sword, as observed in the data analysis.</w:t>
      </w:r>
    </w:p>
    <w:p w14:paraId="249CD680" w14:textId="77777777" w:rsidR="009119FF" w:rsidRPr="0089105D" w:rsidRDefault="009119FF" w:rsidP="009119FF">
      <w:pPr>
        <w:spacing w:line="360" w:lineRule="auto"/>
        <w:jc w:val="both"/>
        <w:rPr>
          <w:rFonts w:asciiTheme="majorHAnsi" w:hAnsiTheme="majorHAnsi" w:cstheme="majorHAnsi"/>
          <w:lang w:val="en-GB"/>
        </w:rPr>
      </w:pPr>
    </w:p>
    <w:p w14:paraId="320AF8E1" w14:textId="38707F32" w:rsidR="009119FF" w:rsidRPr="0089105D" w:rsidRDefault="009119FF" w:rsidP="009119FF">
      <w:pPr>
        <w:spacing w:line="360" w:lineRule="auto"/>
        <w:jc w:val="both"/>
        <w:rPr>
          <w:rFonts w:asciiTheme="majorHAnsi" w:hAnsiTheme="majorHAnsi" w:cstheme="majorHAnsi"/>
          <w:lang w:val="en-GB"/>
        </w:rPr>
      </w:pPr>
      <w:bookmarkStart w:id="123" w:name="_Toc132266335"/>
      <w:bookmarkStart w:id="124" w:name="_Toc153142489"/>
      <w:proofErr w:type="spellStart"/>
      <w:r w:rsidRPr="0089105D">
        <w:rPr>
          <w:rFonts w:asciiTheme="majorHAnsi" w:hAnsiTheme="majorHAnsi" w:cstheme="majorHAnsi"/>
          <w:lang w:val="en-GB"/>
        </w:rPr>
        <w:t>Engelbretsen</w:t>
      </w:r>
      <w:proofErr w:type="spellEnd"/>
      <w:r w:rsidRPr="0089105D">
        <w:rPr>
          <w:rFonts w:asciiTheme="majorHAnsi" w:hAnsiTheme="majorHAnsi" w:cstheme="majorHAnsi"/>
          <w:lang w:val="en-GB"/>
        </w:rPr>
        <w:t xml:space="preserve">, </w:t>
      </w:r>
      <w:proofErr w:type="spellStart"/>
      <w:r w:rsidRPr="0089105D">
        <w:rPr>
          <w:rFonts w:asciiTheme="majorHAnsi" w:hAnsiTheme="majorHAnsi" w:cstheme="majorHAnsi"/>
          <w:lang w:val="en-GB"/>
        </w:rPr>
        <w:t>Heggen</w:t>
      </w:r>
      <w:proofErr w:type="spellEnd"/>
      <w:r w:rsidRPr="0089105D">
        <w:rPr>
          <w:rFonts w:asciiTheme="majorHAnsi" w:hAnsiTheme="majorHAnsi" w:cstheme="majorHAnsi"/>
          <w:lang w:val="en-GB"/>
        </w:rPr>
        <w:t xml:space="preserve"> and </w:t>
      </w:r>
      <w:proofErr w:type="spellStart"/>
      <w:r w:rsidRPr="0089105D">
        <w:rPr>
          <w:rFonts w:asciiTheme="majorHAnsi" w:hAnsiTheme="majorHAnsi" w:cstheme="majorHAnsi"/>
          <w:lang w:val="en-GB"/>
        </w:rPr>
        <w:t>Ottersen</w:t>
      </w:r>
      <w:proofErr w:type="spellEnd"/>
      <w:r w:rsidRPr="0089105D">
        <w:rPr>
          <w:rFonts w:asciiTheme="majorHAnsi" w:hAnsiTheme="majorHAnsi" w:cstheme="majorHAnsi"/>
          <w:lang w:val="en-GB"/>
        </w:rPr>
        <w:t xml:space="preserve"> (2017) contend that the issue with SDGs may be rooted in its ambiguous language, particularly in the distinction between the </w:t>
      </w:r>
      <w:r w:rsidRPr="0089105D">
        <w:rPr>
          <w:rFonts w:asciiTheme="majorHAnsi" w:hAnsiTheme="majorHAnsi" w:cstheme="majorHAnsi"/>
          <w:lang w:val="en-GB"/>
        </w:rPr>
        <w:t>“</w:t>
      </w:r>
      <w:r w:rsidRPr="0089105D">
        <w:rPr>
          <w:rFonts w:asciiTheme="majorHAnsi" w:hAnsiTheme="majorHAnsi" w:cstheme="majorHAnsi"/>
          <w:lang w:val="en-GB"/>
        </w:rPr>
        <w:t>we</w:t>
      </w:r>
      <w:r w:rsidRPr="0089105D">
        <w:rPr>
          <w:rFonts w:asciiTheme="majorHAnsi" w:hAnsiTheme="majorHAnsi" w:cstheme="majorHAnsi"/>
          <w:lang w:val="en-GB"/>
        </w:rPr>
        <w:t>”</w:t>
      </w:r>
      <w:r w:rsidRPr="0089105D">
        <w:rPr>
          <w:rFonts w:asciiTheme="majorHAnsi" w:hAnsiTheme="majorHAnsi" w:cstheme="majorHAnsi"/>
          <w:lang w:val="en-GB"/>
        </w:rPr>
        <w:t xml:space="preserve"> promising a brighter and more sustainable future and the </w:t>
      </w:r>
      <w:r w:rsidRPr="0089105D">
        <w:rPr>
          <w:rFonts w:asciiTheme="majorHAnsi" w:hAnsiTheme="majorHAnsi" w:cstheme="majorHAnsi"/>
          <w:lang w:val="en-GB"/>
        </w:rPr>
        <w:t>“</w:t>
      </w:r>
      <w:r w:rsidRPr="0089105D">
        <w:rPr>
          <w:rFonts w:asciiTheme="majorHAnsi" w:hAnsiTheme="majorHAnsi" w:cstheme="majorHAnsi"/>
          <w:lang w:val="en-GB"/>
        </w:rPr>
        <w:t>we</w:t>
      </w:r>
      <w:r w:rsidRPr="0089105D">
        <w:rPr>
          <w:rFonts w:asciiTheme="majorHAnsi" w:hAnsiTheme="majorHAnsi" w:cstheme="majorHAnsi"/>
          <w:lang w:val="en-GB"/>
        </w:rPr>
        <w:t>”</w:t>
      </w:r>
      <w:r w:rsidRPr="0089105D">
        <w:rPr>
          <w:rFonts w:asciiTheme="majorHAnsi" w:hAnsiTheme="majorHAnsi" w:cstheme="majorHAnsi"/>
          <w:lang w:val="en-GB"/>
        </w:rPr>
        <w:t xml:space="preserve"> responsible for finding solutions and taking action. This seemingly minor ambiguity, according to </w:t>
      </w:r>
      <w:proofErr w:type="spellStart"/>
      <w:r w:rsidRPr="0089105D">
        <w:rPr>
          <w:rFonts w:asciiTheme="majorHAnsi" w:hAnsiTheme="majorHAnsi" w:cstheme="majorHAnsi"/>
          <w:lang w:val="en-GB"/>
        </w:rPr>
        <w:t>Engelbretsen</w:t>
      </w:r>
      <w:proofErr w:type="spellEnd"/>
      <w:r w:rsidRPr="0089105D">
        <w:rPr>
          <w:rFonts w:asciiTheme="majorHAnsi" w:hAnsiTheme="majorHAnsi" w:cstheme="majorHAnsi"/>
          <w:lang w:val="en-GB"/>
        </w:rPr>
        <w:t xml:space="preserve">, creates confusion, rendering the agenda </w:t>
      </w:r>
      <w:r w:rsidRPr="0089105D">
        <w:rPr>
          <w:rFonts w:asciiTheme="majorHAnsi" w:hAnsiTheme="majorHAnsi" w:cstheme="majorHAnsi"/>
          <w:lang w:val="en-GB"/>
        </w:rPr>
        <w:t>“</w:t>
      </w:r>
      <w:r w:rsidRPr="0089105D">
        <w:rPr>
          <w:rFonts w:asciiTheme="majorHAnsi" w:hAnsiTheme="majorHAnsi" w:cstheme="majorHAnsi"/>
          <w:lang w:val="en-GB"/>
        </w:rPr>
        <w:t>everyone's-but-nobody's business,</w:t>
      </w:r>
      <w:r w:rsidRPr="0089105D">
        <w:rPr>
          <w:rFonts w:asciiTheme="majorHAnsi" w:hAnsiTheme="majorHAnsi" w:cstheme="majorHAnsi"/>
          <w:lang w:val="en-GB"/>
        </w:rPr>
        <w:t>”</w:t>
      </w:r>
      <w:r w:rsidRPr="0089105D">
        <w:rPr>
          <w:rFonts w:asciiTheme="majorHAnsi" w:hAnsiTheme="majorHAnsi" w:cstheme="majorHAnsi"/>
          <w:lang w:val="en-GB"/>
        </w:rPr>
        <w:t xml:space="preserve"> thereby undermining concerted action toward SDGs (</w:t>
      </w:r>
      <w:proofErr w:type="spellStart"/>
      <w:r w:rsidRPr="0089105D">
        <w:rPr>
          <w:rFonts w:asciiTheme="majorHAnsi" w:hAnsiTheme="majorHAnsi" w:cstheme="majorHAnsi"/>
          <w:lang w:val="en-GB"/>
        </w:rPr>
        <w:t>Engelbretsen</w:t>
      </w:r>
      <w:proofErr w:type="spellEnd"/>
      <w:r w:rsidRPr="0089105D">
        <w:rPr>
          <w:rFonts w:asciiTheme="majorHAnsi" w:hAnsiTheme="majorHAnsi" w:cstheme="majorHAnsi"/>
          <w:lang w:val="en-GB"/>
        </w:rPr>
        <w:t>, 2017).</w:t>
      </w:r>
    </w:p>
    <w:p w14:paraId="69FA9725" w14:textId="77777777" w:rsidR="009119FF" w:rsidRPr="0089105D" w:rsidRDefault="009119FF" w:rsidP="009119FF">
      <w:pPr>
        <w:spacing w:line="360" w:lineRule="auto"/>
        <w:jc w:val="both"/>
        <w:rPr>
          <w:rFonts w:asciiTheme="majorHAnsi" w:hAnsiTheme="majorHAnsi" w:cstheme="majorHAnsi"/>
          <w:lang w:val="en-GB"/>
        </w:rPr>
      </w:pPr>
    </w:p>
    <w:p w14:paraId="4D854440" w14:textId="77777777" w:rsidR="009119FF" w:rsidRPr="0089105D" w:rsidRDefault="009119FF" w:rsidP="009119FF">
      <w:pPr>
        <w:spacing w:line="360" w:lineRule="auto"/>
        <w:jc w:val="both"/>
        <w:rPr>
          <w:rFonts w:asciiTheme="majorHAnsi" w:hAnsiTheme="majorHAnsi" w:cstheme="majorHAnsi"/>
          <w:lang w:val="en-GB"/>
        </w:rPr>
      </w:pPr>
      <w:r w:rsidRPr="0089105D">
        <w:rPr>
          <w:rFonts w:asciiTheme="majorHAnsi" w:hAnsiTheme="majorHAnsi" w:cstheme="majorHAnsi"/>
          <w:lang w:val="en-GB"/>
        </w:rPr>
        <w:t>Building on this perspective, Filho et al. (2023) emphasize that vagueness poses a risk to 'data and technology,' crucial components for monitoring SDG progress. They underscore the importance of harmonizing all potential agendas into 'one common SDG language' to enhance the efficiency of global SDG compliance. In the current landscape, inconsistent monitoring and interpretation within the international community create a significant risk of not accurately reporting specific issues and developments. This lack of uniformity in interpretation and priorities may contribute to uneven progress across different countries and communities (Filho et al., 2023).</w:t>
      </w:r>
    </w:p>
    <w:p w14:paraId="0C9834FA" w14:textId="77777777" w:rsidR="009119FF" w:rsidRPr="0089105D" w:rsidRDefault="009119FF" w:rsidP="009119FF">
      <w:pPr>
        <w:spacing w:line="360" w:lineRule="auto"/>
        <w:jc w:val="both"/>
        <w:rPr>
          <w:rFonts w:asciiTheme="majorHAnsi" w:hAnsiTheme="majorHAnsi" w:cstheme="majorHAnsi"/>
          <w:lang w:val="en-GB"/>
        </w:rPr>
      </w:pPr>
    </w:p>
    <w:p w14:paraId="059ED99D" w14:textId="2FDDA4C6" w:rsidR="00BE2E21" w:rsidRPr="0089105D" w:rsidRDefault="009119FF" w:rsidP="009119FF">
      <w:pPr>
        <w:spacing w:line="360" w:lineRule="auto"/>
        <w:jc w:val="both"/>
        <w:rPr>
          <w:rFonts w:asciiTheme="majorHAnsi" w:hAnsiTheme="majorHAnsi" w:cstheme="majorHAnsi"/>
          <w:lang w:val="en-GB"/>
        </w:rPr>
      </w:pPr>
      <w:r w:rsidRPr="0089105D">
        <w:rPr>
          <w:rFonts w:asciiTheme="majorHAnsi" w:hAnsiTheme="majorHAnsi" w:cstheme="majorHAnsi"/>
          <w:lang w:val="en-GB"/>
        </w:rPr>
        <w:lastRenderedPageBreak/>
        <w:t>In close connection to the preceding argument, it is crucial to underscore that the vagueness inherent in the SDGs significantly undermines the accountability process. The profound flexibility provided by the SDGs contributes to challenges in harmonizing efforts among governments and organizations, subsequently hindering the establishment of an accountable process—a key mechanism essential for achieving the SDGs (</w:t>
      </w:r>
      <w:proofErr w:type="spellStart"/>
      <w:r w:rsidRPr="0089105D">
        <w:rPr>
          <w:rFonts w:asciiTheme="majorHAnsi" w:hAnsiTheme="majorHAnsi" w:cstheme="majorHAnsi"/>
          <w:lang w:val="en-GB"/>
        </w:rPr>
        <w:t>Mustajoki</w:t>
      </w:r>
      <w:proofErr w:type="spellEnd"/>
      <w:r w:rsidRPr="0089105D">
        <w:rPr>
          <w:rFonts w:asciiTheme="majorHAnsi" w:hAnsiTheme="majorHAnsi" w:cstheme="majorHAnsi"/>
          <w:lang w:val="en-GB"/>
        </w:rPr>
        <w:t xml:space="preserve"> et al., 2020).</w:t>
      </w:r>
    </w:p>
    <w:p w14:paraId="65070337" w14:textId="7417576A" w:rsidR="009119FF" w:rsidRPr="0089105D" w:rsidRDefault="009119FF" w:rsidP="009119FF">
      <w:pPr>
        <w:spacing w:line="360" w:lineRule="auto"/>
        <w:jc w:val="both"/>
        <w:rPr>
          <w:rFonts w:asciiTheme="majorHAnsi" w:hAnsiTheme="majorHAnsi" w:cstheme="majorHAnsi"/>
          <w:lang w:val="en-GB"/>
        </w:rPr>
      </w:pPr>
    </w:p>
    <w:p w14:paraId="3E816176" w14:textId="0484D1B3" w:rsidR="009119FF" w:rsidRPr="0089105D" w:rsidRDefault="009119FF" w:rsidP="009119FF">
      <w:pPr>
        <w:spacing w:line="360" w:lineRule="auto"/>
        <w:jc w:val="both"/>
        <w:rPr>
          <w:rFonts w:asciiTheme="majorHAnsi" w:hAnsiTheme="majorHAnsi" w:cstheme="majorHAnsi"/>
          <w:lang w:val="en-GB"/>
        </w:rPr>
      </w:pPr>
    </w:p>
    <w:p w14:paraId="766D6DBB" w14:textId="5F17977E" w:rsidR="009119FF" w:rsidRPr="0089105D" w:rsidRDefault="009119FF" w:rsidP="009119FF">
      <w:pPr>
        <w:spacing w:line="360" w:lineRule="auto"/>
        <w:jc w:val="both"/>
        <w:rPr>
          <w:rFonts w:asciiTheme="majorHAnsi" w:hAnsiTheme="majorHAnsi" w:cstheme="majorHAnsi"/>
          <w:lang w:val="en-GB"/>
        </w:rPr>
      </w:pPr>
    </w:p>
    <w:p w14:paraId="271BA0A8" w14:textId="69EF0560" w:rsidR="009119FF" w:rsidRPr="0089105D" w:rsidRDefault="009119FF" w:rsidP="009119FF">
      <w:pPr>
        <w:spacing w:line="360" w:lineRule="auto"/>
        <w:jc w:val="both"/>
        <w:rPr>
          <w:rFonts w:asciiTheme="majorHAnsi" w:hAnsiTheme="majorHAnsi" w:cstheme="majorHAnsi"/>
          <w:lang w:val="en-GB"/>
        </w:rPr>
      </w:pPr>
    </w:p>
    <w:p w14:paraId="11AE247F" w14:textId="60BACFD6" w:rsidR="009119FF" w:rsidRPr="0089105D" w:rsidRDefault="009119FF" w:rsidP="009119FF">
      <w:pPr>
        <w:spacing w:line="360" w:lineRule="auto"/>
        <w:jc w:val="both"/>
        <w:rPr>
          <w:rFonts w:asciiTheme="majorHAnsi" w:hAnsiTheme="majorHAnsi" w:cstheme="majorHAnsi"/>
          <w:lang w:val="en-GB"/>
        </w:rPr>
      </w:pPr>
    </w:p>
    <w:p w14:paraId="79C42B51" w14:textId="75BEB5D0" w:rsidR="009119FF" w:rsidRPr="0089105D" w:rsidRDefault="009119FF" w:rsidP="009119FF">
      <w:pPr>
        <w:spacing w:line="360" w:lineRule="auto"/>
        <w:jc w:val="both"/>
        <w:rPr>
          <w:rFonts w:asciiTheme="majorHAnsi" w:hAnsiTheme="majorHAnsi" w:cstheme="majorHAnsi"/>
          <w:lang w:val="en-GB"/>
        </w:rPr>
      </w:pPr>
    </w:p>
    <w:p w14:paraId="3051E247" w14:textId="50627F0E" w:rsidR="009119FF" w:rsidRPr="0089105D" w:rsidRDefault="009119FF" w:rsidP="009119FF">
      <w:pPr>
        <w:spacing w:line="360" w:lineRule="auto"/>
        <w:jc w:val="both"/>
        <w:rPr>
          <w:rFonts w:asciiTheme="majorHAnsi" w:hAnsiTheme="majorHAnsi" w:cstheme="majorHAnsi"/>
          <w:lang w:val="en-GB"/>
        </w:rPr>
      </w:pPr>
    </w:p>
    <w:p w14:paraId="6DB11DF1" w14:textId="3ED688EF" w:rsidR="009119FF" w:rsidRPr="0089105D" w:rsidRDefault="009119FF" w:rsidP="009119FF">
      <w:pPr>
        <w:spacing w:line="360" w:lineRule="auto"/>
        <w:jc w:val="both"/>
        <w:rPr>
          <w:rFonts w:asciiTheme="majorHAnsi" w:hAnsiTheme="majorHAnsi" w:cstheme="majorHAnsi"/>
          <w:lang w:val="en-GB"/>
        </w:rPr>
      </w:pPr>
    </w:p>
    <w:p w14:paraId="7C6B31BF" w14:textId="77777777" w:rsidR="009119FF" w:rsidRPr="0089105D" w:rsidRDefault="009119FF" w:rsidP="009119FF">
      <w:pPr>
        <w:spacing w:line="360" w:lineRule="auto"/>
        <w:jc w:val="both"/>
        <w:rPr>
          <w:lang w:val="en-GB"/>
        </w:rPr>
      </w:pPr>
    </w:p>
    <w:p w14:paraId="6EBBE74B" w14:textId="77777777" w:rsidR="00BE2E21" w:rsidRPr="0089105D" w:rsidRDefault="00BE2E21" w:rsidP="00BE2E21">
      <w:pPr>
        <w:rPr>
          <w:b/>
          <w:bCs/>
          <w:lang w:val="en-GB"/>
        </w:rPr>
      </w:pPr>
    </w:p>
    <w:p w14:paraId="58EB4874" w14:textId="6C28E693" w:rsidR="00457E03" w:rsidRPr="0089105D" w:rsidRDefault="00457E03" w:rsidP="00457E03">
      <w:pPr>
        <w:pStyle w:val="Heading1"/>
        <w:spacing w:line="360" w:lineRule="auto"/>
        <w:rPr>
          <w:rFonts w:cstheme="majorHAnsi"/>
          <w:b/>
          <w:bCs/>
          <w:color w:val="auto"/>
          <w:lang w:val="en-GB"/>
        </w:rPr>
      </w:pPr>
      <w:bookmarkStart w:id="125" w:name="_Toc153187419"/>
      <w:r w:rsidRPr="0089105D">
        <w:rPr>
          <w:rFonts w:cstheme="majorHAnsi"/>
          <w:b/>
          <w:bCs/>
          <w:color w:val="auto"/>
          <w:lang w:val="en-GB"/>
        </w:rPr>
        <w:t xml:space="preserve">CHAPTER </w:t>
      </w:r>
      <w:r w:rsidR="00522539" w:rsidRPr="0089105D">
        <w:rPr>
          <w:rFonts w:cstheme="majorHAnsi"/>
          <w:b/>
          <w:bCs/>
          <w:color w:val="auto"/>
          <w:lang w:val="en-GB"/>
        </w:rPr>
        <w:t>4</w:t>
      </w:r>
      <w:r w:rsidRPr="0089105D">
        <w:rPr>
          <w:rFonts w:cstheme="majorHAnsi"/>
          <w:b/>
          <w:bCs/>
          <w:color w:val="auto"/>
          <w:lang w:val="en-GB"/>
        </w:rPr>
        <w:t>: RECOMMENDATIONS</w:t>
      </w:r>
      <w:bookmarkEnd w:id="123"/>
      <w:bookmarkEnd w:id="124"/>
      <w:bookmarkEnd w:id="125"/>
      <w:r w:rsidRPr="0089105D">
        <w:rPr>
          <w:rFonts w:cstheme="majorHAnsi"/>
          <w:b/>
          <w:bCs/>
          <w:color w:val="auto"/>
          <w:lang w:val="en-GB"/>
        </w:rPr>
        <w:t xml:space="preserve"> </w:t>
      </w:r>
    </w:p>
    <w:p w14:paraId="434343D9" w14:textId="15C8F875" w:rsidR="0023287E" w:rsidRPr="0089105D" w:rsidRDefault="0023287E" w:rsidP="004762F9">
      <w:pPr>
        <w:pStyle w:val="Heading1"/>
        <w:numPr>
          <w:ilvl w:val="1"/>
          <w:numId w:val="13"/>
        </w:numPr>
        <w:rPr>
          <w:rFonts w:ascii="Times New Roman" w:hAnsi="Times New Roman" w:cs="Times New Roman"/>
          <w:b/>
          <w:bCs/>
          <w:color w:val="auto"/>
          <w:sz w:val="28"/>
          <w:szCs w:val="28"/>
        </w:rPr>
      </w:pPr>
      <w:bookmarkStart w:id="126" w:name="_Toc153142490"/>
      <w:bookmarkStart w:id="127" w:name="_Toc153187420"/>
      <w:r w:rsidRPr="0089105D">
        <w:rPr>
          <w:rFonts w:ascii="Times New Roman" w:hAnsi="Times New Roman" w:cs="Times New Roman"/>
          <w:b/>
          <w:bCs/>
          <w:color w:val="auto"/>
          <w:sz w:val="28"/>
          <w:szCs w:val="28"/>
        </w:rPr>
        <w:t>How do internal clashes among SDGs undermine the coherence and effectiveness of the overall SDG framework?</w:t>
      </w:r>
      <w:bookmarkEnd w:id="126"/>
      <w:bookmarkEnd w:id="127"/>
    </w:p>
    <w:p w14:paraId="068EAEEE" w14:textId="77777777" w:rsidR="0023287E" w:rsidRPr="0089105D" w:rsidRDefault="0023287E" w:rsidP="0023287E">
      <w:pPr>
        <w:rPr>
          <w:rFonts w:ascii="Times New Roman" w:hAnsi="Times New Roman" w:cs="Times New Roman"/>
          <w:b/>
          <w:bCs/>
          <w:sz w:val="28"/>
          <w:szCs w:val="28"/>
        </w:rPr>
      </w:pPr>
    </w:p>
    <w:p w14:paraId="2AD9A4CC" w14:textId="77777777" w:rsidR="0023287E" w:rsidRPr="0089105D" w:rsidRDefault="0023287E" w:rsidP="0023287E">
      <w:pPr>
        <w:pStyle w:val="Heading2"/>
        <w:numPr>
          <w:ilvl w:val="0"/>
          <w:numId w:val="8"/>
        </w:numPr>
        <w:rPr>
          <w:rFonts w:ascii="Times New Roman" w:hAnsi="Times New Roman" w:cs="Times New Roman"/>
          <w:b/>
          <w:bCs/>
          <w:color w:val="auto"/>
          <w:sz w:val="28"/>
          <w:szCs w:val="28"/>
        </w:rPr>
      </w:pPr>
      <w:bookmarkStart w:id="128" w:name="_Toc153142491"/>
      <w:bookmarkStart w:id="129" w:name="_Toc153187421"/>
      <w:r w:rsidRPr="0089105D">
        <w:rPr>
          <w:rFonts w:ascii="Times New Roman" w:hAnsi="Times New Roman" w:cs="Times New Roman"/>
          <w:b/>
          <w:bCs/>
          <w:color w:val="auto"/>
          <w:sz w:val="28"/>
          <w:szCs w:val="28"/>
        </w:rPr>
        <w:t>Clash between environment and economic growth</w:t>
      </w:r>
      <w:bookmarkEnd w:id="128"/>
      <w:bookmarkEnd w:id="129"/>
      <w:r w:rsidRPr="0089105D">
        <w:rPr>
          <w:rFonts w:ascii="Times New Roman" w:hAnsi="Times New Roman" w:cs="Times New Roman"/>
          <w:b/>
          <w:bCs/>
          <w:color w:val="auto"/>
          <w:sz w:val="28"/>
          <w:szCs w:val="28"/>
        </w:rPr>
        <w:t xml:space="preserve"> </w:t>
      </w:r>
    </w:p>
    <w:p w14:paraId="7A93F2C2" w14:textId="77777777" w:rsidR="0023287E" w:rsidRPr="0089105D" w:rsidRDefault="0023287E" w:rsidP="0023287E">
      <w:pPr>
        <w:rPr>
          <w:rFonts w:ascii="Times New Roman" w:hAnsi="Times New Roman" w:cs="Times New Roman"/>
        </w:rPr>
      </w:pPr>
    </w:p>
    <w:p w14:paraId="68E0F0F7" w14:textId="77777777" w:rsidR="00B74459" w:rsidRPr="0089105D" w:rsidRDefault="0023287E" w:rsidP="0023287E">
      <w:pPr>
        <w:spacing w:line="360" w:lineRule="auto"/>
        <w:jc w:val="both"/>
        <w:rPr>
          <w:rFonts w:ascii="Times New Roman" w:hAnsi="Times New Roman" w:cs="Times New Roman"/>
          <w:lang w:val="en-GB"/>
        </w:rPr>
      </w:pPr>
      <w:r w:rsidRPr="0089105D">
        <w:rPr>
          <w:rFonts w:ascii="Times New Roman" w:hAnsi="Times New Roman" w:cs="Times New Roman"/>
          <w:lang w:val="en-GB"/>
        </w:rPr>
        <w:t xml:space="preserve">The academic community frequently highlights a clash between environmental objectives and economic growth, a concern accentuated by Goal 8 within the Sustainable Development Goals (SDGs). This section summarised how Goal 8, </w:t>
      </w:r>
      <w:proofErr w:type="spellStart"/>
      <w:r w:rsidRPr="0089105D">
        <w:rPr>
          <w:rFonts w:ascii="Times New Roman" w:hAnsi="Times New Roman" w:cs="Times New Roman"/>
          <w:lang w:val="en-GB"/>
        </w:rPr>
        <w:t>centered</w:t>
      </w:r>
      <w:proofErr w:type="spellEnd"/>
      <w:r w:rsidRPr="0089105D">
        <w:rPr>
          <w:rFonts w:ascii="Times New Roman" w:hAnsi="Times New Roman" w:cs="Times New Roman"/>
          <w:lang w:val="en-GB"/>
        </w:rPr>
        <w:t xml:space="preserve"> on economic growth, contradicts environmental sustainability, as illustrated by Rostow’s economic growth curve and the evident environmental damage occurring within the confined planetary boundaries. To address this conflict, the section delves into the concept of de-growth, advocating for a reduced emphasis on economic growth to prioritize environmental conservation. However, the critics of the aforementioned theory contend that de-growth is impractical, predicting economic stagnation, unemployment, and diminished innovation.</w:t>
      </w:r>
    </w:p>
    <w:p w14:paraId="5EA936E3" w14:textId="77777777" w:rsidR="00B74459" w:rsidRPr="0089105D" w:rsidRDefault="00B74459" w:rsidP="0023287E">
      <w:pPr>
        <w:spacing w:line="360" w:lineRule="auto"/>
        <w:jc w:val="both"/>
        <w:rPr>
          <w:rFonts w:ascii="Times New Roman" w:hAnsi="Times New Roman" w:cs="Times New Roman"/>
          <w:lang w:val="en-GB"/>
        </w:rPr>
      </w:pPr>
    </w:p>
    <w:p w14:paraId="47AA3016" w14:textId="1957B59C" w:rsidR="009119FF" w:rsidRPr="0089105D" w:rsidRDefault="0023287E" w:rsidP="0023287E">
      <w:pPr>
        <w:spacing w:line="360" w:lineRule="auto"/>
        <w:jc w:val="both"/>
        <w:rPr>
          <w:rFonts w:ascii="Times New Roman" w:hAnsi="Times New Roman" w:cs="Times New Roman"/>
          <w:lang w:val="en-GB"/>
        </w:rPr>
      </w:pPr>
      <w:r w:rsidRPr="0089105D">
        <w:rPr>
          <w:rFonts w:ascii="Times New Roman" w:hAnsi="Times New Roman" w:cs="Times New Roman"/>
          <w:lang w:val="en-GB"/>
        </w:rPr>
        <w:t xml:space="preserve"> In response to these challenges, the section explores the green growth theory, offering an alternative perspective that underscores investments in ecosystem restoration, sustainable land use practices, and the responsible management of natural resources. A practical solution and </w:t>
      </w:r>
      <w:r w:rsidRPr="0089105D">
        <w:rPr>
          <w:rFonts w:ascii="Times New Roman" w:hAnsi="Times New Roman" w:cs="Times New Roman"/>
          <w:lang w:val="en-GB"/>
        </w:rPr>
        <w:lastRenderedPageBreak/>
        <w:t xml:space="preserve">recommendation proposed involves integrating carbon intensity targets into the SDGs, accompanied with the implementation of environmentally friendly alternatives to emphasize eco-friendly goals. </w:t>
      </w:r>
      <w:r w:rsidR="00244437" w:rsidRPr="00244437">
        <w:rPr>
          <w:rFonts w:ascii="Times New Roman" w:hAnsi="Times New Roman" w:cs="Times New Roman"/>
          <w:lang w:val="en-GB"/>
        </w:rPr>
        <w:t>This model could be further developed into a comprehensive system linking SDGs to their environmental impact, guiding states away from environmentally harmful policies.</w:t>
      </w:r>
    </w:p>
    <w:p w14:paraId="117228B7" w14:textId="77777777" w:rsidR="009119FF" w:rsidRPr="0089105D" w:rsidRDefault="009119FF" w:rsidP="0023287E">
      <w:pPr>
        <w:spacing w:line="360" w:lineRule="auto"/>
        <w:jc w:val="both"/>
        <w:rPr>
          <w:rFonts w:ascii="Times New Roman" w:hAnsi="Times New Roman" w:cs="Times New Roman"/>
          <w:lang w:val="en-GB"/>
        </w:rPr>
      </w:pPr>
    </w:p>
    <w:p w14:paraId="72CAFDEA" w14:textId="77777777" w:rsidR="0023287E" w:rsidRPr="0089105D" w:rsidRDefault="0023287E" w:rsidP="0023287E">
      <w:pPr>
        <w:pStyle w:val="Heading2"/>
        <w:numPr>
          <w:ilvl w:val="0"/>
          <w:numId w:val="8"/>
        </w:numPr>
        <w:rPr>
          <w:rFonts w:ascii="Times New Roman" w:hAnsi="Times New Roman" w:cs="Times New Roman"/>
          <w:b/>
          <w:bCs/>
          <w:color w:val="auto"/>
          <w:sz w:val="28"/>
          <w:szCs w:val="28"/>
          <w:lang w:val="en-GB"/>
        </w:rPr>
      </w:pPr>
      <w:bookmarkStart w:id="130" w:name="_Toc153142492"/>
      <w:bookmarkStart w:id="131" w:name="_Toc153187422"/>
      <w:r w:rsidRPr="0089105D">
        <w:rPr>
          <w:rFonts w:ascii="Times New Roman" w:hAnsi="Times New Roman" w:cs="Times New Roman"/>
          <w:b/>
          <w:bCs/>
          <w:color w:val="auto"/>
          <w:sz w:val="28"/>
          <w:szCs w:val="28"/>
          <w:lang w:val="en-GB"/>
        </w:rPr>
        <w:t>Clash between access to clean water and sanitation and hunger eradication</w:t>
      </w:r>
      <w:bookmarkEnd w:id="130"/>
      <w:bookmarkEnd w:id="131"/>
      <w:r w:rsidRPr="0089105D">
        <w:rPr>
          <w:rFonts w:ascii="Times New Roman" w:hAnsi="Times New Roman" w:cs="Times New Roman"/>
          <w:b/>
          <w:bCs/>
          <w:color w:val="auto"/>
          <w:sz w:val="28"/>
          <w:szCs w:val="28"/>
          <w:lang w:val="en-GB"/>
        </w:rPr>
        <w:t xml:space="preserve"> </w:t>
      </w:r>
    </w:p>
    <w:p w14:paraId="707BEA66" w14:textId="77777777" w:rsidR="0023287E" w:rsidRPr="0089105D" w:rsidRDefault="0023287E" w:rsidP="0023287E">
      <w:pPr>
        <w:spacing w:line="360" w:lineRule="auto"/>
        <w:jc w:val="both"/>
        <w:rPr>
          <w:rFonts w:ascii="Times New Roman" w:hAnsi="Times New Roman" w:cs="Times New Roman"/>
          <w:lang w:val="en-GB"/>
        </w:rPr>
      </w:pPr>
    </w:p>
    <w:p w14:paraId="7DC90018" w14:textId="77777777" w:rsidR="00B74459" w:rsidRPr="0089105D" w:rsidRDefault="0023287E" w:rsidP="0023287E">
      <w:pPr>
        <w:spacing w:line="360" w:lineRule="auto"/>
        <w:jc w:val="both"/>
        <w:rPr>
          <w:rFonts w:ascii="Times New Roman" w:hAnsi="Times New Roman" w:cs="Times New Roman"/>
          <w:lang w:val="en-GB"/>
        </w:rPr>
      </w:pPr>
      <w:r w:rsidRPr="0089105D">
        <w:rPr>
          <w:rFonts w:ascii="Times New Roman" w:hAnsi="Times New Roman" w:cs="Times New Roman"/>
          <w:lang w:val="en-GB"/>
        </w:rPr>
        <w:t>Furthermore, this chapter explored another conflict, the one between Sustainable Development Goal (SDG) 6, which focuses on ensuring access to clean water and sanitation, and SDG 2, which aims to eradicate hunger and promote sustainable agriculture. In fact, agriculture uses 70% of global freshwater withdrawals, with South Asia and the Middle East having the highest withdrawal rates. In areas where water scarcity is an issue, efforts to ensure access to clean water for domestic and industrial purposes can compete with the needs of agriculture for irrigation water, potentially creating a conflict between SDG 6 and SDG 2. Achieving SDG 2's goal of increasing agricultural productivity and income would require a significant increase in water usage for irrigation, potentially straining water resources and conflicting with the objectives of SDG 6.</w:t>
      </w:r>
    </w:p>
    <w:p w14:paraId="0DC0D11C" w14:textId="77777777" w:rsidR="00B74459" w:rsidRPr="0089105D" w:rsidRDefault="00B74459" w:rsidP="0023287E">
      <w:pPr>
        <w:spacing w:line="360" w:lineRule="auto"/>
        <w:jc w:val="both"/>
        <w:rPr>
          <w:rFonts w:ascii="Times New Roman" w:hAnsi="Times New Roman" w:cs="Times New Roman"/>
          <w:lang w:val="en-GB"/>
        </w:rPr>
      </w:pPr>
    </w:p>
    <w:p w14:paraId="5CDC3693" w14:textId="3922D45F" w:rsidR="0023287E" w:rsidRPr="0089105D" w:rsidRDefault="0023287E" w:rsidP="0023287E">
      <w:pPr>
        <w:spacing w:line="360" w:lineRule="auto"/>
        <w:jc w:val="both"/>
        <w:rPr>
          <w:rFonts w:ascii="Times New Roman" w:hAnsi="Times New Roman" w:cs="Times New Roman"/>
          <w:lang w:val="en-GB"/>
        </w:rPr>
      </w:pPr>
      <w:r w:rsidRPr="0089105D">
        <w:rPr>
          <w:rFonts w:ascii="Times New Roman" w:hAnsi="Times New Roman" w:cs="Times New Roman"/>
          <w:lang w:val="en-GB"/>
        </w:rPr>
        <w:t>To tackle the conflict between SDG 6 and SDG 2, it is necessary to implement integrated approaches that recognize the interconnections between water resources, food production, and human well-being. This involves promoting sustainable agricultural practices that reduce water usage and minimize agriculture's impact on water quality, as well as investing in technologies and infrastructure that aid in conserving and managing water resources. One solution to this issue is to create additional SDG indicators that make the link between the two SDGs more visible, allowing policymakers to focus on the mutually reinforcing link between them rather than seeing them as competing priorities. It is critical to ensure the sustainability of water resources while pursuing goals related to agriculture and food production, aligning with the objectives of SDG 6. Hence, this section gave birth to the following recommendation: Translate the conflicted relationship between SDG 2 and SDG 6 into translators ensuring their reinforcing and synergic relationship. Both aspects should be added to both goals, confirming the paramount interconnection leading to a higher likelihood of their fulfilment.</w:t>
      </w:r>
    </w:p>
    <w:p w14:paraId="0726986C" w14:textId="26F798CC" w:rsidR="0023287E" w:rsidRDefault="0023287E" w:rsidP="0089105D">
      <w:pPr>
        <w:pStyle w:val="Heading1"/>
        <w:numPr>
          <w:ilvl w:val="1"/>
          <w:numId w:val="13"/>
        </w:numPr>
        <w:jc w:val="both"/>
        <w:rPr>
          <w:rFonts w:ascii="Times New Roman" w:hAnsi="Times New Roman" w:cs="Times New Roman"/>
          <w:b/>
          <w:bCs/>
          <w:color w:val="auto"/>
          <w:sz w:val="28"/>
          <w:szCs w:val="28"/>
        </w:rPr>
      </w:pPr>
      <w:bookmarkStart w:id="132" w:name="_Toc153142493"/>
      <w:bookmarkStart w:id="133" w:name="_Toc153187423"/>
      <w:r w:rsidRPr="0089105D">
        <w:rPr>
          <w:rFonts w:ascii="Times New Roman" w:hAnsi="Times New Roman" w:cs="Times New Roman"/>
          <w:b/>
          <w:bCs/>
          <w:color w:val="auto"/>
          <w:sz w:val="28"/>
          <w:szCs w:val="28"/>
        </w:rPr>
        <w:lastRenderedPageBreak/>
        <w:t>In what ways does the perceived lack of integration within the SDG framework hinder its ability to address interconnected global challenges comprehensively?</w:t>
      </w:r>
      <w:bookmarkEnd w:id="132"/>
      <w:bookmarkEnd w:id="133"/>
    </w:p>
    <w:p w14:paraId="4EDD9DB2" w14:textId="77777777" w:rsidR="0089105D" w:rsidRPr="0089105D" w:rsidRDefault="0089105D" w:rsidP="0089105D">
      <w:pPr>
        <w:pStyle w:val="ListParagraph"/>
        <w:ind w:left="360"/>
      </w:pPr>
    </w:p>
    <w:p w14:paraId="37DE02B2" w14:textId="321E37FA" w:rsidR="00B74459" w:rsidRDefault="0023287E" w:rsidP="004A5250">
      <w:pPr>
        <w:spacing w:line="360" w:lineRule="auto"/>
        <w:jc w:val="both"/>
        <w:rPr>
          <w:rFonts w:asciiTheme="majorHAnsi" w:hAnsiTheme="majorHAnsi" w:cstheme="majorHAnsi"/>
          <w:lang w:val="en-GB"/>
        </w:rPr>
      </w:pPr>
      <w:bookmarkStart w:id="134" w:name="_Toc153142494"/>
      <w:bookmarkStart w:id="135" w:name="_Toc153185199"/>
      <w:r w:rsidRPr="0089105D">
        <w:rPr>
          <w:rFonts w:asciiTheme="majorHAnsi" w:hAnsiTheme="majorHAnsi" w:cstheme="majorHAnsi"/>
          <w:lang w:val="en-GB"/>
        </w:rPr>
        <w:t>The findings of the data analysis in this master's thesis reveal a significant lack of synergies within the SDG framework. When analysed individually, goal by goal and indicator by indicator, it becomes apparent that the SDGs tend to exist in isolation from each other. Only a limited number of goals contain some cross-cutting issues, and even those are only to a certain extent. Furthermore, some goals might suffer from vagueness in their content, causing linkages to become obscured by ambiguity. In an ideal world, and under liberalist assumptions, such ambiguity might not be a major issue, as all states would understand the intricate interconnections of all SDGs within the framework.</w:t>
      </w:r>
      <w:bookmarkEnd w:id="134"/>
      <w:bookmarkEnd w:id="135"/>
      <w:r w:rsidRPr="0089105D">
        <w:rPr>
          <w:rFonts w:asciiTheme="majorHAnsi" w:hAnsiTheme="majorHAnsi" w:cstheme="majorHAnsi"/>
          <w:lang w:val="en-GB"/>
        </w:rPr>
        <w:t xml:space="preserve"> </w:t>
      </w:r>
    </w:p>
    <w:p w14:paraId="4C564FC8" w14:textId="77777777" w:rsidR="0089105D" w:rsidRPr="0089105D" w:rsidRDefault="0089105D" w:rsidP="004A5250">
      <w:pPr>
        <w:spacing w:line="360" w:lineRule="auto"/>
        <w:jc w:val="both"/>
        <w:rPr>
          <w:rFonts w:asciiTheme="majorHAnsi" w:hAnsiTheme="majorHAnsi" w:cstheme="majorHAnsi"/>
          <w:lang w:val="en-GB"/>
        </w:rPr>
      </w:pPr>
    </w:p>
    <w:p w14:paraId="18B66BB6" w14:textId="263F7CF5" w:rsidR="00B74459" w:rsidRDefault="0023287E" w:rsidP="004A5250">
      <w:pPr>
        <w:spacing w:line="360" w:lineRule="auto"/>
        <w:jc w:val="both"/>
        <w:rPr>
          <w:rFonts w:asciiTheme="majorHAnsi" w:hAnsiTheme="majorHAnsi" w:cstheme="majorHAnsi"/>
          <w:lang w:val="en-GB"/>
        </w:rPr>
      </w:pPr>
      <w:bookmarkStart w:id="136" w:name="_Toc153142495"/>
      <w:bookmarkStart w:id="137" w:name="_Toc153185200"/>
      <w:r w:rsidRPr="0089105D">
        <w:rPr>
          <w:rFonts w:asciiTheme="majorHAnsi" w:hAnsiTheme="majorHAnsi" w:cstheme="majorHAnsi"/>
          <w:lang w:val="en-GB"/>
        </w:rPr>
        <w:t>Unfortunately, in the real world, achieving this understanding is challenging, given the current international system. States are driven by internal and foreign policy considerations that often overlook important contextual backgrounds and linkages, hindering the fulfilment of numerous SDGs. It is crucial to emphasize that incorporating direct linkages into the SDGs could present a significant opportunity for creating new cross-sectorial partnerships and attracting new investments. This, in turn, could maximize the fulfilment of numerous SDGs. Many scholars have highlighted the need to interlink the SDGs and have called for a higher degree of integration and synergy. This could certainly be achieved by integrating cross-cutting and major sectoral elements into the framework.</w:t>
      </w:r>
      <w:bookmarkEnd w:id="136"/>
      <w:bookmarkEnd w:id="137"/>
      <w:r w:rsidRPr="0089105D">
        <w:rPr>
          <w:rFonts w:asciiTheme="majorHAnsi" w:hAnsiTheme="majorHAnsi" w:cstheme="majorHAnsi"/>
          <w:lang w:val="en-GB"/>
        </w:rPr>
        <w:t xml:space="preserve"> </w:t>
      </w:r>
    </w:p>
    <w:p w14:paraId="6CA9798D" w14:textId="77777777" w:rsidR="0089105D" w:rsidRPr="0089105D" w:rsidRDefault="0089105D" w:rsidP="004A5250">
      <w:pPr>
        <w:spacing w:line="360" w:lineRule="auto"/>
        <w:jc w:val="both"/>
        <w:rPr>
          <w:rFonts w:asciiTheme="majorHAnsi" w:hAnsiTheme="majorHAnsi" w:cstheme="majorHAnsi"/>
          <w:lang w:val="en-GB"/>
        </w:rPr>
      </w:pPr>
    </w:p>
    <w:p w14:paraId="6EB213BD" w14:textId="5B1A3D81" w:rsidR="0023287E" w:rsidRPr="0089105D" w:rsidRDefault="0023287E" w:rsidP="004A5250">
      <w:pPr>
        <w:spacing w:line="360" w:lineRule="auto"/>
        <w:jc w:val="both"/>
        <w:rPr>
          <w:rFonts w:asciiTheme="majorHAnsi" w:hAnsiTheme="majorHAnsi" w:cstheme="majorHAnsi"/>
          <w:lang w:val="en-GB"/>
        </w:rPr>
      </w:pPr>
      <w:bookmarkStart w:id="138" w:name="_Toc153142496"/>
      <w:bookmarkStart w:id="139" w:name="_Toc153185201"/>
      <w:r w:rsidRPr="0089105D">
        <w:rPr>
          <w:rFonts w:asciiTheme="majorHAnsi" w:hAnsiTheme="majorHAnsi" w:cstheme="majorHAnsi"/>
          <w:lang w:val="en-GB"/>
        </w:rPr>
        <w:t>For instance, by incorporating a more gender-inclusive dimension to the goals, considering climate-resilient solutions, accounting for migration and its effects on SDGs, and including other salient factors crucial for each SDG, such as wastewater management for the achievement of SDG 6. In light of these considerations, the recommendation is as follows: Ensure that cross-cutting issues, including elements crucial for the fulfilment of specific sustainable development goals, are integrated into the indicators. This effort is aimed at establishing a solid foundation for implementing these interlinkages, including the creation of essential partnerships.</w:t>
      </w:r>
      <w:bookmarkEnd w:id="138"/>
      <w:bookmarkEnd w:id="139"/>
    </w:p>
    <w:p w14:paraId="40AC35D1" w14:textId="28EAD7E4" w:rsidR="0023287E" w:rsidRPr="0089105D" w:rsidRDefault="0023287E" w:rsidP="004A5250">
      <w:pPr>
        <w:spacing w:line="360" w:lineRule="auto"/>
        <w:jc w:val="both"/>
        <w:rPr>
          <w:rFonts w:asciiTheme="majorHAnsi" w:hAnsiTheme="majorHAnsi" w:cstheme="majorHAnsi"/>
          <w:lang w:val="en-GB"/>
        </w:rPr>
      </w:pPr>
    </w:p>
    <w:p w14:paraId="682BD64A" w14:textId="77777777" w:rsidR="00844D56" w:rsidRPr="0089105D" w:rsidRDefault="00844D56" w:rsidP="004A5250">
      <w:pPr>
        <w:spacing w:line="360" w:lineRule="auto"/>
        <w:jc w:val="both"/>
        <w:rPr>
          <w:rFonts w:asciiTheme="majorHAnsi" w:hAnsiTheme="majorHAnsi" w:cstheme="majorHAnsi"/>
          <w:lang w:val="en-GB"/>
        </w:rPr>
      </w:pPr>
      <w:r w:rsidRPr="0089105D">
        <w:rPr>
          <w:rFonts w:asciiTheme="majorHAnsi" w:hAnsiTheme="majorHAnsi" w:cstheme="majorHAnsi"/>
          <w:lang w:val="en-GB"/>
        </w:rPr>
        <w:t xml:space="preserve">In effort to improve the whole SDG system, the recommendation would lie in establishment of a new indicators or for the sake of practical side, potentially supporting document informing about the interlinkages and how certain SDGs are intertwined. This could become beneficial for the governments as they might spot some multidimensional relationships and impose </w:t>
      </w:r>
      <w:r w:rsidRPr="0089105D">
        <w:rPr>
          <w:rFonts w:asciiTheme="majorHAnsi" w:hAnsiTheme="majorHAnsi" w:cstheme="majorHAnsi"/>
          <w:lang w:val="en-GB"/>
        </w:rPr>
        <w:lastRenderedPageBreak/>
        <w:t xml:space="preserve">broader policies contributing to achievement of more indicators. In case of invention of a sustainable framework in the post-2030 era, the policy drafters should make the indicators more interconnected in effort to cover broader scope of challenges. </w:t>
      </w:r>
    </w:p>
    <w:p w14:paraId="74C8B384" w14:textId="77777777" w:rsidR="00844D56" w:rsidRPr="0089105D" w:rsidRDefault="00844D56" w:rsidP="004A5250">
      <w:pPr>
        <w:spacing w:line="360" w:lineRule="auto"/>
        <w:jc w:val="both"/>
        <w:rPr>
          <w:rFonts w:asciiTheme="majorHAnsi" w:hAnsiTheme="majorHAnsi" w:cstheme="majorHAnsi"/>
        </w:rPr>
      </w:pPr>
    </w:p>
    <w:p w14:paraId="529BB89A" w14:textId="77777777" w:rsidR="00844D56" w:rsidRPr="0089105D" w:rsidRDefault="00844D56" w:rsidP="004A5250">
      <w:pPr>
        <w:spacing w:line="360" w:lineRule="auto"/>
        <w:jc w:val="both"/>
        <w:rPr>
          <w:rFonts w:asciiTheme="majorHAnsi" w:hAnsiTheme="majorHAnsi" w:cstheme="majorHAnsi"/>
          <w:lang w:val="en-GB"/>
        </w:rPr>
      </w:pPr>
      <w:r w:rsidRPr="0089105D">
        <w:rPr>
          <w:rFonts w:asciiTheme="majorHAnsi" w:hAnsiTheme="majorHAnsi" w:cstheme="majorHAnsi"/>
        </w:rPr>
        <w:t>Th</w:t>
      </w:r>
      <w:r w:rsidRPr="0089105D">
        <w:rPr>
          <w:rFonts w:asciiTheme="majorHAnsi" w:hAnsiTheme="majorHAnsi" w:cstheme="majorHAnsi"/>
          <w:lang w:val="en-GB"/>
        </w:rPr>
        <w:t xml:space="preserve">e abovementioned </w:t>
      </w:r>
      <w:r w:rsidRPr="0089105D">
        <w:rPr>
          <w:rFonts w:asciiTheme="majorHAnsi" w:hAnsiTheme="majorHAnsi" w:cstheme="majorHAnsi"/>
        </w:rPr>
        <w:t>lack of integration can be problematic because it fails to recognize the interrelated and interconnected nature of development challenges. For example, achieving SDG 2 on zero hunger requires addressing issues such as poverty (SDG 1), access to clean water and sanitation (SDG 6), and climate change (SDG 13). Similarly, achieving SDG 4 on quality education requires addressing issues such as gender equality (SDG 5), good health and well-being (SDG 3), and reduced inequalities (SDG 10).</w:t>
      </w:r>
      <w:r w:rsidRPr="0089105D">
        <w:rPr>
          <w:rFonts w:asciiTheme="majorHAnsi" w:hAnsiTheme="majorHAnsi" w:cstheme="majorHAnsi"/>
          <w:lang w:val="en-GB"/>
        </w:rPr>
        <w:t xml:space="preserve"> Hence</w:t>
      </w:r>
      <w:r w:rsidRPr="0089105D">
        <w:rPr>
          <w:rFonts w:asciiTheme="majorHAnsi" w:hAnsiTheme="majorHAnsi" w:cstheme="majorHAnsi"/>
        </w:rPr>
        <w:t>, the lack of integration among the SDGs may lead to a fragmented approach to development, with different stakeholders working towards different goals and targets without sufficient coordination. This can result in duplication of efforts, inefficient use of resources, and missed opportunities for synergy and collaboration.</w:t>
      </w:r>
    </w:p>
    <w:p w14:paraId="3B05CA48" w14:textId="77777777" w:rsidR="00844D56" w:rsidRPr="0089105D" w:rsidRDefault="00844D56" w:rsidP="004A5250">
      <w:pPr>
        <w:spacing w:line="360" w:lineRule="auto"/>
        <w:jc w:val="both"/>
        <w:rPr>
          <w:rFonts w:asciiTheme="majorHAnsi" w:hAnsiTheme="majorHAnsi" w:cstheme="majorHAnsi"/>
          <w:lang w:val="en-GB"/>
        </w:rPr>
      </w:pPr>
    </w:p>
    <w:p w14:paraId="682DF9EE" w14:textId="77777777" w:rsidR="00844D56" w:rsidRPr="0089105D" w:rsidRDefault="00844D56" w:rsidP="004A5250">
      <w:pPr>
        <w:spacing w:line="360" w:lineRule="auto"/>
        <w:jc w:val="both"/>
        <w:rPr>
          <w:rFonts w:asciiTheme="majorHAnsi" w:hAnsiTheme="majorHAnsi" w:cstheme="majorHAnsi"/>
          <w:lang w:val="en-GB"/>
        </w:rPr>
      </w:pPr>
      <w:r w:rsidRPr="0089105D">
        <w:rPr>
          <w:rFonts w:asciiTheme="majorHAnsi" w:hAnsiTheme="majorHAnsi" w:cstheme="majorHAnsi"/>
          <w:lang w:val="en-GB"/>
        </w:rPr>
        <w:t>In effort t</w:t>
      </w:r>
      <w:r w:rsidRPr="0089105D">
        <w:rPr>
          <w:rFonts w:asciiTheme="majorHAnsi" w:hAnsiTheme="majorHAnsi" w:cstheme="majorHAnsi"/>
        </w:rPr>
        <w:t xml:space="preserve">o </w:t>
      </w:r>
      <w:r w:rsidRPr="0089105D">
        <w:rPr>
          <w:rFonts w:asciiTheme="majorHAnsi" w:hAnsiTheme="majorHAnsi" w:cstheme="majorHAnsi"/>
          <w:lang w:val="en-GB"/>
        </w:rPr>
        <w:t>tackle</w:t>
      </w:r>
      <w:r w:rsidRPr="0089105D">
        <w:rPr>
          <w:rFonts w:asciiTheme="majorHAnsi" w:hAnsiTheme="majorHAnsi" w:cstheme="majorHAnsi"/>
        </w:rPr>
        <w:t xml:space="preserve"> this problem, there is a need to adopt a more integrated approach</w:t>
      </w:r>
      <w:r w:rsidRPr="0089105D">
        <w:rPr>
          <w:rFonts w:asciiTheme="majorHAnsi" w:hAnsiTheme="majorHAnsi" w:cstheme="majorHAnsi"/>
          <w:lang w:val="en-GB"/>
        </w:rPr>
        <w:t xml:space="preserve"> that states can pursue</w:t>
      </w:r>
      <w:r w:rsidRPr="0089105D">
        <w:rPr>
          <w:rFonts w:asciiTheme="majorHAnsi" w:hAnsiTheme="majorHAnsi" w:cstheme="majorHAnsi"/>
        </w:rPr>
        <w:t xml:space="preserve"> </w:t>
      </w:r>
      <w:r w:rsidRPr="0089105D">
        <w:rPr>
          <w:rFonts w:asciiTheme="majorHAnsi" w:hAnsiTheme="majorHAnsi" w:cstheme="majorHAnsi"/>
          <w:lang w:val="en-GB"/>
        </w:rPr>
        <w:t xml:space="preserve">for </w:t>
      </w:r>
      <w:r w:rsidRPr="0089105D">
        <w:rPr>
          <w:rFonts w:asciiTheme="majorHAnsi" w:hAnsiTheme="majorHAnsi" w:cstheme="majorHAnsi"/>
        </w:rPr>
        <w:t xml:space="preserve">SDG implementation. </w:t>
      </w:r>
      <w:r w:rsidRPr="0089105D">
        <w:rPr>
          <w:rFonts w:asciiTheme="majorHAnsi" w:hAnsiTheme="majorHAnsi" w:cstheme="majorHAnsi"/>
          <w:lang w:val="en-GB"/>
        </w:rPr>
        <w:t xml:space="preserve">One of the solutions could lie in promoting more cross-cutting strategies, or in other words, efforts to identify and promote policies which can address multiple SDGs simultaneously, and thus, to kill two birds by one stone by policy coherence which would be mutually reinforcing. </w:t>
      </w:r>
      <w:r w:rsidRPr="0089105D">
        <w:rPr>
          <w:rFonts w:asciiTheme="majorHAnsi" w:hAnsiTheme="majorHAnsi" w:cstheme="majorHAnsi"/>
        </w:rPr>
        <w:t xml:space="preserve">This </w:t>
      </w:r>
      <w:r w:rsidRPr="0089105D">
        <w:rPr>
          <w:rFonts w:asciiTheme="majorHAnsi" w:hAnsiTheme="majorHAnsi" w:cstheme="majorHAnsi"/>
          <w:lang w:val="en-GB"/>
        </w:rPr>
        <w:t>will surely</w:t>
      </w:r>
      <w:r w:rsidRPr="0089105D">
        <w:rPr>
          <w:rFonts w:asciiTheme="majorHAnsi" w:hAnsiTheme="majorHAnsi" w:cstheme="majorHAnsi"/>
        </w:rPr>
        <w:t xml:space="preserve"> require greater attention to policy integration and coordination among different sectors and levels of governance</w:t>
      </w:r>
      <w:r w:rsidRPr="0089105D">
        <w:rPr>
          <w:rFonts w:asciiTheme="majorHAnsi" w:hAnsiTheme="majorHAnsi" w:cstheme="majorHAnsi"/>
          <w:lang w:val="en-GB"/>
        </w:rPr>
        <w:t xml:space="preserve"> as </w:t>
      </w:r>
      <w:r w:rsidRPr="0089105D">
        <w:rPr>
          <w:rFonts w:asciiTheme="majorHAnsi" w:hAnsiTheme="majorHAnsi" w:cstheme="majorHAnsi"/>
        </w:rPr>
        <w:t xml:space="preserve">addressing the lack of integration among the SDGs is critical for achieving sustainable and inclusive development. </w:t>
      </w:r>
      <w:r w:rsidRPr="0089105D">
        <w:rPr>
          <w:rFonts w:asciiTheme="majorHAnsi" w:hAnsiTheme="majorHAnsi" w:cstheme="majorHAnsi"/>
          <w:lang w:val="en-GB"/>
        </w:rPr>
        <w:t>(Guppy, 2019)</w:t>
      </w:r>
    </w:p>
    <w:p w14:paraId="46DA0E21" w14:textId="77777777" w:rsidR="00844D56" w:rsidRPr="0089105D" w:rsidRDefault="00844D56" w:rsidP="004A5250">
      <w:pPr>
        <w:spacing w:line="360" w:lineRule="auto"/>
        <w:jc w:val="both"/>
        <w:rPr>
          <w:rFonts w:asciiTheme="majorHAnsi" w:hAnsiTheme="majorHAnsi" w:cstheme="majorHAnsi"/>
          <w:lang w:val="en-GB"/>
        </w:rPr>
      </w:pPr>
    </w:p>
    <w:p w14:paraId="365CECB1" w14:textId="77777777" w:rsidR="00844D56" w:rsidRPr="0089105D" w:rsidRDefault="00844D56" w:rsidP="004A5250">
      <w:pPr>
        <w:spacing w:line="360" w:lineRule="auto"/>
        <w:jc w:val="both"/>
        <w:rPr>
          <w:rFonts w:asciiTheme="majorHAnsi" w:hAnsiTheme="majorHAnsi" w:cstheme="majorHAnsi"/>
          <w:lang w:val="en-GB"/>
        </w:rPr>
      </w:pPr>
      <w:r w:rsidRPr="0089105D">
        <w:rPr>
          <w:rFonts w:asciiTheme="majorHAnsi" w:hAnsiTheme="majorHAnsi" w:cstheme="majorHAnsi"/>
          <w:lang w:val="en-GB"/>
        </w:rPr>
        <w:t>In summary, b</w:t>
      </w:r>
      <w:r w:rsidRPr="0089105D">
        <w:rPr>
          <w:rFonts w:asciiTheme="majorHAnsi" w:hAnsiTheme="majorHAnsi" w:cstheme="majorHAnsi"/>
        </w:rPr>
        <w:t xml:space="preserve">y adopting a more integrated and holistic approach to SDG implementation, </w:t>
      </w:r>
      <w:r w:rsidRPr="0089105D">
        <w:rPr>
          <w:rFonts w:asciiTheme="majorHAnsi" w:hAnsiTheme="majorHAnsi" w:cstheme="majorHAnsi"/>
          <w:lang w:val="en-GB"/>
        </w:rPr>
        <w:t>the international community would be able to</w:t>
      </w:r>
      <w:r w:rsidRPr="0089105D">
        <w:rPr>
          <w:rFonts w:asciiTheme="majorHAnsi" w:hAnsiTheme="majorHAnsi" w:cstheme="majorHAnsi"/>
        </w:rPr>
        <w:t xml:space="preserve"> promote synergy and collaboration among stakeholders, </w:t>
      </w:r>
      <w:r w:rsidRPr="0089105D">
        <w:rPr>
          <w:rFonts w:asciiTheme="majorHAnsi" w:hAnsiTheme="majorHAnsi" w:cstheme="majorHAnsi"/>
          <w:lang w:val="en-GB"/>
        </w:rPr>
        <w:t xml:space="preserve">and thus, </w:t>
      </w:r>
      <w:r w:rsidRPr="0089105D">
        <w:rPr>
          <w:rFonts w:asciiTheme="majorHAnsi" w:hAnsiTheme="majorHAnsi" w:cstheme="majorHAnsi"/>
        </w:rPr>
        <w:t>maximize the impact of interventions, and advance progress towards a sustainable and equitable future.</w:t>
      </w:r>
      <w:r w:rsidRPr="0089105D">
        <w:rPr>
          <w:rFonts w:asciiTheme="majorHAnsi" w:hAnsiTheme="majorHAnsi" w:cstheme="majorHAnsi"/>
          <w:lang w:val="en-GB"/>
        </w:rPr>
        <w:t xml:space="preserve"> (Nunes et al., 2016) (</w:t>
      </w:r>
      <w:proofErr w:type="spellStart"/>
      <w:r w:rsidRPr="0089105D">
        <w:rPr>
          <w:rFonts w:asciiTheme="majorHAnsi" w:hAnsiTheme="majorHAnsi" w:cstheme="majorHAnsi"/>
          <w:lang w:val="en-GB"/>
        </w:rPr>
        <w:t>Moldavska</w:t>
      </w:r>
      <w:proofErr w:type="spellEnd"/>
      <w:r w:rsidRPr="0089105D">
        <w:rPr>
          <w:rFonts w:asciiTheme="majorHAnsi" w:hAnsiTheme="majorHAnsi" w:cstheme="majorHAnsi"/>
          <w:lang w:val="en-GB"/>
        </w:rPr>
        <w:t xml:space="preserve"> and </w:t>
      </w:r>
      <w:proofErr w:type="spellStart"/>
      <w:r w:rsidRPr="0089105D">
        <w:rPr>
          <w:rFonts w:asciiTheme="majorHAnsi" w:hAnsiTheme="majorHAnsi" w:cstheme="majorHAnsi"/>
          <w:lang w:val="en-GB"/>
        </w:rPr>
        <w:t>Welo</w:t>
      </w:r>
      <w:proofErr w:type="spellEnd"/>
      <w:r w:rsidRPr="0089105D">
        <w:rPr>
          <w:rFonts w:asciiTheme="majorHAnsi" w:hAnsiTheme="majorHAnsi" w:cstheme="majorHAnsi"/>
          <w:lang w:val="en-GB"/>
        </w:rPr>
        <w:t xml:space="preserve">, 2019, p. 59) (Langford, 2016, p. 166) </w:t>
      </w:r>
    </w:p>
    <w:p w14:paraId="37B6597A" w14:textId="1CFF0DC0" w:rsidR="0023287E" w:rsidRDefault="0023287E" w:rsidP="0023287E">
      <w:pPr>
        <w:rPr>
          <w:rFonts w:ascii="Times New Roman" w:hAnsi="Times New Roman" w:cs="Times New Roman"/>
          <w:lang w:val="en-GB"/>
        </w:rPr>
      </w:pPr>
    </w:p>
    <w:p w14:paraId="7FBF330C" w14:textId="65164B51" w:rsidR="0018462B" w:rsidRDefault="0018462B" w:rsidP="0023287E">
      <w:pPr>
        <w:rPr>
          <w:rFonts w:ascii="Times New Roman" w:hAnsi="Times New Roman" w:cs="Times New Roman"/>
          <w:lang w:val="en-GB"/>
        </w:rPr>
      </w:pPr>
    </w:p>
    <w:p w14:paraId="23545B4A" w14:textId="77777777" w:rsidR="0018462B" w:rsidRPr="0089105D" w:rsidRDefault="0018462B" w:rsidP="0023287E">
      <w:pPr>
        <w:rPr>
          <w:rFonts w:ascii="Times New Roman" w:hAnsi="Times New Roman" w:cs="Times New Roman"/>
          <w:lang w:val="en-GB"/>
        </w:rPr>
      </w:pPr>
    </w:p>
    <w:p w14:paraId="69936CF8" w14:textId="17C19221" w:rsidR="0023287E" w:rsidRPr="0089105D" w:rsidRDefault="004762F9" w:rsidP="0023287E">
      <w:pPr>
        <w:pStyle w:val="Heading1"/>
        <w:jc w:val="both"/>
        <w:rPr>
          <w:rFonts w:ascii="Times New Roman" w:hAnsi="Times New Roman" w:cs="Times New Roman"/>
          <w:b/>
          <w:bCs/>
          <w:color w:val="auto"/>
          <w:sz w:val="28"/>
          <w:szCs w:val="28"/>
        </w:rPr>
      </w:pPr>
      <w:bookmarkStart w:id="140" w:name="_Toc153142497"/>
      <w:bookmarkStart w:id="141" w:name="_Toc153187424"/>
      <w:r w:rsidRPr="0089105D">
        <w:rPr>
          <w:rFonts w:ascii="Times New Roman" w:hAnsi="Times New Roman" w:cs="Times New Roman"/>
          <w:b/>
          <w:bCs/>
          <w:color w:val="auto"/>
          <w:sz w:val="28"/>
          <w:szCs w:val="28"/>
        </w:rPr>
        <w:lastRenderedPageBreak/>
        <w:t>4.</w:t>
      </w:r>
      <w:r w:rsidR="0023287E" w:rsidRPr="0089105D">
        <w:rPr>
          <w:rFonts w:ascii="Times New Roman" w:hAnsi="Times New Roman" w:cs="Times New Roman"/>
          <w:b/>
          <w:bCs/>
          <w:color w:val="auto"/>
          <w:sz w:val="28"/>
          <w:szCs w:val="28"/>
        </w:rPr>
        <w:t>3</w:t>
      </w:r>
      <w:r w:rsidR="0023287E" w:rsidRPr="0089105D">
        <w:rPr>
          <w:rFonts w:ascii="Times New Roman" w:hAnsi="Times New Roman" w:cs="Times New Roman"/>
          <w:b/>
          <w:bCs/>
          <w:color w:val="auto"/>
          <w:sz w:val="28"/>
          <w:szCs w:val="28"/>
        </w:rPr>
        <w:tab/>
        <w:t>How do criticisms related to current global settings shed light on systemic challenges and geopolitical factors that impede the successful implementation of the SDGs?</w:t>
      </w:r>
      <w:bookmarkEnd w:id="140"/>
      <w:bookmarkEnd w:id="141"/>
    </w:p>
    <w:p w14:paraId="57C84327" w14:textId="77777777" w:rsidR="0023287E" w:rsidRPr="0089105D" w:rsidRDefault="0023287E" w:rsidP="0023287E">
      <w:pPr>
        <w:rPr>
          <w:rFonts w:ascii="Times New Roman" w:hAnsi="Times New Roman" w:cs="Times New Roman"/>
        </w:rPr>
      </w:pPr>
    </w:p>
    <w:p w14:paraId="13816029" w14:textId="77777777" w:rsidR="00255A02" w:rsidRPr="0089105D" w:rsidRDefault="0023287E" w:rsidP="0023287E">
      <w:pPr>
        <w:spacing w:line="360" w:lineRule="auto"/>
        <w:jc w:val="both"/>
        <w:rPr>
          <w:rFonts w:ascii="Times New Roman" w:hAnsi="Times New Roman" w:cs="Times New Roman"/>
        </w:rPr>
      </w:pPr>
      <w:r w:rsidRPr="0089105D">
        <w:rPr>
          <w:rFonts w:ascii="Times New Roman" w:hAnsi="Times New Roman" w:cs="Times New Roman"/>
        </w:rPr>
        <w:t xml:space="preserve">Critics of the current global settings highlight various systemic challenges and geopolitical factors that impede the successful implementation of the Sustainable Development Goals (SDGs). One significant criticism revolves around the unequal distribution of resources and power among nations, often perpetuating disparities that hinder the achievement of SDGs. Various challenges such as economic inequality and resource asymmetry underscore the difficulty in achieving sustainable development. In fact, global economic structures and trade policies often favor powerful nations, leading to the concentration of wealth and resources in certain regions. This unequal distribution can limit the ability of less privileged countries to invest in sustainable practices, hindering progress towards SDGs, particularly in areas like poverty eradication, health, or education. </w:t>
      </w:r>
    </w:p>
    <w:p w14:paraId="44DBBD10" w14:textId="77777777" w:rsidR="0078676B" w:rsidRPr="0089105D" w:rsidRDefault="0078676B" w:rsidP="0078676B">
      <w:pPr>
        <w:spacing w:line="360" w:lineRule="auto"/>
        <w:jc w:val="both"/>
        <w:rPr>
          <w:rFonts w:ascii="Times New Roman" w:hAnsi="Times New Roman" w:cs="Times New Roman"/>
        </w:rPr>
      </w:pPr>
    </w:p>
    <w:p w14:paraId="60DC6960" w14:textId="36786C33" w:rsidR="0078676B" w:rsidRPr="0089105D" w:rsidRDefault="0078676B" w:rsidP="0078676B">
      <w:pPr>
        <w:spacing w:line="360" w:lineRule="auto"/>
        <w:jc w:val="both"/>
        <w:rPr>
          <w:rFonts w:ascii="Times New Roman" w:hAnsi="Times New Roman" w:cs="Times New Roman"/>
        </w:rPr>
      </w:pPr>
      <w:r w:rsidRPr="0089105D">
        <w:rPr>
          <w:rFonts w:ascii="Times New Roman" w:hAnsi="Times New Roman" w:cs="Times New Roman"/>
        </w:rPr>
        <w:t>Furthermore, the passage discussed the challenges posed by the Global North-South and universalist divide in the context of Sustainable Development Goals (SDGs). It highlights how differing perspectives on development and governance complicate the implementation of SDGs, particularly in areas related to peace, justice, and strong institutions (SDG 16). Economic disparities between the Global North and South further complicate efforts to address poverty (SDG 1) and inequality (SDG 10). The role of civil society in shaping thematic concerns within official documents and the need for global collective responsibility are also emphasized.</w:t>
      </w:r>
    </w:p>
    <w:p w14:paraId="1D601175" w14:textId="261638A0" w:rsidR="0078676B" w:rsidRPr="0089105D" w:rsidRDefault="0078676B" w:rsidP="0078676B">
      <w:pPr>
        <w:spacing w:line="360" w:lineRule="auto"/>
        <w:jc w:val="both"/>
        <w:rPr>
          <w:rFonts w:ascii="Times New Roman" w:hAnsi="Times New Roman" w:cs="Times New Roman"/>
        </w:rPr>
      </w:pPr>
    </w:p>
    <w:p w14:paraId="7D54C62F" w14:textId="37C91101" w:rsidR="0023287E" w:rsidRPr="0089105D" w:rsidRDefault="0078676B" w:rsidP="0078676B">
      <w:pPr>
        <w:spacing w:line="360" w:lineRule="auto"/>
        <w:jc w:val="both"/>
        <w:rPr>
          <w:rFonts w:ascii="Times New Roman" w:hAnsi="Times New Roman" w:cs="Times New Roman"/>
        </w:rPr>
      </w:pPr>
      <w:r w:rsidRPr="0089105D">
        <w:rPr>
          <w:rFonts w:ascii="Times New Roman" w:hAnsi="Times New Roman" w:cs="Times New Roman"/>
        </w:rPr>
        <w:t xml:space="preserve">Building upon the insights provided by Pogge and Sengupta (2016) and Fukuda-Parr and </w:t>
      </w:r>
      <w:proofErr w:type="spellStart"/>
      <w:r w:rsidRPr="0089105D">
        <w:rPr>
          <w:rFonts w:ascii="Times New Roman" w:hAnsi="Times New Roman" w:cs="Times New Roman"/>
        </w:rPr>
        <w:t>Hegstad</w:t>
      </w:r>
      <w:proofErr w:type="spellEnd"/>
      <w:r w:rsidRPr="0089105D">
        <w:rPr>
          <w:rFonts w:ascii="Times New Roman" w:hAnsi="Times New Roman" w:cs="Times New Roman"/>
        </w:rPr>
        <w:t xml:space="preserve"> (2018), it is recommended to reevaluate the approach to SDGs. Rather than diluting the goals based on national resources, there should be a more explicit emphasis on the responsibilities of wealthy countries and enterprises in ensuring sustainable development. This approach aligns with the concept of partnership (SDG 17) and universalism, emphasizing meaningful collaboration and shared responsibility. Additionally, there is a need for a global collective effort, with a focus on the accountability of international organizations and rule-making bodies. This more serious and collective approach is essential for addressing extreme global inequalities, fostering genuine partnerships, and achieving the overarching objectives of the SDGs.</w:t>
      </w:r>
    </w:p>
    <w:p w14:paraId="384406FD" w14:textId="77777777" w:rsidR="0023287E" w:rsidRPr="0089105D" w:rsidRDefault="0023287E" w:rsidP="0023287E">
      <w:pPr>
        <w:spacing w:line="360" w:lineRule="auto"/>
        <w:jc w:val="both"/>
        <w:rPr>
          <w:rFonts w:ascii="Times New Roman" w:hAnsi="Times New Roman" w:cs="Times New Roman"/>
        </w:rPr>
      </w:pPr>
    </w:p>
    <w:p w14:paraId="24CCF2F3" w14:textId="710EBB77" w:rsidR="0023287E" w:rsidRPr="0089105D" w:rsidRDefault="004762F9" w:rsidP="002F6BEA">
      <w:pPr>
        <w:pStyle w:val="Heading1"/>
        <w:jc w:val="both"/>
        <w:rPr>
          <w:b/>
          <w:bCs/>
          <w:color w:val="auto"/>
          <w:sz w:val="28"/>
          <w:szCs w:val="28"/>
        </w:rPr>
      </w:pPr>
      <w:bookmarkStart w:id="142" w:name="_Toc153142498"/>
      <w:bookmarkStart w:id="143" w:name="_Toc153187425"/>
      <w:r w:rsidRPr="0089105D">
        <w:rPr>
          <w:b/>
          <w:bCs/>
          <w:color w:val="auto"/>
          <w:sz w:val="28"/>
          <w:szCs w:val="28"/>
        </w:rPr>
        <w:lastRenderedPageBreak/>
        <w:t>4.</w:t>
      </w:r>
      <w:r w:rsidR="0023287E" w:rsidRPr="0089105D">
        <w:rPr>
          <w:b/>
          <w:bCs/>
          <w:color w:val="auto"/>
          <w:sz w:val="28"/>
          <w:szCs w:val="28"/>
        </w:rPr>
        <w:t>4</w:t>
      </w:r>
      <w:r w:rsidR="0023287E" w:rsidRPr="0089105D">
        <w:rPr>
          <w:b/>
          <w:bCs/>
          <w:color w:val="auto"/>
          <w:sz w:val="28"/>
          <w:szCs w:val="28"/>
        </w:rPr>
        <w:tab/>
        <w:t>How do inefficiencies in the indicators associated with SDGs impact the accurate assessment and measurement of progress, and what are the implications for the overall success of the framework?</w:t>
      </w:r>
      <w:bookmarkEnd w:id="142"/>
      <w:bookmarkEnd w:id="143"/>
    </w:p>
    <w:p w14:paraId="6591225A" w14:textId="77777777" w:rsidR="0023287E" w:rsidRPr="0089105D" w:rsidRDefault="0023287E" w:rsidP="0023287E">
      <w:pPr>
        <w:rPr>
          <w:rFonts w:ascii="Times New Roman" w:hAnsi="Times New Roman" w:cs="Times New Roman"/>
          <w:highlight w:val="yellow"/>
        </w:rPr>
      </w:pPr>
    </w:p>
    <w:p w14:paraId="0BDFBAE1" w14:textId="77777777" w:rsidR="0023287E" w:rsidRPr="0089105D" w:rsidRDefault="0023287E" w:rsidP="002F6BEA">
      <w:pPr>
        <w:spacing w:line="360" w:lineRule="auto"/>
        <w:jc w:val="both"/>
        <w:rPr>
          <w:rFonts w:ascii="Times New Roman" w:hAnsi="Times New Roman" w:cs="Times New Roman"/>
        </w:rPr>
      </w:pPr>
    </w:p>
    <w:p w14:paraId="27575BC3" w14:textId="5F6B23DC" w:rsidR="002F6BEA" w:rsidRPr="0089105D" w:rsidRDefault="002F6BEA" w:rsidP="002F6BEA">
      <w:pPr>
        <w:spacing w:line="360" w:lineRule="auto"/>
        <w:jc w:val="both"/>
        <w:rPr>
          <w:rFonts w:ascii="Times New Roman" w:hAnsi="Times New Roman" w:cs="Times New Roman"/>
        </w:rPr>
      </w:pPr>
      <w:r w:rsidRPr="0089105D">
        <w:rPr>
          <w:rFonts w:ascii="Times New Roman" w:hAnsi="Times New Roman" w:cs="Times New Roman"/>
        </w:rPr>
        <w:t xml:space="preserve">Inefficiencies in Sustainable Development Goal (SDG) indicators pose significant challenges to accurately assess and measure progress, impacting the overall success of the framework. The issues include indicators mapping issues that are inherently challenging to measure, overlooking important aspects, and lacking clarity. </w:t>
      </w:r>
      <w:r w:rsidR="003703D1" w:rsidRPr="0089105D">
        <w:rPr>
          <w:rFonts w:ascii="Times New Roman" w:hAnsi="Times New Roman" w:cs="Times New Roman"/>
        </w:rPr>
        <w:t>This critique extends beyond specific goals, emphasizing the broader need for clearer wording and better quantification across the entire SDG framework to facilitate effective progress monitoring. The following exploration delves into the nuances of this critique, dissecting key arguments and proposing potential solutions for a more robust and streamlined SDG monitoring system.</w:t>
      </w:r>
    </w:p>
    <w:p w14:paraId="7B154D97" w14:textId="77777777" w:rsidR="002F6BEA" w:rsidRPr="0089105D" w:rsidRDefault="002F6BEA" w:rsidP="002F6BEA">
      <w:pPr>
        <w:spacing w:line="360" w:lineRule="auto"/>
        <w:jc w:val="both"/>
        <w:rPr>
          <w:rFonts w:ascii="Times New Roman" w:hAnsi="Times New Roman" w:cs="Times New Roman"/>
          <w:highlight w:val="yellow"/>
        </w:rPr>
      </w:pPr>
    </w:p>
    <w:p w14:paraId="437ECBB8" w14:textId="229C1DF2" w:rsidR="002F6BEA" w:rsidRPr="0089105D" w:rsidRDefault="002F6BEA" w:rsidP="002F6BEA">
      <w:pPr>
        <w:spacing w:line="360" w:lineRule="auto"/>
        <w:jc w:val="both"/>
        <w:rPr>
          <w:rFonts w:ascii="Times New Roman" w:hAnsi="Times New Roman" w:cs="Times New Roman"/>
        </w:rPr>
      </w:pPr>
      <w:r w:rsidRPr="0089105D">
        <w:rPr>
          <w:rFonts w:ascii="Times New Roman" w:hAnsi="Times New Roman" w:cs="Times New Roman"/>
        </w:rPr>
        <w:t xml:space="preserve">The recommendation for this aspect will follow suggestion by </w:t>
      </w:r>
      <w:proofErr w:type="spellStart"/>
      <w:r w:rsidRPr="0089105D">
        <w:rPr>
          <w:rFonts w:ascii="Times New Roman" w:hAnsi="Times New Roman" w:cs="Times New Roman"/>
        </w:rPr>
        <w:t>Gulseven</w:t>
      </w:r>
      <w:proofErr w:type="spellEnd"/>
      <w:r w:rsidRPr="0089105D">
        <w:rPr>
          <w:rFonts w:ascii="Times New Roman" w:hAnsi="Times New Roman" w:cs="Times New Roman"/>
        </w:rPr>
        <w:t xml:space="preserve"> (2020) who called to </w:t>
      </w:r>
      <w:r w:rsidR="000E64E9" w:rsidRPr="0089105D">
        <w:rPr>
          <w:rFonts w:ascii="Times New Roman" w:hAnsi="Times New Roman" w:cs="Times New Roman"/>
        </w:rPr>
        <w:t>reframe indicators</w:t>
      </w:r>
      <w:r w:rsidRPr="0089105D">
        <w:rPr>
          <w:rFonts w:ascii="Times New Roman" w:hAnsi="Times New Roman" w:cs="Times New Roman"/>
        </w:rPr>
        <w:t xml:space="preserve"> through the SMART criteria—making all indicators Specific, Measurable, Achievable, Relevant, and Time-oriented</w:t>
      </w:r>
      <w:r w:rsidR="000E64E9" w:rsidRPr="0089105D">
        <w:rPr>
          <w:rFonts w:ascii="Times New Roman" w:hAnsi="Times New Roman" w:cs="Times New Roman"/>
        </w:rPr>
        <w:t>, and by orientated- specific time period, for example by 2023 will X. Not by 2030- which is hardly to measure.</w:t>
      </w:r>
      <w:r w:rsidRPr="0089105D">
        <w:rPr>
          <w:rFonts w:ascii="Times New Roman" w:hAnsi="Times New Roman" w:cs="Times New Roman"/>
        </w:rPr>
        <w:t xml:space="preserve"> This approach aims to enhance the precision, effectiveness, and systematic measurement of indicators, ultimately providing clearer guidance and fostering the success of SDGs.</w:t>
      </w:r>
    </w:p>
    <w:p w14:paraId="2110F799" w14:textId="77777777" w:rsidR="0023287E" w:rsidRPr="0089105D" w:rsidRDefault="0023287E" w:rsidP="0023287E">
      <w:pPr>
        <w:rPr>
          <w:rFonts w:ascii="Times New Roman" w:hAnsi="Times New Roman" w:cs="Times New Roman"/>
          <w:sz w:val="28"/>
          <w:szCs w:val="28"/>
        </w:rPr>
      </w:pPr>
    </w:p>
    <w:p w14:paraId="22F7625B" w14:textId="5D760A40" w:rsidR="0023287E" w:rsidRPr="0089105D" w:rsidRDefault="004762F9" w:rsidP="0023287E">
      <w:pPr>
        <w:pStyle w:val="Heading1"/>
        <w:jc w:val="both"/>
        <w:rPr>
          <w:rFonts w:ascii="Times New Roman" w:hAnsi="Times New Roman" w:cs="Times New Roman"/>
          <w:b/>
          <w:bCs/>
          <w:color w:val="auto"/>
          <w:sz w:val="28"/>
          <w:szCs w:val="28"/>
        </w:rPr>
      </w:pPr>
      <w:bookmarkStart w:id="144" w:name="_Toc153142499"/>
      <w:bookmarkStart w:id="145" w:name="_Toc153187426"/>
      <w:r w:rsidRPr="0089105D">
        <w:rPr>
          <w:rFonts w:ascii="Times New Roman" w:hAnsi="Times New Roman" w:cs="Times New Roman"/>
          <w:b/>
          <w:bCs/>
          <w:color w:val="auto"/>
          <w:sz w:val="28"/>
          <w:szCs w:val="28"/>
        </w:rPr>
        <w:t>4.</w:t>
      </w:r>
      <w:r w:rsidR="0023287E" w:rsidRPr="0089105D">
        <w:rPr>
          <w:rFonts w:ascii="Times New Roman" w:hAnsi="Times New Roman" w:cs="Times New Roman"/>
          <w:b/>
          <w:bCs/>
          <w:color w:val="auto"/>
          <w:sz w:val="28"/>
          <w:szCs w:val="28"/>
        </w:rPr>
        <w:t>5</w:t>
      </w:r>
      <w:r w:rsidR="0023287E" w:rsidRPr="0089105D">
        <w:rPr>
          <w:rFonts w:ascii="Times New Roman" w:hAnsi="Times New Roman" w:cs="Times New Roman"/>
          <w:b/>
          <w:bCs/>
          <w:color w:val="auto"/>
          <w:sz w:val="28"/>
          <w:szCs w:val="28"/>
        </w:rPr>
        <w:tab/>
        <w:t>In what ways does the identified lack of a monitoring mechanism contribute to challenges in tracking and evaluating progress toward SDG goals, and what alternative mechanisms are proposed by critics?</w:t>
      </w:r>
      <w:bookmarkEnd w:id="144"/>
      <w:bookmarkEnd w:id="145"/>
    </w:p>
    <w:p w14:paraId="0784F243" w14:textId="77777777" w:rsidR="0023287E" w:rsidRPr="0089105D" w:rsidRDefault="0023287E" w:rsidP="0023287E">
      <w:pPr>
        <w:spacing w:line="360" w:lineRule="auto"/>
        <w:jc w:val="both"/>
        <w:rPr>
          <w:rFonts w:ascii="Times New Roman" w:hAnsi="Times New Roman" w:cs="Times New Roman"/>
          <w:lang w:val="en-GB"/>
        </w:rPr>
      </w:pPr>
    </w:p>
    <w:p w14:paraId="06DC4274" w14:textId="77777777" w:rsidR="00050877" w:rsidRPr="0089105D" w:rsidRDefault="0023287E" w:rsidP="0023287E">
      <w:pPr>
        <w:spacing w:line="360" w:lineRule="auto"/>
        <w:jc w:val="both"/>
        <w:rPr>
          <w:rFonts w:ascii="Times New Roman" w:hAnsi="Times New Roman" w:cs="Times New Roman"/>
          <w:lang w:val="en-GB"/>
        </w:rPr>
      </w:pPr>
      <w:r w:rsidRPr="0089105D">
        <w:rPr>
          <w:rFonts w:ascii="Times New Roman" w:hAnsi="Times New Roman" w:cs="Times New Roman"/>
          <w:lang w:val="en-GB"/>
        </w:rPr>
        <w:t xml:space="preserve">When it comes to the SDG monitoring and accountability, the research highlighted the lack of thereof and inefficient monitoring as a threat leading to hampering the SDGs fulfilment as whole. This arises from the reality that there is no accountability nor transparent monitoring procedure that would give states a chance to increase their extent of collaboration on one hand and participation in innovation exchange on another. The chapter suggested that creating a “soft law framework” for sustainable development goals with an independent investigative body could be a solution to monitor and enforce goals, similar to the Universal Periodic Review used for human rights. The process would involve regular reviews, participation from non-state actors, and the submission of national reports. The UPR process has been successful in promoting human rights, and a similar process could be implemented for SDGs. However, </w:t>
      </w:r>
      <w:r w:rsidRPr="0089105D">
        <w:rPr>
          <w:rFonts w:ascii="Times New Roman" w:hAnsi="Times New Roman" w:cs="Times New Roman"/>
          <w:lang w:val="en-GB"/>
        </w:rPr>
        <w:lastRenderedPageBreak/>
        <w:t xml:space="preserve">establishing such a system would require significant effort and participation from various stakeholders. </w:t>
      </w:r>
    </w:p>
    <w:p w14:paraId="27395056" w14:textId="77777777" w:rsidR="00050877" w:rsidRPr="0089105D" w:rsidRDefault="00050877" w:rsidP="0023287E">
      <w:pPr>
        <w:spacing w:line="360" w:lineRule="auto"/>
        <w:jc w:val="both"/>
        <w:rPr>
          <w:rFonts w:ascii="Times New Roman" w:hAnsi="Times New Roman" w:cs="Times New Roman"/>
          <w:lang w:val="en-GB"/>
        </w:rPr>
      </w:pPr>
    </w:p>
    <w:p w14:paraId="124EA678" w14:textId="4AEDFE15" w:rsidR="0023287E" w:rsidRPr="0089105D" w:rsidRDefault="0023287E" w:rsidP="0023287E">
      <w:pPr>
        <w:spacing w:line="360" w:lineRule="auto"/>
        <w:jc w:val="both"/>
        <w:rPr>
          <w:rFonts w:ascii="Times New Roman" w:hAnsi="Times New Roman" w:cs="Times New Roman"/>
          <w:lang w:val="en-GB"/>
        </w:rPr>
      </w:pPr>
      <w:r w:rsidRPr="0089105D">
        <w:rPr>
          <w:rFonts w:ascii="Times New Roman" w:hAnsi="Times New Roman" w:cs="Times New Roman"/>
          <w:lang w:val="en-GB"/>
        </w:rPr>
        <w:t xml:space="preserve"> Overall, the aforementioned section of this master thesis proposes a transparent and participatory manner for states to interact and exchange good practices to increase the fulfilment of SDGs. Hence, the research leads to the following recommendation: Create an independent investigative body and reviewing procedure of the SDG which would analyse the SDG’s progress on every second year basis and which would create a platform for states to provide recommendations to each other leading to policy advice, innovation exchange and which would contribute towards global enabling environment for the SDGs, enabling states to use participatory and transparent approaches actively promoting collaboration and partnerships for sustainable development.</w:t>
      </w:r>
    </w:p>
    <w:p w14:paraId="2FA0EEED" w14:textId="77777777" w:rsidR="00F02442" w:rsidRPr="0089105D" w:rsidRDefault="00F02442" w:rsidP="0023287E">
      <w:pPr>
        <w:spacing w:line="360" w:lineRule="auto"/>
        <w:jc w:val="both"/>
        <w:rPr>
          <w:rFonts w:ascii="Times New Roman" w:hAnsi="Times New Roman" w:cs="Times New Roman"/>
          <w:lang w:val="en-GB"/>
        </w:rPr>
      </w:pPr>
    </w:p>
    <w:p w14:paraId="6E5510EC" w14:textId="77777777" w:rsidR="0023287E" w:rsidRPr="0089105D" w:rsidRDefault="0023287E" w:rsidP="0023287E">
      <w:pPr>
        <w:spacing w:line="360" w:lineRule="auto"/>
        <w:rPr>
          <w:rFonts w:ascii="Times New Roman" w:hAnsi="Times New Roman" w:cs="Times New Roman"/>
          <w:lang w:val="en-GB"/>
        </w:rPr>
      </w:pPr>
      <w:r w:rsidRPr="0089105D">
        <w:rPr>
          <w:rFonts w:ascii="Times New Roman" w:hAnsi="Times New Roman" w:cs="Times New Roman"/>
          <w:noProof/>
          <w:lang w:val="en-GB"/>
        </w:rPr>
        <w:drawing>
          <wp:inline distT="0" distB="0" distL="0" distR="0" wp14:anchorId="151BEF3C" wp14:editId="6BB5846C">
            <wp:extent cx="5943600" cy="1150414"/>
            <wp:effectExtent l="0" t="0" r="19050" b="0"/>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2" r:lo="rId33" r:qs="rId34" r:cs="rId35"/>
              </a:graphicData>
            </a:graphic>
          </wp:inline>
        </w:drawing>
      </w:r>
    </w:p>
    <w:p w14:paraId="347B5C56" w14:textId="13BD084C" w:rsidR="00F02442" w:rsidRPr="0089105D" w:rsidRDefault="00F02442" w:rsidP="00F02442">
      <w:pPr>
        <w:pStyle w:val="Caption"/>
        <w:keepNext/>
        <w:rPr>
          <w:rFonts w:asciiTheme="majorHAnsi" w:hAnsiTheme="majorHAnsi" w:cstheme="majorHAnsi"/>
          <w:color w:val="auto"/>
          <w:sz w:val="20"/>
          <w:szCs w:val="20"/>
        </w:rPr>
      </w:pPr>
      <w:bookmarkStart w:id="146" w:name="_Toc153091223"/>
      <w:bookmarkStart w:id="147" w:name="_Toc153169559"/>
      <w:r w:rsidRPr="0089105D">
        <w:rPr>
          <w:rFonts w:asciiTheme="majorHAnsi" w:hAnsiTheme="majorHAnsi" w:cstheme="majorHAnsi"/>
          <w:color w:val="auto"/>
          <w:sz w:val="20"/>
          <w:szCs w:val="20"/>
        </w:rPr>
        <w:t xml:space="preserve">Table </w:t>
      </w:r>
      <w:r w:rsidRPr="0089105D">
        <w:rPr>
          <w:rFonts w:asciiTheme="majorHAnsi" w:hAnsiTheme="majorHAnsi" w:cstheme="majorHAnsi"/>
          <w:color w:val="auto"/>
          <w:sz w:val="20"/>
          <w:szCs w:val="20"/>
        </w:rPr>
        <w:fldChar w:fldCharType="begin"/>
      </w:r>
      <w:r w:rsidRPr="0089105D">
        <w:rPr>
          <w:rFonts w:asciiTheme="majorHAnsi" w:hAnsiTheme="majorHAnsi" w:cstheme="majorHAnsi"/>
          <w:color w:val="auto"/>
          <w:sz w:val="20"/>
          <w:szCs w:val="20"/>
        </w:rPr>
        <w:instrText xml:space="preserve"> SEQ Table \* ARABIC </w:instrText>
      </w:r>
      <w:r w:rsidRPr="0089105D">
        <w:rPr>
          <w:rFonts w:asciiTheme="majorHAnsi" w:hAnsiTheme="majorHAnsi" w:cstheme="majorHAnsi"/>
          <w:color w:val="auto"/>
          <w:sz w:val="20"/>
          <w:szCs w:val="20"/>
        </w:rPr>
        <w:fldChar w:fldCharType="separate"/>
      </w:r>
      <w:r w:rsidR="004519D8" w:rsidRPr="0089105D">
        <w:rPr>
          <w:rFonts w:asciiTheme="majorHAnsi" w:hAnsiTheme="majorHAnsi" w:cstheme="majorHAnsi"/>
          <w:noProof/>
          <w:color w:val="auto"/>
          <w:sz w:val="20"/>
          <w:szCs w:val="20"/>
        </w:rPr>
        <w:t>19</w:t>
      </w:r>
      <w:r w:rsidRPr="0089105D">
        <w:rPr>
          <w:rFonts w:asciiTheme="majorHAnsi" w:hAnsiTheme="majorHAnsi" w:cstheme="majorHAnsi"/>
          <w:color w:val="auto"/>
          <w:sz w:val="20"/>
          <w:szCs w:val="20"/>
        </w:rPr>
        <w:fldChar w:fldCharType="end"/>
      </w:r>
      <w:r w:rsidRPr="0089105D">
        <w:rPr>
          <w:rFonts w:asciiTheme="majorHAnsi" w:hAnsiTheme="majorHAnsi" w:cstheme="majorHAnsi"/>
          <w:color w:val="auto"/>
          <w:sz w:val="20"/>
          <w:szCs w:val="20"/>
        </w:rPr>
        <w:t xml:space="preserve"> This chart visually represents the recommendation on accountability mechanism of SDGs. It is inspired by the current system of UPR.</w:t>
      </w:r>
      <w:bookmarkEnd w:id="146"/>
      <w:bookmarkEnd w:id="147"/>
    </w:p>
    <w:p w14:paraId="06B7271C" w14:textId="77777777" w:rsidR="0023287E" w:rsidRPr="0089105D" w:rsidRDefault="0023287E" w:rsidP="0023287E">
      <w:pPr>
        <w:pStyle w:val="Heading1"/>
        <w:rPr>
          <w:rFonts w:ascii="Times New Roman" w:hAnsi="Times New Roman" w:cs="Times New Roman"/>
          <w:b/>
          <w:bCs/>
          <w:color w:val="auto"/>
          <w:sz w:val="24"/>
          <w:szCs w:val="24"/>
        </w:rPr>
      </w:pPr>
    </w:p>
    <w:p w14:paraId="3B64228E" w14:textId="17D7B050" w:rsidR="0023287E" w:rsidRPr="0089105D" w:rsidRDefault="004762F9" w:rsidP="0023287E">
      <w:pPr>
        <w:pStyle w:val="Heading1"/>
        <w:jc w:val="both"/>
        <w:rPr>
          <w:rFonts w:ascii="Times New Roman" w:hAnsi="Times New Roman" w:cs="Times New Roman"/>
          <w:b/>
          <w:bCs/>
          <w:color w:val="auto"/>
          <w:sz w:val="28"/>
          <w:szCs w:val="28"/>
        </w:rPr>
      </w:pPr>
      <w:bookmarkStart w:id="148" w:name="_Toc153142500"/>
      <w:bookmarkStart w:id="149" w:name="_Toc153187427"/>
      <w:r w:rsidRPr="0089105D">
        <w:rPr>
          <w:rFonts w:ascii="Times New Roman" w:hAnsi="Times New Roman" w:cs="Times New Roman"/>
          <w:b/>
          <w:bCs/>
          <w:color w:val="auto"/>
          <w:sz w:val="28"/>
          <w:szCs w:val="28"/>
        </w:rPr>
        <w:t>4.</w:t>
      </w:r>
      <w:r w:rsidR="0023287E" w:rsidRPr="0089105D">
        <w:rPr>
          <w:rFonts w:ascii="Times New Roman" w:hAnsi="Times New Roman" w:cs="Times New Roman"/>
          <w:b/>
          <w:bCs/>
          <w:color w:val="auto"/>
          <w:sz w:val="28"/>
          <w:szCs w:val="28"/>
        </w:rPr>
        <w:t>6</w:t>
      </w:r>
      <w:r w:rsidR="0023287E" w:rsidRPr="0089105D">
        <w:rPr>
          <w:rFonts w:ascii="Times New Roman" w:hAnsi="Times New Roman" w:cs="Times New Roman"/>
          <w:b/>
          <w:bCs/>
          <w:color w:val="auto"/>
          <w:sz w:val="28"/>
          <w:szCs w:val="28"/>
        </w:rPr>
        <w:tab/>
        <w:t>How does the perceived lack of accountability within the SDG framework hinder the commitment of nations and stakeholders, and what accountability mechanisms are suggested for improvement?</w:t>
      </w:r>
      <w:bookmarkEnd w:id="148"/>
      <w:bookmarkEnd w:id="149"/>
    </w:p>
    <w:p w14:paraId="0B8E8312" w14:textId="77777777" w:rsidR="0023287E" w:rsidRPr="0089105D" w:rsidRDefault="0023287E" w:rsidP="0023287E">
      <w:pPr>
        <w:spacing w:line="360" w:lineRule="auto"/>
        <w:jc w:val="both"/>
        <w:rPr>
          <w:rFonts w:ascii="Times New Roman" w:hAnsi="Times New Roman" w:cs="Times New Roman"/>
          <w:sz w:val="28"/>
          <w:szCs w:val="28"/>
        </w:rPr>
      </w:pPr>
    </w:p>
    <w:p w14:paraId="41341F4E" w14:textId="5ECF12E6" w:rsidR="0023287E" w:rsidRPr="0089105D" w:rsidRDefault="0023287E" w:rsidP="000E64E9">
      <w:pPr>
        <w:spacing w:line="360" w:lineRule="auto"/>
        <w:jc w:val="both"/>
        <w:rPr>
          <w:rFonts w:ascii="Times New Roman" w:hAnsi="Times New Roman" w:cs="Times New Roman"/>
        </w:rPr>
      </w:pPr>
      <w:r w:rsidRPr="0089105D">
        <w:rPr>
          <w:rFonts w:ascii="Times New Roman" w:hAnsi="Times New Roman" w:cs="Times New Roman"/>
        </w:rPr>
        <w:t xml:space="preserve">The perceived lack of accountability within the Sustainable Development Goals (SDG) framework poses a substantial obstacle to the commitment of nations and stakeholders. The absence of clear accountability mechanisms diminishes the effectiveness of SDGs, hindering the progress towards their attainment. As indicated in the critical analysis, one major issue is the non-enforcement of accountability on states. In light of this challenge, a recommended solution involves the establishment of an independent investigative body specifically dedicated to monitoring and ensuring accountability within the SDG framework. Drawing inspiration from existing models for human rights, this body would play a crucial role in holding states accountable through both soft and hard power mechanisms. By leveraging recommendations </w:t>
      </w:r>
      <w:r w:rsidRPr="0089105D">
        <w:rPr>
          <w:rFonts w:ascii="Times New Roman" w:hAnsi="Times New Roman" w:cs="Times New Roman"/>
        </w:rPr>
        <w:lastRenderedPageBreak/>
        <w:t>and insights from different states, this body could serve as a platform for knowledge-sharing and idea exchange. The proposed independent investigative body would contribute to accountability by providing constructive recommendations to states, the influence of such recommendations could exert soft power on nations to comply with the SDG plans. As the section on international law above indicates, states failing to adhere to the recommended strategies and commitments could potentially face penalties, contingent on the severity of non-compliance. Importantly, the proposed body would need to strike a balance, fostering collaboration and shared responsibility while having mechanisms in place to address non-compliance.</w:t>
      </w:r>
    </w:p>
    <w:p w14:paraId="07A1C17D" w14:textId="4D71B2FD" w:rsidR="0023287E" w:rsidRPr="0089105D" w:rsidRDefault="004762F9" w:rsidP="0023287E">
      <w:pPr>
        <w:pStyle w:val="Heading1"/>
        <w:jc w:val="both"/>
        <w:rPr>
          <w:rFonts w:ascii="Times New Roman" w:hAnsi="Times New Roman" w:cs="Times New Roman"/>
          <w:b/>
          <w:bCs/>
          <w:color w:val="auto"/>
          <w:sz w:val="28"/>
          <w:szCs w:val="28"/>
        </w:rPr>
      </w:pPr>
      <w:bookmarkStart w:id="150" w:name="_Toc153142501"/>
      <w:bookmarkStart w:id="151" w:name="_Toc153187428"/>
      <w:r w:rsidRPr="0089105D">
        <w:rPr>
          <w:rFonts w:ascii="Times New Roman" w:hAnsi="Times New Roman" w:cs="Times New Roman"/>
          <w:b/>
          <w:bCs/>
          <w:color w:val="auto"/>
          <w:sz w:val="28"/>
          <w:szCs w:val="28"/>
        </w:rPr>
        <w:t>4.</w:t>
      </w:r>
      <w:r w:rsidR="0023287E" w:rsidRPr="0089105D">
        <w:rPr>
          <w:rFonts w:ascii="Times New Roman" w:hAnsi="Times New Roman" w:cs="Times New Roman"/>
          <w:b/>
          <w:bCs/>
          <w:color w:val="auto"/>
          <w:sz w:val="28"/>
          <w:szCs w:val="28"/>
        </w:rPr>
        <w:t>7</w:t>
      </w:r>
      <w:r w:rsidR="0023287E" w:rsidRPr="0089105D">
        <w:rPr>
          <w:rFonts w:ascii="Times New Roman" w:hAnsi="Times New Roman" w:cs="Times New Roman"/>
          <w:b/>
          <w:bCs/>
          <w:color w:val="auto"/>
          <w:sz w:val="28"/>
          <w:szCs w:val="28"/>
        </w:rPr>
        <w:tab/>
        <w:t>In what aspects does the criticism regarding the wrong concept of sustainability challenge the foundational principles of the SDGs, and how might a redefined concept enhance the framework?</w:t>
      </w:r>
      <w:bookmarkEnd w:id="150"/>
      <w:bookmarkEnd w:id="151"/>
    </w:p>
    <w:p w14:paraId="63889D31" w14:textId="77777777" w:rsidR="0023287E" w:rsidRPr="0089105D" w:rsidRDefault="0023287E" w:rsidP="0023287E">
      <w:pPr>
        <w:spacing w:line="360" w:lineRule="auto"/>
        <w:jc w:val="both"/>
        <w:rPr>
          <w:rFonts w:ascii="Times New Roman" w:hAnsi="Times New Roman" w:cs="Times New Roman"/>
        </w:rPr>
      </w:pPr>
    </w:p>
    <w:p w14:paraId="705E1453" w14:textId="643EB7A6" w:rsidR="00050877" w:rsidRPr="0089105D" w:rsidRDefault="00832F05" w:rsidP="00832F05">
      <w:pPr>
        <w:spacing w:line="360" w:lineRule="auto"/>
        <w:jc w:val="both"/>
        <w:rPr>
          <w:rFonts w:ascii="Times New Roman" w:hAnsi="Times New Roman" w:cs="Times New Roman"/>
          <w:lang w:val="en-GB"/>
        </w:rPr>
      </w:pPr>
      <w:r w:rsidRPr="0089105D">
        <w:rPr>
          <w:rFonts w:ascii="Times New Roman" w:hAnsi="Times New Roman" w:cs="Times New Roman"/>
          <w:lang w:val="en-GB"/>
        </w:rPr>
        <w:t xml:space="preserve">Another significant critique directed at the SDGs involves the utilization of an arguably flawed sustainability model. In this criticized approach, environmental SDGs are positioned in the background, potentially undermining Earth systems and the overall biocapacity. </w:t>
      </w:r>
      <w:r w:rsidR="00050877" w:rsidRPr="0089105D">
        <w:rPr>
          <w:rFonts w:ascii="Times New Roman" w:hAnsi="Times New Roman" w:cs="Times New Roman"/>
          <w:lang w:val="en-GB"/>
        </w:rPr>
        <w:t xml:space="preserve">In pondering the potential for a reform of the current sustainability model and questioning the relative importance of various SDGs, this master thesis aligns with the paradigm that emphasizes two specific Sustainable Development Goals (SDGs). </w:t>
      </w:r>
      <w:r w:rsidRPr="0089105D">
        <w:rPr>
          <w:rFonts w:ascii="Times New Roman" w:hAnsi="Times New Roman" w:cs="Times New Roman"/>
          <w:lang w:val="en-GB"/>
        </w:rPr>
        <w:t xml:space="preserve">According to this paradigm, climate change, addressed in SDG 13, and governance and anti-corruption efforts, addressed in SDG 16, emerge as pivotal prerequisites for the successful implementation and fulfilment of the remaining SDGs. The Wedding Cake model demonstrates that without a stable environmental foundation and effective governance structures, the attainment of social and economic objectives becomes precarious. </w:t>
      </w:r>
    </w:p>
    <w:p w14:paraId="78632F69" w14:textId="77777777" w:rsidR="00832F05" w:rsidRPr="0089105D" w:rsidRDefault="00832F05" w:rsidP="00832F05">
      <w:pPr>
        <w:spacing w:line="360" w:lineRule="auto"/>
        <w:jc w:val="both"/>
        <w:rPr>
          <w:rFonts w:ascii="Times New Roman" w:hAnsi="Times New Roman" w:cs="Times New Roman"/>
          <w:lang w:val="en-GB"/>
        </w:rPr>
      </w:pPr>
    </w:p>
    <w:p w14:paraId="59B39150" w14:textId="5EDA2187" w:rsidR="00832F05" w:rsidRPr="0089105D" w:rsidRDefault="00832F05" w:rsidP="00832F05">
      <w:pPr>
        <w:spacing w:line="360" w:lineRule="auto"/>
        <w:jc w:val="both"/>
        <w:rPr>
          <w:rFonts w:ascii="Times New Roman" w:hAnsi="Times New Roman" w:cs="Times New Roman"/>
          <w:lang w:val="en-GB"/>
        </w:rPr>
      </w:pPr>
      <w:r w:rsidRPr="0089105D">
        <w:rPr>
          <w:rFonts w:ascii="Times New Roman" w:hAnsi="Times New Roman" w:cs="Times New Roman"/>
          <w:lang w:val="en-GB"/>
        </w:rPr>
        <w:t>In light of these findings, a recommendation emerges to re-evaluate the hierarchical structure of SDGs</w:t>
      </w:r>
      <w:r w:rsidR="00050877" w:rsidRPr="0089105D">
        <w:rPr>
          <w:rFonts w:ascii="Times New Roman" w:hAnsi="Times New Roman" w:cs="Times New Roman"/>
          <w:lang w:val="en-GB"/>
        </w:rPr>
        <w:t xml:space="preserve"> to challenge the current, inefficient system of sustainability. </w:t>
      </w:r>
      <w:r w:rsidRPr="0089105D">
        <w:rPr>
          <w:rFonts w:ascii="Times New Roman" w:hAnsi="Times New Roman" w:cs="Times New Roman"/>
          <w:lang w:val="en-GB"/>
        </w:rPr>
        <w:t xml:space="preserve">Proposing a shift in emphasis, SDG 13 and SDG 16 could be positioned as foundational goals with higher priority, given their essential role as prerequisites for the effective realization of all 17 SDGs. This restructuring could be achieved through direct modification or recreation, particularly in the context of post-2030 SDGs. Additionally, incorporating a protocol emphasizing the significance of SDG 13 and SDG 16 could serve as a means to underscore their critical value in providing the necessary foundation for the comprehensive fulfilment of the SDG framework. The alternative approach, based on a liberalist perspective, which merely adds an informational </w:t>
      </w:r>
      <w:r w:rsidRPr="0089105D">
        <w:rPr>
          <w:rFonts w:ascii="Times New Roman" w:hAnsi="Times New Roman" w:cs="Times New Roman"/>
          <w:lang w:val="en-GB"/>
        </w:rPr>
        <w:lastRenderedPageBreak/>
        <w:t>protocol, is considered less likely to be efficacious, as it lacks the motivational impetus inherent in a direct restructuring.</w:t>
      </w:r>
    </w:p>
    <w:p w14:paraId="2FC54A23" w14:textId="77777777" w:rsidR="00832F05" w:rsidRPr="0089105D" w:rsidRDefault="00832F05" w:rsidP="00832F05">
      <w:pPr>
        <w:spacing w:line="360" w:lineRule="auto"/>
        <w:jc w:val="both"/>
        <w:rPr>
          <w:rFonts w:ascii="Times New Roman" w:hAnsi="Times New Roman" w:cs="Times New Roman"/>
          <w:lang w:val="en-GB"/>
        </w:rPr>
      </w:pPr>
    </w:p>
    <w:p w14:paraId="76798517" w14:textId="0C1B062D" w:rsidR="0023287E" w:rsidRPr="0089105D" w:rsidRDefault="004762F9" w:rsidP="0023287E">
      <w:pPr>
        <w:pStyle w:val="Heading1"/>
        <w:jc w:val="both"/>
        <w:rPr>
          <w:rFonts w:ascii="Times New Roman" w:hAnsi="Times New Roman" w:cs="Times New Roman"/>
          <w:b/>
          <w:bCs/>
          <w:color w:val="auto"/>
          <w:sz w:val="28"/>
          <w:szCs w:val="28"/>
        </w:rPr>
      </w:pPr>
      <w:bookmarkStart w:id="152" w:name="_Toc153142503"/>
      <w:bookmarkStart w:id="153" w:name="_Toc153187429"/>
      <w:r w:rsidRPr="0089105D">
        <w:rPr>
          <w:rFonts w:ascii="Times New Roman" w:hAnsi="Times New Roman" w:cs="Times New Roman"/>
          <w:b/>
          <w:bCs/>
          <w:color w:val="auto"/>
          <w:sz w:val="28"/>
          <w:szCs w:val="28"/>
        </w:rPr>
        <w:t>4.</w:t>
      </w:r>
      <w:r w:rsidR="004A5250" w:rsidRPr="0089105D">
        <w:rPr>
          <w:rFonts w:ascii="Times New Roman" w:hAnsi="Times New Roman" w:cs="Times New Roman"/>
          <w:b/>
          <w:bCs/>
          <w:color w:val="auto"/>
          <w:sz w:val="28"/>
          <w:szCs w:val="28"/>
        </w:rPr>
        <w:t>8</w:t>
      </w:r>
      <w:r w:rsidR="0023287E" w:rsidRPr="0089105D">
        <w:rPr>
          <w:rFonts w:ascii="Times New Roman" w:hAnsi="Times New Roman" w:cs="Times New Roman"/>
          <w:b/>
          <w:bCs/>
          <w:color w:val="auto"/>
          <w:sz w:val="28"/>
          <w:szCs w:val="28"/>
        </w:rPr>
        <w:tab/>
        <w:t>What are the consequences of the non-legally binding nature of the SDGs on the commitment and compliance of nations, and what arguments exist for or against making the SDGs legally binding?</w:t>
      </w:r>
      <w:bookmarkEnd w:id="152"/>
      <w:bookmarkEnd w:id="153"/>
    </w:p>
    <w:p w14:paraId="2EF3BD44" w14:textId="77777777" w:rsidR="0023287E" w:rsidRPr="0089105D" w:rsidRDefault="0023287E" w:rsidP="0023287E">
      <w:pPr>
        <w:rPr>
          <w:rFonts w:ascii="Times New Roman" w:hAnsi="Times New Roman" w:cs="Times New Roman"/>
        </w:rPr>
      </w:pPr>
    </w:p>
    <w:p w14:paraId="57B0A18F" w14:textId="45661098" w:rsidR="0023287E" w:rsidRPr="0089105D" w:rsidRDefault="0023287E" w:rsidP="0023287E">
      <w:pPr>
        <w:spacing w:line="360" w:lineRule="auto"/>
        <w:jc w:val="both"/>
        <w:rPr>
          <w:rFonts w:ascii="Times New Roman" w:hAnsi="Times New Roman" w:cs="Times New Roman"/>
        </w:rPr>
      </w:pPr>
      <w:r w:rsidRPr="0089105D">
        <w:rPr>
          <w:rFonts w:ascii="Times New Roman" w:hAnsi="Times New Roman" w:cs="Times New Roman"/>
        </w:rPr>
        <w:t>Furthermore, the ninth section of this critical analysis investigated the absence of legal codification of Sustainable Development Goals (SDGs) within the international legal system. Although SDGs find some representation in international law through various treaties or case law, they lack inherent legal binding. Given the structure of international law and the absence of a robust authority overseeing states, the effectiveness of their legal establishment is questionable. The consensual nature of international law, in contrast to the more "automatic" nature of national laws, raises uncertainty about states' willingness to participate in a legal framework. This hesitancy is exacerbated by the reluctance of current hegemonic powers and other major nations to assume obligations that may impact their economic growth. While acknowledging these challenges and assessing the associated risks, a specific solution emerges as particularly noteworthy and holds a crucial place in the international community—</w:t>
      </w:r>
      <w:r w:rsidRPr="0089105D">
        <w:rPr>
          <w:rFonts w:ascii="Times New Roman" w:hAnsi="Times New Roman" w:cs="Times New Roman"/>
          <w:i/>
          <w:iCs/>
        </w:rPr>
        <w:t>jus cogens norms</w:t>
      </w:r>
      <w:r w:rsidRPr="0089105D">
        <w:rPr>
          <w:rFonts w:ascii="Times New Roman" w:hAnsi="Times New Roman" w:cs="Times New Roman"/>
        </w:rPr>
        <w:t>. Jus cogens norms are peremptory norms accepted by the international community, prohibiting any derogation by states, irrespective of their consent or recognition. Consequently, translating each SDG into a jus cogens norm and securing acceptance by the international community would render states unable to evade accountability stemming from these non-</w:t>
      </w:r>
      <w:proofErr w:type="spellStart"/>
      <w:r w:rsidRPr="0089105D">
        <w:rPr>
          <w:rFonts w:ascii="Times New Roman" w:hAnsi="Times New Roman" w:cs="Times New Roman"/>
        </w:rPr>
        <w:t>derogable</w:t>
      </w:r>
      <w:proofErr w:type="spellEnd"/>
      <w:r w:rsidRPr="0089105D">
        <w:rPr>
          <w:rFonts w:ascii="Times New Roman" w:hAnsi="Times New Roman" w:cs="Times New Roman"/>
        </w:rPr>
        <w:t xml:space="preserve"> norms. This, in turn, would actively motivate states to genuinely adhere to the SDG agenda.</w:t>
      </w:r>
    </w:p>
    <w:p w14:paraId="77975FF9" w14:textId="77777777" w:rsidR="00255A02" w:rsidRPr="0089105D" w:rsidRDefault="00255A02" w:rsidP="0023287E">
      <w:pPr>
        <w:spacing w:line="360" w:lineRule="auto"/>
        <w:jc w:val="both"/>
        <w:rPr>
          <w:rFonts w:ascii="Times New Roman" w:hAnsi="Times New Roman" w:cs="Times New Roman"/>
        </w:rPr>
      </w:pPr>
    </w:p>
    <w:p w14:paraId="2E32CC35" w14:textId="77777777" w:rsidR="0023287E" w:rsidRPr="0089105D" w:rsidRDefault="0023287E" w:rsidP="0023287E">
      <w:pPr>
        <w:spacing w:line="360" w:lineRule="auto"/>
        <w:jc w:val="both"/>
        <w:rPr>
          <w:rFonts w:ascii="Times New Roman" w:hAnsi="Times New Roman" w:cs="Times New Roman"/>
        </w:rPr>
      </w:pPr>
      <w:r w:rsidRPr="0089105D">
        <w:rPr>
          <w:rFonts w:ascii="Times New Roman" w:hAnsi="Times New Roman" w:cs="Times New Roman"/>
        </w:rPr>
        <w:t>Given the considerations highlighted in the preceding section, the recommendation regarding the current non-binding nature of SDGs, it is proposed that SDG 13 (Climate Action) and SDG 16 (Peace, Justice, and Strong Institutions) be accorded elevated value than others, and therefore, it is recommended they are translated as jus cogens norms. This will confirm their pivotal role as prerequisites for the fulfillment of future SDGs. This prioritization can fulfill the urgent need for global commitment to addressing climate change and fostering peace as integral components of a sustainable and equitable development agenda. By the same token, their translation into jus cogens will confirm their “</w:t>
      </w:r>
      <w:proofErr w:type="spellStart"/>
      <w:r w:rsidRPr="0089105D">
        <w:rPr>
          <w:rFonts w:ascii="Times New Roman" w:hAnsi="Times New Roman" w:cs="Times New Roman"/>
          <w:i/>
          <w:iCs/>
        </w:rPr>
        <w:t>erga</w:t>
      </w:r>
      <w:proofErr w:type="spellEnd"/>
      <w:r w:rsidRPr="0089105D">
        <w:rPr>
          <w:rFonts w:ascii="Times New Roman" w:hAnsi="Times New Roman" w:cs="Times New Roman"/>
          <w:i/>
          <w:iCs/>
        </w:rPr>
        <w:t xml:space="preserve"> omnes</w:t>
      </w:r>
      <w:r w:rsidRPr="0089105D">
        <w:rPr>
          <w:rFonts w:ascii="Times New Roman" w:hAnsi="Times New Roman" w:cs="Times New Roman"/>
        </w:rPr>
        <w:t xml:space="preserve">” status in international law. </w:t>
      </w:r>
    </w:p>
    <w:p w14:paraId="03C8AAEB" w14:textId="70493191" w:rsidR="004A5250" w:rsidRPr="0089105D" w:rsidRDefault="004A5250" w:rsidP="004A5250">
      <w:pPr>
        <w:pStyle w:val="Heading1"/>
        <w:jc w:val="both"/>
        <w:rPr>
          <w:rFonts w:ascii="Times New Roman" w:hAnsi="Times New Roman" w:cs="Times New Roman"/>
          <w:b/>
          <w:bCs/>
          <w:color w:val="auto"/>
          <w:sz w:val="28"/>
          <w:szCs w:val="28"/>
        </w:rPr>
      </w:pPr>
      <w:bookmarkStart w:id="154" w:name="_Toc153142502"/>
      <w:bookmarkStart w:id="155" w:name="_Toc153187430"/>
      <w:r w:rsidRPr="0089105D">
        <w:rPr>
          <w:rFonts w:ascii="Times New Roman" w:hAnsi="Times New Roman" w:cs="Times New Roman"/>
          <w:b/>
          <w:bCs/>
          <w:color w:val="auto"/>
          <w:sz w:val="28"/>
          <w:szCs w:val="28"/>
        </w:rPr>
        <w:lastRenderedPageBreak/>
        <w:t>4.</w:t>
      </w:r>
      <w:r w:rsidRPr="0089105D">
        <w:rPr>
          <w:rFonts w:ascii="Times New Roman" w:hAnsi="Times New Roman" w:cs="Times New Roman"/>
          <w:b/>
          <w:bCs/>
          <w:color w:val="auto"/>
          <w:sz w:val="28"/>
          <w:szCs w:val="28"/>
        </w:rPr>
        <w:t>9</w:t>
      </w:r>
      <w:r w:rsidRPr="0089105D">
        <w:rPr>
          <w:rFonts w:ascii="Times New Roman" w:hAnsi="Times New Roman" w:cs="Times New Roman"/>
          <w:b/>
          <w:bCs/>
          <w:color w:val="auto"/>
          <w:sz w:val="28"/>
          <w:szCs w:val="28"/>
        </w:rPr>
        <w:tab/>
        <w:t>How does the criticism related to the lack of specification impact the clarity and precision required for effective implementation, and what recommendations are proposed to enhance specificity?</w:t>
      </w:r>
      <w:bookmarkEnd w:id="154"/>
      <w:bookmarkEnd w:id="155"/>
    </w:p>
    <w:p w14:paraId="4451A02F" w14:textId="77777777" w:rsidR="004A5250" w:rsidRPr="0089105D" w:rsidRDefault="004A5250" w:rsidP="004A5250">
      <w:pPr>
        <w:rPr>
          <w:rFonts w:ascii="Times New Roman" w:hAnsi="Times New Roman" w:cs="Times New Roman"/>
          <w:highlight w:val="yellow"/>
        </w:rPr>
      </w:pPr>
    </w:p>
    <w:p w14:paraId="0A7B085D" w14:textId="77777777" w:rsidR="004A5250" w:rsidRPr="0089105D" w:rsidRDefault="004A5250" w:rsidP="004A5250">
      <w:pPr>
        <w:spacing w:line="360" w:lineRule="auto"/>
        <w:jc w:val="both"/>
        <w:rPr>
          <w:rFonts w:ascii="Times New Roman" w:hAnsi="Times New Roman" w:cs="Times New Roman"/>
        </w:rPr>
      </w:pPr>
      <w:r w:rsidRPr="0089105D">
        <w:rPr>
          <w:rFonts w:ascii="Times New Roman" w:hAnsi="Times New Roman" w:cs="Times New Roman"/>
        </w:rPr>
        <w:t>This section looked into the challenges associated with the absence of clarity and specification regarding SDGs’ roles and responsibilities. The ambiguity surrounding the delineation of tasks and responsibilities creates potential obstacles in the effective execution of initiatives or plans. In order to address this challenge, a key recommendation is to institute a comprehensive approach involving an independent investigative body in collaboration with each country. This investigative body, engaged in ongoing dialogues with individual countries, would play a pivotal role in developing clear, detailed plans for each SDG. These plans should include well-defined milestones, with a specified time limit for implementation and measurable outputs. Notably, the proposed timeframe for monitoring progress is every three years, aligning with the original 15-year duration of the SDGs. This approach aims to overcome the limitations of existing milestones that often capture historical data and past achievements, lacking the forward-looking precision needed for effective implementation. The establishment of such a structured and proactive mechanism ensures that countries have a tangible plan for each SDG, fostering accountability and strategic focus. By incorporating important milestones and continuous monitoring, this approach enables timely adjustments, maximizes impact, and contributes to the overarching goal of sustainable development. Through this strategy, nations can go beyond the current SDGs, creating a robust framework for sustained progress and addressing the specific needs and challenges outlined in each goal.</w:t>
      </w:r>
    </w:p>
    <w:p w14:paraId="4B8497CE" w14:textId="38C09E51" w:rsidR="00365466" w:rsidRPr="0089105D" w:rsidRDefault="00365466" w:rsidP="005E2AFF">
      <w:pPr>
        <w:spacing w:line="360" w:lineRule="auto"/>
        <w:jc w:val="both"/>
        <w:rPr>
          <w:rFonts w:asciiTheme="majorHAnsi" w:hAnsiTheme="majorHAnsi" w:cstheme="majorHAnsi"/>
          <w:lang w:val="cs-CZ"/>
        </w:rPr>
      </w:pPr>
    </w:p>
    <w:p w14:paraId="50865328" w14:textId="77777777" w:rsidR="00365466" w:rsidRPr="0089105D" w:rsidRDefault="00365466" w:rsidP="005E2AFF">
      <w:pPr>
        <w:spacing w:line="360" w:lineRule="auto"/>
        <w:jc w:val="both"/>
        <w:rPr>
          <w:rFonts w:asciiTheme="majorHAnsi" w:hAnsiTheme="majorHAnsi" w:cstheme="majorHAnsi"/>
          <w:lang w:val="cs-CZ"/>
        </w:rPr>
      </w:pPr>
    </w:p>
    <w:p w14:paraId="0F1C83BA" w14:textId="42FF8D7F" w:rsidR="00A6497C" w:rsidRPr="0089105D" w:rsidRDefault="00A6497C" w:rsidP="00A6497C">
      <w:pPr>
        <w:spacing w:line="360" w:lineRule="auto"/>
        <w:ind w:firstLine="720"/>
        <w:jc w:val="both"/>
        <w:rPr>
          <w:rStyle w:val="Heading1Char"/>
          <w:rFonts w:cstheme="majorHAnsi"/>
          <w:b/>
          <w:bCs/>
          <w:color w:val="auto"/>
          <w:sz w:val="24"/>
          <w:szCs w:val="24"/>
          <w:lang w:val="en-GB"/>
        </w:rPr>
      </w:pPr>
    </w:p>
    <w:p w14:paraId="60E42ADC" w14:textId="2C4D1F14" w:rsidR="004A5250" w:rsidRPr="0089105D" w:rsidRDefault="004A5250" w:rsidP="00A6497C">
      <w:pPr>
        <w:spacing w:line="360" w:lineRule="auto"/>
        <w:ind w:firstLine="720"/>
        <w:jc w:val="both"/>
        <w:rPr>
          <w:rStyle w:val="Heading1Char"/>
          <w:rFonts w:cstheme="majorHAnsi"/>
          <w:b/>
          <w:bCs/>
          <w:color w:val="auto"/>
          <w:sz w:val="24"/>
          <w:szCs w:val="24"/>
          <w:lang w:val="en-GB"/>
        </w:rPr>
      </w:pPr>
    </w:p>
    <w:p w14:paraId="25ADFDFC" w14:textId="58F3EE9D" w:rsidR="004A5250" w:rsidRPr="0089105D" w:rsidRDefault="004A5250" w:rsidP="00A6497C">
      <w:pPr>
        <w:spacing w:line="360" w:lineRule="auto"/>
        <w:ind w:firstLine="720"/>
        <w:jc w:val="both"/>
        <w:rPr>
          <w:rStyle w:val="Heading1Char"/>
          <w:rFonts w:cstheme="majorHAnsi"/>
          <w:b/>
          <w:bCs/>
          <w:color w:val="auto"/>
          <w:sz w:val="24"/>
          <w:szCs w:val="24"/>
          <w:lang w:val="en-GB"/>
        </w:rPr>
      </w:pPr>
    </w:p>
    <w:p w14:paraId="2115EB68" w14:textId="2DC74589" w:rsidR="004A5250" w:rsidRPr="0089105D" w:rsidRDefault="004A5250" w:rsidP="00A6497C">
      <w:pPr>
        <w:spacing w:line="360" w:lineRule="auto"/>
        <w:ind w:firstLine="720"/>
        <w:jc w:val="both"/>
        <w:rPr>
          <w:rStyle w:val="Heading1Char"/>
          <w:rFonts w:cstheme="majorHAnsi"/>
          <w:b/>
          <w:bCs/>
          <w:color w:val="auto"/>
          <w:sz w:val="24"/>
          <w:szCs w:val="24"/>
          <w:lang w:val="en-GB"/>
        </w:rPr>
      </w:pPr>
    </w:p>
    <w:p w14:paraId="50C35EAD" w14:textId="74D102C8" w:rsidR="004A5250" w:rsidRPr="0089105D" w:rsidRDefault="004A5250" w:rsidP="00A6497C">
      <w:pPr>
        <w:spacing w:line="360" w:lineRule="auto"/>
        <w:ind w:firstLine="720"/>
        <w:jc w:val="both"/>
        <w:rPr>
          <w:rStyle w:val="Heading1Char"/>
          <w:rFonts w:cstheme="majorHAnsi"/>
          <w:b/>
          <w:bCs/>
          <w:color w:val="auto"/>
          <w:sz w:val="24"/>
          <w:szCs w:val="24"/>
          <w:lang w:val="en-GB"/>
        </w:rPr>
      </w:pPr>
    </w:p>
    <w:p w14:paraId="1164BBC7" w14:textId="2C8C7B94" w:rsidR="004A5250" w:rsidRDefault="004A5250" w:rsidP="00A6497C">
      <w:pPr>
        <w:spacing w:line="360" w:lineRule="auto"/>
        <w:ind w:firstLine="720"/>
        <w:jc w:val="both"/>
        <w:rPr>
          <w:rStyle w:val="Heading1Char"/>
          <w:rFonts w:cstheme="majorHAnsi"/>
          <w:b/>
          <w:bCs/>
          <w:color w:val="auto"/>
          <w:sz w:val="24"/>
          <w:szCs w:val="24"/>
          <w:lang w:val="en-GB"/>
        </w:rPr>
      </w:pPr>
    </w:p>
    <w:p w14:paraId="246DA7EC" w14:textId="1DCFC355" w:rsidR="0089105D" w:rsidRDefault="0089105D" w:rsidP="00A6497C">
      <w:pPr>
        <w:spacing w:line="360" w:lineRule="auto"/>
        <w:ind w:firstLine="720"/>
        <w:jc w:val="both"/>
        <w:rPr>
          <w:rStyle w:val="Heading1Char"/>
          <w:rFonts w:cstheme="majorHAnsi"/>
          <w:b/>
          <w:bCs/>
          <w:color w:val="auto"/>
          <w:sz w:val="24"/>
          <w:szCs w:val="24"/>
          <w:lang w:val="en-GB"/>
        </w:rPr>
      </w:pPr>
    </w:p>
    <w:p w14:paraId="46854901" w14:textId="024E7CE4" w:rsidR="0089105D" w:rsidRDefault="0089105D" w:rsidP="00A6497C">
      <w:pPr>
        <w:spacing w:line="360" w:lineRule="auto"/>
        <w:ind w:firstLine="720"/>
        <w:jc w:val="both"/>
        <w:rPr>
          <w:rStyle w:val="Heading1Char"/>
          <w:rFonts w:cstheme="majorHAnsi"/>
          <w:b/>
          <w:bCs/>
          <w:color w:val="auto"/>
          <w:sz w:val="24"/>
          <w:szCs w:val="24"/>
          <w:lang w:val="en-GB"/>
        </w:rPr>
      </w:pPr>
    </w:p>
    <w:p w14:paraId="1819DBEC" w14:textId="33169CD8" w:rsidR="0089105D" w:rsidRDefault="0089105D" w:rsidP="00A6497C">
      <w:pPr>
        <w:spacing w:line="360" w:lineRule="auto"/>
        <w:ind w:firstLine="720"/>
        <w:jc w:val="both"/>
        <w:rPr>
          <w:rStyle w:val="Heading1Char"/>
          <w:rFonts w:cstheme="majorHAnsi"/>
          <w:b/>
          <w:bCs/>
          <w:color w:val="auto"/>
          <w:sz w:val="24"/>
          <w:szCs w:val="24"/>
          <w:lang w:val="en-GB"/>
        </w:rPr>
      </w:pPr>
    </w:p>
    <w:p w14:paraId="058BC61E" w14:textId="5E3C107D" w:rsidR="0089105D" w:rsidRDefault="0089105D" w:rsidP="00A6497C">
      <w:pPr>
        <w:spacing w:line="360" w:lineRule="auto"/>
        <w:ind w:firstLine="720"/>
        <w:jc w:val="both"/>
        <w:rPr>
          <w:rStyle w:val="Heading1Char"/>
          <w:rFonts w:cstheme="majorHAnsi"/>
          <w:b/>
          <w:bCs/>
          <w:color w:val="auto"/>
          <w:sz w:val="24"/>
          <w:szCs w:val="24"/>
          <w:lang w:val="en-GB"/>
        </w:rPr>
      </w:pPr>
    </w:p>
    <w:p w14:paraId="41516FF7" w14:textId="6C41276D" w:rsidR="0089105D" w:rsidRDefault="0089105D" w:rsidP="00A6497C">
      <w:pPr>
        <w:spacing w:line="360" w:lineRule="auto"/>
        <w:ind w:firstLine="720"/>
        <w:jc w:val="both"/>
        <w:rPr>
          <w:rStyle w:val="Heading1Char"/>
          <w:rFonts w:cstheme="majorHAnsi"/>
          <w:b/>
          <w:bCs/>
          <w:color w:val="auto"/>
          <w:sz w:val="24"/>
          <w:szCs w:val="24"/>
          <w:lang w:val="en-GB"/>
        </w:rPr>
      </w:pPr>
    </w:p>
    <w:p w14:paraId="1A92727E" w14:textId="7F3F02D8" w:rsidR="0089105D" w:rsidRDefault="0089105D" w:rsidP="00A6497C">
      <w:pPr>
        <w:spacing w:line="360" w:lineRule="auto"/>
        <w:ind w:firstLine="720"/>
        <w:jc w:val="both"/>
        <w:rPr>
          <w:rStyle w:val="Heading1Char"/>
          <w:rFonts w:cstheme="majorHAnsi"/>
          <w:b/>
          <w:bCs/>
          <w:color w:val="auto"/>
          <w:sz w:val="24"/>
          <w:szCs w:val="24"/>
          <w:lang w:val="en-GB"/>
        </w:rPr>
      </w:pPr>
    </w:p>
    <w:p w14:paraId="11130C93" w14:textId="2F7E7FEB" w:rsidR="004A5250" w:rsidRPr="0089105D" w:rsidRDefault="004A5250" w:rsidP="0018462B">
      <w:pPr>
        <w:spacing w:line="360" w:lineRule="auto"/>
        <w:jc w:val="both"/>
        <w:rPr>
          <w:rStyle w:val="Heading1Char"/>
          <w:rFonts w:cstheme="majorHAnsi"/>
          <w:b/>
          <w:bCs/>
          <w:color w:val="auto"/>
          <w:sz w:val="24"/>
          <w:szCs w:val="24"/>
          <w:lang w:val="en-GB"/>
        </w:rPr>
      </w:pPr>
    </w:p>
    <w:p w14:paraId="22FE14D1" w14:textId="77777777" w:rsidR="004A5250" w:rsidRPr="0089105D" w:rsidRDefault="004A5250" w:rsidP="00A6497C">
      <w:pPr>
        <w:spacing w:line="360" w:lineRule="auto"/>
        <w:ind w:firstLine="720"/>
        <w:jc w:val="both"/>
        <w:rPr>
          <w:rStyle w:val="Heading1Char"/>
          <w:rFonts w:cstheme="majorHAnsi"/>
          <w:b/>
          <w:bCs/>
          <w:color w:val="auto"/>
          <w:sz w:val="24"/>
          <w:szCs w:val="24"/>
          <w:lang w:val="en-GB"/>
        </w:rPr>
      </w:pPr>
    </w:p>
    <w:p w14:paraId="73C14023" w14:textId="5543ECF7" w:rsidR="00457E03" w:rsidRPr="0089105D" w:rsidRDefault="00365466" w:rsidP="00457E03">
      <w:pPr>
        <w:spacing w:line="360" w:lineRule="auto"/>
        <w:rPr>
          <w:rFonts w:asciiTheme="majorHAnsi" w:hAnsiTheme="majorHAnsi" w:cstheme="majorHAnsi"/>
          <w:b/>
          <w:bCs/>
          <w:highlight w:val="yellow"/>
        </w:rPr>
      </w:pPr>
      <w:bookmarkStart w:id="156" w:name="_Toc132266345"/>
      <w:bookmarkStart w:id="157" w:name="_Toc153142505"/>
      <w:bookmarkStart w:id="158" w:name="_Toc153187431"/>
      <w:r w:rsidRPr="0089105D">
        <w:rPr>
          <w:rStyle w:val="Heading1Char"/>
          <w:rFonts w:cstheme="majorHAnsi"/>
          <w:b/>
          <w:bCs/>
          <w:color w:val="auto"/>
        </w:rPr>
        <w:t xml:space="preserve">CHAPTER 5: </w:t>
      </w:r>
      <w:r w:rsidR="00457E03" w:rsidRPr="0089105D">
        <w:rPr>
          <w:rStyle w:val="Heading1Char"/>
          <w:rFonts w:cstheme="majorHAnsi"/>
          <w:b/>
          <w:bCs/>
          <w:color w:val="auto"/>
        </w:rPr>
        <w:t>CONCLUSION</w:t>
      </w:r>
      <w:bookmarkEnd w:id="156"/>
      <w:bookmarkEnd w:id="157"/>
      <w:bookmarkEnd w:id="158"/>
      <w:r w:rsidR="00457E03" w:rsidRPr="0089105D">
        <w:rPr>
          <w:rStyle w:val="Heading1Char"/>
          <w:rFonts w:cstheme="majorHAnsi"/>
          <w:b/>
          <w:bCs/>
          <w:color w:val="auto"/>
          <w:highlight w:val="yellow"/>
        </w:rPr>
        <w:br/>
      </w:r>
    </w:p>
    <w:p w14:paraId="539964E9" w14:textId="77777777" w:rsidR="00C84218" w:rsidRPr="0089105D" w:rsidRDefault="00C84218" w:rsidP="00C84218">
      <w:pPr>
        <w:spacing w:line="360" w:lineRule="auto"/>
        <w:jc w:val="both"/>
        <w:rPr>
          <w:rFonts w:asciiTheme="majorHAnsi" w:hAnsiTheme="majorHAnsi" w:cstheme="majorHAnsi"/>
          <w:lang w:val="en-GB"/>
        </w:rPr>
      </w:pPr>
      <w:r w:rsidRPr="0089105D">
        <w:rPr>
          <w:rFonts w:asciiTheme="majorHAnsi" w:hAnsiTheme="majorHAnsi" w:cstheme="majorHAnsi"/>
          <w:lang w:val="en-GB"/>
        </w:rPr>
        <w:t>The inception of the Sustainable Development Goals (SDGs) agenda in 2015 marked a significant shift, providing the international community with a comprehensive framework to strive for heightened sustainable development across economic, social, and environmental dimensions by 2030. Unlike its predecessor, the Millennium Development Goals, which were more narrowly focused on developing countries, the SDGs encompass a broader, global scope. Despite widespread acceptance and integration into policies at global, regional, and national levels, the SDGs have not been immune to criticism from scholarly and institutional spheres.</w:t>
      </w:r>
    </w:p>
    <w:p w14:paraId="3EC11E1B" w14:textId="77777777" w:rsidR="00C84218" w:rsidRPr="0089105D" w:rsidRDefault="00C84218" w:rsidP="00C84218">
      <w:pPr>
        <w:spacing w:line="360" w:lineRule="auto"/>
        <w:jc w:val="both"/>
        <w:rPr>
          <w:rFonts w:asciiTheme="majorHAnsi" w:hAnsiTheme="majorHAnsi" w:cstheme="majorHAnsi"/>
          <w:lang w:val="en-GB"/>
        </w:rPr>
      </w:pPr>
    </w:p>
    <w:p w14:paraId="7502AEE9" w14:textId="30017A77" w:rsidR="00457E03" w:rsidRPr="0089105D" w:rsidRDefault="00C84218" w:rsidP="00C84218">
      <w:pPr>
        <w:spacing w:line="360" w:lineRule="auto"/>
        <w:jc w:val="both"/>
        <w:rPr>
          <w:rFonts w:asciiTheme="majorHAnsi" w:hAnsiTheme="majorHAnsi" w:cstheme="majorHAnsi"/>
          <w:lang w:val="en-GB"/>
        </w:rPr>
      </w:pPr>
      <w:r w:rsidRPr="0089105D">
        <w:rPr>
          <w:rFonts w:asciiTheme="majorHAnsi" w:hAnsiTheme="majorHAnsi" w:cstheme="majorHAnsi"/>
          <w:lang w:val="en-GB"/>
        </w:rPr>
        <w:t xml:space="preserve">This </w:t>
      </w:r>
      <w:r w:rsidR="003703D1" w:rsidRPr="0089105D">
        <w:rPr>
          <w:rFonts w:asciiTheme="majorHAnsi" w:hAnsiTheme="majorHAnsi" w:cstheme="majorHAnsi"/>
          <w:lang w:val="en-GB"/>
        </w:rPr>
        <w:t>M</w:t>
      </w:r>
      <w:r w:rsidRPr="0089105D">
        <w:rPr>
          <w:rFonts w:asciiTheme="majorHAnsi" w:hAnsiTheme="majorHAnsi" w:cstheme="majorHAnsi"/>
          <w:lang w:val="en-GB"/>
        </w:rPr>
        <w:t xml:space="preserve">aster </w:t>
      </w:r>
      <w:r w:rsidR="003703D1" w:rsidRPr="0089105D">
        <w:rPr>
          <w:rFonts w:asciiTheme="majorHAnsi" w:hAnsiTheme="majorHAnsi" w:cstheme="majorHAnsi"/>
          <w:lang w:val="en-GB"/>
        </w:rPr>
        <w:t>T</w:t>
      </w:r>
      <w:r w:rsidRPr="0089105D">
        <w:rPr>
          <w:rFonts w:asciiTheme="majorHAnsi" w:hAnsiTheme="majorHAnsi" w:cstheme="majorHAnsi"/>
          <w:lang w:val="en-GB"/>
        </w:rPr>
        <w:t>hesis, while recognizing the intrinsic value and conceptual importance of the SDGs, undertakes a critical examination of the notable criticisms that have arisen. In navigating through these critiques, the thesis aims to provide structural recommendations aimed at refining and strengthening the existing system</w:t>
      </w:r>
      <w:r w:rsidR="00A3146C" w:rsidRPr="0089105D">
        <w:rPr>
          <w:rFonts w:asciiTheme="majorHAnsi" w:hAnsiTheme="majorHAnsi" w:cstheme="majorHAnsi"/>
          <w:lang w:val="en-GB"/>
        </w:rPr>
        <w:t>.</w:t>
      </w:r>
      <w:r w:rsidRPr="0089105D">
        <w:rPr>
          <w:rFonts w:asciiTheme="majorHAnsi" w:hAnsiTheme="majorHAnsi" w:cstheme="majorHAnsi"/>
          <w:lang w:val="en-GB"/>
        </w:rPr>
        <w:t xml:space="preserve"> </w:t>
      </w:r>
    </w:p>
    <w:p w14:paraId="292D3833" w14:textId="77777777" w:rsidR="00A6497C" w:rsidRPr="0089105D" w:rsidRDefault="00A6497C" w:rsidP="00C84218">
      <w:pPr>
        <w:spacing w:line="360" w:lineRule="auto"/>
        <w:jc w:val="both"/>
        <w:rPr>
          <w:rFonts w:asciiTheme="majorHAnsi" w:hAnsiTheme="majorHAnsi" w:cstheme="majorHAnsi"/>
          <w:highlight w:val="yellow"/>
          <w:lang w:val="en-GB"/>
        </w:rPr>
      </w:pPr>
    </w:p>
    <w:p w14:paraId="6481CBC5" w14:textId="5E3BADD1" w:rsidR="00C84218" w:rsidRPr="0089105D" w:rsidRDefault="00C84218" w:rsidP="00C84218">
      <w:pPr>
        <w:spacing w:line="360" w:lineRule="auto"/>
        <w:jc w:val="both"/>
        <w:rPr>
          <w:rFonts w:asciiTheme="majorHAnsi" w:hAnsiTheme="majorHAnsi" w:cstheme="majorHAnsi"/>
        </w:rPr>
      </w:pPr>
      <w:r w:rsidRPr="0089105D">
        <w:rPr>
          <w:rFonts w:asciiTheme="majorHAnsi" w:hAnsiTheme="majorHAnsi" w:cstheme="majorHAnsi"/>
        </w:rPr>
        <w:t xml:space="preserve">This </w:t>
      </w:r>
      <w:r w:rsidR="00A3146C" w:rsidRPr="0089105D">
        <w:rPr>
          <w:rFonts w:asciiTheme="majorHAnsi" w:hAnsiTheme="majorHAnsi" w:cstheme="majorHAnsi"/>
        </w:rPr>
        <w:t>Master Thesis</w:t>
      </w:r>
      <w:r w:rsidRPr="0089105D">
        <w:rPr>
          <w:rFonts w:asciiTheme="majorHAnsi" w:hAnsiTheme="majorHAnsi" w:cstheme="majorHAnsi"/>
        </w:rPr>
        <w:t xml:space="preserve"> embarked on a thorough examination of scholarly articles retrieved from five prominent academic databases, namely Web of Science, Scopus, JSTOR, Science Direct, and Google Scholar. The diverse compilation of articles, totaling 113, drew from each database to ensure a broad representation of academic literature</w:t>
      </w:r>
      <w:r w:rsidR="00A3146C" w:rsidRPr="0089105D">
        <w:rPr>
          <w:rFonts w:asciiTheme="majorHAnsi" w:hAnsiTheme="majorHAnsi" w:cstheme="majorHAnsi"/>
        </w:rPr>
        <w:t xml:space="preserve">, the results were following. </w:t>
      </w:r>
    </w:p>
    <w:p w14:paraId="627339C1" w14:textId="77777777" w:rsidR="00C84218" w:rsidRPr="0089105D" w:rsidRDefault="00C84218" w:rsidP="00C84218">
      <w:pPr>
        <w:spacing w:line="360" w:lineRule="auto"/>
        <w:rPr>
          <w:rFonts w:asciiTheme="majorHAnsi" w:hAnsiTheme="majorHAnsi" w:cstheme="majorHAnsi"/>
        </w:rPr>
      </w:pPr>
    </w:p>
    <w:p w14:paraId="1C2D03AA" w14:textId="6DF1AEA1" w:rsidR="00A3146C" w:rsidRPr="00244437" w:rsidRDefault="00A3146C" w:rsidP="00C84218">
      <w:pPr>
        <w:spacing w:line="360" w:lineRule="auto"/>
        <w:jc w:val="both"/>
        <w:rPr>
          <w:rFonts w:asciiTheme="majorHAnsi" w:hAnsiTheme="majorHAnsi" w:cstheme="majorHAnsi"/>
        </w:rPr>
      </w:pPr>
      <w:r w:rsidRPr="00244437">
        <w:rPr>
          <w:rFonts w:asciiTheme="majorHAnsi" w:hAnsiTheme="majorHAnsi" w:cstheme="majorHAnsi"/>
        </w:rPr>
        <w:t xml:space="preserve">Firstly, </w:t>
      </w:r>
      <w:r w:rsidR="00C84218" w:rsidRPr="00244437">
        <w:rPr>
          <w:rFonts w:asciiTheme="majorHAnsi" w:hAnsiTheme="majorHAnsi" w:cstheme="majorHAnsi"/>
        </w:rPr>
        <w:t>A predominant concern highlighted in the analyzed literature is the occurrence of internal clashes, constituting a significant portion of the identified issues at 28%. This suggests that within the framework of the SDGs, there are conflicting elements that may impede cohesive progress or realization of specific goals</w:t>
      </w:r>
      <w:r w:rsidRPr="00244437">
        <w:rPr>
          <w:rFonts w:asciiTheme="majorHAnsi" w:hAnsiTheme="majorHAnsi" w:cstheme="majorHAnsi"/>
        </w:rPr>
        <w:t>, such as the clash between environmental goals and economic growth</w:t>
      </w:r>
      <w:r w:rsidR="00F950CC" w:rsidRPr="00244437">
        <w:rPr>
          <w:rFonts w:asciiTheme="majorHAnsi" w:hAnsiTheme="majorHAnsi" w:cstheme="majorHAnsi"/>
        </w:rPr>
        <w:t xml:space="preserve"> or between ending hunger and access to safe and clean water.</w:t>
      </w:r>
      <w:r w:rsidR="00244437" w:rsidRPr="00244437">
        <w:rPr>
          <w:rFonts w:asciiTheme="majorHAnsi" w:hAnsiTheme="majorHAnsi" w:cstheme="majorHAnsi"/>
        </w:rPr>
        <w:t xml:space="preserve"> For the environmental clash </w:t>
      </w:r>
      <w:r w:rsidR="00244437" w:rsidRPr="00244437">
        <w:rPr>
          <w:rFonts w:asciiTheme="majorHAnsi" w:hAnsiTheme="majorHAnsi" w:cstheme="majorHAnsi"/>
        </w:rPr>
        <w:t>and economic growth</w:t>
      </w:r>
      <w:r w:rsidR="00244437" w:rsidRPr="00244437">
        <w:rPr>
          <w:rFonts w:asciiTheme="majorHAnsi" w:hAnsiTheme="majorHAnsi" w:cstheme="majorHAnsi"/>
        </w:rPr>
        <w:t xml:space="preserve"> clashes, the r</w:t>
      </w:r>
      <w:r w:rsidR="00244437" w:rsidRPr="00244437">
        <w:rPr>
          <w:rFonts w:asciiTheme="majorHAnsi" w:hAnsiTheme="majorHAnsi" w:cstheme="majorHAnsi"/>
        </w:rPr>
        <w:t>ecommended solution involves integrating carbon intensity targets into SDGs for comprehensive environmental impact assessment.</w:t>
      </w:r>
      <w:r w:rsidR="00244437" w:rsidRPr="00244437">
        <w:rPr>
          <w:rFonts w:asciiTheme="majorHAnsi" w:hAnsiTheme="majorHAnsi" w:cstheme="majorHAnsi"/>
        </w:rPr>
        <w:t xml:space="preserve"> As for the clash between zero hunger and access to water, t</w:t>
      </w:r>
      <w:r w:rsidR="00F950CC" w:rsidRPr="00244437">
        <w:rPr>
          <w:rFonts w:asciiTheme="majorHAnsi" w:hAnsiTheme="majorHAnsi" w:cstheme="majorHAnsi"/>
        </w:rPr>
        <w:t xml:space="preserve">he recommendation for this issue is to create additional indicators which will aim to make the interconnectedness between these goals more visible, fostering a synergic relationship rather than viewing them as </w:t>
      </w:r>
      <w:r w:rsidR="00F950CC" w:rsidRPr="00244437">
        <w:rPr>
          <w:rFonts w:asciiTheme="majorHAnsi" w:hAnsiTheme="majorHAnsi" w:cstheme="majorHAnsi"/>
        </w:rPr>
        <w:lastRenderedPageBreak/>
        <w:t>competing priorities. This proposed solution involves recognizing the mutual reinforcement between SDG 2 and SDG 6, ensuring sustainable water resources while pursuing goals related to agriculture and food production.</w:t>
      </w:r>
    </w:p>
    <w:p w14:paraId="3EED8CE5" w14:textId="77777777" w:rsidR="00A3146C" w:rsidRPr="0089105D" w:rsidRDefault="00A3146C" w:rsidP="00C84218">
      <w:pPr>
        <w:spacing w:line="360" w:lineRule="auto"/>
        <w:jc w:val="both"/>
        <w:rPr>
          <w:rFonts w:asciiTheme="majorHAnsi" w:hAnsiTheme="majorHAnsi" w:cstheme="majorHAnsi"/>
        </w:rPr>
      </w:pPr>
    </w:p>
    <w:p w14:paraId="797B7E3F" w14:textId="3D9AF7A6" w:rsidR="00C84218" w:rsidRPr="0089105D" w:rsidRDefault="00F950CC" w:rsidP="00C84218">
      <w:pPr>
        <w:spacing w:line="360" w:lineRule="auto"/>
        <w:jc w:val="both"/>
        <w:rPr>
          <w:rFonts w:asciiTheme="majorHAnsi" w:hAnsiTheme="majorHAnsi" w:cstheme="majorHAnsi"/>
        </w:rPr>
      </w:pPr>
      <w:r w:rsidRPr="0089105D">
        <w:rPr>
          <w:rFonts w:asciiTheme="majorHAnsi" w:hAnsiTheme="majorHAnsi" w:cstheme="majorHAnsi"/>
        </w:rPr>
        <w:t xml:space="preserve">Secondly, </w:t>
      </w:r>
      <w:r w:rsidR="00C84218" w:rsidRPr="0089105D">
        <w:rPr>
          <w:rFonts w:asciiTheme="majorHAnsi" w:hAnsiTheme="majorHAnsi" w:cstheme="majorHAnsi"/>
        </w:rPr>
        <w:t>the lack of integration emerged as another substantial issue, accounting for 13.33% of the findings. This underscores the importance of harmonizing different aspects of the SDGs to achieve a more unified and synergistic approach.</w:t>
      </w:r>
      <w:r w:rsidRPr="0089105D">
        <w:rPr>
          <w:rFonts w:asciiTheme="majorHAnsi" w:hAnsiTheme="majorHAnsi" w:cstheme="majorHAnsi"/>
        </w:rPr>
        <w:t xml:space="preserve"> The lack of integration within the SDG framework poses challenges, with goals existing in isolation. Incorporating direct linkages and cross-cutting elements is recommended to create new cross-sectorial partnerships and attract investments. This entails integrating gender-inclusive dimensions, climate-resilient solutions, and other salient factors crucial for specific SDGs into the framework.</w:t>
      </w:r>
    </w:p>
    <w:p w14:paraId="11A72EA0" w14:textId="77777777" w:rsidR="00C84218" w:rsidRPr="0089105D" w:rsidRDefault="00C84218" w:rsidP="00C84218">
      <w:pPr>
        <w:spacing w:line="360" w:lineRule="auto"/>
        <w:jc w:val="both"/>
        <w:rPr>
          <w:rFonts w:asciiTheme="majorHAnsi" w:hAnsiTheme="majorHAnsi" w:cstheme="majorHAnsi"/>
        </w:rPr>
      </w:pPr>
    </w:p>
    <w:p w14:paraId="09207AC4" w14:textId="03306574" w:rsidR="00F950CC" w:rsidRPr="0089105D" w:rsidRDefault="00F950CC" w:rsidP="00C84218">
      <w:pPr>
        <w:spacing w:line="360" w:lineRule="auto"/>
        <w:jc w:val="both"/>
        <w:rPr>
          <w:rFonts w:asciiTheme="majorHAnsi" w:hAnsiTheme="majorHAnsi" w:cstheme="majorHAnsi"/>
        </w:rPr>
      </w:pPr>
      <w:r w:rsidRPr="0089105D">
        <w:rPr>
          <w:rFonts w:asciiTheme="majorHAnsi" w:hAnsiTheme="majorHAnsi" w:cstheme="majorHAnsi"/>
        </w:rPr>
        <w:t>Thirdly, i</w:t>
      </w:r>
      <w:r w:rsidR="00C84218" w:rsidRPr="0089105D">
        <w:rPr>
          <w:rFonts w:asciiTheme="majorHAnsi" w:hAnsiTheme="majorHAnsi" w:cstheme="majorHAnsi"/>
        </w:rPr>
        <w:t>ssues with the current global settings were identified as a concern by 11% of the articles, indicating that the overarching global conditions may pose challenges to the effective implementation of the SDGs.</w:t>
      </w:r>
      <w:r w:rsidR="00197974" w:rsidRPr="0089105D">
        <w:rPr>
          <w:rFonts w:asciiTheme="majorHAnsi" w:hAnsiTheme="majorHAnsi" w:cstheme="majorHAnsi"/>
        </w:rPr>
        <w:t xml:space="preserve"> The articles</w:t>
      </w:r>
      <w:r w:rsidR="00C84218" w:rsidRPr="0089105D">
        <w:rPr>
          <w:rFonts w:asciiTheme="majorHAnsi" w:hAnsiTheme="majorHAnsi" w:cstheme="majorHAnsi"/>
        </w:rPr>
        <w:t xml:space="preserve"> </w:t>
      </w:r>
      <w:r w:rsidR="00197974" w:rsidRPr="0089105D">
        <w:rPr>
          <w:rFonts w:asciiTheme="majorHAnsi" w:hAnsiTheme="majorHAnsi" w:cstheme="majorHAnsi"/>
        </w:rPr>
        <w:t>argued that systemic challenges and geopolitical factors, driven by unequal resource distribution and power dynamics, hinder Sustainable Development Goal (SDG) implementation. Economic inequality and resource concentration in powerful nations impede progress, particularly in poverty, health, and education. The Global North-South and universalist divide complicates SDG execution, impacting areas like peace, justice, and poverty reduction. To address this, a recommended shift involves emphasizing wealthy nations' responsibilities, promoting global collective efforts, and holding international bodies accountable. This approach aligns with SDG 17, fostering genuine partnerships and addressing extreme global inequalities.</w:t>
      </w:r>
    </w:p>
    <w:p w14:paraId="61292A57" w14:textId="77777777" w:rsidR="00F950CC" w:rsidRPr="0089105D" w:rsidRDefault="00F950CC" w:rsidP="00C84218">
      <w:pPr>
        <w:spacing w:line="360" w:lineRule="auto"/>
        <w:jc w:val="both"/>
        <w:rPr>
          <w:rFonts w:asciiTheme="majorHAnsi" w:hAnsiTheme="majorHAnsi" w:cstheme="majorHAnsi"/>
        </w:rPr>
      </w:pPr>
    </w:p>
    <w:p w14:paraId="5AB0B92A" w14:textId="6D662899" w:rsidR="00F950CC" w:rsidRPr="0089105D" w:rsidRDefault="00F950CC" w:rsidP="00C84218">
      <w:pPr>
        <w:spacing w:line="360" w:lineRule="auto"/>
        <w:jc w:val="both"/>
        <w:rPr>
          <w:rFonts w:asciiTheme="majorHAnsi" w:hAnsiTheme="majorHAnsi" w:cstheme="majorHAnsi"/>
        </w:rPr>
      </w:pPr>
      <w:r w:rsidRPr="0089105D">
        <w:rPr>
          <w:rFonts w:asciiTheme="majorHAnsi" w:hAnsiTheme="majorHAnsi" w:cstheme="majorHAnsi"/>
        </w:rPr>
        <w:t>Fourthly, i</w:t>
      </w:r>
      <w:r w:rsidR="00C84218" w:rsidRPr="0089105D">
        <w:rPr>
          <w:rFonts w:asciiTheme="majorHAnsi" w:hAnsiTheme="majorHAnsi" w:cstheme="majorHAnsi"/>
        </w:rPr>
        <w:t xml:space="preserve">nefficient indicators and the absence of a robust mechanism for monitoring were also recognized, with percentages of 7.77% </w:t>
      </w:r>
      <w:r w:rsidR="003703D1" w:rsidRPr="0089105D">
        <w:rPr>
          <w:rFonts w:asciiTheme="majorHAnsi" w:hAnsiTheme="majorHAnsi" w:cstheme="majorHAnsi"/>
        </w:rPr>
        <w:t xml:space="preserve">Inefficiencies in SDG indicators present challenges, impacting the comprehensive assessment and measurement of progress within the framework. These challenges encompass difficulties in measuring inherently complex issues, overlooking crucial aspects, and lacking clarity. The critique emphasizes the overarching need for improved clarity and quantification throughout the entire SDG framework to ensure effective progress monitoring. </w:t>
      </w:r>
      <w:proofErr w:type="spellStart"/>
      <w:r w:rsidR="003703D1" w:rsidRPr="0089105D">
        <w:rPr>
          <w:rFonts w:asciiTheme="majorHAnsi" w:hAnsiTheme="majorHAnsi" w:cstheme="majorHAnsi"/>
        </w:rPr>
        <w:t>Gulseven's</w:t>
      </w:r>
      <w:proofErr w:type="spellEnd"/>
      <w:r w:rsidR="003703D1" w:rsidRPr="0089105D">
        <w:rPr>
          <w:rFonts w:asciiTheme="majorHAnsi" w:hAnsiTheme="majorHAnsi" w:cstheme="majorHAnsi"/>
        </w:rPr>
        <w:t xml:space="preserve"> (2020) recommendation advocates reframing indicators using the SMART criteria—Specific, Measurable, Achievable, Relevant, and Time-oriented, with a specified time frame. This approach aims to enhance precision, effectiveness, and systematic measurement, providing clearer guidance and promoting the success of SDGs.</w:t>
      </w:r>
    </w:p>
    <w:p w14:paraId="7E745042" w14:textId="77777777" w:rsidR="00F950CC" w:rsidRPr="0089105D" w:rsidRDefault="00F950CC" w:rsidP="00C84218">
      <w:pPr>
        <w:spacing w:line="360" w:lineRule="auto"/>
        <w:jc w:val="both"/>
        <w:rPr>
          <w:rFonts w:asciiTheme="majorHAnsi" w:hAnsiTheme="majorHAnsi" w:cstheme="majorHAnsi"/>
        </w:rPr>
      </w:pPr>
    </w:p>
    <w:p w14:paraId="05E4CB08" w14:textId="03DA2067" w:rsidR="00C84218" w:rsidRPr="0089105D" w:rsidRDefault="00197974" w:rsidP="00C84218">
      <w:pPr>
        <w:spacing w:line="360" w:lineRule="auto"/>
        <w:jc w:val="both"/>
        <w:rPr>
          <w:rFonts w:asciiTheme="majorHAnsi" w:hAnsiTheme="majorHAnsi" w:cstheme="majorHAnsi"/>
        </w:rPr>
      </w:pPr>
      <w:r w:rsidRPr="0089105D">
        <w:rPr>
          <w:rFonts w:asciiTheme="majorHAnsi" w:hAnsiTheme="majorHAnsi" w:cstheme="majorHAnsi"/>
        </w:rPr>
        <w:t xml:space="preserve">Fifthly, the data analysis revealed that </w:t>
      </w:r>
      <w:r w:rsidR="00C84218" w:rsidRPr="0089105D">
        <w:rPr>
          <w:rFonts w:asciiTheme="majorHAnsi" w:hAnsiTheme="majorHAnsi" w:cstheme="majorHAnsi"/>
        </w:rPr>
        <w:t>6.66%</w:t>
      </w:r>
      <w:r w:rsidRPr="0089105D">
        <w:rPr>
          <w:rFonts w:asciiTheme="majorHAnsi" w:hAnsiTheme="majorHAnsi" w:cstheme="majorHAnsi"/>
        </w:rPr>
        <w:t xml:space="preserve"> of analyzed articles criticized the lack of efficient monitoring mechanism for</w:t>
      </w:r>
      <w:r w:rsidR="00C84218" w:rsidRPr="0089105D">
        <w:rPr>
          <w:rFonts w:asciiTheme="majorHAnsi" w:hAnsiTheme="majorHAnsi" w:cstheme="majorHAnsi"/>
        </w:rPr>
        <w:t xml:space="preserve"> the evaluative aspects of the SDG framework.</w:t>
      </w:r>
      <w:r w:rsidRPr="0089105D">
        <w:rPr>
          <w:rFonts w:asciiTheme="majorHAnsi" w:hAnsiTheme="majorHAnsi" w:cstheme="majorHAnsi"/>
        </w:rPr>
        <w:t xml:space="preserve"> The absence of a robust monitoring mechanism hampers accurate progress assessment. To address this, a recommendation involves establishing an independent monitoring body. This body would enhance transparency, ensure objective evaluation, and foster credibility in tracking SDG implementation.</w:t>
      </w:r>
    </w:p>
    <w:p w14:paraId="6219C54A" w14:textId="77777777" w:rsidR="003703D1" w:rsidRPr="0089105D" w:rsidRDefault="003703D1" w:rsidP="00C84218">
      <w:pPr>
        <w:spacing w:line="360" w:lineRule="auto"/>
        <w:jc w:val="both"/>
        <w:rPr>
          <w:rFonts w:asciiTheme="majorHAnsi" w:hAnsiTheme="majorHAnsi" w:cstheme="majorHAnsi"/>
        </w:rPr>
      </w:pPr>
    </w:p>
    <w:p w14:paraId="0D0319C6" w14:textId="7739AC0D" w:rsidR="00F950CC" w:rsidRPr="0089105D" w:rsidRDefault="00E83499" w:rsidP="00C84218">
      <w:pPr>
        <w:spacing w:line="360" w:lineRule="auto"/>
        <w:jc w:val="both"/>
        <w:rPr>
          <w:rFonts w:asciiTheme="majorHAnsi" w:hAnsiTheme="majorHAnsi" w:cstheme="majorHAnsi"/>
        </w:rPr>
      </w:pPr>
      <w:r w:rsidRPr="0089105D">
        <w:rPr>
          <w:rFonts w:asciiTheme="majorHAnsi" w:hAnsiTheme="majorHAnsi" w:cstheme="majorHAnsi"/>
        </w:rPr>
        <w:t>Sixthly, the analysis identified a significant concern (6.66%) about the perceived vagueness in certain aspects of the SDGs. To address this, the recommendation is to formulate SMART targets for effective implementation (</w:t>
      </w:r>
      <w:proofErr w:type="spellStart"/>
      <w:r w:rsidRPr="0089105D">
        <w:rPr>
          <w:rFonts w:asciiTheme="majorHAnsi" w:hAnsiTheme="majorHAnsi" w:cstheme="majorHAnsi"/>
        </w:rPr>
        <w:t>Mustajoki</w:t>
      </w:r>
      <w:proofErr w:type="spellEnd"/>
      <w:r w:rsidRPr="0089105D">
        <w:rPr>
          <w:rFonts w:asciiTheme="majorHAnsi" w:hAnsiTheme="majorHAnsi" w:cstheme="majorHAnsi"/>
        </w:rPr>
        <w:t xml:space="preserve">, Borchardt, </w:t>
      </w:r>
      <w:proofErr w:type="spellStart"/>
      <w:r w:rsidRPr="0089105D">
        <w:rPr>
          <w:rFonts w:asciiTheme="majorHAnsi" w:hAnsiTheme="majorHAnsi" w:cstheme="majorHAnsi"/>
        </w:rPr>
        <w:t>Buttner</w:t>
      </w:r>
      <w:proofErr w:type="spellEnd"/>
      <w:r w:rsidRPr="0089105D">
        <w:rPr>
          <w:rFonts w:asciiTheme="majorHAnsi" w:hAnsiTheme="majorHAnsi" w:cstheme="majorHAnsi"/>
        </w:rPr>
        <w:t xml:space="preserve"> et al., 2022). Additionally, advocating clear communication, inclusivity in negotiations, and establishing an SDG Taskforce with diverse representation are crucial steps for successful SDG implementation at both national and regional levels.</w:t>
      </w:r>
    </w:p>
    <w:p w14:paraId="2A509034" w14:textId="77777777" w:rsidR="00E83499" w:rsidRPr="0089105D" w:rsidRDefault="00E83499" w:rsidP="00C84218">
      <w:pPr>
        <w:spacing w:line="360" w:lineRule="auto"/>
        <w:jc w:val="both"/>
        <w:rPr>
          <w:rFonts w:asciiTheme="majorHAnsi" w:hAnsiTheme="majorHAnsi" w:cstheme="majorHAnsi"/>
        </w:rPr>
      </w:pPr>
    </w:p>
    <w:p w14:paraId="354DB3EB" w14:textId="72D6C5C2" w:rsidR="00C84218" w:rsidRPr="0089105D" w:rsidRDefault="00C84218" w:rsidP="00C84218">
      <w:pPr>
        <w:spacing w:line="360" w:lineRule="auto"/>
        <w:jc w:val="both"/>
        <w:rPr>
          <w:rFonts w:asciiTheme="majorHAnsi" w:hAnsiTheme="majorHAnsi" w:cstheme="majorHAnsi"/>
        </w:rPr>
      </w:pPr>
      <w:r w:rsidRPr="0089105D">
        <w:rPr>
          <w:rFonts w:asciiTheme="majorHAnsi" w:hAnsiTheme="majorHAnsi" w:cstheme="majorHAnsi"/>
        </w:rPr>
        <w:t>Additionally, the lack of accountability was identified in 4.44% of the articles, signifying concerns about the responsibility and enforcement mechanisms within the SDGs.</w:t>
      </w:r>
      <w:r w:rsidR="008F7B78" w:rsidRPr="0089105D">
        <w:rPr>
          <w:rFonts w:asciiTheme="majorHAnsi" w:hAnsiTheme="majorHAnsi" w:cstheme="majorHAnsi"/>
        </w:rPr>
        <w:t xml:space="preserve"> It was indeed recognized as a substantial obstacle. The recommendation involves establishing an independent investigative body dedicated to monitoring and ensuring accountability. Drawing inspiration from existing models for human rights, this body would play a pivotal role in holding states accountable through both soft and hard power mechanisms. The proposed body would contribute to accountability by providing constructive recommendations, exerting soft power on nations to comply with the SDG plans while maintaining a balance between fostering collaboration and shared responsibility and addressing non-compliance.</w:t>
      </w:r>
    </w:p>
    <w:p w14:paraId="00FC1930" w14:textId="77777777" w:rsidR="00C84218" w:rsidRPr="0089105D" w:rsidRDefault="00C84218" w:rsidP="00C84218">
      <w:pPr>
        <w:spacing w:line="360" w:lineRule="auto"/>
        <w:jc w:val="both"/>
        <w:rPr>
          <w:rFonts w:asciiTheme="majorHAnsi" w:hAnsiTheme="majorHAnsi" w:cstheme="majorHAnsi"/>
        </w:rPr>
      </w:pPr>
    </w:p>
    <w:p w14:paraId="6C72E075" w14:textId="46F5DD06" w:rsidR="00F950CC" w:rsidRPr="0089105D" w:rsidRDefault="00C84218" w:rsidP="00C84218">
      <w:pPr>
        <w:spacing w:line="360" w:lineRule="auto"/>
        <w:jc w:val="both"/>
        <w:rPr>
          <w:rFonts w:asciiTheme="majorHAnsi" w:hAnsiTheme="majorHAnsi" w:cstheme="majorHAnsi"/>
        </w:rPr>
      </w:pPr>
      <w:r w:rsidRPr="0089105D">
        <w:rPr>
          <w:rFonts w:asciiTheme="majorHAnsi" w:hAnsiTheme="majorHAnsi" w:cstheme="majorHAnsi"/>
        </w:rPr>
        <w:t xml:space="preserve">Further nuances in the analysis pointed to a 3.33% consensus on the notion of a wrong concept of sustainability within the SDGs, indicating a need for reconsideration or refinement in the conceptualization of sustainability. </w:t>
      </w:r>
      <w:r w:rsidR="008F7B78" w:rsidRPr="0089105D">
        <w:rPr>
          <w:rFonts w:asciiTheme="majorHAnsi" w:hAnsiTheme="majorHAnsi" w:cstheme="majorHAnsi"/>
        </w:rPr>
        <w:t xml:space="preserve">Criticism related to the wrong concept of sustainability focuses on the positioning of environmental SDGs in the background. The recommendation involves re-evaluating the hierarchical structure of SDGs. SDG 13 (Climate Action) and SDG 16 (Peace, Justice, and Strong Institutions) are proposed to be prioritized and translated into jus cogens norms, emphasizing their foundational role. This prioritization aligns with the urgent need for global commitment to addressing climate change and fostering peace as integral components of a sustainable development agenda. </w:t>
      </w:r>
    </w:p>
    <w:p w14:paraId="122F6305" w14:textId="77777777" w:rsidR="00F950CC" w:rsidRPr="0089105D" w:rsidRDefault="00F950CC" w:rsidP="00C84218">
      <w:pPr>
        <w:spacing w:line="360" w:lineRule="auto"/>
        <w:jc w:val="both"/>
        <w:rPr>
          <w:rFonts w:asciiTheme="majorHAnsi" w:hAnsiTheme="majorHAnsi" w:cstheme="majorHAnsi"/>
        </w:rPr>
      </w:pPr>
    </w:p>
    <w:p w14:paraId="6EB563CB" w14:textId="7601DE85" w:rsidR="00457E03" w:rsidRPr="0089105D" w:rsidRDefault="00C84218" w:rsidP="00C84218">
      <w:pPr>
        <w:spacing w:line="360" w:lineRule="auto"/>
        <w:jc w:val="both"/>
        <w:rPr>
          <w:rFonts w:asciiTheme="majorHAnsi" w:hAnsiTheme="majorHAnsi" w:cstheme="majorHAnsi"/>
        </w:rPr>
      </w:pPr>
      <w:r w:rsidRPr="0089105D">
        <w:rPr>
          <w:rFonts w:asciiTheme="majorHAnsi" w:hAnsiTheme="majorHAnsi" w:cstheme="majorHAnsi"/>
        </w:rPr>
        <w:t>Lastly, the aspect of non-legally binding commitments garnered an equal percentage of 3.33%, emphasizing concerns about the enforceability and commitment level associated with the SDGs.</w:t>
      </w:r>
      <w:r w:rsidR="008F7B78" w:rsidRPr="0089105D">
        <w:rPr>
          <w:rFonts w:asciiTheme="majorHAnsi" w:hAnsiTheme="majorHAnsi" w:cstheme="majorHAnsi"/>
        </w:rPr>
        <w:t xml:space="preserve"> The non-legally binding nature of SDGs is identified as a challenge impacting commitment and compliance. The recommendation involves translating SDG 13 (Climate Action) and SDG 16 (Peace, Justice, and Strong Institutions) into jus cogens norms, rendering them non-</w:t>
      </w:r>
      <w:proofErr w:type="spellStart"/>
      <w:r w:rsidR="008F7B78" w:rsidRPr="0089105D">
        <w:rPr>
          <w:rFonts w:asciiTheme="majorHAnsi" w:hAnsiTheme="majorHAnsi" w:cstheme="majorHAnsi"/>
        </w:rPr>
        <w:t>derogable</w:t>
      </w:r>
      <w:proofErr w:type="spellEnd"/>
      <w:r w:rsidR="008F7B78" w:rsidRPr="0089105D">
        <w:rPr>
          <w:rFonts w:asciiTheme="majorHAnsi" w:hAnsiTheme="majorHAnsi" w:cstheme="majorHAnsi"/>
        </w:rPr>
        <w:t xml:space="preserve"> norms accepted by the international community. This approach actively motivates states to adhere to the SDG agenda and promotes accountability through the establishment of legal obligations.</w:t>
      </w:r>
    </w:p>
    <w:p w14:paraId="3FC2651F" w14:textId="77777777" w:rsidR="00457E03" w:rsidRPr="0089105D" w:rsidRDefault="00457E03" w:rsidP="00C84218">
      <w:pPr>
        <w:spacing w:line="360" w:lineRule="auto"/>
        <w:jc w:val="both"/>
        <w:rPr>
          <w:rFonts w:asciiTheme="majorHAnsi" w:hAnsiTheme="majorHAnsi" w:cstheme="majorHAnsi"/>
        </w:rPr>
      </w:pPr>
    </w:p>
    <w:p w14:paraId="78C8A37E" w14:textId="0D14509F" w:rsidR="00457E03" w:rsidRPr="0089105D" w:rsidRDefault="003703D1" w:rsidP="003703D1">
      <w:pPr>
        <w:spacing w:line="360" w:lineRule="auto"/>
        <w:jc w:val="both"/>
        <w:rPr>
          <w:rFonts w:asciiTheme="majorHAnsi" w:hAnsiTheme="majorHAnsi" w:cstheme="majorHAnsi"/>
        </w:rPr>
      </w:pPr>
      <w:r w:rsidRPr="0089105D">
        <w:rPr>
          <w:rFonts w:asciiTheme="majorHAnsi" w:hAnsiTheme="majorHAnsi" w:cstheme="majorHAnsi"/>
        </w:rPr>
        <w:t xml:space="preserve">In conclusion, </w:t>
      </w:r>
      <w:r w:rsidR="00244437" w:rsidRPr="0089105D">
        <w:rPr>
          <w:rFonts w:asciiTheme="majorHAnsi" w:hAnsiTheme="majorHAnsi" w:cstheme="majorHAnsi"/>
        </w:rPr>
        <w:t>the</w:t>
      </w:r>
      <w:r w:rsidRPr="0089105D">
        <w:rPr>
          <w:rFonts w:asciiTheme="majorHAnsi" w:hAnsiTheme="majorHAnsi" w:cstheme="majorHAnsi"/>
        </w:rPr>
        <w:t xml:space="preserve"> proposed solutions include refining the interconnectedness between conflicting goals, enhancing integration, addressing global inequalities, improving indicator precision, establishing an independent monitoring body, formulating SMART targets, ensuring accountability through an investigative body, re-evaluating the hierarchical structure, and translating key goals into jus cogens norms. By transforming criticism into actionable recommendations, there is an opportunity to fortify the SDG framework</w:t>
      </w:r>
      <w:r w:rsidRPr="0089105D">
        <w:rPr>
          <w:rFonts w:asciiTheme="majorHAnsi" w:hAnsiTheme="majorHAnsi" w:cstheme="majorHAnsi"/>
        </w:rPr>
        <w:t xml:space="preserve"> and its </w:t>
      </w:r>
      <w:proofErr w:type="spellStart"/>
      <w:r w:rsidRPr="0089105D">
        <w:rPr>
          <w:rFonts w:asciiTheme="majorHAnsi" w:hAnsiTheme="majorHAnsi" w:cstheme="majorHAnsi"/>
        </w:rPr>
        <w:t>succesor</w:t>
      </w:r>
      <w:proofErr w:type="spellEnd"/>
      <w:r w:rsidRPr="0089105D">
        <w:rPr>
          <w:rFonts w:asciiTheme="majorHAnsi" w:hAnsiTheme="majorHAnsi" w:cstheme="majorHAnsi"/>
        </w:rPr>
        <w:t>, making it more efficient, accountable, and responsive to the complex challenges of sustainable development beyond 2030.</w:t>
      </w:r>
    </w:p>
    <w:p w14:paraId="4435183A" w14:textId="77777777" w:rsidR="00457E03" w:rsidRPr="0089105D" w:rsidRDefault="00457E03" w:rsidP="00457E03"/>
    <w:p w14:paraId="43EF41DC" w14:textId="77777777" w:rsidR="00457E03" w:rsidRPr="0089105D" w:rsidRDefault="00457E03" w:rsidP="00457E03">
      <w:pPr>
        <w:spacing w:line="360" w:lineRule="auto"/>
        <w:rPr>
          <w:lang w:val="en-GB"/>
        </w:rPr>
      </w:pPr>
    </w:p>
    <w:p w14:paraId="4CBE7820" w14:textId="2E14A2D8" w:rsidR="00457E03" w:rsidRPr="0089105D" w:rsidRDefault="00457E03" w:rsidP="00457E03">
      <w:pPr>
        <w:spacing w:line="360" w:lineRule="auto"/>
        <w:rPr>
          <w:lang w:val="en-GB"/>
        </w:rPr>
      </w:pPr>
    </w:p>
    <w:p w14:paraId="68B80292" w14:textId="76478D87" w:rsidR="003B2CAA" w:rsidRPr="0089105D" w:rsidRDefault="003B2CAA" w:rsidP="00457E03">
      <w:pPr>
        <w:spacing w:line="360" w:lineRule="auto"/>
        <w:rPr>
          <w:lang w:val="en-GB"/>
        </w:rPr>
      </w:pPr>
    </w:p>
    <w:p w14:paraId="320D62DD" w14:textId="469684A3" w:rsidR="003B2CAA" w:rsidRPr="0089105D" w:rsidRDefault="003B2CAA" w:rsidP="00457E03">
      <w:pPr>
        <w:spacing w:line="360" w:lineRule="auto"/>
        <w:rPr>
          <w:lang w:val="en-GB"/>
        </w:rPr>
      </w:pPr>
    </w:p>
    <w:p w14:paraId="176B3E94" w14:textId="084C73AF" w:rsidR="003B2CAA" w:rsidRPr="0089105D" w:rsidRDefault="003B2CAA" w:rsidP="00457E03">
      <w:pPr>
        <w:spacing w:line="360" w:lineRule="auto"/>
        <w:rPr>
          <w:lang w:val="en-GB"/>
        </w:rPr>
      </w:pPr>
    </w:p>
    <w:p w14:paraId="77FEB1B9" w14:textId="00F50C68" w:rsidR="003B2CAA" w:rsidRPr="0089105D" w:rsidRDefault="003B2CAA" w:rsidP="00457E03">
      <w:pPr>
        <w:spacing w:line="360" w:lineRule="auto"/>
        <w:rPr>
          <w:lang w:val="en-GB"/>
        </w:rPr>
      </w:pPr>
    </w:p>
    <w:p w14:paraId="53E9B18B" w14:textId="474D1171" w:rsidR="003B2CAA" w:rsidRPr="0089105D" w:rsidRDefault="003B2CAA" w:rsidP="00457E03">
      <w:pPr>
        <w:spacing w:line="360" w:lineRule="auto"/>
        <w:rPr>
          <w:lang w:val="en-GB"/>
        </w:rPr>
      </w:pPr>
    </w:p>
    <w:p w14:paraId="72A2E939" w14:textId="6EDA335A" w:rsidR="003B2CAA" w:rsidRPr="0089105D" w:rsidRDefault="003B2CAA" w:rsidP="00457E03">
      <w:pPr>
        <w:spacing w:line="360" w:lineRule="auto"/>
        <w:rPr>
          <w:lang w:val="en-GB"/>
        </w:rPr>
      </w:pPr>
    </w:p>
    <w:p w14:paraId="43F10971" w14:textId="110416BC" w:rsidR="003B2CAA" w:rsidRPr="0089105D" w:rsidRDefault="003B2CAA" w:rsidP="00457E03">
      <w:pPr>
        <w:spacing w:line="360" w:lineRule="auto"/>
        <w:rPr>
          <w:lang w:val="en-GB"/>
        </w:rPr>
      </w:pPr>
    </w:p>
    <w:p w14:paraId="64E8E63D" w14:textId="55D597FD" w:rsidR="003B2CAA" w:rsidRPr="0089105D" w:rsidRDefault="003B2CAA" w:rsidP="00457E03">
      <w:pPr>
        <w:spacing w:line="360" w:lineRule="auto"/>
        <w:rPr>
          <w:lang w:val="en-GB"/>
        </w:rPr>
      </w:pPr>
    </w:p>
    <w:p w14:paraId="7E3498FA" w14:textId="42DDA761" w:rsidR="003B2CAA" w:rsidRPr="0089105D" w:rsidRDefault="003B2CAA" w:rsidP="00457E03">
      <w:pPr>
        <w:spacing w:line="360" w:lineRule="auto"/>
        <w:rPr>
          <w:lang w:val="en-GB"/>
        </w:rPr>
      </w:pPr>
    </w:p>
    <w:p w14:paraId="4C6B181E" w14:textId="4389159C" w:rsidR="003B2CAA" w:rsidRPr="0089105D" w:rsidRDefault="003B2CAA" w:rsidP="00457E03">
      <w:pPr>
        <w:spacing w:line="360" w:lineRule="auto"/>
        <w:rPr>
          <w:lang w:val="en-GB"/>
        </w:rPr>
      </w:pPr>
    </w:p>
    <w:p w14:paraId="7D0ECBEC" w14:textId="3BB21D29" w:rsidR="003B2CAA" w:rsidRPr="0089105D" w:rsidRDefault="003B2CAA" w:rsidP="00457E03">
      <w:pPr>
        <w:spacing w:line="360" w:lineRule="auto"/>
        <w:rPr>
          <w:lang w:val="en-GB"/>
        </w:rPr>
      </w:pPr>
    </w:p>
    <w:p w14:paraId="2B312D9F" w14:textId="77777777" w:rsidR="003B2CAA" w:rsidRPr="0089105D" w:rsidRDefault="003B2CAA" w:rsidP="00DA6076">
      <w:pPr>
        <w:pStyle w:val="NormalWeb"/>
      </w:pPr>
    </w:p>
    <w:p w14:paraId="7AB8C62F" w14:textId="62BAFB2A" w:rsidR="00DA6076" w:rsidRPr="0089105D" w:rsidRDefault="00BE2E21" w:rsidP="00DA6076">
      <w:pPr>
        <w:pStyle w:val="Heading1"/>
        <w:rPr>
          <w:b/>
          <w:bCs/>
          <w:color w:val="auto"/>
        </w:rPr>
      </w:pPr>
      <w:bookmarkStart w:id="159" w:name="_Toc153187432"/>
      <w:r w:rsidRPr="0089105D">
        <w:rPr>
          <w:b/>
          <w:bCs/>
          <w:color w:val="auto"/>
        </w:rPr>
        <w:lastRenderedPageBreak/>
        <w:t>REFERENCES</w:t>
      </w:r>
      <w:bookmarkEnd w:id="159"/>
    </w:p>
    <w:p w14:paraId="1D9800A9" w14:textId="77777777" w:rsidR="00DA6076" w:rsidRPr="0089105D" w:rsidRDefault="00DA6076" w:rsidP="00365466">
      <w:pPr>
        <w:pStyle w:val="NormalWeb"/>
        <w:ind w:left="567" w:hanging="567"/>
        <w:jc w:val="both"/>
        <w:rPr>
          <w:rFonts w:asciiTheme="majorHAnsi" w:hAnsiTheme="majorHAnsi" w:cstheme="majorHAnsi"/>
        </w:rPr>
      </w:pPr>
    </w:p>
    <w:p w14:paraId="6B5E0DC3" w14:textId="77777777" w:rsidR="00DA6076" w:rsidRPr="0089105D" w:rsidRDefault="00DA6076" w:rsidP="003B2CAA">
      <w:pPr>
        <w:pStyle w:val="NormalWeb"/>
        <w:ind w:left="567" w:hanging="567"/>
        <w:rPr>
          <w:rFonts w:asciiTheme="majorHAnsi" w:hAnsiTheme="majorHAnsi" w:cstheme="majorHAnsi"/>
        </w:rPr>
      </w:pPr>
      <w:r w:rsidRPr="0089105D">
        <w:rPr>
          <w:rFonts w:asciiTheme="majorHAnsi" w:hAnsiTheme="majorHAnsi" w:cstheme="majorHAnsi"/>
        </w:rPr>
        <w:t>Ala-Uddin, M. (2019) “</w:t>
      </w:r>
      <w:r w:rsidRPr="0089105D">
        <w:rPr>
          <w:rFonts w:asciiTheme="majorHAnsi" w:hAnsiTheme="majorHAnsi" w:cstheme="majorHAnsi"/>
          <w:lang w:val="en-GB"/>
        </w:rPr>
        <w:t>S</w:t>
      </w:r>
      <w:proofErr w:type="spellStart"/>
      <w:r w:rsidRPr="0089105D">
        <w:rPr>
          <w:rFonts w:asciiTheme="majorHAnsi" w:hAnsiTheme="majorHAnsi" w:cstheme="majorHAnsi"/>
        </w:rPr>
        <w:t>ustainable</w:t>
      </w:r>
      <w:proofErr w:type="spellEnd"/>
      <w:r w:rsidRPr="0089105D">
        <w:rPr>
          <w:rFonts w:asciiTheme="majorHAnsi" w:hAnsiTheme="majorHAnsi" w:cstheme="majorHAnsi"/>
        </w:rPr>
        <w:t xml:space="preserve">’ </w:t>
      </w:r>
      <w:r w:rsidRPr="0089105D">
        <w:rPr>
          <w:rFonts w:asciiTheme="majorHAnsi" w:hAnsiTheme="majorHAnsi" w:cstheme="majorHAnsi"/>
          <w:lang w:val="en-GB"/>
        </w:rPr>
        <w:t>D</w:t>
      </w:r>
      <w:proofErr w:type="spellStart"/>
      <w:r w:rsidRPr="0089105D">
        <w:rPr>
          <w:rFonts w:asciiTheme="majorHAnsi" w:hAnsiTheme="majorHAnsi" w:cstheme="majorHAnsi"/>
        </w:rPr>
        <w:t>iscourse</w:t>
      </w:r>
      <w:proofErr w:type="spellEnd"/>
      <w:r w:rsidRPr="0089105D">
        <w:rPr>
          <w:rFonts w:asciiTheme="majorHAnsi" w:hAnsiTheme="majorHAnsi" w:cstheme="majorHAnsi"/>
        </w:rPr>
        <w:t>: A critical analysis of the 2030 agenda for sustainable development,”</w:t>
      </w:r>
      <w:r w:rsidRPr="0089105D">
        <w:rPr>
          <w:rStyle w:val="apple-converted-space"/>
          <w:rFonts w:asciiTheme="majorHAnsi" w:hAnsiTheme="majorHAnsi" w:cstheme="majorHAnsi"/>
        </w:rPr>
        <w:t> </w:t>
      </w:r>
      <w:r w:rsidRPr="0089105D">
        <w:rPr>
          <w:rFonts w:asciiTheme="majorHAnsi" w:hAnsiTheme="majorHAnsi" w:cstheme="majorHAnsi"/>
          <w:i/>
          <w:iCs/>
        </w:rPr>
        <w:t>Asia Pacific Media Educator</w:t>
      </w:r>
      <w:r w:rsidRPr="0089105D">
        <w:rPr>
          <w:rFonts w:asciiTheme="majorHAnsi" w:hAnsiTheme="majorHAnsi" w:cstheme="majorHAnsi"/>
        </w:rPr>
        <w:t>, 29(2), pp. 214–224. Available at: https://doi.org/10.1177/1326365x19881515.</w:t>
      </w:r>
      <w:r w:rsidRPr="0089105D">
        <w:rPr>
          <w:rStyle w:val="apple-converted-space"/>
          <w:rFonts w:asciiTheme="majorHAnsi" w:hAnsiTheme="majorHAnsi" w:cstheme="majorHAnsi"/>
        </w:rPr>
        <w:t> </w:t>
      </w:r>
    </w:p>
    <w:p w14:paraId="1242DECA" w14:textId="77777777" w:rsidR="00DA6076" w:rsidRPr="0089105D" w:rsidRDefault="00DA6076" w:rsidP="003B2CAA">
      <w:pPr>
        <w:pStyle w:val="NormalWeb"/>
        <w:ind w:left="567" w:hanging="567"/>
        <w:rPr>
          <w:rFonts w:asciiTheme="majorHAnsi" w:hAnsiTheme="majorHAnsi" w:cstheme="majorHAnsi"/>
        </w:rPr>
      </w:pPr>
      <w:r w:rsidRPr="0089105D">
        <w:rPr>
          <w:rFonts w:asciiTheme="majorHAnsi" w:hAnsiTheme="majorHAnsi" w:cstheme="majorHAnsi"/>
        </w:rPr>
        <w:t>Alcamo, J. (2019) “Water quality and its interlinkages with the Sustainable Development Goals,”</w:t>
      </w:r>
      <w:r w:rsidRPr="0089105D">
        <w:rPr>
          <w:rStyle w:val="apple-converted-space"/>
          <w:rFonts w:asciiTheme="majorHAnsi" w:hAnsiTheme="majorHAnsi" w:cstheme="majorHAnsi"/>
        </w:rPr>
        <w:t> </w:t>
      </w:r>
      <w:r w:rsidRPr="0089105D">
        <w:rPr>
          <w:rFonts w:asciiTheme="majorHAnsi" w:hAnsiTheme="majorHAnsi" w:cstheme="majorHAnsi"/>
          <w:i/>
          <w:iCs/>
        </w:rPr>
        <w:t>Current Opinion in Environmental Sustainability</w:t>
      </w:r>
      <w:r w:rsidRPr="0089105D">
        <w:rPr>
          <w:rFonts w:asciiTheme="majorHAnsi" w:hAnsiTheme="majorHAnsi" w:cstheme="majorHAnsi"/>
        </w:rPr>
        <w:t>, 36, pp. 126–140. Available at: https://doi.org/10.1016/j.cosust.2018.11.005.</w:t>
      </w:r>
      <w:r w:rsidRPr="0089105D">
        <w:rPr>
          <w:rStyle w:val="apple-converted-space"/>
          <w:rFonts w:asciiTheme="majorHAnsi" w:hAnsiTheme="majorHAnsi" w:cstheme="majorHAnsi"/>
        </w:rPr>
        <w:t> </w:t>
      </w:r>
    </w:p>
    <w:p w14:paraId="2A69A30E" w14:textId="77777777" w:rsidR="00DA6076" w:rsidRPr="0089105D" w:rsidRDefault="00DA6076" w:rsidP="003B2CAA">
      <w:pPr>
        <w:pStyle w:val="NormalWeb"/>
        <w:ind w:left="567" w:hanging="567"/>
        <w:rPr>
          <w:rStyle w:val="apple-converted-space"/>
          <w:rFonts w:asciiTheme="majorHAnsi" w:hAnsiTheme="majorHAnsi" w:cstheme="majorHAnsi"/>
        </w:rPr>
      </w:pPr>
      <w:proofErr w:type="spellStart"/>
      <w:r w:rsidRPr="0089105D">
        <w:rPr>
          <w:rFonts w:asciiTheme="majorHAnsi" w:hAnsiTheme="majorHAnsi" w:cstheme="majorHAnsi"/>
        </w:rPr>
        <w:t>Alvaredo</w:t>
      </w:r>
      <w:proofErr w:type="spellEnd"/>
      <w:r w:rsidRPr="0089105D">
        <w:rPr>
          <w:rFonts w:asciiTheme="majorHAnsi" w:hAnsiTheme="majorHAnsi" w:cstheme="majorHAnsi"/>
        </w:rPr>
        <w:t>, F.</w:t>
      </w:r>
      <w:r w:rsidRPr="0089105D">
        <w:rPr>
          <w:rStyle w:val="apple-converted-space"/>
          <w:rFonts w:asciiTheme="majorHAnsi" w:hAnsiTheme="majorHAnsi" w:cstheme="majorHAnsi"/>
        </w:rPr>
        <w:t> </w:t>
      </w:r>
      <w:r w:rsidRPr="0089105D">
        <w:rPr>
          <w:rFonts w:asciiTheme="majorHAnsi" w:hAnsiTheme="majorHAnsi" w:cstheme="majorHAnsi"/>
          <w:i/>
          <w:iCs/>
        </w:rPr>
        <w:t>et al.</w:t>
      </w:r>
      <w:r w:rsidRPr="0089105D">
        <w:rPr>
          <w:rStyle w:val="apple-converted-space"/>
          <w:rFonts w:asciiTheme="majorHAnsi" w:hAnsiTheme="majorHAnsi" w:cstheme="majorHAnsi"/>
        </w:rPr>
        <w:t> </w:t>
      </w:r>
      <w:r w:rsidRPr="0089105D">
        <w:rPr>
          <w:rFonts w:asciiTheme="majorHAnsi" w:hAnsiTheme="majorHAnsi" w:cstheme="majorHAnsi"/>
        </w:rPr>
        <w:t>(2018) “The elephant curve of global inequality and growth,”</w:t>
      </w:r>
      <w:r w:rsidRPr="0089105D">
        <w:rPr>
          <w:rStyle w:val="apple-converted-space"/>
          <w:rFonts w:asciiTheme="majorHAnsi" w:hAnsiTheme="majorHAnsi" w:cstheme="majorHAnsi"/>
        </w:rPr>
        <w:t> </w:t>
      </w:r>
      <w:r w:rsidRPr="0089105D">
        <w:rPr>
          <w:rFonts w:asciiTheme="majorHAnsi" w:hAnsiTheme="majorHAnsi" w:cstheme="majorHAnsi"/>
          <w:i/>
          <w:iCs/>
        </w:rPr>
        <w:t>AEA Papers and Proceedings</w:t>
      </w:r>
      <w:r w:rsidRPr="0089105D">
        <w:rPr>
          <w:rFonts w:asciiTheme="majorHAnsi" w:hAnsiTheme="majorHAnsi" w:cstheme="majorHAnsi"/>
        </w:rPr>
        <w:t>, 108, pp. 103–108. Available at: https://doi.org/10.1257/pandp.20181073.</w:t>
      </w:r>
      <w:r w:rsidRPr="0089105D">
        <w:rPr>
          <w:rStyle w:val="apple-converted-space"/>
          <w:rFonts w:asciiTheme="majorHAnsi" w:hAnsiTheme="majorHAnsi" w:cstheme="majorHAnsi"/>
        </w:rPr>
        <w:t> </w:t>
      </w:r>
    </w:p>
    <w:p w14:paraId="31A1285A" w14:textId="77777777" w:rsidR="00DA6076" w:rsidRPr="0089105D" w:rsidRDefault="00DA6076" w:rsidP="003B2CAA">
      <w:pPr>
        <w:pStyle w:val="NormalWeb"/>
        <w:ind w:left="567" w:hanging="567"/>
        <w:rPr>
          <w:rFonts w:asciiTheme="majorHAnsi" w:hAnsiTheme="majorHAnsi" w:cstheme="majorHAnsi"/>
        </w:rPr>
      </w:pPr>
      <w:r w:rsidRPr="0089105D">
        <w:rPr>
          <w:rFonts w:asciiTheme="majorHAnsi" w:hAnsiTheme="majorHAnsi" w:cstheme="majorHAnsi"/>
        </w:rPr>
        <w:t>Arora-Jonsson, S. (2023). "The sustainable development goals: A universalist promise for the future." Futures, 146, 103087. https://doi.org/10.1016/j.futures.2022.103087</w:t>
      </w:r>
    </w:p>
    <w:p w14:paraId="0E95DD7D" w14:textId="77777777" w:rsidR="00DA6076" w:rsidRPr="0089105D" w:rsidRDefault="00DA6076" w:rsidP="003B2CAA">
      <w:pPr>
        <w:pStyle w:val="NormalWeb"/>
        <w:ind w:left="567" w:hanging="567"/>
        <w:rPr>
          <w:rFonts w:asciiTheme="majorHAnsi" w:hAnsiTheme="majorHAnsi" w:cstheme="majorHAnsi"/>
        </w:rPr>
      </w:pPr>
      <w:proofErr w:type="spellStart"/>
      <w:r w:rsidRPr="0089105D">
        <w:rPr>
          <w:rFonts w:asciiTheme="majorHAnsi" w:hAnsiTheme="majorHAnsi" w:cstheme="majorHAnsi"/>
        </w:rPr>
        <w:t>Asadikia</w:t>
      </w:r>
      <w:proofErr w:type="spellEnd"/>
      <w:r w:rsidRPr="0089105D">
        <w:rPr>
          <w:rFonts w:asciiTheme="majorHAnsi" w:hAnsiTheme="majorHAnsi" w:cstheme="majorHAnsi"/>
        </w:rPr>
        <w:t xml:space="preserve">, A., </w:t>
      </w:r>
      <w:proofErr w:type="spellStart"/>
      <w:r w:rsidRPr="0089105D">
        <w:rPr>
          <w:rFonts w:asciiTheme="majorHAnsi" w:hAnsiTheme="majorHAnsi" w:cstheme="majorHAnsi"/>
        </w:rPr>
        <w:t>Rajabifard</w:t>
      </w:r>
      <w:proofErr w:type="spellEnd"/>
      <w:r w:rsidRPr="0089105D">
        <w:rPr>
          <w:rFonts w:asciiTheme="majorHAnsi" w:hAnsiTheme="majorHAnsi" w:cstheme="majorHAnsi"/>
        </w:rPr>
        <w:t xml:space="preserve">, A. and Kalantari, M. (2021) “Systematic </w:t>
      </w:r>
      <w:proofErr w:type="spellStart"/>
      <w:r w:rsidRPr="0089105D">
        <w:rPr>
          <w:rFonts w:asciiTheme="majorHAnsi" w:hAnsiTheme="majorHAnsi" w:cstheme="majorHAnsi"/>
        </w:rPr>
        <w:t>prioritisation</w:t>
      </w:r>
      <w:proofErr w:type="spellEnd"/>
      <w:r w:rsidRPr="0089105D">
        <w:rPr>
          <w:rFonts w:asciiTheme="majorHAnsi" w:hAnsiTheme="majorHAnsi" w:cstheme="majorHAnsi"/>
        </w:rPr>
        <w:t xml:space="preserve"> of </w:t>
      </w:r>
      <w:proofErr w:type="spellStart"/>
      <w:r w:rsidRPr="0089105D">
        <w:rPr>
          <w:rFonts w:asciiTheme="majorHAnsi" w:hAnsiTheme="majorHAnsi" w:cstheme="majorHAnsi"/>
        </w:rPr>
        <w:t>sdgs</w:t>
      </w:r>
      <w:proofErr w:type="spellEnd"/>
      <w:r w:rsidRPr="0089105D">
        <w:rPr>
          <w:rFonts w:asciiTheme="majorHAnsi" w:hAnsiTheme="majorHAnsi" w:cstheme="majorHAnsi"/>
        </w:rPr>
        <w:t>: Machine learning approach,”</w:t>
      </w:r>
      <w:r w:rsidRPr="0089105D">
        <w:rPr>
          <w:rStyle w:val="apple-converted-space"/>
          <w:rFonts w:asciiTheme="majorHAnsi" w:hAnsiTheme="majorHAnsi" w:cstheme="majorHAnsi"/>
        </w:rPr>
        <w:t> </w:t>
      </w:r>
      <w:r w:rsidRPr="0089105D">
        <w:rPr>
          <w:rFonts w:asciiTheme="majorHAnsi" w:hAnsiTheme="majorHAnsi" w:cstheme="majorHAnsi"/>
          <w:i/>
          <w:iCs/>
        </w:rPr>
        <w:t>World Development</w:t>
      </w:r>
      <w:r w:rsidRPr="0089105D">
        <w:rPr>
          <w:rFonts w:asciiTheme="majorHAnsi" w:hAnsiTheme="majorHAnsi" w:cstheme="majorHAnsi"/>
        </w:rPr>
        <w:t>, 140, p. 105269. Available at: https://doi.org/10.1016/j.worlddev.2020.105269.</w:t>
      </w:r>
      <w:r w:rsidRPr="0089105D">
        <w:rPr>
          <w:rStyle w:val="apple-converted-space"/>
          <w:rFonts w:asciiTheme="majorHAnsi" w:hAnsiTheme="majorHAnsi" w:cstheme="majorHAnsi"/>
        </w:rPr>
        <w:t> </w:t>
      </w:r>
    </w:p>
    <w:p w14:paraId="265EC141" w14:textId="77777777" w:rsidR="00DA6076" w:rsidRPr="0089105D" w:rsidRDefault="00DA6076" w:rsidP="0055733C">
      <w:pPr>
        <w:pStyle w:val="NormalWeb"/>
        <w:ind w:left="567" w:hanging="567"/>
        <w:rPr>
          <w:rStyle w:val="apple-converted-space"/>
          <w:rFonts w:asciiTheme="majorHAnsi" w:hAnsiTheme="majorHAnsi" w:cstheme="majorHAnsi"/>
        </w:rPr>
      </w:pPr>
      <w:r w:rsidRPr="0089105D">
        <w:rPr>
          <w:rStyle w:val="apple-converted-space"/>
          <w:rFonts w:asciiTheme="majorHAnsi" w:hAnsiTheme="majorHAnsi" w:cstheme="majorHAnsi"/>
        </w:rPr>
        <w:t xml:space="preserve">Assefa, S., &amp; </w:t>
      </w:r>
      <w:proofErr w:type="spellStart"/>
      <w:r w:rsidRPr="0089105D">
        <w:rPr>
          <w:rStyle w:val="apple-converted-space"/>
          <w:rFonts w:asciiTheme="majorHAnsi" w:hAnsiTheme="majorHAnsi" w:cstheme="majorHAnsi"/>
        </w:rPr>
        <w:t>Demissie</w:t>
      </w:r>
      <w:proofErr w:type="spellEnd"/>
      <w:r w:rsidRPr="0089105D">
        <w:rPr>
          <w:rStyle w:val="apple-converted-space"/>
          <w:rFonts w:asciiTheme="majorHAnsi" w:hAnsiTheme="majorHAnsi" w:cstheme="majorHAnsi"/>
        </w:rPr>
        <w:t>, D. (2019). Data and Information Literacy: Achieving Sustainable Development Goals in Africa. In SAIS 2019 Proceedings (p. 20). Retrieved from https://aisel.aisnet.org/sais2019/20</w:t>
      </w:r>
    </w:p>
    <w:p w14:paraId="1C28A0F9" w14:textId="77777777" w:rsidR="00DA6076" w:rsidRPr="0089105D" w:rsidRDefault="00DA6076" w:rsidP="0055733C">
      <w:pPr>
        <w:pStyle w:val="NormalWeb"/>
        <w:ind w:left="567" w:hanging="567"/>
        <w:rPr>
          <w:rStyle w:val="apple-converted-space"/>
          <w:rFonts w:asciiTheme="majorHAnsi" w:hAnsiTheme="majorHAnsi" w:cstheme="majorHAnsi"/>
        </w:rPr>
      </w:pPr>
      <w:r w:rsidRPr="0089105D">
        <w:rPr>
          <w:rFonts w:asciiTheme="majorHAnsi" w:hAnsiTheme="majorHAnsi" w:cstheme="majorHAnsi"/>
        </w:rPr>
        <w:t>Assefa, Y.</w:t>
      </w:r>
      <w:r w:rsidRPr="0089105D">
        <w:rPr>
          <w:rStyle w:val="apple-converted-space"/>
          <w:rFonts w:asciiTheme="majorHAnsi" w:hAnsiTheme="majorHAnsi" w:cstheme="majorHAnsi"/>
        </w:rPr>
        <w:t> </w:t>
      </w:r>
      <w:r w:rsidRPr="0089105D">
        <w:rPr>
          <w:rFonts w:asciiTheme="majorHAnsi" w:hAnsiTheme="majorHAnsi" w:cstheme="majorHAnsi"/>
          <w:i/>
          <w:iCs/>
        </w:rPr>
        <w:t>et al.</w:t>
      </w:r>
      <w:r w:rsidRPr="0089105D">
        <w:rPr>
          <w:rStyle w:val="apple-converted-space"/>
          <w:rFonts w:asciiTheme="majorHAnsi" w:hAnsiTheme="majorHAnsi" w:cstheme="majorHAnsi"/>
        </w:rPr>
        <w:t> </w:t>
      </w:r>
      <w:r w:rsidRPr="0089105D">
        <w:rPr>
          <w:rFonts w:asciiTheme="majorHAnsi" w:hAnsiTheme="majorHAnsi" w:cstheme="majorHAnsi"/>
        </w:rPr>
        <w:t>(2017) “Successes and challenges of the Millennium Development Goals in Ethiopia: Lessons for the sustainable development goals,”</w:t>
      </w:r>
      <w:r w:rsidRPr="0089105D">
        <w:rPr>
          <w:rStyle w:val="apple-converted-space"/>
          <w:rFonts w:asciiTheme="majorHAnsi" w:hAnsiTheme="majorHAnsi" w:cstheme="majorHAnsi"/>
        </w:rPr>
        <w:t> </w:t>
      </w:r>
      <w:r w:rsidRPr="0089105D">
        <w:rPr>
          <w:rFonts w:asciiTheme="majorHAnsi" w:hAnsiTheme="majorHAnsi" w:cstheme="majorHAnsi"/>
          <w:i/>
          <w:iCs/>
        </w:rPr>
        <w:t>BMJ Global Health</w:t>
      </w:r>
      <w:r w:rsidRPr="0089105D">
        <w:rPr>
          <w:rFonts w:asciiTheme="majorHAnsi" w:hAnsiTheme="majorHAnsi" w:cstheme="majorHAnsi"/>
        </w:rPr>
        <w:t xml:space="preserve">, 2(2). Available at: </w:t>
      </w:r>
      <w:hyperlink r:id="rId37" w:history="1">
        <w:r w:rsidRPr="0089105D">
          <w:rPr>
            <w:rStyle w:val="Hyperlink"/>
            <w:rFonts w:asciiTheme="majorHAnsi" w:hAnsiTheme="majorHAnsi" w:cstheme="majorHAnsi"/>
            <w:color w:val="auto"/>
          </w:rPr>
          <w:t>https://doi.org/10.1136/bmjgh-2017-000318</w:t>
        </w:r>
      </w:hyperlink>
      <w:r w:rsidRPr="0089105D">
        <w:rPr>
          <w:rFonts w:asciiTheme="majorHAnsi" w:hAnsiTheme="majorHAnsi" w:cstheme="majorHAnsi"/>
        </w:rPr>
        <w:t>.</w:t>
      </w:r>
      <w:r w:rsidRPr="0089105D">
        <w:rPr>
          <w:rStyle w:val="apple-converted-space"/>
          <w:rFonts w:asciiTheme="majorHAnsi" w:hAnsiTheme="majorHAnsi" w:cstheme="majorHAnsi"/>
        </w:rPr>
        <w:t> </w:t>
      </w:r>
    </w:p>
    <w:p w14:paraId="5DB43970" w14:textId="77777777" w:rsidR="00DA6076" w:rsidRPr="0089105D" w:rsidRDefault="00DA6076" w:rsidP="003B2CAA">
      <w:pPr>
        <w:pStyle w:val="NormalWeb"/>
        <w:ind w:left="567" w:hanging="567"/>
        <w:rPr>
          <w:rStyle w:val="apple-converted-space"/>
          <w:rFonts w:asciiTheme="majorHAnsi" w:eastAsiaTheme="majorEastAsia" w:hAnsiTheme="majorHAnsi" w:cstheme="majorHAnsi"/>
        </w:rPr>
      </w:pPr>
      <w:r w:rsidRPr="0089105D">
        <w:rPr>
          <w:rFonts w:asciiTheme="majorHAnsi" w:hAnsiTheme="majorHAnsi" w:cstheme="majorHAnsi"/>
        </w:rPr>
        <w:t>Baker, S., Constant, N. and Nicol, P. (2023) “Oceans Justice: Trade-offs between sustainable development goals in the Seychelles,”</w:t>
      </w:r>
      <w:r w:rsidRPr="0089105D">
        <w:rPr>
          <w:rStyle w:val="apple-converted-space"/>
          <w:rFonts w:asciiTheme="majorHAnsi" w:eastAsiaTheme="majorEastAsia" w:hAnsiTheme="majorHAnsi" w:cstheme="majorHAnsi"/>
        </w:rPr>
        <w:t> </w:t>
      </w:r>
      <w:r w:rsidRPr="0089105D">
        <w:rPr>
          <w:rFonts w:asciiTheme="majorHAnsi" w:hAnsiTheme="majorHAnsi" w:cstheme="majorHAnsi"/>
          <w:i/>
          <w:iCs/>
        </w:rPr>
        <w:t>Marine Policy</w:t>
      </w:r>
      <w:r w:rsidRPr="0089105D">
        <w:rPr>
          <w:rFonts w:asciiTheme="majorHAnsi" w:hAnsiTheme="majorHAnsi" w:cstheme="majorHAnsi"/>
        </w:rPr>
        <w:t xml:space="preserve">, 147, p. 105357. Available at: </w:t>
      </w:r>
      <w:hyperlink r:id="rId38" w:history="1">
        <w:r w:rsidRPr="0089105D">
          <w:rPr>
            <w:rStyle w:val="Hyperlink"/>
            <w:rFonts w:asciiTheme="majorHAnsi" w:hAnsiTheme="majorHAnsi" w:cstheme="majorHAnsi"/>
            <w:color w:val="auto"/>
          </w:rPr>
          <w:t>https://doi.org/10.1016/j.marpol.2022.105357</w:t>
        </w:r>
      </w:hyperlink>
      <w:r w:rsidRPr="0089105D">
        <w:rPr>
          <w:rFonts w:asciiTheme="majorHAnsi" w:hAnsiTheme="majorHAnsi" w:cstheme="majorHAnsi"/>
        </w:rPr>
        <w:t>.</w:t>
      </w:r>
      <w:r w:rsidRPr="0089105D">
        <w:rPr>
          <w:rStyle w:val="apple-converted-space"/>
          <w:rFonts w:asciiTheme="majorHAnsi" w:eastAsiaTheme="majorEastAsia" w:hAnsiTheme="majorHAnsi" w:cstheme="majorHAnsi"/>
        </w:rPr>
        <w:t> </w:t>
      </w:r>
    </w:p>
    <w:p w14:paraId="660C5461" w14:textId="77777777" w:rsidR="00DA6076" w:rsidRPr="0089105D" w:rsidRDefault="00DA6076" w:rsidP="003B2CAA">
      <w:pPr>
        <w:pStyle w:val="NormalWeb"/>
        <w:ind w:left="567" w:hanging="567"/>
        <w:rPr>
          <w:rStyle w:val="apple-converted-space"/>
          <w:rFonts w:asciiTheme="majorHAnsi" w:eastAsiaTheme="majorEastAsia" w:hAnsiTheme="majorHAnsi" w:cstheme="majorHAnsi"/>
        </w:rPr>
      </w:pPr>
      <w:r w:rsidRPr="0089105D">
        <w:rPr>
          <w:rFonts w:asciiTheme="majorHAnsi" w:hAnsiTheme="majorHAnsi" w:cstheme="majorHAnsi"/>
        </w:rPr>
        <w:t>Bali Swain, R. and Yang-</w:t>
      </w:r>
      <w:proofErr w:type="spellStart"/>
      <w:r w:rsidRPr="0089105D">
        <w:rPr>
          <w:rFonts w:asciiTheme="majorHAnsi" w:hAnsiTheme="majorHAnsi" w:cstheme="majorHAnsi"/>
        </w:rPr>
        <w:t>Wallentin</w:t>
      </w:r>
      <w:proofErr w:type="spellEnd"/>
      <w:r w:rsidRPr="0089105D">
        <w:rPr>
          <w:rFonts w:asciiTheme="majorHAnsi" w:hAnsiTheme="majorHAnsi" w:cstheme="majorHAnsi"/>
        </w:rPr>
        <w:t>, F. (2019) “Achieving Sustainable Development Goals: Predicaments and Strategies,”</w:t>
      </w:r>
      <w:r w:rsidRPr="0089105D">
        <w:rPr>
          <w:rStyle w:val="apple-converted-space"/>
          <w:rFonts w:asciiTheme="majorHAnsi" w:eastAsiaTheme="majorEastAsia" w:hAnsiTheme="majorHAnsi" w:cstheme="majorHAnsi"/>
        </w:rPr>
        <w:t> </w:t>
      </w:r>
      <w:r w:rsidRPr="0089105D">
        <w:rPr>
          <w:rFonts w:asciiTheme="majorHAnsi" w:hAnsiTheme="majorHAnsi" w:cstheme="majorHAnsi"/>
          <w:i/>
          <w:iCs/>
        </w:rPr>
        <w:t>International Journal of Sustainable Development &amp; World Ecology</w:t>
      </w:r>
      <w:r w:rsidRPr="0089105D">
        <w:rPr>
          <w:rFonts w:asciiTheme="majorHAnsi" w:hAnsiTheme="majorHAnsi" w:cstheme="majorHAnsi"/>
        </w:rPr>
        <w:t>, 27(2), pp. 96–106. Available at: https://doi.org/10.1080/13504509.2019.1692316.</w:t>
      </w:r>
      <w:r w:rsidRPr="0089105D">
        <w:rPr>
          <w:rStyle w:val="apple-converted-space"/>
          <w:rFonts w:asciiTheme="majorHAnsi" w:eastAsiaTheme="majorEastAsia" w:hAnsiTheme="majorHAnsi" w:cstheme="majorHAnsi"/>
        </w:rPr>
        <w:t> </w:t>
      </w:r>
    </w:p>
    <w:p w14:paraId="020DED27" w14:textId="77777777" w:rsidR="00DA6076" w:rsidRPr="0089105D" w:rsidRDefault="00DA6076" w:rsidP="003B2CAA">
      <w:pPr>
        <w:pStyle w:val="NormalWeb"/>
        <w:ind w:left="567" w:hanging="567"/>
        <w:rPr>
          <w:rFonts w:asciiTheme="majorHAnsi" w:hAnsiTheme="majorHAnsi" w:cstheme="majorHAnsi"/>
        </w:rPr>
      </w:pPr>
      <w:r w:rsidRPr="0089105D">
        <w:rPr>
          <w:rFonts w:asciiTheme="majorHAnsi" w:hAnsiTheme="majorHAnsi" w:cstheme="majorHAnsi"/>
        </w:rPr>
        <w:t>Baye, K. (2016) “The Sustainable Development Goals cannot be achieved without improving maternal and child nutrition,”</w:t>
      </w:r>
      <w:r w:rsidRPr="0089105D">
        <w:rPr>
          <w:rStyle w:val="apple-converted-space"/>
          <w:rFonts w:asciiTheme="majorHAnsi" w:eastAsiaTheme="majorEastAsia" w:hAnsiTheme="majorHAnsi" w:cstheme="majorHAnsi"/>
        </w:rPr>
        <w:t> </w:t>
      </w:r>
      <w:r w:rsidRPr="0089105D">
        <w:rPr>
          <w:rFonts w:asciiTheme="majorHAnsi" w:hAnsiTheme="majorHAnsi" w:cstheme="majorHAnsi"/>
          <w:i/>
          <w:iCs/>
        </w:rPr>
        <w:t>Journal of Public Health Policy</w:t>
      </w:r>
      <w:r w:rsidRPr="0089105D">
        <w:rPr>
          <w:rFonts w:asciiTheme="majorHAnsi" w:hAnsiTheme="majorHAnsi" w:cstheme="majorHAnsi"/>
        </w:rPr>
        <w:t>, 38(1), pp. 137–145. Available at: https://doi.org/10.1057/s41271-016-0043-y.</w:t>
      </w:r>
      <w:r w:rsidRPr="0089105D">
        <w:rPr>
          <w:rStyle w:val="apple-converted-space"/>
          <w:rFonts w:asciiTheme="majorHAnsi" w:eastAsiaTheme="majorEastAsia" w:hAnsiTheme="majorHAnsi" w:cstheme="majorHAnsi"/>
        </w:rPr>
        <w:t> </w:t>
      </w:r>
    </w:p>
    <w:p w14:paraId="6B4F9176" w14:textId="77777777" w:rsidR="00DA6076" w:rsidRPr="0089105D" w:rsidRDefault="00DA6076" w:rsidP="003B2CAA">
      <w:pPr>
        <w:pStyle w:val="NormalWeb"/>
        <w:ind w:left="567" w:hanging="567"/>
        <w:rPr>
          <w:rFonts w:asciiTheme="majorHAnsi" w:hAnsiTheme="majorHAnsi" w:cstheme="majorHAnsi"/>
        </w:rPr>
      </w:pPr>
      <w:r w:rsidRPr="0089105D">
        <w:rPr>
          <w:rFonts w:asciiTheme="majorHAnsi" w:hAnsiTheme="majorHAnsi" w:cstheme="majorHAnsi"/>
        </w:rPr>
        <w:t>Belmonte-</w:t>
      </w:r>
      <w:proofErr w:type="spellStart"/>
      <w:r w:rsidRPr="0089105D">
        <w:rPr>
          <w:rFonts w:asciiTheme="majorHAnsi" w:hAnsiTheme="majorHAnsi" w:cstheme="majorHAnsi"/>
        </w:rPr>
        <w:t>Ureña</w:t>
      </w:r>
      <w:proofErr w:type="spellEnd"/>
      <w:r w:rsidRPr="0089105D">
        <w:rPr>
          <w:rFonts w:asciiTheme="majorHAnsi" w:hAnsiTheme="majorHAnsi" w:cstheme="majorHAnsi"/>
        </w:rPr>
        <w:t>, L.J.</w:t>
      </w:r>
      <w:r w:rsidRPr="0089105D">
        <w:rPr>
          <w:rStyle w:val="apple-converted-space"/>
          <w:rFonts w:asciiTheme="majorHAnsi" w:hAnsiTheme="majorHAnsi" w:cstheme="majorHAnsi"/>
        </w:rPr>
        <w:t> </w:t>
      </w:r>
      <w:r w:rsidRPr="0089105D">
        <w:rPr>
          <w:rFonts w:asciiTheme="majorHAnsi" w:hAnsiTheme="majorHAnsi" w:cstheme="majorHAnsi"/>
          <w:i/>
          <w:iCs/>
        </w:rPr>
        <w:t>et al.</w:t>
      </w:r>
      <w:r w:rsidRPr="0089105D">
        <w:rPr>
          <w:rStyle w:val="apple-converted-space"/>
          <w:rFonts w:asciiTheme="majorHAnsi" w:hAnsiTheme="majorHAnsi" w:cstheme="majorHAnsi"/>
        </w:rPr>
        <w:t> </w:t>
      </w:r>
      <w:r w:rsidRPr="0089105D">
        <w:rPr>
          <w:rFonts w:asciiTheme="majorHAnsi" w:hAnsiTheme="majorHAnsi" w:cstheme="majorHAnsi"/>
        </w:rPr>
        <w:t>(2021) “Circular economy, degrowth and green growth as pathways for research on Sustainable Development Goals: A global analysis and future agenda,”</w:t>
      </w:r>
      <w:r w:rsidRPr="0089105D">
        <w:rPr>
          <w:rStyle w:val="apple-converted-space"/>
          <w:rFonts w:asciiTheme="majorHAnsi" w:hAnsiTheme="majorHAnsi" w:cstheme="majorHAnsi"/>
        </w:rPr>
        <w:t> </w:t>
      </w:r>
      <w:r w:rsidRPr="0089105D">
        <w:rPr>
          <w:rFonts w:asciiTheme="majorHAnsi" w:hAnsiTheme="majorHAnsi" w:cstheme="majorHAnsi"/>
          <w:i/>
          <w:iCs/>
        </w:rPr>
        <w:t>Ecological Economics</w:t>
      </w:r>
      <w:r w:rsidRPr="0089105D">
        <w:rPr>
          <w:rFonts w:asciiTheme="majorHAnsi" w:hAnsiTheme="majorHAnsi" w:cstheme="majorHAnsi"/>
        </w:rPr>
        <w:t>, 185, p. 107050. Available at: https://doi.org/10.1016/j.ecolecon.2021.107050.</w:t>
      </w:r>
      <w:r w:rsidRPr="0089105D">
        <w:rPr>
          <w:rStyle w:val="apple-converted-space"/>
          <w:rFonts w:asciiTheme="majorHAnsi" w:hAnsiTheme="majorHAnsi" w:cstheme="majorHAnsi"/>
        </w:rPr>
        <w:t> </w:t>
      </w:r>
    </w:p>
    <w:p w14:paraId="668C40B9" w14:textId="77777777" w:rsidR="00DA6076" w:rsidRPr="0089105D" w:rsidRDefault="00DA6076" w:rsidP="003B2CAA">
      <w:pPr>
        <w:pStyle w:val="NormalWeb"/>
        <w:ind w:left="567" w:hanging="567"/>
        <w:rPr>
          <w:rStyle w:val="apple-converted-space"/>
          <w:rFonts w:asciiTheme="majorHAnsi" w:eastAsiaTheme="majorEastAsia" w:hAnsiTheme="majorHAnsi" w:cstheme="majorHAnsi"/>
        </w:rPr>
      </w:pPr>
      <w:proofErr w:type="spellStart"/>
      <w:r w:rsidRPr="0089105D">
        <w:rPr>
          <w:rFonts w:asciiTheme="majorHAnsi" w:hAnsiTheme="majorHAnsi" w:cstheme="majorHAnsi"/>
        </w:rPr>
        <w:lastRenderedPageBreak/>
        <w:t>Bendell</w:t>
      </w:r>
      <w:proofErr w:type="spellEnd"/>
      <w:r w:rsidRPr="0089105D">
        <w:rPr>
          <w:rFonts w:asciiTheme="majorHAnsi" w:hAnsiTheme="majorHAnsi" w:cstheme="majorHAnsi"/>
        </w:rPr>
        <w:t>, J. (2022) “Replacing sustainable development: Potential frameworks for international cooperation in an era of increasing crises and disasters,”</w:t>
      </w:r>
      <w:r w:rsidRPr="0089105D">
        <w:rPr>
          <w:rStyle w:val="apple-converted-space"/>
          <w:rFonts w:asciiTheme="majorHAnsi" w:eastAsiaTheme="majorEastAsia" w:hAnsiTheme="majorHAnsi" w:cstheme="majorHAnsi"/>
        </w:rPr>
        <w:t> </w:t>
      </w:r>
      <w:r w:rsidRPr="0089105D">
        <w:rPr>
          <w:rFonts w:asciiTheme="majorHAnsi" w:hAnsiTheme="majorHAnsi" w:cstheme="majorHAnsi"/>
          <w:i/>
          <w:iCs/>
        </w:rPr>
        <w:t>Sustainability</w:t>
      </w:r>
      <w:r w:rsidRPr="0089105D">
        <w:rPr>
          <w:rFonts w:asciiTheme="majorHAnsi" w:hAnsiTheme="majorHAnsi" w:cstheme="majorHAnsi"/>
        </w:rPr>
        <w:t>, 14(13), p. 8185. Available at: https://doi.org/10.3390/su14138185.</w:t>
      </w:r>
      <w:r w:rsidRPr="0089105D">
        <w:rPr>
          <w:rStyle w:val="apple-converted-space"/>
          <w:rFonts w:asciiTheme="majorHAnsi" w:eastAsiaTheme="majorEastAsia" w:hAnsiTheme="majorHAnsi" w:cstheme="majorHAnsi"/>
        </w:rPr>
        <w:t> </w:t>
      </w:r>
    </w:p>
    <w:p w14:paraId="2D9BD67F" w14:textId="77777777" w:rsidR="00DA6076" w:rsidRPr="0089105D" w:rsidRDefault="00DA6076" w:rsidP="003B2CAA">
      <w:pPr>
        <w:pStyle w:val="NormalWeb"/>
        <w:ind w:left="567" w:hanging="567"/>
        <w:rPr>
          <w:rStyle w:val="apple-converted-space"/>
          <w:rFonts w:asciiTheme="majorHAnsi" w:eastAsiaTheme="majorEastAsia" w:hAnsiTheme="majorHAnsi" w:cstheme="majorHAnsi"/>
        </w:rPr>
      </w:pPr>
      <w:r w:rsidRPr="0089105D">
        <w:rPr>
          <w:rFonts w:asciiTheme="majorHAnsi" w:hAnsiTheme="majorHAnsi" w:cstheme="majorHAnsi"/>
        </w:rPr>
        <w:t>Bennett, S.</w:t>
      </w:r>
      <w:r w:rsidRPr="0089105D">
        <w:rPr>
          <w:rStyle w:val="apple-converted-space"/>
          <w:rFonts w:asciiTheme="majorHAnsi" w:eastAsiaTheme="majorEastAsia" w:hAnsiTheme="majorHAnsi" w:cstheme="majorHAnsi"/>
        </w:rPr>
        <w:t> </w:t>
      </w:r>
      <w:r w:rsidRPr="0089105D">
        <w:rPr>
          <w:rFonts w:asciiTheme="majorHAnsi" w:hAnsiTheme="majorHAnsi" w:cstheme="majorHAnsi"/>
          <w:i/>
          <w:iCs/>
        </w:rPr>
        <w:t>et al.</w:t>
      </w:r>
      <w:r w:rsidRPr="0089105D">
        <w:rPr>
          <w:rStyle w:val="apple-converted-space"/>
          <w:rFonts w:asciiTheme="majorHAnsi" w:eastAsiaTheme="majorEastAsia" w:hAnsiTheme="majorHAnsi" w:cstheme="majorHAnsi"/>
        </w:rPr>
        <w:t> </w:t>
      </w:r>
      <w:r w:rsidRPr="0089105D">
        <w:rPr>
          <w:rFonts w:asciiTheme="majorHAnsi" w:hAnsiTheme="majorHAnsi" w:cstheme="majorHAnsi"/>
        </w:rPr>
        <w:t>(2020) “Understanding the implications of the Sustainable Development Goals for Health Policy and Systems Research: Results of a research priority setting exercise,”</w:t>
      </w:r>
      <w:r w:rsidRPr="0089105D">
        <w:rPr>
          <w:rStyle w:val="apple-converted-space"/>
          <w:rFonts w:asciiTheme="majorHAnsi" w:eastAsiaTheme="majorEastAsia" w:hAnsiTheme="majorHAnsi" w:cstheme="majorHAnsi"/>
        </w:rPr>
        <w:t> </w:t>
      </w:r>
      <w:r w:rsidRPr="0089105D">
        <w:rPr>
          <w:rFonts w:asciiTheme="majorHAnsi" w:hAnsiTheme="majorHAnsi" w:cstheme="majorHAnsi"/>
          <w:i/>
          <w:iCs/>
        </w:rPr>
        <w:t>Globalization and Health</w:t>
      </w:r>
      <w:r w:rsidRPr="0089105D">
        <w:rPr>
          <w:rFonts w:asciiTheme="majorHAnsi" w:hAnsiTheme="majorHAnsi" w:cstheme="majorHAnsi"/>
        </w:rPr>
        <w:t xml:space="preserve">, 16(1). Available at: </w:t>
      </w:r>
      <w:hyperlink r:id="rId39" w:history="1">
        <w:r w:rsidRPr="0089105D">
          <w:rPr>
            <w:rStyle w:val="Hyperlink"/>
            <w:rFonts w:asciiTheme="majorHAnsi" w:hAnsiTheme="majorHAnsi" w:cstheme="majorHAnsi"/>
            <w:color w:val="auto"/>
          </w:rPr>
          <w:t>https://doi.org/10.1186/s12992-019-0534-2</w:t>
        </w:r>
      </w:hyperlink>
      <w:r w:rsidRPr="0089105D">
        <w:rPr>
          <w:rFonts w:asciiTheme="majorHAnsi" w:hAnsiTheme="majorHAnsi" w:cstheme="majorHAnsi"/>
        </w:rPr>
        <w:t>.</w:t>
      </w:r>
      <w:r w:rsidRPr="0089105D">
        <w:rPr>
          <w:rStyle w:val="apple-converted-space"/>
          <w:rFonts w:asciiTheme="majorHAnsi" w:eastAsiaTheme="majorEastAsia" w:hAnsiTheme="majorHAnsi" w:cstheme="majorHAnsi"/>
        </w:rPr>
        <w:t> </w:t>
      </w:r>
    </w:p>
    <w:p w14:paraId="4E807F15" w14:textId="77777777" w:rsidR="00DA6076" w:rsidRPr="0089105D" w:rsidRDefault="00DA6076" w:rsidP="003B2CAA">
      <w:pPr>
        <w:pStyle w:val="NormalWeb"/>
        <w:ind w:left="567" w:hanging="567"/>
        <w:rPr>
          <w:rFonts w:asciiTheme="majorHAnsi" w:hAnsiTheme="majorHAnsi" w:cstheme="majorHAnsi"/>
        </w:rPr>
      </w:pPr>
      <w:proofErr w:type="spellStart"/>
      <w:r w:rsidRPr="0089105D">
        <w:rPr>
          <w:rFonts w:asciiTheme="majorHAnsi" w:hAnsiTheme="majorHAnsi" w:cstheme="majorHAnsi"/>
        </w:rPr>
        <w:t>Berrone</w:t>
      </w:r>
      <w:proofErr w:type="spellEnd"/>
      <w:r w:rsidRPr="0089105D">
        <w:rPr>
          <w:rFonts w:asciiTheme="majorHAnsi" w:hAnsiTheme="majorHAnsi" w:cstheme="majorHAnsi"/>
        </w:rPr>
        <w:t>, P.</w:t>
      </w:r>
      <w:r w:rsidRPr="0089105D">
        <w:rPr>
          <w:rStyle w:val="apple-converted-space"/>
          <w:rFonts w:asciiTheme="majorHAnsi" w:hAnsiTheme="majorHAnsi" w:cstheme="majorHAnsi"/>
        </w:rPr>
        <w:t> </w:t>
      </w:r>
      <w:r w:rsidRPr="0089105D">
        <w:rPr>
          <w:rFonts w:asciiTheme="majorHAnsi" w:hAnsiTheme="majorHAnsi" w:cstheme="majorHAnsi"/>
          <w:i/>
          <w:iCs/>
        </w:rPr>
        <w:t>et al.</w:t>
      </w:r>
      <w:r w:rsidRPr="0089105D">
        <w:rPr>
          <w:rStyle w:val="apple-converted-space"/>
          <w:rFonts w:asciiTheme="majorHAnsi" w:hAnsiTheme="majorHAnsi" w:cstheme="majorHAnsi"/>
        </w:rPr>
        <w:t> </w:t>
      </w:r>
      <w:r w:rsidRPr="0089105D">
        <w:rPr>
          <w:rFonts w:asciiTheme="majorHAnsi" w:hAnsiTheme="majorHAnsi" w:cstheme="majorHAnsi"/>
        </w:rPr>
        <w:t>(2023) “How can research contribute to the implementation of sustainable development goals? an interpretive review of SDG literature in Management,”</w:t>
      </w:r>
      <w:r w:rsidRPr="0089105D">
        <w:rPr>
          <w:rStyle w:val="apple-converted-space"/>
          <w:rFonts w:asciiTheme="majorHAnsi" w:hAnsiTheme="majorHAnsi" w:cstheme="majorHAnsi"/>
        </w:rPr>
        <w:t> </w:t>
      </w:r>
      <w:r w:rsidRPr="0089105D">
        <w:rPr>
          <w:rFonts w:asciiTheme="majorHAnsi" w:hAnsiTheme="majorHAnsi" w:cstheme="majorHAnsi"/>
          <w:i/>
          <w:iCs/>
        </w:rPr>
        <w:t>International Journal of Management Reviews</w:t>
      </w:r>
      <w:r w:rsidRPr="0089105D">
        <w:rPr>
          <w:rFonts w:asciiTheme="majorHAnsi" w:hAnsiTheme="majorHAnsi" w:cstheme="majorHAnsi"/>
        </w:rPr>
        <w:t>, 25(2), pp. 318–339. Available at: https://doi.org/10.1111/ijmr.12331.</w:t>
      </w:r>
      <w:r w:rsidRPr="0089105D">
        <w:rPr>
          <w:rStyle w:val="apple-converted-space"/>
          <w:rFonts w:asciiTheme="majorHAnsi" w:hAnsiTheme="majorHAnsi" w:cstheme="majorHAnsi"/>
        </w:rPr>
        <w:t> </w:t>
      </w:r>
    </w:p>
    <w:p w14:paraId="32982444" w14:textId="77777777" w:rsidR="00DA6076" w:rsidRPr="0089105D" w:rsidRDefault="00DA6076" w:rsidP="003B2CAA">
      <w:pPr>
        <w:pStyle w:val="NormalWeb"/>
        <w:ind w:left="567" w:hanging="567"/>
        <w:rPr>
          <w:rStyle w:val="apple-converted-space"/>
          <w:rFonts w:asciiTheme="majorHAnsi" w:hAnsiTheme="majorHAnsi" w:cstheme="majorHAnsi"/>
        </w:rPr>
      </w:pPr>
      <w:r w:rsidRPr="0089105D">
        <w:rPr>
          <w:rFonts w:asciiTheme="majorHAnsi" w:hAnsiTheme="majorHAnsi" w:cstheme="majorHAnsi"/>
        </w:rPr>
        <w:t>Biermann, F., Kanie, N. and Kim, R.E. (2017) “Global governance by goal-setting: The novel approach of the UN Sustainable Development Goals,”</w:t>
      </w:r>
      <w:r w:rsidRPr="0089105D">
        <w:rPr>
          <w:rStyle w:val="apple-converted-space"/>
          <w:rFonts w:asciiTheme="majorHAnsi" w:hAnsiTheme="majorHAnsi" w:cstheme="majorHAnsi"/>
        </w:rPr>
        <w:t> </w:t>
      </w:r>
      <w:r w:rsidRPr="0089105D">
        <w:rPr>
          <w:rFonts w:asciiTheme="majorHAnsi" w:hAnsiTheme="majorHAnsi" w:cstheme="majorHAnsi"/>
          <w:i/>
          <w:iCs/>
        </w:rPr>
        <w:t>Current Opinion in Environmental Sustainability</w:t>
      </w:r>
      <w:r w:rsidRPr="0089105D">
        <w:rPr>
          <w:rFonts w:asciiTheme="majorHAnsi" w:hAnsiTheme="majorHAnsi" w:cstheme="majorHAnsi"/>
        </w:rPr>
        <w:t>, 26-27, pp. 26–31. Available at: https://doi.org/10.1016/j.cosust.2017.01.010.</w:t>
      </w:r>
      <w:r w:rsidRPr="0089105D">
        <w:rPr>
          <w:rStyle w:val="apple-converted-space"/>
          <w:rFonts w:asciiTheme="majorHAnsi" w:hAnsiTheme="majorHAnsi" w:cstheme="majorHAnsi"/>
        </w:rPr>
        <w:t> </w:t>
      </w:r>
    </w:p>
    <w:p w14:paraId="11B4242A" w14:textId="77777777" w:rsidR="00DA6076" w:rsidRPr="0089105D" w:rsidRDefault="00DA6076" w:rsidP="003B2CAA">
      <w:pPr>
        <w:pStyle w:val="NormalWeb"/>
        <w:ind w:left="567" w:hanging="567"/>
        <w:rPr>
          <w:rFonts w:asciiTheme="majorHAnsi" w:hAnsiTheme="majorHAnsi" w:cstheme="majorHAnsi"/>
        </w:rPr>
      </w:pPr>
      <w:proofErr w:type="spellStart"/>
      <w:r w:rsidRPr="0089105D">
        <w:rPr>
          <w:rFonts w:asciiTheme="majorHAnsi" w:hAnsiTheme="majorHAnsi" w:cstheme="majorHAnsi"/>
        </w:rPr>
        <w:t>Biggeri</w:t>
      </w:r>
      <w:proofErr w:type="spellEnd"/>
      <w:r w:rsidRPr="0089105D">
        <w:rPr>
          <w:rFonts w:asciiTheme="majorHAnsi" w:hAnsiTheme="majorHAnsi" w:cstheme="majorHAnsi"/>
        </w:rPr>
        <w:t>, M.</w:t>
      </w:r>
      <w:r w:rsidRPr="0089105D">
        <w:rPr>
          <w:rStyle w:val="apple-converted-space"/>
          <w:rFonts w:asciiTheme="majorHAnsi" w:eastAsiaTheme="majorEastAsia" w:hAnsiTheme="majorHAnsi" w:cstheme="majorHAnsi"/>
        </w:rPr>
        <w:t> </w:t>
      </w:r>
      <w:r w:rsidRPr="0089105D">
        <w:rPr>
          <w:rFonts w:asciiTheme="majorHAnsi" w:hAnsiTheme="majorHAnsi" w:cstheme="majorHAnsi"/>
          <w:i/>
          <w:iCs/>
        </w:rPr>
        <w:t>et al.</w:t>
      </w:r>
      <w:r w:rsidRPr="0089105D">
        <w:rPr>
          <w:rStyle w:val="apple-converted-space"/>
          <w:rFonts w:asciiTheme="majorHAnsi" w:eastAsiaTheme="majorEastAsia" w:hAnsiTheme="majorHAnsi" w:cstheme="majorHAnsi"/>
        </w:rPr>
        <w:t> </w:t>
      </w:r>
      <w:r w:rsidRPr="0089105D">
        <w:rPr>
          <w:rFonts w:asciiTheme="majorHAnsi" w:hAnsiTheme="majorHAnsi" w:cstheme="majorHAnsi"/>
        </w:rPr>
        <w:t xml:space="preserve">(2019) “Tracking the </w:t>
      </w:r>
      <w:proofErr w:type="spellStart"/>
      <w:r w:rsidRPr="0089105D">
        <w:rPr>
          <w:rFonts w:asciiTheme="majorHAnsi" w:hAnsiTheme="majorHAnsi" w:cstheme="majorHAnsi"/>
        </w:rPr>
        <w:t>sdgs</w:t>
      </w:r>
      <w:proofErr w:type="spellEnd"/>
      <w:r w:rsidRPr="0089105D">
        <w:rPr>
          <w:rFonts w:asciiTheme="majorHAnsi" w:hAnsiTheme="majorHAnsi" w:cstheme="majorHAnsi"/>
        </w:rPr>
        <w:t xml:space="preserve"> in an ‘integrated’ manner: A proposal for a new index to capture Synergies and trade-offs between and within goals,”</w:t>
      </w:r>
      <w:r w:rsidRPr="0089105D">
        <w:rPr>
          <w:rStyle w:val="apple-converted-space"/>
          <w:rFonts w:asciiTheme="majorHAnsi" w:eastAsiaTheme="majorEastAsia" w:hAnsiTheme="majorHAnsi" w:cstheme="majorHAnsi"/>
        </w:rPr>
        <w:t> </w:t>
      </w:r>
      <w:r w:rsidRPr="0089105D">
        <w:rPr>
          <w:rFonts w:asciiTheme="majorHAnsi" w:hAnsiTheme="majorHAnsi" w:cstheme="majorHAnsi"/>
          <w:i/>
          <w:iCs/>
        </w:rPr>
        <w:t>World Development</w:t>
      </w:r>
      <w:r w:rsidRPr="0089105D">
        <w:rPr>
          <w:rFonts w:asciiTheme="majorHAnsi" w:hAnsiTheme="majorHAnsi" w:cstheme="majorHAnsi"/>
        </w:rPr>
        <w:t>, 122, pp. 628–647. Available at: https://doi.org/10.1016/j.worlddev.2019.05.022.</w:t>
      </w:r>
      <w:r w:rsidRPr="0089105D">
        <w:rPr>
          <w:rStyle w:val="apple-converted-space"/>
          <w:rFonts w:asciiTheme="majorHAnsi" w:eastAsiaTheme="majorEastAsia" w:hAnsiTheme="majorHAnsi" w:cstheme="majorHAnsi"/>
        </w:rPr>
        <w:t> </w:t>
      </w:r>
    </w:p>
    <w:p w14:paraId="46DC2278" w14:textId="77777777" w:rsidR="00DA6076" w:rsidRPr="0089105D" w:rsidRDefault="00DA6076" w:rsidP="003B2CAA">
      <w:pPr>
        <w:pStyle w:val="NormalWeb"/>
        <w:ind w:left="567" w:hanging="567"/>
        <w:rPr>
          <w:rFonts w:asciiTheme="majorHAnsi" w:hAnsiTheme="majorHAnsi" w:cstheme="majorHAnsi"/>
        </w:rPr>
      </w:pPr>
      <w:proofErr w:type="spellStart"/>
      <w:r w:rsidRPr="0089105D">
        <w:rPr>
          <w:rFonts w:asciiTheme="majorHAnsi" w:hAnsiTheme="majorHAnsi" w:cstheme="majorHAnsi"/>
        </w:rPr>
        <w:t>Bonnedahl</w:t>
      </w:r>
      <w:proofErr w:type="spellEnd"/>
      <w:r w:rsidRPr="0089105D">
        <w:rPr>
          <w:rFonts w:asciiTheme="majorHAnsi" w:hAnsiTheme="majorHAnsi" w:cstheme="majorHAnsi"/>
        </w:rPr>
        <w:t xml:space="preserve">, K.J., </w:t>
      </w:r>
      <w:proofErr w:type="spellStart"/>
      <w:r w:rsidRPr="0089105D">
        <w:rPr>
          <w:rFonts w:asciiTheme="majorHAnsi" w:hAnsiTheme="majorHAnsi" w:cstheme="majorHAnsi"/>
        </w:rPr>
        <w:t>Heikkurinen</w:t>
      </w:r>
      <w:proofErr w:type="spellEnd"/>
      <w:r w:rsidRPr="0089105D">
        <w:rPr>
          <w:rFonts w:asciiTheme="majorHAnsi" w:hAnsiTheme="majorHAnsi" w:cstheme="majorHAnsi"/>
        </w:rPr>
        <w:t>, P. and Paavola, J. (2022) “Strongly sustainable development goals: Overcoming distances constraining responsible action,”</w:t>
      </w:r>
      <w:r w:rsidRPr="0089105D">
        <w:rPr>
          <w:rStyle w:val="apple-converted-space"/>
          <w:rFonts w:asciiTheme="majorHAnsi" w:eastAsiaTheme="majorEastAsia" w:hAnsiTheme="majorHAnsi" w:cstheme="majorHAnsi"/>
        </w:rPr>
        <w:t> </w:t>
      </w:r>
      <w:r w:rsidRPr="0089105D">
        <w:rPr>
          <w:rFonts w:asciiTheme="majorHAnsi" w:hAnsiTheme="majorHAnsi" w:cstheme="majorHAnsi"/>
          <w:i/>
          <w:iCs/>
        </w:rPr>
        <w:t>Environmental Science &amp; Policy</w:t>
      </w:r>
      <w:r w:rsidRPr="0089105D">
        <w:rPr>
          <w:rFonts w:asciiTheme="majorHAnsi" w:hAnsiTheme="majorHAnsi" w:cstheme="majorHAnsi"/>
        </w:rPr>
        <w:t>, 129, pp. 150–158. Available at: https://doi.org/10.1016/j.envsci.2022.01.004.</w:t>
      </w:r>
      <w:r w:rsidRPr="0089105D">
        <w:rPr>
          <w:rStyle w:val="apple-converted-space"/>
          <w:rFonts w:asciiTheme="majorHAnsi" w:eastAsiaTheme="majorEastAsia" w:hAnsiTheme="majorHAnsi" w:cstheme="majorHAnsi"/>
        </w:rPr>
        <w:t> </w:t>
      </w:r>
    </w:p>
    <w:p w14:paraId="06232CD0" w14:textId="77777777" w:rsidR="00DA6076" w:rsidRPr="0089105D" w:rsidRDefault="00DA6076" w:rsidP="003B2CAA">
      <w:pPr>
        <w:pStyle w:val="NormalWeb"/>
        <w:ind w:left="567" w:hanging="567"/>
        <w:rPr>
          <w:rStyle w:val="apple-converted-space"/>
          <w:rFonts w:asciiTheme="majorHAnsi" w:eastAsiaTheme="majorEastAsia" w:hAnsiTheme="majorHAnsi" w:cstheme="majorHAnsi"/>
        </w:rPr>
      </w:pPr>
      <w:proofErr w:type="spellStart"/>
      <w:r w:rsidRPr="0089105D">
        <w:rPr>
          <w:rFonts w:asciiTheme="majorHAnsi" w:hAnsiTheme="majorHAnsi" w:cstheme="majorHAnsi"/>
        </w:rPr>
        <w:t>Bonnedahl</w:t>
      </w:r>
      <w:proofErr w:type="spellEnd"/>
      <w:r w:rsidRPr="0089105D">
        <w:rPr>
          <w:rFonts w:asciiTheme="majorHAnsi" w:hAnsiTheme="majorHAnsi" w:cstheme="majorHAnsi"/>
        </w:rPr>
        <w:t xml:space="preserve">, K.J., </w:t>
      </w:r>
      <w:proofErr w:type="spellStart"/>
      <w:r w:rsidRPr="0089105D">
        <w:rPr>
          <w:rFonts w:asciiTheme="majorHAnsi" w:hAnsiTheme="majorHAnsi" w:cstheme="majorHAnsi"/>
        </w:rPr>
        <w:t>Heikkurinen</w:t>
      </w:r>
      <w:proofErr w:type="spellEnd"/>
      <w:r w:rsidRPr="0089105D">
        <w:rPr>
          <w:rFonts w:asciiTheme="majorHAnsi" w:hAnsiTheme="majorHAnsi" w:cstheme="majorHAnsi"/>
        </w:rPr>
        <w:t>, P. and Paavola, J. (2022) “Strongly sustainable development goals: Overcoming distances constraining responsible action,”</w:t>
      </w:r>
      <w:r w:rsidRPr="0089105D">
        <w:rPr>
          <w:rStyle w:val="apple-converted-space"/>
          <w:rFonts w:asciiTheme="majorHAnsi" w:eastAsiaTheme="majorEastAsia" w:hAnsiTheme="majorHAnsi" w:cstheme="majorHAnsi"/>
        </w:rPr>
        <w:t> </w:t>
      </w:r>
      <w:r w:rsidRPr="0089105D">
        <w:rPr>
          <w:rFonts w:asciiTheme="majorHAnsi" w:hAnsiTheme="majorHAnsi" w:cstheme="majorHAnsi"/>
          <w:i/>
          <w:iCs/>
        </w:rPr>
        <w:t>Environmental Science &amp; Policy</w:t>
      </w:r>
      <w:r w:rsidRPr="0089105D">
        <w:rPr>
          <w:rFonts w:asciiTheme="majorHAnsi" w:hAnsiTheme="majorHAnsi" w:cstheme="majorHAnsi"/>
        </w:rPr>
        <w:t xml:space="preserve">, 129, pp. 150–158. Available at: </w:t>
      </w:r>
      <w:hyperlink r:id="rId40" w:history="1">
        <w:r w:rsidRPr="0089105D">
          <w:rPr>
            <w:rStyle w:val="Hyperlink"/>
            <w:rFonts w:asciiTheme="majorHAnsi" w:hAnsiTheme="majorHAnsi" w:cstheme="majorHAnsi"/>
            <w:color w:val="auto"/>
          </w:rPr>
          <w:t>https://doi.org/10.1016/j.envsci.2022.01.004</w:t>
        </w:r>
      </w:hyperlink>
      <w:r w:rsidRPr="0089105D">
        <w:rPr>
          <w:rFonts w:asciiTheme="majorHAnsi" w:hAnsiTheme="majorHAnsi" w:cstheme="majorHAnsi"/>
        </w:rPr>
        <w:t>.</w:t>
      </w:r>
      <w:r w:rsidRPr="0089105D">
        <w:rPr>
          <w:rStyle w:val="apple-converted-space"/>
          <w:rFonts w:asciiTheme="majorHAnsi" w:eastAsiaTheme="majorEastAsia" w:hAnsiTheme="majorHAnsi" w:cstheme="majorHAnsi"/>
        </w:rPr>
        <w:t> </w:t>
      </w:r>
    </w:p>
    <w:p w14:paraId="0E7AEB87" w14:textId="77777777" w:rsidR="00DA6076" w:rsidRPr="0089105D" w:rsidRDefault="00DA6076" w:rsidP="003B2CAA">
      <w:pPr>
        <w:pStyle w:val="NormalWeb"/>
        <w:ind w:left="567" w:hanging="567"/>
        <w:rPr>
          <w:rFonts w:asciiTheme="majorHAnsi" w:hAnsiTheme="majorHAnsi" w:cstheme="majorHAnsi"/>
        </w:rPr>
      </w:pPr>
      <w:proofErr w:type="spellStart"/>
      <w:r w:rsidRPr="0089105D">
        <w:rPr>
          <w:rFonts w:asciiTheme="majorHAnsi" w:hAnsiTheme="majorHAnsi" w:cstheme="majorHAnsi"/>
        </w:rPr>
        <w:t>Briant</w:t>
      </w:r>
      <w:proofErr w:type="spellEnd"/>
      <w:r w:rsidRPr="0089105D">
        <w:rPr>
          <w:rFonts w:asciiTheme="majorHAnsi" w:hAnsiTheme="majorHAnsi" w:cstheme="majorHAnsi"/>
        </w:rPr>
        <w:t xml:space="preserve"> </w:t>
      </w:r>
      <w:proofErr w:type="spellStart"/>
      <w:r w:rsidRPr="0089105D">
        <w:rPr>
          <w:rFonts w:asciiTheme="majorHAnsi" w:hAnsiTheme="majorHAnsi" w:cstheme="majorHAnsi"/>
        </w:rPr>
        <w:t>Carant</w:t>
      </w:r>
      <w:proofErr w:type="spellEnd"/>
      <w:r w:rsidRPr="0089105D">
        <w:rPr>
          <w:rFonts w:asciiTheme="majorHAnsi" w:hAnsiTheme="majorHAnsi" w:cstheme="majorHAnsi"/>
        </w:rPr>
        <w:t>, J. (2016) “Unheard voices: A critical discourse analysis of the millennium development goals’ evolution into the sustainable development goals,”</w:t>
      </w:r>
      <w:r w:rsidRPr="0089105D">
        <w:rPr>
          <w:rStyle w:val="apple-converted-space"/>
          <w:rFonts w:asciiTheme="majorHAnsi" w:eastAsiaTheme="majorEastAsia" w:hAnsiTheme="majorHAnsi" w:cstheme="majorHAnsi"/>
        </w:rPr>
        <w:t> </w:t>
      </w:r>
      <w:r w:rsidRPr="0089105D">
        <w:rPr>
          <w:rFonts w:asciiTheme="majorHAnsi" w:hAnsiTheme="majorHAnsi" w:cstheme="majorHAnsi"/>
          <w:i/>
          <w:iCs/>
        </w:rPr>
        <w:t>Third World Quarterly</w:t>
      </w:r>
      <w:r w:rsidRPr="0089105D">
        <w:rPr>
          <w:rFonts w:asciiTheme="majorHAnsi" w:hAnsiTheme="majorHAnsi" w:cstheme="majorHAnsi"/>
        </w:rPr>
        <w:t>, 38(1), pp. 16–41. Available at: https://doi.org/10.1080/01436597.2016.1166944.</w:t>
      </w:r>
      <w:r w:rsidRPr="0089105D">
        <w:rPr>
          <w:rStyle w:val="apple-converted-space"/>
          <w:rFonts w:asciiTheme="majorHAnsi" w:eastAsiaTheme="majorEastAsia" w:hAnsiTheme="majorHAnsi" w:cstheme="majorHAnsi"/>
        </w:rPr>
        <w:t> </w:t>
      </w:r>
    </w:p>
    <w:p w14:paraId="1CAA43DB" w14:textId="77777777" w:rsidR="00DA6076" w:rsidRPr="0089105D" w:rsidRDefault="00DA6076" w:rsidP="003B2CAA">
      <w:pPr>
        <w:pStyle w:val="NormalWeb"/>
        <w:ind w:left="567" w:hanging="567"/>
        <w:rPr>
          <w:rFonts w:asciiTheme="majorHAnsi" w:hAnsiTheme="majorHAnsi" w:cstheme="majorHAnsi"/>
        </w:rPr>
      </w:pPr>
      <w:r w:rsidRPr="0089105D">
        <w:rPr>
          <w:rFonts w:asciiTheme="majorHAnsi" w:hAnsiTheme="majorHAnsi" w:cstheme="majorHAnsi"/>
        </w:rPr>
        <w:t>Brissett, N.O. (2017) “Sustainable development goals (</w:t>
      </w:r>
      <w:proofErr w:type="spellStart"/>
      <w:r w:rsidRPr="0089105D">
        <w:rPr>
          <w:rFonts w:asciiTheme="majorHAnsi" w:hAnsiTheme="majorHAnsi" w:cstheme="majorHAnsi"/>
        </w:rPr>
        <w:t>sdgs</w:t>
      </w:r>
      <w:proofErr w:type="spellEnd"/>
      <w:r w:rsidRPr="0089105D">
        <w:rPr>
          <w:rFonts w:asciiTheme="majorHAnsi" w:hAnsiTheme="majorHAnsi" w:cstheme="majorHAnsi"/>
        </w:rPr>
        <w:t>) and the Caribbean: Unrealizable promises?,”</w:t>
      </w:r>
      <w:r w:rsidRPr="0089105D">
        <w:rPr>
          <w:rStyle w:val="apple-converted-space"/>
          <w:rFonts w:asciiTheme="majorHAnsi" w:hAnsiTheme="majorHAnsi" w:cstheme="majorHAnsi"/>
        </w:rPr>
        <w:t> </w:t>
      </w:r>
      <w:r w:rsidRPr="0089105D">
        <w:rPr>
          <w:rFonts w:asciiTheme="majorHAnsi" w:hAnsiTheme="majorHAnsi" w:cstheme="majorHAnsi"/>
          <w:i/>
          <w:iCs/>
        </w:rPr>
        <w:t>Progress in Development Studies</w:t>
      </w:r>
      <w:r w:rsidRPr="0089105D">
        <w:rPr>
          <w:rFonts w:asciiTheme="majorHAnsi" w:hAnsiTheme="majorHAnsi" w:cstheme="majorHAnsi"/>
        </w:rPr>
        <w:t>, 18(1), pp. 18–35. Available at: https://doi.org/10.1177/1464993417734440.</w:t>
      </w:r>
      <w:r w:rsidRPr="0089105D">
        <w:rPr>
          <w:rStyle w:val="apple-converted-space"/>
          <w:rFonts w:asciiTheme="majorHAnsi" w:hAnsiTheme="majorHAnsi" w:cstheme="majorHAnsi"/>
        </w:rPr>
        <w:t> </w:t>
      </w:r>
    </w:p>
    <w:p w14:paraId="4AF9E9AC" w14:textId="77777777" w:rsidR="00DA6076" w:rsidRPr="0089105D" w:rsidRDefault="00DA6076" w:rsidP="003B2CAA">
      <w:pPr>
        <w:pStyle w:val="NormalWeb"/>
        <w:ind w:left="567" w:hanging="567"/>
        <w:rPr>
          <w:rFonts w:asciiTheme="majorHAnsi" w:hAnsiTheme="majorHAnsi" w:cstheme="majorHAnsi"/>
        </w:rPr>
      </w:pPr>
      <w:r w:rsidRPr="0089105D">
        <w:rPr>
          <w:rFonts w:asciiTheme="majorHAnsi" w:hAnsiTheme="majorHAnsi" w:cstheme="majorHAnsi"/>
        </w:rPr>
        <w:t>Burger, K. and Parker, M. (2022) “Leveraging the sustainable development goals as a boundary object in the city of Bristol,”</w:t>
      </w:r>
      <w:r w:rsidRPr="0089105D">
        <w:rPr>
          <w:rStyle w:val="apple-converted-space"/>
          <w:rFonts w:asciiTheme="majorHAnsi" w:hAnsiTheme="majorHAnsi" w:cstheme="majorHAnsi"/>
        </w:rPr>
        <w:t> </w:t>
      </w:r>
      <w:r w:rsidRPr="0089105D">
        <w:rPr>
          <w:rFonts w:asciiTheme="majorHAnsi" w:hAnsiTheme="majorHAnsi" w:cstheme="majorHAnsi"/>
          <w:i/>
          <w:iCs/>
        </w:rPr>
        <w:t>Global Social Challenges Journal</w:t>
      </w:r>
      <w:r w:rsidRPr="0089105D">
        <w:rPr>
          <w:rFonts w:asciiTheme="majorHAnsi" w:hAnsiTheme="majorHAnsi" w:cstheme="majorHAnsi"/>
        </w:rPr>
        <w:t>, pp. 1–28. Available at: https://doi.org/10.1332/bbzq5931.</w:t>
      </w:r>
      <w:r w:rsidRPr="0089105D">
        <w:rPr>
          <w:rStyle w:val="apple-converted-space"/>
          <w:rFonts w:asciiTheme="majorHAnsi" w:hAnsiTheme="majorHAnsi" w:cstheme="majorHAnsi"/>
        </w:rPr>
        <w:t> </w:t>
      </w:r>
    </w:p>
    <w:p w14:paraId="70863F67" w14:textId="77777777" w:rsidR="00DA6076" w:rsidRPr="0089105D" w:rsidRDefault="00DA6076" w:rsidP="003B2CAA">
      <w:pPr>
        <w:pStyle w:val="NormalWeb"/>
        <w:ind w:left="567" w:hanging="567"/>
        <w:rPr>
          <w:rFonts w:asciiTheme="majorHAnsi" w:hAnsiTheme="majorHAnsi" w:cstheme="majorHAnsi"/>
        </w:rPr>
      </w:pPr>
      <w:r w:rsidRPr="0089105D">
        <w:rPr>
          <w:rFonts w:asciiTheme="majorHAnsi" w:hAnsiTheme="majorHAnsi" w:cstheme="majorHAnsi"/>
        </w:rPr>
        <w:t>Burger, K. and Parker, M. (2022) “Leveraging the sustainable development goals as a boundary object in the city of Bristol,”</w:t>
      </w:r>
      <w:r w:rsidRPr="0089105D">
        <w:rPr>
          <w:rStyle w:val="apple-converted-space"/>
          <w:rFonts w:asciiTheme="majorHAnsi" w:hAnsiTheme="majorHAnsi" w:cstheme="majorHAnsi"/>
        </w:rPr>
        <w:t> </w:t>
      </w:r>
      <w:r w:rsidRPr="0089105D">
        <w:rPr>
          <w:rFonts w:asciiTheme="majorHAnsi" w:hAnsiTheme="majorHAnsi" w:cstheme="majorHAnsi"/>
          <w:i/>
          <w:iCs/>
        </w:rPr>
        <w:t>Global Social Challenges Journal</w:t>
      </w:r>
      <w:r w:rsidRPr="0089105D">
        <w:rPr>
          <w:rFonts w:asciiTheme="majorHAnsi" w:hAnsiTheme="majorHAnsi" w:cstheme="majorHAnsi"/>
        </w:rPr>
        <w:t>, pp. 1–28. Available at: https://doi.org/10.1332/bbzq5931.</w:t>
      </w:r>
      <w:r w:rsidRPr="0089105D">
        <w:rPr>
          <w:rStyle w:val="apple-converted-space"/>
          <w:rFonts w:asciiTheme="majorHAnsi" w:hAnsiTheme="majorHAnsi" w:cstheme="majorHAnsi"/>
        </w:rPr>
        <w:t> </w:t>
      </w:r>
    </w:p>
    <w:p w14:paraId="693B3D0A" w14:textId="77777777" w:rsidR="00DA6076" w:rsidRPr="0089105D" w:rsidRDefault="00DA6076" w:rsidP="003B2CAA">
      <w:pPr>
        <w:pStyle w:val="NormalWeb"/>
        <w:ind w:left="567" w:hanging="567"/>
        <w:rPr>
          <w:rStyle w:val="apple-converted-space"/>
          <w:rFonts w:asciiTheme="majorHAnsi" w:hAnsiTheme="majorHAnsi" w:cstheme="majorHAnsi"/>
        </w:rPr>
      </w:pPr>
      <w:proofErr w:type="spellStart"/>
      <w:r w:rsidRPr="0089105D">
        <w:rPr>
          <w:rFonts w:asciiTheme="majorHAnsi" w:hAnsiTheme="majorHAnsi" w:cstheme="majorHAnsi"/>
        </w:rPr>
        <w:lastRenderedPageBreak/>
        <w:t>Busco</w:t>
      </w:r>
      <w:proofErr w:type="spellEnd"/>
      <w:r w:rsidRPr="0089105D">
        <w:rPr>
          <w:rFonts w:asciiTheme="majorHAnsi" w:hAnsiTheme="majorHAnsi" w:cstheme="majorHAnsi"/>
        </w:rPr>
        <w:t>, C. (2018) “Make sustainable development goals happen through integrated thinking: An introduction,”</w:t>
      </w:r>
      <w:r w:rsidRPr="0089105D">
        <w:rPr>
          <w:rStyle w:val="apple-converted-space"/>
          <w:rFonts w:asciiTheme="majorHAnsi" w:hAnsiTheme="majorHAnsi" w:cstheme="majorHAnsi"/>
        </w:rPr>
        <w:t> </w:t>
      </w:r>
      <w:r w:rsidRPr="0089105D">
        <w:rPr>
          <w:rFonts w:asciiTheme="majorHAnsi" w:hAnsiTheme="majorHAnsi" w:cstheme="majorHAnsi"/>
          <w:i/>
          <w:iCs/>
        </w:rPr>
        <w:t>Sustainable Development Goals and Integrated Reporting</w:t>
      </w:r>
      <w:r w:rsidRPr="0089105D">
        <w:rPr>
          <w:rFonts w:asciiTheme="majorHAnsi" w:hAnsiTheme="majorHAnsi" w:cstheme="majorHAnsi"/>
        </w:rPr>
        <w:t xml:space="preserve">, pp. 1–19. Available at: </w:t>
      </w:r>
      <w:hyperlink r:id="rId41" w:history="1">
        <w:r w:rsidRPr="0089105D">
          <w:rPr>
            <w:rStyle w:val="Hyperlink"/>
            <w:rFonts w:asciiTheme="majorHAnsi" w:hAnsiTheme="majorHAnsi" w:cstheme="majorHAnsi"/>
            <w:color w:val="auto"/>
          </w:rPr>
          <w:t>https://doi.org/10.4324/9780429027314-1</w:t>
        </w:r>
      </w:hyperlink>
      <w:r w:rsidRPr="0089105D">
        <w:rPr>
          <w:rFonts w:asciiTheme="majorHAnsi" w:hAnsiTheme="majorHAnsi" w:cstheme="majorHAnsi"/>
        </w:rPr>
        <w:t>.</w:t>
      </w:r>
      <w:r w:rsidRPr="0089105D">
        <w:rPr>
          <w:rStyle w:val="apple-converted-space"/>
          <w:rFonts w:asciiTheme="majorHAnsi" w:hAnsiTheme="majorHAnsi" w:cstheme="majorHAnsi"/>
        </w:rPr>
        <w:t> </w:t>
      </w:r>
    </w:p>
    <w:p w14:paraId="20A194C2" w14:textId="77777777" w:rsidR="00DA6076" w:rsidRPr="0089105D" w:rsidRDefault="00DA6076" w:rsidP="003B2CAA">
      <w:pPr>
        <w:pStyle w:val="NormalWeb"/>
        <w:ind w:left="567" w:hanging="567"/>
        <w:rPr>
          <w:rStyle w:val="apple-converted-space"/>
          <w:rFonts w:asciiTheme="majorHAnsi" w:hAnsiTheme="majorHAnsi" w:cstheme="majorHAnsi"/>
        </w:rPr>
      </w:pPr>
      <w:r w:rsidRPr="0089105D">
        <w:rPr>
          <w:rFonts w:asciiTheme="majorHAnsi" w:hAnsiTheme="majorHAnsi" w:cstheme="majorHAnsi"/>
        </w:rPr>
        <w:t xml:space="preserve">Butcher, S. (2022) “Urban equality and the </w:t>
      </w:r>
      <w:proofErr w:type="spellStart"/>
      <w:r w:rsidRPr="0089105D">
        <w:rPr>
          <w:rFonts w:asciiTheme="majorHAnsi" w:hAnsiTheme="majorHAnsi" w:cstheme="majorHAnsi"/>
        </w:rPr>
        <w:t>sdgs</w:t>
      </w:r>
      <w:proofErr w:type="spellEnd"/>
      <w:r w:rsidRPr="0089105D">
        <w:rPr>
          <w:rFonts w:asciiTheme="majorHAnsi" w:hAnsiTheme="majorHAnsi" w:cstheme="majorHAnsi"/>
        </w:rPr>
        <w:t>: Three provocations for a relational agenda,”</w:t>
      </w:r>
      <w:r w:rsidRPr="0089105D">
        <w:rPr>
          <w:rStyle w:val="apple-converted-space"/>
          <w:rFonts w:asciiTheme="majorHAnsi" w:hAnsiTheme="majorHAnsi" w:cstheme="majorHAnsi"/>
        </w:rPr>
        <w:t> </w:t>
      </w:r>
      <w:r w:rsidRPr="0089105D">
        <w:rPr>
          <w:rFonts w:asciiTheme="majorHAnsi" w:hAnsiTheme="majorHAnsi" w:cstheme="majorHAnsi"/>
          <w:i/>
          <w:iCs/>
        </w:rPr>
        <w:t>International Development Planning Review</w:t>
      </w:r>
      <w:r w:rsidRPr="0089105D">
        <w:rPr>
          <w:rFonts w:asciiTheme="majorHAnsi" w:hAnsiTheme="majorHAnsi" w:cstheme="majorHAnsi"/>
        </w:rPr>
        <w:t>, 44(1), pp. 13–32. Available at: https://doi.org/10.3828/idpr.2021.6.</w:t>
      </w:r>
      <w:r w:rsidRPr="0089105D">
        <w:rPr>
          <w:rStyle w:val="apple-converted-space"/>
          <w:rFonts w:asciiTheme="majorHAnsi" w:hAnsiTheme="majorHAnsi" w:cstheme="majorHAnsi"/>
        </w:rPr>
        <w:t> </w:t>
      </w:r>
    </w:p>
    <w:p w14:paraId="71D48E12" w14:textId="77777777" w:rsidR="00DA6076" w:rsidRPr="0089105D" w:rsidRDefault="00DA6076" w:rsidP="003B2CAA">
      <w:pPr>
        <w:pStyle w:val="NormalWeb"/>
        <w:ind w:left="567" w:hanging="567"/>
        <w:rPr>
          <w:rStyle w:val="apple-converted-space"/>
          <w:rFonts w:asciiTheme="majorHAnsi" w:hAnsiTheme="majorHAnsi" w:cstheme="majorHAnsi"/>
        </w:rPr>
      </w:pPr>
      <w:r w:rsidRPr="0089105D">
        <w:rPr>
          <w:rFonts w:asciiTheme="majorHAnsi" w:hAnsiTheme="majorHAnsi" w:cstheme="majorHAnsi"/>
        </w:rPr>
        <w:t>Chassagne, N. (2020) “A brief history of development and Sustainable Development,”</w:t>
      </w:r>
      <w:r w:rsidRPr="0089105D">
        <w:rPr>
          <w:rStyle w:val="apple-converted-space"/>
          <w:rFonts w:asciiTheme="majorHAnsi" w:hAnsiTheme="majorHAnsi" w:cstheme="majorHAnsi"/>
        </w:rPr>
        <w:t> </w:t>
      </w:r>
      <w:proofErr w:type="spellStart"/>
      <w:r w:rsidRPr="0089105D">
        <w:rPr>
          <w:rFonts w:asciiTheme="majorHAnsi" w:hAnsiTheme="majorHAnsi" w:cstheme="majorHAnsi"/>
          <w:i/>
          <w:iCs/>
        </w:rPr>
        <w:t>Buen</w:t>
      </w:r>
      <w:proofErr w:type="spellEnd"/>
      <w:r w:rsidRPr="0089105D">
        <w:rPr>
          <w:rFonts w:asciiTheme="majorHAnsi" w:hAnsiTheme="majorHAnsi" w:cstheme="majorHAnsi"/>
          <w:i/>
          <w:iCs/>
        </w:rPr>
        <w:t xml:space="preserve"> </w:t>
      </w:r>
      <w:proofErr w:type="spellStart"/>
      <w:r w:rsidRPr="0089105D">
        <w:rPr>
          <w:rFonts w:asciiTheme="majorHAnsi" w:hAnsiTheme="majorHAnsi" w:cstheme="majorHAnsi"/>
          <w:i/>
          <w:iCs/>
        </w:rPr>
        <w:t>Vivir</w:t>
      </w:r>
      <w:proofErr w:type="spellEnd"/>
      <w:r w:rsidRPr="0089105D">
        <w:rPr>
          <w:rFonts w:asciiTheme="majorHAnsi" w:hAnsiTheme="majorHAnsi" w:cstheme="majorHAnsi"/>
          <w:i/>
          <w:iCs/>
        </w:rPr>
        <w:t xml:space="preserve"> as an Alternative to Sustainable Development</w:t>
      </w:r>
      <w:r w:rsidRPr="0089105D">
        <w:rPr>
          <w:rFonts w:asciiTheme="majorHAnsi" w:hAnsiTheme="majorHAnsi" w:cstheme="majorHAnsi"/>
        </w:rPr>
        <w:t>, pp. 13–26. Available at: https://doi.org/10.4324/9781003023074-3.</w:t>
      </w:r>
      <w:r w:rsidRPr="0089105D">
        <w:rPr>
          <w:rStyle w:val="apple-converted-space"/>
          <w:rFonts w:asciiTheme="majorHAnsi" w:hAnsiTheme="majorHAnsi" w:cstheme="majorHAnsi"/>
        </w:rPr>
        <w:t> </w:t>
      </w:r>
    </w:p>
    <w:p w14:paraId="025B4034" w14:textId="77777777" w:rsidR="00DA6076" w:rsidRPr="0089105D" w:rsidRDefault="00DA6076" w:rsidP="003B2CAA">
      <w:pPr>
        <w:pStyle w:val="NormalWeb"/>
        <w:ind w:left="567" w:hanging="567"/>
        <w:rPr>
          <w:rStyle w:val="apple-converted-space"/>
          <w:rFonts w:asciiTheme="majorHAnsi" w:hAnsiTheme="majorHAnsi" w:cstheme="majorHAnsi"/>
        </w:rPr>
      </w:pPr>
      <w:r w:rsidRPr="0089105D">
        <w:rPr>
          <w:rFonts w:asciiTheme="majorHAnsi" w:hAnsiTheme="majorHAnsi" w:cstheme="majorHAnsi"/>
        </w:rPr>
        <w:t>Costanza, R.</w:t>
      </w:r>
      <w:r w:rsidRPr="0089105D">
        <w:rPr>
          <w:rStyle w:val="apple-converted-space"/>
          <w:rFonts w:asciiTheme="majorHAnsi" w:hAnsiTheme="majorHAnsi" w:cstheme="majorHAnsi"/>
        </w:rPr>
        <w:t> </w:t>
      </w:r>
      <w:r w:rsidRPr="0089105D">
        <w:rPr>
          <w:rFonts w:asciiTheme="majorHAnsi" w:hAnsiTheme="majorHAnsi" w:cstheme="majorHAnsi"/>
          <w:i/>
          <w:iCs/>
        </w:rPr>
        <w:t>et al.</w:t>
      </w:r>
      <w:r w:rsidRPr="0089105D">
        <w:rPr>
          <w:rStyle w:val="apple-converted-space"/>
          <w:rFonts w:asciiTheme="majorHAnsi" w:hAnsiTheme="majorHAnsi" w:cstheme="majorHAnsi"/>
        </w:rPr>
        <w:t> </w:t>
      </w:r>
      <w:r w:rsidRPr="0089105D">
        <w:rPr>
          <w:rFonts w:asciiTheme="majorHAnsi" w:hAnsiTheme="majorHAnsi" w:cstheme="majorHAnsi"/>
        </w:rPr>
        <w:t>(2016) “Modelling and measuring sustainable wellbeing in connection with the UN Sustainable Development Goals,”</w:t>
      </w:r>
      <w:r w:rsidRPr="0089105D">
        <w:rPr>
          <w:rStyle w:val="apple-converted-space"/>
          <w:rFonts w:asciiTheme="majorHAnsi" w:hAnsiTheme="majorHAnsi" w:cstheme="majorHAnsi"/>
        </w:rPr>
        <w:t> </w:t>
      </w:r>
      <w:r w:rsidRPr="0089105D">
        <w:rPr>
          <w:rFonts w:asciiTheme="majorHAnsi" w:hAnsiTheme="majorHAnsi" w:cstheme="majorHAnsi"/>
          <w:i/>
          <w:iCs/>
        </w:rPr>
        <w:t>Ecological Economics</w:t>
      </w:r>
      <w:r w:rsidRPr="0089105D">
        <w:rPr>
          <w:rFonts w:asciiTheme="majorHAnsi" w:hAnsiTheme="majorHAnsi" w:cstheme="majorHAnsi"/>
        </w:rPr>
        <w:t>, 130, pp. 350–355. Available at: https://doi.org/10.1016/j.ecolecon.2016.07.009.</w:t>
      </w:r>
      <w:r w:rsidRPr="0089105D">
        <w:rPr>
          <w:rStyle w:val="apple-converted-space"/>
          <w:rFonts w:asciiTheme="majorHAnsi" w:hAnsiTheme="majorHAnsi" w:cstheme="majorHAnsi"/>
        </w:rPr>
        <w:t> </w:t>
      </w:r>
    </w:p>
    <w:p w14:paraId="01BAC184" w14:textId="77777777" w:rsidR="00DA6076" w:rsidRPr="0089105D" w:rsidRDefault="00DA6076" w:rsidP="003B2CAA">
      <w:pPr>
        <w:jc w:val="center"/>
        <w:rPr>
          <w:rFonts w:asciiTheme="majorHAnsi" w:hAnsiTheme="majorHAnsi" w:cstheme="majorHAnsi"/>
        </w:rPr>
      </w:pPr>
      <w:r w:rsidRPr="0089105D">
        <w:rPr>
          <w:rFonts w:asciiTheme="majorHAnsi" w:hAnsiTheme="majorHAnsi" w:cstheme="majorHAnsi"/>
        </w:rPr>
        <w:t>Costanza, R., Daly, L., Fioramonti, L., </w:t>
      </w:r>
      <w:proofErr w:type="spellStart"/>
      <w:r w:rsidRPr="0089105D">
        <w:rPr>
          <w:rFonts w:asciiTheme="majorHAnsi" w:hAnsiTheme="majorHAnsi" w:cstheme="majorHAnsi"/>
        </w:rPr>
        <w:t>Giovannini</w:t>
      </w:r>
      <w:proofErr w:type="spellEnd"/>
      <w:r w:rsidRPr="0089105D">
        <w:rPr>
          <w:rFonts w:asciiTheme="majorHAnsi" w:hAnsiTheme="majorHAnsi" w:cstheme="majorHAnsi"/>
        </w:rPr>
        <w:t>, E., </w:t>
      </w:r>
      <w:proofErr w:type="spellStart"/>
      <w:r w:rsidRPr="0089105D">
        <w:rPr>
          <w:rFonts w:asciiTheme="majorHAnsi" w:hAnsiTheme="majorHAnsi" w:cstheme="majorHAnsi"/>
        </w:rPr>
        <w:t>Kubiszewski</w:t>
      </w:r>
      <w:proofErr w:type="spellEnd"/>
      <w:r w:rsidRPr="0089105D">
        <w:rPr>
          <w:rFonts w:asciiTheme="majorHAnsi" w:hAnsiTheme="majorHAnsi" w:cstheme="majorHAnsi"/>
        </w:rPr>
        <w:t>, I., Mortensen, L. F., Pickett, K. E., </w:t>
      </w:r>
      <w:proofErr w:type="spellStart"/>
      <w:r w:rsidRPr="0089105D">
        <w:rPr>
          <w:rFonts w:asciiTheme="majorHAnsi" w:hAnsiTheme="majorHAnsi" w:cstheme="majorHAnsi"/>
        </w:rPr>
        <w:t>Ragnarsdottir</w:t>
      </w:r>
      <w:proofErr w:type="spellEnd"/>
      <w:r w:rsidRPr="0089105D">
        <w:rPr>
          <w:rFonts w:asciiTheme="majorHAnsi" w:hAnsiTheme="majorHAnsi" w:cstheme="majorHAnsi"/>
        </w:rPr>
        <w:t xml:space="preserve">, K. V., De </w:t>
      </w:r>
      <w:proofErr w:type="spellStart"/>
      <w:r w:rsidRPr="0089105D">
        <w:rPr>
          <w:rFonts w:asciiTheme="majorHAnsi" w:hAnsiTheme="majorHAnsi" w:cstheme="majorHAnsi"/>
        </w:rPr>
        <w:t>Vogli</w:t>
      </w:r>
      <w:proofErr w:type="spellEnd"/>
      <w:r w:rsidRPr="0089105D">
        <w:rPr>
          <w:rFonts w:asciiTheme="majorHAnsi" w:hAnsiTheme="majorHAnsi" w:cstheme="majorHAnsi"/>
        </w:rPr>
        <w:t>, R., &amp; Wilkinson, R. (2016). Modelling and measuring sustainable wellbeing in connection with the UN Sustainable Development Goals. </w:t>
      </w:r>
      <w:r w:rsidRPr="0089105D">
        <w:rPr>
          <w:rFonts w:asciiTheme="majorHAnsi" w:hAnsiTheme="majorHAnsi" w:cstheme="majorHAnsi"/>
          <w:i/>
          <w:iCs/>
        </w:rPr>
        <w:t>Ecological Economics</w:t>
      </w:r>
      <w:r w:rsidRPr="0089105D">
        <w:rPr>
          <w:rFonts w:asciiTheme="majorHAnsi" w:hAnsiTheme="majorHAnsi" w:cstheme="majorHAnsi"/>
        </w:rPr>
        <w:t>, </w:t>
      </w:r>
      <w:r w:rsidRPr="0089105D">
        <w:rPr>
          <w:rFonts w:asciiTheme="majorHAnsi" w:hAnsiTheme="majorHAnsi" w:cstheme="majorHAnsi"/>
          <w:b/>
          <w:bCs/>
        </w:rPr>
        <w:t>130</w:t>
      </w:r>
      <w:r w:rsidRPr="0089105D">
        <w:rPr>
          <w:rFonts w:asciiTheme="majorHAnsi" w:hAnsiTheme="majorHAnsi" w:cstheme="majorHAnsi"/>
        </w:rPr>
        <w:t>, 350–355.</w:t>
      </w:r>
    </w:p>
    <w:p w14:paraId="749EA863" w14:textId="77777777" w:rsidR="00DA6076" w:rsidRPr="0089105D" w:rsidRDefault="00DA6076" w:rsidP="00322CE9">
      <w:pPr>
        <w:pStyle w:val="NormalWeb"/>
        <w:ind w:left="567" w:hanging="567"/>
        <w:rPr>
          <w:rStyle w:val="apple-converted-space"/>
          <w:rFonts w:asciiTheme="majorHAnsi" w:hAnsiTheme="majorHAnsi" w:cstheme="majorHAnsi"/>
        </w:rPr>
      </w:pPr>
      <w:r w:rsidRPr="0089105D">
        <w:rPr>
          <w:rFonts w:asciiTheme="majorHAnsi" w:hAnsiTheme="majorHAnsi" w:cstheme="majorHAnsi"/>
        </w:rPr>
        <w:t xml:space="preserve">Crespo </w:t>
      </w:r>
      <w:proofErr w:type="spellStart"/>
      <w:r w:rsidRPr="0089105D">
        <w:rPr>
          <w:rFonts w:asciiTheme="majorHAnsi" w:hAnsiTheme="majorHAnsi" w:cstheme="majorHAnsi"/>
        </w:rPr>
        <w:t>Cuaresma</w:t>
      </w:r>
      <w:proofErr w:type="spellEnd"/>
      <w:r w:rsidRPr="0089105D">
        <w:rPr>
          <w:rFonts w:asciiTheme="majorHAnsi" w:hAnsiTheme="majorHAnsi" w:cstheme="majorHAnsi"/>
        </w:rPr>
        <w:t>, J.</w:t>
      </w:r>
      <w:r w:rsidRPr="0089105D">
        <w:rPr>
          <w:rStyle w:val="apple-converted-space"/>
          <w:rFonts w:asciiTheme="majorHAnsi" w:hAnsiTheme="majorHAnsi" w:cstheme="majorHAnsi"/>
        </w:rPr>
        <w:t> </w:t>
      </w:r>
      <w:r w:rsidRPr="0089105D">
        <w:rPr>
          <w:rFonts w:asciiTheme="majorHAnsi" w:hAnsiTheme="majorHAnsi" w:cstheme="majorHAnsi"/>
          <w:i/>
          <w:iCs/>
        </w:rPr>
        <w:t>et al.</w:t>
      </w:r>
      <w:r w:rsidRPr="0089105D">
        <w:rPr>
          <w:rStyle w:val="apple-converted-space"/>
          <w:rFonts w:asciiTheme="majorHAnsi" w:hAnsiTheme="majorHAnsi" w:cstheme="majorHAnsi"/>
        </w:rPr>
        <w:t> </w:t>
      </w:r>
      <w:r w:rsidRPr="0089105D">
        <w:rPr>
          <w:rFonts w:asciiTheme="majorHAnsi" w:hAnsiTheme="majorHAnsi" w:cstheme="majorHAnsi"/>
        </w:rPr>
        <w:t>(2018) “Will the sustainable development goals be fulfilled? assessing present and future global poverty,”</w:t>
      </w:r>
      <w:r w:rsidRPr="0089105D">
        <w:rPr>
          <w:rStyle w:val="apple-converted-space"/>
          <w:rFonts w:asciiTheme="majorHAnsi" w:hAnsiTheme="majorHAnsi" w:cstheme="majorHAnsi"/>
        </w:rPr>
        <w:t> </w:t>
      </w:r>
      <w:r w:rsidRPr="0089105D">
        <w:rPr>
          <w:rFonts w:asciiTheme="majorHAnsi" w:hAnsiTheme="majorHAnsi" w:cstheme="majorHAnsi"/>
          <w:i/>
          <w:iCs/>
        </w:rPr>
        <w:t>Palgrave Communications</w:t>
      </w:r>
      <w:r w:rsidRPr="0089105D">
        <w:rPr>
          <w:rFonts w:asciiTheme="majorHAnsi" w:hAnsiTheme="majorHAnsi" w:cstheme="majorHAnsi"/>
        </w:rPr>
        <w:t>, 4(1). Available at: https://doi.org/10.1057/s41599-018-0083-y.</w:t>
      </w:r>
      <w:r w:rsidRPr="0089105D">
        <w:rPr>
          <w:rStyle w:val="apple-converted-space"/>
          <w:rFonts w:asciiTheme="majorHAnsi" w:hAnsiTheme="majorHAnsi" w:cstheme="majorHAnsi"/>
        </w:rPr>
        <w:t> </w:t>
      </w:r>
    </w:p>
    <w:p w14:paraId="05AEE117" w14:textId="77777777" w:rsidR="00DA6076" w:rsidRPr="0089105D" w:rsidRDefault="00DA6076" w:rsidP="003B2CAA">
      <w:pPr>
        <w:pStyle w:val="NormalWeb"/>
        <w:ind w:left="567" w:hanging="567"/>
        <w:rPr>
          <w:rStyle w:val="apple-converted-space"/>
          <w:rFonts w:asciiTheme="majorHAnsi" w:hAnsiTheme="majorHAnsi" w:cstheme="majorHAnsi"/>
        </w:rPr>
      </w:pPr>
      <w:r w:rsidRPr="0089105D">
        <w:rPr>
          <w:rFonts w:asciiTheme="majorHAnsi" w:hAnsiTheme="majorHAnsi" w:cstheme="majorHAnsi"/>
        </w:rPr>
        <w:t xml:space="preserve">Cumming, G.S. and von </w:t>
      </w:r>
      <w:proofErr w:type="spellStart"/>
      <w:r w:rsidRPr="0089105D">
        <w:rPr>
          <w:rFonts w:asciiTheme="majorHAnsi" w:hAnsiTheme="majorHAnsi" w:cstheme="majorHAnsi"/>
        </w:rPr>
        <w:t>Cramon-Taubadel</w:t>
      </w:r>
      <w:proofErr w:type="spellEnd"/>
      <w:r w:rsidRPr="0089105D">
        <w:rPr>
          <w:rFonts w:asciiTheme="majorHAnsi" w:hAnsiTheme="majorHAnsi" w:cstheme="majorHAnsi"/>
        </w:rPr>
        <w:t>, S. (2018) “Linking economic growth pathways and environmental sustainability by understanding development as alternate social–ecological regimes,”</w:t>
      </w:r>
      <w:r w:rsidRPr="0089105D">
        <w:rPr>
          <w:rStyle w:val="apple-converted-space"/>
          <w:rFonts w:asciiTheme="majorHAnsi" w:hAnsiTheme="majorHAnsi" w:cstheme="majorHAnsi"/>
        </w:rPr>
        <w:t> </w:t>
      </w:r>
      <w:r w:rsidRPr="0089105D">
        <w:rPr>
          <w:rFonts w:asciiTheme="majorHAnsi" w:hAnsiTheme="majorHAnsi" w:cstheme="majorHAnsi"/>
          <w:i/>
          <w:iCs/>
        </w:rPr>
        <w:t>Proceedings of the National Academy of Sciences</w:t>
      </w:r>
      <w:r w:rsidRPr="0089105D">
        <w:rPr>
          <w:rFonts w:asciiTheme="majorHAnsi" w:hAnsiTheme="majorHAnsi" w:cstheme="majorHAnsi"/>
        </w:rPr>
        <w:t>, 115(38), pp. 9533–9538. Available at: https://doi.org/10.1073/pnas.1807026115.</w:t>
      </w:r>
      <w:r w:rsidRPr="0089105D">
        <w:rPr>
          <w:rStyle w:val="apple-converted-space"/>
          <w:rFonts w:asciiTheme="majorHAnsi" w:hAnsiTheme="majorHAnsi" w:cstheme="majorHAnsi"/>
        </w:rPr>
        <w:t> </w:t>
      </w:r>
    </w:p>
    <w:p w14:paraId="20FDD665" w14:textId="77777777" w:rsidR="00DA6076" w:rsidRPr="0089105D" w:rsidRDefault="00DA6076" w:rsidP="00322CE9">
      <w:pPr>
        <w:pStyle w:val="NormalWeb"/>
        <w:ind w:left="567" w:hanging="567"/>
        <w:rPr>
          <w:rStyle w:val="apple-converted-space"/>
          <w:rFonts w:asciiTheme="majorHAnsi" w:hAnsiTheme="majorHAnsi" w:cstheme="majorHAnsi"/>
        </w:rPr>
      </w:pPr>
      <w:r w:rsidRPr="0089105D">
        <w:rPr>
          <w:rFonts w:asciiTheme="majorHAnsi" w:hAnsiTheme="majorHAnsi" w:cstheme="majorHAnsi"/>
        </w:rPr>
        <w:t>Cummings, S., et al. (2016). "Critical discourse analysis on knowledge and knowledge society within the SDGs." DPR, 36, 727-742.</w:t>
      </w:r>
    </w:p>
    <w:p w14:paraId="4516AC85" w14:textId="77777777" w:rsidR="00DA6076" w:rsidRPr="0089105D" w:rsidRDefault="00DA6076" w:rsidP="003B2CAA">
      <w:pPr>
        <w:pStyle w:val="NormalWeb"/>
        <w:ind w:left="567" w:hanging="567"/>
        <w:rPr>
          <w:rFonts w:asciiTheme="majorHAnsi" w:hAnsiTheme="majorHAnsi" w:cstheme="majorHAnsi"/>
        </w:rPr>
      </w:pPr>
      <w:r w:rsidRPr="0089105D">
        <w:rPr>
          <w:rFonts w:asciiTheme="majorHAnsi" w:hAnsiTheme="majorHAnsi" w:cstheme="majorHAnsi"/>
        </w:rPr>
        <w:t>Dawes, J.H.P. (2022) “SDG interlinkage networks: Analysis, robustness, sensitivities, and hierarchies,”</w:t>
      </w:r>
      <w:r w:rsidRPr="0089105D">
        <w:rPr>
          <w:rStyle w:val="apple-converted-space"/>
          <w:rFonts w:asciiTheme="majorHAnsi" w:eastAsiaTheme="majorEastAsia" w:hAnsiTheme="majorHAnsi" w:cstheme="majorHAnsi"/>
        </w:rPr>
        <w:t> </w:t>
      </w:r>
      <w:r w:rsidRPr="0089105D">
        <w:rPr>
          <w:rFonts w:asciiTheme="majorHAnsi" w:hAnsiTheme="majorHAnsi" w:cstheme="majorHAnsi"/>
          <w:i/>
          <w:iCs/>
        </w:rPr>
        <w:t>World Development</w:t>
      </w:r>
      <w:r w:rsidRPr="0089105D">
        <w:rPr>
          <w:rFonts w:asciiTheme="majorHAnsi" w:hAnsiTheme="majorHAnsi" w:cstheme="majorHAnsi"/>
        </w:rPr>
        <w:t>, 149, p. 105693. Available at: https://doi.org/10.1016/j.worlddev.2021.105693.</w:t>
      </w:r>
      <w:r w:rsidRPr="0089105D">
        <w:rPr>
          <w:rStyle w:val="apple-converted-space"/>
          <w:rFonts w:asciiTheme="majorHAnsi" w:eastAsiaTheme="majorEastAsia" w:hAnsiTheme="majorHAnsi" w:cstheme="majorHAnsi"/>
        </w:rPr>
        <w:t> </w:t>
      </w:r>
    </w:p>
    <w:p w14:paraId="11E53D44" w14:textId="77777777" w:rsidR="00DA6076" w:rsidRPr="0089105D" w:rsidRDefault="00DA6076" w:rsidP="003B2CAA">
      <w:pPr>
        <w:pStyle w:val="NormalWeb"/>
        <w:ind w:left="567" w:hanging="567"/>
        <w:rPr>
          <w:rStyle w:val="apple-converted-space"/>
          <w:rFonts w:asciiTheme="majorHAnsi" w:hAnsiTheme="majorHAnsi" w:cstheme="majorHAnsi"/>
        </w:rPr>
      </w:pPr>
      <w:r w:rsidRPr="0089105D">
        <w:rPr>
          <w:rFonts w:asciiTheme="majorHAnsi" w:hAnsiTheme="majorHAnsi" w:cstheme="majorHAnsi"/>
        </w:rPr>
        <w:t xml:space="preserve">de Mora Jimenez, R. (2019) “Public diplomacy and </w:t>
      </w:r>
      <w:proofErr w:type="spellStart"/>
      <w:r w:rsidRPr="0089105D">
        <w:rPr>
          <w:rFonts w:asciiTheme="majorHAnsi" w:hAnsiTheme="majorHAnsi" w:cstheme="majorHAnsi"/>
        </w:rPr>
        <w:t>sdgs</w:t>
      </w:r>
      <w:proofErr w:type="spellEnd"/>
      <w:r w:rsidRPr="0089105D">
        <w:rPr>
          <w:rFonts w:asciiTheme="majorHAnsi" w:hAnsiTheme="majorHAnsi" w:cstheme="majorHAnsi"/>
        </w:rPr>
        <w:t xml:space="preserve">. </w:t>
      </w:r>
      <w:proofErr w:type="spellStart"/>
      <w:r w:rsidRPr="0089105D">
        <w:rPr>
          <w:rFonts w:asciiTheme="majorHAnsi" w:hAnsiTheme="majorHAnsi" w:cstheme="majorHAnsi"/>
        </w:rPr>
        <w:t>sdgs</w:t>
      </w:r>
      <w:proofErr w:type="spellEnd"/>
      <w:r w:rsidRPr="0089105D">
        <w:rPr>
          <w:rFonts w:asciiTheme="majorHAnsi" w:hAnsiTheme="majorHAnsi" w:cstheme="majorHAnsi"/>
        </w:rPr>
        <w:t xml:space="preserve"> as a goal and a means of public diplomacy,”</w:t>
      </w:r>
      <w:r w:rsidRPr="0089105D">
        <w:rPr>
          <w:rStyle w:val="apple-converted-space"/>
          <w:rFonts w:asciiTheme="majorHAnsi" w:hAnsiTheme="majorHAnsi" w:cstheme="majorHAnsi"/>
        </w:rPr>
        <w:t> </w:t>
      </w:r>
      <w:r w:rsidRPr="0089105D">
        <w:rPr>
          <w:rFonts w:asciiTheme="majorHAnsi" w:hAnsiTheme="majorHAnsi" w:cstheme="majorHAnsi"/>
          <w:i/>
          <w:iCs/>
        </w:rPr>
        <w:t>SDGs, Main Contributions and Challenges</w:t>
      </w:r>
      <w:r w:rsidRPr="0089105D">
        <w:rPr>
          <w:rFonts w:asciiTheme="majorHAnsi" w:hAnsiTheme="majorHAnsi" w:cstheme="majorHAnsi"/>
        </w:rPr>
        <w:t xml:space="preserve">, pp. 139–155. Available at: </w:t>
      </w:r>
      <w:hyperlink r:id="rId42" w:history="1">
        <w:r w:rsidRPr="0089105D">
          <w:rPr>
            <w:rStyle w:val="Hyperlink"/>
            <w:rFonts w:asciiTheme="majorHAnsi" w:hAnsiTheme="majorHAnsi" w:cstheme="majorHAnsi"/>
            <w:color w:val="auto"/>
          </w:rPr>
          <w:t>https://doi.org/10.18356/c6934888-en</w:t>
        </w:r>
      </w:hyperlink>
      <w:r w:rsidRPr="0089105D">
        <w:rPr>
          <w:rFonts w:asciiTheme="majorHAnsi" w:hAnsiTheme="majorHAnsi" w:cstheme="majorHAnsi"/>
        </w:rPr>
        <w:t>.</w:t>
      </w:r>
      <w:r w:rsidRPr="0089105D">
        <w:rPr>
          <w:rStyle w:val="apple-converted-space"/>
          <w:rFonts w:asciiTheme="majorHAnsi" w:hAnsiTheme="majorHAnsi" w:cstheme="majorHAnsi"/>
        </w:rPr>
        <w:t> </w:t>
      </w:r>
    </w:p>
    <w:p w14:paraId="226C101A" w14:textId="77777777" w:rsidR="00DA6076" w:rsidRPr="0089105D" w:rsidRDefault="00DA6076" w:rsidP="003B2CAA">
      <w:pPr>
        <w:pStyle w:val="NormalWeb"/>
        <w:ind w:left="567" w:hanging="567"/>
        <w:rPr>
          <w:rFonts w:asciiTheme="majorHAnsi" w:hAnsiTheme="majorHAnsi" w:cstheme="majorHAnsi"/>
        </w:rPr>
      </w:pPr>
      <w:r w:rsidRPr="0089105D">
        <w:rPr>
          <w:rFonts w:asciiTheme="majorHAnsi" w:hAnsiTheme="majorHAnsi" w:cstheme="majorHAnsi"/>
        </w:rPr>
        <w:t>Department of Social and Economic Affairs (2015)</w:t>
      </w:r>
      <w:r w:rsidRPr="0089105D">
        <w:rPr>
          <w:rStyle w:val="apple-converted-space"/>
          <w:rFonts w:asciiTheme="majorHAnsi" w:hAnsiTheme="majorHAnsi" w:cstheme="majorHAnsi"/>
        </w:rPr>
        <w:t> </w:t>
      </w:r>
      <w:r w:rsidRPr="0089105D">
        <w:rPr>
          <w:rFonts w:asciiTheme="majorHAnsi" w:hAnsiTheme="majorHAnsi" w:cstheme="majorHAnsi"/>
          <w:i/>
          <w:iCs/>
        </w:rPr>
        <w:t>The 17 goals | sustainable development</w:t>
      </w:r>
      <w:r w:rsidRPr="0089105D">
        <w:rPr>
          <w:rFonts w:asciiTheme="majorHAnsi" w:hAnsiTheme="majorHAnsi" w:cstheme="majorHAnsi"/>
        </w:rPr>
        <w:t>,</w:t>
      </w:r>
      <w:r w:rsidRPr="0089105D">
        <w:rPr>
          <w:rStyle w:val="apple-converted-space"/>
          <w:rFonts w:asciiTheme="majorHAnsi" w:hAnsiTheme="majorHAnsi" w:cstheme="majorHAnsi"/>
        </w:rPr>
        <w:t> </w:t>
      </w:r>
      <w:r w:rsidRPr="0089105D">
        <w:rPr>
          <w:rFonts w:asciiTheme="majorHAnsi" w:hAnsiTheme="majorHAnsi" w:cstheme="majorHAnsi"/>
          <w:i/>
          <w:iCs/>
        </w:rPr>
        <w:t>United Nations</w:t>
      </w:r>
      <w:r w:rsidRPr="0089105D">
        <w:rPr>
          <w:rFonts w:asciiTheme="majorHAnsi" w:hAnsiTheme="majorHAnsi" w:cstheme="majorHAnsi"/>
        </w:rPr>
        <w:t>. United Nations. Available at: https://sdgs.un.org/goals (Accessed: April 8, 2023).</w:t>
      </w:r>
      <w:r w:rsidRPr="0089105D">
        <w:rPr>
          <w:rStyle w:val="apple-converted-space"/>
          <w:rFonts w:asciiTheme="majorHAnsi" w:hAnsiTheme="majorHAnsi" w:cstheme="majorHAnsi"/>
        </w:rPr>
        <w:t> </w:t>
      </w:r>
    </w:p>
    <w:p w14:paraId="26B28A57" w14:textId="77777777" w:rsidR="00DA6076" w:rsidRPr="0089105D" w:rsidRDefault="00DA6076" w:rsidP="003B2CAA">
      <w:pPr>
        <w:pStyle w:val="NormalWeb"/>
        <w:ind w:left="567" w:hanging="567"/>
        <w:rPr>
          <w:rFonts w:asciiTheme="majorHAnsi" w:hAnsiTheme="majorHAnsi" w:cstheme="majorHAnsi"/>
        </w:rPr>
      </w:pPr>
      <w:proofErr w:type="spellStart"/>
      <w:r w:rsidRPr="0089105D">
        <w:rPr>
          <w:rFonts w:asciiTheme="majorHAnsi" w:hAnsiTheme="majorHAnsi" w:cstheme="majorHAnsi"/>
        </w:rPr>
        <w:t>Dilekli</w:t>
      </w:r>
      <w:proofErr w:type="spellEnd"/>
      <w:r w:rsidRPr="0089105D">
        <w:rPr>
          <w:rFonts w:asciiTheme="majorHAnsi" w:hAnsiTheme="majorHAnsi" w:cstheme="majorHAnsi"/>
        </w:rPr>
        <w:t xml:space="preserve">, N. and </w:t>
      </w:r>
      <w:proofErr w:type="spellStart"/>
      <w:r w:rsidRPr="0089105D">
        <w:rPr>
          <w:rFonts w:asciiTheme="majorHAnsi" w:hAnsiTheme="majorHAnsi" w:cstheme="majorHAnsi"/>
        </w:rPr>
        <w:t>Cazcarro</w:t>
      </w:r>
      <w:proofErr w:type="spellEnd"/>
      <w:r w:rsidRPr="0089105D">
        <w:rPr>
          <w:rFonts w:asciiTheme="majorHAnsi" w:hAnsiTheme="majorHAnsi" w:cstheme="majorHAnsi"/>
        </w:rPr>
        <w:t>, I. (2019) “Testing the SDG targets on water and sanitation using the World Trade model with a waste, wastewater, and recycling framework,”</w:t>
      </w:r>
      <w:r w:rsidRPr="0089105D">
        <w:rPr>
          <w:rStyle w:val="apple-converted-space"/>
          <w:rFonts w:asciiTheme="majorHAnsi" w:hAnsiTheme="majorHAnsi" w:cstheme="majorHAnsi"/>
        </w:rPr>
        <w:t> </w:t>
      </w:r>
      <w:r w:rsidRPr="0089105D">
        <w:rPr>
          <w:rFonts w:asciiTheme="majorHAnsi" w:hAnsiTheme="majorHAnsi" w:cstheme="majorHAnsi"/>
          <w:i/>
          <w:iCs/>
        </w:rPr>
        <w:t>Ecological Economics</w:t>
      </w:r>
      <w:r w:rsidRPr="0089105D">
        <w:rPr>
          <w:rFonts w:asciiTheme="majorHAnsi" w:hAnsiTheme="majorHAnsi" w:cstheme="majorHAnsi"/>
        </w:rPr>
        <w:t>, 165, p. 106376. Available at: https://doi.org/10.1016/j.ecolecon.2019.106376.</w:t>
      </w:r>
      <w:r w:rsidRPr="0089105D">
        <w:rPr>
          <w:rStyle w:val="apple-converted-space"/>
          <w:rFonts w:asciiTheme="majorHAnsi" w:hAnsiTheme="majorHAnsi" w:cstheme="majorHAnsi"/>
        </w:rPr>
        <w:t> </w:t>
      </w:r>
    </w:p>
    <w:p w14:paraId="2A71FDBB" w14:textId="77777777" w:rsidR="00DA6076" w:rsidRPr="0089105D" w:rsidRDefault="00DA6076" w:rsidP="003B2CAA">
      <w:pPr>
        <w:pStyle w:val="NormalWeb"/>
        <w:ind w:left="567" w:hanging="567"/>
        <w:rPr>
          <w:rFonts w:asciiTheme="majorHAnsi" w:hAnsiTheme="majorHAnsi" w:cstheme="majorHAnsi"/>
        </w:rPr>
      </w:pPr>
      <w:proofErr w:type="spellStart"/>
      <w:r w:rsidRPr="0089105D">
        <w:rPr>
          <w:rFonts w:asciiTheme="majorHAnsi" w:hAnsiTheme="majorHAnsi" w:cstheme="majorHAnsi"/>
        </w:rPr>
        <w:lastRenderedPageBreak/>
        <w:t>Dilekli</w:t>
      </w:r>
      <w:proofErr w:type="spellEnd"/>
      <w:r w:rsidRPr="0089105D">
        <w:rPr>
          <w:rFonts w:asciiTheme="majorHAnsi" w:hAnsiTheme="majorHAnsi" w:cstheme="majorHAnsi"/>
        </w:rPr>
        <w:t xml:space="preserve">, N. and </w:t>
      </w:r>
      <w:proofErr w:type="spellStart"/>
      <w:r w:rsidRPr="0089105D">
        <w:rPr>
          <w:rFonts w:asciiTheme="majorHAnsi" w:hAnsiTheme="majorHAnsi" w:cstheme="majorHAnsi"/>
        </w:rPr>
        <w:t>Cazcarro</w:t>
      </w:r>
      <w:proofErr w:type="spellEnd"/>
      <w:r w:rsidRPr="0089105D">
        <w:rPr>
          <w:rFonts w:asciiTheme="majorHAnsi" w:hAnsiTheme="majorHAnsi" w:cstheme="majorHAnsi"/>
        </w:rPr>
        <w:t>, I. (2019) “Testing the SDG targets on water and sanitation using the World Trade model with a waste, wastewater, and recycling framework,”</w:t>
      </w:r>
      <w:r w:rsidRPr="0089105D">
        <w:rPr>
          <w:rStyle w:val="apple-converted-space"/>
          <w:rFonts w:asciiTheme="majorHAnsi" w:hAnsiTheme="majorHAnsi" w:cstheme="majorHAnsi"/>
        </w:rPr>
        <w:t> </w:t>
      </w:r>
      <w:r w:rsidRPr="0089105D">
        <w:rPr>
          <w:rFonts w:asciiTheme="majorHAnsi" w:hAnsiTheme="majorHAnsi" w:cstheme="majorHAnsi"/>
          <w:i/>
          <w:iCs/>
        </w:rPr>
        <w:t>Ecological Economics</w:t>
      </w:r>
      <w:r w:rsidRPr="0089105D">
        <w:rPr>
          <w:rFonts w:asciiTheme="majorHAnsi" w:hAnsiTheme="majorHAnsi" w:cstheme="majorHAnsi"/>
        </w:rPr>
        <w:t>, 165, p. 106376. Available at: https://doi.org/10.1016/j.ecolecon.2019.106376.</w:t>
      </w:r>
      <w:r w:rsidRPr="0089105D">
        <w:rPr>
          <w:rStyle w:val="apple-converted-space"/>
          <w:rFonts w:asciiTheme="majorHAnsi" w:hAnsiTheme="majorHAnsi" w:cstheme="majorHAnsi"/>
        </w:rPr>
        <w:t> </w:t>
      </w:r>
    </w:p>
    <w:p w14:paraId="721FA567" w14:textId="77777777" w:rsidR="00DA6076" w:rsidRPr="0089105D" w:rsidRDefault="00DA6076" w:rsidP="003B2CAA">
      <w:pPr>
        <w:pStyle w:val="NormalWeb"/>
        <w:ind w:left="567" w:hanging="567"/>
        <w:rPr>
          <w:rFonts w:asciiTheme="majorHAnsi" w:hAnsiTheme="majorHAnsi" w:cstheme="majorHAnsi"/>
        </w:rPr>
      </w:pPr>
      <w:r w:rsidRPr="0089105D">
        <w:rPr>
          <w:rFonts w:asciiTheme="majorHAnsi" w:hAnsiTheme="majorHAnsi" w:cstheme="majorHAnsi"/>
        </w:rPr>
        <w:t>Donald, K. and Way, S.-A. (2016) “Accountability for the sustainable development goals: A lost opportunity?,”</w:t>
      </w:r>
      <w:r w:rsidRPr="0089105D">
        <w:rPr>
          <w:rStyle w:val="apple-converted-space"/>
          <w:rFonts w:asciiTheme="majorHAnsi" w:hAnsiTheme="majorHAnsi" w:cstheme="majorHAnsi"/>
        </w:rPr>
        <w:t> </w:t>
      </w:r>
      <w:r w:rsidRPr="0089105D">
        <w:rPr>
          <w:rFonts w:asciiTheme="majorHAnsi" w:hAnsiTheme="majorHAnsi" w:cstheme="majorHAnsi"/>
          <w:i/>
          <w:iCs/>
        </w:rPr>
        <w:t>Ethics &amp; International Affairs</w:t>
      </w:r>
      <w:r w:rsidRPr="0089105D">
        <w:rPr>
          <w:rFonts w:asciiTheme="majorHAnsi" w:hAnsiTheme="majorHAnsi" w:cstheme="majorHAnsi"/>
        </w:rPr>
        <w:t>, 30(2), pp. 201–213. Available at: https://doi.org/10.1017/s0892679416000083.</w:t>
      </w:r>
      <w:r w:rsidRPr="0089105D">
        <w:rPr>
          <w:rStyle w:val="apple-converted-space"/>
          <w:rFonts w:asciiTheme="majorHAnsi" w:hAnsiTheme="majorHAnsi" w:cstheme="majorHAnsi"/>
        </w:rPr>
        <w:t> </w:t>
      </w:r>
    </w:p>
    <w:p w14:paraId="431962A5" w14:textId="77777777" w:rsidR="00DA6076" w:rsidRPr="0089105D" w:rsidRDefault="00DA6076" w:rsidP="003B2CAA">
      <w:pPr>
        <w:pStyle w:val="NormalWeb"/>
        <w:ind w:left="567" w:hanging="567"/>
        <w:rPr>
          <w:rFonts w:asciiTheme="majorHAnsi" w:hAnsiTheme="majorHAnsi" w:cstheme="majorHAnsi"/>
        </w:rPr>
      </w:pPr>
      <w:r w:rsidRPr="0089105D">
        <w:rPr>
          <w:rFonts w:asciiTheme="majorHAnsi" w:hAnsiTheme="majorHAnsi" w:cstheme="majorHAnsi"/>
        </w:rPr>
        <w:t>Easterly, W. (2015) “The trouble with the sustainable development goals,”</w:t>
      </w:r>
      <w:r w:rsidRPr="0089105D">
        <w:rPr>
          <w:rStyle w:val="apple-converted-space"/>
          <w:rFonts w:asciiTheme="majorHAnsi" w:eastAsiaTheme="majorEastAsia" w:hAnsiTheme="majorHAnsi" w:cstheme="majorHAnsi"/>
        </w:rPr>
        <w:t> </w:t>
      </w:r>
      <w:r w:rsidRPr="0089105D">
        <w:rPr>
          <w:rFonts w:asciiTheme="majorHAnsi" w:hAnsiTheme="majorHAnsi" w:cstheme="majorHAnsi"/>
          <w:i/>
          <w:iCs/>
        </w:rPr>
        <w:t>Current History</w:t>
      </w:r>
      <w:r w:rsidRPr="0089105D">
        <w:rPr>
          <w:rFonts w:asciiTheme="majorHAnsi" w:hAnsiTheme="majorHAnsi" w:cstheme="majorHAnsi"/>
        </w:rPr>
        <w:t>, 114(775), pp. 322–324. Available at: https://doi.org/10.1525/curh.2015.114.775.322.</w:t>
      </w:r>
      <w:r w:rsidRPr="0089105D">
        <w:rPr>
          <w:rStyle w:val="apple-converted-space"/>
          <w:rFonts w:asciiTheme="majorHAnsi" w:eastAsiaTheme="majorEastAsia" w:hAnsiTheme="majorHAnsi" w:cstheme="majorHAnsi"/>
        </w:rPr>
        <w:t> </w:t>
      </w:r>
    </w:p>
    <w:p w14:paraId="3FEA2218" w14:textId="77777777" w:rsidR="00DA6076" w:rsidRPr="0089105D" w:rsidRDefault="00DA6076" w:rsidP="003B2CAA">
      <w:pPr>
        <w:pStyle w:val="NormalWeb"/>
        <w:ind w:left="567" w:hanging="567"/>
        <w:rPr>
          <w:rStyle w:val="apple-converted-space"/>
          <w:rFonts w:asciiTheme="majorHAnsi" w:hAnsiTheme="majorHAnsi" w:cstheme="majorHAnsi"/>
        </w:rPr>
      </w:pPr>
      <w:r w:rsidRPr="0089105D">
        <w:rPr>
          <w:rFonts w:asciiTheme="majorHAnsi" w:hAnsiTheme="majorHAnsi" w:cstheme="majorHAnsi"/>
        </w:rPr>
        <w:t>Eastin, J. (2018) “Climate change and gender equality in Developing States,”</w:t>
      </w:r>
      <w:r w:rsidRPr="0089105D">
        <w:rPr>
          <w:rStyle w:val="apple-converted-space"/>
          <w:rFonts w:asciiTheme="majorHAnsi" w:hAnsiTheme="majorHAnsi" w:cstheme="majorHAnsi"/>
        </w:rPr>
        <w:t> </w:t>
      </w:r>
      <w:r w:rsidRPr="0089105D">
        <w:rPr>
          <w:rFonts w:asciiTheme="majorHAnsi" w:hAnsiTheme="majorHAnsi" w:cstheme="majorHAnsi"/>
          <w:i/>
          <w:iCs/>
        </w:rPr>
        <w:t>World Development</w:t>
      </w:r>
      <w:r w:rsidRPr="0089105D">
        <w:rPr>
          <w:rFonts w:asciiTheme="majorHAnsi" w:hAnsiTheme="majorHAnsi" w:cstheme="majorHAnsi"/>
        </w:rPr>
        <w:t>, 107, pp. 289–305. Available at: https://doi.org/10.1016/j.worlddev.2018.02.021.</w:t>
      </w:r>
      <w:r w:rsidRPr="0089105D">
        <w:rPr>
          <w:rStyle w:val="apple-converted-space"/>
          <w:rFonts w:asciiTheme="majorHAnsi" w:hAnsiTheme="majorHAnsi" w:cstheme="majorHAnsi"/>
        </w:rPr>
        <w:t> </w:t>
      </w:r>
    </w:p>
    <w:p w14:paraId="142AB782" w14:textId="77777777" w:rsidR="00DA6076" w:rsidRPr="0089105D" w:rsidRDefault="00DA6076" w:rsidP="003B2CAA">
      <w:pPr>
        <w:pStyle w:val="NormalWeb"/>
        <w:ind w:left="567" w:hanging="567"/>
        <w:rPr>
          <w:rFonts w:asciiTheme="majorHAnsi" w:hAnsiTheme="majorHAnsi" w:cstheme="majorHAnsi"/>
        </w:rPr>
      </w:pPr>
      <w:proofErr w:type="spellStart"/>
      <w:r w:rsidRPr="0089105D">
        <w:rPr>
          <w:rFonts w:asciiTheme="majorHAnsi" w:hAnsiTheme="majorHAnsi" w:cstheme="majorHAnsi"/>
        </w:rPr>
        <w:t>Ebesson</w:t>
      </w:r>
      <w:proofErr w:type="spellEnd"/>
      <w:r w:rsidRPr="0089105D">
        <w:rPr>
          <w:rFonts w:asciiTheme="majorHAnsi" w:hAnsiTheme="majorHAnsi" w:cstheme="majorHAnsi"/>
        </w:rPr>
        <w:t>, J. (2022) “The Cambridge Handbook of the Sustainable Development Goals and International Law.” Available at: https://doi.org/10.1017/9781108769631.</w:t>
      </w:r>
      <w:r w:rsidRPr="0089105D">
        <w:rPr>
          <w:rStyle w:val="apple-converted-space"/>
          <w:rFonts w:asciiTheme="majorHAnsi" w:hAnsiTheme="majorHAnsi" w:cstheme="majorHAnsi"/>
        </w:rPr>
        <w:t> </w:t>
      </w:r>
    </w:p>
    <w:p w14:paraId="45CE9FF6" w14:textId="77777777" w:rsidR="00DA6076" w:rsidRPr="0089105D" w:rsidRDefault="00DA6076" w:rsidP="003B2CAA">
      <w:pPr>
        <w:pStyle w:val="NormalWeb"/>
        <w:ind w:left="567" w:hanging="567"/>
        <w:rPr>
          <w:rFonts w:asciiTheme="majorHAnsi" w:hAnsiTheme="majorHAnsi" w:cstheme="majorHAnsi"/>
        </w:rPr>
      </w:pPr>
      <w:r w:rsidRPr="0089105D">
        <w:rPr>
          <w:rFonts w:asciiTheme="majorHAnsi" w:hAnsiTheme="majorHAnsi" w:cstheme="majorHAnsi"/>
        </w:rPr>
        <w:t>Eisenmenger, N.</w:t>
      </w:r>
      <w:r w:rsidRPr="0089105D">
        <w:rPr>
          <w:rStyle w:val="apple-converted-space"/>
          <w:rFonts w:asciiTheme="majorHAnsi" w:hAnsiTheme="majorHAnsi" w:cstheme="majorHAnsi"/>
        </w:rPr>
        <w:t> </w:t>
      </w:r>
      <w:r w:rsidRPr="0089105D">
        <w:rPr>
          <w:rFonts w:asciiTheme="majorHAnsi" w:hAnsiTheme="majorHAnsi" w:cstheme="majorHAnsi"/>
          <w:i/>
          <w:iCs/>
        </w:rPr>
        <w:t>et al.</w:t>
      </w:r>
      <w:r w:rsidRPr="0089105D">
        <w:rPr>
          <w:rStyle w:val="apple-converted-space"/>
          <w:rFonts w:asciiTheme="majorHAnsi" w:hAnsiTheme="majorHAnsi" w:cstheme="majorHAnsi"/>
        </w:rPr>
        <w:t> </w:t>
      </w:r>
      <w:r w:rsidRPr="0089105D">
        <w:rPr>
          <w:rFonts w:asciiTheme="majorHAnsi" w:hAnsiTheme="majorHAnsi" w:cstheme="majorHAnsi"/>
        </w:rPr>
        <w:t xml:space="preserve">(2020) “The Sustainable Development Goals Prioritize Economic Growth Over Sustainable Resource use: A critical reflection on the </w:t>
      </w:r>
      <w:proofErr w:type="spellStart"/>
      <w:r w:rsidRPr="0089105D">
        <w:rPr>
          <w:rFonts w:asciiTheme="majorHAnsi" w:hAnsiTheme="majorHAnsi" w:cstheme="majorHAnsi"/>
        </w:rPr>
        <w:t>sdgs</w:t>
      </w:r>
      <w:proofErr w:type="spellEnd"/>
      <w:r w:rsidRPr="0089105D">
        <w:rPr>
          <w:rFonts w:asciiTheme="majorHAnsi" w:hAnsiTheme="majorHAnsi" w:cstheme="majorHAnsi"/>
        </w:rPr>
        <w:t xml:space="preserve"> from a socio-ecological perspective,”</w:t>
      </w:r>
      <w:r w:rsidRPr="0089105D">
        <w:rPr>
          <w:rStyle w:val="apple-converted-space"/>
          <w:rFonts w:asciiTheme="majorHAnsi" w:hAnsiTheme="majorHAnsi" w:cstheme="majorHAnsi"/>
        </w:rPr>
        <w:t> </w:t>
      </w:r>
      <w:r w:rsidRPr="0089105D">
        <w:rPr>
          <w:rFonts w:asciiTheme="majorHAnsi" w:hAnsiTheme="majorHAnsi" w:cstheme="majorHAnsi"/>
          <w:i/>
          <w:iCs/>
        </w:rPr>
        <w:t>Sustainability Science</w:t>
      </w:r>
      <w:r w:rsidRPr="0089105D">
        <w:rPr>
          <w:rFonts w:asciiTheme="majorHAnsi" w:hAnsiTheme="majorHAnsi" w:cstheme="majorHAnsi"/>
        </w:rPr>
        <w:t>, 15(4), pp. 1101–1110. Available at: https://doi.org/10.1007/s11625-020-00813-x.</w:t>
      </w:r>
      <w:r w:rsidRPr="0089105D">
        <w:rPr>
          <w:rStyle w:val="apple-converted-space"/>
          <w:rFonts w:asciiTheme="majorHAnsi" w:hAnsiTheme="majorHAnsi" w:cstheme="majorHAnsi"/>
        </w:rPr>
        <w:t> </w:t>
      </w:r>
    </w:p>
    <w:p w14:paraId="22DB80E0" w14:textId="77777777" w:rsidR="00DA6076" w:rsidRPr="0089105D" w:rsidRDefault="00DA6076" w:rsidP="003B2CAA">
      <w:pPr>
        <w:pStyle w:val="NormalWeb"/>
        <w:ind w:left="567" w:hanging="567"/>
        <w:rPr>
          <w:rFonts w:asciiTheme="majorHAnsi" w:hAnsiTheme="majorHAnsi" w:cstheme="majorHAnsi"/>
        </w:rPr>
      </w:pPr>
      <w:r w:rsidRPr="0089105D">
        <w:rPr>
          <w:rFonts w:asciiTheme="majorHAnsi" w:hAnsiTheme="majorHAnsi" w:cstheme="majorHAnsi"/>
        </w:rPr>
        <w:t>Emma, G.-M. and Jennifer, M.-F. (2021) “Is SDG reporting substantial or symbolic? an examination of controversial and Environmentally Sensitive Industries,”</w:t>
      </w:r>
      <w:r w:rsidRPr="0089105D">
        <w:rPr>
          <w:rStyle w:val="apple-converted-space"/>
          <w:rFonts w:asciiTheme="majorHAnsi" w:eastAsiaTheme="majorEastAsia" w:hAnsiTheme="majorHAnsi" w:cstheme="majorHAnsi"/>
        </w:rPr>
        <w:t> </w:t>
      </w:r>
      <w:r w:rsidRPr="0089105D">
        <w:rPr>
          <w:rFonts w:asciiTheme="majorHAnsi" w:hAnsiTheme="majorHAnsi" w:cstheme="majorHAnsi"/>
          <w:i/>
          <w:iCs/>
        </w:rPr>
        <w:t>Journal of Cleaner Production</w:t>
      </w:r>
      <w:r w:rsidRPr="0089105D">
        <w:rPr>
          <w:rFonts w:asciiTheme="majorHAnsi" w:hAnsiTheme="majorHAnsi" w:cstheme="majorHAnsi"/>
        </w:rPr>
        <w:t>, 298, p. 126781. Available at: https://doi.org/10.1016/j.jclepro.2021.126781.</w:t>
      </w:r>
      <w:r w:rsidRPr="0089105D">
        <w:rPr>
          <w:rStyle w:val="apple-converted-space"/>
          <w:rFonts w:asciiTheme="majorHAnsi" w:eastAsiaTheme="majorEastAsia" w:hAnsiTheme="majorHAnsi" w:cstheme="majorHAnsi"/>
        </w:rPr>
        <w:t> </w:t>
      </w:r>
    </w:p>
    <w:p w14:paraId="59EBE96A" w14:textId="77777777" w:rsidR="00DA6076" w:rsidRPr="0089105D" w:rsidRDefault="00DA6076" w:rsidP="003B2CAA">
      <w:pPr>
        <w:pStyle w:val="NormalWeb"/>
        <w:ind w:left="567" w:hanging="567"/>
        <w:rPr>
          <w:rStyle w:val="apple-converted-space"/>
          <w:rFonts w:asciiTheme="majorHAnsi" w:eastAsiaTheme="majorEastAsia" w:hAnsiTheme="majorHAnsi" w:cstheme="majorHAnsi"/>
        </w:rPr>
      </w:pPr>
      <w:proofErr w:type="spellStart"/>
      <w:r w:rsidRPr="0089105D">
        <w:rPr>
          <w:rFonts w:asciiTheme="majorHAnsi" w:hAnsiTheme="majorHAnsi" w:cstheme="majorHAnsi"/>
        </w:rPr>
        <w:t>Engebretsen</w:t>
      </w:r>
      <w:proofErr w:type="spellEnd"/>
      <w:r w:rsidRPr="0089105D">
        <w:rPr>
          <w:rFonts w:asciiTheme="majorHAnsi" w:hAnsiTheme="majorHAnsi" w:cstheme="majorHAnsi"/>
        </w:rPr>
        <w:t xml:space="preserve">, E., </w:t>
      </w:r>
      <w:proofErr w:type="spellStart"/>
      <w:r w:rsidRPr="0089105D">
        <w:rPr>
          <w:rFonts w:asciiTheme="majorHAnsi" w:hAnsiTheme="majorHAnsi" w:cstheme="majorHAnsi"/>
        </w:rPr>
        <w:t>Heggen</w:t>
      </w:r>
      <w:proofErr w:type="spellEnd"/>
      <w:r w:rsidRPr="0089105D">
        <w:rPr>
          <w:rFonts w:asciiTheme="majorHAnsi" w:hAnsiTheme="majorHAnsi" w:cstheme="majorHAnsi"/>
        </w:rPr>
        <w:t xml:space="preserve">, K. and </w:t>
      </w:r>
      <w:proofErr w:type="spellStart"/>
      <w:r w:rsidRPr="0089105D">
        <w:rPr>
          <w:rFonts w:asciiTheme="majorHAnsi" w:hAnsiTheme="majorHAnsi" w:cstheme="majorHAnsi"/>
        </w:rPr>
        <w:t>Ottersen</w:t>
      </w:r>
      <w:proofErr w:type="spellEnd"/>
      <w:r w:rsidRPr="0089105D">
        <w:rPr>
          <w:rFonts w:asciiTheme="majorHAnsi" w:hAnsiTheme="majorHAnsi" w:cstheme="majorHAnsi"/>
        </w:rPr>
        <w:t>, O.P. (2017) “The Sustainable Development Goals: Ambiguities of Accountability,”</w:t>
      </w:r>
      <w:r w:rsidRPr="0089105D">
        <w:rPr>
          <w:rStyle w:val="apple-converted-space"/>
          <w:rFonts w:asciiTheme="majorHAnsi" w:eastAsiaTheme="majorEastAsia" w:hAnsiTheme="majorHAnsi" w:cstheme="majorHAnsi"/>
        </w:rPr>
        <w:t> </w:t>
      </w:r>
      <w:r w:rsidRPr="0089105D">
        <w:rPr>
          <w:rFonts w:asciiTheme="majorHAnsi" w:hAnsiTheme="majorHAnsi" w:cstheme="majorHAnsi"/>
          <w:i/>
          <w:iCs/>
        </w:rPr>
        <w:t>The Lancet</w:t>
      </w:r>
      <w:r w:rsidRPr="0089105D">
        <w:rPr>
          <w:rFonts w:asciiTheme="majorHAnsi" w:hAnsiTheme="majorHAnsi" w:cstheme="majorHAnsi"/>
        </w:rPr>
        <w:t>, 389(10067), p. 365. Available at: https://doi.org/10.1016/s0140-6736(17)30152-6.</w:t>
      </w:r>
      <w:r w:rsidRPr="0089105D">
        <w:rPr>
          <w:rStyle w:val="apple-converted-space"/>
          <w:rFonts w:asciiTheme="majorHAnsi" w:eastAsiaTheme="majorEastAsia" w:hAnsiTheme="majorHAnsi" w:cstheme="majorHAnsi"/>
        </w:rPr>
        <w:t> </w:t>
      </w:r>
    </w:p>
    <w:p w14:paraId="4A6671C1" w14:textId="77777777" w:rsidR="00DA6076" w:rsidRPr="0089105D" w:rsidRDefault="00DA6076" w:rsidP="003B2CAA">
      <w:pPr>
        <w:pStyle w:val="NormalWeb"/>
        <w:ind w:left="567" w:hanging="567"/>
        <w:rPr>
          <w:rFonts w:asciiTheme="majorHAnsi" w:hAnsiTheme="majorHAnsi" w:cstheme="majorHAnsi"/>
        </w:rPr>
      </w:pPr>
      <w:proofErr w:type="spellStart"/>
      <w:r w:rsidRPr="0089105D">
        <w:rPr>
          <w:rFonts w:asciiTheme="majorHAnsi" w:hAnsiTheme="majorHAnsi" w:cstheme="majorHAnsi"/>
        </w:rPr>
        <w:t>Ferrón</w:t>
      </w:r>
      <w:proofErr w:type="spellEnd"/>
      <w:r w:rsidRPr="0089105D">
        <w:rPr>
          <w:rFonts w:asciiTheme="majorHAnsi" w:hAnsiTheme="majorHAnsi" w:cstheme="majorHAnsi"/>
        </w:rPr>
        <w:t xml:space="preserve"> </w:t>
      </w:r>
      <w:proofErr w:type="spellStart"/>
      <w:r w:rsidRPr="0089105D">
        <w:rPr>
          <w:rFonts w:asciiTheme="majorHAnsi" w:hAnsiTheme="majorHAnsi" w:cstheme="majorHAnsi"/>
        </w:rPr>
        <w:t>Vílchez</w:t>
      </w:r>
      <w:proofErr w:type="spellEnd"/>
      <w:r w:rsidRPr="0089105D">
        <w:rPr>
          <w:rFonts w:asciiTheme="majorHAnsi" w:hAnsiTheme="majorHAnsi" w:cstheme="majorHAnsi"/>
        </w:rPr>
        <w:t xml:space="preserve">, V., Ortega Carrasco, P. and Serrano Bernardo, F.A. (2022) “SDGWASHING: A critical view of the pursuit of </w:t>
      </w:r>
      <w:proofErr w:type="spellStart"/>
      <w:r w:rsidRPr="0089105D">
        <w:rPr>
          <w:rFonts w:asciiTheme="majorHAnsi" w:hAnsiTheme="majorHAnsi" w:cstheme="majorHAnsi"/>
        </w:rPr>
        <w:t>sdgs</w:t>
      </w:r>
      <w:proofErr w:type="spellEnd"/>
      <w:r w:rsidRPr="0089105D">
        <w:rPr>
          <w:rFonts w:asciiTheme="majorHAnsi" w:hAnsiTheme="majorHAnsi" w:cstheme="majorHAnsi"/>
        </w:rPr>
        <w:t xml:space="preserve"> and its relationship with environmental performance,”</w:t>
      </w:r>
      <w:r w:rsidRPr="0089105D">
        <w:rPr>
          <w:rStyle w:val="apple-converted-space"/>
          <w:rFonts w:asciiTheme="majorHAnsi" w:eastAsiaTheme="majorEastAsia" w:hAnsiTheme="majorHAnsi" w:cstheme="majorHAnsi"/>
        </w:rPr>
        <w:t> </w:t>
      </w:r>
      <w:r w:rsidRPr="0089105D">
        <w:rPr>
          <w:rFonts w:asciiTheme="majorHAnsi" w:hAnsiTheme="majorHAnsi" w:cstheme="majorHAnsi"/>
          <w:i/>
          <w:iCs/>
        </w:rPr>
        <w:t>Journal of Environmental Planning and Management</w:t>
      </w:r>
      <w:r w:rsidRPr="0089105D">
        <w:rPr>
          <w:rFonts w:asciiTheme="majorHAnsi" w:hAnsiTheme="majorHAnsi" w:cstheme="majorHAnsi"/>
        </w:rPr>
        <w:t>, 65(6), pp. 1001–1023. Available at: https://doi.org/10.1080/09640568.2022.2033960.</w:t>
      </w:r>
      <w:r w:rsidRPr="0089105D">
        <w:rPr>
          <w:rStyle w:val="apple-converted-space"/>
          <w:rFonts w:asciiTheme="majorHAnsi" w:eastAsiaTheme="majorEastAsia" w:hAnsiTheme="majorHAnsi" w:cstheme="majorHAnsi"/>
        </w:rPr>
        <w:t> </w:t>
      </w:r>
    </w:p>
    <w:p w14:paraId="5726E8AE" w14:textId="77777777" w:rsidR="00DA6076" w:rsidRPr="0089105D" w:rsidRDefault="00DA6076" w:rsidP="003B2CAA">
      <w:pPr>
        <w:pStyle w:val="NormalWeb"/>
        <w:rPr>
          <w:rFonts w:asciiTheme="majorHAnsi" w:hAnsiTheme="majorHAnsi" w:cstheme="majorHAnsi"/>
        </w:rPr>
      </w:pPr>
      <w:r w:rsidRPr="0089105D">
        <w:rPr>
          <w:rFonts w:asciiTheme="majorHAnsi" w:hAnsiTheme="majorHAnsi" w:cstheme="majorHAnsi"/>
        </w:rPr>
        <w:t xml:space="preserve">Filho, W., </w:t>
      </w:r>
      <w:proofErr w:type="spellStart"/>
      <w:r w:rsidRPr="0089105D">
        <w:rPr>
          <w:rFonts w:asciiTheme="majorHAnsi" w:hAnsiTheme="majorHAnsi" w:cstheme="majorHAnsi"/>
        </w:rPr>
        <w:t>Trevisan</w:t>
      </w:r>
      <w:proofErr w:type="spellEnd"/>
      <w:r w:rsidRPr="0089105D">
        <w:rPr>
          <w:rFonts w:asciiTheme="majorHAnsi" w:hAnsiTheme="majorHAnsi" w:cstheme="majorHAnsi"/>
        </w:rPr>
        <w:t xml:space="preserve">, L. V., </w:t>
      </w:r>
      <w:proofErr w:type="spellStart"/>
      <w:r w:rsidRPr="0089105D">
        <w:rPr>
          <w:rFonts w:asciiTheme="majorHAnsi" w:hAnsiTheme="majorHAnsi" w:cstheme="majorHAnsi"/>
        </w:rPr>
        <w:t>Rampasso</w:t>
      </w:r>
      <w:proofErr w:type="spellEnd"/>
      <w:r w:rsidRPr="0089105D">
        <w:rPr>
          <w:rFonts w:asciiTheme="majorHAnsi" w:hAnsiTheme="majorHAnsi" w:cstheme="majorHAnsi"/>
        </w:rPr>
        <w:t xml:space="preserve">, I. S., </w:t>
      </w:r>
      <w:proofErr w:type="spellStart"/>
      <w:r w:rsidRPr="0089105D">
        <w:rPr>
          <w:rFonts w:asciiTheme="majorHAnsi" w:hAnsiTheme="majorHAnsi" w:cstheme="majorHAnsi"/>
        </w:rPr>
        <w:t>Anholon</w:t>
      </w:r>
      <w:proofErr w:type="spellEnd"/>
      <w:r w:rsidRPr="0089105D">
        <w:rPr>
          <w:rFonts w:asciiTheme="majorHAnsi" w:hAnsiTheme="majorHAnsi" w:cstheme="majorHAnsi"/>
        </w:rPr>
        <w:t xml:space="preserve">, R., </w:t>
      </w:r>
      <w:proofErr w:type="spellStart"/>
      <w:r w:rsidRPr="0089105D">
        <w:rPr>
          <w:rFonts w:asciiTheme="majorHAnsi" w:hAnsiTheme="majorHAnsi" w:cstheme="majorHAnsi"/>
        </w:rPr>
        <w:t>Dinis</w:t>
      </w:r>
      <w:proofErr w:type="spellEnd"/>
      <w:r w:rsidRPr="0089105D">
        <w:rPr>
          <w:rFonts w:asciiTheme="majorHAnsi" w:hAnsiTheme="majorHAnsi" w:cstheme="majorHAnsi"/>
        </w:rPr>
        <w:t xml:space="preserve">, M. A. P., </w:t>
      </w:r>
      <w:proofErr w:type="spellStart"/>
      <w:r w:rsidRPr="0089105D">
        <w:rPr>
          <w:rFonts w:asciiTheme="majorHAnsi" w:hAnsiTheme="majorHAnsi" w:cstheme="majorHAnsi"/>
        </w:rPr>
        <w:t>Brandli</w:t>
      </w:r>
      <w:proofErr w:type="spellEnd"/>
      <w:r w:rsidRPr="0089105D">
        <w:rPr>
          <w:rFonts w:asciiTheme="majorHAnsi" w:hAnsiTheme="majorHAnsi" w:cstheme="majorHAnsi"/>
        </w:rPr>
        <w:t xml:space="preserve">, L. L., Sierra, J., Salvia, A. L., Pretorius, R., </w:t>
      </w:r>
      <w:proofErr w:type="spellStart"/>
      <w:r w:rsidRPr="0089105D">
        <w:rPr>
          <w:rFonts w:asciiTheme="majorHAnsi" w:hAnsiTheme="majorHAnsi" w:cstheme="majorHAnsi"/>
        </w:rPr>
        <w:t>Nicolau</w:t>
      </w:r>
      <w:proofErr w:type="spellEnd"/>
      <w:r w:rsidRPr="0089105D">
        <w:rPr>
          <w:rFonts w:asciiTheme="majorHAnsi" w:hAnsiTheme="majorHAnsi" w:cstheme="majorHAnsi"/>
        </w:rPr>
        <w:t xml:space="preserve">, M., Eustachio, J. H. P., &amp; </w:t>
      </w:r>
      <w:proofErr w:type="spellStart"/>
      <w:r w:rsidRPr="0089105D">
        <w:rPr>
          <w:rFonts w:asciiTheme="majorHAnsi" w:hAnsiTheme="majorHAnsi" w:cstheme="majorHAnsi"/>
        </w:rPr>
        <w:t>Mazutti</w:t>
      </w:r>
      <w:proofErr w:type="spellEnd"/>
      <w:r w:rsidRPr="0089105D">
        <w:rPr>
          <w:rFonts w:asciiTheme="majorHAnsi" w:hAnsiTheme="majorHAnsi" w:cstheme="majorHAnsi"/>
        </w:rPr>
        <w:t>, J. (2023). When the alarm bells ring: Why the UN sustainable development goals may not be achieved by 2030. Journal of Cleaner Production, 407, 137108. https://doi.org/10.1016/j.jclepro.2023.137108</w:t>
      </w:r>
    </w:p>
    <w:p w14:paraId="0AB946D0" w14:textId="77777777" w:rsidR="00DA6076" w:rsidRPr="0089105D" w:rsidRDefault="00DA6076" w:rsidP="003B2CAA">
      <w:pPr>
        <w:pStyle w:val="NormalWeb"/>
        <w:ind w:left="567" w:hanging="567"/>
        <w:rPr>
          <w:rFonts w:asciiTheme="majorHAnsi" w:hAnsiTheme="majorHAnsi" w:cstheme="majorHAnsi"/>
        </w:rPr>
      </w:pPr>
      <w:r w:rsidRPr="0089105D">
        <w:rPr>
          <w:rFonts w:asciiTheme="majorHAnsi" w:hAnsiTheme="majorHAnsi" w:cstheme="majorHAnsi"/>
        </w:rPr>
        <w:t>Friedmann, E. (2016) “An Independent Review and Accountability Mechanism for the Sustainable Development Goals,”</w:t>
      </w:r>
      <w:r w:rsidRPr="0089105D">
        <w:rPr>
          <w:rStyle w:val="apple-converted-space"/>
          <w:rFonts w:asciiTheme="majorHAnsi" w:hAnsiTheme="majorHAnsi" w:cstheme="majorHAnsi"/>
        </w:rPr>
        <w:t> </w:t>
      </w:r>
      <w:r w:rsidRPr="0089105D">
        <w:rPr>
          <w:rFonts w:asciiTheme="majorHAnsi" w:hAnsiTheme="majorHAnsi" w:cstheme="majorHAnsi"/>
          <w:i/>
          <w:iCs/>
        </w:rPr>
        <w:t>Health Human Rights</w:t>
      </w:r>
      <w:r w:rsidRPr="0089105D">
        <w:rPr>
          <w:rStyle w:val="apple-converted-space"/>
          <w:rFonts w:asciiTheme="majorHAnsi" w:hAnsiTheme="majorHAnsi" w:cstheme="majorHAnsi"/>
          <w:i/>
          <w:iCs/>
        </w:rPr>
        <w:t> </w:t>
      </w:r>
      <w:r w:rsidRPr="0089105D">
        <w:rPr>
          <w:rFonts w:asciiTheme="majorHAnsi" w:hAnsiTheme="majorHAnsi" w:cstheme="majorHAnsi"/>
        </w:rPr>
        <w:t>, 18(1).</w:t>
      </w:r>
      <w:r w:rsidRPr="0089105D">
        <w:rPr>
          <w:rStyle w:val="apple-converted-space"/>
          <w:rFonts w:asciiTheme="majorHAnsi" w:hAnsiTheme="majorHAnsi" w:cstheme="majorHAnsi"/>
        </w:rPr>
        <w:t> </w:t>
      </w:r>
    </w:p>
    <w:p w14:paraId="00DE46C0" w14:textId="77777777" w:rsidR="00DA6076" w:rsidRPr="0089105D" w:rsidRDefault="00DA6076" w:rsidP="003B2CAA">
      <w:pPr>
        <w:pStyle w:val="NormalWeb"/>
        <w:ind w:left="567" w:hanging="567"/>
        <w:rPr>
          <w:rStyle w:val="apple-converted-space"/>
          <w:rFonts w:asciiTheme="majorHAnsi" w:eastAsiaTheme="majorEastAsia" w:hAnsiTheme="majorHAnsi" w:cstheme="majorHAnsi"/>
        </w:rPr>
      </w:pPr>
      <w:r w:rsidRPr="0089105D">
        <w:rPr>
          <w:rFonts w:asciiTheme="majorHAnsi" w:hAnsiTheme="majorHAnsi" w:cstheme="majorHAnsi"/>
        </w:rPr>
        <w:t xml:space="preserve">Fukuda‐Parr, S. and McNeill, D. (2019) “Knowledge and politics in setting and measuring the </w:t>
      </w:r>
      <w:proofErr w:type="spellStart"/>
      <w:r w:rsidRPr="0089105D">
        <w:rPr>
          <w:rFonts w:asciiTheme="majorHAnsi" w:hAnsiTheme="majorHAnsi" w:cstheme="majorHAnsi"/>
        </w:rPr>
        <w:t>sdg</w:t>
      </w:r>
      <w:proofErr w:type="spellEnd"/>
      <w:r w:rsidRPr="0089105D">
        <w:rPr>
          <w:rFonts w:asciiTheme="majorHAnsi" w:hAnsiTheme="majorHAnsi" w:cstheme="majorHAnsi"/>
        </w:rPr>
        <w:t xml:space="preserve"> S: Introduction to special issue,”</w:t>
      </w:r>
      <w:r w:rsidRPr="0089105D">
        <w:rPr>
          <w:rStyle w:val="apple-converted-space"/>
          <w:rFonts w:asciiTheme="majorHAnsi" w:eastAsiaTheme="majorEastAsia" w:hAnsiTheme="majorHAnsi" w:cstheme="majorHAnsi"/>
        </w:rPr>
        <w:t> </w:t>
      </w:r>
      <w:r w:rsidRPr="0089105D">
        <w:rPr>
          <w:rFonts w:asciiTheme="majorHAnsi" w:hAnsiTheme="majorHAnsi" w:cstheme="majorHAnsi"/>
          <w:i/>
          <w:iCs/>
        </w:rPr>
        <w:t>Global Policy</w:t>
      </w:r>
      <w:r w:rsidRPr="0089105D">
        <w:rPr>
          <w:rFonts w:asciiTheme="majorHAnsi" w:hAnsiTheme="majorHAnsi" w:cstheme="majorHAnsi"/>
        </w:rPr>
        <w:t>, 10(S1), pp. 5–15. Available at: https://doi.org/10.1111/1758-5899.12604.</w:t>
      </w:r>
      <w:r w:rsidRPr="0089105D">
        <w:rPr>
          <w:rStyle w:val="apple-converted-space"/>
          <w:rFonts w:asciiTheme="majorHAnsi" w:eastAsiaTheme="majorEastAsia" w:hAnsiTheme="majorHAnsi" w:cstheme="majorHAnsi"/>
        </w:rPr>
        <w:t> </w:t>
      </w:r>
    </w:p>
    <w:p w14:paraId="6A4CD52A" w14:textId="77777777" w:rsidR="00DA6076" w:rsidRPr="0089105D" w:rsidRDefault="00DA6076" w:rsidP="003B2CAA">
      <w:pPr>
        <w:pStyle w:val="NormalWeb"/>
        <w:ind w:left="567" w:hanging="567"/>
        <w:rPr>
          <w:rStyle w:val="apple-converted-space"/>
          <w:rFonts w:asciiTheme="majorHAnsi" w:eastAsiaTheme="majorEastAsia" w:hAnsiTheme="majorHAnsi" w:cstheme="majorHAnsi"/>
        </w:rPr>
      </w:pPr>
      <w:r w:rsidRPr="0089105D">
        <w:rPr>
          <w:rStyle w:val="apple-converted-space"/>
          <w:rFonts w:asciiTheme="majorHAnsi" w:eastAsiaTheme="majorEastAsia" w:hAnsiTheme="majorHAnsi" w:cstheme="majorHAnsi"/>
        </w:rPr>
        <w:lastRenderedPageBreak/>
        <w:t xml:space="preserve">Fukuda-Parr, S., &amp; </w:t>
      </w:r>
      <w:proofErr w:type="spellStart"/>
      <w:r w:rsidRPr="0089105D">
        <w:rPr>
          <w:rStyle w:val="apple-converted-space"/>
          <w:rFonts w:asciiTheme="majorHAnsi" w:eastAsiaTheme="majorEastAsia" w:hAnsiTheme="majorHAnsi" w:cstheme="majorHAnsi"/>
        </w:rPr>
        <w:t>Hegstad</w:t>
      </w:r>
      <w:proofErr w:type="spellEnd"/>
      <w:r w:rsidRPr="0089105D">
        <w:rPr>
          <w:rStyle w:val="apple-converted-space"/>
          <w:rFonts w:asciiTheme="majorHAnsi" w:eastAsiaTheme="majorEastAsia" w:hAnsiTheme="majorHAnsi" w:cstheme="majorHAnsi"/>
        </w:rPr>
        <w:t>, T. S. (2018). "Leaving no one behind." UN Committee for Development Policy. UNDESA, New York.</w:t>
      </w:r>
    </w:p>
    <w:p w14:paraId="209AACEA" w14:textId="77777777" w:rsidR="00DA6076" w:rsidRPr="0089105D" w:rsidRDefault="00DA6076" w:rsidP="003B2CAA">
      <w:pPr>
        <w:pStyle w:val="NormalWeb"/>
        <w:ind w:left="567" w:hanging="567"/>
        <w:rPr>
          <w:rStyle w:val="apple-converted-space"/>
          <w:rFonts w:asciiTheme="majorHAnsi" w:hAnsiTheme="majorHAnsi" w:cstheme="majorHAnsi"/>
        </w:rPr>
      </w:pPr>
      <w:proofErr w:type="spellStart"/>
      <w:r w:rsidRPr="0089105D">
        <w:rPr>
          <w:rStyle w:val="apple-converted-space"/>
          <w:rFonts w:asciiTheme="majorHAnsi" w:hAnsiTheme="majorHAnsi" w:cstheme="majorHAnsi"/>
        </w:rPr>
        <w:t>Gabay</w:t>
      </w:r>
      <w:proofErr w:type="spellEnd"/>
      <w:r w:rsidRPr="0089105D">
        <w:rPr>
          <w:rStyle w:val="apple-converted-space"/>
          <w:rFonts w:asciiTheme="majorHAnsi" w:hAnsiTheme="majorHAnsi" w:cstheme="majorHAnsi"/>
        </w:rPr>
        <w:t xml:space="preserve">, C. and </w:t>
      </w:r>
      <w:proofErr w:type="spellStart"/>
      <w:r w:rsidRPr="0089105D">
        <w:rPr>
          <w:rStyle w:val="apple-converted-space"/>
          <w:rFonts w:asciiTheme="majorHAnsi" w:hAnsiTheme="majorHAnsi" w:cstheme="majorHAnsi"/>
        </w:rPr>
        <w:t>Ilcan</w:t>
      </w:r>
      <w:proofErr w:type="spellEnd"/>
      <w:r w:rsidRPr="0089105D">
        <w:rPr>
          <w:rStyle w:val="apple-converted-space"/>
          <w:rFonts w:asciiTheme="majorHAnsi" w:hAnsiTheme="majorHAnsi" w:cstheme="majorHAnsi"/>
        </w:rPr>
        <w:t>, S. (2017) 'The Affective Politics of the SDG', Globalizations, 14, pp. 468-485.</w:t>
      </w:r>
    </w:p>
    <w:p w14:paraId="68E8473A" w14:textId="77777777" w:rsidR="00DA6076" w:rsidRPr="0089105D" w:rsidRDefault="00DA6076" w:rsidP="003B2CAA">
      <w:pPr>
        <w:pStyle w:val="NormalWeb"/>
        <w:ind w:left="567" w:hanging="567"/>
        <w:rPr>
          <w:rFonts w:asciiTheme="majorHAnsi" w:hAnsiTheme="majorHAnsi" w:cstheme="majorHAnsi"/>
        </w:rPr>
      </w:pPr>
      <w:r w:rsidRPr="0089105D">
        <w:rPr>
          <w:rFonts w:asciiTheme="majorHAnsi" w:hAnsiTheme="majorHAnsi" w:cstheme="majorHAnsi"/>
        </w:rPr>
        <w:t xml:space="preserve">Glass, L.-M. and </w:t>
      </w:r>
      <w:proofErr w:type="spellStart"/>
      <w:r w:rsidRPr="0089105D">
        <w:rPr>
          <w:rFonts w:asciiTheme="majorHAnsi" w:hAnsiTheme="majorHAnsi" w:cstheme="majorHAnsi"/>
        </w:rPr>
        <w:t>Newig</w:t>
      </w:r>
      <w:proofErr w:type="spellEnd"/>
      <w:r w:rsidRPr="0089105D">
        <w:rPr>
          <w:rFonts w:asciiTheme="majorHAnsi" w:hAnsiTheme="majorHAnsi" w:cstheme="majorHAnsi"/>
        </w:rPr>
        <w:t>, J. (2019) “Governance for achieving the Sustainable Development Goals: How important are participation, policy coherence, reflexivity, adaptation and Democratic Institutions?,”</w:t>
      </w:r>
      <w:r w:rsidRPr="0089105D">
        <w:rPr>
          <w:rStyle w:val="apple-converted-space"/>
          <w:rFonts w:asciiTheme="majorHAnsi" w:hAnsiTheme="majorHAnsi" w:cstheme="majorHAnsi"/>
        </w:rPr>
        <w:t> </w:t>
      </w:r>
      <w:r w:rsidRPr="0089105D">
        <w:rPr>
          <w:rFonts w:asciiTheme="majorHAnsi" w:hAnsiTheme="majorHAnsi" w:cstheme="majorHAnsi"/>
          <w:i/>
          <w:iCs/>
        </w:rPr>
        <w:t>Earth System Governance</w:t>
      </w:r>
      <w:r w:rsidRPr="0089105D">
        <w:rPr>
          <w:rFonts w:asciiTheme="majorHAnsi" w:hAnsiTheme="majorHAnsi" w:cstheme="majorHAnsi"/>
        </w:rPr>
        <w:t>, 2, p. 100031. Available at: https://doi.org/10.1016/j.esg.2019.100031.</w:t>
      </w:r>
      <w:r w:rsidRPr="0089105D">
        <w:rPr>
          <w:rStyle w:val="apple-converted-space"/>
          <w:rFonts w:asciiTheme="majorHAnsi" w:hAnsiTheme="majorHAnsi" w:cstheme="majorHAnsi"/>
        </w:rPr>
        <w:t> </w:t>
      </w:r>
    </w:p>
    <w:p w14:paraId="32015B15" w14:textId="77777777" w:rsidR="00DA6076" w:rsidRPr="0089105D" w:rsidRDefault="00DA6076" w:rsidP="003B2CAA">
      <w:pPr>
        <w:pStyle w:val="NormalWeb"/>
        <w:ind w:left="567" w:hanging="567"/>
        <w:rPr>
          <w:rFonts w:asciiTheme="majorHAnsi" w:hAnsiTheme="majorHAnsi" w:cstheme="majorHAnsi"/>
        </w:rPr>
      </w:pPr>
      <w:proofErr w:type="spellStart"/>
      <w:r w:rsidRPr="0089105D">
        <w:rPr>
          <w:rFonts w:asciiTheme="majorHAnsi" w:hAnsiTheme="majorHAnsi" w:cstheme="majorHAnsi"/>
        </w:rPr>
        <w:t>Glazebrook</w:t>
      </w:r>
      <w:proofErr w:type="spellEnd"/>
      <w:r w:rsidRPr="0089105D">
        <w:rPr>
          <w:rFonts w:asciiTheme="majorHAnsi" w:hAnsiTheme="majorHAnsi" w:cstheme="majorHAnsi"/>
        </w:rPr>
        <w:t>, T. (2011). Women and Climate Change: A Case-Study from Northeast Ghana. </w:t>
      </w:r>
      <w:r w:rsidRPr="0089105D">
        <w:rPr>
          <w:rFonts w:asciiTheme="majorHAnsi" w:hAnsiTheme="majorHAnsi" w:cstheme="majorHAnsi"/>
          <w:i/>
          <w:iCs/>
        </w:rPr>
        <w:t>Hypatia</w:t>
      </w:r>
      <w:r w:rsidRPr="0089105D">
        <w:rPr>
          <w:rFonts w:asciiTheme="majorHAnsi" w:hAnsiTheme="majorHAnsi" w:cstheme="majorHAnsi"/>
        </w:rPr>
        <w:t>, </w:t>
      </w:r>
      <w:r w:rsidRPr="0089105D">
        <w:rPr>
          <w:rFonts w:asciiTheme="majorHAnsi" w:hAnsiTheme="majorHAnsi" w:cstheme="majorHAnsi"/>
          <w:i/>
          <w:iCs/>
        </w:rPr>
        <w:t>26</w:t>
      </w:r>
      <w:r w:rsidRPr="0089105D">
        <w:rPr>
          <w:rFonts w:asciiTheme="majorHAnsi" w:hAnsiTheme="majorHAnsi" w:cstheme="majorHAnsi"/>
        </w:rPr>
        <w:t xml:space="preserve">(4), 762–782. </w:t>
      </w:r>
      <w:hyperlink r:id="rId43" w:history="1">
        <w:r w:rsidRPr="0089105D">
          <w:rPr>
            <w:rStyle w:val="Hyperlink"/>
            <w:rFonts w:asciiTheme="majorHAnsi" w:hAnsiTheme="majorHAnsi" w:cstheme="majorHAnsi"/>
            <w:color w:val="auto"/>
          </w:rPr>
          <w:t>http://www.jstor.org/stable/41328879</w:t>
        </w:r>
      </w:hyperlink>
    </w:p>
    <w:p w14:paraId="790FF464" w14:textId="77777777" w:rsidR="00DA6076" w:rsidRPr="0089105D" w:rsidRDefault="00DA6076" w:rsidP="003B2CAA">
      <w:pPr>
        <w:pStyle w:val="NormalWeb"/>
        <w:ind w:left="567" w:hanging="567"/>
        <w:rPr>
          <w:rFonts w:asciiTheme="majorHAnsi" w:hAnsiTheme="majorHAnsi" w:cstheme="majorHAnsi"/>
        </w:rPr>
      </w:pPr>
      <w:r w:rsidRPr="0089105D">
        <w:rPr>
          <w:rFonts w:asciiTheme="majorHAnsi" w:hAnsiTheme="majorHAnsi" w:cstheme="majorHAnsi"/>
        </w:rPr>
        <w:t>Griggs, D.</w:t>
      </w:r>
      <w:r w:rsidRPr="0089105D">
        <w:rPr>
          <w:rStyle w:val="apple-converted-space"/>
          <w:rFonts w:asciiTheme="majorHAnsi" w:hAnsiTheme="majorHAnsi" w:cstheme="majorHAnsi"/>
        </w:rPr>
        <w:t> </w:t>
      </w:r>
      <w:r w:rsidRPr="0089105D">
        <w:rPr>
          <w:rFonts w:asciiTheme="majorHAnsi" w:hAnsiTheme="majorHAnsi" w:cstheme="majorHAnsi"/>
          <w:i/>
          <w:iCs/>
        </w:rPr>
        <w:t>et al.</w:t>
      </w:r>
      <w:r w:rsidRPr="0089105D">
        <w:rPr>
          <w:rStyle w:val="apple-converted-space"/>
          <w:rFonts w:asciiTheme="majorHAnsi" w:hAnsiTheme="majorHAnsi" w:cstheme="majorHAnsi"/>
        </w:rPr>
        <w:t> </w:t>
      </w:r>
      <w:r w:rsidRPr="0089105D">
        <w:rPr>
          <w:rFonts w:asciiTheme="majorHAnsi" w:hAnsiTheme="majorHAnsi" w:cstheme="majorHAnsi"/>
        </w:rPr>
        <w:t>(2013) “Sustainable development goals for people and planet,”</w:t>
      </w:r>
      <w:r w:rsidRPr="0089105D">
        <w:rPr>
          <w:rStyle w:val="apple-converted-space"/>
          <w:rFonts w:asciiTheme="majorHAnsi" w:hAnsiTheme="majorHAnsi" w:cstheme="majorHAnsi"/>
        </w:rPr>
        <w:t> </w:t>
      </w:r>
      <w:r w:rsidRPr="0089105D">
        <w:rPr>
          <w:rFonts w:asciiTheme="majorHAnsi" w:hAnsiTheme="majorHAnsi" w:cstheme="majorHAnsi"/>
          <w:i/>
          <w:iCs/>
        </w:rPr>
        <w:t>Nature</w:t>
      </w:r>
      <w:r w:rsidRPr="0089105D">
        <w:rPr>
          <w:rFonts w:asciiTheme="majorHAnsi" w:hAnsiTheme="majorHAnsi" w:cstheme="majorHAnsi"/>
        </w:rPr>
        <w:t>, 495(7441), pp. 305–307. Available at: https://doi.org/10.1038/495305a.</w:t>
      </w:r>
      <w:r w:rsidRPr="0089105D">
        <w:rPr>
          <w:rStyle w:val="apple-converted-space"/>
          <w:rFonts w:asciiTheme="majorHAnsi" w:hAnsiTheme="majorHAnsi" w:cstheme="majorHAnsi"/>
        </w:rPr>
        <w:t> </w:t>
      </w:r>
    </w:p>
    <w:p w14:paraId="741F9045" w14:textId="77777777" w:rsidR="00DA6076" w:rsidRPr="0089105D" w:rsidRDefault="00DA6076" w:rsidP="003B2CAA">
      <w:pPr>
        <w:pStyle w:val="NormalWeb"/>
        <w:ind w:left="567" w:hanging="567"/>
        <w:rPr>
          <w:rFonts w:asciiTheme="majorHAnsi" w:hAnsiTheme="majorHAnsi" w:cstheme="majorHAnsi"/>
        </w:rPr>
      </w:pPr>
      <w:r w:rsidRPr="0089105D">
        <w:rPr>
          <w:rFonts w:asciiTheme="majorHAnsi" w:hAnsiTheme="majorHAnsi" w:cstheme="majorHAnsi"/>
        </w:rPr>
        <w:t>Griggs, D.</w:t>
      </w:r>
      <w:r w:rsidRPr="0089105D">
        <w:rPr>
          <w:rStyle w:val="apple-converted-space"/>
          <w:rFonts w:asciiTheme="majorHAnsi" w:hAnsiTheme="majorHAnsi" w:cstheme="majorHAnsi"/>
        </w:rPr>
        <w:t> </w:t>
      </w:r>
      <w:r w:rsidRPr="0089105D">
        <w:rPr>
          <w:rFonts w:asciiTheme="majorHAnsi" w:hAnsiTheme="majorHAnsi" w:cstheme="majorHAnsi"/>
          <w:i/>
          <w:iCs/>
        </w:rPr>
        <w:t>et al.</w:t>
      </w:r>
      <w:r w:rsidRPr="0089105D">
        <w:rPr>
          <w:rStyle w:val="apple-converted-space"/>
          <w:rFonts w:asciiTheme="majorHAnsi" w:hAnsiTheme="majorHAnsi" w:cstheme="majorHAnsi"/>
        </w:rPr>
        <w:t> </w:t>
      </w:r>
      <w:r w:rsidRPr="0089105D">
        <w:rPr>
          <w:rFonts w:asciiTheme="majorHAnsi" w:hAnsiTheme="majorHAnsi" w:cstheme="majorHAnsi"/>
        </w:rPr>
        <w:t>(2014) “An integrated framework for sustainable development goals,”</w:t>
      </w:r>
      <w:r w:rsidRPr="0089105D">
        <w:rPr>
          <w:rStyle w:val="apple-converted-space"/>
          <w:rFonts w:asciiTheme="majorHAnsi" w:hAnsiTheme="majorHAnsi" w:cstheme="majorHAnsi"/>
        </w:rPr>
        <w:t> </w:t>
      </w:r>
      <w:r w:rsidRPr="0089105D">
        <w:rPr>
          <w:rFonts w:asciiTheme="majorHAnsi" w:hAnsiTheme="majorHAnsi" w:cstheme="majorHAnsi"/>
          <w:i/>
          <w:iCs/>
        </w:rPr>
        <w:t>Ecology and Society</w:t>
      </w:r>
      <w:r w:rsidRPr="0089105D">
        <w:rPr>
          <w:rFonts w:asciiTheme="majorHAnsi" w:hAnsiTheme="majorHAnsi" w:cstheme="majorHAnsi"/>
        </w:rPr>
        <w:t>, 19(4). Available at: https://doi.org/10.5751/es-07082-190449.</w:t>
      </w:r>
      <w:r w:rsidRPr="0089105D">
        <w:rPr>
          <w:rStyle w:val="apple-converted-space"/>
          <w:rFonts w:asciiTheme="majorHAnsi" w:hAnsiTheme="majorHAnsi" w:cstheme="majorHAnsi"/>
        </w:rPr>
        <w:t> </w:t>
      </w:r>
    </w:p>
    <w:p w14:paraId="79EE8F4A" w14:textId="77777777" w:rsidR="00DA6076" w:rsidRPr="0089105D" w:rsidRDefault="00DA6076" w:rsidP="003B2CAA">
      <w:pPr>
        <w:pStyle w:val="NormalWeb"/>
        <w:ind w:left="567" w:hanging="567"/>
        <w:rPr>
          <w:rFonts w:asciiTheme="majorHAnsi" w:hAnsiTheme="majorHAnsi" w:cstheme="majorHAnsi"/>
        </w:rPr>
      </w:pPr>
      <w:proofErr w:type="spellStart"/>
      <w:r w:rsidRPr="0089105D">
        <w:rPr>
          <w:rFonts w:asciiTheme="majorHAnsi" w:hAnsiTheme="majorHAnsi" w:cstheme="majorHAnsi"/>
        </w:rPr>
        <w:t>Gulseven</w:t>
      </w:r>
      <w:proofErr w:type="spellEnd"/>
      <w:r w:rsidRPr="0089105D">
        <w:rPr>
          <w:rFonts w:asciiTheme="majorHAnsi" w:hAnsiTheme="majorHAnsi" w:cstheme="majorHAnsi"/>
        </w:rPr>
        <w:t>, O. (2020) “Measuring achievements towards SDG 14, life below water, in the United Arab Emirates,”</w:t>
      </w:r>
      <w:r w:rsidRPr="0089105D">
        <w:rPr>
          <w:rStyle w:val="apple-converted-space"/>
          <w:rFonts w:asciiTheme="majorHAnsi" w:hAnsiTheme="majorHAnsi" w:cstheme="majorHAnsi"/>
        </w:rPr>
        <w:t> </w:t>
      </w:r>
      <w:r w:rsidRPr="0089105D">
        <w:rPr>
          <w:rFonts w:asciiTheme="majorHAnsi" w:hAnsiTheme="majorHAnsi" w:cstheme="majorHAnsi"/>
          <w:i/>
          <w:iCs/>
        </w:rPr>
        <w:t>Marine Policy</w:t>
      </w:r>
      <w:r w:rsidRPr="0089105D">
        <w:rPr>
          <w:rFonts w:asciiTheme="majorHAnsi" w:hAnsiTheme="majorHAnsi" w:cstheme="majorHAnsi"/>
        </w:rPr>
        <w:t>, 117, p. 103972. Available at: https://doi.org/10.1016/j.marpol.2020.103972.</w:t>
      </w:r>
      <w:r w:rsidRPr="0089105D">
        <w:rPr>
          <w:rStyle w:val="apple-converted-space"/>
          <w:rFonts w:asciiTheme="majorHAnsi" w:hAnsiTheme="majorHAnsi" w:cstheme="majorHAnsi"/>
        </w:rPr>
        <w:t> </w:t>
      </w:r>
    </w:p>
    <w:p w14:paraId="4FFBFD32" w14:textId="77777777" w:rsidR="00DA6076" w:rsidRPr="0089105D" w:rsidRDefault="00DA6076" w:rsidP="003B2CAA">
      <w:pPr>
        <w:pStyle w:val="NormalWeb"/>
        <w:ind w:left="567" w:hanging="567"/>
        <w:rPr>
          <w:rFonts w:asciiTheme="majorHAnsi" w:hAnsiTheme="majorHAnsi" w:cstheme="majorHAnsi"/>
        </w:rPr>
      </w:pPr>
      <w:r w:rsidRPr="0089105D">
        <w:rPr>
          <w:rFonts w:asciiTheme="majorHAnsi" w:hAnsiTheme="majorHAnsi" w:cstheme="majorHAnsi"/>
        </w:rPr>
        <w:t>Guo, H.</w:t>
      </w:r>
      <w:r w:rsidRPr="0089105D">
        <w:rPr>
          <w:rStyle w:val="apple-converted-space"/>
          <w:rFonts w:asciiTheme="majorHAnsi" w:hAnsiTheme="majorHAnsi" w:cstheme="majorHAnsi"/>
        </w:rPr>
        <w:t> </w:t>
      </w:r>
      <w:r w:rsidRPr="0089105D">
        <w:rPr>
          <w:rFonts w:asciiTheme="majorHAnsi" w:hAnsiTheme="majorHAnsi" w:cstheme="majorHAnsi"/>
          <w:i/>
          <w:iCs/>
        </w:rPr>
        <w:t>et al.</w:t>
      </w:r>
      <w:r w:rsidRPr="0089105D">
        <w:rPr>
          <w:rStyle w:val="apple-converted-space"/>
          <w:rFonts w:asciiTheme="majorHAnsi" w:hAnsiTheme="majorHAnsi" w:cstheme="majorHAnsi"/>
        </w:rPr>
        <w:t> </w:t>
      </w:r>
      <w:r w:rsidRPr="0089105D">
        <w:rPr>
          <w:rFonts w:asciiTheme="majorHAnsi" w:hAnsiTheme="majorHAnsi" w:cstheme="majorHAnsi"/>
        </w:rPr>
        <w:t>(2022) “Measuring and evaluating SDG indicators with Big Earth Data,”</w:t>
      </w:r>
      <w:r w:rsidRPr="0089105D">
        <w:rPr>
          <w:rStyle w:val="apple-converted-space"/>
          <w:rFonts w:asciiTheme="majorHAnsi" w:hAnsiTheme="majorHAnsi" w:cstheme="majorHAnsi"/>
        </w:rPr>
        <w:t> </w:t>
      </w:r>
      <w:r w:rsidRPr="0089105D">
        <w:rPr>
          <w:rFonts w:asciiTheme="majorHAnsi" w:hAnsiTheme="majorHAnsi" w:cstheme="majorHAnsi"/>
          <w:i/>
          <w:iCs/>
        </w:rPr>
        <w:t>Science Bulletin</w:t>
      </w:r>
      <w:r w:rsidRPr="0089105D">
        <w:rPr>
          <w:rFonts w:asciiTheme="majorHAnsi" w:hAnsiTheme="majorHAnsi" w:cstheme="majorHAnsi"/>
        </w:rPr>
        <w:t>, 67(17), pp. 1792–1801. Available at: https://doi.org/10.1016/j.scib.2022.07.015.</w:t>
      </w:r>
      <w:r w:rsidRPr="0089105D">
        <w:rPr>
          <w:rStyle w:val="apple-converted-space"/>
          <w:rFonts w:asciiTheme="majorHAnsi" w:hAnsiTheme="majorHAnsi" w:cstheme="majorHAnsi"/>
        </w:rPr>
        <w:t> </w:t>
      </w:r>
    </w:p>
    <w:p w14:paraId="112D55FC" w14:textId="77777777" w:rsidR="00DA6076" w:rsidRPr="0089105D" w:rsidRDefault="00DA6076" w:rsidP="003B2CAA">
      <w:pPr>
        <w:pStyle w:val="NormalWeb"/>
        <w:ind w:left="567" w:hanging="567"/>
        <w:rPr>
          <w:rFonts w:asciiTheme="majorHAnsi" w:hAnsiTheme="majorHAnsi" w:cstheme="majorHAnsi"/>
        </w:rPr>
      </w:pPr>
      <w:r w:rsidRPr="0089105D">
        <w:rPr>
          <w:rFonts w:asciiTheme="majorHAnsi" w:hAnsiTheme="majorHAnsi" w:cstheme="majorHAnsi"/>
        </w:rPr>
        <w:t>Guppy, L., Mehta, P. and Qadir, M. (2019) “Sustainable development goal 6: Two gaps in the race for indicators,”</w:t>
      </w:r>
      <w:r w:rsidRPr="0089105D">
        <w:rPr>
          <w:rStyle w:val="apple-converted-space"/>
          <w:rFonts w:asciiTheme="majorHAnsi" w:hAnsiTheme="majorHAnsi" w:cstheme="majorHAnsi"/>
        </w:rPr>
        <w:t> </w:t>
      </w:r>
      <w:r w:rsidRPr="0089105D">
        <w:rPr>
          <w:rFonts w:asciiTheme="majorHAnsi" w:hAnsiTheme="majorHAnsi" w:cstheme="majorHAnsi"/>
          <w:i/>
          <w:iCs/>
        </w:rPr>
        <w:t>Sustainability Science</w:t>
      </w:r>
      <w:r w:rsidRPr="0089105D">
        <w:rPr>
          <w:rFonts w:asciiTheme="majorHAnsi" w:hAnsiTheme="majorHAnsi" w:cstheme="majorHAnsi"/>
        </w:rPr>
        <w:t>, 14(2), pp. 501–513. Available at: https://doi.org/10.1007/s11625-018-0649-z.</w:t>
      </w:r>
      <w:r w:rsidRPr="0089105D">
        <w:rPr>
          <w:rStyle w:val="apple-converted-space"/>
          <w:rFonts w:asciiTheme="majorHAnsi" w:hAnsiTheme="majorHAnsi" w:cstheme="majorHAnsi"/>
        </w:rPr>
        <w:t> </w:t>
      </w:r>
    </w:p>
    <w:p w14:paraId="134870D4" w14:textId="77777777" w:rsidR="00DA6076" w:rsidRPr="0089105D" w:rsidRDefault="00DA6076" w:rsidP="003B2CAA">
      <w:pPr>
        <w:pStyle w:val="NormalWeb"/>
        <w:ind w:left="567" w:hanging="567"/>
        <w:rPr>
          <w:rStyle w:val="apple-converted-space"/>
          <w:rFonts w:asciiTheme="majorHAnsi" w:hAnsiTheme="majorHAnsi" w:cstheme="majorHAnsi"/>
        </w:rPr>
      </w:pPr>
      <w:proofErr w:type="spellStart"/>
      <w:r w:rsidRPr="0089105D">
        <w:rPr>
          <w:rFonts w:asciiTheme="majorHAnsi" w:hAnsiTheme="majorHAnsi" w:cstheme="majorHAnsi"/>
        </w:rPr>
        <w:t>Hák</w:t>
      </w:r>
      <w:proofErr w:type="spellEnd"/>
      <w:r w:rsidRPr="0089105D">
        <w:rPr>
          <w:rFonts w:asciiTheme="majorHAnsi" w:hAnsiTheme="majorHAnsi" w:cstheme="majorHAnsi"/>
        </w:rPr>
        <w:t xml:space="preserve">, T., </w:t>
      </w:r>
      <w:proofErr w:type="spellStart"/>
      <w:r w:rsidRPr="0089105D">
        <w:rPr>
          <w:rFonts w:asciiTheme="majorHAnsi" w:hAnsiTheme="majorHAnsi" w:cstheme="majorHAnsi"/>
        </w:rPr>
        <w:t>Janoušková</w:t>
      </w:r>
      <w:proofErr w:type="spellEnd"/>
      <w:r w:rsidRPr="0089105D">
        <w:rPr>
          <w:rFonts w:asciiTheme="majorHAnsi" w:hAnsiTheme="majorHAnsi" w:cstheme="majorHAnsi"/>
        </w:rPr>
        <w:t xml:space="preserve">, S. and </w:t>
      </w:r>
      <w:proofErr w:type="spellStart"/>
      <w:r w:rsidRPr="0089105D">
        <w:rPr>
          <w:rFonts w:asciiTheme="majorHAnsi" w:hAnsiTheme="majorHAnsi" w:cstheme="majorHAnsi"/>
        </w:rPr>
        <w:t>Moldan</w:t>
      </w:r>
      <w:proofErr w:type="spellEnd"/>
      <w:r w:rsidRPr="0089105D">
        <w:rPr>
          <w:rFonts w:asciiTheme="majorHAnsi" w:hAnsiTheme="majorHAnsi" w:cstheme="majorHAnsi"/>
        </w:rPr>
        <w:t>, B. (2016) “Sustainable development goals: A need for relevant indicators,”</w:t>
      </w:r>
      <w:r w:rsidRPr="0089105D">
        <w:rPr>
          <w:rStyle w:val="apple-converted-space"/>
          <w:rFonts w:asciiTheme="majorHAnsi" w:hAnsiTheme="majorHAnsi" w:cstheme="majorHAnsi"/>
        </w:rPr>
        <w:t> </w:t>
      </w:r>
      <w:r w:rsidRPr="0089105D">
        <w:rPr>
          <w:rFonts w:asciiTheme="majorHAnsi" w:hAnsiTheme="majorHAnsi" w:cstheme="majorHAnsi"/>
          <w:i/>
          <w:iCs/>
        </w:rPr>
        <w:t>Ecological Indicators</w:t>
      </w:r>
      <w:r w:rsidRPr="0089105D">
        <w:rPr>
          <w:rFonts w:asciiTheme="majorHAnsi" w:hAnsiTheme="majorHAnsi" w:cstheme="majorHAnsi"/>
        </w:rPr>
        <w:t xml:space="preserve">, 60, pp. 565–573. Available at: </w:t>
      </w:r>
      <w:hyperlink r:id="rId44" w:history="1">
        <w:r w:rsidRPr="0089105D">
          <w:rPr>
            <w:rStyle w:val="Hyperlink"/>
            <w:rFonts w:asciiTheme="majorHAnsi" w:hAnsiTheme="majorHAnsi" w:cstheme="majorHAnsi"/>
            <w:color w:val="auto"/>
          </w:rPr>
          <w:t>https://doi.org/10.1016/j.ecolind.2015.08.003</w:t>
        </w:r>
      </w:hyperlink>
      <w:r w:rsidRPr="0089105D">
        <w:rPr>
          <w:rFonts w:asciiTheme="majorHAnsi" w:hAnsiTheme="majorHAnsi" w:cstheme="majorHAnsi"/>
        </w:rPr>
        <w:t>.</w:t>
      </w:r>
      <w:r w:rsidRPr="0089105D">
        <w:rPr>
          <w:rStyle w:val="apple-converted-space"/>
          <w:rFonts w:asciiTheme="majorHAnsi" w:hAnsiTheme="majorHAnsi" w:cstheme="majorHAnsi"/>
        </w:rPr>
        <w:t> </w:t>
      </w:r>
    </w:p>
    <w:p w14:paraId="5D1D250B" w14:textId="77777777" w:rsidR="00DA6076" w:rsidRPr="00DA6076" w:rsidRDefault="00DA6076" w:rsidP="003B2CAA">
      <w:pPr>
        <w:pStyle w:val="NormalWeb"/>
        <w:ind w:left="567" w:hanging="567"/>
        <w:rPr>
          <w:rFonts w:asciiTheme="majorHAnsi" w:hAnsiTheme="majorHAnsi" w:cstheme="majorHAnsi"/>
          <w:color w:val="000000"/>
        </w:rPr>
      </w:pPr>
      <w:proofErr w:type="spellStart"/>
      <w:r w:rsidRPr="0089105D">
        <w:rPr>
          <w:rFonts w:asciiTheme="majorHAnsi" w:hAnsiTheme="majorHAnsi" w:cstheme="majorHAnsi"/>
        </w:rPr>
        <w:t>Hangoma</w:t>
      </w:r>
      <w:proofErr w:type="spellEnd"/>
      <w:r w:rsidRPr="0089105D">
        <w:rPr>
          <w:rFonts w:asciiTheme="majorHAnsi" w:hAnsiTheme="majorHAnsi" w:cstheme="majorHAnsi"/>
        </w:rPr>
        <w:t xml:space="preserve">, P. and </w:t>
      </w:r>
      <w:proofErr w:type="spellStart"/>
      <w:r w:rsidRPr="0089105D">
        <w:rPr>
          <w:rFonts w:asciiTheme="majorHAnsi" w:hAnsiTheme="majorHAnsi" w:cstheme="majorHAnsi"/>
        </w:rPr>
        <w:t>Surgey</w:t>
      </w:r>
      <w:proofErr w:type="spellEnd"/>
      <w:r w:rsidRPr="0089105D">
        <w:rPr>
          <w:rFonts w:asciiTheme="majorHAnsi" w:hAnsiTheme="majorHAnsi" w:cstheme="majorHAnsi"/>
        </w:rPr>
        <w:t xml:space="preserve">, G. (2019) “Contradictions </w:t>
      </w:r>
      <w:r w:rsidRPr="00DA6076">
        <w:rPr>
          <w:rFonts w:asciiTheme="majorHAnsi" w:hAnsiTheme="majorHAnsi" w:cstheme="majorHAnsi"/>
          <w:color w:val="000000"/>
        </w:rPr>
        <w:t xml:space="preserve">within the </w:t>
      </w:r>
      <w:proofErr w:type="spellStart"/>
      <w:r w:rsidRPr="00DA6076">
        <w:rPr>
          <w:rFonts w:asciiTheme="majorHAnsi" w:hAnsiTheme="majorHAnsi" w:cstheme="majorHAnsi"/>
          <w:color w:val="000000"/>
        </w:rPr>
        <w:t>sdgs</w:t>
      </w:r>
      <w:proofErr w:type="spellEnd"/>
      <w:r w:rsidRPr="00DA6076">
        <w:rPr>
          <w:rFonts w:asciiTheme="majorHAnsi" w:hAnsiTheme="majorHAnsi" w:cstheme="majorHAnsi"/>
          <w:color w:val="000000"/>
        </w:rPr>
        <w:t>: Are sin taxes for Health Improvement at odds with employment and economic growth in Zambia,”</w:t>
      </w:r>
      <w:r w:rsidRPr="00DA6076">
        <w:rPr>
          <w:rStyle w:val="apple-converted-space"/>
          <w:rFonts w:asciiTheme="majorHAnsi" w:eastAsiaTheme="majorEastAsia" w:hAnsiTheme="majorHAnsi" w:cstheme="majorHAnsi"/>
          <w:color w:val="000000"/>
        </w:rPr>
        <w:t> </w:t>
      </w:r>
      <w:r w:rsidRPr="00DA6076">
        <w:rPr>
          <w:rFonts w:asciiTheme="majorHAnsi" w:hAnsiTheme="majorHAnsi" w:cstheme="majorHAnsi"/>
          <w:i/>
          <w:iCs/>
          <w:color w:val="000000"/>
        </w:rPr>
        <w:t>Globalization and Health</w:t>
      </w:r>
      <w:r w:rsidRPr="00DA6076">
        <w:rPr>
          <w:rFonts w:asciiTheme="majorHAnsi" w:hAnsiTheme="majorHAnsi" w:cstheme="majorHAnsi"/>
          <w:color w:val="000000"/>
        </w:rPr>
        <w:t>, 15(1). Available at: https://doi.org/10.1186/s12992-019-0510-x.</w:t>
      </w:r>
      <w:r w:rsidRPr="00DA6076">
        <w:rPr>
          <w:rStyle w:val="apple-converted-space"/>
          <w:rFonts w:asciiTheme="majorHAnsi" w:eastAsiaTheme="majorEastAsia" w:hAnsiTheme="majorHAnsi" w:cstheme="majorHAnsi"/>
          <w:color w:val="000000"/>
        </w:rPr>
        <w:t> </w:t>
      </w:r>
    </w:p>
    <w:p w14:paraId="42230165" w14:textId="77777777" w:rsidR="00DA6076" w:rsidRPr="00DA6076" w:rsidRDefault="00DA6076" w:rsidP="003B2CAA">
      <w:pPr>
        <w:pStyle w:val="NormalWeb"/>
        <w:ind w:left="567" w:hanging="567"/>
        <w:rPr>
          <w:rFonts w:asciiTheme="majorHAnsi" w:hAnsiTheme="majorHAnsi" w:cstheme="majorHAnsi"/>
          <w:color w:val="000000"/>
        </w:rPr>
      </w:pPr>
      <w:r w:rsidRPr="00DA6076">
        <w:rPr>
          <w:rFonts w:asciiTheme="majorHAnsi" w:hAnsiTheme="majorHAnsi" w:cstheme="majorHAnsi"/>
          <w:color w:val="000000"/>
        </w:rPr>
        <w:t>Hickel, J. (2019) “The contradiction of the Sustainable Development Goals: Growth Versus Ecology on a finite planet,”</w:t>
      </w:r>
      <w:r w:rsidRPr="00DA6076">
        <w:rPr>
          <w:rStyle w:val="apple-converted-space"/>
          <w:rFonts w:asciiTheme="majorHAnsi" w:eastAsiaTheme="majorEastAsia" w:hAnsiTheme="majorHAnsi" w:cstheme="majorHAnsi"/>
          <w:color w:val="000000"/>
        </w:rPr>
        <w:t> </w:t>
      </w:r>
      <w:r w:rsidRPr="00DA6076">
        <w:rPr>
          <w:rFonts w:asciiTheme="majorHAnsi" w:hAnsiTheme="majorHAnsi" w:cstheme="majorHAnsi"/>
          <w:i/>
          <w:iCs/>
          <w:color w:val="000000"/>
        </w:rPr>
        <w:t>Sustainable Development</w:t>
      </w:r>
      <w:r w:rsidRPr="00DA6076">
        <w:rPr>
          <w:rFonts w:asciiTheme="majorHAnsi" w:hAnsiTheme="majorHAnsi" w:cstheme="majorHAnsi"/>
          <w:color w:val="000000"/>
        </w:rPr>
        <w:t>, 27(5), pp. 873–884. Available at: https://doi.org/10.1002/sd.1947.</w:t>
      </w:r>
      <w:r w:rsidRPr="00DA6076">
        <w:rPr>
          <w:rStyle w:val="apple-converted-space"/>
          <w:rFonts w:asciiTheme="majorHAnsi" w:eastAsiaTheme="majorEastAsia" w:hAnsiTheme="majorHAnsi" w:cstheme="majorHAnsi"/>
          <w:color w:val="000000"/>
        </w:rPr>
        <w:t> </w:t>
      </w:r>
    </w:p>
    <w:p w14:paraId="53F956D5" w14:textId="77777777" w:rsidR="00DA6076" w:rsidRPr="00DA6076" w:rsidRDefault="00DA6076" w:rsidP="003B2CAA">
      <w:pPr>
        <w:pStyle w:val="NormalWeb"/>
        <w:ind w:left="567" w:hanging="567"/>
        <w:rPr>
          <w:rFonts w:asciiTheme="majorHAnsi" w:hAnsiTheme="majorHAnsi" w:cstheme="majorHAnsi"/>
          <w:color w:val="000000"/>
        </w:rPr>
      </w:pPr>
      <w:r w:rsidRPr="00DA6076">
        <w:rPr>
          <w:rFonts w:asciiTheme="majorHAnsi" w:hAnsiTheme="majorHAnsi" w:cstheme="majorHAnsi"/>
          <w:color w:val="000000"/>
        </w:rPr>
        <w:t xml:space="preserve">Hickel, J. (2020) “The sustainable development index: Measuring the ecological efficiency of human development in the </w:t>
      </w:r>
      <w:proofErr w:type="spellStart"/>
      <w:r w:rsidRPr="00DA6076">
        <w:rPr>
          <w:rFonts w:asciiTheme="majorHAnsi" w:hAnsiTheme="majorHAnsi" w:cstheme="majorHAnsi"/>
          <w:color w:val="000000"/>
        </w:rPr>
        <w:t>anthropocene</w:t>
      </w:r>
      <w:proofErr w:type="spellEnd"/>
      <w:r w:rsidRPr="00DA6076">
        <w:rPr>
          <w:rFonts w:asciiTheme="majorHAnsi" w:hAnsiTheme="majorHAnsi" w:cstheme="majorHAnsi"/>
          <w:color w:val="000000"/>
        </w:rPr>
        <w:t>,”</w:t>
      </w:r>
      <w:r w:rsidRPr="00DA6076">
        <w:rPr>
          <w:rStyle w:val="apple-converted-space"/>
          <w:rFonts w:asciiTheme="majorHAnsi" w:hAnsiTheme="majorHAnsi" w:cstheme="majorHAnsi"/>
          <w:color w:val="000000"/>
        </w:rPr>
        <w:t> </w:t>
      </w:r>
      <w:r w:rsidRPr="00DA6076">
        <w:rPr>
          <w:rFonts w:asciiTheme="majorHAnsi" w:hAnsiTheme="majorHAnsi" w:cstheme="majorHAnsi"/>
          <w:i/>
          <w:iCs/>
          <w:color w:val="000000"/>
        </w:rPr>
        <w:t>Ecological Economics</w:t>
      </w:r>
      <w:r w:rsidRPr="00DA6076">
        <w:rPr>
          <w:rFonts w:asciiTheme="majorHAnsi" w:hAnsiTheme="majorHAnsi" w:cstheme="majorHAnsi"/>
          <w:color w:val="000000"/>
        </w:rPr>
        <w:t>, 167, p. 106331. Available at: https://doi.org/10.1016/j.ecolecon.2019.05.011.</w:t>
      </w:r>
      <w:r w:rsidRPr="00DA6076">
        <w:rPr>
          <w:rStyle w:val="apple-converted-space"/>
          <w:rFonts w:asciiTheme="majorHAnsi" w:hAnsiTheme="majorHAnsi" w:cstheme="majorHAnsi"/>
          <w:color w:val="000000"/>
        </w:rPr>
        <w:t> </w:t>
      </w:r>
    </w:p>
    <w:p w14:paraId="1F850CBC" w14:textId="77777777" w:rsidR="00DA6076" w:rsidRPr="00DA6076" w:rsidRDefault="00DA6076" w:rsidP="003B2CAA">
      <w:pPr>
        <w:pStyle w:val="NormalWeb"/>
        <w:ind w:left="567" w:hanging="567"/>
        <w:rPr>
          <w:rFonts w:asciiTheme="majorHAnsi" w:hAnsiTheme="majorHAnsi" w:cstheme="majorHAnsi"/>
          <w:color w:val="000000"/>
        </w:rPr>
      </w:pPr>
      <w:r w:rsidRPr="00DA6076">
        <w:rPr>
          <w:rFonts w:asciiTheme="majorHAnsi" w:hAnsiTheme="majorHAnsi" w:cstheme="majorHAnsi"/>
          <w:color w:val="000000"/>
        </w:rPr>
        <w:lastRenderedPageBreak/>
        <w:t xml:space="preserve">Hunt P. </w:t>
      </w:r>
      <w:r w:rsidRPr="00DA6076">
        <w:rPr>
          <w:rFonts w:asciiTheme="majorHAnsi" w:hAnsiTheme="majorHAnsi" w:cstheme="majorHAnsi"/>
          <w:color w:val="000000"/>
          <w:lang w:val="en-GB"/>
        </w:rPr>
        <w:t xml:space="preserve">(2015) </w:t>
      </w:r>
      <w:r w:rsidRPr="00DA6076">
        <w:rPr>
          <w:rFonts w:asciiTheme="majorHAnsi" w:hAnsiTheme="majorHAnsi" w:cstheme="majorHAnsi"/>
          <w:color w:val="000000"/>
        </w:rPr>
        <w:t>“SDGs and the importance of formal independent review: An opportunity for health to lead the way,” </w:t>
      </w:r>
      <w:r w:rsidRPr="00DA6076">
        <w:rPr>
          <w:rFonts w:asciiTheme="majorHAnsi" w:hAnsiTheme="majorHAnsi" w:cstheme="majorHAnsi"/>
          <w:i/>
          <w:iCs/>
          <w:color w:val="000000"/>
        </w:rPr>
        <w:t>Health and Human Rights. </w:t>
      </w:r>
      <w:r w:rsidRPr="00DA6076">
        <w:rPr>
          <w:rFonts w:asciiTheme="majorHAnsi" w:hAnsiTheme="majorHAnsi" w:cstheme="majorHAnsi"/>
          <w:color w:val="000000"/>
        </w:rPr>
        <w:t xml:space="preserve"> 2; </w:t>
      </w:r>
      <w:hyperlink r:id="rId45" w:tgtFrame="_blank" w:history="1">
        <w:r w:rsidRPr="00DA6076">
          <w:rPr>
            <w:rStyle w:val="Hyperlink"/>
            <w:rFonts w:asciiTheme="majorHAnsi" w:hAnsiTheme="majorHAnsi" w:cstheme="majorHAnsi"/>
          </w:rPr>
          <w:t>http://www.hhrjournal.org/2015/09/02/sdg-series-sdgs-and-the-importance-of-formal-independent-review-an-opportunity-for-health-to-lead-the-way/</w:t>
        </w:r>
      </w:hyperlink>
      <w:r w:rsidRPr="00DA6076">
        <w:rPr>
          <w:rFonts w:asciiTheme="majorHAnsi" w:hAnsiTheme="majorHAnsi" w:cstheme="majorHAnsi"/>
          <w:color w:val="000000"/>
        </w:rPr>
        <w:t> SDG Series blog. Available at.</w:t>
      </w:r>
    </w:p>
    <w:p w14:paraId="4E465C97" w14:textId="77777777" w:rsidR="00DA6076" w:rsidRPr="00DA6076" w:rsidRDefault="00DA6076" w:rsidP="003B2CAA">
      <w:pPr>
        <w:pStyle w:val="NormalWeb"/>
        <w:ind w:left="567" w:hanging="567"/>
        <w:rPr>
          <w:rFonts w:asciiTheme="majorHAnsi" w:hAnsiTheme="majorHAnsi" w:cstheme="majorHAnsi"/>
          <w:color w:val="000000"/>
        </w:rPr>
      </w:pPr>
      <w:proofErr w:type="spellStart"/>
      <w:r w:rsidRPr="00DA6076">
        <w:rPr>
          <w:rFonts w:asciiTheme="majorHAnsi" w:hAnsiTheme="majorHAnsi" w:cstheme="majorHAnsi"/>
          <w:color w:val="000000"/>
        </w:rPr>
        <w:t>Iacobuţă</w:t>
      </w:r>
      <w:proofErr w:type="spellEnd"/>
      <w:r w:rsidRPr="00DA6076">
        <w:rPr>
          <w:rFonts w:asciiTheme="majorHAnsi" w:hAnsiTheme="majorHAnsi" w:cstheme="majorHAnsi"/>
          <w:color w:val="000000"/>
        </w:rPr>
        <w:t>, G.I.</w:t>
      </w:r>
      <w:r w:rsidRPr="00DA6076">
        <w:rPr>
          <w:rStyle w:val="apple-converted-space"/>
          <w:rFonts w:asciiTheme="majorHAnsi" w:eastAsiaTheme="majorEastAsia" w:hAnsiTheme="majorHAnsi" w:cstheme="majorHAnsi"/>
          <w:color w:val="000000"/>
        </w:rPr>
        <w:t> </w:t>
      </w:r>
      <w:r w:rsidRPr="00DA6076">
        <w:rPr>
          <w:rFonts w:asciiTheme="majorHAnsi" w:hAnsiTheme="majorHAnsi" w:cstheme="majorHAnsi"/>
          <w:i/>
          <w:iCs/>
          <w:color w:val="000000"/>
        </w:rPr>
        <w:t>et al.</w:t>
      </w:r>
      <w:r w:rsidRPr="00DA6076">
        <w:rPr>
          <w:rStyle w:val="apple-converted-space"/>
          <w:rFonts w:asciiTheme="majorHAnsi" w:eastAsiaTheme="majorEastAsia" w:hAnsiTheme="majorHAnsi" w:cstheme="majorHAnsi"/>
          <w:color w:val="000000"/>
        </w:rPr>
        <w:t> </w:t>
      </w:r>
      <w:r w:rsidRPr="00DA6076">
        <w:rPr>
          <w:rFonts w:asciiTheme="majorHAnsi" w:hAnsiTheme="majorHAnsi" w:cstheme="majorHAnsi"/>
          <w:color w:val="000000"/>
        </w:rPr>
        <w:t>(2022) “Aligning climate and sustainable development finance through an SDG lens. the role of Development Assistance in implementing the Paris Agreement,”</w:t>
      </w:r>
      <w:r w:rsidRPr="00DA6076">
        <w:rPr>
          <w:rStyle w:val="apple-converted-space"/>
          <w:rFonts w:asciiTheme="majorHAnsi" w:eastAsiaTheme="majorEastAsia" w:hAnsiTheme="majorHAnsi" w:cstheme="majorHAnsi"/>
          <w:color w:val="000000"/>
        </w:rPr>
        <w:t> </w:t>
      </w:r>
      <w:r w:rsidRPr="00DA6076">
        <w:rPr>
          <w:rFonts w:asciiTheme="majorHAnsi" w:hAnsiTheme="majorHAnsi" w:cstheme="majorHAnsi"/>
          <w:i/>
          <w:iCs/>
          <w:color w:val="000000"/>
        </w:rPr>
        <w:t>Global Environmental Change</w:t>
      </w:r>
      <w:r w:rsidRPr="00DA6076">
        <w:rPr>
          <w:rFonts w:asciiTheme="majorHAnsi" w:hAnsiTheme="majorHAnsi" w:cstheme="majorHAnsi"/>
          <w:color w:val="000000"/>
        </w:rPr>
        <w:t>, 74, p. 102509. Available at: https://doi.org/10.1016/j.gloenvcha.2022.102509.</w:t>
      </w:r>
      <w:r w:rsidRPr="00DA6076">
        <w:rPr>
          <w:rStyle w:val="apple-converted-space"/>
          <w:rFonts w:asciiTheme="majorHAnsi" w:eastAsiaTheme="majorEastAsia" w:hAnsiTheme="majorHAnsi" w:cstheme="majorHAnsi"/>
          <w:color w:val="000000"/>
        </w:rPr>
        <w:t> </w:t>
      </w:r>
    </w:p>
    <w:p w14:paraId="7C5AF3F4" w14:textId="77777777" w:rsidR="00DA6076" w:rsidRPr="00DA6076" w:rsidRDefault="00DA6076" w:rsidP="003B2CAA">
      <w:pPr>
        <w:pStyle w:val="NormalWeb"/>
        <w:ind w:left="567" w:hanging="567"/>
        <w:rPr>
          <w:rFonts w:asciiTheme="majorHAnsi" w:hAnsiTheme="majorHAnsi" w:cstheme="majorHAnsi"/>
          <w:color w:val="000000"/>
        </w:rPr>
      </w:pPr>
      <w:proofErr w:type="spellStart"/>
      <w:r w:rsidRPr="00DA6076">
        <w:rPr>
          <w:rFonts w:asciiTheme="majorHAnsi" w:hAnsiTheme="majorHAnsi" w:cstheme="majorHAnsi"/>
          <w:color w:val="000000"/>
        </w:rPr>
        <w:t>Immler</w:t>
      </w:r>
      <w:proofErr w:type="spellEnd"/>
      <w:r w:rsidRPr="00DA6076">
        <w:rPr>
          <w:rFonts w:asciiTheme="majorHAnsi" w:hAnsiTheme="majorHAnsi" w:cstheme="majorHAnsi"/>
          <w:color w:val="000000"/>
        </w:rPr>
        <w:t xml:space="preserve">, N.L. and </w:t>
      </w:r>
      <w:proofErr w:type="spellStart"/>
      <w:r w:rsidRPr="00DA6076">
        <w:rPr>
          <w:rFonts w:asciiTheme="majorHAnsi" w:hAnsiTheme="majorHAnsi" w:cstheme="majorHAnsi"/>
          <w:color w:val="000000"/>
        </w:rPr>
        <w:t>Sakkers</w:t>
      </w:r>
      <w:proofErr w:type="spellEnd"/>
      <w:r w:rsidRPr="00DA6076">
        <w:rPr>
          <w:rFonts w:asciiTheme="majorHAnsi" w:hAnsiTheme="majorHAnsi" w:cstheme="majorHAnsi"/>
          <w:color w:val="000000"/>
        </w:rPr>
        <w:t xml:space="preserve">, H. (2021) “The UN-Sustainable Development Goals Going Local: Learning from </w:t>
      </w:r>
      <w:proofErr w:type="spellStart"/>
      <w:r w:rsidRPr="00DA6076">
        <w:rPr>
          <w:rFonts w:asciiTheme="majorHAnsi" w:hAnsiTheme="majorHAnsi" w:cstheme="majorHAnsi"/>
          <w:color w:val="000000"/>
        </w:rPr>
        <w:t>Localising</w:t>
      </w:r>
      <w:proofErr w:type="spellEnd"/>
      <w:r w:rsidRPr="00DA6076">
        <w:rPr>
          <w:rFonts w:asciiTheme="majorHAnsi" w:hAnsiTheme="majorHAnsi" w:cstheme="majorHAnsi"/>
          <w:color w:val="000000"/>
        </w:rPr>
        <w:t xml:space="preserve"> Human Rights,”</w:t>
      </w:r>
      <w:r w:rsidRPr="00DA6076">
        <w:rPr>
          <w:rStyle w:val="apple-converted-space"/>
          <w:rFonts w:asciiTheme="majorHAnsi" w:eastAsiaTheme="majorEastAsia" w:hAnsiTheme="majorHAnsi" w:cstheme="majorHAnsi"/>
          <w:color w:val="000000"/>
        </w:rPr>
        <w:t> </w:t>
      </w:r>
      <w:r w:rsidRPr="00DA6076">
        <w:rPr>
          <w:rFonts w:asciiTheme="majorHAnsi" w:hAnsiTheme="majorHAnsi" w:cstheme="majorHAnsi"/>
          <w:i/>
          <w:iCs/>
          <w:color w:val="000000"/>
        </w:rPr>
        <w:t>The International Journal of Human Rights</w:t>
      </w:r>
      <w:r w:rsidRPr="00DA6076">
        <w:rPr>
          <w:rFonts w:asciiTheme="majorHAnsi" w:hAnsiTheme="majorHAnsi" w:cstheme="majorHAnsi"/>
          <w:color w:val="000000"/>
        </w:rPr>
        <w:t>, 26(2), pp. 262–284. Available at: https://doi.org/10.1080/13642987.2021.1913411.</w:t>
      </w:r>
      <w:r w:rsidRPr="00DA6076">
        <w:rPr>
          <w:rStyle w:val="apple-converted-space"/>
          <w:rFonts w:asciiTheme="majorHAnsi" w:eastAsiaTheme="majorEastAsia" w:hAnsiTheme="majorHAnsi" w:cstheme="majorHAnsi"/>
          <w:color w:val="000000"/>
        </w:rPr>
        <w:t> </w:t>
      </w:r>
    </w:p>
    <w:p w14:paraId="484DD572" w14:textId="77777777" w:rsidR="00DA6076" w:rsidRPr="00DA6076" w:rsidRDefault="00DA6076" w:rsidP="003B2CAA">
      <w:pPr>
        <w:pStyle w:val="NormalWeb"/>
        <w:ind w:left="567" w:hanging="567"/>
        <w:rPr>
          <w:rFonts w:asciiTheme="majorHAnsi" w:hAnsiTheme="majorHAnsi" w:cstheme="majorHAnsi"/>
          <w:color w:val="000000"/>
        </w:rPr>
      </w:pPr>
      <w:r w:rsidRPr="00DA6076">
        <w:rPr>
          <w:rFonts w:asciiTheme="majorHAnsi" w:hAnsiTheme="majorHAnsi" w:cstheme="majorHAnsi"/>
          <w:color w:val="000000"/>
        </w:rPr>
        <w:t>International Council for Science and International Social Science Council. (2015). Review of Targets for the Sustainable Development Goals: The Science Perspective. Paris: ICSU.</w:t>
      </w:r>
    </w:p>
    <w:p w14:paraId="6D024F5A" w14:textId="77777777" w:rsidR="00DA6076" w:rsidRPr="00DA6076" w:rsidRDefault="00DA6076" w:rsidP="003B2CAA">
      <w:pPr>
        <w:pStyle w:val="NormalWeb"/>
        <w:ind w:left="567" w:hanging="567"/>
        <w:rPr>
          <w:rFonts w:asciiTheme="majorHAnsi" w:hAnsiTheme="majorHAnsi" w:cstheme="majorHAnsi"/>
          <w:color w:val="000000"/>
        </w:rPr>
      </w:pPr>
      <w:proofErr w:type="spellStart"/>
      <w:r w:rsidRPr="00DA6076">
        <w:rPr>
          <w:rFonts w:asciiTheme="majorHAnsi" w:hAnsiTheme="majorHAnsi" w:cstheme="majorHAnsi"/>
          <w:color w:val="000000"/>
        </w:rPr>
        <w:t>Issever</w:t>
      </w:r>
      <w:proofErr w:type="spellEnd"/>
      <w:r w:rsidRPr="00DA6076">
        <w:rPr>
          <w:rFonts w:asciiTheme="majorHAnsi" w:hAnsiTheme="majorHAnsi" w:cstheme="majorHAnsi"/>
          <w:color w:val="000000"/>
        </w:rPr>
        <w:t xml:space="preserve"> </w:t>
      </w:r>
      <w:proofErr w:type="spellStart"/>
      <w:r w:rsidRPr="00DA6076">
        <w:rPr>
          <w:rFonts w:asciiTheme="majorHAnsi" w:hAnsiTheme="majorHAnsi" w:cstheme="majorHAnsi"/>
          <w:color w:val="000000"/>
        </w:rPr>
        <w:t>Grochová</w:t>
      </w:r>
      <w:proofErr w:type="spellEnd"/>
      <w:r w:rsidRPr="00DA6076">
        <w:rPr>
          <w:rFonts w:asciiTheme="majorHAnsi" w:hAnsiTheme="majorHAnsi" w:cstheme="majorHAnsi"/>
          <w:color w:val="000000"/>
        </w:rPr>
        <w:t>, L. and Litzman, M. (2021) “The efficiency in meeting Measurable Sustainable Development Goals,”</w:t>
      </w:r>
      <w:r w:rsidRPr="00DA6076">
        <w:rPr>
          <w:rStyle w:val="apple-converted-space"/>
          <w:rFonts w:asciiTheme="majorHAnsi" w:hAnsiTheme="majorHAnsi" w:cstheme="majorHAnsi"/>
          <w:color w:val="000000"/>
        </w:rPr>
        <w:t> </w:t>
      </w:r>
      <w:r w:rsidRPr="00DA6076">
        <w:rPr>
          <w:rFonts w:asciiTheme="majorHAnsi" w:hAnsiTheme="majorHAnsi" w:cstheme="majorHAnsi"/>
          <w:i/>
          <w:iCs/>
          <w:color w:val="000000"/>
        </w:rPr>
        <w:t>International Journal of Sustainable Development &amp; World Ecology</w:t>
      </w:r>
      <w:r w:rsidRPr="00DA6076">
        <w:rPr>
          <w:rFonts w:asciiTheme="majorHAnsi" w:hAnsiTheme="majorHAnsi" w:cstheme="majorHAnsi"/>
          <w:color w:val="000000"/>
        </w:rPr>
        <w:t>, 28(8), pp. 709–719. Available at: https://doi.org/10.1080/13504509.2021.1882606.</w:t>
      </w:r>
      <w:r w:rsidRPr="00DA6076">
        <w:rPr>
          <w:rStyle w:val="apple-converted-space"/>
          <w:rFonts w:asciiTheme="majorHAnsi" w:hAnsiTheme="majorHAnsi" w:cstheme="majorHAnsi"/>
          <w:color w:val="000000"/>
        </w:rPr>
        <w:t> </w:t>
      </w:r>
    </w:p>
    <w:p w14:paraId="0CAB20D7" w14:textId="77777777" w:rsidR="00DA6076" w:rsidRPr="00DA6076" w:rsidRDefault="00DA6076" w:rsidP="003B2CAA">
      <w:pPr>
        <w:pStyle w:val="NormalWeb"/>
        <w:ind w:left="567" w:hanging="567"/>
        <w:rPr>
          <w:rFonts w:asciiTheme="majorHAnsi" w:hAnsiTheme="majorHAnsi" w:cstheme="majorHAnsi"/>
          <w:color w:val="000000"/>
        </w:rPr>
      </w:pPr>
      <w:r w:rsidRPr="00DA6076">
        <w:rPr>
          <w:rFonts w:asciiTheme="majorHAnsi" w:hAnsiTheme="majorHAnsi" w:cstheme="majorHAnsi"/>
          <w:color w:val="000000"/>
        </w:rPr>
        <w:t>Jacob, A. (2017) “Mind the gap: Analyzing the impact of Data Gap in millennium development goals’ (</w:t>
      </w:r>
      <w:proofErr w:type="spellStart"/>
      <w:r w:rsidRPr="00DA6076">
        <w:rPr>
          <w:rFonts w:asciiTheme="majorHAnsi" w:hAnsiTheme="majorHAnsi" w:cstheme="majorHAnsi"/>
          <w:color w:val="000000"/>
        </w:rPr>
        <w:t>mdgs</w:t>
      </w:r>
      <w:proofErr w:type="spellEnd"/>
      <w:r w:rsidRPr="00DA6076">
        <w:rPr>
          <w:rFonts w:asciiTheme="majorHAnsi" w:hAnsiTheme="majorHAnsi" w:cstheme="majorHAnsi"/>
          <w:color w:val="000000"/>
        </w:rPr>
        <w:t xml:space="preserve">) indicators on the progress toward </w:t>
      </w:r>
      <w:proofErr w:type="spellStart"/>
      <w:r w:rsidRPr="00DA6076">
        <w:rPr>
          <w:rFonts w:asciiTheme="majorHAnsi" w:hAnsiTheme="majorHAnsi" w:cstheme="majorHAnsi"/>
          <w:color w:val="000000"/>
        </w:rPr>
        <w:t>mdgs</w:t>
      </w:r>
      <w:proofErr w:type="spellEnd"/>
      <w:r w:rsidRPr="00DA6076">
        <w:rPr>
          <w:rFonts w:asciiTheme="majorHAnsi" w:hAnsiTheme="majorHAnsi" w:cstheme="majorHAnsi"/>
          <w:color w:val="000000"/>
        </w:rPr>
        <w:t>,”</w:t>
      </w:r>
      <w:r w:rsidRPr="00DA6076">
        <w:rPr>
          <w:rStyle w:val="apple-converted-space"/>
          <w:rFonts w:asciiTheme="majorHAnsi" w:hAnsiTheme="majorHAnsi" w:cstheme="majorHAnsi"/>
          <w:color w:val="000000"/>
        </w:rPr>
        <w:t> </w:t>
      </w:r>
      <w:r w:rsidRPr="00DA6076">
        <w:rPr>
          <w:rFonts w:asciiTheme="majorHAnsi" w:hAnsiTheme="majorHAnsi" w:cstheme="majorHAnsi"/>
          <w:i/>
          <w:iCs/>
          <w:color w:val="000000"/>
        </w:rPr>
        <w:t>World Development</w:t>
      </w:r>
      <w:r w:rsidRPr="00DA6076">
        <w:rPr>
          <w:rFonts w:asciiTheme="majorHAnsi" w:hAnsiTheme="majorHAnsi" w:cstheme="majorHAnsi"/>
          <w:color w:val="000000"/>
        </w:rPr>
        <w:t>, 93, pp. 260–278. Available at: https://doi.org/10.1016/j.worlddev.2016.12.016.</w:t>
      </w:r>
      <w:r w:rsidRPr="00DA6076">
        <w:rPr>
          <w:rStyle w:val="apple-converted-space"/>
          <w:rFonts w:asciiTheme="majorHAnsi" w:hAnsiTheme="majorHAnsi" w:cstheme="majorHAnsi"/>
          <w:color w:val="000000"/>
        </w:rPr>
        <w:t> </w:t>
      </w:r>
    </w:p>
    <w:p w14:paraId="1C179660" w14:textId="77777777" w:rsidR="00DA6076" w:rsidRPr="00DA6076" w:rsidRDefault="00DA6076" w:rsidP="00365466">
      <w:pPr>
        <w:pStyle w:val="NormalWeb"/>
        <w:ind w:left="567" w:hanging="567"/>
        <w:jc w:val="both"/>
        <w:rPr>
          <w:rFonts w:asciiTheme="majorHAnsi" w:hAnsiTheme="majorHAnsi" w:cstheme="majorHAnsi"/>
          <w:color w:val="000000"/>
        </w:rPr>
      </w:pPr>
      <w:r w:rsidRPr="00DA6076">
        <w:rPr>
          <w:rFonts w:asciiTheme="majorHAnsi" w:hAnsiTheme="majorHAnsi" w:cstheme="majorHAnsi"/>
          <w:color w:val="000000"/>
        </w:rPr>
        <w:t>Jacob, A. (2017). Mind the Gap: Analyzing the Impact of Data Gap in Millennium Development Goals’ (MDGs) Indicators on the Progress toward MDGs. World Development, 93(C), 260-278.</w:t>
      </w:r>
    </w:p>
    <w:p w14:paraId="4FF0922D" w14:textId="77777777" w:rsidR="00DA6076" w:rsidRPr="00DA6076" w:rsidRDefault="00DA6076" w:rsidP="003B2CAA">
      <w:pPr>
        <w:pStyle w:val="NormalWeb"/>
        <w:ind w:left="567" w:hanging="567"/>
        <w:rPr>
          <w:rFonts w:asciiTheme="majorHAnsi" w:hAnsiTheme="majorHAnsi" w:cstheme="majorHAnsi"/>
          <w:color w:val="000000"/>
        </w:rPr>
      </w:pPr>
      <w:proofErr w:type="spellStart"/>
      <w:r w:rsidRPr="00DA6076">
        <w:rPr>
          <w:rFonts w:asciiTheme="majorHAnsi" w:hAnsiTheme="majorHAnsi" w:cstheme="majorHAnsi"/>
          <w:color w:val="000000"/>
        </w:rPr>
        <w:t>Janoušková</w:t>
      </w:r>
      <w:proofErr w:type="spellEnd"/>
      <w:r w:rsidRPr="00DA6076">
        <w:rPr>
          <w:rFonts w:asciiTheme="majorHAnsi" w:hAnsiTheme="majorHAnsi" w:cstheme="majorHAnsi"/>
          <w:color w:val="000000"/>
        </w:rPr>
        <w:t xml:space="preserve">, S., </w:t>
      </w:r>
      <w:proofErr w:type="spellStart"/>
      <w:r w:rsidRPr="00DA6076">
        <w:rPr>
          <w:rFonts w:asciiTheme="majorHAnsi" w:hAnsiTheme="majorHAnsi" w:cstheme="majorHAnsi"/>
          <w:color w:val="000000"/>
        </w:rPr>
        <w:t>Hák</w:t>
      </w:r>
      <w:proofErr w:type="spellEnd"/>
      <w:r w:rsidRPr="00DA6076">
        <w:rPr>
          <w:rFonts w:asciiTheme="majorHAnsi" w:hAnsiTheme="majorHAnsi" w:cstheme="majorHAnsi"/>
          <w:color w:val="000000"/>
        </w:rPr>
        <w:t xml:space="preserve">, T. and </w:t>
      </w:r>
      <w:proofErr w:type="spellStart"/>
      <w:r w:rsidRPr="00DA6076">
        <w:rPr>
          <w:rFonts w:asciiTheme="majorHAnsi" w:hAnsiTheme="majorHAnsi" w:cstheme="majorHAnsi"/>
          <w:color w:val="000000"/>
        </w:rPr>
        <w:t>Moldan</w:t>
      </w:r>
      <w:proofErr w:type="spellEnd"/>
      <w:r w:rsidRPr="00DA6076">
        <w:rPr>
          <w:rFonts w:asciiTheme="majorHAnsi" w:hAnsiTheme="majorHAnsi" w:cstheme="majorHAnsi"/>
          <w:color w:val="000000"/>
        </w:rPr>
        <w:t xml:space="preserve">, B. (2018) “Global </w:t>
      </w:r>
      <w:proofErr w:type="spellStart"/>
      <w:r w:rsidRPr="00DA6076">
        <w:rPr>
          <w:rFonts w:asciiTheme="majorHAnsi" w:hAnsiTheme="majorHAnsi" w:cstheme="majorHAnsi"/>
          <w:color w:val="000000"/>
        </w:rPr>
        <w:t>sdgs</w:t>
      </w:r>
      <w:proofErr w:type="spellEnd"/>
      <w:r w:rsidRPr="00DA6076">
        <w:rPr>
          <w:rFonts w:asciiTheme="majorHAnsi" w:hAnsiTheme="majorHAnsi" w:cstheme="majorHAnsi"/>
          <w:color w:val="000000"/>
        </w:rPr>
        <w:t xml:space="preserve"> assessments: Helping or confusing indicators?,”</w:t>
      </w:r>
      <w:r w:rsidRPr="00DA6076">
        <w:rPr>
          <w:rStyle w:val="apple-converted-space"/>
          <w:rFonts w:asciiTheme="majorHAnsi" w:hAnsiTheme="majorHAnsi" w:cstheme="majorHAnsi"/>
          <w:color w:val="000000"/>
        </w:rPr>
        <w:t> </w:t>
      </w:r>
      <w:r w:rsidRPr="00DA6076">
        <w:rPr>
          <w:rFonts w:asciiTheme="majorHAnsi" w:hAnsiTheme="majorHAnsi" w:cstheme="majorHAnsi"/>
          <w:i/>
          <w:iCs/>
          <w:color w:val="000000"/>
        </w:rPr>
        <w:t>Sustainability</w:t>
      </w:r>
      <w:r w:rsidRPr="00DA6076">
        <w:rPr>
          <w:rFonts w:asciiTheme="majorHAnsi" w:hAnsiTheme="majorHAnsi" w:cstheme="majorHAnsi"/>
          <w:color w:val="000000"/>
        </w:rPr>
        <w:t>, 10(5), p. 1540. Available at: https://doi.org/10.3390/su10051540.</w:t>
      </w:r>
      <w:r w:rsidRPr="00DA6076">
        <w:rPr>
          <w:rStyle w:val="apple-converted-space"/>
          <w:rFonts w:asciiTheme="majorHAnsi" w:hAnsiTheme="majorHAnsi" w:cstheme="majorHAnsi"/>
          <w:color w:val="000000"/>
        </w:rPr>
        <w:t> </w:t>
      </w:r>
    </w:p>
    <w:p w14:paraId="5B24B61E" w14:textId="77777777" w:rsidR="00DA6076" w:rsidRPr="00DA6076" w:rsidRDefault="00DA6076" w:rsidP="003B2CAA">
      <w:pPr>
        <w:pStyle w:val="NormalWeb"/>
        <w:ind w:left="567" w:hanging="567"/>
        <w:rPr>
          <w:rFonts w:asciiTheme="majorHAnsi" w:hAnsiTheme="majorHAnsi" w:cstheme="majorHAnsi"/>
          <w:color w:val="000000"/>
        </w:rPr>
      </w:pPr>
      <w:proofErr w:type="spellStart"/>
      <w:r w:rsidRPr="00DA6076">
        <w:rPr>
          <w:rFonts w:asciiTheme="majorHAnsi" w:hAnsiTheme="majorHAnsi" w:cstheme="majorHAnsi"/>
          <w:color w:val="000000"/>
        </w:rPr>
        <w:t>Jin</w:t>
      </w:r>
      <w:proofErr w:type="spellEnd"/>
      <w:r w:rsidRPr="00DA6076">
        <w:rPr>
          <w:rFonts w:asciiTheme="majorHAnsi" w:hAnsiTheme="majorHAnsi" w:cstheme="majorHAnsi"/>
          <w:color w:val="000000"/>
        </w:rPr>
        <w:t>, H.</w:t>
      </w:r>
      <w:r w:rsidRPr="00DA6076">
        <w:rPr>
          <w:rStyle w:val="apple-converted-space"/>
          <w:rFonts w:asciiTheme="majorHAnsi" w:hAnsiTheme="majorHAnsi" w:cstheme="majorHAnsi"/>
          <w:color w:val="000000"/>
        </w:rPr>
        <w:t> </w:t>
      </w:r>
      <w:r w:rsidRPr="00DA6076">
        <w:rPr>
          <w:rFonts w:asciiTheme="majorHAnsi" w:hAnsiTheme="majorHAnsi" w:cstheme="majorHAnsi"/>
          <w:i/>
          <w:iCs/>
          <w:color w:val="000000"/>
        </w:rPr>
        <w:t>et al.</w:t>
      </w:r>
      <w:r w:rsidRPr="00DA6076">
        <w:rPr>
          <w:rStyle w:val="apple-converted-space"/>
          <w:rFonts w:asciiTheme="majorHAnsi" w:hAnsiTheme="majorHAnsi" w:cstheme="majorHAnsi"/>
          <w:color w:val="000000"/>
        </w:rPr>
        <w:t> </w:t>
      </w:r>
      <w:r w:rsidRPr="00DA6076">
        <w:rPr>
          <w:rFonts w:asciiTheme="majorHAnsi" w:hAnsiTheme="majorHAnsi" w:cstheme="majorHAnsi"/>
          <w:color w:val="000000"/>
        </w:rPr>
        <w:t>(2020) “A global assessment of sustainable development based on modification of the human development index via the entropy method,”</w:t>
      </w:r>
      <w:r w:rsidRPr="00DA6076">
        <w:rPr>
          <w:rStyle w:val="apple-converted-space"/>
          <w:rFonts w:asciiTheme="majorHAnsi" w:hAnsiTheme="majorHAnsi" w:cstheme="majorHAnsi"/>
          <w:color w:val="000000"/>
        </w:rPr>
        <w:t> </w:t>
      </w:r>
      <w:r w:rsidRPr="00DA6076">
        <w:rPr>
          <w:rFonts w:asciiTheme="majorHAnsi" w:hAnsiTheme="majorHAnsi" w:cstheme="majorHAnsi"/>
          <w:i/>
          <w:iCs/>
          <w:color w:val="000000"/>
        </w:rPr>
        <w:t>Sustainability</w:t>
      </w:r>
      <w:r w:rsidRPr="00DA6076">
        <w:rPr>
          <w:rFonts w:asciiTheme="majorHAnsi" w:hAnsiTheme="majorHAnsi" w:cstheme="majorHAnsi"/>
          <w:color w:val="000000"/>
        </w:rPr>
        <w:t>, 12(8), p. 3251. Available at: https://doi.org/10.3390/su12083251.</w:t>
      </w:r>
      <w:r w:rsidRPr="00DA6076">
        <w:rPr>
          <w:rStyle w:val="apple-converted-space"/>
          <w:rFonts w:asciiTheme="majorHAnsi" w:hAnsiTheme="majorHAnsi" w:cstheme="majorHAnsi"/>
          <w:color w:val="000000"/>
        </w:rPr>
        <w:t> </w:t>
      </w:r>
    </w:p>
    <w:p w14:paraId="2A6B7AB6" w14:textId="77777777" w:rsidR="00DA6076" w:rsidRPr="00DA6076" w:rsidRDefault="00DA6076" w:rsidP="003B2CAA">
      <w:pPr>
        <w:pStyle w:val="NormalWeb"/>
        <w:ind w:left="567" w:hanging="567"/>
        <w:rPr>
          <w:rFonts w:asciiTheme="majorHAnsi" w:hAnsiTheme="majorHAnsi" w:cstheme="majorHAnsi"/>
          <w:color w:val="000000"/>
        </w:rPr>
      </w:pPr>
      <w:r w:rsidRPr="00DA6076">
        <w:rPr>
          <w:rFonts w:asciiTheme="majorHAnsi" w:hAnsiTheme="majorHAnsi" w:cstheme="majorHAnsi"/>
          <w:color w:val="000000"/>
        </w:rPr>
        <w:t>Katila, P.</w:t>
      </w:r>
      <w:r w:rsidRPr="00DA6076">
        <w:rPr>
          <w:rStyle w:val="apple-converted-space"/>
          <w:rFonts w:asciiTheme="majorHAnsi" w:eastAsiaTheme="majorEastAsia" w:hAnsiTheme="majorHAnsi" w:cstheme="majorHAnsi"/>
          <w:color w:val="000000"/>
        </w:rPr>
        <w:t> </w:t>
      </w:r>
      <w:r w:rsidRPr="00DA6076">
        <w:rPr>
          <w:rFonts w:asciiTheme="majorHAnsi" w:hAnsiTheme="majorHAnsi" w:cstheme="majorHAnsi"/>
          <w:i/>
          <w:iCs/>
          <w:color w:val="000000"/>
        </w:rPr>
        <w:t>et al.</w:t>
      </w:r>
      <w:r w:rsidRPr="00DA6076">
        <w:rPr>
          <w:rStyle w:val="apple-converted-space"/>
          <w:rFonts w:asciiTheme="majorHAnsi" w:eastAsiaTheme="majorEastAsia" w:hAnsiTheme="majorHAnsi" w:cstheme="majorHAnsi"/>
          <w:color w:val="000000"/>
        </w:rPr>
        <w:t> </w:t>
      </w:r>
      <w:r w:rsidRPr="00DA6076">
        <w:rPr>
          <w:rFonts w:asciiTheme="majorHAnsi" w:hAnsiTheme="majorHAnsi" w:cstheme="majorHAnsi"/>
          <w:color w:val="000000"/>
        </w:rPr>
        <w:t>(2020) “Forest tenure and the Sustainable Development Goals – A Critical View,”</w:t>
      </w:r>
      <w:r w:rsidRPr="00DA6076">
        <w:rPr>
          <w:rStyle w:val="apple-converted-space"/>
          <w:rFonts w:asciiTheme="majorHAnsi" w:eastAsiaTheme="majorEastAsia" w:hAnsiTheme="majorHAnsi" w:cstheme="majorHAnsi"/>
          <w:color w:val="000000"/>
        </w:rPr>
        <w:t> </w:t>
      </w:r>
      <w:r w:rsidRPr="00DA6076">
        <w:rPr>
          <w:rFonts w:asciiTheme="majorHAnsi" w:hAnsiTheme="majorHAnsi" w:cstheme="majorHAnsi"/>
          <w:i/>
          <w:iCs/>
          <w:color w:val="000000"/>
        </w:rPr>
        <w:t>Forest Policy and Economics</w:t>
      </w:r>
      <w:r w:rsidRPr="00DA6076">
        <w:rPr>
          <w:rFonts w:asciiTheme="majorHAnsi" w:hAnsiTheme="majorHAnsi" w:cstheme="majorHAnsi"/>
          <w:color w:val="000000"/>
        </w:rPr>
        <w:t>, 120, p. 102294. Available at: https://doi.org/10.1016/j.forpol.2020.102294.</w:t>
      </w:r>
      <w:r w:rsidRPr="00DA6076">
        <w:rPr>
          <w:rStyle w:val="apple-converted-space"/>
          <w:rFonts w:asciiTheme="majorHAnsi" w:eastAsiaTheme="majorEastAsia" w:hAnsiTheme="majorHAnsi" w:cstheme="majorHAnsi"/>
          <w:color w:val="000000"/>
        </w:rPr>
        <w:t> </w:t>
      </w:r>
    </w:p>
    <w:p w14:paraId="784F5B7A" w14:textId="77777777" w:rsidR="00DA6076" w:rsidRPr="00DA6076" w:rsidRDefault="00DA6076" w:rsidP="003B2CAA">
      <w:pPr>
        <w:pStyle w:val="NormalWeb"/>
        <w:ind w:left="567" w:hanging="567"/>
        <w:rPr>
          <w:rStyle w:val="apple-converted-space"/>
          <w:rFonts w:asciiTheme="majorHAnsi" w:eastAsiaTheme="majorEastAsia" w:hAnsiTheme="majorHAnsi" w:cstheme="majorHAnsi"/>
          <w:color w:val="000000"/>
        </w:rPr>
      </w:pPr>
      <w:proofErr w:type="spellStart"/>
      <w:r w:rsidRPr="00DA6076">
        <w:rPr>
          <w:rFonts w:asciiTheme="majorHAnsi" w:hAnsiTheme="majorHAnsi" w:cstheme="majorHAnsi"/>
          <w:color w:val="000000"/>
        </w:rPr>
        <w:t>Kaygalak-Celebi</w:t>
      </w:r>
      <w:proofErr w:type="spellEnd"/>
      <w:r w:rsidRPr="00DA6076">
        <w:rPr>
          <w:rFonts w:asciiTheme="majorHAnsi" w:hAnsiTheme="majorHAnsi" w:cstheme="majorHAnsi"/>
          <w:color w:val="000000"/>
        </w:rPr>
        <w:t xml:space="preserve">, S., </w:t>
      </w:r>
      <w:proofErr w:type="spellStart"/>
      <w:r w:rsidRPr="00DA6076">
        <w:rPr>
          <w:rFonts w:asciiTheme="majorHAnsi" w:hAnsiTheme="majorHAnsi" w:cstheme="majorHAnsi"/>
          <w:color w:val="000000"/>
        </w:rPr>
        <w:t>Ozeren</w:t>
      </w:r>
      <w:proofErr w:type="spellEnd"/>
      <w:r w:rsidRPr="00DA6076">
        <w:rPr>
          <w:rFonts w:asciiTheme="majorHAnsi" w:hAnsiTheme="majorHAnsi" w:cstheme="majorHAnsi"/>
          <w:color w:val="000000"/>
        </w:rPr>
        <w:t>, E. and Aydin, E. (2022) “The missing link of the sustainable development goals (</w:t>
      </w:r>
      <w:proofErr w:type="spellStart"/>
      <w:r w:rsidRPr="00DA6076">
        <w:rPr>
          <w:rFonts w:asciiTheme="majorHAnsi" w:hAnsiTheme="majorHAnsi" w:cstheme="majorHAnsi"/>
          <w:color w:val="000000"/>
        </w:rPr>
        <w:t>sdgs</w:t>
      </w:r>
      <w:proofErr w:type="spellEnd"/>
      <w:r w:rsidRPr="00DA6076">
        <w:rPr>
          <w:rFonts w:asciiTheme="majorHAnsi" w:hAnsiTheme="majorHAnsi" w:cstheme="majorHAnsi"/>
          <w:color w:val="000000"/>
        </w:rPr>
        <w:t>) in tourism: A qualitative research on Amsterdam Pride,”</w:t>
      </w:r>
      <w:r w:rsidRPr="00DA6076">
        <w:rPr>
          <w:rStyle w:val="apple-converted-space"/>
          <w:rFonts w:asciiTheme="majorHAnsi" w:eastAsiaTheme="majorEastAsia" w:hAnsiTheme="majorHAnsi" w:cstheme="majorHAnsi"/>
          <w:color w:val="000000"/>
        </w:rPr>
        <w:t> </w:t>
      </w:r>
      <w:r w:rsidRPr="00DA6076">
        <w:rPr>
          <w:rFonts w:asciiTheme="majorHAnsi" w:hAnsiTheme="majorHAnsi" w:cstheme="majorHAnsi"/>
          <w:i/>
          <w:iCs/>
          <w:color w:val="000000"/>
        </w:rPr>
        <w:t>Tourism Management Perspectives</w:t>
      </w:r>
      <w:r w:rsidRPr="00DA6076">
        <w:rPr>
          <w:rFonts w:asciiTheme="majorHAnsi" w:hAnsiTheme="majorHAnsi" w:cstheme="majorHAnsi"/>
          <w:color w:val="000000"/>
        </w:rPr>
        <w:t xml:space="preserve">, 41, p. 100937. Available at: </w:t>
      </w:r>
      <w:hyperlink r:id="rId46" w:history="1">
        <w:r w:rsidRPr="00DA6076">
          <w:rPr>
            <w:rStyle w:val="Hyperlink"/>
            <w:rFonts w:asciiTheme="majorHAnsi" w:hAnsiTheme="majorHAnsi" w:cstheme="majorHAnsi"/>
          </w:rPr>
          <w:t>https://doi.org/10.1016/j.tmp.2022.100937</w:t>
        </w:r>
      </w:hyperlink>
      <w:r w:rsidRPr="00DA6076">
        <w:rPr>
          <w:rFonts w:asciiTheme="majorHAnsi" w:hAnsiTheme="majorHAnsi" w:cstheme="majorHAnsi"/>
          <w:color w:val="000000"/>
        </w:rPr>
        <w:t>.</w:t>
      </w:r>
      <w:r w:rsidRPr="00DA6076">
        <w:rPr>
          <w:rStyle w:val="apple-converted-space"/>
          <w:rFonts w:asciiTheme="majorHAnsi" w:eastAsiaTheme="majorEastAsia" w:hAnsiTheme="majorHAnsi" w:cstheme="majorHAnsi"/>
          <w:color w:val="000000"/>
        </w:rPr>
        <w:t> </w:t>
      </w:r>
    </w:p>
    <w:p w14:paraId="17753C7A" w14:textId="77777777" w:rsidR="00DA6076" w:rsidRPr="00DA6076" w:rsidRDefault="00DA6076" w:rsidP="003B2CAA">
      <w:pPr>
        <w:pStyle w:val="NormalWeb"/>
        <w:ind w:left="567" w:hanging="567"/>
        <w:rPr>
          <w:rFonts w:asciiTheme="majorHAnsi" w:hAnsiTheme="majorHAnsi" w:cstheme="majorHAnsi"/>
          <w:color w:val="000000"/>
        </w:rPr>
      </w:pPr>
      <w:proofErr w:type="spellStart"/>
      <w:r w:rsidRPr="00DA6076">
        <w:rPr>
          <w:rFonts w:asciiTheme="majorHAnsi" w:hAnsiTheme="majorHAnsi" w:cstheme="majorHAnsi"/>
          <w:color w:val="000000"/>
        </w:rPr>
        <w:lastRenderedPageBreak/>
        <w:t>Kaymaz</w:t>
      </w:r>
      <w:proofErr w:type="spellEnd"/>
      <w:r w:rsidRPr="00DA6076">
        <w:rPr>
          <w:rFonts w:asciiTheme="majorHAnsi" w:hAnsiTheme="majorHAnsi" w:cstheme="majorHAnsi"/>
          <w:color w:val="000000"/>
        </w:rPr>
        <w:t xml:space="preserve">, Ç.K., </w:t>
      </w:r>
      <w:proofErr w:type="spellStart"/>
      <w:r w:rsidRPr="00DA6076">
        <w:rPr>
          <w:rFonts w:asciiTheme="majorHAnsi" w:hAnsiTheme="majorHAnsi" w:cstheme="majorHAnsi"/>
          <w:color w:val="000000"/>
        </w:rPr>
        <w:t>Birinci</w:t>
      </w:r>
      <w:proofErr w:type="spellEnd"/>
      <w:r w:rsidRPr="00DA6076">
        <w:rPr>
          <w:rFonts w:asciiTheme="majorHAnsi" w:hAnsiTheme="majorHAnsi" w:cstheme="majorHAnsi"/>
          <w:color w:val="000000"/>
        </w:rPr>
        <w:t xml:space="preserve">, S. and </w:t>
      </w:r>
      <w:proofErr w:type="spellStart"/>
      <w:r w:rsidRPr="00DA6076">
        <w:rPr>
          <w:rFonts w:asciiTheme="majorHAnsi" w:hAnsiTheme="majorHAnsi" w:cstheme="majorHAnsi"/>
          <w:color w:val="000000"/>
        </w:rPr>
        <w:t>Kızılkan</w:t>
      </w:r>
      <w:proofErr w:type="spellEnd"/>
      <w:r w:rsidRPr="00DA6076">
        <w:rPr>
          <w:rFonts w:asciiTheme="majorHAnsi" w:hAnsiTheme="majorHAnsi" w:cstheme="majorHAnsi"/>
          <w:color w:val="000000"/>
        </w:rPr>
        <w:t xml:space="preserve">, Y. (2021) “Sustainable development goals assessment of </w:t>
      </w:r>
      <w:proofErr w:type="spellStart"/>
      <w:r w:rsidRPr="00DA6076">
        <w:rPr>
          <w:rFonts w:asciiTheme="majorHAnsi" w:hAnsiTheme="majorHAnsi" w:cstheme="majorHAnsi"/>
          <w:color w:val="000000"/>
        </w:rPr>
        <w:t>erzurum</w:t>
      </w:r>
      <w:proofErr w:type="spellEnd"/>
      <w:r w:rsidRPr="00DA6076">
        <w:rPr>
          <w:rFonts w:asciiTheme="majorHAnsi" w:hAnsiTheme="majorHAnsi" w:cstheme="majorHAnsi"/>
          <w:color w:val="000000"/>
        </w:rPr>
        <w:t xml:space="preserve"> province with SWOT-AHP analysis,”</w:t>
      </w:r>
      <w:r w:rsidRPr="00DA6076">
        <w:rPr>
          <w:rStyle w:val="apple-converted-space"/>
          <w:rFonts w:asciiTheme="majorHAnsi" w:hAnsiTheme="majorHAnsi" w:cstheme="majorHAnsi"/>
          <w:color w:val="000000"/>
        </w:rPr>
        <w:t> </w:t>
      </w:r>
      <w:r w:rsidRPr="00DA6076">
        <w:rPr>
          <w:rFonts w:asciiTheme="majorHAnsi" w:hAnsiTheme="majorHAnsi" w:cstheme="majorHAnsi"/>
          <w:i/>
          <w:iCs/>
          <w:color w:val="000000"/>
        </w:rPr>
        <w:t>Environment, Development and Sustainability</w:t>
      </w:r>
      <w:r w:rsidRPr="00DA6076">
        <w:rPr>
          <w:rFonts w:asciiTheme="majorHAnsi" w:hAnsiTheme="majorHAnsi" w:cstheme="majorHAnsi"/>
          <w:color w:val="000000"/>
        </w:rPr>
        <w:t>, 24(3), pp. 2986–3012. Available at: https://doi.org/10.1007/s10668-021-01584-w.</w:t>
      </w:r>
      <w:r w:rsidRPr="00DA6076">
        <w:rPr>
          <w:rStyle w:val="apple-converted-space"/>
          <w:rFonts w:asciiTheme="majorHAnsi" w:hAnsiTheme="majorHAnsi" w:cstheme="majorHAnsi"/>
          <w:color w:val="000000"/>
        </w:rPr>
        <w:t> </w:t>
      </w:r>
    </w:p>
    <w:p w14:paraId="079DD031" w14:textId="77777777" w:rsidR="00DA6076" w:rsidRPr="00DA6076" w:rsidRDefault="00DA6076" w:rsidP="003B2CAA">
      <w:pPr>
        <w:pStyle w:val="NormalWeb"/>
        <w:ind w:left="567" w:hanging="567"/>
        <w:rPr>
          <w:rStyle w:val="apple-converted-space"/>
          <w:rFonts w:asciiTheme="majorHAnsi" w:hAnsiTheme="majorHAnsi" w:cstheme="majorHAnsi"/>
          <w:color w:val="000000"/>
        </w:rPr>
      </w:pPr>
      <w:r w:rsidRPr="00DA6076">
        <w:rPr>
          <w:rFonts w:asciiTheme="majorHAnsi" w:hAnsiTheme="majorHAnsi" w:cstheme="majorHAnsi"/>
          <w:color w:val="000000"/>
        </w:rPr>
        <w:t>Kim, R.E. (2016) “The nexus between international law and the Sustainable Development Goals,”</w:t>
      </w:r>
      <w:r w:rsidRPr="00DA6076">
        <w:rPr>
          <w:rStyle w:val="apple-converted-space"/>
          <w:rFonts w:asciiTheme="majorHAnsi" w:hAnsiTheme="majorHAnsi" w:cstheme="majorHAnsi"/>
          <w:color w:val="000000"/>
        </w:rPr>
        <w:t> </w:t>
      </w:r>
      <w:r w:rsidRPr="00DA6076">
        <w:rPr>
          <w:rFonts w:asciiTheme="majorHAnsi" w:hAnsiTheme="majorHAnsi" w:cstheme="majorHAnsi"/>
          <w:i/>
          <w:iCs/>
          <w:color w:val="000000"/>
        </w:rPr>
        <w:t>Review of European, Comparative &amp; International Environmental Law</w:t>
      </w:r>
      <w:r w:rsidRPr="00DA6076">
        <w:rPr>
          <w:rFonts w:asciiTheme="majorHAnsi" w:hAnsiTheme="majorHAnsi" w:cstheme="majorHAnsi"/>
          <w:color w:val="000000"/>
        </w:rPr>
        <w:t>, 25(1), pp. 15–26. Available at: https://doi.org/10.1111/reel.12148.</w:t>
      </w:r>
      <w:r w:rsidRPr="00DA6076">
        <w:rPr>
          <w:rStyle w:val="apple-converted-space"/>
          <w:rFonts w:asciiTheme="majorHAnsi" w:hAnsiTheme="majorHAnsi" w:cstheme="majorHAnsi"/>
          <w:color w:val="000000"/>
        </w:rPr>
        <w:t> </w:t>
      </w:r>
    </w:p>
    <w:p w14:paraId="4C48A04C" w14:textId="77777777" w:rsidR="00DA6076" w:rsidRPr="00DA6076" w:rsidRDefault="00DA6076" w:rsidP="003B2CAA">
      <w:pPr>
        <w:pStyle w:val="NormalWeb"/>
        <w:ind w:left="567" w:hanging="567"/>
        <w:rPr>
          <w:rFonts w:asciiTheme="majorHAnsi" w:hAnsiTheme="majorHAnsi" w:cstheme="majorHAnsi"/>
          <w:color w:val="000000"/>
        </w:rPr>
      </w:pPr>
      <w:proofErr w:type="spellStart"/>
      <w:r w:rsidRPr="00DA6076">
        <w:rPr>
          <w:rFonts w:asciiTheme="majorHAnsi" w:hAnsiTheme="majorHAnsi" w:cstheme="majorHAnsi"/>
          <w:color w:val="000000"/>
        </w:rPr>
        <w:t>Klabbers</w:t>
      </w:r>
      <w:proofErr w:type="spellEnd"/>
      <w:r w:rsidRPr="00DA6076">
        <w:rPr>
          <w:rFonts w:asciiTheme="majorHAnsi" w:hAnsiTheme="majorHAnsi" w:cstheme="majorHAnsi"/>
          <w:color w:val="000000"/>
        </w:rPr>
        <w:t>, J. (2013). International Law. Cambridge University Press. DOI: https://doi.org/10.1017/CBO978113902256</w:t>
      </w:r>
    </w:p>
    <w:p w14:paraId="193A5BCD" w14:textId="77777777" w:rsidR="00DA6076" w:rsidRPr="00DA6076" w:rsidRDefault="00DA6076" w:rsidP="00365466">
      <w:pPr>
        <w:pStyle w:val="NormalWeb"/>
        <w:ind w:left="567" w:hanging="567"/>
        <w:jc w:val="both"/>
        <w:rPr>
          <w:rFonts w:asciiTheme="majorHAnsi" w:hAnsiTheme="majorHAnsi" w:cstheme="majorHAnsi"/>
          <w:color w:val="000000"/>
        </w:rPr>
      </w:pPr>
      <w:r w:rsidRPr="00DA6076">
        <w:rPr>
          <w:rFonts w:asciiTheme="majorHAnsi" w:hAnsiTheme="majorHAnsi" w:cstheme="majorHAnsi"/>
          <w:color w:val="000000"/>
        </w:rPr>
        <w:t xml:space="preserve"> </w:t>
      </w:r>
      <w:proofErr w:type="spellStart"/>
      <w:r w:rsidRPr="00DA6076">
        <w:rPr>
          <w:rFonts w:asciiTheme="majorHAnsi" w:hAnsiTheme="majorHAnsi" w:cstheme="majorHAnsi"/>
          <w:color w:val="000000"/>
        </w:rPr>
        <w:t>Kopnina</w:t>
      </w:r>
      <w:proofErr w:type="spellEnd"/>
      <w:r w:rsidRPr="00DA6076">
        <w:rPr>
          <w:rFonts w:asciiTheme="majorHAnsi" w:hAnsiTheme="majorHAnsi" w:cstheme="majorHAnsi"/>
          <w:color w:val="000000"/>
        </w:rPr>
        <w:t>, H</w:t>
      </w:r>
      <w:r w:rsidRPr="00DA6076">
        <w:rPr>
          <w:rFonts w:asciiTheme="majorHAnsi" w:hAnsiTheme="majorHAnsi" w:cstheme="majorHAnsi"/>
          <w:color w:val="000000"/>
        </w:rPr>
        <w:t>. (2016). The victims of unsustainability: A challenge to Sustainable Development Goals. International Journal of Sustainable Development &amp; World Ecology, 23(2), [Page numbers]. https://doi.org/10.1080/13504509.2015.1111269</w:t>
      </w:r>
    </w:p>
    <w:p w14:paraId="6EE0994B" w14:textId="77777777" w:rsidR="00DA6076" w:rsidRPr="00DA6076" w:rsidRDefault="00DA6076" w:rsidP="003B2CAA">
      <w:pPr>
        <w:pStyle w:val="NormalWeb"/>
        <w:ind w:left="567" w:hanging="567"/>
        <w:rPr>
          <w:rFonts w:asciiTheme="majorHAnsi" w:hAnsiTheme="majorHAnsi" w:cstheme="majorHAnsi"/>
          <w:color w:val="000000"/>
        </w:rPr>
      </w:pPr>
      <w:proofErr w:type="spellStart"/>
      <w:r w:rsidRPr="00DA6076">
        <w:rPr>
          <w:rFonts w:asciiTheme="majorHAnsi" w:hAnsiTheme="majorHAnsi" w:cstheme="majorHAnsi"/>
          <w:color w:val="000000"/>
        </w:rPr>
        <w:t>Kotzé</w:t>
      </w:r>
      <w:proofErr w:type="spellEnd"/>
      <w:r w:rsidRPr="00DA6076">
        <w:rPr>
          <w:rFonts w:asciiTheme="majorHAnsi" w:hAnsiTheme="majorHAnsi" w:cstheme="majorHAnsi"/>
          <w:color w:val="000000"/>
        </w:rPr>
        <w:t xml:space="preserve">, L.J. and </w:t>
      </w:r>
      <w:proofErr w:type="spellStart"/>
      <w:r w:rsidRPr="00DA6076">
        <w:rPr>
          <w:rFonts w:asciiTheme="majorHAnsi" w:hAnsiTheme="majorHAnsi" w:cstheme="majorHAnsi"/>
          <w:color w:val="000000"/>
        </w:rPr>
        <w:t>Muzangaza</w:t>
      </w:r>
      <w:proofErr w:type="spellEnd"/>
      <w:r w:rsidRPr="00DA6076">
        <w:rPr>
          <w:rFonts w:asciiTheme="majorHAnsi" w:hAnsiTheme="majorHAnsi" w:cstheme="majorHAnsi"/>
          <w:color w:val="000000"/>
        </w:rPr>
        <w:t xml:space="preserve">, W. (2018) “Constitutional International Environmental Law for the </w:t>
      </w:r>
      <w:proofErr w:type="spellStart"/>
      <w:r w:rsidRPr="00DA6076">
        <w:rPr>
          <w:rFonts w:asciiTheme="majorHAnsi" w:hAnsiTheme="majorHAnsi" w:cstheme="majorHAnsi"/>
          <w:color w:val="000000"/>
        </w:rPr>
        <w:t>anthropocene</w:t>
      </w:r>
      <w:proofErr w:type="spellEnd"/>
      <w:r w:rsidRPr="00DA6076">
        <w:rPr>
          <w:rFonts w:asciiTheme="majorHAnsi" w:hAnsiTheme="majorHAnsi" w:cstheme="majorHAnsi"/>
          <w:color w:val="000000"/>
        </w:rPr>
        <w:t>?,”</w:t>
      </w:r>
      <w:r w:rsidRPr="00DA6076">
        <w:rPr>
          <w:rStyle w:val="apple-converted-space"/>
          <w:rFonts w:asciiTheme="majorHAnsi" w:hAnsiTheme="majorHAnsi" w:cstheme="majorHAnsi"/>
          <w:color w:val="000000"/>
        </w:rPr>
        <w:t> </w:t>
      </w:r>
      <w:r w:rsidRPr="00DA6076">
        <w:rPr>
          <w:rFonts w:asciiTheme="majorHAnsi" w:hAnsiTheme="majorHAnsi" w:cstheme="majorHAnsi"/>
          <w:i/>
          <w:iCs/>
          <w:color w:val="000000"/>
        </w:rPr>
        <w:t>Review of European, Comparative &amp; International Environmental Law</w:t>
      </w:r>
      <w:r w:rsidRPr="00DA6076">
        <w:rPr>
          <w:rFonts w:asciiTheme="majorHAnsi" w:hAnsiTheme="majorHAnsi" w:cstheme="majorHAnsi"/>
          <w:color w:val="000000"/>
        </w:rPr>
        <w:t>, 27(3), pp. 278–292. Available at: https://doi.org/10.1111/reel.12244.</w:t>
      </w:r>
      <w:r w:rsidRPr="00DA6076">
        <w:rPr>
          <w:rStyle w:val="apple-converted-space"/>
          <w:rFonts w:asciiTheme="majorHAnsi" w:hAnsiTheme="majorHAnsi" w:cstheme="majorHAnsi"/>
          <w:color w:val="000000"/>
        </w:rPr>
        <w:t> </w:t>
      </w:r>
    </w:p>
    <w:p w14:paraId="3965B993" w14:textId="77777777" w:rsidR="00DA6076" w:rsidRPr="00DA6076" w:rsidRDefault="00DA6076" w:rsidP="003B2CAA">
      <w:pPr>
        <w:pStyle w:val="NormalWeb"/>
        <w:ind w:left="567" w:hanging="567"/>
        <w:rPr>
          <w:rStyle w:val="apple-converted-space"/>
          <w:rFonts w:asciiTheme="majorHAnsi" w:eastAsiaTheme="majorEastAsia" w:hAnsiTheme="majorHAnsi" w:cstheme="majorHAnsi"/>
          <w:color w:val="000000"/>
        </w:rPr>
      </w:pPr>
      <w:r w:rsidRPr="00DA6076">
        <w:rPr>
          <w:rFonts w:asciiTheme="majorHAnsi" w:hAnsiTheme="majorHAnsi" w:cstheme="majorHAnsi"/>
          <w:color w:val="000000"/>
        </w:rPr>
        <w:t>Krauss, J.E. (2022) “Unpacking SDG 15, its targets and indicators: Tracing Ideas of Conservation,”</w:t>
      </w:r>
      <w:r w:rsidRPr="00DA6076">
        <w:rPr>
          <w:rStyle w:val="apple-converted-space"/>
          <w:rFonts w:asciiTheme="majorHAnsi" w:eastAsiaTheme="majorEastAsia" w:hAnsiTheme="majorHAnsi" w:cstheme="majorHAnsi"/>
          <w:color w:val="000000"/>
        </w:rPr>
        <w:t> </w:t>
      </w:r>
      <w:r w:rsidRPr="00DA6076">
        <w:rPr>
          <w:rFonts w:asciiTheme="majorHAnsi" w:hAnsiTheme="majorHAnsi" w:cstheme="majorHAnsi"/>
          <w:i/>
          <w:iCs/>
          <w:color w:val="000000"/>
        </w:rPr>
        <w:t>Globalizations</w:t>
      </w:r>
      <w:r w:rsidRPr="00DA6076">
        <w:rPr>
          <w:rFonts w:asciiTheme="majorHAnsi" w:hAnsiTheme="majorHAnsi" w:cstheme="majorHAnsi"/>
          <w:color w:val="000000"/>
        </w:rPr>
        <w:t>, 19(8), pp. 1179–1194. Available at: https://doi.org/10.1080/14747731.2022.2035480.</w:t>
      </w:r>
      <w:r w:rsidRPr="00DA6076">
        <w:rPr>
          <w:rStyle w:val="apple-converted-space"/>
          <w:rFonts w:asciiTheme="majorHAnsi" w:eastAsiaTheme="majorEastAsia" w:hAnsiTheme="majorHAnsi" w:cstheme="majorHAnsi"/>
          <w:color w:val="000000"/>
        </w:rPr>
        <w:t> </w:t>
      </w:r>
    </w:p>
    <w:p w14:paraId="0E8D0277" w14:textId="77777777" w:rsidR="00DA6076" w:rsidRPr="00DA6076" w:rsidRDefault="00DA6076" w:rsidP="003B2CAA">
      <w:pPr>
        <w:pStyle w:val="NormalWeb"/>
        <w:ind w:left="567" w:hanging="567"/>
        <w:rPr>
          <w:rStyle w:val="apple-converted-space"/>
          <w:rFonts w:asciiTheme="majorHAnsi" w:eastAsiaTheme="majorEastAsia" w:hAnsiTheme="majorHAnsi" w:cstheme="majorHAnsi"/>
          <w:color w:val="000000"/>
        </w:rPr>
      </w:pPr>
      <w:r w:rsidRPr="00DA6076">
        <w:rPr>
          <w:rStyle w:val="apple-converted-space"/>
          <w:rFonts w:asciiTheme="majorHAnsi" w:eastAsiaTheme="majorEastAsia" w:hAnsiTheme="majorHAnsi" w:cstheme="majorHAnsi"/>
          <w:color w:val="000000"/>
        </w:rPr>
        <w:t xml:space="preserve">Kroll, C., </w:t>
      </w:r>
      <w:proofErr w:type="spellStart"/>
      <w:r w:rsidRPr="00DA6076">
        <w:rPr>
          <w:rStyle w:val="apple-converted-space"/>
          <w:rFonts w:asciiTheme="majorHAnsi" w:eastAsiaTheme="majorEastAsia" w:hAnsiTheme="majorHAnsi" w:cstheme="majorHAnsi"/>
          <w:color w:val="000000"/>
        </w:rPr>
        <w:t>Warchold</w:t>
      </w:r>
      <w:proofErr w:type="spellEnd"/>
      <w:r w:rsidRPr="00DA6076">
        <w:rPr>
          <w:rStyle w:val="apple-converted-space"/>
          <w:rFonts w:asciiTheme="majorHAnsi" w:eastAsiaTheme="majorEastAsia" w:hAnsiTheme="majorHAnsi" w:cstheme="majorHAnsi"/>
          <w:color w:val="000000"/>
        </w:rPr>
        <w:t xml:space="preserve">, A. &amp; Pradhan, P. Sustainable Development Goals (SDGs): Are we successful in turning trade-offs into synergies?. Palgrave </w:t>
      </w:r>
      <w:proofErr w:type="spellStart"/>
      <w:r w:rsidRPr="00DA6076">
        <w:rPr>
          <w:rStyle w:val="apple-converted-space"/>
          <w:rFonts w:asciiTheme="majorHAnsi" w:eastAsiaTheme="majorEastAsia" w:hAnsiTheme="majorHAnsi" w:cstheme="majorHAnsi"/>
          <w:color w:val="000000"/>
        </w:rPr>
        <w:t>Commun</w:t>
      </w:r>
      <w:proofErr w:type="spellEnd"/>
      <w:r w:rsidRPr="00DA6076">
        <w:rPr>
          <w:rStyle w:val="apple-converted-space"/>
          <w:rFonts w:asciiTheme="majorHAnsi" w:eastAsiaTheme="majorEastAsia" w:hAnsiTheme="majorHAnsi" w:cstheme="majorHAnsi"/>
          <w:color w:val="000000"/>
        </w:rPr>
        <w:t xml:space="preserve"> 5, 140 (2019). https://doi.org/10.1057/s41599-019-0335-5</w:t>
      </w:r>
    </w:p>
    <w:p w14:paraId="52A43C56" w14:textId="77777777" w:rsidR="00DA6076" w:rsidRPr="00DA6076" w:rsidRDefault="00DA6076" w:rsidP="003B2CAA">
      <w:pPr>
        <w:pStyle w:val="NormalWeb"/>
        <w:ind w:left="567" w:hanging="567"/>
        <w:rPr>
          <w:rFonts w:asciiTheme="majorHAnsi" w:hAnsiTheme="majorHAnsi" w:cstheme="majorHAnsi"/>
          <w:color w:val="000000"/>
        </w:rPr>
      </w:pPr>
      <w:proofErr w:type="spellStart"/>
      <w:r w:rsidRPr="00DA6076">
        <w:rPr>
          <w:rFonts w:asciiTheme="majorHAnsi" w:hAnsiTheme="majorHAnsi" w:cstheme="majorHAnsi"/>
          <w:color w:val="000000"/>
        </w:rPr>
        <w:t>Kubiszewski</w:t>
      </w:r>
      <w:proofErr w:type="spellEnd"/>
      <w:r w:rsidRPr="00DA6076">
        <w:rPr>
          <w:rFonts w:asciiTheme="majorHAnsi" w:hAnsiTheme="majorHAnsi" w:cstheme="majorHAnsi"/>
          <w:color w:val="000000"/>
        </w:rPr>
        <w:t>, I.</w:t>
      </w:r>
      <w:r w:rsidRPr="00DA6076">
        <w:rPr>
          <w:rStyle w:val="apple-converted-space"/>
          <w:rFonts w:asciiTheme="majorHAnsi" w:hAnsiTheme="majorHAnsi" w:cstheme="majorHAnsi"/>
          <w:color w:val="000000"/>
        </w:rPr>
        <w:t> </w:t>
      </w:r>
      <w:r w:rsidRPr="00DA6076">
        <w:rPr>
          <w:rFonts w:asciiTheme="majorHAnsi" w:hAnsiTheme="majorHAnsi" w:cstheme="majorHAnsi"/>
          <w:i/>
          <w:iCs/>
          <w:color w:val="000000"/>
        </w:rPr>
        <w:t>et al.</w:t>
      </w:r>
      <w:r w:rsidRPr="00DA6076">
        <w:rPr>
          <w:rStyle w:val="apple-converted-space"/>
          <w:rFonts w:asciiTheme="majorHAnsi" w:hAnsiTheme="majorHAnsi" w:cstheme="majorHAnsi"/>
          <w:color w:val="000000"/>
        </w:rPr>
        <w:t> </w:t>
      </w:r>
      <w:r w:rsidRPr="00DA6076">
        <w:rPr>
          <w:rFonts w:asciiTheme="majorHAnsi" w:hAnsiTheme="majorHAnsi" w:cstheme="majorHAnsi"/>
          <w:color w:val="000000"/>
        </w:rPr>
        <w:t>(2021) “Toward better measurement of sustainable development and wellbeing: A small number of SDG indicators reliably predict life satisfaction,”</w:t>
      </w:r>
      <w:r w:rsidRPr="00DA6076">
        <w:rPr>
          <w:rStyle w:val="apple-converted-space"/>
          <w:rFonts w:asciiTheme="majorHAnsi" w:hAnsiTheme="majorHAnsi" w:cstheme="majorHAnsi"/>
          <w:color w:val="000000"/>
        </w:rPr>
        <w:t> </w:t>
      </w:r>
      <w:r w:rsidRPr="00DA6076">
        <w:rPr>
          <w:rFonts w:asciiTheme="majorHAnsi" w:hAnsiTheme="majorHAnsi" w:cstheme="majorHAnsi"/>
          <w:i/>
          <w:iCs/>
          <w:color w:val="000000"/>
        </w:rPr>
        <w:t>Sustainable Development</w:t>
      </w:r>
      <w:r w:rsidRPr="00DA6076">
        <w:rPr>
          <w:rFonts w:asciiTheme="majorHAnsi" w:hAnsiTheme="majorHAnsi" w:cstheme="majorHAnsi"/>
          <w:color w:val="000000"/>
        </w:rPr>
        <w:t>, 30(1), pp. 139–148. Available at: https://doi.org/10.1002/sd.2234.</w:t>
      </w:r>
      <w:r w:rsidRPr="00DA6076">
        <w:rPr>
          <w:rStyle w:val="apple-converted-space"/>
          <w:rFonts w:asciiTheme="majorHAnsi" w:hAnsiTheme="majorHAnsi" w:cstheme="majorHAnsi"/>
          <w:color w:val="000000"/>
        </w:rPr>
        <w:t> </w:t>
      </w:r>
    </w:p>
    <w:p w14:paraId="01AB966C" w14:textId="77777777" w:rsidR="00DA6076" w:rsidRPr="00DA6076" w:rsidRDefault="00DA6076" w:rsidP="003B2CAA">
      <w:pPr>
        <w:pStyle w:val="NormalWeb"/>
        <w:ind w:left="567" w:hanging="567"/>
        <w:rPr>
          <w:rFonts w:asciiTheme="majorHAnsi" w:hAnsiTheme="majorHAnsi" w:cstheme="majorHAnsi"/>
          <w:color w:val="000000"/>
        </w:rPr>
      </w:pPr>
      <w:proofErr w:type="spellStart"/>
      <w:r w:rsidRPr="00DA6076">
        <w:rPr>
          <w:rFonts w:asciiTheme="majorHAnsi" w:hAnsiTheme="majorHAnsi" w:cstheme="majorHAnsi"/>
          <w:color w:val="000000"/>
        </w:rPr>
        <w:t>Kuc-Czarnecka</w:t>
      </w:r>
      <w:proofErr w:type="spellEnd"/>
      <w:r w:rsidRPr="00DA6076">
        <w:rPr>
          <w:rFonts w:asciiTheme="majorHAnsi" w:hAnsiTheme="majorHAnsi" w:cstheme="majorHAnsi"/>
          <w:color w:val="000000"/>
        </w:rPr>
        <w:t xml:space="preserve">, M., </w:t>
      </w:r>
      <w:proofErr w:type="spellStart"/>
      <w:r w:rsidRPr="00DA6076">
        <w:rPr>
          <w:rFonts w:asciiTheme="majorHAnsi" w:hAnsiTheme="majorHAnsi" w:cstheme="majorHAnsi"/>
          <w:color w:val="000000"/>
        </w:rPr>
        <w:t>Markowicz</w:t>
      </w:r>
      <w:proofErr w:type="spellEnd"/>
      <w:r w:rsidRPr="00DA6076">
        <w:rPr>
          <w:rFonts w:asciiTheme="majorHAnsi" w:hAnsiTheme="majorHAnsi" w:cstheme="majorHAnsi"/>
          <w:color w:val="000000"/>
        </w:rPr>
        <w:t xml:space="preserve">, I. and </w:t>
      </w:r>
      <w:proofErr w:type="spellStart"/>
      <w:r w:rsidRPr="00DA6076">
        <w:rPr>
          <w:rFonts w:asciiTheme="majorHAnsi" w:hAnsiTheme="majorHAnsi" w:cstheme="majorHAnsi"/>
          <w:color w:val="000000"/>
        </w:rPr>
        <w:t>Sompolska-Rzechuła</w:t>
      </w:r>
      <w:proofErr w:type="spellEnd"/>
      <w:r w:rsidRPr="00DA6076">
        <w:rPr>
          <w:rFonts w:asciiTheme="majorHAnsi" w:hAnsiTheme="majorHAnsi" w:cstheme="majorHAnsi"/>
          <w:color w:val="000000"/>
        </w:rPr>
        <w:t>, A. (2023) “SDGs implementation, their synergies, and trade-offs in EU countries – sensitivity analysis-based approach,”</w:t>
      </w:r>
      <w:r w:rsidRPr="00DA6076">
        <w:rPr>
          <w:rStyle w:val="apple-converted-space"/>
          <w:rFonts w:asciiTheme="majorHAnsi" w:eastAsiaTheme="majorEastAsia" w:hAnsiTheme="majorHAnsi" w:cstheme="majorHAnsi"/>
          <w:color w:val="000000"/>
        </w:rPr>
        <w:t> </w:t>
      </w:r>
      <w:r w:rsidRPr="00DA6076">
        <w:rPr>
          <w:rFonts w:asciiTheme="majorHAnsi" w:hAnsiTheme="majorHAnsi" w:cstheme="majorHAnsi"/>
          <w:i/>
          <w:iCs/>
          <w:color w:val="000000"/>
        </w:rPr>
        <w:t>Ecological Indicators</w:t>
      </w:r>
      <w:r w:rsidRPr="00DA6076">
        <w:rPr>
          <w:rFonts w:asciiTheme="majorHAnsi" w:hAnsiTheme="majorHAnsi" w:cstheme="majorHAnsi"/>
          <w:color w:val="000000"/>
        </w:rPr>
        <w:t>, 146, p. 109888. Available at: https://doi.org/10.1016/j.ecolind.2023.109888.</w:t>
      </w:r>
      <w:r w:rsidRPr="00DA6076">
        <w:rPr>
          <w:rStyle w:val="apple-converted-space"/>
          <w:rFonts w:asciiTheme="majorHAnsi" w:eastAsiaTheme="majorEastAsia" w:hAnsiTheme="majorHAnsi" w:cstheme="majorHAnsi"/>
          <w:color w:val="000000"/>
        </w:rPr>
        <w:t> </w:t>
      </w:r>
    </w:p>
    <w:p w14:paraId="2EB66548" w14:textId="77777777" w:rsidR="00DA6076" w:rsidRPr="00DA6076" w:rsidRDefault="00DA6076" w:rsidP="003B2CAA">
      <w:pPr>
        <w:pStyle w:val="NormalWeb"/>
        <w:ind w:left="567" w:hanging="567"/>
        <w:rPr>
          <w:rFonts w:asciiTheme="majorHAnsi" w:hAnsiTheme="majorHAnsi" w:cstheme="majorHAnsi"/>
          <w:color w:val="000000"/>
        </w:rPr>
      </w:pPr>
      <w:r w:rsidRPr="00DA6076">
        <w:rPr>
          <w:rFonts w:asciiTheme="majorHAnsi" w:hAnsiTheme="majorHAnsi" w:cstheme="majorHAnsi"/>
          <w:color w:val="000000"/>
        </w:rPr>
        <w:t>Kumar, R. and Roy, P. (2018) “War and peace: Is our world serious about achieving sustainable development goals by 2030?,”</w:t>
      </w:r>
      <w:r w:rsidRPr="00DA6076">
        <w:rPr>
          <w:rStyle w:val="apple-converted-space"/>
          <w:rFonts w:asciiTheme="majorHAnsi" w:hAnsiTheme="majorHAnsi" w:cstheme="majorHAnsi"/>
          <w:color w:val="000000"/>
        </w:rPr>
        <w:t> </w:t>
      </w:r>
      <w:r w:rsidRPr="00DA6076">
        <w:rPr>
          <w:rFonts w:asciiTheme="majorHAnsi" w:hAnsiTheme="majorHAnsi" w:cstheme="majorHAnsi"/>
          <w:i/>
          <w:iCs/>
          <w:color w:val="000000"/>
        </w:rPr>
        <w:t>Journal of Family Medicine and Primary Care</w:t>
      </w:r>
      <w:r w:rsidRPr="00DA6076">
        <w:rPr>
          <w:rFonts w:asciiTheme="majorHAnsi" w:hAnsiTheme="majorHAnsi" w:cstheme="majorHAnsi"/>
          <w:color w:val="000000"/>
        </w:rPr>
        <w:t>, 7(6), p. 1153. Available at: https://doi.org/10.4103/jfmpc.jfmpc_231_18.</w:t>
      </w:r>
      <w:r w:rsidRPr="00DA6076">
        <w:rPr>
          <w:rStyle w:val="apple-converted-space"/>
          <w:rFonts w:asciiTheme="majorHAnsi" w:hAnsiTheme="majorHAnsi" w:cstheme="majorHAnsi"/>
          <w:color w:val="000000"/>
        </w:rPr>
        <w:t> </w:t>
      </w:r>
    </w:p>
    <w:p w14:paraId="26584FE8" w14:textId="77777777" w:rsidR="00DA6076" w:rsidRPr="00DA6076" w:rsidRDefault="00DA6076" w:rsidP="00365466">
      <w:pPr>
        <w:pStyle w:val="NormalWeb"/>
        <w:ind w:left="567" w:hanging="567"/>
        <w:jc w:val="both"/>
        <w:rPr>
          <w:rFonts w:asciiTheme="majorHAnsi" w:hAnsiTheme="majorHAnsi" w:cstheme="majorHAnsi"/>
          <w:color w:val="000000"/>
        </w:rPr>
      </w:pPr>
      <w:proofErr w:type="spellStart"/>
      <w:r w:rsidRPr="00DA6076">
        <w:rPr>
          <w:rFonts w:asciiTheme="majorHAnsi" w:hAnsiTheme="majorHAnsi" w:cstheme="majorHAnsi"/>
          <w:color w:val="374151"/>
        </w:rPr>
        <w:t>Lalawmpuii</w:t>
      </w:r>
      <w:proofErr w:type="spellEnd"/>
      <w:r w:rsidRPr="00DA6076">
        <w:rPr>
          <w:rFonts w:asciiTheme="majorHAnsi" w:hAnsiTheme="majorHAnsi" w:cstheme="majorHAnsi"/>
          <w:color w:val="374151"/>
        </w:rPr>
        <w:t xml:space="preserve">, &amp; Rai, P. K. (2023). Role of water-energy-food nexus in environmental management and climate action. Energy Nexus, 11, 100230. </w:t>
      </w:r>
      <w:hyperlink r:id="rId47" w:tgtFrame="_new" w:history="1">
        <w:r w:rsidRPr="00DA6076">
          <w:rPr>
            <w:rStyle w:val="Hyperlink"/>
            <w:rFonts w:asciiTheme="majorHAnsi" w:hAnsiTheme="majorHAnsi" w:cstheme="majorHAnsi"/>
            <w:bdr w:val="single" w:sz="2" w:space="0" w:color="D9D9E3" w:frame="1"/>
          </w:rPr>
          <w:t>https://doi.org/10.1016/j.nexus.2023.100230</w:t>
        </w:r>
      </w:hyperlink>
    </w:p>
    <w:p w14:paraId="24FE2C1C" w14:textId="77777777" w:rsidR="00DA6076" w:rsidRPr="00DA6076" w:rsidRDefault="00DA6076" w:rsidP="003B2CAA">
      <w:pPr>
        <w:pStyle w:val="NormalWeb"/>
        <w:ind w:left="567" w:hanging="567"/>
        <w:rPr>
          <w:rFonts w:asciiTheme="majorHAnsi" w:hAnsiTheme="majorHAnsi" w:cstheme="majorHAnsi"/>
          <w:color w:val="000000"/>
        </w:rPr>
      </w:pPr>
      <w:r w:rsidRPr="00DA6076">
        <w:rPr>
          <w:rFonts w:asciiTheme="majorHAnsi" w:hAnsiTheme="majorHAnsi" w:cstheme="majorHAnsi"/>
          <w:color w:val="000000"/>
        </w:rPr>
        <w:t>Lama, P., Hamza, M. and Wester, M. (2020) “Gendered dimensions of migration in relation to climate change,”</w:t>
      </w:r>
      <w:r w:rsidRPr="00DA6076">
        <w:rPr>
          <w:rStyle w:val="apple-converted-space"/>
          <w:rFonts w:asciiTheme="majorHAnsi" w:hAnsiTheme="majorHAnsi" w:cstheme="majorHAnsi"/>
          <w:color w:val="000000"/>
        </w:rPr>
        <w:t> </w:t>
      </w:r>
      <w:r w:rsidRPr="00DA6076">
        <w:rPr>
          <w:rFonts w:asciiTheme="majorHAnsi" w:hAnsiTheme="majorHAnsi" w:cstheme="majorHAnsi"/>
          <w:i/>
          <w:iCs/>
          <w:color w:val="000000"/>
        </w:rPr>
        <w:t>Climate and Development</w:t>
      </w:r>
      <w:r w:rsidRPr="00DA6076">
        <w:rPr>
          <w:rFonts w:asciiTheme="majorHAnsi" w:hAnsiTheme="majorHAnsi" w:cstheme="majorHAnsi"/>
          <w:color w:val="000000"/>
        </w:rPr>
        <w:t>, 13(4), pp. 326–336. Available at: https://doi.org/10.1080/17565529.2020.1772708.</w:t>
      </w:r>
      <w:r w:rsidRPr="00DA6076">
        <w:rPr>
          <w:rStyle w:val="apple-converted-space"/>
          <w:rFonts w:asciiTheme="majorHAnsi" w:hAnsiTheme="majorHAnsi" w:cstheme="majorHAnsi"/>
          <w:color w:val="000000"/>
        </w:rPr>
        <w:t> </w:t>
      </w:r>
    </w:p>
    <w:p w14:paraId="45EEE3D2" w14:textId="77777777" w:rsidR="00DA6076" w:rsidRPr="00DA6076" w:rsidRDefault="00DA6076" w:rsidP="003B2CAA">
      <w:pPr>
        <w:pStyle w:val="NormalWeb"/>
        <w:ind w:left="567" w:hanging="567"/>
        <w:rPr>
          <w:rFonts w:asciiTheme="majorHAnsi" w:hAnsiTheme="majorHAnsi" w:cstheme="majorHAnsi"/>
          <w:color w:val="000000"/>
        </w:rPr>
      </w:pPr>
      <w:r w:rsidRPr="00DA6076">
        <w:rPr>
          <w:rFonts w:asciiTheme="majorHAnsi" w:hAnsiTheme="majorHAnsi" w:cstheme="majorHAnsi"/>
          <w:color w:val="000000"/>
        </w:rPr>
        <w:lastRenderedPageBreak/>
        <w:t>Langford, M. (2016) “Lost in transformation? the politics of the sustainable development goals,”</w:t>
      </w:r>
      <w:r w:rsidRPr="00DA6076">
        <w:rPr>
          <w:rStyle w:val="apple-converted-space"/>
          <w:rFonts w:asciiTheme="majorHAnsi" w:hAnsiTheme="majorHAnsi" w:cstheme="majorHAnsi"/>
          <w:color w:val="000000"/>
        </w:rPr>
        <w:t> </w:t>
      </w:r>
      <w:r w:rsidRPr="00DA6076">
        <w:rPr>
          <w:rFonts w:asciiTheme="majorHAnsi" w:hAnsiTheme="majorHAnsi" w:cstheme="majorHAnsi"/>
          <w:i/>
          <w:iCs/>
          <w:color w:val="000000"/>
        </w:rPr>
        <w:t>Ethics &amp; International Affairs</w:t>
      </w:r>
      <w:r w:rsidRPr="00DA6076">
        <w:rPr>
          <w:rFonts w:asciiTheme="majorHAnsi" w:hAnsiTheme="majorHAnsi" w:cstheme="majorHAnsi"/>
          <w:color w:val="000000"/>
        </w:rPr>
        <w:t>, 30(2), pp. 167–176. Available at: https://doi.org/10.1017/s0892679416000058.</w:t>
      </w:r>
      <w:r w:rsidRPr="00DA6076">
        <w:rPr>
          <w:rStyle w:val="apple-converted-space"/>
          <w:rFonts w:asciiTheme="majorHAnsi" w:hAnsiTheme="majorHAnsi" w:cstheme="majorHAnsi"/>
          <w:color w:val="000000"/>
        </w:rPr>
        <w:t> </w:t>
      </w:r>
    </w:p>
    <w:p w14:paraId="78A6CB39" w14:textId="77777777" w:rsidR="00DA6076" w:rsidRPr="00DA6076" w:rsidRDefault="00DA6076" w:rsidP="003B2CAA">
      <w:pPr>
        <w:pStyle w:val="NormalWeb"/>
        <w:ind w:left="567" w:hanging="567"/>
        <w:rPr>
          <w:rFonts w:asciiTheme="majorHAnsi" w:hAnsiTheme="majorHAnsi" w:cstheme="majorHAnsi"/>
          <w:color w:val="000000"/>
        </w:rPr>
      </w:pPr>
      <w:proofErr w:type="spellStart"/>
      <w:r w:rsidRPr="00DA6076">
        <w:rPr>
          <w:rFonts w:asciiTheme="majorHAnsi" w:hAnsiTheme="majorHAnsi" w:cstheme="majorHAnsi"/>
          <w:color w:val="000000"/>
        </w:rPr>
        <w:t>Libório</w:t>
      </w:r>
      <w:proofErr w:type="spellEnd"/>
      <w:r w:rsidRPr="00DA6076">
        <w:rPr>
          <w:rFonts w:asciiTheme="majorHAnsi" w:hAnsiTheme="majorHAnsi" w:cstheme="majorHAnsi"/>
          <w:color w:val="000000"/>
        </w:rPr>
        <w:t>, M.P.</w:t>
      </w:r>
      <w:r w:rsidRPr="00DA6076">
        <w:rPr>
          <w:rStyle w:val="apple-converted-space"/>
          <w:rFonts w:asciiTheme="majorHAnsi" w:eastAsiaTheme="majorEastAsia" w:hAnsiTheme="majorHAnsi" w:cstheme="majorHAnsi"/>
          <w:color w:val="000000"/>
        </w:rPr>
        <w:t> </w:t>
      </w:r>
      <w:r w:rsidRPr="00DA6076">
        <w:rPr>
          <w:rFonts w:asciiTheme="majorHAnsi" w:hAnsiTheme="majorHAnsi" w:cstheme="majorHAnsi"/>
          <w:i/>
          <w:iCs/>
          <w:color w:val="000000"/>
        </w:rPr>
        <w:t>et al.</w:t>
      </w:r>
      <w:r w:rsidRPr="00DA6076">
        <w:rPr>
          <w:rStyle w:val="apple-converted-space"/>
          <w:rFonts w:asciiTheme="majorHAnsi" w:eastAsiaTheme="majorEastAsia" w:hAnsiTheme="majorHAnsi" w:cstheme="majorHAnsi"/>
          <w:color w:val="000000"/>
        </w:rPr>
        <w:t> </w:t>
      </w:r>
      <w:r w:rsidRPr="00DA6076">
        <w:rPr>
          <w:rFonts w:asciiTheme="majorHAnsi" w:hAnsiTheme="majorHAnsi" w:cstheme="majorHAnsi"/>
          <w:color w:val="000000"/>
        </w:rPr>
        <w:t>(2022) “Consensus-based sub-indicator weighting approach: Constructing Composite Indicators compatible with expert opinion,”</w:t>
      </w:r>
      <w:r w:rsidRPr="00DA6076">
        <w:rPr>
          <w:rStyle w:val="apple-converted-space"/>
          <w:rFonts w:asciiTheme="majorHAnsi" w:eastAsiaTheme="majorEastAsia" w:hAnsiTheme="majorHAnsi" w:cstheme="majorHAnsi"/>
          <w:color w:val="000000"/>
        </w:rPr>
        <w:t> </w:t>
      </w:r>
      <w:r w:rsidRPr="00DA6076">
        <w:rPr>
          <w:rFonts w:asciiTheme="majorHAnsi" w:hAnsiTheme="majorHAnsi" w:cstheme="majorHAnsi"/>
          <w:i/>
          <w:iCs/>
          <w:color w:val="000000"/>
        </w:rPr>
        <w:t>Social Indicators Research</w:t>
      </w:r>
      <w:r w:rsidRPr="00DA6076">
        <w:rPr>
          <w:rFonts w:asciiTheme="majorHAnsi" w:hAnsiTheme="majorHAnsi" w:cstheme="majorHAnsi"/>
          <w:color w:val="000000"/>
        </w:rPr>
        <w:t>, 164(3), pp. 1073–1099. Available at: https://doi.org/10.1007/s11205-022-02989-4.</w:t>
      </w:r>
      <w:r w:rsidRPr="00DA6076">
        <w:rPr>
          <w:rStyle w:val="apple-converted-space"/>
          <w:rFonts w:asciiTheme="majorHAnsi" w:eastAsiaTheme="majorEastAsia" w:hAnsiTheme="majorHAnsi" w:cstheme="majorHAnsi"/>
          <w:color w:val="000000"/>
        </w:rPr>
        <w:t> </w:t>
      </w:r>
    </w:p>
    <w:p w14:paraId="31CF450A" w14:textId="77777777" w:rsidR="00DA6076" w:rsidRPr="00DA6076" w:rsidRDefault="00DA6076" w:rsidP="003B2CAA">
      <w:pPr>
        <w:pStyle w:val="NormalWeb"/>
        <w:ind w:left="567" w:hanging="567"/>
        <w:rPr>
          <w:rFonts w:asciiTheme="majorHAnsi" w:hAnsiTheme="majorHAnsi" w:cstheme="majorHAnsi"/>
          <w:color w:val="000000"/>
        </w:rPr>
      </w:pPr>
      <w:r w:rsidRPr="00DA6076">
        <w:rPr>
          <w:rFonts w:asciiTheme="majorHAnsi" w:hAnsiTheme="majorHAnsi" w:cstheme="majorHAnsi"/>
          <w:color w:val="000000"/>
        </w:rPr>
        <w:t xml:space="preserve">Lim, M.M., </w:t>
      </w:r>
      <w:proofErr w:type="spellStart"/>
      <w:r w:rsidRPr="00DA6076">
        <w:rPr>
          <w:rFonts w:asciiTheme="majorHAnsi" w:hAnsiTheme="majorHAnsi" w:cstheme="majorHAnsi"/>
          <w:color w:val="000000"/>
        </w:rPr>
        <w:t>Søgaard</w:t>
      </w:r>
      <w:proofErr w:type="spellEnd"/>
      <w:r w:rsidRPr="00DA6076">
        <w:rPr>
          <w:rFonts w:asciiTheme="majorHAnsi" w:hAnsiTheme="majorHAnsi" w:cstheme="majorHAnsi"/>
          <w:color w:val="000000"/>
        </w:rPr>
        <w:t xml:space="preserve"> </w:t>
      </w:r>
      <w:proofErr w:type="spellStart"/>
      <w:r w:rsidRPr="00DA6076">
        <w:rPr>
          <w:rFonts w:asciiTheme="majorHAnsi" w:hAnsiTheme="majorHAnsi" w:cstheme="majorHAnsi"/>
          <w:color w:val="000000"/>
        </w:rPr>
        <w:t>Jørgensen</w:t>
      </w:r>
      <w:proofErr w:type="spellEnd"/>
      <w:r w:rsidRPr="00DA6076">
        <w:rPr>
          <w:rFonts w:asciiTheme="majorHAnsi" w:hAnsiTheme="majorHAnsi" w:cstheme="majorHAnsi"/>
          <w:color w:val="000000"/>
        </w:rPr>
        <w:t xml:space="preserve">, P. and </w:t>
      </w:r>
      <w:proofErr w:type="spellStart"/>
      <w:r w:rsidRPr="00DA6076">
        <w:rPr>
          <w:rFonts w:asciiTheme="majorHAnsi" w:hAnsiTheme="majorHAnsi" w:cstheme="majorHAnsi"/>
          <w:color w:val="000000"/>
        </w:rPr>
        <w:t>Wyborn</w:t>
      </w:r>
      <w:proofErr w:type="spellEnd"/>
      <w:r w:rsidRPr="00DA6076">
        <w:rPr>
          <w:rFonts w:asciiTheme="majorHAnsi" w:hAnsiTheme="majorHAnsi" w:cstheme="majorHAnsi"/>
          <w:color w:val="000000"/>
        </w:rPr>
        <w:t>, C.A. (2018) “Reframing the Sustainable Development Goals to achieve sustainable development in the Anthropocene—A Systems Approach,”</w:t>
      </w:r>
      <w:r w:rsidRPr="00DA6076">
        <w:rPr>
          <w:rStyle w:val="apple-converted-space"/>
          <w:rFonts w:asciiTheme="majorHAnsi" w:hAnsiTheme="majorHAnsi" w:cstheme="majorHAnsi"/>
          <w:color w:val="000000"/>
        </w:rPr>
        <w:t> </w:t>
      </w:r>
      <w:r w:rsidRPr="00DA6076">
        <w:rPr>
          <w:rFonts w:asciiTheme="majorHAnsi" w:hAnsiTheme="majorHAnsi" w:cstheme="majorHAnsi"/>
          <w:i/>
          <w:iCs/>
          <w:color w:val="000000"/>
        </w:rPr>
        <w:t>Ecology and Society</w:t>
      </w:r>
      <w:r w:rsidRPr="00DA6076">
        <w:rPr>
          <w:rFonts w:asciiTheme="majorHAnsi" w:hAnsiTheme="majorHAnsi" w:cstheme="majorHAnsi"/>
          <w:color w:val="000000"/>
        </w:rPr>
        <w:t>, 23(3). Available at: https://doi.org/10.5751/es-10182-230322.</w:t>
      </w:r>
      <w:r w:rsidRPr="00DA6076">
        <w:rPr>
          <w:rStyle w:val="apple-converted-space"/>
          <w:rFonts w:asciiTheme="majorHAnsi" w:hAnsiTheme="majorHAnsi" w:cstheme="majorHAnsi"/>
          <w:color w:val="000000"/>
        </w:rPr>
        <w:t> </w:t>
      </w:r>
    </w:p>
    <w:p w14:paraId="779869DF" w14:textId="77777777" w:rsidR="00DA6076" w:rsidRPr="00DA6076" w:rsidRDefault="00DA6076" w:rsidP="003B2CAA">
      <w:pPr>
        <w:pStyle w:val="NormalWeb"/>
        <w:ind w:left="567" w:hanging="567"/>
        <w:rPr>
          <w:rFonts w:asciiTheme="majorHAnsi" w:hAnsiTheme="majorHAnsi" w:cstheme="majorHAnsi"/>
          <w:color w:val="000000"/>
        </w:rPr>
      </w:pPr>
      <w:proofErr w:type="spellStart"/>
      <w:r w:rsidRPr="00DA6076">
        <w:rPr>
          <w:rFonts w:asciiTheme="majorHAnsi" w:hAnsiTheme="majorHAnsi" w:cstheme="majorHAnsi"/>
          <w:color w:val="000000"/>
        </w:rPr>
        <w:t>Lomazzi</w:t>
      </w:r>
      <w:proofErr w:type="spellEnd"/>
      <w:r w:rsidRPr="00DA6076">
        <w:rPr>
          <w:rFonts w:asciiTheme="majorHAnsi" w:hAnsiTheme="majorHAnsi" w:cstheme="majorHAnsi"/>
          <w:color w:val="000000"/>
        </w:rPr>
        <w:t xml:space="preserve">, M., </w:t>
      </w:r>
      <w:proofErr w:type="spellStart"/>
      <w:r w:rsidRPr="00DA6076">
        <w:rPr>
          <w:rFonts w:asciiTheme="majorHAnsi" w:hAnsiTheme="majorHAnsi" w:cstheme="majorHAnsi"/>
          <w:color w:val="000000"/>
        </w:rPr>
        <w:t>Borisch</w:t>
      </w:r>
      <w:proofErr w:type="spellEnd"/>
      <w:r w:rsidRPr="00DA6076">
        <w:rPr>
          <w:rFonts w:asciiTheme="majorHAnsi" w:hAnsiTheme="majorHAnsi" w:cstheme="majorHAnsi"/>
          <w:color w:val="000000"/>
        </w:rPr>
        <w:t xml:space="preserve">, B. and </w:t>
      </w:r>
      <w:proofErr w:type="spellStart"/>
      <w:r w:rsidRPr="00DA6076">
        <w:rPr>
          <w:rFonts w:asciiTheme="majorHAnsi" w:hAnsiTheme="majorHAnsi" w:cstheme="majorHAnsi"/>
          <w:color w:val="000000"/>
        </w:rPr>
        <w:t>Laaser</w:t>
      </w:r>
      <w:proofErr w:type="spellEnd"/>
      <w:r w:rsidRPr="00DA6076">
        <w:rPr>
          <w:rFonts w:asciiTheme="majorHAnsi" w:hAnsiTheme="majorHAnsi" w:cstheme="majorHAnsi"/>
          <w:color w:val="000000"/>
        </w:rPr>
        <w:t>, U. (2014) “The Millennium Development Goals: Experiences, achievements and what's next,”</w:t>
      </w:r>
      <w:r w:rsidRPr="00DA6076">
        <w:rPr>
          <w:rStyle w:val="apple-converted-space"/>
          <w:rFonts w:asciiTheme="majorHAnsi" w:hAnsiTheme="majorHAnsi" w:cstheme="majorHAnsi"/>
          <w:color w:val="000000"/>
        </w:rPr>
        <w:t> </w:t>
      </w:r>
      <w:r w:rsidRPr="00DA6076">
        <w:rPr>
          <w:rFonts w:asciiTheme="majorHAnsi" w:hAnsiTheme="majorHAnsi" w:cstheme="majorHAnsi"/>
          <w:i/>
          <w:iCs/>
          <w:color w:val="000000"/>
        </w:rPr>
        <w:t>Global Health Action</w:t>
      </w:r>
      <w:r w:rsidRPr="00DA6076">
        <w:rPr>
          <w:rFonts w:asciiTheme="majorHAnsi" w:hAnsiTheme="majorHAnsi" w:cstheme="majorHAnsi"/>
          <w:color w:val="000000"/>
        </w:rPr>
        <w:t>, 7(1), p. 23695. Available at: https://doi.org/10.3402/gha.v7.23695.</w:t>
      </w:r>
      <w:r w:rsidRPr="00DA6076">
        <w:rPr>
          <w:rStyle w:val="apple-converted-space"/>
          <w:rFonts w:asciiTheme="majorHAnsi" w:hAnsiTheme="majorHAnsi" w:cstheme="majorHAnsi"/>
          <w:color w:val="000000"/>
        </w:rPr>
        <w:t> </w:t>
      </w:r>
    </w:p>
    <w:p w14:paraId="2D2276AA" w14:textId="77777777" w:rsidR="00DA6076" w:rsidRPr="00DA6076" w:rsidRDefault="00DA6076" w:rsidP="003B2CAA">
      <w:pPr>
        <w:pStyle w:val="NormalWeb"/>
        <w:ind w:left="567" w:hanging="567"/>
        <w:rPr>
          <w:rStyle w:val="apple-converted-space"/>
          <w:rFonts w:asciiTheme="majorHAnsi" w:hAnsiTheme="majorHAnsi" w:cstheme="majorHAnsi"/>
          <w:color w:val="000000"/>
        </w:rPr>
      </w:pPr>
      <w:proofErr w:type="spellStart"/>
      <w:r w:rsidRPr="00DA6076">
        <w:rPr>
          <w:rFonts w:asciiTheme="majorHAnsi" w:hAnsiTheme="majorHAnsi" w:cstheme="majorHAnsi"/>
          <w:color w:val="000000"/>
        </w:rPr>
        <w:t>Lyytimäki</w:t>
      </w:r>
      <w:proofErr w:type="spellEnd"/>
      <w:r w:rsidRPr="00DA6076">
        <w:rPr>
          <w:rFonts w:asciiTheme="majorHAnsi" w:hAnsiTheme="majorHAnsi" w:cstheme="majorHAnsi"/>
          <w:color w:val="000000"/>
        </w:rPr>
        <w:t>, J.</w:t>
      </w:r>
      <w:r w:rsidRPr="00DA6076">
        <w:rPr>
          <w:rStyle w:val="apple-converted-space"/>
          <w:rFonts w:asciiTheme="majorHAnsi" w:hAnsiTheme="majorHAnsi" w:cstheme="majorHAnsi"/>
          <w:color w:val="000000"/>
        </w:rPr>
        <w:t> </w:t>
      </w:r>
      <w:r w:rsidRPr="00DA6076">
        <w:rPr>
          <w:rFonts w:asciiTheme="majorHAnsi" w:hAnsiTheme="majorHAnsi" w:cstheme="majorHAnsi"/>
          <w:i/>
          <w:iCs/>
          <w:color w:val="000000"/>
        </w:rPr>
        <w:t>et al.</w:t>
      </w:r>
      <w:r w:rsidRPr="00DA6076">
        <w:rPr>
          <w:rStyle w:val="apple-converted-space"/>
          <w:rFonts w:asciiTheme="majorHAnsi" w:hAnsiTheme="majorHAnsi" w:cstheme="majorHAnsi"/>
          <w:color w:val="000000"/>
        </w:rPr>
        <w:t> </w:t>
      </w:r>
      <w:r w:rsidRPr="00DA6076">
        <w:rPr>
          <w:rFonts w:asciiTheme="majorHAnsi" w:hAnsiTheme="majorHAnsi" w:cstheme="majorHAnsi"/>
          <w:color w:val="000000"/>
        </w:rPr>
        <w:t>(2020) “Risks of producing and using indicators of Sustainable Development Goals,”</w:t>
      </w:r>
      <w:r w:rsidRPr="00DA6076">
        <w:rPr>
          <w:rStyle w:val="apple-converted-space"/>
          <w:rFonts w:asciiTheme="majorHAnsi" w:hAnsiTheme="majorHAnsi" w:cstheme="majorHAnsi"/>
          <w:color w:val="000000"/>
        </w:rPr>
        <w:t> </w:t>
      </w:r>
      <w:r w:rsidRPr="00DA6076">
        <w:rPr>
          <w:rFonts w:asciiTheme="majorHAnsi" w:hAnsiTheme="majorHAnsi" w:cstheme="majorHAnsi"/>
          <w:i/>
          <w:iCs/>
          <w:color w:val="000000"/>
        </w:rPr>
        <w:t>Sustainable Development</w:t>
      </w:r>
      <w:r w:rsidRPr="00DA6076">
        <w:rPr>
          <w:rFonts w:asciiTheme="majorHAnsi" w:hAnsiTheme="majorHAnsi" w:cstheme="majorHAnsi"/>
          <w:color w:val="000000"/>
        </w:rPr>
        <w:t>, 28(6), pp. 1528–1538. Available at: https://doi.org/10.1002/sd.2102.</w:t>
      </w:r>
      <w:r w:rsidRPr="00DA6076">
        <w:rPr>
          <w:rStyle w:val="apple-converted-space"/>
          <w:rFonts w:asciiTheme="majorHAnsi" w:hAnsiTheme="majorHAnsi" w:cstheme="majorHAnsi"/>
          <w:color w:val="000000"/>
        </w:rPr>
        <w:t> </w:t>
      </w:r>
    </w:p>
    <w:p w14:paraId="1E2F2BE8" w14:textId="77777777" w:rsidR="00DA6076" w:rsidRPr="00DA6076" w:rsidRDefault="00DA6076" w:rsidP="003B2CAA">
      <w:pPr>
        <w:pStyle w:val="NormalWeb"/>
        <w:ind w:left="567" w:hanging="567"/>
        <w:rPr>
          <w:rFonts w:asciiTheme="majorHAnsi" w:hAnsiTheme="majorHAnsi" w:cstheme="majorHAnsi"/>
          <w:color w:val="000000"/>
        </w:rPr>
      </w:pPr>
      <w:r w:rsidRPr="00DA6076">
        <w:rPr>
          <w:rFonts w:asciiTheme="majorHAnsi" w:hAnsiTheme="majorHAnsi" w:cstheme="majorHAnsi"/>
          <w:color w:val="000000"/>
        </w:rPr>
        <w:t xml:space="preserve">Mackey, T.K., </w:t>
      </w:r>
      <w:proofErr w:type="spellStart"/>
      <w:r w:rsidRPr="00DA6076">
        <w:rPr>
          <w:rFonts w:asciiTheme="majorHAnsi" w:hAnsiTheme="majorHAnsi" w:cstheme="majorHAnsi"/>
          <w:color w:val="000000"/>
        </w:rPr>
        <w:t>Vian</w:t>
      </w:r>
      <w:proofErr w:type="spellEnd"/>
      <w:r w:rsidRPr="00DA6076">
        <w:rPr>
          <w:rFonts w:asciiTheme="majorHAnsi" w:hAnsiTheme="majorHAnsi" w:cstheme="majorHAnsi"/>
          <w:color w:val="000000"/>
        </w:rPr>
        <w:t>, T. and Kohler, J. (2018) “The Sustainable Development Goals as a framework to combat health-sector corruption,”</w:t>
      </w:r>
      <w:r w:rsidRPr="00DA6076">
        <w:rPr>
          <w:rStyle w:val="apple-converted-space"/>
          <w:rFonts w:asciiTheme="majorHAnsi" w:hAnsiTheme="majorHAnsi" w:cstheme="majorHAnsi"/>
          <w:color w:val="000000"/>
        </w:rPr>
        <w:t> </w:t>
      </w:r>
      <w:r w:rsidRPr="00DA6076">
        <w:rPr>
          <w:rFonts w:asciiTheme="majorHAnsi" w:hAnsiTheme="majorHAnsi" w:cstheme="majorHAnsi"/>
          <w:i/>
          <w:iCs/>
          <w:color w:val="000000"/>
        </w:rPr>
        <w:t>Bulletin of the World Health Organization</w:t>
      </w:r>
      <w:r w:rsidRPr="00DA6076">
        <w:rPr>
          <w:rFonts w:asciiTheme="majorHAnsi" w:hAnsiTheme="majorHAnsi" w:cstheme="majorHAnsi"/>
          <w:color w:val="000000"/>
        </w:rPr>
        <w:t>, 96(9), pp. 634–643. Available at: https://doi.org/10.2471/blt.18.209502.</w:t>
      </w:r>
      <w:r w:rsidRPr="00DA6076">
        <w:rPr>
          <w:rStyle w:val="apple-converted-space"/>
          <w:rFonts w:asciiTheme="majorHAnsi" w:hAnsiTheme="majorHAnsi" w:cstheme="majorHAnsi"/>
          <w:color w:val="000000"/>
        </w:rPr>
        <w:t> </w:t>
      </w:r>
    </w:p>
    <w:p w14:paraId="12B41616" w14:textId="77777777" w:rsidR="00DA6076" w:rsidRPr="00DA6076" w:rsidRDefault="00DA6076" w:rsidP="003B2CAA">
      <w:pPr>
        <w:pStyle w:val="NormalWeb"/>
        <w:ind w:left="567" w:hanging="567"/>
        <w:rPr>
          <w:rFonts w:asciiTheme="majorHAnsi" w:hAnsiTheme="majorHAnsi" w:cstheme="majorHAnsi"/>
          <w:color w:val="000000"/>
        </w:rPr>
      </w:pPr>
      <w:proofErr w:type="spellStart"/>
      <w:r w:rsidRPr="00DA6076">
        <w:rPr>
          <w:rFonts w:asciiTheme="majorHAnsi" w:hAnsiTheme="majorHAnsi" w:cstheme="majorHAnsi"/>
          <w:color w:val="000000"/>
        </w:rPr>
        <w:t>Marmolejo</w:t>
      </w:r>
      <w:proofErr w:type="spellEnd"/>
      <w:r w:rsidRPr="00DA6076">
        <w:rPr>
          <w:rFonts w:asciiTheme="majorHAnsi" w:hAnsiTheme="majorHAnsi" w:cstheme="majorHAnsi"/>
          <w:color w:val="000000"/>
        </w:rPr>
        <w:t xml:space="preserve"> Cervantes, M.Á., </w:t>
      </w:r>
      <w:proofErr w:type="spellStart"/>
      <w:r w:rsidRPr="00DA6076">
        <w:rPr>
          <w:rFonts w:asciiTheme="majorHAnsi" w:hAnsiTheme="majorHAnsi" w:cstheme="majorHAnsi"/>
          <w:color w:val="000000"/>
        </w:rPr>
        <w:t>Roeben</w:t>
      </w:r>
      <w:proofErr w:type="spellEnd"/>
      <w:r w:rsidRPr="00DA6076">
        <w:rPr>
          <w:rFonts w:asciiTheme="majorHAnsi" w:hAnsiTheme="majorHAnsi" w:cstheme="majorHAnsi"/>
          <w:color w:val="000000"/>
        </w:rPr>
        <w:t>, V. and Solís, L.R. (2022) “Global climate change action as a jus cogens norm: Some legal reflections on the emerging evidence,”</w:t>
      </w:r>
      <w:r w:rsidRPr="00DA6076">
        <w:rPr>
          <w:rStyle w:val="apple-converted-space"/>
          <w:rFonts w:asciiTheme="majorHAnsi" w:hAnsiTheme="majorHAnsi" w:cstheme="majorHAnsi"/>
          <w:color w:val="000000"/>
        </w:rPr>
        <w:t> </w:t>
      </w:r>
      <w:r w:rsidRPr="00DA6076">
        <w:rPr>
          <w:rFonts w:asciiTheme="majorHAnsi" w:hAnsiTheme="majorHAnsi" w:cstheme="majorHAnsi"/>
          <w:i/>
          <w:iCs/>
          <w:color w:val="000000"/>
        </w:rPr>
        <w:t>Environmental Policy and Law</w:t>
      </w:r>
      <w:r w:rsidRPr="00DA6076">
        <w:rPr>
          <w:rFonts w:asciiTheme="majorHAnsi" w:hAnsiTheme="majorHAnsi" w:cstheme="majorHAnsi"/>
          <w:color w:val="000000"/>
        </w:rPr>
        <w:t>, 52(5-6), pp. 359–373. Available at: https://doi.org/10.3233/epl-219019.</w:t>
      </w:r>
      <w:r w:rsidRPr="00DA6076">
        <w:rPr>
          <w:rStyle w:val="apple-converted-space"/>
          <w:rFonts w:asciiTheme="majorHAnsi" w:hAnsiTheme="majorHAnsi" w:cstheme="majorHAnsi"/>
          <w:color w:val="000000"/>
        </w:rPr>
        <w:t> </w:t>
      </w:r>
    </w:p>
    <w:p w14:paraId="21C00351" w14:textId="77777777" w:rsidR="00DA6076" w:rsidRPr="00DA6076" w:rsidRDefault="00DA6076" w:rsidP="003B2CAA">
      <w:pPr>
        <w:pStyle w:val="NormalWeb"/>
        <w:ind w:left="567" w:hanging="567"/>
        <w:rPr>
          <w:rStyle w:val="apple-converted-space"/>
          <w:rFonts w:asciiTheme="majorHAnsi" w:eastAsiaTheme="majorEastAsia" w:hAnsiTheme="majorHAnsi" w:cstheme="majorHAnsi"/>
          <w:color w:val="000000"/>
        </w:rPr>
      </w:pPr>
      <w:r w:rsidRPr="00DA6076">
        <w:rPr>
          <w:rFonts w:asciiTheme="majorHAnsi" w:hAnsiTheme="majorHAnsi" w:cstheme="majorHAnsi"/>
          <w:color w:val="000000"/>
        </w:rPr>
        <w:t>Massey, A. (2022) “Sustainable development goals and their fit with good governance,”</w:t>
      </w:r>
      <w:r w:rsidRPr="00DA6076">
        <w:rPr>
          <w:rStyle w:val="apple-converted-space"/>
          <w:rFonts w:asciiTheme="majorHAnsi" w:eastAsiaTheme="majorEastAsia" w:hAnsiTheme="majorHAnsi" w:cstheme="majorHAnsi"/>
          <w:color w:val="000000"/>
        </w:rPr>
        <w:t> </w:t>
      </w:r>
      <w:r w:rsidRPr="00DA6076">
        <w:rPr>
          <w:rFonts w:asciiTheme="majorHAnsi" w:hAnsiTheme="majorHAnsi" w:cstheme="majorHAnsi"/>
          <w:i/>
          <w:iCs/>
          <w:color w:val="000000"/>
        </w:rPr>
        <w:t>Global Policy</w:t>
      </w:r>
      <w:r w:rsidRPr="00DA6076">
        <w:rPr>
          <w:rFonts w:asciiTheme="majorHAnsi" w:hAnsiTheme="majorHAnsi" w:cstheme="majorHAnsi"/>
          <w:color w:val="000000"/>
        </w:rPr>
        <w:t>, 13(S1), pp. 79–85. Available at: https://doi.org/10.1111/1758-5899.13037.</w:t>
      </w:r>
      <w:r w:rsidRPr="00DA6076">
        <w:rPr>
          <w:rStyle w:val="apple-converted-space"/>
          <w:rFonts w:asciiTheme="majorHAnsi" w:eastAsiaTheme="majorEastAsia" w:hAnsiTheme="majorHAnsi" w:cstheme="majorHAnsi"/>
          <w:color w:val="000000"/>
        </w:rPr>
        <w:t> </w:t>
      </w:r>
    </w:p>
    <w:p w14:paraId="5E4BEC2D" w14:textId="77777777" w:rsidR="00DA6076" w:rsidRPr="00DA6076" w:rsidRDefault="00DA6076" w:rsidP="003B2CAA">
      <w:pPr>
        <w:pStyle w:val="NormalWeb"/>
        <w:ind w:left="567" w:hanging="567"/>
        <w:rPr>
          <w:rFonts w:asciiTheme="majorHAnsi" w:hAnsiTheme="majorHAnsi" w:cstheme="majorHAnsi"/>
          <w:color w:val="000000"/>
        </w:rPr>
      </w:pPr>
      <w:r w:rsidRPr="00DA6076">
        <w:rPr>
          <w:rFonts w:asciiTheme="majorHAnsi" w:hAnsiTheme="majorHAnsi" w:cstheme="majorHAnsi"/>
          <w:color w:val="000000"/>
        </w:rPr>
        <w:t>McArthur, J.W. and Rasmussen, K. (2019) “Classifying sustainable development goal trajectories: A country-level methodology for identifying which issues and people are getting left behind,”</w:t>
      </w:r>
      <w:r w:rsidRPr="00DA6076">
        <w:rPr>
          <w:rStyle w:val="apple-converted-space"/>
          <w:rFonts w:asciiTheme="majorHAnsi" w:hAnsiTheme="majorHAnsi" w:cstheme="majorHAnsi"/>
          <w:color w:val="000000"/>
        </w:rPr>
        <w:t> </w:t>
      </w:r>
      <w:r w:rsidRPr="00DA6076">
        <w:rPr>
          <w:rFonts w:asciiTheme="majorHAnsi" w:hAnsiTheme="majorHAnsi" w:cstheme="majorHAnsi"/>
          <w:i/>
          <w:iCs/>
          <w:color w:val="000000"/>
        </w:rPr>
        <w:t>World Development</w:t>
      </w:r>
      <w:r w:rsidRPr="00DA6076">
        <w:rPr>
          <w:rFonts w:asciiTheme="majorHAnsi" w:hAnsiTheme="majorHAnsi" w:cstheme="majorHAnsi"/>
          <w:color w:val="000000"/>
        </w:rPr>
        <w:t>, 123, p. 608. Available at: https://doi.org/10.1016/j.worlddev.2019.06.031.</w:t>
      </w:r>
      <w:r w:rsidRPr="00DA6076">
        <w:rPr>
          <w:rStyle w:val="apple-converted-space"/>
          <w:rFonts w:asciiTheme="majorHAnsi" w:hAnsiTheme="majorHAnsi" w:cstheme="majorHAnsi"/>
          <w:color w:val="000000"/>
        </w:rPr>
        <w:t> </w:t>
      </w:r>
    </w:p>
    <w:p w14:paraId="21B06B91" w14:textId="77777777" w:rsidR="00DA6076" w:rsidRPr="00DA6076" w:rsidRDefault="00DA6076" w:rsidP="003B2CAA">
      <w:pPr>
        <w:pStyle w:val="NormalWeb"/>
        <w:ind w:left="567" w:hanging="567"/>
        <w:rPr>
          <w:rStyle w:val="apple-converted-space"/>
          <w:rFonts w:asciiTheme="majorHAnsi" w:hAnsiTheme="majorHAnsi" w:cstheme="majorHAnsi"/>
          <w:color w:val="000000"/>
        </w:rPr>
      </w:pPr>
      <w:proofErr w:type="spellStart"/>
      <w:r w:rsidRPr="00DA6076">
        <w:rPr>
          <w:rFonts w:asciiTheme="majorHAnsi" w:hAnsiTheme="majorHAnsi" w:cstheme="majorHAnsi"/>
          <w:color w:val="000000"/>
        </w:rPr>
        <w:t>Mdingi</w:t>
      </w:r>
      <w:proofErr w:type="spellEnd"/>
      <w:r w:rsidRPr="00DA6076">
        <w:rPr>
          <w:rFonts w:asciiTheme="majorHAnsi" w:hAnsiTheme="majorHAnsi" w:cstheme="majorHAnsi"/>
          <w:color w:val="000000"/>
        </w:rPr>
        <w:t>, K. and Ho, S.-Y. (2021) “Literature review on income inequality and economic growth,”</w:t>
      </w:r>
      <w:r w:rsidRPr="00DA6076">
        <w:rPr>
          <w:rStyle w:val="apple-converted-space"/>
          <w:rFonts w:asciiTheme="majorHAnsi" w:hAnsiTheme="majorHAnsi" w:cstheme="majorHAnsi"/>
          <w:color w:val="000000"/>
        </w:rPr>
        <w:t> </w:t>
      </w:r>
      <w:proofErr w:type="spellStart"/>
      <w:r w:rsidRPr="00DA6076">
        <w:rPr>
          <w:rFonts w:asciiTheme="majorHAnsi" w:hAnsiTheme="majorHAnsi" w:cstheme="majorHAnsi"/>
          <w:i/>
          <w:iCs/>
          <w:color w:val="000000"/>
        </w:rPr>
        <w:t>MethodsX</w:t>
      </w:r>
      <w:proofErr w:type="spellEnd"/>
      <w:r w:rsidRPr="00DA6076">
        <w:rPr>
          <w:rFonts w:asciiTheme="majorHAnsi" w:hAnsiTheme="majorHAnsi" w:cstheme="majorHAnsi"/>
          <w:color w:val="000000"/>
        </w:rPr>
        <w:t>, 8, p. 101402. Available at: https://doi.org/10.1016/j.mex.2021.101402.</w:t>
      </w:r>
      <w:r w:rsidRPr="00DA6076">
        <w:rPr>
          <w:rStyle w:val="apple-converted-space"/>
          <w:rFonts w:asciiTheme="majorHAnsi" w:hAnsiTheme="majorHAnsi" w:cstheme="majorHAnsi"/>
          <w:color w:val="000000"/>
        </w:rPr>
        <w:t> </w:t>
      </w:r>
    </w:p>
    <w:p w14:paraId="081B5EC3" w14:textId="77777777" w:rsidR="00DA6076" w:rsidRPr="00DA6076" w:rsidRDefault="00DA6076" w:rsidP="003B2CAA">
      <w:pPr>
        <w:pStyle w:val="NormalWeb"/>
        <w:ind w:left="567" w:hanging="567"/>
        <w:rPr>
          <w:rFonts w:asciiTheme="majorHAnsi" w:hAnsiTheme="majorHAnsi" w:cstheme="majorHAnsi"/>
          <w:color w:val="000000"/>
        </w:rPr>
      </w:pPr>
      <w:r w:rsidRPr="00DA6076">
        <w:rPr>
          <w:rFonts w:asciiTheme="majorHAnsi" w:hAnsiTheme="majorHAnsi" w:cstheme="majorHAnsi"/>
          <w:color w:val="000000"/>
        </w:rPr>
        <w:t>Mensah, J. (2019) “Sustainable development: Meaning, history, principles, pillars, and implications for human action: Literature review,”</w:t>
      </w:r>
      <w:r w:rsidRPr="00DA6076">
        <w:rPr>
          <w:rStyle w:val="apple-converted-space"/>
          <w:rFonts w:asciiTheme="majorHAnsi" w:hAnsiTheme="majorHAnsi" w:cstheme="majorHAnsi"/>
          <w:color w:val="000000"/>
        </w:rPr>
        <w:t> </w:t>
      </w:r>
      <w:r w:rsidRPr="00DA6076">
        <w:rPr>
          <w:rFonts w:asciiTheme="majorHAnsi" w:hAnsiTheme="majorHAnsi" w:cstheme="majorHAnsi"/>
          <w:i/>
          <w:iCs/>
          <w:color w:val="000000"/>
        </w:rPr>
        <w:t>Cogent Social Sciences</w:t>
      </w:r>
      <w:r w:rsidRPr="00DA6076">
        <w:rPr>
          <w:rFonts w:asciiTheme="majorHAnsi" w:hAnsiTheme="majorHAnsi" w:cstheme="majorHAnsi"/>
          <w:color w:val="000000"/>
        </w:rPr>
        <w:t>, 5(1), p. 1653531. Available at: https://doi.org/10.1080/23311886.2019.1653531.</w:t>
      </w:r>
      <w:r w:rsidRPr="00DA6076">
        <w:rPr>
          <w:rStyle w:val="apple-converted-space"/>
          <w:rFonts w:asciiTheme="majorHAnsi" w:hAnsiTheme="majorHAnsi" w:cstheme="majorHAnsi"/>
          <w:color w:val="000000"/>
        </w:rPr>
        <w:t> </w:t>
      </w:r>
    </w:p>
    <w:p w14:paraId="1D0F2473" w14:textId="77777777" w:rsidR="00DA6076" w:rsidRPr="00DA6076" w:rsidRDefault="00DA6076" w:rsidP="003B2CAA">
      <w:pPr>
        <w:pStyle w:val="NormalWeb"/>
        <w:ind w:left="567" w:hanging="567"/>
        <w:rPr>
          <w:rFonts w:asciiTheme="majorHAnsi" w:hAnsiTheme="majorHAnsi" w:cstheme="majorHAnsi"/>
          <w:color w:val="000000"/>
        </w:rPr>
      </w:pPr>
      <w:proofErr w:type="spellStart"/>
      <w:r w:rsidRPr="00DA6076">
        <w:rPr>
          <w:rFonts w:asciiTheme="majorHAnsi" w:hAnsiTheme="majorHAnsi" w:cstheme="majorHAnsi"/>
          <w:color w:val="000000"/>
        </w:rPr>
        <w:t>Menton</w:t>
      </w:r>
      <w:proofErr w:type="spellEnd"/>
      <w:r w:rsidRPr="00DA6076">
        <w:rPr>
          <w:rFonts w:asciiTheme="majorHAnsi" w:hAnsiTheme="majorHAnsi" w:cstheme="majorHAnsi"/>
          <w:color w:val="000000"/>
        </w:rPr>
        <w:t>, M.</w:t>
      </w:r>
      <w:r w:rsidRPr="00DA6076">
        <w:rPr>
          <w:rStyle w:val="apple-converted-space"/>
          <w:rFonts w:asciiTheme="majorHAnsi" w:eastAsiaTheme="majorEastAsia" w:hAnsiTheme="majorHAnsi" w:cstheme="majorHAnsi"/>
          <w:color w:val="000000"/>
        </w:rPr>
        <w:t> </w:t>
      </w:r>
      <w:r w:rsidRPr="00DA6076">
        <w:rPr>
          <w:rFonts w:asciiTheme="majorHAnsi" w:hAnsiTheme="majorHAnsi" w:cstheme="majorHAnsi"/>
          <w:i/>
          <w:iCs/>
          <w:color w:val="000000"/>
        </w:rPr>
        <w:t>et al.</w:t>
      </w:r>
      <w:r w:rsidRPr="00DA6076">
        <w:rPr>
          <w:rStyle w:val="apple-converted-space"/>
          <w:rFonts w:asciiTheme="majorHAnsi" w:eastAsiaTheme="majorEastAsia" w:hAnsiTheme="majorHAnsi" w:cstheme="majorHAnsi"/>
          <w:color w:val="000000"/>
        </w:rPr>
        <w:t> </w:t>
      </w:r>
      <w:r w:rsidRPr="00DA6076">
        <w:rPr>
          <w:rFonts w:asciiTheme="majorHAnsi" w:hAnsiTheme="majorHAnsi" w:cstheme="majorHAnsi"/>
          <w:color w:val="000000"/>
        </w:rPr>
        <w:t xml:space="preserve">(2020) “Environmental justice and the </w:t>
      </w:r>
      <w:proofErr w:type="spellStart"/>
      <w:r w:rsidRPr="00DA6076">
        <w:rPr>
          <w:rFonts w:asciiTheme="majorHAnsi" w:hAnsiTheme="majorHAnsi" w:cstheme="majorHAnsi"/>
          <w:color w:val="000000"/>
        </w:rPr>
        <w:t>sdgs</w:t>
      </w:r>
      <w:proofErr w:type="spellEnd"/>
      <w:r w:rsidRPr="00DA6076">
        <w:rPr>
          <w:rFonts w:asciiTheme="majorHAnsi" w:hAnsiTheme="majorHAnsi" w:cstheme="majorHAnsi"/>
          <w:color w:val="000000"/>
        </w:rPr>
        <w:t>: From Synergies to gaps and contradictions,”</w:t>
      </w:r>
      <w:r w:rsidRPr="00DA6076">
        <w:rPr>
          <w:rStyle w:val="apple-converted-space"/>
          <w:rFonts w:asciiTheme="majorHAnsi" w:eastAsiaTheme="majorEastAsia" w:hAnsiTheme="majorHAnsi" w:cstheme="majorHAnsi"/>
          <w:color w:val="000000"/>
        </w:rPr>
        <w:t> </w:t>
      </w:r>
      <w:r w:rsidRPr="00DA6076">
        <w:rPr>
          <w:rFonts w:asciiTheme="majorHAnsi" w:hAnsiTheme="majorHAnsi" w:cstheme="majorHAnsi"/>
          <w:i/>
          <w:iCs/>
          <w:color w:val="000000"/>
        </w:rPr>
        <w:t>Sustainability Science</w:t>
      </w:r>
      <w:r w:rsidRPr="00DA6076">
        <w:rPr>
          <w:rFonts w:asciiTheme="majorHAnsi" w:hAnsiTheme="majorHAnsi" w:cstheme="majorHAnsi"/>
          <w:color w:val="000000"/>
        </w:rPr>
        <w:t>, 15(6), pp. 1621–1636. Available at: https://doi.org/10.1007/s11625-020-00789-8.</w:t>
      </w:r>
      <w:r w:rsidRPr="00DA6076">
        <w:rPr>
          <w:rStyle w:val="apple-converted-space"/>
          <w:rFonts w:asciiTheme="majorHAnsi" w:eastAsiaTheme="majorEastAsia" w:hAnsiTheme="majorHAnsi" w:cstheme="majorHAnsi"/>
          <w:color w:val="000000"/>
        </w:rPr>
        <w:t> </w:t>
      </w:r>
    </w:p>
    <w:p w14:paraId="68F61FCC" w14:textId="77777777" w:rsidR="00DA6076" w:rsidRPr="00DA6076" w:rsidRDefault="00DA6076" w:rsidP="003B2CAA">
      <w:pPr>
        <w:pStyle w:val="NormalWeb"/>
        <w:ind w:left="567" w:hanging="567"/>
        <w:rPr>
          <w:rFonts w:asciiTheme="majorHAnsi" w:hAnsiTheme="majorHAnsi" w:cstheme="majorHAnsi"/>
          <w:color w:val="000000"/>
        </w:rPr>
      </w:pPr>
      <w:r w:rsidRPr="00DA6076">
        <w:rPr>
          <w:rFonts w:asciiTheme="majorHAnsi" w:hAnsiTheme="majorHAnsi" w:cstheme="majorHAnsi"/>
          <w:color w:val="000000"/>
        </w:rPr>
        <w:lastRenderedPageBreak/>
        <w:t>Merry, S. E. (2011). Measuring the world: Indicators, human rights, and global governance: With CA comment by John M. Conley. </w:t>
      </w:r>
      <w:r w:rsidRPr="00DA6076">
        <w:rPr>
          <w:rFonts w:asciiTheme="majorHAnsi" w:hAnsiTheme="majorHAnsi" w:cstheme="majorHAnsi"/>
          <w:i/>
          <w:iCs/>
          <w:color w:val="000000"/>
        </w:rPr>
        <w:t>Current Anthropology</w:t>
      </w:r>
      <w:r w:rsidRPr="00DA6076">
        <w:rPr>
          <w:rFonts w:asciiTheme="majorHAnsi" w:hAnsiTheme="majorHAnsi" w:cstheme="majorHAnsi"/>
          <w:color w:val="000000"/>
        </w:rPr>
        <w:t>, </w:t>
      </w:r>
      <w:r w:rsidRPr="00DA6076">
        <w:rPr>
          <w:rFonts w:asciiTheme="majorHAnsi" w:hAnsiTheme="majorHAnsi" w:cstheme="majorHAnsi"/>
          <w:b/>
          <w:bCs/>
          <w:color w:val="000000"/>
        </w:rPr>
        <w:t>52</w:t>
      </w:r>
      <w:r w:rsidRPr="00DA6076">
        <w:rPr>
          <w:rFonts w:asciiTheme="majorHAnsi" w:hAnsiTheme="majorHAnsi" w:cstheme="majorHAnsi"/>
          <w:color w:val="000000"/>
        </w:rPr>
        <w:t>(S3), S83–S95. </w:t>
      </w:r>
      <w:hyperlink r:id="rId48" w:history="1">
        <w:r w:rsidRPr="00DA6076">
          <w:rPr>
            <w:rStyle w:val="Hyperlink"/>
            <w:rFonts w:asciiTheme="majorHAnsi" w:hAnsiTheme="majorHAnsi" w:cstheme="majorHAnsi"/>
          </w:rPr>
          <w:t>https://doi.org/10.1086/657241</w:t>
        </w:r>
      </w:hyperlink>
    </w:p>
    <w:p w14:paraId="452ED503" w14:textId="77777777" w:rsidR="00DA6076" w:rsidRPr="00DA6076" w:rsidRDefault="00DA6076" w:rsidP="003B2CAA">
      <w:pPr>
        <w:pStyle w:val="NormalWeb"/>
        <w:ind w:left="567" w:hanging="567"/>
        <w:rPr>
          <w:rStyle w:val="apple-converted-space"/>
          <w:rFonts w:asciiTheme="majorHAnsi" w:hAnsiTheme="majorHAnsi" w:cstheme="majorHAnsi"/>
          <w:color w:val="000000"/>
        </w:rPr>
      </w:pPr>
      <w:proofErr w:type="spellStart"/>
      <w:r w:rsidRPr="00DA6076">
        <w:rPr>
          <w:rFonts w:asciiTheme="majorHAnsi" w:hAnsiTheme="majorHAnsi" w:cstheme="majorHAnsi"/>
          <w:color w:val="000000"/>
        </w:rPr>
        <w:t>Moldavska</w:t>
      </w:r>
      <w:proofErr w:type="spellEnd"/>
      <w:r w:rsidRPr="00DA6076">
        <w:rPr>
          <w:rFonts w:asciiTheme="majorHAnsi" w:hAnsiTheme="majorHAnsi" w:cstheme="majorHAnsi"/>
          <w:color w:val="000000"/>
        </w:rPr>
        <w:t xml:space="preserve">, A. and </w:t>
      </w:r>
      <w:proofErr w:type="spellStart"/>
      <w:r w:rsidRPr="00DA6076">
        <w:rPr>
          <w:rFonts w:asciiTheme="majorHAnsi" w:hAnsiTheme="majorHAnsi" w:cstheme="majorHAnsi"/>
          <w:color w:val="000000"/>
        </w:rPr>
        <w:t>Welo</w:t>
      </w:r>
      <w:proofErr w:type="spellEnd"/>
      <w:r w:rsidRPr="00DA6076">
        <w:rPr>
          <w:rFonts w:asciiTheme="majorHAnsi" w:hAnsiTheme="majorHAnsi" w:cstheme="majorHAnsi"/>
          <w:color w:val="000000"/>
        </w:rPr>
        <w:t>, T. (2019) “A holistic approach to corporate sustainability assessment: Incorporating Sustainable Development Goals Into Sustainable Manufacturing Performance Evaluation,”</w:t>
      </w:r>
      <w:r w:rsidRPr="00DA6076">
        <w:rPr>
          <w:rStyle w:val="apple-converted-space"/>
          <w:rFonts w:asciiTheme="majorHAnsi" w:hAnsiTheme="majorHAnsi" w:cstheme="majorHAnsi"/>
          <w:color w:val="000000"/>
        </w:rPr>
        <w:t> </w:t>
      </w:r>
      <w:r w:rsidRPr="00DA6076">
        <w:rPr>
          <w:rFonts w:asciiTheme="majorHAnsi" w:hAnsiTheme="majorHAnsi" w:cstheme="majorHAnsi"/>
          <w:i/>
          <w:iCs/>
          <w:color w:val="000000"/>
        </w:rPr>
        <w:t>Journal of Manufacturing Systems</w:t>
      </w:r>
      <w:r w:rsidRPr="00DA6076">
        <w:rPr>
          <w:rFonts w:asciiTheme="majorHAnsi" w:hAnsiTheme="majorHAnsi" w:cstheme="majorHAnsi"/>
          <w:color w:val="000000"/>
        </w:rPr>
        <w:t xml:space="preserve">, 50, pp. 53–68. Available at: </w:t>
      </w:r>
      <w:hyperlink r:id="rId49" w:history="1">
        <w:r w:rsidRPr="00DA6076">
          <w:rPr>
            <w:rStyle w:val="Hyperlink"/>
            <w:rFonts w:asciiTheme="majorHAnsi" w:hAnsiTheme="majorHAnsi" w:cstheme="majorHAnsi"/>
          </w:rPr>
          <w:t>https://doi.org/10.1016/j.jmsy.2018.11.004</w:t>
        </w:r>
      </w:hyperlink>
      <w:r w:rsidRPr="00DA6076">
        <w:rPr>
          <w:rFonts w:asciiTheme="majorHAnsi" w:hAnsiTheme="majorHAnsi" w:cstheme="majorHAnsi"/>
          <w:color w:val="000000"/>
        </w:rPr>
        <w:t>.</w:t>
      </w:r>
      <w:r w:rsidRPr="00DA6076">
        <w:rPr>
          <w:rStyle w:val="apple-converted-space"/>
          <w:rFonts w:asciiTheme="majorHAnsi" w:hAnsiTheme="majorHAnsi" w:cstheme="majorHAnsi"/>
          <w:color w:val="000000"/>
        </w:rPr>
        <w:t> </w:t>
      </w:r>
    </w:p>
    <w:p w14:paraId="30AEB041" w14:textId="77777777" w:rsidR="00DA6076" w:rsidRPr="00DA6076" w:rsidRDefault="00DA6076" w:rsidP="003B2CAA">
      <w:pPr>
        <w:pStyle w:val="NormalWeb"/>
        <w:ind w:left="567" w:hanging="567"/>
        <w:rPr>
          <w:rFonts w:asciiTheme="majorHAnsi" w:hAnsiTheme="majorHAnsi" w:cstheme="majorHAnsi"/>
          <w:color w:val="000000"/>
        </w:rPr>
      </w:pPr>
      <w:r w:rsidRPr="00DA6076">
        <w:rPr>
          <w:rFonts w:asciiTheme="majorHAnsi" w:hAnsiTheme="majorHAnsi" w:cstheme="majorHAnsi"/>
          <w:color w:val="000000"/>
        </w:rPr>
        <w:t>Morgenthau, H. J. (2006). Politics Among Nations: The Struggle for Power and Peace (7th ed.). McGraw-Hill. ISBN-10: 0073137941, ISBN-13: 978-0073137948.</w:t>
      </w:r>
    </w:p>
    <w:p w14:paraId="38AC7120" w14:textId="77777777" w:rsidR="00DA6076" w:rsidRPr="00DA6076" w:rsidRDefault="00DA6076" w:rsidP="003B2CAA">
      <w:pPr>
        <w:pStyle w:val="NormalWeb"/>
        <w:ind w:left="567" w:hanging="567"/>
        <w:rPr>
          <w:rFonts w:asciiTheme="majorHAnsi" w:hAnsiTheme="majorHAnsi" w:cstheme="majorHAnsi"/>
          <w:color w:val="000000"/>
        </w:rPr>
      </w:pPr>
      <w:r w:rsidRPr="00DA6076">
        <w:rPr>
          <w:rFonts w:asciiTheme="majorHAnsi" w:hAnsiTheme="majorHAnsi" w:cstheme="majorHAnsi"/>
          <w:color w:val="000000"/>
        </w:rPr>
        <w:t>Morse, S. (2016). Measuring the success of sustainable development indices in terms of reporting by the global press. </w:t>
      </w:r>
      <w:r w:rsidRPr="00DA6076">
        <w:rPr>
          <w:rFonts w:asciiTheme="majorHAnsi" w:hAnsiTheme="majorHAnsi" w:cstheme="majorHAnsi"/>
          <w:i/>
          <w:iCs/>
          <w:color w:val="000000"/>
        </w:rPr>
        <w:t>Social Indicators Research</w:t>
      </w:r>
      <w:r w:rsidRPr="00DA6076">
        <w:rPr>
          <w:rFonts w:asciiTheme="majorHAnsi" w:hAnsiTheme="majorHAnsi" w:cstheme="majorHAnsi"/>
          <w:color w:val="000000"/>
        </w:rPr>
        <w:t>, </w:t>
      </w:r>
      <w:r w:rsidRPr="00DA6076">
        <w:rPr>
          <w:rFonts w:asciiTheme="majorHAnsi" w:hAnsiTheme="majorHAnsi" w:cstheme="majorHAnsi"/>
          <w:b/>
          <w:bCs/>
          <w:color w:val="000000"/>
        </w:rPr>
        <w:t>125</w:t>
      </w:r>
      <w:r w:rsidRPr="00DA6076">
        <w:rPr>
          <w:rFonts w:asciiTheme="majorHAnsi" w:hAnsiTheme="majorHAnsi" w:cstheme="majorHAnsi"/>
          <w:color w:val="000000"/>
        </w:rPr>
        <w:t>, 359–375.</w:t>
      </w:r>
    </w:p>
    <w:p w14:paraId="4A7CA55A" w14:textId="77777777" w:rsidR="00DA6076" w:rsidRPr="00DA6076" w:rsidRDefault="00DA6076" w:rsidP="003B2CAA">
      <w:pPr>
        <w:rPr>
          <w:rFonts w:asciiTheme="majorHAnsi" w:hAnsiTheme="majorHAnsi" w:cstheme="majorHAnsi"/>
          <w:color w:val="222222"/>
          <w:shd w:val="clear" w:color="auto" w:fill="FFFFFF"/>
        </w:rPr>
      </w:pPr>
      <w:proofErr w:type="spellStart"/>
      <w:r w:rsidRPr="00DA6076">
        <w:rPr>
          <w:rFonts w:asciiTheme="majorHAnsi" w:hAnsiTheme="majorHAnsi" w:cstheme="majorHAnsi"/>
          <w:color w:val="222222"/>
          <w:shd w:val="clear" w:color="auto" w:fill="FFFFFF"/>
        </w:rPr>
        <w:t>Mustajoki</w:t>
      </w:r>
      <w:proofErr w:type="spellEnd"/>
      <w:r w:rsidRPr="00DA6076">
        <w:rPr>
          <w:rFonts w:asciiTheme="majorHAnsi" w:hAnsiTheme="majorHAnsi" w:cstheme="majorHAnsi"/>
          <w:color w:val="222222"/>
          <w:shd w:val="clear" w:color="auto" w:fill="FFFFFF"/>
        </w:rPr>
        <w:t xml:space="preserve">, J., Borchardt, S., </w:t>
      </w:r>
      <w:proofErr w:type="spellStart"/>
      <w:r w:rsidRPr="00DA6076">
        <w:rPr>
          <w:rFonts w:asciiTheme="majorHAnsi" w:hAnsiTheme="majorHAnsi" w:cstheme="majorHAnsi"/>
          <w:color w:val="222222"/>
          <w:shd w:val="clear" w:color="auto" w:fill="FFFFFF"/>
        </w:rPr>
        <w:t>Büttner</w:t>
      </w:r>
      <w:proofErr w:type="spellEnd"/>
      <w:r w:rsidRPr="00DA6076">
        <w:rPr>
          <w:rFonts w:asciiTheme="majorHAnsi" w:hAnsiTheme="majorHAnsi" w:cstheme="majorHAnsi"/>
          <w:color w:val="222222"/>
          <w:shd w:val="clear" w:color="auto" w:fill="FFFFFF"/>
        </w:rPr>
        <w:t>, L. </w:t>
      </w:r>
      <w:r w:rsidRPr="00DA6076">
        <w:rPr>
          <w:rFonts w:asciiTheme="majorHAnsi" w:hAnsiTheme="majorHAnsi" w:cstheme="majorHAnsi"/>
          <w:i/>
          <w:iCs/>
          <w:color w:val="222222"/>
          <w:shd w:val="clear" w:color="auto" w:fill="FFFFFF"/>
        </w:rPr>
        <w:t>et al.</w:t>
      </w:r>
      <w:r w:rsidRPr="00DA6076">
        <w:rPr>
          <w:rFonts w:asciiTheme="majorHAnsi" w:hAnsiTheme="majorHAnsi" w:cstheme="majorHAnsi"/>
          <w:color w:val="222222"/>
          <w:shd w:val="clear" w:color="auto" w:fill="FFFFFF"/>
        </w:rPr>
        <w:t> Ambitiousness of Sustainable Development Goal (SDG) targets: classification and implications for policy making. </w:t>
      </w:r>
      <w:proofErr w:type="spellStart"/>
      <w:r w:rsidRPr="00DA6076">
        <w:rPr>
          <w:rFonts w:asciiTheme="majorHAnsi" w:hAnsiTheme="majorHAnsi" w:cstheme="majorHAnsi"/>
          <w:i/>
          <w:iCs/>
          <w:color w:val="222222"/>
          <w:shd w:val="clear" w:color="auto" w:fill="FFFFFF"/>
        </w:rPr>
        <w:t>Discov</w:t>
      </w:r>
      <w:proofErr w:type="spellEnd"/>
      <w:r w:rsidRPr="00DA6076">
        <w:rPr>
          <w:rFonts w:asciiTheme="majorHAnsi" w:hAnsiTheme="majorHAnsi" w:cstheme="majorHAnsi"/>
          <w:i/>
          <w:iCs/>
          <w:color w:val="222222"/>
          <w:shd w:val="clear" w:color="auto" w:fill="FFFFFF"/>
        </w:rPr>
        <w:t xml:space="preserve"> Sustain</w:t>
      </w:r>
      <w:r w:rsidRPr="00DA6076">
        <w:rPr>
          <w:rFonts w:asciiTheme="majorHAnsi" w:hAnsiTheme="majorHAnsi" w:cstheme="majorHAnsi"/>
          <w:color w:val="222222"/>
          <w:shd w:val="clear" w:color="auto" w:fill="FFFFFF"/>
        </w:rPr>
        <w:t> </w:t>
      </w:r>
      <w:r w:rsidRPr="00DA6076">
        <w:rPr>
          <w:rFonts w:asciiTheme="majorHAnsi" w:hAnsiTheme="majorHAnsi" w:cstheme="majorHAnsi"/>
          <w:b/>
          <w:bCs/>
          <w:color w:val="222222"/>
          <w:shd w:val="clear" w:color="auto" w:fill="FFFFFF"/>
        </w:rPr>
        <w:t>3</w:t>
      </w:r>
      <w:r w:rsidRPr="00DA6076">
        <w:rPr>
          <w:rFonts w:asciiTheme="majorHAnsi" w:hAnsiTheme="majorHAnsi" w:cstheme="majorHAnsi"/>
          <w:color w:val="222222"/>
          <w:shd w:val="clear" w:color="auto" w:fill="FFFFFF"/>
        </w:rPr>
        <w:t xml:space="preserve">, 36 (2022). </w:t>
      </w:r>
      <w:hyperlink r:id="rId50" w:history="1">
        <w:r w:rsidRPr="00DA6076">
          <w:rPr>
            <w:rStyle w:val="Hyperlink"/>
            <w:rFonts w:asciiTheme="majorHAnsi" w:hAnsiTheme="majorHAnsi" w:cstheme="majorHAnsi"/>
            <w:shd w:val="clear" w:color="auto" w:fill="FFFFFF"/>
          </w:rPr>
          <w:t>https://doi.org/10.1007/s43621-022-00104-8</w:t>
        </w:r>
      </w:hyperlink>
    </w:p>
    <w:p w14:paraId="2AE04789" w14:textId="77777777" w:rsidR="00DA6076" w:rsidRPr="00DA6076" w:rsidRDefault="00DA6076" w:rsidP="003B2CAA">
      <w:pPr>
        <w:pStyle w:val="NormalWeb"/>
        <w:ind w:left="567" w:hanging="567"/>
        <w:rPr>
          <w:rFonts w:asciiTheme="majorHAnsi" w:hAnsiTheme="majorHAnsi" w:cstheme="majorHAnsi"/>
          <w:color w:val="000000"/>
        </w:rPr>
      </w:pPr>
      <w:proofErr w:type="spellStart"/>
      <w:r w:rsidRPr="00DA6076">
        <w:rPr>
          <w:rFonts w:asciiTheme="majorHAnsi" w:hAnsiTheme="majorHAnsi" w:cstheme="majorHAnsi"/>
          <w:color w:val="000000"/>
        </w:rPr>
        <w:t>Nehan</w:t>
      </w:r>
      <w:proofErr w:type="spellEnd"/>
      <w:r w:rsidRPr="00DA6076">
        <w:rPr>
          <w:rFonts w:asciiTheme="majorHAnsi" w:hAnsiTheme="majorHAnsi" w:cstheme="majorHAnsi"/>
          <w:color w:val="000000"/>
        </w:rPr>
        <w:t>, N. and Cox, M. (2022) “The rise and fall of women rights in Afghanistan,”</w:t>
      </w:r>
      <w:r w:rsidRPr="00DA6076">
        <w:rPr>
          <w:rStyle w:val="apple-converted-space"/>
          <w:rFonts w:asciiTheme="majorHAnsi" w:hAnsiTheme="majorHAnsi" w:cstheme="majorHAnsi"/>
          <w:color w:val="000000"/>
        </w:rPr>
        <w:t> </w:t>
      </w:r>
      <w:r w:rsidRPr="00DA6076">
        <w:rPr>
          <w:rFonts w:asciiTheme="majorHAnsi" w:hAnsiTheme="majorHAnsi" w:cstheme="majorHAnsi"/>
          <w:i/>
          <w:iCs/>
          <w:color w:val="000000"/>
        </w:rPr>
        <w:t>LSE Public Policy Review</w:t>
      </w:r>
      <w:r w:rsidRPr="00DA6076">
        <w:rPr>
          <w:rFonts w:asciiTheme="majorHAnsi" w:hAnsiTheme="majorHAnsi" w:cstheme="majorHAnsi"/>
          <w:color w:val="000000"/>
        </w:rPr>
        <w:t>, 2(3). Available at: https://doi.org/10.31389/lseppr.59.</w:t>
      </w:r>
      <w:r w:rsidRPr="00DA6076">
        <w:rPr>
          <w:rStyle w:val="apple-converted-space"/>
          <w:rFonts w:asciiTheme="majorHAnsi" w:hAnsiTheme="majorHAnsi" w:cstheme="majorHAnsi"/>
          <w:color w:val="000000"/>
        </w:rPr>
        <w:t> </w:t>
      </w:r>
    </w:p>
    <w:p w14:paraId="79252470" w14:textId="77777777" w:rsidR="00DA6076" w:rsidRPr="00DA6076" w:rsidRDefault="00DA6076" w:rsidP="003B2CAA">
      <w:pPr>
        <w:pStyle w:val="NormalWeb"/>
        <w:ind w:left="567" w:hanging="567"/>
        <w:rPr>
          <w:rFonts w:asciiTheme="majorHAnsi" w:hAnsiTheme="majorHAnsi" w:cstheme="majorHAnsi"/>
          <w:color w:val="000000"/>
        </w:rPr>
      </w:pPr>
      <w:proofErr w:type="spellStart"/>
      <w:r w:rsidRPr="00DA6076">
        <w:rPr>
          <w:rFonts w:asciiTheme="majorHAnsi" w:hAnsiTheme="majorHAnsi" w:cstheme="majorHAnsi"/>
          <w:color w:val="000000"/>
        </w:rPr>
        <w:t>Nobrega</w:t>
      </w:r>
      <w:proofErr w:type="spellEnd"/>
      <w:r w:rsidRPr="00DA6076">
        <w:rPr>
          <w:rFonts w:asciiTheme="majorHAnsi" w:hAnsiTheme="majorHAnsi" w:cstheme="majorHAnsi"/>
          <w:color w:val="000000"/>
        </w:rPr>
        <w:t>, J.H.</w:t>
      </w:r>
      <w:r w:rsidRPr="00DA6076">
        <w:rPr>
          <w:rStyle w:val="apple-converted-space"/>
          <w:rFonts w:asciiTheme="majorHAnsi" w:hAnsiTheme="majorHAnsi" w:cstheme="majorHAnsi"/>
          <w:color w:val="000000"/>
        </w:rPr>
        <w:t> </w:t>
      </w:r>
      <w:r w:rsidRPr="00DA6076">
        <w:rPr>
          <w:rFonts w:asciiTheme="majorHAnsi" w:hAnsiTheme="majorHAnsi" w:cstheme="majorHAnsi"/>
          <w:i/>
          <w:iCs/>
          <w:color w:val="000000"/>
        </w:rPr>
        <w:t>et al.</w:t>
      </w:r>
      <w:r w:rsidRPr="00DA6076">
        <w:rPr>
          <w:rStyle w:val="apple-converted-space"/>
          <w:rFonts w:asciiTheme="majorHAnsi" w:hAnsiTheme="majorHAnsi" w:cstheme="majorHAnsi"/>
          <w:color w:val="000000"/>
        </w:rPr>
        <w:t> </w:t>
      </w:r>
      <w:r w:rsidRPr="00DA6076">
        <w:rPr>
          <w:rFonts w:asciiTheme="majorHAnsi" w:hAnsiTheme="majorHAnsi" w:cstheme="majorHAnsi"/>
          <w:color w:val="000000"/>
        </w:rPr>
        <w:t>(2021) “Logistics 4.0 in Brazil: Critical analysis and relationships with SDG 9 targets,”</w:t>
      </w:r>
      <w:r w:rsidRPr="00DA6076">
        <w:rPr>
          <w:rStyle w:val="apple-converted-space"/>
          <w:rFonts w:asciiTheme="majorHAnsi" w:hAnsiTheme="majorHAnsi" w:cstheme="majorHAnsi"/>
          <w:color w:val="000000"/>
        </w:rPr>
        <w:t> </w:t>
      </w:r>
      <w:r w:rsidRPr="00DA6076">
        <w:rPr>
          <w:rFonts w:asciiTheme="majorHAnsi" w:hAnsiTheme="majorHAnsi" w:cstheme="majorHAnsi"/>
          <w:i/>
          <w:iCs/>
          <w:color w:val="000000"/>
        </w:rPr>
        <w:t>Sustainability</w:t>
      </w:r>
      <w:r w:rsidRPr="00DA6076">
        <w:rPr>
          <w:rFonts w:asciiTheme="majorHAnsi" w:hAnsiTheme="majorHAnsi" w:cstheme="majorHAnsi"/>
          <w:color w:val="000000"/>
        </w:rPr>
        <w:t>, 13(23), p. 13012. Available at: https://doi.org/10.3390/su132313012.</w:t>
      </w:r>
      <w:r w:rsidRPr="00DA6076">
        <w:rPr>
          <w:rStyle w:val="apple-converted-space"/>
          <w:rFonts w:asciiTheme="majorHAnsi" w:hAnsiTheme="majorHAnsi" w:cstheme="majorHAnsi"/>
          <w:color w:val="000000"/>
        </w:rPr>
        <w:t> </w:t>
      </w:r>
    </w:p>
    <w:p w14:paraId="20F3DC71" w14:textId="77777777" w:rsidR="00DA6076" w:rsidRPr="00DA6076" w:rsidRDefault="00DA6076" w:rsidP="003B2CAA">
      <w:pPr>
        <w:pStyle w:val="NormalWeb"/>
        <w:ind w:left="567" w:hanging="567"/>
        <w:rPr>
          <w:rFonts w:asciiTheme="majorHAnsi" w:hAnsiTheme="majorHAnsi" w:cstheme="majorHAnsi"/>
          <w:color w:val="000000"/>
        </w:rPr>
      </w:pPr>
      <w:proofErr w:type="spellStart"/>
      <w:r w:rsidRPr="00DA6076">
        <w:rPr>
          <w:rFonts w:asciiTheme="majorHAnsi" w:hAnsiTheme="majorHAnsi" w:cstheme="majorHAnsi"/>
          <w:color w:val="000000"/>
        </w:rPr>
        <w:t>Nováček</w:t>
      </w:r>
      <w:proofErr w:type="spellEnd"/>
      <w:r w:rsidRPr="00DA6076">
        <w:rPr>
          <w:rFonts w:asciiTheme="majorHAnsi" w:hAnsiTheme="majorHAnsi" w:cstheme="majorHAnsi"/>
          <w:color w:val="000000"/>
        </w:rPr>
        <w:t>, P. (2001)</w:t>
      </w:r>
      <w:r w:rsidRPr="00DA6076">
        <w:rPr>
          <w:rStyle w:val="apple-converted-space"/>
          <w:rFonts w:asciiTheme="majorHAnsi" w:hAnsiTheme="majorHAnsi" w:cstheme="majorHAnsi"/>
          <w:color w:val="000000"/>
        </w:rPr>
        <w:t> </w:t>
      </w:r>
      <w:r w:rsidRPr="00DA6076">
        <w:rPr>
          <w:rFonts w:asciiTheme="majorHAnsi" w:hAnsiTheme="majorHAnsi" w:cstheme="majorHAnsi"/>
          <w:i/>
          <w:iCs/>
          <w:color w:val="000000"/>
        </w:rPr>
        <w:t>Third transition: Towards sustainable development and global</w:t>
      </w:r>
      <w:r w:rsidRPr="00DA6076">
        <w:rPr>
          <w:rFonts w:asciiTheme="majorHAnsi" w:hAnsiTheme="majorHAnsi" w:cstheme="majorHAnsi"/>
          <w:i/>
          <w:iCs/>
          <w:color w:val="000000"/>
          <w:lang w:val="en-GB"/>
        </w:rPr>
        <w:t xml:space="preserve"> </w:t>
      </w:r>
      <w:r w:rsidRPr="00DA6076">
        <w:rPr>
          <w:rFonts w:asciiTheme="majorHAnsi" w:hAnsiTheme="majorHAnsi" w:cstheme="majorHAnsi"/>
          <w:i/>
          <w:iCs/>
          <w:color w:val="000000"/>
        </w:rPr>
        <w:t>governance</w:t>
      </w:r>
      <w:r w:rsidRPr="00DA6076">
        <w:rPr>
          <w:rFonts w:asciiTheme="majorHAnsi" w:hAnsiTheme="majorHAnsi" w:cstheme="majorHAnsi"/>
          <w:color w:val="000000"/>
        </w:rPr>
        <w:t xml:space="preserve">. Olomouc: </w:t>
      </w:r>
      <w:proofErr w:type="spellStart"/>
      <w:r w:rsidRPr="00DA6076">
        <w:rPr>
          <w:rFonts w:asciiTheme="majorHAnsi" w:hAnsiTheme="majorHAnsi" w:cstheme="majorHAnsi"/>
          <w:color w:val="000000"/>
        </w:rPr>
        <w:t>Univerzita</w:t>
      </w:r>
      <w:proofErr w:type="spellEnd"/>
      <w:r w:rsidRPr="00DA6076">
        <w:rPr>
          <w:rFonts w:asciiTheme="majorHAnsi" w:hAnsiTheme="majorHAnsi" w:cstheme="majorHAnsi"/>
          <w:color w:val="000000"/>
        </w:rPr>
        <w:t xml:space="preserve"> </w:t>
      </w:r>
      <w:proofErr w:type="spellStart"/>
      <w:r w:rsidRPr="00DA6076">
        <w:rPr>
          <w:rFonts w:asciiTheme="majorHAnsi" w:hAnsiTheme="majorHAnsi" w:cstheme="majorHAnsi"/>
          <w:color w:val="000000"/>
        </w:rPr>
        <w:t>Palackého</w:t>
      </w:r>
      <w:proofErr w:type="spellEnd"/>
      <w:r w:rsidRPr="00DA6076">
        <w:rPr>
          <w:rFonts w:asciiTheme="majorHAnsi" w:hAnsiTheme="majorHAnsi" w:cstheme="majorHAnsi"/>
          <w:color w:val="000000"/>
        </w:rPr>
        <w:t>.</w:t>
      </w:r>
      <w:r w:rsidRPr="00DA6076">
        <w:rPr>
          <w:rStyle w:val="apple-converted-space"/>
          <w:rFonts w:asciiTheme="majorHAnsi" w:hAnsiTheme="majorHAnsi" w:cstheme="majorHAnsi"/>
          <w:color w:val="000000"/>
        </w:rPr>
        <w:t> </w:t>
      </w:r>
    </w:p>
    <w:p w14:paraId="465CA95A" w14:textId="77777777" w:rsidR="00DA6076" w:rsidRPr="00DA6076" w:rsidRDefault="00DA6076" w:rsidP="003B2CAA">
      <w:pPr>
        <w:pStyle w:val="NormalWeb"/>
        <w:ind w:left="567" w:hanging="567"/>
        <w:rPr>
          <w:rFonts w:asciiTheme="majorHAnsi" w:hAnsiTheme="majorHAnsi" w:cstheme="majorHAnsi"/>
          <w:color w:val="000000"/>
        </w:rPr>
      </w:pPr>
      <w:r w:rsidRPr="00DA6076">
        <w:rPr>
          <w:rFonts w:asciiTheme="majorHAnsi" w:hAnsiTheme="majorHAnsi" w:cstheme="majorHAnsi"/>
          <w:color w:val="000000"/>
        </w:rPr>
        <w:t xml:space="preserve">Nunes, A.R., Lee, K. and </w:t>
      </w:r>
      <w:proofErr w:type="spellStart"/>
      <w:r w:rsidRPr="00DA6076">
        <w:rPr>
          <w:rFonts w:asciiTheme="majorHAnsi" w:hAnsiTheme="majorHAnsi" w:cstheme="majorHAnsi"/>
          <w:color w:val="000000"/>
        </w:rPr>
        <w:t>O'Riordan</w:t>
      </w:r>
      <w:proofErr w:type="spellEnd"/>
      <w:r w:rsidRPr="00DA6076">
        <w:rPr>
          <w:rFonts w:asciiTheme="majorHAnsi" w:hAnsiTheme="majorHAnsi" w:cstheme="majorHAnsi"/>
          <w:color w:val="000000"/>
        </w:rPr>
        <w:t>, T. (2016) “The importance of an integrating framework for achieving the Sustainable Development Goals: The example of Health and well-being,”</w:t>
      </w:r>
      <w:r w:rsidRPr="00DA6076">
        <w:rPr>
          <w:rStyle w:val="apple-converted-space"/>
          <w:rFonts w:asciiTheme="majorHAnsi" w:hAnsiTheme="majorHAnsi" w:cstheme="majorHAnsi"/>
          <w:color w:val="000000"/>
        </w:rPr>
        <w:t> </w:t>
      </w:r>
      <w:r w:rsidRPr="00DA6076">
        <w:rPr>
          <w:rFonts w:asciiTheme="majorHAnsi" w:hAnsiTheme="majorHAnsi" w:cstheme="majorHAnsi"/>
          <w:i/>
          <w:iCs/>
          <w:color w:val="000000"/>
        </w:rPr>
        <w:t>BMJ Global Health</w:t>
      </w:r>
      <w:r w:rsidRPr="00DA6076">
        <w:rPr>
          <w:rFonts w:asciiTheme="majorHAnsi" w:hAnsiTheme="majorHAnsi" w:cstheme="majorHAnsi"/>
          <w:color w:val="000000"/>
        </w:rPr>
        <w:t>, 1(3). Available at: https://doi.org/10.1136/bmjgh-2016-000068.</w:t>
      </w:r>
      <w:r w:rsidRPr="00DA6076">
        <w:rPr>
          <w:rStyle w:val="apple-converted-space"/>
          <w:rFonts w:asciiTheme="majorHAnsi" w:hAnsiTheme="majorHAnsi" w:cstheme="majorHAnsi"/>
          <w:color w:val="000000"/>
        </w:rPr>
        <w:t> </w:t>
      </w:r>
    </w:p>
    <w:p w14:paraId="6BD9B46A" w14:textId="77777777" w:rsidR="00DA6076" w:rsidRPr="00DA6076" w:rsidRDefault="00DA6076" w:rsidP="003B2CAA">
      <w:pPr>
        <w:pStyle w:val="NormalWeb"/>
        <w:ind w:left="567" w:hanging="567"/>
        <w:rPr>
          <w:rFonts w:asciiTheme="majorHAnsi" w:hAnsiTheme="majorHAnsi" w:cstheme="majorHAnsi"/>
          <w:color w:val="000000"/>
        </w:rPr>
      </w:pPr>
      <w:proofErr w:type="spellStart"/>
      <w:r w:rsidRPr="00DA6076">
        <w:rPr>
          <w:rFonts w:asciiTheme="majorHAnsi" w:hAnsiTheme="majorHAnsi" w:cstheme="majorHAnsi"/>
          <w:color w:val="000000"/>
        </w:rPr>
        <w:t>Obaideen</w:t>
      </w:r>
      <w:proofErr w:type="spellEnd"/>
      <w:r w:rsidRPr="00DA6076">
        <w:rPr>
          <w:rFonts w:asciiTheme="majorHAnsi" w:hAnsiTheme="majorHAnsi" w:cstheme="majorHAnsi"/>
          <w:color w:val="000000"/>
        </w:rPr>
        <w:t>, K.</w:t>
      </w:r>
      <w:r w:rsidRPr="00DA6076">
        <w:rPr>
          <w:rStyle w:val="apple-converted-space"/>
          <w:rFonts w:asciiTheme="majorHAnsi" w:hAnsiTheme="majorHAnsi" w:cstheme="majorHAnsi"/>
          <w:color w:val="000000"/>
        </w:rPr>
        <w:t> </w:t>
      </w:r>
      <w:r w:rsidRPr="00DA6076">
        <w:rPr>
          <w:rFonts w:asciiTheme="majorHAnsi" w:hAnsiTheme="majorHAnsi" w:cstheme="majorHAnsi"/>
          <w:i/>
          <w:iCs/>
          <w:color w:val="000000"/>
        </w:rPr>
        <w:t>et al.</w:t>
      </w:r>
      <w:r w:rsidRPr="00DA6076">
        <w:rPr>
          <w:rStyle w:val="apple-converted-space"/>
          <w:rFonts w:asciiTheme="majorHAnsi" w:hAnsiTheme="majorHAnsi" w:cstheme="majorHAnsi"/>
          <w:color w:val="000000"/>
        </w:rPr>
        <w:t> </w:t>
      </w:r>
      <w:r w:rsidRPr="00DA6076">
        <w:rPr>
          <w:rFonts w:asciiTheme="majorHAnsi" w:hAnsiTheme="majorHAnsi" w:cstheme="majorHAnsi"/>
          <w:color w:val="000000"/>
        </w:rPr>
        <w:t>(2022) “The role of wastewater treatment in Achieving Sustainable Development Goals (</w:t>
      </w:r>
      <w:proofErr w:type="spellStart"/>
      <w:r w:rsidRPr="00DA6076">
        <w:rPr>
          <w:rFonts w:asciiTheme="majorHAnsi" w:hAnsiTheme="majorHAnsi" w:cstheme="majorHAnsi"/>
          <w:color w:val="000000"/>
        </w:rPr>
        <w:t>sdgs</w:t>
      </w:r>
      <w:proofErr w:type="spellEnd"/>
      <w:r w:rsidRPr="00DA6076">
        <w:rPr>
          <w:rFonts w:asciiTheme="majorHAnsi" w:hAnsiTheme="majorHAnsi" w:cstheme="majorHAnsi"/>
          <w:color w:val="000000"/>
        </w:rPr>
        <w:t>) and sustainability guideline,”</w:t>
      </w:r>
      <w:r w:rsidRPr="00DA6076">
        <w:rPr>
          <w:rStyle w:val="apple-converted-space"/>
          <w:rFonts w:asciiTheme="majorHAnsi" w:hAnsiTheme="majorHAnsi" w:cstheme="majorHAnsi"/>
          <w:color w:val="000000"/>
        </w:rPr>
        <w:t> </w:t>
      </w:r>
      <w:r w:rsidRPr="00DA6076">
        <w:rPr>
          <w:rFonts w:asciiTheme="majorHAnsi" w:hAnsiTheme="majorHAnsi" w:cstheme="majorHAnsi"/>
          <w:i/>
          <w:iCs/>
          <w:color w:val="000000"/>
        </w:rPr>
        <w:t>Energy Nexus</w:t>
      </w:r>
      <w:r w:rsidRPr="00DA6076">
        <w:rPr>
          <w:rFonts w:asciiTheme="majorHAnsi" w:hAnsiTheme="majorHAnsi" w:cstheme="majorHAnsi"/>
          <w:color w:val="000000"/>
        </w:rPr>
        <w:t>, 7, p. 100112. Available at: https://doi.org/10.1016/j.nexus.2022.100112.</w:t>
      </w:r>
      <w:r w:rsidRPr="00DA6076">
        <w:rPr>
          <w:rStyle w:val="apple-converted-space"/>
          <w:rFonts w:asciiTheme="majorHAnsi" w:hAnsiTheme="majorHAnsi" w:cstheme="majorHAnsi"/>
          <w:color w:val="000000"/>
        </w:rPr>
        <w:t> </w:t>
      </w:r>
    </w:p>
    <w:p w14:paraId="19EB34BB" w14:textId="77777777" w:rsidR="00DA6076" w:rsidRPr="00DA6076" w:rsidRDefault="00DA6076" w:rsidP="003B2CAA">
      <w:pPr>
        <w:pStyle w:val="NormalWeb"/>
        <w:ind w:left="567" w:hanging="567"/>
        <w:rPr>
          <w:rFonts w:asciiTheme="majorHAnsi" w:hAnsiTheme="majorHAnsi" w:cstheme="majorHAnsi"/>
          <w:color w:val="000000"/>
        </w:rPr>
      </w:pPr>
      <w:r w:rsidRPr="00DA6076">
        <w:rPr>
          <w:rFonts w:asciiTheme="majorHAnsi" w:hAnsiTheme="majorHAnsi" w:cstheme="majorHAnsi"/>
          <w:color w:val="000000"/>
          <w:lang w:val="en-GB"/>
        </w:rPr>
        <w:t>OHCHR (2023</w:t>
      </w:r>
      <w:r w:rsidRPr="00DA6076">
        <w:rPr>
          <w:rFonts w:asciiTheme="majorHAnsi" w:hAnsiTheme="majorHAnsi" w:cstheme="majorHAnsi"/>
          <w:i/>
          <w:iCs/>
          <w:color w:val="000000"/>
          <w:lang w:val="en-GB"/>
        </w:rPr>
        <w:t xml:space="preserve">) </w:t>
      </w:r>
      <w:r w:rsidRPr="00DA6076">
        <w:rPr>
          <w:rFonts w:asciiTheme="majorHAnsi" w:hAnsiTheme="majorHAnsi" w:cstheme="majorHAnsi"/>
          <w:i/>
          <w:iCs/>
          <w:color w:val="000000"/>
        </w:rPr>
        <w:t>Universal Periodic Review</w:t>
      </w:r>
      <w:r w:rsidRPr="00DA6076">
        <w:rPr>
          <w:rStyle w:val="apple-converted-space"/>
          <w:rFonts w:asciiTheme="majorHAnsi" w:hAnsiTheme="majorHAnsi" w:cstheme="majorHAnsi"/>
          <w:color w:val="000000"/>
        </w:rPr>
        <w:t> </w:t>
      </w:r>
      <w:r w:rsidRPr="00DA6076">
        <w:rPr>
          <w:rFonts w:asciiTheme="majorHAnsi" w:hAnsiTheme="majorHAnsi" w:cstheme="majorHAnsi"/>
          <w:color w:val="000000"/>
        </w:rPr>
        <w:t>(2023)</w:t>
      </w:r>
      <w:r w:rsidRPr="00DA6076">
        <w:rPr>
          <w:rStyle w:val="apple-converted-space"/>
          <w:rFonts w:asciiTheme="majorHAnsi" w:hAnsiTheme="majorHAnsi" w:cstheme="majorHAnsi"/>
          <w:color w:val="000000"/>
        </w:rPr>
        <w:t> </w:t>
      </w:r>
      <w:r w:rsidRPr="00DA6076">
        <w:rPr>
          <w:rFonts w:asciiTheme="majorHAnsi" w:hAnsiTheme="majorHAnsi" w:cstheme="majorHAnsi"/>
          <w:color w:val="000000"/>
        </w:rPr>
        <w:t xml:space="preserve"> Available at: https://www.ohchr.org/en/hr-bodies/upr/upr-main (Accessed: April 13, 2023).</w:t>
      </w:r>
      <w:r w:rsidRPr="00DA6076">
        <w:rPr>
          <w:rStyle w:val="apple-converted-space"/>
          <w:rFonts w:asciiTheme="majorHAnsi" w:hAnsiTheme="majorHAnsi" w:cstheme="majorHAnsi"/>
          <w:color w:val="000000"/>
        </w:rPr>
        <w:t> </w:t>
      </w:r>
    </w:p>
    <w:p w14:paraId="6F52A4E6" w14:textId="77777777" w:rsidR="00DA6076" w:rsidRPr="00DA6076" w:rsidRDefault="00DA6076" w:rsidP="003B2CAA">
      <w:pPr>
        <w:pStyle w:val="NormalWeb"/>
        <w:ind w:left="567" w:hanging="567"/>
        <w:rPr>
          <w:rFonts w:asciiTheme="majorHAnsi" w:hAnsiTheme="majorHAnsi" w:cstheme="majorHAnsi"/>
          <w:color w:val="000000"/>
        </w:rPr>
      </w:pPr>
      <w:proofErr w:type="spellStart"/>
      <w:r w:rsidRPr="00DA6076">
        <w:rPr>
          <w:rFonts w:asciiTheme="majorHAnsi" w:hAnsiTheme="majorHAnsi" w:cstheme="majorHAnsi"/>
          <w:color w:val="000000"/>
        </w:rPr>
        <w:t>Papadopoulou</w:t>
      </w:r>
      <w:proofErr w:type="spellEnd"/>
      <w:r w:rsidRPr="00DA6076">
        <w:rPr>
          <w:rFonts w:asciiTheme="majorHAnsi" w:hAnsiTheme="majorHAnsi" w:cstheme="majorHAnsi"/>
          <w:color w:val="000000"/>
        </w:rPr>
        <w:t xml:space="preserve">, C.-A., </w:t>
      </w:r>
      <w:proofErr w:type="spellStart"/>
      <w:r w:rsidRPr="00DA6076">
        <w:rPr>
          <w:rFonts w:asciiTheme="majorHAnsi" w:hAnsiTheme="majorHAnsi" w:cstheme="majorHAnsi"/>
          <w:color w:val="000000"/>
        </w:rPr>
        <w:t>Papadopoulou</w:t>
      </w:r>
      <w:proofErr w:type="spellEnd"/>
      <w:r w:rsidRPr="00DA6076">
        <w:rPr>
          <w:rFonts w:asciiTheme="majorHAnsi" w:hAnsiTheme="majorHAnsi" w:cstheme="majorHAnsi"/>
          <w:color w:val="000000"/>
        </w:rPr>
        <w:t xml:space="preserve">, M.P. and </w:t>
      </w:r>
      <w:proofErr w:type="spellStart"/>
      <w:r w:rsidRPr="00DA6076">
        <w:rPr>
          <w:rFonts w:asciiTheme="majorHAnsi" w:hAnsiTheme="majorHAnsi" w:cstheme="majorHAnsi"/>
          <w:color w:val="000000"/>
        </w:rPr>
        <w:t>Laspidou</w:t>
      </w:r>
      <w:proofErr w:type="spellEnd"/>
      <w:r w:rsidRPr="00DA6076">
        <w:rPr>
          <w:rFonts w:asciiTheme="majorHAnsi" w:hAnsiTheme="majorHAnsi" w:cstheme="majorHAnsi"/>
          <w:color w:val="000000"/>
        </w:rPr>
        <w:t>, C. (2022) “Implementing water-energy-land-food-climate nexus approach to achieve the Sustainable Development Goals in Greece: Indicators and policy recommendations,”</w:t>
      </w:r>
      <w:r w:rsidRPr="00DA6076">
        <w:rPr>
          <w:rStyle w:val="apple-converted-space"/>
          <w:rFonts w:asciiTheme="majorHAnsi" w:eastAsiaTheme="majorEastAsia" w:hAnsiTheme="majorHAnsi" w:cstheme="majorHAnsi"/>
          <w:color w:val="000000"/>
        </w:rPr>
        <w:t> </w:t>
      </w:r>
      <w:r w:rsidRPr="00DA6076">
        <w:rPr>
          <w:rFonts w:asciiTheme="majorHAnsi" w:hAnsiTheme="majorHAnsi" w:cstheme="majorHAnsi"/>
          <w:i/>
          <w:iCs/>
          <w:color w:val="000000"/>
        </w:rPr>
        <w:t>Sustainability</w:t>
      </w:r>
      <w:r w:rsidRPr="00DA6076">
        <w:rPr>
          <w:rFonts w:asciiTheme="majorHAnsi" w:hAnsiTheme="majorHAnsi" w:cstheme="majorHAnsi"/>
          <w:color w:val="000000"/>
        </w:rPr>
        <w:t>, 14(7), p. 4100. Available at: https://doi.org/10.3390/su14074100.</w:t>
      </w:r>
      <w:r w:rsidRPr="00DA6076">
        <w:rPr>
          <w:rStyle w:val="apple-converted-space"/>
          <w:rFonts w:asciiTheme="majorHAnsi" w:eastAsiaTheme="majorEastAsia" w:hAnsiTheme="majorHAnsi" w:cstheme="majorHAnsi"/>
          <w:color w:val="000000"/>
        </w:rPr>
        <w:t> </w:t>
      </w:r>
    </w:p>
    <w:p w14:paraId="508D09E2" w14:textId="77777777" w:rsidR="00DA6076" w:rsidRPr="00DA6076" w:rsidRDefault="00DA6076" w:rsidP="003B2CAA">
      <w:pPr>
        <w:pStyle w:val="NormalWeb"/>
        <w:ind w:left="567" w:hanging="567"/>
        <w:rPr>
          <w:rFonts w:asciiTheme="majorHAnsi" w:hAnsiTheme="majorHAnsi" w:cstheme="majorHAnsi"/>
          <w:color w:val="000000"/>
        </w:rPr>
      </w:pPr>
      <w:r w:rsidRPr="00DA6076">
        <w:rPr>
          <w:rFonts w:asciiTheme="majorHAnsi" w:hAnsiTheme="majorHAnsi" w:cstheme="majorHAnsi"/>
          <w:color w:val="000000"/>
        </w:rPr>
        <w:t>Pogge T, Sengupta M. Assessing the sustainable development goals from a human rights perspective. Journal of International and Comparative Social Policy. 2016;32(2):83-97. doi:10.1080/21699763.2016.1198268</w:t>
      </w:r>
    </w:p>
    <w:p w14:paraId="4DC10688" w14:textId="77777777" w:rsidR="00DA6076" w:rsidRPr="00DA6076" w:rsidRDefault="00DA6076" w:rsidP="003B2CAA">
      <w:pPr>
        <w:pStyle w:val="NormalWeb"/>
        <w:ind w:left="567" w:hanging="567"/>
        <w:rPr>
          <w:rStyle w:val="apple-converted-space"/>
          <w:rFonts w:asciiTheme="majorHAnsi" w:hAnsiTheme="majorHAnsi" w:cstheme="majorHAnsi"/>
          <w:color w:val="000000"/>
        </w:rPr>
      </w:pPr>
      <w:r w:rsidRPr="00DA6076">
        <w:rPr>
          <w:rFonts w:asciiTheme="majorHAnsi" w:hAnsiTheme="majorHAnsi" w:cstheme="majorHAnsi"/>
          <w:color w:val="000000"/>
        </w:rPr>
        <w:lastRenderedPageBreak/>
        <w:t>Purvis, B., Mao, Y. and Robinson, D. (2018) “Three pillars of sustainability: In Search of Conceptual Origins,”</w:t>
      </w:r>
      <w:r w:rsidRPr="00DA6076">
        <w:rPr>
          <w:rStyle w:val="apple-converted-space"/>
          <w:rFonts w:asciiTheme="majorHAnsi" w:hAnsiTheme="majorHAnsi" w:cstheme="majorHAnsi"/>
          <w:color w:val="000000"/>
        </w:rPr>
        <w:t> </w:t>
      </w:r>
      <w:r w:rsidRPr="00DA6076">
        <w:rPr>
          <w:rFonts w:asciiTheme="majorHAnsi" w:hAnsiTheme="majorHAnsi" w:cstheme="majorHAnsi"/>
          <w:i/>
          <w:iCs/>
          <w:color w:val="000000"/>
        </w:rPr>
        <w:t>Sustainability Science</w:t>
      </w:r>
      <w:r w:rsidRPr="00DA6076">
        <w:rPr>
          <w:rFonts w:asciiTheme="majorHAnsi" w:hAnsiTheme="majorHAnsi" w:cstheme="majorHAnsi"/>
          <w:color w:val="000000"/>
        </w:rPr>
        <w:t>, 14(3), pp. 681–695. Available at: https://doi.org/10.1007/s11625-018-0627-5.</w:t>
      </w:r>
      <w:r w:rsidRPr="00DA6076">
        <w:rPr>
          <w:rStyle w:val="apple-converted-space"/>
          <w:rFonts w:asciiTheme="majorHAnsi" w:hAnsiTheme="majorHAnsi" w:cstheme="majorHAnsi"/>
          <w:color w:val="000000"/>
        </w:rPr>
        <w:t> </w:t>
      </w:r>
    </w:p>
    <w:p w14:paraId="01246AAC" w14:textId="77777777" w:rsidR="00DA6076" w:rsidRPr="00DA6076" w:rsidRDefault="00DA6076" w:rsidP="003B2CAA">
      <w:pPr>
        <w:pStyle w:val="NormalWeb"/>
        <w:ind w:left="567" w:hanging="567"/>
        <w:rPr>
          <w:rFonts w:asciiTheme="majorHAnsi" w:hAnsiTheme="majorHAnsi" w:cstheme="majorHAnsi"/>
          <w:color w:val="000000"/>
          <w:lang w:val="en-GB"/>
        </w:rPr>
      </w:pPr>
      <w:proofErr w:type="spellStart"/>
      <w:r w:rsidRPr="00DA6076">
        <w:rPr>
          <w:rFonts w:asciiTheme="majorHAnsi" w:hAnsiTheme="majorHAnsi" w:cstheme="majorHAnsi"/>
          <w:color w:val="000000"/>
        </w:rPr>
        <w:t>Redclift</w:t>
      </w:r>
      <w:proofErr w:type="spellEnd"/>
      <w:r w:rsidRPr="00DA6076">
        <w:rPr>
          <w:rFonts w:asciiTheme="majorHAnsi" w:hAnsiTheme="majorHAnsi" w:cstheme="majorHAnsi"/>
          <w:color w:val="000000"/>
        </w:rPr>
        <w:t> M</w:t>
      </w:r>
      <w:r w:rsidRPr="00DA6076">
        <w:rPr>
          <w:rFonts w:asciiTheme="majorHAnsi" w:hAnsiTheme="majorHAnsi" w:cstheme="majorHAnsi"/>
          <w:color w:val="000000"/>
          <w:lang w:val="en-GB"/>
        </w:rPr>
        <w:t>. (</w:t>
      </w:r>
      <w:r w:rsidRPr="00DA6076">
        <w:rPr>
          <w:rFonts w:asciiTheme="majorHAnsi" w:hAnsiTheme="majorHAnsi" w:cstheme="majorHAnsi"/>
          <w:color w:val="000000"/>
        </w:rPr>
        <w:t>2005</w:t>
      </w:r>
      <w:r w:rsidRPr="00DA6076">
        <w:rPr>
          <w:rFonts w:asciiTheme="majorHAnsi" w:hAnsiTheme="majorHAnsi" w:cstheme="majorHAnsi"/>
          <w:color w:val="000000"/>
          <w:lang w:val="en-GB"/>
        </w:rPr>
        <w:t>) “</w:t>
      </w:r>
      <w:r w:rsidRPr="00DA6076">
        <w:rPr>
          <w:rFonts w:asciiTheme="majorHAnsi" w:hAnsiTheme="majorHAnsi" w:cstheme="majorHAnsi"/>
          <w:color w:val="000000"/>
        </w:rPr>
        <w:t>Sustainable development (1987-2005): an oxymoron comes of age.</w:t>
      </w:r>
      <w:r w:rsidRPr="00DA6076">
        <w:rPr>
          <w:rFonts w:asciiTheme="majorHAnsi" w:hAnsiTheme="majorHAnsi" w:cstheme="majorHAnsi"/>
          <w:color w:val="000000"/>
          <w:lang w:val="en-GB"/>
        </w:rPr>
        <w:t>”</w:t>
      </w:r>
      <w:r w:rsidRPr="00DA6076">
        <w:rPr>
          <w:rFonts w:asciiTheme="majorHAnsi" w:hAnsiTheme="majorHAnsi" w:cstheme="majorHAnsi"/>
          <w:color w:val="000000"/>
        </w:rPr>
        <w:t xml:space="preserve"> Sustain Dev. 13:212–227.</w:t>
      </w:r>
    </w:p>
    <w:p w14:paraId="6D1D0519" w14:textId="77777777" w:rsidR="00DA6076" w:rsidRPr="00DA6076" w:rsidRDefault="00DA6076" w:rsidP="003B2CAA">
      <w:pPr>
        <w:pStyle w:val="NormalWeb"/>
        <w:ind w:left="567" w:hanging="567"/>
        <w:rPr>
          <w:rFonts w:asciiTheme="majorHAnsi" w:hAnsiTheme="majorHAnsi" w:cstheme="majorHAnsi"/>
          <w:color w:val="000000"/>
        </w:rPr>
      </w:pPr>
      <w:r w:rsidRPr="00DA6076">
        <w:rPr>
          <w:rFonts w:asciiTheme="majorHAnsi" w:hAnsiTheme="majorHAnsi" w:cstheme="majorHAnsi"/>
          <w:color w:val="000000"/>
        </w:rPr>
        <w:t>Reinert, K.A. (2020) “From sustainable development goals to basic development goals,”</w:t>
      </w:r>
      <w:r w:rsidRPr="00DA6076">
        <w:rPr>
          <w:rStyle w:val="apple-converted-space"/>
          <w:rFonts w:asciiTheme="majorHAnsi" w:eastAsiaTheme="majorEastAsia" w:hAnsiTheme="majorHAnsi" w:cstheme="majorHAnsi"/>
          <w:color w:val="000000"/>
        </w:rPr>
        <w:t> </w:t>
      </w:r>
      <w:r w:rsidRPr="00DA6076">
        <w:rPr>
          <w:rFonts w:asciiTheme="majorHAnsi" w:hAnsiTheme="majorHAnsi" w:cstheme="majorHAnsi"/>
          <w:i/>
          <w:iCs/>
          <w:color w:val="000000"/>
        </w:rPr>
        <w:t>Ethics &amp; International Affairs</w:t>
      </w:r>
      <w:r w:rsidRPr="00DA6076">
        <w:rPr>
          <w:rFonts w:asciiTheme="majorHAnsi" w:hAnsiTheme="majorHAnsi" w:cstheme="majorHAnsi"/>
          <w:color w:val="000000"/>
        </w:rPr>
        <w:t>, 34(2), pp. 125–137. Available at: https://doi.org/10.1017/s0892679420000180.</w:t>
      </w:r>
      <w:r w:rsidRPr="00DA6076">
        <w:rPr>
          <w:rStyle w:val="apple-converted-space"/>
          <w:rFonts w:asciiTheme="majorHAnsi" w:eastAsiaTheme="majorEastAsia" w:hAnsiTheme="majorHAnsi" w:cstheme="majorHAnsi"/>
          <w:color w:val="000000"/>
        </w:rPr>
        <w:t> </w:t>
      </w:r>
    </w:p>
    <w:p w14:paraId="0D598E44" w14:textId="77777777" w:rsidR="00DA6076" w:rsidRPr="00DA6076" w:rsidRDefault="00DA6076" w:rsidP="003B2CAA">
      <w:pPr>
        <w:pStyle w:val="NormalWeb"/>
        <w:ind w:left="567" w:hanging="567"/>
        <w:rPr>
          <w:rFonts w:asciiTheme="majorHAnsi" w:hAnsiTheme="majorHAnsi" w:cstheme="majorHAnsi"/>
          <w:color w:val="000000"/>
        </w:rPr>
      </w:pPr>
      <w:r w:rsidRPr="00DA6076">
        <w:rPr>
          <w:rFonts w:asciiTheme="majorHAnsi" w:hAnsiTheme="majorHAnsi" w:cstheme="majorHAnsi"/>
          <w:color w:val="000000"/>
        </w:rPr>
        <w:t>Renaud, F.</w:t>
      </w:r>
      <w:r w:rsidRPr="00DA6076">
        <w:rPr>
          <w:rStyle w:val="apple-converted-space"/>
          <w:rFonts w:asciiTheme="majorHAnsi" w:eastAsiaTheme="majorEastAsia" w:hAnsiTheme="majorHAnsi" w:cstheme="majorHAnsi"/>
          <w:color w:val="000000"/>
        </w:rPr>
        <w:t> </w:t>
      </w:r>
      <w:r w:rsidRPr="00DA6076">
        <w:rPr>
          <w:rFonts w:asciiTheme="majorHAnsi" w:hAnsiTheme="majorHAnsi" w:cstheme="majorHAnsi"/>
          <w:i/>
          <w:iCs/>
          <w:color w:val="000000"/>
        </w:rPr>
        <w:t>et al.</w:t>
      </w:r>
      <w:r w:rsidRPr="00DA6076">
        <w:rPr>
          <w:rStyle w:val="apple-converted-space"/>
          <w:rFonts w:asciiTheme="majorHAnsi" w:eastAsiaTheme="majorEastAsia" w:hAnsiTheme="majorHAnsi" w:cstheme="majorHAnsi"/>
          <w:color w:val="000000"/>
        </w:rPr>
        <w:t> </w:t>
      </w:r>
      <w:r w:rsidRPr="00DA6076">
        <w:rPr>
          <w:rFonts w:asciiTheme="majorHAnsi" w:hAnsiTheme="majorHAnsi" w:cstheme="majorHAnsi"/>
          <w:color w:val="000000"/>
        </w:rPr>
        <w:t>(2020) “Synergies and trade-offs between sustainable development goals and targets: Innovative Approaches and new perspectives,”</w:t>
      </w:r>
      <w:r w:rsidRPr="00DA6076">
        <w:rPr>
          <w:rStyle w:val="apple-converted-space"/>
          <w:rFonts w:asciiTheme="majorHAnsi" w:eastAsiaTheme="majorEastAsia" w:hAnsiTheme="majorHAnsi" w:cstheme="majorHAnsi"/>
          <w:color w:val="000000"/>
        </w:rPr>
        <w:t> </w:t>
      </w:r>
      <w:r w:rsidRPr="00DA6076">
        <w:rPr>
          <w:rFonts w:asciiTheme="majorHAnsi" w:hAnsiTheme="majorHAnsi" w:cstheme="majorHAnsi"/>
          <w:i/>
          <w:iCs/>
          <w:color w:val="000000"/>
        </w:rPr>
        <w:t>Sustainability Science</w:t>
      </w:r>
      <w:r w:rsidRPr="00DA6076">
        <w:rPr>
          <w:rFonts w:asciiTheme="majorHAnsi" w:hAnsiTheme="majorHAnsi" w:cstheme="majorHAnsi"/>
          <w:color w:val="000000"/>
        </w:rPr>
        <w:t>, 15(4), pp. 1011–1011. Available at: https://doi.org/10.1007/s11625-020-00815-9.</w:t>
      </w:r>
      <w:r w:rsidRPr="00DA6076">
        <w:rPr>
          <w:rStyle w:val="apple-converted-space"/>
          <w:rFonts w:asciiTheme="majorHAnsi" w:eastAsiaTheme="majorEastAsia" w:hAnsiTheme="majorHAnsi" w:cstheme="majorHAnsi"/>
          <w:color w:val="000000"/>
        </w:rPr>
        <w:t> </w:t>
      </w:r>
    </w:p>
    <w:p w14:paraId="3FB38139" w14:textId="77777777" w:rsidR="00DA6076" w:rsidRPr="00DA6076" w:rsidRDefault="00DA6076" w:rsidP="003B2CAA">
      <w:pPr>
        <w:pStyle w:val="NormalWeb"/>
        <w:ind w:left="567" w:hanging="567"/>
        <w:rPr>
          <w:rStyle w:val="apple-converted-space"/>
          <w:rFonts w:asciiTheme="majorHAnsi" w:hAnsiTheme="majorHAnsi" w:cstheme="majorHAnsi"/>
          <w:color w:val="000000"/>
        </w:rPr>
      </w:pPr>
      <w:r w:rsidRPr="00DA6076">
        <w:rPr>
          <w:rFonts w:asciiTheme="majorHAnsi" w:hAnsiTheme="majorHAnsi" w:cstheme="majorHAnsi"/>
          <w:color w:val="000000"/>
        </w:rPr>
        <w:t xml:space="preserve">Rimba, A.B. and </w:t>
      </w:r>
      <w:proofErr w:type="spellStart"/>
      <w:r w:rsidRPr="00DA6076">
        <w:rPr>
          <w:rFonts w:asciiTheme="majorHAnsi" w:hAnsiTheme="majorHAnsi" w:cstheme="majorHAnsi"/>
          <w:color w:val="000000"/>
        </w:rPr>
        <w:t>Hirabayashi</w:t>
      </w:r>
      <w:proofErr w:type="spellEnd"/>
      <w:r w:rsidRPr="00DA6076">
        <w:rPr>
          <w:rFonts w:asciiTheme="majorHAnsi" w:hAnsiTheme="majorHAnsi" w:cstheme="majorHAnsi"/>
          <w:color w:val="000000"/>
        </w:rPr>
        <w:t>, Y. (2023) “Interlinkages of water-related SDG indicators globally and in low-income countries,”</w:t>
      </w:r>
      <w:r w:rsidRPr="00DA6076">
        <w:rPr>
          <w:rStyle w:val="apple-converted-space"/>
          <w:rFonts w:asciiTheme="majorHAnsi" w:hAnsiTheme="majorHAnsi" w:cstheme="majorHAnsi"/>
          <w:color w:val="000000"/>
        </w:rPr>
        <w:t> </w:t>
      </w:r>
      <w:r w:rsidRPr="00DA6076">
        <w:rPr>
          <w:rFonts w:asciiTheme="majorHAnsi" w:hAnsiTheme="majorHAnsi" w:cstheme="majorHAnsi"/>
          <w:i/>
          <w:iCs/>
          <w:color w:val="000000"/>
        </w:rPr>
        <w:t>Water</w:t>
      </w:r>
      <w:r w:rsidRPr="00DA6076">
        <w:rPr>
          <w:rFonts w:asciiTheme="majorHAnsi" w:hAnsiTheme="majorHAnsi" w:cstheme="majorHAnsi"/>
          <w:color w:val="000000"/>
        </w:rPr>
        <w:t>, 15(4), p. 613. Available at: https://doi.org/10.3390/w15040613.</w:t>
      </w:r>
      <w:r w:rsidRPr="00DA6076">
        <w:rPr>
          <w:rStyle w:val="apple-converted-space"/>
          <w:rFonts w:asciiTheme="majorHAnsi" w:hAnsiTheme="majorHAnsi" w:cstheme="majorHAnsi"/>
          <w:color w:val="000000"/>
        </w:rPr>
        <w:t> </w:t>
      </w:r>
    </w:p>
    <w:p w14:paraId="64713C39" w14:textId="77777777" w:rsidR="00DA6076" w:rsidRPr="00DA6076" w:rsidRDefault="00DA6076" w:rsidP="003B2CAA">
      <w:pPr>
        <w:pStyle w:val="NormalWeb"/>
        <w:ind w:left="567" w:hanging="567"/>
        <w:rPr>
          <w:rFonts w:asciiTheme="majorHAnsi" w:hAnsiTheme="majorHAnsi" w:cstheme="majorHAnsi"/>
          <w:color w:val="000000"/>
        </w:rPr>
      </w:pPr>
      <w:proofErr w:type="spellStart"/>
      <w:r w:rsidRPr="00DA6076">
        <w:rPr>
          <w:rFonts w:asciiTheme="majorHAnsi" w:hAnsiTheme="majorHAnsi" w:cstheme="majorHAnsi"/>
          <w:color w:val="000000"/>
        </w:rPr>
        <w:t>Robra</w:t>
      </w:r>
      <w:proofErr w:type="spellEnd"/>
      <w:r w:rsidRPr="00DA6076">
        <w:rPr>
          <w:rFonts w:asciiTheme="majorHAnsi" w:hAnsiTheme="majorHAnsi" w:cstheme="majorHAnsi"/>
          <w:color w:val="000000"/>
        </w:rPr>
        <w:t xml:space="preserve">, B., </w:t>
      </w:r>
      <w:proofErr w:type="spellStart"/>
      <w:r w:rsidRPr="00DA6076">
        <w:rPr>
          <w:rFonts w:asciiTheme="majorHAnsi" w:hAnsiTheme="majorHAnsi" w:cstheme="majorHAnsi"/>
          <w:color w:val="000000"/>
        </w:rPr>
        <w:t>Heikkurinen</w:t>
      </w:r>
      <w:proofErr w:type="spellEnd"/>
      <w:r w:rsidRPr="00DA6076">
        <w:rPr>
          <w:rFonts w:asciiTheme="majorHAnsi" w:hAnsiTheme="majorHAnsi" w:cstheme="majorHAnsi"/>
          <w:color w:val="000000"/>
        </w:rPr>
        <w:t xml:space="preserve">, P. (2021). Degrowth and the Sustainable Development Goals. In: Leal Filho, W., Azul, A.M., </w:t>
      </w:r>
      <w:proofErr w:type="spellStart"/>
      <w:r w:rsidRPr="00DA6076">
        <w:rPr>
          <w:rFonts w:asciiTheme="majorHAnsi" w:hAnsiTheme="majorHAnsi" w:cstheme="majorHAnsi"/>
          <w:color w:val="000000"/>
        </w:rPr>
        <w:t>Brandli</w:t>
      </w:r>
      <w:proofErr w:type="spellEnd"/>
      <w:r w:rsidRPr="00DA6076">
        <w:rPr>
          <w:rFonts w:asciiTheme="majorHAnsi" w:hAnsiTheme="majorHAnsi" w:cstheme="majorHAnsi"/>
          <w:color w:val="000000"/>
        </w:rPr>
        <w:t xml:space="preserve">, L., Lange Salvia, A., Wall, T. (eds) Decent Work and Economic Growth. Encyclopedia of the UN Sustainable Development Goals. Springer, Cham. </w:t>
      </w:r>
      <w:hyperlink r:id="rId51" w:history="1">
        <w:r w:rsidRPr="00DA6076">
          <w:rPr>
            <w:rStyle w:val="Hyperlink"/>
            <w:rFonts w:asciiTheme="majorHAnsi" w:hAnsiTheme="majorHAnsi" w:cstheme="majorHAnsi"/>
          </w:rPr>
          <w:t>https://doi.org/10.1007/978-3-319-95867-5_37</w:t>
        </w:r>
      </w:hyperlink>
    </w:p>
    <w:p w14:paraId="672052B6" w14:textId="77777777" w:rsidR="00DA6076" w:rsidRPr="00DA6076" w:rsidRDefault="00DA6076" w:rsidP="003B2CAA">
      <w:pPr>
        <w:pStyle w:val="NormalWeb"/>
        <w:ind w:left="567" w:hanging="567"/>
        <w:rPr>
          <w:rFonts w:asciiTheme="majorHAnsi" w:hAnsiTheme="majorHAnsi" w:cstheme="majorHAnsi"/>
          <w:color w:val="000000"/>
        </w:rPr>
      </w:pPr>
      <w:proofErr w:type="spellStart"/>
      <w:r w:rsidRPr="00DA6076">
        <w:rPr>
          <w:rFonts w:asciiTheme="majorHAnsi" w:hAnsiTheme="majorHAnsi" w:cstheme="majorHAnsi"/>
          <w:color w:val="000000"/>
        </w:rPr>
        <w:t>Rocklöv</w:t>
      </w:r>
      <w:proofErr w:type="spellEnd"/>
      <w:r w:rsidRPr="00DA6076">
        <w:rPr>
          <w:rFonts w:asciiTheme="majorHAnsi" w:hAnsiTheme="majorHAnsi" w:cstheme="majorHAnsi"/>
          <w:color w:val="000000"/>
        </w:rPr>
        <w:t xml:space="preserve">, J., Dubrow, R. (2020) </w:t>
      </w:r>
      <w:r w:rsidRPr="00DA6076">
        <w:rPr>
          <w:rFonts w:asciiTheme="majorHAnsi" w:hAnsiTheme="majorHAnsi" w:cstheme="majorHAnsi"/>
          <w:color w:val="000000"/>
          <w:lang w:val="en-GB"/>
        </w:rPr>
        <w:t>“</w:t>
      </w:r>
      <w:r w:rsidRPr="00DA6076">
        <w:rPr>
          <w:rFonts w:asciiTheme="majorHAnsi" w:hAnsiTheme="majorHAnsi" w:cstheme="majorHAnsi"/>
          <w:color w:val="000000"/>
        </w:rPr>
        <w:t xml:space="preserve">Climate change: </w:t>
      </w:r>
      <w:r w:rsidRPr="00DA6076">
        <w:rPr>
          <w:rFonts w:asciiTheme="majorHAnsi" w:hAnsiTheme="majorHAnsi" w:cstheme="majorHAnsi"/>
          <w:color w:val="000000"/>
          <w:lang w:val="en-GB"/>
        </w:rPr>
        <w:t>A</w:t>
      </w:r>
      <w:r w:rsidRPr="00DA6076">
        <w:rPr>
          <w:rFonts w:asciiTheme="majorHAnsi" w:hAnsiTheme="majorHAnsi" w:cstheme="majorHAnsi"/>
          <w:color w:val="000000"/>
        </w:rPr>
        <w:t>n enduring challenge for vector-borne disease prevention and control.</w:t>
      </w:r>
      <w:r w:rsidRPr="00DA6076">
        <w:rPr>
          <w:rFonts w:asciiTheme="majorHAnsi" w:hAnsiTheme="majorHAnsi" w:cstheme="majorHAnsi"/>
          <w:color w:val="000000"/>
          <w:lang w:val="en-GB"/>
        </w:rPr>
        <w:t>”</w:t>
      </w:r>
      <w:r w:rsidRPr="00DA6076">
        <w:rPr>
          <w:rFonts w:asciiTheme="majorHAnsi" w:hAnsiTheme="majorHAnsi" w:cstheme="majorHAnsi"/>
          <w:color w:val="000000"/>
        </w:rPr>
        <w:t> </w:t>
      </w:r>
      <w:r w:rsidRPr="00DA6076">
        <w:rPr>
          <w:rFonts w:asciiTheme="majorHAnsi" w:hAnsiTheme="majorHAnsi" w:cstheme="majorHAnsi"/>
          <w:i/>
          <w:iCs/>
          <w:color w:val="000000"/>
        </w:rPr>
        <w:t>Nat Immunol</w:t>
      </w:r>
      <w:r w:rsidRPr="00DA6076">
        <w:rPr>
          <w:rFonts w:asciiTheme="majorHAnsi" w:hAnsiTheme="majorHAnsi" w:cstheme="majorHAnsi"/>
          <w:color w:val="000000"/>
        </w:rPr>
        <w:t> </w:t>
      </w:r>
      <w:r w:rsidRPr="00DA6076">
        <w:rPr>
          <w:rFonts w:asciiTheme="majorHAnsi" w:hAnsiTheme="majorHAnsi" w:cstheme="majorHAnsi"/>
          <w:b/>
          <w:bCs/>
          <w:color w:val="000000"/>
        </w:rPr>
        <w:t>21</w:t>
      </w:r>
      <w:r w:rsidRPr="00DA6076">
        <w:rPr>
          <w:rFonts w:asciiTheme="majorHAnsi" w:hAnsiTheme="majorHAnsi" w:cstheme="majorHAnsi"/>
          <w:color w:val="000000"/>
        </w:rPr>
        <w:t>, 479–483 https://doi.org/10.1038/s41590-020-0648-y</w:t>
      </w:r>
    </w:p>
    <w:p w14:paraId="5E12018F" w14:textId="77777777" w:rsidR="00DA6076" w:rsidRPr="00DA6076" w:rsidRDefault="00DA6076" w:rsidP="003B2CAA">
      <w:pPr>
        <w:pStyle w:val="NormalWeb"/>
        <w:ind w:left="567" w:hanging="567"/>
        <w:rPr>
          <w:rFonts w:asciiTheme="majorHAnsi" w:hAnsiTheme="majorHAnsi" w:cstheme="majorHAnsi"/>
          <w:color w:val="000000"/>
        </w:rPr>
      </w:pPr>
      <w:proofErr w:type="spellStart"/>
      <w:r w:rsidRPr="00DA6076">
        <w:rPr>
          <w:rFonts w:asciiTheme="majorHAnsi" w:hAnsiTheme="majorHAnsi" w:cstheme="majorHAnsi"/>
          <w:color w:val="000000"/>
        </w:rPr>
        <w:t>Rocque</w:t>
      </w:r>
      <w:proofErr w:type="spellEnd"/>
      <w:r w:rsidRPr="00DA6076">
        <w:rPr>
          <w:rFonts w:asciiTheme="majorHAnsi" w:hAnsiTheme="majorHAnsi" w:cstheme="majorHAnsi"/>
          <w:color w:val="000000"/>
        </w:rPr>
        <w:t>, R.J.</w:t>
      </w:r>
      <w:r w:rsidRPr="00DA6076">
        <w:rPr>
          <w:rStyle w:val="apple-converted-space"/>
          <w:rFonts w:asciiTheme="majorHAnsi" w:hAnsiTheme="majorHAnsi" w:cstheme="majorHAnsi"/>
          <w:color w:val="000000"/>
        </w:rPr>
        <w:t> </w:t>
      </w:r>
      <w:r w:rsidRPr="00DA6076">
        <w:rPr>
          <w:rFonts w:asciiTheme="majorHAnsi" w:hAnsiTheme="majorHAnsi" w:cstheme="majorHAnsi"/>
          <w:i/>
          <w:iCs/>
          <w:color w:val="000000"/>
        </w:rPr>
        <w:t>et al.</w:t>
      </w:r>
      <w:r w:rsidRPr="00DA6076">
        <w:rPr>
          <w:rStyle w:val="apple-converted-space"/>
          <w:rFonts w:asciiTheme="majorHAnsi" w:hAnsiTheme="majorHAnsi" w:cstheme="majorHAnsi"/>
          <w:color w:val="000000"/>
        </w:rPr>
        <w:t> </w:t>
      </w:r>
      <w:r w:rsidRPr="00DA6076">
        <w:rPr>
          <w:rFonts w:asciiTheme="majorHAnsi" w:hAnsiTheme="majorHAnsi" w:cstheme="majorHAnsi"/>
          <w:color w:val="000000"/>
        </w:rPr>
        <w:t>(2021) “Health effects of climate change: An overview of Systematic Reviews,”</w:t>
      </w:r>
      <w:r w:rsidRPr="00DA6076">
        <w:rPr>
          <w:rStyle w:val="apple-converted-space"/>
          <w:rFonts w:asciiTheme="majorHAnsi" w:hAnsiTheme="majorHAnsi" w:cstheme="majorHAnsi"/>
          <w:color w:val="000000"/>
        </w:rPr>
        <w:t> </w:t>
      </w:r>
      <w:r w:rsidRPr="00DA6076">
        <w:rPr>
          <w:rFonts w:asciiTheme="majorHAnsi" w:hAnsiTheme="majorHAnsi" w:cstheme="majorHAnsi"/>
          <w:i/>
          <w:iCs/>
          <w:color w:val="000000"/>
        </w:rPr>
        <w:t>BMJ Open</w:t>
      </w:r>
      <w:r w:rsidRPr="00DA6076">
        <w:rPr>
          <w:rFonts w:asciiTheme="majorHAnsi" w:hAnsiTheme="majorHAnsi" w:cstheme="majorHAnsi"/>
          <w:color w:val="000000"/>
        </w:rPr>
        <w:t>, 11(6). Available at: https://doi.org/10.1136/bmjopen-2020-046333.</w:t>
      </w:r>
      <w:r w:rsidRPr="00DA6076">
        <w:rPr>
          <w:rStyle w:val="apple-converted-space"/>
          <w:rFonts w:asciiTheme="majorHAnsi" w:hAnsiTheme="majorHAnsi" w:cstheme="majorHAnsi"/>
          <w:color w:val="000000"/>
        </w:rPr>
        <w:t> </w:t>
      </w:r>
    </w:p>
    <w:p w14:paraId="73D2A4EF" w14:textId="77777777" w:rsidR="00DA6076" w:rsidRPr="00DA6076" w:rsidRDefault="00DA6076" w:rsidP="003B2CAA">
      <w:pPr>
        <w:pStyle w:val="NormalWeb"/>
        <w:ind w:left="567" w:hanging="567"/>
        <w:rPr>
          <w:rStyle w:val="apple-converted-space"/>
          <w:rFonts w:asciiTheme="majorHAnsi" w:eastAsiaTheme="majorEastAsia" w:hAnsiTheme="majorHAnsi" w:cstheme="majorHAnsi"/>
          <w:color w:val="000000"/>
        </w:rPr>
      </w:pPr>
      <w:proofErr w:type="spellStart"/>
      <w:r w:rsidRPr="00DA6076">
        <w:rPr>
          <w:rFonts w:asciiTheme="majorHAnsi" w:hAnsiTheme="majorHAnsi" w:cstheme="majorHAnsi"/>
          <w:color w:val="000000"/>
        </w:rPr>
        <w:t>Ronzon</w:t>
      </w:r>
      <w:proofErr w:type="spellEnd"/>
      <w:r w:rsidRPr="00DA6076">
        <w:rPr>
          <w:rFonts w:asciiTheme="majorHAnsi" w:hAnsiTheme="majorHAnsi" w:cstheme="majorHAnsi"/>
          <w:color w:val="000000"/>
        </w:rPr>
        <w:t xml:space="preserve">, T. and </w:t>
      </w:r>
      <w:proofErr w:type="spellStart"/>
      <w:r w:rsidRPr="00DA6076">
        <w:rPr>
          <w:rFonts w:asciiTheme="majorHAnsi" w:hAnsiTheme="majorHAnsi" w:cstheme="majorHAnsi"/>
          <w:color w:val="000000"/>
        </w:rPr>
        <w:t>Sanjuán</w:t>
      </w:r>
      <w:proofErr w:type="spellEnd"/>
      <w:r w:rsidRPr="00DA6076">
        <w:rPr>
          <w:rFonts w:asciiTheme="majorHAnsi" w:hAnsiTheme="majorHAnsi" w:cstheme="majorHAnsi"/>
          <w:color w:val="000000"/>
        </w:rPr>
        <w:t xml:space="preserve">, A.I. (2020) “Friends or foes? A compatibility assessment of Bioeconomy-related Sustainable Development Goals for </w:t>
      </w:r>
      <w:proofErr w:type="spellStart"/>
      <w:r w:rsidRPr="00DA6076">
        <w:rPr>
          <w:rFonts w:asciiTheme="majorHAnsi" w:hAnsiTheme="majorHAnsi" w:cstheme="majorHAnsi"/>
          <w:color w:val="000000"/>
        </w:rPr>
        <w:t>european</w:t>
      </w:r>
      <w:proofErr w:type="spellEnd"/>
      <w:r w:rsidRPr="00DA6076">
        <w:rPr>
          <w:rFonts w:asciiTheme="majorHAnsi" w:hAnsiTheme="majorHAnsi" w:cstheme="majorHAnsi"/>
          <w:color w:val="000000"/>
        </w:rPr>
        <w:t xml:space="preserve"> policy coherence,”</w:t>
      </w:r>
      <w:r w:rsidRPr="00DA6076">
        <w:rPr>
          <w:rStyle w:val="apple-converted-space"/>
          <w:rFonts w:asciiTheme="majorHAnsi" w:eastAsiaTheme="majorEastAsia" w:hAnsiTheme="majorHAnsi" w:cstheme="majorHAnsi"/>
          <w:color w:val="000000"/>
        </w:rPr>
        <w:t> </w:t>
      </w:r>
      <w:r w:rsidRPr="00DA6076">
        <w:rPr>
          <w:rFonts w:asciiTheme="majorHAnsi" w:hAnsiTheme="majorHAnsi" w:cstheme="majorHAnsi"/>
          <w:i/>
          <w:iCs/>
          <w:color w:val="000000"/>
        </w:rPr>
        <w:t>Journal of Cleaner Production</w:t>
      </w:r>
      <w:r w:rsidRPr="00DA6076">
        <w:rPr>
          <w:rFonts w:asciiTheme="majorHAnsi" w:hAnsiTheme="majorHAnsi" w:cstheme="majorHAnsi"/>
          <w:color w:val="000000"/>
        </w:rPr>
        <w:t xml:space="preserve">, 254, p. 119832. Available at: </w:t>
      </w:r>
      <w:hyperlink r:id="rId52" w:history="1">
        <w:r w:rsidRPr="00DA6076">
          <w:rPr>
            <w:rStyle w:val="Hyperlink"/>
            <w:rFonts w:asciiTheme="majorHAnsi" w:hAnsiTheme="majorHAnsi" w:cstheme="majorHAnsi"/>
          </w:rPr>
          <w:t>https://doi.org/10.1016/j.jclepro.2019.119832</w:t>
        </w:r>
      </w:hyperlink>
      <w:r w:rsidRPr="00DA6076">
        <w:rPr>
          <w:rFonts w:asciiTheme="majorHAnsi" w:hAnsiTheme="majorHAnsi" w:cstheme="majorHAnsi"/>
          <w:color w:val="000000"/>
        </w:rPr>
        <w:t>.</w:t>
      </w:r>
      <w:r w:rsidRPr="00DA6076">
        <w:rPr>
          <w:rStyle w:val="apple-converted-space"/>
          <w:rFonts w:asciiTheme="majorHAnsi" w:eastAsiaTheme="majorEastAsia" w:hAnsiTheme="majorHAnsi" w:cstheme="majorHAnsi"/>
          <w:color w:val="000000"/>
        </w:rPr>
        <w:t> </w:t>
      </w:r>
    </w:p>
    <w:p w14:paraId="730E6ACB" w14:textId="77777777" w:rsidR="00DA6076" w:rsidRPr="00DA6076" w:rsidRDefault="00DA6076" w:rsidP="003B2CAA">
      <w:pPr>
        <w:pStyle w:val="NormalWeb"/>
        <w:ind w:left="567" w:hanging="567"/>
        <w:rPr>
          <w:rFonts w:asciiTheme="majorHAnsi" w:hAnsiTheme="majorHAnsi" w:cstheme="majorHAnsi"/>
          <w:color w:val="000000"/>
        </w:rPr>
      </w:pPr>
      <w:r w:rsidRPr="00DA6076">
        <w:rPr>
          <w:rFonts w:asciiTheme="majorHAnsi" w:hAnsiTheme="majorHAnsi" w:cstheme="majorHAnsi"/>
          <w:color w:val="000000"/>
        </w:rPr>
        <w:t xml:space="preserve">Sachs, W. (2017) “The Sustainable Development Goals </w:t>
      </w:r>
      <w:proofErr w:type="spellStart"/>
      <w:r w:rsidRPr="00DA6076">
        <w:rPr>
          <w:rFonts w:asciiTheme="majorHAnsi" w:hAnsiTheme="majorHAnsi" w:cstheme="majorHAnsi"/>
          <w:color w:val="000000"/>
        </w:rPr>
        <w:t>and</w:t>
      </w:r>
      <w:r w:rsidRPr="00DA6076">
        <w:rPr>
          <w:rFonts w:asciiTheme="majorHAnsi" w:hAnsiTheme="majorHAnsi" w:cstheme="majorHAnsi"/>
          <w:i/>
          <w:iCs/>
          <w:color w:val="000000"/>
        </w:rPr>
        <w:t>laudato</w:t>
      </w:r>
      <w:proofErr w:type="spellEnd"/>
      <w:r w:rsidRPr="00DA6076">
        <w:rPr>
          <w:rFonts w:asciiTheme="majorHAnsi" w:hAnsiTheme="majorHAnsi" w:cstheme="majorHAnsi"/>
          <w:i/>
          <w:iCs/>
          <w:color w:val="000000"/>
        </w:rPr>
        <w:t xml:space="preserve"> </w:t>
      </w:r>
      <w:proofErr w:type="spellStart"/>
      <w:r w:rsidRPr="00DA6076">
        <w:rPr>
          <w:rFonts w:asciiTheme="majorHAnsi" w:hAnsiTheme="majorHAnsi" w:cstheme="majorHAnsi"/>
          <w:i/>
          <w:iCs/>
          <w:color w:val="000000"/>
        </w:rPr>
        <w:t>si</w:t>
      </w:r>
      <w:proofErr w:type="spellEnd"/>
      <w:r w:rsidRPr="00DA6076">
        <w:rPr>
          <w:rFonts w:asciiTheme="majorHAnsi" w:hAnsiTheme="majorHAnsi" w:cstheme="majorHAnsi"/>
          <w:i/>
          <w:iCs/>
          <w:color w:val="000000"/>
        </w:rPr>
        <w:t>’</w:t>
      </w:r>
      <w:r w:rsidRPr="00DA6076">
        <w:rPr>
          <w:rFonts w:asciiTheme="majorHAnsi" w:hAnsiTheme="majorHAnsi" w:cstheme="majorHAnsi"/>
          <w:color w:val="000000"/>
        </w:rPr>
        <w:t>: Varieties of post-development?,”</w:t>
      </w:r>
      <w:r w:rsidRPr="00DA6076">
        <w:rPr>
          <w:rStyle w:val="apple-converted-space"/>
          <w:rFonts w:asciiTheme="majorHAnsi" w:hAnsiTheme="majorHAnsi" w:cstheme="majorHAnsi"/>
          <w:color w:val="000000"/>
        </w:rPr>
        <w:t> </w:t>
      </w:r>
      <w:r w:rsidRPr="00DA6076">
        <w:rPr>
          <w:rFonts w:asciiTheme="majorHAnsi" w:hAnsiTheme="majorHAnsi" w:cstheme="majorHAnsi"/>
          <w:i/>
          <w:iCs/>
          <w:color w:val="000000"/>
        </w:rPr>
        <w:t>Third World Quarterly</w:t>
      </w:r>
      <w:r w:rsidRPr="00DA6076">
        <w:rPr>
          <w:rFonts w:asciiTheme="majorHAnsi" w:hAnsiTheme="majorHAnsi" w:cstheme="majorHAnsi"/>
          <w:color w:val="000000"/>
        </w:rPr>
        <w:t>, 38(12), pp. 2573–2587. Available at: https://doi.org/10.1080/01436597.2017.1350822.</w:t>
      </w:r>
      <w:r w:rsidRPr="00DA6076">
        <w:rPr>
          <w:rStyle w:val="apple-converted-space"/>
          <w:rFonts w:asciiTheme="majorHAnsi" w:hAnsiTheme="majorHAnsi" w:cstheme="majorHAnsi"/>
          <w:color w:val="000000"/>
        </w:rPr>
        <w:t> </w:t>
      </w:r>
    </w:p>
    <w:p w14:paraId="0B23E543" w14:textId="77777777" w:rsidR="00DA6076" w:rsidRPr="00DA6076" w:rsidRDefault="00DA6076" w:rsidP="003B2CAA">
      <w:pPr>
        <w:pStyle w:val="NormalWeb"/>
        <w:ind w:left="567" w:hanging="567"/>
        <w:rPr>
          <w:rFonts w:asciiTheme="majorHAnsi" w:hAnsiTheme="majorHAnsi" w:cstheme="majorHAnsi"/>
          <w:color w:val="000000"/>
        </w:rPr>
      </w:pPr>
      <w:r w:rsidRPr="00DA6076">
        <w:rPr>
          <w:rFonts w:asciiTheme="majorHAnsi" w:hAnsiTheme="majorHAnsi" w:cstheme="majorHAnsi"/>
          <w:color w:val="000000"/>
        </w:rPr>
        <w:t xml:space="preserve">Sachs, W. (2017) “The Sustainable Development Goals </w:t>
      </w:r>
      <w:proofErr w:type="spellStart"/>
      <w:r w:rsidRPr="00DA6076">
        <w:rPr>
          <w:rFonts w:asciiTheme="majorHAnsi" w:hAnsiTheme="majorHAnsi" w:cstheme="majorHAnsi"/>
          <w:color w:val="000000"/>
        </w:rPr>
        <w:t>and</w:t>
      </w:r>
      <w:r w:rsidRPr="00DA6076">
        <w:rPr>
          <w:rFonts w:asciiTheme="majorHAnsi" w:hAnsiTheme="majorHAnsi" w:cstheme="majorHAnsi"/>
          <w:i/>
          <w:iCs/>
          <w:color w:val="000000"/>
        </w:rPr>
        <w:t>laudato</w:t>
      </w:r>
      <w:proofErr w:type="spellEnd"/>
      <w:r w:rsidRPr="00DA6076">
        <w:rPr>
          <w:rFonts w:asciiTheme="majorHAnsi" w:hAnsiTheme="majorHAnsi" w:cstheme="majorHAnsi"/>
          <w:i/>
          <w:iCs/>
          <w:color w:val="000000"/>
        </w:rPr>
        <w:t xml:space="preserve"> </w:t>
      </w:r>
      <w:proofErr w:type="spellStart"/>
      <w:r w:rsidRPr="00DA6076">
        <w:rPr>
          <w:rFonts w:asciiTheme="majorHAnsi" w:hAnsiTheme="majorHAnsi" w:cstheme="majorHAnsi"/>
          <w:i/>
          <w:iCs/>
          <w:color w:val="000000"/>
        </w:rPr>
        <w:t>si</w:t>
      </w:r>
      <w:proofErr w:type="spellEnd"/>
      <w:r w:rsidRPr="00DA6076">
        <w:rPr>
          <w:rFonts w:asciiTheme="majorHAnsi" w:hAnsiTheme="majorHAnsi" w:cstheme="majorHAnsi"/>
          <w:i/>
          <w:iCs/>
          <w:color w:val="000000"/>
        </w:rPr>
        <w:t>’</w:t>
      </w:r>
      <w:r w:rsidRPr="00DA6076">
        <w:rPr>
          <w:rFonts w:asciiTheme="majorHAnsi" w:hAnsiTheme="majorHAnsi" w:cstheme="majorHAnsi"/>
          <w:color w:val="000000"/>
        </w:rPr>
        <w:t>: Varieties of post-development?,”</w:t>
      </w:r>
      <w:r w:rsidRPr="00DA6076">
        <w:rPr>
          <w:rStyle w:val="apple-converted-space"/>
          <w:rFonts w:asciiTheme="majorHAnsi" w:eastAsiaTheme="majorEastAsia" w:hAnsiTheme="majorHAnsi" w:cstheme="majorHAnsi"/>
          <w:color w:val="000000"/>
        </w:rPr>
        <w:t> </w:t>
      </w:r>
      <w:r w:rsidRPr="00DA6076">
        <w:rPr>
          <w:rFonts w:asciiTheme="majorHAnsi" w:hAnsiTheme="majorHAnsi" w:cstheme="majorHAnsi"/>
          <w:i/>
          <w:iCs/>
          <w:color w:val="000000"/>
        </w:rPr>
        <w:t>Third World Quarterly</w:t>
      </w:r>
      <w:r w:rsidRPr="00DA6076">
        <w:rPr>
          <w:rFonts w:asciiTheme="majorHAnsi" w:hAnsiTheme="majorHAnsi" w:cstheme="majorHAnsi"/>
          <w:color w:val="000000"/>
        </w:rPr>
        <w:t>, 38(12), pp. 2573–2587. Available at: https://doi.org/10.1080/01436597.2017.1350822.</w:t>
      </w:r>
      <w:r w:rsidRPr="00DA6076">
        <w:rPr>
          <w:rStyle w:val="apple-converted-space"/>
          <w:rFonts w:asciiTheme="majorHAnsi" w:eastAsiaTheme="majorEastAsia" w:hAnsiTheme="majorHAnsi" w:cstheme="majorHAnsi"/>
          <w:color w:val="000000"/>
        </w:rPr>
        <w:t> </w:t>
      </w:r>
    </w:p>
    <w:p w14:paraId="7B1EE406" w14:textId="77777777" w:rsidR="00DA6076" w:rsidRPr="00DA6076" w:rsidRDefault="00DA6076" w:rsidP="003B2CAA">
      <w:pPr>
        <w:pStyle w:val="NormalWeb"/>
        <w:ind w:left="567" w:hanging="567"/>
        <w:rPr>
          <w:rFonts w:asciiTheme="majorHAnsi" w:hAnsiTheme="majorHAnsi" w:cstheme="majorHAnsi"/>
          <w:color w:val="000000"/>
        </w:rPr>
      </w:pPr>
      <w:proofErr w:type="spellStart"/>
      <w:r w:rsidRPr="00DA6076">
        <w:rPr>
          <w:rFonts w:asciiTheme="majorHAnsi" w:hAnsiTheme="majorHAnsi" w:cstheme="majorHAnsi"/>
          <w:color w:val="000000"/>
        </w:rPr>
        <w:t>Sáez</w:t>
      </w:r>
      <w:proofErr w:type="spellEnd"/>
      <w:r w:rsidRPr="00DA6076">
        <w:rPr>
          <w:rFonts w:asciiTheme="majorHAnsi" w:hAnsiTheme="majorHAnsi" w:cstheme="majorHAnsi"/>
          <w:color w:val="000000"/>
        </w:rPr>
        <w:t xml:space="preserve"> de Cámara, E., Fernández, I. and Castillo-</w:t>
      </w:r>
      <w:proofErr w:type="spellStart"/>
      <w:r w:rsidRPr="00DA6076">
        <w:rPr>
          <w:rFonts w:asciiTheme="majorHAnsi" w:hAnsiTheme="majorHAnsi" w:cstheme="majorHAnsi"/>
          <w:color w:val="000000"/>
        </w:rPr>
        <w:t>Eguskitza</w:t>
      </w:r>
      <w:proofErr w:type="spellEnd"/>
      <w:r w:rsidRPr="00DA6076">
        <w:rPr>
          <w:rFonts w:asciiTheme="majorHAnsi" w:hAnsiTheme="majorHAnsi" w:cstheme="majorHAnsi"/>
          <w:color w:val="000000"/>
        </w:rPr>
        <w:t xml:space="preserve">, N. (2021) “A holistic approach to integrate and evaluate sustainable development in higher education. The case study of the university of the </w:t>
      </w:r>
      <w:proofErr w:type="spellStart"/>
      <w:r w:rsidRPr="00DA6076">
        <w:rPr>
          <w:rFonts w:asciiTheme="majorHAnsi" w:hAnsiTheme="majorHAnsi" w:cstheme="majorHAnsi"/>
          <w:color w:val="000000"/>
        </w:rPr>
        <w:t>basque</w:t>
      </w:r>
      <w:proofErr w:type="spellEnd"/>
      <w:r w:rsidRPr="00DA6076">
        <w:rPr>
          <w:rFonts w:asciiTheme="majorHAnsi" w:hAnsiTheme="majorHAnsi" w:cstheme="majorHAnsi"/>
          <w:color w:val="000000"/>
        </w:rPr>
        <w:t xml:space="preserve"> country,”</w:t>
      </w:r>
      <w:r w:rsidRPr="00DA6076">
        <w:rPr>
          <w:rStyle w:val="apple-converted-space"/>
          <w:rFonts w:asciiTheme="majorHAnsi" w:hAnsiTheme="majorHAnsi" w:cstheme="majorHAnsi"/>
          <w:color w:val="000000"/>
        </w:rPr>
        <w:t> </w:t>
      </w:r>
      <w:r w:rsidRPr="00DA6076">
        <w:rPr>
          <w:rFonts w:asciiTheme="majorHAnsi" w:hAnsiTheme="majorHAnsi" w:cstheme="majorHAnsi"/>
          <w:i/>
          <w:iCs/>
          <w:color w:val="000000"/>
        </w:rPr>
        <w:t>Sustainability</w:t>
      </w:r>
      <w:r w:rsidRPr="00DA6076">
        <w:rPr>
          <w:rFonts w:asciiTheme="majorHAnsi" w:hAnsiTheme="majorHAnsi" w:cstheme="majorHAnsi"/>
          <w:color w:val="000000"/>
        </w:rPr>
        <w:t>, 13(1), p. 392. Available at: https://doi.org/10.3390/su13010392.</w:t>
      </w:r>
      <w:r w:rsidRPr="00DA6076">
        <w:rPr>
          <w:rStyle w:val="apple-converted-space"/>
          <w:rFonts w:asciiTheme="majorHAnsi" w:hAnsiTheme="majorHAnsi" w:cstheme="majorHAnsi"/>
          <w:color w:val="000000"/>
        </w:rPr>
        <w:t> </w:t>
      </w:r>
    </w:p>
    <w:p w14:paraId="6B1EAC38" w14:textId="77777777" w:rsidR="00DA6076" w:rsidRPr="00DA6076" w:rsidRDefault="00DA6076" w:rsidP="003B2CAA">
      <w:pPr>
        <w:pStyle w:val="NormalWeb"/>
        <w:ind w:left="567" w:hanging="567"/>
        <w:rPr>
          <w:rFonts w:asciiTheme="majorHAnsi" w:hAnsiTheme="majorHAnsi" w:cstheme="majorHAnsi"/>
          <w:color w:val="000000"/>
        </w:rPr>
      </w:pPr>
      <w:r w:rsidRPr="00DA6076">
        <w:rPr>
          <w:rFonts w:asciiTheme="majorHAnsi" w:hAnsiTheme="majorHAnsi" w:cstheme="majorHAnsi"/>
          <w:color w:val="000000"/>
        </w:rPr>
        <w:lastRenderedPageBreak/>
        <w:t>Saxena, A.</w:t>
      </w:r>
      <w:r w:rsidRPr="00DA6076">
        <w:rPr>
          <w:rStyle w:val="apple-converted-space"/>
          <w:rFonts w:asciiTheme="majorHAnsi" w:eastAsiaTheme="majorEastAsia" w:hAnsiTheme="majorHAnsi" w:cstheme="majorHAnsi"/>
          <w:color w:val="000000"/>
        </w:rPr>
        <w:t> </w:t>
      </w:r>
      <w:r w:rsidRPr="00DA6076">
        <w:rPr>
          <w:rFonts w:asciiTheme="majorHAnsi" w:hAnsiTheme="majorHAnsi" w:cstheme="majorHAnsi"/>
          <w:i/>
          <w:iCs/>
          <w:color w:val="000000"/>
        </w:rPr>
        <w:t>et al.</w:t>
      </w:r>
      <w:r w:rsidRPr="00DA6076">
        <w:rPr>
          <w:rStyle w:val="apple-converted-space"/>
          <w:rFonts w:asciiTheme="majorHAnsi" w:eastAsiaTheme="majorEastAsia" w:hAnsiTheme="majorHAnsi" w:cstheme="majorHAnsi"/>
          <w:color w:val="000000"/>
        </w:rPr>
        <w:t> </w:t>
      </w:r>
      <w:r w:rsidRPr="00DA6076">
        <w:rPr>
          <w:rFonts w:asciiTheme="majorHAnsi" w:hAnsiTheme="majorHAnsi" w:cstheme="majorHAnsi"/>
          <w:color w:val="000000"/>
        </w:rPr>
        <w:t>(2021) “Striving for the United Nations (UN) sustainable development goals (</w:t>
      </w:r>
      <w:proofErr w:type="spellStart"/>
      <w:r w:rsidRPr="00DA6076">
        <w:rPr>
          <w:rFonts w:asciiTheme="majorHAnsi" w:hAnsiTheme="majorHAnsi" w:cstheme="majorHAnsi"/>
          <w:color w:val="000000"/>
        </w:rPr>
        <w:t>sdgs</w:t>
      </w:r>
      <w:proofErr w:type="spellEnd"/>
      <w:r w:rsidRPr="00DA6076">
        <w:rPr>
          <w:rFonts w:asciiTheme="majorHAnsi" w:hAnsiTheme="majorHAnsi" w:cstheme="majorHAnsi"/>
          <w:color w:val="000000"/>
        </w:rPr>
        <w:t>): What will it take?,”</w:t>
      </w:r>
      <w:r w:rsidRPr="00DA6076">
        <w:rPr>
          <w:rStyle w:val="apple-converted-space"/>
          <w:rFonts w:asciiTheme="majorHAnsi" w:eastAsiaTheme="majorEastAsia" w:hAnsiTheme="majorHAnsi" w:cstheme="majorHAnsi"/>
          <w:color w:val="000000"/>
        </w:rPr>
        <w:t> </w:t>
      </w:r>
      <w:r w:rsidRPr="00DA6076">
        <w:rPr>
          <w:rFonts w:asciiTheme="majorHAnsi" w:hAnsiTheme="majorHAnsi" w:cstheme="majorHAnsi"/>
          <w:i/>
          <w:iCs/>
          <w:color w:val="000000"/>
        </w:rPr>
        <w:t>Discover Sustainability</w:t>
      </w:r>
      <w:r w:rsidRPr="00DA6076">
        <w:rPr>
          <w:rFonts w:asciiTheme="majorHAnsi" w:hAnsiTheme="majorHAnsi" w:cstheme="majorHAnsi"/>
          <w:color w:val="000000"/>
        </w:rPr>
        <w:t>, 2(1). Available at: https://doi.org/10.1007/s43621-021-00029-8.</w:t>
      </w:r>
      <w:r w:rsidRPr="00DA6076">
        <w:rPr>
          <w:rStyle w:val="apple-converted-space"/>
          <w:rFonts w:asciiTheme="majorHAnsi" w:eastAsiaTheme="majorEastAsia" w:hAnsiTheme="majorHAnsi" w:cstheme="majorHAnsi"/>
          <w:color w:val="000000"/>
        </w:rPr>
        <w:t> </w:t>
      </w:r>
    </w:p>
    <w:p w14:paraId="12C1CBDE" w14:textId="77777777" w:rsidR="00DA6076" w:rsidRPr="00DA6076" w:rsidRDefault="00DA6076" w:rsidP="00DF7A6B">
      <w:pPr>
        <w:pStyle w:val="NormalWeb"/>
        <w:ind w:left="567" w:hanging="567"/>
        <w:rPr>
          <w:rStyle w:val="apple-converted-space"/>
          <w:rFonts w:asciiTheme="majorHAnsi" w:hAnsiTheme="majorHAnsi" w:cstheme="majorHAnsi"/>
          <w:color w:val="000000"/>
        </w:rPr>
      </w:pPr>
      <w:r w:rsidRPr="00DA6076">
        <w:rPr>
          <w:rStyle w:val="apple-converted-space"/>
          <w:rFonts w:asciiTheme="majorHAnsi" w:hAnsiTheme="majorHAnsi" w:cstheme="majorHAnsi"/>
          <w:color w:val="000000"/>
        </w:rPr>
        <w:t>Schmidt-Traub, G., et al. (2017). National baselines for the SDGs assessed in the SDG Index and Dashboards. Nature Geoscience, 10.</w:t>
      </w:r>
    </w:p>
    <w:p w14:paraId="2FB6D04D" w14:textId="77777777" w:rsidR="00DA6076" w:rsidRPr="00DA6076" w:rsidRDefault="00DA6076" w:rsidP="003B2CAA">
      <w:pPr>
        <w:pStyle w:val="NormalWeb"/>
        <w:ind w:left="567" w:hanging="567"/>
        <w:rPr>
          <w:rFonts w:asciiTheme="majorHAnsi" w:hAnsiTheme="majorHAnsi" w:cstheme="majorHAnsi"/>
          <w:color w:val="000000"/>
        </w:rPr>
      </w:pPr>
      <w:r w:rsidRPr="00DA6076">
        <w:rPr>
          <w:rFonts w:asciiTheme="majorHAnsi" w:hAnsiTheme="majorHAnsi" w:cstheme="majorHAnsi"/>
          <w:color w:val="000000"/>
        </w:rPr>
        <w:t xml:space="preserve">Sen, G. (2019) “Gender equality and women's empowerment: Feminist Mobilization for </w:t>
      </w:r>
      <w:proofErr w:type="spellStart"/>
      <w:r w:rsidRPr="00DA6076">
        <w:rPr>
          <w:rFonts w:asciiTheme="majorHAnsi" w:hAnsiTheme="majorHAnsi" w:cstheme="majorHAnsi"/>
          <w:color w:val="000000"/>
        </w:rPr>
        <w:t>thesdgS</w:t>
      </w:r>
      <w:proofErr w:type="spellEnd"/>
      <w:r w:rsidRPr="00DA6076">
        <w:rPr>
          <w:rFonts w:asciiTheme="majorHAnsi" w:hAnsiTheme="majorHAnsi" w:cstheme="majorHAnsi"/>
          <w:color w:val="000000"/>
        </w:rPr>
        <w:t>,”</w:t>
      </w:r>
      <w:r w:rsidRPr="00DA6076">
        <w:rPr>
          <w:rStyle w:val="apple-converted-space"/>
          <w:rFonts w:asciiTheme="majorHAnsi" w:eastAsiaTheme="majorEastAsia" w:hAnsiTheme="majorHAnsi" w:cstheme="majorHAnsi"/>
          <w:color w:val="000000"/>
        </w:rPr>
        <w:t> </w:t>
      </w:r>
      <w:r w:rsidRPr="00DA6076">
        <w:rPr>
          <w:rFonts w:asciiTheme="majorHAnsi" w:hAnsiTheme="majorHAnsi" w:cstheme="majorHAnsi"/>
          <w:i/>
          <w:iCs/>
          <w:color w:val="000000"/>
        </w:rPr>
        <w:t>Global Policy</w:t>
      </w:r>
      <w:r w:rsidRPr="00DA6076">
        <w:rPr>
          <w:rFonts w:asciiTheme="majorHAnsi" w:hAnsiTheme="majorHAnsi" w:cstheme="majorHAnsi"/>
          <w:color w:val="000000"/>
        </w:rPr>
        <w:t>, 10(S1), pp. 28–38. Available at: https://doi.org/10.1111/1758-5899.12593.</w:t>
      </w:r>
      <w:r w:rsidRPr="00DA6076">
        <w:rPr>
          <w:rStyle w:val="apple-converted-space"/>
          <w:rFonts w:asciiTheme="majorHAnsi" w:eastAsiaTheme="majorEastAsia" w:hAnsiTheme="majorHAnsi" w:cstheme="majorHAnsi"/>
          <w:color w:val="000000"/>
        </w:rPr>
        <w:t> </w:t>
      </w:r>
    </w:p>
    <w:p w14:paraId="1361ECD9" w14:textId="77777777" w:rsidR="00DA6076" w:rsidRPr="00DA6076" w:rsidRDefault="00DA6076" w:rsidP="00DF7A6B">
      <w:pPr>
        <w:pStyle w:val="NormalWeb"/>
        <w:ind w:left="567" w:hanging="567"/>
        <w:rPr>
          <w:rStyle w:val="apple-converted-space"/>
          <w:rFonts w:asciiTheme="majorHAnsi" w:hAnsiTheme="majorHAnsi" w:cstheme="majorHAnsi"/>
          <w:color w:val="000000"/>
        </w:rPr>
      </w:pPr>
      <w:r w:rsidRPr="00DA6076">
        <w:rPr>
          <w:rFonts w:asciiTheme="majorHAnsi" w:hAnsiTheme="majorHAnsi" w:cstheme="majorHAnsi"/>
          <w:color w:val="000000"/>
        </w:rPr>
        <w:t>Shah, S. and Sivakumaran, S. (2021) “The use of international human rights law in the universal periodic review,”</w:t>
      </w:r>
      <w:r w:rsidRPr="00DA6076">
        <w:rPr>
          <w:rStyle w:val="apple-converted-space"/>
          <w:rFonts w:asciiTheme="majorHAnsi" w:hAnsiTheme="majorHAnsi" w:cstheme="majorHAnsi"/>
          <w:color w:val="000000"/>
        </w:rPr>
        <w:t> </w:t>
      </w:r>
      <w:r w:rsidRPr="00DA6076">
        <w:rPr>
          <w:rFonts w:asciiTheme="majorHAnsi" w:hAnsiTheme="majorHAnsi" w:cstheme="majorHAnsi"/>
          <w:i/>
          <w:iCs/>
          <w:color w:val="000000"/>
        </w:rPr>
        <w:t>Human Rights Law Review</w:t>
      </w:r>
      <w:r w:rsidRPr="00DA6076">
        <w:rPr>
          <w:rFonts w:asciiTheme="majorHAnsi" w:hAnsiTheme="majorHAnsi" w:cstheme="majorHAnsi"/>
          <w:color w:val="000000"/>
        </w:rPr>
        <w:t xml:space="preserve">, 21(2), pp. 264–301. Available at: </w:t>
      </w:r>
      <w:hyperlink r:id="rId53" w:history="1">
        <w:r w:rsidRPr="00DA6076">
          <w:rPr>
            <w:rStyle w:val="Hyperlink"/>
            <w:rFonts w:asciiTheme="majorHAnsi" w:hAnsiTheme="majorHAnsi" w:cstheme="majorHAnsi"/>
          </w:rPr>
          <w:t>https://doi.org/10.1093/hrlr/ngaa056</w:t>
        </w:r>
      </w:hyperlink>
      <w:r w:rsidRPr="00DA6076">
        <w:rPr>
          <w:rFonts w:asciiTheme="majorHAnsi" w:hAnsiTheme="majorHAnsi" w:cstheme="majorHAnsi"/>
          <w:color w:val="000000"/>
        </w:rPr>
        <w:t>.</w:t>
      </w:r>
      <w:r w:rsidRPr="00DA6076">
        <w:rPr>
          <w:rStyle w:val="apple-converted-space"/>
          <w:rFonts w:asciiTheme="majorHAnsi" w:hAnsiTheme="majorHAnsi" w:cstheme="majorHAnsi"/>
          <w:color w:val="000000"/>
        </w:rPr>
        <w:t> </w:t>
      </w:r>
    </w:p>
    <w:p w14:paraId="2EC7F043" w14:textId="77777777" w:rsidR="00DA6076" w:rsidRPr="00DA6076" w:rsidRDefault="00DA6076" w:rsidP="003B2CAA">
      <w:pPr>
        <w:pStyle w:val="NormalWeb"/>
        <w:ind w:left="567" w:hanging="567"/>
        <w:rPr>
          <w:rStyle w:val="apple-converted-space"/>
          <w:rFonts w:asciiTheme="majorHAnsi" w:hAnsiTheme="majorHAnsi" w:cstheme="majorHAnsi"/>
          <w:color w:val="000000"/>
        </w:rPr>
      </w:pPr>
      <w:r w:rsidRPr="00DA6076">
        <w:rPr>
          <w:rStyle w:val="apple-converted-space"/>
          <w:rFonts w:asciiTheme="majorHAnsi" w:hAnsiTheme="majorHAnsi" w:cstheme="majorHAnsi"/>
          <w:color w:val="000000"/>
        </w:rPr>
        <w:t>Shaw, M. N. (2019). International Law (9th ed.). Cambridge University Press. ISBN-10: 1108733050, ISBN-13: 978-1108733052.</w:t>
      </w:r>
    </w:p>
    <w:p w14:paraId="4759135B" w14:textId="77777777" w:rsidR="00DA6076" w:rsidRPr="00DA6076" w:rsidRDefault="00DA6076" w:rsidP="003B2CAA">
      <w:pPr>
        <w:pStyle w:val="NormalWeb"/>
        <w:ind w:left="567" w:hanging="567"/>
        <w:rPr>
          <w:rFonts w:asciiTheme="majorHAnsi" w:hAnsiTheme="majorHAnsi" w:cstheme="majorHAnsi"/>
          <w:color w:val="000000"/>
        </w:rPr>
      </w:pPr>
      <w:r w:rsidRPr="00DA6076">
        <w:rPr>
          <w:rFonts w:asciiTheme="majorHAnsi" w:hAnsiTheme="majorHAnsi" w:cstheme="majorHAnsi"/>
          <w:color w:val="000000"/>
        </w:rPr>
        <w:t>Shen, C. and Zhao, X. (2022) “How does income inequality affects economic growth at different income levels?,”</w:t>
      </w:r>
      <w:r w:rsidRPr="00DA6076">
        <w:rPr>
          <w:rStyle w:val="apple-converted-space"/>
          <w:rFonts w:asciiTheme="majorHAnsi" w:hAnsiTheme="majorHAnsi" w:cstheme="majorHAnsi"/>
          <w:color w:val="000000"/>
        </w:rPr>
        <w:t> </w:t>
      </w:r>
      <w:r w:rsidRPr="00DA6076">
        <w:rPr>
          <w:rFonts w:asciiTheme="majorHAnsi" w:hAnsiTheme="majorHAnsi" w:cstheme="majorHAnsi"/>
          <w:i/>
          <w:iCs/>
          <w:color w:val="000000"/>
        </w:rPr>
        <w:t>Economic Research-</w:t>
      </w:r>
      <w:proofErr w:type="spellStart"/>
      <w:r w:rsidRPr="00DA6076">
        <w:rPr>
          <w:rFonts w:asciiTheme="majorHAnsi" w:hAnsiTheme="majorHAnsi" w:cstheme="majorHAnsi"/>
          <w:i/>
          <w:iCs/>
          <w:color w:val="000000"/>
        </w:rPr>
        <w:t>Ekonomska</w:t>
      </w:r>
      <w:proofErr w:type="spellEnd"/>
      <w:r w:rsidRPr="00DA6076">
        <w:rPr>
          <w:rFonts w:asciiTheme="majorHAnsi" w:hAnsiTheme="majorHAnsi" w:cstheme="majorHAnsi"/>
          <w:i/>
          <w:iCs/>
          <w:color w:val="000000"/>
        </w:rPr>
        <w:t xml:space="preserve"> </w:t>
      </w:r>
      <w:proofErr w:type="spellStart"/>
      <w:r w:rsidRPr="00DA6076">
        <w:rPr>
          <w:rFonts w:asciiTheme="majorHAnsi" w:hAnsiTheme="majorHAnsi" w:cstheme="majorHAnsi"/>
          <w:i/>
          <w:iCs/>
          <w:color w:val="000000"/>
        </w:rPr>
        <w:t>Istraživanja</w:t>
      </w:r>
      <w:proofErr w:type="spellEnd"/>
      <w:r w:rsidRPr="00DA6076">
        <w:rPr>
          <w:rFonts w:asciiTheme="majorHAnsi" w:hAnsiTheme="majorHAnsi" w:cstheme="majorHAnsi"/>
          <w:color w:val="000000"/>
        </w:rPr>
        <w:t>, 36(1), pp. 864–884. Available at: https://doi.org/10.1080/1331677x.2022.2080742.</w:t>
      </w:r>
      <w:r w:rsidRPr="00DA6076">
        <w:rPr>
          <w:rStyle w:val="apple-converted-space"/>
          <w:rFonts w:asciiTheme="majorHAnsi" w:hAnsiTheme="majorHAnsi" w:cstheme="majorHAnsi"/>
          <w:color w:val="000000"/>
        </w:rPr>
        <w:t> </w:t>
      </w:r>
    </w:p>
    <w:p w14:paraId="3F485BCE" w14:textId="77777777" w:rsidR="00DA6076" w:rsidRPr="00DA6076" w:rsidRDefault="00DA6076" w:rsidP="003B2CAA">
      <w:pPr>
        <w:pStyle w:val="NormalWeb"/>
        <w:ind w:left="567" w:hanging="567"/>
        <w:rPr>
          <w:rFonts w:asciiTheme="majorHAnsi" w:hAnsiTheme="majorHAnsi" w:cstheme="majorHAnsi"/>
          <w:color w:val="000000"/>
        </w:rPr>
      </w:pPr>
      <w:proofErr w:type="spellStart"/>
      <w:r w:rsidRPr="00DA6076">
        <w:rPr>
          <w:rFonts w:asciiTheme="majorHAnsi" w:hAnsiTheme="majorHAnsi" w:cstheme="majorHAnsi"/>
          <w:color w:val="000000"/>
        </w:rPr>
        <w:t>Spaiser</w:t>
      </w:r>
      <w:proofErr w:type="spellEnd"/>
      <w:r w:rsidRPr="00DA6076">
        <w:rPr>
          <w:rFonts w:asciiTheme="majorHAnsi" w:hAnsiTheme="majorHAnsi" w:cstheme="majorHAnsi"/>
          <w:color w:val="000000"/>
        </w:rPr>
        <w:t>, V.</w:t>
      </w:r>
      <w:r w:rsidRPr="00DA6076">
        <w:rPr>
          <w:rStyle w:val="apple-converted-space"/>
          <w:rFonts w:asciiTheme="majorHAnsi" w:eastAsiaTheme="majorEastAsia" w:hAnsiTheme="majorHAnsi" w:cstheme="majorHAnsi"/>
          <w:color w:val="000000"/>
        </w:rPr>
        <w:t> </w:t>
      </w:r>
      <w:r w:rsidRPr="00DA6076">
        <w:rPr>
          <w:rFonts w:asciiTheme="majorHAnsi" w:hAnsiTheme="majorHAnsi" w:cstheme="majorHAnsi"/>
          <w:i/>
          <w:iCs/>
          <w:color w:val="000000"/>
        </w:rPr>
        <w:t>et al.</w:t>
      </w:r>
      <w:r w:rsidRPr="00DA6076">
        <w:rPr>
          <w:rStyle w:val="apple-converted-space"/>
          <w:rFonts w:asciiTheme="majorHAnsi" w:eastAsiaTheme="majorEastAsia" w:hAnsiTheme="majorHAnsi" w:cstheme="majorHAnsi"/>
          <w:color w:val="000000"/>
        </w:rPr>
        <w:t> </w:t>
      </w:r>
      <w:r w:rsidRPr="00DA6076">
        <w:rPr>
          <w:rFonts w:asciiTheme="majorHAnsi" w:hAnsiTheme="majorHAnsi" w:cstheme="majorHAnsi"/>
          <w:color w:val="000000"/>
        </w:rPr>
        <w:t>(2016) “The Sustainable Development Oxymoron: Quantifying and modelling the incompatibility of sustainable development goals,”</w:t>
      </w:r>
      <w:r w:rsidRPr="00DA6076">
        <w:rPr>
          <w:rStyle w:val="apple-converted-space"/>
          <w:rFonts w:asciiTheme="majorHAnsi" w:eastAsiaTheme="majorEastAsia" w:hAnsiTheme="majorHAnsi" w:cstheme="majorHAnsi"/>
          <w:color w:val="000000"/>
        </w:rPr>
        <w:t> </w:t>
      </w:r>
      <w:r w:rsidRPr="00DA6076">
        <w:rPr>
          <w:rFonts w:asciiTheme="majorHAnsi" w:hAnsiTheme="majorHAnsi" w:cstheme="majorHAnsi"/>
          <w:i/>
          <w:iCs/>
          <w:color w:val="000000"/>
        </w:rPr>
        <w:t>International Journal of Sustainable Development &amp; World Ecology</w:t>
      </w:r>
      <w:r w:rsidRPr="00DA6076">
        <w:rPr>
          <w:rFonts w:asciiTheme="majorHAnsi" w:hAnsiTheme="majorHAnsi" w:cstheme="majorHAnsi"/>
          <w:color w:val="000000"/>
        </w:rPr>
        <w:t>, 24(6), pp. 457–470. Available at: https://doi.org/10.1080/13504509.2016.1235624.</w:t>
      </w:r>
      <w:r w:rsidRPr="00DA6076">
        <w:rPr>
          <w:rStyle w:val="apple-converted-space"/>
          <w:rFonts w:asciiTheme="majorHAnsi" w:eastAsiaTheme="majorEastAsia" w:hAnsiTheme="majorHAnsi" w:cstheme="majorHAnsi"/>
          <w:color w:val="000000"/>
        </w:rPr>
        <w:t> </w:t>
      </w:r>
    </w:p>
    <w:p w14:paraId="55F6CE31" w14:textId="77777777" w:rsidR="00DA6076" w:rsidRPr="00DA6076" w:rsidRDefault="00DA6076" w:rsidP="003B2CAA">
      <w:pPr>
        <w:pStyle w:val="NormalWeb"/>
        <w:ind w:left="567" w:hanging="567"/>
        <w:rPr>
          <w:rStyle w:val="apple-converted-space"/>
          <w:rFonts w:asciiTheme="majorHAnsi" w:hAnsiTheme="majorHAnsi" w:cstheme="majorHAnsi"/>
          <w:color w:val="000000"/>
        </w:rPr>
      </w:pPr>
      <w:r w:rsidRPr="00DA6076">
        <w:rPr>
          <w:rFonts w:asciiTheme="majorHAnsi" w:hAnsiTheme="majorHAnsi" w:cstheme="majorHAnsi"/>
          <w:color w:val="000000"/>
        </w:rPr>
        <w:t xml:space="preserve">Spangenberg, J.H. (2016) “Hot air or comprehensive progress? A critical assessment of the </w:t>
      </w:r>
      <w:proofErr w:type="spellStart"/>
      <w:r w:rsidRPr="00DA6076">
        <w:rPr>
          <w:rFonts w:asciiTheme="majorHAnsi" w:hAnsiTheme="majorHAnsi" w:cstheme="majorHAnsi"/>
          <w:color w:val="000000"/>
        </w:rPr>
        <w:t>sdgs</w:t>
      </w:r>
      <w:proofErr w:type="spellEnd"/>
      <w:r w:rsidRPr="00DA6076">
        <w:rPr>
          <w:rFonts w:asciiTheme="majorHAnsi" w:hAnsiTheme="majorHAnsi" w:cstheme="majorHAnsi"/>
          <w:color w:val="000000"/>
        </w:rPr>
        <w:t>,”</w:t>
      </w:r>
      <w:r w:rsidRPr="00DA6076">
        <w:rPr>
          <w:rStyle w:val="apple-converted-space"/>
          <w:rFonts w:asciiTheme="majorHAnsi" w:hAnsiTheme="majorHAnsi" w:cstheme="majorHAnsi"/>
          <w:color w:val="000000"/>
        </w:rPr>
        <w:t> </w:t>
      </w:r>
      <w:r w:rsidRPr="00DA6076">
        <w:rPr>
          <w:rFonts w:asciiTheme="majorHAnsi" w:hAnsiTheme="majorHAnsi" w:cstheme="majorHAnsi"/>
          <w:i/>
          <w:iCs/>
          <w:color w:val="000000"/>
        </w:rPr>
        <w:t>Sustainable Development</w:t>
      </w:r>
      <w:r w:rsidRPr="00DA6076">
        <w:rPr>
          <w:rFonts w:asciiTheme="majorHAnsi" w:hAnsiTheme="majorHAnsi" w:cstheme="majorHAnsi"/>
          <w:color w:val="000000"/>
        </w:rPr>
        <w:t>, 25(4), pp. 311–321. Available at: https://doi.org/10.1002/sd.1657.</w:t>
      </w:r>
      <w:r w:rsidRPr="00DA6076">
        <w:rPr>
          <w:rStyle w:val="apple-converted-space"/>
          <w:rFonts w:asciiTheme="majorHAnsi" w:hAnsiTheme="majorHAnsi" w:cstheme="majorHAnsi"/>
          <w:color w:val="000000"/>
        </w:rPr>
        <w:t> </w:t>
      </w:r>
    </w:p>
    <w:p w14:paraId="78511E44" w14:textId="77777777" w:rsidR="00DA6076" w:rsidRPr="00DA6076" w:rsidRDefault="00DA6076" w:rsidP="003B2CAA">
      <w:pPr>
        <w:pStyle w:val="NormalWeb"/>
        <w:ind w:left="567" w:hanging="567"/>
        <w:rPr>
          <w:rFonts w:asciiTheme="majorHAnsi" w:hAnsiTheme="majorHAnsi" w:cstheme="majorHAnsi"/>
          <w:color w:val="000000"/>
        </w:rPr>
      </w:pPr>
      <w:r w:rsidRPr="00DA6076">
        <w:rPr>
          <w:rFonts w:asciiTheme="majorHAnsi" w:hAnsiTheme="majorHAnsi" w:cstheme="majorHAnsi"/>
          <w:color w:val="000000"/>
        </w:rPr>
        <w:t>Stockholm Resilience Cent</w:t>
      </w:r>
      <w:r w:rsidRPr="00DA6076">
        <w:rPr>
          <w:rFonts w:asciiTheme="majorHAnsi" w:hAnsiTheme="majorHAnsi" w:cstheme="majorHAnsi"/>
          <w:color w:val="000000"/>
          <w:lang w:val="en-GB"/>
        </w:rPr>
        <w:t>r</w:t>
      </w:r>
      <w:r w:rsidRPr="00DA6076">
        <w:rPr>
          <w:rFonts w:asciiTheme="majorHAnsi" w:hAnsiTheme="majorHAnsi" w:cstheme="majorHAnsi"/>
          <w:color w:val="000000"/>
        </w:rPr>
        <w:t>e (</w:t>
      </w:r>
      <w:r w:rsidRPr="00DA6076">
        <w:rPr>
          <w:rFonts w:asciiTheme="majorHAnsi" w:hAnsiTheme="majorHAnsi" w:cstheme="majorHAnsi"/>
          <w:color w:val="000000"/>
          <w:lang w:val="en-GB"/>
        </w:rPr>
        <w:t>2016</w:t>
      </w:r>
      <w:r w:rsidRPr="00DA6076">
        <w:rPr>
          <w:rFonts w:asciiTheme="majorHAnsi" w:hAnsiTheme="majorHAnsi" w:cstheme="majorHAnsi"/>
          <w:color w:val="000000"/>
        </w:rPr>
        <w:t>)</w:t>
      </w:r>
      <w:r w:rsidRPr="00DA6076">
        <w:rPr>
          <w:rStyle w:val="apple-converted-space"/>
          <w:rFonts w:asciiTheme="majorHAnsi" w:hAnsiTheme="majorHAnsi" w:cstheme="majorHAnsi"/>
          <w:color w:val="000000"/>
        </w:rPr>
        <w:t> </w:t>
      </w:r>
      <w:r w:rsidRPr="00DA6076">
        <w:rPr>
          <w:rFonts w:asciiTheme="majorHAnsi" w:hAnsiTheme="majorHAnsi" w:cstheme="majorHAnsi"/>
          <w:i/>
          <w:iCs/>
          <w:color w:val="000000"/>
        </w:rPr>
        <w:t>The SDGs wedding cake</w:t>
      </w:r>
      <w:r w:rsidRPr="00DA6076">
        <w:rPr>
          <w:rFonts w:asciiTheme="majorHAnsi" w:hAnsiTheme="majorHAnsi" w:cstheme="majorHAnsi"/>
          <w:color w:val="000000"/>
        </w:rPr>
        <w:t>,</w:t>
      </w:r>
      <w:r w:rsidRPr="00DA6076">
        <w:rPr>
          <w:rStyle w:val="apple-converted-space"/>
          <w:rFonts w:asciiTheme="majorHAnsi" w:hAnsiTheme="majorHAnsi" w:cstheme="majorHAnsi"/>
          <w:color w:val="000000"/>
        </w:rPr>
        <w:t> </w:t>
      </w:r>
      <w:r w:rsidRPr="00DA6076">
        <w:rPr>
          <w:rFonts w:asciiTheme="majorHAnsi" w:hAnsiTheme="majorHAnsi" w:cstheme="majorHAnsi"/>
          <w:i/>
          <w:iCs/>
          <w:color w:val="000000"/>
        </w:rPr>
        <w:t>The SDGs wedding cake - Stockholm Resilience Centre</w:t>
      </w:r>
      <w:r w:rsidRPr="00DA6076">
        <w:rPr>
          <w:rFonts w:asciiTheme="majorHAnsi" w:hAnsiTheme="majorHAnsi" w:cstheme="majorHAnsi"/>
          <w:color w:val="000000"/>
        </w:rPr>
        <w:t>. Stockholm Resilience Centre . Available at: https://www.stockholmresilience.org/research/research-news/2016-06-14-the-sdgs-wedding-cake.html (Accessed: April 11, 2023).</w:t>
      </w:r>
      <w:r w:rsidRPr="00DA6076">
        <w:rPr>
          <w:rStyle w:val="apple-converted-space"/>
          <w:rFonts w:asciiTheme="majorHAnsi" w:hAnsiTheme="majorHAnsi" w:cstheme="majorHAnsi"/>
          <w:color w:val="000000"/>
        </w:rPr>
        <w:t> </w:t>
      </w:r>
    </w:p>
    <w:p w14:paraId="5B030931" w14:textId="77777777" w:rsidR="00DA6076" w:rsidRPr="00DA6076" w:rsidRDefault="00DA6076" w:rsidP="003B2CAA">
      <w:pPr>
        <w:pStyle w:val="NormalWeb"/>
        <w:ind w:left="567" w:hanging="567"/>
        <w:rPr>
          <w:rStyle w:val="apple-converted-space"/>
          <w:rFonts w:asciiTheme="majorHAnsi" w:hAnsiTheme="majorHAnsi" w:cstheme="majorHAnsi"/>
          <w:color w:val="000000"/>
        </w:rPr>
      </w:pPr>
      <w:proofErr w:type="spellStart"/>
      <w:r w:rsidRPr="00DA6076">
        <w:rPr>
          <w:rFonts w:asciiTheme="majorHAnsi" w:hAnsiTheme="majorHAnsi" w:cstheme="majorHAnsi"/>
          <w:color w:val="000000"/>
        </w:rPr>
        <w:t>Su</w:t>
      </w:r>
      <w:proofErr w:type="spellEnd"/>
      <w:r w:rsidRPr="00DA6076">
        <w:rPr>
          <w:rFonts w:asciiTheme="majorHAnsi" w:hAnsiTheme="majorHAnsi" w:cstheme="majorHAnsi"/>
          <w:color w:val="000000"/>
        </w:rPr>
        <w:t xml:space="preserve">, H., </w:t>
      </w:r>
      <w:proofErr w:type="spellStart"/>
      <w:r w:rsidRPr="00DA6076">
        <w:rPr>
          <w:rFonts w:asciiTheme="majorHAnsi" w:hAnsiTheme="majorHAnsi" w:cstheme="majorHAnsi"/>
          <w:color w:val="000000"/>
        </w:rPr>
        <w:t>Krol</w:t>
      </w:r>
      <w:proofErr w:type="spellEnd"/>
      <w:r w:rsidRPr="00DA6076">
        <w:rPr>
          <w:rFonts w:asciiTheme="majorHAnsi" w:hAnsiTheme="majorHAnsi" w:cstheme="majorHAnsi"/>
          <w:color w:val="000000"/>
        </w:rPr>
        <w:t>, M.S. and Hogeboom, R.J. (2022) “The role of context in identifying linkages between SDG 2 (food) and SDG 6 (water),”</w:t>
      </w:r>
      <w:r w:rsidRPr="00DA6076">
        <w:rPr>
          <w:rStyle w:val="apple-converted-space"/>
          <w:rFonts w:asciiTheme="majorHAnsi" w:hAnsiTheme="majorHAnsi" w:cstheme="majorHAnsi"/>
          <w:color w:val="000000"/>
        </w:rPr>
        <w:t> </w:t>
      </w:r>
      <w:r w:rsidRPr="00DA6076">
        <w:rPr>
          <w:rFonts w:asciiTheme="majorHAnsi" w:hAnsiTheme="majorHAnsi" w:cstheme="majorHAnsi"/>
          <w:i/>
          <w:iCs/>
          <w:color w:val="000000"/>
        </w:rPr>
        <w:t>Sustainability Science</w:t>
      </w:r>
      <w:r w:rsidRPr="00DA6076">
        <w:rPr>
          <w:rFonts w:asciiTheme="majorHAnsi" w:hAnsiTheme="majorHAnsi" w:cstheme="majorHAnsi"/>
          <w:color w:val="000000"/>
        </w:rPr>
        <w:t>, 17(4), pp. 1605–1618. Available at: https://doi.org/10.1007/s11625-022-01158-3.</w:t>
      </w:r>
      <w:r w:rsidRPr="00DA6076">
        <w:rPr>
          <w:rStyle w:val="apple-converted-space"/>
          <w:rFonts w:asciiTheme="majorHAnsi" w:hAnsiTheme="majorHAnsi" w:cstheme="majorHAnsi"/>
          <w:color w:val="000000"/>
        </w:rPr>
        <w:t> </w:t>
      </w:r>
    </w:p>
    <w:p w14:paraId="1E848B9F" w14:textId="77777777" w:rsidR="00DA6076" w:rsidRPr="00DA6076" w:rsidRDefault="00DA6076" w:rsidP="003B2CAA">
      <w:pPr>
        <w:pStyle w:val="NormalWeb"/>
        <w:ind w:left="567" w:hanging="567"/>
        <w:rPr>
          <w:rFonts w:asciiTheme="majorHAnsi" w:hAnsiTheme="majorHAnsi" w:cstheme="majorHAnsi"/>
          <w:color w:val="000000"/>
        </w:rPr>
      </w:pPr>
      <w:r w:rsidRPr="00DA6076">
        <w:rPr>
          <w:rFonts w:asciiTheme="majorHAnsi" w:hAnsiTheme="majorHAnsi" w:cstheme="majorHAnsi"/>
          <w:color w:val="000000"/>
        </w:rPr>
        <w:t>Tichenor, M.</w:t>
      </w:r>
      <w:r w:rsidRPr="00DA6076">
        <w:rPr>
          <w:rStyle w:val="apple-converted-space"/>
          <w:rFonts w:asciiTheme="majorHAnsi" w:hAnsiTheme="majorHAnsi" w:cstheme="majorHAnsi"/>
          <w:color w:val="000000"/>
        </w:rPr>
        <w:t> </w:t>
      </w:r>
      <w:r w:rsidRPr="00DA6076">
        <w:rPr>
          <w:rFonts w:asciiTheme="majorHAnsi" w:hAnsiTheme="majorHAnsi" w:cstheme="majorHAnsi"/>
          <w:i/>
          <w:iCs/>
          <w:color w:val="000000"/>
        </w:rPr>
        <w:t>et al.</w:t>
      </w:r>
      <w:r w:rsidRPr="00DA6076">
        <w:rPr>
          <w:rStyle w:val="apple-converted-space"/>
          <w:rFonts w:asciiTheme="majorHAnsi" w:hAnsiTheme="majorHAnsi" w:cstheme="majorHAnsi"/>
          <w:color w:val="000000"/>
        </w:rPr>
        <w:t> </w:t>
      </w:r>
      <w:r w:rsidRPr="00DA6076">
        <w:rPr>
          <w:rFonts w:asciiTheme="majorHAnsi" w:hAnsiTheme="majorHAnsi" w:cstheme="majorHAnsi"/>
          <w:color w:val="000000"/>
        </w:rPr>
        <w:t>(2022) “Global public policy in a Quantified World: Sustainable Development Goals as epistemic infrastructures,”</w:t>
      </w:r>
      <w:r w:rsidRPr="00DA6076">
        <w:rPr>
          <w:rStyle w:val="apple-converted-space"/>
          <w:rFonts w:asciiTheme="majorHAnsi" w:hAnsiTheme="majorHAnsi" w:cstheme="majorHAnsi"/>
          <w:color w:val="000000"/>
        </w:rPr>
        <w:t> </w:t>
      </w:r>
      <w:r w:rsidRPr="00DA6076">
        <w:rPr>
          <w:rFonts w:asciiTheme="majorHAnsi" w:hAnsiTheme="majorHAnsi" w:cstheme="majorHAnsi"/>
          <w:i/>
          <w:iCs/>
          <w:color w:val="000000"/>
        </w:rPr>
        <w:t>Policy and Society</w:t>
      </w:r>
      <w:r w:rsidRPr="00DA6076">
        <w:rPr>
          <w:rFonts w:asciiTheme="majorHAnsi" w:hAnsiTheme="majorHAnsi" w:cstheme="majorHAnsi"/>
          <w:color w:val="000000"/>
        </w:rPr>
        <w:t>, 41(4), pp. 431–444. Available at: https://doi.org/10.1093/polsoc/puac015.</w:t>
      </w:r>
      <w:r w:rsidRPr="00DA6076">
        <w:rPr>
          <w:rStyle w:val="apple-converted-space"/>
          <w:rFonts w:asciiTheme="majorHAnsi" w:hAnsiTheme="majorHAnsi" w:cstheme="majorHAnsi"/>
          <w:color w:val="000000"/>
        </w:rPr>
        <w:t> </w:t>
      </w:r>
    </w:p>
    <w:p w14:paraId="5DED1F0A" w14:textId="77777777" w:rsidR="00DA6076" w:rsidRPr="00DA6076" w:rsidRDefault="00DA6076" w:rsidP="003B2CAA">
      <w:pPr>
        <w:pStyle w:val="NormalWeb"/>
        <w:ind w:left="567" w:hanging="567"/>
        <w:rPr>
          <w:rStyle w:val="apple-converted-space"/>
          <w:rFonts w:asciiTheme="majorHAnsi" w:hAnsiTheme="majorHAnsi" w:cstheme="majorHAnsi"/>
          <w:color w:val="000000"/>
        </w:rPr>
      </w:pPr>
      <w:r w:rsidRPr="00DA6076">
        <w:rPr>
          <w:rFonts w:asciiTheme="majorHAnsi" w:hAnsiTheme="majorHAnsi" w:cstheme="majorHAnsi"/>
          <w:color w:val="000000"/>
        </w:rPr>
        <w:t>Tura, H.A. (2019) “Achieving zero hunger: Implementing a human rights approach to food security in Ethiopia,”</w:t>
      </w:r>
      <w:r w:rsidRPr="00DA6076">
        <w:rPr>
          <w:rStyle w:val="apple-converted-space"/>
          <w:rFonts w:asciiTheme="majorHAnsi" w:hAnsiTheme="majorHAnsi" w:cstheme="majorHAnsi"/>
          <w:color w:val="000000"/>
        </w:rPr>
        <w:t> </w:t>
      </w:r>
      <w:r w:rsidRPr="00DA6076">
        <w:rPr>
          <w:rFonts w:asciiTheme="majorHAnsi" w:hAnsiTheme="majorHAnsi" w:cstheme="majorHAnsi"/>
          <w:i/>
          <w:iCs/>
          <w:color w:val="000000"/>
        </w:rPr>
        <w:t>Third World Quarterly</w:t>
      </w:r>
      <w:r w:rsidRPr="00DA6076">
        <w:rPr>
          <w:rFonts w:asciiTheme="majorHAnsi" w:hAnsiTheme="majorHAnsi" w:cstheme="majorHAnsi"/>
          <w:color w:val="000000"/>
        </w:rPr>
        <w:t>, 40(9), pp. 1613–1633. Available at: https://doi.org/10.1080/01436597.2019.1617630.</w:t>
      </w:r>
      <w:r w:rsidRPr="00DA6076">
        <w:rPr>
          <w:rStyle w:val="apple-converted-space"/>
          <w:rFonts w:asciiTheme="majorHAnsi" w:hAnsiTheme="majorHAnsi" w:cstheme="majorHAnsi"/>
          <w:color w:val="000000"/>
        </w:rPr>
        <w:t> </w:t>
      </w:r>
    </w:p>
    <w:p w14:paraId="6CCC9906" w14:textId="77777777" w:rsidR="00DA6076" w:rsidRPr="00DA6076" w:rsidRDefault="00DA6076" w:rsidP="003B2CAA">
      <w:pPr>
        <w:pStyle w:val="NormalWeb"/>
        <w:ind w:left="567" w:hanging="567"/>
        <w:rPr>
          <w:rFonts w:asciiTheme="majorHAnsi" w:hAnsiTheme="majorHAnsi" w:cstheme="majorHAnsi"/>
          <w:color w:val="000000"/>
          <w:lang w:val="en-GB"/>
        </w:rPr>
      </w:pPr>
      <w:r w:rsidRPr="00DA6076">
        <w:rPr>
          <w:rFonts w:asciiTheme="majorHAnsi" w:hAnsiTheme="majorHAnsi" w:cstheme="majorHAnsi"/>
          <w:color w:val="000000"/>
          <w:lang w:val="en-GB"/>
        </w:rPr>
        <w:t xml:space="preserve">UNICEF (2019) “Climate Landscape Analysis for Children in Jordan, UNICEF. </w:t>
      </w:r>
    </w:p>
    <w:p w14:paraId="00176595" w14:textId="77777777" w:rsidR="00DA6076" w:rsidRPr="00DA6076" w:rsidRDefault="00DA6076" w:rsidP="003B2CAA">
      <w:pPr>
        <w:pStyle w:val="NormalWeb"/>
        <w:ind w:left="567" w:hanging="567"/>
        <w:rPr>
          <w:rStyle w:val="apple-converted-space"/>
          <w:rFonts w:asciiTheme="majorHAnsi" w:hAnsiTheme="majorHAnsi" w:cstheme="majorHAnsi"/>
          <w:color w:val="000000"/>
        </w:rPr>
      </w:pPr>
      <w:r w:rsidRPr="00DA6076">
        <w:rPr>
          <w:rFonts w:asciiTheme="majorHAnsi" w:hAnsiTheme="majorHAnsi" w:cstheme="majorHAnsi"/>
          <w:color w:val="000000"/>
          <w:lang w:val="en-GB"/>
        </w:rPr>
        <w:lastRenderedPageBreak/>
        <w:t xml:space="preserve">United </w:t>
      </w:r>
      <w:r w:rsidRPr="00DA6076">
        <w:rPr>
          <w:rFonts w:asciiTheme="majorHAnsi" w:hAnsiTheme="majorHAnsi" w:cstheme="majorHAnsi"/>
          <w:color w:val="000000"/>
        </w:rPr>
        <w:t>Nations (1987)</w:t>
      </w:r>
      <w:r w:rsidRPr="00DA6076">
        <w:rPr>
          <w:rStyle w:val="apple-converted-space"/>
          <w:rFonts w:asciiTheme="majorHAnsi" w:hAnsiTheme="majorHAnsi" w:cstheme="majorHAnsi"/>
          <w:color w:val="000000"/>
        </w:rPr>
        <w:t> </w:t>
      </w:r>
      <w:r w:rsidRPr="00DA6076">
        <w:rPr>
          <w:rFonts w:asciiTheme="majorHAnsi" w:hAnsiTheme="majorHAnsi" w:cstheme="majorHAnsi"/>
          <w:i/>
          <w:iCs/>
          <w:color w:val="000000"/>
        </w:rPr>
        <w:t>Report of the World Commission on Environment and Development: Our Common Future</w:t>
      </w:r>
      <w:r w:rsidRPr="00DA6076">
        <w:rPr>
          <w:rFonts w:asciiTheme="majorHAnsi" w:hAnsiTheme="majorHAnsi" w:cstheme="majorHAnsi"/>
          <w:color w:val="000000"/>
        </w:rPr>
        <w:t>. rep. United Nations . Available at:</w:t>
      </w:r>
      <w:r w:rsidRPr="00DA6076">
        <w:rPr>
          <w:rFonts w:asciiTheme="majorHAnsi" w:hAnsiTheme="majorHAnsi" w:cstheme="majorHAnsi"/>
          <w:color w:val="000000"/>
          <w:lang w:val="en-GB"/>
        </w:rPr>
        <w:t xml:space="preserve"> </w:t>
      </w:r>
      <w:r w:rsidRPr="00DA6076">
        <w:rPr>
          <w:rFonts w:asciiTheme="majorHAnsi" w:hAnsiTheme="majorHAnsi" w:cstheme="majorHAnsi"/>
          <w:color w:val="000000"/>
        </w:rPr>
        <w:t>https://sustainabledevelopment.un.org/content/documents/5987our-common-future.pdf (Accessed: 2022).</w:t>
      </w:r>
      <w:r w:rsidRPr="00DA6076">
        <w:rPr>
          <w:rStyle w:val="apple-converted-space"/>
          <w:rFonts w:asciiTheme="majorHAnsi" w:hAnsiTheme="majorHAnsi" w:cstheme="majorHAnsi"/>
          <w:color w:val="000000"/>
        </w:rPr>
        <w:t> </w:t>
      </w:r>
    </w:p>
    <w:p w14:paraId="1CA0B5E9" w14:textId="77777777" w:rsidR="00DA6076" w:rsidRPr="00DA6076" w:rsidRDefault="00DA6076" w:rsidP="003B2CAA">
      <w:pPr>
        <w:pStyle w:val="NormalWeb"/>
        <w:ind w:left="567" w:hanging="567"/>
        <w:rPr>
          <w:rStyle w:val="apple-converted-space"/>
          <w:rFonts w:asciiTheme="majorHAnsi" w:hAnsiTheme="majorHAnsi" w:cstheme="majorHAnsi"/>
          <w:color w:val="000000"/>
        </w:rPr>
      </w:pPr>
      <w:r w:rsidRPr="00DA6076">
        <w:rPr>
          <w:rFonts w:asciiTheme="majorHAnsi" w:hAnsiTheme="majorHAnsi" w:cstheme="majorHAnsi"/>
          <w:color w:val="000000"/>
          <w:lang w:val="en-GB"/>
        </w:rPr>
        <w:t xml:space="preserve">United Nations (2015) </w:t>
      </w:r>
      <w:r w:rsidRPr="00DA6076">
        <w:rPr>
          <w:rFonts w:asciiTheme="majorHAnsi" w:hAnsiTheme="majorHAnsi" w:cstheme="majorHAnsi"/>
          <w:i/>
          <w:iCs/>
          <w:color w:val="000000"/>
        </w:rPr>
        <w:t>The 17 goals | sustainable development</w:t>
      </w:r>
      <w:r w:rsidRPr="00DA6076">
        <w:rPr>
          <w:rFonts w:asciiTheme="majorHAnsi" w:hAnsiTheme="majorHAnsi" w:cstheme="majorHAnsi"/>
          <w:color w:val="000000"/>
        </w:rPr>
        <w:t>,</w:t>
      </w:r>
      <w:r w:rsidRPr="00DA6076">
        <w:rPr>
          <w:rStyle w:val="apple-converted-space"/>
          <w:rFonts w:asciiTheme="majorHAnsi" w:hAnsiTheme="majorHAnsi" w:cstheme="majorHAnsi"/>
          <w:color w:val="000000"/>
        </w:rPr>
        <w:t> </w:t>
      </w:r>
      <w:r w:rsidRPr="00DA6076">
        <w:rPr>
          <w:rFonts w:asciiTheme="majorHAnsi" w:hAnsiTheme="majorHAnsi" w:cstheme="majorHAnsi"/>
          <w:i/>
          <w:iCs/>
          <w:color w:val="000000"/>
        </w:rPr>
        <w:t>United Nations</w:t>
      </w:r>
      <w:r w:rsidRPr="00DA6076">
        <w:rPr>
          <w:rFonts w:asciiTheme="majorHAnsi" w:hAnsiTheme="majorHAnsi" w:cstheme="majorHAnsi"/>
          <w:color w:val="000000"/>
        </w:rPr>
        <w:t>. United Nations. Available at: https://sdgs.un.org/goals (Accessed: April 13, 2023).</w:t>
      </w:r>
      <w:r w:rsidRPr="00DA6076">
        <w:rPr>
          <w:rStyle w:val="apple-converted-space"/>
          <w:rFonts w:asciiTheme="majorHAnsi" w:hAnsiTheme="majorHAnsi" w:cstheme="majorHAnsi"/>
          <w:color w:val="000000"/>
        </w:rPr>
        <w:t> </w:t>
      </w:r>
    </w:p>
    <w:p w14:paraId="5C6F68A3" w14:textId="77777777" w:rsidR="00DA6076" w:rsidRPr="00DA6076" w:rsidRDefault="00DA6076" w:rsidP="003B2CAA">
      <w:pPr>
        <w:pStyle w:val="NormalWeb"/>
        <w:ind w:left="567" w:hanging="567"/>
        <w:rPr>
          <w:rStyle w:val="apple-converted-space"/>
          <w:rFonts w:asciiTheme="majorHAnsi" w:hAnsiTheme="majorHAnsi" w:cstheme="majorHAnsi"/>
          <w:color w:val="000000"/>
        </w:rPr>
      </w:pPr>
      <w:r w:rsidRPr="00DA6076">
        <w:rPr>
          <w:rFonts w:asciiTheme="majorHAnsi" w:hAnsiTheme="majorHAnsi" w:cstheme="majorHAnsi"/>
          <w:color w:val="000000"/>
          <w:lang w:val="en-GB"/>
        </w:rPr>
        <w:t>UNITED NATIONS (2015)</w:t>
      </w:r>
      <w:r w:rsidRPr="00DA6076">
        <w:rPr>
          <w:rFonts w:asciiTheme="majorHAnsi" w:hAnsiTheme="majorHAnsi" w:cstheme="majorHAnsi"/>
          <w:i/>
          <w:iCs/>
          <w:color w:val="000000"/>
        </w:rPr>
        <w:t xml:space="preserve">| the 5Ps of the </w:t>
      </w:r>
      <w:proofErr w:type="spellStart"/>
      <w:r w:rsidRPr="00DA6076">
        <w:rPr>
          <w:rFonts w:asciiTheme="majorHAnsi" w:hAnsiTheme="majorHAnsi" w:cstheme="majorHAnsi"/>
          <w:i/>
          <w:iCs/>
          <w:color w:val="000000"/>
        </w:rPr>
        <w:t>sdgs</w:t>
      </w:r>
      <w:proofErr w:type="spellEnd"/>
      <w:r w:rsidRPr="00DA6076">
        <w:rPr>
          <w:rFonts w:asciiTheme="majorHAnsi" w:hAnsiTheme="majorHAnsi" w:cstheme="majorHAnsi"/>
          <w:i/>
          <w:iCs/>
          <w:color w:val="000000"/>
        </w:rPr>
        <w:t>: People, planet, prosperity, peace and partnership</w:t>
      </w:r>
      <w:r w:rsidRPr="00DA6076">
        <w:rPr>
          <w:rStyle w:val="apple-converted-space"/>
          <w:rFonts w:asciiTheme="majorHAnsi" w:hAnsiTheme="majorHAnsi" w:cstheme="majorHAnsi"/>
          <w:color w:val="000000"/>
        </w:rPr>
        <w:t> </w:t>
      </w:r>
      <w:r w:rsidRPr="00DA6076">
        <w:rPr>
          <w:rFonts w:asciiTheme="majorHAnsi" w:hAnsiTheme="majorHAnsi" w:cstheme="majorHAnsi"/>
          <w:color w:val="000000"/>
        </w:rPr>
        <w:t>(no date)</w:t>
      </w:r>
      <w:r w:rsidRPr="00DA6076">
        <w:rPr>
          <w:rStyle w:val="apple-converted-space"/>
          <w:rFonts w:asciiTheme="majorHAnsi" w:hAnsiTheme="majorHAnsi" w:cstheme="majorHAnsi"/>
          <w:color w:val="000000"/>
        </w:rPr>
        <w:t> </w:t>
      </w:r>
      <w:r w:rsidRPr="00DA6076">
        <w:rPr>
          <w:rFonts w:asciiTheme="majorHAnsi" w:hAnsiTheme="majorHAnsi" w:cstheme="majorHAnsi"/>
          <w:i/>
          <w:iCs/>
          <w:color w:val="000000"/>
        </w:rPr>
        <w:t>United Nations</w:t>
      </w:r>
      <w:r w:rsidRPr="00DA6076">
        <w:rPr>
          <w:rFonts w:asciiTheme="majorHAnsi" w:hAnsiTheme="majorHAnsi" w:cstheme="majorHAnsi"/>
          <w:color w:val="000000"/>
        </w:rPr>
        <w:t>. United Nations. Available at: https://unsdg.un.org/latest/videos/5ps-sdgs-people-planet-prosperity-peace-and-partnership (Accessed: April 8, 2023).</w:t>
      </w:r>
      <w:r w:rsidRPr="00DA6076">
        <w:rPr>
          <w:rStyle w:val="apple-converted-space"/>
          <w:rFonts w:asciiTheme="majorHAnsi" w:hAnsiTheme="majorHAnsi" w:cstheme="majorHAnsi"/>
          <w:color w:val="000000"/>
        </w:rPr>
        <w:t> </w:t>
      </w:r>
    </w:p>
    <w:p w14:paraId="390E1726" w14:textId="77777777" w:rsidR="00DA6076" w:rsidRPr="00DA6076" w:rsidRDefault="00DA6076" w:rsidP="003B2CAA">
      <w:pPr>
        <w:pStyle w:val="NormalWeb"/>
        <w:ind w:left="567" w:hanging="567"/>
        <w:rPr>
          <w:rFonts w:asciiTheme="majorHAnsi" w:hAnsiTheme="majorHAnsi" w:cstheme="majorHAnsi"/>
          <w:color w:val="000000"/>
        </w:rPr>
      </w:pPr>
      <w:r w:rsidRPr="00DA6076">
        <w:rPr>
          <w:rFonts w:asciiTheme="majorHAnsi" w:hAnsiTheme="majorHAnsi" w:cstheme="majorHAnsi"/>
          <w:color w:val="000000"/>
        </w:rPr>
        <w:t>United Nations (</w:t>
      </w:r>
      <w:r w:rsidRPr="00DA6076">
        <w:rPr>
          <w:rFonts w:asciiTheme="majorHAnsi" w:hAnsiTheme="majorHAnsi" w:cstheme="majorHAnsi"/>
          <w:color w:val="000000"/>
          <w:lang w:val="en-GB"/>
        </w:rPr>
        <w:t>2023</w:t>
      </w:r>
      <w:r w:rsidRPr="00DA6076">
        <w:rPr>
          <w:rFonts w:asciiTheme="majorHAnsi" w:hAnsiTheme="majorHAnsi" w:cstheme="majorHAnsi"/>
          <w:color w:val="000000"/>
        </w:rPr>
        <w:t>)</w:t>
      </w:r>
      <w:r w:rsidRPr="00DA6076">
        <w:rPr>
          <w:rStyle w:val="apple-converted-space"/>
          <w:rFonts w:asciiTheme="majorHAnsi" w:hAnsiTheme="majorHAnsi" w:cstheme="majorHAnsi"/>
          <w:color w:val="000000"/>
        </w:rPr>
        <w:t> </w:t>
      </w:r>
      <w:proofErr w:type="spellStart"/>
      <w:r w:rsidRPr="00DA6076">
        <w:rPr>
          <w:rFonts w:asciiTheme="majorHAnsi" w:hAnsiTheme="majorHAnsi" w:cstheme="majorHAnsi"/>
          <w:i/>
          <w:iCs/>
          <w:color w:val="000000"/>
        </w:rPr>
        <w:t>Sustainab</w:t>
      </w:r>
      <w:proofErr w:type="spellEnd"/>
      <w:r w:rsidRPr="00DA6076">
        <w:rPr>
          <w:rFonts w:asciiTheme="majorHAnsi" w:hAnsiTheme="majorHAnsi" w:cstheme="majorHAnsi"/>
          <w:i/>
          <w:iCs/>
          <w:color w:val="000000"/>
          <w:lang w:val="en-GB"/>
        </w:rPr>
        <w:t>le Development</w:t>
      </w:r>
      <w:r w:rsidRPr="00DA6076">
        <w:rPr>
          <w:rFonts w:asciiTheme="majorHAnsi" w:hAnsiTheme="majorHAnsi" w:cstheme="majorHAnsi"/>
          <w:color w:val="000000"/>
        </w:rPr>
        <w:t>,</w:t>
      </w:r>
      <w:r w:rsidRPr="00DA6076">
        <w:rPr>
          <w:rStyle w:val="apple-converted-space"/>
          <w:rFonts w:asciiTheme="majorHAnsi" w:hAnsiTheme="majorHAnsi" w:cstheme="majorHAnsi"/>
          <w:color w:val="000000"/>
        </w:rPr>
        <w:t> </w:t>
      </w:r>
      <w:r w:rsidRPr="00DA6076">
        <w:rPr>
          <w:rFonts w:asciiTheme="majorHAnsi" w:hAnsiTheme="majorHAnsi" w:cstheme="majorHAnsi"/>
          <w:i/>
          <w:iCs/>
          <w:color w:val="000000"/>
        </w:rPr>
        <w:t>United Nations</w:t>
      </w:r>
      <w:r w:rsidRPr="00DA6076">
        <w:rPr>
          <w:rFonts w:asciiTheme="majorHAnsi" w:hAnsiTheme="majorHAnsi" w:cstheme="majorHAnsi"/>
          <w:color w:val="000000"/>
        </w:rPr>
        <w:t>. United Nations. Available at: https://www.un.org/en/academic-impact/sustainability (Accessed: April 8, 2023).</w:t>
      </w:r>
      <w:r w:rsidRPr="00DA6076">
        <w:rPr>
          <w:rStyle w:val="apple-converted-space"/>
          <w:rFonts w:asciiTheme="majorHAnsi" w:hAnsiTheme="majorHAnsi" w:cstheme="majorHAnsi"/>
          <w:color w:val="000000"/>
        </w:rPr>
        <w:t> </w:t>
      </w:r>
    </w:p>
    <w:p w14:paraId="6C9ACFCA" w14:textId="77777777" w:rsidR="00DA6076" w:rsidRPr="00DA6076" w:rsidRDefault="00DA6076" w:rsidP="00EA178A">
      <w:pPr>
        <w:pStyle w:val="NormalWeb"/>
        <w:ind w:left="567" w:hanging="567"/>
        <w:rPr>
          <w:rFonts w:asciiTheme="majorHAnsi" w:hAnsiTheme="majorHAnsi" w:cstheme="majorHAnsi"/>
          <w:color w:val="000000"/>
        </w:rPr>
      </w:pPr>
      <w:proofErr w:type="spellStart"/>
      <w:r w:rsidRPr="00DA6076">
        <w:rPr>
          <w:rFonts w:asciiTheme="majorHAnsi" w:hAnsiTheme="majorHAnsi" w:cstheme="majorHAnsi"/>
          <w:color w:val="000000"/>
        </w:rPr>
        <w:t>Vandemoortele</w:t>
      </w:r>
      <w:proofErr w:type="spellEnd"/>
      <w:r w:rsidRPr="00DA6076">
        <w:rPr>
          <w:rFonts w:asciiTheme="majorHAnsi" w:hAnsiTheme="majorHAnsi" w:cstheme="majorHAnsi"/>
          <w:color w:val="000000"/>
        </w:rPr>
        <w:t>, J. (2018). From simple-minded MDGs to muddle-headed SDGs. Development Studies Research, 5(1), 83-89. https://doi.org/10.1080/21665095.2018.1479647</w:t>
      </w:r>
    </w:p>
    <w:p w14:paraId="0A226110" w14:textId="77777777" w:rsidR="00DA6076" w:rsidRPr="00DA6076" w:rsidRDefault="00DA6076" w:rsidP="003B2CAA">
      <w:pPr>
        <w:pStyle w:val="NormalWeb"/>
        <w:ind w:left="567" w:hanging="567"/>
        <w:rPr>
          <w:rStyle w:val="apple-converted-space"/>
          <w:rFonts w:asciiTheme="majorHAnsi" w:hAnsiTheme="majorHAnsi" w:cstheme="majorHAnsi"/>
          <w:color w:val="000000"/>
        </w:rPr>
      </w:pPr>
      <w:proofErr w:type="spellStart"/>
      <w:r w:rsidRPr="00DA6076">
        <w:rPr>
          <w:rFonts w:asciiTheme="majorHAnsi" w:hAnsiTheme="majorHAnsi" w:cstheme="majorHAnsi"/>
          <w:color w:val="000000"/>
        </w:rPr>
        <w:t>Vasseur</w:t>
      </w:r>
      <w:proofErr w:type="spellEnd"/>
      <w:r w:rsidRPr="00DA6076">
        <w:rPr>
          <w:rFonts w:asciiTheme="majorHAnsi" w:hAnsiTheme="majorHAnsi" w:cstheme="majorHAnsi"/>
          <w:color w:val="000000"/>
        </w:rPr>
        <w:t>, L.</w:t>
      </w:r>
      <w:r w:rsidRPr="00DA6076">
        <w:rPr>
          <w:rStyle w:val="apple-converted-space"/>
          <w:rFonts w:asciiTheme="majorHAnsi" w:hAnsiTheme="majorHAnsi" w:cstheme="majorHAnsi"/>
          <w:color w:val="000000"/>
        </w:rPr>
        <w:t> </w:t>
      </w:r>
      <w:r w:rsidRPr="00DA6076">
        <w:rPr>
          <w:rFonts w:asciiTheme="majorHAnsi" w:hAnsiTheme="majorHAnsi" w:cstheme="majorHAnsi"/>
          <w:i/>
          <w:iCs/>
          <w:color w:val="000000"/>
        </w:rPr>
        <w:t>et al.</w:t>
      </w:r>
      <w:r w:rsidRPr="00DA6076">
        <w:rPr>
          <w:rStyle w:val="apple-converted-space"/>
          <w:rFonts w:asciiTheme="majorHAnsi" w:hAnsiTheme="majorHAnsi" w:cstheme="majorHAnsi"/>
          <w:color w:val="000000"/>
        </w:rPr>
        <w:t> </w:t>
      </w:r>
      <w:r w:rsidRPr="00DA6076">
        <w:rPr>
          <w:rFonts w:asciiTheme="majorHAnsi" w:hAnsiTheme="majorHAnsi" w:cstheme="majorHAnsi"/>
          <w:color w:val="000000"/>
        </w:rPr>
        <w:t>(2017) “Complex problems and unchallenged solutions: Bringing ecosystem governance to the forefront of the UN Sustainable Development Goals,”</w:t>
      </w:r>
      <w:r w:rsidRPr="00DA6076">
        <w:rPr>
          <w:rStyle w:val="apple-converted-space"/>
          <w:rFonts w:asciiTheme="majorHAnsi" w:hAnsiTheme="majorHAnsi" w:cstheme="majorHAnsi"/>
          <w:color w:val="000000"/>
        </w:rPr>
        <w:t> </w:t>
      </w:r>
      <w:proofErr w:type="spellStart"/>
      <w:r w:rsidRPr="00DA6076">
        <w:rPr>
          <w:rFonts w:asciiTheme="majorHAnsi" w:hAnsiTheme="majorHAnsi" w:cstheme="majorHAnsi"/>
          <w:i/>
          <w:iCs/>
          <w:color w:val="000000"/>
        </w:rPr>
        <w:t>Ambio</w:t>
      </w:r>
      <w:proofErr w:type="spellEnd"/>
      <w:r w:rsidRPr="00DA6076">
        <w:rPr>
          <w:rFonts w:asciiTheme="majorHAnsi" w:hAnsiTheme="majorHAnsi" w:cstheme="majorHAnsi"/>
          <w:color w:val="000000"/>
        </w:rPr>
        <w:t>, 46(7), pp. 731–742. Available at: https://doi.org/10.1007/s13280-017-0918-6.</w:t>
      </w:r>
      <w:r w:rsidRPr="00DA6076">
        <w:rPr>
          <w:rStyle w:val="apple-converted-space"/>
          <w:rFonts w:asciiTheme="majorHAnsi" w:hAnsiTheme="majorHAnsi" w:cstheme="majorHAnsi"/>
          <w:color w:val="000000"/>
        </w:rPr>
        <w:t> </w:t>
      </w:r>
    </w:p>
    <w:p w14:paraId="63F24CD8" w14:textId="77777777" w:rsidR="00DA6076" w:rsidRPr="00DA6076" w:rsidRDefault="00DA6076" w:rsidP="003B2CAA">
      <w:pPr>
        <w:pStyle w:val="NormalWeb"/>
        <w:ind w:left="567" w:hanging="567"/>
        <w:rPr>
          <w:rStyle w:val="apple-converted-space"/>
          <w:rFonts w:asciiTheme="majorHAnsi" w:hAnsiTheme="majorHAnsi" w:cstheme="majorHAnsi"/>
          <w:color w:val="000000"/>
        </w:rPr>
      </w:pPr>
      <w:r w:rsidRPr="00DA6076">
        <w:rPr>
          <w:rFonts w:asciiTheme="majorHAnsi" w:hAnsiTheme="majorHAnsi" w:cstheme="majorHAnsi"/>
          <w:color w:val="000000"/>
        </w:rPr>
        <w:t>Walker, A. (2016)</w:t>
      </w:r>
      <w:r w:rsidRPr="00DA6076">
        <w:rPr>
          <w:rStyle w:val="apple-converted-space"/>
          <w:rFonts w:asciiTheme="majorHAnsi" w:hAnsiTheme="majorHAnsi" w:cstheme="majorHAnsi"/>
          <w:color w:val="000000"/>
        </w:rPr>
        <w:t> </w:t>
      </w:r>
      <w:proofErr w:type="spellStart"/>
      <w:r w:rsidRPr="00DA6076">
        <w:rPr>
          <w:rFonts w:asciiTheme="majorHAnsi" w:hAnsiTheme="majorHAnsi" w:cstheme="majorHAnsi"/>
          <w:i/>
          <w:iCs/>
          <w:color w:val="000000"/>
        </w:rPr>
        <w:t>Globalisation</w:t>
      </w:r>
      <w:proofErr w:type="spellEnd"/>
      <w:r w:rsidRPr="00DA6076">
        <w:rPr>
          <w:rFonts w:asciiTheme="majorHAnsi" w:hAnsiTheme="majorHAnsi" w:cstheme="majorHAnsi"/>
          <w:i/>
          <w:iCs/>
          <w:color w:val="000000"/>
        </w:rPr>
        <w:t>: Where on the elephant are you?</w:t>
      </w:r>
      <w:r w:rsidRPr="00DA6076">
        <w:rPr>
          <w:rFonts w:asciiTheme="majorHAnsi" w:hAnsiTheme="majorHAnsi" w:cstheme="majorHAnsi"/>
          <w:color w:val="000000"/>
        </w:rPr>
        <w:t>,</w:t>
      </w:r>
      <w:r w:rsidRPr="00DA6076">
        <w:rPr>
          <w:rStyle w:val="apple-converted-space"/>
          <w:rFonts w:asciiTheme="majorHAnsi" w:hAnsiTheme="majorHAnsi" w:cstheme="majorHAnsi"/>
          <w:color w:val="000000"/>
        </w:rPr>
        <w:t> </w:t>
      </w:r>
      <w:r w:rsidRPr="00DA6076">
        <w:rPr>
          <w:rFonts w:asciiTheme="majorHAnsi" w:hAnsiTheme="majorHAnsi" w:cstheme="majorHAnsi"/>
          <w:i/>
          <w:iCs/>
          <w:color w:val="000000"/>
        </w:rPr>
        <w:t>BBC News</w:t>
      </w:r>
      <w:r w:rsidRPr="00DA6076">
        <w:rPr>
          <w:rFonts w:asciiTheme="majorHAnsi" w:hAnsiTheme="majorHAnsi" w:cstheme="majorHAnsi"/>
          <w:color w:val="000000"/>
        </w:rPr>
        <w:t>. BBC. Available at: https://www.bbc.com/news/business-37542494 (Accessed: April 13, 2023).</w:t>
      </w:r>
      <w:r w:rsidRPr="00DA6076">
        <w:rPr>
          <w:rStyle w:val="apple-converted-space"/>
          <w:rFonts w:asciiTheme="majorHAnsi" w:hAnsiTheme="majorHAnsi" w:cstheme="majorHAnsi"/>
          <w:color w:val="000000"/>
        </w:rPr>
        <w:t> </w:t>
      </w:r>
    </w:p>
    <w:p w14:paraId="617AF6D9" w14:textId="77777777" w:rsidR="00DA6076" w:rsidRPr="00DA6076" w:rsidRDefault="00DA6076" w:rsidP="003B2CAA">
      <w:pPr>
        <w:pStyle w:val="NormalWeb"/>
        <w:ind w:left="567" w:hanging="567"/>
        <w:rPr>
          <w:rFonts w:asciiTheme="majorHAnsi" w:hAnsiTheme="majorHAnsi" w:cstheme="majorHAnsi"/>
          <w:color w:val="000000"/>
        </w:rPr>
      </w:pPr>
      <w:r w:rsidRPr="00DA6076">
        <w:rPr>
          <w:rFonts w:asciiTheme="majorHAnsi" w:hAnsiTheme="majorHAnsi" w:cstheme="majorHAnsi"/>
          <w:color w:val="000000"/>
        </w:rPr>
        <w:t>Waltz, K. N. (1979). Theory of International Politics. Addison-Wesley. ISBN-10: 0201083493, ISBN-13: 978-0201083491.</w:t>
      </w:r>
    </w:p>
    <w:p w14:paraId="455CD0C0" w14:textId="77777777" w:rsidR="00DA6076" w:rsidRPr="00DA6076" w:rsidRDefault="00DA6076" w:rsidP="003B2CAA">
      <w:pPr>
        <w:pStyle w:val="NormalWeb"/>
        <w:ind w:left="567" w:hanging="567"/>
        <w:rPr>
          <w:rFonts w:asciiTheme="majorHAnsi" w:hAnsiTheme="majorHAnsi" w:cstheme="majorHAnsi"/>
          <w:color w:val="000000"/>
        </w:rPr>
      </w:pPr>
      <w:r w:rsidRPr="00DA6076">
        <w:rPr>
          <w:rFonts w:asciiTheme="majorHAnsi" w:hAnsiTheme="majorHAnsi" w:cstheme="majorHAnsi"/>
          <w:color w:val="000000"/>
        </w:rPr>
        <w:t>Weber, H. (2017) “Politics of ‘leaving no one behind’: Contesting the 2030 sustainable development goals agenda,”</w:t>
      </w:r>
      <w:r w:rsidRPr="00DA6076">
        <w:rPr>
          <w:rStyle w:val="apple-converted-space"/>
          <w:rFonts w:asciiTheme="majorHAnsi" w:eastAsiaTheme="majorEastAsia" w:hAnsiTheme="majorHAnsi" w:cstheme="majorHAnsi"/>
          <w:color w:val="000000"/>
        </w:rPr>
        <w:t> </w:t>
      </w:r>
      <w:r w:rsidRPr="00DA6076">
        <w:rPr>
          <w:rFonts w:asciiTheme="majorHAnsi" w:hAnsiTheme="majorHAnsi" w:cstheme="majorHAnsi"/>
          <w:i/>
          <w:iCs/>
          <w:color w:val="000000"/>
        </w:rPr>
        <w:t>Globalizations</w:t>
      </w:r>
      <w:r w:rsidRPr="00DA6076">
        <w:rPr>
          <w:rFonts w:asciiTheme="majorHAnsi" w:hAnsiTheme="majorHAnsi" w:cstheme="majorHAnsi"/>
          <w:color w:val="000000"/>
        </w:rPr>
        <w:t>, 14(3), pp. 399–414. Available at: https://doi.org/10.1080/14747731.2016.1275404.</w:t>
      </w:r>
      <w:r w:rsidRPr="00DA6076">
        <w:rPr>
          <w:rStyle w:val="apple-converted-space"/>
          <w:rFonts w:asciiTheme="majorHAnsi" w:eastAsiaTheme="majorEastAsia" w:hAnsiTheme="majorHAnsi" w:cstheme="majorHAnsi"/>
          <w:color w:val="000000"/>
        </w:rPr>
        <w:t> </w:t>
      </w:r>
    </w:p>
    <w:p w14:paraId="14C14180" w14:textId="77777777" w:rsidR="00DA6076" w:rsidRPr="00DA6076" w:rsidRDefault="00DA6076" w:rsidP="003B2CAA">
      <w:pPr>
        <w:pStyle w:val="NormalWeb"/>
        <w:ind w:left="567" w:hanging="567"/>
        <w:rPr>
          <w:rStyle w:val="apple-converted-space"/>
          <w:rFonts w:asciiTheme="majorHAnsi" w:hAnsiTheme="majorHAnsi" w:cstheme="majorHAnsi"/>
          <w:color w:val="000000"/>
        </w:rPr>
      </w:pPr>
      <w:r w:rsidRPr="00DA6076">
        <w:rPr>
          <w:rFonts w:asciiTheme="majorHAnsi" w:hAnsiTheme="majorHAnsi" w:cstheme="majorHAnsi"/>
          <w:color w:val="000000"/>
        </w:rPr>
        <w:t>Weitz, N.</w:t>
      </w:r>
      <w:r w:rsidRPr="00DA6076">
        <w:rPr>
          <w:rStyle w:val="apple-converted-space"/>
          <w:rFonts w:asciiTheme="majorHAnsi" w:hAnsiTheme="majorHAnsi" w:cstheme="majorHAnsi"/>
          <w:color w:val="000000"/>
        </w:rPr>
        <w:t> </w:t>
      </w:r>
      <w:r w:rsidRPr="00DA6076">
        <w:rPr>
          <w:rFonts w:asciiTheme="majorHAnsi" w:hAnsiTheme="majorHAnsi" w:cstheme="majorHAnsi"/>
          <w:i/>
          <w:iCs/>
          <w:color w:val="000000"/>
        </w:rPr>
        <w:t>et al.</w:t>
      </w:r>
      <w:r w:rsidRPr="00DA6076">
        <w:rPr>
          <w:rStyle w:val="apple-converted-space"/>
          <w:rFonts w:asciiTheme="majorHAnsi" w:hAnsiTheme="majorHAnsi" w:cstheme="majorHAnsi"/>
          <w:color w:val="000000"/>
        </w:rPr>
        <w:t> </w:t>
      </w:r>
      <w:r w:rsidRPr="00DA6076">
        <w:rPr>
          <w:rFonts w:asciiTheme="majorHAnsi" w:hAnsiTheme="majorHAnsi" w:cstheme="majorHAnsi"/>
          <w:color w:val="000000"/>
        </w:rPr>
        <w:t>(2017) “Towards systemic and contextual priority setting for implementing the 2030 agenda,”</w:t>
      </w:r>
      <w:r w:rsidRPr="00DA6076">
        <w:rPr>
          <w:rStyle w:val="apple-converted-space"/>
          <w:rFonts w:asciiTheme="majorHAnsi" w:hAnsiTheme="majorHAnsi" w:cstheme="majorHAnsi"/>
          <w:color w:val="000000"/>
        </w:rPr>
        <w:t> </w:t>
      </w:r>
      <w:r w:rsidRPr="00DA6076">
        <w:rPr>
          <w:rFonts w:asciiTheme="majorHAnsi" w:hAnsiTheme="majorHAnsi" w:cstheme="majorHAnsi"/>
          <w:i/>
          <w:iCs/>
          <w:color w:val="000000"/>
        </w:rPr>
        <w:t>Sustainability Science</w:t>
      </w:r>
      <w:r w:rsidRPr="00DA6076">
        <w:rPr>
          <w:rFonts w:asciiTheme="majorHAnsi" w:hAnsiTheme="majorHAnsi" w:cstheme="majorHAnsi"/>
          <w:color w:val="000000"/>
        </w:rPr>
        <w:t xml:space="preserve">, 13(2), pp. 531–548. Available at: </w:t>
      </w:r>
      <w:hyperlink r:id="rId54" w:history="1">
        <w:r w:rsidRPr="00DA6076">
          <w:rPr>
            <w:rStyle w:val="Hyperlink"/>
            <w:rFonts w:asciiTheme="majorHAnsi" w:hAnsiTheme="majorHAnsi" w:cstheme="majorHAnsi"/>
          </w:rPr>
          <w:t>https://doi.org/10.1007/s11625-017-0470-0</w:t>
        </w:r>
      </w:hyperlink>
      <w:r w:rsidRPr="00DA6076">
        <w:rPr>
          <w:rFonts w:asciiTheme="majorHAnsi" w:hAnsiTheme="majorHAnsi" w:cstheme="majorHAnsi"/>
          <w:color w:val="000000"/>
        </w:rPr>
        <w:t>.</w:t>
      </w:r>
      <w:r w:rsidRPr="00DA6076">
        <w:rPr>
          <w:rStyle w:val="apple-converted-space"/>
          <w:rFonts w:asciiTheme="majorHAnsi" w:hAnsiTheme="majorHAnsi" w:cstheme="majorHAnsi"/>
          <w:color w:val="000000"/>
        </w:rPr>
        <w:t> </w:t>
      </w:r>
    </w:p>
    <w:p w14:paraId="54FA869E" w14:textId="77777777" w:rsidR="00DA6076" w:rsidRPr="00DA6076" w:rsidRDefault="00DA6076" w:rsidP="003B2CAA">
      <w:pPr>
        <w:pStyle w:val="NormalWeb"/>
        <w:ind w:left="567" w:hanging="567"/>
        <w:rPr>
          <w:rFonts w:asciiTheme="majorHAnsi" w:hAnsiTheme="majorHAnsi" w:cstheme="majorHAnsi"/>
          <w:color w:val="000000"/>
        </w:rPr>
      </w:pPr>
      <w:r w:rsidRPr="00DA6076">
        <w:rPr>
          <w:rFonts w:asciiTheme="majorHAnsi" w:hAnsiTheme="majorHAnsi" w:cstheme="majorHAnsi"/>
          <w:color w:val="000000"/>
        </w:rPr>
        <w:t xml:space="preserve">Wesley, H., Tittle, V. and </w:t>
      </w:r>
      <w:proofErr w:type="spellStart"/>
      <w:r w:rsidRPr="00DA6076">
        <w:rPr>
          <w:rFonts w:asciiTheme="majorHAnsi" w:hAnsiTheme="majorHAnsi" w:cstheme="majorHAnsi"/>
          <w:color w:val="000000"/>
        </w:rPr>
        <w:t>Seita</w:t>
      </w:r>
      <w:proofErr w:type="spellEnd"/>
      <w:r w:rsidRPr="00DA6076">
        <w:rPr>
          <w:rFonts w:asciiTheme="majorHAnsi" w:hAnsiTheme="majorHAnsi" w:cstheme="majorHAnsi"/>
          <w:color w:val="000000"/>
        </w:rPr>
        <w:t>, A. (2016) “No health without peace: Why SDG 16 is essential for health,”</w:t>
      </w:r>
      <w:r w:rsidRPr="00DA6076">
        <w:rPr>
          <w:rStyle w:val="apple-converted-space"/>
          <w:rFonts w:asciiTheme="majorHAnsi" w:hAnsiTheme="majorHAnsi" w:cstheme="majorHAnsi"/>
          <w:color w:val="000000"/>
        </w:rPr>
        <w:t> </w:t>
      </w:r>
      <w:r w:rsidRPr="00DA6076">
        <w:rPr>
          <w:rFonts w:asciiTheme="majorHAnsi" w:hAnsiTheme="majorHAnsi" w:cstheme="majorHAnsi"/>
          <w:i/>
          <w:iCs/>
          <w:color w:val="000000"/>
        </w:rPr>
        <w:t>The Lancet</w:t>
      </w:r>
      <w:r w:rsidRPr="00DA6076">
        <w:rPr>
          <w:rFonts w:asciiTheme="majorHAnsi" w:hAnsiTheme="majorHAnsi" w:cstheme="majorHAnsi"/>
          <w:color w:val="000000"/>
        </w:rPr>
        <w:t>, 388(10058), pp. 2352–2353. Available at: https://doi.org/10.1016/s0140-6736(16)32133-x.</w:t>
      </w:r>
      <w:r w:rsidRPr="00DA6076">
        <w:rPr>
          <w:rStyle w:val="apple-converted-space"/>
          <w:rFonts w:asciiTheme="majorHAnsi" w:hAnsiTheme="majorHAnsi" w:cstheme="majorHAnsi"/>
          <w:color w:val="000000"/>
        </w:rPr>
        <w:t> </w:t>
      </w:r>
    </w:p>
    <w:p w14:paraId="2A0B414D" w14:textId="77777777" w:rsidR="00DA6076" w:rsidRPr="00DA6076" w:rsidRDefault="00DA6076" w:rsidP="003B2CAA">
      <w:pPr>
        <w:pStyle w:val="NormalWeb"/>
        <w:ind w:left="567" w:hanging="567"/>
        <w:rPr>
          <w:rFonts w:asciiTheme="majorHAnsi" w:hAnsiTheme="majorHAnsi" w:cstheme="majorHAnsi"/>
          <w:color w:val="000000"/>
        </w:rPr>
      </w:pPr>
      <w:r w:rsidRPr="00DA6076">
        <w:rPr>
          <w:rFonts w:asciiTheme="majorHAnsi" w:hAnsiTheme="majorHAnsi" w:cstheme="majorHAnsi"/>
          <w:color w:val="000000"/>
        </w:rPr>
        <w:t>Yang, S.</w:t>
      </w:r>
      <w:r w:rsidRPr="00DA6076">
        <w:rPr>
          <w:rStyle w:val="apple-converted-space"/>
          <w:rFonts w:asciiTheme="majorHAnsi" w:hAnsiTheme="majorHAnsi" w:cstheme="majorHAnsi"/>
          <w:color w:val="000000"/>
        </w:rPr>
        <w:t> </w:t>
      </w:r>
      <w:r w:rsidRPr="00DA6076">
        <w:rPr>
          <w:rFonts w:asciiTheme="majorHAnsi" w:hAnsiTheme="majorHAnsi" w:cstheme="majorHAnsi"/>
          <w:i/>
          <w:iCs/>
          <w:color w:val="000000"/>
        </w:rPr>
        <w:t>et al.</w:t>
      </w:r>
      <w:r w:rsidRPr="00DA6076">
        <w:rPr>
          <w:rStyle w:val="apple-converted-space"/>
          <w:rFonts w:asciiTheme="majorHAnsi" w:hAnsiTheme="majorHAnsi" w:cstheme="majorHAnsi"/>
          <w:color w:val="000000"/>
        </w:rPr>
        <w:t> </w:t>
      </w:r>
      <w:r w:rsidRPr="00DA6076">
        <w:rPr>
          <w:rFonts w:asciiTheme="majorHAnsi" w:hAnsiTheme="majorHAnsi" w:cstheme="majorHAnsi"/>
          <w:color w:val="000000"/>
        </w:rPr>
        <w:t>(2020) “Prioritizing Sustainable Development Goals and linking them to ecosystem services: A global expert's knowledge evaluation,”</w:t>
      </w:r>
      <w:r w:rsidRPr="00DA6076">
        <w:rPr>
          <w:rStyle w:val="apple-converted-space"/>
          <w:rFonts w:asciiTheme="majorHAnsi" w:hAnsiTheme="majorHAnsi" w:cstheme="majorHAnsi"/>
          <w:color w:val="000000"/>
        </w:rPr>
        <w:t> </w:t>
      </w:r>
      <w:r w:rsidRPr="00DA6076">
        <w:rPr>
          <w:rFonts w:asciiTheme="majorHAnsi" w:hAnsiTheme="majorHAnsi" w:cstheme="majorHAnsi"/>
          <w:i/>
          <w:iCs/>
          <w:color w:val="000000"/>
        </w:rPr>
        <w:t>Geography and Sustainability</w:t>
      </w:r>
      <w:r w:rsidRPr="00DA6076">
        <w:rPr>
          <w:rFonts w:asciiTheme="majorHAnsi" w:hAnsiTheme="majorHAnsi" w:cstheme="majorHAnsi"/>
          <w:color w:val="000000"/>
        </w:rPr>
        <w:t>, 1(4), pp. 321–330. Available at: https://doi.org/10.1016/j.geosus.2020.09.004.</w:t>
      </w:r>
      <w:r w:rsidRPr="00DA6076">
        <w:rPr>
          <w:rStyle w:val="apple-converted-space"/>
          <w:rFonts w:asciiTheme="majorHAnsi" w:hAnsiTheme="majorHAnsi" w:cstheme="majorHAnsi"/>
          <w:color w:val="000000"/>
        </w:rPr>
        <w:t> </w:t>
      </w:r>
    </w:p>
    <w:p w14:paraId="0CD50204" w14:textId="77777777" w:rsidR="00DA6076" w:rsidRPr="00DA6076" w:rsidRDefault="00DA6076" w:rsidP="003B2CAA">
      <w:pPr>
        <w:pStyle w:val="NormalWeb"/>
        <w:ind w:left="567" w:hanging="567"/>
        <w:rPr>
          <w:rStyle w:val="apple-converted-space"/>
          <w:rFonts w:asciiTheme="majorHAnsi" w:eastAsiaTheme="majorEastAsia" w:hAnsiTheme="majorHAnsi" w:cstheme="majorHAnsi"/>
          <w:color w:val="000000"/>
        </w:rPr>
      </w:pPr>
      <w:r w:rsidRPr="00DA6076">
        <w:rPr>
          <w:rFonts w:asciiTheme="majorHAnsi" w:hAnsiTheme="majorHAnsi" w:cstheme="majorHAnsi"/>
          <w:color w:val="000000"/>
        </w:rPr>
        <w:lastRenderedPageBreak/>
        <w:t>Zheng, X.</w:t>
      </w:r>
      <w:r w:rsidRPr="00DA6076">
        <w:rPr>
          <w:rStyle w:val="apple-converted-space"/>
          <w:rFonts w:asciiTheme="majorHAnsi" w:eastAsiaTheme="majorEastAsia" w:hAnsiTheme="majorHAnsi" w:cstheme="majorHAnsi"/>
          <w:color w:val="000000"/>
        </w:rPr>
        <w:t> </w:t>
      </w:r>
      <w:r w:rsidRPr="00DA6076">
        <w:rPr>
          <w:rFonts w:asciiTheme="majorHAnsi" w:hAnsiTheme="majorHAnsi" w:cstheme="majorHAnsi"/>
          <w:i/>
          <w:iCs/>
          <w:color w:val="000000"/>
        </w:rPr>
        <w:t>et al.</w:t>
      </w:r>
      <w:r w:rsidRPr="00DA6076">
        <w:rPr>
          <w:rStyle w:val="apple-converted-space"/>
          <w:rFonts w:asciiTheme="majorHAnsi" w:eastAsiaTheme="majorEastAsia" w:hAnsiTheme="majorHAnsi" w:cstheme="majorHAnsi"/>
          <w:color w:val="000000"/>
        </w:rPr>
        <w:t> </w:t>
      </w:r>
      <w:r w:rsidRPr="00DA6076">
        <w:rPr>
          <w:rFonts w:asciiTheme="majorHAnsi" w:hAnsiTheme="majorHAnsi" w:cstheme="majorHAnsi"/>
          <w:color w:val="000000"/>
        </w:rPr>
        <w:t>(2021) “Consideration of culture is vital if we are to achieve the Sustainable Development Goals,”</w:t>
      </w:r>
      <w:r w:rsidRPr="00DA6076">
        <w:rPr>
          <w:rStyle w:val="apple-converted-space"/>
          <w:rFonts w:asciiTheme="majorHAnsi" w:eastAsiaTheme="majorEastAsia" w:hAnsiTheme="majorHAnsi" w:cstheme="majorHAnsi"/>
          <w:color w:val="000000"/>
        </w:rPr>
        <w:t> </w:t>
      </w:r>
      <w:r w:rsidRPr="00DA6076">
        <w:rPr>
          <w:rFonts w:asciiTheme="majorHAnsi" w:hAnsiTheme="majorHAnsi" w:cstheme="majorHAnsi"/>
          <w:i/>
          <w:iCs/>
          <w:color w:val="000000"/>
        </w:rPr>
        <w:t>One Earth</w:t>
      </w:r>
      <w:r w:rsidRPr="00DA6076">
        <w:rPr>
          <w:rFonts w:asciiTheme="majorHAnsi" w:hAnsiTheme="majorHAnsi" w:cstheme="majorHAnsi"/>
          <w:color w:val="000000"/>
        </w:rPr>
        <w:t>, 4(2), pp. 307–319. Available at: https://doi.org/10.1016/j.oneear.2021.01.012.</w:t>
      </w:r>
      <w:r w:rsidRPr="00DA6076">
        <w:rPr>
          <w:rStyle w:val="apple-converted-space"/>
          <w:rFonts w:asciiTheme="majorHAnsi" w:eastAsiaTheme="majorEastAsia" w:hAnsiTheme="majorHAnsi" w:cstheme="majorHAnsi"/>
          <w:color w:val="000000"/>
        </w:rPr>
        <w:t> </w:t>
      </w:r>
    </w:p>
    <w:p w14:paraId="5079BDC3" w14:textId="77777777" w:rsidR="003B2CAA" w:rsidRDefault="003B2CAA" w:rsidP="003B2CAA">
      <w:pPr>
        <w:pStyle w:val="NormalWeb"/>
        <w:ind w:left="567" w:hanging="567"/>
        <w:jc w:val="both"/>
        <w:rPr>
          <w:color w:val="000000"/>
        </w:rPr>
      </w:pPr>
    </w:p>
    <w:p w14:paraId="6971C44B" w14:textId="77777777" w:rsidR="003B2CAA" w:rsidRDefault="003B2CAA" w:rsidP="003B2CAA"/>
    <w:p w14:paraId="4C846503" w14:textId="77777777" w:rsidR="003B2CAA" w:rsidRDefault="003B2CAA" w:rsidP="003B2CAA">
      <w:pPr>
        <w:spacing w:line="360" w:lineRule="auto"/>
      </w:pPr>
    </w:p>
    <w:p w14:paraId="0E23EFEC" w14:textId="77777777" w:rsidR="003B2CAA" w:rsidRDefault="003B2CAA" w:rsidP="003B2CAA">
      <w:pPr>
        <w:spacing w:line="360" w:lineRule="auto"/>
      </w:pPr>
    </w:p>
    <w:p w14:paraId="13B7DD52" w14:textId="77777777" w:rsidR="003B2CAA" w:rsidRDefault="003B2CAA" w:rsidP="003B2CAA">
      <w:pPr>
        <w:spacing w:line="360" w:lineRule="auto"/>
      </w:pPr>
    </w:p>
    <w:p w14:paraId="0FB24931" w14:textId="77777777" w:rsidR="003B2CAA" w:rsidRDefault="003B2CAA" w:rsidP="003B2CAA">
      <w:pPr>
        <w:spacing w:line="360" w:lineRule="auto"/>
      </w:pPr>
    </w:p>
    <w:p w14:paraId="7DC4474A" w14:textId="77777777" w:rsidR="003B2CAA" w:rsidRPr="00E74781" w:rsidRDefault="003B2CAA" w:rsidP="003B2CAA">
      <w:pPr>
        <w:rPr>
          <w:lang w:val="en-GB"/>
        </w:rPr>
      </w:pPr>
    </w:p>
    <w:p w14:paraId="67866DDA" w14:textId="77777777" w:rsidR="003B2CAA" w:rsidRPr="00A663AC" w:rsidRDefault="003B2CAA" w:rsidP="00457E03">
      <w:pPr>
        <w:spacing w:line="360" w:lineRule="auto"/>
        <w:rPr>
          <w:lang w:val="en-GB"/>
        </w:rPr>
      </w:pPr>
    </w:p>
    <w:p w14:paraId="42135059" w14:textId="77777777" w:rsidR="00457E03" w:rsidRDefault="00457E03" w:rsidP="00457E03"/>
    <w:p w14:paraId="79FE2F4F" w14:textId="77777777" w:rsidR="00457E03" w:rsidRDefault="00457E03" w:rsidP="00457E03"/>
    <w:p w14:paraId="2769E6C2" w14:textId="77777777" w:rsidR="00457E03" w:rsidRDefault="00457E03" w:rsidP="00457E03"/>
    <w:p w14:paraId="24C65A19" w14:textId="77777777" w:rsidR="00457E03" w:rsidRDefault="00457E03" w:rsidP="00457E03"/>
    <w:p w14:paraId="687B3EB5" w14:textId="77777777" w:rsidR="00457E03" w:rsidRDefault="00457E03" w:rsidP="00457E03"/>
    <w:p w14:paraId="5B21867C" w14:textId="77777777" w:rsidR="00457E03" w:rsidRDefault="00457E03" w:rsidP="00457E03"/>
    <w:p w14:paraId="30312FFE" w14:textId="77777777" w:rsidR="00457E03" w:rsidRDefault="00457E03" w:rsidP="00457E03"/>
    <w:p w14:paraId="6A0B0128" w14:textId="77777777" w:rsidR="00457E03" w:rsidRPr="005577D9" w:rsidRDefault="00457E03" w:rsidP="00457E03"/>
    <w:p w14:paraId="43384C39" w14:textId="77777777" w:rsidR="00457E03" w:rsidRDefault="00457E03" w:rsidP="00457E03">
      <w:pPr>
        <w:pStyle w:val="Heading1"/>
        <w:rPr>
          <w:rFonts w:ascii="Times New Roman" w:hAnsi="Times New Roman" w:cs="Times New Roman"/>
        </w:rPr>
      </w:pPr>
    </w:p>
    <w:p w14:paraId="61D107BD" w14:textId="77777777" w:rsidR="00457E03" w:rsidRPr="00EC361E" w:rsidRDefault="00457E03" w:rsidP="00457E03"/>
    <w:p w14:paraId="3D15751F" w14:textId="77777777" w:rsidR="00292217" w:rsidRDefault="00292217"/>
    <w:p w14:paraId="21771782" w14:textId="77777777" w:rsidR="00292217" w:rsidRDefault="00292217"/>
    <w:p w14:paraId="19F47B5F" w14:textId="77777777" w:rsidR="00292217" w:rsidRDefault="00292217"/>
    <w:p w14:paraId="1CD96C4D" w14:textId="77777777" w:rsidR="00292217" w:rsidRDefault="00292217"/>
    <w:p w14:paraId="4F9F1215" w14:textId="77777777" w:rsidR="00292217" w:rsidRDefault="00292217"/>
    <w:p w14:paraId="30E39EAF" w14:textId="77777777" w:rsidR="00292217" w:rsidRDefault="00292217"/>
    <w:p w14:paraId="1178977B" w14:textId="77777777" w:rsidR="00292217" w:rsidRDefault="00292217"/>
    <w:p w14:paraId="7F274214" w14:textId="77777777" w:rsidR="00292217" w:rsidRDefault="00292217"/>
    <w:p w14:paraId="5C6FA3B5" w14:textId="77777777" w:rsidR="00292217" w:rsidRDefault="00292217"/>
    <w:p w14:paraId="02F37086" w14:textId="77777777" w:rsidR="00292217" w:rsidRDefault="00292217"/>
    <w:p w14:paraId="705E729B" w14:textId="77777777" w:rsidR="00292217" w:rsidRDefault="00292217"/>
    <w:p w14:paraId="58319E9D" w14:textId="77777777" w:rsidR="00292217" w:rsidRDefault="00292217"/>
    <w:p w14:paraId="232BAF6D" w14:textId="77777777" w:rsidR="00292217" w:rsidRDefault="00292217"/>
    <w:p w14:paraId="32C7A9B3" w14:textId="77777777" w:rsidR="00292217" w:rsidRDefault="00292217"/>
    <w:p w14:paraId="36F3827D" w14:textId="77777777" w:rsidR="00292217" w:rsidRDefault="00292217"/>
    <w:p w14:paraId="0F238413" w14:textId="77777777" w:rsidR="00292217" w:rsidRDefault="00292217"/>
    <w:p w14:paraId="54788B13" w14:textId="77777777" w:rsidR="00292217" w:rsidRDefault="00292217"/>
    <w:p w14:paraId="4CF15C26" w14:textId="77777777" w:rsidR="00292217" w:rsidRDefault="00292217"/>
    <w:p w14:paraId="708F5F7F" w14:textId="77777777" w:rsidR="00292217" w:rsidRDefault="00292217"/>
    <w:p w14:paraId="521734F9" w14:textId="77777777" w:rsidR="00292217" w:rsidRDefault="00292217"/>
    <w:p w14:paraId="5384C49D" w14:textId="77777777" w:rsidR="00292217" w:rsidRDefault="00292217"/>
    <w:p w14:paraId="30D68FB7" w14:textId="77777777" w:rsidR="00292217" w:rsidRDefault="00292217"/>
    <w:sectPr w:rsidR="00292217" w:rsidSect="00291F96">
      <w:footerReference w:type="default" r:id="rId5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136694" w14:textId="77777777" w:rsidR="002310DB" w:rsidRDefault="002310DB" w:rsidP="00501463">
      <w:r>
        <w:separator/>
      </w:r>
    </w:p>
  </w:endnote>
  <w:endnote w:type="continuationSeparator" w:id="0">
    <w:p w14:paraId="5711D13F" w14:textId="77777777" w:rsidR="002310DB" w:rsidRDefault="002310DB" w:rsidP="005014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TimesNewRomanPS">
    <w:altName w:val="Times New Roman"/>
    <w:panose1 w:val="00000000000000000000"/>
    <w:charset w:val="00"/>
    <w:family w:val="roman"/>
    <w:notTrueType/>
    <w:pitch w:val="default"/>
  </w:font>
  <w:font w:name="Times">
    <w:panose1 w:val="02020603050405020304"/>
    <w:charset w:val="00"/>
    <w:family w:val="auto"/>
    <w:pitch w:val="variable"/>
    <w:sig w:usb0="E00002FF" w:usb1="5000205A"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3850522"/>
      <w:docPartObj>
        <w:docPartGallery w:val="Page Numbers (Bottom of Page)"/>
        <w:docPartUnique/>
      </w:docPartObj>
    </w:sdtPr>
    <w:sdtEndPr>
      <w:rPr>
        <w:noProof/>
      </w:rPr>
    </w:sdtEndPr>
    <w:sdtContent>
      <w:p w14:paraId="48BF872A" w14:textId="2F5CDCBE" w:rsidR="00291F96" w:rsidRDefault="00291F9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D9B5538" w14:textId="5AF01E19" w:rsidR="00291F96" w:rsidRDefault="00291F96" w:rsidP="00291F96">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239E48" w14:textId="77777777" w:rsidR="002310DB" w:rsidRDefault="002310DB" w:rsidP="00501463">
      <w:r>
        <w:separator/>
      </w:r>
    </w:p>
  </w:footnote>
  <w:footnote w:type="continuationSeparator" w:id="0">
    <w:p w14:paraId="7EF64F7D" w14:textId="77777777" w:rsidR="002310DB" w:rsidRDefault="002310DB" w:rsidP="005014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F7F68"/>
    <w:multiLevelType w:val="hybridMultilevel"/>
    <w:tmpl w:val="A90479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1A561D"/>
    <w:multiLevelType w:val="multilevel"/>
    <w:tmpl w:val="AF282028"/>
    <w:lvl w:ilvl="0">
      <w:start w:val="3"/>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3876045"/>
    <w:multiLevelType w:val="hybridMultilevel"/>
    <w:tmpl w:val="6E6CB9B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730B0F"/>
    <w:multiLevelType w:val="hybridMultilevel"/>
    <w:tmpl w:val="CAE66702"/>
    <w:lvl w:ilvl="0" w:tplc="7478B9F0">
      <w:start w:val="1"/>
      <w:numFmt w:val="lowerLetter"/>
      <w:lvlText w:val="%1)"/>
      <w:lvlJc w:val="left"/>
      <w:pPr>
        <w:ind w:left="430" w:hanging="360"/>
      </w:pPr>
      <w:rPr>
        <w:rFonts w:hint="default"/>
      </w:rPr>
    </w:lvl>
    <w:lvl w:ilvl="1" w:tplc="04090019" w:tentative="1">
      <w:start w:val="1"/>
      <w:numFmt w:val="lowerLetter"/>
      <w:lvlText w:val="%2."/>
      <w:lvlJc w:val="left"/>
      <w:pPr>
        <w:ind w:left="1150" w:hanging="360"/>
      </w:pPr>
    </w:lvl>
    <w:lvl w:ilvl="2" w:tplc="0409001B" w:tentative="1">
      <w:start w:val="1"/>
      <w:numFmt w:val="lowerRoman"/>
      <w:lvlText w:val="%3."/>
      <w:lvlJc w:val="right"/>
      <w:pPr>
        <w:ind w:left="1870" w:hanging="180"/>
      </w:pPr>
    </w:lvl>
    <w:lvl w:ilvl="3" w:tplc="0409000F" w:tentative="1">
      <w:start w:val="1"/>
      <w:numFmt w:val="decimal"/>
      <w:lvlText w:val="%4."/>
      <w:lvlJc w:val="left"/>
      <w:pPr>
        <w:ind w:left="2590" w:hanging="360"/>
      </w:pPr>
    </w:lvl>
    <w:lvl w:ilvl="4" w:tplc="04090019" w:tentative="1">
      <w:start w:val="1"/>
      <w:numFmt w:val="lowerLetter"/>
      <w:lvlText w:val="%5."/>
      <w:lvlJc w:val="left"/>
      <w:pPr>
        <w:ind w:left="3310" w:hanging="360"/>
      </w:pPr>
    </w:lvl>
    <w:lvl w:ilvl="5" w:tplc="0409001B" w:tentative="1">
      <w:start w:val="1"/>
      <w:numFmt w:val="lowerRoman"/>
      <w:lvlText w:val="%6."/>
      <w:lvlJc w:val="right"/>
      <w:pPr>
        <w:ind w:left="4030" w:hanging="180"/>
      </w:pPr>
    </w:lvl>
    <w:lvl w:ilvl="6" w:tplc="0409000F" w:tentative="1">
      <w:start w:val="1"/>
      <w:numFmt w:val="decimal"/>
      <w:lvlText w:val="%7."/>
      <w:lvlJc w:val="left"/>
      <w:pPr>
        <w:ind w:left="4750" w:hanging="360"/>
      </w:pPr>
    </w:lvl>
    <w:lvl w:ilvl="7" w:tplc="04090019" w:tentative="1">
      <w:start w:val="1"/>
      <w:numFmt w:val="lowerLetter"/>
      <w:lvlText w:val="%8."/>
      <w:lvlJc w:val="left"/>
      <w:pPr>
        <w:ind w:left="5470" w:hanging="360"/>
      </w:pPr>
    </w:lvl>
    <w:lvl w:ilvl="8" w:tplc="0409001B" w:tentative="1">
      <w:start w:val="1"/>
      <w:numFmt w:val="lowerRoman"/>
      <w:lvlText w:val="%9."/>
      <w:lvlJc w:val="right"/>
      <w:pPr>
        <w:ind w:left="6190" w:hanging="180"/>
      </w:pPr>
    </w:lvl>
  </w:abstractNum>
  <w:abstractNum w:abstractNumId="4" w15:restartNumberingAfterBreak="0">
    <w:nsid w:val="1FAC510D"/>
    <w:multiLevelType w:val="hybridMultilevel"/>
    <w:tmpl w:val="3BC444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B72BEA"/>
    <w:multiLevelType w:val="multilevel"/>
    <w:tmpl w:val="DC88E6C6"/>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297412BC"/>
    <w:multiLevelType w:val="hybridMultilevel"/>
    <w:tmpl w:val="8C5AEF82"/>
    <w:lvl w:ilvl="0" w:tplc="C706C502">
      <w:start w:val="1"/>
      <w:numFmt w:val="lowerLetter"/>
      <w:lvlText w:val="%1)"/>
      <w:lvlJc w:val="left"/>
      <w:pPr>
        <w:ind w:left="430" w:hanging="360"/>
      </w:pPr>
      <w:rPr>
        <w:rFonts w:hint="default"/>
      </w:rPr>
    </w:lvl>
    <w:lvl w:ilvl="1" w:tplc="04090019" w:tentative="1">
      <w:start w:val="1"/>
      <w:numFmt w:val="lowerLetter"/>
      <w:lvlText w:val="%2."/>
      <w:lvlJc w:val="left"/>
      <w:pPr>
        <w:ind w:left="1150" w:hanging="360"/>
      </w:pPr>
    </w:lvl>
    <w:lvl w:ilvl="2" w:tplc="0409001B" w:tentative="1">
      <w:start w:val="1"/>
      <w:numFmt w:val="lowerRoman"/>
      <w:lvlText w:val="%3."/>
      <w:lvlJc w:val="right"/>
      <w:pPr>
        <w:ind w:left="1870" w:hanging="180"/>
      </w:pPr>
    </w:lvl>
    <w:lvl w:ilvl="3" w:tplc="0409000F" w:tentative="1">
      <w:start w:val="1"/>
      <w:numFmt w:val="decimal"/>
      <w:lvlText w:val="%4."/>
      <w:lvlJc w:val="left"/>
      <w:pPr>
        <w:ind w:left="2590" w:hanging="360"/>
      </w:pPr>
    </w:lvl>
    <w:lvl w:ilvl="4" w:tplc="04090019" w:tentative="1">
      <w:start w:val="1"/>
      <w:numFmt w:val="lowerLetter"/>
      <w:lvlText w:val="%5."/>
      <w:lvlJc w:val="left"/>
      <w:pPr>
        <w:ind w:left="3310" w:hanging="360"/>
      </w:pPr>
    </w:lvl>
    <w:lvl w:ilvl="5" w:tplc="0409001B" w:tentative="1">
      <w:start w:val="1"/>
      <w:numFmt w:val="lowerRoman"/>
      <w:lvlText w:val="%6."/>
      <w:lvlJc w:val="right"/>
      <w:pPr>
        <w:ind w:left="4030" w:hanging="180"/>
      </w:pPr>
    </w:lvl>
    <w:lvl w:ilvl="6" w:tplc="0409000F" w:tentative="1">
      <w:start w:val="1"/>
      <w:numFmt w:val="decimal"/>
      <w:lvlText w:val="%7."/>
      <w:lvlJc w:val="left"/>
      <w:pPr>
        <w:ind w:left="4750" w:hanging="360"/>
      </w:pPr>
    </w:lvl>
    <w:lvl w:ilvl="7" w:tplc="04090019" w:tentative="1">
      <w:start w:val="1"/>
      <w:numFmt w:val="lowerLetter"/>
      <w:lvlText w:val="%8."/>
      <w:lvlJc w:val="left"/>
      <w:pPr>
        <w:ind w:left="5470" w:hanging="360"/>
      </w:pPr>
    </w:lvl>
    <w:lvl w:ilvl="8" w:tplc="0409001B" w:tentative="1">
      <w:start w:val="1"/>
      <w:numFmt w:val="lowerRoman"/>
      <w:lvlText w:val="%9."/>
      <w:lvlJc w:val="right"/>
      <w:pPr>
        <w:ind w:left="6190" w:hanging="180"/>
      </w:pPr>
    </w:lvl>
  </w:abstractNum>
  <w:abstractNum w:abstractNumId="7" w15:restartNumberingAfterBreak="0">
    <w:nsid w:val="2D65431E"/>
    <w:multiLevelType w:val="hybridMultilevel"/>
    <w:tmpl w:val="6A48B3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F542EC"/>
    <w:multiLevelType w:val="hybridMultilevel"/>
    <w:tmpl w:val="9D2041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E7369D"/>
    <w:multiLevelType w:val="multilevel"/>
    <w:tmpl w:val="EB7A658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3D57761D"/>
    <w:multiLevelType w:val="hybridMultilevel"/>
    <w:tmpl w:val="D1FADE9E"/>
    <w:lvl w:ilvl="0" w:tplc="B1FA4D9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837361"/>
    <w:multiLevelType w:val="hybridMultilevel"/>
    <w:tmpl w:val="476C69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1FD38DE"/>
    <w:multiLevelType w:val="hybridMultilevel"/>
    <w:tmpl w:val="89669EA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3C3AA4"/>
    <w:multiLevelType w:val="hybridMultilevel"/>
    <w:tmpl w:val="90D2501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AC6794"/>
    <w:multiLevelType w:val="hybridMultilevel"/>
    <w:tmpl w:val="4E30D9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8E76F0B"/>
    <w:multiLevelType w:val="hybridMultilevel"/>
    <w:tmpl w:val="8CD65C7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64BD029C"/>
    <w:multiLevelType w:val="hybridMultilevel"/>
    <w:tmpl w:val="42320C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850645A"/>
    <w:multiLevelType w:val="hybridMultilevel"/>
    <w:tmpl w:val="8E8C02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A6C4448"/>
    <w:multiLevelType w:val="hybridMultilevel"/>
    <w:tmpl w:val="8CD65C7A"/>
    <w:lvl w:ilvl="0" w:tplc="0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105331">
    <w:abstractNumId w:val="16"/>
  </w:num>
  <w:num w:numId="2" w16cid:durableId="1854563443">
    <w:abstractNumId w:val="5"/>
  </w:num>
  <w:num w:numId="3" w16cid:durableId="48920030">
    <w:abstractNumId w:val="0"/>
  </w:num>
  <w:num w:numId="4" w16cid:durableId="43676286">
    <w:abstractNumId w:val="4"/>
  </w:num>
  <w:num w:numId="5" w16cid:durableId="51925614">
    <w:abstractNumId w:val="18"/>
  </w:num>
  <w:num w:numId="6" w16cid:durableId="1322929697">
    <w:abstractNumId w:val="15"/>
  </w:num>
  <w:num w:numId="7" w16cid:durableId="397938765">
    <w:abstractNumId w:val="14"/>
  </w:num>
  <w:num w:numId="8" w16cid:durableId="1794204874">
    <w:abstractNumId w:val="10"/>
  </w:num>
  <w:num w:numId="9" w16cid:durableId="1561330885">
    <w:abstractNumId w:val="17"/>
  </w:num>
  <w:num w:numId="10" w16cid:durableId="2113625886">
    <w:abstractNumId w:val="13"/>
  </w:num>
  <w:num w:numId="11" w16cid:durableId="332412679">
    <w:abstractNumId w:val="12"/>
  </w:num>
  <w:num w:numId="12" w16cid:durableId="2094432235">
    <w:abstractNumId w:val="2"/>
  </w:num>
  <w:num w:numId="13" w16cid:durableId="314334938">
    <w:abstractNumId w:val="9"/>
  </w:num>
  <w:num w:numId="14" w16cid:durableId="362485391">
    <w:abstractNumId w:val="11"/>
  </w:num>
  <w:num w:numId="15" w16cid:durableId="1161964327">
    <w:abstractNumId w:val="8"/>
  </w:num>
  <w:num w:numId="16" w16cid:durableId="1911845322">
    <w:abstractNumId w:val="7"/>
  </w:num>
  <w:num w:numId="17" w16cid:durableId="1304507597">
    <w:abstractNumId w:val="6"/>
  </w:num>
  <w:num w:numId="18" w16cid:durableId="21636362">
    <w:abstractNumId w:val="1"/>
  </w:num>
  <w:num w:numId="19" w16cid:durableId="190579627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463"/>
    <w:rsid w:val="00034D68"/>
    <w:rsid w:val="00050877"/>
    <w:rsid w:val="00082D6F"/>
    <w:rsid w:val="000A0E06"/>
    <w:rsid w:val="000A2199"/>
    <w:rsid w:val="000E64E9"/>
    <w:rsid w:val="000F7205"/>
    <w:rsid w:val="00134752"/>
    <w:rsid w:val="00147714"/>
    <w:rsid w:val="0018462B"/>
    <w:rsid w:val="00197974"/>
    <w:rsid w:val="001B0DE7"/>
    <w:rsid w:val="00201661"/>
    <w:rsid w:val="00211EC9"/>
    <w:rsid w:val="002310DB"/>
    <w:rsid w:val="0023287E"/>
    <w:rsid w:val="00244437"/>
    <w:rsid w:val="00255A02"/>
    <w:rsid w:val="00283D90"/>
    <w:rsid w:val="00291220"/>
    <w:rsid w:val="00291F96"/>
    <w:rsid w:val="00292217"/>
    <w:rsid w:val="002B0A4A"/>
    <w:rsid w:val="002B1753"/>
    <w:rsid w:val="002F5A0D"/>
    <w:rsid w:val="002F6BEA"/>
    <w:rsid w:val="003203AD"/>
    <w:rsid w:val="0032202B"/>
    <w:rsid w:val="00322CE9"/>
    <w:rsid w:val="003455A5"/>
    <w:rsid w:val="0036275F"/>
    <w:rsid w:val="00365466"/>
    <w:rsid w:val="00365CC9"/>
    <w:rsid w:val="003703D1"/>
    <w:rsid w:val="003B2CAA"/>
    <w:rsid w:val="003D5067"/>
    <w:rsid w:val="00401304"/>
    <w:rsid w:val="004015DB"/>
    <w:rsid w:val="00414E05"/>
    <w:rsid w:val="0043388B"/>
    <w:rsid w:val="004519D8"/>
    <w:rsid w:val="00457533"/>
    <w:rsid w:val="00457E03"/>
    <w:rsid w:val="004762F9"/>
    <w:rsid w:val="004909CC"/>
    <w:rsid w:val="004970B0"/>
    <w:rsid w:val="004A45B8"/>
    <w:rsid w:val="004A5250"/>
    <w:rsid w:val="004B3F43"/>
    <w:rsid w:val="004F02E9"/>
    <w:rsid w:val="004F4B73"/>
    <w:rsid w:val="00501463"/>
    <w:rsid w:val="00522539"/>
    <w:rsid w:val="0055733C"/>
    <w:rsid w:val="005E2AFF"/>
    <w:rsid w:val="005F45A0"/>
    <w:rsid w:val="006578CB"/>
    <w:rsid w:val="006778BB"/>
    <w:rsid w:val="0068143B"/>
    <w:rsid w:val="00684C8A"/>
    <w:rsid w:val="006B2FB8"/>
    <w:rsid w:val="006F2507"/>
    <w:rsid w:val="00760C13"/>
    <w:rsid w:val="007643AB"/>
    <w:rsid w:val="007865D8"/>
    <w:rsid w:val="0078676B"/>
    <w:rsid w:val="007A572E"/>
    <w:rsid w:val="007B6D61"/>
    <w:rsid w:val="00832F05"/>
    <w:rsid w:val="00844D56"/>
    <w:rsid w:val="00845EAF"/>
    <w:rsid w:val="008526E5"/>
    <w:rsid w:val="00862AA7"/>
    <w:rsid w:val="00890E5D"/>
    <w:rsid w:val="0089105D"/>
    <w:rsid w:val="008A4BFF"/>
    <w:rsid w:val="008B7671"/>
    <w:rsid w:val="008C2AC9"/>
    <w:rsid w:val="008C5D05"/>
    <w:rsid w:val="008D09BB"/>
    <w:rsid w:val="008F7B78"/>
    <w:rsid w:val="009119FF"/>
    <w:rsid w:val="00933431"/>
    <w:rsid w:val="00935B52"/>
    <w:rsid w:val="0094007C"/>
    <w:rsid w:val="009458ED"/>
    <w:rsid w:val="00982F72"/>
    <w:rsid w:val="0099296E"/>
    <w:rsid w:val="009A65AB"/>
    <w:rsid w:val="009B5806"/>
    <w:rsid w:val="009D12B2"/>
    <w:rsid w:val="009D5225"/>
    <w:rsid w:val="009E1535"/>
    <w:rsid w:val="00A1284B"/>
    <w:rsid w:val="00A3146C"/>
    <w:rsid w:val="00A41951"/>
    <w:rsid w:val="00A553F1"/>
    <w:rsid w:val="00A6497C"/>
    <w:rsid w:val="00A76CFA"/>
    <w:rsid w:val="00A800D0"/>
    <w:rsid w:val="00A81505"/>
    <w:rsid w:val="00AF2769"/>
    <w:rsid w:val="00B67E7F"/>
    <w:rsid w:val="00B74459"/>
    <w:rsid w:val="00B9124E"/>
    <w:rsid w:val="00BC458C"/>
    <w:rsid w:val="00BE2E21"/>
    <w:rsid w:val="00C408B9"/>
    <w:rsid w:val="00C43F54"/>
    <w:rsid w:val="00C60285"/>
    <w:rsid w:val="00C74A04"/>
    <w:rsid w:val="00C77ABD"/>
    <w:rsid w:val="00C80144"/>
    <w:rsid w:val="00C84218"/>
    <w:rsid w:val="00C94AD1"/>
    <w:rsid w:val="00CB13F4"/>
    <w:rsid w:val="00CE504E"/>
    <w:rsid w:val="00CE6643"/>
    <w:rsid w:val="00CE7CB1"/>
    <w:rsid w:val="00D052F1"/>
    <w:rsid w:val="00D11DE3"/>
    <w:rsid w:val="00D325C2"/>
    <w:rsid w:val="00D75852"/>
    <w:rsid w:val="00D813D6"/>
    <w:rsid w:val="00D9162A"/>
    <w:rsid w:val="00DA6076"/>
    <w:rsid w:val="00DC1A44"/>
    <w:rsid w:val="00DD1102"/>
    <w:rsid w:val="00DE713C"/>
    <w:rsid w:val="00DF7A6B"/>
    <w:rsid w:val="00E83499"/>
    <w:rsid w:val="00E84BA8"/>
    <w:rsid w:val="00E910A1"/>
    <w:rsid w:val="00EA178A"/>
    <w:rsid w:val="00EB25C2"/>
    <w:rsid w:val="00EF6FE0"/>
    <w:rsid w:val="00F02442"/>
    <w:rsid w:val="00F22A61"/>
    <w:rsid w:val="00F929A9"/>
    <w:rsid w:val="00F93F2B"/>
    <w:rsid w:val="00F950CC"/>
    <w:rsid w:val="00FD00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8724F"/>
  <w15:chartTrackingRefBased/>
  <w15:docId w15:val="{69EF780C-EB4D-0241-BCB2-FA6741E09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0146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01463"/>
    <w:pPr>
      <w:keepNext/>
      <w:keepLines/>
      <w:spacing w:before="40"/>
      <w:outlineLvl w:val="1"/>
    </w:pPr>
    <w:rPr>
      <w:rFonts w:asciiTheme="majorHAnsi" w:eastAsiaTheme="majorEastAsia" w:hAnsiTheme="majorHAnsi" w:cstheme="majorBidi"/>
      <w:color w:val="2F5496" w:themeColor="accent1" w:themeShade="BF"/>
      <w:kern w:val="0"/>
      <w:sz w:val="26"/>
      <w:szCs w:val="26"/>
      <w14:ligatures w14:val="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01463"/>
    <w:pPr>
      <w:spacing w:before="100" w:beforeAutospacing="1" w:after="100" w:afterAutospacing="1"/>
    </w:pPr>
    <w:rPr>
      <w:rFonts w:ascii="Times New Roman" w:eastAsia="Times New Roman" w:hAnsi="Times New Roman" w:cs="Times New Roman"/>
      <w:kern w:val="0"/>
      <w:lang w:eastAsia="en-GB"/>
      <w14:ligatures w14:val="none"/>
    </w:rPr>
  </w:style>
  <w:style w:type="paragraph" w:styleId="ListParagraph">
    <w:name w:val="List Paragraph"/>
    <w:basedOn w:val="Normal"/>
    <w:uiPriority w:val="34"/>
    <w:qFormat/>
    <w:rsid w:val="00501463"/>
    <w:pPr>
      <w:ind w:left="720"/>
      <w:contextualSpacing/>
    </w:pPr>
  </w:style>
  <w:style w:type="character" w:customStyle="1" w:styleId="Heading1Char">
    <w:name w:val="Heading 1 Char"/>
    <w:basedOn w:val="DefaultParagraphFont"/>
    <w:link w:val="Heading1"/>
    <w:uiPriority w:val="9"/>
    <w:rsid w:val="00501463"/>
    <w:rPr>
      <w:rFonts w:asciiTheme="majorHAnsi" w:eastAsiaTheme="majorEastAsia" w:hAnsiTheme="majorHAnsi" w:cstheme="majorBidi"/>
      <w:color w:val="2F5496" w:themeColor="accent1" w:themeShade="BF"/>
      <w:sz w:val="32"/>
      <w:szCs w:val="32"/>
    </w:rPr>
  </w:style>
  <w:style w:type="character" w:styleId="FootnoteReference">
    <w:name w:val="footnote reference"/>
    <w:basedOn w:val="DefaultParagraphFont"/>
    <w:uiPriority w:val="99"/>
    <w:semiHidden/>
    <w:unhideWhenUsed/>
    <w:rsid w:val="00501463"/>
    <w:rPr>
      <w:vertAlign w:val="superscript"/>
    </w:rPr>
  </w:style>
  <w:style w:type="table" w:styleId="TableGrid">
    <w:name w:val="Table Grid"/>
    <w:basedOn w:val="TableNormal"/>
    <w:uiPriority w:val="39"/>
    <w:rsid w:val="00501463"/>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501463"/>
    <w:rPr>
      <w:rFonts w:asciiTheme="majorHAnsi" w:eastAsiaTheme="majorEastAsia" w:hAnsiTheme="majorHAnsi" w:cstheme="majorBidi"/>
      <w:color w:val="2F5496" w:themeColor="accent1" w:themeShade="BF"/>
      <w:kern w:val="0"/>
      <w:sz w:val="26"/>
      <w:szCs w:val="26"/>
      <w14:ligatures w14:val="none"/>
    </w:rPr>
  </w:style>
  <w:style w:type="paragraph" w:styleId="FootnoteText">
    <w:name w:val="footnote text"/>
    <w:basedOn w:val="Normal"/>
    <w:link w:val="FootnoteTextChar"/>
    <w:uiPriority w:val="99"/>
    <w:semiHidden/>
    <w:unhideWhenUsed/>
    <w:rsid w:val="00501463"/>
    <w:rPr>
      <w:kern w:val="0"/>
      <w:sz w:val="20"/>
      <w:szCs w:val="20"/>
      <w14:ligatures w14:val="none"/>
    </w:rPr>
  </w:style>
  <w:style w:type="character" w:customStyle="1" w:styleId="FootnoteTextChar">
    <w:name w:val="Footnote Text Char"/>
    <w:basedOn w:val="DefaultParagraphFont"/>
    <w:link w:val="FootnoteText"/>
    <w:uiPriority w:val="99"/>
    <w:semiHidden/>
    <w:rsid w:val="00501463"/>
    <w:rPr>
      <w:kern w:val="0"/>
      <w:sz w:val="20"/>
      <w:szCs w:val="20"/>
      <w:lang w:val="en-US"/>
      <w14:ligatures w14:val="none"/>
    </w:rPr>
  </w:style>
  <w:style w:type="character" w:styleId="Hyperlink">
    <w:name w:val="Hyperlink"/>
    <w:basedOn w:val="DefaultParagraphFont"/>
    <w:uiPriority w:val="99"/>
    <w:unhideWhenUsed/>
    <w:rsid w:val="00501463"/>
    <w:rPr>
      <w:color w:val="0563C1" w:themeColor="hyperlink"/>
      <w:u w:val="single"/>
    </w:rPr>
  </w:style>
  <w:style w:type="paragraph" w:styleId="Caption">
    <w:name w:val="caption"/>
    <w:basedOn w:val="Normal"/>
    <w:next w:val="Normal"/>
    <w:uiPriority w:val="35"/>
    <w:unhideWhenUsed/>
    <w:qFormat/>
    <w:rsid w:val="00501463"/>
    <w:pPr>
      <w:spacing w:after="200"/>
    </w:pPr>
    <w:rPr>
      <w:i/>
      <w:iCs/>
      <w:color w:val="44546A" w:themeColor="text2"/>
      <w:kern w:val="0"/>
      <w:sz w:val="18"/>
      <w:szCs w:val="18"/>
      <w14:ligatures w14:val="none"/>
    </w:rPr>
  </w:style>
  <w:style w:type="character" w:styleId="UnresolvedMention">
    <w:name w:val="Unresolved Mention"/>
    <w:basedOn w:val="DefaultParagraphFont"/>
    <w:uiPriority w:val="99"/>
    <w:semiHidden/>
    <w:unhideWhenUsed/>
    <w:rsid w:val="00401304"/>
    <w:rPr>
      <w:color w:val="605E5C"/>
      <w:shd w:val="clear" w:color="auto" w:fill="E1DFDD"/>
    </w:rPr>
  </w:style>
  <w:style w:type="character" w:styleId="CommentReference">
    <w:name w:val="annotation reference"/>
    <w:basedOn w:val="DefaultParagraphFont"/>
    <w:uiPriority w:val="99"/>
    <w:semiHidden/>
    <w:unhideWhenUsed/>
    <w:rsid w:val="008D09BB"/>
    <w:rPr>
      <w:sz w:val="16"/>
      <w:szCs w:val="16"/>
    </w:rPr>
  </w:style>
  <w:style w:type="paragraph" w:styleId="CommentText">
    <w:name w:val="annotation text"/>
    <w:basedOn w:val="Normal"/>
    <w:link w:val="CommentTextChar"/>
    <w:uiPriority w:val="99"/>
    <w:semiHidden/>
    <w:unhideWhenUsed/>
    <w:rsid w:val="008D09BB"/>
    <w:rPr>
      <w:sz w:val="20"/>
      <w:szCs w:val="20"/>
    </w:rPr>
  </w:style>
  <w:style w:type="character" w:customStyle="1" w:styleId="CommentTextChar">
    <w:name w:val="Comment Text Char"/>
    <w:basedOn w:val="DefaultParagraphFont"/>
    <w:link w:val="CommentText"/>
    <w:uiPriority w:val="99"/>
    <w:semiHidden/>
    <w:rsid w:val="008D09BB"/>
    <w:rPr>
      <w:sz w:val="20"/>
      <w:szCs w:val="20"/>
    </w:rPr>
  </w:style>
  <w:style w:type="paragraph" w:styleId="CommentSubject">
    <w:name w:val="annotation subject"/>
    <w:basedOn w:val="CommentText"/>
    <w:next w:val="CommentText"/>
    <w:link w:val="CommentSubjectChar"/>
    <w:uiPriority w:val="99"/>
    <w:semiHidden/>
    <w:unhideWhenUsed/>
    <w:rsid w:val="008D09BB"/>
    <w:rPr>
      <w:b/>
      <w:bCs/>
    </w:rPr>
  </w:style>
  <w:style w:type="character" w:customStyle="1" w:styleId="CommentSubjectChar">
    <w:name w:val="Comment Subject Char"/>
    <w:basedOn w:val="CommentTextChar"/>
    <w:link w:val="CommentSubject"/>
    <w:uiPriority w:val="99"/>
    <w:semiHidden/>
    <w:rsid w:val="008D09BB"/>
    <w:rPr>
      <w:b/>
      <w:bCs/>
      <w:sz w:val="20"/>
      <w:szCs w:val="20"/>
    </w:rPr>
  </w:style>
  <w:style w:type="paragraph" w:styleId="Header">
    <w:name w:val="header"/>
    <w:basedOn w:val="Normal"/>
    <w:link w:val="HeaderChar"/>
    <w:uiPriority w:val="99"/>
    <w:unhideWhenUsed/>
    <w:rsid w:val="004F02E9"/>
    <w:pPr>
      <w:tabs>
        <w:tab w:val="center" w:pos="4680"/>
        <w:tab w:val="right" w:pos="9360"/>
      </w:tabs>
    </w:pPr>
  </w:style>
  <w:style w:type="character" w:customStyle="1" w:styleId="HeaderChar">
    <w:name w:val="Header Char"/>
    <w:basedOn w:val="DefaultParagraphFont"/>
    <w:link w:val="Header"/>
    <w:uiPriority w:val="99"/>
    <w:rsid w:val="004F02E9"/>
  </w:style>
  <w:style w:type="paragraph" w:styleId="Footer">
    <w:name w:val="footer"/>
    <w:basedOn w:val="Normal"/>
    <w:link w:val="FooterChar"/>
    <w:uiPriority w:val="99"/>
    <w:unhideWhenUsed/>
    <w:rsid w:val="004F02E9"/>
    <w:pPr>
      <w:tabs>
        <w:tab w:val="center" w:pos="4680"/>
        <w:tab w:val="right" w:pos="9360"/>
      </w:tabs>
    </w:pPr>
  </w:style>
  <w:style w:type="character" w:customStyle="1" w:styleId="FooterChar">
    <w:name w:val="Footer Char"/>
    <w:basedOn w:val="DefaultParagraphFont"/>
    <w:link w:val="Footer"/>
    <w:uiPriority w:val="99"/>
    <w:rsid w:val="004F02E9"/>
  </w:style>
  <w:style w:type="character" w:customStyle="1" w:styleId="anchor-text">
    <w:name w:val="anchor-text"/>
    <w:basedOn w:val="DefaultParagraphFont"/>
    <w:rsid w:val="002B0A4A"/>
  </w:style>
  <w:style w:type="character" w:styleId="Emphasis">
    <w:name w:val="Emphasis"/>
    <w:basedOn w:val="DefaultParagraphFont"/>
    <w:uiPriority w:val="20"/>
    <w:qFormat/>
    <w:rsid w:val="000A0E06"/>
    <w:rPr>
      <w:i/>
      <w:iCs/>
    </w:rPr>
  </w:style>
  <w:style w:type="character" w:customStyle="1" w:styleId="citationsource-book">
    <w:name w:val="citation_source-book"/>
    <w:basedOn w:val="DefaultParagraphFont"/>
    <w:rsid w:val="009A65AB"/>
  </w:style>
  <w:style w:type="paragraph" w:styleId="TOCHeading">
    <w:name w:val="TOC Heading"/>
    <w:basedOn w:val="Heading1"/>
    <w:next w:val="Normal"/>
    <w:uiPriority w:val="39"/>
    <w:unhideWhenUsed/>
    <w:qFormat/>
    <w:rsid w:val="0043388B"/>
    <w:pPr>
      <w:spacing w:line="259" w:lineRule="auto"/>
      <w:outlineLvl w:val="9"/>
    </w:pPr>
    <w:rPr>
      <w:kern w:val="0"/>
      <w14:ligatures w14:val="none"/>
    </w:rPr>
  </w:style>
  <w:style w:type="paragraph" w:styleId="TOC1">
    <w:name w:val="toc 1"/>
    <w:basedOn w:val="Normal"/>
    <w:next w:val="Normal"/>
    <w:autoRedefine/>
    <w:uiPriority w:val="39"/>
    <w:unhideWhenUsed/>
    <w:rsid w:val="0043388B"/>
    <w:pPr>
      <w:spacing w:after="100"/>
    </w:pPr>
  </w:style>
  <w:style w:type="paragraph" w:styleId="TOC2">
    <w:name w:val="toc 2"/>
    <w:basedOn w:val="Normal"/>
    <w:next w:val="Normal"/>
    <w:autoRedefine/>
    <w:uiPriority w:val="39"/>
    <w:unhideWhenUsed/>
    <w:rsid w:val="0043388B"/>
    <w:pPr>
      <w:spacing w:after="100"/>
      <w:ind w:left="240"/>
    </w:pPr>
  </w:style>
  <w:style w:type="paragraph" w:styleId="TableofFigures">
    <w:name w:val="table of figures"/>
    <w:basedOn w:val="Normal"/>
    <w:next w:val="Normal"/>
    <w:uiPriority w:val="99"/>
    <w:unhideWhenUsed/>
    <w:rsid w:val="0043388B"/>
  </w:style>
  <w:style w:type="character" w:customStyle="1" w:styleId="apple-converted-space">
    <w:name w:val="apple-converted-space"/>
    <w:basedOn w:val="DefaultParagraphFont"/>
    <w:rsid w:val="003B2C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62510">
      <w:bodyDiv w:val="1"/>
      <w:marLeft w:val="0"/>
      <w:marRight w:val="0"/>
      <w:marTop w:val="0"/>
      <w:marBottom w:val="0"/>
      <w:divBdr>
        <w:top w:val="none" w:sz="0" w:space="0" w:color="auto"/>
        <w:left w:val="none" w:sz="0" w:space="0" w:color="auto"/>
        <w:bottom w:val="none" w:sz="0" w:space="0" w:color="auto"/>
        <w:right w:val="none" w:sz="0" w:space="0" w:color="auto"/>
      </w:divBdr>
    </w:div>
    <w:div w:id="53312652">
      <w:bodyDiv w:val="1"/>
      <w:marLeft w:val="0"/>
      <w:marRight w:val="0"/>
      <w:marTop w:val="0"/>
      <w:marBottom w:val="0"/>
      <w:divBdr>
        <w:top w:val="none" w:sz="0" w:space="0" w:color="auto"/>
        <w:left w:val="none" w:sz="0" w:space="0" w:color="auto"/>
        <w:bottom w:val="none" w:sz="0" w:space="0" w:color="auto"/>
        <w:right w:val="none" w:sz="0" w:space="0" w:color="auto"/>
      </w:divBdr>
    </w:div>
    <w:div w:id="66147832">
      <w:bodyDiv w:val="1"/>
      <w:marLeft w:val="0"/>
      <w:marRight w:val="0"/>
      <w:marTop w:val="0"/>
      <w:marBottom w:val="0"/>
      <w:divBdr>
        <w:top w:val="none" w:sz="0" w:space="0" w:color="auto"/>
        <w:left w:val="none" w:sz="0" w:space="0" w:color="auto"/>
        <w:bottom w:val="none" w:sz="0" w:space="0" w:color="auto"/>
        <w:right w:val="none" w:sz="0" w:space="0" w:color="auto"/>
      </w:divBdr>
    </w:div>
    <w:div w:id="77410057">
      <w:bodyDiv w:val="1"/>
      <w:marLeft w:val="0"/>
      <w:marRight w:val="0"/>
      <w:marTop w:val="0"/>
      <w:marBottom w:val="0"/>
      <w:divBdr>
        <w:top w:val="none" w:sz="0" w:space="0" w:color="auto"/>
        <w:left w:val="none" w:sz="0" w:space="0" w:color="auto"/>
        <w:bottom w:val="none" w:sz="0" w:space="0" w:color="auto"/>
        <w:right w:val="none" w:sz="0" w:space="0" w:color="auto"/>
      </w:divBdr>
    </w:div>
    <w:div w:id="104229585">
      <w:bodyDiv w:val="1"/>
      <w:marLeft w:val="0"/>
      <w:marRight w:val="0"/>
      <w:marTop w:val="0"/>
      <w:marBottom w:val="0"/>
      <w:divBdr>
        <w:top w:val="none" w:sz="0" w:space="0" w:color="auto"/>
        <w:left w:val="none" w:sz="0" w:space="0" w:color="auto"/>
        <w:bottom w:val="none" w:sz="0" w:space="0" w:color="auto"/>
        <w:right w:val="none" w:sz="0" w:space="0" w:color="auto"/>
      </w:divBdr>
    </w:div>
    <w:div w:id="129594697">
      <w:bodyDiv w:val="1"/>
      <w:marLeft w:val="0"/>
      <w:marRight w:val="0"/>
      <w:marTop w:val="0"/>
      <w:marBottom w:val="0"/>
      <w:divBdr>
        <w:top w:val="none" w:sz="0" w:space="0" w:color="auto"/>
        <w:left w:val="none" w:sz="0" w:space="0" w:color="auto"/>
        <w:bottom w:val="none" w:sz="0" w:space="0" w:color="auto"/>
        <w:right w:val="none" w:sz="0" w:space="0" w:color="auto"/>
      </w:divBdr>
      <w:divsChild>
        <w:div w:id="125204462">
          <w:marLeft w:val="0"/>
          <w:marRight w:val="0"/>
          <w:marTop w:val="0"/>
          <w:marBottom w:val="0"/>
          <w:divBdr>
            <w:top w:val="single" w:sz="2" w:space="0" w:color="D9D9E3"/>
            <w:left w:val="single" w:sz="2" w:space="0" w:color="D9D9E3"/>
            <w:bottom w:val="single" w:sz="2" w:space="0" w:color="D9D9E3"/>
            <w:right w:val="single" w:sz="2" w:space="0" w:color="D9D9E3"/>
          </w:divBdr>
          <w:divsChild>
            <w:div w:id="1458064666">
              <w:marLeft w:val="0"/>
              <w:marRight w:val="0"/>
              <w:marTop w:val="0"/>
              <w:marBottom w:val="0"/>
              <w:divBdr>
                <w:top w:val="single" w:sz="2" w:space="0" w:color="D9D9E3"/>
                <w:left w:val="single" w:sz="2" w:space="0" w:color="D9D9E3"/>
                <w:bottom w:val="single" w:sz="2" w:space="0" w:color="D9D9E3"/>
                <w:right w:val="single" w:sz="2" w:space="0" w:color="D9D9E3"/>
              </w:divBdr>
              <w:divsChild>
                <w:div w:id="1159661584">
                  <w:marLeft w:val="0"/>
                  <w:marRight w:val="0"/>
                  <w:marTop w:val="0"/>
                  <w:marBottom w:val="0"/>
                  <w:divBdr>
                    <w:top w:val="single" w:sz="2" w:space="0" w:color="D9D9E3"/>
                    <w:left w:val="single" w:sz="2" w:space="0" w:color="D9D9E3"/>
                    <w:bottom w:val="single" w:sz="2" w:space="0" w:color="D9D9E3"/>
                    <w:right w:val="single" w:sz="2" w:space="0" w:color="D9D9E3"/>
                  </w:divBdr>
                  <w:divsChild>
                    <w:div w:id="1896503334">
                      <w:marLeft w:val="0"/>
                      <w:marRight w:val="0"/>
                      <w:marTop w:val="0"/>
                      <w:marBottom w:val="0"/>
                      <w:divBdr>
                        <w:top w:val="single" w:sz="2" w:space="0" w:color="D9D9E3"/>
                        <w:left w:val="single" w:sz="2" w:space="0" w:color="D9D9E3"/>
                        <w:bottom w:val="single" w:sz="2" w:space="0" w:color="D9D9E3"/>
                        <w:right w:val="single" w:sz="2" w:space="0" w:color="D9D9E3"/>
                      </w:divBdr>
                      <w:divsChild>
                        <w:div w:id="376321367">
                          <w:marLeft w:val="0"/>
                          <w:marRight w:val="0"/>
                          <w:marTop w:val="0"/>
                          <w:marBottom w:val="0"/>
                          <w:divBdr>
                            <w:top w:val="single" w:sz="2" w:space="0" w:color="D9D9E3"/>
                            <w:left w:val="single" w:sz="2" w:space="0" w:color="D9D9E3"/>
                            <w:bottom w:val="single" w:sz="2" w:space="0" w:color="D9D9E3"/>
                            <w:right w:val="single" w:sz="2" w:space="0" w:color="D9D9E3"/>
                          </w:divBdr>
                          <w:divsChild>
                            <w:div w:id="245070243">
                              <w:marLeft w:val="0"/>
                              <w:marRight w:val="0"/>
                              <w:marTop w:val="100"/>
                              <w:marBottom w:val="100"/>
                              <w:divBdr>
                                <w:top w:val="single" w:sz="2" w:space="0" w:color="D9D9E3"/>
                                <w:left w:val="single" w:sz="2" w:space="0" w:color="D9D9E3"/>
                                <w:bottom w:val="single" w:sz="2" w:space="0" w:color="D9D9E3"/>
                                <w:right w:val="single" w:sz="2" w:space="0" w:color="D9D9E3"/>
                              </w:divBdr>
                              <w:divsChild>
                                <w:div w:id="1826580921">
                                  <w:marLeft w:val="0"/>
                                  <w:marRight w:val="0"/>
                                  <w:marTop w:val="0"/>
                                  <w:marBottom w:val="0"/>
                                  <w:divBdr>
                                    <w:top w:val="single" w:sz="2" w:space="0" w:color="D9D9E3"/>
                                    <w:left w:val="single" w:sz="2" w:space="0" w:color="D9D9E3"/>
                                    <w:bottom w:val="single" w:sz="2" w:space="0" w:color="D9D9E3"/>
                                    <w:right w:val="single" w:sz="2" w:space="0" w:color="D9D9E3"/>
                                  </w:divBdr>
                                  <w:divsChild>
                                    <w:div w:id="2044817375">
                                      <w:marLeft w:val="0"/>
                                      <w:marRight w:val="0"/>
                                      <w:marTop w:val="0"/>
                                      <w:marBottom w:val="0"/>
                                      <w:divBdr>
                                        <w:top w:val="single" w:sz="2" w:space="0" w:color="D9D9E3"/>
                                        <w:left w:val="single" w:sz="2" w:space="0" w:color="D9D9E3"/>
                                        <w:bottom w:val="single" w:sz="2" w:space="0" w:color="D9D9E3"/>
                                        <w:right w:val="single" w:sz="2" w:space="0" w:color="D9D9E3"/>
                                      </w:divBdr>
                                      <w:divsChild>
                                        <w:div w:id="1125734039">
                                          <w:marLeft w:val="0"/>
                                          <w:marRight w:val="0"/>
                                          <w:marTop w:val="0"/>
                                          <w:marBottom w:val="0"/>
                                          <w:divBdr>
                                            <w:top w:val="single" w:sz="2" w:space="0" w:color="D9D9E3"/>
                                            <w:left w:val="single" w:sz="2" w:space="0" w:color="D9D9E3"/>
                                            <w:bottom w:val="single" w:sz="2" w:space="0" w:color="D9D9E3"/>
                                            <w:right w:val="single" w:sz="2" w:space="0" w:color="D9D9E3"/>
                                          </w:divBdr>
                                          <w:divsChild>
                                            <w:div w:id="1998419518">
                                              <w:marLeft w:val="0"/>
                                              <w:marRight w:val="0"/>
                                              <w:marTop w:val="0"/>
                                              <w:marBottom w:val="0"/>
                                              <w:divBdr>
                                                <w:top w:val="single" w:sz="2" w:space="0" w:color="D9D9E3"/>
                                                <w:left w:val="single" w:sz="2" w:space="0" w:color="D9D9E3"/>
                                                <w:bottom w:val="single" w:sz="2" w:space="0" w:color="D9D9E3"/>
                                                <w:right w:val="single" w:sz="2" w:space="0" w:color="D9D9E3"/>
                                              </w:divBdr>
                                              <w:divsChild>
                                                <w:div w:id="1957522279">
                                                  <w:marLeft w:val="0"/>
                                                  <w:marRight w:val="0"/>
                                                  <w:marTop w:val="0"/>
                                                  <w:marBottom w:val="0"/>
                                                  <w:divBdr>
                                                    <w:top w:val="single" w:sz="2" w:space="0" w:color="D9D9E3"/>
                                                    <w:left w:val="single" w:sz="2" w:space="0" w:color="D9D9E3"/>
                                                    <w:bottom w:val="single" w:sz="2" w:space="0" w:color="D9D9E3"/>
                                                    <w:right w:val="single" w:sz="2" w:space="0" w:color="D9D9E3"/>
                                                  </w:divBdr>
                                                  <w:divsChild>
                                                    <w:div w:id="112800745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628393708">
          <w:marLeft w:val="0"/>
          <w:marRight w:val="0"/>
          <w:marTop w:val="0"/>
          <w:marBottom w:val="0"/>
          <w:divBdr>
            <w:top w:val="none" w:sz="0" w:space="0" w:color="auto"/>
            <w:left w:val="none" w:sz="0" w:space="0" w:color="auto"/>
            <w:bottom w:val="none" w:sz="0" w:space="0" w:color="auto"/>
            <w:right w:val="none" w:sz="0" w:space="0" w:color="auto"/>
          </w:divBdr>
        </w:div>
      </w:divsChild>
    </w:div>
    <w:div w:id="167601722">
      <w:bodyDiv w:val="1"/>
      <w:marLeft w:val="0"/>
      <w:marRight w:val="0"/>
      <w:marTop w:val="0"/>
      <w:marBottom w:val="0"/>
      <w:divBdr>
        <w:top w:val="none" w:sz="0" w:space="0" w:color="auto"/>
        <w:left w:val="none" w:sz="0" w:space="0" w:color="auto"/>
        <w:bottom w:val="none" w:sz="0" w:space="0" w:color="auto"/>
        <w:right w:val="none" w:sz="0" w:space="0" w:color="auto"/>
      </w:divBdr>
      <w:divsChild>
        <w:div w:id="1778862790">
          <w:marLeft w:val="0"/>
          <w:marRight w:val="0"/>
          <w:marTop w:val="0"/>
          <w:marBottom w:val="0"/>
          <w:divBdr>
            <w:top w:val="single" w:sz="2" w:space="0" w:color="D9D9E3"/>
            <w:left w:val="single" w:sz="2" w:space="0" w:color="D9D9E3"/>
            <w:bottom w:val="single" w:sz="2" w:space="0" w:color="D9D9E3"/>
            <w:right w:val="single" w:sz="2" w:space="0" w:color="D9D9E3"/>
          </w:divBdr>
          <w:divsChild>
            <w:div w:id="1293174358">
              <w:marLeft w:val="0"/>
              <w:marRight w:val="0"/>
              <w:marTop w:val="0"/>
              <w:marBottom w:val="0"/>
              <w:divBdr>
                <w:top w:val="single" w:sz="2" w:space="0" w:color="D9D9E3"/>
                <w:left w:val="single" w:sz="2" w:space="0" w:color="D9D9E3"/>
                <w:bottom w:val="single" w:sz="2" w:space="0" w:color="D9D9E3"/>
                <w:right w:val="single" w:sz="2" w:space="0" w:color="D9D9E3"/>
              </w:divBdr>
              <w:divsChild>
                <w:div w:id="1624771019">
                  <w:marLeft w:val="0"/>
                  <w:marRight w:val="0"/>
                  <w:marTop w:val="0"/>
                  <w:marBottom w:val="0"/>
                  <w:divBdr>
                    <w:top w:val="single" w:sz="2" w:space="0" w:color="D9D9E3"/>
                    <w:left w:val="single" w:sz="2" w:space="0" w:color="D9D9E3"/>
                    <w:bottom w:val="single" w:sz="2" w:space="0" w:color="D9D9E3"/>
                    <w:right w:val="single" w:sz="2" w:space="0" w:color="D9D9E3"/>
                  </w:divBdr>
                  <w:divsChild>
                    <w:div w:id="2139374983">
                      <w:marLeft w:val="0"/>
                      <w:marRight w:val="0"/>
                      <w:marTop w:val="0"/>
                      <w:marBottom w:val="0"/>
                      <w:divBdr>
                        <w:top w:val="single" w:sz="2" w:space="0" w:color="D9D9E3"/>
                        <w:left w:val="single" w:sz="2" w:space="0" w:color="D9D9E3"/>
                        <w:bottom w:val="single" w:sz="2" w:space="0" w:color="D9D9E3"/>
                        <w:right w:val="single" w:sz="2" w:space="0" w:color="D9D9E3"/>
                      </w:divBdr>
                      <w:divsChild>
                        <w:div w:id="680622118">
                          <w:marLeft w:val="0"/>
                          <w:marRight w:val="0"/>
                          <w:marTop w:val="0"/>
                          <w:marBottom w:val="0"/>
                          <w:divBdr>
                            <w:top w:val="single" w:sz="2" w:space="0" w:color="D9D9E3"/>
                            <w:left w:val="single" w:sz="2" w:space="0" w:color="D9D9E3"/>
                            <w:bottom w:val="single" w:sz="2" w:space="0" w:color="D9D9E3"/>
                            <w:right w:val="single" w:sz="2" w:space="0" w:color="D9D9E3"/>
                          </w:divBdr>
                          <w:divsChild>
                            <w:div w:id="1100953198">
                              <w:marLeft w:val="0"/>
                              <w:marRight w:val="0"/>
                              <w:marTop w:val="100"/>
                              <w:marBottom w:val="100"/>
                              <w:divBdr>
                                <w:top w:val="single" w:sz="2" w:space="0" w:color="D9D9E3"/>
                                <w:left w:val="single" w:sz="2" w:space="0" w:color="D9D9E3"/>
                                <w:bottom w:val="single" w:sz="2" w:space="0" w:color="D9D9E3"/>
                                <w:right w:val="single" w:sz="2" w:space="0" w:color="D9D9E3"/>
                              </w:divBdr>
                              <w:divsChild>
                                <w:div w:id="1991707620">
                                  <w:marLeft w:val="0"/>
                                  <w:marRight w:val="0"/>
                                  <w:marTop w:val="0"/>
                                  <w:marBottom w:val="0"/>
                                  <w:divBdr>
                                    <w:top w:val="single" w:sz="2" w:space="0" w:color="D9D9E3"/>
                                    <w:left w:val="single" w:sz="2" w:space="0" w:color="D9D9E3"/>
                                    <w:bottom w:val="single" w:sz="2" w:space="0" w:color="D9D9E3"/>
                                    <w:right w:val="single" w:sz="2" w:space="0" w:color="D9D9E3"/>
                                  </w:divBdr>
                                  <w:divsChild>
                                    <w:div w:id="2078942684">
                                      <w:marLeft w:val="0"/>
                                      <w:marRight w:val="0"/>
                                      <w:marTop w:val="0"/>
                                      <w:marBottom w:val="0"/>
                                      <w:divBdr>
                                        <w:top w:val="single" w:sz="2" w:space="0" w:color="D9D9E3"/>
                                        <w:left w:val="single" w:sz="2" w:space="0" w:color="D9D9E3"/>
                                        <w:bottom w:val="single" w:sz="2" w:space="0" w:color="D9D9E3"/>
                                        <w:right w:val="single" w:sz="2" w:space="0" w:color="D9D9E3"/>
                                      </w:divBdr>
                                      <w:divsChild>
                                        <w:div w:id="1562322803">
                                          <w:marLeft w:val="0"/>
                                          <w:marRight w:val="0"/>
                                          <w:marTop w:val="0"/>
                                          <w:marBottom w:val="0"/>
                                          <w:divBdr>
                                            <w:top w:val="single" w:sz="2" w:space="0" w:color="D9D9E3"/>
                                            <w:left w:val="single" w:sz="2" w:space="0" w:color="D9D9E3"/>
                                            <w:bottom w:val="single" w:sz="2" w:space="0" w:color="D9D9E3"/>
                                            <w:right w:val="single" w:sz="2" w:space="0" w:color="D9D9E3"/>
                                          </w:divBdr>
                                          <w:divsChild>
                                            <w:div w:id="1953974736">
                                              <w:marLeft w:val="0"/>
                                              <w:marRight w:val="0"/>
                                              <w:marTop w:val="0"/>
                                              <w:marBottom w:val="0"/>
                                              <w:divBdr>
                                                <w:top w:val="single" w:sz="2" w:space="0" w:color="D9D9E3"/>
                                                <w:left w:val="single" w:sz="2" w:space="0" w:color="D9D9E3"/>
                                                <w:bottom w:val="single" w:sz="2" w:space="0" w:color="D9D9E3"/>
                                                <w:right w:val="single" w:sz="2" w:space="0" w:color="D9D9E3"/>
                                              </w:divBdr>
                                              <w:divsChild>
                                                <w:div w:id="567960482">
                                                  <w:marLeft w:val="0"/>
                                                  <w:marRight w:val="0"/>
                                                  <w:marTop w:val="0"/>
                                                  <w:marBottom w:val="0"/>
                                                  <w:divBdr>
                                                    <w:top w:val="single" w:sz="2" w:space="0" w:color="D9D9E3"/>
                                                    <w:left w:val="single" w:sz="2" w:space="0" w:color="D9D9E3"/>
                                                    <w:bottom w:val="single" w:sz="2" w:space="0" w:color="D9D9E3"/>
                                                    <w:right w:val="single" w:sz="2" w:space="0" w:color="D9D9E3"/>
                                                  </w:divBdr>
                                                  <w:divsChild>
                                                    <w:div w:id="145930380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018509940">
          <w:marLeft w:val="0"/>
          <w:marRight w:val="0"/>
          <w:marTop w:val="0"/>
          <w:marBottom w:val="0"/>
          <w:divBdr>
            <w:top w:val="none" w:sz="0" w:space="0" w:color="auto"/>
            <w:left w:val="none" w:sz="0" w:space="0" w:color="auto"/>
            <w:bottom w:val="none" w:sz="0" w:space="0" w:color="auto"/>
            <w:right w:val="none" w:sz="0" w:space="0" w:color="auto"/>
          </w:divBdr>
        </w:div>
      </w:divsChild>
    </w:div>
    <w:div w:id="206527179">
      <w:bodyDiv w:val="1"/>
      <w:marLeft w:val="0"/>
      <w:marRight w:val="0"/>
      <w:marTop w:val="0"/>
      <w:marBottom w:val="0"/>
      <w:divBdr>
        <w:top w:val="none" w:sz="0" w:space="0" w:color="auto"/>
        <w:left w:val="none" w:sz="0" w:space="0" w:color="auto"/>
        <w:bottom w:val="none" w:sz="0" w:space="0" w:color="auto"/>
        <w:right w:val="none" w:sz="0" w:space="0" w:color="auto"/>
      </w:divBdr>
      <w:divsChild>
        <w:div w:id="1821654969">
          <w:marLeft w:val="0"/>
          <w:marRight w:val="0"/>
          <w:marTop w:val="0"/>
          <w:marBottom w:val="0"/>
          <w:divBdr>
            <w:top w:val="single" w:sz="2" w:space="0" w:color="D9D9E3"/>
            <w:left w:val="single" w:sz="2" w:space="0" w:color="D9D9E3"/>
            <w:bottom w:val="single" w:sz="2" w:space="0" w:color="D9D9E3"/>
            <w:right w:val="single" w:sz="2" w:space="0" w:color="D9D9E3"/>
          </w:divBdr>
          <w:divsChild>
            <w:div w:id="805897993">
              <w:marLeft w:val="0"/>
              <w:marRight w:val="0"/>
              <w:marTop w:val="0"/>
              <w:marBottom w:val="0"/>
              <w:divBdr>
                <w:top w:val="single" w:sz="2" w:space="0" w:color="D9D9E3"/>
                <w:left w:val="single" w:sz="2" w:space="0" w:color="D9D9E3"/>
                <w:bottom w:val="single" w:sz="2" w:space="0" w:color="D9D9E3"/>
                <w:right w:val="single" w:sz="2" w:space="0" w:color="D9D9E3"/>
              </w:divBdr>
              <w:divsChild>
                <w:div w:id="1207181616">
                  <w:marLeft w:val="0"/>
                  <w:marRight w:val="0"/>
                  <w:marTop w:val="0"/>
                  <w:marBottom w:val="0"/>
                  <w:divBdr>
                    <w:top w:val="single" w:sz="2" w:space="0" w:color="D9D9E3"/>
                    <w:left w:val="single" w:sz="2" w:space="0" w:color="D9D9E3"/>
                    <w:bottom w:val="single" w:sz="2" w:space="0" w:color="D9D9E3"/>
                    <w:right w:val="single" w:sz="2" w:space="0" w:color="D9D9E3"/>
                  </w:divBdr>
                  <w:divsChild>
                    <w:div w:id="1492521777">
                      <w:marLeft w:val="0"/>
                      <w:marRight w:val="0"/>
                      <w:marTop w:val="0"/>
                      <w:marBottom w:val="0"/>
                      <w:divBdr>
                        <w:top w:val="single" w:sz="2" w:space="0" w:color="D9D9E3"/>
                        <w:left w:val="single" w:sz="2" w:space="0" w:color="D9D9E3"/>
                        <w:bottom w:val="single" w:sz="2" w:space="0" w:color="D9D9E3"/>
                        <w:right w:val="single" w:sz="2" w:space="0" w:color="D9D9E3"/>
                      </w:divBdr>
                      <w:divsChild>
                        <w:div w:id="850801036">
                          <w:marLeft w:val="0"/>
                          <w:marRight w:val="0"/>
                          <w:marTop w:val="0"/>
                          <w:marBottom w:val="0"/>
                          <w:divBdr>
                            <w:top w:val="single" w:sz="2" w:space="0" w:color="D9D9E3"/>
                            <w:left w:val="single" w:sz="2" w:space="0" w:color="D9D9E3"/>
                            <w:bottom w:val="single" w:sz="2" w:space="0" w:color="D9D9E3"/>
                            <w:right w:val="single" w:sz="2" w:space="0" w:color="D9D9E3"/>
                          </w:divBdr>
                          <w:divsChild>
                            <w:div w:id="517887490">
                              <w:marLeft w:val="0"/>
                              <w:marRight w:val="0"/>
                              <w:marTop w:val="100"/>
                              <w:marBottom w:val="100"/>
                              <w:divBdr>
                                <w:top w:val="single" w:sz="2" w:space="0" w:color="D9D9E3"/>
                                <w:left w:val="single" w:sz="2" w:space="0" w:color="D9D9E3"/>
                                <w:bottom w:val="single" w:sz="2" w:space="0" w:color="D9D9E3"/>
                                <w:right w:val="single" w:sz="2" w:space="0" w:color="D9D9E3"/>
                              </w:divBdr>
                              <w:divsChild>
                                <w:div w:id="933854851">
                                  <w:marLeft w:val="0"/>
                                  <w:marRight w:val="0"/>
                                  <w:marTop w:val="0"/>
                                  <w:marBottom w:val="0"/>
                                  <w:divBdr>
                                    <w:top w:val="single" w:sz="2" w:space="0" w:color="D9D9E3"/>
                                    <w:left w:val="single" w:sz="2" w:space="0" w:color="D9D9E3"/>
                                    <w:bottom w:val="single" w:sz="2" w:space="0" w:color="D9D9E3"/>
                                    <w:right w:val="single" w:sz="2" w:space="0" w:color="D9D9E3"/>
                                  </w:divBdr>
                                  <w:divsChild>
                                    <w:div w:id="1593467188">
                                      <w:marLeft w:val="0"/>
                                      <w:marRight w:val="0"/>
                                      <w:marTop w:val="0"/>
                                      <w:marBottom w:val="0"/>
                                      <w:divBdr>
                                        <w:top w:val="single" w:sz="2" w:space="0" w:color="D9D9E3"/>
                                        <w:left w:val="single" w:sz="2" w:space="0" w:color="D9D9E3"/>
                                        <w:bottom w:val="single" w:sz="2" w:space="0" w:color="D9D9E3"/>
                                        <w:right w:val="single" w:sz="2" w:space="0" w:color="D9D9E3"/>
                                      </w:divBdr>
                                      <w:divsChild>
                                        <w:div w:id="463355120">
                                          <w:marLeft w:val="0"/>
                                          <w:marRight w:val="0"/>
                                          <w:marTop w:val="0"/>
                                          <w:marBottom w:val="0"/>
                                          <w:divBdr>
                                            <w:top w:val="single" w:sz="2" w:space="0" w:color="D9D9E3"/>
                                            <w:left w:val="single" w:sz="2" w:space="0" w:color="D9D9E3"/>
                                            <w:bottom w:val="single" w:sz="2" w:space="0" w:color="D9D9E3"/>
                                            <w:right w:val="single" w:sz="2" w:space="0" w:color="D9D9E3"/>
                                          </w:divBdr>
                                          <w:divsChild>
                                            <w:div w:id="489252318">
                                              <w:marLeft w:val="0"/>
                                              <w:marRight w:val="0"/>
                                              <w:marTop w:val="0"/>
                                              <w:marBottom w:val="0"/>
                                              <w:divBdr>
                                                <w:top w:val="single" w:sz="2" w:space="0" w:color="D9D9E3"/>
                                                <w:left w:val="single" w:sz="2" w:space="0" w:color="D9D9E3"/>
                                                <w:bottom w:val="single" w:sz="2" w:space="0" w:color="D9D9E3"/>
                                                <w:right w:val="single" w:sz="2" w:space="0" w:color="D9D9E3"/>
                                              </w:divBdr>
                                              <w:divsChild>
                                                <w:div w:id="78336130">
                                                  <w:marLeft w:val="0"/>
                                                  <w:marRight w:val="0"/>
                                                  <w:marTop w:val="0"/>
                                                  <w:marBottom w:val="0"/>
                                                  <w:divBdr>
                                                    <w:top w:val="single" w:sz="2" w:space="0" w:color="D9D9E3"/>
                                                    <w:left w:val="single" w:sz="2" w:space="0" w:color="D9D9E3"/>
                                                    <w:bottom w:val="single" w:sz="2" w:space="0" w:color="D9D9E3"/>
                                                    <w:right w:val="single" w:sz="2" w:space="0" w:color="D9D9E3"/>
                                                  </w:divBdr>
                                                  <w:divsChild>
                                                    <w:div w:id="190063147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792044443">
          <w:marLeft w:val="0"/>
          <w:marRight w:val="0"/>
          <w:marTop w:val="0"/>
          <w:marBottom w:val="0"/>
          <w:divBdr>
            <w:top w:val="none" w:sz="0" w:space="0" w:color="auto"/>
            <w:left w:val="none" w:sz="0" w:space="0" w:color="auto"/>
            <w:bottom w:val="none" w:sz="0" w:space="0" w:color="auto"/>
            <w:right w:val="none" w:sz="0" w:space="0" w:color="auto"/>
          </w:divBdr>
        </w:div>
      </w:divsChild>
    </w:div>
    <w:div w:id="233706345">
      <w:bodyDiv w:val="1"/>
      <w:marLeft w:val="0"/>
      <w:marRight w:val="0"/>
      <w:marTop w:val="0"/>
      <w:marBottom w:val="0"/>
      <w:divBdr>
        <w:top w:val="none" w:sz="0" w:space="0" w:color="auto"/>
        <w:left w:val="none" w:sz="0" w:space="0" w:color="auto"/>
        <w:bottom w:val="none" w:sz="0" w:space="0" w:color="auto"/>
        <w:right w:val="none" w:sz="0" w:space="0" w:color="auto"/>
      </w:divBdr>
    </w:div>
    <w:div w:id="264077253">
      <w:bodyDiv w:val="1"/>
      <w:marLeft w:val="0"/>
      <w:marRight w:val="0"/>
      <w:marTop w:val="0"/>
      <w:marBottom w:val="0"/>
      <w:divBdr>
        <w:top w:val="none" w:sz="0" w:space="0" w:color="auto"/>
        <w:left w:val="none" w:sz="0" w:space="0" w:color="auto"/>
        <w:bottom w:val="none" w:sz="0" w:space="0" w:color="auto"/>
        <w:right w:val="none" w:sz="0" w:space="0" w:color="auto"/>
      </w:divBdr>
    </w:div>
    <w:div w:id="288097750">
      <w:bodyDiv w:val="1"/>
      <w:marLeft w:val="0"/>
      <w:marRight w:val="0"/>
      <w:marTop w:val="0"/>
      <w:marBottom w:val="0"/>
      <w:divBdr>
        <w:top w:val="none" w:sz="0" w:space="0" w:color="auto"/>
        <w:left w:val="none" w:sz="0" w:space="0" w:color="auto"/>
        <w:bottom w:val="none" w:sz="0" w:space="0" w:color="auto"/>
        <w:right w:val="none" w:sz="0" w:space="0" w:color="auto"/>
      </w:divBdr>
      <w:divsChild>
        <w:div w:id="1618871455">
          <w:marLeft w:val="0"/>
          <w:marRight w:val="0"/>
          <w:marTop w:val="0"/>
          <w:marBottom w:val="0"/>
          <w:divBdr>
            <w:top w:val="single" w:sz="2" w:space="0" w:color="D9D9E3"/>
            <w:left w:val="single" w:sz="2" w:space="0" w:color="D9D9E3"/>
            <w:bottom w:val="single" w:sz="2" w:space="0" w:color="D9D9E3"/>
            <w:right w:val="single" w:sz="2" w:space="0" w:color="D9D9E3"/>
          </w:divBdr>
          <w:divsChild>
            <w:div w:id="1480683020">
              <w:marLeft w:val="0"/>
              <w:marRight w:val="0"/>
              <w:marTop w:val="0"/>
              <w:marBottom w:val="0"/>
              <w:divBdr>
                <w:top w:val="single" w:sz="2" w:space="0" w:color="D9D9E3"/>
                <w:left w:val="single" w:sz="2" w:space="0" w:color="D9D9E3"/>
                <w:bottom w:val="single" w:sz="2" w:space="0" w:color="D9D9E3"/>
                <w:right w:val="single" w:sz="2" w:space="0" w:color="D9D9E3"/>
              </w:divBdr>
              <w:divsChild>
                <w:div w:id="653532598">
                  <w:marLeft w:val="0"/>
                  <w:marRight w:val="0"/>
                  <w:marTop w:val="0"/>
                  <w:marBottom w:val="0"/>
                  <w:divBdr>
                    <w:top w:val="single" w:sz="2" w:space="0" w:color="D9D9E3"/>
                    <w:left w:val="single" w:sz="2" w:space="0" w:color="D9D9E3"/>
                    <w:bottom w:val="single" w:sz="2" w:space="0" w:color="D9D9E3"/>
                    <w:right w:val="single" w:sz="2" w:space="0" w:color="D9D9E3"/>
                  </w:divBdr>
                  <w:divsChild>
                    <w:div w:id="1657343438">
                      <w:marLeft w:val="0"/>
                      <w:marRight w:val="0"/>
                      <w:marTop w:val="0"/>
                      <w:marBottom w:val="0"/>
                      <w:divBdr>
                        <w:top w:val="single" w:sz="2" w:space="0" w:color="D9D9E3"/>
                        <w:left w:val="single" w:sz="2" w:space="0" w:color="D9D9E3"/>
                        <w:bottom w:val="single" w:sz="2" w:space="0" w:color="D9D9E3"/>
                        <w:right w:val="single" w:sz="2" w:space="0" w:color="D9D9E3"/>
                      </w:divBdr>
                      <w:divsChild>
                        <w:div w:id="298074142">
                          <w:marLeft w:val="0"/>
                          <w:marRight w:val="0"/>
                          <w:marTop w:val="0"/>
                          <w:marBottom w:val="0"/>
                          <w:divBdr>
                            <w:top w:val="single" w:sz="2" w:space="0" w:color="D9D9E3"/>
                            <w:left w:val="single" w:sz="2" w:space="0" w:color="D9D9E3"/>
                            <w:bottom w:val="single" w:sz="2" w:space="0" w:color="D9D9E3"/>
                            <w:right w:val="single" w:sz="2" w:space="0" w:color="D9D9E3"/>
                          </w:divBdr>
                          <w:divsChild>
                            <w:div w:id="1052391859">
                              <w:marLeft w:val="0"/>
                              <w:marRight w:val="0"/>
                              <w:marTop w:val="100"/>
                              <w:marBottom w:val="100"/>
                              <w:divBdr>
                                <w:top w:val="single" w:sz="2" w:space="0" w:color="D9D9E3"/>
                                <w:left w:val="single" w:sz="2" w:space="0" w:color="D9D9E3"/>
                                <w:bottom w:val="single" w:sz="2" w:space="0" w:color="D9D9E3"/>
                                <w:right w:val="single" w:sz="2" w:space="0" w:color="D9D9E3"/>
                              </w:divBdr>
                              <w:divsChild>
                                <w:div w:id="347830018">
                                  <w:marLeft w:val="0"/>
                                  <w:marRight w:val="0"/>
                                  <w:marTop w:val="0"/>
                                  <w:marBottom w:val="0"/>
                                  <w:divBdr>
                                    <w:top w:val="single" w:sz="2" w:space="0" w:color="D9D9E3"/>
                                    <w:left w:val="single" w:sz="2" w:space="0" w:color="D9D9E3"/>
                                    <w:bottom w:val="single" w:sz="2" w:space="0" w:color="D9D9E3"/>
                                    <w:right w:val="single" w:sz="2" w:space="0" w:color="D9D9E3"/>
                                  </w:divBdr>
                                  <w:divsChild>
                                    <w:div w:id="164630473">
                                      <w:marLeft w:val="0"/>
                                      <w:marRight w:val="0"/>
                                      <w:marTop w:val="0"/>
                                      <w:marBottom w:val="0"/>
                                      <w:divBdr>
                                        <w:top w:val="single" w:sz="2" w:space="0" w:color="D9D9E3"/>
                                        <w:left w:val="single" w:sz="2" w:space="0" w:color="D9D9E3"/>
                                        <w:bottom w:val="single" w:sz="2" w:space="0" w:color="D9D9E3"/>
                                        <w:right w:val="single" w:sz="2" w:space="0" w:color="D9D9E3"/>
                                      </w:divBdr>
                                      <w:divsChild>
                                        <w:div w:id="49813045">
                                          <w:marLeft w:val="0"/>
                                          <w:marRight w:val="0"/>
                                          <w:marTop w:val="0"/>
                                          <w:marBottom w:val="0"/>
                                          <w:divBdr>
                                            <w:top w:val="single" w:sz="2" w:space="0" w:color="D9D9E3"/>
                                            <w:left w:val="single" w:sz="2" w:space="0" w:color="D9D9E3"/>
                                            <w:bottom w:val="single" w:sz="2" w:space="0" w:color="D9D9E3"/>
                                            <w:right w:val="single" w:sz="2" w:space="0" w:color="D9D9E3"/>
                                          </w:divBdr>
                                          <w:divsChild>
                                            <w:div w:id="919604041">
                                              <w:marLeft w:val="0"/>
                                              <w:marRight w:val="0"/>
                                              <w:marTop w:val="0"/>
                                              <w:marBottom w:val="0"/>
                                              <w:divBdr>
                                                <w:top w:val="single" w:sz="2" w:space="0" w:color="D9D9E3"/>
                                                <w:left w:val="single" w:sz="2" w:space="0" w:color="D9D9E3"/>
                                                <w:bottom w:val="single" w:sz="2" w:space="0" w:color="D9D9E3"/>
                                                <w:right w:val="single" w:sz="2" w:space="0" w:color="D9D9E3"/>
                                              </w:divBdr>
                                              <w:divsChild>
                                                <w:div w:id="675964523">
                                                  <w:marLeft w:val="0"/>
                                                  <w:marRight w:val="0"/>
                                                  <w:marTop w:val="0"/>
                                                  <w:marBottom w:val="0"/>
                                                  <w:divBdr>
                                                    <w:top w:val="single" w:sz="2" w:space="0" w:color="D9D9E3"/>
                                                    <w:left w:val="single" w:sz="2" w:space="0" w:color="D9D9E3"/>
                                                    <w:bottom w:val="single" w:sz="2" w:space="0" w:color="D9D9E3"/>
                                                    <w:right w:val="single" w:sz="2" w:space="0" w:color="D9D9E3"/>
                                                  </w:divBdr>
                                                  <w:divsChild>
                                                    <w:div w:id="96307385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549999236">
          <w:marLeft w:val="0"/>
          <w:marRight w:val="0"/>
          <w:marTop w:val="0"/>
          <w:marBottom w:val="0"/>
          <w:divBdr>
            <w:top w:val="none" w:sz="0" w:space="0" w:color="auto"/>
            <w:left w:val="none" w:sz="0" w:space="0" w:color="auto"/>
            <w:bottom w:val="none" w:sz="0" w:space="0" w:color="auto"/>
            <w:right w:val="none" w:sz="0" w:space="0" w:color="auto"/>
          </w:divBdr>
        </w:div>
      </w:divsChild>
    </w:div>
    <w:div w:id="344788333">
      <w:bodyDiv w:val="1"/>
      <w:marLeft w:val="0"/>
      <w:marRight w:val="0"/>
      <w:marTop w:val="0"/>
      <w:marBottom w:val="0"/>
      <w:divBdr>
        <w:top w:val="none" w:sz="0" w:space="0" w:color="auto"/>
        <w:left w:val="none" w:sz="0" w:space="0" w:color="auto"/>
        <w:bottom w:val="none" w:sz="0" w:space="0" w:color="auto"/>
        <w:right w:val="none" w:sz="0" w:space="0" w:color="auto"/>
      </w:divBdr>
      <w:divsChild>
        <w:div w:id="1108281553">
          <w:marLeft w:val="0"/>
          <w:marRight w:val="0"/>
          <w:marTop w:val="0"/>
          <w:marBottom w:val="0"/>
          <w:divBdr>
            <w:top w:val="single" w:sz="2" w:space="0" w:color="D9D9E3"/>
            <w:left w:val="single" w:sz="2" w:space="0" w:color="D9D9E3"/>
            <w:bottom w:val="single" w:sz="2" w:space="0" w:color="D9D9E3"/>
            <w:right w:val="single" w:sz="2" w:space="0" w:color="D9D9E3"/>
          </w:divBdr>
          <w:divsChild>
            <w:div w:id="698969451">
              <w:marLeft w:val="0"/>
              <w:marRight w:val="0"/>
              <w:marTop w:val="0"/>
              <w:marBottom w:val="0"/>
              <w:divBdr>
                <w:top w:val="single" w:sz="2" w:space="0" w:color="D9D9E3"/>
                <w:left w:val="single" w:sz="2" w:space="0" w:color="D9D9E3"/>
                <w:bottom w:val="single" w:sz="2" w:space="0" w:color="D9D9E3"/>
                <w:right w:val="single" w:sz="2" w:space="0" w:color="D9D9E3"/>
              </w:divBdr>
              <w:divsChild>
                <w:div w:id="857353991">
                  <w:marLeft w:val="0"/>
                  <w:marRight w:val="0"/>
                  <w:marTop w:val="0"/>
                  <w:marBottom w:val="0"/>
                  <w:divBdr>
                    <w:top w:val="single" w:sz="2" w:space="0" w:color="D9D9E3"/>
                    <w:left w:val="single" w:sz="2" w:space="0" w:color="D9D9E3"/>
                    <w:bottom w:val="single" w:sz="2" w:space="0" w:color="D9D9E3"/>
                    <w:right w:val="single" w:sz="2" w:space="0" w:color="D9D9E3"/>
                  </w:divBdr>
                  <w:divsChild>
                    <w:div w:id="2102725427">
                      <w:marLeft w:val="0"/>
                      <w:marRight w:val="0"/>
                      <w:marTop w:val="0"/>
                      <w:marBottom w:val="0"/>
                      <w:divBdr>
                        <w:top w:val="single" w:sz="2" w:space="0" w:color="D9D9E3"/>
                        <w:left w:val="single" w:sz="2" w:space="0" w:color="D9D9E3"/>
                        <w:bottom w:val="single" w:sz="2" w:space="0" w:color="D9D9E3"/>
                        <w:right w:val="single" w:sz="2" w:space="0" w:color="D9D9E3"/>
                      </w:divBdr>
                      <w:divsChild>
                        <w:div w:id="1268081861">
                          <w:marLeft w:val="0"/>
                          <w:marRight w:val="0"/>
                          <w:marTop w:val="0"/>
                          <w:marBottom w:val="0"/>
                          <w:divBdr>
                            <w:top w:val="single" w:sz="2" w:space="0" w:color="D9D9E3"/>
                            <w:left w:val="single" w:sz="2" w:space="0" w:color="D9D9E3"/>
                            <w:bottom w:val="single" w:sz="2" w:space="0" w:color="D9D9E3"/>
                            <w:right w:val="single" w:sz="2" w:space="0" w:color="D9D9E3"/>
                          </w:divBdr>
                          <w:divsChild>
                            <w:div w:id="1671522690">
                              <w:marLeft w:val="0"/>
                              <w:marRight w:val="0"/>
                              <w:marTop w:val="100"/>
                              <w:marBottom w:val="100"/>
                              <w:divBdr>
                                <w:top w:val="single" w:sz="2" w:space="0" w:color="D9D9E3"/>
                                <w:left w:val="single" w:sz="2" w:space="0" w:color="D9D9E3"/>
                                <w:bottom w:val="single" w:sz="2" w:space="0" w:color="D9D9E3"/>
                                <w:right w:val="single" w:sz="2" w:space="0" w:color="D9D9E3"/>
                              </w:divBdr>
                              <w:divsChild>
                                <w:div w:id="1442918786">
                                  <w:marLeft w:val="0"/>
                                  <w:marRight w:val="0"/>
                                  <w:marTop w:val="0"/>
                                  <w:marBottom w:val="0"/>
                                  <w:divBdr>
                                    <w:top w:val="single" w:sz="2" w:space="0" w:color="D9D9E3"/>
                                    <w:left w:val="single" w:sz="2" w:space="0" w:color="D9D9E3"/>
                                    <w:bottom w:val="single" w:sz="2" w:space="0" w:color="D9D9E3"/>
                                    <w:right w:val="single" w:sz="2" w:space="0" w:color="D9D9E3"/>
                                  </w:divBdr>
                                  <w:divsChild>
                                    <w:div w:id="810559476">
                                      <w:marLeft w:val="0"/>
                                      <w:marRight w:val="0"/>
                                      <w:marTop w:val="0"/>
                                      <w:marBottom w:val="0"/>
                                      <w:divBdr>
                                        <w:top w:val="single" w:sz="2" w:space="0" w:color="D9D9E3"/>
                                        <w:left w:val="single" w:sz="2" w:space="0" w:color="D9D9E3"/>
                                        <w:bottom w:val="single" w:sz="2" w:space="0" w:color="D9D9E3"/>
                                        <w:right w:val="single" w:sz="2" w:space="0" w:color="D9D9E3"/>
                                      </w:divBdr>
                                      <w:divsChild>
                                        <w:div w:id="1224759594">
                                          <w:marLeft w:val="0"/>
                                          <w:marRight w:val="0"/>
                                          <w:marTop w:val="0"/>
                                          <w:marBottom w:val="0"/>
                                          <w:divBdr>
                                            <w:top w:val="single" w:sz="2" w:space="0" w:color="D9D9E3"/>
                                            <w:left w:val="single" w:sz="2" w:space="0" w:color="D9D9E3"/>
                                            <w:bottom w:val="single" w:sz="2" w:space="0" w:color="D9D9E3"/>
                                            <w:right w:val="single" w:sz="2" w:space="0" w:color="D9D9E3"/>
                                          </w:divBdr>
                                          <w:divsChild>
                                            <w:div w:id="549148440">
                                              <w:marLeft w:val="0"/>
                                              <w:marRight w:val="0"/>
                                              <w:marTop w:val="0"/>
                                              <w:marBottom w:val="0"/>
                                              <w:divBdr>
                                                <w:top w:val="single" w:sz="2" w:space="0" w:color="D9D9E3"/>
                                                <w:left w:val="single" w:sz="2" w:space="0" w:color="D9D9E3"/>
                                                <w:bottom w:val="single" w:sz="2" w:space="0" w:color="D9D9E3"/>
                                                <w:right w:val="single" w:sz="2" w:space="0" w:color="D9D9E3"/>
                                              </w:divBdr>
                                              <w:divsChild>
                                                <w:div w:id="967390683">
                                                  <w:marLeft w:val="0"/>
                                                  <w:marRight w:val="0"/>
                                                  <w:marTop w:val="0"/>
                                                  <w:marBottom w:val="0"/>
                                                  <w:divBdr>
                                                    <w:top w:val="single" w:sz="2" w:space="0" w:color="D9D9E3"/>
                                                    <w:left w:val="single" w:sz="2" w:space="0" w:color="D9D9E3"/>
                                                    <w:bottom w:val="single" w:sz="2" w:space="0" w:color="D9D9E3"/>
                                                    <w:right w:val="single" w:sz="2" w:space="0" w:color="D9D9E3"/>
                                                  </w:divBdr>
                                                  <w:divsChild>
                                                    <w:div w:id="213027505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895749278">
          <w:marLeft w:val="0"/>
          <w:marRight w:val="0"/>
          <w:marTop w:val="0"/>
          <w:marBottom w:val="0"/>
          <w:divBdr>
            <w:top w:val="none" w:sz="0" w:space="0" w:color="auto"/>
            <w:left w:val="none" w:sz="0" w:space="0" w:color="auto"/>
            <w:bottom w:val="none" w:sz="0" w:space="0" w:color="auto"/>
            <w:right w:val="none" w:sz="0" w:space="0" w:color="auto"/>
          </w:divBdr>
        </w:div>
      </w:divsChild>
    </w:div>
    <w:div w:id="348456718">
      <w:bodyDiv w:val="1"/>
      <w:marLeft w:val="0"/>
      <w:marRight w:val="0"/>
      <w:marTop w:val="0"/>
      <w:marBottom w:val="0"/>
      <w:divBdr>
        <w:top w:val="none" w:sz="0" w:space="0" w:color="auto"/>
        <w:left w:val="none" w:sz="0" w:space="0" w:color="auto"/>
        <w:bottom w:val="none" w:sz="0" w:space="0" w:color="auto"/>
        <w:right w:val="none" w:sz="0" w:space="0" w:color="auto"/>
      </w:divBdr>
    </w:div>
    <w:div w:id="386027963">
      <w:bodyDiv w:val="1"/>
      <w:marLeft w:val="0"/>
      <w:marRight w:val="0"/>
      <w:marTop w:val="0"/>
      <w:marBottom w:val="0"/>
      <w:divBdr>
        <w:top w:val="none" w:sz="0" w:space="0" w:color="auto"/>
        <w:left w:val="none" w:sz="0" w:space="0" w:color="auto"/>
        <w:bottom w:val="none" w:sz="0" w:space="0" w:color="auto"/>
        <w:right w:val="none" w:sz="0" w:space="0" w:color="auto"/>
      </w:divBdr>
      <w:divsChild>
        <w:div w:id="1032726742">
          <w:marLeft w:val="0"/>
          <w:marRight w:val="0"/>
          <w:marTop w:val="0"/>
          <w:marBottom w:val="0"/>
          <w:divBdr>
            <w:top w:val="single" w:sz="2" w:space="0" w:color="D9D9E3"/>
            <w:left w:val="single" w:sz="2" w:space="0" w:color="D9D9E3"/>
            <w:bottom w:val="single" w:sz="2" w:space="0" w:color="D9D9E3"/>
            <w:right w:val="single" w:sz="2" w:space="0" w:color="D9D9E3"/>
          </w:divBdr>
          <w:divsChild>
            <w:div w:id="58016080">
              <w:marLeft w:val="0"/>
              <w:marRight w:val="0"/>
              <w:marTop w:val="0"/>
              <w:marBottom w:val="0"/>
              <w:divBdr>
                <w:top w:val="single" w:sz="2" w:space="0" w:color="D9D9E3"/>
                <w:left w:val="single" w:sz="2" w:space="0" w:color="D9D9E3"/>
                <w:bottom w:val="single" w:sz="2" w:space="0" w:color="D9D9E3"/>
                <w:right w:val="single" w:sz="2" w:space="0" w:color="D9D9E3"/>
              </w:divBdr>
              <w:divsChild>
                <w:div w:id="188491158">
                  <w:marLeft w:val="0"/>
                  <w:marRight w:val="0"/>
                  <w:marTop w:val="0"/>
                  <w:marBottom w:val="0"/>
                  <w:divBdr>
                    <w:top w:val="single" w:sz="2" w:space="0" w:color="D9D9E3"/>
                    <w:left w:val="single" w:sz="2" w:space="0" w:color="D9D9E3"/>
                    <w:bottom w:val="single" w:sz="2" w:space="0" w:color="D9D9E3"/>
                    <w:right w:val="single" w:sz="2" w:space="0" w:color="D9D9E3"/>
                  </w:divBdr>
                  <w:divsChild>
                    <w:div w:id="831794690">
                      <w:marLeft w:val="0"/>
                      <w:marRight w:val="0"/>
                      <w:marTop w:val="0"/>
                      <w:marBottom w:val="0"/>
                      <w:divBdr>
                        <w:top w:val="single" w:sz="2" w:space="0" w:color="D9D9E3"/>
                        <w:left w:val="single" w:sz="2" w:space="0" w:color="D9D9E3"/>
                        <w:bottom w:val="single" w:sz="2" w:space="0" w:color="D9D9E3"/>
                        <w:right w:val="single" w:sz="2" w:space="0" w:color="D9D9E3"/>
                      </w:divBdr>
                      <w:divsChild>
                        <w:div w:id="1440951584">
                          <w:marLeft w:val="0"/>
                          <w:marRight w:val="0"/>
                          <w:marTop w:val="0"/>
                          <w:marBottom w:val="0"/>
                          <w:divBdr>
                            <w:top w:val="single" w:sz="2" w:space="0" w:color="D9D9E3"/>
                            <w:left w:val="single" w:sz="2" w:space="0" w:color="D9D9E3"/>
                            <w:bottom w:val="single" w:sz="2" w:space="0" w:color="D9D9E3"/>
                            <w:right w:val="single" w:sz="2" w:space="0" w:color="D9D9E3"/>
                          </w:divBdr>
                          <w:divsChild>
                            <w:div w:id="360209056">
                              <w:marLeft w:val="0"/>
                              <w:marRight w:val="0"/>
                              <w:marTop w:val="100"/>
                              <w:marBottom w:val="100"/>
                              <w:divBdr>
                                <w:top w:val="single" w:sz="2" w:space="0" w:color="D9D9E3"/>
                                <w:left w:val="single" w:sz="2" w:space="0" w:color="D9D9E3"/>
                                <w:bottom w:val="single" w:sz="2" w:space="0" w:color="D9D9E3"/>
                                <w:right w:val="single" w:sz="2" w:space="0" w:color="D9D9E3"/>
                              </w:divBdr>
                              <w:divsChild>
                                <w:div w:id="526066314">
                                  <w:marLeft w:val="0"/>
                                  <w:marRight w:val="0"/>
                                  <w:marTop w:val="0"/>
                                  <w:marBottom w:val="0"/>
                                  <w:divBdr>
                                    <w:top w:val="single" w:sz="2" w:space="0" w:color="D9D9E3"/>
                                    <w:left w:val="single" w:sz="2" w:space="0" w:color="D9D9E3"/>
                                    <w:bottom w:val="single" w:sz="2" w:space="0" w:color="D9D9E3"/>
                                    <w:right w:val="single" w:sz="2" w:space="0" w:color="D9D9E3"/>
                                  </w:divBdr>
                                  <w:divsChild>
                                    <w:div w:id="33191832">
                                      <w:marLeft w:val="0"/>
                                      <w:marRight w:val="0"/>
                                      <w:marTop w:val="0"/>
                                      <w:marBottom w:val="0"/>
                                      <w:divBdr>
                                        <w:top w:val="single" w:sz="2" w:space="0" w:color="D9D9E3"/>
                                        <w:left w:val="single" w:sz="2" w:space="0" w:color="D9D9E3"/>
                                        <w:bottom w:val="single" w:sz="2" w:space="0" w:color="D9D9E3"/>
                                        <w:right w:val="single" w:sz="2" w:space="0" w:color="D9D9E3"/>
                                      </w:divBdr>
                                      <w:divsChild>
                                        <w:div w:id="688726442">
                                          <w:marLeft w:val="0"/>
                                          <w:marRight w:val="0"/>
                                          <w:marTop w:val="0"/>
                                          <w:marBottom w:val="0"/>
                                          <w:divBdr>
                                            <w:top w:val="single" w:sz="2" w:space="0" w:color="D9D9E3"/>
                                            <w:left w:val="single" w:sz="2" w:space="0" w:color="D9D9E3"/>
                                            <w:bottom w:val="single" w:sz="2" w:space="0" w:color="D9D9E3"/>
                                            <w:right w:val="single" w:sz="2" w:space="0" w:color="D9D9E3"/>
                                          </w:divBdr>
                                          <w:divsChild>
                                            <w:div w:id="1183323342">
                                              <w:marLeft w:val="0"/>
                                              <w:marRight w:val="0"/>
                                              <w:marTop w:val="0"/>
                                              <w:marBottom w:val="0"/>
                                              <w:divBdr>
                                                <w:top w:val="single" w:sz="2" w:space="0" w:color="D9D9E3"/>
                                                <w:left w:val="single" w:sz="2" w:space="0" w:color="D9D9E3"/>
                                                <w:bottom w:val="single" w:sz="2" w:space="0" w:color="D9D9E3"/>
                                                <w:right w:val="single" w:sz="2" w:space="0" w:color="D9D9E3"/>
                                              </w:divBdr>
                                              <w:divsChild>
                                                <w:div w:id="815535411">
                                                  <w:marLeft w:val="0"/>
                                                  <w:marRight w:val="0"/>
                                                  <w:marTop w:val="0"/>
                                                  <w:marBottom w:val="0"/>
                                                  <w:divBdr>
                                                    <w:top w:val="single" w:sz="2" w:space="0" w:color="D9D9E3"/>
                                                    <w:left w:val="single" w:sz="2" w:space="0" w:color="D9D9E3"/>
                                                    <w:bottom w:val="single" w:sz="2" w:space="0" w:color="D9D9E3"/>
                                                    <w:right w:val="single" w:sz="2" w:space="0" w:color="D9D9E3"/>
                                                  </w:divBdr>
                                                  <w:divsChild>
                                                    <w:div w:id="2602861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085610393">
          <w:marLeft w:val="0"/>
          <w:marRight w:val="0"/>
          <w:marTop w:val="0"/>
          <w:marBottom w:val="0"/>
          <w:divBdr>
            <w:top w:val="none" w:sz="0" w:space="0" w:color="auto"/>
            <w:left w:val="none" w:sz="0" w:space="0" w:color="auto"/>
            <w:bottom w:val="none" w:sz="0" w:space="0" w:color="auto"/>
            <w:right w:val="none" w:sz="0" w:space="0" w:color="auto"/>
          </w:divBdr>
        </w:div>
      </w:divsChild>
    </w:div>
    <w:div w:id="397017603">
      <w:bodyDiv w:val="1"/>
      <w:marLeft w:val="0"/>
      <w:marRight w:val="0"/>
      <w:marTop w:val="0"/>
      <w:marBottom w:val="0"/>
      <w:divBdr>
        <w:top w:val="none" w:sz="0" w:space="0" w:color="auto"/>
        <w:left w:val="none" w:sz="0" w:space="0" w:color="auto"/>
        <w:bottom w:val="none" w:sz="0" w:space="0" w:color="auto"/>
        <w:right w:val="none" w:sz="0" w:space="0" w:color="auto"/>
      </w:divBdr>
    </w:div>
    <w:div w:id="437482552">
      <w:bodyDiv w:val="1"/>
      <w:marLeft w:val="0"/>
      <w:marRight w:val="0"/>
      <w:marTop w:val="0"/>
      <w:marBottom w:val="0"/>
      <w:divBdr>
        <w:top w:val="none" w:sz="0" w:space="0" w:color="auto"/>
        <w:left w:val="none" w:sz="0" w:space="0" w:color="auto"/>
        <w:bottom w:val="none" w:sz="0" w:space="0" w:color="auto"/>
        <w:right w:val="none" w:sz="0" w:space="0" w:color="auto"/>
      </w:divBdr>
    </w:div>
    <w:div w:id="529491720">
      <w:bodyDiv w:val="1"/>
      <w:marLeft w:val="0"/>
      <w:marRight w:val="0"/>
      <w:marTop w:val="0"/>
      <w:marBottom w:val="0"/>
      <w:divBdr>
        <w:top w:val="none" w:sz="0" w:space="0" w:color="auto"/>
        <w:left w:val="none" w:sz="0" w:space="0" w:color="auto"/>
        <w:bottom w:val="none" w:sz="0" w:space="0" w:color="auto"/>
        <w:right w:val="none" w:sz="0" w:space="0" w:color="auto"/>
      </w:divBdr>
      <w:divsChild>
        <w:div w:id="1245413279">
          <w:marLeft w:val="0"/>
          <w:marRight w:val="0"/>
          <w:marTop w:val="0"/>
          <w:marBottom w:val="0"/>
          <w:divBdr>
            <w:top w:val="single" w:sz="2" w:space="0" w:color="D9D9E3"/>
            <w:left w:val="single" w:sz="2" w:space="0" w:color="D9D9E3"/>
            <w:bottom w:val="single" w:sz="2" w:space="0" w:color="D9D9E3"/>
            <w:right w:val="single" w:sz="2" w:space="0" w:color="D9D9E3"/>
          </w:divBdr>
          <w:divsChild>
            <w:div w:id="1223564061">
              <w:marLeft w:val="0"/>
              <w:marRight w:val="0"/>
              <w:marTop w:val="0"/>
              <w:marBottom w:val="0"/>
              <w:divBdr>
                <w:top w:val="single" w:sz="2" w:space="0" w:color="D9D9E3"/>
                <w:left w:val="single" w:sz="2" w:space="0" w:color="D9D9E3"/>
                <w:bottom w:val="single" w:sz="2" w:space="0" w:color="D9D9E3"/>
                <w:right w:val="single" w:sz="2" w:space="0" w:color="D9D9E3"/>
              </w:divBdr>
              <w:divsChild>
                <w:div w:id="618339342">
                  <w:marLeft w:val="0"/>
                  <w:marRight w:val="0"/>
                  <w:marTop w:val="0"/>
                  <w:marBottom w:val="0"/>
                  <w:divBdr>
                    <w:top w:val="single" w:sz="2" w:space="0" w:color="D9D9E3"/>
                    <w:left w:val="single" w:sz="2" w:space="0" w:color="D9D9E3"/>
                    <w:bottom w:val="single" w:sz="2" w:space="0" w:color="D9D9E3"/>
                    <w:right w:val="single" w:sz="2" w:space="0" w:color="D9D9E3"/>
                  </w:divBdr>
                  <w:divsChild>
                    <w:div w:id="2106265155">
                      <w:marLeft w:val="0"/>
                      <w:marRight w:val="0"/>
                      <w:marTop w:val="0"/>
                      <w:marBottom w:val="0"/>
                      <w:divBdr>
                        <w:top w:val="single" w:sz="2" w:space="0" w:color="D9D9E3"/>
                        <w:left w:val="single" w:sz="2" w:space="0" w:color="D9D9E3"/>
                        <w:bottom w:val="single" w:sz="2" w:space="0" w:color="D9D9E3"/>
                        <w:right w:val="single" w:sz="2" w:space="0" w:color="D9D9E3"/>
                      </w:divBdr>
                      <w:divsChild>
                        <w:div w:id="1461220000">
                          <w:marLeft w:val="0"/>
                          <w:marRight w:val="0"/>
                          <w:marTop w:val="0"/>
                          <w:marBottom w:val="0"/>
                          <w:divBdr>
                            <w:top w:val="single" w:sz="2" w:space="0" w:color="D9D9E3"/>
                            <w:left w:val="single" w:sz="2" w:space="0" w:color="D9D9E3"/>
                            <w:bottom w:val="single" w:sz="2" w:space="0" w:color="D9D9E3"/>
                            <w:right w:val="single" w:sz="2" w:space="0" w:color="D9D9E3"/>
                          </w:divBdr>
                          <w:divsChild>
                            <w:div w:id="619990868">
                              <w:marLeft w:val="0"/>
                              <w:marRight w:val="0"/>
                              <w:marTop w:val="100"/>
                              <w:marBottom w:val="100"/>
                              <w:divBdr>
                                <w:top w:val="single" w:sz="2" w:space="0" w:color="D9D9E3"/>
                                <w:left w:val="single" w:sz="2" w:space="0" w:color="D9D9E3"/>
                                <w:bottom w:val="single" w:sz="2" w:space="0" w:color="D9D9E3"/>
                                <w:right w:val="single" w:sz="2" w:space="0" w:color="D9D9E3"/>
                              </w:divBdr>
                              <w:divsChild>
                                <w:div w:id="270554969">
                                  <w:marLeft w:val="0"/>
                                  <w:marRight w:val="0"/>
                                  <w:marTop w:val="0"/>
                                  <w:marBottom w:val="0"/>
                                  <w:divBdr>
                                    <w:top w:val="single" w:sz="2" w:space="0" w:color="D9D9E3"/>
                                    <w:left w:val="single" w:sz="2" w:space="0" w:color="D9D9E3"/>
                                    <w:bottom w:val="single" w:sz="2" w:space="0" w:color="D9D9E3"/>
                                    <w:right w:val="single" w:sz="2" w:space="0" w:color="D9D9E3"/>
                                  </w:divBdr>
                                  <w:divsChild>
                                    <w:div w:id="1290168721">
                                      <w:marLeft w:val="0"/>
                                      <w:marRight w:val="0"/>
                                      <w:marTop w:val="0"/>
                                      <w:marBottom w:val="0"/>
                                      <w:divBdr>
                                        <w:top w:val="single" w:sz="2" w:space="0" w:color="D9D9E3"/>
                                        <w:left w:val="single" w:sz="2" w:space="0" w:color="D9D9E3"/>
                                        <w:bottom w:val="single" w:sz="2" w:space="0" w:color="D9D9E3"/>
                                        <w:right w:val="single" w:sz="2" w:space="0" w:color="D9D9E3"/>
                                      </w:divBdr>
                                      <w:divsChild>
                                        <w:div w:id="1964654048">
                                          <w:marLeft w:val="0"/>
                                          <w:marRight w:val="0"/>
                                          <w:marTop w:val="0"/>
                                          <w:marBottom w:val="0"/>
                                          <w:divBdr>
                                            <w:top w:val="single" w:sz="2" w:space="0" w:color="D9D9E3"/>
                                            <w:left w:val="single" w:sz="2" w:space="0" w:color="D9D9E3"/>
                                            <w:bottom w:val="single" w:sz="2" w:space="0" w:color="D9D9E3"/>
                                            <w:right w:val="single" w:sz="2" w:space="0" w:color="D9D9E3"/>
                                          </w:divBdr>
                                          <w:divsChild>
                                            <w:div w:id="1210410875">
                                              <w:marLeft w:val="0"/>
                                              <w:marRight w:val="0"/>
                                              <w:marTop w:val="0"/>
                                              <w:marBottom w:val="0"/>
                                              <w:divBdr>
                                                <w:top w:val="single" w:sz="2" w:space="0" w:color="D9D9E3"/>
                                                <w:left w:val="single" w:sz="2" w:space="0" w:color="D9D9E3"/>
                                                <w:bottom w:val="single" w:sz="2" w:space="0" w:color="D9D9E3"/>
                                                <w:right w:val="single" w:sz="2" w:space="0" w:color="D9D9E3"/>
                                              </w:divBdr>
                                              <w:divsChild>
                                                <w:div w:id="1706295548">
                                                  <w:marLeft w:val="0"/>
                                                  <w:marRight w:val="0"/>
                                                  <w:marTop w:val="0"/>
                                                  <w:marBottom w:val="0"/>
                                                  <w:divBdr>
                                                    <w:top w:val="single" w:sz="2" w:space="0" w:color="D9D9E3"/>
                                                    <w:left w:val="single" w:sz="2" w:space="0" w:color="D9D9E3"/>
                                                    <w:bottom w:val="single" w:sz="2" w:space="0" w:color="D9D9E3"/>
                                                    <w:right w:val="single" w:sz="2" w:space="0" w:color="D9D9E3"/>
                                                  </w:divBdr>
                                                  <w:divsChild>
                                                    <w:div w:id="43614515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590238478">
          <w:marLeft w:val="0"/>
          <w:marRight w:val="0"/>
          <w:marTop w:val="0"/>
          <w:marBottom w:val="0"/>
          <w:divBdr>
            <w:top w:val="none" w:sz="0" w:space="0" w:color="auto"/>
            <w:left w:val="none" w:sz="0" w:space="0" w:color="auto"/>
            <w:bottom w:val="none" w:sz="0" w:space="0" w:color="auto"/>
            <w:right w:val="none" w:sz="0" w:space="0" w:color="auto"/>
          </w:divBdr>
        </w:div>
      </w:divsChild>
    </w:div>
    <w:div w:id="546767036">
      <w:bodyDiv w:val="1"/>
      <w:marLeft w:val="0"/>
      <w:marRight w:val="0"/>
      <w:marTop w:val="0"/>
      <w:marBottom w:val="0"/>
      <w:divBdr>
        <w:top w:val="none" w:sz="0" w:space="0" w:color="auto"/>
        <w:left w:val="none" w:sz="0" w:space="0" w:color="auto"/>
        <w:bottom w:val="none" w:sz="0" w:space="0" w:color="auto"/>
        <w:right w:val="none" w:sz="0" w:space="0" w:color="auto"/>
      </w:divBdr>
    </w:div>
    <w:div w:id="549263640">
      <w:bodyDiv w:val="1"/>
      <w:marLeft w:val="0"/>
      <w:marRight w:val="0"/>
      <w:marTop w:val="0"/>
      <w:marBottom w:val="0"/>
      <w:divBdr>
        <w:top w:val="none" w:sz="0" w:space="0" w:color="auto"/>
        <w:left w:val="none" w:sz="0" w:space="0" w:color="auto"/>
        <w:bottom w:val="none" w:sz="0" w:space="0" w:color="auto"/>
        <w:right w:val="none" w:sz="0" w:space="0" w:color="auto"/>
      </w:divBdr>
    </w:div>
    <w:div w:id="599021607">
      <w:bodyDiv w:val="1"/>
      <w:marLeft w:val="0"/>
      <w:marRight w:val="0"/>
      <w:marTop w:val="0"/>
      <w:marBottom w:val="0"/>
      <w:divBdr>
        <w:top w:val="none" w:sz="0" w:space="0" w:color="auto"/>
        <w:left w:val="none" w:sz="0" w:space="0" w:color="auto"/>
        <w:bottom w:val="none" w:sz="0" w:space="0" w:color="auto"/>
        <w:right w:val="none" w:sz="0" w:space="0" w:color="auto"/>
      </w:divBdr>
    </w:div>
    <w:div w:id="668480354">
      <w:bodyDiv w:val="1"/>
      <w:marLeft w:val="0"/>
      <w:marRight w:val="0"/>
      <w:marTop w:val="0"/>
      <w:marBottom w:val="0"/>
      <w:divBdr>
        <w:top w:val="none" w:sz="0" w:space="0" w:color="auto"/>
        <w:left w:val="none" w:sz="0" w:space="0" w:color="auto"/>
        <w:bottom w:val="none" w:sz="0" w:space="0" w:color="auto"/>
        <w:right w:val="none" w:sz="0" w:space="0" w:color="auto"/>
      </w:divBdr>
    </w:div>
    <w:div w:id="691304092">
      <w:bodyDiv w:val="1"/>
      <w:marLeft w:val="0"/>
      <w:marRight w:val="0"/>
      <w:marTop w:val="0"/>
      <w:marBottom w:val="0"/>
      <w:divBdr>
        <w:top w:val="none" w:sz="0" w:space="0" w:color="auto"/>
        <w:left w:val="none" w:sz="0" w:space="0" w:color="auto"/>
        <w:bottom w:val="none" w:sz="0" w:space="0" w:color="auto"/>
        <w:right w:val="none" w:sz="0" w:space="0" w:color="auto"/>
      </w:divBdr>
    </w:div>
    <w:div w:id="721248148">
      <w:bodyDiv w:val="1"/>
      <w:marLeft w:val="0"/>
      <w:marRight w:val="0"/>
      <w:marTop w:val="0"/>
      <w:marBottom w:val="0"/>
      <w:divBdr>
        <w:top w:val="none" w:sz="0" w:space="0" w:color="auto"/>
        <w:left w:val="none" w:sz="0" w:space="0" w:color="auto"/>
        <w:bottom w:val="none" w:sz="0" w:space="0" w:color="auto"/>
        <w:right w:val="none" w:sz="0" w:space="0" w:color="auto"/>
      </w:divBdr>
    </w:div>
    <w:div w:id="734281076">
      <w:bodyDiv w:val="1"/>
      <w:marLeft w:val="0"/>
      <w:marRight w:val="0"/>
      <w:marTop w:val="0"/>
      <w:marBottom w:val="0"/>
      <w:divBdr>
        <w:top w:val="none" w:sz="0" w:space="0" w:color="auto"/>
        <w:left w:val="none" w:sz="0" w:space="0" w:color="auto"/>
        <w:bottom w:val="none" w:sz="0" w:space="0" w:color="auto"/>
        <w:right w:val="none" w:sz="0" w:space="0" w:color="auto"/>
      </w:divBdr>
    </w:div>
    <w:div w:id="758598764">
      <w:bodyDiv w:val="1"/>
      <w:marLeft w:val="0"/>
      <w:marRight w:val="0"/>
      <w:marTop w:val="0"/>
      <w:marBottom w:val="0"/>
      <w:divBdr>
        <w:top w:val="none" w:sz="0" w:space="0" w:color="auto"/>
        <w:left w:val="none" w:sz="0" w:space="0" w:color="auto"/>
        <w:bottom w:val="none" w:sz="0" w:space="0" w:color="auto"/>
        <w:right w:val="none" w:sz="0" w:space="0" w:color="auto"/>
      </w:divBdr>
    </w:div>
    <w:div w:id="763262570">
      <w:bodyDiv w:val="1"/>
      <w:marLeft w:val="0"/>
      <w:marRight w:val="0"/>
      <w:marTop w:val="0"/>
      <w:marBottom w:val="0"/>
      <w:divBdr>
        <w:top w:val="none" w:sz="0" w:space="0" w:color="auto"/>
        <w:left w:val="none" w:sz="0" w:space="0" w:color="auto"/>
        <w:bottom w:val="none" w:sz="0" w:space="0" w:color="auto"/>
        <w:right w:val="none" w:sz="0" w:space="0" w:color="auto"/>
      </w:divBdr>
      <w:divsChild>
        <w:div w:id="1092312144">
          <w:marLeft w:val="0"/>
          <w:marRight w:val="0"/>
          <w:marTop w:val="0"/>
          <w:marBottom w:val="0"/>
          <w:divBdr>
            <w:top w:val="none" w:sz="0" w:space="0" w:color="auto"/>
            <w:left w:val="none" w:sz="0" w:space="0" w:color="auto"/>
            <w:bottom w:val="none" w:sz="0" w:space="0" w:color="auto"/>
            <w:right w:val="none" w:sz="0" w:space="0" w:color="auto"/>
          </w:divBdr>
        </w:div>
        <w:div w:id="2140027118">
          <w:marLeft w:val="0"/>
          <w:marRight w:val="0"/>
          <w:marTop w:val="0"/>
          <w:marBottom w:val="0"/>
          <w:divBdr>
            <w:top w:val="none" w:sz="0" w:space="0" w:color="auto"/>
            <w:left w:val="none" w:sz="0" w:space="0" w:color="auto"/>
            <w:bottom w:val="none" w:sz="0" w:space="0" w:color="auto"/>
            <w:right w:val="none" w:sz="0" w:space="0" w:color="auto"/>
          </w:divBdr>
        </w:div>
      </w:divsChild>
    </w:div>
    <w:div w:id="764379064">
      <w:bodyDiv w:val="1"/>
      <w:marLeft w:val="0"/>
      <w:marRight w:val="0"/>
      <w:marTop w:val="0"/>
      <w:marBottom w:val="0"/>
      <w:divBdr>
        <w:top w:val="none" w:sz="0" w:space="0" w:color="auto"/>
        <w:left w:val="none" w:sz="0" w:space="0" w:color="auto"/>
        <w:bottom w:val="none" w:sz="0" w:space="0" w:color="auto"/>
        <w:right w:val="none" w:sz="0" w:space="0" w:color="auto"/>
      </w:divBdr>
    </w:div>
    <w:div w:id="777682432">
      <w:bodyDiv w:val="1"/>
      <w:marLeft w:val="0"/>
      <w:marRight w:val="0"/>
      <w:marTop w:val="0"/>
      <w:marBottom w:val="0"/>
      <w:divBdr>
        <w:top w:val="none" w:sz="0" w:space="0" w:color="auto"/>
        <w:left w:val="none" w:sz="0" w:space="0" w:color="auto"/>
        <w:bottom w:val="none" w:sz="0" w:space="0" w:color="auto"/>
        <w:right w:val="none" w:sz="0" w:space="0" w:color="auto"/>
      </w:divBdr>
      <w:divsChild>
        <w:div w:id="1800107323">
          <w:marLeft w:val="0"/>
          <w:marRight w:val="0"/>
          <w:marTop w:val="0"/>
          <w:marBottom w:val="0"/>
          <w:divBdr>
            <w:top w:val="single" w:sz="2" w:space="0" w:color="D9D9E3"/>
            <w:left w:val="single" w:sz="2" w:space="0" w:color="D9D9E3"/>
            <w:bottom w:val="single" w:sz="2" w:space="0" w:color="D9D9E3"/>
            <w:right w:val="single" w:sz="2" w:space="0" w:color="D9D9E3"/>
          </w:divBdr>
          <w:divsChild>
            <w:div w:id="769205487">
              <w:marLeft w:val="0"/>
              <w:marRight w:val="0"/>
              <w:marTop w:val="0"/>
              <w:marBottom w:val="0"/>
              <w:divBdr>
                <w:top w:val="single" w:sz="2" w:space="0" w:color="D9D9E3"/>
                <w:left w:val="single" w:sz="2" w:space="0" w:color="D9D9E3"/>
                <w:bottom w:val="single" w:sz="2" w:space="0" w:color="D9D9E3"/>
                <w:right w:val="single" w:sz="2" w:space="0" w:color="D9D9E3"/>
              </w:divBdr>
              <w:divsChild>
                <w:div w:id="2097626925">
                  <w:marLeft w:val="0"/>
                  <w:marRight w:val="0"/>
                  <w:marTop w:val="0"/>
                  <w:marBottom w:val="0"/>
                  <w:divBdr>
                    <w:top w:val="single" w:sz="2" w:space="0" w:color="D9D9E3"/>
                    <w:left w:val="single" w:sz="2" w:space="0" w:color="D9D9E3"/>
                    <w:bottom w:val="single" w:sz="2" w:space="0" w:color="D9D9E3"/>
                    <w:right w:val="single" w:sz="2" w:space="0" w:color="D9D9E3"/>
                  </w:divBdr>
                  <w:divsChild>
                    <w:div w:id="271666308">
                      <w:marLeft w:val="0"/>
                      <w:marRight w:val="0"/>
                      <w:marTop w:val="0"/>
                      <w:marBottom w:val="0"/>
                      <w:divBdr>
                        <w:top w:val="single" w:sz="2" w:space="0" w:color="D9D9E3"/>
                        <w:left w:val="single" w:sz="2" w:space="0" w:color="D9D9E3"/>
                        <w:bottom w:val="single" w:sz="2" w:space="0" w:color="D9D9E3"/>
                        <w:right w:val="single" w:sz="2" w:space="0" w:color="D9D9E3"/>
                      </w:divBdr>
                      <w:divsChild>
                        <w:div w:id="976833772">
                          <w:marLeft w:val="0"/>
                          <w:marRight w:val="0"/>
                          <w:marTop w:val="0"/>
                          <w:marBottom w:val="0"/>
                          <w:divBdr>
                            <w:top w:val="single" w:sz="2" w:space="0" w:color="D9D9E3"/>
                            <w:left w:val="single" w:sz="2" w:space="0" w:color="D9D9E3"/>
                            <w:bottom w:val="single" w:sz="2" w:space="0" w:color="D9D9E3"/>
                            <w:right w:val="single" w:sz="2" w:space="0" w:color="D9D9E3"/>
                          </w:divBdr>
                          <w:divsChild>
                            <w:div w:id="1145971686">
                              <w:marLeft w:val="0"/>
                              <w:marRight w:val="0"/>
                              <w:marTop w:val="100"/>
                              <w:marBottom w:val="100"/>
                              <w:divBdr>
                                <w:top w:val="single" w:sz="2" w:space="0" w:color="D9D9E3"/>
                                <w:left w:val="single" w:sz="2" w:space="0" w:color="D9D9E3"/>
                                <w:bottom w:val="single" w:sz="2" w:space="0" w:color="D9D9E3"/>
                                <w:right w:val="single" w:sz="2" w:space="0" w:color="D9D9E3"/>
                              </w:divBdr>
                              <w:divsChild>
                                <w:div w:id="979506029">
                                  <w:marLeft w:val="0"/>
                                  <w:marRight w:val="0"/>
                                  <w:marTop w:val="0"/>
                                  <w:marBottom w:val="0"/>
                                  <w:divBdr>
                                    <w:top w:val="single" w:sz="2" w:space="0" w:color="D9D9E3"/>
                                    <w:left w:val="single" w:sz="2" w:space="0" w:color="D9D9E3"/>
                                    <w:bottom w:val="single" w:sz="2" w:space="0" w:color="D9D9E3"/>
                                    <w:right w:val="single" w:sz="2" w:space="0" w:color="D9D9E3"/>
                                  </w:divBdr>
                                  <w:divsChild>
                                    <w:div w:id="1297562246">
                                      <w:marLeft w:val="0"/>
                                      <w:marRight w:val="0"/>
                                      <w:marTop w:val="0"/>
                                      <w:marBottom w:val="0"/>
                                      <w:divBdr>
                                        <w:top w:val="single" w:sz="2" w:space="0" w:color="D9D9E3"/>
                                        <w:left w:val="single" w:sz="2" w:space="0" w:color="D9D9E3"/>
                                        <w:bottom w:val="single" w:sz="2" w:space="0" w:color="D9D9E3"/>
                                        <w:right w:val="single" w:sz="2" w:space="0" w:color="D9D9E3"/>
                                      </w:divBdr>
                                      <w:divsChild>
                                        <w:div w:id="1223492233">
                                          <w:marLeft w:val="0"/>
                                          <w:marRight w:val="0"/>
                                          <w:marTop w:val="0"/>
                                          <w:marBottom w:val="0"/>
                                          <w:divBdr>
                                            <w:top w:val="single" w:sz="2" w:space="0" w:color="D9D9E3"/>
                                            <w:left w:val="single" w:sz="2" w:space="0" w:color="D9D9E3"/>
                                            <w:bottom w:val="single" w:sz="2" w:space="0" w:color="D9D9E3"/>
                                            <w:right w:val="single" w:sz="2" w:space="0" w:color="D9D9E3"/>
                                          </w:divBdr>
                                          <w:divsChild>
                                            <w:div w:id="1541866825">
                                              <w:marLeft w:val="0"/>
                                              <w:marRight w:val="0"/>
                                              <w:marTop w:val="0"/>
                                              <w:marBottom w:val="0"/>
                                              <w:divBdr>
                                                <w:top w:val="single" w:sz="2" w:space="0" w:color="D9D9E3"/>
                                                <w:left w:val="single" w:sz="2" w:space="0" w:color="D9D9E3"/>
                                                <w:bottom w:val="single" w:sz="2" w:space="0" w:color="D9D9E3"/>
                                                <w:right w:val="single" w:sz="2" w:space="0" w:color="D9D9E3"/>
                                              </w:divBdr>
                                              <w:divsChild>
                                                <w:div w:id="658848407">
                                                  <w:marLeft w:val="0"/>
                                                  <w:marRight w:val="0"/>
                                                  <w:marTop w:val="0"/>
                                                  <w:marBottom w:val="0"/>
                                                  <w:divBdr>
                                                    <w:top w:val="single" w:sz="2" w:space="0" w:color="D9D9E3"/>
                                                    <w:left w:val="single" w:sz="2" w:space="0" w:color="D9D9E3"/>
                                                    <w:bottom w:val="single" w:sz="2" w:space="0" w:color="D9D9E3"/>
                                                    <w:right w:val="single" w:sz="2" w:space="0" w:color="D9D9E3"/>
                                                  </w:divBdr>
                                                  <w:divsChild>
                                                    <w:div w:id="54024522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795562718">
          <w:marLeft w:val="0"/>
          <w:marRight w:val="0"/>
          <w:marTop w:val="0"/>
          <w:marBottom w:val="0"/>
          <w:divBdr>
            <w:top w:val="none" w:sz="0" w:space="0" w:color="auto"/>
            <w:left w:val="none" w:sz="0" w:space="0" w:color="auto"/>
            <w:bottom w:val="none" w:sz="0" w:space="0" w:color="auto"/>
            <w:right w:val="none" w:sz="0" w:space="0" w:color="auto"/>
          </w:divBdr>
        </w:div>
      </w:divsChild>
    </w:div>
    <w:div w:id="798381495">
      <w:bodyDiv w:val="1"/>
      <w:marLeft w:val="0"/>
      <w:marRight w:val="0"/>
      <w:marTop w:val="0"/>
      <w:marBottom w:val="0"/>
      <w:divBdr>
        <w:top w:val="none" w:sz="0" w:space="0" w:color="auto"/>
        <w:left w:val="none" w:sz="0" w:space="0" w:color="auto"/>
        <w:bottom w:val="none" w:sz="0" w:space="0" w:color="auto"/>
        <w:right w:val="none" w:sz="0" w:space="0" w:color="auto"/>
      </w:divBdr>
    </w:div>
    <w:div w:id="799609270">
      <w:bodyDiv w:val="1"/>
      <w:marLeft w:val="0"/>
      <w:marRight w:val="0"/>
      <w:marTop w:val="0"/>
      <w:marBottom w:val="0"/>
      <w:divBdr>
        <w:top w:val="none" w:sz="0" w:space="0" w:color="auto"/>
        <w:left w:val="none" w:sz="0" w:space="0" w:color="auto"/>
        <w:bottom w:val="none" w:sz="0" w:space="0" w:color="auto"/>
        <w:right w:val="none" w:sz="0" w:space="0" w:color="auto"/>
      </w:divBdr>
    </w:div>
    <w:div w:id="816142586">
      <w:bodyDiv w:val="1"/>
      <w:marLeft w:val="0"/>
      <w:marRight w:val="0"/>
      <w:marTop w:val="0"/>
      <w:marBottom w:val="0"/>
      <w:divBdr>
        <w:top w:val="none" w:sz="0" w:space="0" w:color="auto"/>
        <w:left w:val="none" w:sz="0" w:space="0" w:color="auto"/>
        <w:bottom w:val="none" w:sz="0" w:space="0" w:color="auto"/>
        <w:right w:val="none" w:sz="0" w:space="0" w:color="auto"/>
      </w:divBdr>
    </w:div>
    <w:div w:id="841164096">
      <w:bodyDiv w:val="1"/>
      <w:marLeft w:val="0"/>
      <w:marRight w:val="0"/>
      <w:marTop w:val="0"/>
      <w:marBottom w:val="0"/>
      <w:divBdr>
        <w:top w:val="none" w:sz="0" w:space="0" w:color="auto"/>
        <w:left w:val="none" w:sz="0" w:space="0" w:color="auto"/>
        <w:bottom w:val="none" w:sz="0" w:space="0" w:color="auto"/>
        <w:right w:val="none" w:sz="0" w:space="0" w:color="auto"/>
      </w:divBdr>
      <w:divsChild>
        <w:div w:id="1936402020">
          <w:marLeft w:val="0"/>
          <w:marRight w:val="0"/>
          <w:marTop w:val="0"/>
          <w:marBottom w:val="0"/>
          <w:divBdr>
            <w:top w:val="single" w:sz="2" w:space="0" w:color="D9D9E3"/>
            <w:left w:val="single" w:sz="2" w:space="0" w:color="D9D9E3"/>
            <w:bottom w:val="single" w:sz="2" w:space="0" w:color="D9D9E3"/>
            <w:right w:val="single" w:sz="2" w:space="0" w:color="D9D9E3"/>
          </w:divBdr>
          <w:divsChild>
            <w:div w:id="1384062894">
              <w:marLeft w:val="0"/>
              <w:marRight w:val="0"/>
              <w:marTop w:val="0"/>
              <w:marBottom w:val="0"/>
              <w:divBdr>
                <w:top w:val="single" w:sz="2" w:space="0" w:color="D9D9E3"/>
                <w:left w:val="single" w:sz="2" w:space="0" w:color="D9D9E3"/>
                <w:bottom w:val="single" w:sz="2" w:space="0" w:color="D9D9E3"/>
                <w:right w:val="single" w:sz="2" w:space="0" w:color="D9D9E3"/>
              </w:divBdr>
              <w:divsChild>
                <w:div w:id="528301423">
                  <w:marLeft w:val="0"/>
                  <w:marRight w:val="0"/>
                  <w:marTop w:val="0"/>
                  <w:marBottom w:val="0"/>
                  <w:divBdr>
                    <w:top w:val="single" w:sz="2" w:space="0" w:color="D9D9E3"/>
                    <w:left w:val="single" w:sz="2" w:space="0" w:color="D9D9E3"/>
                    <w:bottom w:val="single" w:sz="2" w:space="0" w:color="D9D9E3"/>
                    <w:right w:val="single" w:sz="2" w:space="0" w:color="D9D9E3"/>
                  </w:divBdr>
                  <w:divsChild>
                    <w:div w:id="199823942">
                      <w:marLeft w:val="0"/>
                      <w:marRight w:val="0"/>
                      <w:marTop w:val="0"/>
                      <w:marBottom w:val="0"/>
                      <w:divBdr>
                        <w:top w:val="single" w:sz="2" w:space="0" w:color="D9D9E3"/>
                        <w:left w:val="single" w:sz="2" w:space="0" w:color="D9D9E3"/>
                        <w:bottom w:val="single" w:sz="2" w:space="0" w:color="D9D9E3"/>
                        <w:right w:val="single" w:sz="2" w:space="0" w:color="D9D9E3"/>
                      </w:divBdr>
                      <w:divsChild>
                        <w:div w:id="1612934412">
                          <w:marLeft w:val="0"/>
                          <w:marRight w:val="0"/>
                          <w:marTop w:val="0"/>
                          <w:marBottom w:val="0"/>
                          <w:divBdr>
                            <w:top w:val="single" w:sz="2" w:space="0" w:color="D9D9E3"/>
                            <w:left w:val="single" w:sz="2" w:space="0" w:color="D9D9E3"/>
                            <w:bottom w:val="single" w:sz="2" w:space="0" w:color="D9D9E3"/>
                            <w:right w:val="single" w:sz="2" w:space="0" w:color="D9D9E3"/>
                          </w:divBdr>
                          <w:divsChild>
                            <w:div w:id="1046491202">
                              <w:marLeft w:val="0"/>
                              <w:marRight w:val="0"/>
                              <w:marTop w:val="100"/>
                              <w:marBottom w:val="100"/>
                              <w:divBdr>
                                <w:top w:val="single" w:sz="2" w:space="0" w:color="D9D9E3"/>
                                <w:left w:val="single" w:sz="2" w:space="0" w:color="D9D9E3"/>
                                <w:bottom w:val="single" w:sz="2" w:space="0" w:color="D9D9E3"/>
                                <w:right w:val="single" w:sz="2" w:space="0" w:color="D9D9E3"/>
                              </w:divBdr>
                              <w:divsChild>
                                <w:div w:id="1138642544">
                                  <w:marLeft w:val="0"/>
                                  <w:marRight w:val="0"/>
                                  <w:marTop w:val="0"/>
                                  <w:marBottom w:val="0"/>
                                  <w:divBdr>
                                    <w:top w:val="single" w:sz="2" w:space="0" w:color="D9D9E3"/>
                                    <w:left w:val="single" w:sz="2" w:space="0" w:color="D9D9E3"/>
                                    <w:bottom w:val="single" w:sz="2" w:space="0" w:color="D9D9E3"/>
                                    <w:right w:val="single" w:sz="2" w:space="0" w:color="D9D9E3"/>
                                  </w:divBdr>
                                  <w:divsChild>
                                    <w:div w:id="1404526627">
                                      <w:marLeft w:val="0"/>
                                      <w:marRight w:val="0"/>
                                      <w:marTop w:val="0"/>
                                      <w:marBottom w:val="0"/>
                                      <w:divBdr>
                                        <w:top w:val="single" w:sz="2" w:space="0" w:color="D9D9E3"/>
                                        <w:left w:val="single" w:sz="2" w:space="0" w:color="D9D9E3"/>
                                        <w:bottom w:val="single" w:sz="2" w:space="0" w:color="D9D9E3"/>
                                        <w:right w:val="single" w:sz="2" w:space="0" w:color="D9D9E3"/>
                                      </w:divBdr>
                                      <w:divsChild>
                                        <w:div w:id="220026248">
                                          <w:marLeft w:val="0"/>
                                          <w:marRight w:val="0"/>
                                          <w:marTop w:val="0"/>
                                          <w:marBottom w:val="0"/>
                                          <w:divBdr>
                                            <w:top w:val="single" w:sz="2" w:space="0" w:color="D9D9E3"/>
                                            <w:left w:val="single" w:sz="2" w:space="0" w:color="D9D9E3"/>
                                            <w:bottom w:val="single" w:sz="2" w:space="0" w:color="D9D9E3"/>
                                            <w:right w:val="single" w:sz="2" w:space="0" w:color="D9D9E3"/>
                                          </w:divBdr>
                                          <w:divsChild>
                                            <w:div w:id="538858425">
                                              <w:marLeft w:val="0"/>
                                              <w:marRight w:val="0"/>
                                              <w:marTop w:val="0"/>
                                              <w:marBottom w:val="0"/>
                                              <w:divBdr>
                                                <w:top w:val="single" w:sz="2" w:space="0" w:color="D9D9E3"/>
                                                <w:left w:val="single" w:sz="2" w:space="0" w:color="D9D9E3"/>
                                                <w:bottom w:val="single" w:sz="2" w:space="0" w:color="D9D9E3"/>
                                                <w:right w:val="single" w:sz="2" w:space="0" w:color="D9D9E3"/>
                                              </w:divBdr>
                                              <w:divsChild>
                                                <w:div w:id="609048136">
                                                  <w:marLeft w:val="0"/>
                                                  <w:marRight w:val="0"/>
                                                  <w:marTop w:val="0"/>
                                                  <w:marBottom w:val="0"/>
                                                  <w:divBdr>
                                                    <w:top w:val="single" w:sz="2" w:space="0" w:color="D9D9E3"/>
                                                    <w:left w:val="single" w:sz="2" w:space="0" w:color="D9D9E3"/>
                                                    <w:bottom w:val="single" w:sz="2" w:space="0" w:color="D9D9E3"/>
                                                    <w:right w:val="single" w:sz="2" w:space="0" w:color="D9D9E3"/>
                                                  </w:divBdr>
                                                  <w:divsChild>
                                                    <w:div w:id="171796994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944192842">
          <w:marLeft w:val="0"/>
          <w:marRight w:val="0"/>
          <w:marTop w:val="0"/>
          <w:marBottom w:val="0"/>
          <w:divBdr>
            <w:top w:val="none" w:sz="0" w:space="0" w:color="auto"/>
            <w:left w:val="none" w:sz="0" w:space="0" w:color="auto"/>
            <w:bottom w:val="none" w:sz="0" w:space="0" w:color="auto"/>
            <w:right w:val="none" w:sz="0" w:space="0" w:color="auto"/>
          </w:divBdr>
        </w:div>
      </w:divsChild>
    </w:div>
    <w:div w:id="844586651">
      <w:bodyDiv w:val="1"/>
      <w:marLeft w:val="0"/>
      <w:marRight w:val="0"/>
      <w:marTop w:val="0"/>
      <w:marBottom w:val="0"/>
      <w:divBdr>
        <w:top w:val="none" w:sz="0" w:space="0" w:color="auto"/>
        <w:left w:val="none" w:sz="0" w:space="0" w:color="auto"/>
        <w:bottom w:val="none" w:sz="0" w:space="0" w:color="auto"/>
        <w:right w:val="none" w:sz="0" w:space="0" w:color="auto"/>
      </w:divBdr>
    </w:div>
    <w:div w:id="858589590">
      <w:bodyDiv w:val="1"/>
      <w:marLeft w:val="0"/>
      <w:marRight w:val="0"/>
      <w:marTop w:val="0"/>
      <w:marBottom w:val="0"/>
      <w:divBdr>
        <w:top w:val="none" w:sz="0" w:space="0" w:color="auto"/>
        <w:left w:val="none" w:sz="0" w:space="0" w:color="auto"/>
        <w:bottom w:val="none" w:sz="0" w:space="0" w:color="auto"/>
        <w:right w:val="none" w:sz="0" w:space="0" w:color="auto"/>
      </w:divBdr>
    </w:div>
    <w:div w:id="964311096">
      <w:bodyDiv w:val="1"/>
      <w:marLeft w:val="0"/>
      <w:marRight w:val="0"/>
      <w:marTop w:val="0"/>
      <w:marBottom w:val="0"/>
      <w:divBdr>
        <w:top w:val="none" w:sz="0" w:space="0" w:color="auto"/>
        <w:left w:val="none" w:sz="0" w:space="0" w:color="auto"/>
        <w:bottom w:val="none" w:sz="0" w:space="0" w:color="auto"/>
        <w:right w:val="none" w:sz="0" w:space="0" w:color="auto"/>
      </w:divBdr>
      <w:divsChild>
        <w:div w:id="97340328">
          <w:marLeft w:val="0"/>
          <w:marRight w:val="0"/>
          <w:marTop w:val="0"/>
          <w:marBottom w:val="0"/>
          <w:divBdr>
            <w:top w:val="single" w:sz="2" w:space="0" w:color="D9D9E3"/>
            <w:left w:val="single" w:sz="2" w:space="0" w:color="D9D9E3"/>
            <w:bottom w:val="single" w:sz="2" w:space="0" w:color="D9D9E3"/>
            <w:right w:val="single" w:sz="2" w:space="0" w:color="D9D9E3"/>
          </w:divBdr>
          <w:divsChild>
            <w:div w:id="1110734269">
              <w:marLeft w:val="0"/>
              <w:marRight w:val="0"/>
              <w:marTop w:val="0"/>
              <w:marBottom w:val="0"/>
              <w:divBdr>
                <w:top w:val="single" w:sz="2" w:space="0" w:color="D9D9E3"/>
                <w:left w:val="single" w:sz="2" w:space="0" w:color="D9D9E3"/>
                <w:bottom w:val="single" w:sz="2" w:space="0" w:color="D9D9E3"/>
                <w:right w:val="single" w:sz="2" w:space="0" w:color="D9D9E3"/>
              </w:divBdr>
              <w:divsChild>
                <w:div w:id="1010252459">
                  <w:marLeft w:val="0"/>
                  <w:marRight w:val="0"/>
                  <w:marTop w:val="0"/>
                  <w:marBottom w:val="0"/>
                  <w:divBdr>
                    <w:top w:val="single" w:sz="2" w:space="0" w:color="D9D9E3"/>
                    <w:left w:val="single" w:sz="2" w:space="0" w:color="D9D9E3"/>
                    <w:bottom w:val="single" w:sz="2" w:space="0" w:color="D9D9E3"/>
                    <w:right w:val="single" w:sz="2" w:space="0" w:color="D9D9E3"/>
                  </w:divBdr>
                  <w:divsChild>
                    <w:div w:id="1440293325">
                      <w:marLeft w:val="0"/>
                      <w:marRight w:val="0"/>
                      <w:marTop w:val="0"/>
                      <w:marBottom w:val="0"/>
                      <w:divBdr>
                        <w:top w:val="single" w:sz="2" w:space="0" w:color="D9D9E3"/>
                        <w:left w:val="single" w:sz="2" w:space="0" w:color="D9D9E3"/>
                        <w:bottom w:val="single" w:sz="2" w:space="0" w:color="D9D9E3"/>
                        <w:right w:val="single" w:sz="2" w:space="0" w:color="D9D9E3"/>
                      </w:divBdr>
                      <w:divsChild>
                        <w:div w:id="444692164">
                          <w:marLeft w:val="0"/>
                          <w:marRight w:val="0"/>
                          <w:marTop w:val="0"/>
                          <w:marBottom w:val="0"/>
                          <w:divBdr>
                            <w:top w:val="single" w:sz="2" w:space="0" w:color="D9D9E3"/>
                            <w:left w:val="single" w:sz="2" w:space="0" w:color="D9D9E3"/>
                            <w:bottom w:val="single" w:sz="2" w:space="0" w:color="D9D9E3"/>
                            <w:right w:val="single" w:sz="2" w:space="0" w:color="D9D9E3"/>
                          </w:divBdr>
                          <w:divsChild>
                            <w:div w:id="119422390">
                              <w:marLeft w:val="0"/>
                              <w:marRight w:val="0"/>
                              <w:marTop w:val="100"/>
                              <w:marBottom w:val="100"/>
                              <w:divBdr>
                                <w:top w:val="single" w:sz="2" w:space="0" w:color="D9D9E3"/>
                                <w:left w:val="single" w:sz="2" w:space="0" w:color="D9D9E3"/>
                                <w:bottom w:val="single" w:sz="2" w:space="0" w:color="D9D9E3"/>
                                <w:right w:val="single" w:sz="2" w:space="0" w:color="D9D9E3"/>
                              </w:divBdr>
                              <w:divsChild>
                                <w:div w:id="1223131015">
                                  <w:marLeft w:val="0"/>
                                  <w:marRight w:val="0"/>
                                  <w:marTop w:val="0"/>
                                  <w:marBottom w:val="0"/>
                                  <w:divBdr>
                                    <w:top w:val="single" w:sz="2" w:space="0" w:color="D9D9E3"/>
                                    <w:left w:val="single" w:sz="2" w:space="0" w:color="D9D9E3"/>
                                    <w:bottom w:val="single" w:sz="2" w:space="0" w:color="D9D9E3"/>
                                    <w:right w:val="single" w:sz="2" w:space="0" w:color="D9D9E3"/>
                                  </w:divBdr>
                                  <w:divsChild>
                                    <w:div w:id="2101366811">
                                      <w:marLeft w:val="0"/>
                                      <w:marRight w:val="0"/>
                                      <w:marTop w:val="0"/>
                                      <w:marBottom w:val="0"/>
                                      <w:divBdr>
                                        <w:top w:val="single" w:sz="2" w:space="0" w:color="D9D9E3"/>
                                        <w:left w:val="single" w:sz="2" w:space="0" w:color="D9D9E3"/>
                                        <w:bottom w:val="single" w:sz="2" w:space="0" w:color="D9D9E3"/>
                                        <w:right w:val="single" w:sz="2" w:space="0" w:color="D9D9E3"/>
                                      </w:divBdr>
                                      <w:divsChild>
                                        <w:div w:id="1353455414">
                                          <w:marLeft w:val="0"/>
                                          <w:marRight w:val="0"/>
                                          <w:marTop w:val="0"/>
                                          <w:marBottom w:val="0"/>
                                          <w:divBdr>
                                            <w:top w:val="single" w:sz="2" w:space="0" w:color="D9D9E3"/>
                                            <w:left w:val="single" w:sz="2" w:space="0" w:color="D9D9E3"/>
                                            <w:bottom w:val="single" w:sz="2" w:space="0" w:color="D9D9E3"/>
                                            <w:right w:val="single" w:sz="2" w:space="0" w:color="D9D9E3"/>
                                          </w:divBdr>
                                          <w:divsChild>
                                            <w:div w:id="1565018876">
                                              <w:marLeft w:val="0"/>
                                              <w:marRight w:val="0"/>
                                              <w:marTop w:val="0"/>
                                              <w:marBottom w:val="0"/>
                                              <w:divBdr>
                                                <w:top w:val="single" w:sz="2" w:space="0" w:color="D9D9E3"/>
                                                <w:left w:val="single" w:sz="2" w:space="0" w:color="D9D9E3"/>
                                                <w:bottom w:val="single" w:sz="2" w:space="0" w:color="D9D9E3"/>
                                                <w:right w:val="single" w:sz="2" w:space="0" w:color="D9D9E3"/>
                                              </w:divBdr>
                                              <w:divsChild>
                                                <w:div w:id="1246260387">
                                                  <w:marLeft w:val="0"/>
                                                  <w:marRight w:val="0"/>
                                                  <w:marTop w:val="0"/>
                                                  <w:marBottom w:val="0"/>
                                                  <w:divBdr>
                                                    <w:top w:val="single" w:sz="2" w:space="0" w:color="D9D9E3"/>
                                                    <w:left w:val="single" w:sz="2" w:space="0" w:color="D9D9E3"/>
                                                    <w:bottom w:val="single" w:sz="2" w:space="0" w:color="D9D9E3"/>
                                                    <w:right w:val="single" w:sz="2" w:space="0" w:color="D9D9E3"/>
                                                  </w:divBdr>
                                                  <w:divsChild>
                                                    <w:div w:id="179000358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581641287">
          <w:marLeft w:val="0"/>
          <w:marRight w:val="0"/>
          <w:marTop w:val="0"/>
          <w:marBottom w:val="0"/>
          <w:divBdr>
            <w:top w:val="none" w:sz="0" w:space="0" w:color="auto"/>
            <w:left w:val="none" w:sz="0" w:space="0" w:color="auto"/>
            <w:bottom w:val="none" w:sz="0" w:space="0" w:color="auto"/>
            <w:right w:val="none" w:sz="0" w:space="0" w:color="auto"/>
          </w:divBdr>
        </w:div>
      </w:divsChild>
    </w:div>
    <w:div w:id="1046758074">
      <w:bodyDiv w:val="1"/>
      <w:marLeft w:val="0"/>
      <w:marRight w:val="0"/>
      <w:marTop w:val="0"/>
      <w:marBottom w:val="0"/>
      <w:divBdr>
        <w:top w:val="none" w:sz="0" w:space="0" w:color="auto"/>
        <w:left w:val="none" w:sz="0" w:space="0" w:color="auto"/>
        <w:bottom w:val="none" w:sz="0" w:space="0" w:color="auto"/>
        <w:right w:val="none" w:sz="0" w:space="0" w:color="auto"/>
      </w:divBdr>
    </w:div>
    <w:div w:id="1082020203">
      <w:bodyDiv w:val="1"/>
      <w:marLeft w:val="0"/>
      <w:marRight w:val="0"/>
      <w:marTop w:val="0"/>
      <w:marBottom w:val="0"/>
      <w:divBdr>
        <w:top w:val="none" w:sz="0" w:space="0" w:color="auto"/>
        <w:left w:val="none" w:sz="0" w:space="0" w:color="auto"/>
        <w:bottom w:val="none" w:sz="0" w:space="0" w:color="auto"/>
        <w:right w:val="none" w:sz="0" w:space="0" w:color="auto"/>
      </w:divBdr>
    </w:div>
    <w:div w:id="1116143641">
      <w:bodyDiv w:val="1"/>
      <w:marLeft w:val="0"/>
      <w:marRight w:val="0"/>
      <w:marTop w:val="0"/>
      <w:marBottom w:val="0"/>
      <w:divBdr>
        <w:top w:val="none" w:sz="0" w:space="0" w:color="auto"/>
        <w:left w:val="none" w:sz="0" w:space="0" w:color="auto"/>
        <w:bottom w:val="none" w:sz="0" w:space="0" w:color="auto"/>
        <w:right w:val="none" w:sz="0" w:space="0" w:color="auto"/>
      </w:divBdr>
    </w:div>
    <w:div w:id="1126461756">
      <w:bodyDiv w:val="1"/>
      <w:marLeft w:val="0"/>
      <w:marRight w:val="0"/>
      <w:marTop w:val="0"/>
      <w:marBottom w:val="0"/>
      <w:divBdr>
        <w:top w:val="none" w:sz="0" w:space="0" w:color="auto"/>
        <w:left w:val="none" w:sz="0" w:space="0" w:color="auto"/>
        <w:bottom w:val="none" w:sz="0" w:space="0" w:color="auto"/>
        <w:right w:val="none" w:sz="0" w:space="0" w:color="auto"/>
      </w:divBdr>
    </w:div>
    <w:div w:id="1135754229">
      <w:bodyDiv w:val="1"/>
      <w:marLeft w:val="0"/>
      <w:marRight w:val="0"/>
      <w:marTop w:val="0"/>
      <w:marBottom w:val="0"/>
      <w:divBdr>
        <w:top w:val="none" w:sz="0" w:space="0" w:color="auto"/>
        <w:left w:val="none" w:sz="0" w:space="0" w:color="auto"/>
        <w:bottom w:val="none" w:sz="0" w:space="0" w:color="auto"/>
        <w:right w:val="none" w:sz="0" w:space="0" w:color="auto"/>
      </w:divBdr>
    </w:div>
    <w:div w:id="1171680143">
      <w:bodyDiv w:val="1"/>
      <w:marLeft w:val="0"/>
      <w:marRight w:val="0"/>
      <w:marTop w:val="0"/>
      <w:marBottom w:val="0"/>
      <w:divBdr>
        <w:top w:val="none" w:sz="0" w:space="0" w:color="auto"/>
        <w:left w:val="none" w:sz="0" w:space="0" w:color="auto"/>
        <w:bottom w:val="none" w:sz="0" w:space="0" w:color="auto"/>
        <w:right w:val="none" w:sz="0" w:space="0" w:color="auto"/>
      </w:divBdr>
      <w:divsChild>
        <w:div w:id="1451245398">
          <w:marLeft w:val="0"/>
          <w:marRight w:val="0"/>
          <w:marTop w:val="0"/>
          <w:marBottom w:val="0"/>
          <w:divBdr>
            <w:top w:val="none" w:sz="0" w:space="0" w:color="auto"/>
            <w:left w:val="none" w:sz="0" w:space="0" w:color="auto"/>
            <w:bottom w:val="none" w:sz="0" w:space="0" w:color="auto"/>
            <w:right w:val="none" w:sz="0" w:space="0" w:color="auto"/>
          </w:divBdr>
        </w:div>
        <w:div w:id="1456679017">
          <w:marLeft w:val="0"/>
          <w:marRight w:val="0"/>
          <w:marTop w:val="0"/>
          <w:marBottom w:val="0"/>
          <w:divBdr>
            <w:top w:val="none" w:sz="0" w:space="0" w:color="auto"/>
            <w:left w:val="none" w:sz="0" w:space="0" w:color="auto"/>
            <w:bottom w:val="none" w:sz="0" w:space="0" w:color="auto"/>
            <w:right w:val="none" w:sz="0" w:space="0" w:color="auto"/>
          </w:divBdr>
        </w:div>
      </w:divsChild>
    </w:div>
    <w:div w:id="1179202750">
      <w:bodyDiv w:val="1"/>
      <w:marLeft w:val="0"/>
      <w:marRight w:val="0"/>
      <w:marTop w:val="0"/>
      <w:marBottom w:val="0"/>
      <w:divBdr>
        <w:top w:val="none" w:sz="0" w:space="0" w:color="auto"/>
        <w:left w:val="none" w:sz="0" w:space="0" w:color="auto"/>
        <w:bottom w:val="none" w:sz="0" w:space="0" w:color="auto"/>
        <w:right w:val="none" w:sz="0" w:space="0" w:color="auto"/>
      </w:divBdr>
    </w:div>
    <w:div w:id="1190415931">
      <w:bodyDiv w:val="1"/>
      <w:marLeft w:val="0"/>
      <w:marRight w:val="0"/>
      <w:marTop w:val="0"/>
      <w:marBottom w:val="0"/>
      <w:divBdr>
        <w:top w:val="none" w:sz="0" w:space="0" w:color="auto"/>
        <w:left w:val="none" w:sz="0" w:space="0" w:color="auto"/>
        <w:bottom w:val="none" w:sz="0" w:space="0" w:color="auto"/>
        <w:right w:val="none" w:sz="0" w:space="0" w:color="auto"/>
      </w:divBdr>
      <w:divsChild>
        <w:div w:id="642737983">
          <w:marLeft w:val="0"/>
          <w:marRight w:val="0"/>
          <w:marTop w:val="0"/>
          <w:marBottom w:val="0"/>
          <w:divBdr>
            <w:top w:val="single" w:sz="2" w:space="0" w:color="D9D9E3"/>
            <w:left w:val="single" w:sz="2" w:space="0" w:color="D9D9E3"/>
            <w:bottom w:val="single" w:sz="2" w:space="0" w:color="D9D9E3"/>
            <w:right w:val="single" w:sz="2" w:space="0" w:color="D9D9E3"/>
          </w:divBdr>
          <w:divsChild>
            <w:div w:id="1538002435">
              <w:marLeft w:val="0"/>
              <w:marRight w:val="0"/>
              <w:marTop w:val="0"/>
              <w:marBottom w:val="0"/>
              <w:divBdr>
                <w:top w:val="single" w:sz="2" w:space="0" w:color="D9D9E3"/>
                <w:left w:val="single" w:sz="2" w:space="0" w:color="D9D9E3"/>
                <w:bottom w:val="single" w:sz="2" w:space="0" w:color="D9D9E3"/>
                <w:right w:val="single" w:sz="2" w:space="0" w:color="D9D9E3"/>
              </w:divBdr>
              <w:divsChild>
                <w:div w:id="271599049">
                  <w:marLeft w:val="0"/>
                  <w:marRight w:val="0"/>
                  <w:marTop w:val="0"/>
                  <w:marBottom w:val="0"/>
                  <w:divBdr>
                    <w:top w:val="single" w:sz="2" w:space="0" w:color="D9D9E3"/>
                    <w:left w:val="single" w:sz="2" w:space="0" w:color="D9D9E3"/>
                    <w:bottom w:val="single" w:sz="2" w:space="0" w:color="D9D9E3"/>
                    <w:right w:val="single" w:sz="2" w:space="0" w:color="D9D9E3"/>
                  </w:divBdr>
                  <w:divsChild>
                    <w:div w:id="2072077773">
                      <w:marLeft w:val="0"/>
                      <w:marRight w:val="0"/>
                      <w:marTop w:val="0"/>
                      <w:marBottom w:val="0"/>
                      <w:divBdr>
                        <w:top w:val="single" w:sz="2" w:space="0" w:color="D9D9E3"/>
                        <w:left w:val="single" w:sz="2" w:space="0" w:color="D9D9E3"/>
                        <w:bottom w:val="single" w:sz="2" w:space="0" w:color="D9D9E3"/>
                        <w:right w:val="single" w:sz="2" w:space="0" w:color="D9D9E3"/>
                      </w:divBdr>
                      <w:divsChild>
                        <w:div w:id="1810434449">
                          <w:marLeft w:val="0"/>
                          <w:marRight w:val="0"/>
                          <w:marTop w:val="0"/>
                          <w:marBottom w:val="0"/>
                          <w:divBdr>
                            <w:top w:val="single" w:sz="2" w:space="0" w:color="D9D9E3"/>
                            <w:left w:val="single" w:sz="2" w:space="0" w:color="D9D9E3"/>
                            <w:bottom w:val="single" w:sz="2" w:space="0" w:color="D9D9E3"/>
                            <w:right w:val="single" w:sz="2" w:space="0" w:color="D9D9E3"/>
                          </w:divBdr>
                          <w:divsChild>
                            <w:div w:id="620112581">
                              <w:marLeft w:val="0"/>
                              <w:marRight w:val="0"/>
                              <w:marTop w:val="100"/>
                              <w:marBottom w:val="100"/>
                              <w:divBdr>
                                <w:top w:val="single" w:sz="2" w:space="0" w:color="D9D9E3"/>
                                <w:left w:val="single" w:sz="2" w:space="0" w:color="D9D9E3"/>
                                <w:bottom w:val="single" w:sz="2" w:space="0" w:color="D9D9E3"/>
                                <w:right w:val="single" w:sz="2" w:space="0" w:color="D9D9E3"/>
                              </w:divBdr>
                              <w:divsChild>
                                <w:div w:id="165945007">
                                  <w:marLeft w:val="0"/>
                                  <w:marRight w:val="0"/>
                                  <w:marTop w:val="0"/>
                                  <w:marBottom w:val="0"/>
                                  <w:divBdr>
                                    <w:top w:val="single" w:sz="2" w:space="0" w:color="D9D9E3"/>
                                    <w:left w:val="single" w:sz="2" w:space="0" w:color="D9D9E3"/>
                                    <w:bottom w:val="single" w:sz="2" w:space="0" w:color="D9D9E3"/>
                                    <w:right w:val="single" w:sz="2" w:space="0" w:color="D9D9E3"/>
                                  </w:divBdr>
                                  <w:divsChild>
                                    <w:div w:id="182672467">
                                      <w:marLeft w:val="0"/>
                                      <w:marRight w:val="0"/>
                                      <w:marTop w:val="0"/>
                                      <w:marBottom w:val="0"/>
                                      <w:divBdr>
                                        <w:top w:val="single" w:sz="2" w:space="0" w:color="D9D9E3"/>
                                        <w:left w:val="single" w:sz="2" w:space="0" w:color="D9D9E3"/>
                                        <w:bottom w:val="single" w:sz="2" w:space="0" w:color="D9D9E3"/>
                                        <w:right w:val="single" w:sz="2" w:space="0" w:color="D9D9E3"/>
                                      </w:divBdr>
                                      <w:divsChild>
                                        <w:div w:id="1162621649">
                                          <w:marLeft w:val="0"/>
                                          <w:marRight w:val="0"/>
                                          <w:marTop w:val="0"/>
                                          <w:marBottom w:val="0"/>
                                          <w:divBdr>
                                            <w:top w:val="single" w:sz="2" w:space="0" w:color="D9D9E3"/>
                                            <w:left w:val="single" w:sz="2" w:space="0" w:color="D9D9E3"/>
                                            <w:bottom w:val="single" w:sz="2" w:space="0" w:color="D9D9E3"/>
                                            <w:right w:val="single" w:sz="2" w:space="0" w:color="D9D9E3"/>
                                          </w:divBdr>
                                          <w:divsChild>
                                            <w:div w:id="386337314">
                                              <w:marLeft w:val="0"/>
                                              <w:marRight w:val="0"/>
                                              <w:marTop w:val="0"/>
                                              <w:marBottom w:val="0"/>
                                              <w:divBdr>
                                                <w:top w:val="single" w:sz="2" w:space="0" w:color="D9D9E3"/>
                                                <w:left w:val="single" w:sz="2" w:space="0" w:color="D9D9E3"/>
                                                <w:bottom w:val="single" w:sz="2" w:space="0" w:color="D9D9E3"/>
                                                <w:right w:val="single" w:sz="2" w:space="0" w:color="D9D9E3"/>
                                              </w:divBdr>
                                              <w:divsChild>
                                                <w:div w:id="1214544154">
                                                  <w:marLeft w:val="0"/>
                                                  <w:marRight w:val="0"/>
                                                  <w:marTop w:val="0"/>
                                                  <w:marBottom w:val="0"/>
                                                  <w:divBdr>
                                                    <w:top w:val="single" w:sz="2" w:space="0" w:color="D9D9E3"/>
                                                    <w:left w:val="single" w:sz="2" w:space="0" w:color="D9D9E3"/>
                                                    <w:bottom w:val="single" w:sz="2" w:space="0" w:color="D9D9E3"/>
                                                    <w:right w:val="single" w:sz="2" w:space="0" w:color="D9D9E3"/>
                                                  </w:divBdr>
                                                  <w:divsChild>
                                                    <w:div w:id="94955354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893347266">
          <w:marLeft w:val="0"/>
          <w:marRight w:val="0"/>
          <w:marTop w:val="0"/>
          <w:marBottom w:val="0"/>
          <w:divBdr>
            <w:top w:val="none" w:sz="0" w:space="0" w:color="auto"/>
            <w:left w:val="none" w:sz="0" w:space="0" w:color="auto"/>
            <w:bottom w:val="none" w:sz="0" w:space="0" w:color="auto"/>
            <w:right w:val="none" w:sz="0" w:space="0" w:color="auto"/>
          </w:divBdr>
        </w:div>
      </w:divsChild>
    </w:div>
    <w:div w:id="1198397110">
      <w:bodyDiv w:val="1"/>
      <w:marLeft w:val="0"/>
      <w:marRight w:val="0"/>
      <w:marTop w:val="0"/>
      <w:marBottom w:val="0"/>
      <w:divBdr>
        <w:top w:val="none" w:sz="0" w:space="0" w:color="auto"/>
        <w:left w:val="none" w:sz="0" w:space="0" w:color="auto"/>
        <w:bottom w:val="none" w:sz="0" w:space="0" w:color="auto"/>
        <w:right w:val="none" w:sz="0" w:space="0" w:color="auto"/>
      </w:divBdr>
    </w:div>
    <w:div w:id="1230068451">
      <w:bodyDiv w:val="1"/>
      <w:marLeft w:val="0"/>
      <w:marRight w:val="0"/>
      <w:marTop w:val="0"/>
      <w:marBottom w:val="0"/>
      <w:divBdr>
        <w:top w:val="none" w:sz="0" w:space="0" w:color="auto"/>
        <w:left w:val="none" w:sz="0" w:space="0" w:color="auto"/>
        <w:bottom w:val="none" w:sz="0" w:space="0" w:color="auto"/>
        <w:right w:val="none" w:sz="0" w:space="0" w:color="auto"/>
      </w:divBdr>
    </w:div>
    <w:div w:id="1233201326">
      <w:bodyDiv w:val="1"/>
      <w:marLeft w:val="0"/>
      <w:marRight w:val="0"/>
      <w:marTop w:val="0"/>
      <w:marBottom w:val="0"/>
      <w:divBdr>
        <w:top w:val="none" w:sz="0" w:space="0" w:color="auto"/>
        <w:left w:val="none" w:sz="0" w:space="0" w:color="auto"/>
        <w:bottom w:val="none" w:sz="0" w:space="0" w:color="auto"/>
        <w:right w:val="none" w:sz="0" w:space="0" w:color="auto"/>
      </w:divBdr>
    </w:div>
    <w:div w:id="1243564942">
      <w:bodyDiv w:val="1"/>
      <w:marLeft w:val="0"/>
      <w:marRight w:val="0"/>
      <w:marTop w:val="0"/>
      <w:marBottom w:val="0"/>
      <w:divBdr>
        <w:top w:val="none" w:sz="0" w:space="0" w:color="auto"/>
        <w:left w:val="none" w:sz="0" w:space="0" w:color="auto"/>
        <w:bottom w:val="none" w:sz="0" w:space="0" w:color="auto"/>
        <w:right w:val="none" w:sz="0" w:space="0" w:color="auto"/>
      </w:divBdr>
    </w:div>
    <w:div w:id="1310287688">
      <w:bodyDiv w:val="1"/>
      <w:marLeft w:val="0"/>
      <w:marRight w:val="0"/>
      <w:marTop w:val="0"/>
      <w:marBottom w:val="0"/>
      <w:divBdr>
        <w:top w:val="none" w:sz="0" w:space="0" w:color="auto"/>
        <w:left w:val="none" w:sz="0" w:space="0" w:color="auto"/>
        <w:bottom w:val="none" w:sz="0" w:space="0" w:color="auto"/>
        <w:right w:val="none" w:sz="0" w:space="0" w:color="auto"/>
      </w:divBdr>
    </w:div>
    <w:div w:id="1354964395">
      <w:bodyDiv w:val="1"/>
      <w:marLeft w:val="0"/>
      <w:marRight w:val="0"/>
      <w:marTop w:val="0"/>
      <w:marBottom w:val="0"/>
      <w:divBdr>
        <w:top w:val="none" w:sz="0" w:space="0" w:color="auto"/>
        <w:left w:val="none" w:sz="0" w:space="0" w:color="auto"/>
        <w:bottom w:val="none" w:sz="0" w:space="0" w:color="auto"/>
        <w:right w:val="none" w:sz="0" w:space="0" w:color="auto"/>
      </w:divBdr>
    </w:div>
    <w:div w:id="1489979512">
      <w:bodyDiv w:val="1"/>
      <w:marLeft w:val="0"/>
      <w:marRight w:val="0"/>
      <w:marTop w:val="0"/>
      <w:marBottom w:val="0"/>
      <w:divBdr>
        <w:top w:val="none" w:sz="0" w:space="0" w:color="auto"/>
        <w:left w:val="none" w:sz="0" w:space="0" w:color="auto"/>
        <w:bottom w:val="none" w:sz="0" w:space="0" w:color="auto"/>
        <w:right w:val="none" w:sz="0" w:space="0" w:color="auto"/>
      </w:divBdr>
    </w:div>
    <w:div w:id="1505437955">
      <w:bodyDiv w:val="1"/>
      <w:marLeft w:val="0"/>
      <w:marRight w:val="0"/>
      <w:marTop w:val="0"/>
      <w:marBottom w:val="0"/>
      <w:divBdr>
        <w:top w:val="none" w:sz="0" w:space="0" w:color="auto"/>
        <w:left w:val="none" w:sz="0" w:space="0" w:color="auto"/>
        <w:bottom w:val="none" w:sz="0" w:space="0" w:color="auto"/>
        <w:right w:val="none" w:sz="0" w:space="0" w:color="auto"/>
      </w:divBdr>
    </w:div>
    <w:div w:id="1531646812">
      <w:bodyDiv w:val="1"/>
      <w:marLeft w:val="0"/>
      <w:marRight w:val="0"/>
      <w:marTop w:val="0"/>
      <w:marBottom w:val="0"/>
      <w:divBdr>
        <w:top w:val="none" w:sz="0" w:space="0" w:color="auto"/>
        <w:left w:val="none" w:sz="0" w:space="0" w:color="auto"/>
        <w:bottom w:val="none" w:sz="0" w:space="0" w:color="auto"/>
        <w:right w:val="none" w:sz="0" w:space="0" w:color="auto"/>
      </w:divBdr>
      <w:divsChild>
        <w:div w:id="1878470390">
          <w:marLeft w:val="0"/>
          <w:marRight w:val="0"/>
          <w:marTop w:val="0"/>
          <w:marBottom w:val="0"/>
          <w:divBdr>
            <w:top w:val="single" w:sz="2" w:space="0" w:color="D9D9E3"/>
            <w:left w:val="single" w:sz="2" w:space="0" w:color="D9D9E3"/>
            <w:bottom w:val="single" w:sz="2" w:space="0" w:color="D9D9E3"/>
            <w:right w:val="single" w:sz="2" w:space="0" w:color="D9D9E3"/>
          </w:divBdr>
          <w:divsChild>
            <w:div w:id="423845607">
              <w:marLeft w:val="0"/>
              <w:marRight w:val="0"/>
              <w:marTop w:val="100"/>
              <w:marBottom w:val="100"/>
              <w:divBdr>
                <w:top w:val="single" w:sz="2" w:space="0" w:color="D9D9E3"/>
                <w:left w:val="single" w:sz="2" w:space="0" w:color="D9D9E3"/>
                <w:bottom w:val="single" w:sz="2" w:space="0" w:color="D9D9E3"/>
                <w:right w:val="single" w:sz="2" w:space="0" w:color="D9D9E3"/>
              </w:divBdr>
              <w:divsChild>
                <w:div w:id="2142570340">
                  <w:marLeft w:val="0"/>
                  <w:marRight w:val="0"/>
                  <w:marTop w:val="0"/>
                  <w:marBottom w:val="0"/>
                  <w:divBdr>
                    <w:top w:val="single" w:sz="2" w:space="0" w:color="D9D9E3"/>
                    <w:left w:val="single" w:sz="2" w:space="0" w:color="D9D9E3"/>
                    <w:bottom w:val="single" w:sz="2" w:space="0" w:color="D9D9E3"/>
                    <w:right w:val="single" w:sz="2" w:space="0" w:color="D9D9E3"/>
                  </w:divBdr>
                  <w:divsChild>
                    <w:div w:id="1964115298">
                      <w:marLeft w:val="0"/>
                      <w:marRight w:val="0"/>
                      <w:marTop w:val="0"/>
                      <w:marBottom w:val="0"/>
                      <w:divBdr>
                        <w:top w:val="single" w:sz="2" w:space="0" w:color="D9D9E3"/>
                        <w:left w:val="single" w:sz="2" w:space="0" w:color="D9D9E3"/>
                        <w:bottom w:val="single" w:sz="2" w:space="0" w:color="D9D9E3"/>
                        <w:right w:val="single" w:sz="2" w:space="0" w:color="D9D9E3"/>
                      </w:divBdr>
                      <w:divsChild>
                        <w:div w:id="1589541389">
                          <w:marLeft w:val="0"/>
                          <w:marRight w:val="0"/>
                          <w:marTop w:val="0"/>
                          <w:marBottom w:val="0"/>
                          <w:divBdr>
                            <w:top w:val="single" w:sz="2" w:space="0" w:color="D9D9E3"/>
                            <w:left w:val="single" w:sz="2" w:space="0" w:color="D9D9E3"/>
                            <w:bottom w:val="single" w:sz="2" w:space="0" w:color="D9D9E3"/>
                            <w:right w:val="single" w:sz="2" w:space="0" w:color="D9D9E3"/>
                          </w:divBdr>
                          <w:divsChild>
                            <w:div w:id="125244883">
                              <w:marLeft w:val="0"/>
                              <w:marRight w:val="0"/>
                              <w:marTop w:val="0"/>
                              <w:marBottom w:val="0"/>
                              <w:divBdr>
                                <w:top w:val="single" w:sz="2" w:space="0" w:color="D9D9E3"/>
                                <w:left w:val="single" w:sz="2" w:space="0" w:color="D9D9E3"/>
                                <w:bottom w:val="single" w:sz="2" w:space="0" w:color="D9D9E3"/>
                                <w:right w:val="single" w:sz="2" w:space="0" w:color="D9D9E3"/>
                              </w:divBdr>
                              <w:divsChild>
                                <w:div w:id="414132417">
                                  <w:marLeft w:val="0"/>
                                  <w:marRight w:val="0"/>
                                  <w:marTop w:val="0"/>
                                  <w:marBottom w:val="0"/>
                                  <w:divBdr>
                                    <w:top w:val="single" w:sz="2" w:space="0" w:color="D9D9E3"/>
                                    <w:left w:val="single" w:sz="2" w:space="0" w:color="D9D9E3"/>
                                    <w:bottom w:val="single" w:sz="2" w:space="0" w:color="D9D9E3"/>
                                    <w:right w:val="single" w:sz="2" w:space="0" w:color="D9D9E3"/>
                                  </w:divBdr>
                                  <w:divsChild>
                                    <w:div w:id="191758866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479541064">
          <w:marLeft w:val="0"/>
          <w:marRight w:val="0"/>
          <w:marTop w:val="0"/>
          <w:marBottom w:val="0"/>
          <w:divBdr>
            <w:top w:val="single" w:sz="2" w:space="0" w:color="D9D9E3"/>
            <w:left w:val="single" w:sz="2" w:space="0" w:color="D9D9E3"/>
            <w:bottom w:val="single" w:sz="2" w:space="0" w:color="D9D9E3"/>
            <w:right w:val="single" w:sz="2" w:space="0" w:color="D9D9E3"/>
          </w:divBdr>
          <w:divsChild>
            <w:div w:id="2114935875">
              <w:marLeft w:val="0"/>
              <w:marRight w:val="0"/>
              <w:marTop w:val="100"/>
              <w:marBottom w:val="100"/>
              <w:divBdr>
                <w:top w:val="single" w:sz="2" w:space="0" w:color="D9D9E3"/>
                <w:left w:val="single" w:sz="2" w:space="0" w:color="D9D9E3"/>
                <w:bottom w:val="single" w:sz="2" w:space="0" w:color="D9D9E3"/>
                <w:right w:val="single" w:sz="2" w:space="0" w:color="D9D9E3"/>
              </w:divBdr>
              <w:divsChild>
                <w:div w:id="2074429705">
                  <w:marLeft w:val="0"/>
                  <w:marRight w:val="0"/>
                  <w:marTop w:val="0"/>
                  <w:marBottom w:val="0"/>
                  <w:divBdr>
                    <w:top w:val="single" w:sz="2" w:space="0" w:color="D9D9E3"/>
                    <w:left w:val="single" w:sz="2" w:space="0" w:color="D9D9E3"/>
                    <w:bottom w:val="single" w:sz="2" w:space="0" w:color="D9D9E3"/>
                    <w:right w:val="single" w:sz="2" w:space="0" w:color="D9D9E3"/>
                  </w:divBdr>
                  <w:divsChild>
                    <w:div w:id="394865162">
                      <w:marLeft w:val="0"/>
                      <w:marRight w:val="0"/>
                      <w:marTop w:val="0"/>
                      <w:marBottom w:val="0"/>
                      <w:divBdr>
                        <w:top w:val="single" w:sz="2" w:space="0" w:color="D9D9E3"/>
                        <w:left w:val="single" w:sz="2" w:space="0" w:color="D9D9E3"/>
                        <w:bottom w:val="single" w:sz="2" w:space="0" w:color="D9D9E3"/>
                        <w:right w:val="single" w:sz="2" w:space="0" w:color="D9D9E3"/>
                      </w:divBdr>
                      <w:divsChild>
                        <w:div w:id="1257519649">
                          <w:marLeft w:val="0"/>
                          <w:marRight w:val="0"/>
                          <w:marTop w:val="0"/>
                          <w:marBottom w:val="0"/>
                          <w:divBdr>
                            <w:top w:val="single" w:sz="2" w:space="0" w:color="D9D9E3"/>
                            <w:left w:val="single" w:sz="2" w:space="0" w:color="D9D9E3"/>
                            <w:bottom w:val="single" w:sz="2" w:space="0" w:color="D9D9E3"/>
                            <w:right w:val="single" w:sz="2" w:space="0" w:color="D9D9E3"/>
                          </w:divBdr>
                          <w:divsChild>
                            <w:div w:id="1887833885">
                              <w:marLeft w:val="0"/>
                              <w:marRight w:val="0"/>
                              <w:marTop w:val="0"/>
                              <w:marBottom w:val="0"/>
                              <w:divBdr>
                                <w:top w:val="single" w:sz="2" w:space="0" w:color="D9D9E3"/>
                                <w:left w:val="single" w:sz="2" w:space="0" w:color="D9D9E3"/>
                                <w:bottom w:val="single" w:sz="2" w:space="0" w:color="D9D9E3"/>
                                <w:right w:val="single" w:sz="2" w:space="0" w:color="D9D9E3"/>
                              </w:divBdr>
                              <w:divsChild>
                                <w:div w:id="2029938698">
                                  <w:marLeft w:val="0"/>
                                  <w:marRight w:val="0"/>
                                  <w:marTop w:val="0"/>
                                  <w:marBottom w:val="0"/>
                                  <w:divBdr>
                                    <w:top w:val="single" w:sz="2" w:space="0" w:color="D9D9E3"/>
                                    <w:left w:val="single" w:sz="2" w:space="0" w:color="D9D9E3"/>
                                    <w:bottom w:val="single" w:sz="2" w:space="0" w:color="D9D9E3"/>
                                    <w:right w:val="single" w:sz="2" w:space="0" w:color="D9D9E3"/>
                                  </w:divBdr>
                                  <w:divsChild>
                                    <w:div w:id="65306913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392968894">
                      <w:marLeft w:val="0"/>
                      <w:marRight w:val="0"/>
                      <w:marTop w:val="0"/>
                      <w:marBottom w:val="0"/>
                      <w:divBdr>
                        <w:top w:val="single" w:sz="2" w:space="0" w:color="D9D9E3"/>
                        <w:left w:val="single" w:sz="2" w:space="0" w:color="D9D9E3"/>
                        <w:bottom w:val="single" w:sz="2" w:space="0" w:color="D9D9E3"/>
                        <w:right w:val="single" w:sz="2" w:space="0" w:color="D9D9E3"/>
                      </w:divBdr>
                      <w:divsChild>
                        <w:div w:id="1239901914">
                          <w:marLeft w:val="0"/>
                          <w:marRight w:val="0"/>
                          <w:marTop w:val="0"/>
                          <w:marBottom w:val="0"/>
                          <w:divBdr>
                            <w:top w:val="single" w:sz="2" w:space="0" w:color="D9D9E3"/>
                            <w:left w:val="single" w:sz="2" w:space="0" w:color="D9D9E3"/>
                            <w:bottom w:val="single" w:sz="2" w:space="0" w:color="D9D9E3"/>
                            <w:right w:val="single" w:sz="2" w:space="0" w:color="D9D9E3"/>
                          </w:divBdr>
                        </w:div>
                        <w:div w:id="68314695">
                          <w:marLeft w:val="0"/>
                          <w:marRight w:val="0"/>
                          <w:marTop w:val="0"/>
                          <w:marBottom w:val="0"/>
                          <w:divBdr>
                            <w:top w:val="single" w:sz="2" w:space="0" w:color="D9D9E3"/>
                            <w:left w:val="single" w:sz="2" w:space="0" w:color="D9D9E3"/>
                            <w:bottom w:val="single" w:sz="2" w:space="0" w:color="D9D9E3"/>
                            <w:right w:val="single" w:sz="2" w:space="0" w:color="D9D9E3"/>
                          </w:divBdr>
                          <w:divsChild>
                            <w:div w:id="1707485567">
                              <w:marLeft w:val="0"/>
                              <w:marRight w:val="0"/>
                              <w:marTop w:val="0"/>
                              <w:marBottom w:val="0"/>
                              <w:divBdr>
                                <w:top w:val="single" w:sz="2" w:space="0" w:color="D9D9E3"/>
                                <w:left w:val="single" w:sz="2" w:space="0" w:color="D9D9E3"/>
                                <w:bottom w:val="single" w:sz="2" w:space="0" w:color="D9D9E3"/>
                                <w:right w:val="single" w:sz="2" w:space="0" w:color="D9D9E3"/>
                              </w:divBdr>
                              <w:divsChild>
                                <w:div w:id="1596014382">
                                  <w:marLeft w:val="0"/>
                                  <w:marRight w:val="0"/>
                                  <w:marTop w:val="0"/>
                                  <w:marBottom w:val="0"/>
                                  <w:divBdr>
                                    <w:top w:val="single" w:sz="2" w:space="0" w:color="D9D9E3"/>
                                    <w:left w:val="single" w:sz="2" w:space="0" w:color="D9D9E3"/>
                                    <w:bottom w:val="single" w:sz="2" w:space="0" w:color="D9D9E3"/>
                                    <w:right w:val="single" w:sz="2" w:space="0" w:color="D9D9E3"/>
                                  </w:divBdr>
                                  <w:divsChild>
                                    <w:div w:id="164438732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1620526859">
      <w:bodyDiv w:val="1"/>
      <w:marLeft w:val="0"/>
      <w:marRight w:val="0"/>
      <w:marTop w:val="0"/>
      <w:marBottom w:val="0"/>
      <w:divBdr>
        <w:top w:val="none" w:sz="0" w:space="0" w:color="auto"/>
        <w:left w:val="none" w:sz="0" w:space="0" w:color="auto"/>
        <w:bottom w:val="none" w:sz="0" w:space="0" w:color="auto"/>
        <w:right w:val="none" w:sz="0" w:space="0" w:color="auto"/>
      </w:divBdr>
    </w:div>
    <w:div w:id="1654211848">
      <w:bodyDiv w:val="1"/>
      <w:marLeft w:val="0"/>
      <w:marRight w:val="0"/>
      <w:marTop w:val="0"/>
      <w:marBottom w:val="0"/>
      <w:divBdr>
        <w:top w:val="none" w:sz="0" w:space="0" w:color="auto"/>
        <w:left w:val="none" w:sz="0" w:space="0" w:color="auto"/>
        <w:bottom w:val="none" w:sz="0" w:space="0" w:color="auto"/>
        <w:right w:val="none" w:sz="0" w:space="0" w:color="auto"/>
      </w:divBdr>
    </w:div>
    <w:div w:id="1683582765">
      <w:bodyDiv w:val="1"/>
      <w:marLeft w:val="0"/>
      <w:marRight w:val="0"/>
      <w:marTop w:val="0"/>
      <w:marBottom w:val="0"/>
      <w:divBdr>
        <w:top w:val="none" w:sz="0" w:space="0" w:color="auto"/>
        <w:left w:val="none" w:sz="0" w:space="0" w:color="auto"/>
        <w:bottom w:val="none" w:sz="0" w:space="0" w:color="auto"/>
        <w:right w:val="none" w:sz="0" w:space="0" w:color="auto"/>
      </w:divBdr>
    </w:div>
    <w:div w:id="1699045461">
      <w:bodyDiv w:val="1"/>
      <w:marLeft w:val="0"/>
      <w:marRight w:val="0"/>
      <w:marTop w:val="0"/>
      <w:marBottom w:val="0"/>
      <w:divBdr>
        <w:top w:val="none" w:sz="0" w:space="0" w:color="auto"/>
        <w:left w:val="none" w:sz="0" w:space="0" w:color="auto"/>
        <w:bottom w:val="none" w:sz="0" w:space="0" w:color="auto"/>
        <w:right w:val="none" w:sz="0" w:space="0" w:color="auto"/>
      </w:divBdr>
    </w:div>
    <w:div w:id="1761096395">
      <w:bodyDiv w:val="1"/>
      <w:marLeft w:val="0"/>
      <w:marRight w:val="0"/>
      <w:marTop w:val="0"/>
      <w:marBottom w:val="0"/>
      <w:divBdr>
        <w:top w:val="none" w:sz="0" w:space="0" w:color="auto"/>
        <w:left w:val="none" w:sz="0" w:space="0" w:color="auto"/>
        <w:bottom w:val="none" w:sz="0" w:space="0" w:color="auto"/>
        <w:right w:val="none" w:sz="0" w:space="0" w:color="auto"/>
      </w:divBdr>
      <w:divsChild>
        <w:div w:id="1385179044">
          <w:marLeft w:val="0"/>
          <w:marRight w:val="0"/>
          <w:marTop w:val="0"/>
          <w:marBottom w:val="0"/>
          <w:divBdr>
            <w:top w:val="single" w:sz="2" w:space="0" w:color="D9D9E3"/>
            <w:left w:val="single" w:sz="2" w:space="0" w:color="D9D9E3"/>
            <w:bottom w:val="single" w:sz="2" w:space="0" w:color="D9D9E3"/>
            <w:right w:val="single" w:sz="2" w:space="0" w:color="D9D9E3"/>
          </w:divBdr>
          <w:divsChild>
            <w:div w:id="1791895073">
              <w:marLeft w:val="0"/>
              <w:marRight w:val="0"/>
              <w:marTop w:val="0"/>
              <w:marBottom w:val="0"/>
              <w:divBdr>
                <w:top w:val="single" w:sz="2" w:space="0" w:color="D9D9E3"/>
                <w:left w:val="single" w:sz="2" w:space="0" w:color="D9D9E3"/>
                <w:bottom w:val="single" w:sz="2" w:space="0" w:color="D9D9E3"/>
                <w:right w:val="single" w:sz="2" w:space="0" w:color="D9D9E3"/>
              </w:divBdr>
              <w:divsChild>
                <w:div w:id="16928433">
                  <w:marLeft w:val="0"/>
                  <w:marRight w:val="0"/>
                  <w:marTop w:val="0"/>
                  <w:marBottom w:val="0"/>
                  <w:divBdr>
                    <w:top w:val="single" w:sz="2" w:space="0" w:color="D9D9E3"/>
                    <w:left w:val="single" w:sz="2" w:space="0" w:color="D9D9E3"/>
                    <w:bottom w:val="single" w:sz="2" w:space="0" w:color="D9D9E3"/>
                    <w:right w:val="single" w:sz="2" w:space="0" w:color="D9D9E3"/>
                  </w:divBdr>
                  <w:divsChild>
                    <w:div w:id="861892499">
                      <w:marLeft w:val="0"/>
                      <w:marRight w:val="0"/>
                      <w:marTop w:val="0"/>
                      <w:marBottom w:val="0"/>
                      <w:divBdr>
                        <w:top w:val="single" w:sz="2" w:space="0" w:color="D9D9E3"/>
                        <w:left w:val="single" w:sz="2" w:space="0" w:color="D9D9E3"/>
                        <w:bottom w:val="single" w:sz="2" w:space="0" w:color="D9D9E3"/>
                        <w:right w:val="single" w:sz="2" w:space="0" w:color="D9D9E3"/>
                      </w:divBdr>
                      <w:divsChild>
                        <w:div w:id="135147538">
                          <w:marLeft w:val="0"/>
                          <w:marRight w:val="0"/>
                          <w:marTop w:val="0"/>
                          <w:marBottom w:val="0"/>
                          <w:divBdr>
                            <w:top w:val="single" w:sz="2" w:space="0" w:color="D9D9E3"/>
                            <w:left w:val="single" w:sz="2" w:space="0" w:color="D9D9E3"/>
                            <w:bottom w:val="single" w:sz="2" w:space="0" w:color="D9D9E3"/>
                            <w:right w:val="single" w:sz="2" w:space="0" w:color="D9D9E3"/>
                          </w:divBdr>
                          <w:divsChild>
                            <w:div w:id="1579368516">
                              <w:marLeft w:val="0"/>
                              <w:marRight w:val="0"/>
                              <w:marTop w:val="100"/>
                              <w:marBottom w:val="100"/>
                              <w:divBdr>
                                <w:top w:val="single" w:sz="2" w:space="0" w:color="D9D9E3"/>
                                <w:left w:val="single" w:sz="2" w:space="0" w:color="D9D9E3"/>
                                <w:bottom w:val="single" w:sz="2" w:space="0" w:color="D9D9E3"/>
                                <w:right w:val="single" w:sz="2" w:space="0" w:color="D9D9E3"/>
                              </w:divBdr>
                              <w:divsChild>
                                <w:div w:id="1038814795">
                                  <w:marLeft w:val="0"/>
                                  <w:marRight w:val="0"/>
                                  <w:marTop w:val="0"/>
                                  <w:marBottom w:val="0"/>
                                  <w:divBdr>
                                    <w:top w:val="single" w:sz="2" w:space="0" w:color="D9D9E3"/>
                                    <w:left w:val="single" w:sz="2" w:space="0" w:color="D9D9E3"/>
                                    <w:bottom w:val="single" w:sz="2" w:space="0" w:color="D9D9E3"/>
                                    <w:right w:val="single" w:sz="2" w:space="0" w:color="D9D9E3"/>
                                  </w:divBdr>
                                  <w:divsChild>
                                    <w:div w:id="1846437633">
                                      <w:marLeft w:val="0"/>
                                      <w:marRight w:val="0"/>
                                      <w:marTop w:val="0"/>
                                      <w:marBottom w:val="0"/>
                                      <w:divBdr>
                                        <w:top w:val="single" w:sz="2" w:space="0" w:color="D9D9E3"/>
                                        <w:left w:val="single" w:sz="2" w:space="0" w:color="D9D9E3"/>
                                        <w:bottom w:val="single" w:sz="2" w:space="0" w:color="D9D9E3"/>
                                        <w:right w:val="single" w:sz="2" w:space="0" w:color="D9D9E3"/>
                                      </w:divBdr>
                                      <w:divsChild>
                                        <w:div w:id="2120559762">
                                          <w:marLeft w:val="0"/>
                                          <w:marRight w:val="0"/>
                                          <w:marTop w:val="0"/>
                                          <w:marBottom w:val="0"/>
                                          <w:divBdr>
                                            <w:top w:val="single" w:sz="2" w:space="0" w:color="D9D9E3"/>
                                            <w:left w:val="single" w:sz="2" w:space="0" w:color="D9D9E3"/>
                                            <w:bottom w:val="single" w:sz="2" w:space="0" w:color="D9D9E3"/>
                                            <w:right w:val="single" w:sz="2" w:space="0" w:color="D9D9E3"/>
                                          </w:divBdr>
                                          <w:divsChild>
                                            <w:div w:id="770004187">
                                              <w:marLeft w:val="0"/>
                                              <w:marRight w:val="0"/>
                                              <w:marTop w:val="0"/>
                                              <w:marBottom w:val="0"/>
                                              <w:divBdr>
                                                <w:top w:val="single" w:sz="2" w:space="0" w:color="D9D9E3"/>
                                                <w:left w:val="single" w:sz="2" w:space="0" w:color="D9D9E3"/>
                                                <w:bottom w:val="single" w:sz="2" w:space="0" w:color="D9D9E3"/>
                                                <w:right w:val="single" w:sz="2" w:space="0" w:color="D9D9E3"/>
                                              </w:divBdr>
                                              <w:divsChild>
                                                <w:div w:id="1111431735">
                                                  <w:marLeft w:val="0"/>
                                                  <w:marRight w:val="0"/>
                                                  <w:marTop w:val="0"/>
                                                  <w:marBottom w:val="0"/>
                                                  <w:divBdr>
                                                    <w:top w:val="single" w:sz="2" w:space="0" w:color="D9D9E3"/>
                                                    <w:left w:val="single" w:sz="2" w:space="0" w:color="D9D9E3"/>
                                                    <w:bottom w:val="single" w:sz="2" w:space="0" w:color="D9D9E3"/>
                                                    <w:right w:val="single" w:sz="2" w:space="0" w:color="D9D9E3"/>
                                                  </w:divBdr>
                                                  <w:divsChild>
                                                    <w:div w:id="87708164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974137346">
          <w:marLeft w:val="0"/>
          <w:marRight w:val="0"/>
          <w:marTop w:val="0"/>
          <w:marBottom w:val="0"/>
          <w:divBdr>
            <w:top w:val="none" w:sz="0" w:space="0" w:color="auto"/>
            <w:left w:val="none" w:sz="0" w:space="0" w:color="auto"/>
            <w:bottom w:val="none" w:sz="0" w:space="0" w:color="auto"/>
            <w:right w:val="none" w:sz="0" w:space="0" w:color="auto"/>
          </w:divBdr>
        </w:div>
      </w:divsChild>
    </w:div>
    <w:div w:id="1783642922">
      <w:bodyDiv w:val="1"/>
      <w:marLeft w:val="0"/>
      <w:marRight w:val="0"/>
      <w:marTop w:val="0"/>
      <w:marBottom w:val="0"/>
      <w:divBdr>
        <w:top w:val="none" w:sz="0" w:space="0" w:color="auto"/>
        <w:left w:val="none" w:sz="0" w:space="0" w:color="auto"/>
        <w:bottom w:val="none" w:sz="0" w:space="0" w:color="auto"/>
        <w:right w:val="none" w:sz="0" w:space="0" w:color="auto"/>
      </w:divBdr>
    </w:div>
    <w:div w:id="1795831390">
      <w:bodyDiv w:val="1"/>
      <w:marLeft w:val="0"/>
      <w:marRight w:val="0"/>
      <w:marTop w:val="0"/>
      <w:marBottom w:val="0"/>
      <w:divBdr>
        <w:top w:val="none" w:sz="0" w:space="0" w:color="auto"/>
        <w:left w:val="none" w:sz="0" w:space="0" w:color="auto"/>
        <w:bottom w:val="none" w:sz="0" w:space="0" w:color="auto"/>
        <w:right w:val="none" w:sz="0" w:space="0" w:color="auto"/>
      </w:divBdr>
    </w:div>
    <w:div w:id="1838569907">
      <w:bodyDiv w:val="1"/>
      <w:marLeft w:val="0"/>
      <w:marRight w:val="0"/>
      <w:marTop w:val="0"/>
      <w:marBottom w:val="0"/>
      <w:divBdr>
        <w:top w:val="none" w:sz="0" w:space="0" w:color="auto"/>
        <w:left w:val="none" w:sz="0" w:space="0" w:color="auto"/>
        <w:bottom w:val="none" w:sz="0" w:space="0" w:color="auto"/>
        <w:right w:val="none" w:sz="0" w:space="0" w:color="auto"/>
      </w:divBdr>
    </w:div>
    <w:div w:id="1863401480">
      <w:bodyDiv w:val="1"/>
      <w:marLeft w:val="0"/>
      <w:marRight w:val="0"/>
      <w:marTop w:val="0"/>
      <w:marBottom w:val="0"/>
      <w:divBdr>
        <w:top w:val="none" w:sz="0" w:space="0" w:color="auto"/>
        <w:left w:val="none" w:sz="0" w:space="0" w:color="auto"/>
        <w:bottom w:val="none" w:sz="0" w:space="0" w:color="auto"/>
        <w:right w:val="none" w:sz="0" w:space="0" w:color="auto"/>
      </w:divBdr>
      <w:divsChild>
        <w:div w:id="957104338">
          <w:marLeft w:val="0"/>
          <w:marRight w:val="0"/>
          <w:marTop w:val="0"/>
          <w:marBottom w:val="0"/>
          <w:divBdr>
            <w:top w:val="single" w:sz="2" w:space="0" w:color="D9D9E3"/>
            <w:left w:val="single" w:sz="2" w:space="0" w:color="D9D9E3"/>
            <w:bottom w:val="single" w:sz="2" w:space="0" w:color="D9D9E3"/>
            <w:right w:val="single" w:sz="2" w:space="0" w:color="D9D9E3"/>
          </w:divBdr>
          <w:divsChild>
            <w:div w:id="10762989">
              <w:marLeft w:val="0"/>
              <w:marRight w:val="0"/>
              <w:marTop w:val="0"/>
              <w:marBottom w:val="0"/>
              <w:divBdr>
                <w:top w:val="single" w:sz="2" w:space="0" w:color="D9D9E3"/>
                <w:left w:val="single" w:sz="2" w:space="0" w:color="D9D9E3"/>
                <w:bottom w:val="single" w:sz="2" w:space="0" w:color="D9D9E3"/>
                <w:right w:val="single" w:sz="2" w:space="0" w:color="D9D9E3"/>
              </w:divBdr>
              <w:divsChild>
                <w:div w:id="683480552">
                  <w:marLeft w:val="0"/>
                  <w:marRight w:val="0"/>
                  <w:marTop w:val="0"/>
                  <w:marBottom w:val="0"/>
                  <w:divBdr>
                    <w:top w:val="single" w:sz="2" w:space="0" w:color="D9D9E3"/>
                    <w:left w:val="single" w:sz="2" w:space="0" w:color="D9D9E3"/>
                    <w:bottom w:val="single" w:sz="2" w:space="0" w:color="D9D9E3"/>
                    <w:right w:val="single" w:sz="2" w:space="0" w:color="D9D9E3"/>
                  </w:divBdr>
                  <w:divsChild>
                    <w:div w:id="1157111618">
                      <w:marLeft w:val="0"/>
                      <w:marRight w:val="0"/>
                      <w:marTop w:val="0"/>
                      <w:marBottom w:val="0"/>
                      <w:divBdr>
                        <w:top w:val="single" w:sz="2" w:space="0" w:color="D9D9E3"/>
                        <w:left w:val="single" w:sz="2" w:space="0" w:color="D9D9E3"/>
                        <w:bottom w:val="single" w:sz="2" w:space="0" w:color="D9D9E3"/>
                        <w:right w:val="single" w:sz="2" w:space="0" w:color="D9D9E3"/>
                      </w:divBdr>
                      <w:divsChild>
                        <w:div w:id="828521808">
                          <w:marLeft w:val="0"/>
                          <w:marRight w:val="0"/>
                          <w:marTop w:val="0"/>
                          <w:marBottom w:val="0"/>
                          <w:divBdr>
                            <w:top w:val="single" w:sz="2" w:space="0" w:color="D9D9E3"/>
                            <w:left w:val="single" w:sz="2" w:space="0" w:color="D9D9E3"/>
                            <w:bottom w:val="single" w:sz="2" w:space="0" w:color="D9D9E3"/>
                            <w:right w:val="single" w:sz="2" w:space="0" w:color="D9D9E3"/>
                          </w:divBdr>
                          <w:divsChild>
                            <w:div w:id="1590968562">
                              <w:marLeft w:val="0"/>
                              <w:marRight w:val="0"/>
                              <w:marTop w:val="100"/>
                              <w:marBottom w:val="100"/>
                              <w:divBdr>
                                <w:top w:val="single" w:sz="2" w:space="0" w:color="D9D9E3"/>
                                <w:left w:val="single" w:sz="2" w:space="0" w:color="D9D9E3"/>
                                <w:bottom w:val="single" w:sz="2" w:space="0" w:color="D9D9E3"/>
                                <w:right w:val="single" w:sz="2" w:space="0" w:color="D9D9E3"/>
                              </w:divBdr>
                              <w:divsChild>
                                <w:div w:id="2127699048">
                                  <w:marLeft w:val="0"/>
                                  <w:marRight w:val="0"/>
                                  <w:marTop w:val="0"/>
                                  <w:marBottom w:val="0"/>
                                  <w:divBdr>
                                    <w:top w:val="single" w:sz="2" w:space="0" w:color="D9D9E3"/>
                                    <w:left w:val="single" w:sz="2" w:space="0" w:color="D9D9E3"/>
                                    <w:bottom w:val="single" w:sz="2" w:space="0" w:color="D9D9E3"/>
                                    <w:right w:val="single" w:sz="2" w:space="0" w:color="D9D9E3"/>
                                  </w:divBdr>
                                  <w:divsChild>
                                    <w:div w:id="1834754567">
                                      <w:marLeft w:val="0"/>
                                      <w:marRight w:val="0"/>
                                      <w:marTop w:val="0"/>
                                      <w:marBottom w:val="0"/>
                                      <w:divBdr>
                                        <w:top w:val="single" w:sz="2" w:space="0" w:color="D9D9E3"/>
                                        <w:left w:val="single" w:sz="2" w:space="0" w:color="D9D9E3"/>
                                        <w:bottom w:val="single" w:sz="2" w:space="0" w:color="D9D9E3"/>
                                        <w:right w:val="single" w:sz="2" w:space="0" w:color="D9D9E3"/>
                                      </w:divBdr>
                                      <w:divsChild>
                                        <w:div w:id="98766625">
                                          <w:marLeft w:val="0"/>
                                          <w:marRight w:val="0"/>
                                          <w:marTop w:val="0"/>
                                          <w:marBottom w:val="0"/>
                                          <w:divBdr>
                                            <w:top w:val="single" w:sz="2" w:space="0" w:color="D9D9E3"/>
                                            <w:left w:val="single" w:sz="2" w:space="0" w:color="D9D9E3"/>
                                            <w:bottom w:val="single" w:sz="2" w:space="0" w:color="D9D9E3"/>
                                            <w:right w:val="single" w:sz="2" w:space="0" w:color="D9D9E3"/>
                                          </w:divBdr>
                                          <w:divsChild>
                                            <w:div w:id="2039505060">
                                              <w:marLeft w:val="0"/>
                                              <w:marRight w:val="0"/>
                                              <w:marTop w:val="0"/>
                                              <w:marBottom w:val="0"/>
                                              <w:divBdr>
                                                <w:top w:val="single" w:sz="2" w:space="0" w:color="D9D9E3"/>
                                                <w:left w:val="single" w:sz="2" w:space="0" w:color="D9D9E3"/>
                                                <w:bottom w:val="single" w:sz="2" w:space="0" w:color="D9D9E3"/>
                                                <w:right w:val="single" w:sz="2" w:space="0" w:color="D9D9E3"/>
                                              </w:divBdr>
                                              <w:divsChild>
                                                <w:div w:id="1876497593">
                                                  <w:marLeft w:val="0"/>
                                                  <w:marRight w:val="0"/>
                                                  <w:marTop w:val="0"/>
                                                  <w:marBottom w:val="0"/>
                                                  <w:divBdr>
                                                    <w:top w:val="single" w:sz="2" w:space="0" w:color="D9D9E3"/>
                                                    <w:left w:val="single" w:sz="2" w:space="0" w:color="D9D9E3"/>
                                                    <w:bottom w:val="single" w:sz="2" w:space="0" w:color="D9D9E3"/>
                                                    <w:right w:val="single" w:sz="2" w:space="0" w:color="D9D9E3"/>
                                                  </w:divBdr>
                                                  <w:divsChild>
                                                    <w:div w:id="203275461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160730977">
          <w:marLeft w:val="0"/>
          <w:marRight w:val="0"/>
          <w:marTop w:val="0"/>
          <w:marBottom w:val="0"/>
          <w:divBdr>
            <w:top w:val="none" w:sz="0" w:space="0" w:color="auto"/>
            <w:left w:val="none" w:sz="0" w:space="0" w:color="auto"/>
            <w:bottom w:val="none" w:sz="0" w:space="0" w:color="auto"/>
            <w:right w:val="none" w:sz="0" w:space="0" w:color="auto"/>
          </w:divBdr>
        </w:div>
      </w:divsChild>
    </w:div>
    <w:div w:id="1978760484">
      <w:bodyDiv w:val="1"/>
      <w:marLeft w:val="0"/>
      <w:marRight w:val="0"/>
      <w:marTop w:val="0"/>
      <w:marBottom w:val="0"/>
      <w:divBdr>
        <w:top w:val="none" w:sz="0" w:space="0" w:color="auto"/>
        <w:left w:val="none" w:sz="0" w:space="0" w:color="auto"/>
        <w:bottom w:val="none" w:sz="0" w:space="0" w:color="auto"/>
        <w:right w:val="none" w:sz="0" w:space="0" w:color="auto"/>
      </w:divBdr>
    </w:div>
    <w:div w:id="2006665997">
      <w:bodyDiv w:val="1"/>
      <w:marLeft w:val="0"/>
      <w:marRight w:val="0"/>
      <w:marTop w:val="0"/>
      <w:marBottom w:val="0"/>
      <w:divBdr>
        <w:top w:val="none" w:sz="0" w:space="0" w:color="auto"/>
        <w:left w:val="none" w:sz="0" w:space="0" w:color="auto"/>
        <w:bottom w:val="none" w:sz="0" w:space="0" w:color="auto"/>
        <w:right w:val="none" w:sz="0" w:space="0" w:color="auto"/>
      </w:divBdr>
    </w:div>
    <w:div w:id="2046715635">
      <w:bodyDiv w:val="1"/>
      <w:marLeft w:val="0"/>
      <w:marRight w:val="0"/>
      <w:marTop w:val="0"/>
      <w:marBottom w:val="0"/>
      <w:divBdr>
        <w:top w:val="none" w:sz="0" w:space="0" w:color="auto"/>
        <w:left w:val="none" w:sz="0" w:space="0" w:color="auto"/>
        <w:bottom w:val="none" w:sz="0" w:space="0" w:color="auto"/>
        <w:right w:val="none" w:sz="0" w:space="0" w:color="auto"/>
      </w:divBdr>
      <w:divsChild>
        <w:div w:id="887033206">
          <w:marLeft w:val="0"/>
          <w:marRight w:val="0"/>
          <w:marTop w:val="0"/>
          <w:marBottom w:val="0"/>
          <w:divBdr>
            <w:top w:val="single" w:sz="2" w:space="0" w:color="D9D9E3"/>
            <w:left w:val="single" w:sz="2" w:space="0" w:color="D9D9E3"/>
            <w:bottom w:val="single" w:sz="2" w:space="0" w:color="D9D9E3"/>
            <w:right w:val="single" w:sz="2" w:space="0" w:color="D9D9E3"/>
          </w:divBdr>
          <w:divsChild>
            <w:div w:id="1731612832">
              <w:marLeft w:val="0"/>
              <w:marRight w:val="0"/>
              <w:marTop w:val="0"/>
              <w:marBottom w:val="0"/>
              <w:divBdr>
                <w:top w:val="single" w:sz="2" w:space="0" w:color="D9D9E3"/>
                <w:left w:val="single" w:sz="2" w:space="0" w:color="D9D9E3"/>
                <w:bottom w:val="single" w:sz="2" w:space="0" w:color="D9D9E3"/>
                <w:right w:val="single" w:sz="2" w:space="0" w:color="D9D9E3"/>
              </w:divBdr>
              <w:divsChild>
                <w:div w:id="113332836">
                  <w:marLeft w:val="0"/>
                  <w:marRight w:val="0"/>
                  <w:marTop w:val="0"/>
                  <w:marBottom w:val="0"/>
                  <w:divBdr>
                    <w:top w:val="single" w:sz="2" w:space="0" w:color="D9D9E3"/>
                    <w:left w:val="single" w:sz="2" w:space="0" w:color="D9D9E3"/>
                    <w:bottom w:val="single" w:sz="2" w:space="0" w:color="D9D9E3"/>
                    <w:right w:val="single" w:sz="2" w:space="0" w:color="D9D9E3"/>
                  </w:divBdr>
                  <w:divsChild>
                    <w:div w:id="2080982868">
                      <w:marLeft w:val="0"/>
                      <w:marRight w:val="0"/>
                      <w:marTop w:val="0"/>
                      <w:marBottom w:val="0"/>
                      <w:divBdr>
                        <w:top w:val="single" w:sz="2" w:space="0" w:color="D9D9E3"/>
                        <w:left w:val="single" w:sz="2" w:space="0" w:color="D9D9E3"/>
                        <w:bottom w:val="single" w:sz="2" w:space="0" w:color="D9D9E3"/>
                        <w:right w:val="single" w:sz="2" w:space="0" w:color="D9D9E3"/>
                      </w:divBdr>
                      <w:divsChild>
                        <w:div w:id="133573485">
                          <w:marLeft w:val="0"/>
                          <w:marRight w:val="0"/>
                          <w:marTop w:val="0"/>
                          <w:marBottom w:val="0"/>
                          <w:divBdr>
                            <w:top w:val="single" w:sz="2" w:space="0" w:color="D9D9E3"/>
                            <w:left w:val="single" w:sz="2" w:space="0" w:color="D9D9E3"/>
                            <w:bottom w:val="single" w:sz="2" w:space="0" w:color="D9D9E3"/>
                            <w:right w:val="single" w:sz="2" w:space="0" w:color="D9D9E3"/>
                          </w:divBdr>
                          <w:divsChild>
                            <w:div w:id="1706297672">
                              <w:marLeft w:val="0"/>
                              <w:marRight w:val="0"/>
                              <w:marTop w:val="100"/>
                              <w:marBottom w:val="100"/>
                              <w:divBdr>
                                <w:top w:val="single" w:sz="2" w:space="0" w:color="D9D9E3"/>
                                <w:left w:val="single" w:sz="2" w:space="0" w:color="D9D9E3"/>
                                <w:bottom w:val="single" w:sz="2" w:space="0" w:color="D9D9E3"/>
                                <w:right w:val="single" w:sz="2" w:space="0" w:color="D9D9E3"/>
                              </w:divBdr>
                              <w:divsChild>
                                <w:div w:id="626012439">
                                  <w:marLeft w:val="0"/>
                                  <w:marRight w:val="0"/>
                                  <w:marTop w:val="0"/>
                                  <w:marBottom w:val="0"/>
                                  <w:divBdr>
                                    <w:top w:val="single" w:sz="2" w:space="0" w:color="D9D9E3"/>
                                    <w:left w:val="single" w:sz="2" w:space="0" w:color="D9D9E3"/>
                                    <w:bottom w:val="single" w:sz="2" w:space="0" w:color="D9D9E3"/>
                                    <w:right w:val="single" w:sz="2" w:space="0" w:color="D9D9E3"/>
                                  </w:divBdr>
                                  <w:divsChild>
                                    <w:div w:id="111479656">
                                      <w:marLeft w:val="0"/>
                                      <w:marRight w:val="0"/>
                                      <w:marTop w:val="0"/>
                                      <w:marBottom w:val="0"/>
                                      <w:divBdr>
                                        <w:top w:val="single" w:sz="2" w:space="0" w:color="D9D9E3"/>
                                        <w:left w:val="single" w:sz="2" w:space="0" w:color="D9D9E3"/>
                                        <w:bottom w:val="single" w:sz="2" w:space="0" w:color="D9D9E3"/>
                                        <w:right w:val="single" w:sz="2" w:space="0" w:color="D9D9E3"/>
                                      </w:divBdr>
                                      <w:divsChild>
                                        <w:div w:id="1525241372">
                                          <w:marLeft w:val="0"/>
                                          <w:marRight w:val="0"/>
                                          <w:marTop w:val="0"/>
                                          <w:marBottom w:val="0"/>
                                          <w:divBdr>
                                            <w:top w:val="single" w:sz="2" w:space="0" w:color="D9D9E3"/>
                                            <w:left w:val="single" w:sz="2" w:space="0" w:color="D9D9E3"/>
                                            <w:bottom w:val="single" w:sz="2" w:space="0" w:color="D9D9E3"/>
                                            <w:right w:val="single" w:sz="2" w:space="0" w:color="D9D9E3"/>
                                          </w:divBdr>
                                          <w:divsChild>
                                            <w:div w:id="1198856913">
                                              <w:marLeft w:val="0"/>
                                              <w:marRight w:val="0"/>
                                              <w:marTop w:val="0"/>
                                              <w:marBottom w:val="0"/>
                                              <w:divBdr>
                                                <w:top w:val="single" w:sz="2" w:space="0" w:color="D9D9E3"/>
                                                <w:left w:val="single" w:sz="2" w:space="0" w:color="D9D9E3"/>
                                                <w:bottom w:val="single" w:sz="2" w:space="0" w:color="D9D9E3"/>
                                                <w:right w:val="single" w:sz="2" w:space="0" w:color="D9D9E3"/>
                                              </w:divBdr>
                                              <w:divsChild>
                                                <w:div w:id="901216963">
                                                  <w:marLeft w:val="0"/>
                                                  <w:marRight w:val="0"/>
                                                  <w:marTop w:val="0"/>
                                                  <w:marBottom w:val="0"/>
                                                  <w:divBdr>
                                                    <w:top w:val="single" w:sz="2" w:space="0" w:color="D9D9E3"/>
                                                    <w:left w:val="single" w:sz="2" w:space="0" w:color="D9D9E3"/>
                                                    <w:bottom w:val="single" w:sz="2" w:space="0" w:color="D9D9E3"/>
                                                    <w:right w:val="single" w:sz="2" w:space="0" w:color="D9D9E3"/>
                                                  </w:divBdr>
                                                  <w:divsChild>
                                                    <w:div w:id="164365414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497767094">
          <w:marLeft w:val="0"/>
          <w:marRight w:val="0"/>
          <w:marTop w:val="0"/>
          <w:marBottom w:val="0"/>
          <w:divBdr>
            <w:top w:val="none" w:sz="0" w:space="0" w:color="auto"/>
            <w:left w:val="none" w:sz="0" w:space="0" w:color="auto"/>
            <w:bottom w:val="none" w:sz="0" w:space="0" w:color="auto"/>
            <w:right w:val="none" w:sz="0" w:space="0" w:color="auto"/>
          </w:divBdr>
        </w:div>
      </w:divsChild>
    </w:div>
    <w:div w:id="2050841113">
      <w:bodyDiv w:val="1"/>
      <w:marLeft w:val="0"/>
      <w:marRight w:val="0"/>
      <w:marTop w:val="0"/>
      <w:marBottom w:val="0"/>
      <w:divBdr>
        <w:top w:val="none" w:sz="0" w:space="0" w:color="auto"/>
        <w:left w:val="none" w:sz="0" w:space="0" w:color="auto"/>
        <w:bottom w:val="none" w:sz="0" w:space="0" w:color="auto"/>
        <w:right w:val="none" w:sz="0" w:space="0" w:color="auto"/>
      </w:divBdr>
      <w:divsChild>
        <w:div w:id="1679847311">
          <w:marLeft w:val="0"/>
          <w:marRight w:val="0"/>
          <w:marTop w:val="0"/>
          <w:marBottom w:val="0"/>
          <w:divBdr>
            <w:top w:val="single" w:sz="2" w:space="0" w:color="D9D9E3"/>
            <w:left w:val="single" w:sz="2" w:space="0" w:color="D9D9E3"/>
            <w:bottom w:val="single" w:sz="2" w:space="0" w:color="D9D9E3"/>
            <w:right w:val="single" w:sz="2" w:space="0" w:color="D9D9E3"/>
          </w:divBdr>
          <w:divsChild>
            <w:div w:id="18164745">
              <w:marLeft w:val="0"/>
              <w:marRight w:val="0"/>
              <w:marTop w:val="0"/>
              <w:marBottom w:val="0"/>
              <w:divBdr>
                <w:top w:val="single" w:sz="2" w:space="0" w:color="D9D9E3"/>
                <w:left w:val="single" w:sz="2" w:space="0" w:color="D9D9E3"/>
                <w:bottom w:val="single" w:sz="2" w:space="0" w:color="D9D9E3"/>
                <w:right w:val="single" w:sz="2" w:space="0" w:color="D9D9E3"/>
              </w:divBdr>
              <w:divsChild>
                <w:div w:id="447433580">
                  <w:marLeft w:val="0"/>
                  <w:marRight w:val="0"/>
                  <w:marTop w:val="0"/>
                  <w:marBottom w:val="0"/>
                  <w:divBdr>
                    <w:top w:val="single" w:sz="2" w:space="0" w:color="D9D9E3"/>
                    <w:left w:val="single" w:sz="2" w:space="0" w:color="D9D9E3"/>
                    <w:bottom w:val="single" w:sz="2" w:space="0" w:color="D9D9E3"/>
                    <w:right w:val="single" w:sz="2" w:space="0" w:color="D9D9E3"/>
                  </w:divBdr>
                  <w:divsChild>
                    <w:div w:id="701639443">
                      <w:marLeft w:val="0"/>
                      <w:marRight w:val="0"/>
                      <w:marTop w:val="0"/>
                      <w:marBottom w:val="0"/>
                      <w:divBdr>
                        <w:top w:val="single" w:sz="2" w:space="0" w:color="D9D9E3"/>
                        <w:left w:val="single" w:sz="2" w:space="0" w:color="D9D9E3"/>
                        <w:bottom w:val="single" w:sz="2" w:space="0" w:color="D9D9E3"/>
                        <w:right w:val="single" w:sz="2" w:space="0" w:color="D9D9E3"/>
                      </w:divBdr>
                      <w:divsChild>
                        <w:div w:id="1370686582">
                          <w:marLeft w:val="0"/>
                          <w:marRight w:val="0"/>
                          <w:marTop w:val="0"/>
                          <w:marBottom w:val="0"/>
                          <w:divBdr>
                            <w:top w:val="single" w:sz="2" w:space="0" w:color="D9D9E3"/>
                            <w:left w:val="single" w:sz="2" w:space="0" w:color="D9D9E3"/>
                            <w:bottom w:val="single" w:sz="2" w:space="0" w:color="D9D9E3"/>
                            <w:right w:val="single" w:sz="2" w:space="0" w:color="D9D9E3"/>
                          </w:divBdr>
                          <w:divsChild>
                            <w:div w:id="199056703">
                              <w:marLeft w:val="0"/>
                              <w:marRight w:val="0"/>
                              <w:marTop w:val="100"/>
                              <w:marBottom w:val="100"/>
                              <w:divBdr>
                                <w:top w:val="single" w:sz="2" w:space="0" w:color="D9D9E3"/>
                                <w:left w:val="single" w:sz="2" w:space="0" w:color="D9D9E3"/>
                                <w:bottom w:val="single" w:sz="2" w:space="0" w:color="D9D9E3"/>
                                <w:right w:val="single" w:sz="2" w:space="0" w:color="D9D9E3"/>
                              </w:divBdr>
                              <w:divsChild>
                                <w:div w:id="247541520">
                                  <w:marLeft w:val="0"/>
                                  <w:marRight w:val="0"/>
                                  <w:marTop w:val="0"/>
                                  <w:marBottom w:val="0"/>
                                  <w:divBdr>
                                    <w:top w:val="single" w:sz="2" w:space="0" w:color="D9D9E3"/>
                                    <w:left w:val="single" w:sz="2" w:space="0" w:color="D9D9E3"/>
                                    <w:bottom w:val="single" w:sz="2" w:space="0" w:color="D9D9E3"/>
                                    <w:right w:val="single" w:sz="2" w:space="0" w:color="D9D9E3"/>
                                  </w:divBdr>
                                  <w:divsChild>
                                    <w:div w:id="1986428617">
                                      <w:marLeft w:val="0"/>
                                      <w:marRight w:val="0"/>
                                      <w:marTop w:val="0"/>
                                      <w:marBottom w:val="0"/>
                                      <w:divBdr>
                                        <w:top w:val="single" w:sz="2" w:space="0" w:color="D9D9E3"/>
                                        <w:left w:val="single" w:sz="2" w:space="0" w:color="D9D9E3"/>
                                        <w:bottom w:val="single" w:sz="2" w:space="0" w:color="D9D9E3"/>
                                        <w:right w:val="single" w:sz="2" w:space="0" w:color="D9D9E3"/>
                                      </w:divBdr>
                                      <w:divsChild>
                                        <w:div w:id="369114012">
                                          <w:marLeft w:val="0"/>
                                          <w:marRight w:val="0"/>
                                          <w:marTop w:val="0"/>
                                          <w:marBottom w:val="0"/>
                                          <w:divBdr>
                                            <w:top w:val="single" w:sz="2" w:space="0" w:color="D9D9E3"/>
                                            <w:left w:val="single" w:sz="2" w:space="0" w:color="D9D9E3"/>
                                            <w:bottom w:val="single" w:sz="2" w:space="0" w:color="D9D9E3"/>
                                            <w:right w:val="single" w:sz="2" w:space="0" w:color="D9D9E3"/>
                                          </w:divBdr>
                                          <w:divsChild>
                                            <w:div w:id="1772359264">
                                              <w:marLeft w:val="0"/>
                                              <w:marRight w:val="0"/>
                                              <w:marTop w:val="0"/>
                                              <w:marBottom w:val="0"/>
                                              <w:divBdr>
                                                <w:top w:val="single" w:sz="2" w:space="0" w:color="D9D9E3"/>
                                                <w:left w:val="single" w:sz="2" w:space="0" w:color="D9D9E3"/>
                                                <w:bottom w:val="single" w:sz="2" w:space="0" w:color="D9D9E3"/>
                                                <w:right w:val="single" w:sz="2" w:space="0" w:color="D9D9E3"/>
                                              </w:divBdr>
                                              <w:divsChild>
                                                <w:div w:id="1921868666">
                                                  <w:marLeft w:val="0"/>
                                                  <w:marRight w:val="0"/>
                                                  <w:marTop w:val="0"/>
                                                  <w:marBottom w:val="0"/>
                                                  <w:divBdr>
                                                    <w:top w:val="single" w:sz="2" w:space="0" w:color="D9D9E3"/>
                                                    <w:left w:val="single" w:sz="2" w:space="0" w:color="D9D9E3"/>
                                                    <w:bottom w:val="single" w:sz="2" w:space="0" w:color="D9D9E3"/>
                                                    <w:right w:val="single" w:sz="2" w:space="0" w:color="D9D9E3"/>
                                                  </w:divBdr>
                                                  <w:divsChild>
                                                    <w:div w:id="57065342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809711898">
          <w:marLeft w:val="0"/>
          <w:marRight w:val="0"/>
          <w:marTop w:val="0"/>
          <w:marBottom w:val="0"/>
          <w:divBdr>
            <w:top w:val="none" w:sz="0" w:space="0" w:color="auto"/>
            <w:left w:val="none" w:sz="0" w:space="0" w:color="auto"/>
            <w:bottom w:val="none" w:sz="0" w:space="0" w:color="auto"/>
            <w:right w:val="none" w:sz="0" w:space="0" w:color="auto"/>
          </w:divBdr>
        </w:div>
      </w:divsChild>
    </w:div>
    <w:div w:id="2100448278">
      <w:bodyDiv w:val="1"/>
      <w:marLeft w:val="0"/>
      <w:marRight w:val="0"/>
      <w:marTop w:val="0"/>
      <w:marBottom w:val="0"/>
      <w:divBdr>
        <w:top w:val="none" w:sz="0" w:space="0" w:color="auto"/>
        <w:left w:val="none" w:sz="0" w:space="0" w:color="auto"/>
        <w:bottom w:val="none" w:sz="0" w:space="0" w:color="auto"/>
        <w:right w:val="none" w:sz="0" w:space="0" w:color="auto"/>
      </w:divBdr>
      <w:divsChild>
        <w:div w:id="1962570244">
          <w:marLeft w:val="0"/>
          <w:marRight w:val="0"/>
          <w:marTop w:val="0"/>
          <w:marBottom w:val="0"/>
          <w:divBdr>
            <w:top w:val="single" w:sz="2" w:space="0" w:color="D9D9E3"/>
            <w:left w:val="single" w:sz="2" w:space="0" w:color="D9D9E3"/>
            <w:bottom w:val="single" w:sz="2" w:space="0" w:color="D9D9E3"/>
            <w:right w:val="single" w:sz="2" w:space="0" w:color="D9D9E3"/>
          </w:divBdr>
          <w:divsChild>
            <w:div w:id="708186797">
              <w:marLeft w:val="0"/>
              <w:marRight w:val="0"/>
              <w:marTop w:val="0"/>
              <w:marBottom w:val="0"/>
              <w:divBdr>
                <w:top w:val="single" w:sz="2" w:space="0" w:color="D9D9E3"/>
                <w:left w:val="single" w:sz="2" w:space="0" w:color="D9D9E3"/>
                <w:bottom w:val="single" w:sz="2" w:space="0" w:color="D9D9E3"/>
                <w:right w:val="single" w:sz="2" w:space="0" w:color="D9D9E3"/>
              </w:divBdr>
              <w:divsChild>
                <w:div w:id="562957654">
                  <w:marLeft w:val="0"/>
                  <w:marRight w:val="0"/>
                  <w:marTop w:val="0"/>
                  <w:marBottom w:val="0"/>
                  <w:divBdr>
                    <w:top w:val="single" w:sz="2" w:space="0" w:color="D9D9E3"/>
                    <w:left w:val="single" w:sz="2" w:space="0" w:color="D9D9E3"/>
                    <w:bottom w:val="single" w:sz="2" w:space="0" w:color="D9D9E3"/>
                    <w:right w:val="single" w:sz="2" w:space="0" w:color="D9D9E3"/>
                  </w:divBdr>
                  <w:divsChild>
                    <w:div w:id="311524225">
                      <w:marLeft w:val="0"/>
                      <w:marRight w:val="0"/>
                      <w:marTop w:val="0"/>
                      <w:marBottom w:val="0"/>
                      <w:divBdr>
                        <w:top w:val="single" w:sz="2" w:space="0" w:color="D9D9E3"/>
                        <w:left w:val="single" w:sz="2" w:space="0" w:color="D9D9E3"/>
                        <w:bottom w:val="single" w:sz="2" w:space="0" w:color="D9D9E3"/>
                        <w:right w:val="single" w:sz="2" w:space="0" w:color="D9D9E3"/>
                      </w:divBdr>
                      <w:divsChild>
                        <w:div w:id="29962003">
                          <w:marLeft w:val="0"/>
                          <w:marRight w:val="0"/>
                          <w:marTop w:val="0"/>
                          <w:marBottom w:val="0"/>
                          <w:divBdr>
                            <w:top w:val="single" w:sz="2" w:space="0" w:color="D9D9E3"/>
                            <w:left w:val="single" w:sz="2" w:space="0" w:color="D9D9E3"/>
                            <w:bottom w:val="single" w:sz="2" w:space="0" w:color="D9D9E3"/>
                            <w:right w:val="single" w:sz="2" w:space="0" w:color="D9D9E3"/>
                          </w:divBdr>
                          <w:divsChild>
                            <w:div w:id="683751384">
                              <w:marLeft w:val="0"/>
                              <w:marRight w:val="0"/>
                              <w:marTop w:val="100"/>
                              <w:marBottom w:val="100"/>
                              <w:divBdr>
                                <w:top w:val="single" w:sz="2" w:space="0" w:color="D9D9E3"/>
                                <w:left w:val="single" w:sz="2" w:space="0" w:color="D9D9E3"/>
                                <w:bottom w:val="single" w:sz="2" w:space="0" w:color="D9D9E3"/>
                                <w:right w:val="single" w:sz="2" w:space="0" w:color="D9D9E3"/>
                              </w:divBdr>
                              <w:divsChild>
                                <w:div w:id="1375233102">
                                  <w:marLeft w:val="0"/>
                                  <w:marRight w:val="0"/>
                                  <w:marTop w:val="0"/>
                                  <w:marBottom w:val="0"/>
                                  <w:divBdr>
                                    <w:top w:val="single" w:sz="2" w:space="0" w:color="D9D9E3"/>
                                    <w:left w:val="single" w:sz="2" w:space="0" w:color="D9D9E3"/>
                                    <w:bottom w:val="single" w:sz="2" w:space="0" w:color="D9D9E3"/>
                                    <w:right w:val="single" w:sz="2" w:space="0" w:color="D9D9E3"/>
                                  </w:divBdr>
                                  <w:divsChild>
                                    <w:div w:id="1729717407">
                                      <w:marLeft w:val="0"/>
                                      <w:marRight w:val="0"/>
                                      <w:marTop w:val="0"/>
                                      <w:marBottom w:val="0"/>
                                      <w:divBdr>
                                        <w:top w:val="single" w:sz="2" w:space="0" w:color="D9D9E3"/>
                                        <w:left w:val="single" w:sz="2" w:space="0" w:color="D9D9E3"/>
                                        <w:bottom w:val="single" w:sz="2" w:space="0" w:color="D9D9E3"/>
                                        <w:right w:val="single" w:sz="2" w:space="0" w:color="D9D9E3"/>
                                      </w:divBdr>
                                      <w:divsChild>
                                        <w:div w:id="1995645223">
                                          <w:marLeft w:val="0"/>
                                          <w:marRight w:val="0"/>
                                          <w:marTop w:val="0"/>
                                          <w:marBottom w:val="0"/>
                                          <w:divBdr>
                                            <w:top w:val="single" w:sz="2" w:space="0" w:color="D9D9E3"/>
                                            <w:left w:val="single" w:sz="2" w:space="0" w:color="D9D9E3"/>
                                            <w:bottom w:val="single" w:sz="2" w:space="0" w:color="D9D9E3"/>
                                            <w:right w:val="single" w:sz="2" w:space="0" w:color="D9D9E3"/>
                                          </w:divBdr>
                                          <w:divsChild>
                                            <w:div w:id="1195845414">
                                              <w:marLeft w:val="0"/>
                                              <w:marRight w:val="0"/>
                                              <w:marTop w:val="0"/>
                                              <w:marBottom w:val="0"/>
                                              <w:divBdr>
                                                <w:top w:val="single" w:sz="2" w:space="0" w:color="D9D9E3"/>
                                                <w:left w:val="single" w:sz="2" w:space="0" w:color="D9D9E3"/>
                                                <w:bottom w:val="single" w:sz="2" w:space="0" w:color="D9D9E3"/>
                                                <w:right w:val="single" w:sz="2" w:space="0" w:color="D9D9E3"/>
                                              </w:divBdr>
                                              <w:divsChild>
                                                <w:div w:id="1777945160">
                                                  <w:marLeft w:val="0"/>
                                                  <w:marRight w:val="0"/>
                                                  <w:marTop w:val="0"/>
                                                  <w:marBottom w:val="0"/>
                                                  <w:divBdr>
                                                    <w:top w:val="single" w:sz="2" w:space="0" w:color="D9D9E3"/>
                                                    <w:left w:val="single" w:sz="2" w:space="0" w:color="D9D9E3"/>
                                                    <w:bottom w:val="single" w:sz="2" w:space="0" w:color="D9D9E3"/>
                                                    <w:right w:val="single" w:sz="2" w:space="0" w:color="D9D9E3"/>
                                                  </w:divBdr>
                                                  <w:divsChild>
                                                    <w:div w:id="9302187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428037264">
          <w:marLeft w:val="0"/>
          <w:marRight w:val="0"/>
          <w:marTop w:val="0"/>
          <w:marBottom w:val="0"/>
          <w:divBdr>
            <w:top w:val="none" w:sz="0" w:space="0" w:color="auto"/>
            <w:left w:val="none" w:sz="0" w:space="0" w:color="auto"/>
            <w:bottom w:val="none" w:sz="0" w:space="0" w:color="auto"/>
            <w:right w:val="none" w:sz="0" w:space="0" w:color="auto"/>
          </w:divBdr>
        </w:div>
      </w:divsChild>
    </w:div>
    <w:div w:id="2108383646">
      <w:bodyDiv w:val="1"/>
      <w:marLeft w:val="0"/>
      <w:marRight w:val="0"/>
      <w:marTop w:val="0"/>
      <w:marBottom w:val="0"/>
      <w:divBdr>
        <w:top w:val="none" w:sz="0" w:space="0" w:color="auto"/>
        <w:left w:val="none" w:sz="0" w:space="0" w:color="auto"/>
        <w:bottom w:val="none" w:sz="0" w:space="0" w:color="auto"/>
        <w:right w:val="none" w:sz="0" w:space="0" w:color="auto"/>
      </w:divBdr>
      <w:divsChild>
        <w:div w:id="1242908503">
          <w:marLeft w:val="0"/>
          <w:marRight w:val="0"/>
          <w:marTop w:val="0"/>
          <w:marBottom w:val="0"/>
          <w:divBdr>
            <w:top w:val="single" w:sz="2" w:space="0" w:color="D9D9E3"/>
            <w:left w:val="single" w:sz="2" w:space="0" w:color="D9D9E3"/>
            <w:bottom w:val="single" w:sz="2" w:space="0" w:color="D9D9E3"/>
            <w:right w:val="single" w:sz="2" w:space="0" w:color="D9D9E3"/>
          </w:divBdr>
          <w:divsChild>
            <w:div w:id="1496259601">
              <w:marLeft w:val="0"/>
              <w:marRight w:val="0"/>
              <w:marTop w:val="0"/>
              <w:marBottom w:val="0"/>
              <w:divBdr>
                <w:top w:val="single" w:sz="2" w:space="0" w:color="D9D9E3"/>
                <w:left w:val="single" w:sz="2" w:space="0" w:color="D9D9E3"/>
                <w:bottom w:val="single" w:sz="2" w:space="0" w:color="D9D9E3"/>
                <w:right w:val="single" w:sz="2" w:space="0" w:color="D9D9E3"/>
              </w:divBdr>
              <w:divsChild>
                <w:div w:id="1567952849">
                  <w:marLeft w:val="0"/>
                  <w:marRight w:val="0"/>
                  <w:marTop w:val="0"/>
                  <w:marBottom w:val="0"/>
                  <w:divBdr>
                    <w:top w:val="single" w:sz="2" w:space="0" w:color="D9D9E3"/>
                    <w:left w:val="single" w:sz="2" w:space="0" w:color="D9D9E3"/>
                    <w:bottom w:val="single" w:sz="2" w:space="0" w:color="D9D9E3"/>
                    <w:right w:val="single" w:sz="2" w:space="0" w:color="D9D9E3"/>
                  </w:divBdr>
                  <w:divsChild>
                    <w:div w:id="656110829">
                      <w:marLeft w:val="0"/>
                      <w:marRight w:val="0"/>
                      <w:marTop w:val="0"/>
                      <w:marBottom w:val="0"/>
                      <w:divBdr>
                        <w:top w:val="single" w:sz="2" w:space="0" w:color="D9D9E3"/>
                        <w:left w:val="single" w:sz="2" w:space="0" w:color="D9D9E3"/>
                        <w:bottom w:val="single" w:sz="2" w:space="0" w:color="D9D9E3"/>
                        <w:right w:val="single" w:sz="2" w:space="0" w:color="D9D9E3"/>
                      </w:divBdr>
                      <w:divsChild>
                        <w:div w:id="152186944">
                          <w:marLeft w:val="0"/>
                          <w:marRight w:val="0"/>
                          <w:marTop w:val="0"/>
                          <w:marBottom w:val="0"/>
                          <w:divBdr>
                            <w:top w:val="single" w:sz="2" w:space="0" w:color="D9D9E3"/>
                            <w:left w:val="single" w:sz="2" w:space="0" w:color="D9D9E3"/>
                            <w:bottom w:val="single" w:sz="2" w:space="0" w:color="D9D9E3"/>
                            <w:right w:val="single" w:sz="2" w:space="0" w:color="D9D9E3"/>
                          </w:divBdr>
                          <w:divsChild>
                            <w:div w:id="1051926053">
                              <w:marLeft w:val="0"/>
                              <w:marRight w:val="0"/>
                              <w:marTop w:val="100"/>
                              <w:marBottom w:val="100"/>
                              <w:divBdr>
                                <w:top w:val="single" w:sz="2" w:space="0" w:color="D9D9E3"/>
                                <w:left w:val="single" w:sz="2" w:space="0" w:color="D9D9E3"/>
                                <w:bottom w:val="single" w:sz="2" w:space="0" w:color="D9D9E3"/>
                                <w:right w:val="single" w:sz="2" w:space="0" w:color="D9D9E3"/>
                              </w:divBdr>
                              <w:divsChild>
                                <w:div w:id="1235319988">
                                  <w:marLeft w:val="0"/>
                                  <w:marRight w:val="0"/>
                                  <w:marTop w:val="0"/>
                                  <w:marBottom w:val="0"/>
                                  <w:divBdr>
                                    <w:top w:val="single" w:sz="2" w:space="0" w:color="D9D9E3"/>
                                    <w:left w:val="single" w:sz="2" w:space="0" w:color="D9D9E3"/>
                                    <w:bottom w:val="single" w:sz="2" w:space="0" w:color="D9D9E3"/>
                                    <w:right w:val="single" w:sz="2" w:space="0" w:color="D9D9E3"/>
                                  </w:divBdr>
                                  <w:divsChild>
                                    <w:div w:id="2014988872">
                                      <w:marLeft w:val="0"/>
                                      <w:marRight w:val="0"/>
                                      <w:marTop w:val="0"/>
                                      <w:marBottom w:val="0"/>
                                      <w:divBdr>
                                        <w:top w:val="single" w:sz="2" w:space="0" w:color="D9D9E3"/>
                                        <w:left w:val="single" w:sz="2" w:space="0" w:color="D9D9E3"/>
                                        <w:bottom w:val="single" w:sz="2" w:space="0" w:color="D9D9E3"/>
                                        <w:right w:val="single" w:sz="2" w:space="0" w:color="D9D9E3"/>
                                      </w:divBdr>
                                      <w:divsChild>
                                        <w:div w:id="929891278">
                                          <w:marLeft w:val="0"/>
                                          <w:marRight w:val="0"/>
                                          <w:marTop w:val="0"/>
                                          <w:marBottom w:val="0"/>
                                          <w:divBdr>
                                            <w:top w:val="single" w:sz="2" w:space="0" w:color="D9D9E3"/>
                                            <w:left w:val="single" w:sz="2" w:space="0" w:color="D9D9E3"/>
                                            <w:bottom w:val="single" w:sz="2" w:space="0" w:color="D9D9E3"/>
                                            <w:right w:val="single" w:sz="2" w:space="0" w:color="D9D9E3"/>
                                          </w:divBdr>
                                          <w:divsChild>
                                            <w:div w:id="1067849477">
                                              <w:marLeft w:val="0"/>
                                              <w:marRight w:val="0"/>
                                              <w:marTop w:val="0"/>
                                              <w:marBottom w:val="0"/>
                                              <w:divBdr>
                                                <w:top w:val="single" w:sz="2" w:space="0" w:color="D9D9E3"/>
                                                <w:left w:val="single" w:sz="2" w:space="0" w:color="D9D9E3"/>
                                                <w:bottom w:val="single" w:sz="2" w:space="0" w:color="D9D9E3"/>
                                                <w:right w:val="single" w:sz="2" w:space="0" w:color="D9D9E3"/>
                                              </w:divBdr>
                                              <w:divsChild>
                                                <w:div w:id="781338834">
                                                  <w:marLeft w:val="0"/>
                                                  <w:marRight w:val="0"/>
                                                  <w:marTop w:val="0"/>
                                                  <w:marBottom w:val="0"/>
                                                  <w:divBdr>
                                                    <w:top w:val="single" w:sz="2" w:space="0" w:color="D9D9E3"/>
                                                    <w:left w:val="single" w:sz="2" w:space="0" w:color="D9D9E3"/>
                                                    <w:bottom w:val="single" w:sz="2" w:space="0" w:color="D9D9E3"/>
                                                    <w:right w:val="single" w:sz="2" w:space="0" w:color="D9D9E3"/>
                                                  </w:divBdr>
                                                  <w:divsChild>
                                                    <w:div w:id="165753804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1736410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2.xml"/><Relationship Id="rId18" Type="http://schemas.openxmlformats.org/officeDocument/2006/relationships/chart" Target="charts/chart7.xml"/><Relationship Id="rId26" Type="http://schemas.openxmlformats.org/officeDocument/2006/relationships/diagramData" Target="diagrams/data1.xml"/><Relationship Id="rId39" Type="http://schemas.openxmlformats.org/officeDocument/2006/relationships/hyperlink" Target="https://doi.org/10.1186/s12992-019-0534-2" TargetMode="External"/><Relationship Id="rId21" Type="http://schemas.openxmlformats.org/officeDocument/2006/relationships/chart" Target="charts/chart10.xml"/><Relationship Id="rId34" Type="http://schemas.openxmlformats.org/officeDocument/2006/relationships/diagramQuickStyle" Target="diagrams/quickStyle2.xml"/><Relationship Id="rId42" Type="http://schemas.openxmlformats.org/officeDocument/2006/relationships/hyperlink" Target="https://doi.org/10.18356/c6934888-en" TargetMode="External"/><Relationship Id="rId47" Type="http://schemas.openxmlformats.org/officeDocument/2006/relationships/hyperlink" Target="https://doi.org/10.1016/j.nexus.2023.100230" TargetMode="External"/><Relationship Id="rId50" Type="http://schemas.openxmlformats.org/officeDocument/2006/relationships/hyperlink" Target="https://doi.org/10.1007/s43621-022-00104-8" TargetMode="External"/><Relationship Id="rId55"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hart" Target="charts/chart5.xml"/><Relationship Id="rId29" Type="http://schemas.openxmlformats.org/officeDocument/2006/relationships/diagramColors" Target="diagrams/colors1.xml"/><Relationship Id="rId11" Type="http://schemas.openxmlformats.org/officeDocument/2006/relationships/hyperlink" Target="file:///C:\Users\zhudcova\Downloads\Criticism%20of%20SDGs%20restructured%20according%20to%20the%20literature%20review%20.docx" TargetMode="External"/><Relationship Id="rId24" Type="http://schemas.openxmlformats.org/officeDocument/2006/relationships/chart" Target="charts/chart13.xml"/><Relationship Id="rId32" Type="http://schemas.openxmlformats.org/officeDocument/2006/relationships/diagramData" Target="diagrams/data2.xml"/><Relationship Id="rId37" Type="http://schemas.openxmlformats.org/officeDocument/2006/relationships/hyperlink" Target="https://doi.org/10.1136/bmjgh-2017-000318" TargetMode="External"/><Relationship Id="rId40" Type="http://schemas.openxmlformats.org/officeDocument/2006/relationships/hyperlink" Target="https://doi.org/10.1016/j.envsci.2022.01.004" TargetMode="External"/><Relationship Id="rId45" Type="http://schemas.openxmlformats.org/officeDocument/2006/relationships/hyperlink" Target="http://www.hhrjournal.org/2015/09/02/sdg-series-sdgs-and-the-importance-of-formal-independent-review-an-opportunity-for-health-to-lead-the-way/" TargetMode="External"/><Relationship Id="rId53" Type="http://schemas.openxmlformats.org/officeDocument/2006/relationships/hyperlink" Target="https://doi.org/10.1093/hrlr/ngaa056" TargetMode="External"/><Relationship Id="rId5" Type="http://schemas.openxmlformats.org/officeDocument/2006/relationships/webSettings" Target="webSettings.xml"/><Relationship Id="rId19" Type="http://schemas.openxmlformats.org/officeDocument/2006/relationships/chart" Target="charts/chart8.xml"/><Relationship Id="rId4" Type="http://schemas.openxmlformats.org/officeDocument/2006/relationships/settings" Target="settings.xml"/><Relationship Id="rId9" Type="http://schemas.openxmlformats.org/officeDocument/2006/relationships/hyperlink" Target="file:///C:\Users\zhudcova\Downloads\Criticism%20of%20SDGs%20restructured%20according%20to%20the%20literature%20review%20.docx" TargetMode="External"/><Relationship Id="rId14" Type="http://schemas.openxmlformats.org/officeDocument/2006/relationships/chart" Target="charts/chart3.xml"/><Relationship Id="rId22" Type="http://schemas.openxmlformats.org/officeDocument/2006/relationships/chart" Target="charts/chart11.xml"/><Relationship Id="rId27" Type="http://schemas.openxmlformats.org/officeDocument/2006/relationships/diagramLayout" Target="diagrams/layout1.xml"/><Relationship Id="rId30" Type="http://schemas.microsoft.com/office/2007/relationships/diagramDrawing" Target="diagrams/drawing1.xml"/><Relationship Id="rId35" Type="http://schemas.openxmlformats.org/officeDocument/2006/relationships/diagramColors" Target="diagrams/colors2.xml"/><Relationship Id="rId43" Type="http://schemas.openxmlformats.org/officeDocument/2006/relationships/hyperlink" Target="http://www.jstor.org/stable/41328879" TargetMode="External"/><Relationship Id="rId48" Type="http://schemas.openxmlformats.org/officeDocument/2006/relationships/hyperlink" Target="https://doi.org/10.1086/657241" TargetMode="External"/><Relationship Id="rId56" Type="http://schemas.openxmlformats.org/officeDocument/2006/relationships/fontTable" Target="fontTable.xml"/><Relationship Id="rId8" Type="http://schemas.openxmlformats.org/officeDocument/2006/relationships/hyperlink" Target="file:///C:\Users\zhudcova\Downloads\Criticism%20of%20SDGs%20restructured%20according%20to%20the%20literature%20review%20.docx" TargetMode="External"/><Relationship Id="rId51" Type="http://schemas.openxmlformats.org/officeDocument/2006/relationships/hyperlink" Target="https://doi.org/10.1007/978-3-319-95867-5_37" TargetMode="External"/><Relationship Id="rId3" Type="http://schemas.openxmlformats.org/officeDocument/2006/relationships/styles" Target="styles.xml"/><Relationship Id="rId12" Type="http://schemas.openxmlformats.org/officeDocument/2006/relationships/chart" Target="charts/chart1.xml"/><Relationship Id="rId17" Type="http://schemas.openxmlformats.org/officeDocument/2006/relationships/chart" Target="charts/chart6.xml"/><Relationship Id="rId25" Type="http://schemas.openxmlformats.org/officeDocument/2006/relationships/image" Target="media/image1.png"/><Relationship Id="rId33" Type="http://schemas.openxmlformats.org/officeDocument/2006/relationships/diagramLayout" Target="diagrams/layout2.xml"/><Relationship Id="rId38" Type="http://schemas.openxmlformats.org/officeDocument/2006/relationships/hyperlink" Target="https://doi.org/10.1016/j.marpol.2022.105357" TargetMode="External"/><Relationship Id="rId46" Type="http://schemas.openxmlformats.org/officeDocument/2006/relationships/hyperlink" Target="https://doi.org/10.1016/j.tmp.2022.100937" TargetMode="External"/><Relationship Id="rId20" Type="http://schemas.openxmlformats.org/officeDocument/2006/relationships/chart" Target="charts/chart9.xml"/><Relationship Id="rId41" Type="http://schemas.openxmlformats.org/officeDocument/2006/relationships/hyperlink" Target="https://doi.org/10.4324/9780429027314-1" TargetMode="External"/><Relationship Id="rId54" Type="http://schemas.openxmlformats.org/officeDocument/2006/relationships/hyperlink" Target="https://doi.org/10.1007/s11625-017-0470-0"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hart" Target="charts/chart4.xml"/><Relationship Id="rId23" Type="http://schemas.openxmlformats.org/officeDocument/2006/relationships/chart" Target="charts/chart12.xml"/><Relationship Id="rId28" Type="http://schemas.openxmlformats.org/officeDocument/2006/relationships/diagramQuickStyle" Target="diagrams/quickStyle1.xml"/><Relationship Id="rId36" Type="http://schemas.microsoft.com/office/2007/relationships/diagramDrawing" Target="diagrams/drawing2.xml"/><Relationship Id="rId49" Type="http://schemas.openxmlformats.org/officeDocument/2006/relationships/hyperlink" Target="https://doi.org/10.1016/j.jmsy.2018.11.004" TargetMode="External"/><Relationship Id="rId57" Type="http://schemas.openxmlformats.org/officeDocument/2006/relationships/theme" Target="theme/theme1.xml"/><Relationship Id="rId10" Type="http://schemas.openxmlformats.org/officeDocument/2006/relationships/hyperlink" Target="file:///C:\Users\zhudcova\Downloads\Criticism%20of%20SDGs%20restructured%20according%20to%20the%20literature%20review%20.docx" TargetMode="External"/><Relationship Id="rId31" Type="http://schemas.openxmlformats.org/officeDocument/2006/relationships/image" Target="media/image2.jpeg"/><Relationship Id="rId44" Type="http://schemas.openxmlformats.org/officeDocument/2006/relationships/hyperlink" Target="https://doi.org/10.1016/j.ecolind.2015.08.003" TargetMode="External"/><Relationship Id="rId52" Type="http://schemas.openxmlformats.org/officeDocument/2006/relationships/hyperlink" Target="https://doi.org/10.1016/j.jclepro.2019.119832"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package" Target="../embeddings/Microsoft_Excel_Worksheet9.xlsx"/><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package" Target="../embeddings/Microsoft_Excel_Worksheet10.xlsx"/><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package" Target="../embeddings/Microsoft_Excel_Worksheet11.xlsx"/><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package" Target="../embeddings/Microsoft_Excel_Worksheet12.xlsx"/><Relationship Id="rId2" Type="http://schemas.microsoft.com/office/2011/relationships/chartColorStyle" Target="colors13.xml"/><Relationship Id="rId1" Type="http://schemas.microsoft.com/office/2011/relationships/chartStyle" Target="style13.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7.xlsx"/><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package" Target="../embeddings/Microsoft_Excel_Worksheet8.xlsx"/><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50" b="1" i="0" u="none" strike="noStrike" kern="1200" cap="all" spc="120" normalizeH="0" baseline="0">
                <a:solidFill>
                  <a:schemeClr val="tx1">
                    <a:lumMod val="65000"/>
                    <a:lumOff val="35000"/>
                  </a:schemeClr>
                </a:solidFill>
                <a:latin typeface="+mn-lt"/>
                <a:ea typeface="+mn-ea"/>
                <a:cs typeface="+mn-cs"/>
              </a:defRPr>
            </a:pPr>
            <a:r>
              <a:rPr lang="en-GB" sz="1050">
                <a:latin typeface="+mj-lt"/>
              </a:rPr>
              <a:t>Number of analyzed</a:t>
            </a:r>
            <a:r>
              <a:rPr lang="en-GB" sz="1050" baseline="0">
                <a:latin typeface="+mj-lt"/>
              </a:rPr>
              <a:t> </a:t>
            </a:r>
            <a:r>
              <a:rPr lang="en-GB" sz="1050">
                <a:latin typeface="+mj-lt"/>
              </a:rPr>
              <a:t>articles accorDing to the databese </a:t>
            </a:r>
          </a:p>
        </c:rich>
      </c:tx>
      <c:overlay val="0"/>
      <c:spPr>
        <a:noFill/>
        <a:ln>
          <a:noFill/>
        </a:ln>
        <a:effectLst/>
      </c:spPr>
      <c:txPr>
        <a:bodyPr rot="0" spcFirstLastPara="1" vertOverflow="ellipsis" vert="horz" wrap="square" anchor="ctr" anchorCtr="1"/>
        <a:lstStyle/>
        <a:p>
          <a:pPr>
            <a:defRPr sz="1050" b="1" i="0" u="none" strike="noStrike" kern="1200" cap="all" spc="120" normalizeH="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Scopus </c:v>
                </c:pt>
              </c:strCache>
            </c:strRef>
          </c:tx>
          <c:spPr>
            <a:solidFill>
              <a:schemeClr val="accent1"/>
            </a:solidFill>
            <a:ln>
              <a:noFill/>
            </a:ln>
            <a:effectLst/>
          </c:spPr>
          <c:invertIfNegative val="0"/>
          <c:dLbls>
            <c:dLbl>
              <c:idx val="0"/>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j-lt"/>
                      <a:ea typeface="+mn-ea"/>
                      <a:cs typeface="+mn-cs"/>
                    </a:defRPr>
                  </a:pPr>
                  <a:endParaRPr lang="en-US"/>
                </a:p>
              </c:txPr>
              <c:dLblPos val="outEnd"/>
              <c:showLegendKey val="0"/>
              <c:showVal val="1"/>
              <c:showCatName val="0"/>
              <c:showSerName val="0"/>
              <c:showPercent val="0"/>
              <c:showBubbleSize val="0"/>
              <c:extLst>
                <c:ext xmlns:c16="http://schemas.microsoft.com/office/drawing/2014/chart" uri="{C3380CC4-5D6E-409C-BE32-E72D297353CC}">
                  <c16:uniqueId val="{00000000-0DA7-43F0-BB21-7FDFD07E097B}"/>
                </c:ext>
              </c:extLst>
            </c:dLbl>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c:f>
              <c:strCache>
                <c:ptCount val="1"/>
                <c:pt idx="0">
                  <c:v>Number of articles</c:v>
                </c:pt>
              </c:strCache>
            </c:strRef>
          </c:cat>
          <c:val>
            <c:numRef>
              <c:f>Sheet1!$B$2</c:f>
              <c:numCache>
                <c:formatCode>General</c:formatCode>
                <c:ptCount val="1"/>
                <c:pt idx="0">
                  <c:v>54</c:v>
                </c:pt>
              </c:numCache>
            </c:numRef>
          </c:val>
          <c:extLst>
            <c:ext xmlns:c16="http://schemas.microsoft.com/office/drawing/2014/chart" uri="{C3380CC4-5D6E-409C-BE32-E72D297353CC}">
              <c16:uniqueId val="{00000000-0B7D-44BF-903D-9EFB5DCF05AF}"/>
            </c:ext>
          </c:extLst>
        </c:ser>
        <c:ser>
          <c:idx val="1"/>
          <c:order val="1"/>
          <c:tx>
            <c:strRef>
              <c:f>Sheet1!$C$1</c:f>
              <c:strCache>
                <c:ptCount val="1"/>
                <c:pt idx="0">
                  <c:v>Web of Science </c:v>
                </c:pt>
              </c:strCache>
            </c:strRef>
          </c:tx>
          <c:spPr>
            <a:solidFill>
              <a:schemeClr val="accent2"/>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j-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c:f>
              <c:strCache>
                <c:ptCount val="1"/>
                <c:pt idx="0">
                  <c:v>Number of articles</c:v>
                </c:pt>
              </c:strCache>
            </c:strRef>
          </c:cat>
          <c:val>
            <c:numRef>
              <c:f>Sheet1!$C$2</c:f>
              <c:numCache>
                <c:formatCode>General</c:formatCode>
                <c:ptCount val="1"/>
                <c:pt idx="0">
                  <c:v>20</c:v>
                </c:pt>
              </c:numCache>
            </c:numRef>
          </c:val>
          <c:extLst>
            <c:ext xmlns:c16="http://schemas.microsoft.com/office/drawing/2014/chart" uri="{C3380CC4-5D6E-409C-BE32-E72D297353CC}">
              <c16:uniqueId val="{00000001-0B7D-44BF-903D-9EFB5DCF05AF}"/>
            </c:ext>
          </c:extLst>
        </c:ser>
        <c:ser>
          <c:idx val="2"/>
          <c:order val="2"/>
          <c:tx>
            <c:strRef>
              <c:f>Sheet1!$D$1</c:f>
              <c:strCache>
                <c:ptCount val="1"/>
                <c:pt idx="0">
                  <c:v>Science Direct </c:v>
                </c:pt>
              </c:strCache>
            </c:strRef>
          </c:tx>
          <c:spPr>
            <a:solidFill>
              <a:schemeClr val="accent3"/>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j-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c:f>
              <c:strCache>
                <c:ptCount val="1"/>
                <c:pt idx="0">
                  <c:v>Number of articles</c:v>
                </c:pt>
              </c:strCache>
            </c:strRef>
          </c:cat>
          <c:val>
            <c:numRef>
              <c:f>Sheet1!$D$2</c:f>
              <c:numCache>
                <c:formatCode>General</c:formatCode>
                <c:ptCount val="1"/>
                <c:pt idx="0">
                  <c:v>20</c:v>
                </c:pt>
              </c:numCache>
            </c:numRef>
          </c:val>
          <c:extLst>
            <c:ext xmlns:c16="http://schemas.microsoft.com/office/drawing/2014/chart" uri="{C3380CC4-5D6E-409C-BE32-E72D297353CC}">
              <c16:uniqueId val="{00000002-0B7D-44BF-903D-9EFB5DCF05AF}"/>
            </c:ext>
          </c:extLst>
        </c:ser>
        <c:ser>
          <c:idx val="3"/>
          <c:order val="3"/>
          <c:tx>
            <c:strRef>
              <c:f>Sheet1!$E$1</c:f>
              <c:strCache>
                <c:ptCount val="1"/>
                <c:pt idx="0">
                  <c:v>Google Scholar</c:v>
                </c:pt>
              </c:strCache>
            </c:strRef>
          </c:tx>
          <c:spPr>
            <a:solidFill>
              <a:schemeClr val="accent4"/>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j-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c:f>
              <c:strCache>
                <c:ptCount val="1"/>
                <c:pt idx="0">
                  <c:v>Number of articles</c:v>
                </c:pt>
              </c:strCache>
            </c:strRef>
          </c:cat>
          <c:val>
            <c:numRef>
              <c:f>Sheet1!$E$2</c:f>
              <c:numCache>
                <c:formatCode>General</c:formatCode>
                <c:ptCount val="1"/>
                <c:pt idx="0">
                  <c:v>15</c:v>
                </c:pt>
              </c:numCache>
            </c:numRef>
          </c:val>
          <c:extLst>
            <c:ext xmlns:c16="http://schemas.microsoft.com/office/drawing/2014/chart" uri="{C3380CC4-5D6E-409C-BE32-E72D297353CC}">
              <c16:uniqueId val="{00000003-0B7D-44BF-903D-9EFB5DCF05AF}"/>
            </c:ext>
          </c:extLst>
        </c:ser>
        <c:ser>
          <c:idx val="4"/>
          <c:order val="4"/>
          <c:tx>
            <c:strRef>
              <c:f>Sheet1!$F$1</c:f>
              <c:strCache>
                <c:ptCount val="1"/>
                <c:pt idx="0">
                  <c:v>JSTOR</c:v>
                </c:pt>
              </c:strCache>
            </c:strRef>
          </c:tx>
          <c:spPr>
            <a:solidFill>
              <a:schemeClr val="accent5"/>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j-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c:f>
              <c:strCache>
                <c:ptCount val="1"/>
                <c:pt idx="0">
                  <c:v>Number of articles</c:v>
                </c:pt>
              </c:strCache>
            </c:strRef>
          </c:cat>
          <c:val>
            <c:numRef>
              <c:f>Sheet1!$F$2</c:f>
              <c:numCache>
                <c:formatCode>General</c:formatCode>
                <c:ptCount val="1"/>
                <c:pt idx="0">
                  <c:v>4</c:v>
                </c:pt>
              </c:numCache>
            </c:numRef>
          </c:val>
          <c:extLst>
            <c:ext xmlns:c16="http://schemas.microsoft.com/office/drawing/2014/chart" uri="{C3380CC4-5D6E-409C-BE32-E72D297353CC}">
              <c16:uniqueId val="{00000004-0B7D-44BF-903D-9EFB5DCF05AF}"/>
            </c:ext>
          </c:extLst>
        </c:ser>
        <c:dLbls>
          <c:dLblPos val="outEnd"/>
          <c:showLegendKey val="0"/>
          <c:showVal val="1"/>
          <c:showCatName val="0"/>
          <c:showSerName val="0"/>
          <c:showPercent val="0"/>
          <c:showBubbleSize val="0"/>
        </c:dLbls>
        <c:gapWidth val="444"/>
        <c:overlap val="-90"/>
        <c:axId val="296898944"/>
        <c:axId val="296901104"/>
      </c:barChart>
      <c:catAx>
        <c:axId val="29689894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j-lt"/>
                <a:ea typeface="+mn-ea"/>
                <a:cs typeface="+mn-cs"/>
              </a:defRPr>
            </a:pPr>
            <a:endParaRPr lang="en-US"/>
          </a:p>
        </c:txPr>
        <c:crossAx val="296901104"/>
        <c:crosses val="autoZero"/>
        <c:auto val="1"/>
        <c:lblAlgn val="ctr"/>
        <c:lblOffset val="100"/>
        <c:noMultiLvlLbl val="0"/>
      </c:catAx>
      <c:valAx>
        <c:axId val="296901104"/>
        <c:scaling>
          <c:orientation val="minMax"/>
        </c:scaling>
        <c:delete val="1"/>
        <c:axPos val="l"/>
        <c:numFmt formatCode="General" sourceLinked="1"/>
        <c:majorTickMark val="none"/>
        <c:minorTickMark val="none"/>
        <c:tickLblPos val="nextTo"/>
        <c:crossAx val="296898944"/>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j-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r>
              <a:rPr lang="en-GB">
                <a:latin typeface="+mj-lt"/>
              </a:rPr>
              <a:t>ASPECTS OF criticiSM</a:t>
            </a:r>
            <a:r>
              <a:rPr lang="en-GB" baseline="0">
                <a:latin typeface="+mj-lt"/>
              </a:rPr>
              <a:t> OF </a:t>
            </a:r>
            <a:r>
              <a:rPr lang="en-GB">
                <a:latin typeface="+mj-lt"/>
              </a:rPr>
              <a:t>sdgs according to quartile of their journals </a:t>
            </a:r>
          </a:p>
        </c:rich>
      </c:tx>
      <c:overlay val="0"/>
      <c:spPr>
        <a:noFill/>
        <a:ln>
          <a:noFill/>
        </a:ln>
        <a:effectLst/>
      </c:spPr>
      <c:txPr>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6.5180986045189168E-2"/>
          <c:y val="3.9870292643297875E-2"/>
          <c:w val="0.89173325277302995"/>
          <c:h val="0.81783259208843306"/>
        </c:manualLayout>
      </c:layout>
      <c:barChart>
        <c:barDir val="col"/>
        <c:grouping val="clustered"/>
        <c:varyColors val="0"/>
        <c:ser>
          <c:idx val="0"/>
          <c:order val="0"/>
          <c:tx>
            <c:strRef>
              <c:f>Sheet1!$B$1</c:f>
              <c:strCache>
                <c:ptCount val="1"/>
                <c:pt idx="0">
                  <c:v>Quartile 1</c:v>
                </c:pt>
              </c:strCache>
            </c:strRef>
          </c:tx>
          <c:spPr>
            <a:solidFill>
              <a:schemeClr val="accent1"/>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j-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Sheet1!$A$2:$A$9</c:f>
              <c:strCache>
                <c:ptCount val="7"/>
                <c:pt idx="0">
                  <c:v>Internal clashes </c:v>
                </c:pt>
                <c:pt idx="1">
                  <c:v>Lack of integration of SDGs</c:v>
                </c:pt>
                <c:pt idx="2">
                  <c:v>Inneficent indicators </c:v>
                </c:pt>
                <c:pt idx="3">
                  <c:v>Issues with current global settings </c:v>
                </c:pt>
                <c:pt idx="4">
                  <c:v>Monitoring </c:v>
                </c:pt>
                <c:pt idx="5">
                  <c:v>Lack of accountability mechanism </c:v>
                </c:pt>
                <c:pt idx="6">
                  <c:v>Non-legally binding nature </c:v>
                </c:pt>
              </c:strCache>
            </c:strRef>
          </c:cat>
          <c:val>
            <c:numRef>
              <c:f>Sheet1!$B$2:$B$9</c:f>
              <c:numCache>
                <c:formatCode>0.00%</c:formatCode>
                <c:ptCount val="8"/>
                <c:pt idx="0">
                  <c:v>0.36359999999999998</c:v>
                </c:pt>
                <c:pt idx="1">
                  <c:v>0.25900000000000001</c:v>
                </c:pt>
                <c:pt idx="2">
                  <c:v>0.15579999999999999</c:v>
                </c:pt>
                <c:pt idx="3">
                  <c:v>7.7899999999999997E-2</c:v>
                </c:pt>
                <c:pt idx="4">
                  <c:v>6.4899999999999999E-2</c:v>
                </c:pt>
                <c:pt idx="5">
                  <c:v>0.06</c:v>
                </c:pt>
                <c:pt idx="6">
                  <c:v>1.29E-2</c:v>
                </c:pt>
              </c:numCache>
            </c:numRef>
          </c:val>
          <c:extLst>
            <c:ext xmlns:c16="http://schemas.microsoft.com/office/drawing/2014/chart" uri="{C3380CC4-5D6E-409C-BE32-E72D297353CC}">
              <c16:uniqueId val="{00000000-D5EE-4596-A9C8-AEAD62F311A5}"/>
            </c:ext>
          </c:extLst>
        </c:ser>
        <c:ser>
          <c:idx val="1"/>
          <c:order val="1"/>
          <c:tx>
            <c:strRef>
              <c:f>Sheet1!$C$1</c:f>
              <c:strCache>
                <c:ptCount val="1"/>
                <c:pt idx="0">
                  <c:v>Quartile 2</c:v>
                </c:pt>
              </c:strCache>
            </c:strRef>
          </c:tx>
          <c:spPr>
            <a:solidFill>
              <a:schemeClr val="accent2"/>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j-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Sheet1!$A$2:$A$9</c:f>
              <c:strCache>
                <c:ptCount val="7"/>
                <c:pt idx="0">
                  <c:v>Internal clashes </c:v>
                </c:pt>
                <c:pt idx="1">
                  <c:v>Lack of integration of SDGs</c:v>
                </c:pt>
                <c:pt idx="2">
                  <c:v>Inneficent indicators </c:v>
                </c:pt>
                <c:pt idx="3">
                  <c:v>Issues with current global settings </c:v>
                </c:pt>
                <c:pt idx="4">
                  <c:v>Monitoring </c:v>
                </c:pt>
                <c:pt idx="5">
                  <c:v>Lack of accountability mechanism </c:v>
                </c:pt>
                <c:pt idx="6">
                  <c:v>Non-legally binding nature </c:v>
                </c:pt>
              </c:strCache>
            </c:strRef>
          </c:cat>
          <c:val>
            <c:numRef>
              <c:f>Sheet1!$C$2:$C$9</c:f>
              <c:numCache>
                <c:formatCode>General</c:formatCode>
                <c:ptCount val="8"/>
                <c:pt idx="0" formatCode="0%">
                  <c:v>0.2</c:v>
                </c:pt>
                <c:pt idx="1">
                  <c:v>0</c:v>
                </c:pt>
                <c:pt idx="2" formatCode="0.00%">
                  <c:v>6.6600000000000006E-2</c:v>
                </c:pt>
                <c:pt idx="3" formatCode="0.00%">
                  <c:v>0.33329999999999999</c:v>
                </c:pt>
                <c:pt idx="4" formatCode="0.00%">
                  <c:v>6.6600000000000006E-2</c:v>
                </c:pt>
                <c:pt idx="6" formatCode="0.00%">
                  <c:v>0.2</c:v>
                </c:pt>
              </c:numCache>
            </c:numRef>
          </c:val>
          <c:extLst>
            <c:ext xmlns:c16="http://schemas.microsoft.com/office/drawing/2014/chart" uri="{C3380CC4-5D6E-409C-BE32-E72D297353CC}">
              <c16:uniqueId val="{00000001-D5EE-4596-A9C8-AEAD62F311A5}"/>
            </c:ext>
          </c:extLst>
        </c:ser>
        <c:ser>
          <c:idx val="2"/>
          <c:order val="2"/>
          <c:tx>
            <c:strRef>
              <c:f>Sheet1!$D$1</c:f>
              <c:strCache>
                <c:ptCount val="1"/>
                <c:pt idx="0">
                  <c:v>Quartile 3</c:v>
                </c:pt>
              </c:strCache>
            </c:strRef>
          </c:tx>
          <c:spPr>
            <a:solidFill>
              <a:schemeClr val="accent3"/>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j-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Sheet1!$A$2:$A$9</c:f>
              <c:strCache>
                <c:ptCount val="7"/>
                <c:pt idx="0">
                  <c:v>Internal clashes </c:v>
                </c:pt>
                <c:pt idx="1">
                  <c:v>Lack of integration of SDGs</c:v>
                </c:pt>
                <c:pt idx="2">
                  <c:v>Inneficent indicators </c:v>
                </c:pt>
                <c:pt idx="3">
                  <c:v>Issues with current global settings </c:v>
                </c:pt>
                <c:pt idx="4">
                  <c:v>Monitoring </c:v>
                </c:pt>
                <c:pt idx="5">
                  <c:v>Lack of accountability mechanism </c:v>
                </c:pt>
                <c:pt idx="6">
                  <c:v>Non-legally binding nature </c:v>
                </c:pt>
              </c:strCache>
            </c:strRef>
          </c:cat>
          <c:val>
            <c:numRef>
              <c:f>Sheet1!$D$2:$D$9</c:f>
              <c:numCache>
                <c:formatCode>0%</c:formatCode>
                <c:ptCount val="8"/>
                <c:pt idx="0" formatCode="General">
                  <c:v>0</c:v>
                </c:pt>
                <c:pt idx="1">
                  <c:v>0.25</c:v>
                </c:pt>
                <c:pt idx="2">
                  <c:v>0.25</c:v>
                </c:pt>
                <c:pt idx="3">
                  <c:v>0.25</c:v>
                </c:pt>
                <c:pt idx="4" formatCode="0.00%">
                  <c:v>0.125</c:v>
                </c:pt>
                <c:pt idx="6" formatCode="0.00%">
                  <c:v>0.125</c:v>
                </c:pt>
              </c:numCache>
            </c:numRef>
          </c:val>
          <c:extLst>
            <c:ext xmlns:c16="http://schemas.microsoft.com/office/drawing/2014/chart" uri="{C3380CC4-5D6E-409C-BE32-E72D297353CC}">
              <c16:uniqueId val="{00000002-D5EE-4596-A9C8-AEAD62F311A5}"/>
            </c:ext>
          </c:extLst>
        </c:ser>
        <c:ser>
          <c:idx val="3"/>
          <c:order val="3"/>
          <c:tx>
            <c:strRef>
              <c:f>Sheet1!$E$1</c:f>
              <c:strCache>
                <c:ptCount val="1"/>
                <c:pt idx="0">
                  <c:v>Quartile 4</c:v>
                </c:pt>
              </c:strCache>
            </c:strRef>
          </c:tx>
          <c:spPr>
            <a:solidFill>
              <a:schemeClr val="accent4"/>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j-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Sheet1!$A$2:$A$9</c:f>
              <c:strCache>
                <c:ptCount val="7"/>
                <c:pt idx="0">
                  <c:v>Internal clashes </c:v>
                </c:pt>
                <c:pt idx="1">
                  <c:v>Lack of integration of SDGs</c:v>
                </c:pt>
                <c:pt idx="2">
                  <c:v>Inneficent indicators </c:v>
                </c:pt>
                <c:pt idx="3">
                  <c:v>Issues with current global settings </c:v>
                </c:pt>
                <c:pt idx="4">
                  <c:v>Monitoring </c:v>
                </c:pt>
                <c:pt idx="5">
                  <c:v>Lack of accountability mechanism </c:v>
                </c:pt>
                <c:pt idx="6">
                  <c:v>Non-legally binding nature </c:v>
                </c:pt>
              </c:strCache>
            </c:strRef>
          </c:cat>
          <c:val>
            <c:numRef>
              <c:f>Sheet1!$E$2:$E$9</c:f>
              <c:numCache>
                <c:formatCode>0%</c:formatCode>
                <c:ptCount val="8"/>
                <c:pt idx="0" formatCode="General">
                  <c:v>0</c:v>
                </c:pt>
                <c:pt idx="1">
                  <c:v>0.5</c:v>
                </c:pt>
                <c:pt idx="2" formatCode="General">
                  <c:v>0</c:v>
                </c:pt>
                <c:pt idx="3" formatCode="General">
                  <c:v>0</c:v>
                </c:pt>
                <c:pt idx="4" formatCode="General">
                  <c:v>0</c:v>
                </c:pt>
                <c:pt idx="5">
                  <c:v>0.5</c:v>
                </c:pt>
                <c:pt idx="6" formatCode="General">
                  <c:v>0</c:v>
                </c:pt>
              </c:numCache>
            </c:numRef>
          </c:val>
          <c:extLst>
            <c:ext xmlns:c16="http://schemas.microsoft.com/office/drawing/2014/chart" uri="{C3380CC4-5D6E-409C-BE32-E72D297353CC}">
              <c16:uniqueId val="{00000003-D5EE-4596-A9C8-AEAD62F311A5}"/>
            </c:ext>
          </c:extLst>
        </c:ser>
        <c:dLbls>
          <c:dLblPos val="outEnd"/>
          <c:showLegendKey val="0"/>
          <c:showVal val="1"/>
          <c:showCatName val="0"/>
          <c:showSerName val="0"/>
          <c:showPercent val="0"/>
          <c:showBubbleSize val="0"/>
        </c:dLbls>
        <c:gapWidth val="444"/>
        <c:overlap val="-90"/>
        <c:axId val="150384992"/>
        <c:axId val="150667152"/>
      </c:barChart>
      <c:catAx>
        <c:axId val="15038499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j-lt"/>
                <a:ea typeface="+mn-ea"/>
                <a:cs typeface="+mn-cs"/>
              </a:defRPr>
            </a:pPr>
            <a:endParaRPr lang="en-US"/>
          </a:p>
        </c:txPr>
        <c:crossAx val="150667152"/>
        <c:crosses val="autoZero"/>
        <c:auto val="1"/>
        <c:lblAlgn val="ctr"/>
        <c:lblOffset val="100"/>
        <c:noMultiLvlLbl val="0"/>
      </c:catAx>
      <c:valAx>
        <c:axId val="150667152"/>
        <c:scaling>
          <c:orientation val="minMax"/>
        </c:scaling>
        <c:delete val="1"/>
        <c:axPos val="l"/>
        <c:numFmt formatCode="0.00%" sourceLinked="1"/>
        <c:majorTickMark val="none"/>
        <c:minorTickMark val="none"/>
        <c:tickLblPos val="nextTo"/>
        <c:crossAx val="150384992"/>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1" i="0" u="none" strike="noStrike" kern="1200" cap="all" spc="120" normalizeH="0" baseline="0">
                <a:solidFill>
                  <a:schemeClr val="tx1">
                    <a:lumMod val="65000"/>
                    <a:lumOff val="35000"/>
                  </a:schemeClr>
                </a:solidFill>
                <a:latin typeface="+mn-lt"/>
                <a:ea typeface="+mn-ea"/>
                <a:cs typeface="+mn-cs"/>
              </a:defRPr>
            </a:pPr>
            <a:r>
              <a:rPr lang="en-US" sz="1100">
                <a:latin typeface="+mj-lt"/>
              </a:rPr>
              <a:t>Year of release of analyzed articles </a:t>
            </a:r>
          </a:p>
        </c:rich>
      </c:tx>
      <c:overlay val="0"/>
      <c:spPr>
        <a:noFill/>
        <a:ln>
          <a:noFill/>
        </a:ln>
        <a:effectLst/>
      </c:spPr>
      <c:txPr>
        <a:bodyPr rot="0" spcFirstLastPara="1" vertOverflow="ellipsis" vert="horz" wrap="square" anchor="ctr" anchorCtr="1"/>
        <a:lstStyle/>
        <a:p>
          <a:pPr>
            <a:defRPr sz="1100" b="1" i="0" u="none" strike="noStrike" kern="1200" cap="all" spc="120" normalizeH="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Percentage of articles </c:v>
                </c:pt>
              </c:strCache>
            </c:strRef>
          </c:tx>
          <c:spPr>
            <a:solidFill>
              <a:schemeClr val="accent1"/>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j-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Sheet1!$A$2:$A$11</c:f>
              <c:numCache>
                <c:formatCode>General</c:formatCode>
                <c:ptCount val="10"/>
                <c:pt idx="0">
                  <c:v>2014</c:v>
                </c:pt>
                <c:pt idx="1">
                  <c:v>2015</c:v>
                </c:pt>
                <c:pt idx="2">
                  <c:v>2016</c:v>
                </c:pt>
                <c:pt idx="3">
                  <c:v>2017</c:v>
                </c:pt>
                <c:pt idx="4">
                  <c:v>2018</c:v>
                </c:pt>
                <c:pt idx="5">
                  <c:v>2019</c:v>
                </c:pt>
                <c:pt idx="6">
                  <c:v>2020</c:v>
                </c:pt>
                <c:pt idx="7">
                  <c:v>2021</c:v>
                </c:pt>
                <c:pt idx="8">
                  <c:v>2022</c:v>
                </c:pt>
                <c:pt idx="9">
                  <c:v>2023</c:v>
                </c:pt>
              </c:numCache>
            </c:numRef>
          </c:cat>
          <c:val>
            <c:numRef>
              <c:f>Sheet1!$B$2:$B$11</c:f>
              <c:numCache>
                <c:formatCode>0.00%</c:formatCode>
                <c:ptCount val="10"/>
                <c:pt idx="0">
                  <c:v>4.6699999999999998E-2</c:v>
                </c:pt>
                <c:pt idx="1">
                  <c:v>9.2999999999999992E-3</c:v>
                </c:pt>
                <c:pt idx="2">
                  <c:v>7.4899999999999994E-2</c:v>
                </c:pt>
                <c:pt idx="3">
                  <c:v>0.11210000000000001</c:v>
                </c:pt>
                <c:pt idx="4">
                  <c:v>8.4099999999999994E-2</c:v>
                </c:pt>
                <c:pt idx="5">
                  <c:v>0.1588</c:v>
                </c:pt>
                <c:pt idx="6">
                  <c:v>0.14949999999999999</c:v>
                </c:pt>
                <c:pt idx="7">
                  <c:v>6.54E-2</c:v>
                </c:pt>
                <c:pt idx="8">
                  <c:v>0.2429</c:v>
                </c:pt>
                <c:pt idx="9">
                  <c:v>5.6000000000000001E-2</c:v>
                </c:pt>
              </c:numCache>
            </c:numRef>
          </c:val>
          <c:extLst>
            <c:ext xmlns:c16="http://schemas.microsoft.com/office/drawing/2014/chart" uri="{C3380CC4-5D6E-409C-BE32-E72D297353CC}">
              <c16:uniqueId val="{00000000-4C23-4618-96D7-D865C896B401}"/>
            </c:ext>
          </c:extLst>
        </c:ser>
        <c:dLbls>
          <c:dLblPos val="outEnd"/>
          <c:showLegendKey val="0"/>
          <c:showVal val="1"/>
          <c:showCatName val="0"/>
          <c:showSerName val="0"/>
          <c:showPercent val="0"/>
          <c:showBubbleSize val="0"/>
        </c:dLbls>
        <c:gapWidth val="444"/>
        <c:overlap val="-90"/>
        <c:axId val="504949040"/>
        <c:axId val="504950768"/>
      </c:barChart>
      <c:catAx>
        <c:axId val="50494904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j-lt"/>
                <a:ea typeface="+mn-ea"/>
                <a:cs typeface="+mn-cs"/>
              </a:defRPr>
            </a:pPr>
            <a:endParaRPr lang="en-US"/>
          </a:p>
        </c:txPr>
        <c:crossAx val="504950768"/>
        <c:crosses val="autoZero"/>
        <c:auto val="1"/>
        <c:lblAlgn val="ctr"/>
        <c:lblOffset val="100"/>
        <c:noMultiLvlLbl val="0"/>
      </c:catAx>
      <c:valAx>
        <c:axId val="504950768"/>
        <c:scaling>
          <c:orientation val="minMax"/>
        </c:scaling>
        <c:delete val="1"/>
        <c:axPos val="l"/>
        <c:numFmt formatCode="0.00%" sourceLinked="1"/>
        <c:majorTickMark val="none"/>
        <c:minorTickMark val="none"/>
        <c:tickLblPos val="nextTo"/>
        <c:crossAx val="50494904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1" i="0" u="none" strike="noStrike" kern="1200" cap="all" spc="150" baseline="0">
                <a:solidFill>
                  <a:schemeClr val="tx1">
                    <a:lumMod val="50000"/>
                    <a:lumOff val="50000"/>
                  </a:schemeClr>
                </a:solidFill>
                <a:latin typeface="+mn-lt"/>
                <a:ea typeface="+mn-ea"/>
                <a:cs typeface="+mn-cs"/>
              </a:defRPr>
            </a:pPr>
            <a:r>
              <a:rPr lang="en-GB" sz="1100">
                <a:latin typeface="+mj-lt"/>
              </a:rPr>
              <a:t>Criticism of SDGs on the basis of their year of release </a:t>
            </a:r>
          </a:p>
        </c:rich>
      </c:tx>
      <c:layout>
        <c:manualLayout>
          <c:xMode val="edge"/>
          <c:yMode val="edge"/>
          <c:x val="0.11485176409341637"/>
          <c:y val="1.3826477704804701E-2"/>
        </c:manualLayout>
      </c:layout>
      <c:overlay val="0"/>
      <c:spPr>
        <a:noFill/>
        <a:ln>
          <a:noFill/>
        </a:ln>
        <a:effectLst/>
      </c:spPr>
      <c:txPr>
        <a:bodyPr rot="0" spcFirstLastPara="1" vertOverflow="ellipsis" vert="horz" wrap="square" anchor="ctr" anchorCtr="1"/>
        <a:lstStyle/>
        <a:p>
          <a:pPr>
            <a:defRPr sz="1100" b="1" i="0" u="none" strike="noStrike" kern="1200" cap="all" spc="150" baseline="0">
              <a:solidFill>
                <a:schemeClr val="tx1">
                  <a:lumMod val="50000"/>
                  <a:lumOff val="50000"/>
                </a:schemeClr>
              </a:solidFill>
              <a:latin typeface="+mn-lt"/>
              <a:ea typeface="+mn-ea"/>
              <a:cs typeface="+mn-cs"/>
            </a:defRPr>
          </a:pPr>
          <a:endParaRPr lang="en-US"/>
        </a:p>
      </c:txPr>
    </c:title>
    <c:autoTitleDeleted val="0"/>
    <c:plotArea>
      <c:layout/>
      <c:barChart>
        <c:barDir val="bar"/>
        <c:grouping val="clustered"/>
        <c:varyColors val="0"/>
        <c:ser>
          <c:idx val="0"/>
          <c:order val="0"/>
          <c:tx>
            <c:strRef>
              <c:f>Sheet1!$B$1</c:f>
              <c:strCache>
                <c:ptCount val="1"/>
                <c:pt idx="0">
                  <c:v>2014</c:v>
                </c:pt>
              </c:strCache>
            </c:strRef>
          </c:tx>
          <c:spPr>
            <a:pattFill prst="narVert">
              <a:fgClr>
                <a:schemeClr val="accent1"/>
              </a:fgClr>
              <a:bgClr>
                <a:schemeClr val="accent1">
                  <a:lumMod val="20000"/>
                  <a:lumOff val="80000"/>
                </a:schemeClr>
              </a:bgClr>
            </a:pattFill>
            <a:ln>
              <a:noFill/>
            </a:ln>
            <a:effectLst>
              <a:innerShdw blurRad="114300">
                <a:schemeClr val="accent1"/>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j-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Sheet1!$A$2:$A$9</c:f>
              <c:strCache>
                <c:ptCount val="8"/>
                <c:pt idx="0">
                  <c:v>Accountability </c:v>
                </c:pt>
                <c:pt idx="1">
                  <c:v>Internal clashes</c:v>
                </c:pt>
                <c:pt idx="2">
                  <c:v>Lack of intergation</c:v>
                </c:pt>
                <c:pt idx="3">
                  <c:v>Monitoring </c:v>
                </c:pt>
                <c:pt idx="4">
                  <c:v>Not legally binding </c:v>
                </c:pt>
                <c:pt idx="5">
                  <c:v>Vague</c:v>
                </c:pt>
                <c:pt idx="6">
                  <c:v>Problems with global governance</c:v>
                </c:pt>
                <c:pt idx="7">
                  <c:v>Inneficient indicators</c:v>
                </c:pt>
              </c:strCache>
            </c:strRef>
          </c:cat>
          <c:val>
            <c:numRef>
              <c:f>Sheet1!$B$2:$B$9</c:f>
              <c:numCache>
                <c:formatCode>General</c:formatCode>
                <c:ptCount val="8"/>
                <c:pt idx="0">
                  <c:v>0</c:v>
                </c:pt>
                <c:pt idx="1">
                  <c:v>0</c:v>
                </c:pt>
                <c:pt idx="2" formatCode="0%">
                  <c:v>1</c:v>
                </c:pt>
                <c:pt idx="3">
                  <c:v>0</c:v>
                </c:pt>
                <c:pt idx="4">
                  <c:v>0</c:v>
                </c:pt>
                <c:pt idx="5">
                  <c:v>0</c:v>
                </c:pt>
                <c:pt idx="6">
                  <c:v>0</c:v>
                </c:pt>
                <c:pt idx="7">
                  <c:v>0</c:v>
                </c:pt>
              </c:numCache>
            </c:numRef>
          </c:val>
          <c:extLst>
            <c:ext xmlns:c16="http://schemas.microsoft.com/office/drawing/2014/chart" uri="{C3380CC4-5D6E-409C-BE32-E72D297353CC}">
              <c16:uniqueId val="{00000000-D981-46BF-A25E-B650EF02D2B4}"/>
            </c:ext>
          </c:extLst>
        </c:ser>
        <c:ser>
          <c:idx val="1"/>
          <c:order val="1"/>
          <c:tx>
            <c:strRef>
              <c:f>Sheet1!$C$1</c:f>
              <c:strCache>
                <c:ptCount val="1"/>
                <c:pt idx="0">
                  <c:v>2015</c:v>
                </c:pt>
              </c:strCache>
            </c:strRef>
          </c:tx>
          <c:spPr>
            <a:pattFill prst="narVert">
              <a:fgClr>
                <a:schemeClr val="accent2"/>
              </a:fgClr>
              <a:bgClr>
                <a:schemeClr val="accent2">
                  <a:lumMod val="20000"/>
                  <a:lumOff val="80000"/>
                </a:schemeClr>
              </a:bgClr>
            </a:pattFill>
            <a:ln>
              <a:noFill/>
            </a:ln>
            <a:effectLst>
              <a:innerShdw blurRad="114300">
                <a:schemeClr val="accent2"/>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j-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Sheet1!$A$2:$A$9</c:f>
              <c:strCache>
                <c:ptCount val="8"/>
                <c:pt idx="0">
                  <c:v>Accountability </c:v>
                </c:pt>
                <c:pt idx="1">
                  <c:v>Internal clashes</c:v>
                </c:pt>
                <c:pt idx="2">
                  <c:v>Lack of intergation</c:v>
                </c:pt>
                <c:pt idx="3">
                  <c:v>Monitoring </c:v>
                </c:pt>
                <c:pt idx="4">
                  <c:v>Not legally binding </c:v>
                </c:pt>
                <c:pt idx="5">
                  <c:v>Vague</c:v>
                </c:pt>
                <c:pt idx="6">
                  <c:v>Problems with global governance</c:v>
                </c:pt>
                <c:pt idx="7">
                  <c:v>Inneficient indicators</c:v>
                </c:pt>
              </c:strCache>
            </c:strRef>
          </c:cat>
          <c:val>
            <c:numRef>
              <c:f>Sheet1!$C$2:$C$9</c:f>
              <c:numCache>
                <c:formatCode>0.00%</c:formatCode>
                <c:ptCount val="8"/>
                <c:pt idx="0">
                  <c:v>0.125</c:v>
                </c:pt>
                <c:pt idx="1">
                  <c:v>0.33700000000000002</c:v>
                </c:pt>
                <c:pt idx="2" formatCode="General">
                  <c:v>0</c:v>
                </c:pt>
                <c:pt idx="3" formatCode="General">
                  <c:v>0</c:v>
                </c:pt>
                <c:pt idx="4" formatCode="General">
                  <c:v>0</c:v>
                </c:pt>
                <c:pt idx="5" formatCode="0%">
                  <c:v>0.17</c:v>
                </c:pt>
                <c:pt idx="6" formatCode="0%">
                  <c:v>0.5</c:v>
                </c:pt>
                <c:pt idx="7" formatCode="General">
                  <c:v>0</c:v>
                </c:pt>
              </c:numCache>
            </c:numRef>
          </c:val>
          <c:extLst>
            <c:ext xmlns:c16="http://schemas.microsoft.com/office/drawing/2014/chart" uri="{C3380CC4-5D6E-409C-BE32-E72D297353CC}">
              <c16:uniqueId val="{00000001-D981-46BF-A25E-B650EF02D2B4}"/>
            </c:ext>
          </c:extLst>
        </c:ser>
        <c:ser>
          <c:idx val="2"/>
          <c:order val="2"/>
          <c:tx>
            <c:strRef>
              <c:f>Sheet1!$D$1</c:f>
              <c:strCache>
                <c:ptCount val="1"/>
                <c:pt idx="0">
                  <c:v>2016</c:v>
                </c:pt>
              </c:strCache>
            </c:strRef>
          </c:tx>
          <c:spPr>
            <a:pattFill prst="narVert">
              <a:fgClr>
                <a:schemeClr val="accent3"/>
              </a:fgClr>
              <a:bgClr>
                <a:schemeClr val="accent3">
                  <a:lumMod val="20000"/>
                  <a:lumOff val="80000"/>
                </a:schemeClr>
              </a:bgClr>
            </a:pattFill>
            <a:ln>
              <a:noFill/>
            </a:ln>
            <a:effectLst>
              <a:innerShdw blurRad="114300">
                <a:schemeClr val="accent3"/>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j-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Sheet1!$A$2:$A$9</c:f>
              <c:strCache>
                <c:ptCount val="8"/>
                <c:pt idx="0">
                  <c:v>Accountability </c:v>
                </c:pt>
                <c:pt idx="1">
                  <c:v>Internal clashes</c:v>
                </c:pt>
                <c:pt idx="2">
                  <c:v>Lack of intergation</c:v>
                </c:pt>
                <c:pt idx="3">
                  <c:v>Monitoring </c:v>
                </c:pt>
                <c:pt idx="4">
                  <c:v>Not legally binding </c:v>
                </c:pt>
                <c:pt idx="5">
                  <c:v>Vague</c:v>
                </c:pt>
                <c:pt idx="6">
                  <c:v>Problems with global governance</c:v>
                </c:pt>
                <c:pt idx="7">
                  <c:v>Inneficient indicators</c:v>
                </c:pt>
              </c:strCache>
            </c:strRef>
          </c:cat>
          <c:val>
            <c:numRef>
              <c:f>Sheet1!$D$2:$D$9</c:f>
              <c:numCache>
                <c:formatCode>0%</c:formatCode>
                <c:ptCount val="8"/>
                <c:pt idx="0" formatCode="General">
                  <c:v>0</c:v>
                </c:pt>
                <c:pt idx="1">
                  <c:v>0.25</c:v>
                </c:pt>
                <c:pt idx="2" formatCode="0.00%">
                  <c:v>0.125</c:v>
                </c:pt>
                <c:pt idx="3" formatCode="General">
                  <c:v>0</c:v>
                </c:pt>
                <c:pt idx="4" formatCode="General">
                  <c:v>0</c:v>
                </c:pt>
                <c:pt idx="5" formatCode="General">
                  <c:v>0</c:v>
                </c:pt>
                <c:pt idx="6" formatCode="0.00%">
                  <c:v>0.125</c:v>
                </c:pt>
                <c:pt idx="7" formatCode="0.00%">
                  <c:v>0.375</c:v>
                </c:pt>
              </c:numCache>
            </c:numRef>
          </c:val>
          <c:extLst>
            <c:ext xmlns:c16="http://schemas.microsoft.com/office/drawing/2014/chart" uri="{C3380CC4-5D6E-409C-BE32-E72D297353CC}">
              <c16:uniqueId val="{00000002-D981-46BF-A25E-B650EF02D2B4}"/>
            </c:ext>
          </c:extLst>
        </c:ser>
        <c:ser>
          <c:idx val="3"/>
          <c:order val="3"/>
          <c:tx>
            <c:strRef>
              <c:f>Sheet1!$E$1</c:f>
              <c:strCache>
                <c:ptCount val="1"/>
                <c:pt idx="0">
                  <c:v>2017</c:v>
                </c:pt>
              </c:strCache>
            </c:strRef>
          </c:tx>
          <c:spPr>
            <a:pattFill prst="narVert">
              <a:fgClr>
                <a:schemeClr val="accent4"/>
              </a:fgClr>
              <a:bgClr>
                <a:schemeClr val="accent4">
                  <a:lumMod val="20000"/>
                  <a:lumOff val="80000"/>
                </a:schemeClr>
              </a:bgClr>
            </a:pattFill>
            <a:ln>
              <a:noFill/>
            </a:ln>
            <a:effectLst>
              <a:innerShdw blurRad="114300">
                <a:schemeClr val="accent4"/>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j-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Sheet1!$A$2:$A$9</c:f>
              <c:strCache>
                <c:ptCount val="8"/>
                <c:pt idx="0">
                  <c:v>Accountability </c:v>
                </c:pt>
                <c:pt idx="1">
                  <c:v>Internal clashes</c:v>
                </c:pt>
                <c:pt idx="2">
                  <c:v>Lack of intergation</c:v>
                </c:pt>
                <c:pt idx="3">
                  <c:v>Monitoring </c:v>
                </c:pt>
                <c:pt idx="4">
                  <c:v>Not legally binding </c:v>
                </c:pt>
                <c:pt idx="5">
                  <c:v>Vague</c:v>
                </c:pt>
                <c:pt idx="6">
                  <c:v>Problems with global governance</c:v>
                </c:pt>
                <c:pt idx="7">
                  <c:v>Inneficient indicators</c:v>
                </c:pt>
              </c:strCache>
            </c:strRef>
          </c:cat>
          <c:val>
            <c:numRef>
              <c:f>Sheet1!$E$2:$E$9</c:f>
              <c:numCache>
                <c:formatCode>0.00%</c:formatCode>
                <c:ptCount val="8"/>
                <c:pt idx="0" formatCode="General">
                  <c:v>0</c:v>
                </c:pt>
                <c:pt idx="1">
                  <c:v>0.1111</c:v>
                </c:pt>
                <c:pt idx="2" formatCode="General">
                  <c:v>0</c:v>
                </c:pt>
                <c:pt idx="3">
                  <c:v>0.22220000000000001</c:v>
                </c:pt>
                <c:pt idx="4">
                  <c:v>0.33329999999999999</c:v>
                </c:pt>
                <c:pt idx="5" formatCode="General">
                  <c:v>0</c:v>
                </c:pt>
                <c:pt idx="6">
                  <c:v>0.22220000000000001</c:v>
                </c:pt>
                <c:pt idx="7">
                  <c:v>0.22220000000000001</c:v>
                </c:pt>
              </c:numCache>
            </c:numRef>
          </c:val>
          <c:extLst>
            <c:ext xmlns:c16="http://schemas.microsoft.com/office/drawing/2014/chart" uri="{C3380CC4-5D6E-409C-BE32-E72D297353CC}">
              <c16:uniqueId val="{00000003-D981-46BF-A25E-B650EF02D2B4}"/>
            </c:ext>
          </c:extLst>
        </c:ser>
        <c:ser>
          <c:idx val="4"/>
          <c:order val="4"/>
          <c:tx>
            <c:strRef>
              <c:f>Sheet1!$F$1</c:f>
              <c:strCache>
                <c:ptCount val="1"/>
                <c:pt idx="0">
                  <c:v>2018</c:v>
                </c:pt>
              </c:strCache>
            </c:strRef>
          </c:tx>
          <c:spPr>
            <a:pattFill prst="narVert">
              <a:fgClr>
                <a:schemeClr val="accent5"/>
              </a:fgClr>
              <a:bgClr>
                <a:schemeClr val="accent5">
                  <a:lumMod val="20000"/>
                  <a:lumOff val="80000"/>
                </a:schemeClr>
              </a:bgClr>
            </a:pattFill>
            <a:ln>
              <a:noFill/>
            </a:ln>
            <a:effectLst>
              <a:innerShdw blurRad="114300">
                <a:schemeClr val="accent5"/>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j-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Sheet1!$A$2:$A$9</c:f>
              <c:strCache>
                <c:ptCount val="8"/>
                <c:pt idx="0">
                  <c:v>Accountability </c:v>
                </c:pt>
                <c:pt idx="1">
                  <c:v>Internal clashes</c:v>
                </c:pt>
                <c:pt idx="2">
                  <c:v>Lack of intergation</c:v>
                </c:pt>
                <c:pt idx="3">
                  <c:v>Monitoring </c:v>
                </c:pt>
                <c:pt idx="4">
                  <c:v>Not legally binding </c:v>
                </c:pt>
                <c:pt idx="5">
                  <c:v>Vague</c:v>
                </c:pt>
                <c:pt idx="6">
                  <c:v>Problems with global governance</c:v>
                </c:pt>
                <c:pt idx="7">
                  <c:v>Inneficient indicators</c:v>
                </c:pt>
              </c:strCache>
            </c:strRef>
          </c:cat>
          <c:val>
            <c:numRef>
              <c:f>Sheet1!$F$2:$F$9</c:f>
              <c:numCache>
                <c:formatCode>General</c:formatCode>
                <c:ptCount val="8"/>
                <c:pt idx="0" formatCode="0.00%">
                  <c:v>0.375</c:v>
                </c:pt>
                <c:pt idx="1">
                  <c:v>0</c:v>
                </c:pt>
                <c:pt idx="2" formatCode="0%">
                  <c:v>0.25</c:v>
                </c:pt>
                <c:pt idx="3">
                  <c:v>0</c:v>
                </c:pt>
                <c:pt idx="4" formatCode="0.00%">
                  <c:v>0.125</c:v>
                </c:pt>
                <c:pt idx="5">
                  <c:v>0</c:v>
                </c:pt>
                <c:pt idx="6" formatCode="0.00%">
                  <c:v>0.125</c:v>
                </c:pt>
                <c:pt idx="7">
                  <c:v>0</c:v>
                </c:pt>
              </c:numCache>
            </c:numRef>
          </c:val>
          <c:extLst>
            <c:ext xmlns:c16="http://schemas.microsoft.com/office/drawing/2014/chart" uri="{C3380CC4-5D6E-409C-BE32-E72D297353CC}">
              <c16:uniqueId val="{00000004-D981-46BF-A25E-B650EF02D2B4}"/>
            </c:ext>
          </c:extLst>
        </c:ser>
        <c:ser>
          <c:idx val="5"/>
          <c:order val="5"/>
          <c:tx>
            <c:strRef>
              <c:f>Sheet1!$G$1</c:f>
              <c:strCache>
                <c:ptCount val="1"/>
                <c:pt idx="0">
                  <c:v>2019</c:v>
                </c:pt>
              </c:strCache>
            </c:strRef>
          </c:tx>
          <c:spPr>
            <a:pattFill prst="narVert">
              <a:fgClr>
                <a:schemeClr val="accent6"/>
              </a:fgClr>
              <a:bgClr>
                <a:schemeClr val="accent6">
                  <a:lumMod val="20000"/>
                  <a:lumOff val="80000"/>
                </a:schemeClr>
              </a:bgClr>
            </a:pattFill>
            <a:ln>
              <a:noFill/>
            </a:ln>
            <a:effectLst>
              <a:innerShdw blurRad="114300">
                <a:schemeClr val="accent6"/>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j-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Sheet1!$A$2:$A$9</c:f>
              <c:strCache>
                <c:ptCount val="8"/>
                <c:pt idx="0">
                  <c:v>Accountability </c:v>
                </c:pt>
                <c:pt idx="1">
                  <c:v>Internal clashes</c:v>
                </c:pt>
                <c:pt idx="2">
                  <c:v>Lack of intergation</c:v>
                </c:pt>
                <c:pt idx="3">
                  <c:v>Monitoring </c:v>
                </c:pt>
                <c:pt idx="4">
                  <c:v>Not legally binding </c:v>
                </c:pt>
                <c:pt idx="5">
                  <c:v>Vague</c:v>
                </c:pt>
                <c:pt idx="6">
                  <c:v>Problems with global governance</c:v>
                </c:pt>
                <c:pt idx="7">
                  <c:v>Inneficient indicators</c:v>
                </c:pt>
              </c:strCache>
            </c:strRef>
          </c:cat>
          <c:val>
            <c:numRef>
              <c:f>Sheet1!$G$2:$G$9</c:f>
              <c:numCache>
                <c:formatCode>0.00%</c:formatCode>
                <c:ptCount val="8"/>
                <c:pt idx="0" formatCode="General">
                  <c:v>0</c:v>
                </c:pt>
                <c:pt idx="1">
                  <c:v>0</c:v>
                </c:pt>
                <c:pt idx="2">
                  <c:v>0.2142</c:v>
                </c:pt>
                <c:pt idx="3">
                  <c:v>7.0999999999999994E-2</c:v>
                </c:pt>
                <c:pt idx="4" formatCode="General">
                  <c:v>0</c:v>
                </c:pt>
                <c:pt idx="5" formatCode="General">
                  <c:v>0</c:v>
                </c:pt>
                <c:pt idx="6">
                  <c:v>7.0999999999999994E-2</c:v>
                </c:pt>
                <c:pt idx="7">
                  <c:v>0.28570000000000001</c:v>
                </c:pt>
              </c:numCache>
            </c:numRef>
          </c:val>
          <c:extLst>
            <c:ext xmlns:c16="http://schemas.microsoft.com/office/drawing/2014/chart" uri="{C3380CC4-5D6E-409C-BE32-E72D297353CC}">
              <c16:uniqueId val="{00000005-D981-46BF-A25E-B650EF02D2B4}"/>
            </c:ext>
          </c:extLst>
        </c:ser>
        <c:ser>
          <c:idx val="6"/>
          <c:order val="6"/>
          <c:tx>
            <c:strRef>
              <c:f>Sheet1!$H$1</c:f>
              <c:strCache>
                <c:ptCount val="1"/>
                <c:pt idx="0">
                  <c:v>2020</c:v>
                </c:pt>
              </c:strCache>
            </c:strRef>
          </c:tx>
          <c:spPr>
            <a:pattFill prst="narVert">
              <a:fgClr>
                <a:schemeClr val="accent1">
                  <a:lumMod val="60000"/>
                </a:schemeClr>
              </a:fgClr>
              <a:bgClr>
                <a:schemeClr val="accent1">
                  <a:lumMod val="60000"/>
                  <a:lumMod val="20000"/>
                  <a:lumOff val="80000"/>
                </a:schemeClr>
              </a:bgClr>
            </a:pattFill>
            <a:ln>
              <a:noFill/>
            </a:ln>
            <a:effectLst>
              <a:innerShdw blurRad="114300">
                <a:schemeClr val="accent1">
                  <a:lumMod val="60000"/>
                </a:schemeClr>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j-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Sheet1!$A$2:$A$9</c:f>
              <c:strCache>
                <c:ptCount val="8"/>
                <c:pt idx="0">
                  <c:v>Accountability </c:v>
                </c:pt>
                <c:pt idx="1">
                  <c:v>Internal clashes</c:v>
                </c:pt>
                <c:pt idx="2">
                  <c:v>Lack of intergation</c:v>
                </c:pt>
                <c:pt idx="3">
                  <c:v>Monitoring </c:v>
                </c:pt>
                <c:pt idx="4">
                  <c:v>Not legally binding </c:v>
                </c:pt>
                <c:pt idx="5">
                  <c:v>Vague</c:v>
                </c:pt>
                <c:pt idx="6">
                  <c:v>Problems with global governance</c:v>
                </c:pt>
                <c:pt idx="7">
                  <c:v>Inneficient indicators</c:v>
                </c:pt>
              </c:strCache>
            </c:strRef>
          </c:cat>
          <c:val>
            <c:numRef>
              <c:f>Sheet1!$H$2:$H$9</c:f>
              <c:numCache>
                <c:formatCode>0.00%</c:formatCode>
                <c:ptCount val="8"/>
                <c:pt idx="0" formatCode="General">
                  <c:v>0</c:v>
                </c:pt>
                <c:pt idx="1">
                  <c:v>0.2142</c:v>
                </c:pt>
                <c:pt idx="2">
                  <c:v>0.42849999999999999</c:v>
                </c:pt>
                <c:pt idx="3">
                  <c:v>0.1071</c:v>
                </c:pt>
                <c:pt idx="4" formatCode="General">
                  <c:v>0</c:v>
                </c:pt>
                <c:pt idx="5">
                  <c:v>0.1074</c:v>
                </c:pt>
                <c:pt idx="6">
                  <c:v>0.2142</c:v>
                </c:pt>
                <c:pt idx="7" formatCode="General">
                  <c:v>0</c:v>
                </c:pt>
              </c:numCache>
            </c:numRef>
          </c:val>
          <c:extLst>
            <c:ext xmlns:c16="http://schemas.microsoft.com/office/drawing/2014/chart" uri="{C3380CC4-5D6E-409C-BE32-E72D297353CC}">
              <c16:uniqueId val="{00000006-D981-46BF-A25E-B650EF02D2B4}"/>
            </c:ext>
          </c:extLst>
        </c:ser>
        <c:ser>
          <c:idx val="7"/>
          <c:order val="7"/>
          <c:tx>
            <c:strRef>
              <c:f>Sheet1!$I$1</c:f>
              <c:strCache>
                <c:ptCount val="1"/>
                <c:pt idx="0">
                  <c:v>2021</c:v>
                </c:pt>
              </c:strCache>
            </c:strRef>
          </c:tx>
          <c:spPr>
            <a:pattFill prst="narVert">
              <a:fgClr>
                <a:schemeClr val="accent2">
                  <a:lumMod val="60000"/>
                </a:schemeClr>
              </a:fgClr>
              <a:bgClr>
                <a:schemeClr val="accent2">
                  <a:lumMod val="60000"/>
                  <a:lumMod val="20000"/>
                  <a:lumOff val="80000"/>
                </a:schemeClr>
              </a:bgClr>
            </a:pattFill>
            <a:ln>
              <a:noFill/>
            </a:ln>
            <a:effectLst>
              <a:innerShdw blurRad="114300">
                <a:schemeClr val="accent2">
                  <a:lumMod val="60000"/>
                </a:schemeClr>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j-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Sheet1!$A$2:$A$9</c:f>
              <c:strCache>
                <c:ptCount val="8"/>
                <c:pt idx="0">
                  <c:v>Accountability </c:v>
                </c:pt>
                <c:pt idx="1">
                  <c:v>Internal clashes</c:v>
                </c:pt>
                <c:pt idx="2">
                  <c:v>Lack of intergation</c:v>
                </c:pt>
                <c:pt idx="3">
                  <c:v>Monitoring </c:v>
                </c:pt>
                <c:pt idx="4">
                  <c:v>Not legally binding </c:v>
                </c:pt>
                <c:pt idx="5">
                  <c:v>Vague</c:v>
                </c:pt>
                <c:pt idx="6">
                  <c:v>Problems with global governance</c:v>
                </c:pt>
                <c:pt idx="7">
                  <c:v>Inneficient indicators</c:v>
                </c:pt>
              </c:strCache>
            </c:strRef>
          </c:cat>
          <c:val>
            <c:numRef>
              <c:f>Sheet1!$I$2:$I$9</c:f>
              <c:numCache>
                <c:formatCode>0%</c:formatCode>
                <c:ptCount val="8"/>
                <c:pt idx="0">
                  <c:v>0.2</c:v>
                </c:pt>
                <c:pt idx="1">
                  <c:v>0.2</c:v>
                </c:pt>
                <c:pt idx="2" formatCode="General">
                  <c:v>0</c:v>
                </c:pt>
                <c:pt idx="3">
                  <c:v>0.2</c:v>
                </c:pt>
                <c:pt idx="4" formatCode="General">
                  <c:v>0</c:v>
                </c:pt>
                <c:pt idx="5" formatCode="General">
                  <c:v>0</c:v>
                </c:pt>
                <c:pt idx="6">
                  <c:v>0.2</c:v>
                </c:pt>
                <c:pt idx="7">
                  <c:v>0.2</c:v>
                </c:pt>
              </c:numCache>
            </c:numRef>
          </c:val>
          <c:extLst>
            <c:ext xmlns:c16="http://schemas.microsoft.com/office/drawing/2014/chart" uri="{C3380CC4-5D6E-409C-BE32-E72D297353CC}">
              <c16:uniqueId val="{00000007-D981-46BF-A25E-B650EF02D2B4}"/>
            </c:ext>
          </c:extLst>
        </c:ser>
        <c:ser>
          <c:idx val="8"/>
          <c:order val="8"/>
          <c:tx>
            <c:strRef>
              <c:f>Sheet1!$J$1</c:f>
              <c:strCache>
                <c:ptCount val="1"/>
                <c:pt idx="0">
                  <c:v>2022</c:v>
                </c:pt>
              </c:strCache>
            </c:strRef>
          </c:tx>
          <c:spPr>
            <a:pattFill prst="narVert">
              <a:fgClr>
                <a:schemeClr val="accent3">
                  <a:lumMod val="60000"/>
                </a:schemeClr>
              </a:fgClr>
              <a:bgClr>
                <a:schemeClr val="accent3">
                  <a:lumMod val="60000"/>
                  <a:lumMod val="20000"/>
                  <a:lumOff val="80000"/>
                </a:schemeClr>
              </a:bgClr>
            </a:pattFill>
            <a:ln>
              <a:noFill/>
            </a:ln>
            <a:effectLst>
              <a:innerShdw blurRad="114300">
                <a:schemeClr val="accent3">
                  <a:lumMod val="60000"/>
                </a:schemeClr>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j-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Sheet1!$A$2:$A$9</c:f>
              <c:strCache>
                <c:ptCount val="8"/>
                <c:pt idx="0">
                  <c:v>Accountability </c:v>
                </c:pt>
                <c:pt idx="1">
                  <c:v>Internal clashes</c:v>
                </c:pt>
                <c:pt idx="2">
                  <c:v>Lack of intergation</c:v>
                </c:pt>
                <c:pt idx="3">
                  <c:v>Monitoring </c:v>
                </c:pt>
                <c:pt idx="4">
                  <c:v>Not legally binding </c:v>
                </c:pt>
                <c:pt idx="5">
                  <c:v>Vague</c:v>
                </c:pt>
                <c:pt idx="6">
                  <c:v>Problems with global governance</c:v>
                </c:pt>
                <c:pt idx="7">
                  <c:v>Inneficient indicators</c:v>
                </c:pt>
              </c:strCache>
            </c:strRef>
          </c:cat>
          <c:val>
            <c:numRef>
              <c:f>Sheet1!$J$2:$J$9</c:f>
              <c:numCache>
                <c:formatCode>0.00%</c:formatCode>
                <c:ptCount val="8"/>
                <c:pt idx="0" formatCode="General">
                  <c:v>0</c:v>
                </c:pt>
                <c:pt idx="1">
                  <c:v>0.2727</c:v>
                </c:pt>
                <c:pt idx="2" formatCode="0%">
                  <c:v>0.45</c:v>
                </c:pt>
                <c:pt idx="3" formatCode="General">
                  <c:v>0</c:v>
                </c:pt>
                <c:pt idx="4" formatCode="General">
                  <c:v>0</c:v>
                </c:pt>
                <c:pt idx="5">
                  <c:v>4.4999999999999998E-2</c:v>
                </c:pt>
                <c:pt idx="6">
                  <c:v>9.9000000000000005E-2</c:v>
                </c:pt>
                <c:pt idx="7" formatCode="General">
                  <c:v>0</c:v>
                </c:pt>
              </c:numCache>
            </c:numRef>
          </c:val>
          <c:extLst>
            <c:ext xmlns:c16="http://schemas.microsoft.com/office/drawing/2014/chart" uri="{C3380CC4-5D6E-409C-BE32-E72D297353CC}">
              <c16:uniqueId val="{00000008-D981-46BF-A25E-B650EF02D2B4}"/>
            </c:ext>
          </c:extLst>
        </c:ser>
        <c:ser>
          <c:idx val="9"/>
          <c:order val="9"/>
          <c:tx>
            <c:strRef>
              <c:f>Sheet1!$K$1</c:f>
              <c:strCache>
                <c:ptCount val="1"/>
                <c:pt idx="0">
                  <c:v>2023</c:v>
                </c:pt>
              </c:strCache>
            </c:strRef>
          </c:tx>
          <c:spPr>
            <a:pattFill prst="narVert">
              <a:fgClr>
                <a:schemeClr val="accent4">
                  <a:lumMod val="60000"/>
                </a:schemeClr>
              </a:fgClr>
              <a:bgClr>
                <a:schemeClr val="accent4">
                  <a:lumMod val="60000"/>
                  <a:lumMod val="20000"/>
                  <a:lumOff val="80000"/>
                </a:schemeClr>
              </a:bgClr>
            </a:pattFill>
            <a:ln>
              <a:noFill/>
            </a:ln>
            <a:effectLst>
              <a:innerShdw blurRad="114300">
                <a:schemeClr val="accent4">
                  <a:lumMod val="60000"/>
                </a:schemeClr>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j-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Sheet1!$A$2:$A$9</c:f>
              <c:strCache>
                <c:ptCount val="8"/>
                <c:pt idx="0">
                  <c:v>Accountability </c:v>
                </c:pt>
                <c:pt idx="1">
                  <c:v>Internal clashes</c:v>
                </c:pt>
                <c:pt idx="2">
                  <c:v>Lack of intergation</c:v>
                </c:pt>
                <c:pt idx="3">
                  <c:v>Monitoring </c:v>
                </c:pt>
                <c:pt idx="4">
                  <c:v>Not legally binding </c:v>
                </c:pt>
                <c:pt idx="5">
                  <c:v>Vague</c:v>
                </c:pt>
                <c:pt idx="6">
                  <c:v>Problems with global governance</c:v>
                </c:pt>
                <c:pt idx="7">
                  <c:v>Inneficient indicators</c:v>
                </c:pt>
              </c:strCache>
            </c:strRef>
          </c:cat>
          <c:val>
            <c:numRef>
              <c:f>Sheet1!$K$2:$K$9</c:f>
              <c:numCache>
                <c:formatCode>General</c:formatCode>
                <c:ptCount val="8"/>
                <c:pt idx="0">
                  <c:v>0</c:v>
                </c:pt>
                <c:pt idx="1">
                  <c:v>0</c:v>
                </c:pt>
                <c:pt idx="2" formatCode="0%">
                  <c:v>0.5</c:v>
                </c:pt>
                <c:pt idx="3">
                  <c:v>0</c:v>
                </c:pt>
                <c:pt idx="4">
                  <c:v>0</c:v>
                </c:pt>
                <c:pt idx="5">
                  <c:v>0</c:v>
                </c:pt>
                <c:pt idx="6" formatCode="0%">
                  <c:v>0.5</c:v>
                </c:pt>
                <c:pt idx="7">
                  <c:v>0</c:v>
                </c:pt>
              </c:numCache>
            </c:numRef>
          </c:val>
          <c:extLst>
            <c:ext xmlns:c16="http://schemas.microsoft.com/office/drawing/2014/chart" uri="{C3380CC4-5D6E-409C-BE32-E72D297353CC}">
              <c16:uniqueId val="{00000009-D981-46BF-A25E-B650EF02D2B4}"/>
            </c:ext>
          </c:extLst>
        </c:ser>
        <c:dLbls>
          <c:dLblPos val="outEnd"/>
          <c:showLegendKey val="0"/>
          <c:showVal val="1"/>
          <c:showCatName val="0"/>
          <c:showSerName val="0"/>
          <c:showPercent val="0"/>
          <c:showBubbleSize val="0"/>
        </c:dLbls>
        <c:gapWidth val="227"/>
        <c:overlap val="-48"/>
        <c:axId val="1359092576"/>
        <c:axId val="547875184"/>
      </c:barChart>
      <c:catAx>
        <c:axId val="1359092576"/>
        <c:scaling>
          <c:orientation val="minMax"/>
        </c:scaling>
        <c:delete val="0"/>
        <c:axPos val="l"/>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j-lt"/>
                <a:ea typeface="+mn-ea"/>
                <a:cs typeface="+mn-cs"/>
              </a:defRPr>
            </a:pPr>
            <a:endParaRPr lang="en-US"/>
          </a:p>
        </c:txPr>
        <c:crossAx val="547875184"/>
        <c:crosses val="autoZero"/>
        <c:auto val="1"/>
        <c:lblAlgn val="ctr"/>
        <c:lblOffset val="100"/>
        <c:noMultiLvlLbl val="0"/>
      </c:catAx>
      <c:valAx>
        <c:axId val="54787518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59092576"/>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j-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cap="all" spc="50" baseline="0">
                <a:solidFill>
                  <a:schemeClr val="tx1">
                    <a:lumMod val="65000"/>
                    <a:lumOff val="35000"/>
                  </a:schemeClr>
                </a:solidFill>
                <a:latin typeface="+mn-lt"/>
                <a:ea typeface="+mn-ea"/>
                <a:cs typeface="+mn-cs"/>
              </a:defRPr>
            </a:pPr>
            <a:r>
              <a:rPr lang="en-US" sz="1100">
                <a:latin typeface="+mj-lt"/>
              </a:rPr>
              <a:t>economic</a:t>
            </a:r>
            <a:r>
              <a:rPr lang="en-US" sz="1100" baseline="0">
                <a:latin typeface="+mj-lt"/>
              </a:rPr>
              <a:t> classification of the institution or author releasing analyzed  article </a:t>
            </a:r>
            <a:endParaRPr lang="en-US" sz="1100">
              <a:latin typeface="+mj-lt"/>
            </a:endParaRPr>
          </a:p>
        </c:rich>
      </c:tx>
      <c:layout>
        <c:manualLayout>
          <c:xMode val="edge"/>
          <c:yMode val="edge"/>
          <c:x val="0.16205646568523807"/>
          <c:y val="3.1467745560800182E-2"/>
        </c:manualLayout>
      </c:layout>
      <c:overlay val="0"/>
      <c:spPr>
        <a:noFill/>
        <a:ln>
          <a:noFill/>
        </a:ln>
        <a:effectLst/>
      </c:spPr>
      <c:txPr>
        <a:bodyPr rot="0" spcFirstLastPara="1" vertOverflow="ellipsis" vert="horz" wrap="square" anchor="ctr" anchorCtr="1"/>
        <a:lstStyle/>
        <a:p>
          <a:pPr>
            <a:defRPr sz="1400" b="1" i="0" u="none" strike="noStrike" kern="1200" cap="all" spc="5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Sales</c:v>
                </c:pt>
              </c:strCache>
            </c:strRef>
          </c:tx>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1-F126-48A0-861A-22ADFEAC0AB8}"/>
              </c:ext>
            </c:extLst>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3-F126-48A0-861A-22ADFEAC0AB8}"/>
              </c:ext>
            </c:extLst>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5-F126-48A0-861A-22ADFEAC0AB8}"/>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j-lt"/>
                    <a:ea typeface="+mn-ea"/>
                    <a:cs typeface="+mn-cs"/>
                  </a:defRPr>
                </a:pPr>
                <a:endParaRPr lang="en-US"/>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Sheet1!$A$2:$A$4</c:f>
              <c:strCache>
                <c:ptCount val="3"/>
                <c:pt idx="0">
                  <c:v>High income </c:v>
                </c:pt>
                <c:pt idx="1">
                  <c:v>Middle income </c:v>
                </c:pt>
                <c:pt idx="2">
                  <c:v>Low income</c:v>
                </c:pt>
              </c:strCache>
            </c:strRef>
          </c:cat>
          <c:val>
            <c:numRef>
              <c:f>Sheet1!$B$2:$B$4</c:f>
              <c:numCache>
                <c:formatCode>0.00%</c:formatCode>
                <c:ptCount val="3"/>
                <c:pt idx="0">
                  <c:v>0.94389999999999996</c:v>
                </c:pt>
                <c:pt idx="1">
                  <c:v>3.73E-2</c:v>
                </c:pt>
                <c:pt idx="2">
                  <c:v>1.8599999999999998E-2</c:v>
                </c:pt>
              </c:numCache>
            </c:numRef>
          </c:val>
          <c:extLst>
            <c:ext xmlns:c16="http://schemas.microsoft.com/office/drawing/2014/chart" uri="{C3380CC4-5D6E-409C-BE32-E72D297353CC}">
              <c16:uniqueId val="{00000006-F126-48A0-861A-22ADFEAC0AB8}"/>
            </c:ext>
          </c:extLst>
        </c:ser>
        <c:dLbls>
          <c:dLblPos val="inEnd"/>
          <c:showLegendKey val="0"/>
          <c:showVal val="0"/>
          <c:showCatName val="0"/>
          <c:showSerName val="0"/>
          <c:showPercent val="1"/>
          <c:showBubbleSize val="0"/>
          <c:showLeaderLines val="1"/>
        </c:dLbls>
        <c:firstSliceAng val="0"/>
      </c:pieChart>
      <c:spPr>
        <a:noFill/>
        <a:ln>
          <a:noFill/>
        </a:ln>
        <a:effectLst/>
      </c:spPr>
    </c:plotArea>
    <c:legend>
      <c:legendPos val="t"/>
      <c:overlay val="0"/>
      <c:spPr>
        <a:noFill/>
        <a:ln>
          <a:noFill/>
        </a:ln>
        <a:effectLst/>
      </c:spPr>
      <c:txPr>
        <a:bodyPr rot="0" spcFirstLastPara="1" vertOverflow="ellipsis" vert="horz" wrap="square" anchor="ctr" anchorCtr="1"/>
        <a:lstStyle/>
        <a:p>
          <a:pPr>
            <a:defRPr sz="700" b="0" i="0" u="none" strike="noStrike" kern="1200" baseline="0">
              <a:solidFill>
                <a:schemeClr val="tx1">
                  <a:lumMod val="65000"/>
                  <a:lumOff val="35000"/>
                </a:schemeClr>
              </a:solidFill>
              <a:latin typeface="+mj-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1" i="0" u="none" strike="noStrike" kern="1200" cap="all" spc="120" normalizeH="0" baseline="0">
                <a:solidFill>
                  <a:schemeClr val="tx1">
                    <a:lumMod val="65000"/>
                    <a:lumOff val="35000"/>
                  </a:schemeClr>
                </a:solidFill>
                <a:latin typeface="+mn-lt"/>
                <a:ea typeface="+mn-ea"/>
                <a:cs typeface="+mn-cs"/>
              </a:defRPr>
            </a:pPr>
            <a:r>
              <a:rPr lang="cs-CZ" sz="1100">
                <a:latin typeface="+mj-lt"/>
              </a:rPr>
              <a:t>Thematical scope of  analyzed articles </a:t>
            </a:r>
            <a:endParaRPr lang="en-US" sz="1100">
              <a:latin typeface="+mj-lt"/>
            </a:endParaRPr>
          </a:p>
        </c:rich>
      </c:tx>
      <c:overlay val="0"/>
      <c:spPr>
        <a:noFill/>
        <a:ln>
          <a:noFill/>
        </a:ln>
        <a:effectLst/>
      </c:spPr>
      <c:txPr>
        <a:bodyPr rot="0" spcFirstLastPara="1" vertOverflow="ellipsis" vert="horz" wrap="square" anchor="ctr" anchorCtr="1"/>
        <a:lstStyle/>
        <a:p>
          <a:pPr>
            <a:defRPr sz="1100" b="1" i="0" u="none" strike="noStrike" kern="1200" cap="all" spc="120" normalizeH="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1074184638952039"/>
          <c:y val="0.14059646987218502"/>
          <c:w val="0.8571573634173193"/>
          <c:h val="0.55628315784933458"/>
        </c:manualLayout>
      </c:layout>
      <c:barChart>
        <c:barDir val="col"/>
        <c:grouping val="clustered"/>
        <c:varyColors val="0"/>
        <c:ser>
          <c:idx val="0"/>
          <c:order val="0"/>
          <c:tx>
            <c:strRef>
              <c:f>List1!$B$1</c:f>
              <c:strCache>
                <c:ptCount val="1"/>
                <c:pt idx="0">
                  <c:v>Sloupec1</c:v>
                </c:pt>
              </c:strCache>
            </c:strRef>
          </c:tx>
          <c:spPr>
            <a:solidFill>
              <a:schemeClr val="accent1"/>
            </a:solidFill>
            <a:ln>
              <a:noFill/>
            </a:ln>
            <a:effectLst/>
          </c:spPr>
          <c:invertIfNegative val="0"/>
          <c:dLbls>
            <c:dLbl>
              <c:idx val="0"/>
              <c:tx>
                <c:rich>
                  <a:bodyPr/>
                  <a:lstStyle/>
                  <a:p>
                    <a:fld id="{92668DDA-244F-4B94-AE78-E2C6DD719FC4}" type="VALUE">
                      <a:rPr lang="en-US">
                        <a:latin typeface="+mj-lt"/>
                      </a:rPr>
                      <a:pPr/>
                      <a:t>[VALUE]</a:t>
                    </a:fld>
                    <a:endParaRPr lang="en-US"/>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0-C388-4856-B2E9-2A59CA347A5D}"/>
                </c:ext>
              </c:extLst>
            </c:dLbl>
            <c:dLbl>
              <c:idx val="1"/>
              <c:tx>
                <c:rich>
                  <a:bodyPr/>
                  <a:lstStyle/>
                  <a:p>
                    <a:fld id="{82AD963A-17D3-44EA-89A7-B8B93F6C306B}" type="VALUE">
                      <a:rPr lang="en-US">
                        <a:latin typeface="+mj-lt"/>
                      </a:rPr>
                      <a:pPr/>
                      <a:t>[VALUE]</a:t>
                    </a:fld>
                    <a:endParaRPr lang="en-US"/>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C388-4856-B2E9-2A59CA347A5D}"/>
                </c:ext>
              </c:extLst>
            </c:dLbl>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j-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List1!$A$2:$A$19</c:f>
              <c:strCache>
                <c:ptCount val="18"/>
                <c:pt idx="0">
                  <c:v>SDGs as a framework</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strCache>
            </c:strRef>
          </c:cat>
          <c:val>
            <c:numRef>
              <c:f>List1!$B$2:$B$19</c:f>
              <c:numCache>
                <c:formatCode>0.00%</c:formatCode>
                <c:ptCount val="18"/>
                <c:pt idx="0" formatCode="0%">
                  <c:v>0.81</c:v>
                </c:pt>
                <c:pt idx="1">
                  <c:v>9.2999999999999992E-3</c:v>
                </c:pt>
                <c:pt idx="2">
                  <c:v>2.8000000000000001E-2</c:v>
                </c:pt>
                <c:pt idx="3" formatCode="0%">
                  <c:v>0</c:v>
                </c:pt>
                <c:pt idx="4">
                  <c:v>2.8000000000000001E-2</c:v>
                </c:pt>
                <c:pt idx="5">
                  <c:v>6.54E-2</c:v>
                </c:pt>
                <c:pt idx="6">
                  <c:v>5.6000000000000001E-2</c:v>
                </c:pt>
                <c:pt idx="7">
                  <c:v>9.2999999999999992E-3</c:v>
                </c:pt>
                <c:pt idx="8">
                  <c:v>1.8700000000000001E-2</c:v>
                </c:pt>
                <c:pt idx="9" formatCode="0%">
                  <c:v>0</c:v>
                </c:pt>
                <c:pt idx="10">
                  <c:v>2.8000000000000001E-2</c:v>
                </c:pt>
                <c:pt idx="11">
                  <c:v>9.2999999999999992E-3</c:v>
                </c:pt>
                <c:pt idx="12">
                  <c:v>9.2999999999999992E-3</c:v>
                </c:pt>
                <c:pt idx="13">
                  <c:v>3.73E-2</c:v>
                </c:pt>
                <c:pt idx="14">
                  <c:v>1.8700000000000001E-2</c:v>
                </c:pt>
                <c:pt idx="15">
                  <c:v>2.8000000000000001E-2</c:v>
                </c:pt>
                <c:pt idx="16">
                  <c:v>9.2999999999999992E-3</c:v>
                </c:pt>
                <c:pt idx="17">
                  <c:v>9.2999999999999992E-3</c:v>
                </c:pt>
              </c:numCache>
            </c:numRef>
          </c:val>
          <c:extLst>
            <c:ext xmlns:c16="http://schemas.microsoft.com/office/drawing/2014/chart" uri="{C3380CC4-5D6E-409C-BE32-E72D297353CC}">
              <c16:uniqueId val="{00000000-DEB0-40BA-AE2B-A9DB490549F4}"/>
            </c:ext>
          </c:extLst>
        </c:ser>
        <c:dLbls>
          <c:dLblPos val="outEnd"/>
          <c:showLegendKey val="0"/>
          <c:showVal val="1"/>
          <c:showCatName val="0"/>
          <c:showSerName val="0"/>
          <c:showPercent val="0"/>
          <c:showBubbleSize val="0"/>
        </c:dLbls>
        <c:gapWidth val="444"/>
        <c:overlap val="-90"/>
        <c:axId val="882225663"/>
        <c:axId val="1028007263"/>
      </c:barChart>
      <c:catAx>
        <c:axId val="882225663"/>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cap="all" spc="120" normalizeH="0" baseline="0">
                <a:solidFill>
                  <a:schemeClr val="tx1">
                    <a:lumMod val="65000"/>
                    <a:lumOff val="35000"/>
                  </a:schemeClr>
                </a:solidFill>
                <a:latin typeface="+mj-lt"/>
                <a:ea typeface="+mn-ea"/>
                <a:cs typeface="+mn-cs"/>
              </a:defRPr>
            </a:pPr>
            <a:endParaRPr lang="en-US"/>
          </a:p>
        </c:txPr>
        <c:crossAx val="1028007263"/>
        <c:crosses val="autoZero"/>
        <c:auto val="1"/>
        <c:lblAlgn val="ctr"/>
        <c:lblOffset val="100"/>
        <c:noMultiLvlLbl val="0"/>
      </c:catAx>
      <c:valAx>
        <c:axId val="1028007263"/>
        <c:scaling>
          <c:orientation val="minMax"/>
        </c:scaling>
        <c:delete val="1"/>
        <c:axPos val="l"/>
        <c:numFmt formatCode="0%" sourceLinked="1"/>
        <c:majorTickMark val="none"/>
        <c:minorTickMark val="none"/>
        <c:tickLblPos val="nextTo"/>
        <c:crossAx val="882225663"/>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1" i="0" u="none" strike="noStrike" kern="1200" cap="all" spc="120" normalizeH="0" baseline="0">
                <a:solidFill>
                  <a:schemeClr val="tx1">
                    <a:lumMod val="65000"/>
                    <a:lumOff val="35000"/>
                  </a:schemeClr>
                </a:solidFill>
                <a:latin typeface="+mn-lt"/>
                <a:ea typeface="+mn-ea"/>
                <a:cs typeface="+mn-cs"/>
              </a:defRPr>
            </a:pPr>
            <a:r>
              <a:rPr lang="cs-CZ" sz="1100">
                <a:latin typeface="+mj-lt"/>
              </a:rPr>
              <a:t>Elements of criticism when analyzing SDGs as </a:t>
            </a:r>
            <a:r>
              <a:rPr lang="en-US" sz="1100">
                <a:latin typeface="+mj-lt"/>
              </a:rPr>
              <a:t>FRAMEWORK</a:t>
            </a:r>
            <a:r>
              <a:rPr lang="cs-CZ" sz="1100">
                <a:latin typeface="+mj-lt"/>
              </a:rPr>
              <a:t> </a:t>
            </a:r>
            <a:endParaRPr lang="en-US" sz="1100">
              <a:latin typeface="+mj-lt"/>
            </a:endParaRPr>
          </a:p>
        </c:rich>
      </c:tx>
      <c:layout>
        <c:manualLayout>
          <c:xMode val="edge"/>
          <c:yMode val="edge"/>
          <c:x val="0.22652777777777783"/>
          <c:y val="2.7777777777777776E-2"/>
        </c:manualLayout>
      </c:layout>
      <c:overlay val="0"/>
      <c:spPr>
        <a:noFill/>
        <a:ln>
          <a:noFill/>
        </a:ln>
        <a:effectLst/>
      </c:spPr>
      <c:txPr>
        <a:bodyPr rot="0" spcFirstLastPara="1" vertOverflow="ellipsis" vert="horz" wrap="square" anchor="ctr" anchorCtr="1"/>
        <a:lstStyle/>
        <a:p>
          <a:pPr>
            <a:defRPr sz="1100" b="1" i="0" u="none" strike="noStrike" kern="1200" cap="all" spc="120" normalizeH="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9.8874452620028003E-2"/>
          <c:y val="0.13010901883052528"/>
          <c:w val="0.87065492960168966"/>
          <c:h val="0.44253560475406384"/>
        </c:manualLayout>
      </c:layout>
      <c:barChart>
        <c:barDir val="col"/>
        <c:grouping val="clustered"/>
        <c:varyColors val="0"/>
        <c:ser>
          <c:idx val="0"/>
          <c:order val="0"/>
          <c:tx>
            <c:strRef>
              <c:f>List1!$B$1</c:f>
              <c:strCache>
                <c:ptCount val="1"/>
                <c:pt idx="0">
                  <c:v>Column1</c:v>
                </c:pt>
              </c:strCache>
            </c:strRef>
          </c:tx>
          <c:spPr>
            <a:solidFill>
              <a:schemeClr val="accent1"/>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j-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List1!$A$2:$A$11</c:f>
              <c:strCache>
                <c:ptCount val="9"/>
                <c:pt idx="0">
                  <c:v>Internal clashes</c:v>
                </c:pt>
                <c:pt idx="1">
                  <c:v>Lack of integration</c:v>
                </c:pt>
                <c:pt idx="2">
                  <c:v>Issues with current global settings</c:v>
                </c:pt>
                <c:pt idx="3">
                  <c:v>Inefficient indicators</c:v>
                </c:pt>
                <c:pt idx="4">
                  <c:v>Lack of mechanism for monitoring </c:v>
                </c:pt>
                <c:pt idx="5">
                  <c:v>Vague</c:v>
                </c:pt>
                <c:pt idx="6">
                  <c:v>Lack of accountability</c:v>
                </c:pt>
                <c:pt idx="7">
                  <c:v>Wrong concept of sustainability</c:v>
                </c:pt>
                <c:pt idx="8">
                  <c:v>Non-legally binding </c:v>
                </c:pt>
              </c:strCache>
            </c:strRef>
          </c:cat>
          <c:val>
            <c:numRef>
              <c:f>List1!$B$2:$B$11</c:f>
              <c:numCache>
                <c:formatCode>0.00%</c:formatCode>
                <c:ptCount val="10"/>
                <c:pt idx="0" formatCode="0%">
                  <c:v>0.2833</c:v>
                </c:pt>
                <c:pt idx="1">
                  <c:v>0.1333</c:v>
                </c:pt>
                <c:pt idx="2" formatCode="0%">
                  <c:v>0.11</c:v>
                </c:pt>
                <c:pt idx="3">
                  <c:v>7.7700000000000005E-2</c:v>
                </c:pt>
                <c:pt idx="4">
                  <c:v>6.6600000000000006E-2</c:v>
                </c:pt>
                <c:pt idx="5">
                  <c:v>6.6600000000000006E-2</c:v>
                </c:pt>
                <c:pt idx="6">
                  <c:v>4.4400000000000002E-2</c:v>
                </c:pt>
                <c:pt idx="7">
                  <c:v>3.3300000000000003E-2</c:v>
                </c:pt>
                <c:pt idx="8">
                  <c:v>3.3300000000000003E-2</c:v>
                </c:pt>
              </c:numCache>
            </c:numRef>
          </c:val>
          <c:extLst>
            <c:ext xmlns:c16="http://schemas.microsoft.com/office/drawing/2014/chart" uri="{C3380CC4-5D6E-409C-BE32-E72D297353CC}">
              <c16:uniqueId val="{00000000-EC07-438C-B686-542EFC3E1A46}"/>
            </c:ext>
          </c:extLst>
        </c:ser>
        <c:dLbls>
          <c:dLblPos val="outEnd"/>
          <c:showLegendKey val="0"/>
          <c:showVal val="1"/>
          <c:showCatName val="0"/>
          <c:showSerName val="0"/>
          <c:showPercent val="0"/>
          <c:showBubbleSize val="0"/>
        </c:dLbls>
        <c:gapWidth val="444"/>
        <c:overlap val="-90"/>
        <c:axId val="1034256495"/>
        <c:axId val="1033341407"/>
      </c:barChart>
      <c:catAx>
        <c:axId val="1034256495"/>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j-lt"/>
                <a:ea typeface="+mn-ea"/>
                <a:cs typeface="+mn-cs"/>
              </a:defRPr>
            </a:pPr>
            <a:endParaRPr lang="en-US"/>
          </a:p>
        </c:txPr>
        <c:crossAx val="1033341407"/>
        <c:crosses val="autoZero"/>
        <c:auto val="1"/>
        <c:lblAlgn val="ctr"/>
        <c:lblOffset val="100"/>
        <c:noMultiLvlLbl val="0"/>
      </c:catAx>
      <c:valAx>
        <c:axId val="1033341407"/>
        <c:scaling>
          <c:orientation val="minMax"/>
        </c:scaling>
        <c:delete val="1"/>
        <c:axPos val="l"/>
        <c:numFmt formatCode="0%" sourceLinked="1"/>
        <c:majorTickMark val="none"/>
        <c:minorTickMark val="none"/>
        <c:tickLblPos val="nextTo"/>
        <c:crossAx val="1034256495"/>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1" i="0" u="none" strike="noStrike" kern="1200" cap="all" spc="50" baseline="0">
                <a:solidFill>
                  <a:schemeClr val="tx1">
                    <a:lumMod val="65000"/>
                    <a:lumOff val="35000"/>
                  </a:schemeClr>
                </a:solidFill>
                <a:latin typeface="+mj-lt"/>
                <a:ea typeface="+mn-ea"/>
                <a:cs typeface="+mn-cs"/>
              </a:defRPr>
            </a:pPr>
            <a:r>
              <a:rPr lang="en-US" sz="1100">
                <a:latin typeface="+mj-lt"/>
              </a:rPr>
              <a:t>Criticism</a:t>
            </a:r>
            <a:r>
              <a:rPr lang="en-US" sz="1100" baseline="0">
                <a:latin typeface="+mj-lt"/>
              </a:rPr>
              <a:t> of sdg 5 </a:t>
            </a:r>
            <a:endParaRPr lang="en-US" sz="1100">
              <a:latin typeface="+mj-lt"/>
            </a:endParaRPr>
          </a:p>
        </c:rich>
      </c:tx>
      <c:overlay val="0"/>
      <c:spPr>
        <a:noFill/>
        <a:ln>
          <a:noFill/>
        </a:ln>
        <a:effectLst/>
      </c:spPr>
      <c:txPr>
        <a:bodyPr rot="0" spcFirstLastPara="1" vertOverflow="ellipsis" vert="horz" wrap="square" anchor="ctr" anchorCtr="1"/>
        <a:lstStyle/>
        <a:p>
          <a:pPr>
            <a:defRPr sz="1100" b="1" i="0" u="none" strike="noStrike" kern="1200" cap="all" spc="50" baseline="0">
              <a:solidFill>
                <a:schemeClr val="tx1">
                  <a:lumMod val="65000"/>
                  <a:lumOff val="35000"/>
                </a:schemeClr>
              </a:solidFill>
              <a:latin typeface="+mj-lt"/>
              <a:ea typeface="+mn-ea"/>
              <a:cs typeface="+mn-cs"/>
            </a:defRPr>
          </a:pPr>
          <a:endParaRPr lang="en-US"/>
        </a:p>
      </c:txPr>
    </c:title>
    <c:autoTitleDeleted val="0"/>
    <c:plotArea>
      <c:layout/>
      <c:pieChart>
        <c:varyColors val="1"/>
        <c:ser>
          <c:idx val="0"/>
          <c:order val="0"/>
          <c:tx>
            <c:strRef>
              <c:f>Sheet1!$B$1</c:f>
              <c:strCache>
                <c:ptCount val="1"/>
                <c:pt idx="0">
                  <c:v>Sales</c:v>
                </c:pt>
              </c:strCache>
            </c:strRef>
          </c:tx>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1-9A5F-4745-B946-A3F40FBA679C}"/>
              </c:ext>
            </c:extLst>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3-9A5F-4745-B946-A3F40FBA679C}"/>
              </c:ext>
            </c:extLst>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5-9A5F-4745-B946-A3F40FBA679C}"/>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j-lt"/>
                    <a:ea typeface="+mn-ea"/>
                    <a:cs typeface="+mn-cs"/>
                  </a:defRPr>
                </a:pPr>
                <a:endParaRPr lang="en-US"/>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Sheet1!$A$2:$A$4</c:f>
              <c:strCache>
                <c:ptCount val="3"/>
                <c:pt idx="0">
                  <c:v>Lack of intergation of the SDG 5 </c:v>
                </c:pt>
                <c:pt idx="1">
                  <c:v>Clash with other SDG</c:v>
                </c:pt>
                <c:pt idx="2">
                  <c:v>Problems with global governance settings for SDG 5</c:v>
                </c:pt>
              </c:strCache>
            </c:strRef>
          </c:cat>
          <c:val>
            <c:numRef>
              <c:f>Sheet1!$B$2:$B$4</c:f>
              <c:numCache>
                <c:formatCode>0.00%</c:formatCode>
                <c:ptCount val="3"/>
                <c:pt idx="0">
                  <c:v>0.49990000000000001</c:v>
                </c:pt>
                <c:pt idx="1">
                  <c:v>0.33329999999999999</c:v>
                </c:pt>
                <c:pt idx="2">
                  <c:v>0.1666</c:v>
                </c:pt>
              </c:numCache>
            </c:numRef>
          </c:val>
          <c:extLst>
            <c:ext xmlns:c16="http://schemas.microsoft.com/office/drawing/2014/chart" uri="{C3380CC4-5D6E-409C-BE32-E72D297353CC}">
              <c16:uniqueId val="{00000006-9A5F-4745-B946-A3F40FBA679C}"/>
            </c:ext>
          </c:extLst>
        </c:ser>
        <c:dLbls>
          <c:dLblPos val="inEnd"/>
          <c:showLegendKey val="0"/>
          <c:showVal val="0"/>
          <c:showCatName val="0"/>
          <c:showSerName val="0"/>
          <c:showPercent val="1"/>
          <c:showBubbleSize val="0"/>
          <c:showLeaderLines val="1"/>
        </c:dLbls>
        <c:firstSliceAng val="0"/>
      </c:pieChart>
      <c:spPr>
        <a:noFill/>
        <a:ln>
          <a:noFill/>
        </a:ln>
        <a:effectLst/>
      </c:spPr>
    </c:plotArea>
    <c:legend>
      <c:legendPos val="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j-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1" i="0" u="none" strike="noStrike" kern="1200" cap="all" spc="50" baseline="0">
                <a:solidFill>
                  <a:schemeClr val="tx1">
                    <a:lumMod val="65000"/>
                    <a:lumOff val="35000"/>
                  </a:schemeClr>
                </a:solidFill>
                <a:latin typeface="+mn-lt"/>
                <a:ea typeface="+mn-ea"/>
                <a:cs typeface="+mn-cs"/>
              </a:defRPr>
            </a:pPr>
            <a:r>
              <a:rPr lang="en-US" sz="1100">
                <a:latin typeface="+mj-lt"/>
              </a:rPr>
              <a:t>CRITICISM</a:t>
            </a:r>
            <a:r>
              <a:rPr lang="en-US" sz="1100" baseline="0">
                <a:latin typeface="+mj-lt"/>
              </a:rPr>
              <a:t> OF SDG 6</a:t>
            </a:r>
            <a:endParaRPr lang="en-US" sz="1100">
              <a:latin typeface="+mj-lt"/>
            </a:endParaRPr>
          </a:p>
        </c:rich>
      </c:tx>
      <c:overlay val="0"/>
      <c:spPr>
        <a:noFill/>
        <a:ln>
          <a:noFill/>
        </a:ln>
        <a:effectLst/>
      </c:spPr>
      <c:txPr>
        <a:bodyPr rot="0" spcFirstLastPara="1" vertOverflow="ellipsis" vert="horz" wrap="square" anchor="ctr" anchorCtr="1"/>
        <a:lstStyle/>
        <a:p>
          <a:pPr>
            <a:defRPr sz="1100" b="1" i="0" u="none" strike="noStrike" kern="1200" cap="all" spc="5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Column1</c:v>
                </c:pt>
              </c:strCache>
            </c:strRef>
          </c:tx>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1-8517-4120-9A90-4D3FD6016666}"/>
              </c:ext>
            </c:extLst>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3-8517-4120-9A90-4D3FD6016666}"/>
              </c:ext>
            </c:extLst>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5-8517-4120-9A90-4D3FD6016666}"/>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Sheet1!$A$2:$A$4</c:f>
              <c:strCache>
                <c:ptCount val="3"/>
                <c:pt idx="0">
                  <c:v>Not translated to the human rights framework </c:v>
                </c:pt>
                <c:pt idx="1">
                  <c:v>Problems with indicators </c:v>
                </c:pt>
                <c:pt idx="2">
                  <c:v>Insufficient integration of SDG 6 within the SDG framework </c:v>
                </c:pt>
              </c:strCache>
            </c:strRef>
          </c:cat>
          <c:val>
            <c:numRef>
              <c:f>Sheet1!$B$2:$B$4</c:f>
              <c:numCache>
                <c:formatCode>0.00%</c:formatCode>
                <c:ptCount val="3"/>
                <c:pt idx="0">
                  <c:v>0.1666</c:v>
                </c:pt>
                <c:pt idx="1">
                  <c:v>0.33329999999999999</c:v>
                </c:pt>
                <c:pt idx="2" formatCode="0%">
                  <c:v>0.5</c:v>
                </c:pt>
              </c:numCache>
            </c:numRef>
          </c:val>
          <c:extLst>
            <c:ext xmlns:c16="http://schemas.microsoft.com/office/drawing/2014/chart" uri="{C3380CC4-5D6E-409C-BE32-E72D297353CC}">
              <c16:uniqueId val="{00000006-8517-4120-9A90-4D3FD6016666}"/>
            </c:ext>
          </c:extLst>
        </c:ser>
        <c:dLbls>
          <c:dLblPos val="inEnd"/>
          <c:showLegendKey val="0"/>
          <c:showVal val="0"/>
          <c:showCatName val="0"/>
          <c:showSerName val="0"/>
          <c:showPercent val="1"/>
          <c:showBubbleSize val="0"/>
          <c:showLeaderLines val="1"/>
        </c:dLbls>
        <c:firstSliceAng val="0"/>
      </c:pieChart>
      <c:spPr>
        <a:noFill/>
        <a:ln>
          <a:noFill/>
        </a:ln>
        <a:effectLst/>
      </c:spPr>
    </c:plotArea>
    <c:legend>
      <c:legendPos val="t"/>
      <c:legendEntry>
        <c:idx val="2"/>
        <c:txPr>
          <a:bodyPr rot="0" spcFirstLastPara="1" vertOverflow="ellipsis" vert="horz" wrap="square" anchor="ctr" anchorCtr="1"/>
          <a:lstStyle/>
          <a:p>
            <a:pPr>
              <a:defRPr sz="700" b="0" i="0" u="none" strike="noStrike" kern="1200" baseline="0">
                <a:solidFill>
                  <a:schemeClr val="tx1">
                    <a:lumMod val="65000"/>
                    <a:lumOff val="35000"/>
                  </a:schemeClr>
                </a:solidFill>
                <a:latin typeface="+mj-lt"/>
                <a:ea typeface="+mn-ea"/>
                <a:cs typeface="+mn-cs"/>
              </a:defRPr>
            </a:pPr>
            <a:endParaRPr lang="en-US"/>
          </a:p>
        </c:txPr>
      </c:legendEntry>
      <c:layout>
        <c:manualLayout>
          <c:xMode val="edge"/>
          <c:yMode val="edge"/>
          <c:x val="1.5510746731664082E-2"/>
          <c:y val="0.12734118186682974"/>
          <c:w val="0.91874764843583745"/>
          <c:h val="6.1251902335737435E-2"/>
        </c:manualLayout>
      </c:layout>
      <c:overlay val="0"/>
      <c:spPr>
        <a:noFill/>
        <a:ln>
          <a:noFill/>
        </a:ln>
        <a:effectLst/>
      </c:spPr>
      <c:txPr>
        <a:bodyPr rot="0" spcFirstLastPara="1" vertOverflow="ellipsis" vert="horz" wrap="square" anchor="ctr" anchorCtr="1"/>
        <a:lstStyle/>
        <a:p>
          <a:pPr>
            <a:defRPr sz="700" b="0" i="0" u="none" strike="noStrike" kern="1200" baseline="0">
              <a:solidFill>
                <a:schemeClr val="tx1">
                  <a:lumMod val="65000"/>
                  <a:lumOff val="35000"/>
                </a:schemeClr>
              </a:solidFill>
              <a:latin typeface="+mj-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1" i="0" u="none" strike="noStrike" kern="1200" cap="all" spc="50" baseline="0">
                <a:solidFill>
                  <a:schemeClr val="tx1">
                    <a:lumMod val="65000"/>
                    <a:lumOff val="35000"/>
                  </a:schemeClr>
                </a:solidFill>
                <a:latin typeface="+mn-lt"/>
                <a:ea typeface="+mn-ea"/>
                <a:cs typeface="+mn-cs"/>
              </a:defRPr>
            </a:pPr>
            <a:r>
              <a:rPr lang="en-US" sz="1100">
                <a:latin typeface="+mj-lt"/>
              </a:rPr>
              <a:t>Quartiles of analyzed articles  </a:t>
            </a:r>
          </a:p>
        </c:rich>
      </c:tx>
      <c:overlay val="0"/>
      <c:spPr>
        <a:noFill/>
        <a:ln>
          <a:noFill/>
        </a:ln>
        <a:effectLst/>
      </c:spPr>
      <c:txPr>
        <a:bodyPr rot="0" spcFirstLastPara="1" vertOverflow="ellipsis" vert="horz" wrap="square" anchor="ctr" anchorCtr="1"/>
        <a:lstStyle/>
        <a:p>
          <a:pPr>
            <a:defRPr sz="1100" b="1" i="0" u="none" strike="noStrike" kern="1200" cap="all" spc="5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Percentage </c:v>
                </c:pt>
              </c:strCache>
            </c:strRef>
          </c:tx>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1-4A7B-4C05-97A4-0507ED09468A}"/>
              </c:ext>
            </c:extLst>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3-4A7B-4C05-97A4-0507ED09468A}"/>
              </c:ext>
            </c:extLst>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5-4A7B-4C05-97A4-0507ED09468A}"/>
              </c:ext>
            </c:extLst>
          </c:dPt>
          <c:dPt>
            <c:idx val="3"/>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7-4A7B-4C05-97A4-0507ED09468A}"/>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j-lt"/>
                    <a:ea typeface="+mn-ea"/>
                    <a:cs typeface="+mn-cs"/>
                  </a:defRPr>
                </a:pPr>
                <a:endParaRPr lang="en-US"/>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numRef>
              <c:f>Sheet1!$A$2:$A$5</c:f>
              <c:numCache>
                <c:formatCode>General</c:formatCode>
                <c:ptCount val="4"/>
                <c:pt idx="0">
                  <c:v>1</c:v>
                </c:pt>
                <c:pt idx="1">
                  <c:v>2</c:v>
                </c:pt>
                <c:pt idx="2">
                  <c:v>3</c:v>
                </c:pt>
                <c:pt idx="3">
                  <c:v>4</c:v>
                </c:pt>
              </c:numCache>
            </c:numRef>
          </c:cat>
          <c:val>
            <c:numRef>
              <c:f>Sheet1!$B$2:$B$5</c:f>
              <c:numCache>
                <c:formatCode>0.00%</c:formatCode>
                <c:ptCount val="4"/>
                <c:pt idx="0">
                  <c:v>0.69099999999999995</c:v>
                </c:pt>
                <c:pt idx="1">
                  <c:v>0.21490000000000001</c:v>
                </c:pt>
                <c:pt idx="2">
                  <c:v>6.54E-2</c:v>
                </c:pt>
                <c:pt idx="3">
                  <c:v>2.9000000000000001E-2</c:v>
                </c:pt>
              </c:numCache>
            </c:numRef>
          </c:val>
          <c:extLst>
            <c:ext xmlns:c16="http://schemas.microsoft.com/office/drawing/2014/chart" uri="{C3380CC4-5D6E-409C-BE32-E72D297353CC}">
              <c16:uniqueId val="{00000008-4A7B-4C05-97A4-0507ED09468A}"/>
            </c:ext>
          </c:extLst>
        </c:ser>
        <c:dLbls>
          <c:dLblPos val="inEnd"/>
          <c:showLegendKey val="0"/>
          <c:showVal val="0"/>
          <c:showCatName val="0"/>
          <c:showSerName val="0"/>
          <c:showPercent val="1"/>
          <c:showBubbleSize val="0"/>
          <c:showLeaderLines val="1"/>
        </c:dLbls>
        <c:firstSliceAng val="0"/>
      </c:pieChart>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j-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1" i="0" u="none" strike="noStrike" kern="1200" cap="all" spc="120" normalizeH="0" baseline="0">
                <a:solidFill>
                  <a:schemeClr val="tx1">
                    <a:lumMod val="65000"/>
                    <a:lumOff val="35000"/>
                  </a:schemeClr>
                </a:solidFill>
                <a:latin typeface="+mn-lt"/>
                <a:ea typeface="+mn-ea"/>
                <a:cs typeface="+mn-cs"/>
              </a:defRPr>
            </a:pPr>
            <a:r>
              <a:rPr lang="en-GB" sz="1100">
                <a:latin typeface="+mj-lt"/>
              </a:rPr>
              <a:t>Relationship between quartile 1 and centre</a:t>
            </a:r>
            <a:r>
              <a:rPr lang="en-GB" sz="1100" baseline="0">
                <a:latin typeface="+mj-lt"/>
              </a:rPr>
              <a:t> of </a:t>
            </a:r>
            <a:r>
              <a:rPr lang="en-GB" sz="1100">
                <a:latin typeface="+mj-lt"/>
              </a:rPr>
              <a:t>sdg criticism  </a:t>
            </a:r>
          </a:p>
        </c:rich>
      </c:tx>
      <c:overlay val="0"/>
      <c:spPr>
        <a:noFill/>
        <a:ln>
          <a:noFill/>
        </a:ln>
        <a:effectLst/>
      </c:spPr>
      <c:txPr>
        <a:bodyPr rot="0" spcFirstLastPara="1" vertOverflow="ellipsis" vert="horz" wrap="square" anchor="ctr" anchorCtr="1"/>
        <a:lstStyle/>
        <a:p>
          <a:pPr>
            <a:defRPr sz="1100" b="1" i="0" u="none" strike="noStrike" kern="1200" cap="all" spc="120" normalizeH="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Sheet1!$A$1</c:f>
              <c:strCache>
                <c:ptCount val="1"/>
                <c:pt idx="0">
                  <c:v>Column1</c:v>
                </c:pt>
              </c:strCache>
            </c:strRef>
          </c:tx>
          <c:spPr>
            <a:solidFill>
              <a:schemeClr val="accent1"/>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Sheet1!$A$2</c:f>
              <c:numCache>
                <c:formatCode>General</c:formatCode>
                <c:ptCount val="1"/>
              </c:numCache>
            </c:numRef>
          </c:val>
          <c:extLst>
            <c:ext xmlns:c16="http://schemas.microsoft.com/office/drawing/2014/chart" uri="{C3380CC4-5D6E-409C-BE32-E72D297353CC}">
              <c16:uniqueId val="{00000000-C8DA-4FA1-9291-EF4F72A22861}"/>
            </c:ext>
          </c:extLst>
        </c:ser>
        <c:ser>
          <c:idx val="1"/>
          <c:order val="1"/>
          <c:tx>
            <c:strRef>
              <c:f>Sheet1!$B$1</c:f>
              <c:strCache>
                <c:ptCount val="1"/>
                <c:pt idx="0">
                  <c:v>Internal clashes </c:v>
                </c:pt>
              </c:strCache>
            </c:strRef>
          </c:tx>
          <c:spPr>
            <a:solidFill>
              <a:schemeClr val="accent2"/>
            </a:solidFill>
            <a:ln>
              <a:noFill/>
            </a:ln>
            <a:effectLst/>
          </c:spPr>
          <c:invertIfNegative val="0"/>
          <c:dLbls>
            <c:dLbl>
              <c:idx val="0"/>
              <c:tx>
                <c:rich>
                  <a:bodyPr/>
                  <a:lstStyle/>
                  <a:p>
                    <a:fld id="{BD1BDAF9-FD1D-4874-AE28-8294369877D3}" type="VALUE">
                      <a:rPr lang="en-US">
                        <a:latin typeface="+mj-lt"/>
                      </a:rPr>
                      <a:pPr/>
                      <a:t>[VALUE]</a:t>
                    </a:fld>
                    <a:endParaRPr lang="en-US"/>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0-D851-4E13-8429-7BB32F84354A}"/>
                </c:ext>
              </c:extLst>
            </c:dLbl>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Sheet1!$B$2</c:f>
              <c:numCache>
                <c:formatCode>0%</c:formatCode>
                <c:ptCount val="1"/>
                <c:pt idx="0">
                  <c:v>0.28000000000000003</c:v>
                </c:pt>
              </c:numCache>
            </c:numRef>
          </c:val>
          <c:extLst>
            <c:ext xmlns:c16="http://schemas.microsoft.com/office/drawing/2014/chart" uri="{C3380CC4-5D6E-409C-BE32-E72D297353CC}">
              <c16:uniqueId val="{00000001-C8DA-4FA1-9291-EF4F72A22861}"/>
            </c:ext>
          </c:extLst>
        </c:ser>
        <c:ser>
          <c:idx val="2"/>
          <c:order val="2"/>
          <c:tx>
            <c:strRef>
              <c:f>Sheet1!$C$1</c:f>
              <c:strCache>
                <c:ptCount val="1"/>
                <c:pt idx="0">
                  <c:v>Lack of integration </c:v>
                </c:pt>
              </c:strCache>
            </c:strRef>
          </c:tx>
          <c:spPr>
            <a:solidFill>
              <a:schemeClr val="accent3"/>
            </a:solidFill>
            <a:ln>
              <a:noFill/>
            </a:ln>
            <a:effectLst/>
          </c:spPr>
          <c:invertIfNegative val="0"/>
          <c:dLbls>
            <c:dLbl>
              <c:idx val="0"/>
              <c:tx>
                <c:rich>
                  <a:bodyPr/>
                  <a:lstStyle/>
                  <a:p>
                    <a:fld id="{438ADDB2-ACE1-4299-A8B2-D949AB910DF4}" type="VALUE">
                      <a:rPr lang="en-US">
                        <a:latin typeface="+mj-lt"/>
                      </a:rPr>
                      <a:pPr/>
                      <a:t>[VALUE]</a:t>
                    </a:fld>
                    <a:endParaRPr lang="en-US"/>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D851-4E13-8429-7BB32F84354A}"/>
                </c:ext>
              </c:extLst>
            </c:dLbl>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Sheet1!$C$2</c:f>
              <c:numCache>
                <c:formatCode>0.00%</c:formatCode>
                <c:ptCount val="1"/>
                <c:pt idx="0">
                  <c:v>0.25900000000000001</c:v>
                </c:pt>
              </c:numCache>
            </c:numRef>
          </c:val>
          <c:extLst>
            <c:ext xmlns:c16="http://schemas.microsoft.com/office/drawing/2014/chart" uri="{C3380CC4-5D6E-409C-BE32-E72D297353CC}">
              <c16:uniqueId val="{00000002-C8DA-4FA1-9291-EF4F72A22861}"/>
            </c:ext>
          </c:extLst>
        </c:ser>
        <c:ser>
          <c:idx val="3"/>
          <c:order val="3"/>
          <c:tx>
            <c:strRef>
              <c:f>Sheet1!$D$1</c:f>
              <c:strCache>
                <c:ptCount val="1"/>
                <c:pt idx="0">
                  <c:v>Indicators </c:v>
                </c:pt>
              </c:strCache>
            </c:strRef>
          </c:tx>
          <c:spPr>
            <a:solidFill>
              <a:schemeClr val="accent4"/>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j-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Sheet1!$D$2</c:f>
              <c:numCache>
                <c:formatCode>0.00%</c:formatCode>
                <c:ptCount val="1"/>
                <c:pt idx="0">
                  <c:v>0.15579999999999999</c:v>
                </c:pt>
              </c:numCache>
            </c:numRef>
          </c:val>
          <c:extLst>
            <c:ext xmlns:c16="http://schemas.microsoft.com/office/drawing/2014/chart" uri="{C3380CC4-5D6E-409C-BE32-E72D297353CC}">
              <c16:uniqueId val="{00000003-C8DA-4FA1-9291-EF4F72A22861}"/>
            </c:ext>
          </c:extLst>
        </c:ser>
        <c:ser>
          <c:idx val="4"/>
          <c:order val="4"/>
          <c:tx>
            <c:strRef>
              <c:f>Sheet1!$E$1</c:f>
              <c:strCache>
                <c:ptCount val="1"/>
                <c:pt idx="0">
                  <c:v>Problems with global governance </c:v>
                </c:pt>
              </c:strCache>
            </c:strRef>
          </c:tx>
          <c:spPr>
            <a:solidFill>
              <a:schemeClr val="accent5"/>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j-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Sheet1!$E$2</c:f>
              <c:numCache>
                <c:formatCode>0.00%</c:formatCode>
                <c:ptCount val="1"/>
                <c:pt idx="0">
                  <c:v>7.7899999999999997E-2</c:v>
                </c:pt>
              </c:numCache>
            </c:numRef>
          </c:val>
          <c:extLst>
            <c:ext xmlns:c16="http://schemas.microsoft.com/office/drawing/2014/chart" uri="{C3380CC4-5D6E-409C-BE32-E72D297353CC}">
              <c16:uniqueId val="{00000004-C8DA-4FA1-9291-EF4F72A22861}"/>
            </c:ext>
          </c:extLst>
        </c:ser>
        <c:ser>
          <c:idx val="5"/>
          <c:order val="5"/>
          <c:tx>
            <c:strRef>
              <c:f>Sheet1!$F$1</c:f>
              <c:strCache>
                <c:ptCount val="1"/>
                <c:pt idx="0">
                  <c:v>Problems with monitoring </c:v>
                </c:pt>
              </c:strCache>
            </c:strRef>
          </c:tx>
          <c:spPr>
            <a:solidFill>
              <a:schemeClr val="accent6"/>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j-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Sheet1!$F$2</c:f>
              <c:numCache>
                <c:formatCode>0.00%</c:formatCode>
                <c:ptCount val="1"/>
                <c:pt idx="0">
                  <c:v>6.4000000000000001E-2</c:v>
                </c:pt>
              </c:numCache>
            </c:numRef>
          </c:val>
          <c:extLst>
            <c:ext xmlns:c16="http://schemas.microsoft.com/office/drawing/2014/chart" uri="{C3380CC4-5D6E-409C-BE32-E72D297353CC}">
              <c16:uniqueId val="{00000005-C8DA-4FA1-9291-EF4F72A22861}"/>
            </c:ext>
          </c:extLst>
        </c:ser>
        <c:ser>
          <c:idx val="6"/>
          <c:order val="6"/>
          <c:tx>
            <c:strRef>
              <c:f>Sheet1!$G$1</c:f>
              <c:strCache>
                <c:ptCount val="1"/>
                <c:pt idx="0">
                  <c:v>Problems with accountability mechanism </c:v>
                </c:pt>
              </c:strCache>
            </c:strRef>
          </c:tx>
          <c:spPr>
            <a:solidFill>
              <a:schemeClr val="accent1">
                <a:lumMod val="60000"/>
              </a:schemeClr>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j-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Sheet1!$G$2</c:f>
              <c:numCache>
                <c:formatCode>0.00%</c:formatCode>
                <c:ptCount val="1"/>
                <c:pt idx="0">
                  <c:v>5.5899999999999998E-2</c:v>
                </c:pt>
              </c:numCache>
            </c:numRef>
          </c:val>
          <c:extLst>
            <c:ext xmlns:c16="http://schemas.microsoft.com/office/drawing/2014/chart" uri="{C3380CC4-5D6E-409C-BE32-E72D297353CC}">
              <c16:uniqueId val="{00000006-C8DA-4FA1-9291-EF4F72A22861}"/>
            </c:ext>
          </c:extLst>
        </c:ser>
        <c:ser>
          <c:idx val="7"/>
          <c:order val="7"/>
          <c:tx>
            <c:strRef>
              <c:f>Sheet1!$H$1</c:f>
              <c:strCache>
                <c:ptCount val="1"/>
                <c:pt idx="0">
                  <c:v>Vague</c:v>
                </c:pt>
              </c:strCache>
            </c:strRef>
          </c:tx>
          <c:spPr>
            <a:solidFill>
              <a:schemeClr val="accent2">
                <a:lumMod val="60000"/>
              </a:schemeClr>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j-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Sheet1!$H$2</c:f>
              <c:numCache>
                <c:formatCode>0.00%</c:formatCode>
                <c:ptCount val="1"/>
                <c:pt idx="0">
                  <c:v>2.5899999999999999E-2</c:v>
                </c:pt>
              </c:numCache>
            </c:numRef>
          </c:val>
          <c:extLst>
            <c:ext xmlns:c16="http://schemas.microsoft.com/office/drawing/2014/chart" uri="{C3380CC4-5D6E-409C-BE32-E72D297353CC}">
              <c16:uniqueId val="{00000007-C8DA-4FA1-9291-EF4F72A22861}"/>
            </c:ext>
          </c:extLst>
        </c:ser>
        <c:ser>
          <c:idx val="8"/>
          <c:order val="8"/>
          <c:tx>
            <c:strRef>
              <c:f>Sheet1!$I$1</c:f>
              <c:strCache>
                <c:ptCount val="1"/>
                <c:pt idx="0">
                  <c:v>Non-legally binding</c:v>
                </c:pt>
              </c:strCache>
            </c:strRef>
          </c:tx>
          <c:spPr>
            <a:solidFill>
              <a:schemeClr val="accent3">
                <a:lumMod val="60000"/>
              </a:schemeClr>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j-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Sheet1!$I$2</c:f>
              <c:numCache>
                <c:formatCode>0.00%</c:formatCode>
                <c:ptCount val="1"/>
                <c:pt idx="0">
                  <c:v>1.29E-2</c:v>
                </c:pt>
              </c:numCache>
            </c:numRef>
          </c:val>
          <c:extLst>
            <c:ext xmlns:c16="http://schemas.microsoft.com/office/drawing/2014/chart" uri="{C3380CC4-5D6E-409C-BE32-E72D297353CC}">
              <c16:uniqueId val="{00000008-C8DA-4FA1-9291-EF4F72A22861}"/>
            </c:ext>
          </c:extLst>
        </c:ser>
        <c:dLbls>
          <c:dLblPos val="outEnd"/>
          <c:showLegendKey val="0"/>
          <c:showVal val="1"/>
          <c:showCatName val="0"/>
          <c:showSerName val="0"/>
          <c:showPercent val="0"/>
          <c:showBubbleSize val="0"/>
        </c:dLbls>
        <c:gapWidth val="444"/>
        <c:overlap val="-90"/>
        <c:axId val="1156183136"/>
        <c:axId val="1155650448"/>
      </c:barChart>
      <c:catAx>
        <c:axId val="115618313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n-US"/>
          </a:p>
        </c:txPr>
        <c:crossAx val="1155650448"/>
        <c:crosses val="autoZero"/>
        <c:auto val="1"/>
        <c:lblAlgn val="ctr"/>
        <c:lblOffset val="100"/>
        <c:noMultiLvlLbl val="0"/>
      </c:catAx>
      <c:valAx>
        <c:axId val="1155650448"/>
        <c:scaling>
          <c:orientation val="minMax"/>
        </c:scaling>
        <c:delete val="1"/>
        <c:axPos val="l"/>
        <c:numFmt formatCode="General" sourceLinked="1"/>
        <c:majorTickMark val="none"/>
        <c:minorTickMark val="none"/>
        <c:tickLblPos val="nextTo"/>
        <c:crossAx val="1156183136"/>
        <c:crosses val="autoZero"/>
        <c:crossBetween val="between"/>
      </c:valAx>
      <c:spPr>
        <a:noFill/>
        <a:ln w="25400">
          <a:noFill/>
        </a:ln>
        <a:effectLst/>
      </c:spPr>
    </c:plotArea>
    <c:legend>
      <c:legendPos val="t"/>
      <c:legendEntry>
        <c:idx val="0"/>
        <c:delete val="1"/>
      </c:legendEntry>
      <c:overlay val="0"/>
      <c:spPr>
        <a:noFill/>
        <a:ln>
          <a:noFill/>
        </a:ln>
        <a:effectLst/>
      </c:spPr>
      <c:txPr>
        <a:bodyPr rot="0" spcFirstLastPara="1" vertOverflow="ellipsis" vert="horz" wrap="square" anchor="ctr" anchorCtr="1"/>
        <a:lstStyle/>
        <a:p>
          <a:pPr>
            <a:defRPr sz="600" b="0" i="0" u="none" strike="noStrike" kern="1200" baseline="0">
              <a:solidFill>
                <a:schemeClr val="tx1">
                  <a:lumMod val="65000"/>
                  <a:lumOff val="35000"/>
                </a:schemeClr>
              </a:solidFill>
              <a:latin typeface="+mj-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r>
              <a:rPr lang="en-GB" sz="1100">
                <a:latin typeface="+mj-lt"/>
              </a:rPr>
              <a:t>Relationship between quartile 2 and center of sdg criticism </a:t>
            </a:r>
          </a:p>
        </c:rich>
      </c:tx>
      <c:overlay val="0"/>
      <c:spPr>
        <a:noFill/>
        <a:ln>
          <a:noFill/>
        </a:ln>
        <a:effectLst/>
      </c:spPr>
      <c:txPr>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Problems with current global settings </c:v>
                </c:pt>
              </c:strCache>
            </c:strRef>
          </c:tx>
          <c:spPr>
            <a:solidFill>
              <a:schemeClr val="accent1"/>
            </a:solidFill>
            <a:ln>
              <a:noFill/>
            </a:ln>
            <a:effectLst/>
          </c:spPr>
          <c:invertIfNegative val="0"/>
          <c:dLbls>
            <c:dLbl>
              <c:idx val="0"/>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j-lt"/>
                      <a:ea typeface="+mn-ea"/>
                      <a:cs typeface="+mn-cs"/>
                    </a:defRPr>
                  </a:pPr>
                  <a:endParaRPr lang="en-US"/>
                </a:p>
              </c:txPr>
              <c:dLblPos val="outEnd"/>
              <c:showLegendKey val="0"/>
              <c:showVal val="1"/>
              <c:showCatName val="0"/>
              <c:showSerName val="0"/>
              <c:showPercent val="0"/>
              <c:showBubbleSize val="0"/>
              <c:extLst>
                <c:ext xmlns:c16="http://schemas.microsoft.com/office/drawing/2014/chart" uri="{C3380CC4-5D6E-409C-BE32-E72D297353CC}">
                  <c16:uniqueId val="{00000000-6D4B-42C4-8A8D-86A074F71C66}"/>
                </c:ext>
              </c:extLst>
            </c:dLbl>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Sheet1!$A$2</c:f>
              <c:numCache>
                <c:formatCode>General</c:formatCode>
                <c:ptCount val="1"/>
              </c:numCache>
            </c:numRef>
          </c:cat>
          <c:val>
            <c:numRef>
              <c:f>Sheet1!$B$2</c:f>
              <c:numCache>
                <c:formatCode>0.00%</c:formatCode>
                <c:ptCount val="1"/>
                <c:pt idx="0">
                  <c:v>0.33329999999999999</c:v>
                </c:pt>
              </c:numCache>
            </c:numRef>
          </c:val>
          <c:extLst>
            <c:ext xmlns:c16="http://schemas.microsoft.com/office/drawing/2014/chart" uri="{C3380CC4-5D6E-409C-BE32-E72D297353CC}">
              <c16:uniqueId val="{00000000-E2F2-42A3-AFD2-3D9EBD45C206}"/>
            </c:ext>
          </c:extLst>
        </c:ser>
        <c:ser>
          <c:idx val="1"/>
          <c:order val="1"/>
          <c:tx>
            <c:strRef>
              <c:f>Sheet1!$C$1</c:f>
              <c:strCache>
                <c:ptCount val="1"/>
                <c:pt idx="0">
                  <c:v>Lack of integration  </c:v>
                </c:pt>
              </c:strCache>
            </c:strRef>
          </c:tx>
          <c:spPr>
            <a:solidFill>
              <a:schemeClr val="accent2"/>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j-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Sheet1!$A$2</c:f>
              <c:numCache>
                <c:formatCode>General</c:formatCode>
                <c:ptCount val="1"/>
              </c:numCache>
            </c:numRef>
          </c:cat>
          <c:val>
            <c:numRef>
              <c:f>Sheet1!$C$2</c:f>
              <c:numCache>
                <c:formatCode>0.00%</c:formatCode>
                <c:ptCount val="1"/>
                <c:pt idx="0">
                  <c:v>0.2666</c:v>
                </c:pt>
              </c:numCache>
            </c:numRef>
          </c:val>
          <c:extLst>
            <c:ext xmlns:c16="http://schemas.microsoft.com/office/drawing/2014/chart" uri="{C3380CC4-5D6E-409C-BE32-E72D297353CC}">
              <c16:uniqueId val="{00000001-E2F2-42A3-AFD2-3D9EBD45C206}"/>
            </c:ext>
          </c:extLst>
        </c:ser>
        <c:ser>
          <c:idx val="2"/>
          <c:order val="2"/>
          <c:tx>
            <c:strRef>
              <c:f>Sheet1!$D$1</c:f>
              <c:strCache>
                <c:ptCount val="1"/>
                <c:pt idx="0">
                  <c:v>Internal clashes </c:v>
                </c:pt>
              </c:strCache>
            </c:strRef>
          </c:tx>
          <c:spPr>
            <a:solidFill>
              <a:schemeClr val="accent3"/>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j-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Sheet1!$A$2</c:f>
              <c:numCache>
                <c:formatCode>General</c:formatCode>
                <c:ptCount val="1"/>
              </c:numCache>
            </c:numRef>
          </c:cat>
          <c:val>
            <c:numRef>
              <c:f>Sheet1!$D$2</c:f>
              <c:numCache>
                <c:formatCode>0%</c:formatCode>
                <c:ptCount val="1"/>
                <c:pt idx="0">
                  <c:v>0.2</c:v>
                </c:pt>
              </c:numCache>
            </c:numRef>
          </c:val>
          <c:extLst>
            <c:ext xmlns:c16="http://schemas.microsoft.com/office/drawing/2014/chart" uri="{C3380CC4-5D6E-409C-BE32-E72D297353CC}">
              <c16:uniqueId val="{00000002-E2F2-42A3-AFD2-3D9EBD45C206}"/>
            </c:ext>
          </c:extLst>
        </c:ser>
        <c:ser>
          <c:idx val="3"/>
          <c:order val="3"/>
          <c:tx>
            <c:strRef>
              <c:f>Sheet1!$E$1</c:f>
              <c:strCache>
                <c:ptCount val="1"/>
                <c:pt idx="0">
                  <c:v>Non-legally binding nature </c:v>
                </c:pt>
              </c:strCache>
            </c:strRef>
          </c:tx>
          <c:spPr>
            <a:solidFill>
              <a:schemeClr val="accent4"/>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j-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Sheet1!$A$2</c:f>
              <c:numCache>
                <c:formatCode>General</c:formatCode>
                <c:ptCount val="1"/>
              </c:numCache>
            </c:numRef>
          </c:cat>
          <c:val>
            <c:numRef>
              <c:f>Sheet1!$E$2</c:f>
              <c:numCache>
                <c:formatCode>0.00%</c:formatCode>
                <c:ptCount val="1"/>
                <c:pt idx="0">
                  <c:v>0.13300000000000001</c:v>
                </c:pt>
              </c:numCache>
            </c:numRef>
          </c:val>
          <c:extLst>
            <c:ext xmlns:c16="http://schemas.microsoft.com/office/drawing/2014/chart" uri="{C3380CC4-5D6E-409C-BE32-E72D297353CC}">
              <c16:uniqueId val="{00000003-E2F2-42A3-AFD2-3D9EBD45C206}"/>
            </c:ext>
          </c:extLst>
        </c:ser>
        <c:ser>
          <c:idx val="4"/>
          <c:order val="4"/>
          <c:tx>
            <c:strRef>
              <c:f>Sheet1!$F$1</c:f>
              <c:strCache>
                <c:ptCount val="1"/>
                <c:pt idx="0">
                  <c:v>Monitoring  </c:v>
                </c:pt>
              </c:strCache>
            </c:strRef>
          </c:tx>
          <c:spPr>
            <a:solidFill>
              <a:schemeClr val="accent5"/>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j-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Sheet1!$A$2</c:f>
              <c:numCache>
                <c:formatCode>General</c:formatCode>
                <c:ptCount val="1"/>
              </c:numCache>
            </c:numRef>
          </c:cat>
          <c:val>
            <c:numRef>
              <c:f>Sheet1!$F$2</c:f>
              <c:numCache>
                <c:formatCode>0.00%</c:formatCode>
                <c:ptCount val="1"/>
                <c:pt idx="0">
                  <c:v>9.9900000000000003E-2</c:v>
                </c:pt>
              </c:numCache>
            </c:numRef>
          </c:val>
          <c:extLst>
            <c:ext xmlns:c16="http://schemas.microsoft.com/office/drawing/2014/chart" uri="{C3380CC4-5D6E-409C-BE32-E72D297353CC}">
              <c16:uniqueId val="{00000004-E2F2-42A3-AFD2-3D9EBD45C206}"/>
            </c:ext>
          </c:extLst>
        </c:ser>
        <c:ser>
          <c:idx val="5"/>
          <c:order val="5"/>
          <c:tx>
            <c:strRef>
              <c:f>Sheet1!$G$1</c:f>
              <c:strCache>
                <c:ptCount val="1"/>
                <c:pt idx="0">
                  <c:v>Inneficient Indicators </c:v>
                </c:pt>
              </c:strCache>
            </c:strRef>
          </c:tx>
          <c:spPr>
            <a:solidFill>
              <a:schemeClr val="accent6"/>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j-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Sheet1!$A$2</c:f>
              <c:numCache>
                <c:formatCode>General</c:formatCode>
                <c:ptCount val="1"/>
              </c:numCache>
            </c:numRef>
          </c:cat>
          <c:val>
            <c:numRef>
              <c:f>Sheet1!$G$2</c:f>
              <c:numCache>
                <c:formatCode>0.00%</c:formatCode>
                <c:ptCount val="1"/>
                <c:pt idx="0">
                  <c:v>6.6600000000000006E-2</c:v>
                </c:pt>
              </c:numCache>
            </c:numRef>
          </c:val>
          <c:extLst>
            <c:ext xmlns:c16="http://schemas.microsoft.com/office/drawing/2014/chart" uri="{C3380CC4-5D6E-409C-BE32-E72D297353CC}">
              <c16:uniqueId val="{00000005-E2F2-42A3-AFD2-3D9EBD45C206}"/>
            </c:ext>
          </c:extLst>
        </c:ser>
        <c:dLbls>
          <c:dLblPos val="outEnd"/>
          <c:showLegendKey val="0"/>
          <c:showVal val="1"/>
          <c:showCatName val="0"/>
          <c:showSerName val="0"/>
          <c:showPercent val="0"/>
          <c:showBubbleSize val="0"/>
        </c:dLbls>
        <c:gapWidth val="444"/>
        <c:overlap val="-90"/>
        <c:axId val="1471785200"/>
        <c:axId val="1471918832"/>
      </c:barChart>
      <c:catAx>
        <c:axId val="147178520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n-US"/>
          </a:p>
        </c:txPr>
        <c:crossAx val="1471918832"/>
        <c:crosses val="autoZero"/>
        <c:auto val="1"/>
        <c:lblAlgn val="ctr"/>
        <c:lblOffset val="100"/>
        <c:noMultiLvlLbl val="0"/>
      </c:catAx>
      <c:valAx>
        <c:axId val="1471918832"/>
        <c:scaling>
          <c:orientation val="minMax"/>
        </c:scaling>
        <c:delete val="1"/>
        <c:axPos val="l"/>
        <c:numFmt formatCode="0.00%" sourceLinked="1"/>
        <c:majorTickMark val="none"/>
        <c:minorTickMark val="none"/>
        <c:tickLblPos val="nextTo"/>
        <c:crossAx val="1471785200"/>
        <c:crosses val="autoZero"/>
        <c:crossBetween val="between"/>
      </c:valAx>
      <c:spPr>
        <a:noFill/>
        <a:ln>
          <a:noFill/>
        </a:ln>
        <a:effectLst/>
      </c:spPr>
    </c:plotArea>
    <c:legend>
      <c:legendPos val="t"/>
      <c:layout>
        <c:manualLayout>
          <c:xMode val="edge"/>
          <c:yMode val="edge"/>
          <c:x val="0.11671225249216782"/>
          <c:y val="0.10453096406257842"/>
          <c:w val="0.76535996506697845"/>
          <c:h val="3.1327707134540292E-2"/>
        </c:manualLayout>
      </c:layout>
      <c:overlay val="0"/>
      <c:spPr>
        <a:noFill/>
        <a:ln>
          <a:noFill/>
        </a:ln>
        <a:effectLst/>
      </c:spPr>
      <c:txPr>
        <a:bodyPr rot="0" spcFirstLastPara="1" vertOverflow="ellipsis" vert="horz" wrap="square" anchor="ctr" anchorCtr="1"/>
        <a:lstStyle/>
        <a:p>
          <a:pPr>
            <a:defRPr sz="500" b="0" i="0" u="none" strike="noStrike" kern="1200" baseline="0">
              <a:solidFill>
                <a:schemeClr val="tx1">
                  <a:lumMod val="65000"/>
                  <a:lumOff val="35000"/>
                </a:schemeClr>
              </a:solidFill>
              <a:latin typeface="+mj-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600" b="1" i="0" u="none" strike="noStrike" kern="1200" cap="all" spc="120" normalizeH="0" baseline="0">
                <a:solidFill>
                  <a:sysClr val="windowText" lastClr="000000">
                    <a:lumMod val="65000"/>
                    <a:lumOff val="35000"/>
                  </a:sysClr>
                </a:solidFill>
                <a:latin typeface="+mn-lt"/>
                <a:ea typeface="+mn-ea"/>
                <a:cs typeface="+mn-cs"/>
              </a:defRPr>
            </a:pPr>
            <a:r>
              <a:rPr lang="en-GB" sz="1100" b="1" i="0" cap="all" baseline="0">
                <a:effectLst/>
                <a:latin typeface="+mj-lt"/>
              </a:rPr>
              <a:t>Relationship between quartile 2 and center of sdg criticism </a:t>
            </a:r>
          </a:p>
          <a:p>
            <a:pPr marL="0" marR="0" lvl="0" indent="0" algn="ctr" defTabSz="914400" rtl="0" eaLnBrk="1" fontAlgn="auto" latinLnBrk="0" hangingPunct="1">
              <a:lnSpc>
                <a:spcPct val="100000"/>
              </a:lnSpc>
              <a:spcBef>
                <a:spcPts val="0"/>
              </a:spcBef>
              <a:spcAft>
                <a:spcPts val="0"/>
              </a:spcAft>
              <a:buClrTx/>
              <a:buSzTx/>
              <a:buFontTx/>
              <a:buNone/>
              <a:tabLst/>
              <a:defRPr>
                <a:solidFill>
                  <a:sysClr val="windowText" lastClr="000000">
                    <a:lumMod val="65000"/>
                    <a:lumOff val="35000"/>
                  </a:sysClr>
                </a:solidFill>
              </a:defRPr>
            </a:pPr>
            <a:r>
              <a:rPr lang="en-US"/>
              <a:t> </a:t>
            </a:r>
          </a:p>
        </c:rich>
      </c:tx>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600" b="1" i="0" u="none" strike="noStrike" kern="1200" cap="all" spc="120" normalizeH="0" baseline="0">
              <a:solidFill>
                <a:sysClr val="windowText" lastClr="000000">
                  <a:lumMod val="65000"/>
                  <a:lumOff val="35000"/>
                </a:sys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Current global settings </c:v>
                </c:pt>
              </c:strCache>
            </c:strRef>
          </c:tx>
          <c:spPr>
            <a:solidFill>
              <a:schemeClr val="accent1"/>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j-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Sheet1!$A$2</c:f>
              <c:numCache>
                <c:formatCode>General</c:formatCode>
                <c:ptCount val="1"/>
              </c:numCache>
            </c:numRef>
          </c:cat>
          <c:val>
            <c:numRef>
              <c:f>Sheet1!$B$2</c:f>
              <c:numCache>
                <c:formatCode>0%</c:formatCode>
                <c:ptCount val="1"/>
                <c:pt idx="0">
                  <c:v>0.25</c:v>
                </c:pt>
              </c:numCache>
            </c:numRef>
          </c:val>
          <c:extLst>
            <c:ext xmlns:c16="http://schemas.microsoft.com/office/drawing/2014/chart" uri="{C3380CC4-5D6E-409C-BE32-E72D297353CC}">
              <c16:uniqueId val="{00000000-4981-445B-8CC8-AC260BB9EB40}"/>
            </c:ext>
          </c:extLst>
        </c:ser>
        <c:ser>
          <c:idx val="1"/>
          <c:order val="1"/>
          <c:tx>
            <c:strRef>
              <c:f>Sheet1!$C$1</c:f>
              <c:strCache>
                <c:ptCount val="1"/>
                <c:pt idx="0">
                  <c:v>Inneficient indicators</c:v>
                </c:pt>
              </c:strCache>
            </c:strRef>
          </c:tx>
          <c:spPr>
            <a:solidFill>
              <a:schemeClr val="accent2"/>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j-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Sheet1!$A$2</c:f>
              <c:numCache>
                <c:formatCode>General</c:formatCode>
                <c:ptCount val="1"/>
              </c:numCache>
            </c:numRef>
          </c:cat>
          <c:val>
            <c:numRef>
              <c:f>Sheet1!$C$2</c:f>
              <c:numCache>
                <c:formatCode>0%</c:formatCode>
                <c:ptCount val="1"/>
                <c:pt idx="0">
                  <c:v>0.25</c:v>
                </c:pt>
              </c:numCache>
            </c:numRef>
          </c:val>
          <c:extLst>
            <c:ext xmlns:c16="http://schemas.microsoft.com/office/drawing/2014/chart" uri="{C3380CC4-5D6E-409C-BE32-E72D297353CC}">
              <c16:uniqueId val="{00000001-4981-445B-8CC8-AC260BB9EB40}"/>
            </c:ext>
          </c:extLst>
        </c:ser>
        <c:ser>
          <c:idx val="2"/>
          <c:order val="2"/>
          <c:tx>
            <c:strRef>
              <c:f>Sheet1!$D$1</c:f>
              <c:strCache>
                <c:ptCount val="1"/>
                <c:pt idx="0">
                  <c:v>Lack of integration </c:v>
                </c:pt>
              </c:strCache>
            </c:strRef>
          </c:tx>
          <c:spPr>
            <a:solidFill>
              <a:schemeClr val="accent3"/>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j-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Sheet1!$A$2</c:f>
              <c:numCache>
                <c:formatCode>General</c:formatCode>
                <c:ptCount val="1"/>
              </c:numCache>
            </c:numRef>
          </c:cat>
          <c:val>
            <c:numRef>
              <c:f>Sheet1!$D$2</c:f>
              <c:numCache>
                <c:formatCode>0%</c:formatCode>
                <c:ptCount val="1"/>
                <c:pt idx="0">
                  <c:v>0.25</c:v>
                </c:pt>
              </c:numCache>
            </c:numRef>
          </c:val>
          <c:extLst>
            <c:ext xmlns:c16="http://schemas.microsoft.com/office/drawing/2014/chart" uri="{C3380CC4-5D6E-409C-BE32-E72D297353CC}">
              <c16:uniqueId val="{00000002-4981-445B-8CC8-AC260BB9EB40}"/>
            </c:ext>
          </c:extLst>
        </c:ser>
        <c:ser>
          <c:idx val="3"/>
          <c:order val="3"/>
          <c:tx>
            <c:strRef>
              <c:f>Sheet1!$E$1</c:f>
              <c:strCache>
                <c:ptCount val="1"/>
                <c:pt idx="0">
                  <c:v>Wrong concept of sustainability</c:v>
                </c:pt>
              </c:strCache>
            </c:strRef>
          </c:tx>
          <c:spPr>
            <a:solidFill>
              <a:schemeClr val="accent4"/>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j-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Sheet1!$A$2</c:f>
              <c:numCache>
                <c:formatCode>General</c:formatCode>
                <c:ptCount val="1"/>
              </c:numCache>
            </c:numRef>
          </c:cat>
          <c:val>
            <c:numRef>
              <c:f>Sheet1!$E$2</c:f>
              <c:numCache>
                <c:formatCode>0.00%</c:formatCode>
                <c:ptCount val="1"/>
                <c:pt idx="0">
                  <c:v>0.125</c:v>
                </c:pt>
              </c:numCache>
            </c:numRef>
          </c:val>
          <c:extLst>
            <c:ext xmlns:c16="http://schemas.microsoft.com/office/drawing/2014/chart" uri="{C3380CC4-5D6E-409C-BE32-E72D297353CC}">
              <c16:uniqueId val="{00000003-4981-445B-8CC8-AC260BB9EB40}"/>
            </c:ext>
          </c:extLst>
        </c:ser>
        <c:ser>
          <c:idx val="4"/>
          <c:order val="4"/>
          <c:tx>
            <c:strRef>
              <c:f>Sheet1!$F$1</c:f>
              <c:strCache>
                <c:ptCount val="1"/>
                <c:pt idx="0">
                  <c:v>Monitoring </c:v>
                </c:pt>
              </c:strCache>
            </c:strRef>
          </c:tx>
          <c:spPr>
            <a:solidFill>
              <a:schemeClr val="accent5"/>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j-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Sheet1!$A$2</c:f>
              <c:numCache>
                <c:formatCode>General</c:formatCode>
                <c:ptCount val="1"/>
              </c:numCache>
            </c:numRef>
          </c:cat>
          <c:val>
            <c:numRef>
              <c:f>Sheet1!$F$2</c:f>
              <c:numCache>
                <c:formatCode>0.00%</c:formatCode>
                <c:ptCount val="1"/>
                <c:pt idx="0">
                  <c:v>0.125</c:v>
                </c:pt>
              </c:numCache>
            </c:numRef>
          </c:val>
          <c:extLst>
            <c:ext xmlns:c16="http://schemas.microsoft.com/office/drawing/2014/chart" uri="{C3380CC4-5D6E-409C-BE32-E72D297353CC}">
              <c16:uniqueId val="{00000004-4981-445B-8CC8-AC260BB9EB40}"/>
            </c:ext>
          </c:extLst>
        </c:ser>
        <c:dLbls>
          <c:dLblPos val="outEnd"/>
          <c:showLegendKey val="0"/>
          <c:showVal val="1"/>
          <c:showCatName val="0"/>
          <c:showSerName val="0"/>
          <c:showPercent val="0"/>
          <c:showBubbleSize val="0"/>
        </c:dLbls>
        <c:gapWidth val="444"/>
        <c:overlap val="-90"/>
        <c:axId val="1096525648"/>
        <c:axId val="1096521072"/>
      </c:barChart>
      <c:catAx>
        <c:axId val="109652564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n-US"/>
          </a:p>
        </c:txPr>
        <c:crossAx val="1096521072"/>
        <c:crosses val="autoZero"/>
        <c:auto val="1"/>
        <c:lblAlgn val="ctr"/>
        <c:lblOffset val="100"/>
        <c:noMultiLvlLbl val="0"/>
      </c:catAx>
      <c:valAx>
        <c:axId val="1096521072"/>
        <c:scaling>
          <c:orientation val="minMax"/>
        </c:scaling>
        <c:delete val="1"/>
        <c:axPos val="l"/>
        <c:numFmt formatCode="0%" sourceLinked="1"/>
        <c:majorTickMark val="none"/>
        <c:minorTickMark val="none"/>
        <c:tickLblPos val="nextTo"/>
        <c:crossAx val="1096525648"/>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j-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10.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11.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12.xml><?xml version="1.0" encoding="utf-8"?>
<cs:chartStyle xmlns:cs="http://schemas.microsoft.com/office/drawing/2012/chartStyle" xmlns:a="http://schemas.openxmlformats.org/drawingml/2006/main" id="217">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Vert">
        <a:fgClr>
          <a:schemeClr val="phClr"/>
        </a:fgClr>
        <a:bgClr>
          <a:schemeClr val="phClr">
            <a:lumMod val="20000"/>
            <a:lumOff val="80000"/>
          </a:schemeClr>
        </a:bgClr>
      </a:pattFill>
      <a:effectLst>
        <a:innerShdw blurRad="114300">
          <a:schemeClr val="phClr"/>
        </a:innerShdw>
      </a:effectLst>
    </cs:spPr>
  </cs:dataPoint>
  <cs:dataPoint3D>
    <cs:lnRef idx="0"/>
    <cs:fillRef idx="0">
      <cs:styleClr val="auto"/>
    </cs:fillRef>
    <cs:effectRef idx="0"/>
    <cs:fontRef idx="minor">
      <a:schemeClr val="dk1"/>
    </cs:fontRef>
    <cs:spPr>
      <a:pattFill prst="narVert">
        <a:fgClr>
          <a:schemeClr val="phClr"/>
        </a:fgClr>
        <a:bgClr>
          <a:schemeClr val="phClr">
            <a:lumMod val="20000"/>
            <a:lumOff val="80000"/>
          </a:schemeClr>
        </a:bgClr>
      </a:pattFill>
      <a:effectLst>
        <a:innerShdw blurRad="114300">
          <a:schemeClr val="phClr"/>
        </a:innerShdw>
      </a:effectLst>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13.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8.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9.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1BED2CE-0AE5-F34D-BF4B-CDDC500C0074}" type="doc">
      <dgm:prSet loTypeId="urn:microsoft.com/office/officeart/2005/8/layout/process1" loCatId="" qsTypeId="urn:microsoft.com/office/officeart/2005/8/quickstyle/simple1" qsCatId="simple" csTypeId="urn:microsoft.com/office/officeart/2005/8/colors/accent1_2" csCatId="accent1" phldr="1"/>
      <dgm:spPr/>
    </dgm:pt>
    <dgm:pt modelId="{30ACD33D-72CE-7640-8686-0B07674ADA02}">
      <dgm:prSet phldrT="[Text]"/>
      <dgm:spPr/>
      <dgm:t>
        <a:bodyPr/>
        <a:lstStyle/>
        <a:p>
          <a:r>
            <a:rPr lang="en-GB"/>
            <a:t>Submission of the State review </a:t>
          </a:r>
        </a:p>
      </dgm:t>
    </dgm:pt>
    <dgm:pt modelId="{33D6B795-74A3-BF49-B239-BAAA513F1CBD}" type="parTrans" cxnId="{58396585-B9E6-C14B-8D9F-82B83DBD1494}">
      <dgm:prSet/>
      <dgm:spPr/>
      <dgm:t>
        <a:bodyPr/>
        <a:lstStyle/>
        <a:p>
          <a:endParaRPr lang="en-GB"/>
        </a:p>
      </dgm:t>
    </dgm:pt>
    <dgm:pt modelId="{B3CAB292-7C9E-DB40-AD0F-AD1B10ACFA02}" type="sibTrans" cxnId="{58396585-B9E6-C14B-8D9F-82B83DBD1494}">
      <dgm:prSet/>
      <dgm:spPr/>
      <dgm:t>
        <a:bodyPr/>
        <a:lstStyle/>
        <a:p>
          <a:endParaRPr lang="en-GB"/>
        </a:p>
      </dgm:t>
    </dgm:pt>
    <dgm:pt modelId="{D0CEECE3-F2B6-DD48-8A0A-2BF3FA5B3DDD}">
      <dgm:prSet phldrT="[Text]"/>
      <dgm:spPr/>
      <dgm:t>
        <a:bodyPr/>
        <a:lstStyle/>
        <a:p>
          <a:r>
            <a:rPr lang="en-GB"/>
            <a:t>Review by the working group </a:t>
          </a:r>
        </a:p>
      </dgm:t>
    </dgm:pt>
    <dgm:pt modelId="{A010F26C-ACA3-AE49-9324-C2638327A256}" type="parTrans" cxnId="{19C18548-8D57-D043-A064-24C03C54FBB3}">
      <dgm:prSet/>
      <dgm:spPr/>
      <dgm:t>
        <a:bodyPr/>
        <a:lstStyle/>
        <a:p>
          <a:endParaRPr lang="en-GB"/>
        </a:p>
      </dgm:t>
    </dgm:pt>
    <dgm:pt modelId="{AEE6A01B-1FA4-AD48-AE18-5D33F108D381}" type="sibTrans" cxnId="{19C18548-8D57-D043-A064-24C03C54FBB3}">
      <dgm:prSet/>
      <dgm:spPr/>
      <dgm:t>
        <a:bodyPr/>
        <a:lstStyle/>
        <a:p>
          <a:endParaRPr lang="en-GB"/>
        </a:p>
      </dgm:t>
    </dgm:pt>
    <dgm:pt modelId="{203537A1-61A2-EA40-82E2-AF9C68AB4D26}">
      <dgm:prSet phldrT="[Text]"/>
      <dgm:spPr/>
      <dgm:t>
        <a:bodyPr/>
        <a:lstStyle/>
        <a:p>
          <a:r>
            <a:rPr lang="en-GB"/>
            <a:t>Review sessions which produces reccomendations </a:t>
          </a:r>
        </a:p>
      </dgm:t>
    </dgm:pt>
    <dgm:pt modelId="{7DA638CF-FB65-354E-941C-2AD74953355A}" type="parTrans" cxnId="{72EFE6CE-4667-E345-A3E2-0A4B9BDFE209}">
      <dgm:prSet/>
      <dgm:spPr/>
      <dgm:t>
        <a:bodyPr/>
        <a:lstStyle/>
        <a:p>
          <a:endParaRPr lang="en-GB"/>
        </a:p>
      </dgm:t>
    </dgm:pt>
    <dgm:pt modelId="{E977BBE7-4EDF-1946-AECE-FC437DFE5110}" type="sibTrans" cxnId="{72EFE6CE-4667-E345-A3E2-0A4B9BDFE209}">
      <dgm:prSet/>
      <dgm:spPr/>
      <dgm:t>
        <a:bodyPr/>
        <a:lstStyle/>
        <a:p>
          <a:endParaRPr lang="en-GB"/>
        </a:p>
      </dgm:t>
    </dgm:pt>
    <dgm:pt modelId="{D248C137-AE45-894C-91BC-CE36F3E0F7FA}">
      <dgm:prSet phldrT="[Text]"/>
      <dgm:spPr/>
      <dgm:t>
        <a:bodyPr/>
        <a:lstStyle/>
        <a:p>
          <a:r>
            <a:rPr lang="en-GB"/>
            <a:t>Acceptance of reccomendations by the State</a:t>
          </a:r>
        </a:p>
      </dgm:t>
    </dgm:pt>
    <dgm:pt modelId="{085D2878-B9F6-B34F-AE82-D535AC9CAD18}" type="parTrans" cxnId="{34556230-01D4-E744-8827-0D4E72103968}">
      <dgm:prSet/>
      <dgm:spPr/>
      <dgm:t>
        <a:bodyPr/>
        <a:lstStyle/>
        <a:p>
          <a:endParaRPr lang="en-GB"/>
        </a:p>
      </dgm:t>
    </dgm:pt>
    <dgm:pt modelId="{49D9F46F-A233-7343-9935-21CD4A7CCD4F}" type="sibTrans" cxnId="{34556230-01D4-E744-8827-0D4E72103968}">
      <dgm:prSet/>
      <dgm:spPr/>
      <dgm:t>
        <a:bodyPr/>
        <a:lstStyle/>
        <a:p>
          <a:endParaRPr lang="en-GB"/>
        </a:p>
      </dgm:t>
    </dgm:pt>
    <dgm:pt modelId="{B8D7BF49-3815-7244-9960-90B17ED839E2}">
      <dgm:prSet phldrT="[Text]"/>
      <dgm:spPr/>
      <dgm:t>
        <a:bodyPr/>
        <a:lstStyle/>
        <a:p>
          <a:r>
            <a:rPr lang="en-GB"/>
            <a:t>Implementation of reccomendations </a:t>
          </a:r>
        </a:p>
      </dgm:t>
    </dgm:pt>
    <dgm:pt modelId="{998BBCA5-8EF0-D247-8572-C3464D347E3C}" type="parTrans" cxnId="{28144E89-8AEE-EA43-8932-38FC212B15EA}">
      <dgm:prSet/>
      <dgm:spPr/>
      <dgm:t>
        <a:bodyPr/>
        <a:lstStyle/>
        <a:p>
          <a:endParaRPr lang="en-GB"/>
        </a:p>
      </dgm:t>
    </dgm:pt>
    <dgm:pt modelId="{63F545CD-551A-4848-AFE0-60CD39AFEC75}" type="sibTrans" cxnId="{28144E89-8AEE-EA43-8932-38FC212B15EA}">
      <dgm:prSet/>
      <dgm:spPr/>
      <dgm:t>
        <a:bodyPr/>
        <a:lstStyle/>
        <a:p>
          <a:endParaRPr lang="en-GB"/>
        </a:p>
      </dgm:t>
    </dgm:pt>
    <dgm:pt modelId="{9031FB52-5CE6-A54B-A188-44570A312A8C}">
      <dgm:prSet phldrT="[Text]"/>
      <dgm:spPr/>
      <dgm:t>
        <a:bodyPr/>
        <a:lstStyle/>
        <a:p>
          <a:r>
            <a:rPr lang="en-GB"/>
            <a:t>Interim report on the state of reccomendations</a:t>
          </a:r>
        </a:p>
      </dgm:t>
    </dgm:pt>
    <dgm:pt modelId="{7DEFF8F8-8AA0-DA42-ADA3-9F59B550446F}" type="parTrans" cxnId="{07D3E48E-11BE-F34D-97FF-E10D4338DA5B}">
      <dgm:prSet/>
      <dgm:spPr/>
      <dgm:t>
        <a:bodyPr/>
        <a:lstStyle/>
        <a:p>
          <a:endParaRPr lang="en-GB"/>
        </a:p>
      </dgm:t>
    </dgm:pt>
    <dgm:pt modelId="{8793CACC-791A-6D40-B0DE-AB1A5795E021}" type="sibTrans" cxnId="{07D3E48E-11BE-F34D-97FF-E10D4338DA5B}">
      <dgm:prSet/>
      <dgm:spPr/>
      <dgm:t>
        <a:bodyPr/>
        <a:lstStyle/>
        <a:p>
          <a:endParaRPr lang="en-GB"/>
        </a:p>
      </dgm:t>
    </dgm:pt>
    <dgm:pt modelId="{F68C236F-3A73-0F4F-B1C7-4E54DC9C666E}" type="pres">
      <dgm:prSet presAssocID="{E1BED2CE-0AE5-F34D-BF4B-CDDC500C0074}" presName="Name0" presStyleCnt="0">
        <dgm:presLayoutVars>
          <dgm:dir/>
          <dgm:resizeHandles val="exact"/>
        </dgm:presLayoutVars>
      </dgm:prSet>
      <dgm:spPr/>
    </dgm:pt>
    <dgm:pt modelId="{CC1366F1-ACBA-6A4E-B53E-F05FFE631D83}" type="pres">
      <dgm:prSet presAssocID="{30ACD33D-72CE-7640-8686-0B07674ADA02}" presName="node" presStyleLbl="node1" presStyleIdx="0" presStyleCnt="6">
        <dgm:presLayoutVars>
          <dgm:bulletEnabled val="1"/>
        </dgm:presLayoutVars>
      </dgm:prSet>
      <dgm:spPr/>
    </dgm:pt>
    <dgm:pt modelId="{F8F6197E-2F6A-2246-8632-AD6B373149BA}" type="pres">
      <dgm:prSet presAssocID="{B3CAB292-7C9E-DB40-AD0F-AD1B10ACFA02}" presName="sibTrans" presStyleLbl="sibTrans2D1" presStyleIdx="0" presStyleCnt="5"/>
      <dgm:spPr/>
    </dgm:pt>
    <dgm:pt modelId="{447B4933-21AC-DC4B-A7F5-DDD180124368}" type="pres">
      <dgm:prSet presAssocID="{B3CAB292-7C9E-DB40-AD0F-AD1B10ACFA02}" presName="connectorText" presStyleLbl="sibTrans2D1" presStyleIdx="0" presStyleCnt="5"/>
      <dgm:spPr/>
    </dgm:pt>
    <dgm:pt modelId="{B43254F5-1312-4A45-BF10-DCCE606BED60}" type="pres">
      <dgm:prSet presAssocID="{D0CEECE3-F2B6-DD48-8A0A-2BF3FA5B3DDD}" presName="node" presStyleLbl="node1" presStyleIdx="1" presStyleCnt="6">
        <dgm:presLayoutVars>
          <dgm:bulletEnabled val="1"/>
        </dgm:presLayoutVars>
      </dgm:prSet>
      <dgm:spPr/>
    </dgm:pt>
    <dgm:pt modelId="{5995B834-9D77-6C46-8FE7-5423309DDA1B}" type="pres">
      <dgm:prSet presAssocID="{AEE6A01B-1FA4-AD48-AE18-5D33F108D381}" presName="sibTrans" presStyleLbl="sibTrans2D1" presStyleIdx="1" presStyleCnt="5"/>
      <dgm:spPr/>
    </dgm:pt>
    <dgm:pt modelId="{2A845A6C-9EB8-434F-840E-C65A74D5E0CA}" type="pres">
      <dgm:prSet presAssocID="{AEE6A01B-1FA4-AD48-AE18-5D33F108D381}" presName="connectorText" presStyleLbl="sibTrans2D1" presStyleIdx="1" presStyleCnt="5"/>
      <dgm:spPr/>
    </dgm:pt>
    <dgm:pt modelId="{318BFDBF-76E2-5D48-B5C1-01510C7E25C0}" type="pres">
      <dgm:prSet presAssocID="{203537A1-61A2-EA40-82E2-AF9C68AB4D26}" presName="node" presStyleLbl="node1" presStyleIdx="2" presStyleCnt="6">
        <dgm:presLayoutVars>
          <dgm:bulletEnabled val="1"/>
        </dgm:presLayoutVars>
      </dgm:prSet>
      <dgm:spPr/>
    </dgm:pt>
    <dgm:pt modelId="{A1595B52-F755-FA4C-B2E8-6FF95503B349}" type="pres">
      <dgm:prSet presAssocID="{E977BBE7-4EDF-1946-AECE-FC437DFE5110}" presName="sibTrans" presStyleLbl="sibTrans2D1" presStyleIdx="2" presStyleCnt="5"/>
      <dgm:spPr/>
    </dgm:pt>
    <dgm:pt modelId="{1B7BB2A1-15DB-1846-A75F-48677B6796D3}" type="pres">
      <dgm:prSet presAssocID="{E977BBE7-4EDF-1946-AECE-FC437DFE5110}" presName="connectorText" presStyleLbl="sibTrans2D1" presStyleIdx="2" presStyleCnt="5"/>
      <dgm:spPr/>
    </dgm:pt>
    <dgm:pt modelId="{DF9A4F98-65C1-B040-8468-75AA809F948C}" type="pres">
      <dgm:prSet presAssocID="{D248C137-AE45-894C-91BC-CE36F3E0F7FA}" presName="node" presStyleLbl="node1" presStyleIdx="3" presStyleCnt="6">
        <dgm:presLayoutVars>
          <dgm:bulletEnabled val="1"/>
        </dgm:presLayoutVars>
      </dgm:prSet>
      <dgm:spPr/>
    </dgm:pt>
    <dgm:pt modelId="{E9017370-C29F-8E42-BDF8-03CA4478F5D6}" type="pres">
      <dgm:prSet presAssocID="{49D9F46F-A233-7343-9935-21CD4A7CCD4F}" presName="sibTrans" presStyleLbl="sibTrans2D1" presStyleIdx="3" presStyleCnt="5"/>
      <dgm:spPr/>
    </dgm:pt>
    <dgm:pt modelId="{347ED42F-0EFC-E440-8BA4-25D324B4BA28}" type="pres">
      <dgm:prSet presAssocID="{49D9F46F-A233-7343-9935-21CD4A7CCD4F}" presName="connectorText" presStyleLbl="sibTrans2D1" presStyleIdx="3" presStyleCnt="5"/>
      <dgm:spPr/>
    </dgm:pt>
    <dgm:pt modelId="{11DD63D9-E96D-2544-9ABC-0AF103827004}" type="pres">
      <dgm:prSet presAssocID="{B8D7BF49-3815-7244-9960-90B17ED839E2}" presName="node" presStyleLbl="node1" presStyleIdx="4" presStyleCnt="6">
        <dgm:presLayoutVars>
          <dgm:bulletEnabled val="1"/>
        </dgm:presLayoutVars>
      </dgm:prSet>
      <dgm:spPr/>
    </dgm:pt>
    <dgm:pt modelId="{515F46EA-A810-AE43-A888-0E37ED874F4A}" type="pres">
      <dgm:prSet presAssocID="{63F545CD-551A-4848-AFE0-60CD39AFEC75}" presName="sibTrans" presStyleLbl="sibTrans2D1" presStyleIdx="4" presStyleCnt="5"/>
      <dgm:spPr/>
    </dgm:pt>
    <dgm:pt modelId="{3A510772-BDF5-684D-BAC7-EC1790AD29E0}" type="pres">
      <dgm:prSet presAssocID="{63F545CD-551A-4848-AFE0-60CD39AFEC75}" presName="connectorText" presStyleLbl="sibTrans2D1" presStyleIdx="4" presStyleCnt="5"/>
      <dgm:spPr/>
    </dgm:pt>
    <dgm:pt modelId="{AEE03AA5-80D2-D34D-A9C9-A643F805425F}" type="pres">
      <dgm:prSet presAssocID="{9031FB52-5CE6-A54B-A188-44570A312A8C}" presName="node" presStyleLbl="node1" presStyleIdx="5" presStyleCnt="6">
        <dgm:presLayoutVars>
          <dgm:bulletEnabled val="1"/>
        </dgm:presLayoutVars>
      </dgm:prSet>
      <dgm:spPr/>
    </dgm:pt>
  </dgm:ptLst>
  <dgm:cxnLst>
    <dgm:cxn modelId="{3816610A-CB4F-C345-B614-7C0FB3EA911C}" type="presOf" srcId="{D248C137-AE45-894C-91BC-CE36F3E0F7FA}" destId="{DF9A4F98-65C1-B040-8468-75AA809F948C}" srcOrd="0" destOrd="0" presId="urn:microsoft.com/office/officeart/2005/8/layout/process1"/>
    <dgm:cxn modelId="{52D82E28-7769-DF4F-B05A-CECA798B3413}" type="presOf" srcId="{E977BBE7-4EDF-1946-AECE-FC437DFE5110}" destId="{1B7BB2A1-15DB-1846-A75F-48677B6796D3}" srcOrd="1" destOrd="0" presId="urn:microsoft.com/office/officeart/2005/8/layout/process1"/>
    <dgm:cxn modelId="{34556230-01D4-E744-8827-0D4E72103968}" srcId="{E1BED2CE-0AE5-F34D-BF4B-CDDC500C0074}" destId="{D248C137-AE45-894C-91BC-CE36F3E0F7FA}" srcOrd="3" destOrd="0" parTransId="{085D2878-B9F6-B34F-AE82-D535AC9CAD18}" sibTransId="{49D9F46F-A233-7343-9935-21CD4A7CCD4F}"/>
    <dgm:cxn modelId="{2D773E41-0DC5-3348-927B-493FD4A19475}" type="presOf" srcId="{AEE6A01B-1FA4-AD48-AE18-5D33F108D381}" destId="{5995B834-9D77-6C46-8FE7-5423309DDA1B}" srcOrd="0" destOrd="0" presId="urn:microsoft.com/office/officeart/2005/8/layout/process1"/>
    <dgm:cxn modelId="{19C18548-8D57-D043-A064-24C03C54FBB3}" srcId="{E1BED2CE-0AE5-F34D-BF4B-CDDC500C0074}" destId="{D0CEECE3-F2B6-DD48-8A0A-2BF3FA5B3DDD}" srcOrd="1" destOrd="0" parTransId="{A010F26C-ACA3-AE49-9324-C2638327A256}" sibTransId="{AEE6A01B-1FA4-AD48-AE18-5D33F108D381}"/>
    <dgm:cxn modelId="{41AE0675-4DC2-DB4A-AB7C-381BC52EB0C7}" type="presOf" srcId="{30ACD33D-72CE-7640-8686-0B07674ADA02}" destId="{CC1366F1-ACBA-6A4E-B53E-F05FFE631D83}" srcOrd="0" destOrd="0" presId="urn:microsoft.com/office/officeart/2005/8/layout/process1"/>
    <dgm:cxn modelId="{1F203A55-B065-414B-BD31-6F97A8E20D89}" type="presOf" srcId="{49D9F46F-A233-7343-9935-21CD4A7CCD4F}" destId="{E9017370-C29F-8E42-BDF8-03CA4478F5D6}" srcOrd="0" destOrd="0" presId="urn:microsoft.com/office/officeart/2005/8/layout/process1"/>
    <dgm:cxn modelId="{5295A577-34CF-FB42-B79B-E5A00A377A76}" type="presOf" srcId="{203537A1-61A2-EA40-82E2-AF9C68AB4D26}" destId="{318BFDBF-76E2-5D48-B5C1-01510C7E25C0}" srcOrd="0" destOrd="0" presId="urn:microsoft.com/office/officeart/2005/8/layout/process1"/>
    <dgm:cxn modelId="{58396585-B9E6-C14B-8D9F-82B83DBD1494}" srcId="{E1BED2CE-0AE5-F34D-BF4B-CDDC500C0074}" destId="{30ACD33D-72CE-7640-8686-0B07674ADA02}" srcOrd="0" destOrd="0" parTransId="{33D6B795-74A3-BF49-B239-BAAA513F1CBD}" sibTransId="{B3CAB292-7C9E-DB40-AD0F-AD1B10ACFA02}"/>
    <dgm:cxn modelId="{28144E89-8AEE-EA43-8932-38FC212B15EA}" srcId="{E1BED2CE-0AE5-F34D-BF4B-CDDC500C0074}" destId="{B8D7BF49-3815-7244-9960-90B17ED839E2}" srcOrd="4" destOrd="0" parTransId="{998BBCA5-8EF0-D247-8572-C3464D347E3C}" sibTransId="{63F545CD-551A-4848-AFE0-60CD39AFEC75}"/>
    <dgm:cxn modelId="{70349D8E-20CD-2843-973F-E7B43A8F76E9}" type="presOf" srcId="{9031FB52-5CE6-A54B-A188-44570A312A8C}" destId="{AEE03AA5-80D2-D34D-A9C9-A643F805425F}" srcOrd="0" destOrd="0" presId="urn:microsoft.com/office/officeart/2005/8/layout/process1"/>
    <dgm:cxn modelId="{07D3E48E-11BE-F34D-97FF-E10D4338DA5B}" srcId="{E1BED2CE-0AE5-F34D-BF4B-CDDC500C0074}" destId="{9031FB52-5CE6-A54B-A188-44570A312A8C}" srcOrd="5" destOrd="0" parTransId="{7DEFF8F8-8AA0-DA42-ADA3-9F59B550446F}" sibTransId="{8793CACC-791A-6D40-B0DE-AB1A5795E021}"/>
    <dgm:cxn modelId="{95450395-4413-004E-B30D-0F4AFC406F4F}" type="presOf" srcId="{E1BED2CE-0AE5-F34D-BF4B-CDDC500C0074}" destId="{F68C236F-3A73-0F4F-B1C7-4E54DC9C666E}" srcOrd="0" destOrd="0" presId="urn:microsoft.com/office/officeart/2005/8/layout/process1"/>
    <dgm:cxn modelId="{A8AFB79D-1402-3E41-9941-270E0519CD3D}" type="presOf" srcId="{49D9F46F-A233-7343-9935-21CD4A7CCD4F}" destId="{347ED42F-0EFC-E440-8BA4-25D324B4BA28}" srcOrd="1" destOrd="0" presId="urn:microsoft.com/office/officeart/2005/8/layout/process1"/>
    <dgm:cxn modelId="{D32732AE-EFEC-7E4A-8E98-E1C1508102F0}" type="presOf" srcId="{AEE6A01B-1FA4-AD48-AE18-5D33F108D381}" destId="{2A845A6C-9EB8-434F-840E-C65A74D5E0CA}" srcOrd="1" destOrd="0" presId="urn:microsoft.com/office/officeart/2005/8/layout/process1"/>
    <dgm:cxn modelId="{267602B0-CC41-AE4B-B3AE-EA6D09BCB362}" type="presOf" srcId="{B8D7BF49-3815-7244-9960-90B17ED839E2}" destId="{11DD63D9-E96D-2544-9ABC-0AF103827004}" srcOrd="0" destOrd="0" presId="urn:microsoft.com/office/officeart/2005/8/layout/process1"/>
    <dgm:cxn modelId="{A52657B1-C7EC-0544-BF66-F6BD641C6AC7}" type="presOf" srcId="{D0CEECE3-F2B6-DD48-8A0A-2BF3FA5B3DDD}" destId="{B43254F5-1312-4A45-BF10-DCCE606BED60}" srcOrd="0" destOrd="0" presId="urn:microsoft.com/office/officeart/2005/8/layout/process1"/>
    <dgm:cxn modelId="{C55488C7-AC93-824F-8B63-BEB2C5C34E11}" type="presOf" srcId="{63F545CD-551A-4848-AFE0-60CD39AFEC75}" destId="{3A510772-BDF5-684D-BAC7-EC1790AD29E0}" srcOrd="1" destOrd="0" presId="urn:microsoft.com/office/officeart/2005/8/layout/process1"/>
    <dgm:cxn modelId="{ABAA02C9-A9A1-2F48-A060-460045818F91}" type="presOf" srcId="{B3CAB292-7C9E-DB40-AD0F-AD1B10ACFA02}" destId="{F8F6197E-2F6A-2246-8632-AD6B373149BA}" srcOrd="0" destOrd="0" presId="urn:microsoft.com/office/officeart/2005/8/layout/process1"/>
    <dgm:cxn modelId="{C43BD2CE-3964-DD4E-870B-761A1364E8F1}" type="presOf" srcId="{63F545CD-551A-4848-AFE0-60CD39AFEC75}" destId="{515F46EA-A810-AE43-A888-0E37ED874F4A}" srcOrd="0" destOrd="0" presId="urn:microsoft.com/office/officeart/2005/8/layout/process1"/>
    <dgm:cxn modelId="{72EFE6CE-4667-E345-A3E2-0A4B9BDFE209}" srcId="{E1BED2CE-0AE5-F34D-BF4B-CDDC500C0074}" destId="{203537A1-61A2-EA40-82E2-AF9C68AB4D26}" srcOrd="2" destOrd="0" parTransId="{7DA638CF-FB65-354E-941C-2AD74953355A}" sibTransId="{E977BBE7-4EDF-1946-AECE-FC437DFE5110}"/>
    <dgm:cxn modelId="{2C91BBDA-1A7E-0A41-B7F7-9EB2F3DF16EC}" type="presOf" srcId="{E977BBE7-4EDF-1946-AECE-FC437DFE5110}" destId="{A1595B52-F755-FA4C-B2E8-6FF95503B349}" srcOrd="0" destOrd="0" presId="urn:microsoft.com/office/officeart/2005/8/layout/process1"/>
    <dgm:cxn modelId="{59ADB4DD-7CA8-0A47-8C14-8581D43792F6}" type="presOf" srcId="{B3CAB292-7C9E-DB40-AD0F-AD1B10ACFA02}" destId="{447B4933-21AC-DC4B-A7F5-DDD180124368}" srcOrd="1" destOrd="0" presId="urn:microsoft.com/office/officeart/2005/8/layout/process1"/>
    <dgm:cxn modelId="{2BC3A99C-DFE9-9242-9F74-01BB6306FABB}" type="presParOf" srcId="{F68C236F-3A73-0F4F-B1C7-4E54DC9C666E}" destId="{CC1366F1-ACBA-6A4E-B53E-F05FFE631D83}" srcOrd="0" destOrd="0" presId="urn:microsoft.com/office/officeart/2005/8/layout/process1"/>
    <dgm:cxn modelId="{CE3A016F-47F6-B441-8263-9CD590BDC4C3}" type="presParOf" srcId="{F68C236F-3A73-0F4F-B1C7-4E54DC9C666E}" destId="{F8F6197E-2F6A-2246-8632-AD6B373149BA}" srcOrd="1" destOrd="0" presId="urn:microsoft.com/office/officeart/2005/8/layout/process1"/>
    <dgm:cxn modelId="{B500CC8B-4EE0-534F-A649-C6841E0E6EF8}" type="presParOf" srcId="{F8F6197E-2F6A-2246-8632-AD6B373149BA}" destId="{447B4933-21AC-DC4B-A7F5-DDD180124368}" srcOrd="0" destOrd="0" presId="urn:microsoft.com/office/officeart/2005/8/layout/process1"/>
    <dgm:cxn modelId="{F6145E8F-FD6E-1E4C-ABD8-6677D915EFAE}" type="presParOf" srcId="{F68C236F-3A73-0F4F-B1C7-4E54DC9C666E}" destId="{B43254F5-1312-4A45-BF10-DCCE606BED60}" srcOrd="2" destOrd="0" presId="urn:microsoft.com/office/officeart/2005/8/layout/process1"/>
    <dgm:cxn modelId="{CD3B9E95-A1D9-9F43-9245-D430553BBF1A}" type="presParOf" srcId="{F68C236F-3A73-0F4F-B1C7-4E54DC9C666E}" destId="{5995B834-9D77-6C46-8FE7-5423309DDA1B}" srcOrd="3" destOrd="0" presId="urn:microsoft.com/office/officeart/2005/8/layout/process1"/>
    <dgm:cxn modelId="{A672497C-F24C-1646-85C9-3BA72348A8B7}" type="presParOf" srcId="{5995B834-9D77-6C46-8FE7-5423309DDA1B}" destId="{2A845A6C-9EB8-434F-840E-C65A74D5E0CA}" srcOrd="0" destOrd="0" presId="urn:microsoft.com/office/officeart/2005/8/layout/process1"/>
    <dgm:cxn modelId="{FC2B41F8-D59B-A844-AED1-CCEA3F1A0984}" type="presParOf" srcId="{F68C236F-3A73-0F4F-B1C7-4E54DC9C666E}" destId="{318BFDBF-76E2-5D48-B5C1-01510C7E25C0}" srcOrd="4" destOrd="0" presId="urn:microsoft.com/office/officeart/2005/8/layout/process1"/>
    <dgm:cxn modelId="{88B97208-30AC-C34A-803B-72CA53A8B4C6}" type="presParOf" srcId="{F68C236F-3A73-0F4F-B1C7-4E54DC9C666E}" destId="{A1595B52-F755-FA4C-B2E8-6FF95503B349}" srcOrd="5" destOrd="0" presId="urn:microsoft.com/office/officeart/2005/8/layout/process1"/>
    <dgm:cxn modelId="{E51E2F53-05D1-4D41-90C0-DB85420ABF70}" type="presParOf" srcId="{A1595B52-F755-FA4C-B2E8-6FF95503B349}" destId="{1B7BB2A1-15DB-1846-A75F-48677B6796D3}" srcOrd="0" destOrd="0" presId="urn:microsoft.com/office/officeart/2005/8/layout/process1"/>
    <dgm:cxn modelId="{AD81033F-320C-5748-9239-8FA5756014C7}" type="presParOf" srcId="{F68C236F-3A73-0F4F-B1C7-4E54DC9C666E}" destId="{DF9A4F98-65C1-B040-8468-75AA809F948C}" srcOrd="6" destOrd="0" presId="urn:microsoft.com/office/officeart/2005/8/layout/process1"/>
    <dgm:cxn modelId="{DBC7D357-3DC6-814D-B2D0-76B479200335}" type="presParOf" srcId="{F68C236F-3A73-0F4F-B1C7-4E54DC9C666E}" destId="{E9017370-C29F-8E42-BDF8-03CA4478F5D6}" srcOrd="7" destOrd="0" presId="urn:microsoft.com/office/officeart/2005/8/layout/process1"/>
    <dgm:cxn modelId="{7B26DD07-04C1-F640-B197-D633E03E714D}" type="presParOf" srcId="{E9017370-C29F-8E42-BDF8-03CA4478F5D6}" destId="{347ED42F-0EFC-E440-8BA4-25D324B4BA28}" srcOrd="0" destOrd="0" presId="urn:microsoft.com/office/officeart/2005/8/layout/process1"/>
    <dgm:cxn modelId="{8D0D9535-BEF6-9C42-9524-EDB0270908B5}" type="presParOf" srcId="{F68C236F-3A73-0F4F-B1C7-4E54DC9C666E}" destId="{11DD63D9-E96D-2544-9ABC-0AF103827004}" srcOrd="8" destOrd="0" presId="urn:microsoft.com/office/officeart/2005/8/layout/process1"/>
    <dgm:cxn modelId="{0454A10D-D910-7743-8C68-85C7C82311FE}" type="presParOf" srcId="{F68C236F-3A73-0F4F-B1C7-4E54DC9C666E}" destId="{515F46EA-A810-AE43-A888-0E37ED874F4A}" srcOrd="9" destOrd="0" presId="urn:microsoft.com/office/officeart/2005/8/layout/process1"/>
    <dgm:cxn modelId="{3D5BFAEE-ADD3-C84A-8664-EEC54ADF4C86}" type="presParOf" srcId="{515F46EA-A810-AE43-A888-0E37ED874F4A}" destId="{3A510772-BDF5-684D-BAC7-EC1790AD29E0}" srcOrd="0" destOrd="0" presId="urn:microsoft.com/office/officeart/2005/8/layout/process1"/>
    <dgm:cxn modelId="{19D72D5B-60A9-FB45-A174-18A72E071F2B}" type="presParOf" srcId="{F68C236F-3A73-0F4F-B1C7-4E54DC9C666E}" destId="{AEE03AA5-80D2-D34D-A9C9-A643F805425F}" srcOrd="10" destOrd="0" presId="urn:microsoft.com/office/officeart/2005/8/layout/process1"/>
  </dgm:cxnLst>
  <dgm:bg/>
  <dgm:whole/>
  <dgm:extLst>
    <a:ext uri="http://schemas.microsoft.com/office/drawing/2008/diagram">
      <dsp:dataModelExt xmlns:dsp="http://schemas.microsoft.com/office/drawing/2008/diagram" relId="rId30"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9785849E-E851-054F-8768-228DA3E6768C}" type="doc">
      <dgm:prSet loTypeId="urn:microsoft.com/office/officeart/2005/8/layout/process1" loCatId="" qsTypeId="urn:microsoft.com/office/officeart/2005/8/quickstyle/simple1" qsCatId="simple" csTypeId="urn:microsoft.com/office/officeart/2005/8/colors/accent1_2" csCatId="accent1" phldr="1"/>
      <dgm:spPr/>
    </dgm:pt>
    <dgm:pt modelId="{B8ACCDA2-CE18-2943-9A1B-9596E04A143C}">
      <dgm:prSet phldrT="[Text]"/>
      <dgm:spPr/>
      <dgm:t>
        <a:bodyPr/>
        <a:lstStyle/>
        <a:p>
          <a:r>
            <a:rPr lang="en-GB"/>
            <a:t>Collection of data by stakeholders, UN agencies and the State</a:t>
          </a:r>
        </a:p>
      </dgm:t>
    </dgm:pt>
    <dgm:pt modelId="{BC0FA6DF-E455-BE4D-A1EF-E4F9C25883B1}" type="parTrans" cxnId="{687DF61B-BF3D-3241-8B2B-C39E2CC89458}">
      <dgm:prSet/>
      <dgm:spPr/>
      <dgm:t>
        <a:bodyPr/>
        <a:lstStyle/>
        <a:p>
          <a:endParaRPr lang="en-GB"/>
        </a:p>
      </dgm:t>
    </dgm:pt>
    <dgm:pt modelId="{DC855E90-8445-7E49-BB1E-FA5B2E916A74}" type="sibTrans" cxnId="{687DF61B-BF3D-3241-8B2B-C39E2CC89458}">
      <dgm:prSet/>
      <dgm:spPr/>
      <dgm:t>
        <a:bodyPr/>
        <a:lstStyle/>
        <a:p>
          <a:endParaRPr lang="en-GB"/>
        </a:p>
      </dgm:t>
    </dgm:pt>
    <dgm:pt modelId="{B776B073-FC08-1648-B82B-665D6EFBDC9F}">
      <dgm:prSet phldrT="[Text]"/>
      <dgm:spPr/>
      <dgm:t>
        <a:bodyPr/>
        <a:lstStyle/>
        <a:p>
          <a:r>
            <a:rPr lang="en-GB"/>
            <a:t>Review of the report by the working group</a:t>
          </a:r>
        </a:p>
      </dgm:t>
    </dgm:pt>
    <dgm:pt modelId="{C4BEF4B4-8BB9-EE43-85E2-DD27B095FED3}" type="parTrans" cxnId="{8717E508-1BA9-4C43-B036-2DD10D856ACC}">
      <dgm:prSet/>
      <dgm:spPr/>
      <dgm:t>
        <a:bodyPr/>
        <a:lstStyle/>
        <a:p>
          <a:endParaRPr lang="en-GB"/>
        </a:p>
      </dgm:t>
    </dgm:pt>
    <dgm:pt modelId="{C3089C20-4F98-2844-BD42-04E622BE30B6}" type="sibTrans" cxnId="{8717E508-1BA9-4C43-B036-2DD10D856ACC}">
      <dgm:prSet/>
      <dgm:spPr/>
      <dgm:t>
        <a:bodyPr/>
        <a:lstStyle/>
        <a:p>
          <a:endParaRPr lang="en-GB"/>
        </a:p>
      </dgm:t>
    </dgm:pt>
    <dgm:pt modelId="{8DB65FC6-E736-9D4F-9D9F-3D77EF800A5C}">
      <dgm:prSet phldrT="[Text]"/>
      <dgm:spPr/>
      <dgm:t>
        <a:bodyPr/>
        <a:lstStyle/>
        <a:p>
          <a:r>
            <a:rPr lang="en-GB"/>
            <a:t>Review session and receiving recommendations </a:t>
          </a:r>
        </a:p>
      </dgm:t>
    </dgm:pt>
    <dgm:pt modelId="{0CE91A63-8E52-3443-A5E2-5556FB53A5B3}" type="parTrans" cxnId="{01CEDD1A-EFBD-924C-8D01-0B0554EC68C6}">
      <dgm:prSet/>
      <dgm:spPr/>
      <dgm:t>
        <a:bodyPr/>
        <a:lstStyle/>
        <a:p>
          <a:endParaRPr lang="en-GB"/>
        </a:p>
      </dgm:t>
    </dgm:pt>
    <dgm:pt modelId="{42C5363A-598C-4A40-BBF3-D2C44DB051D8}" type="sibTrans" cxnId="{01CEDD1A-EFBD-924C-8D01-0B0554EC68C6}">
      <dgm:prSet/>
      <dgm:spPr/>
      <dgm:t>
        <a:bodyPr/>
        <a:lstStyle/>
        <a:p>
          <a:endParaRPr lang="en-GB"/>
        </a:p>
      </dgm:t>
    </dgm:pt>
    <dgm:pt modelId="{77E17962-E0D3-1442-AFAC-88C4387AEC92}">
      <dgm:prSet phldrT="[Text]"/>
      <dgm:spPr/>
      <dgm:t>
        <a:bodyPr/>
        <a:lstStyle/>
        <a:p>
          <a:r>
            <a:rPr lang="en-GB"/>
            <a:t>Accepting reccomendations by the State</a:t>
          </a:r>
        </a:p>
      </dgm:t>
    </dgm:pt>
    <dgm:pt modelId="{129175A2-CBE7-FD46-9CD8-2940E51802A1}" type="parTrans" cxnId="{B3FF21C7-A4BE-654F-8A1B-9FA3D86122F7}">
      <dgm:prSet/>
      <dgm:spPr/>
      <dgm:t>
        <a:bodyPr/>
        <a:lstStyle/>
        <a:p>
          <a:endParaRPr lang="en-GB"/>
        </a:p>
      </dgm:t>
    </dgm:pt>
    <dgm:pt modelId="{6B6E46CE-D5C2-9241-A64D-D27AD528F16B}" type="sibTrans" cxnId="{B3FF21C7-A4BE-654F-8A1B-9FA3D86122F7}">
      <dgm:prSet/>
      <dgm:spPr/>
      <dgm:t>
        <a:bodyPr/>
        <a:lstStyle/>
        <a:p>
          <a:endParaRPr lang="en-GB"/>
        </a:p>
      </dgm:t>
    </dgm:pt>
    <dgm:pt modelId="{B13787A7-0B20-A644-981A-DBBEA639398E}">
      <dgm:prSet phldrT="[Text]"/>
      <dgm:spPr/>
      <dgm:t>
        <a:bodyPr/>
        <a:lstStyle/>
        <a:p>
          <a:r>
            <a:rPr lang="en-GB"/>
            <a:t>Imlementing the reccomendations by the State</a:t>
          </a:r>
        </a:p>
      </dgm:t>
    </dgm:pt>
    <dgm:pt modelId="{93BBF7D6-6BC5-2143-ACBC-6514FCAA2ABE}" type="parTrans" cxnId="{D226FB79-3A64-1740-B1E8-6E87F48FF945}">
      <dgm:prSet/>
      <dgm:spPr/>
      <dgm:t>
        <a:bodyPr/>
        <a:lstStyle/>
        <a:p>
          <a:endParaRPr lang="en-GB"/>
        </a:p>
      </dgm:t>
    </dgm:pt>
    <dgm:pt modelId="{2E7C8B4E-6A50-4141-86D9-3D28C87BF677}" type="sibTrans" cxnId="{D226FB79-3A64-1740-B1E8-6E87F48FF945}">
      <dgm:prSet/>
      <dgm:spPr/>
      <dgm:t>
        <a:bodyPr/>
        <a:lstStyle/>
        <a:p>
          <a:endParaRPr lang="en-GB"/>
        </a:p>
      </dgm:t>
    </dgm:pt>
    <dgm:pt modelId="{B8E4B01E-9E40-8441-AAE8-55C23C1D5198}">
      <dgm:prSet phldrT="[Text]"/>
      <dgm:spPr/>
      <dgm:t>
        <a:bodyPr/>
        <a:lstStyle/>
        <a:p>
          <a:r>
            <a:rPr lang="en-GB"/>
            <a:t>Interim report on the progress on implementation of SDGs </a:t>
          </a:r>
        </a:p>
      </dgm:t>
    </dgm:pt>
    <dgm:pt modelId="{51D26EDA-7537-F14B-99A0-6419E925C6AA}" type="parTrans" cxnId="{BC888010-D984-FE4E-9420-4FDC3D85F651}">
      <dgm:prSet/>
      <dgm:spPr/>
      <dgm:t>
        <a:bodyPr/>
        <a:lstStyle/>
        <a:p>
          <a:endParaRPr lang="en-GB"/>
        </a:p>
      </dgm:t>
    </dgm:pt>
    <dgm:pt modelId="{E49712E3-9D0F-9F4F-9A92-ABE3ABF0EB65}" type="sibTrans" cxnId="{BC888010-D984-FE4E-9420-4FDC3D85F651}">
      <dgm:prSet/>
      <dgm:spPr/>
      <dgm:t>
        <a:bodyPr/>
        <a:lstStyle/>
        <a:p>
          <a:endParaRPr lang="en-GB"/>
        </a:p>
      </dgm:t>
    </dgm:pt>
    <dgm:pt modelId="{578F25FD-65B8-2B46-B32E-BABD45125A48}" type="pres">
      <dgm:prSet presAssocID="{9785849E-E851-054F-8768-228DA3E6768C}" presName="Name0" presStyleCnt="0">
        <dgm:presLayoutVars>
          <dgm:dir/>
          <dgm:resizeHandles val="exact"/>
        </dgm:presLayoutVars>
      </dgm:prSet>
      <dgm:spPr/>
    </dgm:pt>
    <dgm:pt modelId="{F4488260-241B-6E4D-8EA6-3849F5F60146}" type="pres">
      <dgm:prSet presAssocID="{B8ACCDA2-CE18-2943-9A1B-9596E04A143C}" presName="node" presStyleLbl="node1" presStyleIdx="0" presStyleCnt="6">
        <dgm:presLayoutVars>
          <dgm:bulletEnabled val="1"/>
        </dgm:presLayoutVars>
      </dgm:prSet>
      <dgm:spPr/>
    </dgm:pt>
    <dgm:pt modelId="{69318C51-590B-524F-B8EF-4EA81C78D1B9}" type="pres">
      <dgm:prSet presAssocID="{DC855E90-8445-7E49-BB1E-FA5B2E916A74}" presName="sibTrans" presStyleLbl="sibTrans2D1" presStyleIdx="0" presStyleCnt="5"/>
      <dgm:spPr/>
    </dgm:pt>
    <dgm:pt modelId="{4C61E5FD-0D0A-CF49-BD94-06474E5CF781}" type="pres">
      <dgm:prSet presAssocID="{DC855E90-8445-7E49-BB1E-FA5B2E916A74}" presName="connectorText" presStyleLbl="sibTrans2D1" presStyleIdx="0" presStyleCnt="5"/>
      <dgm:spPr/>
    </dgm:pt>
    <dgm:pt modelId="{A1C9F251-10C9-5845-9A77-ADD04CEFE875}" type="pres">
      <dgm:prSet presAssocID="{B776B073-FC08-1648-B82B-665D6EFBDC9F}" presName="node" presStyleLbl="node1" presStyleIdx="1" presStyleCnt="6" custLinFactNeighborX="-2955" custLinFactNeighborY="1882">
        <dgm:presLayoutVars>
          <dgm:bulletEnabled val="1"/>
        </dgm:presLayoutVars>
      </dgm:prSet>
      <dgm:spPr/>
    </dgm:pt>
    <dgm:pt modelId="{92A5644E-8B4E-1A42-B25D-3E48E9B717DD}" type="pres">
      <dgm:prSet presAssocID="{C3089C20-4F98-2844-BD42-04E622BE30B6}" presName="sibTrans" presStyleLbl="sibTrans2D1" presStyleIdx="1" presStyleCnt="5"/>
      <dgm:spPr/>
    </dgm:pt>
    <dgm:pt modelId="{559D1D62-6B69-0E42-8465-F69967599ECB}" type="pres">
      <dgm:prSet presAssocID="{C3089C20-4F98-2844-BD42-04E622BE30B6}" presName="connectorText" presStyleLbl="sibTrans2D1" presStyleIdx="1" presStyleCnt="5"/>
      <dgm:spPr/>
    </dgm:pt>
    <dgm:pt modelId="{AF8DA0C0-A1C8-1A4F-981B-B9CD42356A27}" type="pres">
      <dgm:prSet presAssocID="{8DB65FC6-E736-9D4F-9D9F-3D77EF800A5C}" presName="node" presStyleLbl="node1" presStyleIdx="2" presStyleCnt="6">
        <dgm:presLayoutVars>
          <dgm:bulletEnabled val="1"/>
        </dgm:presLayoutVars>
      </dgm:prSet>
      <dgm:spPr/>
    </dgm:pt>
    <dgm:pt modelId="{118158BC-DF3F-D844-A463-5BAA32EAD2D8}" type="pres">
      <dgm:prSet presAssocID="{42C5363A-598C-4A40-BBF3-D2C44DB051D8}" presName="sibTrans" presStyleLbl="sibTrans2D1" presStyleIdx="2" presStyleCnt="5"/>
      <dgm:spPr/>
    </dgm:pt>
    <dgm:pt modelId="{CF46540B-3253-5F44-9328-BA3EC62C3AB6}" type="pres">
      <dgm:prSet presAssocID="{42C5363A-598C-4A40-BBF3-D2C44DB051D8}" presName="connectorText" presStyleLbl="sibTrans2D1" presStyleIdx="2" presStyleCnt="5"/>
      <dgm:spPr/>
    </dgm:pt>
    <dgm:pt modelId="{A6A38197-7262-E24F-8DB5-1B2A1A5891F6}" type="pres">
      <dgm:prSet presAssocID="{77E17962-E0D3-1442-AFAC-88C4387AEC92}" presName="node" presStyleLbl="node1" presStyleIdx="3" presStyleCnt="6">
        <dgm:presLayoutVars>
          <dgm:bulletEnabled val="1"/>
        </dgm:presLayoutVars>
      </dgm:prSet>
      <dgm:spPr/>
    </dgm:pt>
    <dgm:pt modelId="{F742C11F-33F2-1940-AE5C-14BAD1CF5DE5}" type="pres">
      <dgm:prSet presAssocID="{6B6E46CE-D5C2-9241-A64D-D27AD528F16B}" presName="sibTrans" presStyleLbl="sibTrans2D1" presStyleIdx="3" presStyleCnt="5"/>
      <dgm:spPr/>
    </dgm:pt>
    <dgm:pt modelId="{8FDC0866-A5D8-A744-80A3-234613B84332}" type="pres">
      <dgm:prSet presAssocID="{6B6E46CE-D5C2-9241-A64D-D27AD528F16B}" presName="connectorText" presStyleLbl="sibTrans2D1" presStyleIdx="3" presStyleCnt="5"/>
      <dgm:spPr/>
    </dgm:pt>
    <dgm:pt modelId="{CA5499BF-C8E3-314A-9622-34D82826E18D}" type="pres">
      <dgm:prSet presAssocID="{B13787A7-0B20-A644-981A-DBBEA639398E}" presName="node" presStyleLbl="node1" presStyleIdx="4" presStyleCnt="6">
        <dgm:presLayoutVars>
          <dgm:bulletEnabled val="1"/>
        </dgm:presLayoutVars>
      </dgm:prSet>
      <dgm:spPr/>
    </dgm:pt>
    <dgm:pt modelId="{F1EA8C85-C99A-9D41-A562-43CBD304B490}" type="pres">
      <dgm:prSet presAssocID="{2E7C8B4E-6A50-4141-86D9-3D28C87BF677}" presName="sibTrans" presStyleLbl="sibTrans2D1" presStyleIdx="4" presStyleCnt="5"/>
      <dgm:spPr/>
    </dgm:pt>
    <dgm:pt modelId="{51F23168-C238-424C-83D8-542824056929}" type="pres">
      <dgm:prSet presAssocID="{2E7C8B4E-6A50-4141-86D9-3D28C87BF677}" presName="connectorText" presStyleLbl="sibTrans2D1" presStyleIdx="4" presStyleCnt="5"/>
      <dgm:spPr/>
    </dgm:pt>
    <dgm:pt modelId="{92B859C7-B4E7-D247-AA65-A0F90E0BAB72}" type="pres">
      <dgm:prSet presAssocID="{B8E4B01E-9E40-8441-AAE8-55C23C1D5198}" presName="node" presStyleLbl="node1" presStyleIdx="5" presStyleCnt="6">
        <dgm:presLayoutVars>
          <dgm:bulletEnabled val="1"/>
        </dgm:presLayoutVars>
      </dgm:prSet>
      <dgm:spPr/>
    </dgm:pt>
  </dgm:ptLst>
  <dgm:cxnLst>
    <dgm:cxn modelId="{8717E508-1BA9-4C43-B036-2DD10D856ACC}" srcId="{9785849E-E851-054F-8768-228DA3E6768C}" destId="{B776B073-FC08-1648-B82B-665D6EFBDC9F}" srcOrd="1" destOrd="0" parTransId="{C4BEF4B4-8BB9-EE43-85E2-DD27B095FED3}" sibTransId="{C3089C20-4F98-2844-BD42-04E622BE30B6}"/>
    <dgm:cxn modelId="{96ED260A-28BF-2448-A612-7B138CBE8AE8}" type="presOf" srcId="{C3089C20-4F98-2844-BD42-04E622BE30B6}" destId="{92A5644E-8B4E-1A42-B25D-3E48E9B717DD}" srcOrd="0" destOrd="0" presId="urn:microsoft.com/office/officeart/2005/8/layout/process1"/>
    <dgm:cxn modelId="{BC888010-D984-FE4E-9420-4FDC3D85F651}" srcId="{9785849E-E851-054F-8768-228DA3E6768C}" destId="{B8E4B01E-9E40-8441-AAE8-55C23C1D5198}" srcOrd="5" destOrd="0" parTransId="{51D26EDA-7537-F14B-99A0-6419E925C6AA}" sibTransId="{E49712E3-9D0F-9F4F-9A92-ABE3ABF0EB65}"/>
    <dgm:cxn modelId="{48FCF312-D932-7C4B-BF43-F1867671565F}" type="presOf" srcId="{B776B073-FC08-1648-B82B-665D6EFBDC9F}" destId="{A1C9F251-10C9-5845-9A77-ADD04CEFE875}" srcOrd="0" destOrd="0" presId="urn:microsoft.com/office/officeart/2005/8/layout/process1"/>
    <dgm:cxn modelId="{F61A8614-B411-E145-9A5D-CC61F1D933C1}" type="presOf" srcId="{6B6E46CE-D5C2-9241-A64D-D27AD528F16B}" destId="{F742C11F-33F2-1940-AE5C-14BAD1CF5DE5}" srcOrd="0" destOrd="0" presId="urn:microsoft.com/office/officeart/2005/8/layout/process1"/>
    <dgm:cxn modelId="{01CEDD1A-EFBD-924C-8D01-0B0554EC68C6}" srcId="{9785849E-E851-054F-8768-228DA3E6768C}" destId="{8DB65FC6-E736-9D4F-9D9F-3D77EF800A5C}" srcOrd="2" destOrd="0" parTransId="{0CE91A63-8E52-3443-A5E2-5556FB53A5B3}" sibTransId="{42C5363A-598C-4A40-BBF3-D2C44DB051D8}"/>
    <dgm:cxn modelId="{687DF61B-BF3D-3241-8B2B-C39E2CC89458}" srcId="{9785849E-E851-054F-8768-228DA3E6768C}" destId="{B8ACCDA2-CE18-2943-9A1B-9596E04A143C}" srcOrd="0" destOrd="0" parTransId="{BC0FA6DF-E455-BE4D-A1EF-E4F9C25883B1}" sibTransId="{DC855E90-8445-7E49-BB1E-FA5B2E916A74}"/>
    <dgm:cxn modelId="{596ED522-F26C-7D4C-8B38-E16FCF890394}" type="presOf" srcId="{6B6E46CE-D5C2-9241-A64D-D27AD528F16B}" destId="{8FDC0866-A5D8-A744-80A3-234613B84332}" srcOrd="1" destOrd="0" presId="urn:microsoft.com/office/officeart/2005/8/layout/process1"/>
    <dgm:cxn modelId="{B7347A2D-1345-7C47-B4B6-4C3DF3819B98}" type="presOf" srcId="{9785849E-E851-054F-8768-228DA3E6768C}" destId="{578F25FD-65B8-2B46-B32E-BABD45125A48}" srcOrd="0" destOrd="0" presId="urn:microsoft.com/office/officeart/2005/8/layout/process1"/>
    <dgm:cxn modelId="{910A3B3E-0A30-E64E-88FF-C3D8D6878033}" type="presOf" srcId="{42C5363A-598C-4A40-BBF3-D2C44DB051D8}" destId="{CF46540B-3253-5F44-9328-BA3EC62C3AB6}" srcOrd="1" destOrd="0" presId="urn:microsoft.com/office/officeart/2005/8/layout/process1"/>
    <dgm:cxn modelId="{E336AC73-1BF3-1F41-B714-D06B763D05A5}" type="presOf" srcId="{DC855E90-8445-7E49-BB1E-FA5B2E916A74}" destId="{4C61E5FD-0D0A-CF49-BD94-06474E5CF781}" srcOrd="1" destOrd="0" presId="urn:microsoft.com/office/officeart/2005/8/layout/process1"/>
    <dgm:cxn modelId="{D226FB79-3A64-1740-B1E8-6E87F48FF945}" srcId="{9785849E-E851-054F-8768-228DA3E6768C}" destId="{B13787A7-0B20-A644-981A-DBBEA639398E}" srcOrd="4" destOrd="0" parTransId="{93BBF7D6-6BC5-2143-ACBC-6514FCAA2ABE}" sibTransId="{2E7C8B4E-6A50-4141-86D9-3D28C87BF677}"/>
    <dgm:cxn modelId="{B71D0888-8837-8942-B5DB-0DE3713F0C58}" type="presOf" srcId="{C3089C20-4F98-2844-BD42-04E622BE30B6}" destId="{559D1D62-6B69-0E42-8465-F69967599ECB}" srcOrd="1" destOrd="0" presId="urn:microsoft.com/office/officeart/2005/8/layout/process1"/>
    <dgm:cxn modelId="{F3EB4D8E-A2A7-5B42-8DBB-98B6D7AC86AD}" type="presOf" srcId="{2E7C8B4E-6A50-4141-86D9-3D28C87BF677}" destId="{51F23168-C238-424C-83D8-542824056929}" srcOrd="1" destOrd="0" presId="urn:microsoft.com/office/officeart/2005/8/layout/process1"/>
    <dgm:cxn modelId="{6E526F96-D943-4140-BAD7-C7459C6E813C}" type="presOf" srcId="{B8ACCDA2-CE18-2943-9A1B-9596E04A143C}" destId="{F4488260-241B-6E4D-8EA6-3849F5F60146}" srcOrd="0" destOrd="0" presId="urn:microsoft.com/office/officeart/2005/8/layout/process1"/>
    <dgm:cxn modelId="{3C7D9AB2-610D-1943-8D96-98F94C0B65DF}" type="presOf" srcId="{8DB65FC6-E736-9D4F-9D9F-3D77EF800A5C}" destId="{AF8DA0C0-A1C8-1A4F-981B-B9CD42356A27}" srcOrd="0" destOrd="0" presId="urn:microsoft.com/office/officeart/2005/8/layout/process1"/>
    <dgm:cxn modelId="{6363ACB5-F02A-C44B-8903-EE8AD46EF86C}" type="presOf" srcId="{42C5363A-598C-4A40-BBF3-D2C44DB051D8}" destId="{118158BC-DF3F-D844-A463-5BAA32EAD2D8}" srcOrd="0" destOrd="0" presId="urn:microsoft.com/office/officeart/2005/8/layout/process1"/>
    <dgm:cxn modelId="{ED79CCB9-ECCC-564A-803B-28496EE25EFF}" type="presOf" srcId="{2E7C8B4E-6A50-4141-86D9-3D28C87BF677}" destId="{F1EA8C85-C99A-9D41-A562-43CBD304B490}" srcOrd="0" destOrd="0" presId="urn:microsoft.com/office/officeart/2005/8/layout/process1"/>
    <dgm:cxn modelId="{258848BE-0F29-DF44-B883-0C7854AEC57B}" type="presOf" srcId="{B13787A7-0B20-A644-981A-DBBEA639398E}" destId="{CA5499BF-C8E3-314A-9622-34D82826E18D}" srcOrd="0" destOrd="0" presId="urn:microsoft.com/office/officeart/2005/8/layout/process1"/>
    <dgm:cxn modelId="{B3FF21C7-A4BE-654F-8A1B-9FA3D86122F7}" srcId="{9785849E-E851-054F-8768-228DA3E6768C}" destId="{77E17962-E0D3-1442-AFAC-88C4387AEC92}" srcOrd="3" destOrd="0" parTransId="{129175A2-CBE7-FD46-9CD8-2940E51802A1}" sibTransId="{6B6E46CE-D5C2-9241-A64D-D27AD528F16B}"/>
    <dgm:cxn modelId="{4367D3EA-0A89-B94C-9CDB-A56EEB2BFB93}" type="presOf" srcId="{DC855E90-8445-7E49-BB1E-FA5B2E916A74}" destId="{69318C51-590B-524F-B8EF-4EA81C78D1B9}" srcOrd="0" destOrd="0" presId="urn:microsoft.com/office/officeart/2005/8/layout/process1"/>
    <dgm:cxn modelId="{5ECFAFEB-BF08-5748-8DA1-32D449124428}" type="presOf" srcId="{77E17962-E0D3-1442-AFAC-88C4387AEC92}" destId="{A6A38197-7262-E24F-8DB5-1B2A1A5891F6}" srcOrd="0" destOrd="0" presId="urn:microsoft.com/office/officeart/2005/8/layout/process1"/>
    <dgm:cxn modelId="{A7BE58F6-EC94-6941-B05D-77D4BEAC4106}" type="presOf" srcId="{B8E4B01E-9E40-8441-AAE8-55C23C1D5198}" destId="{92B859C7-B4E7-D247-AA65-A0F90E0BAB72}" srcOrd="0" destOrd="0" presId="urn:microsoft.com/office/officeart/2005/8/layout/process1"/>
    <dgm:cxn modelId="{5217C1F1-8ED1-0049-B69A-9AA50EA5E069}" type="presParOf" srcId="{578F25FD-65B8-2B46-B32E-BABD45125A48}" destId="{F4488260-241B-6E4D-8EA6-3849F5F60146}" srcOrd="0" destOrd="0" presId="urn:microsoft.com/office/officeart/2005/8/layout/process1"/>
    <dgm:cxn modelId="{835505CA-2286-5544-BA25-F50CB5D7A119}" type="presParOf" srcId="{578F25FD-65B8-2B46-B32E-BABD45125A48}" destId="{69318C51-590B-524F-B8EF-4EA81C78D1B9}" srcOrd="1" destOrd="0" presId="urn:microsoft.com/office/officeart/2005/8/layout/process1"/>
    <dgm:cxn modelId="{66BB8D49-F029-964A-BD41-04BD930C34DF}" type="presParOf" srcId="{69318C51-590B-524F-B8EF-4EA81C78D1B9}" destId="{4C61E5FD-0D0A-CF49-BD94-06474E5CF781}" srcOrd="0" destOrd="0" presId="urn:microsoft.com/office/officeart/2005/8/layout/process1"/>
    <dgm:cxn modelId="{8578F961-DEE9-B741-A46B-C834F45B0CE6}" type="presParOf" srcId="{578F25FD-65B8-2B46-B32E-BABD45125A48}" destId="{A1C9F251-10C9-5845-9A77-ADD04CEFE875}" srcOrd="2" destOrd="0" presId="urn:microsoft.com/office/officeart/2005/8/layout/process1"/>
    <dgm:cxn modelId="{549CF87E-5B2C-A649-8179-8DA61C65C8AB}" type="presParOf" srcId="{578F25FD-65B8-2B46-B32E-BABD45125A48}" destId="{92A5644E-8B4E-1A42-B25D-3E48E9B717DD}" srcOrd="3" destOrd="0" presId="urn:microsoft.com/office/officeart/2005/8/layout/process1"/>
    <dgm:cxn modelId="{832B2FEC-CCB8-7A4B-AC35-AE6172B59835}" type="presParOf" srcId="{92A5644E-8B4E-1A42-B25D-3E48E9B717DD}" destId="{559D1D62-6B69-0E42-8465-F69967599ECB}" srcOrd="0" destOrd="0" presId="urn:microsoft.com/office/officeart/2005/8/layout/process1"/>
    <dgm:cxn modelId="{ABEF316B-EF6D-6542-A705-9BE0E004AA9F}" type="presParOf" srcId="{578F25FD-65B8-2B46-B32E-BABD45125A48}" destId="{AF8DA0C0-A1C8-1A4F-981B-B9CD42356A27}" srcOrd="4" destOrd="0" presId="urn:microsoft.com/office/officeart/2005/8/layout/process1"/>
    <dgm:cxn modelId="{5E2E23B4-D1B8-AA48-B949-331DA1301EFC}" type="presParOf" srcId="{578F25FD-65B8-2B46-B32E-BABD45125A48}" destId="{118158BC-DF3F-D844-A463-5BAA32EAD2D8}" srcOrd="5" destOrd="0" presId="urn:microsoft.com/office/officeart/2005/8/layout/process1"/>
    <dgm:cxn modelId="{E5816435-1BB4-4D44-8B99-7BC68F93D1B3}" type="presParOf" srcId="{118158BC-DF3F-D844-A463-5BAA32EAD2D8}" destId="{CF46540B-3253-5F44-9328-BA3EC62C3AB6}" srcOrd="0" destOrd="0" presId="urn:microsoft.com/office/officeart/2005/8/layout/process1"/>
    <dgm:cxn modelId="{D66D2A99-DBC9-1C4E-B224-D14CAD6AE3CE}" type="presParOf" srcId="{578F25FD-65B8-2B46-B32E-BABD45125A48}" destId="{A6A38197-7262-E24F-8DB5-1B2A1A5891F6}" srcOrd="6" destOrd="0" presId="urn:microsoft.com/office/officeart/2005/8/layout/process1"/>
    <dgm:cxn modelId="{B97202B2-5CC4-9347-B968-055EAA84F4BB}" type="presParOf" srcId="{578F25FD-65B8-2B46-B32E-BABD45125A48}" destId="{F742C11F-33F2-1940-AE5C-14BAD1CF5DE5}" srcOrd="7" destOrd="0" presId="urn:microsoft.com/office/officeart/2005/8/layout/process1"/>
    <dgm:cxn modelId="{A5FCC082-5866-C04B-BB29-8BCBA37100F4}" type="presParOf" srcId="{F742C11F-33F2-1940-AE5C-14BAD1CF5DE5}" destId="{8FDC0866-A5D8-A744-80A3-234613B84332}" srcOrd="0" destOrd="0" presId="urn:microsoft.com/office/officeart/2005/8/layout/process1"/>
    <dgm:cxn modelId="{183ED656-06A4-9841-BF3A-EB6B2F7FBD5B}" type="presParOf" srcId="{578F25FD-65B8-2B46-B32E-BABD45125A48}" destId="{CA5499BF-C8E3-314A-9622-34D82826E18D}" srcOrd="8" destOrd="0" presId="urn:microsoft.com/office/officeart/2005/8/layout/process1"/>
    <dgm:cxn modelId="{D49979E7-2AB9-E445-9D2E-EAF9245309B9}" type="presParOf" srcId="{578F25FD-65B8-2B46-B32E-BABD45125A48}" destId="{F1EA8C85-C99A-9D41-A562-43CBD304B490}" srcOrd="9" destOrd="0" presId="urn:microsoft.com/office/officeart/2005/8/layout/process1"/>
    <dgm:cxn modelId="{91DDC296-CF74-024B-8995-DE488DBAE81E}" type="presParOf" srcId="{F1EA8C85-C99A-9D41-A562-43CBD304B490}" destId="{51F23168-C238-424C-83D8-542824056929}" srcOrd="0" destOrd="0" presId="urn:microsoft.com/office/officeart/2005/8/layout/process1"/>
    <dgm:cxn modelId="{6500587A-2F5F-0E40-8B5D-094EE1E31EAB}" type="presParOf" srcId="{578F25FD-65B8-2B46-B32E-BABD45125A48}" destId="{92B859C7-B4E7-D247-AA65-A0F90E0BAB72}" srcOrd="10" destOrd="0" presId="urn:microsoft.com/office/officeart/2005/8/layout/process1"/>
  </dgm:cxnLst>
  <dgm:bg/>
  <dgm:whole/>
  <dgm:extLst>
    <a:ext uri="http://schemas.microsoft.com/office/drawing/2008/diagram">
      <dsp:dataModelExt xmlns:dsp="http://schemas.microsoft.com/office/drawing/2008/diagram" relId="rId3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C1366F1-ACBA-6A4E-B53E-F05FFE631D83}">
      <dsp:nvSpPr>
        <dsp:cNvPr id="0" name=""/>
        <dsp:cNvSpPr/>
      </dsp:nvSpPr>
      <dsp:spPr>
        <a:xfrm>
          <a:off x="0" y="533197"/>
          <a:ext cx="784292" cy="47057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GB" sz="700" kern="1200"/>
            <a:t>Submission of the State review </a:t>
          </a:r>
        </a:p>
      </dsp:txBody>
      <dsp:txXfrm>
        <a:off x="13783" y="546980"/>
        <a:ext cx="756726" cy="443009"/>
      </dsp:txXfrm>
    </dsp:sp>
    <dsp:sp modelId="{F8F6197E-2F6A-2246-8632-AD6B373149BA}">
      <dsp:nvSpPr>
        <dsp:cNvPr id="0" name=""/>
        <dsp:cNvSpPr/>
      </dsp:nvSpPr>
      <dsp:spPr>
        <a:xfrm>
          <a:off x="862721" y="671232"/>
          <a:ext cx="166270" cy="194504"/>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GB" sz="600" kern="1200"/>
        </a:p>
      </dsp:txBody>
      <dsp:txXfrm>
        <a:off x="862721" y="710133"/>
        <a:ext cx="116389" cy="116702"/>
      </dsp:txXfrm>
    </dsp:sp>
    <dsp:sp modelId="{B43254F5-1312-4A45-BF10-DCCE606BED60}">
      <dsp:nvSpPr>
        <dsp:cNvPr id="0" name=""/>
        <dsp:cNvSpPr/>
      </dsp:nvSpPr>
      <dsp:spPr>
        <a:xfrm>
          <a:off x="1098009" y="533197"/>
          <a:ext cx="784292" cy="47057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GB" sz="700" kern="1200"/>
            <a:t>Review by the working group </a:t>
          </a:r>
        </a:p>
      </dsp:txBody>
      <dsp:txXfrm>
        <a:off x="1111792" y="546980"/>
        <a:ext cx="756726" cy="443009"/>
      </dsp:txXfrm>
    </dsp:sp>
    <dsp:sp modelId="{5995B834-9D77-6C46-8FE7-5423309DDA1B}">
      <dsp:nvSpPr>
        <dsp:cNvPr id="0" name=""/>
        <dsp:cNvSpPr/>
      </dsp:nvSpPr>
      <dsp:spPr>
        <a:xfrm>
          <a:off x="1960731" y="671232"/>
          <a:ext cx="166270" cy="194504"/>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GB" sz="600" kern="1200"/>
        </a:p>
      </dsp:txBody>
      <dsp:txXfrm>
        <a:off x="1960731" y="710133"/>
        <a:ext cx="116389" cy="116702"/>
      </dsp:txXfrm>
    </dsp:sp>
    <dsp:sp modelId="{318BFDBF-76E2-5D48-B5C1-01510C7E25C0}">
      <dsp:nvSpPr>
        <dsp:cNvPr id="0" name=""/>
        <dsp:cNvSpPr/>
      </dsp:nvSpPr>
      <dsp:spPr>
        <a:xfrm>
          <a:off x="2196018" y="533197"/>
          <a:ext cx="784292" cy="47057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GB" sz="700" kern="1200"/>
            <a:t>Review sessions which produces reccomendations </a:t>
          </a:r>
        </a:p>
      </dsp:txBody>
      <dsp:txXfrm>
        <a:off x="2209801" y="546980"/>
        <a:ext cx="756726" cy="443009"/>
      </dsp:txXfrm>
    </dsp:sp>
    <dsp:sp modelId="{A1595B52-F755-FA4C-B2E8-6FF95503B349}">
      <dsp:nvSpPr>
        <dsp:cNvPr id="0" name=""/>
        <dsp:cNvSpPr/>
      </dsp:nvSpPr>
      <dsp:spPr>
        <a:xfrm>
          <a:off x="3058740" y="671232"/>
          <a:ext cx="166270" cy="194504"/>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GB" sz="600" kern="1200"/>
        </a:p>
      </dsp:txBody>
      <dsp:txXfrm>
        <a:off x="3058740" y="710133"/>
        <a:ext cx="116389" cy="116702"/>
      </dsp:txXfrm>
    </dsp:sp>
    <dsp:sp modelId="{DF9A4F98-65C1-B040-8468-75AA809F948C}">
      <dsp:nvSpPr>
        <dsp:cNvPr id="0" name=""/>
        <dsp:cNvSpPr/>
      </dsp:nvSpPr>
      <dsp:spPr>
        <a:xfrm>
          <a:off x="3294028" y="533197"/>
          <a:ext cx="784292" cy="47057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GB" sz="700" kern="1200"/>
            <a:t>Acceptance of reccomendations by the State</a:t>
          </a:r>
        </a:p>
      </dsp:txBody>
      <dsp:txXfrm>
        <a:off x="3307811" y="546980"/>
        <a:ext cx="756726" cy="443009"/>
      </dsp:txXfrm>
    </dsp:sp>
    <dsp:sp modelId="{E9017370-C29F-8E42-BDF8-03CA4478F5D6}">
      <dsp:nvSpPr>
        <dsp:cNvPr id="0" name=""/>
        <dsp:cNvSpPr/>
      </dsp:nvSpPr>
      <dsp:spPr>
        <a:xfrm>
          <a:off x="4156750" y="671232"/>
          <a:ext cx="166270" cy="194504"/>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GB" sz="600" kern="1200"/>
        </a:p>
      </dsp:txBody>
      <dsp:txXfrm>
        <a:off x="4156750" y="710133"/>
        <a:ext cx="116389" cy="116702"/>
      </dsp:txXfrm>
    </dsp:sp>
    <dsp:sp modelId="{11DD63D9-E96D-2544-9ABC-0AF103827004}">
      <dsp:nvSpPr>
        <dsp:cNvPr id="0" name=""/>
        <dsp:cNvSpPr/>
      </dsp:nvSpPr>
      <dsp:spPr>
        <a:xfrm>
          <a:off x="4392038" y="533197"/>
          <a:ext cx="784292" cy="47057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GB" sz="700" kern="1200"/>
            <a:t>Implementation of reccomendations </a:t>
          </a:r>
        </a:p>
      </dsp:txBody>
      <dsp:txXfrm>
        <a:off x="4405821" y="546980"/>
        <a:ext cx="756726" cy="443009"/>
      </dsp:txXfrm>
    </dsp:sp>
    <dsp:sp modelId="{515F46EA-A810-AE43-A888-0E37ED874F4A}">
      <dsp:nvSpPr>
        <dsp:cNvPr id="0" name=""/>
        <dsp:cNvSpPr/>
      </dsp:nvSpPr>
      <dsp:spPr>
        <a:xfrm>
          <a:off x="5254759" y="671232"/>
          <a:ext cx="166270" cy="194504"/>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GB" sz="600" kern="1200"/>
        </a:p>
      </dsp:txBody>
      <dsp:txXfrm>
        <a:off x="5254759" y="710133"/>
        <a:ext cx="116389" cy="116702"/>
      </dsp:txXfrm>
    </dsp:sp>
    <dsp:sp modelId="{AEE03AA5-80D2-D34D-A9C9-A643F805425F}">
      <dsp:nvSpPr>
        <dsp:cNvPr id="0" name=""/>
        <dsp:cNvSpPr/>
      </dsp:nvSpPr>
      <dsp:spPr>
        <a:xfrm>
          <a:off x="5490047" y="533197"/>
          <a:ext cx="784292" cy="47057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GB" sz="700" kern="1200"/>
            <a:t>Interim report on the state of reccomendations</a:t>
          </a:r>
        </a:p>
      </dsp:txBody>
      <dsp:txXfrm>
        <a:off x="5503830" y="546980"/>
        <a:ext cx="756726" cy="443009"/>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4488260-241B-6E4D-8EA6-3849F5F60146}">
      <dsp:nvSpPr>
        <dsp:cNvPr id="0" name=""/>
        <dsp:cNvSpPr/>
      </dsp:nvSpPr>
      <dsp:spPr>
        <a:xfrm>
          <a:off x="0" y="352321"/>
          <a:ext cx="742950" cy="44577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marL="0" lvl="0" indent="0" algn="ctr" defTabSz="266700">
            <a:lnSpc>
              <a:spcPct val="90000"/>
            </a:lnSpc>
            <a:spcBef>
              <a:spcPct val="0"/>
            </a:spcBef>
            <a:spcAft>
              <a:spcPct val="35000"/>
            </a:spcAft>
            <a:buNone/>
          </a:pPr>
          <a:r>
            <a:rPr lang="en-GB" sz="600" kern="1200"/>
            <a:t>Collection of data by stakeholders, UN agencies and the State</a:t>
          </a:r>
        </a:p>
      </dsp:txBody>
      <dsp:txXfrm>
        <a:off x="13056" y="365377"/>
        <a:ext cx="716838" cy="419658"/>
      </dsp:txXfrm>
    </dsp:sp>
    <dsp:sp modelId="{69318C51-590B-524F-B8EF-4EA81C78D1B9}">
      <dsp:nvSpPr>
        <dsp:cNvPr id="0" name=""/>
        <dsp:cNvSpPr/>
      </dsp:nvSpPr>
      <dsp:spPr>
        <a:xfrm rot="27963">
          <a:off x="815047" y="487311"/>
          <a:ext cx="152856" cy="184251"/>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815048" y="523974"/>
        <a:ext cx="106999" cy="110551"/>
      </dsp:txXfrm>
    </dsp:sp>
    <dsp:sp modelId="{A1C9F251-10C9-5845-9A77-ADD04CEFE875}">
      <dsp:nvSpPr>
        <dsp:cNvPr id="0" name=""/>
        <dsp:cNvSpPr/>
      </dsp:nvSpPr>
      <dsp:spPr>
        <a:xfrm>
          <a:off x="1031348" y="360711"/>
          <a:ext cx="742950" cy="44577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marL="0" lvl="0" indent="0" algn="ctr" defTabSz="266700">
            <a:lnSpc>
              <a:spcPct val="90000"/>
            </a:lnSpc>
            <a:spcBef>
              <a:spcPct val="0"/>
            </a:spcBef>
            <a:spcAft>
              <a:spcPct val="35000"/>
            </a:spcAft>
            <a:buNone/>
          </a:pPr>
          <a:r>
            <a:rPr lang="en-GB" sz="600" kern="1200"/>
            <a:t>Review of the report by the working group</a:t>
          </a:r>
        </a:p>
      </dsp:txBody>
      <dsp:txXfrm>
        <a:off x="1044404" y="373767"/>
        <a:ext cx="716838" cy="419658"/>
      </dsp:txXfrm>
    </dsp:sp>
    <dsp:sp modelId="{92A5644E-8B4E-1A42-B25D-3E48E9B717DD}">
      <dsp:nvSpPr>
        <dsp:cNvPr id="0" name=""/>
        <dsp:cNvSpPr/>
      </dsp:nvSpPr>
      <dsp:spPr>
        <a:xfrm rot="21572505">
          <a:off x="1850786" y="487239"/>
          <a:ext cx="162164" cy="184251"/>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1850787" y="524284"/>
        <a:ext cx="113515" cy="110551"/>
      </dsp:txXfrm>
    </dsp:sp>
    <dsp:sp modelId="{AF8DA0C0-A1C8-1A4F-981B-B9CD42356A27}">
      <dsp:nvSpPr>
        <dsp:cNvPr id="0" name=""/>
        <dsp:cNvSpPr/>
      </dsp:nvSpPr>
      <dsp:spPr>
        <a:xfrm>
          <a:off x="2080260" y="352321"/>
          <a:ext cx="742950" cy="44577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marL="0" lvl="0" indent="0" algn="ctr" defTabSz="266700">
            <a:lnSpc>
              <a:spcPct val="90000"/>
            </a:lnSpc>
            <a:spcBef>
              <a:spcPct val="0"/>
            </a:spcBef>
            <a:spcAft>
              <a:spcPct val="35000"/>
            </a:spcAft>
            <a:buNone/>
          </a:pPr>
          <a:r>
            <a:rPr lang="en-GB" sz="600" kern="1200"/>
            <a:t>Review session and receiving recommendations </a:t>
          </a:r>
        </a:p>
      </dsp:txBody>
      <dsp:txXfrm>
        <a:off x="2093316" y="365377"/>
        <a:ext cx="716838" cy="419658"/>
      </dsp:txXfrm>
    </dsp:sp>
    <dsp:sp modelId="{118158BC-DF3F-D844-A463-5BAA32EAD2D8}">
      <dsp:nvSpPr>
        <dsp:cNvPr id="0" name=""/>
        <dsp:cNvSpPr/>
      </dsp:nvSpPr>
      <dsp:spPr>
        <a:xfrm>
          <a:off x="2897505" y="483081"/>
          <a:ext cx="157505" cy="184251"/>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2897505" y="519931"/>
        <a:ext cx="110254" cy="110551"/>
      </dsp:txXfrm>
    </dsp:sp>
    <dsp:sp modelId="{A6A38197-7262-E24F-8DB5-1B2A1A5891F6}">
      <dsp:nvSpPr>
        <dsp:cNvPr id="0" name=""/>
        <dsp:cNvSpPr/>
      </dsp:nvSpPr>
      <dsp:spPr>
        <a:xfrm>
          <a:off x="3120390" y="352321"/>
          <a:ext cx="742950" cy="44577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marL="0" lvl="0" indent="0" algn="ctr" defTabSz="266700">
            <a:lnSpc>
              <a:spcPct val="90000"/>
            </a:lnSpc>
            <a:spcBef>
              <a:spcPct val="0"/>
            </a:spcBef>
            <a:spcAft>
              <a:spcPct val="35000"/>
            </a:spcAft>
            <a:buNone/>
          </a:pPr>
          <a:r>
            <a:rPr lang="en-GB" sz="600" kern="1200"/>
            <a:t>Accepting reccomendations by the State</a:t>
          </a:r>
        </a:p>
      </dsp:txBody>
      <dsp:txXfrm>
        <a:off x="3133446" y="365377"/>
        <a:ext cx="716838" cy="419658"/>
      </dsp:txXfrm>
    </dsp:sp>
    <dsp:sp modelId="{F742C11F-33F2-1940-AE5C-14BAD1CF5DE5}">
      <dsp:nvSpPr>
        <dsp:cNvPr id="0" name=""/>
        <dsp:cNvSpPr/>
      </dsp:nvSpPr>
      <dsp:spPr>
        <a:xfrm>
          <a:off x="3937635" y="483081"/>
          <a:ext cx="157505" cy="184251"/>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3937635" y="519931"/>
        <a:ext cx="110254" cy="110551"/>
      </dsp:txXfrm>
    </dsp:sp>
    <dsp:sp modelId="{CA5499BF-C8E3-314A-9622-34D82826E18D}">
      <dsp:nvSpPr>
        <dsp:cNvPr id="0" name=""/>
        <dsp:cNvSpPr/>
      </dsp:nvSpPr>
      <dsp:spPr>
        <a:xfrm>
          <a:off x="4160520" y="352321"/>
          <a:ext cx="742950" cy="44577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marL="0" lvl="0" indent="0" algn="ctr" defTabSz="266700">
            <a:lnSpc>
              <a:spcPct val="90000"/>
            </a:lnSpc>
            <a:spcBef>
              <a:spcPct val="0"/>
            </a:spcBef>
            <a:spcAft>
              <a:spcPct val="35000"/>
            </a:spcAft>
            <a:buNone/>
          </a:pPr>
          <a:r>
            <a:rPr lang="en-GB" sz="600" kern="1200"/>
            <a:t>Imlementing the reccomendations by the State</a:t>
          </a:r>
        </a:p>
      </dsp:txBody>
      <dsp:txXfrm>
        <a:off x="4173576" y="365377"/>
        <a:ext cx="716838" cy="419658"/>
      </dsp:txXfrm>
    </dsp:sp>
    <dsp:sp modelId="{F1EA8C85-C99A-9D41-A562-43CBD304B490}">
      <dsp:nvSpPr>
        <dsp:cNvPr id="0" name=""/>
        <dsp:cNvSpPr/>
      </dsp:nvSpPr>
      <dsp:spPr>
        <a:xfrm>
          <a:off x="4977764" y="483081"/>
          <a:ext cx="157505" cy="184251"/>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4977764" y="519931"/>
        <a:ext cx="110254" cy="110551"/>
      </dsp:txXfrm>
    </dsp:sp>
    <dsp:sp modelId="{92B859C7-B4E7-D247-AA65-A0F90E0BAB72}">
      <dsp:nvSpPr>
        <dsp:cNvPr id="0" name=""/>
        <dsp:cNvSpPr/>
      </dsp:nvSpPr>
      <dsp:spPr>
        <a:xfrm>
          <a:off x="5200649" y="352321"/>
          <a:ext cx="742950" cy="44577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marL="0" lvl="0" indent="0" algn="ctr" defTabSz="266700">
            <a:lnSpc>
              <a:spcPct val="90000"/>
            </a:lnSpc>
            <a:spcBef>
              <a:spcPct val="0"/>
            </a:spcBef>
            <a:spcAft>
              <a:spcPct val="35000"/>
            </a:spcAft>
            <a:buNone/>
          </a:pPr>
          <a:r>
            <a:rPr lang="en-GB" sz="600" kern="1200"/>
            <a:t>Interim report on the progress on implementation of SDGs </a:t>
          </a:r>
        </a:p>
      </dsp:txBody>
      <dsp:txXfrm>
        <a:off x="5213705" y="365377"/>
        <a:ext cx="716838" cy="419658"/>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5AC021-3E6B-4F3E-8980-822FB4705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87</Pages>
  <Words>26841</Words>
  <Characters>152994</Characters>
  <Application>Microsoft Office Word</Application>
  <DocSecurity>0</DocSecurity>
  <Lines>1274</Lines>
  <Paragraphs>358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Hudcova Zuzana</dc:creator>
  <cp:keywords/>
  <dc:description/>
  <cp:lastModifiedBy>Zuzana Hudcova</cp:lastModifiedBy>
  <cp:revision>5</cp:revision>
  <cp:lastPrinted>2023-12-11T04:53:00Z</cp:lastPrinted>
  <dcterms:created xsi:type="dcterms:W3CDTF">2023-12-11T10:01:00Z</dcterms:created>
  <dcterms:modified xsi:type="dcterms:W3CDTF">2023-12-11T10:22:00Z</dcterms:modified>
</cp:coreProperties>
</file>