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75" w:rsidRPr="008951F1" w:rsidRDefault="00DC1275" w:rsidP="00DC1275">
      <w:pPr>
        <w:pStyle w:val="Nadpis3"/>
        <w:jc w:val="center"/>
        <w:rPr>
          <w:rFonts w:cs="Times New Roman"/>
          <w:sz w:val="28"/>
        </w:rPr>
      </w:pPr>
      <w:bookmarkStart w:id="0" w:name="_Toc288641077"/>
      <w:bookmarkStart w:id="1" w:name="_Toc288653434"/>
      <w:bookmarkStart w:id="2" w:name="_Toc289299915"/>
      <w:r w:rsidRPr="008951F1">
        <w:rPr>
          <w:rFonts w:cs="Times New Roman"/>
          <w:sz w:val="28"/>
        </w:rPr>
        <w:t xml:space="preserve">Univerzita </w:t>
      </w:r>
      <w:proofErr w:type="spellStart"/>
      <w:r w:rsidRPr="008951F1">
        <w:rPr>
          <w:rFonts w:cs="Times New Roman"/>
          <w:sz w:val="28"/>
        </w:rPr>
        <w:t>Palackého</w:t>
      </w:r>
      <w:proofErr w:type="spellEnd"/>
      <w:r w:rsidRPr="008951F1">
        <w:rPr>
          <w:rFonts w:cs="Times New Roman"/>
          <w:sz w:val="28"/>
        </w:rPr>
        <w:t xml:space="preserve"> v Olomouci</w:t>
      </w:r>
      <w:bookmarkEnd w:id="0"/>
      <w:bookmarkEnd w:id="1"/>
      <w:bookmarkEnd w:id="2"/>
    </w:p>
    <w:p w:rsidR="00DC1275" w:rsidRPr="008951F1" w:rsidRDefault="00DC1275" w:rsidP="00DC1275">
      <w:pPr>
        <w:pStyle w:val="Nadpis3"/>
        <w:jc w:val="center"/>
        <w:rPr>
          <w:rFonts w:cs="Times New Roman"/>
        </w:rPr>
      </w:pPr>
      <w:bookmarkStart w:id="3" w:name="_Toc288641078"/>
      <w:bookmarkStart w:id="4" w:name="_Toc288653435"/>
      <w:bookmarkStart w:id="5" w:name="_Toc289299916"/>
      <w:r w:rsidRPr="008951F1">
        <w:rPr>
          <w:rFonts w:cs="Times New Roman"/>
          <w:sz w:val="28"/>
          <w:szCs w:val="24"/>
        </w:rPr>
        <w:t>Právnická fakulta</w:t>
      </w:r>
      <w:bookmarkEnd w:id="3"/>
      <w:bookmarkEnd w:id="4"/>
      <w:bookmarkEnd w:id="5"/>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szCs w:val="24"/>
        </w:rPr>
      </w:pPr>
    </w:p>
    <w:p w:rsidR="00DC1275" w:rsidRPr="008951F1" w:rsidRDefault="00DC1275" w:rsidP="00DC1275">
      <w:pPr>
        <w:jc w:val="center"/>
        <w:rPr>
          <w:rFonts w:cs="Times New Roman"/>
          <w:b/>
          <w:sz w:val="32"/>
          <w:szCs w:val="24"/>
        </w:rPr>
      </w:pPr>
      <w:r w:rsidRPr="008951F1">
        <w:rPr>
          <w:rFonts w:cs="Times New Roman"/>
          <w:b/>
          <w:sz w:val="32"/>
          <w:szCs w:val="24"/>
        </w:rPr>
        <w:t>Magdaléna Struhárová</w:t>
      </w:r>
    </w:p>
    <w:p w:rsidR="00DC1275" w:rsidRPr="008951F1" w:rsidRDefault="00DC1275" w:rsidP="00DC1275">
      <w:pPr>
        <w:jc w:val="center"/>
        <w:rPr>
          <w:rFonts w:cs="Times New Roman"/>
          <w:b/>
          <w:sz w:val="32"/>
          <w:szCs w:val="24"/>
        </w:rPr>
      </w:pPr>
    </w:p>
    <w:p w:rsidR="00DC1275" w:rsidRPr="008951F1" w:rsidRDefault="00DC1275" w:rsidP="00DC1275">
      <w:pPr>
        <w:jc w:val="center"/>
        <w:rPr>
          <w:rFonts w:cs="Times New Roman"/>
          <w:b/>
          <w:sz w:val="32"/>
          <w:szCs w:val="24"/>
        </w:rPr>
      </w:pPr>
      <w:r w:rsidRPr="008951F1">
        <w:rPr>
          <w:rFonts w:eastAsia="Calibri" w:cs="Times New Roman"/>
          <w:b/>
          <w:sz w:val="32"/>
          <w:szCs w:val="24"/>
        </w:rPr>
        <w:t>Individuálna sťažnosť na porušenie ľudských práv na základe Európskeho dohovoru o ochrane ľudských práv a základných slobôd pred Európskym súdom pre ľudské práva</w:t>
      </w:r>
    </w:p>
    <w:p w:rsidR="00DC1275" w:rsidRPr="008951F1" w:rsidRDefault="00DC1275" w:rsidP="00DC1275">
      <w:pPr>
        <w:jc w:val="center"/>
        <w:rPr>
          <w:rFonts w:cs="Times New Roman"/>
          <w:b/>
          <w:i/>
          <w:szCs w:val="24"/>
          <w:lang w:val="en-US"/>
        </w:rPr>
      </w:pPr>
    </w:p>
    <w:p w:rsidR="00DC1275" w:rsidRPr="008951F1" w:rsidRDefault="00DC1275" w:rsidP="00DC1275">
      <w:pPr>
        <w:jc w:val="center"/>
        <w:rPr>
          <w:rFonts w:cs="Times New Roman"/>
          <w:b/>
          <w:i/>
          <w:szCs w:val="24"/>
          <w:lang w:val="en-US"/>
        </w:rPr>
      </w:pPr>
      <w:r w:rsidRPr="008951F1">
        <w:rPr>
          <w:rFonts w:cs="Times New Roman"/>
          <w:b/>
          <w:i/>
          <w:szCs w:val="24"/>
          <w:lang w:val="en-US"/>
        </w:rPr>
        <w:t xml:space="preserve">The Individual </w:t>
      </w:r>
      <w:r w:rsidRPr="00634733">
        <w:rPr>
          <w:rFonts w:cs="Times New Roman"/>
          <w:b/>
          <w:i/>
          <w:szCs w:val="24"/>
          <w:lang w:val="en-US"/>
        </w:rPr>
        <w:t>Petition for</w:t>
      </w:r>
      <w:r w:rsidRPr="008951F1">
        <w:rPr>
          <w:rFonts w:cs="Times New Roman"/>
          <w:b/>
          <w:i/>
          <w:szCs w:val="24"/>
          <w:lang w:val="en-US"/>
        </w:rPr>
        <w:t xml:space="preserve"> Violating Human Rights according to </w:t>
      </w:r>
      <w:r>
        <w:rPr>
          <w:rFonts w:cs="Times New Roman"/>
          <w:b/>
          <w:i/>
          <w:szCs w:val="24"/>
          <w:lang w:val="en-US"/>
        </w:rPr>
        <w:t xml:space="preserve">The </w:t>
      </w:r>
      <w:r w:rsidRPr="008951F1">
        <w:rPr>
          <w:rFonts w:cs="Times New Roman"/>
          <w:b/>
          <w:i/>
          <w:szCs w:val="24"/>
          <w:lang w:val="en-US"/>
        </w:rPr>
        <w:t xml:space="preserve">European  Convention </w:t>
      </w:r>
      <w:r>
        <w:rPr>
          <w:rFonts w:cs="Times New Roman"/>
          <w:b/>
          <w:i/>
          <w:szCs w:val="24"/>
          <w:lang w:val="en-US"/>
        </w:rPr>
        <w:t>for the Protection of</w:t>
      </w:r>
      <w:r w:rsidRPr="008951F1">
        <w:rPr>
          <w:rFonts w:cs="Times New Roman"/>
          <w:b/>
          <w:i/>
          <w:szCs w:val="24"/>
          <w:lang w:val="en-US"/>
        </w:rPr>
        <w:t xml:space="preserve"> Human Rights</w:t>
      </w:r>
      <w:r>
        <w:rPr>
          <w:rFonts w:cs="Times New Roman"/>
          <w:b/>
          <w:i/>
          <w:szCs w:val="24"/>
          <w:lang w:val="en-US"/>
        </w:rPr>
        <w:t xml:space="preserve"> and Fundamental Freedoms</w:t>
      </w:r>
      <w:r w:rsidRPr="008951F1">
        <w:rPr>
          <w:rFonts w:cs="Times New Roman"/>
          <w:b/>
          <w:i/>
          <w:szCs w:val="24"/>
          <w:lang w:val="en-US"/>
        </w:rPr>
        <w:t xml:space="preserve"> </w:t>
      </w:r>
      <w:r>
        <w:rPr>
          <w:rFonts w:cs="Times New Roman"/>
          <w:b/>
          <w:i/>
          <w:szCs w:val="24"/>
          <w:lang w:val="en-US"/>
        </w:rPr>
        <w:t xml:space="preserve">before </w:t>
      </w:r>
      <w:r w:rsidRPr="008951F1">
        <w:rPr>
          <w:rFonts w:cs="Times New Roman"/>
          <w:b/>
          <w:i/>
          <w:szCs w:val="24"/>
          <w:lang w:val="en-US"/>
        </w:rPr>
        <w:t>The European Court on Human Rights</w:t>
      </w:r>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b/>
          <w:sz w:val="28"/>
          <w:szCs w:val="24"/>
        </w:rPr>
      </w:pPr>
      <w:r w:rsidRPr="008951F1">
        <w:rPr>
          <w:rFonts w:cs="Times New Roman"/>
          <w:b/>
          <w:sz w:val="28"/>
          <w:szCs w:val="24"/>
        </w:rPr>
        <w:t>Diplomová práca</w:t>
      </w:r>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b/>
          <w:sz w:val="28"/>
          <w:szCs w:val="24"/>
        </w:rPr>
      </w:pPr>
    </w:p>
    <w:p w:rsidR="00DC1275" w:rsidRPr="008951F1" w:rsidRDefault="00DC1275" w:rsidP="00DC1275">
      <w:pPr>
        <w:jc w:val="center"/>
        <w:rPr>
          <w:rFonts w:cs="Times New Roman"/>
          <w:b/>
          <w:sz w:val="28"/>
          <w:szCs w:val="24"/>
        </w:rPr>
      </w:pPr>
      <w:r w:rsidRPr="008951F1">
        <w:rPr>
          <w:rFonts w:cs="Times New Roman"/>
          <w:b/>
          <w:sz w:val="28"/>
          <w:szCs w:val="24"/>
        </w:rPr>
        <w:t>Olomouc 2011</w:t>
      </w:r>
    </w:p>
    <w:p w:rsidR="00DC1275" w:rsidRDefault="00DC1275" w:rsidP="00DC1275">
      <w:pPr>
        <w:jc w:val="center"/>
        <w:rPr>
          <w:rFonts w:cs="Times New Roman"/>
          <w:b/>
          <w:sz w:val="28"/>
          <w:szCs w:val="24"/>
        </w:rPr>
      </w:pPr>
    </w:p>
    <w:p w:rsidR="00DC1275" w:rsidRDefault="00DC1275" w:rsidP="00DC1275">
      <w:pPr>
        <w:jc w:val="center"/>
        <w:rPr>
          <w:rFonts w:cs="Times New Roman"/>
          <w:b/>
          <w:sz w:val="28"/>
          <w:szCs w:val="24"/>
        </w:rPr>
      </w:pPr>
    </w:p>
    <w:p w:rsidR="00DC1275" w:rsidRDefault="00DC1275" w:rsidP="00DC1275">
      <w:pPr>
        <w:pStyle w:val="Nadpis2"/>
        <w:ind w:left="357" w:hanging="357"/>
        <w:rPr>
          <w:rFonts w:eastAsia="Calibri"/>
        </w:rPr>
      </w:pPr>
      <w:bookmarkStart w:id="6" w:name="_Toc289299917"/>
      <w:r>
        <w:rPr>
          <w:rFonts w:eastAsia="Calibri"/>
        </w:rPr>
        <w:lastRenderedPageBreak/>
        <w:t>Udelenie súhlasu so spracovaním osobných údajov</w:t>
      </w:r>
      <w:bookmarkEnd w:id="6"/>
    </w:p>
    <w:p w:rsidR="00DC1275" w:rsidRDefault="00DC1275" w:rsidP="00DC1275">
      <w:pPr>
        <w:ind w:left="113" w:right="113"/>
        <w:rPr>
          <w:rFonts w:eastAsia="Calibri" w:cs="Times New Roman"/>
        </w:rPr>
      </w:pPr>
    </w:p>
    <w:p w:rsidR="00DC1275" w:rsidRPr="00FB79CD" w:rsidRDefault="00DC1275" w:rsidP="00DC1275">
      <w:pPr>
        <w:tabs>
          <w:tab w:val="left" w:pos="284"/>
        </w:tabs>
        <w:ind w:right="113"/>
        <w:rPr>
          <w:rFonts w:eastAsia="Calibri" w:cs="Times New Roman"/>
        </w:rPr>
      </w:pPr>
      <w:r>
        <w:rPr>
          <w:rFonts w:eastAsia="Calibri" w:cs="Times New Roman"/>
        </w:rPr>
        <w:tab/>
      </w:r>
      <w:r>
        <w:rPr>
          <w:rFonts w:eastAsia="Calibri" w:cs="Times New Roman"/>
        </w:rPr>
        <w:tab/>
        <w:t xml:space="preserve">V súlade s ustanovením § 5 zákona č. č.101/2000 </w:t>
      </w:r>
      <w:proofErr w:type="spellStart"/>
      <w:r>
        <w:rPr>
          <w:rFonts w:eastAsia="Calibri" w:cs="Times New Roman"/>
        </w:rPr>
        <w:t>Sb</w:t>
      </w:r>
      <w:proofErr w:type="spellEnd"/>
      <w:r>
        <w:rPr>
          <w:rFonts w:eastAsia="Calibri" w:cs="Times New Roman"/>
        </w:rPr>
        <w:t xml:space="preserve">., o </w:t>
      </w:r>
      <w:proofErr w:type="spellStart"/>
      <w:r>
        <w:rPr>
          <w:rFonts w:eastAsia="Calibri" w:cs="Times New Roman"/>
        </w:rPr>
        <w:t>ochraně</w:t>
      </w:r>
      <w:proofErr w:type="spellEnd"/>
      <w:r>
        <w:rPr>
          <w:rFonts w:eastAsia="Calibri" w:cs="Times New Roman"/>
        </w:rPr>
        <w:t xml:space="preserve"> </w:t>
      </w:r>
      <w:proofErr w:type="spellStart"/>
      <w:r>
        <w:rPr>
          <w:rFonts w:eastAsia="Calibri" w:cs="Times New Roman"/>
        </w:rPr>
        <w:t>osobních</w:t>
      </w:r>
      <w:proofErr w:type="spellEnd"/>
      <w:r>
        <w:rPr>
          <w:rFonts w:eastAsia="Calibri" w:cs="Times New Roman"/>
        </w:rPr>
        <w:t xml:space="preserve"> </w:t>
      </w:r>
      <w:proofErr w:type="spellStart"/>
      <w:r>
        <w:rPr>
          <w:rFonts w:eastAsia="Calibri" w:cs="Times New Roman"/>
        </w:rPr>
        <w:t>údajů</w:t>
      </w:r>
      <w:proofErr w:type="spellEnd"/>
      <w:r>
        <w:rPr>
          <w:rFonts w:eastAsia="Calibri" w:cs="Times New Roman"/>
        </w:rPr>
        <w:t xml:space="preserve">, v znení neskorších predpisov, udeľujem Univerzite </w:t>
      </w:r>
      <w:proofErr w:type="spellStart"/>
      <w:r>
        <w:rPr>
          <w:rFonts w:eastAsia="Calibri" w:cs="Times New Roman"/>
        </w:rPr>
        <w:t>Palackého</w:t>
      </w:r>
      <w:proofErr w:type="spellEnd"/>
      <w:r>
        <w:rPr>
          <w:rFonts w:eastAsia="Calibri" w:cs="Times New Roman"/>
        </w:rPr>
        <w:t xml:space="preserve"> v Olomouci súhlas so spracovaním svojich osobných údajov ku študijným a vedeckým účelom týkajúcich sa tejto diplomovej práce.</w:t>
      </w:r>
    </w:p>
    <w:p w:rsidR="00DC1275" w:rsidRDefault="00DC1275" w:rsidP="00DC1275">
      <w:pPr>
        <w:ind w:left="113" w:right="113"/>
        <w:rPr>
          <w:rFonts w:eastAsia="Calibri" w:cs="Times New Roman"/>
          <w:b/>
        </w:rPr>
      </w:pPr>
    </w:p>
    <w:p w:rsidR="00DC1275" w:rsidRDefault="00DC1275" w:rsidP="00DC1275">
      <w:pPr>
        <w:ind w:left="113" w:right="113"/>
        <w:rPr>
          <w:rFonts w:eastAsia="Calibri" w:cs="Times New Roman"/>
          <w:b/>
        </w:rPr>
      </w:pPr>
    </w:p>
    <w:p w:rsidR="00DC1275" w:rsidRPr="00FB79CD" w:rsidRDefault="00DC1275" w:rsidP="00DC1275">
      <w:pPr>
        <w:ind w:left="5777" w:right="113" w:firstLine="595"/>
        <w:rPr>
          <w:rFonts w:eastAsia="Calibri" w:cs="Times New Roman"/>
        </w:rPr>
      </w:pPr>
      <w:r w:rsidRPr="00FB79CD">
        <w:rPr>
          <w:rFonts w:eastAsia="Calibri" w:cs="Times New Roman"/>
        </w:rPr>
        <w:t>Magdaléna Struhárová</w:t>
      </w:r>
    </w:p>
    <w:p w:rsidR="00DC1275" w:rsidRDefault="00DC1275" w:rsidP="00DC1275">
      <w:pPr>
        <w:spacing w:after="200" w:line="276" w:lineRule="auto"/>
        <w:jc w:val="left"/>
      </w:pPr>
      <w:r>
        <w:br w:type="page"/>
      </w: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Pr="000C7947" w:rsidRDefault="00DC1275" w:rsidP="00DC1275">
      <w:pPr>
        <w:rPr>
          <w:rFonts w:cs="Times New Roman"/>
        </w:rPr>
      </w:pPr>
    </w:p>
    <w:p w:rsidR="00DC1275" w:rsidRDefault="00DC1275" w:rsidP="00DC1275">
      <w:pPr>
        <w:rPr>
          <w:rFonts w:cs="Times New Roman"/>
        </w:rPr>
      </w:pPr>
    </w:p>
    <w:p w:rsidR="00DC1275" w:rsidRPr="000C7947" w:rsidRDefault="00DC1275" w:rsidP="00DC1275">
      <w:pPr>
        <w:rPr>
          <w:rFonts w:cs="Times New Roman"/>
        </w:rPr>
      </w:pPr>
    </w:p>
    <w:p w:rsidR="00DC1275" w:rsidRPr="000C7947" w:rsidRDefault="00DC1275" w:rsidP="00DC1275">
      <w:pPr>
        <w:rPr>
          <w:rFonts w:cs="Times New Roman"/>
        </w:rPr>
      </w:pPr>
    </w:p>
    <w:p w:rsidR="00DC1275" w:rsidRPr="000C7947" w:rsidRDefault="00DC1275" w:rsidP="00DC1275">
      <w:pPr>
        <w:autoSpaceDE w:val="0"/>
        <w:autoSpaceDN w:val="0"/>
        <w:adjustRightInd w:val="0"/>
        <w:ind w:firstLine="708"/>
        <w:rPr>
          <w:rFonts w:cs="Times New Roman"/>
          <w:szCs w:val="24"/>
        </w:rPr>
      </w:pPr>
      <w:r>
        <w:rPr>
          <w:rFonts w:cs="Times New Roman"/>
          <w:szCs w:val="24"/>
        </w:rPr>
        <w:t>Prehlasujem, že som diplomovú</w:t>
      </w:r>
      <w:r w:rsidRPr="000C7947">
        <w:rPr>
          <w:rFonts w:cs="Times New Roman"/>
          <w:szCs w:val="24"/>
        </w:rPr>
        <w:t xml:space="preserve"> prácu na tému Individuálna sťažnosť </w:t>
      </w:r>
      <w:r>
        <w:rPr>
          <w:rFonts w:cs="Times New Roman"/>
          <w:szCs w:val="24"/>
        </w:rPr>
        <w:t xml:space="preserve">na porušenie ľudských práv </w:t>
      </w:r>
      <w:r w:rsidRPr="000C7947">
        <w:rPr>
          <w:rFonts w:cs="Times New Roman"/>
          <w:szCs w:val="24"/>
        </w:rPr>
        <w:t xml:space="preserve">na základe Európskeho dohovoru o ochrane ľudských práv a základných slobôd </w:t>
      </w:r>
      <w:r>
        <w:rPr>
          <w:rFonts w:cs="Times New Roman"/>
          <w:szCs w:val="24"/>
        </w:rPr>
        <w:t>pred Európskym súdom</w:t>
      </w:r>
      <w:r w:rsidRPr="000C7947">
        <w:rPr>
          <w:rFonts w:cs="Times New Roman"/>
          <w:szCs w:val="24"/>
        </w:rPr>
        <w:t xml:space="preserve"> pre ľudské práva vypracovala samostatne a citovala som všetky použité zdroje.</w:t>
      </w:r>
    </w:p>
    <w:p w:rsidR="00DC1275" w:rsidRPr="000C7947" w:rsidRDefault="00DC1275" w:rsidP="00DC1275">
      <w:pPr>
        <w:rPr>
          <w:rFonts w:cs="Times New Roman"/>
          <w:szCs w:val="24"/>
        </w:rPr>
      </w:pPr>
    </w:p>
    <w:p w:rsidR="00DC1275" w:rsidRPr="000C7947" w:rsidRDefault="00DC1275" w:rsidP="00DC1275">
      <w:pPr>
        <w:rPr>
          <w:rFonts w:cs="Times New Roman"/>
          <w:szCs w:val="24"/>
        </w:rPr>
      </w:pPr>
    </w:p>
    <w:p w:rsidR="00DC1275" w:rsidRDefault="00DC1275" w:rsidP="00DC1275">
      <w:r>
        <w:rPr>
          <w:rFonts w:cs="Times New Roman"/>
          <w:szCs w:val="24"/>
        </w:rPr>
        <w:t>V Olomouci dňa</w:t>
      </w:r>
      <w:r w:rsidRPr="000C7947">
        <w:rPr>
          <w:rFonts w:cs="Times New Roman"/>
          <w:szCs w:val="24"/>
        </w:rPr>
        <w:t xml:space="preserve"> </w:t>
      </w:r>
      <w:r>
        <w:rPr>
          <w:rFonts w:cs="Times New Roman"/>
          <w:szCs w:val="24"/>
        </w:rPr>
        <w:t xml:space="preserve">31. 3. 2011        </w:t>
      </w:r>
      <w:r w:rsidRPr="000C7947">
        <w:rPr>
          <w:rFonts w:cs="Times New Roman"/>
          <w:szCs w:val="24"/>
        </w:rPr>
        <w:t xml:space="preserve">          </w:t>
      </w:r>
      <w:r>
        <w:rPr>
          <w:rFonts w:cs="Times New Roman"/>
          <w:szCs w:val="24"/>
        </w:rPr>
        <w:t xml:space="preserve">                                                      .................................</w:t>
      </w:r>
    </w:p>
    <w:p w:rsidR="00DC1275" w:rsidRDefault="00DC1275" w:rsidP="00DC1275">
      <w:pPr>
        <w:spacing w:after="200" w:line="276" w:lineRule="auto"/>
        <w:jc w:val="left"/>
        <w:rPr>
          <w:rFonts w:cs="Times New Roman"/>
          <w:b/>
          <w:sz w:val="28"/>
          <w:szCs w:val="24"/>
        </w:rPr>
      </w:pPr>
      <w:r>
        <w:rPr>
          <w:rFonts w:cs="Times New Roman"/>
          <w:b/>
          <w:sz w:val="28"/>
          <w:szCs w:val="24"/>
        </w:rPr>
        <w:br w:type="page"/>
      </w: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pPr>
        <w:spacing w:after="200" w:line="276" w:lineRule="auto"/>
        <w:jc w:val="left"/>
      </w:pPr>
    </w:p>
    <w:p w:rsidR="00DC1275" w:rsidRDefault="00DC1275" w:rsidP="00DC1275">
      <w:r>
        <w:t xml:space="preserve">Rada by som poďakovala Mgr. Ondrejovi </w:t>
      </w:r>
      <w:proofErr w:type="spellStart"/>
      <w:r>
        <w:t>Hamuľákovi</w:t>
      </w:r>
      <w:proofErr w:type="spellEnd"/>
      <w:r>
        <w:t xml:space="preserve"> za jeho cenné pripomienky, rady a podnety, ktoré mi pomohli pri spracovaní zvolenej témy. </w:t>
      </w:r>
    </w:p>
    <w:p w:rsidR="00DC1275" w:rsidRDefault="00DC1275" w:rsidP="00DC1275"/>
    <w:p w:rsidR="00DC1275" w:rsidRDefault="00DC1275" w:rsidP="00DC1275">
      <w:r>
        <w:t>Veľké poďakovanie patrí aj mojim rodičom za všetku podporu a pomoc, nielen počas štúdia.</w:t>
      </w:r>
    </w:p>
    <w:p w:rsidR="00DC1275" w:rsidRDefault="00DC1275" w:rsidP="00DC1275">
      <w:pPr>
        <w:jc w:val="center"/>
        <w:rPr>
          <w:rFonts w:cs="Times New Roman"/>
          <w:b/>
          <w:sz w:val="28"/>
          <w:szCs w:val="24"/>
        </w:rPr>
      </w:pPr>
    </w:p>
    <w:sdt>
      <w:sdtPr>
        <w:rPr>
          <w:rFonts w:ascii="Times New Roman" w:eastAsiaTheme="minorHAnsi" w:hAnsi="Times New Roman" w:cstheme="minorBidi"/>
          <w:b w:val="0"/>
          <w:bCs w:val="0"/>
          <w:color w:val="auto"/>
          <w:sz w:val="24"/>
          <w:szCs w:val="22"/>
        </w:rPr>
        <w:id w:val="64305360"/>
        <w:docPartObj>
          <w:docPartGallery w:val="Table of Contents"/>
          <w:docPartUnique/>
        </w:docPartObj>
      </w:sdtPr>
      <w:sdtContent>
        <w:p w:rsidR="00DC1275" w:rsidRDefault="00DC1275" w:rsidP="00DC1275">
          <w:pPr>
            <w:pStyle w:val="Hlavikaobsahu"/>
          </w:pPr>
          <w:r w:rsidRPr="00686049">
            <w:rPr>
              <w:rStyle w:val="Nadpis1Char"/>
              <w:b/>
              <w:color w:val="auto"/>
            </w:rPr>
            <w:t>Obsah</w:t>
          </w:r>
        </w:p>
        <w:p w:rsidR="00DC1275" w:rsidRDefault="00DC1275" w:rsidP="00DC1275">
          <w:pPr>
            <w:pStyle w:val="Obsah3"/>
            <w:rPr>
              <w:rFonts w:asciiTheme="minorHAnsi" w:eastAsiaTheme="minorEastAsia" w:hAnsiTheme="minorHAnsi"/>
              <w:sz w:val="22"/>
              <w:lang w:eastAsia="sk-SK"/>
            </w:rPr>
          </w:pPr>
          <w:r w:rsidRPr="00FE5396">
            <w:fldChar w:fldCharType="begin"/>
          </w:r>
          <w:r>
            <w:instrText xml:space="preserve"> TOC \o "1-3" \h \z \u </w:instrText>
          </w:r>
          <w:r w:rsidRPr="00FE5396">
            <w:fldChar w:fldCharType="separate"/>
          </w:r>
        </w:p>
        <w:p w:rsidR="00DC1275" w:rsidRPr="00652FF1" w:rsidRDefault="00DC1275" w:rsidP="00DC1275">
          <w:pPr>
            <w:pStyle w:val="Obsah1"/>
            <w:rPr>
              <w:rFonts w:asciiTheme="minorHAnsi" w:eastAsiaTheme="minorEastAsia" w:hAnsiTheme="minorHAnsi"/>
              <w:noProof/>
              <w:sz w:val="22"/>
              <w:lang w:eastAsia="sk-SK"/>
            </w:rPr>
          </w:pPr>
          <w:hyperlink w:anchor="_Toc289299918" w:history="1">
            <w:r w:rsidRPr="0094464C">
              <w:rPr>
                <w:rStyle w:val="Hypertextovprepojenie"/>
                <w:noProof/>
              </w:rPr>
              <w:t>ÚVOD</w:t>
            </w:r>
            <w:r w:rsidRPr="00652FF1">
              <w:rPr>
                <w:noProof/>
                <w:webHidden/>
              </w:rPr>
              <w:tab/>
            </w:r>
            <w:r w:rsidRPr="00652FF1">
              <w:rPr>
                <w:noProof/>
                <w:webHidden/>
              </w:rPr>
              <w:fldChar w:fldCharType="begin"/>
            </w:r>
            <w:r w:rsidRPr="00652FF1">
              <w:rPr>
                <w:noProof/>
                <w:webHidden/>
              </w:rPr>
              <w:instrText xml:space="preserve"> PAGEREF _Toc289299918 \h </w:instrText>
            </w:r>
            <w:r w:rsidRPr="00652FF1">
              <w:rPr>
                <w:noProof/>
                <w:webHidden/>
              </w:rPr>
            </w:r>
            <w:r w:rsidRPr="00652FF1">
              <w:rPr>
                <w:noProof/>
                <w:webHidden/>
              </w:rPr>
              <w:fldChar w:fldCharType="separate"/>
            </w:r>
            <w:r>
              <w:rPr>
                <w:noProof/>
                <w:webHidden/>
              </w:rPr>
              <w:t>7</w:t>
            </w:r>
            <w:r w:rsidRPr="00652FF1">
              <w:rPr>
                <w:noProof/>
                <w:webHidden/>
              </w:rPr>
              <w:fldChar w:fldCharType="end"/>
            </w:r>
          </w:hyperlink>
        </w:p>
        <w:p w:rsidR="00DC1275" w:rsidRDefault="00DC1275" w:rsidP="00DC1275">
          <w:pPr>
            <w:pStyle w:val="Obsah1"/>
            <w:rPr>
              <w:rFonts w:asciiTheme="minorHAnsi" w:eastAsiaTheme="minorEastAsia" w:hAnsiTheme="minorHAnsi"/>
              <w:noProof/>
              <w:sz w:val="22"/>
              <w:lang w:eastAsia="sk-SK"/>
            </w:rPr>
          </w:pPr>
          <w:hyperlink w:anchor="_Toc289299919" w:history="1">
            <w:r w:rsidRPr="00B2258B">
              <w:rPr>
                <w:rStyle w:val="Hypertextovprepojenie"/>
                <w:rFonts w:cs="Times New Roman"/>
                <w:noProof/>
              </w:rPr>
              <w:t>1.</w:t>
            </w:r>
            <w:r>
              <w:rPr>
                <w:rFonts w:asciiTheme="minorHAnsi" w:eastAsiaTheme="minorEastAsia" w:hAnsiTheme="minorHAnsi"/>
                <w:noProof/>
                <w:sz w:val="22"/>
                <w:lang w:eastAsia="sk-SK"/>
              </w:rPr>
              <w:tab/>
            </w:r>
            <w:r w:rsidRPr="00B2258B">
              <w:rPr>
                <w:rStyle w:val="Hypertextovprepojenie"/>
                <w:rFonts w:cs="Times New Roman"/>
                <w:noProof/>
              </w:rPr>
              <w:t>ĽUDSKÉ PRÁVA A ROZMANITÉ SPÔSOBY ICH OCHRANY</w:t>
            </w:r>
            <w:r>
              <w:rPr>
                <w:noProof/>
                <w:webHidden/>
              </w:rPr>
              <w:tab/>
            </w:r>
            <w:r>
              <w:rPr>
                <w:noProof/>
                <w:webHidden/>
              </w:rPr>
              <w:fldChar w:fldCharType="begin"/>
            </w:r>
            <w:r>
              <w:rPr>
                <w:noProof/>
                <w:webHidden/>
              </w:rPr>
              <w:instrText xml:space="preserve"> PAGEREF _Toc289299919 \h </w:instrText>
            </w:r>
            <w:r>
              <w:rPr>
                <w:noProof/>
                <w:webHidden/>
              </w:rPr>
            </w:r>
            <w:r>
              <w:rPr>
                <w:noProof/>
                <w:webHidden/>
              </w:rPr>
              <w:fldChar w:fldCharType="separate"/>
            </w:r>
            <w:r>
              <w:rPr>
                <w:noProof/>
                <w:webHidden/>
              </w:rPr>
              <w:t>9</w:t>
            </w:r>
            <w:r>
              <w:rPr>
                <w:noProof/>
                <w:webHidden/>
              </w:rPr>
              <w:fldChar w:fldCharType="end"/>
            </w:r>
          </w:hyperlink>
        </w:p>
        <w:p w:rsidR="00DC1275" w:rsidRDefault="00DC1275" w:rsidP="00DC1275">
          <w:pPr>
            <w:pStyle w:val="Obsah2"/>
            <w:tabs>
              <w:tab w:val="left" w:pos="880"/>
              <w:tab w:val="right" w:leader="dot" w:pos="9062"/>
            </w:tabs>
            <w:rPr>
              <w:rFonts w:asciiTheme="minorHAnsi" w:eastAsiaTheme="minorEastAsia" w:hAnsiTheme="minorHAnsi"/>
              <w:noProof/>
              <w:sz w:val="22"/>
              <w:lang w:eastAsia="sk-SK"/>
            </w:rPr>
          </w:pPr>
          <w:hyperlink w:anchor="_Toc289299920" w:history="1">
            <w:r w:rsidRPr="00B2258B">
              <w:rPr>
                <w:rStyle w:val="Hypertextovprepojenie"/>
                <w:rFonts w:cs="Times New Roman"/>
                <w:noProof/>
              </w:rPr>
              <w:t>1.1.</w:t>
            </w:r>
            <w:r>
              <w:rPr>
                <w:rFonts w:asciiTheme="minorHAnsi" w:eastAsiaTheme="minorEastAsia" w:hAnsiTheme="minorHAnsi"/>
                <w:noProof/>
                <w:sz w:val="22"/>
                <w:lang w:eastAsia="sk-SK"/>
              </w:rPr>
              <w:tab/>
            </w:r>
            <w:r w:rsidRPr="00B2258B">
              <w:rPr>
                <w:rStyle w:val="Hypertextovprepojenie"/>
                <w:rFonts w:cs="Times New Roman"/>
                <w:noProof/>
              </w:rPr>
              <w:t>Úvod do teórie ľudských práv</w:t>
            </w:r>
            <w:r>
              <w:rPr>
                <w:noProof/>
                <w:webHidden/>
              </w:rPr>
              <w:tab/>
            </w:r>
            <w:r>
              <w:rPr>
                <w:noProof/>
                <w:webHidden/>
              </w:rPr>
              <w:fldChar w:fldCharType="begin"/>
            </w:r>
            <w:r>
              <w:rPr>
                <w:noProof/>
                <w:webHidden/>
              </w:rPr>
              <w:instrText xml:space="preserve"> PAGEREF _Toc289299920 \h </w:instrText>
            </w:r>
            <w:r>
              <w:rPr>
                <w:noProof/>
                <w:webHidden/>
              </w:rPr>
            </w:r>
            <w:r>
              <w:rPr>
                <w:noProof/>
                <w:webHidden/>
              </w:rPr>
              <w:fldChar w:fldCharType="separate"/>
            </w:r>
            <w:r>
              <w:rPr>
                <w:noProof/>
                <w:webHidden/>
              </w:rPr>
              <w:t>9</w:t>
            </w:r>
            <w:r>
              <w:rPr>
                <w:noProof/>
                <w:webHidden/>
              </w:rPr>
              <w:fldChar w:fldCharType="end"/>
            </w:r>
          </w:hyperlink>
        </w:p>
        <w:p w:rsidR="00DC1275" w:rsidRDefault="00DC1275" w:rsidP="00DC1275">
          <w:pPr>
            <w:pStyle w:val="Obsah2"/>
            <w:tabs>
              <w:tab w:val="left" w:pos="880"/>
              <w:tab w:val="right" w:leader="dot" w:pos="9062"/>
            </w:tabs>
            <w:rPr>
              <w:rFonts w:asciiTheme="minorHAnsi" w:eastAsiaTheme="minorEastAsia" w:hAnsiTheme="minorHAnsi"/>
              <w:noProof/>
              <w:sz w:val="22"/>
              <w:lang w:eastAsia="sk-SK"/>
            </w:rPr>
          </w:pPr>
          <w:hyperlink w:anchor="_Toc289299921" w:history="1">
            <w:r w:rsidRPr="00B2258B">
              <w:rPr>
                <w:rStyle w:val="Hypertextovprepojenie"/>
                <w:rFonts w:cs="Times New Roman"/>
                <w:noProof/>
              </w:rPr>
              <w:t>1.2.</w:t>
            </w:r>
            <w:r>
              <w:rPr>
                <w:rFonts w:asciiTheme="minorHAnsi" w:eastAsiaTheme="minorEastAsia" w:hAnsiTheme="minorHAnsi"/>
                <w:noProof/>
                <w:sz w:val="22"/>
                <w:lang w:eastAsia="sk-SK"/>
              </w:rPr>
              <w:tab/>
            </w:r>
            <w:r w:rsidRPr="00B2258B">
              <w:rPr>
                <w:rStyle w:val="Hypertextovprepojenie"/>
                <w:rFonts w:cs="Times New Roman"/>
                <w:noProof/>
              </w:rPr>
              <w:t>Systémy ochrany ľudských práv</w:t>
            </w:r>
            <w:r>
              <w:rPr>
                <w:noProof/>
                <w:webHidden/>
              </w:rPr>
              <w:tab/>
            </w:r>
            <w:r>
              <w:rPr>
                <w:noProof/>
                <w:webHidden/>
              </w:rPr>
              <w:fldChar w:fldCharType="begin"/>
            </w:r>
            <w:r>
              <w:rPr>
                <w:noProof/>
                <w:webHidden/>
              </w:rPr>
              <w:instrText xml:space="preserve"> PAGEREF _Toc289299921 \h </w:instrText>
            </w:r>
            <w:r>
              <w:rPr>
                <w:noProof/>
                <w:webHidden/>
              </w:rPr>
            </w:r>
            <w:r>
              <w:rPr>
                <w:noProof/>
                <w:webHidden/>
              </w:rPr>
              <w:fldChar w:fldCharType="separate"/>
            </w:r>
            <w:r>
              <w:rPr>
                <w:noProof/>
                <w:webHidden/>
              </w:rPr>
              <w:t>10</w:t>
            </w:r>
            <w:r>
              <w:rPr>
                <w:noProof/>
                <w:webHidden/>
              </w:rPr>
              <w:fldChar w:fldCharType="end"/>
            </w:r>
          </w:hyperlink>
        </w:p>
        <w:p w:rsidR="00DC1275" w:rsidRDefault="00DC1275" w:rsidP="00DC1275">
          <w:pPr>
            <w:pStyle w:val="Obsah1"/>
            <w:rPr>
              <w:rFonts w:asciiTheme="minorHAnsi" w:eastAsiaTheme="minorEastAsia" w:hAnsiTheme="minorHAnsi"/>
              <w:noProof/>
              <w:sz w:val="22"/>
              <w:lang w:eastAsia="sk-SK"/>
            </w:rPr>
          </w:pPr>
          <w:hyperlink w:anchor="_Toc289299922" w:history="1">
            <w:r w:rsidRPr="00B2258B">
              <w:rPr>
                <w:rStyle w:val="Hypertextovprepojenie"/>
                <w:noProof/>
              </w:rPr>
              <w:t>2.</w:t>
            </w:r>
            <w:r>
              <w:rPr>
                <w:rFonts w:asciiTheme="minorHAnsi" w:eastAsiaTheme="minorEastAsia" w:hAnsiTheme="minorHAnsi"/>
                <w:noProof/>
                <w:sz w:val="22"/>
                <w:lang w:eastAsia="sk-SK"/>
              </w:rPr>
              <w:tab/>
            </w:r>
            <w:r w:rsidRPr="00B2258B">
              <w:rPr>
                <w:rStyle w:val="Hypertextovprepojenie"/>
                <w:noProof/>
              </w:rPr>
              <w:t>EURÓPSKY DOHOVOR O OCHRANE ĽUDSKÝCH PRÁV A ZÁKLADNÝCH SLOBÔD</w:t>
            </w:r>
            <w:r>
              <w:rPr>
                <w:noProof/>
                <w:webHidden/>
              </w:rPr>
              <w:tab/>
            </w:r>
            <w:r>
              <w:rPr>
                <w:noProof/>
                <w:webHidden/>
              </w:rPr>
              <w:fldChar w:fldCharType="begin"/>
            </w:r>
            <w:r>
              <w:rPr>
                <w:noProof/>
                <w:webHidden/>
              </w:rPr>
              <w:instrText xml:space="preserve"> PAGEREF _Toc289299922 \h </w:instrText>
            </w:r>
            <w:r>
              <w:rPr>
                <w:noProof/>
                <w:webHidden/>
              </w:rPr>
            </w:r>
            <w:r>
              <w:rPr>
                <w:noProof/>
                <w:webHidden/>
              </w:rPr>
              <w:fldChar w:fldCharType="separate"/>
            </w:r>
            <w:r>
              <w:rPr>
                <w:noProof/>
                <w:webHidden/>
              </w:rPr>
              <w:t>14</w:t>
            </w:r>
            <w:r>
              <w:rPr>
                <w:noProof/>
                <w:webHidden/>
              </w:rPr>
              <w:fldChar w:fldCharType="end"/>
            </w:r>
          </w:hyperlink>
        </w:p>
        <w:p w:rsidR="00DC1275" w:rsidRDefault="00DC1275" w:rsidP="00DC1275">
          <w:pPr>
            <w:pStyle w:val="Obsah2"/>
            <w:tabs>
              <w:tab w:val="left" w:pos="880"/>
              <w:tab w:val="right" w:leader="dot" w:pos="9062"/>
            </w:tabs>
            <w:rPr>
              <w:rFonts w:asciiTheme="minorHAnsi" w:eastAsiaTheme="minorEastAsia" w:hAnsiTheme="minorHAnsi"/>
              <w:noProof/>
              <w:sz w:val="22"/>
              <w:lang w:eastAsia="sk-SK"/>
            </w:rPr>
          </w:pPr>
          <w:hyperlink w:anchor="_Toc289299923" w:history="1">
            <w:r w:rsidRPr="00B2258B">
              <w:rPr>
                <w:rStyle w:val="Hypertextovprepojenie"/>
                <w:rFonts w:cs="Times New Roman"/>
                <w:noProof/>
                <w:snapToGrid w:val="0"/>
                <w:w w:val="0"/>
              </w:rPr>
              <w:t>2.1.</w:t>
            </w:r>
            <w:r>
              <w:rPr>
                <w:rFonts w:asciiTheme="minorHAnsi" w:eastAsiaTheme="minorEastAsia" w:hAnsiTheme="minorHAnsi"/>
                <w:noProof/>
                <w:sz w:val="22"/>
                <w:lang w:eastAsia="sk-SK"/>
              </w:rPr>
              <w:tab/>
            </w:r>
            <w:r w:rsidRPr="00B2258B">
              <w:rPr>
                <w:rStyle w:val="Hypertextovprepojenie"/>
                <w:noProof/>
              </w:rPr>
              <w:t>Formovanie potreby ľudsko-právneho dokumentu</w:t>
            </w:r>
            <w:r>
              <w:rPr>
                <w:noProof/>
                <w:webHidden/>
              </w:rPr>
              <w:tab/>
            </w:r>
            <w:r>
              <w:rPr>
                <w:noProof/>
                <w:webHidden/>
              </w:rPr>
              <w:fldChar w:fldCharType="begin"/>
            </w:r>
            <w:r>
              <w:rPr>
                <w:noProof/>
                <w:webHidden/>
              </w:rPr>
              <w:instrText xml:space="preserve"> PAGEREF _Toc289299923 \h </w:instrText>
            </w:r>
            <w:r>
              <w:rPr>
                <w:noProof/>
                <w:webHidden/>
              </w:rPr>
            </w:r>
            <w:r>
              <w:rPr>
                <w:noProof/>
                <w:webHidden/>
              </w:rPr>
              <w:fldChar w:fldCharType="separate"/>
            </w:r>
            <w:r>
              <w:rPr>
                <w:noProof/>
                <w:webHidden/>
              </w:rPr>
              <w:t>14</w:t>
            </w:r>
            <w:r>
              <w:rPr>
                <w:noProof/>
                <w:webHidden/>
              </w:rPr>
              <w:fldChar w:fldCharType="end"/>
            </w:r>
          </w:hyperlink>
        </w:p>
        <w:p w:rsidR="00DC1275" w:rsidRDefault="00DC1275" w:rsidP="00DC1275">
          <w:pPr>
            <w:pStyle w:val="Obsah2"/>
            <w:tabs>
              <w:tab w:val="left" w:pos="880"/>
              <w:tab w:val="right" w:leader="dot" w:pos="9062"/>
            </w:tabs>
            <w:rPr>
              <w:rFonts w:asciiTheme="minorHAnsi" w:eastAsiaTheme="minorEastAsia" w:hAnsiTheme="minorHAnsi"/>
              <w:noProof/>
              <w:sz w:val="22"/>
              <w:lang w:eastAsia="sk-SK"/>
            </w:rPr>
          </w:pPr>
          <w:hyperlink w:anchor="_Toc289299924" w:history="1">
            <w:r w:rsidRPr="00B2258B">
              <w:rPr>
                <w:rStyle w:val="Hypertextovprepojenie"/>
                <w:rFonts w:cs="Times New Roman"/>
                <w:noProof/>
                <w:snapToGrid w:val="0"/>
                <w:w w:val="0"/>
              </w:rPr>
              <w:t>2.2.</w:t>
            </w:r>
            <w:r>
              <w:rPr>
                <w:rFonts w:asciiTheme="minorHAnsi" w:eastAsiaTheme="minorEastAsia" w:hAnsiTheme="minorHAnsi"/>
                <w:noProof/>
                <w:sz w:val="22"/>
                <w:lang w:eastAsia="sk-SK"/>
              </w:rPr>
              <w:tab/>
            </w:r>
            <w:r w:rsidRPr="00B2258B">
              <w:rPr>
                <w:rStyle w:val="Hypertextovprepojenie"/>
                <w:rFonts w:cs="Times New Roman"/>
                <w:noProof/>
              </w:rPr>
              <w:t>Štruktúra a obsah Dohovoru</w:t>
            </w:r>
            <w:r>
              <w:rPr>
                <w:noProof/>
                <w:webHidden/>
              </w:rPr>
              <w:tab/>
            </w:r>
            <w:r>
              <w:rPr>
                <w:noProof/>
                <w:webHidden/>
              </w:rPr>
              <w:fldChar w:fldCharType="begin"/>
            </w:r>
            <w:r>
              <w:rPr>
                <w:noProof/>
                <w:webHidden/>
              </w:rPr>
              <w:instrText xml:space="preserve"> PAGEREF _Toc289299924 \h </w:instrText>
            </w:r>
            <w:r>
              <w:rPr>
                <w:noProof/>
                <w:webHidden/>
              </w:rPr>
            </w:r>
            <w:r>
              <w:rPr>
                <w:noProof/>
                <w:webHidden/>
              </w:rPr>
              <w:fldChar w:fldCharType="separate"/>
            </w:r>
            <w:r>
              <w:rPr>
                <w:noProof/>
                <w:webHidden/>
              </w:rPr>
              <w:t>15</w:t>
            </w:r>
            <w:r>
              <w:rPr>
                <w:noProof/>
                <w:webHidden/>
              </w:rPr>
              <w:fldChar w:fldCharType="end"/>
            </w:r>
          </w:hyperlink>
        </w:p>
        <w:p w:rsidR="00DC1275" w:rsidRDefault="00DC1275" w:rsidP="00DC1275">
          <w:pPr>
            <w:pStyle w:val="Obsah2"/>
            <w:tabs>
              <w:tab w:val="left" w:pos="880"/>
              <w:tab w:val="right" w:leader="dot" w:pos="9062"/>
            </w:tabs>
            <w:rPr>
              <w:rFonts w:asciiTheme="minorHAnsi" w:eastAsiaTheme="minorEastAsia" w:hAnsiTheme="minorHAnsi"/>
              <w:noProof/>
              <w:sz w:val="22"/>
              <w:lang w:eastAsia="sk-SK"/>
            </w:rPr>
          </w:pPr>
          <w:hyperlink w:anchor="_Toc289299925" w:history="1">
            <w:r w:rsidRPr="00B2258B">
              <w:rPr>
                <w:rStyle w:val="Hypertextovprepojenie"/>
                <w:rFonts w:cs="Times New Roman"/>
                <w:noProof/>
                <w:snapToGrid w:val="0"/>
                <w:w w:val="0"/>
              </w:rPr>
              <w:t>2.3.</w:t>
            </w:r>
            <w:r>
              <w:rPr>
                <w:rFonts w:asciiTheme="minorHAnsi" w:eastAsiaTheme="minorEastAsia" w:hAnsiTheme="minorHAnsi"/>
                <w:noProof/>
                <w:sz w:val="22"/>
                <w:lang w:eastAsia="sk-SK"/>
              </w:rPr>
              <w:tab/>
            </w:r>
            <w:r w:rsidRPr="00B2258B">
              <w:rPr>
                <w:rStyle w:val="Hypertextovprepojenie"/>
                <w:noProof/>
              </w:rPr>
              <w:t>Rozsah aplikácie Dohovoru a jeho protokolov</w:t>
            </w:r>
            <w:r>
              <w:rPr>
                <w:noProof/>
                <w:webHidden/>
              </w:rPr>
              <w:tab/>
            </w:r>
            <w:r>
              <w:rPr>
                <w:noProof/>
                <w:webHidden/>
              </w:rPr>
              <w:fldChar w:fldCharType="begin"/>
            </w:r>
            <w:r>
              <w:rPr>
                <w:noProof/>
                <w:webHidden/>
              </w:rPr>
              <w:instrText xml:space="preserve"> PAGEREF _Toc289299925 \h </w:instrText>
            </w:r>
            <w:r>
              <w:rPr>
                <w:noProof/>
                <w:webHidden/>
              </w:rPr>
            </w:r>
            <w:r>
              <w:rPr>
                <w:noProof/>
                <w:webHidden/>
              </w:rPr>
              <w:fldChar w:fldCharType="separate"/>
            </w:r>
            <w:r>
              <w:rPr>
                <w:noProof/>
                <w:webHidden/>
              </w:rPr>
              <w:t>16</w:t>
            </w:r>
            <w:r>
              <w:rPr>
                <w:noProof/>
                <w:webHidden/>
              </w:rPr>
              <w:fldChar w:fldCharType="end"/>
            </w:r>
          </w:hyperlink>
        </w:p>
        <w:p w:rsidR="00DC1275" w:rsidRPr="00652FF1" w:rsidRDefault="00DC1275" w:rsidP="00DC1275">
          <w:pPr>
            <w:pStyle w:val="Obsah2"/>
            <w:tabs>
              <w:tab w:val="left" w:pos="1100"/>
              <w:tab w:val="right" w:leader="dot" w:pos="9062"/>
            </w:tabs>
            <w:rPr>
              <w:rFonts w:asciiTheme="minorHAnsi" w:eastAsiaTheme="minorEastAsia" w:hAnsiTheme="minorHAnsi"/>
              <w:i/>
              <w:noProof/>
              <w:sz w:val="22"/>
              <w:lang w:eastAsia="sk-SK"/>
            </w:rPr>
          </w:pPr>
          <w:r w:rsidRPr="00652FF1">
            <w:rPr>
              <w:rStyle w:val="Hypertextovprepojenie"/>
              <w:i/>
              <w:noProof/>
              <w:u w:val="none"/>
            </w:rPr>
            <w:t xml:space="preserve">    </w:t>
          </w:r>
          <w:hyperlink w:anchor="_Toc289299926" w:history="1">
            <w:r w:rsidRPr="00652FF1">
              <w:rPr>
                <w:rStyle w:val="Hypertextovprepojenie"/>
                <w:i/>
                <w:noProof/>
              </w:rPr>
              <w:t>2.3.1.</w:t>
            </w:r>
            <w:r w:rsidRPr="00652FF1">
              <w:rPr>
                <w:rFonts w:asciiTheme="minorHAnsi" w:eastAsiaTheme="minorEastAsia" w:hAnsiTheme="minorHAnsi"/>
                <w:i/>
                <w:noProof/>
                <w:sz w:val="22"/>
                <w:lang w:eastAsia="sk-SK"/>
              </w:rPr>
              <w:tab/>
              <w:t xml:space="preserve">    </w:t>
            </w:r>
            <w:r w:rsidRPr="00652FF1">
              <w:rPr>
                <w:rStyle w:val="Hypertextovprepojenie"/>
                <w:i/>
                <w:noProof/>
              </w:rPr>
              <w:t>Územná aplikácia Dohovoru</w:t>
            </w:r>
            <w:r w:rsidRPr="00652FF1">
              <w:rPr>
                <w:i/>
                <w:noProof/>
                <w:webHidden/>
              </w:rPr>
              <w:tab/>
            </w:r>
            <w:r w:rsidRPr="002B54BC">
              <w:rPr>
                <w:noProof/>
                <w:webHidden/>
              </w:rPr>
              <w:fldChar w:fldCharType="begin"/>
            </w:r>
            <w:r w:rsidRPr="002B54BC">
              <w:rPr>
                <w:noProof/>
                <w:webHidden/>
              </w:rPr>
              <w:instrText xml:space="preserve"> PAGEREF _Toc289299926 \h </w:instrText>
            </w:r>
            <w:r w:rsidRPr="002B54BC">
              <w:rPr>
                <w:noProof/>
                <w:webHidden/>
              </w:rPr>
            </w:r>
            <w:r w:rsidRPr="002B54BC">
              <w:rPr>
                <w:noProof/>
                <w:webHidden/>
              </w:rPr>
              <w:fldChar w:fldCharType="separate"/>
            </w:r>
            <w:r>
              <w:rPr>
                <w:noProof/>
                <w:webHidden/>
              </w:rPr>
              <w:t>16</w:t>
            </w:r>
            <w:r w:rsidRPr="002B54BC">
              <w:rPr>
                <w:noProof/>
                <w:webHidden/>
              </w:rPr>
              <w:fldChar w:fldCharType="end"/>
            </w:r>
          </w:hyperlink>
        </w:p>
        <w:p w:rsidR="00DC1275" w:rsidRPr="00652FF1" w:rsidRDefault="00DC1275" w:rsidP="00DC1275">
          <w:pPr>
            <w:pStyle w:val="Obsah3"/>
            <w:rPr>
              <w:rFonts w:asciiTheme="minorHAnsi" w:eastAsiaTheme="minorEastAsia" w:hAnsiTheme="minorHAnsi"/>
              <w:sz w:val="22"/>
              <w:lang w:eastAsia="sk-SK"/>
            </w:rPr>
          </w:pPr>
          <w:hyperlink w:anchor="_Toc289299927" w:history="1">
            <w:r w:rsidRPr="00652FF1">
              <w:rPr>
                <w:rStyle w:val="Hypertextovprepojenie"/>
                <w:rFonts w:cs="Times New Roman"/>
              </w:rPr>
              <w:t>2.3.2.</w:t>
            </w:r>
            <w:r w:rsidRPr="00652FF1">
              <w:rPr>
                <w:rFonts w:asciiTheme="minorHAnsi" w:eastAsiaTheme="minorEastAsia" w:hAnsiTheme="minorHAnsi"/>
                <w:sz w:val="22"/>
                <w:lang w:eastAsia="sk-SK"/>
              </w:rPr>
              <w:tab/>
            </w:r>
            <w:r w:rsidRPr="00652FF1">
              <w:rPr>
                <w:rStyle w:val="Hypertextovprepojenie"/>
                <w:rFonts w:cs="Times New Roman"/>
              </w:rPr>
              <w:t>Vecná aplikácia Dohovoru</w:t>
            </w:r>
            <w:r w:rsidRPr="00652FF1">
              <w:rPr>
                <w:webHidden/>
              </w:rPr>
              <w:tab/>
            </w:r>
            <w:r w:rsidRPr="002B54BC">
              <w:rPr>
                <w:i w:val="0"/>
                <w:webHidden/>
              </w:rPr>
              <w:fldChar w:fldCharType="begin"/>
            </w:r>
            <w:r w:rsidRPr="002B54BC">
              <w:rPr>
                <w:i w:val="0"/>
                <w:webHidden/>
              </w:rPr>
              <w:instrText xml:space="preserve"> PAGEREF _Toc289299927 \h </w:instrText>
            </w:r>
            <w:r w:rsidRPr="002B54BC">
              <w:rPr>
                <w:i w:val="0"/>
                <w:webHidden/>
              </w:rPr>
            </w:r>
            <w:r w:rsidRPr="002B54BC">
              <w:rPr>
                <w:i w:val="0"/>
                <w:webHidden/>
              </w:rPr>
              <w:fldChar w:fldCharType="separate"/>
            </w:r>
            <w:r>
              <w:rPr>
                <w:i w:val="0"/>
                <w:webHidden/>
              </w:rPr>
              <w:t>16</w:t>
            </w:r>
            <w:r w:rsidRPr="002B54BC">
              <w:rPr>
                <w:i w:val="0"/>
                <w:webHidden/>
              </w:rPr>
              <w:fldChar w:fldCharType="end"/>
            </w:r>
          </w:hyperlink>
        </w:p>
        <w:p w:rsidR="00DC1275" w:rsidRPr="00652FF1" w:rsidRDefault="00DC1275" w:rsidP="00DC1275">
          <w:pPr>
            <w:pStyle w:val="Obsah3"/>
            <w:rPr>
              <w:rFonts w:asciiTheme="minorHAnsi" w:eastAsiaTheme="minorEastAsia" w:hAnsiTheme="minorHAnsi"/>
              <w:sz w:val="22"/>
              <w:lang w:eastAsia="sk-SK"/>
            </w:rPr>
          </w:pPr>
          <w:hyperlink w:anchor="_Toc289299928" w:history="1">
            <w:r w:rsidRPr="00652FF1">
              <w:rPr>
                <w:rStyle w:val="Hypertextovprepojenie"/>
              </w:rPr>
              <w:t>2.3.3.</w:t>
            </w:r>
            <w:r w:rsidRPr="00652FF1">
              <w:rPr>
                <w:rFonts w:asciiTheme="minorHAnsi" w:eastAsiaTheme="minorEastAsia" w:hAnsiTheme="minorHAnsi"/>
                <w:sz w:val="22"/>
                <w:lang w:eastAsia="sk-SK"/>
              </w:rPr>
              <w:tab/>
            </w:r>
            <w:r w:rsidRPr="00652FF1">
              <w:rPr>
                <w:rStyle w:val="Hypertextovprepojenie"/>
              </w:rPr>
              <w:t>Osobná aplikácia Dohovoru</w:t>
            </w:r>
            <w:r w:rsidRPr="00652FF1">
              <w:rPr>
                <w:webHidden/>
              </w:rPr>
              <w:tab/>
            </w:r>
            <w:r w:rsidRPr="002B54BC">
              <w:rPr>
                <w:i w:val="0"/>
                <w:webHidden/>
              </w:rPr>
              <w:fldChar w:fldCharType="begin"/>
            </w:r>
            <w:r w:rsidRPr="002B54BC">
              <w:rPr>
                <w:i w:val="0"/>
                <w:webHidden/>
              </w:rPr>
              <w:instrText xml:space="preserve"> PAGEREF _Toc289299928 \h </w:instrText>
            </w:r>
            <w:r w:rsidRPr="002B54BC">
              <w:rPr>
                <w:i w:val="0"/>
                <w:webHidden/>
              </w:rPr>
            </w:r>
            <w:r w:rsidRPr="002B54BC">
              <w:rPr>
                <w:i w:val="0"/>
                <w:webHidden/>
              </w:rPr>
              <w:fldChar w:fldCharType="separate"/>
            </w:r>
            <w:r>
              <w:rPr>
                <w:i w:val="0"/>
                <w:webHidden/>
              </w:rPr>
              <w:t>17</w:t>
            </w:r>
            <w:r w:rsidRPr="002B54BC">
              <w:rPr>
                <w:i w:val="0"/>
                <w:webHidden/>
              </w:rPr>
              <w:fldChar w:fldCharType="end"/>
            </w:r>
          </w:hyperlink>
        </w:p>
        <w:p w:rsidR="00DC1275" w:rsidRPr="00652FF1" w:rsidRDefault="00DC1275" w:rsidP="00DC1275">
          <w:pPr>
            <w:pStyle w:val="Obsah3"/>
            <w:rPr>
              <w:rFonts w:asciiTheme="minorHAnsi" w:eastAsiaTheme="minorEastAsia" w:hAnsiTheme="minorHAnsi"/>
              <w:sz w:val="22"/>
              <w:lang w:eastAsia="sk-SK"/>
            </w:rPr>
          </w:pPr>
          <w:hyperlink w:anchor="_Toc289299929" w:history="1">
            <w:r w:rsidRPr="00652FF1">
              <w:rPr>
                <w:rStyle w:val="Hypertextovprepojenie"/>
              </w:rPr>
              <w:t>2.3.4.</w:t>
            </w:r>
            <w:r w:rsidRPr="00652FF1">
              <w:rPr>
                <w:rFonts w:asciiTheme="minorHAnsi" w:eastAsiaTheme="minorEastAsia" w:hAnsiTheme="minorHAnsi"/>
                <w:sz w:val="22"/>
                <w:lang w:eastAsia="sk-SK"/>
              </w:rPr>
              <w:tab/>
            </w:r>
            <w:r w:rsidRPr="00652FF1">
              <w:rPr>
                <w:rStyle w:val="Hypertextovprepojenie"/>
              </w:rPr>
              <w:t>Časová aplikácia Dohovoru</w:t>
            </w:r>
            <w:r w:rsidRPr="00652FF1">
              <w:rPr>
                <w:webHidden/>
              </w:rPr>
              <w:tab/>
            </w:r>
            <w:r w:rsidRPr="002B54BC">
              <w:rPr>
                <w:i w:val="0"/>
                <w:webHidden/>
              </w:rPr>
              <w:fldChar w:fldCharType="begin"/>
            </w:r>
            <w:r w:rsidRPr="002B54BC">
              <w:rPr>
                <w:i w:val="0"/>
                <w:webHidden/>
              </w:rPr>
              <w:instrText xml:space="preserve"> PAGEREF _Toc289299929 \h </w:instrText>
            </w:r>
            <w:r w:rsidRPr="002B54BC">
              <w:rPr>
                <w:i w:val="0"/>
                <w:webHidden/>
              </w:rPr>
            </w:r>
            <w:r w:rsidRPr="002B54BC">
              <w:rPr>
                <w:i w:val="0"/>
                <w:webHidden/>
              </w:rPr>
              <w:fldChar w:fldCharType="separate"/>
            </w:r>
            <w:r>
              <w:rPr>
                <w:i w:val="0"/>
                <w:webHidden/>
              </w:rPr>
              <w:t>18</w:t>
            </w:r>
            <w:r w:rsidRPr="002B54BC">
              <w:rPr>
                <w:i w:val="0"/>
                <w:webHidden/>
              </w:rPr>
              <w:fldChar w:fldCharType="end"/>
            </w:r>
          </w:hyperlink>
        </w:p>
        <w:p w:rsidR="00DC1275" w:rsidRDefault="00DC1275" w:rsidP="00DC1275">
          <w:pPr>
            <w:pStyle w:val="Obsah1"/>
            <w:rPr>
              <w:rFonts w:asciiTheme="minorHAnsi" w:eastAsiaTheme="minorEastAsia" w:hAnsiTheme="minorHAnsi"/>
              <w:noProof/>
              <w:sz w:val="22"/>
              <w:lang w:eastAsia="sk-SK"/>
            </w:rPr>
          </w:pPr>
          <w:hyperlink w:anchor="_Toc289299930" w:history="1">
            <w:r w:rsidRPr="00B2258B">
              <w:rPr>
                <w:rStyle w:val="Hypertextovprepojenie"/>
                <w:noProof/>
              </w:rPr>
              <w:t>3.</w:t>
            </w:r>
            <w:r>
              <w:rPr>
                <w:rFonts w:asciiTheme="minorHAnsi" w:eastAsiaTheme="minorEastAsia" w:hAnsiTheme="minorHAnsi"/>
                <w:noProof/>
                <w:sz w:val="22"/>
                <w:lang w:eastAsia="sk-SK"/>
              </w:rPr>
              <w:tab/>
            </w:r>
            <w:r w:rsidRPr="00B2258B">
              <w:rPr>
                <w:rStyle w:val="Hypertextovprepojenie"/>
                <w:noProof/>
              </w:rPr>
              <w:t>INDIVIDUÁLNA SŤAŽNOSŤ K EURÓPSKEMU SÚDU PRE ĽUDSKÉ PRÁVA</w:t>
            </w:r>
            <w:r>
              <w:rPr>
                <w:noProof/>
                <w:webHidden/>
              </w:rPr>
              <w:tab/>
            </w:r>
            <w:r>
              <w:rPr>
                <w:noProof/>
                <w:webHidden/>
              </w:rPr>
              <w:fldChar w:fldCharType="begin"/>
            </w:r>
            <w:r>
              <w:rPr>
                <w:noProof/>
                <w:webHidden/>
              </w:rPr>
              <w:instrText xml:space="preserve"> PAGEREF _Toc289299930 \h </w:instrText>
            </w:r>
            <w:r>
              <w:rPr>
                <w:noProof/>
                <w:webHidden/>
              </w:rPr>
            </w:r>
            <w:r>
              <w:rPr>
                <w:noProof/>
                <w:webHidden/>
              </w:rPr>
              <w:fldChar w:fldCharType="separate"/>
            </w:r>
            <w:r>
              <w:rPr>
                <w:noProof/>
                <w:webHidden/>
              </w:rPr>
              <w:t>20</w:t>
            </w:r>
            <w:r>
              <w:rPr>
                <w:noProof/>
                <w:webHidden/>
              </w:rPr>
              <w:fldChar w:fldCharType="end"/>
            </w:r>
          </w:hyperlink>
        </w:p>
        <w:p w:rsidR="00DC1275" w:rsidRDefault="00DC1275" w:rsidP="00DC1275">
          <w:pPr>
            <w:pStyle w:val="Obsah2"/>
            <w:tabs>
              <w:tab w:val="left" w:pos="880"/>
              <w:tab w:val="right" w:leader="dot" w:pos="9062"/>
            </w:tabs>
            <w:rPr>
              <w:rFonts w:asciiTheme="minorHAnsi" w:eastAsiaTheme="minorEastAsia" w:hAnsiTheme="minorHAnsi"/>
              <w:noProof/>
              <w:sz w:val="22"/>
              <w:lang w:eastAsia="sk-SK"/>
            </w:rPr>
          </w:pPr>
          <w:hyperlink w:anchor="_Toc289299931" w:history="1">
            <w:r w:rsidRPr="00B2258B">
              <w:rPr>
                <w:rStyle w:val="Hypertextovprepojenie"/>
                <w:rFonts w:cs="Times New Roman"/>
                <w:noProof/>
                <w:snapToGrid w:val="0"/>
                <w:w w:val="0"/>
              </w:rPr>
              <w:t>3.1.</w:t>
            </w:r>
            <w:r>
              <w:rPr>
                <w:rFonts w:asciiTheme="minorHAnsi" w:eastAsiaTheme="minorEastAsia" w:hAnsiTheme="minorHAnsi"/>
                <w:noProof/>
                <w:sz w:val="22"/>
                <w:lang w:eastAsia="sk-SK"/>
              </w:rPr>
              <w:tab/>
            </w:r>
            <w:r w:rsidRPr="00B2258B">
              <w:rPr>
                <w:rStyle w:val="Hypertextovprepojenie"/>
                <w:noProof/>
              </w:rPr>
              <w:t>Úvod do problematiky individuálnej sťažnosti</w:t>
            </w:r>
            <w:r>
              <w:rPr>
                <w:noProof/>
                <w:webHidden/>
              </w:rPr>
              <w:tab/>
            </w:r>
            <w:r>
              <w:rPr>
                <w:noProof/>
                <w:webHidden/>
              </w:rPr>
              <w:fldChar w:fldCharType="begin"/>
            </w:r>
            <w:r>
              <w:rPr>
                <w:noProof/>
                <w:webHidden/>
              </w:rPr>
              <w:instrText xml:space="preserve"> PAGEREF _Toc289299931 \h </w:instrText>
            </w:r>
            <w:r>
              <w:rPr>
                <w:noProof/>
                <w:webHidden/>
              </w:rPr>
            </w:r>
            <w:r>
              <w:rPr>
                <w:noProof/>
                <w:webHidden/>
              </w:rPr>
              <w:fldChar w:fldCharType="separate"/>
            </w:r>
            <w:r>
              <w:rPr>
                <w:noProof/>
                <w:webHidden/>
              </w:rPr>
              <w:t>20</w:t>
            </w:r>
            <w:r>
              <w:rPr>
                <w:noProof/>
                <w:webHidden/>
              </w:rPr>
              <w:fldChar w:fldCharType="end"/>
            </w:r>
          </w:hyperlink>
        </w:p>
        <w:p w:rsidR="00DC1275" w:rsidRPr="00652FF1" w:rsidRDefault="00DC1275" w:rsidP="00DC1275">
          <w:pPr>
            <w:pStyle w:val="Obsah2"/>
            <w:tabs>
              <w:tab w:val="left" w:pos="1100"/>
              <w:tab w:val="right" w:leader="dot" w:pos="9062"/>
            </w:tabs>
            <w:rPr>
              <w:rFonts w:asciiTheme="minorHAnsi" w:eastAsiaTheme="minorEastAsia" w:hAnsiTheme="minorHAnsi"/>
              <w:i/>
              <w:noProof/>
              <w:sz w:val="22"/>
              <w:lang w:eastAsia="sk-SK"/>
            </w:rPr>
          </w:pPr>
          <w:r w:rsidRPr="00652FF1">
            <w:rPr>
              <w:rStyle w:val="Hypertextovprepojenie"/>
              <w:i/>
              <w:noProof/>
              <w:u w:val="none"/>
            </w:rPr>
            <w:t xml:space="preserve">    </w:t>
          </w:r>
          <w:hyperlink w:anchor="_Toc289299932" w:history="1">
            <w:r w:rsidRPr="00652FF1">
              <w:rPr>
                <w:rStyle w:val="Hypertextovprepojenie"/>
                <w:i/>
                <w:noProof/>
              </w:rPr>
              <w:t>3.1.1.</w:t>
            </w:r>
            <w:r w:rsidRPr="00652FF1">
              <w:rPr>
                <w:rFonts w:asciiTheme="minorHAnsi" w:eastAsiaTheme="minorEastAsia" w:hAnsiTheme="minorHAnsi"/>
                <w:i/>
                <w:noProof/>
                <w:sz w:val="22"/>
                <w:lang w:eastAsia="sk-SK"/>
              </w:rPr>
              <w:tab/>
              <w:t xml:space="preserve">    </w:t>
            </w:r>
            <w:r w:rsidRPr="00652FF1">
              <w:rPr>
                <w:rStyle w:val="Hypertextovprepojenie"/>
                <w:i/>
                <w:noProof/>
              </w:rPr>
              <w:t>Vývoj práva na podanie sťažnosti</w:t>
            </w:r>
            <w:r w:rsidRPr="00652FF1">
              <w:rPr>
                <w:i/>
                <w:noProof/>
                <w:webHidden/>
              </w:rPr>
              <w:tab/>
            </w:r>
            <w:r w:rsidRPr="002B54BC">
              <w:rPr>
                <w:noProof/>
                <w:webHidden/>
              </w:rPr>
              <w:fldChar w:fldCharType="begin"/>
            </w:r>
            <w:r w:rsidRPr="002B54BC">
              <w:rPr>
                <w:noProof/>
                <w:webHidden/>
              </w:rPr>
              <w:instrText xml:space="preserve"> PAGEREF _Toc289299932 \h </w:instrText>
            </w:r>
            <w:r w:rsidRPr="002B54BC">
              <w:rPr>
                <w:noProof/>
                <w:webHidden/>
              </w:rPr>
            </w:r>
            <w:r w:rsidRPr="002B54BC">
              <w:rPr>
                <w:noProof/>
                <w:webHidden/>
              </w:rPr>
              <w:fldChar w:fldCharType="separate"/>
            </w:r>
            <w:r>
              <w:rPr>
                <w:noProof/>
                <w:webHidden/>
              </w:rPr>
              <w:t>20</w:t>
            </w:r>
            <w:r w:rsidRPr="002B54BC">
              <w:rPr>
                <w:noProof/>
                <w:webHidden/>
              </w:rPr>
              <w:fldChar w:fldCharType="end"/>
            </w:r>
          </w:hyperlink>
        </w:p>
        <w:p w:rsidR="00DC1275" w:rsidRPr="00652FF1" w:rsidRDefault="00DC1275" w:rsidP="00DC1275">
          <w:pPr>
            <w:pStyle w:val="Obsah2"/>
            <w:tabs>
              <w:tab w:val="left" w:pos="1100"/>
              <w:tab w:val="right" w:leader="dot" w:pos="9062"/>
            </w:tabs>
            <w:rPr>
              <w:rFonts w:asciiTheme="minorHAnsi" w:eastAsiaTheme="minorEastAsia" w:hAnsiTheme="minorHAnsi"/>
              <w:i/>
              <w:noProof/>
              <w:sz w:val="22"/>
              <w:lang w:eastAsia="sk-SK"/>
            </w:rPr>
          </w:pPr>
          <w:r w:rsidRPr="00652FF1">
            <w:rPr>
              <w:rStyle w:val="Hypertextovprepojenie"/>
              <w:i/>
              <w:noProof/>
              <w:u w:val="none"/>
            </w:rPr>
            <w:t xml:space="preserve">    </w:t>
          </w:r>
          <w:hyperlink w:anchor="_Toc289299933" w:history="1">
            <w:r w:rsidRPr="00652FF1">
              <w:rPr>
                <w:rStyle w:val="Hypertextovprepojenie"/>
                <w:i/>
                <w:noProof/>
              </w:rPr>
              <w:t>3.1.2.</w:t>
            </w:r>
            <w:r w:rsidRPr="00652FF1">
              <w:rPr>
                <w:rFonts w:asciiTheme="minorHAnsi" w:eastAsiaTheme="minorEastAsia" w:hAnsiTheme="minorHAnsi"/>
                <w:i/>
                <w:noProof/>
                <w:sz w:val="22"/>
                <w:lang w:eastAsia="sk-SK"/>
              </w:rPr>
              <w:tab/>
              <w:t xml:space="preserve">    </w:t>
            </w:r>
            <w:r w:rsidRPr="00652FF1">
              <w:rPr>
                <w:rStyle w:val="Hypertextovprepojenie"/>
                <w:i/>
                <w:noProof/>
              </w:rPr>
              <w:t>Formálny postup pri podávaní sťažnosti</w:t>
            </w:r>
            <w:r w:rsidRPr="00652FF1">
              <w:rPr>
                <w:i/>
                <w:noProof/>
                <w:webHidden/>
              </w:rPr>
              <w:tab/>
            </w:r>
            <w:r w:rsidRPr="002B54BC">
              <w:rPr>
                <w:noProof/>
                <w:webHidden/>
              </w:rPr>
              <w:fldChar w:fldCharType="begin"/>
            </w:r>
            <w:r w:rsidRPr="002B54BC">
              <w:rPr>
                <w:noProof/>
                <w:webHidden/>
              </w:rPr>
              <w:instrText xml:space="preserve"> PAGEREF _Toc289299933 \h </w:instrText>
            </w:r>
            <w:r w:rsidRPr="002B54BC">
              <w:rPr>
                <w:noProof/>
                <w:webHidden/>
              </w:rPr>
            </w:r>
            <w:r w:rsidRPr="002B54BC">
              <w:rPr>
                <w:noProof/>
                <w:webHidden/>
              </w:rPr>
              <w:fldChar w:fldCharType="separate"/>
            </w:r>
            <w:r>
              <w:rPr>
                <w:noProof/>
                <w:webHidden/>
              </w:rPr>
              <w:t>22</w:t>
            </w:r>
            <w:r w:rsidRPr="002B54BC">
              <w:rPr>
                <w:noProof/>
                <w:webHidden/>
              </w:rPr>
              <w:fldChar w:fldCharType="end"/>
            </w:r>
          </w:hyperlink>
        </w:p>
        <w:p w:rsidR="00DC1275" w:rsidRDefault="00DC1275" w:rsidP="00DC1275">
          <w:pPr>
            <w:pStyle w:val="Obsah2"/>
            <w:tabs>
              <w:tab w:val="left" w:pos="880"/>
              <w:tab w:val="right" w:leader="dot" w:pos="9062"/>
            </w:tabs>
            <w:rPr>
              <w:rFonts w:asciiTheme="minorHAnsi" w:eastAsiaTheme="minorEastAsia" w:hAnsiTheme="minorHAnsi"/>
              <w:noProof/>
              <w:sz w:val="22"/>
              <w:lang w:eastAsia="sk-SK"/>
            </w:rPr>
          </w:pPr>
          <w:hyperlink w:anchor="_Toc289299934" w:history="1">
            <w:r w:rsidRPr="00B2258B">
              <w:rPr>
                <w:rStyle w:val="Hypertextovprepojenie"/>
                <w:rFonts w:cs="Times New Roman"/>
                <w:noProof/>
                <w:snapToGrid w:val="0"/>
                <w:w w:val="0"/>
              </w:rPr>
              <w:t>3.2.</w:t>
            </w:r>
            <w:r>
              <w:rPr>
                <w:rFonts w:asciiTheme="minorHAnsi" w:eastAsiaTheme="minorEastAsia" w:hAnsiTheme="minorHAnsi"/>
                <w:noProof/>
                <w:sz w:val="22"/>
                <w:lang w:eastAsia="sk-SK"/>
              </w:rPr>
              <w:tab/>
            </w:r>
            <w:r w:rsidRPr="00B2258B">
              <w:rPr>
                <w:rStyle w:val="Hypertextovprepojenie"/>
                <w:noProof/>
              </w:rPr>
              <w:t>Rozsah prijateľnosti inštitútu individuálnej sťažnosti</w:t>
            </w:r>
            <w:r>
              <w:rPr>
                <w:noProof/>
                <w:webHidden/>
              </w:rPr>
              <w:tab/>
            </w:r>
            <w:r w:rsidRPr="002B54BC">
              <w:rPr>
                <w:noProof/>
                <w:webHidden/>
              </w:rPr>
              <w:fldChar w:fldCharType="begin"/>
            </w:r>
            <w:r w:rsidRPr="002B54BC">
              <w:rPr>
                <w:noProof/>
                <w:webHidden/>
              </w:rPr>
              <w:instrText xml:space="preserve"> PAGEREF _Toc289299934 \h </w:instrText>
            </w:r>
            <w:r w:rsidRPr="002B54BC">
              <w:rPr>
                <w:noProof/>
                <w:webHidden/>
              </w:rPr>
            </w:r>
            <w:r w:rsidRPr="002B54BC">
              <w:rPr>
                <w:noProof/>
                <w:webHidden/>
              </w:rPr>
              <w:fldChar w:fldCharType="separate"/>
            </w:r>
            <w:r>
              <w:rPr>
                <w:noProof/>
                <w:webHidden/>
              </w:rPr>
              <w:t>23</w:t>
            </w:r>
            <w:r w:rsidRPr="002B54BC">
              <w:rPr>
                <w:noProof/>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35" w:history="1">
            <w:r w:rsidRPr="00B2258B">
              <w:rPr>
                <w:rStyle w:val="Hypertextovprepojenie"/>
              </w:rPr>
              <w:t>3.2.1.</w:t>
            </w:r>
            <w:r>
              <w:rPr>
                <w:rFonts w:asciiTheme="minorHAnsi" w:eastAsiaTheme="minorEastAsia" w:hAnsiTheme="minorHAnsi"/>
                <w:sz w:val="22"/>
                <w:lang w:eastAsia="sk-SK"/>
              </w:rPr>
              <w:tab/>
            </w:r>
            <w:r w:rsidRPr="00B2258B">
              <w:rPr>
                <w:rStyle w:val="Hypertextovprepojenie"/>
              </w:rPr>
              <w:t>Aktívne legitimovaný subjekt</w:t>
            </w:r>
            <w:r>
              <w:rPr>
                <w:webHidden/>
              </w:rPr>
              <w:tab/>
            </w:r>
            <w:r w:rsidRPr="002B54BC">
              <w:rPr>
                <w:i w:val="0"/>
                <w:webHidden/>
              </w:rPr>
              <w:fldChar w:fldCharType="begin"/>
            </w:r>
            <w:r w:rsidRPr="002B54BC">
              <w:rPr>
                <w:i w:val="0"/>
                <w:webHidden/>
              </w:rPr>
              <w:instrText xml:space="preserve"> PAGEREF _Toc289299935 \h </w:instrText>
            </w:r>
            <w:r w:rsidRPr="002B54BC">
              <w:rPr>
                <w:i w:val="0"/>
                <w:webHidden/>
              </w:rPr>
            </w:r>
            <w:r w:rsidRPr="002B54BC">
              <w:rPr>
                <w:i w:val="0"/>
                <w:webHidden/>
              </w:rPr>
              <w:fldChar w:fldCharType="separate"/>
            </w:r>
            <w:r>
              <w:rPr>
                <w:i w:val="0"/>
                <w:webHidden/>
              </w:rPr>
              <w:t>24</w:t>
            </w:r>
            <w:r w:rsidRPr="002B54BC">
              <w:rPr>
                <w:i w:val="0"/>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36" w:history="1">
            <w:r w:rsidRPr="00B2258B">
              <w:rPr>
                <w:rStyle w:val="Hypertextovprepojenie"/>
              </w:rPr>
              <w:t>3.2.2.</w:t>
            </w:r>
            <w:r>
              <w:rPr>
                <w:rFonts w:asciiTheme="minorHAnsi" w:eastAsiaTheme="minorEastAsia" w:hAnsiTheme="minorHAnsi"/>
                <w:sz w:val="22"/>
                <w:lang w:eastAsia="sk-SK"/>
              </w:rPr>
              <w:tab/>
            </w:r>
            <w:r w:rsidRPr="00B2258B">
              <w:rPr>
                <w:rStyle w:val="Hypertextovprepojenie"/>
              </w:rPr>
              <w:t>Status osoby poškodenej (obete)</w:t>
            </w:r>
            <w:r>
              <w:rPr>
                <w:webHidden/>
              </w:rPr>
              <w:tab/>
            </w:r>
            <w:r w:rsidRPr="002B54BC">
              <w:rPr>
                <w:i w:val="0"/>
                <w:webHidden/>
              </w:rPr>
              <w:fldChar w:fldCharType="begin"/>
            </w:r>
            <w:r w:rsidRPr="002B54BC">
              <w:rPr>
                <w:i w:val="0"/>
                <w:webHidden/>
              </w:rPr>
              <w:instrText xml:space="preserve"> PAGEREF _Toc289299936 \h </w:instrText>
            </w:r>
            <w:r w:rsidRPr="002B54BC">
              <w:rPr>
                <w:i w:val="0"/>
                <w:webHidden/>
              </w:rPr>
            </w:r>
            <w:r w:rsidRPr="002B54BC">
              <w:rPr>
                <w:i w:val="0"/>
                <w:webHidden/>
              </w:rPr>
              <w:fldChar w:fldCharType="separate"/>
            </w:r>
            <w:r>
              <w:rPr>
                <w:i w:val="0"/>
                <w:webHidden/>
              </w:rPr>
              <w:t>27</w:t>
            </w:r>
            <w:r w:rsidRPr="002B54BC">
              <w:rPr>
                <w:i w:val="0"/>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37" w:history="1">
            <w:r w:rsidRPr="00B2258B">
              <w:rPr>
                <w:rStyle w:val="Hypertextovprepojenie"/>
              </w:rPr>
              <w:t>3.2.3.</w:t>
            </w:r>
            <w:r>
              <w:rPr>
                <w:rFonts w:asciiTheme="minorHAnsi" w:eastAsiaTheme="minorEastAsia" w:hAnsiTheme="minorHAnsi"/>
                <w:sz w:val="22"/>
                <w:lang w:eastAsia="sk-SK"/>
              </w:rPr>
              <w:tab/>
            </w:r>
            <w:r w:rsidRPr="00B2258B">
              <w:rPr>
                <w:rStyle w:val="Hypertextovprepojenie"/>
              </w:rPr>
              <w:t>Strata postavenia poškodenej osoby</w:t>
            </w:r>
            <w:r>
              <w:rPr>
                <w:webHidden/>
              </w:rPr>
              <w:tab/>
            </w:r>
            <w:r w:rsidRPr="002B54BC">
              <w:rPr>
                <w:i w:val="0"/>
                <w:webHidden/>
              </w:rPr>
              <w:fldChar w:fldCharType="begin"/>
            </w:r>
            <w:r w:rsidRPr="002B54BC">
              <w:rPr>
                <w:i w:val="0"/>
                <w:webHidden/>
              </w:rPr>
              <w:instrText xml:space="preserve"> PAGEREF _Toc289299937 \h </w:instrText>
            </w:r>
            <w:r w:rsidRPr="002B54BC">
              <w:rPr>
                <w:i w:val="0"/>
                <w:webHidden/>
              </w:rPr>
            </w:r>
            <w:r w:rsidRPr="002B54BC">
              <w:rPr>
                <w:i w:val="0"/>
                <w:webHidden/>
              </w:rPr>
              <w:fldChar w:fldCharType="separate"/>
            </w:r>
            <w:r>
              <w:rPr>
                <w:i w:val="0"/>
                <w:webHidden/>
              </w:rPr>
              <w:t>30</w:t>
            </w:r>
            <w:r w:rsidRPr="002B54BC">
              <w:rPr>
                <w:i w:val="0"/>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38" w:history="1">
            <w:r w:rsidRPr="00B2258B">
              <w:rPr>
                <w:rStyle w:val="Hypertextovprepojenie"/>
              </w:rPr>
              <w:t>3.2.4.</w:t>
            </w:r>
            <w:r>
              <w:rPr>
                <w:rFonts w:asciiTheme="minorHAnsi" w:eastAsiaTheme="minorEastAsia" w:hAnsiTheme="minorHAnsi"/>
                <w:sz w:val="22"/>
                <w:lang w:eastAsia="sk-SK"/>
              </w:rPr>
              <w:tab/>
            </w:r>
            <w:r w:rsidRPr="00B2258B">
              <w:rPr>
                <w:rStyle w:val="Hypertextovprepojenie"/>
              </w:rPr>
              <w:t>Pasívne legitimovaný subjekt</w:t>
            </w:r>
            <w:r>
              <w:rPr>
                <w:webHidden/>
              </w:rPr>
              <w:tab/>
            </w:r>
            <w:r w:rsidRPr="002B54BC">
              <w:rPr>
                <w:i w:val="0"/>
                <w:webHidden/>
              </w:rPr>
              <w:fldChar w:fldCharType="begin"/>
            </w:r>
            <w:r w:rsidRPr="002B54BC">
              <w:rPr>
                <w:i w:val="0"/>
                <w:webHidden/>
              </w:rPr>
              <w:instrText xml:space="preserve"> PAGEREF _Toc289299938 \h </w:instrText>
            </w:r>
            <w:r w:rsidRPr="002B54BC">
              <w:rPr>
                <w:i w:val="0"/>
                <w:webHidden/>
              </w:rPr>
            </w:r>
            <w:r w:rsidRPr="002B54BC">
              <w:rPr>
                <w:i w:val="0"/>
                <w:webHidden/>
              </w:rPr>
              <w:fldChar w:fldCharType="separate"/>
            </w:r>
            <w:r>
              <w:rPr>
                <w:i w:val="0"/>
                <w:webHidden/>
              </w:rPr>
              <w:t>32</w:t>
            </w:r>
            <w:r w:rsidRPr="002B54BC">
              <w:rPr>
                <w:i w:val="0"/>
                <w:webHidden/>
              </w:rPr>
              <w:fldChar w:fldCharType="end"/>
            </w:r>
          </w:hyperlink>
        </w:p>
        <w:p w:rsidR="00DC1275" w:rsidRPr="00652FF1" w:rsidRDefault="00DC1275" w:rsidP="00DC1275">
          <w:pPr>
            <w:pStyle w:val="Obsah2"/>
            <w:tabs>
              <w:tab w:val="left" w:pos="1100"/>
              <w:tab w:val="right" w:leader="dot" w:pos="9062"/>
            </w:tabs>
            <w:rPr>
              <w:rFonts w:asciiTheme="minorHAnsi" w:eastAsiaTheme="minorEastAsia" w:hAnsiTheme="minorHAnsi"/>
              <w:i/>
              <w:noProof/>
              <w:sz w:val="22"/>
              <w:lang w:eastAsia="sk-SK"/>
            </w:rPr>
          </w:pPr>
          <w:r w:rsidRPr="00652FF1">
            <w:rPr>
              <w:rStyle w:val="Hypertextovprepojenie"/>
              <w:i/>
              <w:noProof/>
              <w:u w:val="none"/>
            </w:rPr>
            <w:t xml:space="preserve">    </w:t>
          </w:r>
          <w:hyperlink w:anchor="_Toc289299939" w:history="1">
            <w:r w:rsidRPr="00652FF1">
              <w:rPr>
                <w:rStyle w:val="Hypertextovprepojenie"/>
                <w:i/>
                <w:noProof/>
              </w:rPr>
              <w:t>3.2.5.</w:t>
            </w:r>
            <w:r w:rsidRPr="00652FF1">
              <w:rPr>
                <w:rFonts w:asciiTheme="minorHAnsi" w:eastAsiaTheme="minorEastAsia" w:hAnsiTheme="minorHAnsi"/>
                <w:i/>
                <w:noProof/>
                <w:sz w:val="22"/>
                <w:lang w:eastAsia="sk-SK"/>
              </w:rPr>
              <w:tab/>
              <w:t xml:space="preserve">    </w:t>
            </w:r>
            <w:r w:rsidRPr="00652FF1">
              <w:rPr>
                <w:rStyle w:val="Hypertextovprepojenie"/>
                <w:i/>
                <w:noProof/>
              </w:rPr>
              <w:t>Zhrnutie</w:t>
            </w:r>
            <w:r w:rsidRPr="00652FF1">
              <w:rPr>
                <w:i/>
                <w:noProof/>
                <w:webHidden/>
              </w:rPr>
              <w:tab/>
            </w:r>
            <w:r w:rsidRPr="002B54BC">
              <w:rPr>
                <w:noProof/>
                <w:webHidden/>
              </w:rPr>
              <w:fldChar w:fldCharType="begin"/>
            </w:r>
            <w:r w:rsidRPr="002B54BC">
              <w:rPr>
                <w:noProof/>
                <w:webHidden/>
              </w:rPr>
              <w:instrText xml:space="preserve"> PAGEREF _Toc289299939 \h </w:instrText>
            </w:r>
            <w:r w:rsidRPr="002B54BC">
              <w:rPr>
                <w:noProof/>
                <w:webHidden/>
              </w:rPr>
            </w:r>
            <w:r w:rsidRPr="002B54BC">
              <w:rPr>
                <w:noProof/>
                <w:webHidden/>
              </w:rPr>
              <w:fldChar w:fldCharType="separate"/>
            </w:r>
            <w:r>
              <w:rPr>
                <w:noProof/>
                <w:webHidden/>
              </w:rPr>
              <w:t>33</w:t>
            </w:r>
            <w:r w:rsidRPr="002B54BC">
              <w:rPr>
                <w:noProof/>
                <w:webHidden/>
              </w:rPr>
              <w:fldChar w:fldCharType="end"/>
            </w:r>
          </w:hyperlink>
        </w:p>
        <w:p w:rsidR="00DC1275" w:rsidRDefault="00DC1275" w:rsidP="00DC1275">
          <w:pPr>
            <w:pStyle w:val="Obsah2"/>
            <w:tabs>
              <w:tab w:val="left" w:pos="880"/>
              <w:tab w:val="right" w:leader="dot" w:pos="9062"/>
            </w:tabs>
            <w:rPr>
              <w:rFonts w:asciiTheme="minorHAnsi" w:eastAsiaTheme="minorEastAsia" w:hAnsiTheme="minorHAnsi"/>
              <w:noProof/>
              <w:sz w:val="22"/>
              <w:lang w:eastAsia="sk-SK"/>
            </w:rPr>
          </w:pPr>
          <w:hyperlink w:anchor="_Toc289299940" w:history="1">
            <w:r w:rsidRPr="00B2258B">
              <w:rPr>
                <w:rStyle w:val="Hypertextovprepojenie"/>
                <w:rFonts w:cs="Times New Roman"/>
                <w:noProof/>
                <w:snapToGrid w:val="0"/>
                <w:w w:val="0"/>
              </w:rPr>
              <w:t>3.3.</w:t>
            </w:r>
            <w:r>
              <w:rPr>
                <w:rFonts w:asciiTheme="minorHAnsi" w:eastAsiaTheme="minorEastAsia" w:hAnsiTheme="minorHAnsi"/>
                <w:noProof/>
                <w:sz w:val="22"/>
                <w:lang w:eastAsia="sk-SK"/>
              </w:rPr>
              <w:tab/>
            </w:r>
            <w:r w:rsidRPr="00B2258B">
              <w:rPr>
                <w:rStyle w:val="Hypertextovprepojenie"/>
                <w:noProof/>
              </w:rPr>
              <w:t>Podmienky prijateľnosti  individuálnej sťažnosti</w:t>
            </w:r>
            <w:r>
              <w:rPr>
                <w:noProof/>
                <w:webHidden/>
              </w:rPr>
              <w:tab/>
            </w:r>
            <w:r>
              <w:rPr>
                <w:noProof/>
                <w:webHidden/>
              </w:rPr>
              <w:fldChar w:fldCharType="begin"/>
            </w:r>
            <w:r>
              <w:rPr>
                <w:noProof/>
                <w:webHidden/>
              </w:rPr>
              <w:instrText xml:space="preserve"> PAGEREF _Toc289299940 \h </w:instrText>
            </w:r>
            <w:r>
              <w:rPr>
                <w:noProof/>
                <w:webHidden/>
              </w:rPr>
            </w:r>
            <w:r>
              <w:rPr>
                <w:noProof/>
                <w:webHidden/>
              </w:rPr>
              <w:fldChar w:fldCharType="separate"/>
            </w:r>
            <w:r>
              <w:rPr>
                <w:noProof/>
                <w:webHidden/>
              </w:rPr>
              <w:t>34</w:t>
            </w:r>
            <w:r>
              <w:rPr>
                <w:noProof/>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41" w:history="1">
            <w:r w:rsidRPr="00B2258B">
              <w:rPr>
                <w:rStyle w:val="Hypertextovprepojenie"/>
              </w:rPr>
              <w:t>3.3.1.</w:t>
            </w:r>
            <w:r>
              <w:rPr>
                <w:rFonts w:asciiTheme="minorHAnsi" w:eastAsiaTheme="minorEastAsia" w:hAnsiTheme="minorHAnsi"/>
                <w:sz w:val="22"/>
                <w:lang w:eastAsia="sk-SK"/>
              </w:rPr>
              <w:tab/>
            </w:r>
            <w:r w:rsidRPr="00B2258B">
              <w:rPr>
                <w:rStyle w:val="Hypertextovprepojenie"/>
              </w:rPr>
              <w:t>Pravidlo vyčerpania vnútroštátnych prostriedkov nápravy</w:t>
            </w:r>
            <w:r>
              <w:rPr>
                <w:webHidden/>
              </w:rPr>
              <w:tab/>
            </w:r>
            <w:r w:rsidRPr="002B54BC">
              <w:rPr>
                <w:i w:val="0"/>
                <w:webHidden/>
              </w:rPr>
              <w:fldChar w:fldCharType="begin"/>
            </w:r>
            <w:r w:rsidRPr="002B54BC">
              <w:rPr>
                <w:i w:val="0"/>
                <w:webHidden/>
              </w:rPr>
              <w:instrText xml:space="preserve"> PAGEREF _Toc289299941 \h </w:instrText>
            </w:r>
            <w:r w:rsidRPr="002B54BC">
              <w:rPr>
                <w:i w:val="0"/>
                <w:webHidden/>
              </w:rPr>
            </w:r>
            <w:r w:rsidRPr="002B54BC">
              <w:rPr>
                <w:i w:val="0"/>
                <w:webHidden/>
              </w:rPr>
              <w:fldChar w:fldCharType="separate"/>
            </w:r>
            <w:r>
              <w:rPr>
                <w:i w:val="0"/>
                <w:webHidden/>
              </w:rPr>
              <w:t>34</w:t>
            </w:r>
            <w:r w:rsidRPr="002B54BC">
              <w:rPr>
                <w:i w:val="0"/>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42" w:history="1">
            <w:r w:rsidRPr="00B2258B">
              <w:rPr>
                <w:rStyle w:val="Hypertextovprepojenie"/>
              </w:rPr>
              <w:t>3.3.2.</w:t>
            </w:r>
            <w:r>
              <w:rPr>
                <w:rFonts w:asciiTheme="minorHAnsi" w:eastAsiaTheme="minorEastAsia" w:hAnsiTheme="minorHAnsi"/>
                <w:sz w:val="22"/>
                <w:lang w:eastAsia="sk-SK"/>
              </w:rPr>
              <w:tab/>
            </w:r>
            <w:r w:rsidRPr="00B2258B">
              <w:rPr>
                <w:rStyle w:val="Hypertextovprepojenie"/>
              </w:rPr>
              <w:t>Podanie sťažnosti v lehote šesť mesiacov</w:t>
            </w:r>
            <w:r>
              <w:rPr>
                <w:webHidden/>
              </w:rPr>
              <w:tab/>
            </w:r>
            <w:r w:rsidRPr="002B54BC">
              <w:rPr>
                <w:i w:val="0"/>
                <w:webHidden/>
              </w:rPr>
              <w:fldChar w:fldCharType="begin"/>
            </w:r>
            <w:r w:rsidRPr="002B54BC">
              <w:rPr>
                <w:i w:val="0"/>
                <w:webHidden/>
              </w:rPr>
              <w:instrText xml:space="preserve"> PAGEREF _Toc289299942 \h </w:instrText>
            </w:r>
            <w:r w:rsidRPr="002B54BC">
              <w:rPr>
                <w:i w:val="0"/>
                <w:webHidden/>
              </w:rPr>
            </w:r>
            <w:r w:rsidRPr="002B54BC">
              <w:rPr>
                <w:i w:val="0"/>
                <w:webHidden/>
              </w:rPr>
              <w:fldChar w:fldCharType="separate"/>
            </w:r>
            <w:r>
              <w:rPr>
                <w:i w:val="0"/>
                <w:webHidden/>
              </w:rPr>
              <w:t>38</w:t>
            </w:r>
            <w:r w:rsidRPr="002B54BC">
              <w:rPr>
                <w:i w:val="0"/>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43" w:history="1">
            <w:r w:rsidRPr="00B2258B">
              <w:rPr>
                <w:rStyle w:val="Hypertextovprepojenie"/>
              </w:rPr>
              <w:t>3.3.3.</w:t>
            </w:r>
            <w:r>
              <w:rPr>
                <w:rFonts w:asciiTheme="minorHAnsi" w:eastAsiaTheme="minorEastAsia" w:hAnsiTheme="minorHAnsi"/>
                <w:sz w:val="22"/>
                <w:lang w:eastAsia="sk-SK"/>
              </w:rPr>
              <w:tab/>
            </w:r>
            <w:r w:rsidRPr="00B2258B">
              <w:rPr>
                <w:rStyle w:val="Hypertextovprepojenie"/>
              </w:rPr>
              <w:t>Závažná ujma</w:t>
            </w:r>
            <w:r>
              <w:rPr>
                <w:webHidden/>
              </w:rPr>
              <w:tab/>
            </w:r>
            <w:r w:rsidRPr="002B54BC">
              <w:rPr>
                <w:i w:val="0"/>
                <w:webHidden/>
              </w:rPr>
              <w:fldChar w:fldCharType="begin"/>
            </w:r>
            <w:r w:rsidRPr="002B54BC">
              <w:rPr>
                <w:i w:val="0"/>
                <w:webHidden/>
              </w:rPr>
              <w:instrText xml:space="preserve"> PAGEREF _Toc289299943 \h </w:instrText>
            </w:r>
            <w:r w:rsidRPr="002B54BC">
              <w:rPr>
                <w:i w:val="0"/>
                <w:webHidden/>
              </w:rPr>
            </w:r>
            <w:r w:rsidRPr="002B54BC">
              <w:rPr>
                <w:i w:val="0"/>
                <w:webHidden/>
              </w:rPr>
              <w:fldChar w:fldCharType="separate"/>
            </w:r>
            <w:r>
              <w:rPr>
                <w:i w:val="0"/>
                <w:webHidden/>
              </w:rPr>
              <w:t>41</w:t>
            </w:r>
            <w:r w:rsidRPr="002B54BC">
              <w:rPr>
                <w:i w:val="0"/>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44" w:history="1">
            <w:r w:rsidRPr="00B2258B">
              <w:rPr>
                <w:rStyle w:val="Hypertextovprepojenie"/>
              </w:rPr>
              <w:t>3.3.4.</w:t>
            </w:r>
            <w:r>
              <w:rPr>
                <w:rFonts w:asciiTheme="minorHAnsi" w:eastAsiaTheme="minorEastAsia" w:hAnsiTheme="minorHAnsi"/>
                <w:sz w:val="22"/>
                <w:lang w:eastAsia="sk-SK"/>
              </w:rPr>
              <w:tab/>
            </w:r>
            <w:r w:rsidRPr="00B2258B">
              <w:rPr>
                <w:rStyle w:val="Hypertextovprepojenie"/>
              </w:rPr>
              <w:t>Dôvody neprijateľnosti sťažnosti</w:t>
            </w:r>
            <w:r>
              <w:rPr>
                <w:webHidden/>
              </w:rPr>
              <w:tab/>
            </w:r>
            <w:r w:rsidRPr="002B54BC">
              <w:rPr>
                <w:i w:val="0"/>
                <w:webHidden/>
              </w:rPr>
              <w:fldChar w:fldCharType="begin"/>
            </w:r>
            <w:r w:rsidRPr="002B54BC">
              <w:rPr>
                <w:i w:val="0"/>
                <w:webHidden/>
              </w:rPr>
              <w:instrText xml:space="preserve"> PAGEREF _Toc289299944 \h </w:instrText>
            </w:r>
            <w:r w:rsidRPr="002B54BC">
              <w:rPr>
                <w:i w:val="0"/>
                <w:webHidden/>
              </w:rPr>
            </w:r>
            <w:r w:rsidRPr="002B54BC">
              <w:rPr>
                <w:i w:val="0"/>
                <w:webHidden/>
              </w:rPr>
              <w:fldChar w:fldCharType="separate"/>
            </w:r>
            <w:r>
              <w:rPr>
                <w:i w:val="0"/>
                <w:webHidden/>
              </w:rPr>
              <w:t>43</w:t>
            </w:r>
            <w:r w:rsidRPr="002B54BC">
              <w:rPr>
                <w:i w:val="0"/>
                <w:webHidden/>
              </w:rPr>
              <w:fldChar w:fldCharType="end"/>
            </w:r>
          </w:hyperlink>
        </w:p>
        <w:p w:rsidR="00DC1275" w:rsidRPr="00652FF1" w:rsidRDefault="00DC1275" w:rsidP="00DC1275">
          <w:pPr>
            <w:pStyle w:val="Obsah2"/>
            <w:tabs>
              <w:tab w:val="left" w:pos="1100"/>
              <w:tab w:val="right" w:leader="dot" w:pos="9062"/>
            </w:tabs>
            <w:rPr>
              <w:rFonts w:asciiTheme="minorHAnsi" w:eastAsiaTheme="minorEastAsia" w:hAnsiTheme="minorHAnsi"/>
              <w:i/>
              <w:noProof/>
              <w:sz w:val="22"/>
              <w:lang w:eastAsia="sk-SK"/>
            </w:rPr>
          </w:pPr>
          <w:r w:rsidRPr="00652FF1">
            <w:rPr>
              <w:rStyle w:val="Hypertextovprepojenie"/>
              <w:i/>
              <w:noProof/>
              <w:u w:val="none"/>
            </w:rPr>
            <w:t xml:space="preserve">    </w:t>
          </w:r>
          <w:hyperlink w:anchor="_Toc289299945" w:history="1">
            <w:r w:rsidRPr="00652FF1">
              <w:rPr>
                <w:rStyle w:val="Hypertextovprepojenie"/>
                <w:i/>
                <w:noProof/>
              </w:rPr>
              <w:t xml:space="preserve">3.3.5. </w:t>
            </w:r>
            <w:r w:rsidRPr="00652FF1">
              <w:rPr>
                <w:rFonts w:asciiTheme="minorHAnsi" w:eastAsiaTheme="minorEastAsia" w:hAnsiTheme="minorHAnsi"/>
                <w:i/>
                <w:noProof/>
                <w:sz w:val="22"/>
                <w:lang w:eastAsia="sk-SK"/>
              </w:rPr>
              <w:tab/>
              <w:t xml:space="preserve">    </w:t>
            </w:r>
            <w:r w:rsidRPr="00652FF1">
              <w:rPr>
                <w:rStyle w:val="Hypertextovprepojenie"/>
                <w:i/>
                <w:noProof/>
              </w:rPr>
              <w:t>Zhrnutie</w:t>
            </w:r>
            <w:r w:rsidRPr="00652FF1">
              <w:rPr>
                <w:i/>
                <w:noProof/>
                <w:webHidden/>
              </w:rPr>
              <w:tab/>
            </w:r>
            <w:r w:rsidRPr="002B54BC">
              <w:rPr>
                <w:noProof/>
                <w:webHidden/>
              </w:rPr>
              <w:fldChar w:fldCharType="begin"/>
            </w:r>
            <w:r w:rsidRPr="002B54BC">
              <w:rPr>
                <w:noProof/>
                <w:webHidden/>
              </w:rPr>
              <w:instrText xml:space="preserve"> PAGEREF _Toc289299945 \h </w:instrText>
            </w:r>
            <w:r w:rsidRPr="002B54BC">
              <w:rPr>
                <w:noProof/>
                <w:webHidden/>
              </w:rPr>
            </w:r>
            <w:r w:rsidRPr="002B54BC">
              <w:rPr>
                <w:noProof/>
                <w:webHidden/>
              </w:rPr>
              <w:fldChar w:fldCharType="separate"/>
            </w:r>
            <w:r>
              <w:rPr>
                <w:noProof/>
                <w:webHidden/>
              </w:rPr>
              <w:t>46</w:t>
            </w:r>
            <w:r w:rsidRPr="002B54BC">
              <w:rPr>
                <w:noProof/>
                <w:webHidden/>
              </w:rPr>
              <w:fldChar w:fldCharType="end"/>
            </w:r>
          </w:hyperlink>
        </w:p>
        <w:p w:rsidR="00DC1275" w:rsidRDefault="00DC1275" w:rsidP="00DC1275">
          <w:pPr>
            <w:pStyle w:val="Obsah2"/>
            <w:tabs>
              <w:tab w:val="left" w:pos="880"/>
              <w:tab w:val="right" w:leader="dot" w:pos="9062"/>
            </w:tabs>
            <w:rPr>
              <w:rFonts w:asciiTheme="minorHAnsi" w:eastAsiaTheme="minorEastAsia" w:hAnsiTheme="minorHAnsi"/>
              <w:noProof/>
              <w:sz w:val="22"/>
              <w:lang w:eastAsia="sk-SK"/>
            </w:rPr>
          </w:pPr>
          <w:hyperlink w:anchor="_Toc289299946" w:history="1">
            <w:r w:rsidRPr="00B2258B">
              <w:rPr>
                <w:rStyle w:val="Hypertextovprepojenie"/>
                <w:rFonts w:cs="Times New Roman"/>
                <w:noProof/>
                <w:snapToGrid w:val="0"/>
                <w:w w:val="0"/>
              </w:rPr>
              <w:t>3.4.</w:t>
            </w:r>
            <w:r>
              <w:rPr>
                <w:rFonts w:asciiTheme="minorHAnsi" w:eastAsiaTheme="minorEastAsia" w:hAnsiTheme="minorHAnsi"/>
                <w:noProof/>
                <w:sz w:val="22"/>
                <w:lang w:eastAsia="sk-SK"/>
              </w:rPr>
              <w:tab/>
            </w:r>
            <w:r w:rsidRPr="00B2258B">
              <w:rPr>
                <w:rStyle w:val="Hypertextovprepojenie"/>
                <w:noProof/>
              </w:rPr>
              <w:t>Rozsah kompetencií Súdu</w:t>
            </w:r>
            <w:r>
              <w:rPr>
                <w:noProof/>
                <w:webHidden/>
              </w:rPr>
              <w:tab/>
            </w:r>
            <w:r>
              <w:rPr>
                <w:noProof/>
                <w:webHidden/>
              </w:rPr>
              <w:fldChar w:fldCharType="begin"/>
            </w:r>
            <w:r>
              <w:rPr>
                <w:noProof/>
                <w:webHidden/>
              </w:rPr>
              <w:instrText xml:space="preserve"> PAGEREF _Toc289299946 \h </w:instrText>
            </w:r>
            <w:r>
              <w:rPr>
                <w:noProof/>
                <w:webHidden/>
              </w:rPr>
            </w:r>
            <w:r>
              <w:rPr>
                <w:noProof/>
                <w:webHidden/>
              </w:rPr>
              <w:fldChar w:fldCharType="separate"/>
            </w:r>
            <w:r>
              <w:rPr>
                <w:noProof/>
                <w:webHidden/>
              </w:rPr>
              <w:t>46</w:t>
            </w:r>
            <w:r>
              <w:rPr>
                <w:noProof/>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47" w:history="1">
            <w:r w:rsidRPr="00B2258B">
              <w:rPr>
                <w:rStyle w:val="Hypertextovprepojenie"/>
              </w:rPr>
              <w:t>3.4.1.</w:t>
            </w:r>
            <w:r>
              <w:rPr>
                <w:rFonts w:asciiTheme="minorHAnsi" w:eastAsiaTheme="minorEastAsia" w:hAnsiTheme="minorHAnsi"/>
                <w:sz w:val="22"/>
                <w:lang w:eastAsia="sk-SK"/>
              </w:rPr>
              <w:tab/>
            </w:r>
            <w:r w:rsidRPr="00B2258B">
              <w:rPr>
                <w:rStyle w:val="Hypertextovprepojenie"/>
              </w:rPr>
              <w:t>Ratione loci</w:t>
            </w:r>
            <w:r>
              <w:rPr>
                <w:webHidden/>
              </w:rPr>
              <w:tab/>
            </w:r>
            <w:r w:rsidRPr="002B54BC">
              <w:rPr>
                <w:i w:val="0"/>
                <w:webHidden/>
              </w:rPr>
              <w:fldChar w:fldCharType="begin"/>
            </w:r>
            <w:r w:rsidRPr="002B54BC">
              <w:rPr>
                <w:i w:val="0"/>
                <w:webHidden/>
              </w:rPr>
              <w:instrText xml:space="preserve"> PAGEREF _Toc289299947 \h </w:instrText>
            </w:r>
            <w:r w:rsidRPr="002B54BC">
              <w:rPr>
                <w:i w:val="0"/>
                <w:webHidden/>
              </w:rPr>
            </w:r>
            <w:r w:rsidRPr="002B54BC">
              <w:rPr>
                <w:i w:val="0"/>
                <w:webHidden/>
              </w:rPr>
              <w:fldChar w:fldCharType="separate"/>
            </w:r>
            <w:r>
              <w:rPr>
                <w:i w:val="0"/>
                <w:webHidden/>
              </w:rPr>
              <w:t>47</w:t>
            </w:r>
            <w:r w:rsidRPr="002B54BC">
              <w:rPr>
                <w:i w:val="0"/>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48" w:history="1">
            <w:r w:rsidRPr="00B2258B">
              <w:rPr>
                <w:rStyle w:val="Hypertextovprepojenie"/>
              </w:rPr>
              <w:t>3.4.2.</w:t>
            </w:r>
            <w:r>
              <w:rPr>
                <w:rFonts w:asciiTheme="minorHAnsi" w:eastAsiaTheme="minorEastAsia" w:hAnsiTheme="minorHAnsi"/>
                <w:sz w:val="22"/>
                <w:lang w:eastAsia="sk-SK"/>
              </w:rPr>
              <w:tab/>
            </w:r>
            <w:r w:rsidRPr="00B2258B">
              <w:rPr>
                <w:rStyle w:val="Hypertextovprepojenie"/>
              </w:rPr>
              <w:t>Ratione personae</w:t>
            </w:r>
            <w:r>
              <w:rPr>
                <w:webHidden/>
              </w:rPr>
              <w:tab/>
            </w:r>
            <w:r w:rsidRPr="002B54BC">
              <w:rPr>
                <w:i w:val="0"/>
                <w:webHidden/>
              </w:rPr>
              <w:fldChar w:fldCharType="begin"/>
            </w:r>
            <w:r w:rsidRPr="002B54BC">
              <w:rPr>
                <w:i w:val="0"/>
                <w:webHidden/>
              </w:rPr>
              <w:instrText xml:space="preserve"> PAGEREF _Toc289299948 \h </w:instrText>
            </w:r>
            <w:r w:rsidRPr="002B54BC">
              <w:rPr>
                <w:i w:val="0"/>
                <w:webHidden/>
              </w:rPr>
            </w:r>
            <w:r w:rsidRPr="002B54BC">
              <w:rPr>
                <w:i w:val="0"/>
                <w:webHidden/>
              </w:rPr>
              <w:fldChar w:fldCharType="separate"/>
            </w:r>
            <w:r>
              <w:rPr>
                <w:i w:val="0"/>
                <w:webHidden/>
              </w:rPr>
              <w:t>48</w:t>
            </w:r>
            <w:r w:rsidRPr="002B54BC">
              <w:rPr>
                <w:i w:val="0"/>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49" w:history="1">
            <w:r w:rsidRPr="00B2258B">
              <w:rPr>
                <w:rStyle w:val="Hypertextovprepojenie"/>
              </w:rPr>
              <w:t>3.4.3.</w:t>
            </w:r>
            <w:r>
              <w:rPr>
                <w:rFonts w:asciiTheme="minorHAnsi" w:eastAsiaTheme="minorEastAsia" w:hAnsiTheme="minorHAnsi"/>
                <w:sz w:val="22"/>
                <w:lang w:eastAsia="sk-SK"/>
              </w:rPr>
              <w:tab/>
            </w:r>
            <w:r w:rsidRPr="00B2258B">
              <w:rPr>
                <w:rStyle w:val="Hypertextovprepojenie"/>
              </w:rPr>
              <w:t>Ratione temporis</w:t>
            </w:r>
            <w:r>
              <w:rPr>
                <w:webHidden/>
              </w:rPr>
              <w:tab/>
            </w:r>
            <w:r w:rsidRPr="002B54BC">
              <w:rPr>
                <w:i w:val="0"/>
                <w:webHidden/>
              </w:rPr>
              <w:fldChar w:fldCharType="begin"/>
            </w:r>
            <w:r w:rsidRPr="002B54BC">
              <w:rPr>
                <w:i w:val="0"/>
                <w:webHidden/>
              </w:rPr>
              <w:instrText xml:space="preserve"> PAGEREF _Toc289299949 \h </w:instrText>
            </w:r>
            <w:r w:rsidRPr="002B54BC">
              <w:rPr>
                <w:i w:val="0"/>
                <w:webHidden/>
              </w:rPr>
            </w:r>
            <w:r w:rsidRPr="002B54BC">
              <w:rPr>
                <w:i w:val="0"/>
                <w:webHidden/>
              </w:rPr>
              <w:fldChar w:fldCharType="separate"/>
            </w:r>
            <w:r>
              <w:rPr>
                <w:i w:val="0"/>
                <w:webHidden/>
              </w:rPr>
              <w:t>49</w:t>
            </w:r>
            <w:r w:rsidRPr="002B54BC">
              <w:rPr>
                <w:i w:val="0"/>
                <w:webHidden/>
              </w:rPr>
              <w:fldChar w:fldCharType="end"/>
            </w:r>
          </w:hyperlink>
        </w:p>
        <w:p w:rsidR="00DC1275" w:rsidRDefault="00DC1275" w:rsidP="00DC1275">
          <w:pPr>
            <w:pStyle w:val="Obsah3"/>
            <w:rPr>
              <w:rFonts w:asciiTheme="minorHAnsi" w:eastAsiaTheme="minorEastAsia" w:hAnsiTheme="minorHAnsi"/>
              <w:sz w:val="22"/>
              <w:lang w:eastAsia="sk-SK"/>
            </w:rPr>
          </w:pPr>
          <w:hyperlink w:anchor="_Toc289299950" w:history="1">
            <w:r w:rsidRPr="00B2258B">
              <w:rPr>
                <w:rStyle w:val="Hypertextovprepojenie"/>
              </w:rPr>
              <w:t>3.4.4.</w:t>
            </w:r>
            <w:r>
              <w:rPr>
                <w:rFonts w:asciiTheme="minorHAnsi" w:eastAsiaTheme="minorEastAsia" w:hAnsiTheme="minorHAnsi"/>
                <w:sz w:val="22"/>
                <w:lang w:eastAsia="sk-SK"/>
              </w:rPr>
              <w:tab/>
            </w:r>
            <w:r w:rsidRPr="00B2258B">
              <w:rPr>
                <w:rStyle w:val="Hypertextovprepojenie"/>
              </w:rPr>
              <w:t>Ratione materiae</w:t>
            </w:r>
            <w:r>
              <w:rPr>
                <w:webHidden/>
              </w:rPr>
              <w:tab/>
            </w:r>
            <w:r w:rsidRPr="002B54BC">
              <w:rPr>
                <w:i w:val="0"/>
                <w:webHidden/>
              </w:rPr>
              <w:fldChar w:fldCharType="begin"/>
            </w:r>
            <w:r w:rsidRPr="002B54BC">
              <w:rPr>
                <w:i w:val="0"/>
                <w:webHidden/>
              </w:rPr>
              <w:instrText xml:space="preserve"> PAGEREF _Toc289299950 \h </w:instrText>
            </w:r>
            <w:r w:rsidRPr="002B54BC">
              <w:rPr>
                <w:i w:val="0"/>
                <w:webHidden/>
              </w:rPr>
            </w:r>
            <w:r w:rsidRPr="002B54BC">
              <w:rPr>
                <w:i w:val="0"/>
                <w:webHidden/>
              </w:rPr>
              <w:fldChar w:fldCharType="separate"/>
            </w:r>
            <w:r>
              <w:rPr>
                <w:i w:val="0"/>
                <w:webHidden/>
              </w:rPr>
              <w:t>51</w:t>
            </w:r>
            <w:r w:rsidRPr="002B54BC">
              <w:rPr>
                <w:i w:val="0"/>
                <w:webHidden/>
              </w:rPr>
              <w:fldChar w:fldCharType="end"/>
            </w:r>
          </w:hyperlink>
        </w:p>
        <w:p w:rsidR="00DC1275" w:rsidRPr="00652FF1" w:rsidRDefault="00DC1275" w:rsidP="00DC1275">
          <w:pPr>
            <w:pStyle w:val="Obsah2"/>
            <w:tabs>
              <w:tab w:val="left" w:pos="1100"/>
              <w:tab w:val="right" w:leader="dot" w:pos="9062"/>
            </w:tabs>
            <w:rPr>
              <w:rFonts w:asciiTheme="minorHAnsi" w:eastAsiaTheme="minorEastAsia" w:hAnsiTheme="minorHAnsi"/>
              <w:i/>
              <w:noProof/>
              <w:sz w:val="22"/>
              <w:lang w:eastAsia="sk-SK"/>
            </w:rPr>
          </w:pPr>
          <w:r w:rsidRPr="00652FF1">
            <w:rPr>
              <w:rStyle w:val="Hypertextovprepojenie"/>
              <w:i/>
              <w:noProof/>
              <w:u w:val="none"/>
            </w:rPr>
            <w:t xml:space="preserve">    </w:t>
          </w:r>
          <w:hyperlink w:anchor="_Toc289299951" w:history="1">
            <w:r w:rsidRPr="00652FF1">
              <w:rPr>
                <w:rStyle w:val="Hypertextovprepojenie"/>
                <w:i/>
                <w:noProof/>
              </w:rPr>
              <w:t>3.4.5.</w:t>
            </w:r>
            <w:r w:rsidRPr="00652FF1">
              <w:rPr>
                <w:rFonts w:asciiTheme="minorHAnsi" w:eastAsiaTheme="minorEastAsia" w:hAnsiTheme="minorHAnsi"/>
                <w:i/>
                <w:noProof/>
                <w:sz w:val="22"/>
                <w:lang w:eastAsia="sk-SK"/>
              </w:rPr>
              <w:tab/>
              <w:t xml:space="preserve">    </w:t>
            </w:r>
            <w:r w:rsidRPr="00652FF1">
              <w:rPr>
                <w:rStyle w:val="Hypertextovprepojenie"/>
                <w:i/>
                <w:noProof/>
              </w:rPr>
              <w:t>Zhrnutie</w:t>
            </w:r>
            <w:r w:rsidRPr="00652FF1">
              <w:rPr>
                <w:i/>
                <w:noProof/>
                <w:webHidden/>
              </w:rPr>
              <w:tab/>
            </w:r>
            <w:r w:rsidRPr="002B54BC">
              <w:rPr>
                <w:noProof/>
                <w:webHidden/>
              </w:rPr>
              <w:fldChar w:fldCharType="begin"/>
            </w:r>
            <w:r w:rsidRPr="002B54BC">
              <w:rPr>
                <w:noProof/>
                <w:webHidden/>
              </w:rPr>
              <w:instrText xml:space="preserve"> PAGEREF _Toc289299951 \h </w:instrText>
            </w:r>
            <w:r w:rsidRPr="002B54BC">
              <w:rPr>
                <w:noProof/>
                <w:webHidden/>
              </w:rPr>
            </w:r>
            <w:r w:rsidRPr="002B54BC">
              <w:rPr>
                <w:noProof/>
                <w:webHidden/>
              </w:rPr>
              <w:fldChar w:fldCharType="separate"/>
            </w:r>
            <w:r>
              <w:rPr>
                <w:noProof/>
                <w:webHidden/>
              </w:rPr>
              <w:t>52</w:t>
            </w:r>
            <w:r w:rsidRPr="002B54BC">
              <w:rPr>
                <w:noProof/>
                <w:webHidden/>
              </w:rPr>
              <w:fldChar w:fldCharType="end"/>
            </w:r>
          </w:hyperlink>
        </w:p>
        <w:p w:rsidR="00DC1275" w:rsidRDefault="00DC1275" w:rsidP="00DC1275">
          <w:pPr>
            <w:pStyle w:val="Obsah1"/>
            <w:rPr>
              <w:rFonts w:asciiTheme="minorHAnsi" w:eastAsiaTheme="minorEastAsia" w:hAnsiTheme="minorHAnsi"/>
              <w:noProof/>
              <w:sz w:val="22"/>
              <w:lang w:eastAsia="sk-SK"/>
            </w:rPr>
          </w:pPr>
          <w:hyperlink w:anchor="_Toc289299952" w:history="1">
            <w:r w:rsidRPr="00B2258B">
              <w:rPr>
                <w:rStyle w:val="Hypertextovprepojenie"/>
                <w:noProof/>
              </w:rPr>
              <w:t>ZÁVER</w:t>
            </w:r>
            <w:r>
              <w:rPr>
                <w:noProof/>
                <w:webHidden/>
              </w:rPr>
              <w:tab/>
            </w:r>
            <w:r>
              <w:rPr>
                <w:noProof/>
                <w:webHidden/>
              </w:rPr>
              <w:fldChar w:fldCharType="begin"/>
            </w:r>
            <w:r>
              <w:rPr>
                <w:noProof/>
                <w:webHidden/>
              </w:rPr>
              <w:instrText xml:space="preserve"> PAGEREF _Toc289299952 \h </w:instrText>
            </w:r>
            <w:r>
              <w:rPr>
                <w:noProof/>
                <w:webHidden/>
              </w:rPr>
            </w:r>
            <w:r>
              <w:rPr>
                <w:noProof/>
                <w:webHidden/>
              </w:rPr>
              <w:fldChar w:fldCharType="separate"/>
            </w:r>
            <w:r>
              <w:rPr>
                <w:noProof/>
                <w:webHidden/>
              </w:rPr>
              <w:t>53</w:t>
            </w:r>
            <w:r>
              <w:rPr>
                <w:noProof/>
                <w:webHidden/>
              </w:rPr>
              <w:fldChar w:fldCharType="end"/>
            </w:r>
          </w:hyperlink>
        </w:p>
        <w:p w:rsidR="00DC1275" w:rsidRDefault="00DC1275" w:rsidP="00DC1275">
          <w:pPr>
            <w:pStyle w:val="Obsah1"/>
            <w:rPr>
              <w:rFonts w:asciiTheme="minorHAnsi" w:eastAsiaTheme="minorEastAsia" w:hAnsiTheme="minorHAnsi"/>
              <w:noProof/>
              <w:sz w:val="22"/>
              <w:lang w:eastAsia="sk-SK"/>
            </w:rPr>
          </w:pPr>
          <w:hyperlink w:anchor="_Toc289299953" w:history="1">
            <w:r w:rsidRPr="00B2258B">
              <w:rPr>
                <w:rStyle w:val="Hypertextovprepojenie"/>
                <w:rFonts w:eastAsia="Calibri"/>
                <w:noProof/>
              </w:rPr>
              <w:t>ABSTRAKT</w:t>
            </w:r>
            <w:r>
              <w:rPr>
                <w:noProof/>
                <w:webHidden/>
              </w:rPr>
              <w:tab/>
            </w:r>
            <w:r>
              <w:rPr>
                <w:noProof/>
                <w:webHidden/>
              </w:rPr>
              <w:fldChar w:fldCharType="begin"/>
            </w:r>
            <w:r>
              <w:rPr>
                <w:noProof/>
                <w:webHidden/>
              </w:rPr>
              <w:instrText xml:space="preserve"> PAGEREF _Toc289299953 \h </w:instrText>
            </w:r>
            <w:r>
              <w:rPr>
                <w:noProof/>
                <w:webHidden/>
              </w:rPr>
            </w:r>
            <w:r>
              <w:rPr>
                <w:noProof/>
                <w:webHidden/>
              </w:rPr>
              <w:fldChar w:fldCharType="separate"/>
            </w:r>
            <w:r>
              <w:rPr>
                <w:noProof/>
                <w:webHidden/>
              </w:rPr>
              <w:t>55</w:t>
            </w:r>
            <w:r>
              <w:rPr>
                <w:noProof/>
                <w:webHidden/>
              </w:rPr>
              <w:fldChar w:fldCharType="end"/>
            </w:r>
          </w:hyperlink>
        </w:p>
        <w:p w:rsidR="00DC1275" w:rsidRDefault="00DC1275" w:rsidP="00DC1275">
          <w:pPr>
            <w:pStyle w:val="Obsah1"/>
            <w:rPr>
              <w:rFonts w:asciiTheme="minorHAnsi" w:eastAsiaTheme="minorEastAsia" w:hAnsiTheme="minorHAnsi"/>
              <w:noProof/>
              <w:sz w:val="22"/>
              <w:lang w:eastAsia="sk-SK"/>
            </w:rPr>
          </w:pPr>
          <w:hyperlink w:anchor="_Toc289299954" w:history="1">
            <w:r w:rsidRPr="00B2258B">
              <w:rPr>
                <w:rStyle w:val="Hypertextovprepojenie"/>
                <w:noProof/>
                <w:lang w:val="en-US"/>
              </w:rPr>
              <w:t>ABSTRACT</w:t>
            </w:r>
            <w:r>
              <w:rPr>
                <w:noProof/>
                <w:webHidden/>
              </w:rPr>
              <w:tab/>
            </w:r>
            <w:r>
              <w:rPr>
                <w:noProof/>
                <w:webHidden/>
              </w:rPr>
              <w:fldChar w:fldCharType="begin"/>
            </w:r>
            <w:r>
              <w:rPr>
                <w:noProof/>
                <w:webHidden/>
              </w:rPr>
              <w:instrText xml:space="preserve"> PAGEREF _Toc289299954 \h </w:instrText>
            </w:r>
            <w:r>
              <w:rPr>
                <w:noProof/>
                <w:webHidden/>
              </w:rPr>
            </w:r>
            <w:r>
              <w:rPr>
                <w:noProof/>
                <w:webHidden/>
              </w:rPr>
              <w:fldChar w:fldCharType="separate"/>
            </w:r>
            <w:r>
              <w:rPr>
                <w:noProof/>
                <w:webHidden/>
              </w:rPr>
              <w:t>56</w:t>
            </w:r>
            <w:r>
              <w:rPr>
                <w:noProof/>
                <w:webHidden/>
              </w:rPr>
              <w:fldChar w:fldCharType="end"/>
            </w:r>
          </w:hyperlink>
        </w:p>
        <w:p w:rsidR="00DC1275" w:rsidRDefault="00DC1275" w:rsidP="00DC1275">
          <w:pPr>
            <w:pStyle w:val="Obsah1"/>
            <w:rPr>
              <w:rFonts w:asciiTheme="minorHAnsi" w:eastAsiaTheme="minorEastAsia" w:hAnsiTheme="minorHAnsi"/>
              <w:noProof/>
              <w:sz w:val="22"/>
              <w:lang w:eastAsia="sk-SK"/>
            </w:rPr>
          </w:pPr>
          <w:hyperlink w:anchor="_Toc289299955" w:history="1">
            <w:r w:rsidRPr="00B2258B">
              <w:rPr>
                <w:rStyle w:val="Hypertextovprepojenie"/>
                <w:noProof/>
              </w:rPr>
              <w:t>KĽÚČOVÉ SLOVÁ – KEY WORDS</w:t>
            </w:r>
            <w:r>
              <w:rPr>
                <w:noProof/>
                <w:webHidden/>
              </w:rPr>
              <w:tab/>
            </w:r>
            <w:r>
              <w:rPr>
                <w:noProof/>
                <w:webHidden/>
              </w:rPr>
              <w:fldChar w:fldCharType="begin"/>
            </w:r>
            <w:r>
              <w:rPr>
                <w:noProof/>
                <w:webHidden/>
              </w:rPr>
              <w:instrText xml:space="preserve"> PAGEREF _Toc289299955 \h </w:instrText>
            </w:r>
            <w:r>
              <w:rPr>
                <w:noProof/>
                <w:webHidden/>
              </w:rPr>
            </w:r>
            <w:r>
              <w:rPr>
                <w:noProof/>
                <w:webHidden/>
              </w:rPr>
              <w:fldChar w:fldCharType="separate"/>
            </w:r>
            <w:r>
              <w:rPr>
                <w:noProof/>
                <w:webHidden/>
              </w:rPr>
              <w:t>57</w:t>
            </w:r>
            <w:r>
              <w:rPr>
                <w:noProof/>
                <w:webHidden/>
              </w:rPr>
              <w:fldChar w:fldCharType="end"/>
            </w:r>
          </w:hyperlink>
        </w:p>
        <w:p w:rsidR="00DC1275" w:rsidRDefault="00DC1275" w:rsidP="00DC1275">
          <w:pPr>
            <w:pStyle w:val="Obsah1"/>
            <w:rPr>
              <w:rFonts w:asciiTheme="minorHAnsi" w:eastAsiaTheme="minorEastAsia" w:hAnsiTheme="minorHAnsi"/>
              <w:noProof/>
              <w:sz w:val="22"/>
              <w:lang w:eastAsia="sk-SK"/>
            </w:rPr>
          </w:pPr>
          <w:hyperlink w:anchor="_Toc289299956" w:history="1">
            <w:r w:rsidRPr="00B2258B">
              <w:rPr>
                <w:rStyle w:val="Hypertextovprepojenie"/>
                <w:noProof/>
              </w:rPr>
              <w:t>ZOZNAM POUŽITEJ LITERATÚRY</w:t>
            </w:r>
            <w:r>
              <w:rPr>
                <w:noProof/>
                <w:webHidden/>
              </w:rPr>
              <w:tab/>
            </w:r>
            <w:r>
              <w:rPr>
                <w:noProof/>
                <w:webHidden/>
              </w:rPr>
              <w:fldChar w:fldCharType="begin"/>
            </w:r>
            <w:r>
              <w:rPr>
                <w:noProof/>
                <w:webHidden/>
              </w:rPr>
              <w:instrText xml:space="preserve"> PAGEREF _Toc289299956 \h </w:instrText>
            </w:r>
            <w:r>
              <w:rPr>
                <w:noProof/>
                <w:webHidden/>
              </w:rPr>
            </w:r>
            <w:r>
              <w:rPr>
                <w:noProof/>
                <w:webHidden/>
              </w:rPr>
              <w:fldChar w:fldCharType="separate"/>
            </w:r>
            <w:r>
              <w:rPr>
                <w:noProof/>
                <w:webHidden/>
              </w:rPr>
              <w:t>58</w:t>
            </w:r>
            <w:r>
              <w:rPr>
                <w:noProof/>
                <w:webHidden/>
              </w:rPr>
              <w:fldChar w:fldCharType="end"/>
            </w:r>
          </w:hyperlink>
        </w:p>
        <w:p w:rsidR="00DC1275" w:rsidRDefault="00DC1275" w:rsidP="00DC1275">
          <w:pPr>
            <w:pStyle w:val="Obsah1"/>
            <w:rPr>
              <w:rFonts w:asciiTheme="minorHAnsi" w:eastAsiaTheme="minorEastAsia" w:hAnsiTheme="minorHAnsi"/>
              <w:noProof/>
              <w:sz w:val="22"/>
              <w:lang w:eastAsia="sk-SK"/>
            </w:rPr>
          </w:pPr>
          <w:hyperlink w:anchor="_Toc289299964" w:history="1">
            <w:r w:rsidRPr="00B2258B">
              <w:rPr>
                <w:rStyle w:val="Hypertextovprepojenie"/>
                <w:noProof/>
              </w:rPr>
              <w:t>PRÍLOHY</w:t>
            </w:r>
            <w:r>
              <w:rPr>
                <w:noProof/>
                <w:webHidden/>
              </w:rPr>
              <w:tab/>
            </w:r>
            <w:r>
              <w:rPr>
                <w:noProof/>
                <w:webHidden/>
              </w:rPr>
              <w:fldChar w:fldCharType="begin"/>
            </w:r>
            <w:r>
              <w:rPr>
                <w:noProof/>
                <w:webHidden/>
              </w:rPr>
              <w:instrText xml:space="preserve"> PAGEREF _Toc289299964 \h </w:instrText>
            </w:r>
            <w:r>
              <w:rPr>
                <w:noProof/>
                <w:webHidden/>
              </w:rPr>
            </w:r>
            <w:r>
              <w:rPr>
                <w:noProof/>
                <w:webHidden/>
              </w:rPr>
              <w:fldChar w:fldCharType="separate"/>
            </w:r>
            <w:r>
              <w:rPr>
                <w:noProof/>
                <w:webHidden/>
              </w:rPr>
              <w:t>62</w:t>
            </w:r>
            <w:r>
              <w:rPr>
                <w:noProof/>
                <w:webHidden/>
              </w:rPr>
              <w:fldChar w:fldCharType="end"/>
            </w:r>
          </w:hyperlink>
        </w:p>
        <w:p w:rsidR="00DC1275" w:rsidRDefault="00DC1275" w:rsidP="00DC1275">
          <w:pPr>
            <w:pStyle w:val="Obsah2"/>
            <w:tabs>
              <w:tab w:val="right" w:leader="dot" w:pos="9062"/>
            </w:tabs>
            <w:rPr>
              <w:rFonts w:asciiTheme="minorHAnsi" w:eastAsiaTheme="minorEastAsia" w:hAnsiTheme="minorHAnsi"/>
              <w:noProof/>
              <w:sz w:val="22"/>
              <w:lang w:eastAsia="sk-SK"/>
            </w:rPr>
          </w:pPr>
          <w:hyperlink w:anchor="_Toc289299965" w:history="1">
            <w:r w:rsidRPr="00B2258B">
              <w:rPr>
                <w:rStyle w:val="Hypertextovprepojenie"/>
                <w:noProof/>
              </w:rPr>
              <w:t>Formulár individuálnej sťažnosti</w:t>
            </w:r>
            <w:r>
              <w:rPr>
                <w:noProof/>
                <w:webHidden/>
              </w:rPr>
              <w:tab/>
            </w:r>
            <w:r>
              <w:rPr>
                <w:noProof/>
                <w:webHidden/>
              </w:rPr>
              <w:fldChar w:fldCharType="begin"/>
            </w:r>
            <w:r>
              <w:rPr>
                <w:noProof/>
                <w:webHidden/>
              </w:rPr>
              <w:instrText xml:space="preserve"> PAGEREF _Toc289299965 \h </w:instrText>
            </w:r>
            <w:r>
              <w:rPr>
                <w:noProof/>
                <w:webHidden/>
              </w:rPr>
            </w:r>
            <w:r>
              <w:rPr>
                <w:noProof/>
                <w:webHidden/>
              </w:rPr>
              <w:fldChar w:fldCharType="separate"/>
            </w:r>
            <w:r>
              <w:rPr>
                <w:noProof/>
                <w:webHidden/>
              </w:rPr>
              <w:t>62</w:t>
            </w:r>
            <w:r>
              <w:rPr>
                <w:noProof/>
                <w:webHidden/>
              </w:rPr>
              <w:fldChar w:fldCharType="end"/>
            </w:r>
          </w:hyperlink>
        </w:p>
        <w:p w:rsidR="00DC1275" w:rsidRDefault="00DC1275" w:rsidP="00DC1275">
          <w:r>
            <w:fldChar w:fldCharType="end"/>
          </w:r>
        </w:p>
      </w:sdtContent>
    </w:sdt>
    <w:p w:rsidR="00DC1275" w:rsidRPr="00C66926" w:rsidRDefault="00DC1275" w:rsidP="00DC1275">
      <w:bookmarkStart w:id="7" w:name="_Toc289299918"/>
    </w:p>
    <w:p w:rsidR="00DC1275" w:rsidRPr="00C66926" w:rsidRDefault="00DC1275" w:rsidP="00DC1275"/>
    <w:p w:rsidR="00DC1275" w:rsidRPr="00C66926" w:rsidRDefault="00DC1275" w:rsidP="00DC1275"/>
    <w:p w:rsidR="00DC1275" w:rsidRPr="00C66926" w:rsidRDefault="00DC1275" w:rsidP="00DC1275"/>
    <w:p w:rsidR="00DC1275" w:rsidRPr="00C66926" w:rsidRDefault="00DC1275" w:rsidP="00DC1275"/>
    <w:p w:rsidR="00DC1275" w:rsidRPr="00C66926" w:rsidRDefault="00DC1275" w:rsidP="00DC1275"/>
    <w:p w:rsidR="00DC1275" w:rsidRDefault="00DC1275" w:rsidP="00DC1275"/>
    <w:p w:rsidR="00DC1275" w:rsidRPr="00C66926" w:rsidRDefault="00DC1275" w:rsidP="00DC1275"/>
    <w:p w:rsidR="00DC1275" w:rsidRPr="00344F91" w:rsidRDefault="00DC1275" w:rsidP="00DC1275">
      <w:pPr>
        <w:pStyle w:val="Nadpis1"/>
      </w:pPr>
      <w:r w:rsidRPr="00344F91">
        <w:lastRenderedPageBreak/>
        <w:t>Úvod</w:t>
      </w:r>
      <w:bookmarkEnd w:id="7"/>
    </w:p>
    <w:p w:rsidR="00DC1275" w:rsidRDefault="00DC1275" w:rsidP="00DC1275">
      <w:pPr>
        <w:ind w:firstLine="708"/>
      </w:pPr>
      <w:r>
        <w:t>Ochrana ľudských práv je nevyhnutnou súčasťou právneho poriadku každého demokratického štátu a bezpochyby si zasluhuje náležitú pozornosť už len z toho dôvodu, že dostatočne vysoká úroveň takejto ochrany by mala náležať každému z nás. Názory na jej dôležitosť a prístupy k nej prekonali v priebehu rokov dlhú cestu a prešli rozmanitými zmenami a vývojom, pričom počiatok tejto cesty je možné charakterizovať skôr nedocenením dôležitosti ochraňovania ľudských práv. V súčasnosti sa na ňu kladie podstatný dôraz a ľudským právam je poskytovaná ochrana prostredníctvom viacerých právne záväzných dokumentov. Vývoj ešte v každom prípade nie je u konca. Spôsoby ochrany dostávajú stále pragmatickejší nádych s úmyslom ochrániť jednotlivca pred nedovolenými zásahmi či obmedzeniami jeho základných práv a slobôd.</w:t>
      </w:r>
    </w:p>
    <w:p w:rsidR="00DC1275" w:rsidRDefault="00DC1275" w:rsidP="00DC1275">
      <w:pPr>
        <w:ind w:firstLine="708"/>
      </w:pPr>
      <w:r>
        <w:t xml:space="preserve">Najväčší dôraz na ochranu ľudských práv by mal byť kladený predovšetkým na národnej úrovni každého štátu. Tu má jednotlivec zvyčajne príležitosť využiť početné spôsoby ochrany cez klasické súdne konanie, prípadne alternatívne spôsoby riešenia sporov, končiac sťažnosťou na Ústavný súd. Až po bezúspešnom vyčerpaní všetkých účinných vnútroštátnych prostriedkov nápravy je vôbec možné pomýšľať na ochranu na medzinárodnej úrovni. </w:t>
      </w:r>
    </w:p>
    <w:p w:rsidR="00DC1275" w:rsidRDefault="00DC1275" w:rsidP="00DC1275">
      <w:pPr>
        <w:ind w:firstLine="708"/>
      </w:pPr>
      <w:r>
        <w:t>Jedným z najlepšie fungujúcich nadnárodných systémov ľudsko-právnej ochrany na európskom kontinente je nepochybne systém v rámci Rady Európy. Ústredným dokumentom, ktorý upravuje jednotlivé aspekty ochrany je Európsky dohovor o ochrane ľudských práv a základných slobôd. Do dnešného dňa boli jeho ustanovenia doplnené, či pozmenené štrnástimi dodatkovými protokolmi. Tieto jednotlivé protokoly ako i samotný hlavný dokument musia štáty najskôr ratifikovať, až následne im z nich môžu vyplynúť stanovené povinnosti.</w:t>
      </w:r>
    </w:p>
    <w:p w:rsidR="00DC1275" w:rsidRDefault="00DC1275" w:rsidP="00DC1275">
      <w:pPr>
        <w:ind w:firstLine="708"/>
      </w:pPr>
      <w:r>
        <w:t>Táto diplomová práca si kladie za cieľ zamerať sa na analýzu a efektivitu ochrany ľudských práv poskytovanú týmto medzinárodným dokumentom, ktorý sprostredkúva jednotlivcovi možnosť obrátiť sa na Európsky súd pre ľudské práva s individuálnou sťažnosťou na porušenie ľudských práv a tak sa prípadne domôcť spravodlivosti, ktorá mu bola odoprená pred vnútroštátnymi orgánmi. Zároveň by som sa chcela sústrediť na zodpovedanie otázky, nakoľko formalistický je prístup Európskeho súdu pre ľudské práva pri procese prijímania individuálnych sťažností, prípadne či je schopný dostatočne flexibilne zohľadniť konkrétnu situáciu a potreby sťažovateľa.</w:t>
      </w:r>
    </w:p>
    <w:p w:rsidR="00DC1275" w:rsidRDefault="00DC1275" w:rsidP="00DC1275">
      <w:pPr>
        <w:ind w:firstLine="708"/>
      </w:pPr>
      <w:r>
        <w:lastRenderedPageBreak/>
        <w:t>Vzhľadom na to, že problematika individuálnych sťažností je témou pomerne rozsiahlou a pri jej komplexnom spracovaní by som zďaleka prekročila rozsah tejto práce, rozhodla som sa podrobnejšie zamerať hlavne na vymedzenie podmienok úspešného podania sťažností, definovanie postavenia subjektov, ktorých sa sťažnosť môže týkať a rozsahu jednotlivých kompetencií Európskeho súdu pre ľudské práva.</w:t>
      </w:r>
    </w:p>
    <w:p w:rsidR="00DC1275" w:rsidRDefault="00DC1275" w:rsidP="00DC1275">
      <w:r>
        <w:tab/>
        <w:t>Hlavný obsah práce sa celkovo člení na 4 kapitoly. Prvá z nich je úvodným náhľadom do problematiky ľudských práv a jej účelom je priblížiť čitateľovi všeobecný predmet práce, ktorým ľudské práva</w:t>
      </w:r>
      <w:r w:rsidRPr="006C09D3">
        <w:t xml:space="preserve"> </w:t>
      </w:r>
      <w:r>
        <w:t xml:space="preserve">sú a objasniť ich vývoj a vzájomné vzťahy v širších súvislostiach. Druhá kapitola sa sústredí na Európsky dohovor o ochrane ľudských práv a základných slobôd ako hlavný dokument, pod ktorého záštitou sa realizuje ochrana ľudských práv v rámci Rady Európy. Tretia kapitola je samotným jadrom diplomovej práce a rozvíja základné otázky súvisiace s podávaním sťažností, legitimáciou dotknutých subjektov a ďalších podmienok prijateľnosti, ktoré musia byť nutne splnené, aby sa Európsky súd pre ľudské práva sťažnosťou vôbec zaoberal. Ďalej sa zameriava na rozsah kompetencií Európskeho súdu pre ľudské práva, ktoré určujú limity jeho jurisdikcie pri prijímaní a posudzovaní sťažností. V závere sú zhrnuté zistené poznatky a zodpovedaná výskumná otázka. </w:t>
      </w:r>
    </w:p>
    <w:p w:rsidR="00DC1275" w:rsidRDefault="00DC1275" w:rsidP="00DC1275">
      <w:pPr>
        <w:ind w:firstLine="708"/>
      </w:pPr>
      <w:r>
        <w:t xml:space="preserve">Ako primárne zdroje pre diplomovú prácu som využila najmä slovenské a české knižné publikácie, zároveň som sa však snažila čerpať názory i zo zahraničnej literatúry, najmä anglickej. Tieto pramene som doplnila o judikatúru Európskeho súdu pre ľudské práva, informácie z článkov v odborných časopisoch, a samozrejme, o ustanovenia Európskeho dohovoru o ochrane ľudských práv a základných slobôd. </w:t>
      </w:r>
    </w:p>
    <w:p w:rsidR="00DC1275" w:rsidRDefault="00DC1275" w:rsidP="00DC1275">
      <w:pPr>
        <w:pStyle w:val="Hlavikaobsahu"/>
      </w:pPr>
    </w:p>
    <w:p w:rsidR="00DC1275" w:rsidRDefault="00DC1275" w:rsidP="00DC1275">
      <w:pPr>
        <w:spacing w:after="200" w:line="276" w:lineRule="auto"/>
        <w:jc w:val="left"/>
        <w:rPr>
          <w:rFonts w:cs="Times New Roman"/>
          <w:b/>
          <w:sz w:val="28"/>
          <w:szCs w:val="24"/>
        </w:rPr>
      </w:pPr>
      <w:r>
        <w:rPr>
          <w:rFonts w:cs="Times New Roman"/>
          <w:b/>
          <w:sz w:val="28"/>
          <w:szCs w:val="24"/>
        </w:rPr>
        <w:br w:type="page"/>
      </w:r>
    </w:p>
    <w:p w:rsidR="00DC1275" w:rsidRPr="00CF4639" w:rsidRDefault="00DC1275" w:rsidP="00DC1275">
      <w:pPr>
        <w:pStyle w:val="Nadpis1"/>
        <w:numPr>
          <w:ilvl w:val="0"/>
          <w:numId w:val="6"/>
        </w:numPr>
        <w:rPr>
          <w:rFonts w:cs="Times New Roman"/>
        </w:rPr>
      </w:pPr>
      <w:bookmarkStart w:id="8" w:name="_Toc288653436"/>
      <w:bookmarkStart w:id="9" w:name="_Toc289299919"/>
      <w:r w:rsidRPr="00CF4639">
        <w:rPr>
          <w:rFonts w:cs="Times New Roman"/>
        </w:rPr>
        <w:lastRenderedPageBreak/>
        <w:t>Ľudské práva a rozmanité spôsoby ich ochrany</w:t>
      </w:r>
      <w:bookmarkEnd w:id="8"/>
      <w:bookmarkEnd w:id="9"/>
    </w:p>
    <w:p w:rsidR="00DC1275" w:rsidRPr="00CF4639" w:rsidRDefault="00DC1275" w:rsidP="00DC1275">
      <w:pPr>
        <w:pStyle w:val="Nadpis2"/>
        <w:numPr>
          <w:ilvl w:val="1"/>
          <w:numId w:val="3"/>
        </w:numPr>
        <w:ind w:left="0"/>
        <w:rPr>
          <w:rFonts w:cs="Times New Roman"/>
        </w:rPr>
      </w:pPr>
      <w:bookmarkStart w:id="10" w:name="_Toc288653437"/>
      <w:bookmarkStart w:id="11" w:name="_Toc289299920"/>
      <w:r w:rsidRPr="00CF4639">
        <w:rPr>
          <w:rFonts w:cs="Times New Roman"/>
        </w:rPr>
        <w:t>Úvod do teórie ľudských práv</w:t>
      </w:r>
      <w:bookmarkEnd w:id="10"/>
      <w:bookmarkEnd w:id="11"/>
    </w:p>
    <w:p w:rsidR="00DC1275" w:rsidRPr="008951F1" w:rsidRDefault="00DC1275" w:rsidP="00DC1275">
      <w:pPr>
        <w:ind w:firstLine="708"/>
        <w:rPr>
          <w:rFonts w:cs="Times New Roman"/>
        </w:rPr>
      </w:pPr>
      <w:r>
        <w:rPr>
          <w:rFonts w:cs="Times New Roman"/>
        </w:rPr>
        <w:t>Pojem „ľudské práva“ už samotným spojením slov rovnako výstižne vypovedá o ich povahe, ako aj pôvode – sú to práva, ktoré patria jednotlivcovi len z toho dôvodu, že je človekom. Keďže status človeka prislúcha všetkým ľudským bytostiam a nie je možné ho nikomu odňať, užívajú ľudské práva všetci v rovnakej miere a bez možnosti scudzenia.</w:t>
      </w:r>
      <w:r>
        <w:rPr>
          <w:rStyle w:val="Odkaznapoznmkupodiarou"/>
          <w:rFonts w:cs="Times New Roman"/>
        </w:rPr>
        <w:footnoteReference w:id="1"/>
      </w:r>
      <w:r>
        <w:rPr>
          <w:rFonts w:cs="Times New Roman"/>
        </w:rPr>
        <w:t xml:space="preserve"> Ľudské práva sa, či už zo všeobecného alebo historického hľadiska, dotýkajú predovšetkým vzťahov medzi</w:t>
      </w:r>
      <w:r w:rsidRPr="008951F1">
        <w:rPr>
          <w:rFonts w:cs="Times New Roman"/>
        </w:rPr>
        <w:t xml:space="preserve"> </w:t>
      </w:r>
      <w:r>
        <w:rPr>
          <w:rFonts w:cs="Times New Roman"/>
        </w:rPr>
        <w:t>ľuďmi a im nadradenej autority.</w:t>
      </w:r>
      <w:r>
        <w:rPr>
          <w:rStyle w:val="Odkaznapoznmkupodiarou"/>
          <w:rFonts w:cs="Times New Roman"/>
        </w:rPr>
        <w:footnoteReference w:id="2"/>
      </w:r>
      <w:r>
        <w:rPr>
          <w:rFonts w:cs="Times New Roman"/>
        </w:rPr>
        <w:t xml:space="preserve"> Pravdaže, n</w:t>
      </w:r>
      <w:r w:rsidRPr="008951F1">
        <w:rPr>
          <w:rFonts w:cs="Times New Roman"/>
        </w:rPr>
        <w:t xml:space="preserve">ie </w:t>
      </w:r>
      <w:r>
        <w:rPr>
          <w:rFonts w:cs="Times New Roman"/>
        </w:rPr>
        <w:t>sú len výdobytkom dnešnej doby, e</w:t>
      </w:r>
      <w:r w:rsidRPr="008951F1">
        <w:rPr>
          <w:rFonts w:cs="Times New Roman"/>
        </w:rPr>
        <w:t xml:space="preserve">xistovali už dávno pred </w:t>
      </w:r>
      <w:r>
        <w:rPr>
          <w:rFonts w:cs="Times New Roman"/>
        </w:rPr>
        <w:t>vznikom prvých štátnych útvarov</w:t>
      </w:r>
      <w:r w:rsidRPr="008951F1">
        <w:rPr>
          <w:rFonts w:cs="Times New Roman"/>
        </w:rPr>
        <w:t xml:space="preserve">. Vzájomné prepojenie ľudských práv a štátu je </w:t>
      </w:r>
      <w:r>
        <w:rPr>
          <w:rFonts w:cs="Times New Roman"/>
        </w:rPr>
        <w:t>zásadné pre určovanie</w:t>
      </w:r>
      <w:r w:rsidRPr="008951F1">
        <w:rPr>
          <w:rFonts w:cs="Times New Roman"/>
        </w:rPr>
        <w:t xml:space="preserve"> obsahu a rozsahu ľudských práv. Rovnako kľúčovým prvkom je aj ich uplatniteľnosť zaručovaná štátom. Môžeme povedať, že štát svojim občanom garantuje väčšiu paletu ľudských práv, než majú na jeho území cudzinci, alebo bezdomovci, a to najmä v oblasti politických a sociálnych práv. </w:t>
      </w:r>
    </w:p>
    <w:p w:rsidR="00DC1275" w:rsidRDefault="00DC1275" w:rsidP="00DC1275">
      <w:pPr>
        <w:ind w:firstLine="708"/>
        <w:rPr>
          <w:rFonts w:cs="Times New Roman"/>
        </w:rPr>
      </w:pPr>
      <w:r w:rsidRPr="008951F1">
        <w:rPr>
          <w:rFonts w:cs="Times New Roman"/>
        </w:rPr>
        <w:t>Najdôležitejšou úlohou na úrovni štátu v oblasti ľudských práv stále zostáva ich ochrana, pri</w:t>
      </w:r>
      <w:r>
        <w:rPr>
          <w:rFonts w:cs="Times New Roman"/>
        </w:rPr>
        <w:t>čom proces</w:t>
      </w:r>
      <w:r w:rsidRPr="008951F1">
        <w:rPr>
          <w:rFonts w:cs="Times New Roman"/>
        </w:rPr>
        <w:t xml:space="preserve"> a spôsob</w:t>
      </w:r>
      <w:r>
        <w:rPr>
          <w:rFonts w:cs="Times New Roman"/>
        </w:rPr>
        <w:t>y</w:t>
      </w:r>
      <w:r w:rsidRPr="008951F1">
        <w:rPr>
          <w:rFonts w:cs="Times New Roman"/>
        </w:rPr>
        <w:t xml:space="preserve"> </w:t>
      </w:r>
      <w:r>
        <w:rPr>
          <w:rFonts w:cs="Times New Roman"/>
        </w:rPr>
        <w:t>jej realizácie</w:t>
      </w:r>
      <w:r w:rsidRPr="008951F1">
        <w:rPr>
          <w:rFonts w:cs="Times New Roman"/>
        </w:rPr>
        <w:t xml:space="preserve"> sa neustále vyvíja</w:t>
      </w:r>
      <w:r>
        <w:rPr>
          <w:rFonts w:cs="Times New Roman"/>
        </w:rPr>
        <w:t>jú</w:t>
      </w:r>
      <w:r w:rsidRPr="008951F1">
        <w:rPr>
          <w:rFonts w:cs="Times New Roman"/>
        </w:rPr>
        <w:t>.</w:t>
      </w:r>
      <w:r>
        <w:rPr>
          <w:rFonts w:cs="Times New Roman"/>
        </w:rPr>
        <w:t xml:space="preserve"> V minulosti </w:t>
      </w:r>
      <w:r w:rsidRPr="008951F1">
        <w:rPr>
          <w:rFonts w:cs="Times New Roman"/>
        </w:rPr>
        <w:t>spočívala hlavne v snahe chrániť občana pred z</w:t>
      </w:r>
      <w:r>
        <w:rPr>
          <w:rFonts w:cs="Times New Roman"/>
        </w:rPr>
        <w:t>as</w:t>
      </w:r>
      <w:r w:rsidRPr="008951F1">
        <w:rPr>
          <w:rFonts w:cs="Times New Roman"/>
        </w:rPr>
        <w:t>aho</w:t>
      </w:r>
      <w:r>
        <w:rPr>
          <w:rFonts w:cs="Times New Roman"/>
        </w:rPr>
        <w:t>vaním</w:t>
      </w:r>
      <w:r w:rsidRPr="008951F1">
        <w:rPr>
          <w:rFonts w:cs="Times New Roman"/>
        </w:rPr>
        <w:t xml:space="preserve"> do jeho ľudských práv. Keďže porušiteľom týchto práv mohol byť predovšetkým štát, boli to štátne orgány, ktoré sa mali zdržať určitého konania, ktoré by predstavovalo ohrozenie pre ľudské práva. </w:t>
      </w:r>
      <w:r>
        <w:rPr>
          <w:rFonts w:cs="Times New Roman"/>
        </w:rPr>
        <w:t xml:space="preserve">V prípade, že by </w:t>
      </w:r>
      <w:r w:rsidRPr="008951F1">
        <w:rPr>
          <w:rFonts w:cs="Times New Roman"/>
        </w:rPr>
        <w:t xml:space="preserve">takýto zákrok bol nutný, musel byť </w:t>
      </w:r>
      <w:r>
        <w:rPr>
          <w:rFonts w:cs="Times New Roman"/>
        </w:rPr>
        <w:t>uskutočnený</w:t>
      </w:r>
      <w:r w:rsidRPr="008951F1">
        <w:rPr>
          <w:rFonts w:cs="Times New Roman"/>
        </w:rPr>
        <w:t xml:space="preserve"> v čo najmenšej miere tak, aby čo najviac zostala zachovaná podstata ľudského práva. Postupom času sa však úloha štátu v ochrane ľudských práv začala meniť. Už nestačilo zabezpečovať len pasívnu ochranu, bola potrebná </w:t>
      </w:r>
      <w:r>
        <w:rPr>
          <w:rFonts w:cs="Times New Roman"/>
        </w:rPr>
        <w:t>jeho aktívna ingerencia</w:t>
      </w:r>
      <w:r w:rsidRPr="008951F1">
        <w:rPr>
          <w:rFonts w:cs="Times New Roman"/>
        </w:rPr>
        <w:t xml:space="preserve">. </w:t>
      </w:r>
    </w:p>
    <w:p w:rsidR="00DC1275" w:rsidRPr="008951F1" w:rsidRDefault="00DC1275" w:rsidP="00DC1275">
      <w:pPr>
        <w:ind w:firstLine="708"/>
        <w:rPr>
          <w:rFonts w:cs="Times New Roman"/>
        </w:rPr>
      </w:pPr>
      <w:r w:rsidRPr="008951F1">
        <w:rPr>
          <w:rFonts w:cs="Times New Roman"/>
        </w:rPr>
        <w:t>V druhej polovici 20. storočia prispela najmä judikatúra Európskeho súdu pre ľudské práva a Ústavného súdu Spolkovej republiky Nemecko k vytvoreniu teórie tzv. pozitívneho záväzku. Jej zmyslom je, že štát môže porušiť ľudské práva nielen svojím aktívnym prístupom, ale rovnako aj omisívnym postojom v prípadoch, kedy by do ochrany práv mal aktívne zasiahnuť</w:t>
      </w:r>
      <w:r>
        <w:rPr>
          <w:rFonts w:cs="Times New Roman"/>
        </w:rPr>
        <w:t>. Všetky orgány štátu,</w:t>
      </w:r>
      <w:r w:rsidRPr="008951F1">
        <w:rPr>
          <w:rFonts w:cs="Times New Roman"/>
        </w:rPr>
        <w:t xml:space="preserve"> vrátane zákonodarných, majú povinnosť vytvárať podmien</w:t>
      </w:r>
      <w:r>
        <w:rPr>
          <w:rFonts w:cs="Times New Roman"/>
        </w:rPr>
        <w:t>ky pre realizáciu ľudských práv</w:t>
      </w:r>
      <w:r w:rsidRPr="008951F1">
        <w:rPr>
          <w:rFonts w:cs="Times New Roman"/>
        </w:rPr>
        <w:t xml:space="preserve"> a k porušeniu tejto povinnosti môže dôjsť i tým, že neprijmú adekvátne zákony nevyhnutné na realizáciu ľudských práv.</w:t>
      </w:r>
    </w:p>
    <w:p w:rsidR="00DC1275" w:rsidRPr="008951F1" w:rsidRDefault="00DC1275" w:rsidP="00DC1275">
      <w:pPr>
        <w:ind w:firstLine="708"/>
        <w:rPr>
          <w:rFonts w:cs="Times New Roman"/>
        </w:rPr>
      </w:pPr>
      <w:r w:rsidRPr="008951F1">
        <w:rPr>
          <w:rFonts w:cs="Times New Roman"/>
        </w:rPr>
        <w:t xml:space="preserve">Skutočnosť, že štát pozitívne zasahuje do sociálnych, hospodárskych, osobných i politických práv človeka, sa môže javiť ako určitá forma podriaďovania občianskej </w:t>
      </w:r>
      <w:r w:rsidRPr="008951F1">
        <w:rPr>
          <w:rFonts w:cs="Times New Roman"/>
        </w:rPr>
        <w:lastRenderedPageBreak/>
        <w:t xml:space="preserve">spoločnosti štátu. Hlavnou úlohou štátu v súčasnosti </w:t>
      </w:r>
      <w:r>
        <w:rPr>
          <w:rFonts w:cs="Times New Roman"/>
        </w:rPr>
        <w:t>je preto</w:t>
      </w:r>
      <w:r w:rsidRPr="008951F1">
        <w:rPr>
          <w:rFonts w:cs="Times New Roman"/>
        </w:rPr>
        <w:t xml:space="preserve"> presvedčiť občana, že existencia štátu a jeho činnosť slúži v jeho prospech. Ak tomu tak nie je, má občan možnosť a právo preberať funkcie štátu, či už priamo (referendom, územnou</w:t>
      </w:r>
      <w:r>
        <w:rPr>
          <w:rFonts w:cs="Times New Roman"/>
        </w:rPr>
        <w:t xml:space="preserve"> a </w:t>
      </w:r>
      <w:r w:rsidRPr="008951F1">
        <w:rPr>
          <w:rFonts w:cs="Times New Roman"/>
        </w:rPr>
        <w:t>záujmovou samosprávou) alebo nepriamo (prostredníctvom mimovládnych organizácií, prípadne masmédií).</w:t>
      </w:r>
    </w:p>
    <w:p w:rsidR="00DC1275" w:rsidRDefault="00DC1275" w:rsidP="00DC1275">
      <w:pPr>
        <w:ind w:firstLine="708"/>
        <w:rPr>
          <w:rFonts w:cs="Times New Roman"/>
        </w:rPr>
      </w:pPr>
      <w:r>
        <w:rPr>
          <w:rFonts w:cs="Times New Roman"/>
        </w:rPr>
        <w:t>Samozrejme, o</w:t>
      </w:r>
      <w:r w:rsidRPr="008951F1">
        <w:rPr>
          <w:rFonts w:cs="Times New Roman"/>
        </w:rPr>
        <w:t xml:space="preserve">bjektívne existujúce práva </w:t>
      </w:r>
      <w:r>
        <w:rPr>
          <w:rFonts w:cs="Times New Roman"/>
        </w:rPr>
        <w:t xml:space="preserve">sú najviac prínosnými len vtedy, keď má jednotlivec </w:t>
      </w:r>
      <w:r w:rsidRPr="008951F1">
        <w:rPr>
          <w:rFonts w:cs="Times New Roman"/>
        </w:rPr>
        <w:t xml:space="preserve">subjektívny nárok domôcť sa svojho porušovaného práva a zaistiť tak jeho </w:t>
      </w:r>
      <w:r>
        <w:rPr>
          <w:rFonts w:cs="Times New Roman"/>
        </w:rPr>
        <w:t xml:space="preserve">efektívnu </w:t>
      </w:r>
      <w:r w:rsidRPr="008951F1">
        <w:rPr>
          <w:rFonts w:cs="Times New Roman"/>
        </w:rPr>
        <w:t>ochranu.</w:t>
      </w:r>
      <w:r w:rsidRPr="008951F1">
        <w:rPr>
          <w:rStyle w:val="Odkaznapoznmkupodiarou"/>
          <w:rFonts w:cs="Times New Roman"/>
        </w:rPr>
        <w:footnoteReference w:id="3"/>
      </w:r>
    </w:p>
    <w:p w:rsidR="00DC1275" w:rsidRPr="008951F1" w:rsidRDefault="00DC1275" w:rsidP="00DC1275">
      <w:pPr>
        <w:ind w:firstLine="708"/>
        <w:rPr>
          <w:rFonts w:cs="Times New Roman"/>
        </w:rPr>
      </w:pPr>
    </w:p>
    <w:p w:rsidR="00DC1275" w:rsidRPr="008951F1" w:rsidRDefault="00DC1275" w:rsidP="00DC1275">
      <w:pPr>
        <w:pStyle w:val="Nadpis2"/>
        <w:numPr>
          <w:ilvl w:val="1"/>
          <w:numId w:val="7"/>
        </w:numPr>
        <w:ind w:left="0"/>
        <w:rPr>
          <w:rFonts w:cs="Times New Roman"/>
        </w:rPr>
      </w:pPr>
      <w:bookmarkStart w:id="12" w:name="_Toc288653438"/>
      <w:bookmarkStart w:id="13" w:name="_Toc289299921"/>
      <w:r w:rsidRPr="008951F1">
        <w:rPr>
          <w:rFonts w:cs="Times New Roman"/>
        </w:rPr>
        <w:t>Systémy ochrany ľudských práv</w:t>
      </w:r>
      <w:bookmarkEnd w:id="12"/>
      <w:bookmarkEnd w:id="13"/>
    </w:p>
    <w:p w:rsidR="00DC1275" w:rsidRPr="008951F1" w:rsidRDefault="00DC1275" w:rsidP="00DC1275">
      <w:pPr>
        <w:ind w:firstLine="708"/>
        <w:rPr>
          <w:rFonts w:cs="Times New Roman"/>
        </w:rPr>
      </w:pPr>
      <w:r w:rsidRPr="008951F1">
        <w:rPr>
          <w:rFonts w:cs="Times New Roman"/>
        </w:rPr>
        <w:t>Do 20. storočia prebiehala ochrana ľudských práv na vnútroštátnom princípe</w:t>
      </w:r>
      <w:r>
        <w:rPr>
          <w:rFonts w:cs="Times New Roman"/>
        </w:rPr>
        <w:t xml:space="preserve"> ochrany. Znamenalo to, že štát</w:t>
      </w:r>
      <w:r w:rsidRPr="008951F1">
        <w:rPr>
          <w:rFonts w:cs="Times New Roman"/>
        </w:rPr>
        <w:t xml:space="preserve"> zaručoval ochranu práv len do takej miery, do akej si to </w:t>
      </w:r>
      <w:r>
        <w:rPr>
          <w:rFonts w:cs="Times New Roman"/>
        </w:rPr>
        <w:t>vynútili samotní</w:t>
      </w:r>
      <w:r w:rsidRPr="008951F1">
        <w:rPr>
          <w:rFonts w:cs="Times New Roman"/>
        </w:rPr>
        <w:t xml:space="preserve"> občania. Postupom času dochádzalo k zdokonaľovaniu tohto mechanizmu, ktorý sa až do súčasného obdobia vyvinul v jednotlivých krajinách odlišne v závislosti od právno-kultúrneho prostredia každého štátu.</w:t>
      </w:r>
    </w:p>
    <w:p w:rsidR="00DC1275" w:rsidRDefault="00DC1275" w:rsidP="00DC1275">
      <w:pPr>
        <w:ind w:firstLine="708"/>
        <w:rPr>
          <w:rFonts w:cs="Times New Roman"/>
        </w:rPr>
      </w:pPr>
      <w:r w:rsidRPr="008951F1">
        <w:rPr>
          <w:rFonts w:cs="Times New Roman"/>
        </w:rPr>
        <w:t>V </w:t>
      </w:r>
      <w:r w:rsidRPr="008951F1">
        <w:rPr>
          <w:rFonts w:cs="Times New Roman"/>
          <w:i/>
        </w:rPr>
        <w:t>anglo-americkom modeli</w:t>
      </w:r>
      <w:r w:rsidRPr="008951F1">
        <w:rPr>
          <w:rFonts w:cs="Times New Roman"/>
        </w:rPr>
        <w:t xml:space="preserve"> vnútroštátnej ochrany vystupuje do popredia postavenie všeobe</w:t>
      </w:r>
      <w:r>
        <w:rPr>
          <w:rFonts w:cs="Times New Roman"/>
        </w:rPr>
        <w:t>cného súdnictva,</w:t>
      </w:r>
      <w:r w:rsidRPr="008951F1">
        <w:rPr>
          <w:rFonts w:cs="Times New Roman"/>
        </w:rPr>
        <w:t> predovšetkým najvyšších súdov. Súdy okrem ochran</w:t>
      </w:r>
      <w:r>
        <w:rPr>
          <w:rFonts w:cs="Times New Roman"/>
        </w:rPr>
        <w:t>y ľudských práv</w:t>
      </w:r>
      <w:r w:rsidRPr="008951F1">
        <w:rPr>
          <w:rFonts w:cs="Times New Roman"/>
        </w:rPr>
        <w:t xml:space="preserve"> tieto zároveň aj priamo </w:t>
      </w:r>
      <w:r>
        <w:rPr>
          <w:rFonts w:cs="Times New Roman"/>
        </w:rPr>
        <w:t>vytvárajú</w:t>
      </w:r>
      <w:r w:rsidRPr="008951F1">
        <w:rPr>
          <w:rFonts w:cs="Times New Roman"/>
        </w:rPr>
        <w:t xml:space="preserve"> tým, že obsah ľudských práv vychádza z hraníc prípustných zásahov štátu do absolútnej slobody jednotlivca. Konkrétny obsah ľudských práv je teda vymedzený týmito hranicami.</w:t>
      </w:r>
      <w:r>
        <w:rPr>
          <w:rFonts w:cs="Times New Roman"/>
        </w:rPr>
        <w:t xml:space="preserve"> </w:t>
      </w:r>
    </w:p>
    <w:p w:rsidR="00DC1275" w:rsidRDefault="00DC1275" w:rsidP="00DC1275">
      <w:pPr>
        <w:ind w:firstLine="708"/>
        <w:rPr>
          <w:rFonts w:cs="Times New Roman"/>
        </w:rPr>
      </w:pPr>
      <w:r w:rsidRPr="008951F1">
        <w:rPr>
          <w:rFonts w:cs="Times New Roman"/>
        </w:rPr>
        <w:t>V </w:t>
      </w:r>
      <w:r w:rsidRPr="008951F1">
        <w:rPr>
          <w:rFonts w:cs="Times New Roman"/>
          <w:i/>
        </w:rPr>
        <w:t>kontinentálnej Európe</w:t>
      </w:r>
      <w:r w:rsidRPr="008951F1">
        <w:rPr>
          <w:rFonts w:cs="Times New Roman"/>
        </w:rPr>
        <w:t xml:space="preserve"> sú ľudské práva obsiahnuté v štátnych dokumentoch najvyššej právnej sily a z nich vychádzajú súdy najmä pri výkone tzv. správneho súdnictva. Rôznymi modelmi ústavného súdnictva, vypracovanými najmä počas 20.</w:t>
      </w:r>
      <w:r>
        <w:rPr>
          <w:rFonts w:cs="Times New Roman"/>
        </w:rPr>
        <w:t xml:space="preserve"> </w:t>
      </w:r>
      <w:r w:rsidRPr="008951F1">
        <w:rPr>
          <w:rFonts w:cs="Times New Roman"/>
        </w:rPr>
        <w:t xml:space="preserve">storočia, sa najprv kontroloval parlament, aby zákonnou cestou neobmedzoval ľudské práva zakotvené v ústave. Postupom času </w:t>
      </w:r>
      <w:r>
        <w:rPr>
          <w:rFonts w:cs="Times New Roman"/>
        </w:rPr>
        <w:t xml:space="preserve">sa </w:t>
      </w:r>
      <w:r w:rsidRPr="008951F1">
        <w:rPr>
          <w:rFonts w:cs="Times New Roman"/>
        </w:rPr>
        <w:t xml:space="preserve">do kompetencií ústavných súdov </w:t>
      </w:r>
      <w:r>
        <w:rPr>
          <w:rFonts w:cs="Times New Roman"/>
        </w:rPr>
        <w:t>začlenil</w:t>
      </w:r>
      <w:r w:rsidRPr="008951F1">
        <w:rPr>
          <w:rFonts w:cs="Times New Roman"/>
        </w:rPr>
        <w:t xml:space="preserve"> aj prvok konkrétnej kontroly ústavnosti. Znamená to, že pred ústavným súdom môžu ochranu svojich práv uplatňovať aj občania v konkrétnych prípadoch. </w:t>
      </w:r>
    </w:p>
    <w:p w:rsidR="00DC1275" w:rsidRDefault="00DC1275" w:rsidP="00DC1275">
      <w:pPr>
        <w:ind w:firstLine="708"/>
        <w:rPr>
          <w:rFonts w:cs="Times New Roman"/>
        </w:rPr>
      </w:pPr>
      <w:r>
        <w:rPr>
          <w:rFonts w:cs="Times New Roman"/>
        </w:rPr>
        <w:t>Skutočnú pozornosť si ľudské</w:t>
      </w:r>
      <w:r w:rsidRPr="008951F1">
        <w:rPr>
          <w:rFonts w:cs="Times New Roman"/>
        </w:rPr>
        <w:t xml:space="preserve"> práv</w:t>
      </w:r>
      <w:r>
        <w:rPr>
          <w:rFonts w:cs="Times New Roman"/>
        </w:rPr>
        <w:t>a vyslúžili až</w:t>
      </w:r>
      <w:r w:rsidRPr="008951F1">
        <w:rPr>
          <w:rFonts w:cs="Times New Roman"/>
        </w:rPr>
        <w:t xml:space="preserve"> </w:t>
      </w:r>
      <w:r>
        <w:rPr>
          <w:rFonts w:cs="Times New Roman"/>
        </w:rPr>
        <w:t>po II. svetovej vojne. Práve v tomto období sa zaradila ochrana ľudských práv k</w:t>
      </w:r>
      <w:r w:rsidRPr="008951F1">
        <w:rPr>
          <w:rFonts w:cs="Times New Roman"/>
        </w:rPr>
        <w:t xml:space="preserve"> základným princípom medzinárodného práva a</w:t>
      </w:r>
      <w:r>
        <w:rPr>
          <w:rFonts w:cs="Times New Roman"/>
        </w:rPr>
        <w:t xml:space="preserve"> stala sa </w:t>
      </w:r>
      <w:r w:rsidRPr="008951F1">
        <w:rPr>
          <w:rFonts w:cs="Times New Roman"/>
        </w:rPr>
        <w:t>základom budovania nadštátnych integračných zoskupení.</w:t>
      </w:r>
      <w:r>
        <w:rPr>
          <w:rFonts w:cs="Times New Roman"/>
        </w:rPr>
        <w:t xml:space="preserve"> </w:t>
      </w:r>
      <w:r w:rsidRPr="008951F1">
        <w:rPr>
          <w:rFonts w:cs="Times New Roman"/>
        </w:rPr>
        <w:t>Na to, aby štát mohol byť členom nadštátneho integračného zoskupenia, či už univer</w:t>
      </w:r>
      <w:r>
        <w:rPr>
          <w:rFonts w:cs="Times New Roman"/>
        </w:rPr>
        <w:t>zálneho alebo regionálneho, musel</w:t>
      </w:r>
      <w:r w:rsidRPr="008951F1">
        <w:rPr>
          <w:rFonts w:cs="Times New Roman"/>
        </w:rPr>
        <w:t xml:space="preserve"> splniť podmienku prijatia katalógu ľudských práv, rovnako aj dobrovoľné sa podriadenie štátu </w:t>
      </w:r>
      <w:r w:rsidRPr="008951F1">
        <w:rPr>
          <w:rFonts w:cs="Times New Roman"/>
        </w:rPr>
        <w:lastRenderedPageBreak/>
        <w:t>nadštátnym mechanizmom ochrany týchto práv.</w:t>
      </w:r>
      <w:r>
        <w:rPr>
          <w:rFonts w:cs="Times New Roman"/>
        </w:rPr>
        <w:t xml:space="preserve"> </w:t>
      </w:r>
      <w:r w:rsidRPr="008951F1">
        <w:rPr>
          <w:rFonts w:cs="Times New Roman"/>
        </w:rPr>
        <w:t xml:space="preserve">V prípade nerešpektovania </w:t>
      </w:r>
      <w:r>
        <w:rPr>
          <w:rFonts w:cs="Times New Roman"/>
        </w:rPr>
        <w:t>uvedeného</w:t>
      </w:r>
      <w:r w:rsidRPr="008951F1">
        <w:rPr>
          <w:rFonts w:cs="Times New Roman"/>
        </w:rPr>
        <w:t xml:space="preserve"> princ</w:t>
      </w:r>
      <w:r>
        <w:rPr>
          <w:rFonts w:cs="Times New Roman"/>
        </w:rPr>
        <w:t>ípu, mohol</w:t>
      </w:r>
      <w:r w:rsidRPr="008951F1">
        <w:rPr>
          <w:rFonts w:cs="Times New Roman"/>
        </w:rPr>
        <w:t xml:space="preserve"> byť štát z takéhoto integračného zoskupenia vyradený so všetkými negatívnymi dosahmi (najmä ekonomickými) prinášanými medzinárodnou izoláciou. </w:t>
      </w:r>
    </w:p>
    <w:p w:rsidR="00DC1275" w:rsidRPr="00A45014" w:rsidRDefault="00DC1275" w:rsidP="00DC1275">
      <w:pPr>
        <w:ind w:firstLine="708"/>
        <w:rPr>
          <w:rFonts w:cs="Times New Roman"/>
          <w:color w:val="FF0000"/>
        </w:rPr>
      </w:pPr>
      <w:r w:rsidRPr="008951F1">
        <w:rPr>
          <w:rFonts w:cs="Times New Roman"/>
        </w:rPr>
        <w:t xml:space="preserve">Po vojnovom období sa postupne začali vytvárať univerzálne, ako i regionálne systémy ochrany ľudských práv. </w:t>
      </w:r>
      <w:r>
        <w:rPr>
          <w:rFonts w:cs="Times New Roman"/>
        </w:rPr>
        <w:t>Hlavný r</w:t>
      </w:r>
      <w:r w:rsidRPr="008951F1">
        <w:rPr>
          <w:rFonts w:cs="Times New Roman"/>
        </w:rPr>
        <w:t xml:space="preserve">ozdiel </w:t>
      </w:r>
      <w:r>
        <w:rPr>
          <w:rFonts w:cs="Times New Roman"/>
        </w:rPr>
        <w:t xml:space="preserve">medzi nimi </w:t>
      </w:r>
      <w:r w:rsidRPr="008951F1">
        <w:rPr>
          <w:rFonts w:cs="Times New Roman"/>
        </w:rPr>
        <w:t>spočíva nielen v  celosvetovom rozsahu pôsobnosti (regionálne pôsobia na vymedzenom území napríklad jedného kontinentu), ale aj v kvalite (obsahu</w:t>
      </w:r>
      <w:r>
        <w:rPr>
          <w:rFonts w:cs="Times New Roman"/>
        </w:rPr>
        <w:t xml:space="preserve"> i </w:t>
      </w:r>
      <w:r w:rsidRPr="008951F1">
        <w:rPr>
          <w:rFonts w:cs="Times New Roman"/>
        </w:rPr>
        <w:t xml:space="preserve">rozsahu) ľudských práv, ktorých dodržiavanie sa stalo jednou z podstát existencie samotnej medzinárodnej organizácie. </w:t>
      </w:r>
      <w:r>
        <w:rPr>
          <w:rFonts w:cs="Times New Roman"/>
        </w:rPr>
        <w:t>Ochrana ľudských práv prostredníctvom integračných zoskupení sa ukázala veľmi efektívnou a aj v</w:t>
      </w:r>
      <w:r w:rsidRPr="008951F1">
        <w:rPr>
          <w:rFonts w:cs="Times New Roman"/>
        </w:rPr>
        <w:t xml:space="preserve"> súčasnosti je systém nastavený tak, aby prechádzala zo suverenity štátu na medzinárodnú úroveň. </w:t>
      </w:r>
    </w:p>
    <w:p w:rsidR="00DC1275" w:rsidRPr="000B2582" w:rsidRDefault="00DC1275" w:rsidP="00DC1275">
      <w:pPr>
        <w:ind w:firstLine="708"/>
        <w:rPr>
          <w:rFonts w:cs="Times New Roman"/>
        </w:rPr>
      </w:pPr>
      <w:r>
        <w:rPr>
          <w:rFonts w:cs="Times New Roman"/>
        </w:rPr>
        <w:t>Ján</w:t>
      </w:r>
      <w:r w:rsidRPr="008951F1">
        <w:rPr>
          <w:rFonts w:cs="Times New Roman"/>
        </w:rPr>
        <w:t xml:space="preserve"> Svák prízvukuje, že medzi dosiahnutými stupňami ochrany ľudských práv sú veľké rozdiely v závislosti od jednotlivých štátov. </w:t>
      </w:r>
      <w:r>
        <w:rPr>
          <w:rFonts w:cs="Times New Roman"/>
        </w:rPr>
        <w:t xml:space="preserve">Konštatuje, že </w:t>
      </w:r>
      <w:r w:rsidRPr="000B2582">
        <w:rPr>
          <w:rFonts w:cs="Times New Roman"/>
        </w:rPr>
        <w:t xml:space="preserve">„efektívnosť systému ochrany ľudských práv určuje predovšetkým </w:t>
      </w:r>
    </w:p>
    <w:p w:rsidR="00DC1275" w:rsidRPr="000B2582" w:rsidRDefault="00DC1275" w:rsidP="00DC1275">
      <w:pPr>
        <w:pStyle w:val="Odsekzoznamu"/>
        <w:numPr>
          <w:ilvl w:val="0"/>
          <w:numId w:val="2"/>
        </w:numPr>
        <w:rPr>
          <w:rFonts w:cs="Times New Roman"/>
        </w:rPr>
      </w:pPr>
      <w:r w:rsidRPr="000B2582">
        <w:rPr>
          <w:rFonts w:cs="Times New Roman"/>
        </w:rPr>
        <w:t>kvalita (vrátane normatívnej) katalógu ľudských práv garantovaných týmito systémami,</w:t>
      </w:r>
    </w:p>
    <w:p w:rsidR="00DC1275" w:rsidRPr="000B2582" w:rsidRDefault="00DC1275" w:rsidP="00DC1275">
      <w:pPr>
        <w:pStyle w:val="Odsekzoznamu"/>
        <w:numPr>
          <w:ilvl w:val="0"/>
          <w:numId w:val="2"/>
        </w:numPr>
        <w:rPr>
          <w:rFonts w:cs="Times New Roman"/>
        </w:rPr>
      </w:pPr>
      <w:r w:rsidRPr="000B2582">
        <w:rPr>
          <w:rFonts w:cs="Times New Roman"/>
        </w:rPr>
        <w:t xml:space="preserve">prístupnosť nadštátnej inštitúcie garantujúcej dodržiavanie týchto práv, </w:t>
      </w:r>
    </w:p>
    <w:p w:rsidR="00DC1275" w:rsidRPr="000B2582" w:rsidRDefault="00DC1275" w:rsidP="00DC1275">
      <w:pPr>
        <w:pStyle w:val="Odsekzoznamu"/>
        <w:numPr>
          <w:ilvl w:val="0"/>
          <w:numId w:val="2"/>
        </w:numPr>
        <w:rPr>
          <w:rFonts w:cs="Times New Roman"/>
        </w:rPr>
      </w:pPr>
      <w:r w:rsidRPr="000B2582">
        <w:rPr>
          <w:rFonts w:cs="Times New Roman"/>
        </w:rPr>
        <w:t>vykonateľnosť, resp. rešpektovanie rozhodnutí vydaných touto nadštátnou inštitúciou.“</w:t>
      </w:r>
      <w:r>
        <w:rPr>
          <w:rFonts w:cs="Times New Roman"/>
        </w:rPr>
        <w:t xml:space="preserve"> </w:t>
      </w:r>
      <w:r>
        <w:rPr>
          <w:rStyle w:val="Odkaznapoznmkupodiarou"/>
          <w:rFonts w:cs="Times New Roman"/>
        </w:rPr>
        <w:footnoteReference w:id="4"/>
      </w:r>
    </w:p>
    <w:p w:rsidR="00DC1275" w:rsidRPr="008951F1" w:rsidRDefault="00DC1275" w:rsidP="00DC1275">
      <w:pPr>
        <w:ind w:firstLine="708"/>
        <w:rPr>
          <w:rFonts w:cs="Times New Roman"/>
        </w:rPr>
      </w:pPr>
      <w:r w:rsidRPr="008951F1">
        <w:rPr>
          <w:rFonts w:cs="Times New Roman"/>
        </w:rPr>
        <w:t xml:space="preserve">Systém vybudovaný v rámci Organizácie spojených národov je základným </w:t>
      </w:r>
      <w:r w:rsidRPr="003D0AC8">
        <w:rPr>
          <w:rFonts w:cs="Times New Roman"/>
        </w:rPr>
        <w:t xml:space="preserve">univerzálnym </w:t>
      </w:r>
      <w:r>
        <w:rPr>
          <w:rFonts w:cs="Times New Roman"/>
        </w:rPr>
        <w:t xml:space="preserve"> </w:t>
      </w:r>
      <w:r w:rsidRPr="003D0AC8">
        <w:rPr>
          <w:rFonts w:cs="Times New Roman"/>
        </w:rPr>
        <w:t>systémom ochrany ľudských práv</w:t>
      </w:r>
      <w:r w:rsidRPr="008951F1">
        <w:rPr>
          <w:rFonts w:cs="Times New Roman"/>
        </w:rPr>
        <w:t xml:space="preserve">. Z normatívneho </w:t>
      </w:r>
      <w:r>
        <w:rPr>
          <w:rFonts w:cs="Times New Roman"/>
        </w:rPr>
        <w:t xml:space="preserve"> </w:t>
      </w:r>
      <w:r w:rsidRPr="008951F1">
        <w:rPr>
          <w:rFonts w:cs="Times New Roman"/>
        </w:rPr>
        <w:t xml:space="preserve">hľadiska je </w:t>
      </w:r>
      <w:r>
        <w:rPr>
          <w:rFonts w:cs="Times New Roman"/>
        </w:rPr>
        <w:t xml:space="preserve"> </w:t>
      </w:r>
      <w:r w:rsidRPr="008951F1">
        <w:rPr>
          <w:rFonts w:cs="Times New Roman"/>
        </w:rPr>
        <w:t>jeho</w:t>
      </w:r>
      <w:r>
        <w:rPr>
          <w:rFonts w:cs="Times New Roman"/>
        </w:rPr>
        <w:t xml:space="preserve"> </w:t>
      </w:r>
      <w:r w:rsidRPr="008951F1">
        <w:rPr>
          <w:rFonts w:cs="Times New Roman"/>
        </w:rPr>
        <w:t>základom</w:t>
      </w:r>
    </w:p>
    <w:p w:rsidR="00DC1275" w:rsidRPr="008951F1" w:rsidRDefault="00DC1275" w:rsidP="00DC1275">
      <w:pPr>
        <w:pStyle w:val="Odsekzoznamu"/>
        <w:numPr>
          <w:ilvl w:val="0"/>
          <w:numId w:val="1"/>
        </w:numPr>
        <w:rPr>
          <w:rFonts w:cs="Times New Roman"/>
        </w:rPr>
      </w:pPr>
      <w:r w:rsidRPr="008951F1">
        <w:rPr>
          <w:rFonts w:cs="Times New Roman"/>
        </w:rPr>
        <w:t>Charta Organizácie spojených národov (1945),</w:t>
      </w:r>
    </w:p>
    <w:p w:rsidR="00DC1275" w:rsidRPr="008951F1" w:rsidRDefault="00DC1275" w:rsidP="00DC1275">
      <w:pPr>
        <w:pStyle w:val="Odsekzoznamu"/>
        <w:numPr>
          <w:ilvl w:val="0"/>
          <w:numId w:val="1"/>
        </w:numPr>
        <w:rPr>
          <w:rFonts w:cs="Times New Roman"/>
        </w:rPr>
      </w:pPr>
      <w:r w:rsidRPr="008951F1">
        <w:rPr>
          <w:rFonts w:cs="Times New Roman"/>
        </w:rPr>
        <w:t>Všeobecná deklarácia ľudských práv (1948),</w:t>
      </w:r>
    </w:p>
    <w:p w:rsidR="00DC1275" w:rsidRPr="008951F1" w:rsidRDefault="00DC1275" w:rsidP="00DC1275">
      <w:pPr>
        <w:pStyle w:val="Odsekzoznamu"/>
        <w:numPr>
          <w:ilvl w:val="0"/>
          <w:numId w:val="1"/>
        </w:numPr>
        <w:rPr>
          <w:rFonts w:cs="Times New Roman"/>
        </w:rPr>
      </w:pPr>
      <w:r w:rsidRPr="008951F1">
        <w:rPr>
          <w:rFonts w:cs="Times New Roman"/>
        </w:rPr>
        <w:t>Medzinárodný pakt o občianskych a politických právach a Medzinárodný pakt o hospodárskych, sociálnych a kultúrnych právach (1966),</w:t>
      </w:r>
    </w:p>
    <w:p w:rsidR="00DC1275" w:rsidRPr="008951F1" w:rsidRDefault="00DC1275" w:rsidP="00DC1275">
      <w:pPr>
        <w:pStyle w:val="Odsekzoznamu"/>
        <w:numPr>
          <w:ilvl w:val="0"/>
          <w:numId w:val="1"/>
        </w:numPr>
        <w:rPr>
          <w:rFonts w:cs="Times New Roman"/>
        </w:rPr>
      </w:pPr>
      <w:r w:rsidRPr="008951F1">
        <w:rPr>
          <w:rFonts w:cs="Times New Roman"/>
        </w:rPr>
        <w:t>špecializované dohovory.</w:t>
      </w:r>
    </w:p>
    <w:p w:rsidR="00DC1275" w:rsidRDefault="00DC1275" w:rsidP="00DC1275">
      <w:pPr>
        <w:rPr>
          <w:rFonts w:cs="Times New Roman"/>
          <w:b/>
        </w:rPr>
      </w:pPr>
      <w:r w:rsidRPr="008951F1">
        <w:rPr>
          <w:rFonts w:cs="Times New Roman"/>
        </w:rPr>
        <w:t>Mnoho z týchto medzinárodných dokumentov prijatých na pôde OSN má zároveň vypracovaný aj samostatný kontrolný mechanizmus dodržiavania ich ustanovení. Tieto kontrolné mechanizmy sa od seba líšia procesnými postupmi a rôznou mierou efektívnosti. Celkovo však o univerzálnom systéme ochrany ľudských práv môžeme povedať, že sa javí ako menej efektívny v porovnaní s niektorými regionálnymi systémami.</w:t>
      </w:r>
    </w:p>
    <w:p w:rsidR="00DC1275" w:rsidRPr="008951F1" w:rsidRDefault="00DC1275" w:rsidP="00DC1275">
      <w:pPr>
        <w:ind w:firstLine="708"/>
        <w:rPr>
          <w:rFonts w:cs="Times New Roman"/>
        </w:rPr>
      </w:pPr>
      <w:r w:rsidRPr="009D4AC9">
        <w:rPr>
          <w:rFonts w:cs="Times New Roman"/>
        </w:rPr>
        <w:t xml:space="preserve">Regionálne systémy ochrany </w:t>
      </w:r>
      <w:r w:rsidRPr="008951F1">
        <w:rPr>
          <w:rFonts w:cs="Times New Roman"/>
        </w:rPr>
        <w:t xml:space="preserve">odvodzujú svoj pôvod zo Všeobecnej deklarácie ľudských práv, čo </w:t>
      </w:r>
      <w:r>
        <w:rPr>
          <w:rFonts w:cs="Times New Roman"/>
        </w:rPr>
        <w:t>úzko súvisí s prejavom</w:t>
      </w:r>
      <w:r w:rsidRPr="008951F1">
        <w:rPr>
          <w:rFonts w:cs="Times New Roman"/>
        </w:rPr>
        <w:t xml:space="preserve"> princípu </w:t>
      </w:r>
      <w:proofErr w:type="spellStart"/>
      <w:r w:rsidRPr="008951F1">
        <w:rPr>
          <w:rFonts w:cs="Times New Roman"/>
        </w:rPr>
        <w:t>univerzality</w:t>
      </w:r>
      <w:proofErr w:type="spellEnd"/>
      <w:r w:rsidRPr="008951F1">
        <w:rPr>
          <w:rFonts w:cs="Times New Roman"/>
        </w:rPr>
        <w:t xml:space="preserve"> ľudských práv. Pri budovaní </w:t>
      </w:r>
      <w:r w:rsidRPr="008951F1">
        <w:rPr>
          <w:rFonts w:cs="Times New Roman"/>
        </w:rPr>
        <w:lastRenderedPageBreak/>
        <w:t>regionálnych systémov sa zásadne premietla skutočnosť, že  jednotlivé štáty</w:t>
      </w:r>
      <w:r>
        <w:rPr>
          <w:rFonts w:cs="Times New Roman"/>
        </w:rPr>
        <w:t>, ktoré ich tvoria,</w:t>
      </w:r>
      <w:r w:rsidRPr="008951F1">
        <w:rPr>
          <w:rFonts w:cs="Times New Roman"/>
        </w:rPr>
        <w:t xml:space="preserve"> majú spoločné teritoriálne, kultúrne a historické tradície. Medzi systémami navzájom však môžeme pozorovať značné odlišnosti.</w:t>
      </w:r>
    </w:p>
    <w:p w:rsidR="00DC1275" w:rsidRPr="008951F1" w:rsidRDefault="00DC1275" w:rsidP="00DC1275">
      <w:pPr>
        <w:ind w:firstLine="708"/>
        <w:rPr>
          <w:rFonts w:cs="Times New Roman"/>
        </w:rPr>
      </w:pPr>
      <w:r w:rsidRPr="008951F1">
        <w:rPr>
          <w:rFonts w:cs="Times New Roman"/>
          <w:i/>
        </w:rPr>
        <w:t>Americký regionálny systém ochrany ľudských práv</w:t>
      </w:r>
      <w:r w:rsidRPr="008951F1">
        <w:rPr>
          <w:rFonts w:cs="Times New Roman"/>
        </w:rPr>
        <w:t xml:space="preserve"> funguje na báze Organizácie amerických štátov a jeho ústredným normatívnym dokumentom je Americký dohovor o ľudských právach. Vzhľadom na to, že v krajinách </w:t>
      </w:r>
      <w:proofErr w:type="spellStart"/>
      <w:r w:rsidRPr="008951F1">
        <w:rPr>
          <w:rFonts w:cs="Times New Roman"/>
        </w:rPr>
        <w:t>common</w:t>
      </w:r>
      <w:proofErr w:type="spellEnd"/>
      <w:r w:rsidRPr="008951F1">
        <w:rPr>
          <w:rFonts w:cs="Times New Roman"/>
        </w:rPr>
        <w:t xml:space="preserve"> </w:t>
      </w:r>
      <w:proofErr w:type="spellStart"/>
      <w:r w:rsidRPr="008951F1">
        <w:rPr>
          <w:rFonts w:cs="Times New Roman"/>
        </w:rPr>
        <w:t>law</w:t>
      </w:r>
      <w:proofErr w:type="spellEnd"/>
      <w:r w:rsidRPr="008951F1">
        <w:rPr>
          <w:rFonts w:cs="Times New Roman"/>
        </w:rPr>
        <w:t xml:space="preserve"> sa ľudské práva vo veľkej miere formujú až v súdno-aplikačnej praxi, je ich formálne vymedzenie pomerne stručné. Orgánom, ktorý túto aplikačnú prax vykonáva, je </w:t>
      </w:r>
      <w:proofErr w:type="spellStart"/>
      <w:r w:rsidRPr="008951F1">
        <w:rPr>
          <w:rFonts w:cs="Times New Roman"/>
        </w:rPr>
        <w:t>Medziamerický</w:t>
      </w:r>
      <w:proofErr w:type="spellEnd"/>
      <w:r w:rsidRPr="008951F1">
        <w:rPr>
          <w:rFonts w:cs="Times New Roman"/>
        </w:rPr>
        <w:t xml:space="preserve"> súd pre ľudské práva.</w:t>
      </w:r>
    </w:p>
    <w:p w:rsidR="00DC1275" w:rsidRPr="008951F1" w:rsidRDefault="00DC1275" w:rsidP="00DC1275">
      <w:pPr>
        <w:ind w:firstLine="708"/>
        <w:rPr>
          <w:rFonts w:cs="Times New Roman"/>
        </w:rPr>
      </w:pPr>
      <w:r w:rsidRPr="008951F1">
        <w:rPr>
          <w:rFonts w:cs="Times New Roman"/>
          <w:i/>
        </w:rPr>
        <w:t>Africký regionálny systém</w:t>
      </w:r>
      <w:r w:rsidRPr="008951F1">
        <w:rPr>
          <w:rFonts w:cs="Times New Roman"/>
        </w:rPr>
        <w:t xml:space="preserve"> je ovplyvnený činnosťou Organizácie africkej jednoty, ktorá v roku 1981 prijala Africkú chartu o ľudských právach a právach národov. Zásadným rozdielom, ktorý africký systém odlišuje od európskeho a amerického regionálneho modelu je, že zakotvuje aj práva hospodárske, sociálne a kultúrne a práva kolektívne. </w:t>
      </w:r>
      <w:r>
        <w:rPr>
          <w:rFonts w:cs="Times New Roman"/>
        </w:rPr>
        <w:t>Zároveň</w:t>
      </w:r>
      <w:r w:rsidRPr="008951F1">
        <w:rPr>
          <w:rFonts w:cs="Times New Roman"/>
        </w:rPr>
        <w:t xml:space="preserve"> rovnako komplexne </w:t>
      </w:r>
      <w:r>
        <w:rPr>
          <w:rFonts w:cs="Times New Roman"/>
        </w:rPr>
        <w:t>stanovuje</w:t>
      </w:r>
      <w:r w:rsidRPr="008951F1">
        <w:rPr>
          <w:rFonts w:cs="Times New Roman"/>
        </w:rPr>
        <w:t xml:space="preserve"> nielen práva, ale aj povinnosti jednotlivcov.</w:t>
      </w:r>
    </w:p>
    <w:p w:rsidR="00DC1275" w:rsidRPr="008951F1" w:rsidRDefault="00DC1275" w:rsidP="00DC1275">
      <w:pPr>
        <w:ind w:firstLine="708"/>
        <w:rPr>
          <w:rFonts w:cs="Times New Roman"/>
        </w:rPr>
      </w:pPr>
      <w:r w:rsidRPr="008951F1">
        <w:rPr>
          <w:rFonts w:cs="Times New Roman"/>
          <w:i/>
        </w:rPr>
        <w:t>Arabský systém ochrany ľudských práv</w:t>
      </w:r>
      <w:r w:rsidRPr="008951F1">
        <w:rPr>
          <w:rFonts w:cs="Times New Roman"/>
        </w:rPr>
        <w:t xml:space="preserve"> sa ukazuje najme</w:t>
      </w:r>
      <w:r>
        <w:rPr>
          <w:rFonts w:cs="Times New Roman"/>
        </w:rPr>
        <w:t>nej efektívnym systémom ochrany</w:t>
      </w:r>
      <w:r w:rsidRPr="008951F1">
        <w:rPr>
          <w:rFonts w:cs="Times New Roman"/>
        </w:rPr>
        <w:t xml:space="preserve">. Reprezentuje ho predovšetkým Liga arabských štátov. Dôvodom nedostatku efektivity je predovšetkým silne sa prejavujúci </w:t>
      </w:r>
      <w:proofErr w:type="spellStart"/>
      <w:r w:rsidRPr="008951F1">
        <w:rPr>
          <w:rFonts w:cs="Times New Roman"/>
        </w:rPr>
        <w:t>partikularizmus</w:t>
      </w:r>
      <w:proofErr w:type="spellEnd"/>
      <w:r w:rsidRPr="008951F1">
        <w:rPr>
          <w:rFonts w:cs="Times New Roman"/>
        </w:rPr>
        <w:t xml:space="preserve"> záujmov jednotlivých arabských štátov a absencia normatívneho dokumentu, ktorý by ľudské práva zakotvil.</w:t>
      </w:r>
    </w:p>
    <w:p w:rsidR="00DC1275" w:rsidRDefault="00DC1275" w:rsidP="00DC1275">
      <w:pPr>
        <w:ind w:firstLine="708"/>
        <w:rPr>
          <w:rFonts w:cs="Times New Roman"/>
        </w:rPr>
      </w:pPr>
      <w:r w:rsidRPr="008951F1">
        <w:rPr>
          <w:rFonts w:cs="Times New Roman"/>
          <w:i/>
        </w:rPr>
        <w:t>Európsky regionálny systém ochrany ľudských práv</w:t>
      </w:r>
      <w:r w:rsidRPr="008951F1">
        <w:rPr>
          <w:rFonts w:cs="Times New Roman"/>
        </w:rPr>
        <w:t xml:space="preserve"> je v súčasnosti jedným z najlepšie fungujúcich </w:t>
      </w:r>
      <w:r>
        <w:rPr>
          <w:rFonts w:cs="Times New Roman"/>
        </w:rPr>
        <w:t xml:space="preserve">mechanizmov </w:t>
      </w:r>
      <w:r w:rsidRPr="008951F1">
        <w:rPr>
          <w:rFonts w:cs="Times New Roman"/>
        </w:rPr>
        <w:t>ochrany</w:t>
      </w:r>
      <w:r>
        <w:rPr>
          <w:rFonts w:cs="Times New Roman"/>
        </w:rPr>
        <w:t xml:space="preserve"> ľudských práv</w:t>
      </w:r>
      <w:r w:rsidRPr="008951F1">
        <w:rPr>
          <w:rFonts w:cs="Times New Roman"/>
        </w:rPr>
        <w:t xml:space="preserve">. Vo veľkej miere za to vďačí Rade Európy a základnému normatívnemu dokumentu zakotvujúcemu ľudské práva a systém ich ochrany, </w:t>
      </w:r>
      <w:r>
        <w:rPr>
          <w:rFonts w:cs="Times New Roman"/>
        </w:rPr>
        <w:t>ktorým</w:t>
      </w:r>
      <w:r w:rsidRPr="008951F1">
        <w:rPr>
          <w:rFonts w:cs="Times New Roman"/>
        </w:rPr>
        <w:t xml:space="preserve"> je Európsky dohovor</w:t>
      </w:r>
      <w:r>
        <w:rPr>
          <w:rFonts w:cs="Times New Roman"/>
        </w:rPr>
        <w:t xml:space="preserve"> o ochrane ľudských práv a základných slobôd (ďalej len „Dohovor“)</w:t>
      </w:r>
      <w:r w:rsidRPr="008951F1">
        <w:rPr>
          <w:rFonts w:cs="Times New Roman"/>
        </w:rPr>
        <w:t>. Hlavným</w:t>
      </w:r>
      <w:r>
        <w:rPr>
          <w:rFonts w:cs="Times New Roman"/>
        </w:rPr>
        <w:t xml:space="preserve"> dôvodom vzniku Rady Európy bol úmysel</w:t>
      </w:r>
      <w:r w:rsidRPr="008951F1">
        <w:rPr>
          <w:rFonts w:cs="Times New Roman"/>
        </w:rPr>
        <w:t xml:space="preserve"> pokračovať v úspešnom rozvíjaní tradícií v oblasti ochrany ľudských práv. Jej aktivity rozsiahlym spôsobom prenikajú do vnútroštátnej </w:t>
      </w:r>
      <w:r>
        <w:rPr>
          <w:rFonts w:cs="Times New Roman"/>
        </w:rPr>
        <w:t>ľudsko-právnej och</w:t>
      </w:r>
      <w:r w:rsidRPr="008951F1">
        <w:rPr>
          <w:rFonts w:cs="Times New Roman"/>
        </w:rPr>
        <w:t xml:space="preserve">rany a celkovo podporujú unifikáciu dosiahnutého štandardu rešpektovania a dodržiavania ľudských práv v Európe. Hlavné ciele </w:t>
      </w:r>
      <w:r w:rsidRPr="00535523">
        <w:t>tejto medzinárodnej organizácie zakladajúce štáty inkorporovali</w:t>
      </w:r>
      <w:r w:rsidRPr="008951F1">
        <w:rPr>
          <w:rFonts w:cs="Times New Roman"/>
        </w:rPr>
        <w:t xml:space="preserve"> do </w:t>
      </w:r>
      <w:r>
        <w:rPr>
          <w:rFonts w:cs="Times New Roman"/>
        </w:rPr>
        <w:t>ustanovení D</w:t>
      </w:r>
      <w:r w:rsidRPr="008951F1">
        <w:rPr>
          <w:rFonts w:cs="Times New Roman"/>
        </w:rPr>
        <w:t>ohovor</w:t>
      </w:r>
      <w:r>
        <w:rPr>
          <w:rFonts w:cs="Times New Roman"/>
        </w:rPr>
        <w:t>u</w:t>
      </w:r>
      <w:r w:rsidRPr="008951F1">
        <w:rPr>
          <w:rFonts w:cs="Times New Roman"/>
        </w:rPr>
        <w:t xml:space="preserve"> a postupom času paletu práv rozširovali prijímaním Dodatkových protokolov k </w:t>
      </w:r>
      <w:r>
        <w:rPr>
          <w:rFonts w:cs="Times New Roman"/>
        </w:rPr>
        <w:t>nemu</w:t>
      </w:r>
      <w:r w:rsidRPr="008951F1">
        <w:rPr>
          <w:rFonts w:cs="Times New Roman"/>
        </w:rPr>
        <w:t>.</w:t>
      </w:r>
      <w:r>
        <w:rPr>
          <w:rStyle w:val="Odkaznapoznmkupodiarou"/>
          <w:rFonts w:cs="Times New Roman"/>
        </w:rPr>
        <w:footnoteReference w:id="5"/>
      </w:r>
      <w:r w:rsidRPr="008951F1">
        <w:rPr>
          <w:rFonts w:cs="Times New Roman"/>
        </w:rPr>
        <w:t xml:space="preserve"> </w:t>
      </w:r>
      <w:r>
        <w:rPr>
          <w:rFonts w:cs="Times New Roman"/>
        </w:rPr>
        <w:t xml:space="preserve">Zo všetkých špecializovaných regionálnych súdov na ochranu ľudských práv je najvýznamnejšou inštitúciou Európsky súd pre ľudské práva (ďalej len „Súd“). Toto zásadné postavenie mu náleží nielen kvôli jeho dlhej existencii (bol založený v januári 1959) a jeho početnej členskej </w:t>
      </w:r>
      <w:r>
        <w:rPr>
          <w:rFonts w:cs="Times New Roman"/>
        </w:rPr>
        <w:lastRenderedPageBreak/>
        <w:t xml:space="preserve">základni (vykonáva jurisdikciu nad 47 štátmi), ale hlavne z dôvodu jeho značne prepracovaného </w:t>
      </w:r>
      <w:proofErr w:type="spellStart"/>
      <w:r>
        <w:rPr>
          <w:rFonts w:cs="Times New Roman"/>
        </w:rPr>
        <w:t>case</w:t>
      </w:r>
      <w:proofErr w:type="spellEnd"/>
      <w:r>
        <w:rPr>
          <w:rFonts w:cs="Times New Roman"/>
        </w:rPr>
        <w:t xml:space="preserve"> </w:t>
      </w:r>
      <w:proofErr w:type="spellStart"/>
      <w:r>
        <w:rPr>
          <w:rFonts w:cs="Times New Roman"/>
        </w:rPr>
        <w:t>law</w:t>
      </w:r>
      <w:proofErr w:type="spellEnd"/>
      <w:r>
        <w:rPr>
          <w:rFonts w:cs="Times New Roman"/>
        </w:rPr>
        <w:t xml:space="preserve"> a efektivite jeho mechanizmu ochrany.</w:t>
      </w:r>
      <w:r>
        <w:rPr>
          <w:rStyle w:val="Odkaznapoznmkupodiarou"/>
          <w:rFonts w:cs="Times New Roman"/>
        </w:rPr>
        <w:footnoteReference w:id="6"/>
      </w:r>
    </w:p>
    <w:p w:rsidR="00DC1275" w:rsidRDefault="00DC1275" w:rsidP="00DC1275">
      <w:pPr>
        <w:ind w:firstLine="708"/>
        <w:rPr>
          <w:rFonts w:cs="Times New Roman"/>
        </w:rPr>
      </w:pPr>
      <w:r w:rsidRPr="008951F1">
        <w:rPr>
          <w:rFonts w:cs="Times New Roman"/>
        </w:rPr>
        <w:t xml:space="preserve">Okrem </w:t>
      </w:r>
      <w:r>
        <w:rPr>
          <w:rFonts w:cs="Times New Roman"/>
        </w:rPr>
        <w:t>Rady Európy</w:t>
      </w:r>
      <w:r w:rsidRPr="008951F1">
        <w:rPr>
          <w:rFonts w:cs="Times New Roman"/>
        </w:rPr>
        <w:t xml:space="preserve"> však európsky regionálny systém spoluvytvárajú aj iné dokumenty a inštitúcie, a to najmä v rámci Konferencie o bezpečnosti a spolupráci v Európe a Európskej únie. Na pôde Európskej únie sa od decembra 2009 dostalo právnej záväznosti </w:t>
      </w:r>
      <w:r w:rsidRPr="0060684D">
        <w:rPr>
          <w:rFonts w:cs="Times New Roman"/>
        </w:rPr>
        <w:t>Charte základných práv Európskej únie</w:t>
      </w:r>
      <w:r w:rsidRPr="008951F1">
        <w:rPr>
          <w:rFonts w:cs="Times New Roman"/>
        </w:rPr>
        <w:t xml:space="preserve">, ktorá sa vo veľkom rozsahu inšpirovala znením </w:t>
      </w:r>
      <w:r>
        <w:rPr>
          <w:rFonts w:cs="Times New Roman"/>
        </w:rPr>
        <w:t>D</w:t>
      </w:r>
      <w:r w:rsidRPr="008951F1">
        <w:rPr>
          <w:rFonts w:cs="Times New Roman"/>
        </w:rPr>
        <w:t>ohovoru a rozširuje ho o niektoré ľudské práva druhej a tretej generácie.</w:t>
      </w:r>
      <w:r w:rsidRPr="008951F1">
        <w:rPr>
          <w:rStyle w:val="Odkaznapoznmkupodiarou"/>
          <w:rFonts w:cs="Times New Roman"/>
        </w:rPr>
        <w:footnoteReference w:id="7"/>
      </w: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ind w:firstLine="708"/>
        <w:rPr>
          <w:rFonts w:cs="Times New Roman"/>
        </w:rPr>
      </w:pPr>
    </w:p>
    <w:p w:rsidR="00DC1275" w:rsidRPr="008951F1" w:rsidRDefault="00DC1275" w:rsidP="00DC1275">
      <w:pPr>
        <w:pStyle w:val="Nadpis1"/>
        <w:ind w:left="357" w:hanging="357"/>
      </w:pPr>
      <w:bookmarkStart w:id="14" w:name="_Toc288653439"/>
      <w:bookmarkStart w:id="15" w:name="_Toc289299922"/>
      <w:r>
        <w:lastRenderedPageBreak/>
        <w:t>Európsky d</w:t>
      </w:r>
      <w:r w:rsidRPr="008951F1">
        <w:t>ohovor o ochrane ľudských práv a základných slobôd</w:t>
      </w:r>
      <w:bookmarkEnd w:id="14"/>
      <w:bookmarkEnd w:id="15"/>
    </w:p>
    <w:p w:rsidR="00DC1275" w:rsidRPr="009D4AC9" w:rsidRDefault="00DC1275" w:rsidP="00DC1275">
      <w:pPr>
        <w:pStyle w:val="Nadpis2"/>
        <w:ind w:left="357" w:hanging="357"/>
      </w:pPr>
      <w:bookmarkStart w:id="16" w:name="_Toc288653440"/>
      <w:bookmarkStart w:id="17" w:name="_Toc289299923"/>
      <w:r>
        <w:t>Formovanie potreby ľudsko-právneho dokumentu</w:t>
      </w:r>
      <w:bookmarkEnd w:id="16"/>
      <w:bookmarkEnd w:id="17"/>
    </w:p>
    <w:p w:rsidR="00DC1275" w:rsidRDefault="00DC1275" w:rsidP="00DC1275">
      <w:pPr>
        <w:ind w:firstLine="708"/>
        <w:rPr>
          <w:rFonts w:cs="Times New Roman"/>
        </w:rPr>
      </w:pPr>
      <w:r>
        <w:rPr>
          <w:rFonts w:cs="Times New Roman"/>
        </w:rPr>
        <w:t xml:space="preserve">Dohovor </w:t>
      </w:r>
      <w:r w:rsidRPr="008951F1">
        <w:rPr>
          <w:rFonts w:cs="Times New Roman"/>
        </w:rPr>
        <w:t>je významným dokumentom ochrany ľudských práv prijatým v roku 1950 Radou Európy, medzinárodnou organizáciou vytvorenou po II. svetovej vojne v rámci prvých povojnových snáh o zjednocovanie Európy. Dôvodom jeho vytvorenia bola na jednej strane snaha vypracovať podmienky členstva štátov</w:t>
      </w:r>
      <w:r>
        <w:rPr>
          <w:rFonts w:cs="Times New Roman"/>
        </w:rPr>
        <w:t xml:space="preserve"> v Rade Európy a zároveň bol </w:t>
      </w:r>
      <w:r w:rsidRPr="008951F1">
        <w:rPr>
          <w:rFonts w:cs="Times New Roman"/>
        </w:rPr>
        <w:t>odpoveď</w:t>
      </w:r>
      <w:r>
        <w:rPr>
          <w:rFonts w:cs="Times New Roman"/>
        </w:rPr>
        <w:t>ou</w:t>
      </w:r>
      <w:r w:rsidRPr="008951F1">
        <w:rPr>
          <w:rFonts w:cs="Times New Roman"/>
        </w:rPr>
        <w:t xml:space="preserve"> na predchádzajúce a vtedajšie pomery v Európe poznačené závažným porušovaním ľudských práv počas svetovej vojny.</w:t>
      </w:r>
      <w:r w:rsidRPr="008951F1">
        <w:rPr>
          <w:rStyle w:val="Odkaznapoznmkupodiarou"/>
          <w:rFonts w:cs="Times New Roman"/>
        </w:rPr>
        <w:footnoteReference w:id="8"/>
      </w:r>
      <w:r w:rsidRPr="008951F1">
        <w:rPr>
          <w:rFonts w:cs="Times New Roman"/>
        </w:rPr>
        <w:t xml:space="preserve"> </w:t>
      </w:r>
    </w:p>
    <w:p w:rsidR="00DC1275" w:rsidRDefault="00DC1275" w:rsidP="00DC1275">
      <w:pPr>
        <w:ind w:firstLine="708"/>
        <w:rPr>
          <w:rFonts w:cs="Times New Roman"/>
        </w:rPr>
      </w:pPr>
      <w:r>
        <w:rPr>
          <w:rFonts w:cs="Times New Roman"/>
        </w:rPr>
        <w:t>Ako preukázal h</w:t>
      </w:r>
      <w:r w:rsidRPr="008951F1">
        <w:rPr>
          <w:rFonts w:cs="Times New Roman"/>
        </w:rPr>
        <w:t xml:space="preserve">istorický vývoj, len vyhlásenia o  potrebe rešpektovania ľudských práv a slobôd nepostačia na zaručenie ich skutočnej ochrany. A tak sa zakladateľské štáty rozhodli podniknúť konkrétne kroky k jej zabezpečeniu. Zahrnuli do Dohovoru výhradne tie práva a slobody, ktoré majú individuálny charakter, sú účinne vynútiteľné a je možné ich presne formulovať. Dohovor </w:t>
      </w:r>
      <w:r>
        <w:rPr>
          <w:rFonts w:cs="Times New Roman"/>
        </w:rPr>
        <w:t xml:space="preserve">tiež </w:t>
      </w:r>
      <w:r w:rsidRPr="008951F1">
        <w:rPr>
          <w:rFonts w:cs="Times New Roman"/>
        </w:rPr>
        <w:t>zakotvuje systém súdnych orgánov nezávislý na jednotlivých členských štátoch za účelom </w:t>
      </w:r>
      <w:r>
        <w:rPr>
          <w:rFonts w:cs="Times New Roman"/>
        </w:rPr>
        <w:t xml:space="preserve"> </w:t>
      </w:r>
      <w:r w:rsidRPr="008951F1">
        <w:rPr>
          <w:rFonts w:cs="Times New Roman"/>
        </w:rPr>
        <w:t>nestranného prejednávania individuálnych sťažností na porušenie ľudských práv a slobôd.</w:t>
      </w:r>
      <w:r w:rsidRPr="008951F1">
        <w:rPr>
          <w:rStyle w:val="Odkaznapoznmkupodiarou"/>
          <w:rFonts w:cs="Times New Roman"/>
        </w:rPr>
        <w:footnoteReference w:id="9"/>
      </w:r>
      <w:r w:rsidRPr="008951F1">
        <w:rPr>
          <w:rFonts w:cs="Times New Roman"/>
        </w:rPr>
        <w:t xml:space="preserve"> </w:t>
      </w:r>
    </w:p>
    <w:p w:rsidR="00DC1275" w:rsidRPr="008951F1" w:rsidRDefault="00DC1275" w:rsidP="00DC1275">
      <w:pPr>
        <w:ind w:firstLine="708"/>
        <w:rPr>
          <w:rFonts w:cs="Times New Roman"/>
        </w:rPr>
      </w:pPr>
      <w:r w:rsidRPr="008951F1">
        <w:rPr>
          <w:rFonts w:cs="Times New Roman"/>
        </w:rPr>
        <w:t>Spočiatku sa návrhy na diskusiu o ľudských právach v Európe nestretli s priaznivým ohlasom. Bolo tomu tak hlavne preto, že už pred Dohovorom ochranu ľudských práv zabezpečovala Všeobecná deklarácia ľudských práv a iné dokumenty vydané na pôde OSN. Nakoniec však prevážili argumenty upozorňujúce na hlavné nedostatky Všeobecnej de</w:t>
      </w:r>
      <w:r>
        <w:rPr>
          <w:rFonts w:cs="Times New Roman"/>
        </w:rPr>
        <w:t xml:space="preserve">klarácie ľudských práv. Tými </w:t>
      </w:r>
      <w:r w:rsidRPr="008951F1">
        <w:rPr>
          <w:rFonts w:cs="Times New Roman"/>
        </w:rPr>
        <w:t xml:space="preserve">boli najmä rozdiely v úrovni a charaktere členských štátov OSN, zdôrazňujúce dôležitosť prijatia istej kolektívnej zodpovednosti za </w:t>
      </w:r>
      <w:r>
        <w:rPr>
          <w:rFonts w:cs="Times New Roman"/>
        </w:rPr>
        <w:t xml:space="preserve">ochranu ľudských práv a slobôd. Predovšetkým tieto argumenty </w:t>
      </w:r>
      <w:r w:rsidRPr="008951F1">
        <w:rPr>
          <w:rFonts w:cs="Times New Roman"/>
        </w:rPr>
        <w:t xml:space="preserve">v konečnom dôsledku urýchlili proces prípravy Dohovoru. </w:t>
      </w:r>
      <w:r w:rsidRPr="008951F1">
        <w:rPr>
          <w:rStyle w:val="Odkaznapoznmkupodiarou"/>
          <w:rFonts w:cs="Times New Roman"/>
        </w:rPr>
        <w:footnoteReference w:id="10"/>
      </w:r>
    </w:p>
    <w:p w:rsidR="00DC1275" w:rsidRDefault="00DC1275" w:rsidP="00DC1275">
      <w:pPr>
        <w:ind w:firstLine="708"/>
        <w:rPr>
          <w:rFonts w:cs="Times New Roman"/>
        </w:rPr>
      </w:pPr>
      <w:r w:rsidRPr="008951F1">
        <w:rPr>
          <w:rFonts w:cs="Times New Roman"/>
        </w:rPr>
        <w:t xml:space="preserve">V súčasnosti nadobudol Dohovor rozmer akejsi „Európskej listiny ľudských práv“, pri ktorej vynucovaní </w:t>
      </w:r>
      <w:r>
        <w:rPr>
          <w:rFonts w:cs="Times New Roman"/>
        </w:rPr>
        <w:t>S</w:t>
      </w:r>
      <w:r w:rsidRPr="008951F1">
        <w:rPr>
          <w:rFonts w:cs="Times New Roman"/>
        </w:rPr>
        <w:t>úd zohráva podobnú úlohu ako ústavné súdy v národných právnych systémoch členských štátov.</w:t>
      </w:r>
      <w:r w:rsidRPr="008951F1">
        <w:rPr>
          <w:rStyle w:val="Odkaznapoznmkupodiarou"/>
          <w:rFonts w:cs="Times New Roman"/>
        </w:rPr>
        <w:footnoteReference w:id="11"/>
      </w:r>
      <w:r w:rsidRPr="008951F1">
        <w:rPr>
          <w:rFonts w:cs="Times New Roman"/>
        </w:rPr>
        <w:t xml:space="preserve"> </w:t>
      </w:r>
      <w:r>
        <w:rPr>
          <w:rFonts w:cs="Times New Roman"/>
        </w:rPr>
        <w:t>Jeho v</w:t>
      </w:r>
      <w:r w:rsidRPr="008951F1">
        <w:rPr>
          <w:rFonts w:cs="Times New Roman"/>
        </w:rPr>
        <w:t>ýnimočné postavenie je založené najmä na skutočnosti, že usiluje o ochranu širokého spektra občianskych a politických práv jednak tým, že nadobudol formu zmluvy pr</w:t>
      </w:r>
      <w:r>
        <w:rPr>
          <w:rFonts w:cs="Times New Roman"/>
        </w:rPr>
        <w:t>ávne záväznej pre členské štáty</w:t>
      </w:r>
      <w:r w:rsidRPr="008951F1">
        <w:rPr>
          <w:rFonts w:cs="Times New Roman"/>
        </w:rPr>
        <w:t xml:space="preserve"> a tiež tým, že zaviedol </w:t>
      </w:r>
      <w:r w:rsidRPr="008951F1">
        <w:rPr>
          <w:rFonts w:cs="Times New Roman"/>
        </w:rPr>
        <w:lastRenderedPageBreak/>
        <w:t>mechanizmus kontroly jeho dodržiavania na vnútroštátnej úrovni. Stal sa vôbec prvým ľudsko</w:t>
      </w:r>
      <w:r>
        <w:rPr>
          <w:rFonts w:cs="Times New Roman"/>
        </w:rPr>
        <w:t>-</w:t>
      </w:r>
      <w:r w:rsidRPr="008951F1">
        <w:rPr>
          <w:rFonts w:cs="Times New Roman"/>
        </w:rPr>
        <w:t>právnym medzinárodným dokumentom s takouto ambíciou.</w:t>
      </w:r>
      <w:r w:rsidRPr="008951F1">
        <w:rPr>
          <w:rStyle w:val="Odkaznapoznmkupodiarou"/>
          <w:rFonts w:cs="Times New Roman"/>
        </w:rPr>
        <w:footnoteReference w:id="12"/>
      </w:r>
      <w:r>
        <w:rPr>
          <w:rFonts w:cs="Times New Roman"/>
        </w:rPr>
        <w:t xml:space="preserve"> </w:t>
      </w:r>
    </w:p>
    <w:p w:rsidR="00DC1275" w:rsidRDefault="00DC1275" w:rsidP="00DC1275">
      <w:pPr>
        <w:ind w:firstLine="708"/>
        <w:rPr>
          <w:rFonts w:cs="Times New Roman"/>
        </w:rPr>
      </w:pPr>
      <w:r w:rsidRPr="008951F1">
        <w:rPr>
          <w:rFonts w:cs="Times New Roman"/>
        </w:rPr>
        <w:t xml:space="preserve">Dohovor nadobudol platnosť v roku 1953 a bol prijatý všetkými 47 členskými štátmi Rady Európy, čím celkovo chráni ľudské práva viac ako 800 miliónov ľudí. Počet zmluvných strán výrazne vzrástol po páde Berlínskeho múru v roku 1989 a po rozpade </w:t>
      </w:r>
      <w:r>
        <w:rPr>
          <w:rFonts w:cs="Times New Roman"/>
        </w:rPr>
        <w:t xml:space="preserve">Sovietskeho zväzu socialistických republík a </w:t>
      </w:r>
      <w:r w:rsidRPr="008951F1">
        <w:rPr>
          <w:rFonts w:cs="Times New Roman"/>
        </w:rPr>
        <w:t xml:space="preserve">Federatívnej republiky Juhoslávia začiatkom deväťdesiatych rokov. </w:t>
      </w:r>
      <w:r>
        <w:rPr>
          <w:rFonts w:cs="Times New Roman"/>
        </w:rPr>
        <w:t>Prevedené na čísla</w:t>
      </w:r>
      <w:r w:rsidRPr="008951F1">
        <w:rPr>
          <w:rFonts w:cs="Times New Roman"/>
        </w:rPr>
        <w:t xml:space="preserve">, počet členských štátov Rady Európy vzrástol za obdobie od roku 1989 do roku 2008 z 22 na 47. Tento vývin </w:t>
      </w:r>
      <w:r>
        <w:rPr>
          <w:rFonts w:cs="Times New Roman"/>
        </w:rPr>
        <w:t xml:space="preserve">situácie, hoci inak vítaný, </w:t>
      </w:r>
      <w:r w:rsidRPr="008951F1">
        <w:rPr>
          <w:rFonts w:cs="Times New Roman"/>
        </w:rPr>
        <w:t>priniesol nové problémy výkladu a aplikácie Dohovoru a</w:t>
      </w:r>
      <w:r>
        <w:rPr>
          <w:rFonts w:cs="Times New Roman"/>
        </w:rPr>
        <w:t xml:space="preserve"> zároveň </w:t>
      </w:r>
      <w:r w:rsidRPr="008951F1">
        <w:rPr>
          <w:rFonts w:cs="Times New Roman"/>
        </w:rPr>
        <w:t>výrazne zvýšil jeho uplatnenie.</w:t>
      </w:r>
      <w:r w:rsidRPr="008951F1">
        <w:rPr>
          <w:rStyle w:val="Odkaznapoznmkupodiarou"/>
          <w:rFonts w:cs="Times New Roman"/>
        </w:rPr>
        <w:footnoteReference w:id="13"/>
      </w:r>
      <w:r w:rsidRPr="008951F1">
        <w:rPr>
          <w:rFonts w:cs="Times New Roman"/>
        </w:rPr>
        <w:t xml:space="preserve"> </w:t>
      </w:r>
      <w:r>
        <w:rPr>
          <w:rFonts w:cs="Times New Roman"/>
        </w:rPr>
        <w:t>V súčasnosti je Dohovor dôležitým právnym dokumentom, ktorý zaručuje vysoký štandard ochrany ľudských práv v rámci zmluvných štátov Rady Európy.</w:t>
      </w:r>
    </w:p>
    <w:p w:rsidR="00DC1275" w:rsidRDefault="00DC1275" w:rsidP="00DC1275">
      <w:pPr>
        <w:ind w:firstLine="708"/>
        <w:rPr>
          <w:rFonts w:cs="Times New Roman"/>
        </w:rPr>
      </w:pPr>
    </w:p>
    <w:p w:rsidR="00DC1275" w:rsidRPr="006220DE" w:rsidRDefault="00DC1275" w:rsidP="00DC1275">
      <w:pPr>
        <w:pStyle w:val="Nadpis2"/>
        <w:rPr>
          <w:rFonts w:cs="Times New Roman"/>
        </w:rPr>
      </w:pPr>
      <w:bookmarkStart w:id="18" w:name="_Toc288653446"/>
      <w:bookmarkStart w:id="19" w:name="_Toc289299924"/>
      <w:r w:rsidRPr="006220DE">
        <w:rPr>
          <w:rFonts w:cs="Times New Roman"/>
        </w:rPr>
        <w:t>Štruktúra a obsah Dohovoru</w:t>
      </w:r>
      <w:bookmarkEnd w:id="18"/>
      <w:bookmarkEnd w:id="19"/>
    </w:p>
    <w:p w:rsidR="00DC1275" w:rsidRPr="008951F1" w:rsidRDefault="00DC1275" w:rsidP="00DC1275">
      <w:pPr>
        <w:ind w:firstLine="708"/>
        <w:rPr>
          <w:rFonts w:cs="Times New Roman"/>
        </w:rPr>
      </w:pPr>
      <w:r>
        <w:rPr>
          <w:rFonts w:cs="Times New Roman"/>
        </w:rPr>
        <w:t>Dohovor sa v zásade člení na štyri</w:t>
      </w:r>
      <w:r w:rsidRPr="008951F1">
        <w:rPr>
          <w:rFonts w:cs="Times New Roman"/>
        </w:rPr>
        <w:t xml:space="preserve"> oddiely. Úvodný oddiel je tvorený len jedným článkom a ten stanovuje základnú povinnosť zmluvných strán rešpektovať a dodržiavať ustanovenia Dohovoru. Prvý oddiel vymenúva jednotlivé hmotné práva a ich limity (článok 2-18). </w:t>
      </w:r>
      <w:r>
        <w:rPr>
          <w:rFonts w:cs="Times New Roman"/>
        </w:rPr>
        <w:t>Ustanovenia</w:t>
      </w:r>
      <w:r w:rsidRPr="008951F1">
        <w:rPr>
          <w:rFonts w:cs="Times New Roman"/>
        </w:rPr>
        <w:t xml:space="preserve"> druhého oddielu Dohovoru</w:t>
      </w:r>
      <w:r>
        <w:rPr>
          <w:rFonts w:cs="Times New Roman"/>
        </w:rPr>
        <w:t xml:space="preserve"> (články 19 – 51)</w:t>
      </w:r>
      <w:r w:rsidRPr="008951F1">
        <w:rPr>
          <w:rFonts w:cs="Times New Roman"/>
        </w:rPr>
        <w:t xml:space="preserve"> sa venujú zloženiu a právomociam </w:t>
      </w:r>
      <w:r>
        <w:rPr>
          <w:rFonts w:cs="Times New Roman"/>
        </w:rPr>
        <w:t>S</w:t>
      </w:r>
      <w:r w:rsidRPr="008951F1">
        <w:rPr>
          <w:rFonts w:cs="Times New Roman"/>
        </w:rPr>
        <w:t xml:space="preserve">údu, rovnako spôsobu </w:t>
      </w:r>
      <w:r>
        <w:rPr>
          <w:rFonts w:cs="Times New Roman"/>
        </w:rPr>
        <w:t xml:space="preserve">vedenia </w:t>
      </w:r>
      <w:r w:rsidRPr="008951F1">
        <w:rPr>
          <w:rFonts w:cs="Times New Roman"/>
        </w:rPr>
        <w:t>konania pre</w:t>
      </w:r>
      <w:r>
        <w:rPr>
          <w:rFonts w:cs="Times New Roman"/>
        </w:rPr>
        <w:t>d ním. Posledný</w:t>
      </w:r>
      <w:r w:rsidRPr="008951F1">
        <w:rPr>
          <w:rFonts w:cs="Times New Roman"/>
        </w:rPr>
        <w:t xml:space="preserve"> tretí oddiel uvádza prechodné a záverečné ustanovenia, ktoré, okrem iného</w:t>
      </w:r>
      <w:r>
        <w:rPr>
          <w:rFonts w:cs="Times New Roman"/>
        </w:rPr>
        <w:t>,</w:t>
      </w:r>
      <w:r w:rsidRPr="008951F1">
        <w:rPr>
          <w:rFonts w:cs="Times New Roman"/>
        </w:rPr>
        <w:t xml:space="preserve"> približujú pôsobnosť Dohovoru v kolóniách a spôsob učinenia výhrad (články 52-59).</w:t>
      </w:r>
    </w:p>
    <w:p w:rsidR="00DC1275" w:rsidRDefault="00DC1275" w:rsidP="00DC1275">
      <w:pPr>
        <w:ind w:firstLine="708"/>
        <w:rPr>
          <w:rFonts w:cs="Times New Roman"/>
        </w:rPr>
      </w:pPr>
      <w:r w:rsidRPr="006916A3">
        <w:rPr>
          <w:rFonts w:cs="Times New Roman"/>
        </w:rPr>
        <w:t xml:space="preserve">V priebehu rokov bolo potrebné Dohovor aktualizovať a prispôsobiť momentálnej politickej a právnej situácii. Riešením boli zmeny a doplnenia </w:t>
      </w:r>
      <w:r>
        <w:rPr>
          <w:rFonts w:cs="Times New Roman"/>
        </w:rPr>
        <w:t>prostredníctvom protokolov hmotnoprávnej alebo procesnoprávnej povahy.</w:t>
      </w:r>
      <w:r>
        <w:rPr>
          <w:rStyle w:val="Odkaznapoznmkupodiarou"/>
          <w:rFonts w:cs="Times New Roman"/>
        </w:rPr>
        <w:footnoteReference w:id="14"/>
      </w:r>
      <w:r>
        <w:rPr>
          <w:rFonts w:cs="Times New Roman"/>
        </w:rPr>
        <w:t xml:space="preserve"> Hmotnoprávne protokoly aktualizujú a rozširujú okruh zaručovaných práv a sú pripojené za hlavným textom samotnej zmluvy. Celkovo tak navýšili počet zaručovaných ustanovení ľudsko-právnej povahy z 18 na 33. Naproti tomu, znenie procesnoprávnych protokolov bolo zapracované priamo do textu Dohovoru, pričom ich úlohou je prispievať k zdokonaľovaniu procedurálnych aspektov ochrany základných práv.</w:t>
      </w:r>
      <w:r>
        <w:rPr>
          <w:rStyle w:val="Odkaznapoznmkupodiarou"/>
          <w:rFonts w:cs="Times New Roman"/>
        </w:rPr>
        <w:footnoteReference w:id="15"/>
      </w:r>
      <w:r w:rsidRPr="00D27319">
        <w:rPr>
          <w:rFonts w:cs="Times New Roman"/>
        </w:rPr>
        <w:t xml:space="preserve"> </w:t>
      </w:r>
      <w:r w:rsidRPr="006916A3">
        <w:rPr>
          <w:rFonts w:cs="Times New Roman"/>
        </w:rPr>
        <w:t>Dodatkové protokoly a pozmeňovacie protokoly sú samostatné zmluvy, je preto</w:t>
      </w:r>
      <w:r w:rsidRPr="008951F1">
        <w:rPr>
          <w:rFonts w:cs="Times New Roman"/>
        </w:rPr>
        <w:t xml:space="preserve"> nevyhnutné, aby ich členské štáty zvlášť ratifikovali predtým, ako sa pre ne </w:t>
      </w:r>
      <w:r w:rsidRPr="008951F1">
        <w:rPr>
          <w:rFonts w:cs="Times New Roman"/>
        </w:rPr>
        <w:lastRenderedPageBreak/>
        <w:t>stanú zá</w:t>
      </w:r>
      <w:r>
        <w:rPr>
          <w:rFonts w:cs="Times New Roman"/>
        </w:rPr>
        <w:t>väznými</w:t>
      </w:r>
      <w:r w:rsidRPr="008951F1">
        <w:rPr>
          <w:rFonts w:cs="Times New Roman"/>
        </w:rPr>
        <w:t>.</w:t>
      </w:r>
      <w:r w:rsidRPr="008951F1">
        <w:rPr>
          <w:rStyle w:val="Odkaznapoznmkupodiarou"/>
          <w:rFonts w:cs="Times New Roman"/>
        </w:rPr>
        <w:footnoteReference w:id="16"/>
      </w:r>
      <w:r>
        <w:rPr>
          <w:rFonts w:cs="Times New Roman"/>
        </w:rPr>
        <w:t xml:space="preserve"> Odhliadnuc od jednotlivých protokolov, obsah Dohovoru bol postupne rozširovaný aj prostredníctvom samostatných, na Dohovore nezávislých zmlúv (napríklad Európskym dohovorom o zabránení mučeniu a neľudskému a ponižujúcemu zaobchádzaniu).</w:t>
      </w:r>
      <w:r>
        <w:rPr>
          <w:rStyle w:val="Odkaznapoznmkupodiarou"/>
          <w:rFonts w:cs="Times New Roman"/>
        </w:rPr>
        <w:footnoteReference w:id="17"/>
      </w:r>
    </w:p>
    <w:p w:rsidR="00DC1275" w:rsidRPr="008951F1" w:rsidRDefault="00DC1275" w:rsidP="00DC1275">
      <w:pPr>
        <w:ind w:firstLine="708"/>
        <w:rPr>
          <w:rFonts w:cs="Times New Roman"/>
        </w:rPr>
      </w:pPr>
    </w:p>
    <w:p w:rsidR="00DC1275" w:rsidRPr="00B01C78" w:rsidRDefault="00DC1275" w:rsidP="00DC1275">
      <w:pPr>
        <w:pStyle w:val="Nadpis2"/>
        <w:ind w:left="357" w:hanging="357"/>
      </w:pPr>
      <w:bookmarkStart w:id="20" w:name="_Toc288653441"/>
      <w:bookmarkStart w:id="21" w:name="_Toc289299925"/>
      <w:r w:rsidRPr="00B01C78">
        <w:t>Rozsah aplikácie Dohovoru a jeho protokolov</w:t>
      </w:r>
      <w:bookmarkEnd w:id="20"/>
      <w:bookmarkEnd w:id="21"/>
    </w:p>
    <w:p w:rsidR="00DC1275" w:rsidRPr="008951F1" w:rsidRDefault="00DC1275" w:rsidP="00DC1275">
      <w:pPr>
        <w:pStyle w:val="3podnadpis"/>
        <w:numPr>
          <w:ilvl w:val="0"/>
          <w:numId w:val="8"/>
        </w:numPr>
      </w:pPr>
      <w:bookmarkStart w:id="22" w:name="_Toc288653442"/>
      <w:bookmarkStart w:id="23" w:name="_Toc289299926"/>
      <w:r w:rsidRPr="008951F1">
        <w:t>Územná aplikácia Dohovoru</w:t>
      </w:r>
      <w:bookmarkEnd w:id="22"/>
      <w:bookmarkEnd w:id="23"/>
    </w:p>
    <w:p w:rsidR="00DC1275" w:rsidRPr="008951F1" w:rsidRDefault="00DC1275" w:rsidP="00DC1275">
      <w:pPr>
        <w:ind w:firstLine="708"/>
        <w:rPr>
          <w:rFonts w:cs="Times New Roman"/>
        </w:rPr>
      </w:pPr>
      <w:r w:rsidRPr="008951F1">
        <w:rPr>
          <w:rFonts w:cs="Times New Roman"/>
        </w:rPr>
        <w:t xml:space="preserve">Územná aplikácia Dohovoru určuje rozsah kompetencie </w:t>
      </w:r>
      <w:proofErr w:type="spellStart"/>
      <w:r w:rsidRPr="008951F1">
        <w:rPr>
          <w:rFonts w:cs="Times New Roman"/>
          <w:i/>
        </w:rPr>
        <w:t>ratione</w:t>
      </w:r>
      <w:proofErr w:type="spellEnd"/>
      <w:r w:rsidRPr="008951F1">
        <w:rPr>
          <w:rFonts w:cs="Times New Roman"/>
          <w:i/>
        </w:rPr>
        <w:t xml:space="preserve"> </w:t>
      </w:r>
      <w:proofErr w:type="spellStart"/>
      <w:r w:rsidRPr="008951F1">
        <w:rPr>
          <w:rFonts w:cs="Times New Roman"/>
          <w:i/>
        </w:rPr>
        <w:t>loci</w:t>
      </w:r>
      <w:proofErr w:type="spellEnd"/>
      <w:r w:rsidRPr="008951F1">
        <w:rPr>
          <w:rFonts w:cs="Times New Roman"/>
        </w:rPr>
        <w:t xml:space="preserve"> Európskeho súdu pr</w:t>
      </w:r>
      <w:r>
        <w:rPr>
          <w:rFonts w:cs="Times New Roman"/>
        </w:rPr>
        <w:t>e ľudské práva. Z</w:t>
      </w:r>
      <w:r w:rsidRPr="008951F1">
        <w:rPr>
          <w:rFonts w:cs="Times New Roman"/>
        </w:rPr>
        <w:t>namená to, že porušenie určitého práva musí spadať pod jurisdikciu zmluvného štátu Dohovoru. Jedná sa o vertikálny vzťah medzi poškodeným subjektom a štátom, ktorý mu zasiahol do jeho práv a slobôd z</w:t>
      </w:r>
      <w:r>
        <w:rPr>
          <w:rFonts w:cs="Times New Roman"/>
        </w:rPr>
        <w:t>aručovaných Dohovorom. K</w:t>
      </w:r>
      <w:r w:rsidRPr="008951F1">
        <w:rPr>
          <w:rFonts w:cs="Times New Roman"/>
        </w:rPr>
        <w:t xml:space="preserve"> to</w:t>
      </w:r>
      <w:r>
        <w:rPr>
          <w:rFonts w:cs="Times New Roman"/>
        </w:rPr>
        <w:t>mu</w:t>
      </w:r>
      <w:r w:rsidRPr="008951F1">
        <w:rPr>
          <w:rFonts w:cs="Times New Roman"/>
        </w:rPr>
        <w:t>, aby jednotlivec spadal pod jurisdikciu štátu, je potrebné, aby bol podriadený jeho štátnej moci. Pojmy „územie“ a „juri</w:t>
      </w:r>
      <w:r>
        <w:rPr>
          <w:rFonts w:cs="Times New Roman"/>
        </w:rPr>
        <w:t>sdikcia“ nemajú rovnaký význam.</w:t>
      </w:r>
      <w:r w:rsidRPr="008951F1">
        <w:rPr>
          <w:rFonts w:cs="Times New Roman"/>
        </w:rPr>
        <w:t xml:space="preserve"> Je m</w:t>
      </w:r>
      <w:r>
        <w:rPr>
          <w:rFonts w:cs="Times New Roman"/>
        </w:rPr>
        <w:t>ožné, aby sa osoba nachádzajúca sa na území dotknutého štátu</w:t>
      </w:r>
      <w:r w:rsidRPr="008951F1">
        <w:rPr>
          <w:rFonts w:cs="Times New Roman"/>
        </w:rPr>
        <w:t xml:space="preserve"> vymykala jeho jurisdikcii, rovnako ako ten, kto sa fyzicky nachádza na území iného štátu, môže pod jeho jurisdikciu spadať. Štrasburské orgány sa vyslovili, že členské štáty majú voľnosť v rozšírení, prípadne zú</w:t>
      </w:r>
      <w:r>
        <w:rPr>
          <w:rFonts w:cs="Times New Roman"/>
        </w:rPr>
        <w:t>žení územnej aplikácie Dohovoru</w:t>
      </w:r>
      <w:r w:rsidRPr="008951F1">
        <w:rPr>
          <w:rFonts w:cs="Times New Roman"/>
        </w:rPr>
        <w:t>.</w:t>
      </w:r>
      <w:r>
        <w:rPr>
          <w:rStyle w:val="Odkaznapoznmkupodiarou"/>
          <w:rFonts w:cs="Times New Roman"/>
        </w:rPr>
        <w:footnoteReference w:id="18"/>
      </w:r>
      <w:r>
        <w:rPr>
          <w:rFonts w:cs="Times New Roman"/>
        </w:rPr>
        <w:t xml:space="preserve"> Zamýšľaný úkon iniciujúci zmenu teritoriálnej pôsobnosti musí členský štát vždy vopred oznámiť generálnemu tajomníkovi Rady Európy. </w:t>
      </w:r>
      <w:r>
        <w:rPr>
          <w:rStyle w:val="Odkaznapoznmkupodiarou"/>
          <w:rFonts w:cs="Times New Roman"/>
        </w:rPr>
        <w:footnoteReference w:id="19"/>
      </w:r>
    </w:p>
    <w:p w:rsidR="00DC1275" w:rsidRPr="008951F1" w:rsidRDefault="00DC1275" w:rsidP="00DC1275">
      <w:pPr>
        <w:ind w:firstLine="708"/>
        <w:rPr>
          <w:rFonts w:cs="Times New Roman"/>
        </w:rPr>
      </w:pPr>
    </w:p>
    <w:p w:rsidR="00DC1275" w:rsidRPr="005B5DD1" w:rsidRDefault="00DC1275" w:rsidP="00DC1275">
      <w:pPr>
        <w:pStyle w:val="Nadpis3"/>
        <w:ind w:left="357" w:hanging="357"/>
        <w:rPr>
          <w:rFonts w:cs="Times New Roman"/>
        </w:rPr>
      </w:pPr>
      <w:bookmarkStart w:id="24" w:name="_Toc288653443"/>
      <w:bookmarkStart w:id="25" w:name="_Toc289299927"/>
      <w:r w:rsidRPr="005B5DD1">
        <w:rPr>
          <w:rFonts w:cs="Times New Roman"/>
        </w:rPr>
        <w:t>Vecná aplikácia Dohovoru</w:t>
      </w:r>
      <w:bookmarkEnd w:id="24"/>
      <w:bookmarkEnd w:id="25"/>
    </w:p>
    <w:p w:rsidR="00DC1275" w:rsidRPr="008951F1" w:rsidRDefault="00DC1275" w:rsidP="00DC1275">
      <w:pPr>
        <w:ind w:firstLine="708"/>
        <w:rPr>
          <w:rFonts w:cs="Times New Roman"/>
        </w:rPr>
      </w:pPr>
      <w:r w:rsidRPr="008951F1">
        <w:rPr>
          <w:rFonts w:cs="Times New Roman"/>
        </w:rPr>
        <w:t xml:space="preserve">Rozsah vecnej (alebo tiež materiálnej) aplikácie Dohovoru je odrazom kompetencie </w:t>
      </w:r>
      <w:proofErr w:type="spellStart"/>
      <w:r w:rsidRPr="008951F1">
        <w:rPr>
          <w:rFonts w:cs="Times New Roman"/>
          <w:i/>
        </w:rPr>
        <w:t>ratione</w:t>
      </w:r>
      <w:proofErr w:type="spellEnd"/>
      <w:r w:rsidRPr="008951F1">
        <w:rPr>
          <w:rFonts w:cs="Times New Roman"/>
          <w:i/>
        </w:rPr>
        <w:t xml:space="preserve"> </w:t>
      </w:r>
      <w:proofErr w:type="spellStart"/>
      <w:r w:rsidRPr="008951F1">
        <w:rPr>
          <w:rFonts w:cs="Times New Roman"/>
          <w:i/>
        </w:rPr>
        <w:t>materiae</w:t>
      </w:r>
      <w:proofErr w:type="spellEnd"/>
      <w:r>
        <w:rPr>
          <w:rFonts w:cs="Times New Roman"/>
        </w:rPr>
        <w:t xml:space="preserve"> Súdu prejednávať</w:t>
      </w:r>
      <w:r w:rsidRPr="008951F1">
        <w:rPr>
          <w:rFonts w:cs="Times New Roman"/>
        </w:rPr>
        <w:t xml:space="preserve"> sťažnosti</w:t>
      </w:r>
      <w:r>
        <w:rPr>
          <w:rFonts w:cs="Times New Roman"/>
        </w:rPr>
        <w:t xml:space="preserve">, ktoré mu boli </w:t>
      </w:r>
      <w:r w:rsidRPr="008951F1">
        <w:rPr>
          <w:rFonts w:cs="Times New Roman"/>
        </w:rPr>
        <w:t xml:space="preserve">predložené. Dohovor je živým nástrojom </w:t>
      </w:r>
      <w:r>
        <w:rPr>
          <w:rFonts w:cs="Times New Roman"/>
        </w:rPr>
        <w:t>ochrany práv a slobôd; n</w:t>
      </w:r>
      <w:r w:rsidRPr="008951F1">
        <w:rPr>
          <w:rFonts w:cs="Times New Roman"/>
        </w:rPr>
        <w:t>eustále</w:t>
      </w:r>
      <w:r>
        <w:rPr>
          <w:rFonts w:cs="Times New Roman"/>
        </w:rPr>
        <w:t xml:space="preserve"> sa vyvíja</w:t>
      </w:r>
      <w:r w:rsidRPr="008951F1">
        <w:rPr>
          <w:rFonts w:cs="Times New Roman"/>
        </w:rPr>
        <w:t xml:space="preserve"> a týmto spôsobom má byť prevádzaný aj jeho výklad a uplatňovanie v praxi. </w:t>
      </w:r>
      <w:r>
        <w:rPr>
          <w:rFonts w:cs="Times New Roman"/>
        </w:rPr>
        <w:t>Ak</w:t>
      </w:r>
      <w:r w:rsidRPr="008951F1">
        <w:rPr>
          <w:rFonts w:cs="Times New Roman"/>
        </w:rPr>
        <w:t xml:space="preserve"> sa jedná o porušenie niektorého z práv alebo slobôd Dohovorom</w:t>
      </w:r>
      <w:r w:rsidRPr="005B4C65">
        <w:rPr>
          <w:rFonts w:cs="Times New Roman"/>
        </w:rPr>
        <w:t xml:space="preserve"> </w:t>
      </w:r>
      <w:r w:rsidRPr="008951F1">
        <w:rPr>
          <w:rFonts w:cs="Times New Roman"/>
        </w:rPr>
        <w:t>zaručovaných, môžeme ho na danú situáciu aplikovať.</w:t>
      </w:r>
      <w:r>
        <w:rPr>
          <w:rStyle w:val="Odkaznapoznmkupodiarou"/>
          <w:rFonts w:cs="Times New Roman"/>
        </w:rPr>
        <w:footnoteReference w:id="20"/>
      </w:r>
      <w:r w:rsidRPr="008951F1">
        <w:rPr>
          <w:rFonts w:cs="Times New Roman"/>
        </w:rPr>
        <w:t xml:space="preserve"> </w:t>
      </w:r>
      <w:r>
        <w:rPr>
          <w:rFonts w:cs="Times New Roman"/>
        </w:rPr>
        <w:t>V opačnom prípade, ak namietané právo Dohovor nezaručuje, pôjde o nezlučiteľnú vecnú kompetenciu Súdu.</w:t>
      </w:r>
      <w:r>
        <w:rPr>
          <w:rStyle w:val="Odkaznapoznmkupodiarou"/>
          <w:rFonts w:cs="Times New Roman"/>
        </w:rPr>
        <w:footnoteReference w:id="21"/>
      </w:r>
      <w:r>
        <w:rPr>
          <w:rFonts w:cs="Times New Roman"/>
        </w:rPr>
        <w:t xml:space="preserve"> </w:t>
      </w:r>
      <w:r w:rsidRPr="008951F1">
        <w:rPr>
          <w:rFonts w:cs="Times New Roman"/>
        </w:rPr>
        <w:lastRenderedPageBreak/>
        <w:t xml:space="preserve">Všetky práva súvisia so zásahom do osobnej integrity jednotlivca, prípadne do politickej slobody. </w:t>
      </w:r>
    </w:p>
    <w:p w:rsidR="00DC1275" w:rsidRPr="0040573D" w:rsidRDefault="00DC1275" w:rsidP="00DC1275">
      <w:pPr>
        <w:ind w:firstLine="708"/>
        <w:rPr>
          <w:rFonts w:cs="Times New Roman"/>
        </w:rPr>
      </w:pPr>
      <w:r w:rsidRPr="0040573D">
        <w:rPr>
          <w:rFonts w:cs="Times New Roman"/>
        </w:rPr>
        <w:t xml:space="preserve">Dohovor taxatívne zaručuje nasledujúce práva a slobody: právo na život, zákaz mučenia a neľudského a ponižujúceho zaobchádzania a trestania, zákaz otroctva a nútených prác, právo na slobodu a osobnú bezpečnosť, právo na spravodlivý proces (v trestnoprávnej i občianskoprávnej oblasti), právo na rešpektovanie osobného a rodinného života, obydlia a korešpondencie, sloboda myslenia a náboženského presvedčenia, sloboda vyjadrovania, sloboda zhromažďovania, právo na uzatvorenie manželstva, právo na účinný opravný prostriedok, zákaz diskriminácie, ochrana vlastníckych práv, právo na vzdelanie, právo na slobodné voľby, zákaz uväznenia pre dlh, sloboda pohybu, zákaz vyhostenia občanov daného štátu, zákaz hromadného vyhosťovania cudzincov, zrušenie trestu smrti, procesné záruky v prípade vyhostenia cudzinca, právo na dvojstupňové trestnoprávne súdne konanie, právo na odškodnenie v prípade súdneho omylu, právo nebyť súdený dvakrát za rovnaký trestný čin a právo rovnosti medzi manželmi. </w:t>
      </w:r>
    </w:p>
    <w:p w:rsidR="00DC1275" w:rsidRPr="008951F1" w:rsidRDefault="00DC1275" w:rsidP="00DC1275">
      <w:pPr>
        <w:ind w:firstLine="708"/>
        <w:rPr>
          <w:rFonts w:cs="Times New Roman"/>
        </w:rPr>
      </w:pPr>
      <w:r w:rsidRPr="008951F1">
        <w:rPr>
          <w:rFonts w:cs="Times New Roman"/>
        </w:rPr>
        <w:t xml:space="preserve">Behom niekoľkoročnej činnosti Európskeho súdu pre ľudské práva boli ustanovenia Dohovoru aplikované na </w:t>
      </w:r>
      <w:r>
        <w:rPr>
          <w:rFonts w:cs="Times New Roman"/>
        </w:rPr>
        <w:t>rozsiahle</w:t>
      </w:r>
      <w:r w:rsidRPr="008951F1">
        <w:rPr>
          <w:rFonts w:cs="Times New Roman"/>
        </w:rPr>
        <w:t xml:space="preserve"> množstvo situácií, ktoré zdanlivo na prvý pohľad ani nesúviseli s</w:t>
      </w:r>
      <w:r>
        <w:rPr>
          <w:rFonts w:cs="Times New Roman"/>
        </w:rPr>
        <w:t> </w:t>
      </w:r>
      <w:r w:rsidRPr="008951F1">
        <w:rPr>
          <w:rFonts w:cs="Times New Roman"/>
        </w:rPr>
        <w:t>ľudsko</w:t>
      </w:r>
      <w:r>
        <w:rPr>
          <w:rFonts w:cs="Times New Roman"/>
        </w:rPr>
        <w:t>-</w:t>
      </w:r>
      <w:r w:rsidRPr="008951F1">
        <w:rPr>
          <w:rFonts w:cs="Times New Roman"/>
        </w:rPr>
        <w:t>právnym prvkom. Súd pritom nie je viazaný ustanoveniami, na ktoré sa sťažovateľ odvoláva. Je oprávnený posúdiť sťažnosť v kontexte s inými ustanoveniami Dohovoru, ktoré uzná za vhodnejšie.</w:t>
      </w:r>
      <w:r>
        <w:rPr>
          <w:rStyle w:val="Odkaznapoznmkupodiarou"/>
          <w:rFonts w:cs="Times New Roman"/>
        </w:rPr>
        <w:footnoteReference w:id="22"/>
      </w:r>
    </w:p>
    <w:p w:rsidR="00DC1275" w:rsidRPr="008951F1" w:rsidRDefault="00DC1275" w:rsidP="00DC1275">
      <w:pPr>
        <w:ind w:firstLine="708"/>
        <w:rPr>
          <w:rFonts w:cs="Times New Roman"/>
        </w:rPr>
      </w:pPr>
    </w:p>
    <w:p w:rsidR="00DC1275" w:rsidRPr="00B22C01" w:rsidRDefault="00DC1275" w:rsidP="00DC1275">
      <w:pPr>
        <w:pStyle w:val="Nadpis3"/>
        <w:ind w:left="357" w:hanging="357"/>
      </w:pPr>
      <w:bookmarkStart w:id="26" w:name="_Toc288653444"/>
      <w:bookmarkStart w:id="27" w:name="_Toc289299928"/>
      <w:r w:rsidRPr="00B22C01">
        <w:t>Osobná aplikácia Dohovoru</w:t>
      </w:r>
      <w:bookmarkEnd w:id="26"/>
      <w:bookmarkEnd w:id="27"/>
    </w:p>
    <w:p w:rsidR="00DC1275" w:rsidRDefault="00DC1275" w:rsidP="00DC1275">
      <w:pPr>
        <w:ind w:firstLine="708"/>
        <w:rPr>
          <w:rFonts w:cs="Times New Roman"/>
        </w:rPr>
      </w:pPr>
      <w:r>
        <w:rPr>
          <w:rFonts w:cs="Times New Roman"/>
        </w:rPr>
        <w:t xml:space="preserve">Pôsobnosť Dohovoru </w:t>
      </w:r>
      <w:proofErr w:type="spellStart"/>
      <w:r w:rsidRPr="00BE1E6E">
        <w:rPr>
          <w:rFonts w:cs="Times New Roman"/>
          <w:i/>
        </w:rPr>
        <w:t>ratione</w:t>
      </w:r>
      <w:proofErr w:type="spellEnd"/>
      <w:r w:rsidRPr="00BE1E6E">
        <w:rPr>
          <w:rFonts w:cs="Times New Roman"/>
          <w:i/>
        </w:rPr>
        <w:t xml:space="preserve"> </w:t>
      </w:r>
      <w:proofErr w:type="spellStart"/>
      <w:r w:rsidRPr="00BE1E6E">
        <w:rPr>
          <w:rFonts w:cs="Times New Roman"/>
          <w:i/>
        </w:rPr>
        <w:t>personae</w:t>
      </w:r>
      <w:proofErr w:type="spellEnd"/>
      <w:r>
        <w:rPr>
          <w:rFonts w:cs="Times New Roman"/>
        </w:rPr>
        <w:t xml:space="preserve"> sa odvodzuje od aktívnej legitimácie podávateľa sťažnosti a pasívnej legitimácie štátu, proti ktorému sťažnosť smeruje. </w:t>
      </w:r>
      <w:r w:rsidRPr="00BE1E6E">
        <w:rPr>
          <w:rFonts w:cs="Times New Roman"/>
        </w:rPr>
        <w:t xml:space="preserve">Aktívne </w:t>
      </w:r>
      <w:r>
        <w:rPr>
          <w:rFonts w:cs="Times New Roman"/>
        </w:rPr>
        <w:t>legitimovaný je subjekt, ktorý spadá pod jurisdikciu štátu uvedeného v sťažnosti a zároveň sa cíti byť poškodeným v zmysle článku 34 Dohovoru. Inými slovami, za poškodeného je vo všeobecnosti možné považovať toho, kto o sebe tvrdí, že mu boli odopreté práva zaručované ustanoveniami Dohovoru. Na strane pasívne legitimovaného subjektu stojí niektorý zo zmluvných štátov Dohovoru.</w:t>
      </w:r>
      <w:r>
        <w:rPr>
          <w:rStyle w:val="Odkaznapoznmkupodiarou"/>
          <w:rFonts w:cs="Times New Roman"/>
        </w:rPr>
        <w:footnoteReference w:id="23"/>
      </w:r>
      <w:r>
        <w:rPr>
          <w:rFonts w:cs="Times New Roman"/>
        </w:rPr>
        <w:t xml:space="preserve"> </w:t>
      </w:r>
    </w:p>
    <w:p w:rsidR="00DC1275" w:rsidRDefault="00DC1275" w:rsidP="00DC1275">
      <w:pPr>
        <w:ind w:firstLine="708"/>
        <w:rPr>
          <w:rFonts w:cs="Times New Roman"/>
        </w:rPr>
      </w:pPr>
      <w:r>
        <w:rPr>
          <w:rFonts w:cs="Times New Roman"/>
        </w:rPr>
        <w:t xml:space="preserve">Práva zakotvené Dohovorom sa vzťahujú výhradne na jednotlivcov, zatiaľ čo členským štátom v tejto súvislosti vznikajú len povinnosti. Porušenie práva zo strany štátu môže nastať ako dôsledok určitého nedovoleného zásahu, prípadne nečinnosti porušujúcej </w:t>
      </w:r>
      <w:r>
        <w:rPr>
          <w:rFonts w:cs="Times New Roman"/>
        </w:rPr>
        <w:lastRenderedPageBreak/>
        <w:t>garantované práva, rovnako ako aj v nečinnosti spočívajúcej v nezabránení tretím osobám neoprávnene zasahovať do zaručovaných práv. Pod ochranu Dohovoru spadajú práva každého jednotlivca nachádzajúceho sa na území zmluvného štátu a podliehajúceho jeho jurisdikcii. Adresátmi ustanovení Dohovoru tak môžu byť občania signatárskych štátov, ale aj cudzinci a utečenci, prípadne osoby bez štátnej príslušnosti. Právnické osoby sa môžu dovolávať ustanovení Dohovoru v obmedzenom rozsahu, ich pôsobnosť je odvodená od povahy oprávnenia zakotveného v konkrétnom ustanovení.</w:t>
      </w:r>
      <w:r>
        <w:rPr>
          <w:rStyle w:val="Odkaznapoznmkupodiarou"/>
          <w:rFonts w:cs="Times New Roman"/>
        </w:rPr>
        <w:footnoteReference w:id="24"/>
      </w:r>
      <w:r>
        <w:rPr>
          <w:rFonts w:cs="Times New Roman"/>
        </w:rPr>
        <w:t xml:space="preserve">  </w:t>
      </w:r>
    </w:p>
    <w:p w:rsidR="00DC1275" w:rsidRDefault="00DC1275" w:rsidP="00DC1275">
      <w:pPr>
        <w:ind w:firstLine="708"/>
        <w:rPr>
          <w:rFonts w:cs="Times New Roman"/>
        </w:rPr>
      </w:pPr>
      <w:r>
        <w:rPr>
          <w:rFonts w:cs="Times New Roman"/>
        </w:rPr>
        <w:t xml:space="preserve">Článok 34 Dohovoru deklaruje, že </w:t>
      </w:r>
      <w:r w:rsidRPr="00AE2A20">
        <w:rPr>
          <w:rFonts w:cs="Times New Roman"/>
        </w:rPr>
        <w:t>„Súd môže prijímať sťažnosti od ktoréhokoľvek jednotlivca, mimovládnej organizácie alebo od skupiny osôb, ktoré sa považujú za poškodené v dôsledku porušenia práv priznaných Dohovorom alebo jeho protokolmi jednou z Vysokých zmluvných strán. Vysoké zmluvné strany sa zároveň zaväzujú, že nebudú žiadnym spôsobom brániť účinnému výkonu tohto práva.“</w:t>
      </w:r>
      <w:r>
        <w:rPr>
          <w:rFonts w:cs="Times New Roman"/>
        </w:rPr>
        <w:t xml:space="preserve"> Súd z vlastnej iniciatívy preskúmava, či zmluvné strany plnia túto svoju povinnosť.</w:t>
      </w:r>
    </w:p>
    <w:p w:rsidR="00DC1275" w:rsidRDefault="00DC1275" w:rsidP="00DC1275">
      <w:pPr>
        <w:ind w:firstLine="708"/>
        <w:rPr>
          <w:rFonts w:cs="Times New Roman"/>
        </w:rPr>
      </w:pPr>
    </w:p>
    <w:p w:rsidR="00DC1275" w:rsidRPr="00695A28" w:rsidRDefault="00DC1275" w:rsidP="00DC1275">
      <w:pPr>
        <w:pStyle w:val="Nadpis3"/>
        <w:ind w:left="357" w:hanging="357"/>
      </w:pPr>
      <w:bookmarkStart w:id="28" w:name="_Toc288653445"/>
      <w:bookmarkStart w:id="29" w:name="_Toc289299929"/>
      <w:r w:rsidRPr="00695A28">
        <w:t>Časová aplikácia Dohovoru</w:t>
      </w:r>
      <w:bookmarkEnd w:id="28"/>
      <w:bookmarkEnd w:id="29"/>
    </w:p>
    <w:p w:rsidR="00DC1275" w:rsidRDefault="00DC1275" w:rsidP="00DC1275">
      <w:pPr>
        <w:ind w:firstLine="708"/>
        <w:rPr>
          <w:rFonts w:cs="Times New Roman"/>
        </w:rPr>
      </w:pPr>
      <w:r w:rsidRPr="008951F1">
        <w:rPr>
          <w:rFonts w:cs="Times New Roman"/>
        </w:rPr>
        <w:t>Dohovor nadob</w:t>
      </w:r>
      <w:r>
        <w:rPr>
          <w:rFonts w:cs="Times New Roman"/>
        </w:rPr>
        <w:t xml:space="preserve">udol platnosť 3. septembra 1953; </w:t>
      </w:r>
      <w:r w:rsidRPr="008951F1">
        <w:rPr>
          <w:rFonts w:cs="Times New Roman"/>
        </w:rPr>
        <w:t>v deň, keď desiaty členský štát Rady Európy predložil svoj akt ratifikácie. Štáty nie sú povinné začleniť Dohovor a jeho dodatkové protokoly do svojich vnútroštátnych právnych systémov. Avšak tie z nich, ktoré prijali monistický systém medzinárodného práva (ako napríklad Belgicko, Česká republika, Slovensko, Švajčiarsko...), umožňujú priamu aplikáciu práv a slobôd v Dohovore, čím zabezpečujú ochranu každému, kto spadá pod ich jurisdikciu.</w:t>
      </w:r>
      <w:r>
        <w:rPr>
          <w:rFonts w:cs="Times New Roman"/>
        </w:rPr>
        <w:t xml:space="preserve"> </w:t>
      </w:r>
      <w:r w:rsidRPr="008951F1">
        <w:rPr>
          <w:rFonts w:cs="Times New Roman"/>
        </w:rPr>
        <w:t>Ratifik</w:t>
      </w:r>
      <w:r>
        <w:rPr>
          <w:rFonts w:cs="Times New Roman"/>
        </w:rPr>
        <w:t xml:space="preserve">áciou Dohovoru členské štáty </w:t>
      </w:r>
      <w:r w:rsidRPr="008951F1">
        <w:rPr>
          <w:rFonts w:cs="Times New Roman"/>
        </w:rPr>
        <w:t>sľubujú zosúladiť vnútr</w:t>
      </w:r>
      <w:r>
        <w:rPr>
          <w:rFonts w:cs="Times New Roman"/>
        </w:rPr>
        <w:t>oštátnu legislatívu s Dohovorom</w:t>
      </w:r>
      <w:r w:rsidRPr="008951F1">
        <w:rPr>
          <w:rFonts w:cs="Times New Roman"/>
        </w:rPr>
        <w:t xml:space="preserve"> a tiež pôsobiť na svoje zákonodarné, správne a súdne orgány, aby vo svojom konaní a rozhodovaní zohľadňovali jednotlivé ustanovenia Dohovoru.</w:t>
      </w:r>
      <w:r>
        <w:rPr>
          <w:rStyle w:val="Odkaznapoznmkupodiarou"/>
          <w:rFonts w:cs="Times New Roman"/>
        </w:rPr>
        <w:footnoteReference w:id="25"/>
      </w:r>
      <w:r>
        <w:rPr>
          <w:rFonts w:cs="Times New Roman"/>
        </w:rPr>
        <w:t xml:space="preserve"> Česká republika je viazaná ustanoveniami Dohovoru odo dňa ratifikácie bývalou Československou Federatívnou republikou, a to od 18. marca 1992.</w:t>
      </w:r>
    </w:p>
    <w:p w:rsidR="00DC1275" w:rsidRDefault="00DC1275" w:rsidP="00DC1275">
      <w:pPr>
        <w:ind w:firstLine="708"/>
        <w:rPr>
          <w:rFonts w:cs="Times New Roman"/>
        </w:rPr>
      </w:pPr>
      <w:r>
        <w:rPr>
          <w:rFonts w:cs="Times New Roman"/>
        </w:rPr>
        <w:t xml:space="preserve">Na základe všeobecnej zásady medzinárodného práva o zákaze retroaktívnej účinnosti zmlúv Dohovor a jeho dodatkové protokoly nie sú právne záväznými vo vzťahu ku skutočnostiam, ktoré nastali pred jeho vstupom do platnosti pre daný členský štát. </w:t>
      </w:r>
      <w:proofErr w:type="spellStart"/>
      <w:r w:rsidRPr="00204D13">
        <w:rPr>
          <w:rFonts w:cs="Times New Roman"/>
          <w:i/>
        </w:rPr>
        <w:t>R</w:t>
      </w:r>
      <w:r w:rsidRPr="006208DA">
        <w:rPr>
          <w:rFonts w:cs="Times New Roman"/>
          <w:i/>
        </w:rPr>
        <w:t>atione</w:t>
      </w:r>
      <w:proofErr w:type="spellEnd"/>
      <w:r w:rsidRPr="006208DA">
        <w:rPr>
          <w:rFonts w:cs="Times New Roman"/>
          <w:i/>
        </w:rPr>
        <w:t xml:space="preserve"> </w:t>
      </w:r>
      <w:proofErr w:type="spellStart"/>
      <w:r w:rsidRPr="006208DA">
        <w:rPr>
          <w:rFonts w:cs="Times New Roman"/>
          <w:i/>
        </w:rPr>
        <w:t>temporis</w:t>
      </w:r>
      <w:proofErr w:type="spellEnd"/>
      <w:r>
        <w:rPr>
          <w:rFonts w:cs="Times New Roman"/>
        </w:rPr>
        <w:t xml:space="preserve"> Súdu sa určuje v závislosti od okamihu, kedy k zásahu došlo, podľa relevantných skutočností a rozsahu porušeného práva namietaného v sťažnosti.</w:t>
      </w:r>
      <w:r>
        <w:rPr>
          <w:rStyle w:val="Odkaznapoznmkupodiarou"/>
          <w:rFonts w:cs="Times New Roman"/>
        </w:rPr>
        <w:footnoteReference w:id="26"/>
      </w:r>
      <w:r>
        <w:rPr>
          <w:rFonts w:cs="Times New Roman"/>
        </w:rPr>
        <w:t xml:space="preserve"> </w:t>
      </w:r>
      <w:r w:rsidRPr="008951F1">
        <w:rPr>
          <w:rFonts w:cs="Times New Roman"/>
        </w:rPr>
        <w:t xml:space="preserve">V prípade, že sa okolnosti prípadu týkajú situácie existujúcej už pred vstupom Dohovoru v platnosť pre konkrétny </w:t>
      </w:r>
      <w:r w:rsidRPr="008951F1">
        <w:rPr>
          <w:rFonts w:cs="Times New Roman"/>
        </w:rPr>
        <w:lastRenderedPageBreak/>
        <w:t xml:space="preserve">členský štát a pretrvávajú i po tomto dátume, môžu byť predmetom sťažnosti len tie zo skutočností, ktoré nastali po vstupe do platnosti.  Samozrejme, Súd môže pri prejednávaní prípadu prihliadnuť aj k predchádzajúcim okolnostiam kauzy. </w:t>
      </w:r>
      <w:r w:rsidRPr="008951F1">
        <w:rPr>
          <w:rStyle w:val="Odkaznapoznmkupodiarou"/>
          <w:rFonts w:cs="Times New Roman"/>
        </w:rPr>
        <w:footnoteReference w:id="27"/>
      </w:r>
      <w:r>
        <w:rPr>
          <w:rFonts w:cs="Times New Roman"/>
        </w:rPr>
        <w:t xml:space="preserve"> </w:t>
      </w:r>
    </w:p>
    <w:p w:rsidR="00DC1275" w:rsidRDefault="00DC1275" w:rsidP="00DC1275">
      <w:pPr>
        <w:ind w:firstLine="708"/>
        <w:rPr>
          <w:rFonts w:cs="Times New Roman"/>
        </w:rPr>
      </w:pPr>
      <w:r>
        <w:rPr>
          <w:rFonts w:cs="Times New Roman"/>
        </w:rPr>
        <w:t>Dohovor je primárne zmluvný nástroj zjednaný na dobu neurčitú, jeho ustanovenia však zmluvnému štátu dávajú možnosť členstvo ukončiť. Článok 58 sa venuje podmienkam vypovedania Dohovoru a stanovuje minimálnu dĺžku dodržovania záväzkov z neho vyplývajúcich na 5 rokov. Minimálne 6 mesiacov pred zamýšľaným vypovedaním je štát povinný notifikovať generálneho tajomníka Rady Európy o tomto úmysle.</w:t>
      </w:r>
      <w:r>
        <w:rPr>
          <w:rStyle w:val="Odkaznapoznmkupodiarou"/>
          <w:rFonts w:cs="Times New Roman"/>
        </w:rPr>
        <w:footnoteReference w:id="28"/>
      </w:r>
    </w:p>
    <w:p w:rsidR="00DC1275" w:rsidRPr="008951F1" w:rsidRDefault="00DC1275" w:rsidP="00DC1275">
      <w:pPr>
        <w:ind w:firstLine="708"/>
        <w:rPr>
          <w:rFonts w:cs="Times New Roman"/>
        </w:rPr>
      </w:pPr>
    </w:p>
    <w:p w:rsidR="00DC1275" w:rsidRDefault="00DC1275" w:rsidP="00DC1275">
      <w:pPr>
        <w:ind w:firstLine="708"/>
        <w:rPr>
          <w:rFonts w:cs="Times New Roman"/>
        </w:rPr>
      </w:pPr>
    </w:p>
    <w:p w:rsidR="00DC1275" w:rsidRDefault="00DC1275" w:rsidP="00DC1275">
      <w:pPr>
        <w:rPr>
          <w:rFonts w:cs="Times New Roman"/>
          <w:b/>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rPr>
          <w:rFonts w:cs="Times New Roman"/>
        </w:rPr>
      </w:pPr>
    </w:p>
    <w:p w:rsidR="00DC1275" w:rsidRDefault="00DC1275" w:rsidP="00DC1275">
      <w:pPr>
        <w:pStyle w:val="Nadpis1"/>
        <w:ind w:left="357" w:hanging="357"/>
      </w:pPr>
      <w:bookmarkStart w:id="32" w:name="_Toc289299930"/>
      <w:r>
        <w:t>Individuálna sťažnosť k Európskemu súdu pre ľudské práva</w:t>
      </w:r>
      <w:bookmarkEnd w:id="32"/>
    </w:p>
    <w:p w:rsidR="00DC1275" w:rsidRDefault="00DC1275" w:rsidP="00DC1275">
      <w:pPr>
        <w:pStyle w:val="Nadpis2"/>
        <w:ind w:left="357" w:hanging="357"/>
      </w:pPr>
      <w:bookmarkStart w:id="33" w:name="_Toc289299931"/>
      <w:r>
        <w:t>Úvod do problematiky individuálnej sťažnosti</w:t>
      </w:r>
      <w:bookmarkEnd w:id="33"/>
    </w:p>
    <w:p w:rsidR="00DC1275" w:rsidRPr="00D13EB0" w:rsidRDefault="00DC1275" w:rsidP="00DC1275">
      <w:pPr>
        <w:ind w:firstLine="708"/>
        <w:rPr>
          <w:rFonts w:cs="Times New Roman"/>
        </w:rPr>
      </w:pPr>
      <w:r>
        <w:rPr>
          <w:rFonts w:cs="Times New Roman"/>
        </w:rPr>
        <w:t xml:space="preserve">Právo na podanie individuálnej sťažnosti v zmysle článku 34 Dohovoru je jedným z najzásadnejších procesných práv, ktoré Dohovor poskytuje, vzhľadom na to, že </w:t>
      </w:r>
      <w:r>
        <w:rPr>
          <w:rFonts w:cs="Times New Roman"/>
        </w:rPr>
        <w:lastRenderedPageBreak/>
        <w:t>jednotlivcovi umožňuje podať žalobu priamo k medzinárodnému kontrolnému orgánu.</w:t>
      </w:r>
      <w:r>
        <w:rPr>
          <w:rStyle w:val="Odkaznapoznmkupodiarou"/>
          <w:rFonts w:cs="Times New Roman"/>
        </w:rPr>
        <w:footnoteReference w:id="29"/>
      </w:r>
      <w:r>
        <w:rPr>
          <w:rFonts w:cs="Times New Roman"/>
        </w:rPr>
        <w:t xml:space="preserve"> Podaním sťažnosti má príležitosť iniciovať súdne konanie pred Európskym súdom pre ľudské práva a tak dosiahnuť, aby bol dotknutý štát podrobený sankcii za nedodržanie záväzkov vyplývajúcich pre neho z medzinárodného práva. V medzinárodnom zmluvnom práve sa jedná o vzácny prípad, pretože jednotlivec sa stáva priamo subjektom medzinárodného práva. Práve v tom spočíva zásadný rozdiel, ktorým sa systém Dohovoru odlišuje od klasického medzinárodného práva.</w:t>
      </w:r>
      <w:r>
        <w:rPr>
          <w:rStyle w:val="Odkaznapoznmkupodiarou"/>
          <w:rFonts w:cs="Times New Roman"/>
        </w:rPr>
        <w:footnoteReference w:id="30"/>
      </w:r>
      <w:r>
        <w:rPr>
          <w:rFonts w:cs="Times New Roman"/>
        </w:rPr>
        <w:t xml:space="preserve"> </w:t>
      </w:r>
    </w:p>
    <w:p w:rsidR="00DC1275" w:rsidRPr="000D33AA" w:rsidRDefault="00DC1275" w:rsidP="00DC1275"/>
    <w:p w:rsidR="00DC1275" w:rsidRPr="00AB59C6" w:rsidRDefault="00DC1275" w:rsidP="00DC1275">
      <w:pPr>
        <w:pStyle w:val="3podnadpis"/>
        <w:numPr>
          <w:ilvl w:val="0"/>
          <w:numId w:val="9"/>
        </w:numPr>
      </w:pPr>
      <w:bookmarkStart w:id="34" w:name="_Toc289299932"/>
      <w:r>
        <w:t>V</w:t>
      </w:r>
      <w:r w:rsidRPr="00AB59C6">
        <w:t>ývoj práva na podanie sťažnosti</w:t>
      </w:r>
      <w:bookmarkEnd w:id="34"/>
    </w:p>
    <w:p w:rsidR="00DC1275" w:rsidRPr="00D13EB0" w:rsidRDefault="00DC1275" w:rsidP="00DC1275">
      <w:pPr>
        <w:ind w:firstLine="708"/>
        <w:rPr>
          <w:rFonts w:cs="Times New Roman"/>
        </w:rPr>
      </w:pPr>
      <w:r w:rsidRPr="00D13EB0">
        <w:rPr>
          <w:rFonts w:cs="Times New Roman"/>
        </w:rPr>
        <w:t xml:space="preserve">Dohovor prijatý v roku 1952 zriadil dva orgány, a to Európsku komisiu pre ľudské práva (ďalej len „Komisia“) a Súd. Oba tieto orgány fungovali samostatne a schádzali sa nepermanentne. Sťažnosti od jednotlivcov, prípadne skupín jednotlivcov, prijímala Komisia, ktorá ich zároveň registrovala a rozdeľovala podľa prípustnosti. Drvivú väčšinu prípadov </w:t>
      </w:r>
      <w:r>
        <w:rPr>
          <w:rFonts w:cs="Times New Roman"/>
        </w:rPr>
        <w:t xml:space="preserve">však </w:t>
      </w:r>
      <w:r w:rsidRPr="00D13EB0">
        <w:rPr>
          <w:rFonts w:cs="Times New Roman"/>
        </w:rPr>
        <w:t xml:space="preserve">odmietla ako neprípustné </w:t>
      </w:r>
      <w:r>
        <w:rPr>
          <w:rFonts w:cs="Times New Roman"/>
        </w:rPr>
        <w:t>z dôvodu</w:t>
      </w:r>
      <w:r w:rsidRPr="00D13EB0">
        <w:rPr>
          <w:rFonts w:cs="Times New Roman"/>
        </w:rPr>
        <w:t>, že porušenie práv nekonštatovala, alebo prípadné porušenie nebolo porušením práv podľa Dohovoru.</w:t>
      </w:r>
      <w:r w:rsidRPr="00D13EB0">
        <w:rPr>
          <w:rStyle w:val="Odkaznapoznmkupodiarou"/>
          <w:rFonts w:cs="Times New Roman"/>
        </w:rPr>
        <w:footnoteReference w:id="31"/>
      </w:r>
    </w:p>
    <w:p w:rsidR="00DC1275" w:rsidRPr="00D13EB0" w:rsidRDefault="00DC1275" w:rsidP="00DC1275">
      <w:pPr>
        <w:ind w:firstLine="708"/>
        <w:rPr>
          <w:rFonts w:cs="Times New Roman"/>
        </w:rPr>
      </w:pPr>
      <w:r w:rsidRPr="00D13EB0">
        <w:rPr>
          <w:rFonts w:cs="Times New Roman"/>
        </w:rPr>
        <w:t>V októbri 1993 zmluvné strany odsúhlasili návrh pripravovaného 11. revízneho protokolu k Dohovoru. Zásadná zmena spočívala v tom, že po jeho vstupe v platnosť boli Výbor Ministrov, nepermanentná Komisia a Súd nahradené jediným orgánom, a to permanentne zasadajúcim Súdom so sídlom v Štrasburgu. Do jeho jurisdikcie spadá plná interpret</w:t>
      </w:r>
      <w:r>
        <w:rPr>
          <w:rFonts w:cs="Times New Roman"/>
        </w:rPr>
        <w:t xml:space="preserve">ácia a aplikácia Dohovoru </w:t>
      </w:r>
      <w:r w:rsidRPr="00D13EB0">
        <w:rPr>
          <w:rFonts w:cs="Times New Roman"/>
        </w:rPr>
        <w:t>ako u medzištátnych sporov, tak aj v prípade individuálnych sťažností.</w:t>
      </w:r>
      <w:r w:rsidRPr="00D13EB0">
        <w:rPr>
          <w:rStyle w:val="Odkaznapoznmkupodiarou"/>
          <w:rFonts w:cs="Times New Roman"/>
        </w:rPr>
        <w:footnoteReference w:id="32"/>
      </w:r>
      <w:r w:rsidRPr="00D13EB0">
        <w:rPr>
          <w:rFonts w:cs="Times New Roman"/>
        </w:rPr>
        <w:t xml:space="preserve"> Právo na podanie individuálnej sťažnosti je obligatórne súčasťou nielen Dohovoru, ale i jeho protokolov, hoci štáty sú viazané len tými z nich, ktoré výslovne ratifikovali.</w:t>
      </w:r>
      <w:r w:rsidRPr="00D13EB0">
        <w:rPr>
          <w:rStyle w:val="Odkaznapoznmkupodiarou"/>
          <w:rFonts w:cs="Times New Roman"/>
        </w:rPr>
        <w:footnoteReference w:id="33"/>
      </w:r>
      <w:r w:rsidRPr="00D13EB0">
        <w:rPr>
          <w:rFonts w:cs="Times New Roman"/>
        </w:rPr>
        <w:t xml:space="preserve"> </w:t>
      </w:r>
    </w:p>
    <w:p w:rsidR="00DC1275" w:rsidRPr="008951F1" w:rsidRDefault="00DC1275" w:rsidP="00DC1275">
      <w:pPr>
        <w:ind w:firstLine="708"/>
        <w:rPr>
          <w:rFonts w:cs="Times New Roman"/>
        </w:rPr>
      </w:pPr>
      <w:r w:rsidRPr="008951F1">
        <w:rPr>
          <w:rFonts w:cs="Times New Roman"/>
        </w:rPr>
        <w:t xml:space="preserve">Napriek efektívnym novinkám, ktoré zaviedol 11. protokol, </w:t>
      </w:r>
      <w:r>
        <w:rPr>
          <w:rFonts w:cs="Times New Roman"/>
        </w:rPr>
        <w:t xml:space="preserve">Súd sa stával čoraz viac zahlteným množstvom prichádzajúcich sťažností, ktoré nestíhal riešiť. </w:t>
      </w:r>
      <w:r w:rsidRPr="008951F1">
        <w:rPr>
          <w:rFonts w:cs="Times New Roman"/>
        </w:rPr>
        <w:t xml:space="preserve">Rada Európy sa postupne rozrastala, Dohovor poskytoval ochranu pre stále väčší okruh štátov a na jeho </w:t>
      </w:r>
      <w:r w:rsidRPr="00D13EB0">
        <w:rPr>
          <w:rFonts w:cs="Times New Roman"/>
        </w:rPr>
        <w:t>ustanovenia sa tak mohlo odvolávať až 800 miliónov ľudí. Vyvstala teda potreba inovácie a zjednodušenia zaužívaného postupu prerokúvania sťažností.</w:t>
      </w:r>
      <w:r>
        <w:rPr>
          <w:rFonts w:cs="Times New Roman"/>
        </w:rPr>
        <w:t xml:space="preserve"> </w:t>
      </w:r>
      <w:r w:rsidRPr="00E01D85">
        <w:rPr>
          <w:rFonts w:cs="Times New Roman"/>
        </w:rPr>
        <w:t xml:space="preserve">Ako prvé, súd výrazne skrátil </w:t>
      </w:r>
      <w:r w:rsidRPr="00E01D85">
        <w:rPr>
          <w:rFonts w:cs="Times New Roman"/>
        </w:rPr>
        <w:lastRenderedPageBreak/>
        <w:t xml:space="preserve">fázu posudzovania sťažností podľa prijateľnosti, </w:t>
      </w:r>
      <w:r>
        <w:rPr>
          <w:rFonts w:cs="Times New Roman"/>
        </w:rPr>
        <w:t>rovnako učinil i prípade sťažností rovnakého druhu judikovaných už v minulosti. Zároveň,</w:t>
      </w:r>
      <w:r w:rsidRPr="00E01D85">
        <w:rPr>
          <w:rFonts w:cs="Times New Roman"/>
        </w:rPr>
        <w:t xml:space="preserve"> v prvom odsudzujúcom rozsudku zo skupiny podobných sťažností (</w:t>
      </w:r>
      <w:proofErr w:type="spellStart"/>
      <w:r w:rsidRPr="00603E2B">
        <w:rPr>
          <w:rFonts w:cs="Times New Roman"/>
          <w:i/>
        </w:rPr>
        <w:t>pilot-judgment</w:t>
      </w:r>
      <w:proofErr w:type="spellEnd"/>
      <w:r w:rsidRPr="00E01D85">
        <w:rPr>
          <w:rFonts w:cs="Times New Roman"/>
        </w:rPr>
        <w:t>) definoval hlavné problémy vn</w:t>
      </w:r>
      <w:r>
        <w:rPr>
          <w:rFonts w:cs="Times New Roman"/>
        </w:rPr>
        <w:t>útroštátneho práva a ich pôvod. Š</w:t>
      </w:r>
      <w:r w:rsidRPr="00E01D85">
        <w:rPr>
          <w:rFonts w:cs="Times New Roman"/>
        </w:rPr>
        <w:t xml:space="preserve">tátu mohol navrhnúť </w:t>
      </w:r>
      <w:r>
        <w:rPr>
          <w:rFonts w:cs="Times New Roman"/>
        </w:rPr>
        <w:t>aj</w:t>
      </w:r>
      <w:r w:rsidRPr="00E01D85">
        <w:rPr>
          <w:rFonts w:cs="Times New Roman"/>
        </w:rPr>
        <w:t xml:space="preserve"> možné spôsoby nápravy porušovania Dohovoru. V prípade, že daný štát svojim pohotovým konaním učinil rýchlu nápravu, napríklad zavedením nového opravného prostriedku alebo inými zákonnými postupmi, Súd túto možnosť zobral do úvahy v ďalších kauzách podobného typu. Žiadne z týchto opatrení však nemalo za následok vytúžené zníženie počtu podaní.</w:t>
      </w:r>
      <w:r w:rsidRPr="00E01D85">
        <w:rPr>
          <w:rStyle w:val="Odkaznapoznmkupodiarou"/>
          <w:rFonts w:cs="Times New Roman"/>
        </w:rPr>
        <w:t xml:space="preserve"> </w:t>
      </w:r>
      <w:r w:rsidRPr="008951F1">
        <w:rPr>
          <w:rFonts w:cs="Times New Roman"/>
        </w:rPr>
        <w:t>Preto snaha o zlepšenie situácie vyústila do príprav</w:t>
      </w:r>
      <w:r>
        <w:rPr>
          <w:rFonts w:cs="Times New Roman"/>
        </w:rPr>
        <w:t xml:space="preserve"> 14. protokolu k Dohovoru.</w:t>
      </w:r>
      <w:r w:rsidRPr="00E01D85">
        <w:rPr>
          <w:rStyle w:val="Odkaznapoznmkupodiarou"/>
          <w:rFonts w:cs="Times New Roman"/>
        </w:rPr>
        <w:t xml:space="preserve"> </w:t>
      </w:r>
      <w:r w:rsidRPr="00E01D85">
        <w:rPr>
          <w:rStyle w:val="Odkaznapoznmkupodiarou"/>
          <w:rFonts w:cs="Times New Roman"/>
        </w:rPr>
        <w:footnoteReference w:id="34"/>
      </w:r>
      <w:r>
        <w:rPr>
          <w:rFonts w:cs="Times New Roman"/>
        </w:rPr>
        <w:t xml:space="preserve"> </w:t>
      </w:r>
      <w:r>
        <w:rPr>
          <w:rStyle w:val="Odkaznapoznmkupodiarou"/>
          <w:rFonts w:cs="Times New Roman"/>
        </w:rPr>
        <w:footnoteReference w:id="35"/>
      </w:r>
    </w:p>
    <w:p w:rsidR="00DC1275" w:rsidRDefault="00DC1275" w:rsidP="00DC1275">
      <w:pPr>
        <w:ind w:firstLine="708"/>
        <w:rPr>
          <w:rFonts w:cs="Times New Roman"/>
        </w:rPr>
      </w:pPr>
      <w:r w:rsidRPr="00721886">
        <w:rPr>
          <w:rFonts w:cs="Times New Roman"/>
        </w:rPr>
        <w:t>Hlavným zámerom tohto proc</w:t>
      </w:r>
      <w:r>
        <w:rPr>
          <w:rFonts w:cs="Times New Roman"/>
        </w:rPr>
        <w:t>esného protokolu bolo vylepšiť existujúci kontrolný</w:t>
      </w:r>
      <w:r w:rsidRPr="00721886">
        <w:rPr>
          <w:rFonts w:cs="Times New Roman"/>
        </w:rPr>
        <w:t xml:space="preserve"> mechanizmu</w:t>
      </w:r>
      <w:r>
        <w:rPr>
          <w:rFonts w:cs="Times New Roman"/>
        </w:rPr>
        <w:t>s, ktorý zaviedol</w:t>
      </w:r>
      <w:r w:rsidRPr="00721886">
        <w:rPr>
          <w:rFonts w:cs="Times New Roman"/>
        </w:rPr>
        <w:t xml:space="preserve"> Dohovor a 11. protokol a posilniť tak kanceláriu Súdu, aby bola schopná lepšie si poradiť s prílivom sťažností pri súčasnom zachovaní kvality vydávaných rozsudkov.</w:t>
      </w:r>
      <w:r w:rsidRPr="00721886">
        <w:rPr>
          <w:rStyle w:val="Odkaznapoznmkupodiarou"/>
          <w:rFonts w:cs="Times New Roman"/>
        </w:rPr>
        <w:footnoteReference w:id="36"/>
      </w:r>
      <w:r w:rsidRPr="00721886">
        <w:rPr>
          <w:rFonts w:cs="Times New Roman"/>
        </w:rPr>
        <w:t xml:space="preserve"> </w:t>
      </w:r>
      <w:r>
        <w:rPr>
          <w:rFonts w:cs="Times New Roman"/>
        </w:rPr>
        <w:t>Zavádza zmeny v troch podstatných sférach: znásobuje filtračnú schopnosť Súdu, pridáva nové kritérium prijateľnosti doplnené o dve poistné klauzule, a nakoniec, prináša opatrenia ohľadne prerokovania opakujúcich sa prípadov.</w:t>
      </w:r>
      <w:r>
        <w:rPr>
          <w:rStyle w:val="Odkaznapoznmkupodiarou"/>
          <w:rFonts w:cs="Times New Roman"/>
        </w:rPr>
        <w:footnoteReference w:id="37"/>
      </w:r>
      <w:r>
        <w:rPr>
          <w:rFonts w:cs="Times New Roman"/>
        </w:rPr>
        <w:t xml:space="preserve"> Jeho snahou je znížiť dobu</w:t>
      </w:r>
      <w:r w:rsidRPr="00721886">
        <w:rPr>
          <w:rFonts w:cs="Times New Roman"/>
        </w:rPr>
        <w:t>, ktorú Súd strávi nad neprípustnými, zjavne n</w:t>
      </w:r>
      <w:r>
        <w:rPr>
          <w:rFonts w:cs="Times New Roman"/>
        </w:rPr>
        <w:t>epodloženými, či opakujúcimi sa</w:t>
      </w:r>
      <w:r w:rsidRPr="00721886">
        <w:rPr>
          <w:rFonts w:cs="Times New Roman"/>
        </w:rPr>
        <w:t xml:space="preserve"> podaniami, </w:t>
      </w:r>
      <w:r>
        <w:rPr>
          <w:rFonts w:cs="Times New Roman"/>
        </w:rPr>
        <w:t>aby</w:t>
      </w:r>
      <w:r w:rsidRPr="00721886">
        <w:rPr>
          <w:rFonts w:cs="Times New Roman"/>
        </w:rPr>
        <w:t xml:space="preserve"> sa </w:t>
      </w:r>
      <w:r>
        <w:rPr>
          <w:rFonts w:cs="Times New Roman"/>
        </w:rPr>
        <w:t>mohol</w:t>
      </w:r>
      <w:r w:rsidRPr="00721886">
        <w:rPr>
          <w:rFonts w:cs="Times New Roman"/>
        </w:rPr>
        <w:t xml:space="preserve"> intenzívnejšie venovať tým, ktoré nastoľujú dôležité ľudsko-právne problémy.</w:t>
      </w:r>
      <w:r w:rsidRPr="00721886">
        <w:rPr>
          <w:rStyle w:val="Odkaznapoznmkupodiarou"/>
          <w:rFonts w:cs="Times New Roman"/>
        </w:rPr>
        <w:footnoteReference w:id="38"/>
      </w:r>
    </w:p>
    <w:p w:rsidR="00DC1275" w:rsidRDefault="00DC1275" w:rsidP="00DC1275">
      <w:pPr>
        <w:ind w:firstLine="708"/>
        <w:rPr>
          <w:rFonts w:cs="Times New Roman"/>
        </w:rPr>
      </w:pPr>
      <w:r>
        <w:rPr>
          <w:rFonts w:cs="Times New Roman"/>
        </w:rPr>
        <w:t>Na rozdiel od Protokolu č. 11 sa však jedná len o určitú korekciu už existujúceho systému, nie o vytvorenie systému nového, pričom problémy skôr zmierňuje, než by sa snažil o ich zásadné vyriešenie. Či sa mu podarí podporiť efektivitu kontrolného mechanizmu a do akej miery prispeje k udržaniu jeho chodu, bude pravdepodobne možné objektívne posúdiť až s odstupom času.</w:t>
      </w:r>
      <w:r>
        <w:rPr>
          <w:rStyle w:val="Odkaznapoznmkupodiarou"/>
          <w:rFonts w:cs="Times New Roman"/>
        </w:rPr>
        <w:footnoteReference w:id="39"/>
      </w:r>
    </w:p>
    <w:p w:rsidR="00DC1275" w:rsidRPr="00721886" w:rsidRDefault="00DC1275" w:rsidP="00DC1275">
      <w:pPr>
        <w:ind w:firstLine="708"/>
        <w:rPr>
          <w:rFonts w:cs="Times New Roman"/>
        </w:rPr>
      </w:pPr>
    </w:p>
    <w:p w:rsidR="00DC1275" w:rsidRPr="00A6259E" w:rsidRDefault="00DC1275" w:rsidP="00DC1275">
      <w:pPr>
        <w:pStyle w:val="3podnadpis"/>
        <w:numPr>
          <w:ilvl w:val="0"/>
          <w:numId w:val="10"/>
        </w:numPr>
      </w:pPr>
      <w:bookmarkStart w:id="35" w:name="_Toc289299933"/>
      <w:r w:rsidRPr="00A6259E">
        <w:t>Formálny postup pri podávaní sťažnosti</w:t>
      </w:r>
      <w:bookmarkEnd w:id="35"/>
    </w:p>
    <w:p w:rsidR="00DC1275" w:rsidRDefault="00DC1275" w:rsidP="00DC1275">
      <w:pPr>
        <w:ind w:firstLine="708"/>
      </w:pPr>
      <w:r>
        <w:t xml:space="preserve">Každá individuálna sťažnosť musí byť podaná v písomnej forme a zároveň byť podpísaná sťažovateľom alebo jeho zástupcom. Sťažnosť v zásade nie je možné podať telefonicky. Pokiaľ sťažovateľ učiní podanie prostredníctvom faxu, do 5 dní odo dňa takéhoto </w:t>
      </w:r>
      <w:r>
        <w:lastRenderedPageBreak/>
        <w:t>podania je nutné zaslať dodatočne podpísaný originál sťažnosti. V prípade podania sťažnosti v mene mimovládnej organizácie, príp. skupiny osôb je dôležité, aby sťažnosť obsahovala podpisy osôb oprávnených zastupovať tieto subjekty. Sťažnosť môže byť napísaná buď v jednom z oficiálnych jazykov Súdu (angličtina, francúzština), prípadne v oficiálnom jazyku jedného zo štátov, ktorý ratifikoval Dohovor. Individuálna sťažnosť musí byť podaná na tlačive sťažnosti a obsahovať nasledujúce skutočnosti:</w:t>
      </w:r>
    </w:p>
    <w:p w:rsidR="00DC1275" w:rsidRDefault="00DC1275" w:rsidP="00DC1275">
      <w:pPr>
        <w:pStyle w:val="Odsekzoznamu"/>
        <w:numPr>
          <w:ilvl w:val="0"/>
          <w:numId w:val="11"/>
        </w:numPr>
      </w:pPr>
      <w:r>
        <w:t>meno, dátum narodenia, štátne občianstvo, pohlavie, zamestnanie a adresu sťažovateľa,</w:t>
      </w:r>
    </w:p>
    <w:p w:rsidR="00DC1275" w:rsidRDefault="00DC1275" w:rsidP="00DC1275">
      <w:pPr>
        <w:pStyle w:val="Odsekzoznamu"/>
        <w:numPr>
          <w:ilvl w:val="0"/>
          <w:numId w:val="11"/>
        </w:numPr>
      </w:pPr>
      <w:r>
        <w:t>meno, zamestnanie a adresu zástupcu, ak je ustanovený,</w:t>
      </w:r>
    </w:p>
    <w:p w:rsidR="00DC1275" w:rsidRDefault="00DC1275" w:rsidP="00DC1275">
      <w:pPr>
        <w:pStyle w:val="Odsekzoznamu"/>
        <w:numPr>
          <w:ilvl w:val="0"/>
          <w:numId w:val="11"/>
        </w:numPr>
      </w:pPr>
      <w:r>
        <w:t>meno zmluvnej strany alebo strán, proti ktorým sťažnosť smeruje,</w:t>
      </w:r>
    </w:p>
    <w:p w:rsidR="00DC1275" w:rsidRDefault="00DC1275" w:rsidP="00DC1275">
      <w:pPr>
        <w:pStyle w:val="Odsekzoznamu"/>
        <w:numPr>
          <w:ilvl w:val="0"/>
          <w:numId w:val="11"/>
        </w:numPr>
      </w:pPr>
      <w:r>
        <w:t>stručný popis skutkového stavu,</w:t>
      </w:r>
    </w:p>
    <w:p w:rsidR="00DC1275" w:rsidRDefault="00DC1275" w:rsidP="00DC1275">
      <w:pPr>
        <w:pStyle w:val="Odsekzoznamu"/>
        <w:numPr>
          <w:ilvl w:val="0"/>
          <w:numId w:val="11"/>
        </w:numPr>
      </w:pPr>
      <w:r>
        <w:t xml:space="preserve">stručné poukázanie na údajné porušenie Dohovoru s príslušnými dôvodmi, </w:t>
      </w:r>
    </w:p>
    <w:p w:rsidR="00DC1275" w:rsidRDefault="00DC1275" w:rsidP="00DC1275">
      <w:pPr>
        <w:pStyle w:val="Odsekzoznamu"/>
        <w:numPr>
          <w:ilvl w:val="0"/>
          <w:numId w:val="11"/>
        </w:numPr>
      </w:pPr>
      <w:r>
        <w:t>prehlásenie sťažovateľa, že splnil podmienky prijateľnosti v zmysle článku 35 ods. 1 Dohovoru,</w:t>
      </w:r>
    </w:p>
    <w:p w:rsidR="00DC1275" w:rsidRDefault="00DC1275" w:rsidP="00DC1275">
      <w:pPr>
        <w:pStyle w:val="Odsekzoznamu"/>
        <w:numPr>
          <w:ilvl w:val="0"/>
          <w:numId w:val="11"/>
        </w:numPr>
      </w:pPr>
      <w:r>
        <w:t>predmet sťažnosti.</w:t>
      </w:r>
    </w:p>
    <w:p w:rsidR="00DC1275" w:rsidRDefault="00DC1275" w:rsidP="00DC1275">
      <w:r>
        <w:t>K uvedeným skutočnostiam sťažovateľ doloží kópie všetkých potrebných dokumentov, najmä rozhodnutí (súdnych alebo iných), ktoré sa týkajú predmetu sťažnosti.</w:t>
      </w:r>
      <w:r>
        <w:rPr>
          <w:rStyle w:val="Odkaznapoznmkupodiarou"/>
        </w:rPr>
        <w:footnoteReference w:id="40"/>
      </w:r>
      <w:r>
        <w:t xml:space="preserve"> </w:t>
      </w:r>
      <w:r>
        <w:rPr>
          <w:rStyle w:val="Odkaznapoznmkupodiarou"/>
        </w:rPr>
        <w:footnoteReference w:id="41"/>
      </w:r>
    </w:p>
    <w:p w:rsidR="00DC1275" w:rsidRDefault="00DC1275" w:rsidP="00DC1275">
      <w:pPr>
        <w:ind w:firstLine="708"/>
      </w:pPr>
      <w:r>
        <w:t>Individuálne sťažnosti sa týkajú stále širšieho okruhu problémov, ako napríklad zmiznutí a nezákonných zabití, mučenia a zlého zaobchádzania so zadržanými, odpočúvaní telefónu, diskriminácie homosexuálov, slobody tlače, zasahovania do majetkových práv, deportácie a vydávania osôb atď.</w:t>
      </w:r>
      <w:r>
        <w:rPr>
          <w:rStyle w:val="Odkaznapoznmkupodiarou"/>
        </w:rPr>
        <w:footnoteReference w:id="42"/>
      </w:r>
      <w:r>
        <w:t xml:space="preserve"> V prípade, že si sťažovateľ praje zostať v anonymite, musí túto skutočnosť oznámiť Súdu spolu s uvedením dôvodov, ktoré ho vedú k použitiu výnimky zo zásady verejnosti v konaní pred Súdom. Predseda senátu môže vo výnimočných a riadne odôvodnených prípadoch povoliť zachovanie anonymity sťažovateľa. Nerešpektovanie ktorejkoľvek z vyššie zmienených povinností môže viesť k tomu, že Súd sťažnosť nezaregistruje ani </w:t>
      </w:r>
      <w:proofErr w:type="spellStart"/>
      <w:r>
        <w:t>neprejedná</w:t>
      </w:r>
      <w:proofErr w:type="spellEnd"/>
      <w:r>
        <w:t xml:space="preserve">. </w:t>
      </w:r>
    </w:p>
    <w:p w:rsidR="00DC1275" w:rsidRDefault="00DC1275" w:rsidP="00DC1275">
      <w:pPr>
        <w:ind w:firstLine="708"/>
      </w:pPr>
      <w:r>
        <w:t xml:space="preserve">Za deň podania sťažnosti sa spravidla považuje deň, kedy sa sťažovateľ po prvý krát obrátil na Súd so stručným popisom tvrdeného poškodenia práv. V odôvodnených prípadoch môže Súd určiť za deň podania iný dátum.  Sťažovateľ je povinný vyrozumieť Súd o zmene adresy i o každej inej skutočnosti, ktorá je pre </w:t>
      </w:r>
      <w:proofErr w:type="spellStart"/>
      <w:r>
        <w:t>prejednanie</w:t>
      </w:r>
      <w:proofErr w:type="spellEnd"/>
      <w:r>
        <w:t xml:space="preserve"> sťažnosti podstatná.</w:t>
      </w:r>
    </w:p>
    <w:p w:rsidR="00DC1275" w:rsidRDefault="00DC1275" w:rsidP="00DC1275">
      <w:pPr>
        <w:ind w:firstLine="708"/>
      </w:pPr>
      <w:r>
        <w:lastRenderedPageBreak/>
        <w:t>Aby sa Súd mohol podanou sťažnosťou zaoberať, musí spĺňať tzv. podmienky prijateľnosti. Preto, ak by bola individuálna sťažnosť, prípadne jej časť prehlásená za neprijateľnú, konanie o danom prípade alebo jeho časti končí. Rozhodnutie Súdu o neprijateľnosti sťažnosti je konečné.</w:t>
      </w:r>
      <w:r>
        <w:rPr>
          <w:rStyle w:val="Odkaznapoznmkupodiarou"/>
        </w:rPr>
        <w:footnoteReference w:id="43"/>
      </w:r>
    </w:p>
    <w:p w:rsidR="00DC1275" w:rsidRDefault="00DC1275" w:rsidP="00DC1275"/>
    <w:p w:rsidR="00DC1275" w:rsidRPr="00B771D6" w:rsidRDefault="00DC1275" w:rsidP="00DC1275">
      <w:pPr>
        <w:pStyle w:val="Nadpis2"/>
        <w:ind w:left="357" w:hanging="357"/>
      </w:pPr>
      <w:bookmarkStart w:id="36" w:name="_Toc289299934"/>
      <w:r w:rsidRPr="00B771D6">
        <w:t>Rozsah prijateľnosti inštitútu individuálnej sťažnosti</w:t>
      </w:r>
      <w:bookmarkEnd w:id="36"/>
    </w:p>
    <w:p w:rsidR="00DC1275" w:rsidRDefault="00DC1275" w:rsidP="00DC1275">
      <w:pPr>
        <w:ind w:firstLine="708"/>
      </w:pPr>
      <w:r>
        <w:t xml:space="preserve">Článok 34 právom zaujíma zásadné miesto v rámci ustanovení Dohovoru. Svojím obsahom garantuje jednotlivcovi (prípadne skupine jednotlivcov) právo na individuálnu sťažnosť za porušenie práv a slobôd Dohovorom zaručovaných a umožňuje mu týmto učiniť právny úkon na medzinárodnej úrovni. Sťažnosť môže smerovať len proti štátu, ktorý je jeho signatárom. Keďže Dohovor je živým nástrojom podliehajúcim dynamickému vývoju odvíjajúceho sa od zmien v spoločnosti, formuje sa aj znenie procesného článku 34. Právo obrátiť sa na Súd so sťažnosťou je absolútne a nie je možné ho nijako obmedziť. Toto pravidlo vyplýva zo slobody komunikovať s orgánmi kreovanými na základe Dohovoru. </w:t>
      </w:r>
    </w:p>
    <w:p w:rsidR="00DC1275" w:rsidRDefault="00DC1275" w:rsidP="00DC1275">
      <w:pPr>
        <w:ind w:firstLine="708"/>
      </w:pPr>
      <w:r>
        <w:t>Toto ustanovenie predstavuje bez pochýb jeden z najpokrokovejších článkov Dohovoru vôbec. Posilňuje postavenie jednotlivca v rámci medzinárodného práva tým, že dáva každému možnosť hájiť svoje práva pred Súdom (v prípade, že spadajú pod okruh práv zaručovaných Dohovorom), a to bez ohľadu na jeho štátne občianstvo.</w:t>
      </w:r>
      <w:r>
        <w:rPr>
          <w:rStyle w:val="Odkaznapoznmkupodiarou"/>
        </w:rPr>
        <w:footnoteReference w:id="44"/>
      </w:r>
      <w:r>
        <w:t xml:space="preserve"> Inými slovami, ak využije jednotlivec možnosť brániť svoje práva touto cestou, stáva sa priamo subjektom medzinárodného práva. Z tejto pozície je tak spôsobilý vyvolať súdne konanie pred medzinárodným orgánom a vydobyť si poškodené práva.</w:t>
      </w:r>
      <w:r>
        <w:rPr>
          <w:rStyle w:val="Odkaznapoznmkupodiarou"/>
        </w:rPr>
        <w:footnoteReference w:id="45"/>
      </w:r>
      <w:r>
        <w:t xml:space="preserve"> Táto osoba súčasne musí doložiť skutočnosť, že je osobou poškodenou a poukázať na právo, ktoré jej bolo obmedzené, či úplne odňaté. Navyše, je dôležitá vzájomná väzba medzi sťažovateľom a škodou, ktorú utrpel. Nie je preto možné úspešne predložiť Súdu tzv. </w:t>
      </w:r>
      <w:proofErr w:type="spellStart"/>
      <w:r w:rsidRPr="00033F0A">
        <w:rPr>
          <w:i/>
        </w:rPr>
        <w:t>actio</w:t>
      </w:r>
      <w:proofErr w:type="spellEnd"/>
      <w:r w:rsidRPr="00033F0A">
        <w:rPr>
          <w:i/>
        </w:rPr>
        <w:t xml:space="preserve"> </w:t>
      </w:r>
      <w:proofErr w:type="spellStart"/>
      <w:r w:rsidRPr="00033F0A">
        <w:rPr>
          <w:i/>
        </w:rPr>
        <w:t>popularis</w:t>
      </w:r>
      <w:proofErr w:type="spellEnd"/>
      <w:r>
        <w:t xml:space="preserve">, teda abstraktnú sťažnosť, ani sťažnosť týkajúcu sa iných osôb. </w:t>
      </w:r>
    </w:p>
    <w:p w:rsidR="00DC1275" w:rsidRDefault="00DC1275" w:rsidP="00DC1275">
      <w:pPr>
        <w:ind w:firstLine="708"/>
      </w:pPr>
      <w:r>
        <w:t xml:space="preserve">Na druhú stranu, Európska komisia pre ľudské práva (ďalej len „Komisia“) uznala prípustnými i sťažnosti sčasti abstraktnej povahy. Potrebné je ale predložiť dôkaz </w:t>
      </w:r>
      <w:proofErr w:type="spellStart"/>
      <w:r w:rsidRPr="00F87C77">
        <w:rPr>
          <w:i/>
        </w:rPr>
        <w:t>prima</w:t>
      </w:r>
      <w:proofErr w:type="spellEnd"/>
      <w:r w:rsidRPr="00F87C77">
        <w:rPr>
          <w:i/>
        </w:rPr>
        <w:t xml:space="preserve"> </w:t>
      </w:r>
      <w:proofErr w:type="spellStart"/>
      <w:r w:rsidRPr="00F87C77">
        <w:rPr>
          <w:i/>
        </w:rPr>
        <w:t>facie</w:t>
      </w:r>
      <w:proofErr w:type="spellEnd"/>
      <w:r>
        <w:t xml:space="preserve"> o tom, že individuálny sťažovateľ bol skutočne poškodený na svojich právach.</w:t>
      </w:r>
      <w:r>
        <w:rPr>
          <w:rStyle w:val="Odkaznapoznmkupodiarou"/>
        </w:rPr>
        <w:footnoteReference w:id="46"/>
      </w:r>
      <w:r>
        <w:t xml:space="preserve"> </w:t>
      </w:r>
      <w:r w:rsidRPr="00667577">
        <w:t>K </w:t>
      </w:r>
      <w:r>
        <w:t>takejto</w:t>
      </w:r>
      <w:r w:rsidRPr="00667577">
        <w:t xml:space="preserve"> </w:t>
      </w:r>
      <w:r w:rsidRPr="00667577">
        <w:lastRenderedPageBreak/>
        <w:t xml:space="preserve">situácii došlo </w:t>
      </w:r>
      <w:r>
        <w:t xml:space="preserve">napríklad </w:t>
      </w:r>
      <w:r w:rsidRPr="00667577">
        <w:t xml:space="preserve">v kauze </w:t>
      </w:r>
      <w:proofErr w:type="spellStart"/>
      <w:r w:rsidRPr="006B269A">
        <w:rPr>
          <w:b/>
          <w:i/>
        </w:rPr>
        <w:t>Marckx</w:t>
      </w:r>
      <w:proofErr w:type="spellEnd"/>
      <w:r w:rsidRPr="006B269A">
        <w:rPr>
          <w:b/>
          <w:i/>
        </w:rPr>
        <w:t xml:space="preserve"> v. Belgicko</w:t>
      </w:r>
      <w:r w:rsidRPr="00872FF2">
        <w:rPr>
          <w:rStyle w:val="Odkaznapoznmkupodiarou"/>
        </w:rPr>
        <w:footnoteReference w:id="47"/>
      </w:r>
      <w:r w:rsidRPr="00667577">
        <w:t>. Súd</w:t>
      </w:r>
      <w:r>
        <w:t>u bola doručená</w:t>
      </w:r>
      <w:r w:rsidRPr="00667577">
        <w:t xml:space="preserve"> sťažnosť, ktorá tvrdila, že belgické zákonodarstvo vzťahujúce sa k nemanželským deťom, je v rozpore s Dohovorom. Pri prejednávaní </w:t>
      </w:r>
      <w:r>
        <w:t>prípadu</w:t>
      </w:r>
      <w:r w:rsidRPr="00667577">
        <w:t xml:space="preserve"> vláda odporovala, že ide o prípad abstraktnej sťaž</w:t>
      </w:r>
      <w:r>
        <w:t>nosti, keď</w:t>
      </w:r>
      <w:r w:rsidRPr="00667577">
        <w:t>že nedošlo k aplikácii právnej úpravy na sťažovateľa. Súd však deklaroval, že na základe článku 34 sú jednotlivci oprávnení tvrdiť, že zákon sám o sebe zasahuje do ich práv i v prípade neexistencie i</w:t>
      </w:r>
      <w:r>
        <w:t>ndividuálnych aplikačných aktov. K tomu postačí skutočnosť, že sú</w:t>
      </w:r>
      <w:r w:rsidRPr="00667577">
        <w:t xml:space="preserve"> vystavení riziku, že by mohli byť v tejto situácii priamo dotknutí.</w:t>
      </w:r>
      <w:r w:rsidRPr="00667577">
        <w:rPr>
          <w:rStyle w:val="Odkaznapoznmkupodiarou"/>
        </w:rPr>
        <w:footnoteReference w:id="48"/>
      </w:r>
      <w:r>
        <w:t xml:space="preserve"> </w:t>
      </w:r>
    </w:p>
    <w:p w:rsidR="00DC1275" w:rsidRDefault="00DC1275" w:rsidP="00DC1275">
      <w:pPr>
        <w:ind w:firstLine="708"/>
      </w:pPr>
      <w:r>
        <w:t>Súd v prvom rade posudzuje zlučiteľnosť sťažnosti s ustanoveniami Dohovoru</w:t>
      </w:r>
      <w:r w:rsidRPr="00626C4A">
        <w:t xml:space="preserve"> </w:t>
      </w:r>
      <w:r>
        <w:t xml:space="preserve">na základe kritéria </w:t>
      </w:r>
      <w:proofErr w:type="spellStart"/>
      <w:r w:rsidRPr="00626C4A">
        <w:rPr>
          <w:i/>
        </w:rPr>
        <w:t>ratione</w:t>
      </w:r>
      <w:proofErr w:type="spellEnd"/>
      <w:r w:rsidRPr="00626C4A">
        <w:rPr>
          <w:i/>
        </w:rPr>
        <w:t xml:space="preserve"> </w:t>
      </w:r>
      <w:proofErr w:type="spellStart"/>
      <w:r w:rsidRPr="00626C4A">
        <w:rPr>
          <w:i/>
        </w:rPr>
        <w:t>personae</w:t>
      </w:r>
      <w:proofErr w:type="spellEnd"/>
      <w:r>
        <w:t>. Osoba podávajúca sťažnosť musí byť aktívne legitimovaným subjektom, osoby žalované z dôvodu porušovania základných práv alebo slobôd musia patriť k pasívne legitimovaným subjektom.</w:t>
      </w:r>
      <w:r>
        <w:rPr>
          <w:rStyle w:val="Odkaznapoznmkupodiarou"/>
        </w:rPr>
        <w:footnoteReference w:id="49"/>
      </w:r>
      <w:r>
        <w:t xml:space="preserve"> Aktívne legitimovaný subjekt spadá pod jurisdikciu štátu, voči ktorému sťažnosť smeruje v zmysle článku 1 Dohovoru. Zároveň namieta poškodenie svojich práv a slobôd podľa článku 34 Dohovoru. Všeobecne je poškodeným subjektom ten, kto o sebe môže tvrdiť, že došlo k porušeniu, či poškodeniu jeho práv garantovaných ustanoveniami Dohovoru. Postavenie pasívne legitimovaného subjektu náleží štátu, ktorý je signatárom Dohovoru. Zmluvné štáty Dohovoru nesmú brániť výkonu práva na sťažnosť a majú povinnosť spolupracovať s orgánmi Dohovoru. Musia umožniť podávateľovi realizáciu jeho práva efektívne pokračovať v konaní, ktoré mu náleží ako samostatné procesné právo.</w:t>
      </w:r>
      <w:r>
        <w:rPr>
          <w:rStyle w:val="Odkaznapoznmkupodiarou"/>
        </w:rPr>
        <w:footnoteReference w:id="50"/>
      </w:r>
      <w:r>
        <w:t xml:space="preserve"> V prípade </w:t>
      </w:r>
      <w:proofErr w:type="spellStart"/>
      <w:r w:rsidRPr="009B66A1">
        <w:rPr>
          <w:b/>
          <w:i/>
        </w:rPr>
        <w:t>Ilascu</w:t>
      </w:r>
      <w:proofErr w:type="spellEnd"/>
      <w:r w:rsidRPr="009B66A1">
        <w:rPr>
          <w:b/>
          <w:i/>
        </w:rPr>
        <w:t xml:space="preserve"> v. Moldavsko a</w:t>
      </w:r>
      <w:r>
        <w:rPr>
          <w:b/>
          <w:i/>
        </w:rPr>
        <w:t> </w:t>
      </w:r>
      <w:r w:rsidRPr="009B66A1">
        <w:rPr>
          <w:b/>
          <w:i/>
        </w:rPr>
        <w:t>Rusko</w:t>
      </w:r>
      <w:r w:rsidRPr="00872FF2">
        <w:rPr>
          <w:rStyle w:val="Odkaznapoznmkupodiarou"/>
        </w:rPr>
        <w:footnoteReference w:id="51"/>
      </w:r>
      <w:r>
        <w:t xml:space="preserve"> Súd zhrnul základné princípy výkonu práva na sťažnosť a judikoval, že sťažovatelia musia mať možnosť komunikovať so Súdom slobodne, bez nátlaku zo strany štátnych orgánov.</w:t>
      </w:r>
    </w:p>
    <w:p w:rsidR="00DC1275" w:rsidRDefault="00DC1275" w:rsidP="00DC1275">
      <w:pPr>
        <w:ind w:firstLine="708"/>
      </w:pPr>
    </w:p>
    <w:p w:rsidR="00DC1275" w:rsidRPr="00627051" w:rsidRDefault="00DC1275" w:rsidP="00DC1275">
      <w:pPr>
        <w:pStyle w:val="Nadpis3"/>
        <w:ind w:left="357" w:hanging="357"/>
      </w:pPr>
      <w:bookmarkStart w:id="37" w:name="_Toc288653454"/>
      <w:bookmarkStart w:id="38" w:name="_Toc289299935"/>
      <w:r w:rsidRPr="00627051">
        <w:t>Aktívne legitimovaný subjekt</w:t>
      </w:r>
      <w:bookmarkEnd w:id="37"/>
      <w:bookmarkEnd w:id="38"/>
    </w:p>
    <w:p w:rsidR="00DC1275" w:rsidRDefault="00DC1275" w:rsidP="00DC1275">
      <w:pPr>
        <w:ind w:firstLine="708"/>
        <w:rPr>
          <w:rFonts w:cs="Times New Roman"/>
        </w:rPr>
      </w:pPr>
      <w:r w:rsidRPr="006C21A6">
        <w:t xml:space="preserve">Subjektom oprávneným dovolávať sa ustanovení Dohovoru je predovšetkým </w:t>
      </w:r>
      <w:r w:rsidRPr="000D33AA">
        <w:rPr>
          <w:i/>
        </w:rPr>
        <w:t>fyzická osoba</w:t>
      </w:r>
      <w:r w:rsidRPr="006C21A6">
        <w:t xml:space="preserve">. Tou môže byť občan štátu, proti ktorému sťažnosť smeruje, rovnako cudzinec, neplnoletá osoba bez nutnosti právneho zastúpenia, osoba duševne chorá, </w:t>
      </w:r>
      <w:r w:rsidRPr="006C21A6">
        <w:rPr>
          <w:rFonts w:cs="Times New Roman"/>
        </w:rPr>
        <w:t xml:space="preserve">vzhľadom na </w:t>
      </w:r>
      <w:r w:rsidRPr="006C21A6">
        <w:rPr>
          <w:rFonts w:cs="Times New Roman"/>
        </w:rPr>
        <w:lastRenderedPageBreak/>
        <w:t>skutočnosť, že nedostatok jeho spôsobilosti k právnym úkonom (prípadne žiadna) nie je smerodajný pre jeho oprávnenie podať sťažnosť.</w:t>
      </w:r>
      <w:r w:rsidRPr="006C21A6">
        <w:rPr>
          <w:rStyle w:val="Odkaznapoznmkupodiarou"/>
          <w:rFonts w:cs="Times New Roman"/>
        </w:rPr>
        <w:footnoteReference w:id="52"/>
      </w:r>
      <w:r w:rsidRPr="006C21A6">
        <w:rPr>
          <w:rFonts w:cs="Times New Roman"/>
        </w:rPr>
        <w:t xml:space="preserve"> </w:t>
      </w:r>
    </w:p>
    <w:p w:rsidR="00DC1275" w:rsidRDefault="00DC1275" w:rsidP="00DC1275">
      <w:pPr>
        <w:ind w:firstLine="708"/>
        <w:rPr>
          <w:rFonts w:cs="Times New Roman"/>
        </w:rPr>
      </w:pPr>
      <w:r w:rsidRPr="006C21A6">
        <w:rPr>
          <w:rFonts w:cs="Times New Roman"/>
        </w:rPr>
        <w:t>Jediným rozdielom medzi plnoletým s plnou spôsobilosťou k právnym úkonom a maloletým alebo osobou duševne chorou je ten, že v prvom prípade k tomu, aby právny zástupca podal sťažnosť v mene poškodenej osoby, je potrebná plná moc. Ak by nedošlo k jej udeleniu, právny zástupca nemá oprávnenie sťažnosť podať. Naproti tomu, v druhom prípade tak učiniť môže.</w:t>
      </w:r>
      <w:r w:rsidRPr="006C21A6">
        <w:rPr>
          <w:rStyle w:val="Odkaznapoznmkupodiarou"/>
          <w:rFonts w:cs="Times New Roman"/>
        </w:rPr>
        <w:footnoteReference w:id="53"/>
      </w:r>
      <w:r w:rsidRPr="006C21A6">
        <w:rPr>
          <w:rFonts w:cs="Times New Roman"/>
        </w:rPr>
        <w:t xml:space="preserve"> Aktívna legitimácia ďalej náleží</w:t>
      </w:r>
      <w:r w:rsidRPr="006C21A6">
        <w:t xml:space="preserve"> rodičovi zbavenému rodičovských práv,</w:t>
      </w:r>
      <w:r w:rsidRPr="006C21A6">
        <w:rPr>
          <w:rFonts w:cs="Times New Roman"/>
        </w:rPr>
        <w:t xml:space="preserve"> odsúdenému vo výkone trestu odňatia slobody alebo obvinenému či obžalovanému zo spáchania trestného činu, ktorý sa nachádza vo väzbe. </w:t>
      </w:r>
    </w:p>
    <w:p w:rsidR="00DC1275" w:rsidRPr="006C21A6" w:rsidRDefault="00DC1275" w:rsidP="00DC1275">
      <w:pPr>
        <w:ind w:firstLine="708"/>
        <w:rPr>
          <w:rFonts w:cs="Times New Roman"/>
        </w:rPr>
      </w:pPr>
      <w:r w:rsidRPr="006C21A6">
        <w:rPr>
          <w:rFonts w:cs="Times New Roman"/>
        </w:rPr>
        <w:t>Napriek tomu, že väčšina vnútroštátnych právnych systémov priznáva za určitých okolností práva aj nenarodenému dieťaťu, štrasburské orgány ta</w:t>
      </w:r>
      <w:r>
        <w:rPr>
          <w:rFonts w:cs="Times New Roman"/>
        </w:rPr>
        <w:t>k zatiaľ neučinili.</w:t>
      </w:r>
      <w:r>
        <w:rPr>
          <w:rStyle w:val="Odkaznapoznmkupodiarou"/>
          <w:rFonts w:cs="Times New Roman"/>
        </w:rPr>
        <w:footnoteReference w:id="54"/>
      </w:r>
      <w:r>
        <w:rPr>
          <w:rFonts w:cs="Times New Roman"/>
        </w:rPr>
        <w:t xml:space="preserve"> Konštantná judikatúra Komisie a Súdu jasne stanovuje, že plod nie je osobou oprávnenou na právo na život v zmysle článku 2 ods. 1 Dohovoru. Tento názor prezentovala Komisia </w:t>
      </w:r>
      <w:r w:rsidRPr="00804D02">
        <w:rPr>
          <w:rFonts w:cs="Times New Roman"/>
        </w:rPr>
        <w:t xml:space="preserve">i v prípade </w:t>
      </w:r>
      <w:proofErr w:type="spellStart"/>
      <w:r w:rsidRPr="00804D02">
        <w:rPr>
          <w:rFonts w:cs="Times New Roman"/>
          <w:b/>
          <w:i/>
        </w:rPr>
        <w:t>Paton</w:t>
      </w:r>
      <w:proofErr w:type="spellEnd"/>
      <w:r w:rsidRPr="00804D02">
        <w:rPr>
          <w:rFonts w:cs="Times New Roman"/>
          <w:b/>
          <w:i/>
        </w:rPr>
        <w:t xml:space="preserve"> v. Spojené kráľovstvo</w:t>
      </w:r>
      <w:r w:rsidRPr="00804D02">
        <w:rPr>
          <w:rStyle w:val="Odkaznapoznmkupodiarou"/>
          <w:rFonts w:cs="Times New Roman"/>
        </w:rPr>
        <w:footnoteReference w:id="55"/>
      </w:r>
      <w:r w:rsidRPr="00804D02">
        <w:rPr>
          <w:rFonts w:cs="Times New Roman"/>
        </w:rPr>
        <w:t>, v ktorom sa manžel snažil zabrániť svojej tehotnej</w:t>
      </w:r>
      <w:r>
        <w:rPr>
          <w:rFonts w:cs="Times New Roman"/>
        </w:rPr>
        <w:t xml:space="preserve"> manželke prístupu k interrupcii s argumentáciou, že ukončenie tehotenstva by znamenalo pre plod porušenie jeho práva na život. Komisia zhodnotila, že slovo „každý“ v článku 2 Dohovoru, ako aj v iných jeho ustanoveniach, nezahŕňa plody a poukazujúc na oddeliteľnosť plodu od tehotnej ženy, uprednostnila jej práva v zmysle článku 2. Ďalej uviedla: „Ak by článok 2 mal zahŕňať plod a jeho ochrana podľa tohto článku by bola bez akéhokoľvek obmedzenia chápaná ako absolútna, interrupcia by musela byť považovaná za zakázanú dokonca aj vtedy, ak by pokračovanie tehotenstva predstavovalo vážne riziko pre život tehotnej ženy. To by znamenalo, že nenarodený život plodu by bol považovaný za majúci vyššiu hodnotu než život tehotnej ženy.“</w:t>
      </w:r>
      <w:r>
        <w:rPr>
          <w:rStyle w:val="Odkaznapoznmkupodiarou"/>
          <w:rFonts w:cs="Times New Roman"/>
        </w:rPr>
        <w:footnoteReference w:id="56"/>
      </w:r>
    </w:p>
    <w:p w:rsidR="00DC1275" w:rsidRDefault="00DC1275" w:rsidP="00DC1275">
      <w:pPr>
        <w:ind w:firstLine="708"/>
        <w:rPr>
          <w:rFonts w:cs="Times New Roman"/>
        </w:rPr>
      </w:pPr>
      <w:r>
        <w:rPr>
          <w:rFonts w:cs="Times New Roman"/>
        </w:rPr>
        <w:t>Okrem fyzickej osoby môže využiť právo podať sťažnosť aj </w:t>
      </w:r>
      <w:r w:rsidRPr="000D33AA">
        <w:rPr>
          <w:rFonts w:cs="Times New Roman"/>
          <w:i/>
        </w:rPr>
        <w:t>osoba právnická</w:t>
      </w:r>
      <w:r>
        <w:rPr>
          <w:rFonts w:cs="Times New Roman"/>
        </w:rPr>
        <w:t xml:space="preserve">. Túto </w:t>
      </w:r>
      <w:r w:rsidRPr="006C21A6">
        <w:rPr>
          <w:rFonts w:cs="Times New Roman"/>
        </w:rPr>
        <w:t>skupinu individuálnych sťažovateľov tvoria nevládne organizácie, pod ktoré môžeme zahrnúť</w:t>
      </w:r>
      <w:r w:rsidRPr="008951F1">
        <w:rPr>
          <w:rFonts w:cs="Times New Roman"/>
        </w:rPr>
        <w:t xml:space="preserve"> najrôznejšie </w:t>
      </w:r>
      <w:r>
        <w:rPr>
          <w:rFonts w:cs="Times New Roman"/>
        </w:rPr>
        <w:t>právnické osoby z oblasti práva</w:t>
      </w:r>
      <w:r w:rsidRPr="00627051">
        <w:rPr>
          <w:rFonts w:cs="Times New Roman"/>
        </w:rPr>
        <w:t xml:space="preserve"> </w:t>
      </w:r>
      <w:r>
        <w:rPr>
          <w:rFonts w:cs="Times New Roman"/>
        </w:rPr>
        <w:t>súkromného i verejného, pokiaľ nevykonávajú verejnú moc. Patria sem napríklad vydavatelia novín, obchodné spoločnosti, odborové, či náboženské organizácie,</w:t>
      </w:r>
      <w:r w:rsidRPr="008951F1">
        <w:rPr>
          <w:rFonts w:cs="Times New Roman"/>
        </w:rPr>
        <w:t xml:space="preserve"> politické </w:t>
      </w:r>
      <w:r>
        <w:rPr>
          <w:rFonts w:cs="Times New Roman"/>
        </w:rPr>
        <w:t xml:space="preserve">strany alebo nadácie, vylúčené sú však obce, </w:t>
      </w:r>
      <w:r w:rsidRPr="008951F1">
        <w:rPr>
          <w:rFonts w:cs="Times New Roman"/>
        </w:rPr>
        <w:t xml:space="preserve">miestne </w:t>
      </w:r>
      <w:r w:rsidRPr="008951F1">
        <w:rPr>
          <w:rFonts w:cs="Times New Roman"/>
        </w:rPr>
        <w:lastRenderedPageBreak/>
        <w:t>orgány štátnej správy</w:t>
      </w:r>
      <w:r>
        <w:rPr>
          <w:rFonts w:cs="Times New Roman"/>
        </w:rPr>
        <w:t xml:space="preserve"> a štátne orgány</w:t>
      </w:r>
      <w:r w:rsidRPr="008951F1">
        <w:rPr>
          <w:rFonts w:cs="Times New Roman"/>
        </w:rPr>
        <w:t>.</w:t>
      </w:r>
      <w:r>
        <w:rPr>
          <w:rFonts w:cs="Times New Roman"/>
        </w:rPr>
        <w:t xml:space="preserve"> N</w:t>
      </w:r>
      <w:r w:rsidRPr="008951F1">
        <w:rPr>
          <w:rFonts w:cs="Times New Roman"/>
        </w:rPr>
        <w:t>evládne organizácie sa nemôžu sťažovať na porušenie práv svojich členov v prípade, že tieto práva majú individuálny charakter.</w:t>
      </w:r>
      <w:r>
        <w:rPr>
          <w:rFonts w:cs="Times New Roman"/>
        </w:rPr>
        <w:t xml:space="preserve"> Tiež tak nesmú učiniť, pokiaľ poškodenie práv nenastalo prostredníctvom opatrení, ktoré zasiahli do práv členov tejto organizácie. </w:t>
      </w:r>
    </w:p>
    <w:p w:rsidR="00DC1275" w:rsidRDefault="00DC1275" w:rsidP="00DC1275">
      <w:pPr>
        <w:ind w:firstLine="708"/>
        <w:rPr>
          <w:rFonts w:cs="Times New Roman"/>
        </w:rPr>
      </w:pPr>
      <w:r>
        <w:rPr>
          <w:rFonts w:cs="Times New Roman"/>
        </w:rPr>
        <w:t xml:space="preserve">Niektoré z práv zaručovaných Dohovorom náležia už zo svojej povahy výhradne fyzickým osobám. Právnická osoba sa teda nemôže domáhať napríklad ochrany práva na rodinný a súkromný život, práva na uzatvorenie manželstva, práva na vzdelanie a práva na slobodné voľby. Ak by bola sťažnosť zameraná proti činnosti medzinárodných organizácií, bude odmietnutá ako nezlučiteľná </w:t>
      </w:r>
      <w:proofErr w:type="spellStart"/>
      <w:r w:rsidRPr="00314C93">
        <w:rPr>
          <w:rFonts w:cs="Times New Roman"/>
          <w:i/>
        </w:rPr>
        <w:t>ratione</w:t>
      </w:r>
      <w:proofErr w:type="spellEnd"/>
      <w:r w:rsidRPr="00314C93">
        <w:rPr>
          <w:rFonts w:cs="Times New Roman"/>
          <w:i/>
        </w:rPr>
        <w:t xml:space="preserve"> </w:t>
      </w:r>
      <w:proofErr w:type="spellStart"/>
      <w:r w:rsidRPr="00314C93">
        <w:rPr>
          <w:rFonts w:cs="Times New Roman"/>
          <w:i/>
        </w:rPr>
        <w:t>personae</w:t>
      </w:r>
      <w:proofErr w:type="spellEnd"/>
      <w:r>
        <w:rPr>
          <w:rFonts w:cs="Times New Roman"/>
        </w:rPr>
        <w:t xml:space="preserve"> s ustanoveniami Dohovoru.</w:t>
      </w:r>
      <w:r>
        <w:rPr>
          <w:rStyle w:val="Odkaznapoznmkupodiarou"/>
          <w:rFonts w:cs="Times New Roman"/>
        </w:rPr>
        <w:footnoteReference w:id="57"/>
      </w:r>
      <w:r>
        <w:rPr>
          <w:rFonts w:cs="Times New Roman"/>
        </w:rPr>
        <w:t xml:space="preserve"> Sťažnosť mimovládnej organizácie musí byť podaná osobami oprávnenými konať za organizáciu na základe vnútroštátneho práva. Napríklad, v prípade obchodnej spoločnosti sa na Súd musí obrátiť priamo spoločnosť, nie jej jednotliví členovia. Odbory, občianske združenia a nadácie nie sú oprávnené učiniť podanie za svojich členov, môžu podať sťažnosť len na akty vzťahujúce sa bezprostredne proti nim samotným. Svojich členov však môžu pred Súdom zastupovať.</w:t>
      </w:r>
      <w:r>
        <w:rPr>
          <w:rStyle w:val="Odkaznapoznmkupodiarou"/>
          <w:rFonts w:cs="Times New Roman"/>
        </w:rPr>
        <w:footnoteReference w:id="58"/>
      </w:r>
    </w:p>
    <w:p w:rsidR="00DC1275" w:rsidRPr="008951F1" w:rsidRDefault="00DC1275" w:rsidP="00DC1275">
      <w:pPr>
        <w:ind w:firstLine="708"/>
        <w:rPr>
          <w:rFonts w:cs="Times New Roman"/>
        </w:rPr>
      </w:pPr>
      <w:r w:rsidRPr="006C21A6">
        <w:rPr>
          <w:rFonts w:cs="Times New Roman"/>
        </w:rPr>
        <w:t xml:space="preserve">Treťou a záverečnou kategóriou možných sťažovateľov je </w:t>
      </w:r>
      <w:r w:rsidRPr="000D33AA">
        <w:rPr>
          <w:rFonts w:cs="Times New Roman"/>
          <w:i/>
        </w:rPr>
        <w:t>skupina osôb</w:t>
      </w:r>
      <w:r w:rsidRPr="006C21A6">
        <w:rPr>
          <w:rFonts w:cs="Times New Roman"/>
        </w:rPr>
        <w:t>. Jedná sa</w:t>
      </w:r>
      <w:r w:rsidRPr="008951F1">
        <w:rPr>
          <w:rFonts w:cs="Times New Roman"/>
        </w:rPr>
        <w:t xml:space="preserve"> o</w:t>
      </w:r>
      <w:r>
        <w:rPr>
          <w:rFonts w:cs="Times New Roman"/>
        </w:rPr>
        <w:t> neformálny a spravidla dočasný subjekt zložený z viacerých jednotlivcov, ktorí</w:t>
      </w:r>
      <w:r w:rsidRPr="008951F1">
        <w:rPr>
          <w:rFonts w:cs="Times New Roman"/>
        </w:rPr>
        <w:t xml:space="preserve"> si nárokujú ochranu svojich porušených práv alebo slobôd zaručených v Dohovore, prípadne v jeho protokoloch.</w:t>
      </w:r>
      <w:r>
        <w:rPr>
          <w:rFonts w:cs="Times New Roman"/>
        </w:rPr>
        <w:t xml:space="preserve"> </w:t>
      </w:r>
      <w:r w:rsidRPr="008951F1">
        <w:rPr>
          <w:rFonts w:cs="Times New Roman"/>
        </w:rPr>
        <w:t>Môže byť predstavovaná napríklad skupinou rodičov sťažujúcich sa na porušovanie práva na vzdelanie svojich detí, prípadne skupinou čitateľov denníka, ktorého vydávaniu bránia štá</w:t>
      </w:r>
      <w:r>
        <w:rPr>
          <w:rFonts w:cs="Times New Roman"/>
        </w:rPr>
        <w:t>tne orgány. Treba však zdôrazniť, že j</w:t>
      </w:r>
      <w:r w:rsidRPr="008951F1">
        <w:rPr>
          <w:rFonts w:cs="Times New Roman"/>
        </w:rPr>
        <w:t>ednotlivec nemôže na Súd podať sťažnosť na činnosť iných fyzických či právnických osôb.</w:t>
      </w:r>
      <w:r>
        <w:rPr>
          <w:rStyle w:val="Odkaznapoznmkupodiarou"/>
          <w:rFonts w:cs="Times New Roman"/>
        </w:rPr>
        <w:footnoteReference w:id="59"/>
      </w:r>
      <w:r>
        <w:rPr>
          <w:rFonts w:cs="Times New Roman"/>
        </w:rPr>
        <w:t xml:space="preserve"> Súd sa môže zaoberať skupinovou sťažnosťou individuálne alebo spoločne. V rámci individuálneho skúmania sťažnosti sa môže stať, že jednému sťažovateľovi porušenie práv uzná, zatiaľ čo druhému nie. V niektorých prípadoch pripadá do úvahy aj spojenie sťažností a ich následné prerokovanie ako jeden prípad.</w:t>
      </w:r>
      <w:r>
        <w:rPr>
          <w:rStyle w:val="Odkaznapoznmkupodiarou"/>
          <w:rFonts w:cs="Times New Roman"/>
        </w:rPr>
        <w:footnoteReference w:id="60"/>
      </w:r>
    </w:p>
    <w:p w:rsidR="00DC1275" w:rsidRDefault="00DC1275" w:rsidP="00DC1275">
      <w:pPr>
        <w:ind w:firstLine="708"/>
        <w:rPr>
          <w:rFonts w:cs="Times New Roman"/>
        </w:rPr>
      </w:pPr>
    </w:p>
    <w:p w:rsidR="00DC1275" w:rsidRPr="00627051" w:rsidRDefault="00DC1275" w:rsidP="00DC1275">
      <w:pPr>
        <w:pStyle w:val="Nadpis3"/>
        <w:ind w:left="357" w:hanging="357"/>
      </w:pPr>
      <w:bookmarkStart w:id="39" w:name="_Toc288653455"/>
      <w:bookmarkStart w:id="40" w:name="_Toc289299936"/>
      <w:r w:rsidRPr="00627051">
        <w:lastRenderedPageBreak/>
        <w:t>Status osoby poškodenej</w:t>
      </w:r>
      <w:r>
        <w:t xml:space="preserve"> (obete)</w:t>
      </w:r>
      <w:bookmarkEnd w:id="39"/>
      <w:bookmarkEnd w:id="40"/>
    </w:p>
    <w:p w:rsidR="00DC1275" w:rsidRDefault="00DC1275" w:rsidP="00DC1275">
      <w:pPr>
        <w:ind w:firstLine="708"/>
      </w:pPr>
      <w:r>
        <w:t>Interpretáciu pojmu „poškodená osoba“ prevádza Súd nezávisle na pravidlách vnútroštátneho práva zaoberajúcich sa aktívnou legitimáciou účastníka konania.</w:t>
      </w:r>
      <w:r>
        <w:rPr>
          <w:rStyle w:val="Odkaznapoznmkupodiarou"/>
        </w:rPr>
        <w:footnoteReference w:id="61"/>
      </w:r>
      <w:r>
        <w:t xml:space="preserve"> Je dôležité ho prispôsobovať aktuálnym spoločenským podmienkam a aplikovať ho v závislosti na okolnostiach konkrétneho prípadu a bez prílišnej formálnosti. Môže sa týkať aj samotného merita kauzy. Na to, aby mal podávateľ predpoklady s podaním uspieť, musí v prvom rade dokázať, že sa skutočne stal obeťou porušenia Dohovoru.</w:t>
      </w:r>
      <w:r>
        <w:rPr>
          <w:rStyle w:val="Odkaznapoznmkupodiarou"/>
        </w:rPr>
        <w:footnoteReference w:id="62"/>
      </w:r>
      <w:r>
        <w:t xml:space="preserve"> Existencia ujmy nie je nevyhnutnou podmienkou.</w:t>
      </w:r>
      <w:r>
        <w:rPr>
          <w:rStyle w:val="Odkaznapoznmkupodiarou"/>
        </w:rPr>
        <w:footnoteReference w:id="63"/>
      </w:r>
      <w:r>
        <w:t xml:space="preserve"> Podstatné je, aby sa daný úkon či opomenutie dotkli sťažovateľa priamo.</w:t>
      </w:r>
      <w:r>
        <w:rPr>
          <w:rStyle w:val="Odkaznapoznmkupodiarou"/>
        </w:rPr>
        <w:footnoteReference w:id="64"/>
      </w:r>
      <w:r>
        <w:t xml:space="preserve"> V takom prípade hovoríme o </w:t>
      </w:r>
      <w:r w:rsidRPr="00956408">
        <w:rPr>
          <w:i/>
        </w:rPr>
        <w:t>osobe priamo poškodenej</w:t>
      </w:r>
      <w:r>
        <w:t>. Ustálená judikatúra dovodila, že článok 34 sa vzťahuje bezprostredne na „osobu priamo dotknutú konaním alebo opomenutím v konkrétnom prípade“.</w:t>
      </w:r>
      <w:r>
        <w:rPr>
          <w:rStyle w:val="Odkaznapoznmkupodiarou"/>
        </w:rPr>
        <w:footnoteReference w:id="65"/>
      </w:r>
      <w:r>
        <w:t xml:space="preserve"> </w:t>
      </w:r>
    </w:p>
    <w:p w:rsidR="00DC1275" w:rsidRPr="00DD0488" w:rsidRDefault="00DC1275" w:rsidP="00DC1275">
      <w:pPr>
        <w:ind w:firstLine="708"/>
        <w:rPr>
          <w:rFonts w:cs="Times New Roman"/>
          <w:szCs w:val="24"/>
        </w:rPr>
      </w:pPr>
      <w:r w:rsidRPr="00DD0488">
        <w:rPr>
          <w:rFonts w:cs="Times New Roman"/>
          <w:szCs w:val="24"/>
        </w:rPr>
        <w:t xml:space="preserve">Posudzovaniu statusu poškodenej osoby sa Súd venoval v rámci prejednávania sťažnosti </w:t>
      </w:r>
      <w:proofErr w:type="spellStart"/>
      <w:r w:rsidRPr="00DD0488">
        <w:rPr>
          <w:rFonts w:cs="Times New Roman"/>
          <w:b/>
          <w:i/>
          <w:szCs w:val="24"/>
        </w:rPr>
        <w:t>Frederiksen</w:t>
      </w:r>
      <w:proofErr w:type="spellEnd"/>
      <w:r w:rsidRPr="00DD0488">
        <w:rPr>
          <w:rFonts w:cs="Times New Roman"/>
          <w:b/>
          <w:i/>
          <w:szCs w:val="24"/>
        </w:rPr>
        <w:t xml:space="preserve"> a ostatní v. Dánsko</w:t>
      </w:r>
      <w:r w:rsidRPr="00F53728">
        <w:rPr>
          <w:rStyle w:val="Odkaznapoznmkupodiarou"/>
          <w:rFonts w:cs="Times New Roman"/>
          <w:szCs w:val="24"/>
        </w:rPr>
        <w:footnoteReference w:id="66"/>
      </w:r>
      <w:r w:rsidRPr="00DD0488">
        <w:rPr>
          <w:rFonts w:cs="Times New Roman"/>
          <w:b/>
          <w:i/>
          <w:szCs w:val="24"/>
        </w:rPr>
        <w:t>.</w:t>
      </w:r>
      <w:r w:rsidRPr="00DD0488">
        <w:rPr>
          <w:rFonts w:cs="Times New Roman"/>
          <w:szCs w:val="24"/>
        </w:rPr>
        <w:t xml:space="preserve"> Sťažovatelia sa dovolávali spravodlivosti v súvislosti s ich prepustením zo zamestnania, príčinou ktorého bolo ich odmietnutie stať sa členmi odborovej organizácie. Tým podľa nich došlo k porušeniu článku 11 Dohovoru (garantujúceho slobodu zhromažďovania a združovania) a je potrebné pokladať </w:t>
      </w:r>
      <w:r>
        <w:rPr>
          <w:rFonts w:cs="Times New Roman"/>
          <w:szCs w:val="24"/>
        </w:rPr>
        <w:t>ich za „osoby poškodené“</w:t>
      </w:r>
      <w:r w:rsidRPr="00DD0488">
        <w:rPr>
          <w:rFonts w:cs="Times New Roman"/>
          <w:szCs w:val="24"/>
        </w:rPr>
        <w:t>. Komisia zhodnotila, že sťažovateľom nie je možné prisúdiť postavenie poškodenej osoby v prípade, že po vyčerpaní všetkých vnútroštátnych opravných prostriedkov dosiahnu odškodnenia za tvrdené porušenie Dohovoru. Dodala, že dánske právo plne rešpektuje</w:t>
      </w:r>
      <w:r>
        <w:rPr>
          <w:rFonts w:cs="Times New Roman"/>
          <w:szCs w:val="24"/>
        </w:rPr>
        <w:t xml:space="preserve"> ustanovenie článku 11 Dohovoru</w:t>
      </w:r>
      <w:r w:rsidRPr="00DD0488">
        <w:rPr>
          <w:rFonts w:cs="Times New Roman"/>
          <w:szCs w:val="24"/>
        </w:rPr>
        <w:t xml:space="preserve"> a preto nie je možné prisúdiť dotyčným prepusteným sťažovateľom postavenie poškodenej osoby. S</w:t>
      </w:r>
      <w:r>
        <w:rPr>
          <w:rFonts w:cs="Times New Roman"/>
          <w:szCs w:val="24"/>
        </w:rPr>
        <w:t> takýmto záverom</w:t>
      </w:r>
      <w:r w:rsidRPr="00DD0488">
        <w:rPr>
          <w:rFonts w:cs="Times New Roman"/>
          <w:szCs w:val="24"/>
        </w:rPr>
        <w:t xml:space="preserve"> sťažnosť následne zamietla.</w:t>
      </w:r>
      <w:r w:rsidRPr="00DD0488">
        <w:rPr>
          <w:rStyle w:val="Odkaznapoznmkupodiarou"/>
          <w:rFonts w:cs="Times New Roman"/>
          <w:szCs w:val="24"/>
        </w:rPr>
        <w:footnoteReference w:id="67"/>
      </w:r>
    </w:p>
    <w:p w:rsidR="00DC1275" w:rsidRDefault="00DC1275" w:rsidP="00DC1275">
      <w:pPr>
        <w:ind w:firstLine="708"/>
      </w:pPr>
      <w:r>
        <w:t>Iným</w:t>
      </w:r>
      <w:r w:rsidRPr="00DD0488">
        <w:t xml:space="preserve"> príkladom posudzova</w:t>
      </w:r>
      <w:r>
        <w:t>nia statusu poškodenej osoby je sťažnosť</w:t>
      </w:r>
      <w:r w:rsidRPr="00DD0488">
        <w:t xml:space="preserve"> </w:t>
      </w:r>
      <w:r w:rsidRPr="00DD0488">
        <w:rPr>
          <w:b/>
          <w:i/>
        </w:rPr>
        <w:t>Lacko</w:t>
      </w:r>
      <w:r w:rsidRPr="005E0753">
        <w:rPr>
          <w:b/>
          <w:i/>
        </w:rPr>
        <w:t xml:space="preserve"> a ďalší v. Slovensko</w:t>
      </w:r>
      <w:r w:rsidRPr="006F46FD">
        <w:rPr>
          <w:rStyle w:val="Odkaznapoznmkupodiarou"/>
        </w:rPr>
        <w:footnoteReference w:id="68"/>
      </w:r>
      <w:r>
        <w:t xml:space="preserve">. Obecné zastupiteľstvá obcí Ňagov a Rokytovce prijali opatrenia, ktoré mali zabrániť vstupu Rómov do obcí pod hrozbou ich vyhostenia. Sťažovatelia poukazovali na porušenie článku 2 Protokolu č. 4 (porušenie slobody pohybu a slobody zvoliť si miesto pobytu) a na jednanie orgánov obce v rozpore s článkom 14 Dohovoru, konkrétne na diskrimináciu z dôvodu rasy, farby pleti, príslušnosti k národnostnej menšine a etnickej </w:t>
      </w:r>
      <w:r>
        <w:lastRenderedPageBreak/>
        <w:t>príslušnosti. Súd upozornil, že zo správania jedného zo sťažovateľov s určitosťou nevyplýva, že by mal záujem žiť v zmienených obciach, prípadne, že by sa pokúsil o vstup do obcí a v tom mu bolo bránené. Preto uzavrel, že tento sťažovateľ sa nemôže cítiť obeťou vo vzťahu k právam zaručovaným článkom 2 Protokolu č. 4 v súvislosti s článkom 14 Dohovoru.</w:t>
      </w:r>
      <w:r>
        <w:rPr>
          <w:rStyle w:val="Odkaznapoznmkupodiarou"/>
        </w:rPr>
        <w:footnoteReference w:id="69"/>
      </w:r>
    </w:p>
    <w:p w:rsidR="00DC1275" w:rsidRDefault="00DC1275" w:rsidP="00DC1275">
      <w:pPr>
        <w:ind w:firstLine="708"/>
      </w:pPr>
      <w:r>
        <w:t>Súd po zhodnotení konkrétnych okolností prípadu rozlišuje okrem statusu priameho poškodeného i ďalšie kategórie obetí, ktorých uplatnením dôjde k naplneniu pojmu „poškodená osoba“. Sú to potenciálny poškodený a</w:t>
      </w:r>
      <w:r w:rsidRPr="00956408">
        <w:t xml:space="preserve"> </w:t>
      </w:r>
      <w:r>
        <w:t>nepriamy poškodený.</w:t>
      </w:r>
      <w:r w:rsidRPr="00C37930">
        <w:t xml:space="preserve"> </w:t>
      </w:r>
    </w:p>
    <w:p w:rsidR="00DC1275" w:rsidRDefault="00DC1275" w:rsidP="00DC1275">
      <w:pPr>
        <w:ind w:firstLine="708"/>
      </w:pPr>
      <w:r>
        <w:t xml:space="preserve">Aby Súd uznal za prípustnú sťažnosť, v ktorej podávateľ vystupuje iba ako </w:t>
      </w:r>
      <w:r w:rsidRPr="001C6D0E">
        <w:rPr>
          <w:i/>
        </w:rPr>
        <w:t>osoba potenciálne poškodená</w:t>
      </w:r>
      <w:r>
        <w:t>, je potrebné, aby sťažovateľ jasne odôvodnil, ktoré jednanie pociťuje ako hroziace riziko byť priamo postihnutý v predkladanej kauze.</w:t>
      </w:r>
      <w:r>
        <w:rPr>
          <w:rStyle w:val="Odkaznapoznmkupodiarou"/>
        </w:rPr>
        <w:footnoteReference w:id="70"/>
      </w:r>
      <w:r>
        <w:t xml:space="preserve"> Tomuto statusu  zodpovedá napríklad jednotlivec, ktorému hrozí vyhostenie do krajiny, kde ho čaká jednanie alebo trest zakázaný článkom 3 Dohovoru. Je na tejto osobe, aby svoje obavy podložila dôkazmi, že konaním štátneho orgánu môže byť reálne dotknutá na svojich právach a že existuje dôvodný predpoklad nebezpečenstva porušenia Dohovoru. Za potenciálne poškodeného je možné považovať i skupinu osôb.</w:t>
      </w:r>
      <w:r>
        <w:rPr>
          <w:rStyle w:val="Odkaznapoznmkupodiarou"/>
        </w:rPr>
        <w:footnoteReference w:id="71"/>
      </w:r>
    </w:p>
    <w:p w:rsidR="00DC1275" w:rsidRPr="007C2922" w:rsidRDefault="00DC1275" w:rsidP="00DC1275">
      <w:pPr>
        <w:ind w:firstLine="708"/>
        <w:rPr>
          <w:rFonts w:cs="Times New Roman"/>
          <w:szCs w:val="24"/>
        </w:rPr>
      </w:pPr>
      <w:r>
        <w:rPr>
          <w:rFonts w:cs="Times New Roman"/>
          <w:szCs w:val="24"/>
        </w:rPr>
        <w:t xml:space="preserve">Konštantná judikatúra zaoberajúca sa touto oblasťou je pomerne početná a pestrá, pričom Súd musí byť v každom prípade schopný zaujať objektívne stanovisko. V </w:t>
      </w:r>
      <w:r w:rsidRPr="007C2922">
        <w:rPr>
          <w:rFonts w:cs="Times New Roman"/>
          <w:szCs w:val="24"/>
        </w:rPr>
        <w:t>kauz</w:t>
      </w:r>
      <w:r>
        <w:rPr>
          <w:rFonts w:cs="Times New Roman"/>
          <w:szCs w:val="24"/>
        </w:rPr>
        <w:t>e</w:t>
      </w:r>
      <w:r w:rsidRPr="007C2922">
        <w:rPr>
          <w:rFonts w:cs="Times New Roman"/>
          <w:szCs w:val="24"/>
        </w:rPr>
        <w:t xml:space="preserve"> </w:t>
      </w:r>
      <w:proofErr w:type="spellStart"/>
      <w:r w:rsidRPr="007C2922">
        <w:rPr>
          <w:rFonts w:cs="Times New Roman"/>
          <w:b/>
          <w:i/>
          <w:szCs w:val="24"/>
        </w:rPr>
        <w:t>Klass</w:t>
      </w:r>
      <w:proofErr w:type="spellEnd"/>
      <w:r w:rsidRPr="007C2922">
        <w:rPr>
          <w:rFonts w:cs="Times New Roman"/>
          <w:b/>
          <w:i/>
          <w:szCs w:val="24"/>
        </w:rPr>
        <w:t xml:space="preserve"> v. Nemecko</w:t>
      </w:r>
      <w:r w:rsidRPr="00E74712">
        <w:rPr>
          <w:rStyle w:val="Odkaznapoznmkupodiarou"/>
          <w:rFonts w:cs="Times New Roman"/>
          <w:szCs w:val="24"/>
        </w:rPr>
        <w:footnoteReference w:id="72"/>
      </w:r>
      <w:r w:rsidRPr="007C2922">
        <w:rPr>
          <w:rFonts w:cs="Times New Roman"/>
          <w:szCs w:val="24"/>
        </w:rPr>
        <w:t xml:space="preserve"> </w:t>
      </w:r>
      <w:r>
        <w:rPr>
          <w:rFonts w:cs="Times New Roman"/>
          <w:szCs w:val="24"/>
        </w:rPr>
        <w:t>priznal</w:t>
      </w:r>
      <w:r w:rsidRPr="007C2922">
        <w:rPr>
          <w:rFonts w:cs="Times New Roman"/>
          <w:szCs w:val="24"/>
        </w:rPr>
        <w:t xml:space="preserve"> </w:t>
      </w:r>
      <w:r>
        <w:rPr>
          <w:rFonts w:cs="Times New Roman"/>
          <w:szCs w:val="24"/>
        </w:rPr>
        <w:t>Súd s</w:t>
      </w:r>
      <w:r w:rsidRPr="007C2922">
        <w:rPr>
          <w:rFonts w:cs="Times New Roman"/>
          <w:szCs w:val="24"/>
        </w:rPr>
        <w:t xml:space="preserve">tatus poškodenej osoby dokonca i jednotlivcom, ktorí nemohli s istotou </w:t>
      </w:r>
      <w:r>
        <w:rPr>
          <w:rFonts w:cs="Times New Roman"/>
          <w:szCs w:val="24"/>
        </w:rPr>
        <w:t>preukázať</w:t>
      </w:r>
      <w:r w:rsidRPr="007C2922">
        <w:rPr>
          <w:rFonts w:cs="Times New Roman"/>
          <w:szCs w:val="24"/>
        </w:rPr>
        <w:t>, že utrpeli</w:t>
      </w:r>
      <w:r>
        <w:rPr>
          <w:rFonts w:cs="Times New Roman"/>
          <w:szCs w:val="24"/>
        </w:rPr>
        <w:t xml:space="preserve"> ujmu, pretože </w:t>
      </w:r>
      <w:r w:rsidRPr="007C2922">
        <w:rPr>
          <w:rFonts w:cs="Times New Roman"/>
          <w:szCs w:val="24"/>
        </w:rPr>
        <w:t>nemohli vedieť, či bol napadnutý predpis voči nim aplikovaný. Základ sporu spočíval v tvrdení troch právnikov, sudcu a prokurátora, ktorí boli presvedčení, že došlo k neoprávnenému zásahu do ich korešpondencie a telefónnych rozhovorov verejnými orgánmi. Vzhľadom na to, že tieto zásahy boli do určitej miery tajné, dotknuté osoby o nich neboli informované, prípadne až následne. Komisia priznala sťažovateľovi postavenie poškodenej osoby podľa článku 34</w:t>
      </w:r>
      <w:r>
        <w:rPr>
          <w:rFonts w:cs="Times New Roman"/>
          <w:szCs w:val="24"/>
        </w:rPr>
        <w:t xml:space="preserve"> Dohovoru</w:t>
      </w:r>
      <w:r w:rsidRPr="007C2922">
        <w:rPr>
          <w:rFonts w:cs="Times New Roman"/>
          <w:szCs w:val="24"/>
        </w:rPr>
        <w:t>. Zároveň vyvodila, že za určitých okolností je možné pokladať</w:t>
      </w:r>
      <w:r>
        <w:rPr>
          <w:rFonts w:cs="Times New Roman"/>
          <w:szCs w:val="24"/>
        </w:rPr>
        <w:t xml:space="preserve"> jednotlivca za poškodenú osobu</w:t>
      </w:r>
      <w:r w:rsidRPr="007C2922">
        <w:rPr>
          <w:rFonts w:cs="Times New Roman"/>
          <w:szCs w:val="24"/>
        </w:rPr>
        <w:t xml:space="preserve"> v prípade existencie tajných opatrení alebo legislatí</w:t>
      </w:r>
      <w:r>
        <w:rPr>
          <w:rFonts w:cs="Times New Roman"/>
          <w:szCs w:val="24"/>
        </w:rPr>
        <w:t>vy takéto opatrenia umožňujúcej aj</w:t>
      </w:r>
      <w:r w:rsidRPr="007C2922">
        <w:rPr>
          <w:rFonts w:cs="Times New Roman"/>
          <w:szCs w:val="24"/>
        </w:rPr>
        <w:t xml:space="preserve"> bez toho, aby musel nutne doložiť, že takéto opatrenia boli voči nemu reálne aplikované.</w:t>
      </w:r>
      <w:r w:rsidRPr="007C2922">
        <w:rPr>
          <w:rStyle w:val="Odkaznapoznmkupodiarou"/>
          <w:rFonts w:cs="Times New Roman"/>
          <w:szCs w:val="24"/>
        </w:rPr>
        <w:footnoteReference w:id="73"/>
      </w:r>
    </w:p>
    <w:p w:rsidR="00DC1275" w:rsidRDefault="00DC1275" w:rsidP="00DC1275">
      <w:pPr>
        <w:ind w:firstLine="708"/>
      </w:pPr>
      <w:r>
        <w:lastRenderedPageBreak/>
        <w:t xml:space="preserve">Status osoby potenciálne poškodenej skúmal Súd v sťažnosti </w:t>
      </w:r>
      <w:proofErr w:type="spellStart"/>
      <w:r w:rsidRPr="00EF6A0A">
        <w:rPr>
          <w:b/>
          <w:i/>
        </w:rPr>
        <w:t>Open</w:t>
      </w:r>
      <w:proofErr w:type="spellEnd"/>
      <w:r w:rsidRPr="00EF6A0A">
        <w:rPr>
          <w:b/>
          <w:i/>
        </w:rPr>
        <w:t xml:space="preserve"> Door and Dublin </w:t>
      </w:r>
      <w:proofErr w:type="spellStart"/>
      <w:r w:rsidRPr="00EF6A0A">
        <w:rPr>
          <w:b/>
          <w:i/>
        </w:rPr>
        <w:t>Well</w:t>
      </w:r>
      <w:proofErr w:type="spellEnd"/>
      <w:r w:rsidRPr="00EF6A0A">
        <w:rPr>
          <w:b/>
          <w:i/>
        </w:rPr>
        <w:t xml:space="preserve"> </w:t>
      </w:r>
      <w:proofErr w:type="spellStart"/>
      <w:r w:rsidRPr="00EF6A0A">
        <w:rPr>
          <w:b/>
          <w:i/>
        </w:rPr>
        <w:t>Woman</w:t>
      </w:r>
      <w:proofErr w:type="spellEnd"/>
      <w:r w:rsidRPr="00EF6A0A">
        <w:rPr>
          <w:b/>
          <w:i/>
        </w:rPr>
        <w:t xml:space="preserve"> v. Írsko</w:t>
      </w:r>
      <w:r w:rsidRPr="008A29E6">
        <w:rPr>
          <w:rStyle w:val="Odkaznapoznmkupodiarou"/>
        </w:rPr>
        <w:footnoteReference w:id="74"/>
      </w:r>
      <w:r w:rsidRPr="008A29E6">
        <w:rPr>
          <w:i/>
        </w:rPr>
        <w:t>.</w:t>
      </w:r>
      <w:r>
        <w:t xml:space="preserve"> Sťažovateľky  protestovali, že súdne nariadenie im znemožňovalo rozširovať informácie tehotným ženám o možnostiach interrupcie mimo územie Írska. K sťažnosti dvoch spoločností sa navyše pripojila pani </w:t>
      </w:r>
      <w:proofErr w:type="spellStart"/>
      <w:r>
        <w:t>Geraghty</w:t>
      </w:r>
      <w:proofErr w:type="spellEnd"/>
      <w:r>
        <w:t xml:space="preserve">. Spoločnosti tvrdili, že došlo k zásahu do ich práva šíriť a získavať informácie v zmysle článku 10 Dohovoru, pani </w:t>
      </w:r>
      <w:proofErr w:type="spellStart"/>
      <w:r>
        <w:t>Geraghty</w:t>
      </w:r>
      <w:proofErr w:type="spellEnd"/>
      <w:r>
        <w:t xml:space="preserve"> sa sťažovala i na súdne zásahy do jej súkromného života v rozpore s článkom 8 Dohovoru. Írska vláda vystúpila s protiargumentom, že za poškodené osoby je možné pokladať len uvedené dve spoločnosti, lebo pani </w:t>
      </w:r>
      <w:proofErr w:type="spellStart"/>
      <w:r>
        <w:t>Geraghty</w:t>
      </w:r>
      <w:proofErr w:type="spellEnd"/>
      <w:r>
        <w:t xml:space="preserve"> nebola účastníkom v jednaní pred súdom. K tomu dodala, že sťažovateľky nešpecifikovali ani jednu tehotnú ženu, ktorá by sa sťažovala na poškodenie svojich práv v rámci statusu poškodenej osoby. To znamená, že v podstate podali </w:t>
      </w:r>
      <w:proofErr w:type="spellStart"/>
      <w:r w:rsidRPr="008A29E6">
        <w:rPr>
          <w:i/>
        </w:rPr>
        <w:t>actio</w:t>
      </w:r>
      <w:proofErr w:type="spellEnd"/>
      <w:r w:rsidRPr="008A29E6">
        <w:rPr>
          <w:i/>
        </w:rPr>
        <w:t xml:space="preserve"> </w:t>
      </w:r>
      <w:proofErr w:type="spellStart"/>
      <w:r w:rsidRPr="008A29E6">
        <w:rPr>
          <w:i/>
        </w:rPr>
        <w:t>popularis</w:t>
      </w:r>
      <w:proofErr w:type="spellEnd"/>
      <w:r>
        <w:t xml:space="preserve">, najmä čo sa týka pani </w:t>
      </w:r>
      <w:proofErr w:type="spellStart"/>
      <w:r>
        <w:t>Geraghty</w:t>
      </w:r>
      <w:proofErr w:type="spellEnd"/>
      <w:r>
        <w:t xml:space="preserve">. Súd konštatoval, že pani </w:t>
      </w:r>
      <w:proofErr w:type="spellStart"/>
      <w:r>
        <w:t>Geraghty</w:t>
      </w:r>
      <w:proofErr w:type="spellEnd"/>
      <w:r>
        <w:t xml:space="preserve"> neuvádzala inkompatibilitu írskeho zákona s Dohovorom </w:t>
      </w:r>
      <w:r w:rsidRPr="008A29E6">
        <w:rPr>
          <w:i/>
        </w:rPr>
        <w:t xml:space="preserve">in </w:t>
      </w:r>
      <w:proofErr w:type="spellStart"/>
      <w:r w:rsidRPr="008A29E6">
        <w:rPr>
          <w:i/>
        </w:rPr>
        <w:t>abtracto</w:t>
      </w:r>
      <w:proofErr w:type="spellEnd"/>
      <w:r>
        <w:t>, ale dopadalo na ňu riziko byť dotknutá uvedeným opatrením. Preto jej Komisia priznala postavenie osoby potenciálne poškodenej na základe článku 25 Dohovoru.</w:t>
      </w:r>
      <w:r>
        <w:rPr>
          <w:rStyle w:val="Odkaznapoznmkupodiarou"/>
        </w:rPr>
        <w:footnoteReference w:id="75"/>
      </w:r>
      <w:r>
        <w:t xml:space="preserve"> </w:t>
      </w:r>
    </w:p>
    <w:p w:rsidR="00DC1275" w:rsidRDefault="00DC1275" w:rsidP="00DC1275">
      <w:pPr>
        <w:ind w:firstLine="708"/>
      </w:pPr>
      <w:r>
        <w:t xml:space="preserve">Ďalšou zaujímavou kauzou, kde Súd riešil problematiku potenciálne poškodeného, je sťažnosť </w:t>
      </w:r>
      <w:proofErr w:type="spellStart"/>
      <w:r w:rsidRPr="00026F3C">
        <w:rPr>
          <w:b/>
          <w:i/>
        </w:rPr>
        <w:t>Dudgeon</w:t>
      </w:r>
      <w:proofErr w:type="spellEnd"/>
      <w:r w:rsidRPr="00026F3C">
        <w:rPr>
          <w:b/>
          <w:i/>
        </w:rPr>
        <w:t xml:space="preserve"> v. Spojené kráľovstvo</w:t>
      </w:r>
      <w:r w:rsidRPr="008A29E6">
        <w:rPr>
          <w:rStyle w:val="Odkaznapoznmkupodiarou"/>
        </w:rPr>
        <w:footnoteReference w:id="76"/>
      </w:r>
      <w:r>
        <w:t xml:space="preserve">. Sťažovateľ sa nazdával, že mu hrozí trestné stíhanie z dôvodu jeho sexuálnej orientácie, čo malo za následok negatívny vplyv na jeho psychický stav. Ku zahájeniu domnelého trestného stíhania v konečnom dôsledku nedošlo. Napriek tomu Súd prehlásil, že samotná existencia zákona predstavovala pre sťažovateľa sústavný a priamy zásah do jeho súkromného života v zmysle článku 8 Dohovoru. </w:t>
      </w:r>
    </w:p>
    <w:p w:rsidR="00DC1275" w:rsidRDefault="00DC1275" w:rsidP="00DC1275">
      <w:pPr>
        <w:ind w:firstLine="708"/>
      </w:pPr>
      <w:r>
        <w:t xml:space="preserve">V prípade existencie osobnej a špecifickej väzby medzi priamym poškodeným a sťažovateľom Súd prijme i podanie osoby, ktorá sa cíti byť </w:t>
      </w:r>
      <w:r w:rsidRPr="002319D1">
        <w:rPr>
          <w:i/>
        </w:rPr>
        <w:t>nepriamou obeťou</w:t>
      </w:r>
      <w:r>
        <w:t>.</w:t>
      </w:r>
      <w:r>
        <w:rPr>
          <w:rStyle w:val="Odkaznapoznmkupodiarou"/>
        </w:rPr>
        <w:footnoteReference w:id="77"/>
      </w:r>
      <w:r>
        <w:t xml:space="preserve"> Sťažovateľ v tejto súvislosti namieta porušenie Dohovoru z vlastnej iniciatívy a vo vlastnom mene, hoci porušenie práva nastalo u inej osoby. K tomu, aby Súd uznal postavenie osoby nepriamo poškodenej, vyžaduje sa v zásade splnenie dvoch požiadaviek. Tou prvou je spomínaná existencia špecifickej väzby osobného charakteru k priamej obeti. Druhou podmienkou je vznik ujmy nepriamej obete voči obeti priamej v dôsledku porušenia Dohovoru. Nepriamy poškodený má na odstránení tejto ujmy záujem podmienený existenciou špecifickej väzby </w:t>
      </w:r>
      <w:r>
        <w:lastRenderedPageBreak/>
        <w:t>s priamym poškodeným.</w:t>
      </w:r>
      <w:r>
        <w:rPr>
          <w:rStyle w:val="Odkaznapoznmkupodiarou"/>
        </w:rPr>
        <w:footnoteReference w:id="78"/>
      </w:r>
      <w:r>
        <w:t xml:space="preserve"> Môže ísť o rodinných príslušníkov poškodenej osoby, ďalej o jednotlivcov, ktorým vznikla škoda v súvislosti s poškodením iného, a konečne, o osoby, ktoré majú záujem na ukončení porušovania práv. V takomto postavení môže byť i pozostalý po sťažovateľovi, ktorého smrť nastala počas konania pred Súdom, pričom pozostalý má záujem v pôvodnej sťažnosti pokračovať.</w:t>
      </w:r>
      <w:r>
        <w:rPr>
          <w:rStyle w:val="Odkaznapoznmkupodiarou"/>
        </w:rPr>
        <w:footnoteReference w:id="79"/>
      </w:r>
      <w:r>
        <w:t xml:space="preserve"> Za týchto okolností Súd neposudzuje vhodnosť pokračovania v prejednávaní sťažnosti, ale je dôležité, aby dôvody podania sťažnosti bolo možné riešiť v ďalšom konaní.</w:t>
      </w:r>
      <w:r>
        <w:rPr>
          <w:rStyle w:val="Odkaznapoznmkupodiarou"/>
        </w:rPr>
        <w:footnoteReference w:id="80"/>
      </w:r>
      <w:r>
        <w:t xml:space="preserve"> Pravdaže, takáto situácia môže nastať len vo vzťahu k právam, ktoré nie sú osobnostného charakteru. Čo sa týka vzniku škody, sťažovateľ nemá povinnosť dokázať, že na jeho strane došlo ku vzniku materiálnej škody, prípadne nemateriálnej ujmy. Po preskúmaní existencie a rozsahu vzniknutej škody, môže Súd primerane určiť spravodlivé zadosťučinenie podľa článku 41 Dohovoru.</w:t>
      </w:r>
    </w:p>
    <w:p w:rsidR="00DC1275" w:rsidRDefault="00DC1275" w:rsidP="00DC1275"/>
    <w:p w:rsidR="00DC1275" w:rsidRPr="000400C2" w:rsidRDefault="00DC1275" w:rsidP="00DC1275">
      <w:pPr>
        <w:pStyle w:val="Nadpis3"/>
        <w:ind w:left="357" w:hanging="357"/>
      </w:pPr>
      <w:bookmarkStart w:id="41" w:name="_Toc288653456"/>
      <w:bookmarkStart w:id="42" w:name="_Toc289299937"/>
      <w:r w:rsidRPr="000400C2">
        <w:t>Strata postavenia poškodenej osoby</w:t>
      </w:r>
      <w:bookmarkEnd w:id="41"/>
      <w:bookmarkEnd w:id="42"/>
    </w:p>
    <w:p w:rsidR="00DC1275" w:rsidRPr="0030375E" w:rsidRDefault="00DC1275" w:rsidP="00DC1275">
      <w:pPr>
        <w:ind w:firstLine="708"/>
      </w:pPr>
      <w:r w:rsidRPr="00402D27">
        <w:t xml:space="preserve">Ak </w:t>
      </w:r>
      <w:r>
        <w:t>dôjde k vyriešeniu sťažnosti v rámci vnútroštátnych konaní následne po tom, ako ju už Súd stihol prehlásiť</w:t>
      </w:r>
      <w:r w:rsidRPr="006C21A6">
        <w:t xml:space="preserve"> za prijateľnú, sťažovateľ stráca postavenie poškodeného v zmysle</w:t>
      </w:r>
      <w:r>
        <w:t xml:space="preserve"> článku 34 Dohovoru. K strate statusu poškodeného môže dôjsť aj v súvislosti so zmiernením trestu alebo prijatím opatrenia prospešného pre sťažovateľa, avšak len za predpokladu, že sťažovateľ učiní výslovné prehlásenie, že porušenie jeho práv bolo úspešne napravené.</w:t>
      </w:r>
      <w:r>
        <w:rPr>
          <w:rStyle w:val="Odkaznapoznmkupodiarou"/>
        </w:rPr>
        <w:footnoteReference w:id="81"/>
      </w:r>
      <w:r>
        <w:t xml:space="preserve"> Zníženie trestu alebo zastavenie konania z dôvodu neprimeranej dĺžky konania neznamená pre sťažovateľa stratu postavenia obete v zmysle článku 34 Dohovoru. Výnimkou z tohto pravidla je prípad, ak vnútroštátne orgány priznajú, že k porušeniu Dohovoru skutočne došlo a zrealizujú jeho nápravu.</w:t>
      </w:r>
      <w:r>
        <w:rPr>
          <w:rStyle w:val="Odkaznapoznmkupodiarou"/>
        </w:rPr>
        <w:footnoteReference w:id="82"/>
      </w:r>
      <w:r>
        <w:t xml:space="preserve"> Postavenie poškodeného (prípadne strata tohto postavenia) je závislé od rozsahu priznaného odškodnenia, ako aj rýchlosti jeho vyplatenia. Hoci by bol sťažovateľ oslobodený spod trestného obvinenia a trestné stíhanie by bolo následne zastavené, stále má k dispozícii možnosť podať sťažnosť na porušenie niektorých jeho procesných práv v zmysle článku 6 Dohovoru, prípadne sťažnosť na prieťahy v súdnom konaní</w:t>
      </w:r>
      <w:r w:rsidRPr="008720D5">
        <w:t>.</w:t>
      </w:r>
      <w:r w:rsidRPr="008720D5">
        <w:rPr>
          <w:rStyle w:val="Odkaznapoznmkupodiarou"/>
        </w:rPr>
        <w:footnoteReference w:id="83"/>
      </w:r>
      <w:r w:rsidRPr="008720D5">
        <w:t xml:space="preserve"> </w:t>
      </w:r>
      <w:r>
        <w:t xml:space="preserve">Je dôležité </w:t>
      </w:r>
      <w:r>
        <w:lastRenderedPageBreak/>
        <w:t>dodať, že strata postavenia osoby poškodenej znamená pre jednotlivca zásadné následky v podobe vyčiarknutia sťažnosti zo zoznamu prípadov v zmysle článku 37 Dohovoru.</w:t>
      </w:r>
      <w:r>
        <w:rPr>
          <w:rStyle w:val="Odkaznapoznmkupodiarou"/>
        </w:rPr>
        <w:footnoteReference w:id="84"/>
      </w:r>
    </w:p>
    <w:p w:rsidR="00DC1275" w:rsidRPr="007C2922" w:rsidRDefault="00DC1275" w:rsidP="00DC1275">
      <w:pPr>
        <w:ind w:firstLine="708"/>
        <w:rPr>
          <w:rFonts w:cs="Times New Roman"/>
          <w:szCs w:val="24"/>
        </w:rPr>
      </w:pPr>
      <w:r>
        <w:rPr>
          <w:rFonts w:cs="Times New Roman"/>
          <w:szCs w:val="24"/>
        </w:rPr>
        <w:t>Polemika ohľadne priznania statusu obete sa rozpútala v</w:t>
      </w:r>
      <w:r w:rsidRPr="008720D5">
        <w:rPr>
          <w:rFonts w:cs="Times New Roman"/>
          <w:szCs w:val="24"/>
        </w:rPr>
        <w:t xml:space="preserve"> prípad</w:t>
      </w:r>
      <w:r>
        <w:rPr>
          <w:rFonts w:cs="Times New Roman"/>
          <w:szCs w:val="24"/>
        </w:rPr>
        <w:t>e</w:t>
      </w:r>
      <w:r w:rsidRPr="008720D5">
        <w:rPr>
          <w:rFonts w:cs="Times New Roman"/>
          <w:szCs w:val="24"/>
        </w:rPr>
        <w:t xml:space="preserve"> </w:t>
      </w:r>
      <w:proofErr w:type="spellStart"/>
      <w:r w:rsidRPr="008720D5">
        <w:rPr>
          <w:rFonts w:cs="Times New Roman"/>
          <w:b/>
          <w:i/>
          <w:szCs w:val="24"/>
        </w:rPr>
        <w:t>Gobrecht</w:t>
      </w:r>
      <w:proofErr w:type="spellEnd"/>
      <w:r w:rsidRPr="008720D5">
        <w:rPr>
          <w:rFonts w:cs="Times New Roman"/>
          <w:b/>
          <w:i/>
          <w:szCs w:val="24"/>
        </w:rPr>
        <w:t xml:space="preserve"> v. Rakúsko</w:t>
      </w:r>
      <w:r w:rsidRPr="007506D8">
        <w:rPr>
          <w:rStyle w:val="Odkaznapoznmkupodiarou"/>
          <w:rFonts w:cs="Times New Roman"/>
          <w:szCs w:val="24"/>
        </w:rPr>
        <w:footnoteReference w:id="85"/>
      </w:r>
      <w:r w:rsidRPr="008720D5">
        <w:rPr>
          <w:rFonts w:cs="Times New Roman"/>
          <w:szCs w:val="24"/>
        </w:rPr>
        <w:t>, v ktorom podávateľ namietal neúnosné prekročenie primeranej lehoty v civilnom konaní, ktoré nakoniec skončilo zmierom. Komisia musela v prvom rade posúdiť, či je možné na sťažovateľa nahliadať ako na poškodenú osobu. Žalovaná rakúska vláda i sťažovateľ sa zhodli v názore, že zmier nemá za následok nedostatok žalobnej legitimácie na strane sťažovateľa. Komisia zároveň v rámci svojho posudzovania zohľadnila, že jediným dôvodom, prečo sťažovateľ pristúpil na uzatvorenie zmieru</w:t>
      </w:r>
      <w:r>
        <w:rPr>
          <w:rFonts w:cs="Times New Roman"/>
          <w:szCs w:val="24"/>
        </w:rPr>
        <w:t>,</w:t>
      </w:r>
      <w:r w:rsidRPr="008720D5">
        <w:rPr>
          <w:rFonts w:cs="Times New Roman"/>
          <w:szCs w:val="24"/>
        </w:rPr>
        <w:t xml:space="preserve"> bolo upozornenie zo strany sudcu, že konanie môže reálne trvať aj ďalších päť či šesť rokov. Súčasne pripomenula, že priaznivý výsledok v konaní nemá za následok zbavenie sťažovateľa statusu poškodenej osoby. Jedinou možnou výnimkou je prípad, kedy vnútroštátne orgány výslovne alebo mlčky uznali a následne odškodnili porušenie ustanovení Dohovoru. V tomto prípade sa tak však nestalo, preto Komisia skonštatovala, že sťažovateľ mal i po uzatvorení zmieru vážny záujem na rozhodnutí o primeranosti lehoty daného konania, a teda mu priznala postavenie poškodenej osoby, ako ho deklaruje článok 34 Dohovoru.</w:t>
      </w:r>
      <w:r w:rsidRPr="008720D5">
        <w:rPr>
          <w:rStyle w:val="Odkaznapoznmkupodiarou"/>
          <w:rFonts w:cs="Times New Roman"/>
          <w:szCs w:val="24"/>
        </w:rPr>
        <w:footnoteReference w:id="86"/>
      </w:r>
    </w:p>
    <w:p w:rsidR="00DC1275" w:rsidRDefault="00DC1275" w:rsidP="00DC1275">
      <w:pPr>
        <w:ind w:firstLine="708"/>
      </w:pPr>
      <w:r w:rsidRPr="0030375E">
        <w:t>Komisia sa vo svojej rozhodovacej praxi zaoberala aj prípadmi, kedy bolo potrebné priznať sta</w:t>
      </w:r>
      <w:r>
        <w:t xml:space="preserve">tus poškodenej osoby (obete) </w:t>
      </w:r>
      <w:r w:rsidRPr="0030375E">
        <w:t>sťažovateľovi, ktorému vnútroštátne súdy do istej miery priznali kompenzáciu.</w:t>
      </w:r>
      <w:r>
        <w:t xml:space="preserve"> Jedným z takýchto prípadov je</w:t>
      </w:r>
      <w:r w:rsidRPr="0030375E">
        <w:t> </w:t>
      </w:r>
      <w:r w:rsidRPr="0030375E">
        <w:rPr>
          <w:b/>
          <w:i/>
        </w:rPr>
        <w:t xml:space="preserve">Gama </w:t>
      </w:r>
      <w:proofErr w:type="spellStart"/>
      <w:r w:rsidRPr="0030375E">
        <w:rPr>
          <w:b/>
          <w:i/>
        </w:rPr>
        <w:t>da</w:t>
      </w:r>
      <w:proofErr w:type="spellEnd"/>
      <w:r w:rsidRPr="0030375E">
        <w:rPr>
          <w:b/>
          <w:i/>
        </w:rPr>
        <w:t xml:space="preserve"> </w:t>
      </w:r>
      <w:proofErr w:type="spellStart"/>
      <w:r w:rsidRPr="0030375E">
        <w:rPr>
          <w:b/>
          <w:i/>
        </w:rPr>
        <w:t>Costa</w:t>
      </w:r>
      <w:proofErr w:type="spellEnd"/>
      <w:r w:rsidRPr="0030375E">
        <w:rPr>
          <w:b/>
          <w:i/>
        </w:rPr>
        <w:t xml:space="preserve"> v. Portugalsko</w:t>
      </w:r>
      <w:r w:rsidRPr="00A74499">
        <w:rPr>
          <w:rStyle w:val="Odkaznapoznmkupodiarou"/>
        </w:rPr>
        <w:footnoteReference w:id="87"/>
      </w:r>
      <w:r w:rsidRPr="00A74499">
        <w:t>.</w:t>
      </w:r>
      <w:r w:rsidRPr="0030375E">
        <w:t xml:space="preserve"> Sťažovateľ utrpel zranenia pri dopravnej nehode ako spolujazdec a podal žalobu na vodiča a poisťovňu o náhradu škody. Zahájené konanie prebiehalo asi 10 rokov a keďže počas tejto doby došlo v Portugalsku k inflácii, sťažovateľ navrhol pôvodnú výšku náhrady škody zvýšiť. Súd jeho žiadosti vyhovel, no on sa napriek tomu neskôr obrátil na Komisiu so sťažnosťou na porušenie článku 6 ods. 1 pre nedodržanie primeranej lehoty. Portugalská vláda proti tomu argumentovala, že sťažovateľovi už bola priznaná primeraná kompenzácia a požadovala, aby mu Komisia nepriznala status poškodenej osoby, keďže z titulu dĺžky konania bol už náležite odškodnený, a teda mu nevznikla žiadna ujma. Sťažovateľ však namietal, že v jeho prípade sa </w:t>
      </w:r>
      <w:r w:rsidRPr="0030375E">
        <w:lastRenderedPageBreak/>
        <w:t xml:space="preserve">nejedná len o ujmu spôsobenú dôsledkom inflácie, ale tiež o morálnu škodu a škodu finančnú, spočívajúcu v strate úrokov. Komisia v tomto prípade musela súhlasiť. Prehlásila, že zvýšením pôvodne navrhovanej čiastky predstavujúcej odškodnenie sťažovateľa došlo len k valorizácii, ktorá však nemala súvislosť s právom na spravodlivý proces v primeranej lehote. Nie je preto možné takéto zvýšenie náhrady škody pokladať za uznanie porušenia Dohovoru, ani priznané odškodnenie z tohto titulu. Sťažovateľovi teda právom náleží status poškodenej osoby oprávnenej k podaniu sťažnosti. </w:t>
      </w:r>
      <w:r>
        <w:rPr>
          <w:rStyle w:val="Odkaznapoznmkupodiarou"/>
        </w:rPr>
        <w:footnoteReference w:id="88"/>
      </w:r>
    </w:p>
    <w:p w:rsidR="00DC1275" w:rsidRDefault="00DC1275" w:rsidP="00DC1275"/>
    <w:p w:rsidR="00DC1275" w:rsidRPr="00C7789C" w:rsidRDefault="00DC1275" w:rsidP="00DC1275">
      <w:pPr>
        <w:pStyle w:val="Nadpis3"/>
        <w:ind w:left="357" w:hanging="357"/>
      </w:pPr>
      <w:bookmarkStart w:id="43" w:name="_Toc288653457"/>
      <w:bookmarkStart w:id="44" w:name="_Toc289299938"/>
      <w:r w:rsidRPr="00C7789C">
        <w:t>Pasívne legitimovaný subjekt</w:t>
      </w:r>
      <w:bookmarkEnd w:id="43"/>
      <w:bookmarkEnd w:id="44"/>
    </w:p>
    <w:p w:rsidR="00DC1275" w:rsidRDefault="00DC1275" w:rsidP="00DC1275">
      <w:pPr>
        <w:ind w:firstLine="708"/>
      </w:pPr>
      <w:r>
        <w:t xml:space="preserve">Žalovaným subjektom môže byť výhradne len štát, ktorý ratifikoval Dohovor a konkrétne dodatkové protokoly, ktoré garantujú ochranu dotknutých práv. Všeobecne môžeme konštatovať, že štát zodpovedá za činnosť svojich zákonodarných, výkonných a súdnych orgánov. Zodpovednosť štátu môže vzniknúť aj v súvislosti s konaním iných subjektov, na ktoré štát delegoval časť svojich právomocí a ktoré sú v rámci svojej činnosti spôsobilé poškodiť základné práva a slobody obsiahnuté v ustanoveniach Dohovoru a jeho dodatkových protokoloch. Takýmito subjektmi sú typicky obce, vyššie územné celky, cirkvi, </w:t>
      </w:r>
      <w:proofErr w:type="spellStart"/>
      <w:r>
        <w:t>profesné</w:t>
      </w:r>
      <w:proofErr w:type="spellEnd"/>
      <w:r>
        <w:t xml:space="preserve"> komory atď.</w:t>
      </w:r>
      <w:r>
        <w:rPr>
          <w:rStyle w:val="Odkaznapoznmkupodiarou"/>
        </w:rPr>
        <w:footnoteReference w:id="89"/>
      </w:r>
      <w:r>
        <w:t xml:space="preserve"> Nepripadá do úvahy, aby sťažnosť smerovala proti činnosti iných fyzických alebo právnických osôb, ako napríklad advokátovi alebo literárnemu periodiku. Vo vzťahu k činnosti týchto subjektov môže zodpovednostný vzťah vzniknúť len vtedy, ak by mali povinnosť ochraňovať určité práva (napríklad právo formovať a povoliť odbory, právo na vzdelanie). </w:t>
      </w:r>
    </w:p>
    <w:p w:rsidR="00DC1275" w:rsidRDefault="00DC1275" w:rsidP="00DC1275">
      <w:pPr>
        <w:ind w:firstLine="708"/>
      </w:pPr>
      <w:r>
        <w:t>Existencia zodpovednosti zmluvných štátov za činnosť súkromných osôb je ovplyvnená charakterom individuálnych práv garantovaných Dohovorom a rozsahom pozitívnych povinností štátu k chráneniu týchto práv.</w:t>
      </w:r>
      <w:r>
        <w:rPr>
          <w:rStyle w:val="Odkaznapoznmkupodiarou"/>
        </w:rPr>
        <w:footnoteReference w:id="90"/>
      </w:r>
      <w:r>
        <w:t xml:space="preserve"> </w:t>
      </w:r>
      <w:r>
        <w:rPr>
          <w:rStyle w:val="Odkaznapoznmkupodiarou"/>
        </w:rPr>
        <w:footnoteReference w:id="91"/>
      </w:r>
      <w:r>
        <w:t xml:space="preserve"> V kauze </w:t>
      </w:r>
      <w:proofErr w:type="spellStart"/>
      <w:r w:rsidRPr="00285593">
        <w:rPr>
          <w:b/>
          <w:i/>
        </w:rPr>
        <w:t>Van</w:t>
      </w:r>
      <w:proofErr w:type="spellEnd"/>
      <w:r w:rsidRPr="00285593">
        <w:rPr>
          <w:b/>
          <w:i/>
        </w:rPr>
        <w:t xml:space="preserve"> der </w:t>
      </w:r>
      <w:proofErr w:type="spellStart"/>
      <w:r w:rsidRPr="00285593">
        <w:rPr>
          <w:b/>
          <w:i/>
        </w:rPr>
        <w:t>Mussele</w:t>
      </w:r>
      <w:proofErr w:type="spellEnd"/>
      <w:r w:rsidRPr="00285593">
        <w:rPr>
          <w:b/>
          <w:i/>
        </w:rPr>
        <w:t xml:space="preserve"> v. Belgicko</w:t>
      </w:r>
      <w:r w:rsidRPr="001D58DF">
        <w:rPr>
          <w:rStyle w:val="Odkaznapoznmkupodiarou"/>
        </w:rPr>
        <w:footnoteReference w:id="92"/>
      </w:r>
      <w:r>
        <w:t xml:space="preserve"> Súd vyslovil názor, že nepripadá do úvahy, aby sa štát zriekol svojej zodpovednosti jej prenesením na fyzické osoby. Na zodpovednosť štátu týkajúcu sa neľudského zaobchádzania zo strany jednotlivcov nahliada Súd v zmysle článkov 1 a 3 Dohovoru súčasne. Článok 1 požaduje po signatárskych štátoch, aby priznali práva a slobody </w:t>
      </w:r>
      <w:r>
        <w:lastRenderedPageBreak/>
        <w:t>uvedené v ustanoveniach Dohovoru pre všetkých v rámci ich jurisdikcie. Za týmto účelom musia jednotlivcom poskytnúť ochranu pred jednaním, ktoré článok 3 zakazuje.</w:t>
      </w:r>
      <w:r>
        <w:rPr>
          <w:rStyle w:val="Odkaznapoznmkupodiarou"/>
        </w:rPr>
        <w:footnoteReference w:id="93"/>
      </w:r>
      <w:r>
        <w:t xml:space="preserve"> </w:t>
      </w:r>
    </w:p>
    <w:p w:rsidR="00DC1275" w:rsidRDefault="00DC1275" w:rsidP="00DC1275">
      <w:pPr>
        <w:ind w:firstLine="708"/>
      </w:pPr>
      <w:r>
        <w:t xml:space="preserve">Príkladom je možné zmieniť sťažnosť </w:t>
      </w:r>
      <w:r w:rsidRPr="006647E2">
        <w:rPr>
          <w:b/>
          <w:i/>
        </w:rPr>
        <w:t>A. v. Spojené kráľovstvo</w:t>
      </w:r>
      <w:r w:rsidRPr="001D58DF">
        <w:rPr>
          <w:rStyle w:val="Odkaznapoznmkupodiarou"/>
        </w:rPr>
        <w:footnoteReference w:id="94"/>
      </w:r>
      <w:r>
        <w:t>. Nevlastný otec čelil obžalobe za neľudské zaobchádzanie so svojím deväťročným synom, ktorého pravidelne telesne trestal. Spod obžaloby bol však nakoniec oslobodený. Súd prehlásil, že keďže vnútroštátne súdy vnímali konanie otca na základe svojej legislatívy ako rozumné trestanie, zákon, ktorý im takéto posúdenie umožňoval, nezabezpečil dostatočnú ochranu pred jednaním v rozpore s článkom 3 Dohovoru.</w:t>
      </w:r>
      <w:r>
        <w:rPr>
          <w:rStyle w:val="Odkaznapoznmkupodiarou"/>
        </w:rPr>
        <w:footnoteReference w:id="95"/>
      </w:r>
    </w:p>
    <w:p w:rsidR="00DC1275" w:rsidRDefault="00DC1275" w:rsidP="00DC1275">
      <w:pPr>
        <w:ind w:firstLine="708"/>
      </w:pPr>
      <w:r>
        <w:t xml:space="preserve">Zmluvné štáty majú možnosť preniesť časť svojej suverenity na medzinárodnú organizáciu, v rámci kooperácie v určitých oblastiach. Organizácia, na ktorú je táto zodpovednosť prenesená, nie je však sama na základe Dohovoru zodpovedná za jednotlivú činnosť jej orgánov, či za ich rozhodnutia, keďže nie je zmluvnou stranou Dohovoru. Súd v tomto smere poznamenal, že zmluvná strana nesie na základe článku 1 Dohovoru zodpovednosť za všetky úkony a opomenutia  svojich orgánov, odhliadnuc od toho, či toto konanie alebo opomenutie nastalo ako dôsledok vnútroštátneho práva alebo potreby splniť medzinárodné záväzky </w:t>
      </w:r>
      <w:r>
        <w:rPr>
          <w:rStyle w:val="Odkaznapoznmkupodiarou"/>
        </w:rPr>
        <w:footnoteReference w:id="96"/>
      </w:r>
    </w:p>
    <w:p w:rsidR="00DC1275" w:rsidRDefault="00DC1275" w:rsidP="00DC1275">
      <w:pPr>
        <w:ind w:firstLine="708"/>
      </w:pPr>
    </w:p>
    <w:p w:rsidR="00DC1275" w:rsidRPr="00BD3C71" w:rsidRDefault="00DC1275" w:rsidP="00DC1275">
      <w:pPr>
        <w:pStyle w:val="3podnadpis"/>
        <w:numPr>
          <w:ilvl w:val="0"/>
          <w:numId w:val="12"/>
        </w:numPr>
      </w:pPr>
      <w:bookmarkStart w:id="45" w:name="_Toc289299939"/>
      <w:r w:rsidRPr="00BD3C71">
        <w:t>Zhrnutie</w:t>
      </w:r>
      <w:bookmarkEnd w:id="45"/>
    </w:p>
    <w:p w:rsidR="00DC1275" w:rsidRDefault="00DC1275" w:rsidP="00DC1275">
      <w:pPr>
        <w:ind w:firstLine="708"/>
      </w:pPr>
      <w:r w:rsidRPr="002D5B6B">
        <w:t>Zása</w:t>
      </w:r>
      <w:r>
        <w:t xml:space="preserve">dný význam procesného článku 34 Dohovoru spočíva v tom, že sprostredkúva možnosť podať individuálnu sťažnosť k medzinárodnému orgánu, ktorý posúdi porušenie tvrdených práv v zmysle ustanovení Dohovoru. </w:t>
      </w:r>
    </w:p>
    <w:p w:rsidR="00DC1275" w:rsidRDefault="00DC1275" w:rsidP="00DC1275">
      <w:pPr>
        <w:ind w:firstLine="708"/>
      </w:pPr>
      <w:r>
        <w:t>K subjektom oprávneným k podaniu sťažnosti patria fyzické osoby, právnické osoby i skupina osôb. Na druhej strane, žalovaným subjektom môže byť len niektorý zo štátov, ktorý ratifikoval Dohovor a konkrétne protokoly k nemu. Nie je teda možné, aby sťažnosť smerovala proti činnosti individuálnych osôb.</w:t>
      </w:r>
    </w:p>
    <w:p w:rsidR="00DC1275" w:rsidRDefault="00DC1275" w:rsidP="00DC1275">
      <w:r>
        <w:tab/>
        <w:t xml:space="preserve">Dôležitým kritériom prípustnosti sťažnosti je skutočnosť, že sťažovateľovi vznikla ujma na jeho právach a v dôsledku toho je možné považovať ho za osobu poškodenú (obeť). Súd pristupuje k výkladu pojmu „poškodená osoba“ s čo najväčšou flexibilitou a bez prílišnej formálnosti. Jeho snahou je zabezpečiť čo najširšiu ochranu práv v rámci splnenia podmienok </w:t>
      </w:r>
      <w:r>
        <w:lastRenderedPageBreak/>
        <w:t xml:space="preserve">prijateľnosti. V dôsledku toho sa ochrany práv môže dovolávať nielen osoba priamo poškodená, ale i osoba poškodená nepriamo či dokonca potenciálne. Ak by však vnútroštátne orgány vyriešili dané porušenie práv po tom, ako Súd stihol sťažnosť zaregistrovať, prípadne došlo k zmierneniu trestu sťažovateľa či k jeho odškodneniu, postavenie osoby poškodenej stráca a sťažnosť je následne vyčiarknutá zo zoznamu sťažností.  </w:t>
      </w:r>
    </w:p>
    <w:p w:rsidR="00DC1275" w:rsidRPr="002D5B6B" w:rsidRDefault="00DC1275" w:rsidP="00DC1275"/>
    <w:p w:rsidR="00DC1275" w:rsidRDefault="00DC1275" w:rsidP="00DC1275">
      <w:pPr>
        <w:pStyle w:val="Nadpis2"/>
        <w:ind w:left="357" w:hanging="357"/>
      </w:pPr>
      <w:bookmarkStart w:id="46" w:name="_Toc288653458"/>
      <w:bookmarkStart w:id="47" w:name="_Toc289299940"/>
      <w:r w:rsidRPr="00E156DA">
        <w:t xml:space="preserve">Podmienky prijateľnosti </w:t>
      </w:r>
      <w:bookmarkEnd w:id="46"/>
      <w:r w:rsidRPr="00E156DA">
        <w:t xml:space="preserve"> individuálnej sťažnosti</w:t>
      </w:r>
      <w:bookmarkEnd w:id="47"/>
    </w:p>
    <w:p w:rsidR="00DC1275" w:rsidRDefault="00DC1275" w:rsidP="00DC1275">
      <w:pPr>
        <w:ind w:firstLine="708"/>
      </w:pPr>
      <w:r>
        <w:t xml:space="preserve">V rámci svojej rozhodovacej činnosti vytvoril Súd (a pred ním Komisia) nespočetné množstvo judikatúry vykladajúce a aplikujúce jednotlivé podmienky prijateľnosti stanovené článkami 34 a 35 Dohovoru. Vzhľadom na obrovský počet zaregistrovaných sťažností, svoju pozornosť sústredil najmä na tie, ktoré si zasluhujú preskúmanie vo veci samej. </w:t>
      </w:r>
    </w:p>
    <w:p w:rsidR="00DC1275" w:rsidRDefault="00DC1275" w:rsidP="00DC1275">
      <w:pPr>
        <w:ind w:firstLine="708"/>
      </w:pPr>
      <w:r>
        <w:t>Väčšina z kritérií prípustnosti je procesnej povahy (šesťmesačná lehota na podanie sťažnosti, pravidlo vyčerpania vnútroštátnych prostriedkov nápravy). Niektoré (zjavná neopodstatnenosť alebo nezlučiteľnosť sťažnosti) však vyžadujú, aby Súd pristúpil k posúdeniu samotného prípadu už v rámci fázy prijímania sťažnosti. Súd viackrát zdôraznil, že pravidlá posudzovania prípustnosti musia byť aplikované s určitým stupňom flexibility a bez prehnaného formalizmu. K tomu dodal, že je dôležité zohľadniť účel týchto kritérií, pretože Dohovor ako ľudsko-právny dokument musí byť v prvom rade interpretovaný tak, aby poskytoval čo najväčšie záruky účelnosti a efektivity ochrany práv. Preto sa prikláňa k priaznivejšiemu výkladu niektorých podmienok (napr. šesťmesačnej lehoty na podanie, pravidla vyčerpania vnútroštátnych prostriedkov) v záujme dosiahnutia prospechu jednotlivca.</w:t>
      </w:r>
      <w:r>
        <w:rPr>
          <w:rStyle w:val="Odkaznapoznmkupodiarou"/>
        </w:rPr>
        <w:footnoteReference w:id="97"/>
      </w:r>
    </w:p>
    <w:p w:rsidR="00DC1275" w:rsidRPr="001F68CF" w:rsidRDefault="00DC1275" w:rsidP="00DC1275">
      <w:pPr>
        <w:ind w:firstLine="708"/>
      </w:pPr>
    </w:p>
    <w:p w:rsidR="00DC1275" w:rsidRPr="00E156DA" w:rsidRDefault="00DC1275" w:rsidP="00DC1275">
      <w:pPr>
        <w:pStyle w:val="Nadpis3"/>
        <w:ind w:left="357" w:hanging="357"/>
      </w:pPr>
      <w:bookmarkStart w:id="48" w:name="_Toc288653459"/>
      <w:bookmarkStart w:id="49" w:name="_Toc289299941"/>
      <w:r w:rsidRPr="00E156DA">
        <w:t>Pravidlo vyčerpania vnútroštátnych prostriedkov nápravy</w:t>
      </w:r>
      <w:bookmarkEnd w:id="48"/>
      <w:bookmarkEnd w:id="49"/>
    </w:p>
    <w:p w:rsidR="00DC1275" w:rsidRDefault="00DC1275" w:rsidP="00DC1275">
      <w:pPr>
        <w:ind w:firstLine="708"/>
      </w:pPr>
      <w:r>
        <w:t xml:space="preserve">Článok 35 v znení Protokolu č. 11 bol v zásade vytvorený zlúčením článkov 26 a 27. Prvý odsek </w:t>
      </w:r>
      <w:r w:rsidRPr="006C21A6">
        <w:t>zahŕňa obecný princíp medzinárodného práva nazvaný „</w:t>
      </w:r>
      <w:proofErr w:type="spellStart"/>
      <w:r w:rsidRPr="006C21A6">
        <w:rPr>
          <w:i/>
        </w:rPr>
        <w:t>local</w:t>
      </w:r>
      <w:proofErr w:type="spellEnd"/>
      <w:r w:rsidRPr="006C21A6">
        <w:rPr>
          <w:i/>
        </w:rPr>
        <w:t xml:space="preserve"> </w:t>
      </w:r>
      <w:proofErr w:type="spellStart"/>
      <w:r w:rsidRPr="006C21A6">
        <w:rPr>
          <w:i/>
        </w:rPr>
        <w:t>remedies</w:t>
      </w:r>
      <w:proofErr w:type="spellEnd"/>
      <w:r w:rsidRPr="006C21A6">
        <w:rPr>
          <w:i/>
        </w:rPr>
        <w:t xml:space="preserve"> rule</w:t>
      </w:r>
      <w:r w:rsidRPr="006C21A6">
        <w:t>“. Je považovaný</w:t>
      </w:r>
      <w:r>
        <w:t xml:space="preserve"> za jednu z podmienok možného uznania sťažnosti, nie je však princípom absolútnym. Jedná sa o pravidlo, ktoré je nutné uplatňovať s istou flexibilitou a s ohľadom na špecifické okolnosti konkrétneho prípadu.</w:t>
      </w:r>
      <w:r>
        <w:rPr>
          <w:rStyle w:val="Odkaznapoznmkupodiarou"/>
        </w:rPr>
        <w:footnoteReference w:id="98"/>
      </w:r>
      <w:r>
        <w:t xml:space="preserve"> Komisia vyjadrila jeho podstatu v prípade </w:t>
      </w:r>
      <w:proofErr w:type="spellStart"/>
      <w:r w:rsidRPr="000809F4">
        <w:rPr>
          <w:b/>
          <w:i/>
        </w:rPr>
        <w:lastRenderedPageBreak/>
        <w:t>Nielsen</w:t>
      </w:r>
      <w:proofErr w:type="spellEnd"/>
      <w:r w:rsidRPr="000809F4">
        <w:rPr>
          <w:b/>
          <w:i/>
        </w:rPr>
        <w:t xml:space="preserve"> v. Dánsko</w:t>
      </w:r>
      <w:r w:rsidRPr="00163A3C">
        <w:rPr>
          <w:rStyle w:val="Odkaznapoznmkupodiarou"/>
        </w:rPr>
        <w:footnoteReference w:id="99"/>
      </w:r>
      <w:r>
        <w:t>, kde konštatovala: „Žalovaný musí mať najskôr možnosť zjednať nápravu právnymi prostriedkami v rámci vlastného systému odškodnenia jednotlivca, ktorému bola spôsobená ujma.“</w:t>
      </w:r>
      <w:r>
        <w:rPr>
          <w:rStyle w:val="Odkaznapoznmkupodiarou"/>
        </w:rPr>
        <w:footnoteReference w:id="100"/>
      </w:r>
      <w:r>
        <w:t xml:space="preserve"> Pravidlo vyčerpania opravných prostriedkov požaduje využiť možnosti všetkých opravných prostriedkov dostupných v rámci vnútroštátneho práva, o ktorých sa dá predpokladať, že budú predstavovať efektívnu ochranu práv a sú postačujúce k tomu, aby sa ich prostredníctvom dosiahlo primeraného odškodnenia, za ktoré zodpovedá štát na medzinárodnej úrovni.</w:t>
      </w:r>
      <w:r>
        <w:rPr>
          <w:rStyle w:val="Odkaznapoznmkupodiarou"/>
        </w:rPr>
        <w:footnoteReference w:id="101"/>
      </w:r>
      <w:r>
        <w:t xml:space="preserve"> </w:t>
      </w:r>
    </w:p>
    <w:p w:rsidR="00DC1275" w:rsidRDefault="00DC1275" w:rsidP="00DC1275">
      <w:pPr>
        <w:ind w:firstLine="708"/>
      </w:pPr>
      <w:r>
        <w:t>Interpretácia pojmu „opravný prostriedok“, resp. slovami článku 35 ods. 1 Dohovoru pojmu „vnútroštátny právny prostriedok nápravy“, nie je závislá na tom, ako ju vníma právny poriadok zmluvného štátu. Judikatúra Súdu tento pojem definuje ako každý prostriedok, cestou ktorého je možné dosiahnuť uspokojivého výsledku z hľadiska predmetu sťažnosti. Znamená nápravu situácie, ktorá je podľa mienky sťažovateľa v rozpore s Dohovorom. Tým, že Dohovor zakotvuje podmienku vyčerpania vnútroštátnych právnych prostriedkov nápravy, dáva zmluvnému štátu možnosť napraviť situáciu, ktorá je predmetom sťažnosti. Môžeme teda povedať, že táto podmienka reflektuje princíp subsidiarity medzinárodného systému ochrany ľudských práv voči systémom národným. Uplatní sa i na medzištátne sťažnosti podané v zmysle článku 33 Dohovoru, ak žalujúci štát namieta porušenie Dohovoru smerujúce voči jednotlivcom.</w:t>
      </w:r>
      <w:r>
        <w:rPr>
          <w:rStyle w:val="Odkaznapoznmkupodiarou"/>
        </w:rPr>
        <w:footnoteReference w:id="102"/>
      </w:r>
      <w:r>
        <w:t xml:space="preserve"> </w:t>
      </w:r>
    </w:p>
    <w:p w:rsidR="00DC1275" w:rsidRDefault="00DC1275" w:rsidP="00DC1275">
      <w:pPr>
        <w:ind w:firstLine="708"/>
      </w:pPr>
      <w:r>
        <w:t xml:space="preserve">Povinnosť vyčerpať všetky dostupné vnútroštátne opravné prostriedky sa považuje za </w:t>
      </w:r>
      <w:r w:rsidRPr="006C21A6">
        <w:t>súčasť obyčajového medzinárodného práva. Bola uznaná Medzinárodným súdnym dvorom</w:t>
      </w:r>
      <w:r>
        <w:t xml:space="preserve"> v kauze </w:t>
      </w:r>
      <w:proofErr w:type="spellStart"/>
      <w:r w:rsidRPr="003575C7">
        <w:rPr>
          <w:b/>
          <w:i/>
        </w:rPr>
        <w:t>Interhandel</w:t>
      </w:r>
      <w:proofErr w:type="spellEnd"/>
      <w:r w:rsidRPr="003575C7">
        <w:rPr>
          <w:b/>
          <w:i/>
        </w:rPr>
        <w:t xml:space="preserve"> (Švajčiarsko v. USA)</w:t>
      </w:r>
      <w:r w:rsidRPr="003575C7">
        <w:rPr>
          <w:rStyle w:val="Odkaznapoznmkupodiarou"/>
        </w:rPr>
        <w:footnoteReference w:id="103"/>
      </w:r>
      <w:r w:rsidRPr="003575C7">
        <w:t>,</w:t>
      </w:r>
      <w:r>
        <w:t xml:space="preserve"> zakotvujú ju však aj jednotlivé ustanovenia medzinárodných zmlúv, napríklad Medzinárodný pakt o občianskych a politických právach a Opčný protokol k nemu, Americký dohovor o ľudských právach, Africká charta o ľudských právach a právach národov.</w:t>
      </w:r>
      <w:r>
        <w:rPr>
          <w:rStyle w:val="Odkaznapoznmkupodiarou"/>
        </w:rPr>
        <w:footnoteReference w:id="104"/>
      </w:r>
      <w:r>
        <w:t xml:space="preserve"> </w:t>
      </w:r>
    </w:p>
    <w:p w:rsidR="00DC1275" w:rsidRPr="006C21A6" w:rsidRDefault="00DC1275" w:rsidP="00DC1275">
      <w:pPr>
        <w:ind w:firstLine="708"/>
      </w:pPr>
      <w:r>
        <w:t xml:space="preserve">Opačné stanovisko zaujala Komisia v prípade </w:t>
      </w:r>
      <w:proofErr w:type="spellStart"/>
      <w:r w:rsidRPr="00ED14AF">
        <w:rPr>
          <w:b/>
          <w:i/>
        </w:rPr>
        <w:t>De</w:t>
      </w:r>
      <w:proofErr w:type="spellEnd"/>
      <w:r w:rsidRPr="00ED14AF">
        <w:rPr>
          <w:b/>
          <w:i/>
        </w:rPr>
        <w:t xml:space="preserve"> </w:t>
      </w:r>
      <w:proofErr w:type="spellStart"/>
      <w:r w:rsidRPr="00ED14AF">
        <w:rPr>
          <w:b/>
          <w:i/>
        </w:rPr>
        <w:t>Wilde</w:t>
      </w:r>
      <w:proofErr w:type="spellEnd"/>
      <w:r w:rsidRPr="00ED14AF">
        <w:rPr>
          <w:b/>
          <w:i/>
        </w:rPr>
        <w:t xml:space="preserve">, </w:t>
      </w:r>
      <w:proofErr w:type="spellStart"/>
      <w:r w:rsidRPr="00ED14AF">
        <w:rPr>
          <w:b/>
          <w:i/>
        </w:rPr>
        <w:t>Ooms</w:t>
      </w:r>
      <w:proofErr w:type="spellEnd"/>
      <w:r w:rsidRPr="00ED14AF">
        <w:rPr>
          <w:b/>
          <w:i/>
        </w:rPr>
        <w:t xml:space="preserve"> a </w:t>
      </w:r>
      <w:proofErr w:type="spellStart"/>
      <w:r w:rsidRPr="00ED14AF">
        <w:rPr>
          <w:b/>
          <w:i/>
        </w:rPr>
        <w:t>Versyp</w:t>
      </w:r>
      <w:proofErr w:type="spellEnd"/>
      <w:r w:rsidRPr="00ED14AF">
        <w:rPr>
          <w:b/>
          <w:i/>
        </w:rPr>
        <w:t xml:space="preserve"> v. Belgicko</w:t>
      </w:r>
      <w:r w:rsidRPr="00C56B84">
        <w:rPr>
          <w:rStyle w:val="Odkaznapoznmkupodiarou"/>
        </w:rPr>
        <w:footnoteReference w:id="105"/>
      </w:r>
      <w:r>
        <w:t xml:space="preserve">, </w:t>
      </w:r>
      <w:r w:rsidRPr="006C21A6">
        <w:t xml:space="preserve">kde judikovala, že prípustná je aj situácia, aby štát sám upustil od nutnosti vyčerpania opravných prostriedkov, ak v tejto súvislosti existuje zaužívaná medzinárodná </w:t>
      </w:r>
      <w:r w:rsidRPr="006C21A6">
        <w:lastRenderedPageBreak/>
        <w:t>prax. Zodpovedanie zásadnej otázky, aké vnútroštátne opravné prostriedky sú v tomto smere k dispozícii, je ponechané príslušným vnútroštátnym orgánom na základe pravidiel vnútroštátneho práva.</w:t>
      </w:r>
      <w:r w:rsidRPr="006C21A6">
        <w:rPr>
          <w:rStyle w:val="Odkaznapoznmkupodiarou"/>
        </w:rPr>
        <w:footnoteReference w:id="106"/>
      </w:r>
      <w:r w:rsidRPr="006C21A6">
        <w:t xml:space="preserve"> </w:t>
      </w:r>
    </w:p>
    <w:p w:rsidR="00DC1275" w:rsidRDefault="00DC1275" w:rsidP="00DC1275">
      <w:pPr>
        <w:ind w:firstLine="708"/>
      </w:pPr>
      <w:r w:rsidRPr="006C21A6">
        <w:t xml:space="preserve">Právomoc vyhodnotiť, či boli využité všetky dostupné vnútroštátne opravné prostriedky náleží </w:t>
      </w:r>
      <w:r w:rsidRPr="006C21A6">
        <w:rPr>
          <w:i/>
        </w:rPr>
        <w:t xml:space="preserve">ex </w:t>
      </w:r>
      <w:proofErr w:type="spellStart"/>
      <w:r w:rsidRPr="006C21A6">
        <w:rPr>
          <w:i/>
        </w:rPr>
        <w:t>officio</w:t>
      </w:r>
      <w:proofErr w:type="spellEnd"/>
      <w:r w:rsidRPr="006C21A6">
        <w:t xml:space="preserve"> Súdu. Ak je sťažnosť postúpená štátu, dôkazné bremeno v súvislosti s „</w:t>
      </w:r>
      <w:proofErr w:type="spellStart"/>
      <w:r w:rsidRPr="006C21A6">
        <w:t>local</w:t>
      </w:r>
      <w:proofErr w:type="spellEnd"/>
      <w:r w:rsidRPr="006C21A6">
        <w:t xml:space="preserve"> </w:t>
      </w:r>
      <w:proofErr w:type="spellStart"/>
      <w:r w:rsidRPr="006C21A6">
        <w:t>remedies</w:t>
      </w:r>
      <w:proofErr w:type="spellEnd"/>
      <w:r w:rsidRPr="006C21A6">
        <w:t xml:space="preserve"> rule“ sa rozdelí medzi žalovaný štát a sťažovateľa. Povinnosťou žalovaného štátu odvolávajúceho sa na toto pravidlo je dokázať existenciu náležitých</w:t>
      </w:r>
      <w:r>
        <w:t xml:space="preserve"> účinných opravných prostriedkov v jeho vnútroštátnom právnom poriadku. Sťažovateľ potom musí uniesť dôkazné bremeno spojené s jeho tvrdením, že všetky tieto dostupné opravné prostriedky skutočne využil, resp. ak nevyužil, že sa nejednalo o prostriedky účinné a adekvátne.</w:t>
      </w:r>
      <w:r>
        <w:rPr>
          <w:rStyle w:val="Odkaznapoznmkupodiarou"/>
        </w:rPr>
        <w:footnoteReference w:id="107"/>
      </w:r>
    </w:p>
    <w:p w:rsidR="00DC1275" w:rsidRDefault="00DC1275" w:rsidP="00DC1275">
      <w:pPr>
        <w:ind w:firstLine="708"/>
      </w:pPr>
      <w:r w:rsidRPr="006C21A6">
        <w:t>Po dlhú dobu zostávalo v štrasburskej judikatúre nejasné, či v prípade, že má sťažovateľ možnosť podať viacero opravných prostriedkov, je jeho povinnosťou vyčerpať ich všetky, alebo postačí využiť len tie z nich, ktoré pokladá za najviac efektívne k dosiahnutiu ochrany svojho záujmu. Reštriktívna interpretácia tohto ustanovenia podporuje skôr prvú z </w:t>
      </w:r>
      <w:proofErr w:type="spellStart"/>
      <w:r w:rsidRPr="006C21A6">
        <w:t>variánt</w:t>
      </w:r>
      <w:proofErr w:type="spellEnd"/>
      <w:r w:rsidRPr="006C21A6">
        <w:t xml:space="preserve">. O niečo menej striktný postoj zaujala Komisia vo veci </w:t>
      </w:r>
      <w:r w:rsidRPr="00FF0632">
        <w:rPr>
          <w:b/>
          <w:i/>
        </w:rPr>
        <w:t xml:space="preserve">Monika </w:t>
      </w:r>
      <w:proofErr w:type="spellStart"/>
      <w:r w:rsidRPr="00FF0632">
        <w:rPr>
          <w:b/>
          <w:i/>
        </w:rPr>
        <w:t>Berberich</w:t>
      </w:r>
      <w:proofErr w:type="spellEnd"/>
      <w:r w:rsidRPr="00FF0632">
        <w:rPr>
          <w:b/>
          <w:i/>
        </w:rPr>
        <w:t xml:space="preserve"> v. Nemecko</w:t>
      </w:r>
      <w:r w:rsidRPr="00FF0632">
        <w:rPr>
          <w:rStyle w:val="Odkaznapoznmkupodiarou"/>
        </w:rPr>
        <w:footnoteReference w:id="108"/>
      </w:r>
      <w:r w:rsidRPr="00FF0632">
        <w:t>,</w:t>
      </w:r>
      <w:r w:rsidRPr="006C21A6">
        <w:t xml:space="preserve"> ktorej výsledkom bolo nasledovné stanovisko: „V prípade, že existuje iba jediný opravný prostriedok, je potrebné ho použiť až po najvyššiu úroveň. Situácia však nie je jasná, ak poskytuje vnútroštátne právo viacero opravných prost</w:t>
      </w:r>
      <w:r>
        <w:t>riedkov. V takýchto prípadoch bola</w:t>
      </w:r>
      <w:r w:rsidRPr="006C21A6">
        <w:t xml:space="preserve"> Komisia ochotná pripustiť, že článok 35 ods. 1 bol dodržaný, ak</w:t>
      </w:r>
      <w:r>
        <w:t xml:space="preserve"> sťažovateľ vyčerpal iba tie opravné prostriedky, ktoré je možné rozumne pokladať za účelné.“ Neskôr Komisia tento svoj názor doplnila, že v prípade, že má sťažovateľ k dispozícii viac opravných prostriedkov k odstráneniu porušovania Dohovoru, je dôležité článok 35 ods. 1 aplikovať na situáciu tak, aby reflektoval praktické a skutočne existujúce možnosti sťažovateľa dosiahnuť efektívnu ochranu práv a slobôd zaručovaných Dohovorom. Preto sa sťažovateľ v konkrétnom prípade môže rozhodnúť, aký opravný prostriedok využije, pričom uvedie, aké objektívne a rozumné dôvody ho k tomu viedli. </w:t>
      </w:r>
    </w:p>
    <w:p w:rsidR="00DC1275" w:rsidRPr="006C21A6" w:rsidRDefault="00DC1275" w:rsidP="00DC1275">
      <w:pPr>
        <w:ind w:firstLine="708"/>
      </w:pPr>
      <w:r>
        <w:t>Forma konania a jeho časové limity sú vymedzené podmienkami vnútroštátneho práva a rozhodovanie o nich</w:t>
      </w:r>
      <w:r w:rsidRPr="001626A0">
        <w:t xml:space="preserve"> </w:t>
      </w:r>
      <w:r>
        <w:t xml:space="preserve">rovnako prislúcha vnútroštátnym orgánom. Podávateľ v rámci svojho odvolania k vnútroštátnemu súdu musí </w:t>
      </w:r>
      <w:r w:rsidRPr="001F3FD0">
        <w:t>riadne dodrž</w:t>
      </w:r>
      <w:r>
        <w:t>ať stanovené procesné podmienky</w:t>
      </w:r>
      <w:r w:rsidRPr="001F3FD0">
        <w:t xml:space="preserve"> či </w:t>
      </w:r>
      <w:r w:rsidRPr="006C21A6">
        <w:lastRenderedPageBreak/>
        <w:t xml:space="preserve">časové limity. V prípade, že ich nedodrží, Súd sťažnosť zamietne z dôvodu nesplnenia podmienky vyčerpania vnútroštátnych opravných prostriedkov a sťažnosť bude posúdená ako neprípustná. </w:t>
      </w:r>
    </w:p>
    <w:p w:rsidR="00DC1275" w:rsidRDefault="00DC1275" w:rsidP="00DC1275">
      <w:pPr>
        <w:ind w:firstLine="708"/>
      </w:pPr>
      <w:r w:rsidRPr="006C21A6">
        <w:t>Výkladu a aplikácii jednotlivých ustanovení vnútroštátneho práva sa venujú príslušné</w:t>
      </w:r>
      <w:r>
        <w:t xml:space="preserve"> vnútroštátne orgány. Komisii následne prináležalo oprávnenie posúdiť, či bol sťažovateľ v dôsledku takejto interpretácie ukrátený na svojich právach, t.j. či je možné mu prisúdiť status poškodenej osoby (obete). Osoba, ktorej náleží takéto postavenie, sa ale nemôže spoliehať, že vnútroštátne súdy budú musieť jednať alebo zdôvodniť rozsudky len na základe skutočnosti, že je im táto povinnosť uložená </w:t>
      </w:r>
      <w:r w:rsidRPr="007F4338">
        <w:rPr>
          <w:i/>
        </w:rPr>
        <w:t xml:space="preserve">ex </w:t>
      </w:r>
      <w:proofErr w:type="spellStart"/>
      <w:r w:rsidRPr="007F4338">
        <w:rPr>
          <w:i/>
        </w:rPr>
        <w:t>officio</w:t>
      </w:r>
      <w:proofErr w:type="spellEnd"/>
      <w:r>
        <w:t>.</w:t>
      </w:r>
      <w:r>
        <w:rPr>
          <w:rStyle w:val="Odkaznapoznmkupodiarou"/>
        </w:rPr>
        <w:footnoteReference w:id="109"/>
      </w:r>
      <w:r>
        <w:t xml:space="preserve"> Túto problematiku rozoberala Komisia v prípade </w:t>
      </w:r>
      <w:proofErr w:type="spellStart"/>
      <w:r w:rsidRPr="0096152C">
        <w:rPr>
          <w:b/>
          <w:i/>
        </w:rPr>
        <w:t>Van</w:t>
      </w:r>
      <w:proofErr w:type="spellEnd"/>
      <w:r w:rsidRPr="0096152C">
        <w:rPr>
          <w:b/>
          <w:i/>
        </w:rPr>
        <w:t xml:space="preserve"> </w:t>
      </w:r>
      <w:proofErr w:type="spellStart"/>
      <w:r w:rsidRPr="0096152C">
        <w:rPr>
          <w:b/>
          <w:i/>
        </w:rPr>
        <w:t>Oosterwijck</w:t>
      </w:r>
      <w:proofErr w:type="spellEnd"/>
      <w:r>
        <w:t xml:space="preserve"> </w:t>
      </w:r>
      <w:r w:rsidRPr="00C56B84">
        <w:rPr>
          <w:b/>
          <w:i/>
        </w:rPr>
        <w:t>v. Belgicko</w:t>
      </w:r>
      <w:r w:rsidRPr="00C9071C">
        <w:rPr>
          <w:rStyle w:val="Odkaznapoznmkupodiarou"/>
        </w:rPr>
        <w:footnoteReference w:id="110"/>
      </w:r>
      <w:r>
        <w:t xml:space="preserve">, kde konštatovala: „Skutočnosť, že belgické súdy mohli, či dokonca boli povinné jednať z vlastného podnetu, nie je možné vyložiť tak, že zbavuje sťažovateľa povinnosti podať pred nimi žalobu pre porušovanie Dohovoru alebo predložiť k tomuto účelu príslušné argumenty.“ </w:t>
      </w:r>
    </w:p>
    <w:p w:rsidR="00DC1275" w:rsidRDefault="00DC1275" w:rsidP="00DC1275">
      <w:pPr>
        <w:ind w:firstLine="708"/>
      </w:pPr>
      <w:r w:rsidRPr="001F3FD0">
        <w:t>Sťažovateľ vo všeobecnosti nie je povinný vo vnútroštátnej žalobe vymedziť konkrétne články Dohovoru, na ktoré sa v súvislosti s porušením jeho práv odvoláva.</w:t>
      </w:r>
      <w:r w:rsidRPr="00A81466">
        <w:rPr>
          <w:color w:val="FF0000"/>
        </w:rPr>
        <w:t xml:space="preserve"> </w:t>
      </w:r>
      <w:r>
        <w:t xml:space="preserve">V istých </w:t>
      </w:r>
      <w:r w:rsidRPr="006C21A6">
        <w:t>prípadoch je však výslovne vyžadovaný odkaz na konkrétne ustanovenia Dohovoru.</w:t>
      </w:r>
      <w:r>
        <w:rPr>
          <w:rStyle w:val="Odkaznapoznmkupodiarou"/>
        </w:rPr>
        <w:footnoteReference w:id="111"/>
      </w:r>
      <w:r w:rsidRPr="006C21A6">
        <w:t xml:space="preserve"> Túto</w:t>
      </w:r>
      <w:r w:rsidRPr="00126ACB">
        <w:t xml:space="preserve"> skuto</w:t>
      </w:r>
      <w:r>
        <w:t xml:space="preserve">čnosť pripustila Komisia v už vyššie zmieňovanom prípade </w:t>
      </w:r>
      <w:proofErr w:type="spellStart"/>
      <w:r w:rsidRPr="001509E6">
        <w:rPr>
          <w:b/>
          <w:i/>
        </w:rPr>
        <w:t>Van</w:t>
      </w:r>
      <w:proofErr w:type="spellEnd"/>
      <w:r w:rsidRPr="001509E6">
        <w:rPr>
          <w:b/>
          <w:i/>
        </w:rPr>
        <w:t xml:space="preserve"> </w:t>
      </w:r>
      <w:proofErr w:type="spellStart"/>
      <w:r w:rsidRPr="001509E6">
        <w:rPr>
          <w:b/>
          <w:i/>
        </w:rPr>
        <w:t>Oosterwijc</w:t>
      </w:r>
      <w:r>
        <w:rPr>
          <w:b/>
          <w:i/>
        </w:rPr>
        <w:t>k</w:t>
      </w:r>
      <w:proofErr w:type="spellEnd"/>
      <w:r>
        <w:rPr>
          <w:b/>
          <w:i/>
        </w:rPr>
        <w:t xml:space="preserve"> v. Belgicko</w:t>
      </w:r>
      <w:r w:rsidRPr="00C9071C">
        <w:rPr>
          <w:rStyle w:val="Odkaznapoznmkupodiarou"/>
        </w:rPr>
        <w:footnoteReference w:id="112"/>
      </w:r>
      <w:r>
        <w:t xml:space="preserve"> a zároveň dodala, že takýto priamy odkaz na konkrétne články Dohovoru je potrebný vtedy, ak nie je možné predložiť sťažnosť riadnym spôsobom vnútroštátnym orgánom. Na otázku, ktoré opravné prostriedky je vlastne treba použiť, odpovedá Komisia prostredníctvom svojej judikatúry len toľko, že vždy je najdôležitejšie vychádzať zo samotných okolností konkrétneho prípadu.</w:t>
      </w:r>
      <w:r>
        <w:rPr>
          <w:rStyle w:val="Odkaznapoznmkupodiarou"/>
        </w:rPr>
        <w:footnoteReference w:id="113"/>
      </w:r>
      <w:r>
        <w:t xml:space="preserve"> </w:t>
      </w:r>
    </w:p>
    <w:p w:rsidR="00DC1275" w:rsidRDefault="00DC1275" w:rsidP="00DC1275">
      <w:pPr>
        <w:ind w:firstLine="708"/>
      </w:pPr>
      <w:r>
        <w:t>Jadro judikatúry týkajúcej sa „</w:t>
      </w:r>
      <w:proofErr w:type="spellStart"/>
      <w:r>
        <w:t>local</w:t>
      </w:r>
      <w:proofErr w:type="spellEnd"/>
      <w:r>
        <w:t xml:space="preserve"> </w:t>
      </w:r>
      <w:proofErr w:type="spellStart"/>
      <w:r>
        <w:t>remedies</w:t>
      </w:r>
      <w:proofErr w:type="spellEnd"/>
      <w:r>
        <w:t xml:space="preserve"> rule“ tvorí v zásade už vyššie spomenutý prípad </w:t>
      </w:r>
      <w:proofErr w:type="spellStart"/>
      <w:r w:rsidRPr="001509E6">
        <w:rPr>
          <w:b/>
          <w:i/>
        </w:rPr>
        <w:t>Nielsen</w:t>
      </w:r>
      <w:proofErr w:type="spellEnd"/>
      <w:r w:rsidRPr="001509E6">
        <w:rPr>
          <w:b/>
          <w:i/>
        </w:rPr>
        <w:t xml:space="preserve"> v. Dánsko</w:t>
      </w:r>
      <w:r w:rsidRPr="00C9071C">
        <w:rPr>
          <w:rStyle w:val="Odkaznapoznmkupodiarou"/>
        </w:rPr>
        <w:footnoteReference w:id="114"/>
      </w:r>
      <w:r>
        <w:t xml:space="preserve">, podľa ktorého sa požaduje využiť všetky dostupné prostriedky nápravy v rámci vnútroštátneho práva, ktorými je možné dosiahnuť náhrady škody. Sťažovateľ je oslobodený od ich použitia len ak sa javia neúčinnými či neprimeranými. Je však dôležité zdôrazniť, že osobná mienka sťažovateľa na účinnosť, či neúčinnosť konkrétneho opravného prostriedku nemá žiaden vplyv. </w:t>
      </w:r>
    </w:p>
    <w:p w:rsidR="00DC1275" w:rsidRDefault="00DC1275" w:rsidP="00DC1275">
      <w:pPr>
        <w:ind w:firstLine="708"/>
      </w:pPr>
      <w:r w:rsidRPr="006C21A6">
        <w:lastRenderedPageBreak/>
        <w:t>Komisia i Súd vo svojej početnej judikatúre objasňujú, čo môžeme považovať za „účinný a adekvátny opravný prostriedok“. Najpodstatnejšou spoločnou črtou tejto judikatúry</w:t>
      </w:r>
      <w:r>
        <w:t xml:space="preserve"> je fakt, že sťažovateľ je povinný vyčerpať všetky dostupné vnútroštátne prostriedky až po najvyššiu úroveň len v prípadoch a do takej miery, do akej je možné rozumne predpokladať, že odvolanie k vyššiemu orgánu bude mať potenciál podstatne ovplyvniť rozhodnutie v merite veci. Túto zásadu môžeme analogicky uplatniť i na odvolanie, či sťažnosti na Ústavný súd proti rozhodnutiu iného súdu. Podmienka vyčerpania opravných prostriedkov sa vzťahuje i na zahájenia akýchkoľvek iných konaní podľa vnútroštátneho práva (nielen konaní pred súdmi), ktoré môžu mať za následok rozhodnutie zaväzujúce štátne orgány</w:t>
      </w:r>
      <w:r>
        <w:rPr>
          <w:rStyle w:val="Odkaznapoznmkupodiarou"/>
        </w:rPr>
        <w:footnoteReference w:id="115"/>
      </w:r>
      <w:r>
        <w:t xml:space="preserve">, prípadne odvolanie k správnym orgánom. Ak opravný prostriedok s prihliadnutím k záverom konštantnej judikatúry s určitosťou neposkytuje žiadne vyhliadky na úspech, je možné ho považovať za neúčinný a nie je nutné ho vyčerpať. Sťažovateľ však musí následne existenciu takejto judikatúry doložiť. </w:t>
      </w:r>
    </w:p>
    <w:p w:rsidR="00DC1275" w:rsidRDefault="00DC1275" w:rsidP="00DC1275">
      <w:pPr>
        <w:ind w:firstLine="708"/>
      </w:pPr>
      <w:r>
        <w:t xml:space="preserve">V určitých prípadoch sa </w:t>
      </w:r>
      <w:r w:rsidRPr="006C21A6">
        <w:t>môžu vyskytnúť tzv. zvláštne okolnosti podľa všeobecne</w:t>
      </w:r>
      <w:r>
        <w:t xml:space="preserve"> uznávaných pravidiel medzinárodného práva, na základe ktorých môžu i účinné adekvátne prostriedky zostať nevyužité. Príkladom je možné zmieniť pochybnosti o účinnosti opravného prostriedku, pokročilý vek sťažovateľa, zlú finančnú situáciu sťažovateľa alebo vysoké trovy konania, omyl alebo nesprávnu rada právneho poradcu, či orgánu a iné. Časový okamih, ku ktorému je nutné vyčerpať všetky vnútroštátne opravné prostriedky, posudzuje Súd pomerne flexibilne. Obvykle je dostačujúce, ak rozhodnutie najvyššieho vnútroštátneho súdu existovalo v dobe, keď Súd posudzuje prijateľnosť sťažnosti. </w:t>
      </w:r>
    </w:p>
    <w:p w:rsidR="00DC1275" w:rsidRDefault="00DC1275" w:rsidP="00DC1275">
      <w:pPr>
        <w:ind w:firstLine="708"/>
      </w:pPr>
    </w:p>
    <w:p w:rsidR="00DC1275" w:rsidRPr="006B7E7C" w:rsidRDefault="00DC1275" w:rsidP="00DC1275">
      <w:pPr>
        <w:pStyle w:val="Nadpis3"/>
        <w:ind w:left="357" w:hanging="357"/>
      </w:pPr>
      <w:bookmarkStart w:id="50" w:name="_Toc288653460"/>
      <w:bookmarkStart w:id="51" w:name="_Toc289299942"/>
      <w:r w:rsidRPr="006B7E7C">
        <w:t>Podanie sťažnosti v lehote šesť mesiacov</w:t>
      </w:r>
      <w:bookmarkEnd w:id="50"/>
      <w:bookmarkEnd w:id="51"/>
    </w:p>
    <w:p w:rsidR="00DC1275" w:rsidRDefault="00DC1275" w:rsidP="00DC1275">
      <w:pPr>
        <w:ind w:firstLine="708"/>
      </w:pPr>
      <w:r>
        <w:t>Článok 35 ods. 1 Dohovoru stanoví, že Súd môže posudzovať sťažnosť, ktorá bola podaná do doby šiestich mesiacov odo dňa, kedy bolo prijaté konečné vnútroštátne rozhodnutie vo veci.</w:t>
      </w:r>
      <w:r>
        <w:rPr>
          <w:rStyle w:val="Odkaznapoznmkupodiarou"/>
        </w:rPr>
        <w:footnoteReference w:id="116"/>
      </w:r>
      <w:r>
        <w:t xml:space="preserve"> Komisia sa k zmienenému ustanoveniu Dohovoru vyjadrila nasledovne: „Toto pravidlo určuje konkrétne časové vymedzenie kontroly dodržiavania ľudských práv uskutočňovanej orgánmi Dohovoru a súčasne signalizuje sťažovateľom i zmluvným stranám, že uplynutím tohto obdobia už medzinárodná kontrola nie je možná.“</w:t>
      </w:r>
      <w:r>
        <w:rPr>
          <w:rStyle w:val="Odkaznapoznmkupodiarou"/>
        </w:rPr>
        <w:footnoteReference w:id="117"/>
      </w:r>
    </w:p>
    <w:p w:rsidR="00DC1275" w:rsidRDefault="00DC1275" w:rsidP="00DC1275">
      <w:r>
        <w:lastRenderedPageBreak/>
        <w:t xml:space="preserve">Inými slovami, dôvodom stanovenia tejto lehoty je snaha o podporu  právnej stability v rámci jednotlivých členských štátov Dohovoru, ako aj úmysel zachovať istú úroveň ochrany pred neistotou a zaistiť, aby vnútroštátne rozhodnutia nemohli byť donekonečna preskúmavané. Povinnosť preskúmania či bola lehota riadne dodržaná náleží Súdu, a to z úradnej povinnosti. </w:t>
      </w:r>
    </w:p>
    <w:p w:rsidR="00DC1275" w:rsidRDefault="00DC1275" w:rsidP="00DC1275">
      <w:pPr>
        <w:ind w:firstLine="708"/>
      </w:pPr>
      <w:r>
        <w:t>Lehota šiestich mesiacov má sťažovateľovi poskytnúť príležitosť dostatočne si premyslieť jeho rozhodnutie podať sťažnosť k Súdu, tiež zhromaždiť všetky potrebné dokumenty, argumenty a dôvody na jej podloženie.</w:t>
      </w:r>
      <w:r>
        <w:rPr>
          <w:rStyle w:val="Odkaznapoznmkupodiarou"/>
        </w:rPr>
        <w:footnoteReference w:id="118"/>
      </w:r>
      <w:r>
        <w:t xml:space="preserve"> Dátumom podania sťažnosti všeobecne rozumieme dátum uvedený na pečiatke pošty podania. Zároveň toto podanie musí sťažovateľ adresovať Súdu a špecifikovať aspoň stručne predmet jeho sťažnosti.</w:t>
      </w:r>
      <w:r>
        <w:rPr>
          <w:rStyle w:val="Odkaznapoznmkupodiarou"/>
        </w:rPr>
        <w:footnoteReference w:id="119"/>
      </w:r>
      <w:r>
        <w:t xml:space="preserve"> </w:t>
      </w:r>
    </w:p>
    <w:p w:rsidR="00DC1275" w:rsidRDefault="00DC1275" w:rsidP="00DC1275">
      <w:pPr>
        <w:ind w:firstLine="708"/>
      </w:pPr>
      <w:r>
        <w:t>V zásade môžeme povedať, že jej beh začína od okamihu prijatia konečného vnútroštátneho rozhodnutia. Ide teda o rozhodnutie prijaté ako posledné v rámci využitia všetkých účinných a dostupných právnych prostriedkov nápravy.</w:t>
      </w:r>
      <w:r>
        <w:rPr>
          <w:rStyle w:val="Odkaznapoznmkupodiarou"/>
        </w:rPr>
        <w:footnoteReference w:id="120"/>
      </w:r>
      <w:r>
        <w:t xml:space="preserve"> Tými rozumieme opravné prostriedky spôsobilé odstrániť zásahy do práv a slobôd sťažovateľa a zabezpečiť mu vyhliadky na úspech vo veci. Súd prehlási, že sťažnosť je neprijateľná v prípade, že sťažovateľ ešte nevyčerpal všetky vnútroštátne prostriedky nápravy. Po tom, ako chýbajúci prostriedok nápravy dodatočne vyčerpal, môže sťažovateľ opätovne využiť možnosť obrátiť sa na Súd v šesťmesačnej lehote.</w:t>
      </w:r>
      <w:r>
        <w:rPr>
          <w:rStyle w:val="Odkaznapoznmkupodiarou"/>
        </w:rPr>
        <w:footnoteReference w:id="121"/>
      </w:r>
      <w:r>
        <w:t xml:space="preserve"> </w:t>
      </w:r>
    </w:p>
    <w:p w:rsidR="00DC1275" w:rsidRDefault="00DC1275" w:rsidP="00DC1275">
      <w:pPr>
        <w:ind w:firstLine="708"/>
      </w:pPr>
      <w:r>
        <w:t xml:space="preserve">Ak nie sú k dispozícii žiadne účinné opravné prostriedky, lehota sa počíta od okamihu, kedy nastala udalosť, ktorá je predmetom konania pred Súdom. Ak by sťažovateľ využil niektorý opravný prostriedok a následne zistil, prípadne mohol zistiť, že jeho použitie je neefektívne, lehota plynie od okamihu zistenia tejto skutočnosti. Napriek tomu, že článok 35 ods. 1 Dohovoru stanoví počiatok behu šesťmesačnej lehoty ku dňu prijatia konečného vnútroštátneho rozhodnutia, nemusí byť tento deň skutočným začiatkom pre jej počítanie. Keďže najzásadnejšou úlohou Dohovoru je predovšetkým fungovať ako nástroj účinnej a praktickej ochrany ľudských práv a slobôd, Súd ho aplikuje bez nadbytočných administratívnych nárokov a formálnych prekážok. Preto berie ako počiatok pre beh lehoty deň, kedy sa sťažovateľ o konečnom rozhodnutí dozvedel, prípadne sa dozvedieť mal, na základe procesných pravidiel konkrétneho zmluvného štátu. </w:t>
      </w:r>
    </w:p>
    <w:p w:rsidR="00DC1275" w:rsidRDefault="00DC1275" w:rsidP="00DC1275">
      <w:pPr>
        <w:ind w:firstLine="708"/>
      </w:pPr>
      <w:r>
        <w:t xml:space="preserve">Ak rozhodnutie vyhlásil súdny či iný orgán na verejnom rokovaní, začína plynúť lehota pre podanie sťažnosti k Súdu odo dňa vynesenia takéhoto rozhodnutia. Keďže sa však </w:t>
      </w:r>
      <w:r>
        <w:lastRenderedPageBreak/>
        <w:t>rozhodnutie vyhlásené na verejnom zasadaní priamo na mieste neodôvodňuje a dôvody sa spisujú až dodatočne a následne spolu s rozhodnutím rozposielajú stranám, znovu vzniká priestor pre neformálny prístup Súdu. V tomto prípade sa posúva začiatok behu lehoty na moment doručenia rozhodnutia sťažovateľovi. Ak nadobúda rozhodnutie právnej moci okamihom jeho doručenia právnemu zástupcovi sťažovateľa, počína lehota bežať týmto okamihom bez ohľadu na skutočnosť či je zároveň doručované aj sťažovateľovi.</w:t>
      </w:r>
    </w:p>
    <w:p w:rsidR="00DC1275" w:rsidRDefault="00DC1275" w:rsidP="00DC1275">
      <w:pPr>
        <w:ind w:firstLine="708"/>
      </w:pPr>
      <w:r>
        <w:t>Trochu komplikovanejšia situácia môže nastať v súvislosti s určením začiatku behu šesťmesačnej lehoty na podanie sťažnosti voči novým zmluvným štátom Dohovoru. Súd nie je oprávnený</w:t>
      </w:r>
      <w:r w:rsidRPr="00B10E29">
        <w:t xml:space="preserve"> </w:t>
      </w:r>
      <w:r>
        <w:t xml:space="preserve">posudzovať sťažnosť z dôvodu nezlučiteľnosti </w:t>
      </w:r>
      <w:proofErr w:type="spellStart"/>
      <w:r w:rsidRPr="00B10E29">
        <w:rPr>
          <w:i/>
        </w:rPr>
        <w:t>ratione</w:t>
      </w:r>
      <w:proofErr w:type="spellEnd"/>
      <w:r w:rsidRPr="00B10E29">
        <w:rPr>
          <w:i/>
        </w:rPr>
        <w:t xml:space="preserve"> </w:t>
      </w:r>
      <w:proofErr w:type="spellStart"/>
      <w:r w:rsidRPr="00B10E29">
        <w:rPr>
          <w:i/>
        </w:rPr>
        <w:t>temporis</w:t>
      </w:r>
      <w:proofErr w:type="spellEnd"/>
      <w:r>
        <w:t>, ak došlo k vydaniu rozhodnutia, prípadne jeho doručeniu sťažovateľovi, ešte pred pristúpením zmluvného štátu k Dohovoru. Súd nie je oprávnený sťažnosť preskúmať ani v prípade, že by šesťmesačná lehota skončila až po vstupe Dohovoru do platnosti. Pokiaľ konečné rozhodnutie nadobudne právnu moc až po tom, ako signatársky štát pristúpil k Dohovoru, lehota začne plynúť od okamihu právnej moci tohto rozhodnutia. V prípade, že by proti opatreniu, ktorým sa sťažovateľ cíti byť poškodený na svojich právach zaručovaných Dohovorom, neexistoval žiaden účinný opravný prostriedok, plynie lehota na podanie sťažnosti od momentu, kedy bol sťažovateľ týmto opatrením dotknutý alebo odkedy sa o ňom dozvedel.</w:t>
      </w:r>
      <w:r>
        <w:rPr>
          <w:rStyle w:val="Odkaznapoznmkupodiarou"/>
        </w:rPr>
        <w:footnoteReference w:id="122"/>
      </w:r>
      <w:r>
        <w:t xml:space="preserve"> </w:t>
      </w:r>
    </w:p>
    <w:p w:rsidR="00DC1275" w:rsidRDefault="00DC1275" w:rsidP="00DC1275">
      <w:pPr>
        <w:ind w:firstLine="708"/>
      </w:pPr>
      <w:r>
        <w:t>Osobitným spôsobom Súd interpretuje beh šesťmesačnej lehoty vo vzťahu k pokračujúcej situácii porušovania práv (</w:t>
      </w:r>
      <w:proofErr w:type="spellStart"/>
      <w:r w:rsidRPr="001A58F6">
        <w:rPr>
          <w:i/>
        </w:rPr>
        <w:t>continuing</w:t>
      </w:r>
      <w:proofErr w:type="spellEnd"/>
      <w:r w:rsidRPr="001A58F6">
        <w:rPr>
          <w:i/>
        </w:rPr>
        <w:t xml:space="preserve"> </w:t>
      </w:r>
      <w:proofErr w:type="spellStart"/>
      <w:r w:rsidRPr="001A58F6">
        <w:rPr>
          <w:i/>
        </w:rPr>
        <w:t>situation</w:t>
      </w:r>
      <w:proofErr w:type="spellEnd"/>
      <w:r>
        <w:t>), kedy lehota počína bežať okamihom jej ukončenia. Príčinou pretrvávajúcej situácie môže byť napríklad priame uplatňovanie zákonnej normy, proti ktorému sťažovateľ nemá k dispozícii žiadne opravné prostriedky.</w:t>
      </w:r>
      <w:r>
        <w:rPr>
          <w:rStyle w:val="Odkaznapoznmkupodiarou"/>
        </w:rPr>
        <w:footnoteReference w:id="123"/>
      </w:r>
      <w:r>
        <w:t xml:space="preserve"> V prípade, že by zásahy do práv stále pretrvávali, lehota šiestich mesiacov sa nepoužije.</w:t>
      </w:r>
    </w:p>
    <w:p w:rsidR="00DC1275" w:rsidRDefault="00DC1275" w:rsidP="00DC1275">
      <w:pPr>
        <w:ind w:firstLine="708"/>
      </w:pPr>
      <w:r>
        <w:t>Ak by koniec lehoty pripadol na sviatok alebo deň pracovného pokoja, presúva sa jej koniec na najbližší pracovný deň. Sťažnosti podané telefonicky zohľadní Súd len vo výnimočných prípadoch, ak sťažovateľ za žiadnych okolností nemal možnosť obrátiť sa na Súd písomnou cestou a ak svoju telefonickú sťažnosť podal rýchlo a jasne.</w:t>
      </w:r>
    </w:p>
    <w:p w:rsidR="00DC1275" w:rsidRDefault="00DC1275" w:rsidP="00DC1275">
      <w:pPr>
        <w:ind w:firstLine="708"/>
      </w:pPr>
      <w:r>
        <w:t xml:space="preserve">Podávateľ musí dohliadnuť, aby svoju sťažnosť podal v stanovenej lehote. Nedbalosť či neznalosť nie sú relevantným argumentom pred Súdom, jedine že by bol schopný uviesť pádne dôvody na ospravedlnenie svojho omeškania. Niektorí sťažovatelia sa rozhodnú na Súd obrátiť až po tom, ako bola odmietnutá ich žiadosť o povolenie obnovy konania alebo podnety k podaniu sťažnosti pre porušenie zákona. Odmietnutie v týchto prípadoch nijako </w:t>
      </w:r>
      <w:r>
        <w:lastRenderedPageBreak/>
        <w:t>nevplýva na beh šesťmesačnej lehoty. Ak dôjde k povoleniu obnovy konania, treba počkať na koniec obnoveného súdneho konania a až následne sa obrátiť na Súd, po predchádzajúcom odmietnutí ústavnej sťažnosti.</w:t>
      </w:r>
      <w:r>
        <w:rPr>
          <w:rStyle w:val="Odkaznapoznmkupodiarou"/>
        </w:rPr>
        <w:footnoteReference w:id="124"/>
      </w:r>
    </w:p>
    <w:p w:rsidR="00DC1275" w:rsidRDefault="00DC1275" w:rsidP="00DC1275">
      <w:pPr>
        <w:ind w:firstLine="708"/>
      </w:pPr>
    </w:p>
    <w:p w:rsidR="00DC1275" w:rsidRPr="00E61AAD" w:rsidRDefault="00DC1275" w:rsidP="00DC1275">
      <w:pPr>
        <w:pStyle w:val="Nadpis3"/>
        <w:ind w:left="357" w:hanging="357"/>
      </w:pPr>
      <w:bookmarkStart w:id="52" w:name="_Toc288653467"/>
      <w:bookmarkStart w:id="53" w:name="_Toc289299943"/>
      <w:r>
        <w:t>Z</w:t>
      </w:r>
      <w:r w:rsidRPr="008D7A59">
        <w:t>ávažn</w:t>
      </w:r>
      <w:r>
        <w:t>á</w:t>
      </w:r>
      <w:r w:rsidRPr="008D7A59">
        <w:t xml:space="preserve"> ujm</w:t>
      </w:r>
      <w:bookmarkEnd w:id="52"/>
      <w:r>
        <w:t>a</w:t>
      </w:r>
      <w:bookmarkEnd w:id="53"/>
    </w:p>
    <w:p w:rsidR="00DC1275" w:rsidRDefault="00DC1275" w:rsidP="00DC1275">
      <w:pPr>
        <w:ind w:firstLine="708"/>
      </w:pPr>
      <w:r w:rsidRPr="008212CD">
        <w:t xml:space="preserve">Vstup Protokolu č. 14 k Dohovoru do účinnosti znamenal isté zmeny aj v kontexte podávania individuálnych sťažností k Súdu. Týkali sa predovšetkým zmeny článku 35 ods. 3 Dohovoru, kde k doterajším kritériám prípustnosti sťažností pribúda ďalšie, a to kritérium závažnej ujmy sťažovateľa. </w:t>
      </w:r>
      <w:r>
        <w:t>Definovanie nového kritéria vychádzalo z naliehavej potreby odbremeniť Súd od neustále sa stupňujúceho počtu sťažností, nutnosti vytvoriť ďalší nástroj, ktorý by pomohol zvýšiť jeho filtračnú činnosť a zabrániť tak kolapsu kontrolného mechanizmu Dohovoru. Ukazovalo sa zároveň nevyhnutným vybaviť Súd určitým stupňom flexibility, keďže interpretácia dovtedajších kritérií prípustnosti sa už stala konštantnou judikatúrou a bolo veľmi náročné ju meniť.</w:t>
      </w:r>
      <w:r>
        <w:rPr>
          <w:rStyle w:val="Odkaznapoznmkupodiarou"/>
        </w:rPr>
        <w:footnoteReference w:id="125"/>
      </w:r>
      <w:r>
        <w:t xml:space="preserve"> </w:t>
      </w:r>
    </w:p>
    <w:p w:rsidR="00DC1275" w:rsidRDefault="00DC1275" w:rsidP="00DC1275">
      <w:pPr>
        <w:ind w:firstLine="708"/>
      </w:pPr>
      <w:r>
        <w:t>Jeho prijatie pravdaže vyvolalo množstvo otázok a pochybností v Pléne Súdu i Parlamentnom zhromaždení. Kritické hlasy poukazovali hlavne na oslabenie princípu individuálnej sťažnosti a absenciu kritérií, na základe ktorých by bolo možné závažnú ujmu určiť. Konečným riešením bolo preto včlenenie bezpečnostných klauzúl a temporálnych ustanovení do finálneho znenia Protokolu č. 14, ktoré nakoniec umožnili jeho schválenie.</w:t>
      </w:r>
    </w:p>
    <w:p w:rsidR="00DC1275" w:rsidRDefault="00DC1275" w:rsidP="00DC1275">
      <w:pPr>
        <w:ind w:firstLine="708"/>
      </w:pPr>
      <w:r>
        <w:t>Nové kritérium zachováva princíp individuálnej sťažnosti, prízvukuje právny záujem jednotlivca a princíp rešpektovania ľudských práv. Posúdenie, či sťažovateľ utrpel závažnú ujmu, je ponechané na interpretácii Súdu v jeho budúcich rozsudkoch, založenej na objektívnom zhodnotení všetkých skutočností prípadu. Obsah tohto pojmu bude teda zadefinovaný podobným autonómnym spôsobom, ako je tomu u niektorých iných pojmov v Dohovore (poškodená osoba, nepodložená sťažnosť atď.).</w:t>
      </w:r>
      <w:r>
        <w:rPr>
          <w:rStyle w:val="Odkaznapoznmkupodiarou"/>
        </w:rPr>
        <w:footnoteReference w:id="126"/>
      </w:r>
      <w:r>
        <w:t xml:space="preserve"> </w:t>
      </w:r>
    </w:p>
    <w:p w:rsidR="00DC1275" w:rsidRDefault="00DC1275" w:rsidP="00DC1275">
      <w:pPr>
        <w:ind w:firstLine="708"/>
      </w:pPr>
      <w:r>
        <w:t>Spomínanými limitmi pre uplatňovanie rozsahu závažnej ujmy sú bezpečnostné klauzule začlenené do ustanovenia článku 35 Dohovoru. Prvá z nich prízvukuje, že Súd neprehlási za neprijateľnú sťažnosť ani v takom prípade, ak by zistil, že sťažovateľ závažnú ujmu neutrpel. Prejavom princípu rešpektovania ľudských práv v tomto smere je záruka, že Súd posúdi a </w:t>
      </w:r>
      <w:proofErr w:type="spellStart"/>
      <w:r>
        <w:t>prejedná</w:t>
      </w:r>
      <w:proofErr w:type="spellEnd"/>
      <w:r>
        <w:t xml:space="preserve"> konkrétny prípad. Druhá zabezpečovacia klauzula vychádza z princípu </w:t>
      </w:r>
      <w:r>
        <w:lastRenderedPageBreak/>
        <w:t xml:space="preserve">subsidiarity. Stanovuje, že Súd nemôže vyhlásiť sťažnosť za neprijateľnú, ak aj sťažovateľ nebol zasiahnutý závažnou ujmou a hoci rešpektovanie ľudských práv nevyžaduje, aby Súd prípad posúdil, avšak doteraz nedošlo k posúdeniu sťažnosti pred vnútroštátnym súdom. Táto podmienka je zárukou povinného </w:t>
      </w:r>
      <w:proofErr w:type="spellStart"/>
      <w:r>
        <w:t>prejednania</w:t>
      </w:r>
      <w:proofErr w:type="spellEnd"/>
      <w:r>
        <w:t xml:space="preserve"> každej sťažnosti na porušenie ľudských práv pred národnými alebo medzinárodnými súdmi.</w:t>
      </w:r>
      <w:r>
        <w:rPr>
          <w:rStyle w:val="Odkaznapoznmkupodiarou"/>
        </w:rPr>
        <w:footnoteReference w:id="127"/>
      </w:r>
    </w:p>
    <w:p w:rsidR="00DC1275" w:rsidRDefault="00DC1275" w:rsidP="00DC1275">
      <w:pPr>
        <w:ind w:firstLine="708"/>
      </w:pPr>
      <w:r>
        <w:t>Najpragmatickejší účel tohto nového kritéria prijateľnosti spočíva v možnostiach Súdu odmietnuť triviálne sťažnosti, ktoré v podstate zdržiavajú Súd pri jeho činnosti. Na úkor takýchto sťažností vznikne priestor pre zaoberanie sa takými podaniami, ktoré riešia závažné otázky výkladu alebo použitia Dohovoru a jeho protokolov alebo otázok národného práva.</w:t>
      </w:r>
      <w:r>
        <w:rPr>
          <w:rStyle w:val="Odkaznapoznmkupodiarou"/>
        </w:rPr>
        <w:footnoteReference w:id="128"/>
      </w:r>
      <w:r>
        <w:t xml:space="preserve"> </w:t>
      </w:r>
    </w:p>
    <w:p w:rsidR="00DC1275" w:rsidRDefault="00DC1275" w:rsidP="00DC1275">
      <w:pPr>
        <w:ind w:firstLine="708"/>
      </w:pPr>
      <w:r>
        <w:t>Vzhľadom na skutočnosť, že pojem závažnej ujmy bude v konkrétnejšie vymedzený až v nadchádzajúcej rozhodovacej činnosti Súdu, upravuje článok 20 ods. 2 Protokolu č. 14 prechodne ustanovenie o aplikačnom pravidle. Zavedené filtračné kritérium sa neaplikuje pri skúmaní tých sťažností, ktoré boli uznané prijateľnými pred vstupom Protokolu č. 14 do platnosti. V období nasledovných dvoch rokov sú toto kritérium oprávnení používať len sudcovia v  komorách a vo veľkej komore Súdu. Až dodatočne vytvorená judikatúra bude návodom pre posudzovanie sťažností výbormi a samosudcami.</w:t>
      </w:r>
      <w:r>
        <w:rPr>
          <w:rStyle w:val="Odkaznapoznmkupodiarou"/>
        </w:rPr>
        <w:footnoteReference w:id="129"/>
      </w:r>
    </w:p>
    <w:p w:rsidR="00DC1275" w:rsidRDefault="00DC1275" w:rsidP="00DC1275">
      <w:pPr>
        <w:ind w:firstLine="708"/>
      </w:pPr>
      <w:r>
        <w:t xml:space="preserve">Súd aktívne začal s jej vytváraním už v prvý deň po vstupe 14. protokolu do platnosti v prípade </w:t>
      </w:r>
      <w:proofErr w:type="spellStart"/>
      <w:r w:rsidRPr="00804D02">
        <w:rPr>
          <w:b/>
          <w:i/>
        </w:rPr>
        <w:t>Ionescu</w:t>
      </w:r>
      <w:proofErr w:type="spellEnd"/>
      <w:r w:rsidRPr="00804D02">
        <w:rPr>
          <w:b/>
          <w:i/>
        </w:rPr>
        <w:t xml:space="preserve"> v. Rumunsko</w:t>
      </w:r>
      <w:r w:rsidRPr="00804D02">
        <w:rPr>
          <w:rStyle w:val="Odkaznapoznmkupodiarou"/>
        </w:rPr>
        <w:footnoteReference w:id="130"/>
      </w:r>
      <w:r w:rsidRPr="00804D02">
        <w:t>,</w:t>
      </w:r>
      <w:r>
        <w:t xml:space="preserve"> v ktorom podávateľ žiadal odškodnenie vo výške 90 EUR od autobusovej spoločnosti, ktorá podľa jeho názoru neposkytla cestujúcim také služby ako uvádzala v reklame. S odkazom na nové kritérium, sťažnosť tiahnucu sa už od roku 2004 prehlásil Súd za neprijateľnú. V celom prípade je najpodstatnejšia najmä tá časť, v ktorej Súd objasňuje, ako bude pracovať s podmienkami prijateľnosti. Na základe článku 35 ods. 3 písm. b) Dohovoru usudzuje, že boli naplnené všetky tri podmienky nového kritéria, kedy sa sťažnosťou nebude zaoberať: sťažovateľ neutrpel závažnú ujmu (sumu 90 EUR Súd označil ako skromnú stratu, ktorá nemala vážnejší dopad na osobný život podávateľa), dodržanie zaručených ľudských práv nepožaduje preskúmanie, a nakoniec, vnútroštátne súdy prípad už predtým riadne posúdili.</w:t>
      </w:r>
      <w:r w:rsidRPr="006C2306">
        <w:rPr>
          <w:rStyle w:val="Odkaznapoznmkupodiarou"/>
        </w:rPr>
        <w:footnoteReference w:id="131"/>
      </w:r>
    </w:p>
    <w:p w:rsidR="00DC1275" w:rsidRDefault="00DC1275" w:rsidP="00DC1275">
      <w:pPr>
        <w:ind w:firstLine="708"/>
      </w:pPr>
      <w:r>
        <w:lastRenderedPageBreak/>
        <w:t xml:space="preserve">Inšpiráciou pre rozvoj ďalších aspektov nového kritéria bolo i podanie </w:t>
      </w:r>
      <w:proofErr w:type="spellStart"/>
      <w:r w:rsidRPr="00921466">
        <w:rPr>
          <w:b/>
          <w:i/>
        </w:rPr>
        <w:t>Korolev</w:t>
      </w:r>
      <w:proofErr w:type="spellEnd"/>
      <w:r w:rsidRPr="00921466">
        <w:rPr>
          <w:b/>
          <w:i/>
        </w:rPr>
        <w:t xml:space="preserve"> v. Rusko</w:t>
      </w:r>
      <w:r w:rsidRPr="00921466">
        <w:rPr>
          <w:rStyle w:val="Odkaznapoznmkupodiarou"/>
        </w:rPr>
        <w:footnoteReference w:id="132"/>
      </w:r>
      <w:r w:rsidRPr="00921466">
        <w:t>.</w:t>
      </w:r>
      <w:r>
        <w:t xml:space="preserve"> Sťažovateľ sa domáhal porušenia práva na spravodlivý proces a práva na ochranu majetku, pretože ruské úrady mu nevyplatili čiastku 22,50 rubľa (asi 14 českých korún), ktorá mu náležala na základe rozhodnutia v súdnom konaní. Súd prehlásil, že s ohľadom na zásadu </w:t>
      </w:r>
      <w:proofErr w:type="spellStart"/>
      <w:r w:rsidRPr="007D42E2">
        <w:rPr>
          <w:i/>
        </w:rPr>
        <w:t>de</w:t>
      </w:r>
      <w:proofErr w:type="spellEnd"/>
      <w:r w:rsidRPr="007D42E2">
        <w:rPr>
          <w:i/>
        </w:rPr>
        <w:t xml:space="preserve"> </w:t>
      </w:r>
      <w:proofErr w:type="spellStart"/>
      <w:r w:rsidRPr="007D42E2">
        <w:rPr>
          <w:i/>
        </w:rPr>
        <w:t>minimis</w:t>
      </w:r>
      <w:proofErr w:type="spellEnd"/>
      <w:r w:rsidRPr="007D42E2">
        <w:rPr>
          <w:i/>
        </w:rPr>
        <w:t xml:space="preserve"> non </w:t>
      </w:r>
      <w:proofErr w:type="spellStart"/>
      <w:r w:rsidRPr="007D42E2">
        <w:rPr>
          <w:i/>
        </w:rPr>
        <w:t>curat</w:t>
      </w:r>
      <w:proofErr w:type="spellEnd"/>
      <w:r w:rsidRPr="007D42E2">
        <w:rPr>
          <w:i/>
        </w:rPr>
        <w:t xml:space="preserve"> </w:t>
      </w:r>
      <w:proofErr w:type="spellStart"/>
      <w:r w:rsidRPr="007D42E2">
        <w:rPr>
          <w:i/>
        </w:rPr>
        <w:t>praetor</w:t>
      </w:r>
      <w:proofErr w:type="spellEnd"/>
      <w:r>
        <w:t xml:space="preserve"> by sa medzinárodný orgán mal zaoberať až spormi určitej intenzity. Závažnosť ujmy Súd zohľadňuje ako zo subjektívnej i z objektívnej stránky. Drobná suma požadovaná sťažovateľom nemala nijaký dopad na kvalitu jeho života, preto Súd podanie odmietol. Zároveň však prehlásil, že je možné, aby posudzoval i sťažnosť takéhoto charakteru v prípade, že by mala na podávateľa širšie ľudsko-právne dopady.</w:t>
      </w:r>
      <w:r>
        <w:rPr>
          <w:rStyle w:val="Odkaznapoznmkupodiarou"/>
        </w:rPr>
        <w:footnoteReference w:id="133"/>
      </w:r>
    </w:p>
    <w:p w:rsidR="00DC1275" w:rsidRDefault="00DC1275" w:rsidP="00DC1275"/>
    <w:p w:rsidR="00DC1275" w:rsidRPr="006B7E7C" w:rsidRDefault="00DC1275" w:rsidP="00DC1275">
      <w:pPr>
        <w:pStyle w:val="Nadpis3"/>
        <w:ind w:left="357" w:hanging="357"/>
      </w:pPr>
      <w:bookmarkStart w:id="54" w:name="_Toc288653461"/>
      <w:bookmarkStart w:id="55" w:name="_Toc289299944"/>
      <w:r w:rsidRPr="006B7E7C">
        <w:t>Dôvody neprijateľnosti sťažnosti</w:t>
      </w:r>
      <w:bookmarkEnd w:id="54"/>
      <w:bookmarkEnd w:id="55"/>
    </w:p>
    <w:p w:rsidR="00DC1275" w:rsidRDefault="00DC1275" w:rsidP="00DC1275">
      <w:r>
        <w:tab/>
        <w:t>Dohovor taxatívne vymenúva dôvody neprijateľnosti sťažnosti v ustanovení článku 35 ods. 2, 3 a 4.</w:t>
      </w:r>
    </w:p>
    <w:p w:rsidR="00DC1275" w:rsidRDefault="00DC1275" w:rsidP="00DC1275">
      <w:pPr>
        <w:ind w:firstLine="708"/>
      </w:pPr>
      <w:r>
        <w:t>Každá sťažnosť musí obligatórne obsahovať údaje, na základe ktorých je možné identifikovať osobu podávateľa, tzn. meno a priezvisko sťažovateľa a v prípade, že sa jedná o právnickú osobu, jej názov. V opačnom prípade by sa jednalo o </w:t>
      </w:r>
      <w:r w:rsidRPr="00DA0F8F">
        <w:rPr>
          <w:i/>
        </w:rPr>
        <w:t>anonymnú sťažnosť</w:t>
      </w:r>
      <w:r>
        <w:t xml:space="preserve">, ktorú Súd zamietne ako neprijateľnú v zmysle článku 35 ods. 2 Dohovoru. Pravdaže, niekedy môže mať sťažovateľ záujem na nezverejnení svojho mena, pričom ho k tomu vedú závažné dôvody. Aj vtedy na formulári sťažnosti uvedie svoje meno a priezvisko, dátum narodenia, občianstvo a zamestnanie, avšak môže požiadať o utajenie týchto skutočností. Pritom náležite odôvodní, na základe akých skutočností takto činí. Ak Súd túto jeho žiadosť schváli, sťažovateľ bude na všetkých prístupných podkladoch a dokumentoch označovaný len iniciálami svojho mena. </w:t>
      </w:r>
    </w:p>
    <w:p w:rsidR="00DC1275" w:rsidRDefault="00DC1275" w:rsidP="00DC1275">
      <w:pPr>
        <w:ind w:firstLine="708"/>
      </w:pPr>
      <w:r>
        <w:t>Verejne prístupnými nie sú len rozhodnutia o prijateľnosti sťažností a rozsudky Súdu, ale i zborníky</w:t>
      </w:r>
      <w:r w:rsidRPr="009A0AE3">
        <w:t xml:space="preserve"> </w:t>
      </w:r>
      <w:r>
        <w:t>pravidelne vydávané Súdom obsahujúce zhrnutia konkrétnych prípadov, ktorými sa v rámci svojej činnosti zaoberal a tiež sťažnosti, ktoré boli zatiaľ len predané vládam signatárskych štátov, aby k nim poskytli svoje vyjadrenia. V tomto prípade je možné sťažovateľovo meno zverejniť v okamihu odovzdania sťažnosti vláde.</w:t>
      </w:r>
    </w:p>
    <w:p w:rsidR="00DC1275" w:rsidRDefault="00DC1275" w:rsidP="00DC1275">
      <w:pPr>
        <w:ind w:firstLine="708"/>
      </w:pPr>
      <w:r>
        <w:lastRenderedPageBreak/>
        <w:t xml:space="preserve">Súd takisto odmietne sťažnosť, ktorá je </w:t>
      </w:r>
      <w:r w:rsidRPr="00DA0F8F">
        <w:rPr>
          <w:i/>
        </w:rPr>
        <w:t>vo svojej podstate rovnaká</w:t>
      </w:r>
      <w:r>
        <w:t xml:space="preserve"> ako sťažnosť, ktorú už v minulosti posudzoval, ak sťažnosť nebola doplnená o žiadne nové</w:t>
      </w:r>
      <w:r w:rsidRPr="00D251F1">
        <w:t xml:space="preserve"> </w:t>
      </w:r>
      <w:r>
        <w:t>zásadné informácie. „V podstate rovnaká sťažnosť“ je charakteristická napríklad tým, že hoci sťažovateľ podal k Súdu nové podanie, toto obsahuje stále rovnaké námietky ako podanie predchádzajúce, bez toho, že by bolo doplnené novými relevantnými skutočnosťami, o ktorých predtým nevedel. Za „nové relevantné skutočnosti“ nie je možné považovať dodatočné právne argumenty sťažovateľa alebo jeho právneho zástupcu doplnené k pôvodnému podaniu.</w:t>
      </w:r>
      <w:r>
        <w:rPr>
          <w:rStyle w:val="Odkaznapoznmkupodiarou"/>
        </w:rPr>
        <w:footnoteReference w:id="134"/>
      </w:r>
      <w:r>
        <w:t xml:space="preserve"> Súd  uzná za rovnakú i sťažnosť, ktorá sa vyznačuje identitou strán, identitou predmetu, alebo príčiny sťažnosti. Rovnakou sťažnosťou bude i sťažnosť podaná poškodeným, ak ju predtým podal za neho niekto iný v jeho mene. Naopak, o rovnakú sťažnosť sa nejedná, ak sa viacero poškodených sťažuje na to isté konanie, či opomenutie zo strany štátnych orgánov. V prípade, že je sťažnosť založená na rovnakých skutkových okolnostiach vzťahujúcim sa k rovnakým osobám, líšiacim sa len v predmete, nie je možné ju pokladať za rovnakú.</w:t>
      </w:r>
      <w:r>
        <w:rPr>
          <w:rStyle w:val="Odkaznapoznmkupodiarou"/>
        </w:rPr>
        <w:footnoteReference w:id="135"/>
      </w:r>
    </w:p>
    <w:p w:rsidR="00DC1275" w:rsidRDefault="00DC1275" w:rsidP="00DC1275">
      <w:r>
        <w:tab/>
        <w:t xml:space="preserve">Skôr zriedkavo sa stane, že je na Súd doručená sťažnosť, ktorú už sťažovateľ predložil </w:t>
      </w:r>
      <w:r w:rsidRPr="00DA0F8F">
        <w:rPr>
          <w:i/>
        </w:rPr>
        <w:t>inej vyšetrovacej alebo zmierovacej inštancii</w:t>
      </w:r>
      <w:r>
        <w:t>, avšak na základe jej rozhodnutia nedosiahol úspech vo veci.</w:t>
      </w:r>
      <w:r w:rsidRPr="00B97496">
        <w:t xml:space="preserve"> </w:t>
      </w:r>
      <w:r>
        <w:t>V takýchto prípadoch Súd sťažnosť odmietne, ak usúdi, že sa skutočne jedná o sťažnosť identickú s tou, o ktorej predtým rozhodoval iný medzinárodný orgán.</w:t>
      </w:r>
      <w:r>
        <w:rPr>
          <w:rStyle w:val="Odkaznapoznmkupodiarou"/>
        </w:rPr>
        <w:footnoteReference w:id="136"/>
      </w:r>
      <w:r>
        <w:t xml:space="preserve"> </w:t>
      </w:r>
    </w:p>
    <w:p w:rsidR="00DC1275" w:rsidRDefault="00DC1275" w:rsidP="00DC1275">
      <w:pPr>
        <w:ind w:firstLine="708"/>
      </w:pPr>
      <w:r>
        <w:t>Musí sa pritom jednať o konanie, ktoré je podobné tomu, ktoré prebieha pred Súdom, nemôže teda ísť napríklad o konanie pred mimovládnou organizáciou. Keďže medzinárodných orgánov, ktoré sa zaoberajú dohľadom nad kontrolou dodržiavania základných ľudských práv a slobôd nie je tak veľa, do úvahy pripadá najmä konanie pred Výborom OSN pre ľudské práva.</w:t>
      </w:r>
      <w:r>
        <w:rPr>
          <w:rStyle w:val="Odkaznapoznmkupodiarou"/>
        </w:rPr>
        <w:footnoteReference w:id="137"/>
      </w:r>
      <w:r>
        <w:t xml:space="preserve"> Ak by sťažovateľ podal svoju sťažnosť k Výboru ľudských práv OSN v Ženeve, ktorý na ňu bude nahliadať v kontexte Medzinárodného paktu o občianskych a politických právach, nemôže už tú istú sťažnosť po vynesení rozsudku Výboru podať k Súdu. Avšak sťažnosť adresovaná k Európskemu výboru pre prevenciu proti mučeniu vôbec nie je prekážkou jej dokonca i súbežného preskúmania u Súdu.</w:t>
      </w:r>
    </w:p>
    <w:p w:rsidR="00DC1275" w:rsidRDefault="00DC1275" w:rsidP="00DC1275">
      <w:r>
        <w:tab/>
      </w:r>
      <w:r w:rsidRPr="00DA0F8F">
        <w:rPr>
          <w:i/>
        </w:rPr>
        <w:t>Nezlučiteľnosť sťažnosti</w:t>
      </w:r>
      <w:r>
        <w:t xml:space="preserve"> s ustanoveniami Dohovoru sa posudzuje zo štyroch zásadných hľadísk, a to:</w:t>
      </w:r>
    </w:p>
    <w:p w:rsidR="00DC1275" w:rsidRDefault="00DC1275" w:rsidP="00DC1275">
      <w:pPr>
        <w:pStyle w:val="Odsekzoznamu"/>
        <w:numPr>
          <w:ilvl w:val="0"/>
          <w:numId w:val="5"/>
        </w:numPr>
      </w:pPr>
      <w:r>
        <w:t>nezlučiteľnosť z dôvodu obmedzenia jurisdikcie štátu, voči ktorému je sťažnosť podaná (</w:t>
      </w:r>
      <w:proofErr w:type="spellStart"/>
      <w:r w:rsidRPr="00FE34AD">
        <w:rPr>
          <w:i/>
        </w:rPr>
        <w:t>ratione</w:t>
      </w:r>
      <w:proofErr w:type="spellEnd"/>
      <w:r w:rsidRPr="00FE34AD">
        <w:rPr>
          <w:i/>
        </w:rPr>
        <w:t xml:space="preserve"> </w:t>
      </w:r>
      <w:proofErr w:type="spellStart"/>
      <w:r w:rsidRPr="00FE34AD">
        <w:rPr>
          <w:i/>
        </w:rPr>
        <w:t>loci</w:t>
      </w:r>
      <w:proofErr w:type="spellEnd"/>
      <w:r>
        <w:t>),</w:t>
      </w:r>
    </w:p>
    <w:p w:rsidR="00DC1275" w:rsidRDefault="00DC1275" w:rsidP="00DC1275">
      <w:pPr>
        <w:pStyle w:val="Odsekzoznamu"/>
        <w:numPr>
          <w:ilvl w:val="0"/>
          <w:numId w:val="5"/>
        </w:numPr>
      </w:pPr>
      <w:r>
        <w:lastRenderedPageBreak/>
        <w:t>nezlučiteľnosť v dôsledku obmedzenia rozsahu práv a slobôd obsiahnutých v Dohovore (</w:t>
      </w:r>
      <w:proofErr w:type="spellStart"/>
      <w:r w:rsidRPr="00FE34AD">
        <w:rPr>
          <w:i/>
        </w:rPr>
        <w:t>ratione</w:t>
      </w:r>
      <w:proofErr w:type="spellEnd"/>
      <w:r w:rsidRPr="00FE34AD">
        <w:rPr>
          <w:i/>
        </w:rPr>
        <w:t xml:space="preserve"> </w:t>
      </w:r>
      <w:proofErr w:type="spellStart"/>
      <w:r w:rsidRPr="00FE34AD">
        <w:rPr>
          <w:i/>
        </w:rPr>
        <w:t>materiae</w:t>
      </w:r>
      <w:proofErr w:type="spellEnd"/>
      <w:r>
        <w:t>),</w:t>
      </w:r>
    </w:p>
    <w:p w:rsidR="00DC1275" w:rsidRDefault="00DC1275" w:rsidP="00DC1275">
      <w:pPr>
        <w:pStyle w:val="Odsekzoznamu"/>
        <w:numPr>
          <w:ilvl w:val="0"/>
          <w:numId w:val="5"/>
        </w:numPr>
      </w:pPr>
      <w:r>
        <w:t>nezlučiteľnosť vzhľadom na časové obmedzenie aplikácie Dohovoru (</w:t>
      </w:r>
      <w:proofErr w:type="spellStart"/>
      <w:r w:rsidRPr="00FE34AD">
        <w:rPr>
          <w:i/>
        </w:rPr>
        <w:t>ratione</w:t>
      </w:r>
      <w:proofErr w:type="spellEnd"/>
      <w:r w:rsidRPr="00FE34AD">
        <w:rPr>
          <w:i/>
        </w:rPr>
        <w:t xml:space="preserve"> </w:t>
      </w:r>
      <w:proofErr w:type="spellStart"/>
      <w:r w:rsidRPr="00FE34AD">
        <w:rPr>
          <w:i/>
        </w:rPr>
        <w:t>temporis</w:t>
      </w:r>
      <w:proofErr w:type="spellEnd"/>
      <w:r>
        <w:t>),</w:t>
      </w:r>
    </w:p>
    <w:p w:rsidR="00DC1275" w:rsidRDefault="00DC1275" w:rsidP="00DC1275">
      <w:pPr>
        <w:pStyle w:val="Odsekzoznamu"/>
        <w:numPr>
          <w:ilvl w:val="0"/>
          <w:numId w:val="5"/>
        </w:numPr>
      </w:pPr>
      <w:r>
        <w:t>nezlučiteľnosť v súvislosti v postavením sťažovateľa ako osoby poškodenej alebo štátu ako pasívne legitimovaného subjektu (</w:t>
      </w:r>
      <w:proofErr w:type="spellStart"/>
      <w:r w:rsidRPr="00FE34AD">
        <w:rPr>
          <w:i/>
        </w:rPr>
        <w:t>ratione</w:t>
      </w:r>
      <w:proofErr w:type="spellEnd"/>
      <w:r w:rsidRPr="00FE34AD">
        <w:rPr>
          <w:i/>
        </w:rPr>
        <w:t xml:space="preserve"> </w:t>
      </w:r>
      <w:proofErr w:type="spellStart"/>
      <w:r w:rsidRPr="00FE34AD">
        <w:rPr>
          <w:i/>
        </w:rPr>
        <w:t>personae</w:t>
      </w:r>
      <w:proofErr w:type="spellEnd"/>
      <w:r>
        <w:t>).</w:t>
      </w:r>
      <w:r>
        <w:rPr>
          <w:rStyle w:val="Odkaznapoznmkupodiarou"/>
        </w:rPr>
        <w:footnoteReference w:id="138"/>
      </w:r>
    </w:p>
    <w:p w:rsidR="00DC1275" w:rsidRDefault="00DC1275" w:rsidP="00DC1275">
      <w:pPr>
        <w:ind w:firstLine="708"/>
      </w:pPr>
      <w:r>
        <w:t xml:space="preserve">Dôvody pre odmietnutie sťažnosti na základe vyslovenia jej </w:t>
      </w:r>
      <w:r w:rsidRPr="00DA0F8F">
        <w:rPr>
          <w:i/>
        </w:rPr>
        <w:t>zjavnej neopodstatnenosti</w:t>
      </w:r>
      <w:r>
        <w:t xml:space="preserve"> nastanú v prípade, že hoci Súd preskúmal všetky podklady vzťahujúce sa k sťažnosti, nenašiel žiadne porušenie ustanovení Dohovoru alebo jeho protokolov.</w:t>
      </w:r>
      <w:r>
        <w:rPr>
          <w:rStyle w:val="Odkaznapoznmkupodiarou"/>
        </w:rPr>
        <w:footnoteReference w:id="139"/>
      </w:r>
      <w:r>
        <w:t xml:space="preserve"> Môže sa jednať o situáciu, kedy sťažovateľ neuviedol žiadne dôkazy, ktorými by podoprel svoje tvrdenia uvádzané v sťažnosti, prípadne právne argumenty sťažovateľa sa javia ako neopodstatnené vzhľadom na to, že výkladu Dohovoru pripisujú odlišný význam, než ktorý objektívne má.</w:t>
      </w:r>
    </w:p>
    <w:p w:rsidR="00DC1275" w:rsidRDefault="00DC1275" w:rsidP="00DC1275">
      <w:pPr>
        <w:ind w:firstLine="708"/>
      </w:pPr>
      <w:r>
        <w:t xml:space="preserve">Judikatúra Súdu považuje za </w:t>
      </w:r>
      <w:r w:rsidRPr="002B457D">
        <w:rPr>
          <w:i/>
        </w:rPr>
        <w:t xml:space="preserve">zneužitie práva na podanie sťažnosti </w:t>
      </w:r>
      <w:r>
        <w:t>situácie, kedy sú pisatelia motivovaní výhradne politickými pohnútkami, propagandou, záujmom o publicitu, bez toho, aby mali na vyriešení veci skutočný záujem. Ako zneužitie práva na sťažnosť môže byť rovnako chápané určité vystupovanie sťažovateľa voči Súdu, napríklad neposkytnutie súčinnosti v prípade nutnosti doplnenia informácií, vysvetlení, či dokumentov, zavádzanie Súdu uvedením nepravdivých alebo skreslených údajov atď. Tiež ním môže byť používanie provokačných, osočujúcich výrazov v sťažnosti adresovaných Súdu, prípadne žalovanému; to sú však výnimočné prípady.</w:t>
      </w:r>
      <w:r>
        <w:rPr>
          <w:rStyle w:val="Odkaznapoznmkupodiarou"/>
        </w:rPr>
        <w:footnoteReference w:id="140"/>
      </w:r>
      <w:r>
        <w:t xml:space="preserve"> </w:t>
      </w:r>
    </w:p>
    <w:p w:rsidR="00DC1275" w:rsidRDefault="00DC1275" w:rsidP="00DC1275">
      <w:pPr>
        <w:ind w:firstLine="708"/>
      </w:pPr>
      <w:r>
        <w:t xml:space="preserve">V kauze </w:t>
      </w:r>
      <w:proofErr w:type="spellStart"/>
      <w:r w:rsidRPr="003067E1">
        <w:rPr>
          <w:b/>
          <w:i/>
        </w:rPr>
        <w:t>Bíro</w:t>
      </w:r>
      <w:proofErr w:type="spellEnd"/>
      <w:r w:rsidRPr="003067E1">
        <w:rPr>
          <w:b/>
          <w:i/>
        </w:rPr>
        <w:t xml:space="preserve"> v. Slovensko</w:t>
      </w:r>
      <w:r w:rsidRPr="00C9071C">
        <w:rPr>
          <w:rStyle w:val="Odkaznapoznmkupodiarou"/>
        </w:rPr>
        <w:footnoteReference w:id="141"/>
      </w:r>
      <w:r>
        <w:t xml:space="preserve"> Súd na základe článku 35 ods. 3 posúdil sťažnosť podávateľa ako </w:t>
      </w:r>
      <w:r w:rsidRPr="002B457D">
        <w:t>zneužívajúcu právo na podanie sťažnosti</w:t>
      </w:r>
      <w:r>
        <w:t xml:space="preserve"> vzhľadom na skutočnosť, že listy predložené sťažovateľom obsahovali neopodstatnené útoky a urážlivé vyhlásenia smerované voči bezúhonnosti sudcov, súdnych exekútorov, zástupcovi vlády a iným slovenským štátnym orgánom. Sťažovateľovi nebola za jeho výroky vyvodená na vnútroštátnej úrovni žiadna zodpovednosť, s výnimkou trestných stíhaní pre urážku sudcu. Pred Súdom s ľútosťou priznal neprimeraný charakter svojich obvinení a hájil sa, že jeho vyhlásenia boli poznačené frustráciou z priebehu konania a nie je ich podľa neho možné považovať za natoľko závažné, aby boli klasifikované ako zneužitie práva na podanie sťažnosti. Súd napriek tomu po zhodnotení všetkých okolností prípadu jeho sťažnosť zamietol.</w:t>
      </w:r>
      <w:r>
        <w:rPr>
          <w:rStyle w:val="Odkaznapoznmkupodiarou"/>
        </w:rPr>
        <w:footnoteReference w:id="142"/>
      </w:r>
    </w:p>
    <w:p w:rsidR="00DC1275" w:rsidRPr="00431728" w:rsidRDefault="00DC1275" w:rsidP="00DC1275">
      <w:pPr>
        <w:pStyle w:val="3podnadpis"/>
        <w:numPr>
          <w:ilvl w:val="0"/>
          <w:numId w:val="13"/>
        </w:numPr>
      </w:pPr>
      <w:bookmarkStart w:id="56" w:name="_Toc289299945"/>
      <w:r w:rsidRPr="00431728">
        <w:lastRenderedPageBreak/>
        <w:t>Zhrnutie</w:t>
      </w:r>
      <w:bookmarkEnd w:id="56"/>
    </w:p>
    <w:p w:rsidR="00DC1275" w:rsidRDefault="00DC1275" w:rsidP="00DC1275">
      <w:pPr>
        <w:ind w:firstLine="708"/>
      </w:pPr>
      <w:r>
        <w:t xml:space="preserve">Súd pristúpi k posudzovaniu sťažnosti v prípade, že spĺňa podmienky prijateľnosti stanovené v článkoch 34 a 35 Dohovoru. Podľa kritéria vyčerpania vnútroštátnych prostriedkov nápravy musí sťažovateľ v prvom rade využiť všetky dostupné a efektívne prostriedky ochrany svojich práv na národnej úrovni. Štát tak dostáva príležitosť napraviť situáciu predtým, než sa prípad môže riešiť pred medzinárodným orgánom. V prípade, že má sťažovateľ k ochrane svojich práv k dispozícii len jeden vnútroštátny prostriedok, je povinný ho vyčerpať až po najvyššiu možnú úroveň. Ak by pripadalo do úvahy prostriedkov niekoľko, postačí, ak využije tie z nich, ktoré sú k ochrane jeho práv účelné a adekvátne. Prípadné nevyužitie niektorého z prostriedkov musí sťažovateľ náležite odôvodniť. </w:t>
      </w:r>
    </w:p>
    <w:p w:rsidR="00DC1275" w:rsidRDefault="00DC1275" w:rsidP="00DC1275">
      <w:pPr>
        <w:ind w:firstLine="708"/>
      </w:pPr>
      <w:r>
        <w:t xml:space="preserve">Ďalšou podmienkou prijateľnosti je uskutočniť podanie v rámci lehoty šiestich mesiacov od prijatia posledného rozhodnutia vo veci na národnej úrovni (po vyčerpaní všetkých opravných prostriedkov). Súd nahliada na dodržiavanie tohto kritéria s istou flexibilitou, bez kladenia administratívnych nárokov a formálnych prekážok. Preto zohľadňuje i skutočnosť, kedy sa sťažovateľ o konečnom rozhodnutí dozvedel, prípadne dozvedieť mal. </w:t>
      </w:r>
    </w:p>
    <w:p w:rsidR="00DC1275" w:rsidRDefault="00DC1275" w:rsidP="00DC1275">
      <w:pPr>
        <w:ind w:firstLine="708"/>
      </w:pPr>
      <w:r>
        <w:t xml:space="preserve">Flexibilný prístup Súdu sa prejavuje taktiež pri posudzovaní najnovšieho z kritérií, závažnej ujmy. Vzhľadom na nedávne zavedenie tejto podmienky, interpretácia tohto pojmu je ponechaná na autonómnom výklade Súdu v jeho budúcich rozsudkoch. Očakáva sa však, že by malo odbremeniť Súd od množstva triviálnych sťažností a ponechať mu tak priestor pre riešenie zásadných problémov ochrany ľudských práv. </w:t>
      </w:r>
    </w:p>
    <w:p w:rsidR="00DC1275" w:rsidRDefault="00DC1275" w:rsidP="00DC1275">
      <w:pPr>
        <w:ind w:firstLine="708"/>
      </w:pPr>
      <w:r>
        <w:t>Okrem riadneho splnenia jednotlivých kritérií prijateľnosti je dôležité, aby sťažnosť nenapĺňala niektorý z dôvodov jej neprijateľnosti. Tými sú anonymita podania, zjavná neopodstatnenosť, zneužitie práva na podanie sťažnosti, nezlučiteľnosť s ustanoveniami Dohovoru, skutočnosť, že sťažnosť je v podstate rovnaká ako sťažnosť, ktorú Súd už v minulosti posudzoval, prípadne sa ňou už zaoberala iná medzinárodná alebo zmierovacia inštancia. V takýchto prípadoch Súd sťažnosť odmietne.</w:t>
      </w:r>
    </w:p>
    <w:p w:rsidR="00DC1275" w:rsidRPr="0011001B" w:rsidRDefault="00DC1275" w:rsidP="00DC1275">
      <w:pPr>
        <w:ind w:firstLine="708"/>
      </w:pPr>
    </w:p>
    <w:p w:rsidR="00DC1275" w:rsidRPr="00F22FBF" w:rsidRDefault="00DC1275" w:rsidP="00DC1275">
      <w:pPr>
        <w:pStyle w:val="Nadpis2"/>
        <w:ind w:left="357" w:hanging="357"/>
      </w:pPr>
      <w:bookmarkStart w:id="57" w:name="_Toc289299946"/>
      <w:r>
        <w:t>Rozsah kompetencií Súdu</w:t>
      </w:r>
      <w:bookmarkEnd w:id="57"/>
    </w:p>
    <w:p w:rsidR="00DC1275" w:rsidRPr="003575C7" w:rsidRDefault="00DC1275" w:rsidP="00DC1275">
      <w:pPr>
        <w:ind w:firstLine="708"/>
      </w:pPr>
      <w:r>
        <w:t xml:space="preserve">Súdu prislúcha hodnotiť otázky prípustnosti individuálnych sťažností v zmysle článku 35 ods. 3 Dohovoru. Oproti niektorým iným podmienkam prípustnosti, ktoré sú viac procesnej povahy, sa však otázky kompetencie v zásade dotýkajú vymedzenia hraníc jurisdikcie Súdu. Súd ich musí preskúmať z vlastného podnetu. Zahŕňajú otázky kto sú </w:t>
      </w:r>
      <w:r>
        <w:lastRenderedPageBreak/>
        <w:t>aktívne a pasívne legitimované subjekty k podaniu sťažnosti (</w:t>
      </w:r>
      <w:proofErr w:type="spellStart"/>
      <w:r w:rsidRPr="00AC0E07">
        <w:rPr>
          <w:i/>
        </w:rPr>
        <w:t>ratione</w:t>
      </w:r>
      <w:proofErr w:type="spellEnd"/>
      <w:r w:rsidRPr="00AC0E07">
        <w:rPr>
          <w:i/>
        </w:rPr>
        <w:t xml:space="preserve"> </w:t>
      </w:r>
      <w:proofErr w:type="spellStart"/>
      <w:r w:rsidRPr="00AC0E07">
        <w:rPr>
          <w:i/>
        </w:rPr>
        <w:t>personae</w:t>
      </w:r>
      <w:proofErr w:type="spellEnd"/>
      <w:r>
        <w:t>), čo môže byť predmetom sťažnosti (</w:t>
      </w:r>
      <w:proofErr w:type="spellStart"/>
      <w:r w:rsidRPr="00AC0E07">
        <w:rPr>
          <w:i/>
        </w:rPr>
        <w:t>ratione</w:t>
      </w:r>
      <w:proofErr w:type="spellEnd"/>
      <w:r w:rsidRPr="00AC0E07">
        <w:rPr>
          <w:i/>
        </w:rPr>
        <w:t xml:space="preserve"> </w:t>
      </w:r>
      <w:proofErr w:type="spellStart"/>
      <w:r w:rsidRPr="00AC0E07">
        <w:rPr>
          <w:i/>
        </w:rPr>
        <w:t>materiae</w:t>
      </w:r>
      <w:proofErr w:type="spellEnd"/>
      <w:r>
        <w:t>) a v akom čase a mieste mohlo dôjsť k uvádzanému porušeniu práva (</w:t>
      </w:r>
      <w:proofErr w:type="spellStart"/>
      <w:r w:rsidRPr="00AC0E07">
        <w:rPr>
          <w:i/>
        </w:rPr>
        <w:t>ratione</w:t>
      </w:r>
      <w:proofErr w:type="spellEnd"/>
      <w:r w:rsidRPr="00AC0E07">
        <w:rPr>
          <w:i/>
        </w:rPr>
        <w:t xml:space="preserve"> </w:t>
      </w:r>
      <w:proofErr w:type="spellStart"/>
      <w:r w:rsidRPr="00AC0E07">
        <w:rPr>
          <w:i/>
        </w:rPr>
        <w:t>temporis</w:t>
      </w:r>
      <w:proofErr w:type="spellEnd"/>
      <w:r>
        <w:t xml:space="preserve"> a </w:t>
      </w:r>
      <w:proofErr w:type="spellStart"/>
      <w:r w:rsidRPr="00AC0E07">
        <w:rPr>
          <w:i/>
        </w:rPr>
        <w:t>ratione</w:t>
      </w:r>
      <w:proofErr w:type="spellEnd"/>
      <w:r w:rsidRPr="00AC0E07">
        <w:rPr>
          <w:i/>
        </w:rPr>
        <w:t xml:space="preserve"> </w:t>
      </w:r>
      <w:proofErr w:type="spellStart"/>
      <w:r w:rsidRPr="00AC0E07">
        <w:rPr>
          <w:i/>
        </w:rPr>
        <w:t>loci</w:t>
      </w:r>
      <w:proofErr w:type="spellEnd"/>
      <w:r>
        <w:t>).</w:t>
      </w:r>
      <w:r>
        <w:rPr>
          <w:rStyle w:val="Odkaznapoznmkupodiarou"/>
        </w:rPr>
        <w:footnoteReference w:id="143"/>
      </w:r>
    </w:p>
    <w:p w:rsidR="00DC1275" w:rsidRDefault="00DC1275" w:rsidP="00DC1275">
      <w:pPr>
        <w:ind w:firstLine="708"/>
        <w:rPr>
          <w:highlight w:val="yellow"/>
        </w:rPr>
      </w:pPr>
    </w:p>
    <w:p w:rsidR="00DC1275" w:rsidRPr="00D2661B" w:rsidRDefault="00DC1275" w:rsidP="00DC1275">
      <w:pPr>
        <w:pStyle w:val="Nadpis3"/>
        <w:ind w:left="357" w:hanging="357"/>
      </w:pPr>
      <w:bookmarkStart w:id="58" w:name="_Toc288653463"/>
      <w:bookmarkStart w:id="59" w:name="_Toc289299947"/>
      <w:proofErr w:type="spellStart"/>
      <w:r w:rsidRPr="00D2661B">
        <w:t>Ratione</w:t>
      </w:r>
      <w:proofErr w:type="spellEnd"/>
      <w:r w:rsidRPr="00D2661B">
        <w:t xml:space="preserve"> </w:t>
      </w:r>
      <w:proofErr w:type="spellStart"/>
      <w:r w:rsidRPr="00D2661B">
        <w:t>loci</w:t>
      </w:r>
      <w:bookmarkEnd w:id="58"/>
      <w:bookmarkEnd w:id="59"/>
      <w:proofErr w:type="spellEnd"/>
    </w:p>
    <w:p w:rsidR="00DC1275" w:rsidRDefault="00DC1275" w:rsidP="00DC1275">
      <w:pPr>
        <w:ind w:firstLine="708"/>
      </w:pPr>
      <w:r>
        <w:t xml:space="preserve">Aby sťažnosť spĺňala kritérium </w:t>
      </w:r>
      <w:proofErr w:type="spellStart"/>
      <w:r w:rsidRPr="005560C8">
        <w:rPr>
          <w:i/>
        </w:rPr>
        <w:t>ratione</w:t>
      </w:r>
      <w:proofErr w:type="spellEnd"/>
      <w:r w:rsidRPr="005560C8">
        <w:rPr>
          <w:i/>
        </w:rPr>
        <w:t xml:space="preserve"> </w:t>
      </w:r>
      <w:proofErr w:type="spellStart"/>
      <w:r w:rsidRPr="005560C8">
        <w:rPr>
          <w:i/>
        </w:rPr>
        <w:t>loci</w:t>
      </w:r>
      <w:proofErr w:type="spellEnd"/>
      <w:r>
        <w:t>, je dôležité, aby tvrdený zásah do ľudských práv a slobôd zaručovaných Dohovorom a jeho dodatkovými protokolmi nastal v rámci jurisdikcie dotknutého štátu alebo na území, ktoré tento štát účinne kontroluje.</w:t>
      </w:r>
      <w:r>
        <w:rPr>
          <w:rStyle w:val="Odkaznapoznmkupodiarou"/>
        </w:rPr>
        <w:footnoteReference w:id="144"/>
      </w:r>
      <w:r>
        <w:t xml:space="preserve"> V prípade, že skutočnosti predstavujúce predmet sťažnosti nastali mimo územia zmluvného štátu alebo ak nie je možné vyvodiť žiadnu spojitosť medzi týmito udalosťami a štátnym orgánom pôsobiacim mimo jurisdikciu zmluvného štátu, má jeho vláda možnosť vzniesť námietku nezlučiteľnosti </w:t>
      </w:r>
      <w:proofErr w:type="spellStart"/>
      <w:r w:rsidRPr="00FB0403">
        <w:rPr>
          <w:i/>
        </w:rPr>
        <w:t>ratione</w:t>
      </w:r>
      <w:proofErr w:type="spellEnd"/>
      <w:r w:rsidRPr="00FB0403">
        <w:rPr>
          <w:i/>
        </w:rPr>
        <w:t xml:space="preserve"> </w:t>
      </w:r>
      <w:proofErr w:type="spellStart"/>
      <w:r w:rsidRPr="00FB0403">
        <w:rPr>
          <w:i/>
        </w:rPr>
        <w:t>loci</w:t>
      </w:r>
      <w:proofErr w:type="spellEnd"/>
      <w:r>
        <w:t>.</w:t>
      </w:r>
      <w:r>
        <w:rPr>
          <w:rStyle w:val="Odkaznapoznmkupodiarou"/>
        </w:rPr>
        <w:footnoteReference w:id="145"/>
      </w:r>
      <w:r>
        <w:t xml:space="preserve"> Túto Súd posúdi v zmysle článku 1 Dohovoru, podľa ktorého práva a slobody uvedené v Dohovore priznávajú zmluvné strany každému, kto podlieha ich právomoci. Príklady právomoci „neobmedzenej na vlastné územie“ žalovaného štátu nachádzame v početnej judikatúre Súdu. Jedná sa o situácie, kedy vydanie alebo vyhostenie osoby zmluvným štátom Dohovoru je spôsobilé ohroziť práva podľa článku 2 (právo na život), článku 3 (zákaz mučenia), zriedkavejšie podľa článku 5 (právo na slobodu a bezpečnosť) alebo článku 6 Dohovoru (právo na spravodlivé súdne konanie) a tým založiť zodpovednosť signatárskeho štátu Dohovoru za prevedené konanie. Súd však prízvukuje, že zodpovednosť tohto štátu počína konkrétnym jeho činom smerujúcim voči osobe nachádzajúcej sa na jeho území, a teda nepochybne v jeho jurisdikcii.</w:t>
      </w:r>
      <w:r>
        <w:rPr>
          <w:rStyle w:val="Odkaznapoznmkupodiarou"/>
        </w:rPr>
        <w:footnoteReference w:id="146"/>
      </w:r>
    </w:p>
    <w:p w:rsidR="00DC1275" w:rsidRDefault="00DC1275" w:rsidP="00DC1275">
      <w:pPr>
        <w:ind w:firstLine="708"/>
      </w:pPr>
      <w:r>
        <w:t xml:space="preserve">Téme územnej aplikácie Dohovoru sa Súd venoval i v prípade </w:t>
      </w:r>
      <w:r w:rsidRPr="00165551">
        <w:rPr>
          <w:b/>
          <w:i/>
        </w:rPr>
        <w:t>Drozd a </w:t>
      </w:r>
      <w:proofErr w:type="spellStart"/>
      <w:r w:rsidRPr="00165551">
        <w:rPr>
          <w:b/>
          <w:i/>
        </w:rPr>
        <w:t>Janoušek</w:t>
      </w:r>
      <w:proofErr w:type="spellEnd"/>
      <w:r w:rsidRPr="00165551">
        <w:rPr>
          <w:b/>
          <w:i/>
        </w:rPr>
        <w:t xml:space="preserve"> v. Francúzsko a</w:t>
      </w:r>
      <w:r>
        <w:rPr>
          <w:b/>
          <w:i/>
        </w:rPr>
        <w:t> </w:t>
      </w:r>
      <w:r w:rsidRPr="00165551">
        <w:rPr>
          <w:b/>
          <w:i/>
        </w:rPr>
        <w:t>Španielsko</w:t>
      </w:r>
      <w:r w:rsidRPr="00802B6A">
        <w:rPr>
          <w:rStyle w:val="Odkaznapoznmkupodiarou"/>
        </w:rPr>
        <w:footnoteReference w:id="147"/>
      </w:r>
      <w:r w:rsidRPr="00802B6A">
        <w:t>,</w:t>
      </w:r>
      <w:r>
        <w:t xml:space="preserve"> ktorý skúmal zákonnosť väznenia sťažovateľov vo Francúzsku podľa článku 5 ods. 1 Dohovoru. K odsúdeniu sťažovateľov došlo na území Andorry a na základe všeobecnej zvyklosti medzi Francúzskom a Andorrou boli väznení vo Francúzsku. Tvrdené porušenie Dohovoru v tomto prípade spočívalo v nerešpektovaní procesných záruk andorrským súdom v zmysle článku 6 ods. 1 Dohovoru.</w:t>
      </w:r>
      <w:r>
        <w:rPr>
          <w:rStyle w:val="Odkaznapoznmkupodiarou"/>
        </w:rPr>
        <w:footnoteReference w:id="148"/>
      </w:r>
      <w:r>
        <w:t xml:space="preserve"> Francúzska vláda namietala, že sťažovatelia pred podaním sťažnosti nevyčerpali všetky vnútroštátne opravné prostriedky. </w:t>
      </w:r>
      <w:r>
        <w:lastRenderedPageBreak/>
        <w:t>Sťažovatelia naopak argumentovali, že opravné prostriedky uvádzané francúzskou vládou neuplatnili z dôvodu, že ich nepovažovali za daných okolností za dostatočne efektívne. Komisia prípad posúdila a zhodnotila, že opravné prostriedky zmienené francúzskou vládou nemali za následok prepustenie zadržaných, ale skôr náhradu škody, prípadne potrestanie nezodpovedných úradníkov. Následne judikovala, že spomenuté opravné prostriedky nie je možné považovať v tomto prípade za efektívne a námietky francúzskej vlády zamietla ako neopodstatnené.</w:t>
      </w:r>
      <w:r>
        <w:rPr>
          <w:rStyle w:val="Odkaznapoznmkupodiarou"/>
        </w:rPr>
        <w:footnoteReference w:id="149"/>
      </w:r>
      <w:r>
        <w:t xml:space="preserve"> </w:t>
      </w:r>
    </w:p>
    <w:p w:rsidR="00DC1275" w:rsidRPr="006C21A6" w:rsidRDefault="00DC1275" w:rsidP="00DC1275">
      <w:pPr>
        <w:ind w:firstLine="708"/>
      </w:pPr>
      <w:r>
        <w:t xml:space="preserve">Kauza </w:t>
      </w:r>
      <w:proofErr w:type="spellStart"/>
      <w:r w:rsidRPr="00055D0D">
        <w:rPr>
          <w:b/>
          <w:i/>
        </w:rPr>
        <w:t>Loizidou</w:t>
      </w:r>
      <w:proofErr w:type="spellEnd"/>
      <w:r w:rsidRPr="00055D0D">
        <w:rPr>
          <w:b/>
          <w:i/>
        </w:rPr>
        <w:t xml:space="preserve"> v. Turecko</w:t>
      </w:r>
      <w:r w:rsidRPr="00802B6A">
        <w:rPr>
          <w:rStyle w:val="Odkaznapoznmkupodiarou"/>
        </w:rPr>
        <w:footnoteReference w:id="150"/>
      </w:r>
      <w:r w:rsidRPr="00802B6A">
        <w:t xml:space="preserve"> </w:t>
      </w:r>
      <w:r>
        <w:t xml:space="preserve">rozšírila judikatúru Súdu o ďalšie stanovisko. V tejto súvislosti prehlásil, že zodpovednosť zmluvného štátu Dohovoru je možné uznať, ak v rámci vojenskej akcie (zákonnej alebo nezákonnej) prevádza výkonnú kontrolu oblasti mimo svojho suverénneho územia. Súd konštatoval, že po zohľadnení veľkého počtu vojenských jednotiek aktívne vykonávajúcich svoju činnosť na severnom Cypre je zrejmé, že turecká armáda vykonávala „účinnú celkovú kontrolu nad časťou ostrova“. Na základe týchto skutočností je možné vyvodiť zodpovednosť Turecka za politiku a činnosť </w:t>
      </w:r>
      <w:proofErr w:type="spellStart"/>
      <w:r>
        <w:t>Severocyperskej</w:t>
      </w:r>
      <w:proofErr w:type="spellEnd"/>
      <w:r>
        <w:t xml:space="preserve"> tureckej republiky. Po zvážení všetkých okolností prípadu teda Súd prehlásil, že osoby dotknuté takouto </w:t>
      </w:r>
      <w:r w:rsidRPr="006C21A6">
        <w:t>politikou alebo činnosťou spadali pod právomoc Turecka v zmysle článku 1 Dohovoru.</w:t>
      </w:r>
      <w:r w:rsidRPr="006C21A6">
        <w:rPr>
          <w:rStyle w:val="Odkaznapoznmkupodiarou"/>
        </w:rPr>
        <w:footnoteReference w:id="151"/>
      </w:r>
    </w:p>
    <w:p w:rsidR="00DC1275" w:rsidRDefault="00DC1275" w:rsidP="00DC1275">
      <w:pPr>
        <w:ind w:firstLine="708"/>
      </w:pPr>
      <w:r w:rsidRPr="006C21A6">
        <w:t xml:space="preserve">Čo sa týka sťažností vzťahujúcich sa k závislým územiam, sťažnosť bude posúdená ako nezlučiteľná </w:t>
      </w:r>
      <w:proofErr w:type="spellStart"/>
      <w:r w:rsidRPr="00FB0403">
        <w:rPr>
          <w:i/>
        </w:rPr>
        <w:t>ratione</w:t>
      </w:r>
      <w:proofErr w:type="spellEnd"/>
      <w:r w:rsidRPr="00FB0403">
        <w:rPr>
          <w:i/>
        </w:rPr>
        <w:t xml:space="preserve"> </w:t>
      </w:r>
      <w:proofErr w:type="spellStart"/>
      <w:r w:rsidRPr="00FB0403">
        <w:rPr>
          <w:i/>
        </w:rPr>
        <w:t>loci</w:t>
      </w:r>
      <w:proofErr w:type="spellEnd"/>
      <w:r w:rsidRPr="006C21A6">
        <w:t xml:space="preserve"> v prípade, že zmluvný štát neučinil prehlásenie na základe článku 46 rozširujúce aplikáciu Dohovoru na takéto teritórium.</w:t>
      </w:r>
      <w:r w:rsidRPr="006C21A6">
        <w:rPr>
          <w:rStyle w:val="Odkaznapoznmkupodiarou"/>
        </w:rPr>
        <w:footnoteReference w:id="152"/>
      </w:r>
      <w:r w:rsidRPr="006C21A6">
        <w:t xml:space="preserve"> Súd ďalej uznáva také prípady exteritoriálneho výkonu právomoci štátu, ktoré súvisia s aktivitami diplomatických</w:t>
      </w:r>
      <w:r>
        <w:t xml:space="preserve"> alebo konzulárnych zástupcov v zahraničí, rovnako aj prípady, ktoré nastali na palube lietadiel či lodí registrovaných v zmluvnom štáte. V tejto súvislosti je exteritoriálny výkon právomoci štátu garantovaný priamo ustanoveniami medzinárodných zmlúv alebo medzinárodným obyčajovým právom.</w:t>
      </w:r>
      <w:r>
        <w:rPr>
          <w:rStyle w:val="Odkaznapoznmkupodiarou"/>
        </w:rPr>
        <w:footnoteReference w:id="153"/>
      </w:r>
    </w:p>
    <w:p w:rsidR="00DC1275" w:rsidRDefault="00DC1275" w:rsidP="00DC1275">
      <w:pPr>
        <w:ind w:firstLine="708"/>
      </w:pPr>
    </w:p>
    <w:p w:rsidR="00DC1275" w:rsidRPr="00D2661B" w:rsidRDefault="00DC1275" w:rsidP="00DC1275">
      <w:pPr>
        <w:pStyle w:val="Nadpis3"/>
        <w:ind w:left="357" w:hanging="357"/>
      </w:pPr>
      <w:bookmarkStart w:id="60" w:name="_Toc288653464"/>
      <w:bookmarkStart w:id="61" w:name="_Toc289299948"/>
      <w:proofErr w:type="spellStart"/>
      <w:r w:rsidRPr="00D2661B">
        <w:t>Ratione</w:t>
      </w:r>
      <w:proofErr w:type="spellEnd"/>
      <w:r w:rsidRPr="00D2661B">
        <w:t xml:space="preserve"> </w:t>
      </w:r>
      <w:proofErr w:type="spellStart"/>
      <w:r w:rsidRPr="00D2661B">
        <w:t>personae</w:t>
      </w:r>
      <w:bookmarkEnd w:id="60"/>
      <w:bookmarkEnd w:id="61"/>
      <w:proofErr w:type="spellEnd"/>
    </w:p>
    <w:p w:rsidR="00DC1275" w:rsidRDefault="00DC1275" w:rsidP="00DC1275">
      <w:pPr>
        <w:ind w:firstLine="708"/>
      </w:pPr>
      <w:r>
        <w:t xml:space="preserve">V súvislosti so </w:t>
      </w:r>
      <w:proofErr w:type="spellStart"/>
      <w:r>
        <w:t>zlučiteľnostou</w:t>
      </w:r>
      <w:proofErr w:type="spellEnd"/>
      <w:r>
        <w:t> </w:t>
      </w:r>
      <w:proofErr w:type="spellStart"/>
      <w:r w:rsidRPr="00F32872">
        <w:rPr>
          <w:i/>
        </w:rPr>
        <w:t>ratione</w:t>
      </w:r>
      <w:proofErr w:type="spellEnd"/>
      <w:r w:rsidRPr="00F32872">
        <w:rPr>
          <w:i/>
        </w:rPr>
        <w:t xml:space="preserve"> </w:t>
      </w:r>
      <w:proofErr w:type="spellStart"/>
      <w:r w:rsidRPr="00F32872">
        <w:rPr>
          <w:i/>
        </w:rPr>
        <w:t>personae</w:t>
      </w:r>
      <w:proofErr w:type="spellEnd"/>
      <w:r>
        <w:t xml:space="preserve"> sa sleduje, či tvrdené porušenie Dohovoru nastalo na strane zmluvného štátu, prípadne či mu je toto porušenie možné pričítať. </w:t>
      </w:r>
      <w:r>
        <w:lastRenderedPageBreak/>
        <w:t xml:space="preserve">Zároveň je za nezlučiteľné </w:t>
      </w:r>
      <w:proofErr w:type="spellStart"/>
      <w:r w:rsidRPr="007B2932">
        <w:rPr>
          <w:i/>
        </w:rPr>
        <w:t>ratione</w:t>
      </w:r>
      <w:proofErr w:type="spellEnd"/>
      <w:r w:rsidRPr="007B2932">
        <w:rPr>
          <w:i/>
        </w:rPr>
        <w:t xml:space="preserve"> </w:t>
      </w:r>
      <w:proofErr w:type="spellStart"/>
      <w:r w:rsidRPr="007B2932">
        <w:rPr>
          <w:i/>
        </w:rPr>
        <w:t>personae</w:t>
      </w:r>
      <w:proofErr w:type="spellEnd"/>
      <w:r>
        <w:t xml:space="preserve"> možné prehlásiť aj sťažnosti, ktoré spadajú do niektorej z nasledujúcich kategórií:</w:t>
      </w:r>
    </w:p>
    <w:p w:rsidR="00DC1275" w:rsidRDefault="00DC1275" w:rsidP="00DC1275">
      <w:pPr>
        <w:pStyle w:val="Odsekzoznamu"/>
        <w:numPr>
          <w:ilvl w:val="0"/>
          <w:numId w:val="1"/>
        </w:numPr>
      </w:pPr>
      <w:r>
        <w:t>sťažovateľovi nenáleží status jednotlivca, nevládnej organizácie, alebo skupiny osôb v zmysle článku 34 Dohovoru,</w:t>
      </w:r>
    </w:p>
    <w:p w:rsidR="00DC1275" w:rsidRDefault="00DC1275" w:rsidP="00DC1275">
      <w:pPr>
        <w:pStyle w:val="Odsekzoznamu"/>
        <w:numPr>
          <w:ilvl w:val="0"/>
          <w:numId w:val="1"/>
        </w:numPr>
      </w:pPr>
      <w:r>
        <w:t>sťažovateľ nie je schopný preukázať, že spĺňa podmienky pre priznanie statusu poškodenej osoby (obete) tvrdeného porušenia,</w:t>
      </w:r>
    </w:p>
    <w:p w:rsidR="00DC1275" w:rsidRDefault="00DC1275" w:rsidP="00DC1275">
      <w:pPr>
        <w:pStyle w:val="Odsekzoznamu"/>
        <w:numPr>
          <w:ilvl w:val="0"/>
          <w:numId w:val="1"/>
        </w:numPr>
      </w:pPr>
      <w:r>
        <w:t>sťažnosť smeruje proti jednotlivcovi,</w:t>
      </w:r>
    </w:p>
    <w:p w:rsidR="00DC1275" w:rsidRDefault="00DC1275" w:rsidP="00DC1275">
      <w:pPr>
        <w:pStyle w:val="Odsekzoznamu"/>
        <w:numPr>
          <w:ilvl w:val="0"/>
          <w:numId w:val="1"/>
        </w:numPr>
      </w:pPr>
      <w:r>
        <w:t>sťažnosť bola podaná proti štátu, ktorý doteraz nie je zmluvnou stranou Dohovoru,</w:t>
      </w:r>
    </w:p>
    <w:p w:rsidR="00DC1275" w:rsidRDefault="00DC1275" w:rsidP="00DC1275">
      <w:pPr>
        <w:pStyle w:val="Odsekzoznamu"/>
        <w:numPr>
          <w:ilvl w:val="0"/>
          <w:numId w:val="1"/>
        </w:numPr>
      </w:pPr>
      <w:r>
        <w:t>sťažnosť sa vzťahuje k Protokolu k Dohovoru, ktorý žalovaný štát neratifikoval.</w:t>
      </w:r>
    </w:p>
    <w:p w:rsidR="00DC1275" w:rsidRDefault="00DC1275" w:rsidP="00DC1275"/>
    <w:p w:rsidR="00DC1275" w:rsidRPr="00D2661B" w:rsidRDefault="00DC1275" w:rsidP="00DC1275">
      <w:pPr>
        <w:pStyle w:val="Nadpis3"/>
        <w:ind w:left="357" w:hanging="357"/>
      </w:pPr>
      <w:bookmarkStart w:id="62" w:name="_Toc288653465"/>
      <w:bookmarkStart w:id="63" w:name="_Toc289299949"/>
      <w:proofErr w:type="spellStart"/>
      <w:r w:rsidRPr="00D2661B">
        <w:t>Ratione</w:t>
      </w:r>
      <w:proofErr w:type="spellEnd"/>
      <w:r w:rsidRPr="00D2661B">
        <w:t xml:space="preserve"> </w:t>
      </w:r>
      <w:proofErr w:type="spellStart"/>
      <w:r w:rsidRPr="00D2661B">
        <w:t>temporis</w:t>
      </w:r>
      <w:bookmarkEnd w:id="62"/>
      <w:bookmarkEnd w:id="63"/>
      <w:proofErr w:type="spellEnd"/>
    </w:p>
    <w:p w:rsidR="00DC1275" w:rsidRDefault="00DC1275" w:rsidP="00DC1275">
      <w:pPr>
        <w:ind w:firstLine="708"/>
      </w:pPr>
      <w:r>
        <w:t xml:space="preserve">Na základe všeobecných princípov medzinárodného práva (princíp </w:t>
      </w:r>
      <w:proofErr w:type="spellStart"/>
      <w:r>
        <w:t>ne-retroaktivity</w:t>
      </w:r>
      <w:proofErr w:type="spellEnd"/>
      <w:r>
        <w:t xml:space="preserve"> medzinárodných zmlúv) môžeme dovodiť, že jednotlivé ustanovenia Dohovoru nie sú záväzné voči  tým aktom členského štátu alebo skutočnostiam, ktoré nastali predtým, než Dohovor začal platiť pre túto zmluvnú stranu.</w:t>
      </w:r>
      <w:r>
        <w:rPr>
          <w:rStyle w:val="Odkaznapoznmkupodiarou"/>
        </w:rPr>
        <w:footnoteReference w:id="154"/>
      </w:r>
      <w:r>
        <w:t xml:space="preserve"> Medzinárodné právo priznáva Dohovoru platnosť odo dňa 3. septembra 1953. Nie je stanovený žiaden časový horizont tejto platnosti, jedná sa teda o nástroj zjednaný na dobu neurčitú. Členským štátom nevyplýva povinnosť inkorporovať jeho ustanovenia do svojich vnútroštátnych právnych systémov.</w:t>
      </w:r>
      <w:r>
        <w:rPr>
          <w:rStyle w:val="Odkaznapoznmkupodiarou"/>
        </w:rPr>
        <w:footnoteReference w:id="155"/>
      </w:r>
      <w:r>
        <w:t xml:space="preserve"> </w:t>
      </w:r>
    </w:p>
    <w:p w:rsidR="00DC1275" w:rsidRDefault="00DC1275" w:rsidP="00DC1275">
      <w:pPr>
        <w:ind w:firstLine="708"/>
      </w:pPr>
      <w:r>
        <w:t xml:space="preserve">Štrasburská judikatúra sa venovala téme </w:t>
      </w:r>
      <w:proofErr w:type="spellStart"/>
      <w:r w:rsidRPr="00FB0403">
        <w:rPr>
          <w:i/>
        </w:rPr>
        <w:t>ratione</w:t>
      </w:r>
      <w:proofErr w:type="spellEnd"/>
      <w:r w:rsidRPr="00FB0403">
        <w:rPr>
          <w:i/>
        </w:rPr>
        <w:t xml:space="preserve"> </w:t>
      </w:r>
      <w:proofErr w:type="spellStart"/>
      <w:r>
        <w:rPr>
          <w:i/>
        </w:rPr>
        <w:t>temporis</w:t>
      </w:r>
      <w:proofErr w:type="spellEnd"/>
      <w:r>
        <w:t xml:space="preserve"> v kauze </w:t>
      </w:r>
      <w:proofErr w:type="spellStart"/>
      <w:r w:rsidRPr="002A0074">
        <w:rPr>
          <w:b/>
          <w:i/>
        </w:rPr>
        <w:t>Blečič</w:t>
      </w:r>
      <w:proofErr w:type="spellEnd"/>
      <w:r w:rsidRPr="002A0074">
        <w:rPr>
          <w:b/>
          <w:i/>
        </w:rPr>
        <w:t xml:space="preserve"> v. Chorvátsko</w:t>
      </w:r>
      <w:r w:rsidRPr="00FA4D14">
        <w:rPr>
          <w:rStyle w:val="Odkaznapoznmkupodiarou"/>
        </w:rPr>
        <w:footnoteReference w:id="156"/>
      </w:r>
      <w:r w:rsidRPr="00FA4D14">
        <w:t>,</w:t>
      </w:r>
      <w:r>
        <w:t xml:space="preserve"> kde konštatovala, že Dohovor neprikazuje zmluvným stranám, aby napravili ujmy, alebo vzniknuté škody spred obdobia ratifikácie. Časovo vymedzená jurisdikcia Súdu musí byť určená k presnému času tvrdeného porušenia Dohovoru. Navyše je potrebné zohľadniť skutočnosti i rozsah práv zaručovaných Dohovorom, ktorých nápravy sa sťažovateľ dovoláva. Vnútroštátne súdy nemusia aplikovať Dohovor retroaktívne na zásahy, ktoré nastali pred kritickým dátumom.</w:t>
      </w:r>
      <w:r>
        <w:rPr>
          <w:rStyle w:val="Odkaznapoznmkupodiarou"/>
        </w:rPr>
        <w:footnoteReference w:id="157"/>
      </w:r>
      <w:r>
        <w:t xml:space="preserve"> </w:t>
      </w:r>
      <w:r>
        <w:rPr>
          <w:rStyle w:val="Odkaznapoznmkupodiarou"/>
        </w:rPr>
        <w:footnoteReference w:id="158"/>
      </w:r>
      <w:r>
        <w:t xml:space="preserve"> </w:t>
      </w:r>
    </w:p>
    <w:p w:rsidR="00DC1275" w:rsidRDefault="00DC1275" w:rsidP="00DC1275">
      <w:pPr>
        <w:ind w:firstLine="708"/>
      </w:pPr>
      <w:r>
        <w:lastRenderedPageBreak/>
        <w:t xml:space="preserve">V rámci svojej rozhodovacej činnosti, konkrétne vo veci </w:t>
      </w:r>
      <w:proofErr w:type="spellStart"/>
      <w:r w:rsidRPr="00B339F7">
        <w:rPr>
          <w:b/>
          <w:i/>
        </w:rPr>
        <w:t>Yorgiadis</w:t>
      </w:r>
      <w:proofErr w:type="spellEnd"/>
      <w:r w:rsidRPr="00B339F7">
        <w:rPr>
          <w:b/>
          <w:i/>
        </w:rPr>
        <w:t xml:space="preserve"> v. Turecko</w:t>
      </w:r>
      <w:r w:rsidRPr="003E2E8C">
        <w:rPr>
          <w:rStyle w:val="Odkaznapoznmkupodiarou"/>
        </w:rPr>
        <w:footnoteReference w:id="159"/>
      </w:r>
      <w:r>
        <w:t xml:space="preserve">, Súd judikoval, že mu náleží jurisdikcia už od prvého prehlásenia zakladajúceho právo na individuálnu sťažnosť ku Komisii bez ohľadu na to, aké časové obdobie existuje medzi týmto prehlásením a uznaním jurisdikcie Súdu. Príslušnosť </w:t>
      </w:r>
      <w:proofErr w:type="spellStart"/>
      <w:r w:rsidRPr="00EA5FDA">
        <w:rPr>
          <w:i/>
        </w:rPr>
        <w:t>ratione</w:t>
      </w:r>
      <w:proofErr w:type="spellEnd"/>
      <w:r w:rsidRPr="00EA5FDA">
        <w:rPr>
          <w:i/>
        </w:rPr>
        <w:t xml:space="preserve"> </w:t>
      </w:r>
      <w:proofErr w:type="spellStart"/>
      <w:r w:rsidRPr="00EA5FDA">
        <w:rPr>
          <w:i/>
        </w:rPr>
        <w:t>temporis</w:t>
      </w:r>
      <w:proofErr w:type="spellEnd"/>
      <w:r>
        <w:t xml:space="preserve"> orgánov vytvorených Dohovorom sa rozširuje i na prípady pretrvávajúceho porušovania, ktoré nastalo pred vstupom Dohovoru do platnosti a po tomto dni stále pokračuje.</w:t>
      </w:r>
      <w:r>
        <w:rPr>
          <w:rStyle w:val="Odkaznapoznmkupodiarou"/>
        </w:rPr>
        <w:footnoteReference w:id="160"/>
      </w:r>
      <w:r>
        <w:t xml:space="preserve"> </w:t>
      </w:r>
    </w:p>
    <w:p w:rsidR="00DC1275" w:rsidRDefault="00DC1275" w:rsidP="00DC1275">
      <w:pPr>
        <w:ind w:firstLine="708"/>
      </w:pPr>
      <w:r>
        <w:t xml:space="preserve">Všeobecne je možné skonštatovať, že Súd rozdeľuje prejednávané prípady na také, pri ktorých zásah do práv nastal v dôsledku okamžitej skutočnosti a na tie, pri ktorých sa jedná o pokračujúce situácie. Pre prvú skupinu je typické, že hoci okamžitý zásah mal oneskorené účinky alebo po ňom bolo zahájené súdne konanie, rozhodujúcim pre Súd je práve zásah samotný. Ak k zásahu došlo pred ratifikáciou Dohovoru, nespadá prerokovanie prípadu do </w:t>
      </w:r>
      <w:proofErr w:type="spellStart"/>
      <w:r w:rsidRPr="00055C39">
        <w:rPr>
          <w:i/>
        </w:rPr>
        <w:t>ratione</w:t>
      </w:r>
      <w:proofErr w:type="spellEnd"/>
      <w:r w:rsidRPr="00055C39">
        <w:rPr>
          <w:i/>
        </w:rPr>
        <w:t xml:space="preserve"> </w:t>
      </w:r>
      <w:proofErr w:type="spellStart"/>
      <w:r w:rsidRPr="00055C39">
        <w:rPr>
          <w:i/>
        </w:rPr>
        <w:t>temporis</w:t>
      </w:r>
      <w:proofErr w:type="spellEnd"/>
      <w:r>
        <w:t xml:space="preserve"> Súdu, a teda Súd nie je v danej veci príslušný.</w:t>
      </w:r>
      <w:r>
        <w:rPr>
          <w:rStyle w:val="Odkaznapoznmkupodiarou"/>
        </w:rPr>
        <w:footnoteReference w:id="161"/>
      </w:r>
      <w:r>
        <w:t xml:space="preserve"> Tento názor vyjadril Súd vo veci </w:t>
      </w:r>
      <w:proofErr w:type="spellStart"/>
      <w:r w:rsidRPr="00726F6D">
        <w:rPr>
          <w:b/>
          <w:i/>
        </w:rPr>
        <w:t>Stam</w:t>
      </w:r>
      <w:r>
        <w:rPr>
          <w:b/>
          <w:i/>
        </w:rPr>
        <w:t>o</w:t>
      </w:r>
      <w:r w:rsidRPr="00726F6D">
        <w:rPr>
          <w:b/>
          <w:i/>
        </w:rPr>
        <w:t>ulakatos</w:t>
      </w:r>
      <w:proofErr w:type="spellEnd"/>
      <w:r w:rsidRPr="00726F6D">
        <w:rPr>
          <w:b/>
          <w:i/>
        </w:rPr>
        <w:t xml:space="preserve"> v. Grécko</w:t>
      </w:r>
      <w:r w:rsidRPr="003E2E8C">
        <w:rPr>
          <w:rStyle w:val="Odkaznapoznmkupodiarou"/>
        </w:rPr>
        <w:footnoteReference w:id="162"/>
      </w:r>
      <w:r>
        <w:t xml:space="preserve">, kedy odsúdenie sťažovateľa nastalo ešte pred vstupom Dohovoru do platnosti, napriek tomu, že konanie o opravných prostriedkoch sa skončilo neskôr. Na základe rozhodovacej činnosti Súdu môžeme dovodiť, že vymedzenie časovej kompetencie sa posudzuje podľa relevantných skutočností a rozsahu práva, ktorého porušenie sťažovateľ namieta. Súd pritom zohľadňuje konečné rozhodnutie, ktoré mohlo práva obmedziť či porušiť, a to napriek existencii opravných prostriedkov, ktoré umožnili trvanie zásahu. V prípade, že sa vzťahujú námietky podávateľa i na následné konania, Súd uzná svoju časovú kompetenciu. </w:t>
      </w:r>
    </w:p>
    <w:p w:rsidR="00DC1275" w:rsidRDefault="00DC1275" w:rsidP="00DC1275">
      <w:pPr>
        <w:ind w:firstLine="708"/>
      </w:pPr>
      <w:r>
        <w:t>Do druhej skupiny možných situácií náležia tie, ktoré majú pokračujúcu povahu. Ide o také porušenie práv, ktoré nastalo pred platnosťou Dohovoru, ale stále pokračuje i po tomto dátume. Súd potvrdil tento svoj názor vo viacerých prípadoch vzťahujúcich sa k zásahom do majetkových práv.</w:t>
      </w:r>
      <w:r>
        <w:rPr>
          <w:rStyle w:val="Odkaznapoznmkupodiarou"/>
        </w:rPr>
        <w:footnoteReference w:id="163"/>
      </w:r>
      <w:r>
        <w:t xml:space="preserve"> Existenciu pokračujúcej situácie Súd potvrdil i v prípade </w:t>
      </w:r>
      <w:r w:rsidRPr="00D2661B">
        <w:rPr>
          <w:b/>
          <w:i/>
        </w:rPr>
        <w:t>Cyprus v. Turecko</w:t>
      </w:r>
      <w:r w:rsidRPr="00A53A58">
        <w:rPr>
          <w:rStyle w:val="Odkaznapoznmkupodiarou"/>
        </w:rPr>
        <w:footnoteReference w:id="164"/>
      </w:r>
      <w:r>
        <w:t xml:space="preserve">, v ktorom vyhodnotil, že mu náleží kompetencia </w:t>
      </w:r>
      <w:proofErr w:type="spellStart"/>
      <w:r w:rsidRPr="00F8438A">
        <w:rPr>
          <w:i/>
        </w:rPr>
        <w:t>ratione</w:t>
      </w:r>
      <w:proofErr w:type="spellEnd"/>
      <w:r w:rsidRPr="00F8438A">
        <w:rPr>
          <w:i/>
        </w:rPr>
        <w:t xml:space="preserve"> </w:t>
      </w:r>
      <w:proofErr w:type="spellStart"/>
      <w:r w:rsidRPr="00F8438A">
        <w:rPr>
          <w:i/>
        </w:rPr>
        <w:t>temporis</w:t>
      </w:r>
      <w:proofErr w:type="spellEnd"/>
      <w:r>
        <w:t xml:space="preserve"> posúdiť námietky porušenia Dohovoru súvisiace so skutočnosťami, ktoré nastali po vstupe Dohovoru do platnosti pre dotknutý štát, pokiaľ je možné ich pokladať za pokračovanie pôvodného stavu. Ak by sa jednalo o námietku alebo otázku spravodlivosti konania, Súd je oprávnený </w:t>
      </w:r>
      <w:r>
        <w:lastRenderedPageBreak/>
        <w:t xml:space="preserve">zisťovať, či tu bola možnosť napraviť pochybenie pred </w:t>
      </w:r>
      <w:proofErr w:type="spellStart"/>
      <w:r>
        <w:t>prvoinštančným</w:t>
      </w:r>
      <w:proofErr w:type="spellEnd"/>
      <w:r>
        <w:t xml:space="preserve"> súdom v prípravnom konaní, ktoré sa viedlo pred dátumom vstupu Dohovoru do platnosti. Tiež môže zohľadniť procesné pozadie prípadu pred platnosťou Dohovoru.</w:t>
      </w:r>
    </w:p>
    <w:p w:rsidR="00DC1275" w:rsidRDefault="00DC1275" w:rsidP="00DC1275">
      <w:pPr>
        <w:rPr>
          <w:b/>
          <w:color w:val="FF0000"/>
        </w:rPr>
      </w:pPr>
    </w:p>
    <w:p w:rsidR="00DC1275" w:rsidRPr="00D2661B" w:rsidRDefault="00DC1275" w:rsidP="00DC1275">
      <w:pPr>
        <w:pStyle w:val="Nadpis3"/>
        <w:ind w:left="357" w:hanging="357"/>
      </w:pPr>
      <w:bookmarkStart w:id="64" w:name="_Toc288653466"/>
      <w:bookmarkStart w:id="65" w:name="_Toc289299950"/>
      <w:proofErr w:type="spellStart"/>
      <w:r w:rsidRPr="00D2661B">
        <w:t>Ratione</w:t>
      </w:r>
      <w:proofErr w:type="spellEnd"/>
      <w:r w:rsidRPr="00D2661B">
        <w:t xml:space="preserve"> </w:t>
      </w:r>
      <w:proofErr w:type="spellStart"/>
      <w:r w:rsidRPr="00D2661B">
        <w:t>materiae</w:t>
      </w:r>
      <w:bookmarkEnd w:id="64"/>
      <w:bookmarkEnd w:id="65"/>
      <w:proofErr w:type="spellEnd"/>
    </w:p>
    <w:p w:rsidR="00DC1275" w:rsidRDefault="00DC1275" w:rsidP="00DC1275">
      <w:pPr>
        <w:ind w:firstLine="708"/>
      </w:pPr>
      <w:proofErr w:type="spellStart"/>
      <w:r w:rsidRPr="00004032">
        <w:rPr>
          <w:i/>
        </w:rPr>
        <w:t>Ratione</w:t>
      </w:r>
      <w:proofErr w:type="spellEnd"/>
      <w:r w:rsidRPr="00004032">
        <w:rPr>
          <w:i/>
        </w:rPr>
        <w:t xml:space="preserve"> </w:t>
      </w:r>
      <w:proofErr w:type="spellStart"/>
      <w:r w:rsidRPr="00004032">
        <w:rPr>
          <w:i/>
        </w:rPr>
        <w:t>materiae</w:t>
      </w:r>
      <w:proofErr w:type="spellEnd"/>
      <w:r>
        <w:t xml:space="preserve"> vymedzuje okruh namietaných porušovaných práv a slobôd na tie, ktoré sú zaručované Dohovorom alebo niektorým z jeho dodatkových protokolov, ktorý rozširuje zoznam chránených práv. Podstatnou podmienkou je, aby žalovaný štát bol signatárom Dohovoru, prípadne konkrétneho dodatkového protokolu. Inak povedané, za nezlučiteľnú </w:t>
      </w:r>
      <w:proofErr w:type="spellStart"/>
      <w:r w:rsidRPr="00496ED7">
        <w:rPr>
          <w:i/>
        </w:rPr>
        <w:t>ratione</w:t>
      </w:r>
      <w:proofErr w:type="spellEnd"/>
      <w:r w:rsidRPr="00496ED7">
        <w:rPr>
          <w:i/>
        </w:rPr>
        <w:t xml:space="preserve"> </w:t>
      </w:r>
      <w:proofErr w:type="spellStart"/>
      <w:r w:rsidRPr="00496ED7">
        <w:rPr>
          <w:i/>
        </w:rPr>
        <w:t>materiae</w:t>
      </w:r>
      <w:proofErr w:type="spellEnd"/>
      <w:r>
        <w:t xml:space="preserve"> bude považovaná sťažnosť, ktorá namieta porušenie iných práv a slobôd než tých, ktoré sú zaručované ustanoveniami Dohovoru či jeho protokolov. </w:t>
      </w:r>
    </w:p>
    <w:p w:rsidR="00DC1275" w:rsidRDefault="00DC1275" w:rsidP="00DC1275">
      <w:pPr>
        <w:ind w:firstLine="708"/>
      </w:pPr>
      <w:r>
        <w:t>Dohovor negarantuje napríklad právo na získanie miesta štátneho zamestnanca, na politický azyl a na vstup a pobyt na území cudzieho štátu, právo na udelenie štátneho občianstva, právo na výkon trestu odňatia slobody v určitej väznici alebo právo na podmienečné prepustenie, právo na diplomatickú ochranu, právo na obnovu konania.</w:t>
      </w:r>
      <w:r>
        <w:rPr>
          <w:rStyle w:val="Odkaznapoznmkupodiarou"/>
        </w:rPr>
        <w:footnoteReference w:id="165"/>
      </w:r>
      <w:r>
        <w:t xml:space="preserve"> Rovnako úpravu sociálnych a hospodárskych práv prenecháva až na drobné výnimky iným nástrojom.</w:t>
      </w:r>
      <w:r>
        <w:rPr>
          <w:rStyle w:val="Odkaznapoznmkupodiarou"/>
        </w:rPr>
        <w:footnoteReference w:id="166"/>
      </w:r>
      <w:r>
        <w:t xml:space="preserve"> Zo svojej úpravy tiež vynecháva práva skupinové a kolektívne, reguluje výsostne len práva individuálnej povahy. </w:t>
      </w:r>
    </w:p>
    <w:p w:rsidR="00DC1275" w:rsidRDefault="00DC1275" w:rsidP="00DC1275">
      <w:pPr>
        <w:autoSpaceDE w:val="0"/>
        <w:autoSpaceDN w:val="0"/>
        <w:adjustRightInd w:val="0"/>
        <w:ind w:firstLine="708"/>
        <w:rPr>
          <w:rFonts w:ascii="TimesNewRomanPSMT" w:hAnsi="TimesNewRomanPSMT" w:cs="TimesNewRomanPSMT"/>
          <w:color w:val="000000"/>
          <w:szCs w:val="24"/>
        </w:rPr>
      </w:pPr>
      <w:r>
        <w:rPr>
          <w:rFonts w:ascii="TimesNewRomanPSMT" w:hAnsi="TimesNewRomanPSMT" w:cs="TimesNewRomanPSMT"/>
          <w:color w:val="000000"/>
          <w:szCs w:val="24"/>
        </w:rPr>
        <w:t xml:space="preserve">Pre praktickú ilustráciu je možné zmieniť sťažnosť </w:t>
      </w:r>
      <w:r w:rsidRPr="00022995">
        <w:rPr>
          <w:rFonts w:ascii="TimesNewRomanPSMT" w:hAnsi="TimesNewRomanPSMT" w:cs="TimesNewRomanPSMT"/>
          <w:b/>
          <w:i/>
          <w:color w:val="000000"/>
          <w:szCs w:val="24"/>
        </w:rPr>
        <w:t>X. v. Nemecko</w:t>
      </w:r>
      <w:r w:rsidRPr="00022995">
        <w:rPr>
          <w:rStyle w:val="Odkaznapoznmkupodiarou"/>
          <w:rFonts w:ascii="TimesNewRomanPSMT" w:hAnsi="TimesNewRomanPSMT" w:cs="TimesNewRomanPSMT"/>
          <w:color w:val="000000"/>
          <w:szCs w:val="24"/>
        </w:rPr>
        <w:footnoteReference w:id="167"/>
      </w:r>
      <w:r>
        <w:rPr>
          <w:rFonts w:ascii="TimesNewRomanPSMT" w:hAnsi="TimesNewRomanPSMT" w:cs="TimesNewRomanPSMT"/>
          <w:color w:val="000000"/>
          <w:szCs w:val="24"/>
        </w:rPr>
        <w:t>, v ktorej sa sťažovateľ pred Súdom domáhal práva na vydanie vodičského oprávnenia. Vzhľadom na skutočnosť, že takéto právo nie je súčasťou okruhu práv zaručovaných Dohovorom ani jeho protokolmi, Súd sťažnosť odmietol ako nezlučiteľnú</w:t>
      </w:r>
      <w:r w:rsidRPr="00022995">
        <w:rPr>
          <w:rFonts w:ascii="TimesNewRomanPSMT" w:hAnsi="TimesNewRomanPSMT" w:cs="TimesNewRomanPSMT"/>
          <w:i/>
          <w:color w:val="000000"/>
          <w:szCs w:val="24"/>
        </w:rPr>
        <w:t xml:space="preserve"> </w:t>
      </w:r>
      <w:proofErr w:type="spellStart"/>
      <w:r w:rsidRPr="00022995">
        <w:rPr>
          <w:rFonts w:ascii="TimesNewRomanPSMT" w:hAnsi="TimesNewRomanPSMT" w:cs="TimesNewRomanPSMT"/>
          <w:i/>
          <w:color w:val="000000"/>
          <w:szCs w:val="24"/>
        </w:rPr>
        <w:t>ratione</w:t>
      </w:r>
      <w:proofErr w:type="spellEnd"/>
      <w:r w:rsidRPr="00022995">
        <w:rPr>
          <w:rFonts w:ascii="TimesNewRomanPSMT" w:hAnsi="TimesNewRomanPSMT" w:cs="TimesNewRomanPSMT"/>
          <w:i/>
          <w:color w:val="000000"/>
          <w:szCs w:val="24"/>
        </w:rPr>
        <w:t xml:space="preserve"> </w:t>
      </w:r>
      <w:proofErr w:type="spellStart"/>
      <w:r w:rsidRPr="00022995">
        <w:rPr>
          <w:rFonts w:ascii="TimesNewRomanPSMT" w:hAnsi="TimesNewRomanPSMT" w:cs="TimesNewRomanPSMT"/>
          <w:i/>
          <w:color w:val="000000"/>
          <w:szCs w:val="24"/>
        </w:rPr>
        <w:t>materiae</w:t>
      </w:r>
      <w:proofErr w:type="spellEnd"/>
      <w:r>
        <w:rPr>
          <w:rFonts w:ascii="TimesNewRomanPSMT" w:hAnsi="TimesNewRomanPSMT" w:cs="TimesNewRomanPSMT"/>
          <w:color w:val="000000"/>
          <w:szCs w:val="24"/>
        </w:rPr>
        <w:t>.</w:t>
      </w:r>
    </w:p>
    <w:p w:rsidR="00DC1275" w:rsidRDefault="00DC1275" w:rsidP="00DC1275">
      <w:pPr>
        <w:ind w:firstLine="708"/>
      </w:pPr>
      <w:r>
        <w:t xml:space="preserve">Avšak, skutočnosť, že konkrétne právo nie je zahrnuté v ustanoveniach Dohovoru nemusí nutne znamenať, že ochrana Dohovorom je v danej situácii úplne vylúčená. Napríklad, aj keď Dohovor a jeho protokoly nezaručujú právo na azyl, vyhostenie alebo </w:t>
      </w:r>
      <w:proofErr w:type="spellStart"/>
      <w:r>
        <w:t>extradícia</w:t>
      </w:r>
      <w:proofErr w:type="spellEnd"/>
      <w:r>
        <w:t xml:space="preserve"> jednotlivca do krajiny, kde by mu hrozilo neľudské či ponižujúce zaobchádzanie, by zakladali porušenie článku 3 Dohovoru</w:t>
      </w:r>
      <w:r w:rsidRPr="0031419B">
        <w:t xml:space="preserve"> </w:t>
      </w:r>
      <w:r>
        <w:t>páchané vysielajúcim štátom. Dohovor teda, aj keď právo na azyl explicitne neobsahuje, v tomto prípade poskytne dotknutému jednotlivcovi nepriamo určitú ochranu.</w:t>
      </w:r>
      <w:r>
        <w:rPr>
          <w:rStyle w:val="Odkaznapoznmkupodiarou"/>
        </w:rPr>
        <w:footnoteReference w:id="168"/>
      </w:r>
      <w:r>
        <w:t xml:space="preserve"> </w:t>
      </w:r>
    </w:p>
    <w:p w:rsidR="00DC1275" w:rsidRDefault="00DC1275" w:rsidP="00DC1275">
      <w:pPr>
        <w:ind w:firstLine="708"/>
      </w:pPr>
      <w:r>
        <w:lastRenderedPageBreak/>
        <w:t>Je dôležité podotknúť, že spektrum ľudských práv a slobôd, ktoré má štát povinnosť chrániť na základe svojej príslušnosti k Dohovoru, sa odvíja aj od toho, ktoré z protokolov k Dohovoru ratifikoval. Nie všetky štáty totiž podpísali úplný počet protokolov. Preto v takýchto prípadoch môže mať vecná pôsobnosť Dohovoru dočasne odlišný meritórny rozsah na území rôznych členských štátov. Od niektorých zaručovaných práv sa dokonca štáty môžu za špecificky stanovených podmienok odchýliť (tzv. derogačná klauzula).</w:t>
      </w:r>
      <w:r>
        <w:rPr>
          <w:rStyle w:val="Odkaznapoznmkupodiarou"/>
        </w:rPr>
        <w:footnoteReference w:id="169"/>
      </w:r>
      <w:r>
        <w:t> V žiadnom prípade však nepripadá do úvahy odstúpenie od záväzku v spojení s právom na život (okrem úmrtí spôsobených dovolenými vojenskými činmi), zákazu mučenia, neľudského alebo ponižujúceho zaobchádzania, zákazom otroctva a nevoľníctva a zrušenia trestu smrti.</w:t>
      </w:r>
      <w:r>
        <w:rPr>
          <w:rStyle w:val="Odkaznapoznmkupodiarou"/>
        </w:rPr>
        <w:footnoteReference w:id="170"/>
      </w:r>
    </w:p>
    <w:p w:rsidR="00DC1275" w:rsidRDefault="00DC1275" w:rsidP="00DC1275">
      <w:pPr>
        <w:ind w:firstLine="708"/>
        <w:rPr>
          <w:color w:val="FF0000"/>
        </w:rPr>
      </w:pPr>
    </w:p>
    <w:p w:rsidR="00DC1275" w:rsidRPr="00BC495E" w:rsidRDefault="00DC1275" w:rsidP="00DC1275">
      <w:pPr>
        <w:pStyle w:val="3podnadpis"/>
        <w:numPr>
          <w:ilvl w:val="0"/>
          <w:numId w:val="14"/>
        </w:numPr>
      </w:pPr>
      <w:bookmarkStart w:id="66" w:name="_Toc289299951"/>
      <w:r w:rsidRPr="00BC495E">
        <w:t>Zhrnutie</w:t>
      </w:r>
      <w:bookmarkEnd w:id="66"/>
    </w:p>
    <w:p w:rsidR="00DC1275" w:rsidRDefault="00DC1275" w:rsidP="00DC1275">
      <w:pPr>
        <w:ind w:firstLine="708"/>
      </w:pPr>
      <w:r>
        <w:t>Otázky rozsahu kompetencií Súdu rovnako náležia k podmienkam prijateľnosti individuálnej sťažnosti vzhľadom na to, že predstavujú vymedzenie hraníc jurisdikcie Súdu. Ak ktorákoľvek z kompetencií Súdu nie je splnená, Súd sa sťažnosťou nemôže zaoberať.</w:t>
      </w:r>
    </w:p>
    <w:p w:rsidR="00DC1275" w:rsidRPr="00AB3E8B" w:rsidRDefault="00DC1275" w:rsidP="00DC1275">
      <w:r>
        <w:t xml:space="preserve">V rámci kompetencie </w:t>
      </w:r>
      <w:proofErr w:type="spellStart"/>
      <w:r w:rsidRPr="005C286C">
        <w:rPr>
          <w:i/>
        </w:rPr>
        <w:t>ratione</w:t>
      </w:r>
      <w:proofErr w:type="spellEnd"/>
      <w:r w:rsidRPr="005C286C">
        <w:rPr>
          <w:i/>
        </w:rPr>
        <w:t xml:space="preserve"> </w:t>
      </w:r>
      <w:proofErr w:type="spellStart"/>
      <w:r w:rsidRPr="005C286C">
        <w:rPr>
          <w:i/>
        </w:rPr>
        <w:t>loci</w:t>
      </w:r>
      <w:proofErr w:type="spellEnd"/>
      <w:r>
        <w:t xml:space="preserve"> je podstatné, aby k tvrdenému zásahu do práva došlo na území spadajúceho do jurisdikcie zmluvného štátu Dohovoru, prípadne na území, ktoré tento štát účinne kontroluje. Aby bola naplnená podmienka </w:t>
      </w:r>
      <w:proofErr w:type="spellStart"/>
      <w:r w:rsidRPr="005C286C">
        <w:rPr>
          <w:i/>
        </w:rPr>
        <w:t>ratione</w:t>
      </w:r>
      <w:proofErr w:type="spellEnd"/>
      <w:r w:rsidRPr="005C286C">
        <w:rPr>
          <w:i/>
        </w:rPr>
        <w:t xml:space="preserve"> </w:t>
      </w:r>
      <w:proofErr w:type="spellStart"/>
      <w:r w:rsidRPr="005C286C">
        <w:rPr>
          <w:i/>
        </w:rPr>
        <w:t>personae</w:t>
      </w:r>
      <w:proofErr w:type="spellEnd"/>
      <w:r>
        <w:t xml:space="preserve">, sťažovateľ musí spadať do aktívne legitimovaných subjektov na základe ustanovení Dohovoru, pričom sťažnosť musí smerovať proti štátu, ktorý je jeho zmluvnou stranou. V prípade, že rozhodné skutočnosti uvedené v podaní nastali v čase účinnosti Dohovoru voči členskému štátu, je riadne splnená aj kompetencia </w:t>
      </w:r>
      <w:proofErr w:type="spellStart"/>
      <w:r w:rsidRPr="00EA468A">
        <w:rPr>
          <w:i/>
        </w:rPr>
        <w:t>ratione</w:t>
      </w:r>
      <w:proofErr w:type="spellEnd"/>
      <w:r w:rsidRPr="00EA468A">
        <w:rPr>
          <w:i/>
        </w:rPr>
        <w:t xml:space="preserve"> </w:t>
      </w:r>
      <w:proofErr w:type="spellStart"/>
      <w:r w:rsidRPr="00EA468A">
        <w:rPr>
          <w:i/>
        </w:rPr>
        <w:t>temporis</w:t>
      </w:r>
      <w:proofErr w:type="spellEnd"/>
      <w:r>
        <w:t xml:space="preserve">. A nakoniec je dôležité, aby práva a slobody, ktorých ochrany sa sťažovateľ domáha, zaručovali ustanovenia Dohovoru, prípadne jeho dodatkové protokoly, ktoré žalovaný štát ratifikoval. Vtedy bude naplnená i podmienka kompetencie </w:t>
      </w:r>
      <w:proofErr w:type="spellStart"/>
      <w:r w:rsidRPr="00EA468A">
        <w:rPr>
          <w:i/>
        </w:rPr>
        <w:t>ratione</w:t>
      </w:r>
      <w:proofErr w:type="spellEnd"/>
      <w:r w:rsidRPr="00EA468A">
        <w:rPr>
          <w:i/>
        </w:rPr>
        <w:t xml:space="preserve"> </w:t>
      </w:r>
      <w:proofErr w:type="spellStart"/>
      <w:r w:rsidRPr="00EA468A">
        <w:rPr>
          <w:i/>
        </w:rPr>
        <w:t>materiae</w:t>
      </w:r>
      <w:proofErr w:type="spellEnd"/>
      <w:r>
        <w:t>.</w:t>
      </w:r>
    </w:p>
    <w:p w:rsidR="00DC1275" w:rsidRPr="00AB3E8B" w:rsidRDefault="00DC1275" w:rsidP="00DC1275">
      <w:bookmarkStart w:id="67" w:name="_Toc289299952"/>
    </w:p>
    <w:p w:rsidR="00DC1275" w:rsidRDefault="00DC1275" w:rsidP="00DC1275"/>
    <w:p w:rsidR="00DC1275" w:rsidRDefault="00DC1275" w:rsidP="00DC1275"/>
    <w:p w:rsidR="00DC1275" w:rsidRPr="00AB3E8B" w:rsidRDefault="00DC1275" w:rsidP="00DC1275"/>
    <w:p w:rsidR="00DC1275" w:rsidRDefault="00DC1275" w:rsidP="00DC1275">
      <w:pPr>
        <w:pStyle w:val="Nadpis1"/>
      </w:pPr>
      <w:r>
        <w:lastRenderedPageBreak/>
        <w:t>Záver</w:t>
      </w:r>
      <w:bookmarkEnd w:id="67"/>
    </w:p>
    <w:p w:rsidR="00DC1275" w:rsidRDefault="00DC1275" w:rsidP="00DC1275">
      <w:pPr>
        <w:ind w:firstLine="708"/>
      </w:pPr>
      <w:r>
        <w:t>Systém ochrany ľudských práv v rámci Rady Európy zaisťovaný ustanoveniami Dohovoru a jeho protokolov je s určitosťou jedným z najlepšie fungujúcich a najvyspelejších systémov ochrany práv vôbec. Sťažovateľovi je daná možnosť dovolávať sa ochrany svojich zaručovaných práv a slobôd, do zásahu ktorých došlo zo strany niektorého zo signatárskych štátov. Deje sa tak prostredníctvom individuálnej sťažnosti podanej k Európskemu súdu pre ľudské práva.</w:t>
      </w:r>
    </w:p>
    <w:p w:rsidR="00DC1275" w:rsidRDefault="00DC1275" w:rsidP="00DC1275">
      <w:pPr>
        <w:ind w:firstLine="708"/>
      </w:pPr>
      <w:r>
        <w:t xml:space="preserve"> Sťažnosť, ktorou sa Súd bude zaoberať, musí spĺňať kritériá prípustnosti taxatívne stanovené článkami 34 a 35 Dohovoru. Tými sú vyčerpanie dostupných a účinných vnútroštátnych prostriedkov nápravy,</w:t>
      </w:r>
      <w:r w:rsidRPr="004F14A8">
        <w:t xml:space="preserve"> </w:t>
      </w:r>
      <w:r>
        <w:t>dodržanie lehoty šiestich mesiacov od prijatia posledného rozhodnutia vo veci, závažná ujma sťažovateľa a zlučiteľnosť s ustanoveniami Dohovoru (materiálna, osobná, časová a miestna).</w:t>
      </w:r>
    </w:p>
    <w:p w:rsidR="00DC1275" w:rsidRDefault="00DC1275" w:rsidP="00DC1275">
      <w:pPr>
        <w:ind w:firstLine="708"/>
      </w:pPr>
      <w:r w:rsidRPr="00547A51">
        <w:t>Pravidlo vyčerpania vnútroštátnych prostriedkov nápravy</w:t>
      </w:r>
      <w:r>
        <w:t xml:space="preserve"> zaisťuje, že jednotlivec dovolávajúci sa na Súde porušenia svojich práv a slobôd, vyčerpal na národnej úrovni všetky dostupné a účinné možnosti ochrany. Táto povinnosť však nie je absolútna, týka sa len využitia adekvátnych a dostupných prostriedkov, ktoré predstavujú možnosť dosiahnutia uspokojivého výsledku vo veci. Nevyužitie niektorého z dostupných prostriedkov musí podávateľ náležite odôvodniť. V niektorých situáciách, za tzv. zvláštnych okolností, môže však Súd pripustiť i podanie, podľa ktorého sťažovateľ nevyužil účinné adekvátne prostriedky ochrany. Jedná sa napríklad o situácie súvisiace s pokročilým vekom sťažovateľa, zlou finančnou situáciou, nesprávnou radou právneho poradcu atď.</w:t>
      </w:r>
    </w:p>
    <w:p w:rsidR="00DC1275" w:rsidRDefault="00DC1275" w:rsidP="00DC1275">
      <w:pPr>
        <w:ind w:firstLine="708"/>
      </w:pPr>
      <w:r>
        <w:t xml:space="preserve">Ďalším predpokladom k tomu, aby Súd sťažnosti venoval svoju pozornosť, je </w:t>
      </w:r>
      <w:r w:rsidRPr="00547A51">
        <w:t>dodržanie šesťmesačnej lehoty</w:t>
      </w:r>
      <w:r>
        <w:t xml:space="preserve"> na podanie sťažnosti, ktorá plynie od okamihu prijatia posledného rozhodnutia vo veci. Po jej márnom uplynutí prieskum sťažnosti už nebude možný. Táto lehota má dopriať sťažovateľovi dostatočne dlhý čas na prípravu všetkých podkladov k jeho prípadu, súčasne však zabezpečuje potrebnú mieru právnej istoty. Aj k posudzovaniu tohto kritéria pristupuje Súd veľmi flexibilne, snaží sa o čo najmenej formálny prístup bez kladenia prekážok administratívneho charakteru. Preto vždy nahliada na dodržanie lehoty vo svetle individuálnych podmienok a skutočností doložených sťažovateľom. Môže napríklad začiatok jej behu určiť ku dňu, kedy sa sťažovateľ o konečnom rozhodnutí dozvedel, prípadne sa dozvedieť mal, na základe procesných pravidiel konkrétneho zmluvného štátu.</w:t>
      </w:r>
    </w:p>
    <w:p w:rsidR="00DC1275" w:rsidRDefault="00DC1275" w:rsidP="00DC1275">
      <w:pPr>
        <w:ind w:firstLine="708"/>
      </w:pPr>
      <w:r>
        <w:lastRenderedPageBreak/>
        <w:t xml:space="preserve">Najnovším z kritérií prípustnosti zavedeným Protokolom č. 14 k Dohovoru je </w:t>
      </w:r>
      <w:r w:rsidRPr="008737DE">
        <w:t>existencia závažnej ujmy</w:t>
      </w:r>
      <w:r>
        <w:t xml:space="preserve"> sťažovateľa. Súd i v tejto oblasti disponuje veľkou mierou flexibility a autonómneho rozhodovania, pretože jednotlivé situácie a okolnosti ešte len čakajú na to, aby boli zadefinované v jeho rozhodnutiach. Závažnosť ujmy posudzuje z objektívnej i subjektívnej stránky, pričom sa zameriava na skúmanie toho, či spôsobená ujma má naozaj zásadný vplyv na život sťažovateľa. Limitmi pre uplatňovanie rozsahu závažnej ujmy sú bezpečnostné klauzule začlenené do ustanovenia článku 35 Dohovoru.</w:t>
      </w:r>
    </w:p>
    <w:p w:rsidR="00DC1275" w:rsidRDefault="00DC1275" w:rsidP="00DC1275">
      <w:pPr>
        <w:ind w:firstLine="708"/>
      </w:pPr>
      <w:r>
        <w:t xml:space="preserve">Nevyhnutnou podmienkou prípustnosti sťažnosti je v neposlednom rade i jej </w:t>
      </w:r>
      <w:r w:rsidRPr="00B70D9B">
        <w:t>zlučiteľnosť s ustanoveniami Dohovoru</w:t>
      </w:r>
      <w:r>
        <w:t xml:space="preserve">, ktorá môže mať charakter zlučiteľnosti miestnej, vecnej, osobnej či časovej. V prípade, že sťažnosť nespĺňa tieto kritériá, Súd nie je oprávnený o nej rozhodovať a sťažnosť preto odmietne. I v tejto oblasti sa Súd snaží byť čo najviac ústretovým k záujmom podávateľov. Môžeme to postrehnúť napríklad v rámci zlučiteľnosti osobnej, kedy Súd prisudzuje pojem obete nielen osobe priamo poškodenej, ale i osobe poškodenej nepriamo, či len potenciálne. </w:t>
      </w:r>
    </w:p>
    <w:p w:rsidR="00DC1275" w:rsidRDefault="00DC1275" w:rsidP="00DC1275">
      <w:pPr>
        <w:ind w:firstLine="708"/>
      </w:pPr>
      <w:r>
        <w:t>Na základe týchto skutočností môžeme konštatovať,</w:t>
      </w:r>
      <w:r w:rsidRPr="00B70D9B">
        <w:t xml:space="preserve"> </w:t>
      </w:r>
      <w:r>
        <w:t>že kontrolný mechanizmus Súdu sa so zavádzanými zmenami stáva čoraz viac prepracovaným, predvídavým a zvyšujúcim mieru svojej efektivity. Napriek veľkému množstvu prichádzajúcich sťažností, Súd sa snaží byť čo najviac ľudským, zachovávať si potrebnú mieru flexibility v rozhodovaní a nahliadať na jednotlivé podania s ohľadom na individuálne skutočnosti každého podania. V každom prípade, zdá sa, že je na dobrej ceste poskytovať stále kvalitnejšiu ochranu ľudských práv zaručovaných ustanoveniami Dohovoru a jeho dodatkovými protokolmi a udržiavať tak vysokú úroveň systému ľudsko-právnej ochrany v Európe.</w:t>
      </w:r>
    </w:p>
    <w:p w:rsidR="00DC1275" w:rsidRDefault="00DC1275" w:rsidP="00DC1275">
      <w:pPr>
        <w:spacing w:after="200" w:line="276" w:lineRule="auto"/>
        <w:jc w:val="left"/>
      </w:pPr>
      <w:r>
        <w:br w:type="page"/>
      </w:r>
    </w:p>
    <w:p w:rsidR="00DC1275" w:rsidRDefault="00DC1275" w:rsidP="00DC1275">
      <w:pPr>
        <w:pStyle w:val="Nadpis1"/>
        <w:rPr>
          <w:rFonts w:eastAsia="Calibri"/>
        </w:rPr>
      </w:pPr>
      <w:bookmarkStart w:id="68" w:name="_Toc289299953"/>
      <w:r>
        <w:rPr>
          <w:rFonts w:eastAsia="Calibri"/>
        </w:rPr>
        <w:lastRenderedPageBreak/>
        <w:t>Abstrakt</w:t>
      </w:r>
      <w:bookmarkEnd w:id="68"/>
    </w:p>
    <w:p w:rsidR="00DC1275" w:rsidRDefault="00DC1275" w:rsidP="00DC1275">
      <w:pPr>
        <w:ind w:firstLine="708"/>
      </w:pPr>
      <w:r>
        <w:t xml:space="preserve">Ochrana ľudských práv je nevyhnutnou súčasťou právneho poriadku každého demokratického štátu. V rámci európskeho regionálneho systému ochrany zabezpečuje ochranu ľudských práv predovšetkým Európsky súd pre ľudské práva (ďalej len „Súd“). Medzinárodným dokumentom, na základe ktorého je možné domáhať sa ochrany práv pred Súdom, je Európsky dohovor o ochrane ľudských práv a základných slobôd (ďalej len „Dohovor“) doplnený o dodatkové protokoly. Na základe článku 34 Dohovoru sa môžu fyzické, právnické osoby a skupiny jednotlivcov domáhať ochrany na medzinárodnej úrovni prostredníctvom podania individuálnej sťažnosti k Súdu. Sťažnosť je možné podať len proti štátu, ktorý ratifikoval Dohovor a jeho jednotlivé protokoly. </w:t>
      </w:r>
    </w:p>
    <w:p w:rsidR="00DC1275" w:rsidRDefault="00DC1275" w:rsidP="00DC1275">
      <w:pPr>
        <w:ind w:firstLine="708"/>
      </w:pPr>
      <w:r>
        <w:t xml:space="preserve">K tomu, aby sa Súd sťažnosťou zaoberal, musí spĺňať predpísané náležitosti a podmienky prijateľnosti vymedzené ustanoveniami Dohovoru a zároveň musí spadať do rozsahu kompetencií Súdu. K podmienkam prijateľnosti stanoveným článkami 34 a 35 Dohovoru patrí vyčerpanie právnych prostriedkov nápravy na vnútroštátnej úrovni, šesťmesačná lehota na podanie sťažnosti bežiaca odo dňa prijatia posledného rozhodnutia vo veci, existencia závažnej ujmy sťažovateľa a zlučiteľnosť sťažnosti s ustanoveniami Dohovoru. </w:t>
      </w:r>
    </w:p>
    <w:p w:rsidR="00DC1275" w:rsidRDefault="00DC1275" w:rsidP="00DC1275">
      <w:pPr>
        <w:ind w:firstLine="708"/>
      </w:pPr>
      <w:r>
        <w:t>Okrem riadneho splnenia jednotlivých podmienok prijateľnosti je dôležité, aby sťažnosť neobsahovala žiaden z dôvodov neprijateľnosti. Tými sú anonymita podania, zjavná neopodstatnenosť sťažnosti, zneužitie práva na podanie sťažnosti, nezlučiteľnosť s ustanoveniami Dohovoru, skutočnosť, že sťažnosť je v podstate rovnaká ako sťažnosť, ktorú Súd už v minulosti posudzoval, prípadne sa ňou už zaoberala iná medzinárodná alebo zmierovacia inštancia.</w:t>
      </w:r>
    </w:p>
    <w:p w:rsidR="00DC1275" w:rsidRDefault="00DC1275" w:rsidP="00DC1275">
      <w:pPr>
        <w:ind w:firstLine="708"/>
      </w:pPr>
      <w:r>
        <w:t xml:space="preserve">Súd pristupuje k hodnoteniu týchto kritérií pomerne flexibilne. Pri posudzovaní prípadu sa snaží objektívne zohľadniť individuálne okolnosti prípadu a spravodlivo rozhodnúť o tvrdenom porušení práv. Jeho rozhodnutie je konečné a nie je možné sa proti nemu ďalej odvolať. </w:t>
      </w:r>
    </w:p>
    <w:p w:rsidR="00DC1275" w:rsidRDefault="00DC1275" w:rsidP="00DC1275">
      <w:r>
        <w:tab/>
        <w:t>Mechanizmus ochrany práv realizovaný Súdom je stále zdokonaľovaný, aby čo najefektívnejšie zabezpečoval ochranu ľudských práv a pružne reagoval na meniace sa podmienky spoločnosti. V každom prípade, existencia ľudsko-právneho súdu na medzinárodnej úrovni je veľkým prínosom ochrany práv. Ak by neexistoval, práva poškodené na vnútroštátnej úrovni by sa nikdy nedočkali svojej nápravy.</w:t>
      </w:r>
    </w:p>
    <w:p w:rsidR="00DC1275" w:rsidRDefault="00DC1275" w:rsidP="00DC1275"/>
    <w:p w:rsidR="00DC1275" w:rsidRPr="003E3D78" w:rsidRDefault="00DC1275" w:rsidP="00DC1275">
      <w:pPr>
        <w:pStyle w:val="Nadpis1"/>
        <w:rPr>
          <w:lang w:val="en-US"/>
        </w:rPr>
      </w:pPr>
      <w:bookmarkStart w:id="69" w:name="_Toc289299954"/>
      <w:r w:rsidRPr="003E3D78">
        <w:rPr>
          <w:lang w:val="en-US"/>
        </w:rPr>
        <w:lastRenderedPageBreak/>
        <w:t>Abstract</w:t>
      </w:r>
      <w:bookmarkEnd w:id="69"/>
    </w:p>
    <w:p w:rsidR="00DC1275" w:rsidRDefault="00DC1275" w:rsidP="00DC1275">
      <w:pPr>
        <w:ind w:firstLine="708"/>
        <w:rPr>
          <w:lang w:val="en-US"/>
        </w:rPr>
      </w:pPr>
      <w:r>
        <w:rPr>
          <w:lang w:val="en-US"/>
        </w:rPr>
        <w:t xml:space="preserve">In democratic states the human rights protection is the essential part of each system of law. The European Court of Human Rights (hereafter “the Court”) controls the protection of human rights within the scope of European regional system of human rights protection. The European Convention for the Protection of Human Rights and Fundamental Freedoms (hereafter “the Convention”) is the important international agreement which enables claimants to defend their rights before the Court. On the basis of the Article 34 of the Convention natural persons, artificial persons and groups of individuals can solicit their protection at the international level by filing a petition to the Court. It is only possible to sue the state that has ratified the Convention and its Protocols.   </w:t>
      </w:r>
    </w:p>
    <w:p w:rsidR="00DC1275" w:rsidRDefault="00DC1275" w:rsidP="00DC1275">
      <w:pPr>
        <w:ind w:firstLine="708"/>
        <w:rPr>
          <w:lang w:val="en-US"/>
        </w:rPr>
      </w:pPr>
      <w:r>
        <w:rPr>
          <w:lang w:val="en-US"/>
        </w:rPr>
        <w:t xml:space="preserve">Providing the petition fulfils the specified criteria named by the Articles 34 and 35 the Court will decide the case. The petition has also to fall within the competences of the Court. The exhaustion of the national remedies, the six-month rule, existence of significant disadvantage and the incompatibility of the petition with the Convention belong to the main admissibility requirements of the petition. </w:t>
      </w:r>
    </w:p>
    <w:p w:rsidR="00DC1275" w:rsidRDefault="00DC1275" w:rsidP="00DC1275">
      <w:pPr>
        <w:ind w:firstLine="708"/>
        <w:rPr>
          <w:lang w:val="en-US"/>
        </w:rPr>
      </w:pPr>
      <w:r>
        <w:rPr>
          <w:lang w:val="en-US"/>
        </w:rPr>
        <w:t>Besides the fulfilling the admissibility requirements the petition must not contain any of the inadmissibility reasons. Those are anonymity of the petition, the petition substantially the same, abuse of the right of petition, manifestly ill-founded petition or the petition which had been decided by another international instance before.</w:t>
      </w:r>
    </w:p>
    <w:p w:rsidR="00DC1275" w:rsidRDefault="00DC1275" w:rsidP="00DC1275">
      <w:pPr>
        <w:ind w:firstLine="708"/>
        <w:rPr>
          <w:lang w:val="en-US"/>
        </w:rPr>
      </w:pPr>
      <w:r>
        <w:rPr>
          <w:lang w:val="en-US"/>
        </w:rPr>
        <w:t xml:space="preserve">The Court judges these criteria rather flexibly. By deciding the case it objectively tries to make provision for the individual circumstances of the case and to consider the alleged violation of human rights equitably. Its judgment is of definite nature and there is no way to enter an appeal against it. </w:t>
      </w:r>
    </w:p>
    <w:p w:rsidR="00DC1275" w:rsidRPr="00226091" w:rsidRDefault="00DC1275" w:rsidP="00DC1275">
      <w:pPr>
        <w:ind w:firstLine="708"/>
        <w:rPr>
          <w:vertAlign w:val="subscript"/>
        </w:rPr>
      </w:pPr>
      <w:r>
        <w:rPr>
          <w:lang w:val="en-US"/>
        </w:rPr>
        <w:t>The mechanism of human rights protection realized by the Court is still improving to provide the human rights protection in the most effective way and to respond to the changing conditions in the society. In any case, the existence of the Court is the great contribution to the human rights protection. If it did not exist the rights violated on the national level would never be retrieved.</w:t>
      </w:r>
    </w:p>
    <w:p w:rsidR="00DC1275" w:rsidRPr="00EA4802" w:rsidRDefault="00DC1275" w:rsidP="00DC1275">
      <w:bookmarkStart w:id="70" w:name="_Toc289299955"/>
    </w:p>
    <w:p w:rsidR="00DC1275" w:rsidRPr="00EA4802" w:rsidRDefault="00DC1275" w:rsidP="00DC1275"/>
    <w:p w:rsidR="00DC1275" w:rsidRDefault="00DC1275" w:rsidP="00DC1275">
      <w:pPr>
        <w:pStyle w:val="Nadpis1"/>
      </w:pPr>
      <w:r>
        <w:lastRenderedPageBreak/>
        <w:t xml:space="preserve">Kľúčové slová – </w:t>
      </w:r>
      <w:proofErr w:type="spellStart"/>
      <w:r>
        <w:t>Key</w:t>
      </w:r>
      <w:proofErr w:type="spellEnd"/>
      <w:r>
        <w:t xml:space="preserve"> </w:t>
      </w:r>
      <w:proofErr w:type="spellStart"/>
      <w:r>
        <w:t>words</w:t>
      </w:r>
      <w:bookmarkEnd w:id="70"/>
      <w:proofErr w:type="spellEnd"/>
    </w:p>
    <w:p w:rsidR="00DC1275" w:rsidRDefault="00DC1275" w:rsidP="00DC1275">
      <w:pPr>
        <w:ind w:firstLine="708"/>
      </w:pPr>
    </w:p>
    <w:p w:rsidR="00DC1275" w:rsidRDefault="00DC1275" w:rsidP="00DC1275">
      <w:r>
        <w:t>ľudské práva, ochrana ľudských práv, Európsky súd pre ľudské práva, rozsah kompetencií Európskeho súdu pre ľudské práva, Európsky dohovor o ochrane ľudských práv a základných slobôd, individuálna sťažnosť, podmienky prijateľnosti individuálnej sťažnosti, status osoby poškodenej, vyčerpanie vnútroštátnych prostriedkov nápravy, šesťmesačná lehota pre podanie sťažnosti, neprijateľnosť sťažnosti, závažná ujma</w:t>
      </w:r>
    </w:p>
    <w:p w:rsidR="00DC1275" w:rsidRDefault="00DC1275" w:rsidP="00DC1275"/>
    <w:p w:rsidR="00DC1275" w:rsidRPr="00B7532C" w:rsidRDefault="00DC1275" w:rsidP="00DC1275">
      <w:pPr>
        <w:rPr>
          <w:rFonts w:cs="Times New Roman"/>
          <w:szCs w:val="24"/>
          <w:lang w:val="en-US"/>
        </w:rPr>
      </w:pPr>
      <w:r w:rsidRPr="00B7532C">
        <w:rPr>
          <w:lang w:val="en-US"/>
        </w:rPr>
        <w:t xml:space="preserve">human rights, human rights protection, The European Court of Human Rights, competence scope of The European Court of Human Rights, The European Convention </w:t>
      </w:r>
      <w:r w:rsidRPr="00B7532C">
        <w:rPr>
          <w:rFonts w:cs="Times New Roman"/>
          <w:szCs w:val="24"/>
          <w:lang w:val="en-US"/>
        </w:rPr>
        <w:t>for the Protection of Human Rights and Fundamental Freedoms, individual petition, ad</w:t>
      </w:r>
      <w:r>
        <w:rPr>
          <w:rFonts w:cs="Times New Roman"/>
          <w:szCs w:val="24"/>
          <w:lang w:val="en-US"/>
        </w:rPr>
        <w:t>missi</w:t>
      </w:r>
      <w:r w:rsidRPr="00B7532C">
        <w:rPr>
          <w:rFonts w:cs="Times New Roman"/>
          <w:szCs w:val="24"/>
          <w:lang w:val="en-US"/>
        </w:rPr>
        <w:t>bility requirements to individual petition, victim status, exhaustion of domestic remedies, the six-month rule, inadmissibility of the petition, significant disadvantage</w:t>
      </w:r>
    </w:p>
    <w:p w:rsidR="00DC1275" w:rsidRDefault="00DC1275" w:rsidP="00DC1275">
      <w:pPr>
        <w:spacing w:after="200" w:line="276" w:lineRule="auto"/>
        <w:jc w:val="left"/>
      </w:pPr>
      <w:r>
        <w:br w:type="page"/>
      </w:r>
    </w:p>
    <w:p w:rsidR="00DC1275" w:rsidRDefault="00DC1275" w:rsidP="00DC1275">
      <w:pPr>
        <w:pStyle w:val="Nadpis1"/>
      </w:pPr>
      <w:bookmarkStart w:id="71" w:name="_Toc289299956"/>
      <w:r>
        <w:lastRenderedPageBreak/>
        <w:t>Zoznam použitej literatúry</w:t>
      </w:r>
      <w:bookmarkEnd w:id="71"/>
    </w:p>
    <w:p w:rsidR="00DC1275" w:rsidRDefault="00DC1275" w:rsidP="00DC1275">
      <w:pPr>
        <w:pStyle w:val="Nadpis2"/>
        <w:ind w:left="357" w:hanging="357"/>
      </w:pPr>
      <w:bookmarkStart w:id="72" w:name="_Toc289299957"/>
      <w:r>
        <w:t>České a slovenské monografie</w:t>
      </w:r>
      <w:bookmarkEnd w:id="72"/>
    </w:p>
    <w:p w:rsidR="00DC1275" w:rsidRPr="00943D47" w:rsidRDefault="00DC1275" w:rsidP="00DC1275">
      <w:pPr>
        <w:pStyle w:val="Odsekzoznamu"/>
        <w:numPr>
          <w:ilvl w:val="0"/>
          <w:numId w:val="15"/>
        </w:numPr>
        <w:ind w:left="426" w:hanging="426"/>
        <w:rPr>
          <w:szCs w:val="24"/>
        </w:rPr>
      </w:pPr>
      <w:r w:rsidRPr="00943D47">
        <w:rPr>
          <w:szCs w:val="24"/>
        </w:rPr>
        <w:t xml:space="preserve">CAMERON, </w:t>
      </w:r>
      <w:proofErr w:type="spellStart"/>
      <w:r w:rsidRPr="00943D47">
        <w:rPr>
          <w:szCs w:val="24"/>
        </w:rPr>
        <w:t>Iain</w:t>
      </w:r>
      <w:proofErr w:type="spellEnd"/>
      <w:r w:rsidRPr="00943D47">
        <w:rPr>
          <w:szCs w:val="24"/>
        </w:rPr>
        <w:t xml:space="preserve">. </w:t>
      </w:r>
      <w:r w:rsidRPr="00943D47">
        <w:rPr>
          <w:i/>
          <w:szCs w:val="24"/>
        </w:rPr>
        <w:t>Úvod do Európskeho dohovoru o ľudských právach</w:t>
      </w:r>
      <w:r w:rsidRPr="00943D47">
        <w:rPr>
          <w:szCs w:val="24"/>
        </w:rPr>
        <w:t>. 1. vydanie. Bratislava: VEDA, 2000, 156 s.</w:t>
      </w:r>
    </w:p>
    <w:p w:rsidR="00DC1275" w:rsidRPr="00813D3F" w:rsidRDefault="00DC1275" w:rsidP="00DC1275">
      <w:pPr>
        <w:pStyle w:val="Odsekzoznamu"/>
        <w:numPr>
          <w:ilvl w:val="0"/>
          <w:numId w:val="15"/>
        </w:numPr>
        <w:ind w:left="426" w:hanging="426"/>
        <w:rPr>
          <w:szCs w:val="24"/>
        </w:rPr>
      </w:pPr>
      <w:r w:rsidRPr="00BF58D0">
        <w:t xml:space="preserve">ČAPEK, </w:t>
      </w:r>
      <w:proofErr w:type="spellStart"/>
      <w:r w:rsidRPr="00BF58D0">
        <w:t>Jan</w:t>
      </w:r>
      <w:proofErr w:type="spellEnd"/>
      <w:r w:rsidRPr="00BF58D0">
        <w:t xml:space="preserve">. </w:t>
      </w:r>
      <w:proofErr w:type="spellStart"/>
      <w:r w:rsidRPr="00BF58D0">
        <w:rPr>
          <w:i/>
        </w:rPr>
        <w:t>Evropská</w:t>
      </w:r>
      <w:proofErr w:type="spellEnd"/>
      <w:r w:rsidRPr="00BF58D0">
        <w:rPr>
          <w:i/>
        </w:rPr>
        <w:t xml:space="preserve"> </w:t>
      </w:r>
      <w:proofErr w:type="spellStart"/>
      <w:r w:rsidRPr="00BF58D0">
        <w:rPr>
          <w:i/>
        </w:rPr>
        <w:t>úmluva</w:t>
      </w:r>
      <w:proofErr w:type="spellEnd"/>
      <w:r w:rsidRPr="00BF58D0">
        <w:rPr>
          <w:i/>
        </w:rPr>
        <w:t xml:space="preserve"> o </w:t>
      </w:r>
      <w:proofErr w:type="spellStart"/>
      <w:r w:rsidRPr="00BF58D0">
        <w:rPr>
          <w:i/>
        </w:rPr>
        <w:t>ochraně</w:t>
      </w:r>
      <w:proofErr w:type="spellEnd"/>
      <w:r w:rsidRPr="00BF58D0">
        <w:rPr>
          <w:i/>
        </w:rPr>
        <w:t xml:space="preserve"> </w:t>
      </w:r>
      <w:proofErr w:type="spellStart"/>
      <w:r w:rsidRPr="00BF58D0">
        <w:rPr>
          <w:i/>
        </w:rPr>
        <w:t>lidských</w:t>
      </w:r>
      <w:proofErr w:type="spellEnd"/>
      <w:r w:rsidRPr="00BF58D0">
        <w:rPr>
          <w:i/>
        </w:rPr>
        <w:t xml:space="preserve"> práv a </w:t>
      </w:r>
      <w:proofErr w:type="spellStart"/>
      <w:r w:rsidRPr="00BF58D0">
        <w:rPr>
          <w:i/>
        </w:rPr>
        <w:t>základních</w:t>
      </w:r>
      <w:proofErr w:type="spellEnd"/>
      <w:r w:rsidRPr="00BF58D0">
        <w:rPr>
          <w:i/>
        </w:rPr>
        <w:t xml:space="preserve"> </w:t>
      </w:r>
      <w:proofErr w:type="spellStart"/>
      <w:r w:rsidRPr="00BF58D0">
        <w:rPr>
          <w:i/>
        </w:rPr>
        <w:t>svobod</w:t>
      </w:r>
      <w:proofErr w:type="spellEnd"/>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xml:space="preserve">. 1. </w:t>
      </w:r>
      <w:proofErr w:type="spellStart"/>
      <w:r>
        <w:t>vydání</w:t>
      </w:r>
      <w:proofErr w:type="spellEnd"/>
      <w:r w:rsidRPr="00BF58D0">
        <w:t>. Praha:</w:t>
      </w:r>
      <w:r>
        <w:t xml:space="preserve"> LINDE PRAHA, 2010, 887 s. </w:t>
      </w:r>
    </w:p>
    <w:p w:rsidR="00DC1275" w:rsidRPr="00341839" w:rsidRDefault="00DC1275" w:rsidP="00DC1275">
      <w:pPr>
        <w:pStyle w:val="Textpoznmkypodiarou"/>
        <w:numPr>
          <w:ilvl w:val="0"/>
          <w:numId w:val="15"/>
        </w:numPr>
        <w:spacing w:line="360" w:lineRule="auto"/>
        <w:ind w:left="426" w:hanging="426"/>
        <w:rPr>
          <w:sz w:val="24"/>
          <w:szCs w:val="24"/>
        </w:rPr>
      </w:pPr>
      <w:r w:rsidRPr="00341839">
        <w:rPr>
          <w:sz w:val="24"/>
          <w:szCs w:val="24"/>
        </w:rPr>
        <w:t xml:space="preserve">ČAPEK, </w:t>
      </w:r>
      <w:proofErr w:type="spellStart"/>
      <w:r w:rsidRPr="00341839">
        <w:rPr>
          <w:sz w:val="24"/>
          <w:szCs w:val="24"/>
        </w:rPr>
        <w:t>Jan</w:t>
      </w:r>
      <w:proofErr w:type="spellEnd"/>
      <w:r w:rsidRPr="00341839">
        <w:rPr>
          <w:sz w:val="24"/>
          <w:szCs w:val="24"/>
        </w:rPr>
        <w:t xml:space="preserve">. </w:t>
      </w:r>
      <w:proofErr w:type="spellStart"/>
      <w:r w:rsidRPr="00341839">
        <w:rPr>
          <w:i/>
          <w:sz w:val="24"/>
          <w:szCs w:val="24"/>
        </w:rPr>
        <w:t>Evropská</w:t>
      </w:r>
      <w:proofErr w:type="spellEnd"/>
      <w:r w:rsidRPr="00341839">
        <w:rPr>
          <w:i/>
          <w:sz w:val="24"/>
          <w:szCs w:val="24"/>
        </w:rPr>
        <w:t xml:space="preserve"> </w:t>
      </w:r>
      <w:proofErr w:type="spellStart"/>
      <w:r w:rsidRPr="00341839">
        <w:rPr>
          <w:i/>
          <w:sz w:val="24"/>
          <w:szCs w:val="24"/>
        </w:rPr>
        <w:t>úmluva</w:t>
      </w:r>
      <w:proofErr w:type="spellEnd"/>
      <w:r w:rsidRPr="00341839">
        <w:rPr>
          <w:i/>
          <w:sz w:val="24"/>
          <w:szCs w:val="24"/>
        </w:rPr>
        <w:t xml:space="preserve"> o </w:t>
      </w:r>
      <w:proofErr w:type="spellStart"/>
      <w:r w:rsidRPr="00341839">
        <w:rPr>
          <w:i/>
          <w:sz w:val="24"/>
          <w:szCs w:val="24"/>
        </w:rPr>
        <w:t>ochraně</w:t>
      </w:r>
      <w:proofErr w:type="spellEnd"/>
      <w:r w:rsidRPr="00341839">
        <w:rPr>
          <w:i/>
          <w:sz w:val="24"/>
          <w:szCs w:val="24"/>
        </w:rPr>
        <w:t xml:space="preserve"> </w:t>
      </w:r>
      <w:proofErr w:type="spellStart"/>
      <w:r w:rsidRPr="00341839">
        <w:rPr>
          <w:i/>
          <w:sz w:val="24"/>
          <w:szCs w:val="24"/>
        </w:rPr>
        <w:t>lidských</w:t>
      </w:r>
      <w:proofErr w:type="spellEnd"/>
      <w:r w:rsidRPr="00341839">
        <w:rPr>
          <w:i/>
          <w:sz w:val="24"/>
          <w:szCs w:val="24"/>
        </w:rPr>
        <w:t xml:space="preserve"> práv a </w:t>
      </w:r>
      <w:proofErr w:type="spellStart"/>
      <w:r w:rsidRPr="00341839">
        <w:rPr>
          <w:i/>
          <w:sz w:val="24"/>
          <w:szCs w:val="24"/>
        </w:rPr>
        <w:t>základních</w:t>
      </w:r>
      <w:proofErr w:type="spellEnd"/>
      <w:r w:rsidRPr="00341839">
        <w:rPr>
          <w:i/>
          <w:sz w:val="24"/>
          <w:szCs w:val="24"/>
        </w:rPr>
        <w:t xml:space="preserve"> </w:t>
      </w:r>
      <w:proofErr w:type="spellStart"/>
      <w:r w:rsidRPr="00341839">
        <w:rPr>
          <w:i/>
          <w:sz w:val="24"/>
          <w:szCs w:val="24"/>
        </w:rPr>
        <w:t>svobod</w:t>
      </w:r>
      <w:proofErr w:type="spellEnd"/>
      <w:r w:rsidRPr="00341839">
        <w:rPr>
          <w:i/>
          <w:sz w:val="24"/>
          <w:szCs w:val="24"/>
        </w:rPr>
        <w:t xml:space="preserve"> (II. </w:t>
      </w:r>
      <w:proofErr w:type="spellStart"/>
      <w:r w:rsidRPr="00341839">
        <w:rPr>
          <w:i/>
          <w:sz w:val="24"/>
          <w:szCs w:val="24"/>
        </w:rPr>
        <w:t>část</w:t>
      </w:r>
      <w:proofErr w:type="spellEnd"/>
      <w:r w:rsidRPr="00341839">
        <w:rPr>
          <w:i/>
          <w:sz w:val="24"/>
          <w:szCs w:val="24"/>
        </w:rPr>
        <w:t xml:space="preserve"> – protokoly)</w:t>
      </w:r>
      <w:r w:rsidRPr="00341839">
        <w:rPr>
          <w:sz w:val="24"/>
          <w:szCs w:val="24"/>
        </w:rPr>
        <w:t xml:space="preserve">. 1. </w:t>
      </w:r>
      <w:proofErr w:type="spellStart"/>
      <w:r w:rsidRPr="00341839">
        <w:rPr>
          <w:sz w:val="24"/>
          <w:szCs w:val="24"/>
        </w:rPr>
        <w:t>vydání</w:t>
      </w:r>
      <w:proofErr w:type="spellEnd"/>
      <w:r w:rsidRPr="00341839">
        <w:rPr>
          <w:sz w:val="24"/>
          <w:szCs w:val="24"/>
        </w:rPr>
        <w:t>. Praha: LINDE PRAHA, 2010, 187 s.</w:t>
      </w:r>
    </w:p>
    <w:p w:rsidR="00DC1275" w:rsidRPr="0071035D" w:rsidRDefault="00DC1275" w:rsidP="00DC1275">
      <w:pPr>
        <w:pStyle w:val="Odsekzoznamu"/>
        <w:numPr>
          <w:ilvl w:val="0"/>
          <w:numId w:val="15"/>
        </w:numPr>
        <w:ind w:left="426" w:hanging="426"/>
        <w:rPr>
          <w:szCs w:val="24"/>
        </w:rPr>
      </w:pPr>
      <w:r>
        <w:t xml:space="preserve">ČAPEK, </w:t>
      </w:r>
      <w:proofErr w:type="spellStart"/>
      <w:r>
        <w:t>Jan</w:t>
      </w:r>
      <w:proofErr w:type="spellEnd"/>
      <w:r>
        <w:t xml:space="preserve">. </w:t>
      </w:r>
      <w:r w:rsidRPr="00856FB5">
        <w:rPr>
          <w:i/>
        </w:rPr>
        <w:t xml:space="preserve">Právnický slovník </w:t>
      </w:r>
      <w:proofErr w:type="spellStart"/>
      <w:r w:rsidRPr="00856FB5">
        <w:rPr>
          <w:i/>
        </w:rPr>
        <w:t>evropské</w:t>
      </w:r>
      <w:proofErr w:type="spellEnd"/>
      <w:r w:rsidRPr="00856FB5">
        <w:rPr>
          <w:i/>
        </w:rPr>
        <w:t xml:space="preserve"> ochrany </w:t>
      </w:r>
      <w:proofErr w:type="spellStart"/>
      <w:r w:rsidRPr="00856FB5">
        <w:rPr>
          <w:i/>
        </w:rPr>
        <w:t>lidských</w:t>
      </w:r>
      <w:proofErr w:type="spellEnd"/>
      <w:r w:rsidRPr="00856FB5">
        <w:rPr>
          <w:i/>
        </w:rPr>
        <w:t xml:space="preserve"> práv</w:t>
      </w:r>
      <w:r>
        <w:t xml:space="preserve">. 2. vydanie. Praha: </w:t>
      </w:r>
      <w:proofErr w:type="spellStart"/>
      <w:r>
        <w:t>Orac</w:t>
      </w:r>
      <w:proofErr w:type="spellEnd"/>
      <w:r>
        <w:t>, 2002, 439 s.</w:t>
      </w:r>
    </w:p>
    <w:p w:rsidR="00DC1275" w:rsidRPr="00943D47" w:rsidRDefault="00DC1275" w:rsidP="00DC1275">
      <w:pPr>
        <w:pStyle w:val="Odsekzoznamu"/>
        <w:numPr>
          <w:ilvl w:val="0"/>
          <w:numId w:val="15"/>
        </w:numPr>
        <w:ind w:left="426" w:hanging="426"/>
        <w:rPr>
          <w:szCs w:val="24"/>
          <w:lang w:val="en-US"/>
        </w:rPr>
      </w:pPr>
      <w:r w:rsidRPr="00943D47">
        <w:rPr>
          <w:szCs w:val="24"/>
          <w:lang w:val="en-US"/>
        </w:rPr>
        <w:t xml:space="preserve">HUBÁLKOVÁ, Eva. </w:t>
      </w:r>
      <w:r w:rsidRPr="00943D47">
        <w:rPr>
          <w:i/>
          <w:szCs w:val="24"/>
          <w:lang w:val="cs-CZ"/>
        </w:rPr>
        <w:t>Evropská úmluva o lidských právech a Česká republika (Judikatura a řízení před Evropským soudem pro lidská práva).</w:t>
      </w:r>
      <w:r w:rsidRPr="00943D47">
        <w:rPr>
          <w:szCs w:val="24"/>
          <w:lang w:val="en-US"/>
        </w:rPr>
        <w:t xml:space="preserve"> 1. </w:t>
      </w:r>
      <w:proofErr w:type="spellStart"/>
      <w:proofErr w:type="gramStart"/>
      <w:r w:rsidRPr="00943D47">
        <w:rPr>
          <w:szCs w:val="24"/>
        </w:rPr>
        <w:t>vydání</w:t>
      </w:r>
      <w:proofErr w:type="spellEnd"/>
      <w:proofErr w:type="gramEnd"/>
      <w:r w:rsidRPr="00943D47">
        <w:rPr>
          <w:szCs w:val="24"/>
          <w:lang w:val="en-US"/>
        </w:rPr>
        <w:t xml:space="preserve">. </w:t>
      </w:r>
      <w:proofErr w:type="spellStart"/>
      <w:r w:rsidRPr="00943D47">
        <w:rPr>
          <w:szCs w:val="24"/>
          <w:lang w:val="en-US"/>
        </w:rPr>
        <w:t>Praha</w:t>
      </w:r>
      <w:proofErr w:type="spellEnd"/>
      <w:r w:rsidRPr="00943D47">
        <w:rPr>
          <w:szCs w:val="24"/>
          <w:lang w:val="en-US"/>
        </w:rPr>
        <w:t xml:space="preserve">: </w:t>
      </w:r>
      <w:proofErr w:type="spellStart"/>
      <w:r w:rsidRPr="00943D47">
        <w:rPr>
          <w:szCs w:val="24"/>
          <w:lang w:val="en-US"/>
        </w:rPr>
        <w:t>Linde</w:t>
      </w:r>
      <w:proofErr w:type="spellEnd"/>
      <w:r w:rsidRPr="00943D47">
        <w:rPr>
          <w:szCs w:val="24"/>
          <w:lang w:val="en-US"/>
        </w:rPr>
        <w:t xml:space="preserve"> </w:t>
      </w:r>
      <w:proofErr w:type="spellStart"/>
      <w:r w:rsidRPr="00943D47">
        <w:rPr>
          <w:szCs w:val="24"/>
          <w:lang w:val="en-US"/>
        </w:rPr>
        <w:t>Praha</w:t>
      </w:r>
      <w:proofErr w:type="spellEnd"/>
      <w:r w:rsidRPr="00943D47">
        <w:rPr>
          <w:szCs w:val="24"/>
          <w:lang w:val="en-US"/>
        </w:rPr>
        <w:t xml:space="preserve">, </w:t>
      </w:r>
      <w:proofErr w:type="spellStart"/>
      <w:proofErr w:type="gramStart"/>
      <w:r w:rsidRPr="00943D47">
        <w:rPr>
          <w:szCs w:val="24"/>
          <w:lang w:val="en-US"/>
        </w:rPr>
        <w:t>a.s</w:t>
      </w:r>
      <w:proofErr w:type="spellEnd"/>
      <w:proofErr w:type="gramEnd"/>
      <w:r w:rsidRPr="00943D47">
        <w:rPr>
          <w:szCs w:val="24"/>
          <w:lang w:val="en-US"/>
        </w:rPr>
        <w:t>., 2003. 743 s.</w:t>
      </w:r>
    </w:p>
    <w:p w:rsidR="00DC1275" w:rsidRPr="0071035D" w:rsidRDefault="00DC1275" w:rsidP="00DC1275">
      <w:pPr>
        <w:pStyle w:val="Odsekzoznamu"/>
        <w:numPr>
          <w:ilvl w:val="0"/>
          <w:numId w:val="15"/>
        </w:numPr>
        <w:ind w:left="426" w:hanging="426"/>
        <w:rPr>
          <w:szCs w:val="24"/>
        </w:rPr>
      </w:pPr>
      <w:r>
        <w:t xml:space="preserve">Informačná kancelária Rady Európy v Bratislave. </w:t>
      </w:r>
      <w:r w:rsidRPr="00232AC4">
        <w:rPr>
          <w:i/>
        </w:rPr>
        <w:t>Rada Európy – 800 miliónov Európanov.</w:t>
      </w:r>
      <w:r>
        <w:t xml:space="preserve"> 1. vydanie. Bratislava: Informačná kancelária Rady Európy, 2001, 112 s.</w:t>
      </w:r>
    </w:p>
    <w:p w:rsidR="00DC1275" w:rsidRPr="00943D47" w:rsidRDefault="00DC1275" w:rsidP="00DC1275">
      <w:pPr>
        <w:pStyle w:val="Odsekzoznamu"/>
        <w:numPr>
          <w:ilvl w:val="0"/>
          <w:numId w:val="15"/>
        </w:numPr>
        <w:ind w:left="426" w:hanging="426"/>
        <w:rPr>
          <w:szCs w:val="24"/>
        </w:rPr>
      </w:pPr>
      <w:r w:rsidRPr="00943D47">
        <w:rPr>
          <w:szCs w:val="24"/>
        </w:rPr>
        <w:t>PIROŠÍKOVÁ</w:t>
      </w:r>
      <w:r w:rsidRPr="00943D47">
        <w:rPr>
          <w:rFonts w:eastAsia="Calibri" w:cs="Times New Roman"/>
          <w:szCs w:val="24"/>
        </w:rPr>
        <w:t xml:space="preserve">, </w:t>
      </w:r>
      <w:proofErr w:type="spellStart"/>
      <w:r w:rsidRPr="00943D47">
        <w:rPr>
          <w:rFonts w:eastAsia="Calibri" w:cs="Times New Roman"/>
          <w:szCs w:val="24"/>
        </w:rPr>
        <w:t>Marica</w:t>
      </w:r>
      <w:proofErr w:type="spellEnd"/>
      <w:r w:rsidRPr="00943D47">
        <w:rPr>
          <w:szCs w:val="24"/>
        </w:rPr>
        <w:t xml:space="preserve">. </w:t>
      </w:r>
      <w:r w:rsidRPr="00943D47">
        <w:rPr>
          <w:i/>
          <w:szCs w:val="24"/>
        </w:rPr>
        <w:t>Komentár k vybraným článkom Dohovoru o ochrane ľudských práv a základných slobôd.</w:t>
      </w:r>
      <w:r w:rsidRPr="00943D47">
        <w:rPr>
          <w:szCs w:val="24"/>
        </w:rPr>
        <w:t xml:space="preserve"> 1. vydanie. Bratislava: EUROIURIS – Európske právne centrum, </w:t>
      </w:r>
      <w:proofErr w:type="spellStart"/>
      <w:r w:rsidRPr="00943D47">
        <w:rPr>
          <w:szCs w:val="24"/>
        </w:rPr>
        <w:t>o.z</w:t>
      </w:r>
      <w:proofErr w:type="spellEnd"/>
      <w:r w:rsidRPr="00943D47">
        <w:rPr>
          <w:szCs w:val="24"/>
        </w:rPr>
        <w:t>., 2007, 570 s.</w:t>
      </w:r>
    </w:p>
    <w:p w:rsidR="00DC1275" w:rsidRPr="0071035D" w:rsidRDefault="00DC1275" w:rsidP="00DC1275">
      <w:pPr>
        <w:pStyle w:val="Odsekzoznamu"/>
        <w:numPr>
          <w:ilvl w:val="0"/>
          <w:numId w:val="15"/>
        </w:numPr>
        <w:ind w:left="426" w:hanging="426"/>
        <w:rPr>
          <w:szCs w:val="24"/>
        </w:rPr>
      </w:pPr>
      <w:r>
        <w:t xml:space="preserve">PROUZOVÁ, Anna. </w:t>
      </w:r>
      <w:proofErr w:type="spellStart"/>
      <w:r w:rsidRPr="003948DF">
        <w:rPr>
          <w:i/>
        </w:rPr>
        <w:t>Evropský</w:t>
      </w:r>
      <w:proofErr w:type="spellEnd"/>
      <w:r w:rsidRPr="003948DF">
        <w:rPr>
          <w:i/>
        </w:rPr>
        <w:t xml:space="preserve"> </w:t>
      </w:r>
      <w:proofErr w:type="spellStart"/>
      <w:r w:rsidRPr="003948DF">
        <w:rPr>
          <w:i/>
        </w:rPr>
        <w:t>soud</w:t>
      </w:r>
      <w:proofErr w:type="spellEnd"/>
      <w:r w:rsidRPr="003948DF">
        <w:rPr>
          <w:i/>
        </w:rPr>
        <w:t xml:space="preserve"> </w:t>
      </w:r>
      <w:proofErr w:type="spellStart"/>
      <w:r w:rsidRPr="003948DF">
        <w:rPr>
          <w:i/>
        </w:rPr>
        <w:t>pro</w:t>
      </w:r>
      <w:proofErr w:type="spellEnd"/>
      <w:r w:rsidRPr="003948DF">
        <w:rPr>
          <w:i/>
        </w:rPr>
        <w:t xml:space="preserve"> </w:t>
      </w:r>
      <w:proofErr w:type="spellStart"/>
      <w:r w:rsidRPr="003948DF">
        <w:rPr>
          <w:i/>
        </w:rPr>
        <w:t>lidská</w:t>
      </w:r>
      <w:proofErr w:type="spellEnd"/>
      <w:r w:rsidRPr="003948DF">
        <w:rPr>
          <w:i/>
        </w:rPr>
        <w:t xml:space="preserve"> práva</w:t>
      </w:r>
      <w:r>
        <w:t>. 1. vydanie. Praha: Linde Praha, a.s., 2004, 186 s.</w:t>
      </w:r>
    </w:p>
    <w:p w:rsidR="00DC1275" w:rsidRPr="00341839" w:rsidRDefault="00DC1275" w:rsidP="00DC1275">
      <w:pPr>
        <w:pStyle w:val="Textpoznmkypodiarou"/>
        <w:numPr>
          <w:ilvl w:val="0"/>
          <w:numId w:val="15"/>
        </w:numPr>
        <w:spacing w:line="360" w:lineRule="auto"/>
        <w:ind w:left="426" w:hanging="426"/>
        <w:rPr>
          <w:sz w:val="24"/>
          <w:szCs w:val="24"/>
        </w:rPr>
      </w:pPr>
      <w:r w:rsidRPr="00341839">
        <w:rPr>
          <w:sz w:val="24"/>
          <w:szCs w:val="24"/>
        </w:rPr>
        <w:t xml:space="preserve">SUDRE, </w:t>
      </w:r>
      <w:proofErr w:type="spellStart"/>
      <w:r w:rsidRPr="00341839">
        <w:rPr>
          <w:sz w:val="24"/>
          <w:szCs w:val="24"/>
        </w:rPr>
        <w:t>Frédéric</w:t>
      </w:r>
      <w:proofErr w:type="spellEnd"/>
      <w:r w:rsidRPr="00341839">
        <w:rPr>
          <w:sz w:val="24"/>
          <w:szCs w:val="24"/>
        </w:rPr>
        <w:t xml:space="preserve">. </w:t>
      </w:r>
      <w:proofErr w:type="spellStart"/>
      <w:r w:rsidRPr="00341839">
        <w:rPr>
          <w:i/>
          <w:sz w:val="24"/>
          <w:szCs w:val="24"/>
        </w:rPr>
        <w:t>Mezinárodní</w:t>
      </w:r>
      <w:proofErr w:type="spellEnd"/>
      <w:r w:rsidRPr="00341839">
        <w:rPr>
          <w:i/>
          <w:sz w:val="24"/>
          <w:szCs w:val="24"/>
        </w:rPr>
        <w:t xml:space="preserve"> a </w:t>
      </w:r>
      <w:proofErr w:type="spellStart"/>
      <w:r w:rsidRPr="00341839">
        <w:rPr>
          <w:i/>
          <w:sz w:val="24"/>
          <w:szCs w:val="24"/>
        </w:rPr>
        <w:t>evropské</w:t>
      </w:r>
      <w:proofErr w:type="spellEnd"/>
      <w:r w:rsidRPr="00341839">
        <w:rPr>
          <w:i/>
          <w:sz w:val="24"/>
          <w:szCs w:val="24"/>
        </w:rPr>
        <w:t xml:space="preserve"> právo </w:t>
      </w:r>
      <w:proofErr w:type="spellStart"/>
      <w:r w:rsidRPr="00341839">
        <w:rPr>
          <w:i/>
          <w:sz w:val="24"/>
          <w:szCs w:val="24"/>
        </w:rPr>
        <w:t>lidských</w:t>
      </w:r>
      <w:proofErr w:type="spellEnd"/>
      <w:r w:rsidRPr="00341839">
        <w:rPr>
          <w:i/>
          <w:sz w:val="24"/>
          <w:szCs w:val="24"/>
        </w:rPr>
        <w:t xml:space="preserve"> práv</w:t>
      </w:r>
      <w:r w:rsidRPr="00341839">
        <w:rPr>
          <w:sz w:val="24"/>
          <w:szCs w:val="24"/>
        </w:rPr>
        <w:t>. 2. vydanie.  Brno: Masarykova univerzita v Brne, 1997, 364 s.</w:t>
      </w:r>
    </w:p>
    <w:p w:rsidR="00DC1275" w:rsidRPr="0071035D" w:rsidRDefault="00DC1275" w:rsidP="00DC1275">
      <w:pPr>
        <w:pStyle w:val="Odsekzoznamu"/>
        <w:numPr>
          <w:ilvl w:val="0"/>
          <w:numId w:val="15"/>
        </w:numPr>
        <w:ind w:left="426" w:hanging="426"/>
        <w:rPr>
          <w:szCs w:val="24"/>
        </w:rPr>
      </w:pPr>
      <w:r>
        <w:t xml:space="preserve">SVÁK, Ján. </w:t>
      </w:r>
      <w:r w:rsidRPr="006C7143">
        <w:rPr>
          <w:i/>
        </w:rPr>
        <w:t>Advokát pred európskymi súdmi (praktický sprievodca)</w:t>
      </w:r>
      <w:r>
        <w:t>. 1. vydanie. Bratislava: Poradca podnikateľa, spol. s.r.o., 2004, 416 s.</w:t>
      </w:r>
    </w:p>
    <w:p w:rsidR="00DC1275" w:rsidRPr="00943D47" w:rsidRDefault="00DC1275" w:rsidP="00DC1275">
      <w:pPr>
        <w:pStyle w:val="Odsekzoznamu"/>
        <w:numPr>
          <w:ilvl w:val="0"/>
          <w:numId w:val="15"/>
        </w:numPr>
        <w:ind w:left="426" w:hanging="426"/>
        <w:rPr>
          <w:szCs w:val="24"/>
        </w:rPr>
      </w:pPr>
      <w:r w:rsidRPr="00943D47">
        <w:rPr>
          <w:szCs w:val="24"/>
        </w:rPr>
        <w:t xml:space="preserve">SVÁK, Ján. </w:t>
      </w:r>
      <w:r w:rsidRPr="00943D47">
        <w:rPr>
          <w:i/>
          <w:szCs w:val="24"/>
        </w:rPr>
        <w:t xml:space="preserve">Ochrana ľudských práv (z pohľadu judikatúry a doktríny štrasburských orgánov ochrany práv). </w:t>
      </w:r>
      <w:r w:rsidRPr="00943D47">
        <w:rPr>
          <w:szCs w:val="24"/>
        </w:rPr>
        <w:t>1. vydanie.  Bratislava: Poradca podnikateľa, spol. s.r.o., 2003,  934 s.</w:t>
      </w:r>
    </w:p>
    <w:p w:rsidR="00DC1275" w:rsidRDefault="00DC1275" w:rsidP="00DC1275">
      <w:pPr>
        <w:pStyle w:val="Odsekzoznamu"/>
        <w:numPr>
          <w:ilvl w:val="0"/>
          <w:numId w:val="15"/>
        </w:numPr>
        <w:ind w:left="426" w:hanging="426"/>
        <w:rPr>
          <w:szCs w:val="24"/>
        </w:rPr>
      </w:pPr>
      <w:r w:rsidRPr="00943D47">
        <w:rPr>
          <w:szCs w:val="24"/>
        </w:rPr>
        <w:t xml:space="preserve">ŠIŠKOVÁ, </w:t>
      </w:r>
      <w:proofErr w:type="spellStart"/>
      <w:r w:rsidRPr="00943D47">
        <w:rPr>
          <w:szCs w:val="24"/>
        </w:rPr>
        <w:t>Naděžda</w:t>
      </w:r>
      <w:proofErr w:type="spellEnd"/>
      <w:r w:rsidRPr="00943D47">
        <w:rPr>
          <w:szCs w:val="24"/>
        </w:rPr>
        <w:t xml:space="preserve">. </w:t>
      </w:r>
      <w:proofErr w:type="spellStart"/>
      <w:r w:rsidRPr="00943D47">
        <w:rPr>
          <w:i/>
          <w:szCs w:val="24"/>
        </w:rPr>
        <w:t>Dimenze</w:t>
      </w:r>
      <w:proofErr w:type="spellEnd"/>
      <w:r w:rsidRPr="00943D47">
        <w:rPr>
          <w:i/>
          <w:szCs w:val="24"/>
        </w:rPr>
        <w:t xml:space="preserve"> ochrany </w:t>
      </w:r>
      <w:proofErr w:type="spellStart"/>
      <w:r w:rsidRPr="00943D47">
        <w:rPr>
          <w:i/>
          <w:szCs w:val="24"/>
        </w:rPr>
        <w:t>lidských</w:t>
      </w:r>
      <w:proofErr w:type="spellEnd"/>
      <w:r w:rsidRPr="00943D47">
        <w:rPr>
          <w:i/>
          <w:szCs w:val="24"/>
        </w:rPr>
        <w:t xml:space="preserve"> práv v </w:t>
      </w:r>
      <w:proofErr w:type="spellStart"/>
      <w:r w:rsidRPr="00943D47">
        <w:rPr>
          <w:i/>
          <w:szCs w:val="24"/>
        </w:rPr>
        <w:t>Evropské</w:t>
      </w:r>
      <w:proofErr w:type="spellEnd"/>
      <w:r w:rsidRPr="00943D47">
        <w:rPr>
          <w:i/>
          <w:szCs w:val="24"/>
        </w:rPr>
        <w:t xml:space="preserve"> </w:t>
      </w:r>
      <w:proofErr w:type="spellStart"/>
      <w:r w:rsidRPr="00943D47">
        <w:rPr>
          <w:i/>
          <w:szCs w:val="24"/>
        </w:rPr>
        <w:t>unii</w:t>
      </w:r>
      <w:proofErr w:type="spellEnd"/>
      <w:r w:rsidRPr="00943D47">
        <w:rPr>
          <w:i/>
          <w:szCs w:val="24"/>
        </w:rPr>
        <w:t>.</w:t>
      </w:r>
      <w:r w:rsidRPr="00943D47">
        <w:rPr>
          <w:szCs w:val="24"/>
        </w:rPr>
        <w:t xml:space="preserve"> 2. </w:t>
      </w:r>
      <w:proofErr w:type="spellStart"/>
      <w:r w:rsidRPr="00943D47">
        <w:rPr>
          <w:szCs w:val="24"/>
        </w:rPr>
        <w:t>vydání</w:t>
      </w:r>
      <w:proofErr w:type="spellEnd"/>
      <w:r w:rsidRPr="00943D47">
        <w:rPr>
          <w:szCs w:val="24"/>
        </w:rPr>
        <w:t>. Praha: Linde Praha, a.s., 2008, 255 s.</w:t>
      </w:r>
    </w:p>
    <w:p w:rsidR="00DC1275" w:rsidRPr="00943D47" w:rsidRDefault="00DC1275" w:rsidP="00DC1275">
      <w:pPr>
        <w:pStyle w:val="Odsekzoznamu"/>
        <w:ind w:left="426" w:hanging="426"/>
        <w:rPr>
          <w:szCs w:val="24"/>
        </w:rPr>
      </w:pPr>
    </w:p>
    <w:p w:rsidR="00DC1275" w:rsidRDefault="00DC1275" w:rsidP="00DC1275">
      <w:pPr>
        <w:pStyle w:val="Nadpis2"/>
        <w:ind w:left="357" w:hanging="357"/>
      </w:pPr>
      <w:bookmarkStart w:id="73" w:name="_Toc289299958"/>
      <w:r>
        <w:lastRenderedPageBreak/>
        <w:t>Zahraničná literatúra</w:t>
      </w:r>
      <w:bookmarkEnd w:id="73"/>
    </w:p>
    <w:p w:rsidR="00DC1275" w:rsidRPr="00943D47" w:rsidRDefault="00DC1275" w:rsidP="00DC1275">
      <w:pPr>
        <w:pStyle w:val="Odsekzoznamu"/>
        <w:numPr>
          <w:ilvl w:val="0"/>
          <w:numId w:val="16"/>
        </w:numPr>
        <w:ind w:left="426" w:hanging="426"/>
        <w:rPr>
          <w:szCs w:val="24"/>
        </w:rPr>
      </w:pPr>
      <w:r w:rsidRPr="00943D47">
        <w:rPr>
          <w:szCs w:val="24"/>
        </w:rPr>
        <w:t xml:space="preserve">ALSTON, </w:t>
      </w:r>
      <w:proofErr w:type="spellStart"/>
      <w:r w:rsidRPr="00943D47">
        <w:rPr>
          <w:szCs w:val="24"/>
        </w:rPr>
        <w:t>Philip</w:t>
      </w:r>
      <w:proofErr w:type="spellEnd"/>
      <w:r w:rsidRPr="00943D47">
        <w:rPr>
          <w:szCs w:val="24"/>
        </w:rPr>
        <w:t xml:space="preserve">, MACDONALD, </w:t>
      </w:r>
      <w:proofErr w:type="spellStart"/>
      <w:r w:rsidRPr="00943D47">
        <w:rPr>
          <w:szCs w:val="24"/>
        </w:rPr>
        <w:t>Euan</w:t>
      </w:r>
      <w:proofErr w:type="spellEnd"/>
      <w:r w:rsidRPr="00943D47">
        <w:rPr>
          <w:szCs w:val="24"/>
        </w:rPr>
        <w:t xml:space="preserve">. </w:t>
      </w:r>
      <w:proofErr w:type="spellStart"/>
      <w:r w:rsidRPr="00943D47">
        <w:rPr>
          <w:i/>
          <w:szCs w:val="24"/>
        </w:rPr>
        <w:t>Human</w:t>
      </w:r>
      <w:proofErr w:type="spellEnd"/>
      <w:r w:rsidRPr="00943D47">
        <w:rPr>
          <w:i/>
          <w:szCs w:val="24"/>
        </w:rPr>
        <w:t xml:space="preserve"> </w:t>
      </w:r>
      <w:proofErr w:type="spellStart"/>
      <w:r w:rsidRPr="00943D47">
        <w:rPr>
          <w:i/>
          <w:szCs w:val="24"/>
        </w:rPr>
        <w:t>Rights</w:t>
      </w:r>
      <w:proofErr w:type="spellEnd"/>
      <w:r w:rsidRPr="00943D47">
        <w:rPr>
          <w:i/>
          <w:szCs w:val="24"/>
        </w:rPr>
        <w:t xml:space="preserve">, </w:t>
      </w:r>
      <w:proofErr w:type="spellStart"/>
      <w:r w:rsidRPr="00943D47">
        <w:rPr>
          <w:i/>
          <w:szCs w:val="24"/>
        </w:rPr>
        <w:t>Intervention</w:t>
      </w:r>
      <w:proofErr w:type="spellEnd"/>
      <w:r w:rsidRPr="00943D47">
        <w:rPr>
          <w:i/>
          <w:szCs w:val="24"/>
        </w:rPr>
        <w:t xml:space="preserve">, and </w:t>
      </w:r>
      <w:proofErr w:type="spellStart"/>
      <w:r w:rsidRPr="00943D47">
        <w:rPr>
          <w:i/>
          <w:szCs w:val="24"/>
        </w:rPr>
        <w:t>the</w:t>
      </w:r>
      <w:proofErr w:type="spellEnd"/>
      <w:r w:rsidRPr="00943D47">
        <w:rPr>
          <w:i/>
          <w:szCs w:val="24"/>
        </w:rPr>
        <w:t xml:space="preserve"> </w:t>
      </w:r>
      <w:proofErr w:type="spellStart"/>
      <w:r w:rsidRPr="00943D47">
        <w:rPr>
          <w:i/>
          <w:szCs w:val="24"/>
        </w:rPr>
        <w:t>Use</w:t>
      </w:r>
      <w:proofErr w:type="spellEnd"/>
      <w:r w:rsidRPr="00943D47">
        <w:rPr>
          <w:i/>
          <w:szCs w:val="24"/>
        </w:rPr>
        <w:t xml:space="preserve"> </w:t>
      </w:r>
      <w:proofErr w:type="spellStart"/>
      <w:r w:rsidRPr="00943D47">
        <w:rPr>
          <w:i/>
          <w:szCs w:val="24"/>
        </w:rPr>
        <w:t>of</w:t>
      </w:r>
      <w:proofErr w:type="spellEnd"/>
      <w:r w:rsidRPr="00943D47">
        <w:rPr>
          <w:i/>
          <w:szCs w:val="24"/>
        </w:rPr>
        <w:t xml:space="preserve"> </w:t>
      </w:r>
      <w:proofErr w:type="spellStart"/>
      <w:r w:rsidRPr="00943D47">
        <w:rPr>
          <w:i/>
          <w:szCs w:val="24"/>
        </w:rPr>
        <w:t>Force</w:t>
      </w:r>
      <w:proofErr w:type="spellEnd"/>
      <w:r w:rsidRPr="00943D47">
        <w:rPr>
          <w:szCs w:val="24"/>
        </w:rPr>
        <w:t>. 1</w:t>
      </w:r>
      <w:r w:rsidRPr="00943D47">
        <w:rPr>
          <w:szCs w:val="24"/>
          <w:vertAlign w:val="superscript"/>
        </w:rPr>
        <w:t xml:space="preserve">st </w:t>
      </w:r>
      <w:proofErr w:type="spellStart"/>
      <w:r w:rsidRPr="00943D47">
        <w:rPr>
          <w:szCs w:val="24"/>
        </w:rPr>
        <w:t>edition</w:t>
      </w:r>
      <w:proofErr w:type="spellEnd"/>
      <w:r w:rsidRPr="00943D47">
        <w:rPr>
          <w:szCs w:val="24"/>
        </w:rPr>
        <w:t xml:space="preserve">. New York: </w:t>
      </w:r>
      <w:proofErr w:type="spellStart"/>
      <w:r w:rsidRPr="00943D47">
        <w:rPr>
          <w:szCs w:val="24"/>
        </w:rPr>
        <w:t>Oxford</w:t>
      </w:r>
      <w:proofErr w:type="spellEnd"/>
      <w:r w:rsidRPr="00943D47">
        <w:rPr>
          <w:szCs w:val="24"/>
        </w:rPr>
        <w:t xml:space="preserve"> </w:t>
      </w:r>
      <w:proofErr w:type="spellStart"/>
      <w:r w:rsidRPr="00943D47">
        <w:rPr>
          <w:szCs w:val="24"/>
        </w:rPr>
        <w:t>University</w:t>
      </w:r>
      <w:proofErr w:type="spellEnd"/>
      <w:r w:rsidRPr="00943D47">
        <w:rPr>
          <w:szCs w:val="24"/>
        </w:rPr>
        <w:t xml:space="preserve"> Press, 2008. </w:t>
      </w:r>
      <w:r>
        <w:rPr>
          <w:szCs w:val="24"/>
        </w:rPr>
        <w:t>294</w:t>
      </w:r>
      <w:r w:rsidRPr="00832E8D">
        <w:rPr>
          <w:szCs w:val="24"/>
        </w:rPr>
        <w:t xml:space="preserve"> s</w:t>
      </w:r>
      <w:r w:rsidRPr="00943D47">
        <w:rPr>
          <w:szCs w:val="24"/>
        </w:rPr>
        <w:t>.</w:t>
      </w:r>
    </w:p>
    <w:p w:rsidR="00DC1275" w:rsidRPr="00943D47" w:rsidRDefault="00DC1275" w:rsidP="00DC1275">
      <w:pPr>
        <w:pStyle w:val="Odsekzoznamu"/>
        <w:numPr>
          <w:ilvl w:val="0"/>
          <w:numId w:val="16"/>
        </w:numPr>
        <w:ind w:left="426" w:hanging="426"/>
        <w:rPr>
          <w:szCs w:val="24"/>
        </w:rPr>
      </w:pPr>
      <w:r w:rsidRPr="00943D47">
        <w:rPr>
          <w:szCs w:val="24"/>
        </w:rPr>
        <w:t xml:space="preserve">DONNELLY, </w:t>
      </w:r>
      <w:proofErr w:type="spellStart"/>
      <w:r w:rsidRPr="00943D47">
        <w:rPr>
          <w:szCs w:val="24"/>
        </w:rPr>
        <w:t>Jack</w:t>
      </w:r>
      <w:proofErr w:type="spellEnd"/>
      <w:r w:rsidRPr="00943D47">
        <w:rPr>
          <w:szCs w:val="24"/>
        </w:rPr>
        <w:t xml:space="preserve">. </w:t>
      </w:r>
      <w:proofErr w:type="spellStart"/>
      <w:r w:rsidRPr="00943D47">
        <w:rPr>
          <w:i/>
          <w:szCs w:val="24"/>
        </w:rPr>
        <w:t>International</w:t>
      </w:r>
      <w:proofErr w:type="spellEnd"/>
      <w:r w:rsidRPr="00943D47">
        <w:rPr>
          <w:i/>
          <w:szCs w:val="24"/>
        </w:rPr>
        <w:t xml:space="preserve"> </w:t>
      </w:r>
      <w:proofErr w:type="spellStart"/>
      <w:r w:rsidRPr="00943D47">
        <w:rPr>
          <w:i/>
          <w:szCs w:val="24"/>
        </w:rPr>
        <w:t>Human</w:t>
      </w:r>
      <w:proofErr w:type="spellEnd"/>
      <w:r w:rsidRPr="00943D47">
        <w:rPr>
          <w:i/>
          <w:szCs w:val="24"/>
        </w:rPr>
        <w:t xml:space="preserve"> </w:t>
      </w:r>
      <w:proofErr w:type="spellStart"/>
      <w:r w:rsidRPr="00943D47">
        <w:rPr>
          <w:i/>
          <w:szCs w:val="24"/>
        </w:rPr>
        <w:t>Rights</w:t>
      </w:r>
      <w:proofErr w:type="spellEnd"/>
      <w:r w:rsidRPr="00943D47">
        <w:rPr>
          <w:szCs w:val="24"/>
        </w:rPr>
        <w:t>. 3</w:t>
      </w:r>
      <w:r w:rsidRPr="00943D47">
        <w:rPr>
          <w:szCs w:val="24"/>
          <w:vertAlign w:val="superscript"/>
        </w:rPr>
        <w:t>rd</w:t>
      </w:r>
      <w:r w:rsidRPr="00943D47">
        <w:rPr>
          <w:szCs w:val="24"/>
        </w:rPr>
        <w:t xml:space="preserve"> </w:t>
      </w:r>
      <w:proofErr w:type="spellStart"/>
      <w:r w:rsidRPr="00943D47">
        <w:rPr>
          <w:szCs w:val="24"/>
        </w:rPr>
        <w:t>edition</w:t>
      </w:r>
      <w:proofErr w:type="spellEnd"/>
      <w:r w:rsidRPr="00943D47">
        <w:rPr>
          <w:szCs w:val="24"/>
        </w:rPr>
        <w:t xml:space="preserve">. </w:t>
      </w:r>
      <w:proofErr w:type="spellStart"/>
      <w:r w:rsidRPr="00943D47">
        <w:rPr>
          <w:szCs w:val="24"/>
        </w:rPr>
        <w:t>Denver</w:t>
      </w:r>
      <w:proofErr w:type="spellEnd"/>
      <w:r w:rsidRPr="00943D47">
        <w:rPr>
          <w:szCs w:val="24"/>
        </w:rPr>
        <w:t xml:space="preserve">: </w:t>
      </w:r>
      <w:proofErr w:type="spellStart"/>
      <w:r w:rsidRPr="00943D47">
        <w:rPr>
          <w:szCs w:val="24"/>
        </w:rPr>
        <w:t>Westview</w:t>
      </w:r>
      <w:proofErr w:type="spellEnd"/>
      <w:r w:rsidRPr="00943D47">
        <w:rPr>
          <w:szCs w:val="24"/>
        </w:rPr>
        <w:t xml:space="preserve"> Press, 2007. </w:t>
      </w:r>
      <w:r w:rsidRPr="006627DA">
        <w:rPr>
          <w:szCs w:val="24"/>
        </w:rPr>
        <w:t>216 s</w:t>
      </w:r>
      <w:r w:rsidRPr="00943D47">
        <w:rPr>
          <w:szCs w:val="24"/>
        </w:rPr>
        <w:t>.</w:t>
      </w:r>
    </w:p>
    <w:p w:rsidR="00DC1275" w:rsidRPr="00341839" w:rsidRDefault="00DC1275" w:rsidP="00DC1275">
      <w:pPr>
        <w:pStyle w:val="Textpoznmkypodiarou"/>
        <w:numPr>
          <w:ilvl w:val="0"/>
          <w:numId w:val="16"/>
        </w:numPr>
        <w:spacing w:line="360" w:lineRule="auto"/>
        <w:ind w:left="426" w:hanging="426"/>
        <w:rPr>
          <w:sz w:val="24"/>
          <w:szCs w:val="24"/>
        </w:rPr>
      </w:pPr>
      <w:r w:rsidRPr="00943D47">
        <w:rPr>
          <w:sz w:val="24"/>
          <w:szCs w:val="24"/>
          <w:lang w:val="en-US"/>
        </w:rPr>
        <w:t xml:space="preserve">HARRIS, D.J. a </w:t>
      </w:r>
      <w:proofErr w:type="spellStart"/>
      <w:r w:rsidRPr="00943D47">
        <w:rPr>
          <w:sz w:val="24"/>
          <w:szCs w:val="24"/>
          <w:lang w:val="en-US"/>
        </w:rPr>
        <w:t>kol</w:t>
      </w:r>
      <w:proofErr w:type="spellEnd"/>
      <w:r w:rsidRPr="00943D47">
        <w:rPr>
          <w:sz w:val="24"/>
          <w:szCs w:val="24"/>
          <w:lang w:val="en-US"/>
        </w:rPr>
        <w:t xml:space="preserve">. </w:t>
      </w:r>
      <w:r w:rsidRPr="00943D47">
        <w:rPr>
          <w:i/>
          <w:sz w:val="24"/>
          <w:szCs w:val="24"/>
          <w:lang w:val="en-US"/>
        </w:rPr>
        <w:t>Law of the European Convention on Human Rights</w:t>
      </w:r>
      <w:r w:rsidRPr="00943D47">
        <w:rPr>
          <w:sz w:val="24"/>
          <w:szCs w:val="24"/>
          <w:lang w:val="en-US"/>
        </w:rPr>
        <w:t>. 2</w:t>
      </w:r>
      <w:r w:rsidRPr="00943D47">
        <w:rPr>
          <w:sz w:val="24"/>
          <w:szCs w:val="24"/>
          <w:vertAlign w:val="superscript"/>
          <w:lang w:val="en-US"/>
        </w:rPr>
        <w:t>nd</w:t>
      </w:r>
      <w:r w:rsidRPr="00943D47">
        <w:rPr>
          <w:sz w:val="24"/>
          <w:szCs w:val="24"/>
          <w:lang w:val="en-US"/>
        </w:rPr>
        <w:t xml:space="preserve"> </w:t>
      </w:r>
      <w:proofErr w:type="spellStart"/>
      <w:r w:rsidRPr="00943D47">
        <w:rPr>
          <w:sz w:val="24"/>
          <w:szCs w:val="24"/>
        </w:rPr>
        <w:t>edition</w:t>
      </w:r>
      <w:proofErr w:type="spellEnd"/>
      <w:r w:rsidRPr="00943D47">
        <w:rPr>
          <w:sz w:val="24"/>
          <w:szCs w:val="24"/>
          <w:lang w:val="en-US"/>
        </w:rPr>
        <w:t>. New York: Oxfor</w:t>
      </w:r>
      <w:r>
        <w:rPr>
          <w:sz w:val="24"/>
          <w:szCs w:val="24"/>
          <w:lang w:val="en-US"/>
        </w:rPr>
        <w:t>d University Press, 2009, 902 s</w:t>
      </w:r>
      <w:r w:rsidRPr="00943D47">
        <w:rPr>
          <w:sz w:val="24"/>
          <w:szCs w:val="24"/>
          <w:lang w:val="en-US"/>
        </w:rPr>
        <w:t>.</w:t>
      </w:r>
    </w:p>
    <w:p w:rsidR="00DC1275" w:rsidRPr="00943D47" w:rsidRDefault="00DC1275" w:rsidP="00DC1275">
      <w:pPr>
        <w:pStyle w:val="Textpoznmkypodiarou"/>
        <w:numPr>
          <w:ilvl w:val="0"/>
          <w:numId w:val="16"/>
        </w:numPr>
        <w:spacing w:line="360" w:lineRule="auto"/>
        <w:ind w:left="426" w:hanging="426"/>
        <w:rPr>
          <w:sz w:val="24"/>
          <w:szCs w:val="24"/>
        </w:rPr>
      </w:pPr>
      <w:r w:rsidRPr="00943D47">
        <w:rPr>
          <w:sz w:val="24"/>
          <w:szCs w:val="24"/>
        </w:rPr>
        <w:t xml:space="preserve">TOMUSCHAT, </w:t>
      </w:r>
      <w:r w:rsidRPr="00943D47">
        <w:rPr>
          <w:sz w:val="24"/>
          <w:szCs w:val="24"/>
          <w:lang w:val="en-US"/>
        </w:rPr>
        <w:t xml:space="preserve">Christian. </w:t>
      </w:r>
      <w:r w:rsidRPr="00943D47">
        <w:rPr>
          <w:i/>
          <w:sz w:val="24"/>
          <w:szCs w:val="24"/>
          <w:lang w:val="en-US"/>
        </w:rPr>
        <w:t xml:space="preserve">Human Rights (Between Idealism and Realism). </w:t>
      </w:r>
      <w:r w:rsidRPr="00943D47">
        <w:rPr>
          <w:sz w:val="24"/>
          <w:szCs w:val="24"/>
          <w:lang w:val="en-US"/>
        </w:rPr>
        <w:t>2</w:t>
      </w:r>
      <w:r w:rsidRPr="00943D47">
        <w:rPr>
          <w:sz w:val="24"/>
          <w:szCs w:val="24"/>
          <w:vertAlign w:val="superscript"/>
          <w:lang w:val="en-US"/>
        </w:rPr>
        <w:t>nd</w:t>
      </w:r>
      <w:r w:rsidRPr="00943D47">
        <w:rPr>
          <w:sz w:val="24"/>
          <w:szCs w:val="24"/>
          <w:lang w:val="en-US"/>
        </w:rPr>
        <w:t xml:space="preserve"> edition. New York: Oxford University Press</w:t>
      </w:r>
      <w:r w:rsidRPr="00943D47">
        <w:rPr>
          <w:sz w:val="24"/>
          <w:szCs w:val="24"/>
        </w:rPr>
        <w:t xml:space="preserve">, 2008. </w:t>
      </w:r>
      <w:r w:rsidRPr="00832E8D">
        <w:rPr>
          <w:sz w:val="24"/>
          <w:szCs w:val="24"/>
        </w:rPr>
        <w:t>333 s.</w:t>
      </w:r>
    </w:p>
    <w:p w:rsidR="00DC1275" w:rsidRDefault="00DC1275" w:rsidP="00DC1275"/>
    <w:p w:rsidR="00DC1275" w:rsidRDefault="00DC1275" w:rsidP="00DC1275">
      <w:pPr>
        <w:pStyle w:val="Nadpis2"/>
        <w:ind w:left="357" w:hanging="357"/>
      </w:pPr>
      <w:bookmarkStart w:id="74" w:name="_Toc289299959"/>
      <w:r>
        <w:t>Odborné časopisy</w:t>
      </w:r>
      <w:bookmarkEnd w:id="74"/>
    </w:p>
    <w:p w:rsidR="00DC1275" w:rsidRPr="00341839" w:rsidRDefault="00DC1275" w:rsidP="00DC1275">
      <w:pPr>
        <w:pStyle w:val="Textpoznmkypodiarou"/>
        <w:numPr>
          <w:ilvl w:val="0"/>
          <w:numId w:val="15"/>
        </w:numPr>
        <w:spacing w:line="360" w:lineRule="auto"/>
        <w:ind w:left="426" w:hanging="426"/>
        <w:rPr>
          <w:sz w:val="24"/>
          <w:szCs w:val="24"/>
        </w:rPr>
      </w:pPr>
      <w:r w:rsidRPr="00341839">
        <w:rPr>
          <w:rFonts w:cs="Times New Roman"/>
          <w:sz w:val="24"/>
          <w:szCs w:val="24"/>
        </w:rPr>
        <w:t xml:space="preserve">HUBÁLKOVÁ, Eva. Stručná </w:t>
      </w:r>
      <w:proofErr w:type="spellStart"/>
      <w:r w:rsidRPr="00341839">
        <w:rPr>
          <w:rFonts w:cs="Times New Roman"/>
          <w:sz w:val="24"/>
          <w:szCs w:val="24"/>
        </w:rPr>
        <w:t>rukojeť</w:t>
      </w:r>
      <w:proofErr w:type="spellEnd"/>
      <w:r w:rsidRPr="00341839">
        <w:rPr>
          <w:rFonts w:cs="Times New Roman"/>
          <w:sz w:val="24"/>
          <w:szCs w:val="24"/>
        </w:rPr>
        <w:t xml:space="preserve"> českého advokáta k </w:t>
      </w:r>
      <w:proofErr w:type="spellStart"/>
      <w:r w:rsidRPr="00341839">
        <w:rPr>
          <w:rFonts w:cs="Times New Roman"/>
          <w:sz w:val="24"/>
          <w:szCs w:val="24"/>
        </w:rPr>
        <w:t>Evropské</w:t>
      </w:r>
      <w:proofErr w:type="spellEnd"/>
      <w:r w:rsidRPr="00341839">
        <w:rPr>
          <w:rFonts w:cs="Times New Roman"/>
          <w:sz w:val="24"/>
          <w:szCs w:val="24"/>
        </w:rPr>
        <w:t xml:space="preserve"> </w:t>
      </w:r>
      <w:proofErr w:type="spellStart"/>
      <w:r w:rsidRPr="00341839">
        <w:rPr>
          <w:rFonts w:cs="Times New Roman"/>
          <w:sz w:val="24"/>
          <w:szCs w:val="24"/>
        </w:rPr>
        <w:t>úmluvě</w:t>
      </w:r>
      <w:proofErr w:type="spellEnd"/>
      <w:r w:rsidRPr="00341839">
        <w:rPr>
          <w:rFonts w:cs="Times New Roman"/>
          <w:sz w:val="24"/>
          <w:szCs w:val="24"/>
        </w:rPr>
        <w:t xml:space="preserve"> o </w:t>
      </w:r>
      <w:proofErr w:type="spellStart"/>
      <w:r w:rsidRPr="00341839">
        <w:rPr>
          <w:rFonts w:cs="Times New Roman"/>
          <w:sz w:val="24"/>
          <w:szCs w:val="24"/>
        </w:rPr>
        <w:t>lidských</w:t>
      </w:r>
      <w:proofErr w:type="spellEnd"/>
      <w:r w:rsidRPr="00341839">
        <w:rPr>
          <w:rFonts w:cs="Times New Roman"/>
          <w:sz w:val="24"/>
          <w:szCs w:val="24"/>
        </w:rPr>
        <w:t xml:space="preserve"> </w:t>
      </w:r>
      <w:proofErr w:type="spellStart"/>
      <w:r w:rsidRPr="00341839">
        <w:rPr>
          <w:rFonts w:cs="Times New Roman"/>
          <w:sz w:val="24"/>
          <w:szCs w:val="24"/>
        </w:rPr>
        <w:t>právech</w:t>
      </w:r>
      <w:proofErr w:type="spellEnd"/>
      <w:r w:rsidRPr="00341839">
        <w:rPr>
          <w:rFonts w:cs="Times New Roman"/>
          <w:sz w:val="24"/>
          <w:szCs w:val="24"/>
        </w:rPr>
        <w:t xml:space="preserve">. </w:t>
      </w:r>
      <w:r w:rsidRPr="00341839">
        <w:rPr>
          <w:rFonts w:cs="Times New Roman"/>
          <w:i/>
          <w:sz w:val="24"/>
          <w:szCs w:val="24"/>
        </w:rPr>
        <w:t xml:space="preserve">Bulletin </w:t>
      </w:r>
      <w:proofErr w:type="spellStart"/>
      <w:r w:rsidRPr="00341839">
        <w:rPr>
          <w:rFonts w:cs="Times New Roman"/>
          <w:i/>
          <w:sz w:val="24"/>
          <w:szCs w:val="24"/>
        </w:rPr>
        <w:t>advokacie</w:t>
      </w:r>
      <w:proofErr w:type="spellEnd"/>
      <w:r w:rsidRPr="00341839">
        <w:rPr>
          <w:rFonts w:cs="Times New Roman"/>
          <w:sz w:val="24"/>
          <w:szCs w:val="24"/>
        </w:rPr>
        <w:t xml:space="preserve">, 2008, roč. 14, </w:t>
      </w:r>
      <w:proofErr w:type="spellStart"/>
      <w:r w:rsidRPr="00341839">
        <w:rPr>
          <w:rFonts w:cs="Times New Roman"/>
          <w:sz w:val="24"/>
          <w:szCs w:val="24"/>
        </w:rPr>
        <w:t>zvláštní</w:t>
      </w:r>
      <w:proofErr w:type="spellEnd"/>
      <w:r w:rsidRPr="00341839">
        <w:rPr>
          <w:rFonts w:cs="Times New Roman"/>
          <w:sz w:val="24"/>
          <w:szCs w:val="24"/>
        </w:rPr>
        <w:t xml:space="preserve"> číslo, 256 s.</w:t>
      </w:r>
    </w:p>
    <w:p w:rsidR="00DC1275" w:rsidRDefault="00DC1275" w:rsidP="00DC1275"/>
    <w:p w:rsidR="00DC1275" w:rsidRDefault="00DC1275" w:rsidP="00DC1275">
      <w:pPr>
        <w:pStyle w:val="Nadpis2"/>
        <w:ind w:left="357" w:hanging="357"/>
      </w:pPr>
      <w:bookmarkStart w:id="75" w:name="_Toc289299960"/>
      <w:r>
        <w:t>Judikatúra</w:t>
      </w:r>
      <w:bookmarkEnd w:id="75"/>
    </w:p>
    <w:p w:rsidR="00DC1275" w:rsidRPr="00341839" w:rsidRDefault="00DC1275" w:rsidP="00DC1275">
      <w:pPr>
        <w:pStyle w:val="Textpoznmkypodiarou"/>
        <w:numPr>
          <w:ilvl w:val="0"/>
          <w:numId w:val="17"/>
        </w:numPr>
        <w:spacing w:line="360" w:lineRule="auto"/>
        <w:ind w:left="426" w:hanging="426"/>
        <w:rPr>
          <w:rFonts w:cs="Times New Roman"/>
          <w:sz w:val="24"/>
          <w:szCs w:val="24"/>
        </w:rPr>
      </w:pPr>
      <w:r w:rsidRPr="00341839">
        <w:rPr>
          <w:rFonts w:cs="Times New Roman"/>
          <w:sz w:val="24"/>
          <w:szCs w:val="24"/>
        </w:rPr>
        <w:t xml:space="preserve">Európsky súd pre ľudské práva: Rozsudok zo dňa 23. septembra 1998, </w:t>
      </w:r>
      <w:r w:rsidRPr="00341839">
        <w:rPr>
          <w:rFonts w:cs="Times New Roman"/>
          <w:i/>
          <w:sz w:val="24"/>
          <w:szCs w:val="24"/>
        </w:rPr>
        <w:t>A. v. Spojené kráľovstvo</w:t>
      </w:r>
      <w:r w:rsidRPr="00341839">
        <w:rPr>
          <w:rFonts w:cs="Times New Roman"/>
          <w:sz w:val="24"/>
          <w:szCs w:val="24"/>
        </w:rPr>
        <w:t xml:space="preserve">, č. </w:t>
      </w:r>
      <w:r w:rsidRPr="00341839">
        <w:rPr>
          <w:rFonts w:cs="Times New Roman"/>
          <w:color w:val="000000"/>
          <w:sz w:val="24"/>
          <w:szCs w:val="24"/>
        </w:rPr>
        <w:t xml:space="preserve">25599/94, </w:t>
      </w:r>
      <w:proofErr w:type="spellStart"/>
      <w:r w:rsidRPr="00341839">
        <w:rPr>
          <w:rFonts w:cs="Times New Roman"/>
          <w:color w:val="000000"/>
          <w:sz w:val="24"/>
          <w:szCs w:val="24"/>
        </w:rPr>
        <w:t>Reports</w:t>
      </w:r>
      <w:proofErr w:type="spellEnd"/>
      <w:r w:rsidRPr="00341839">
        <w:rPr>
          <w:rFonts w:cs="Times New Roman"/>
          <w:color w:val="000000"/>
          <w:sz w:val="24"/>
          <w:szCs w:val="24"/>
        </w:rPr>
        <w:t xml:space="preserve"> 1998-VI.</w:t>
      </w:r>
    </w:p>
    <w:p w:rsidR="00DC1275" w:rsidRPr="00341839" w:rsidRDefault="00DC1275" w:rsidP="00DC1275">
      <w:pPr>
        <w:pStyle w:val="Textpoznmkypodiarou"/>
        <w:numPr>
          <w:ilvl w:val="0"/>
          <w:numId w:val="17"/>
        </w:numPr>
        <w:spacing w:line="360" w:lineRule="auto"/>
        <w:ind w:left="426" w:hanging="426"/>
        <w:rPr>
          <w:sz w:val="24"/>
          <w:szCs w:val="24"/>
        </w:rPr>
      </w:pPr>
      <w:r w:rsidRPr="00341839">
        <w:rPr>
          <w:sz w:val="24"/>
          <w:szCs w:val="24"/>
        </w:rPr>
        <w:t xml:space="preserve">Európsky súd pre ľudské práva: Rozsudok zo dňa 8. novembra 2005, </w:t>
      </w:r>
      <w:proofErr w:type="spellStart"/>
      <w:r w:rsidRPr="00341839">
        <w:rPr>
          <w:i/>
          <w:sz w:val="24"/>
          <w:szCs w:val="24"/>
        </w:rPr>
        <w:t>Bíro</w:t>
      </w:r>
      <w:proofErr w:type="spellEnd"/>
      <w:r w:rsidRPr="00341839">
        <w:rPr>
          <w:i/>
          <w:sz w:val="24"/>
          <w:szCs w:val="24"/>
        </w:rPr>
        <w:t xml:space="preserve"> v. Slovensko</w:t>
      </w:r>
      <w:r w:rsidRPr="00341839">
        <w:rPr>
          <w:rFonts w:cs="Times New Roman"/>
          <w:sz w:val="24"/>
          <w:szCs w:val="24"/>
        </w:rPr>
        <w:t xml:space="preserve">, č. </w:t>
      </w:r>
      <w:r w:rsidRPr="00341839">
        <w:rPr>
          <w:rFonts w:cs="Times New Roman"/>
          <w:color w:val="000000"/>
          <w:sz w:val="24"/>
          <w:szCs w:val="24"/>
        </w:rPr>
        <w:t>46844/99.</w:t>
      </w:r>
    </w:p>
    <w:p w:rsidR="00DC1275" w:rsidRPr="00341839" w:rsidRDefault="00DC1275" w:rsidP="00DC1275">
      <w:pPr>
        <w:pStyle w:val="Odsekzoznamu"/>
        <w:numPr>
          <w:ilvl w:val="0"/>
          <w:numId w:val="17"/>
        </w:numPr>
        <w:ind w:left="426" w:hanging="426"/>
        <w:rPr>
          <w:rFonts w:cs="Times New Roman"/>
          <w:color w:val="000000"/>
          <w:szCs w:val="24"/>
        </w:rPr>
      </w:pPr>
      <w:r w:rsidRPr="00341839">
        <w:rPr>
          <w:rFonts w:cs="Times New Roman"/>
          <w:szCs w:val="24"/>
        </w:rPr>
        <w:t xml:space="preserve">Európsky súd pre ľudské práva: Rozsudok zo dňa 8. marca 2006, </w:t>
      </w:r>
      <w:proofErr w:type="spellStart"/>
      <w:r w:rsidRPr="00341839">
        <w:rPr>
          <w:rFonts w:cs="Times New Roman"/>
          <w:i/>
          <w:szCs w:val="24"/>
        </w:rPr>
        <w:t>Blečič</w:t>
      </w:r>
      <w:proofErr w:type="spellEnd"/>
      <w:r w:rsidRPr="00341839">
        <w:rPr>
          <w:rFonts w:cs="Times New Roman"/>
          <w:i/>
          <w:szCs w:val="24"/>
        </w:rPr>
        <w:t xml:space="preserve"> v. Chorvátsko</w:t>
      </w:r>
      <w:r w:rsidRPr="00341839">
        <w:rPr>
          <w:rFonts w:cs="Times New Roman"/>
          <w:szCs w:val="24"/>
        </w:rPr>
        <w:t xml:space="preserve">, č. </w:t>
      </w:r>
      <w:r w:rsidRPr="00341839">
        <w:rPr>
          <w:rFonts w:cs="Times New Roman"/>
          <w:color w:val="000000"/>
          <w:szCs w:val="24"/>
        </w:rPr>
        <w:t xml:space="preserve">59532/00, </w:t>
      </w:r>
      <w:proofErr w:type="spellStart"/>
      <w:r w:rsidRPr="00341839">
        <w:rPr>
          <w:rFonts w:cs="Times New Roman"/>
          <w:color w:val="000000"/>
          <w:szCs w:val="24"/>
        </w:rPr>
        <w:t>Reports</w:t>
      </w:r>
      <w:proofErr w:type="spellEnd"/>
      <w:r w:rsidRPr="00341839">
        <w:rPr>
          <w:rFonts w:cs="Times New Roman"/>
          <w:color w:val="000000"/>
          <w:szCs w:val="24"/>
        </w:rPr>
        <w:t xml:space="preserve"> </w:t>
      </w:r>
      <w:proofErr w:type="spellStart"/>
      <w:r w:rsidRPr="00341839">
        <w:rPr>
          <w:rFonts w:cs="Times New Roman"/>
          <w:color w:val="000000"/>
          <w:szCs w:val="24"/>
        </w:rPr>
        <w:t>of</w:t>
      </w:r>
      <w:proofErr w:type="spellEnd"/>
      <w:r w:rsidRPr="00341839">
        <w:rPr>
          <w:rFonts w:cs="Times New Roman"/>
          <w:color w:val="000000"/>
          <w:szCs w:val="24"/>
        </w:rPr>
        <w:t xml:space="preserve"> </w:t>
      </w:r>
      <w:proofErr w:type="spellStart"/>
      <w:r w:rsidRPr="00341839">
        <w:rPr>
          <w:rFonts w:cs="Times New Roman"/>
          <w:color w:val="000000"/>
          <w:szCs w:val="24"/>
        </w:rPr>
        <w:t>Judgments</w:t>
      </w:r>
      <w:proofErr w:type="spellEnd"/>
      <w:r w:rsidRPr="00341839">
        <w:rPr>
          <w:rFonts w:cs="Times New Roman"/>
          <w:color w:val="000000"/>
          <w:szCs w:val="24"/>
        </w:rPr>
        <w:t xml:space="preserve"> and </w:t>
      </w:r>
      <w:proofErr w:type="spellStart"/>
      <w:r w:rsidRPr="00341839">
        <w:rPr>
          <w:rFonts w:cs="Times New Roman"/>
          <w:color w:val="000000"/>
          <w:szCs w:val="24"/>
        </w:rPr>
        <w:t>Decisions</w:t>
      </w:r>
      <w:proofErr w:type="spellEnd"/>
      <w:r w:rsidRPr="00341839">
        <w:rPr>
          <w:rFonts w:cs="Times New Roman"/>
          <w:color w:val="000000"/>
          <w:szCs w:val="24"/>
        </w:rPr>
        <w:t xml:space="preserve"> 2006-III, § 77 – 79.</w:t>
      </w:r>
    </w:p>
    <w:p w:rsidR="00DC1275" w:rsidRPr="00341839" w:rsidRDefault="00DC1275" w:rsidP="00DC1275">
      <w:pPr>
        <w:pStyle w:val="Textpoznmkypodiarou"/>
        <w:numPr>
          <w:ilvl w:val="0"/>
          <w:numId w:val="17"/>
        </w:numPr>
        <w:spacing w:line="360" w:lineRule="auto"/>
        <w:ind w:left="426" w:hanging="426"/>
        <w:rPr>
          <w:rFonts w:cs="Times New Roman"/>
          <w:color w:val="000000"/>
          <w:sz w:val="24"/>
          <w:szCs w:val="24"/>
        </w:rPr>
      </w:pPr>
      <w:r w:rsidRPr="00341839">
        <w:rPr>
          <w:rFonts w:cs="Times New Roman"/>
          <w:sz w:val="24"/>
          <w:szCs w:val="24"/>
        </w:rPr>
        <w:t xml:space="preserve">Európsky súd pre ľudské práva: Rozsudok zo dňa 10. mája 2001, </w:t>
      </w:r>
      <w:r w:rsidRPr="00341839">
        <w:rPr>
          <w:rFonts w:cs="Times New Roman"/>
          <w:i/>
          <w:sz w:val="24"/>
          <w:szCs w:val="24"/>
        </w:rPr>
        <w:t>Cyprus v. Turecko</w:t>
      </w:r>
      <w:r w:rsidRPr="00341839">
        <w:rPr>
          <w:rFonts w:cs="Times New Roman"/>
          <w:sz w:val="24"/>
          <w:szCs w:val="24"/>
        </w:rPr>
        <w:t xml:space="preserve">, č. </w:t>
      </w:r>
      <w:r w:rsidRPr="00341839">
        <w:rPr>
          <w:rFonts w:cs="Times New Roman"/>
          <w:color w:val="000000"/>
          <w:sz w:val="24"/>
          <w:szCs w:val="24"/>
        </w:rPr>
        <w:t xml:space="preserve">25781/94, </w:t>
      </w:r>
      <w:proofErr w:type="spellStart"/>
      <w:r w:rsidRPr="00341839">
        <w:rPr>
          <w:rFonts w:cs="Times New Roman"/>
          <w:color w:val="000000"/>
          <w:sz w:val="24"/>
          <w:szCs w:val="24"/>
        </w:rPr>
        <w:t>Reports</w:t>
      </w:r>
      <w:proofErr w:type="spellEnd"/>
      <w:r w:rsidRPr="00341839">
        <w:rPr>
          <w:rFonts w:cs="Times New Roman"/>
          <w:color w:val="000000"/>
          <w:sz w:val="24"/>
          <w:szCs w:val="24"/>
        </w:rPr>
        <w:t xml:space="preserve"> </w:t>
      </w:r>
      <w:proofErr w:type="spellStart"/>
      <w:r w:rsidRPr="00341839">
        <w:rPr>
          <w:rFonts w:cs="Times New Roman"/>
          <w:color w:val="000000"/>
          <w:sz w:val="24"/>
          <w:szCs w:val="24"/>
        </w:rPr>
        <w:t>of</w:t>
      </w:r>
      <w:proofErr w:type="spellEnd"/>
      <w:r w:rsidRPr="00341839">
        <w:rPr>
          <w:rFonts w:cs="Times New Roman"/>
          <w:color w:val="000000"/>
          <w:sz w:val="24"/>
          <w:szCs w:val="24"/>
        </w:rPr>
        <w:t xml:space="preserve"> </w:t>
      </w:r>
      <w:proofErr w:type="spellStart"/>
      <w:r w:rsidRPr="00341839">
        <w:rPr>
          <w:rFonts w:cs="Times New Roman"/>
          <w:color w:val="000000"/>
          <w:sz w:val="24"/>
          <w:szCs w:val="24"/>
        </w:rPr>
        <w:t>Judgments</w:t>
      </w:r>
      <w:proofErr w:type="spellEnd"/>
      <w:r w:rsidRPr="00341839">
        <w:rPr>
          <w:rFonts w:cs="Times New Roman"/>
          <w:color w:val="000000"/>
          <w:sz w:val="24"/>
          <w:szCs w:val="24"/>
        </w:rPr>
        <w:t xml:space="preserve"> and </w:t>
      </w:r>
      <w:proofErr w:type="spellStart"/>
      <w:r w:rsidRPr="00341839">
        <w:rPr>
          <w:rFonts w:cs="Times New Roman"/>
          <w:color w:val="000000"/>
          <w:sz w:val="24"/>
          <w:szCs w:val="24"/>
        </w:rPr>
        <w:t>Decisions</w:t>
      </w:r>
      <w:proofErr w:type="spellEnd"/>
      <w:r w:rsidRPr="00341839">
        <w:rPr>
          <w:rFonts w:cs="Times New Roman"/>
          <w:color w:val="000000"/>
          <w:sz w:val="24"/>
          <w:szCs w:val="24"/>
        </w:rPr>
        <w:t xml:space="preserve"> 2001-IV.</w:t>
      </w:r>
    </w:p>
    <w:p w:rsidR="00DC1275" w:rsidRPr="00341839" w:rsidRDefault="00DC1275" w:rsidP="00DC1275">
      <w:pPr>
        <w:pStyle w:val="Textpoznmkypodiarou"/>
        <w:numPr>
          <w:ilvl w:val="0"/>
          <w:numId w:val="17"/>
        </w:numPr>
        <w:spacing w:line="360" w:lineRule="auto"/>
        <w:ind w:left="426" w:hanging="426"/>
        <w:rPr>
          <w:rFonts w:cs="Times New Roman"/>
          <w:sz w:val="24"/>
          <w:szCs w:val="24"/>
        </w:rPr>
      </w:pPr>
      <w:r w:rsidRPr="00341839">
        <w:rPr>
          <w:rFonts w:cs="Times New Roman"/>
          <w:sz w:val="24"/>
          <w:szCs w:val="24"/>
        </w:rPr>
        <w:t xml:space="preserve">Európsky súd pre ľudské práva: Rozsudok zo dňa 18. júna 1971, </w:t>
      </w:r>
      <w:proofErr w:type="spellStart"/>
      <w:r w:rsidRPr="00341839">
        <w:rPr>
          <w:rFonts w:cs="Times New Roman"/>
          <w:i/>
          <w:sz w:val="24"/>
          <w:szCs w:val="24"/>
        </w:rPr>
        <w:t>De</w:t>
      </w:r>
      <w:proofErr w:type="spellEnd"/>
      <w:r w:rsidRPr="00341839">
        <w:rPr>
          <w:rFonts w:cs="Times New Roman"/>
          <w:i/>
          <w:sz w:val="24"/>
          <w:szCs w:val="24"/>
        </w:rPr>
        <w:t xml:space="preserve"> </w:t>
      </w:r>
      <w:proofErr w:type="spellStart"/>
      <w:r w:rsidRPr="00341839">
        <w:rPr>
          <w:rFonts w:cs="Times New Roman"/>
          <w:i/>
          <w:sz w:val="24"/>
          <w:szCs w:val="24"/>
        </w:rPr>
        <w:t>Wilde</w:t>
      </w:r>
      <w:proofErr w:type="spellEnd"/>
      <w:r w:rsidRPr="00341839">
        <w:rPr>
          <w:rFonts w:cs="Times New Roman"/>
          <w:i/>
          <w:sz w:val="24"/>
          <w:szCs w:val="24"/>
        </w:rPr>
        <w:t xml:space="preserve">, </w:t>
      </w:r>
      <w:proofErr w:type="spellStart"/>
      <w:r w:rsidRPr="00341839">
        <w:rPr>
          <w:rFonts w:cs="Times New Roman"/>
          <w:i/>
          <w:sz w:val="24"/>
          <w:szCs w:val="24"/>
        </w:rPr>
        <w:t>Ooms</w:t>
      </w:r>
      <w:proofErr w:type="spellEnd"/>
      <w:r w:rsidRPr="00341839">
        <w:rPr>
          <w:rFonts w:cs="Times New Roman"/>
          <w:i/>
          <w:sz w:val="24"/>
          <w:szCs w:val="24"/>
        </w:rPr>
        <w:t xml:space="preserve"> a </w:t>
      </w:r>
      <w:proofErr w:type="spellStart"/>
      <w:r w:rsidRPr="00341839">
        <w:rPr>
          <w:rFonts w:cs="Times New Roman"/>
          <w:i/>
          <w:sz w:val="24"/>
          <w:szCs w:val="24"/>
        </w:rPr>
        <w:t>Versyp</w:t>
      </w:r>
      <w:proofErr w:type="spellEnd"/>
      <w:r w:rsidRPr="00341839">
        <w:rPr>
          <w:rFonts w:cs="Times New Roman"/>
          <w:i/>
          <w:sz w:val="24"/>
          <w:szCs w:val="24"/>
        </w:rPr>
        <w:t xml:space="preserve"> v. Belgicko</w:t>
      </w:r>
      <w:r w:rsidRPr="00341839">
        <w:rPr>
          <w:rFonts w:cs="Times New Roman"/>
          <w:sz w:val="24"/>
          <w:szCs w:val="24"/>
        </w:rPr>
        <w:t xml:space="preserve">, č. </w:t>
      </w:r>
      <w:r w:rsidRPr="00341839">
        <w:rPr>
          <w:rFonts w:cs="Times New Roman"/>
          <w:color w:val="000000"/>
          <w:sz w:val="24"/>
          <w:szCs w:val="24"/>
        </w:rPr>
        <w:t xml:space="preserve">2832, 2835, 2899/66, </w:t>
      </w:r>
      <w:proofErr w:type="spellStart"/>
      <w:r w:rsidRPr="00341839">
        <w:rPr>
          <w:rFonts w:cs="Times New Roman"/>
          <w:color w:val="000000"/>
          <w:sz w:val="24"/>
          <w:szCs w:val="24"/>
        </w:rPr>
        <w:t>Series</w:t>
      </w:r>
      <w:proofErr w:type="spellEnd"/>
      <w:r w:rsidRPr="00341839">
        <w:rPr>
          <w:rFonts w:cs="Times New Roman"/>
          <w:color w:val="000000"/>
          <w:sz w:val="24"/>
          <w:szCs w:val="24"/>
        </w:rPr>
        <w:t xml:space="preserve"> A 12, 33 s.</w:t>
      </w:r>
    </w:p>
    <w:p w:rsidR="00DC1275" w:rsidRPr="00341839" w:rsidRDefault="00DC1275" w:rsidP="00DC1275">
      <w:pPr>
        <w:pStyle w:val="Textpoznmkypodiarou"/>
        <w:numPr>
          <w:ilvl w:val="0"/>
          <w:numId w:val="17"/>
        </w:numPr>
        <w:spacing w:line="360" w:lineRule="auto"/>
        <w:ind w:left="426" w:hanging="426"/>
        <w:rPr>
          <w:sz w:val="24"/>
          <w:szCs w:val="24"/>
        </w:rPr>
      </w:pPr>
      <w:r w:rsidRPr="00341839">
        <w:rPr>
          <w:sz w:val="24"/>
          <w:szCs w:val="24"/>
        </w:rPr>
        <w:t xml:space="preserve">Európska komisia pre ľudské práva: Rozhodnutie zo dňa 12. decembra 1989, </w:t>
      </w:r>
      <w:r w:rsidRPr="00341839">
        <w:rPr>
          <w:i/>
          <w:sz w:val="24"/>
          <w:szCs w:val="24"/>
        </w:rPr>
        <w:t>Drozd a </w:t>
      </w:r>
      <w:proofErr w:type="spellStart"/>
      <w:r w:rsidRPr="00341839">
        <w:rPr>
          <w:i/>
          <w:sz w:val="24"/>
          <w:szCs w:val="24"/>
        </w:rPr>
        <w:t>Janoušek</w:t>
      </w:r>
      <w:proofErr w:type="spellEnd"/>
      <w:r w:rsidRPr="00341839">
        <w:rPr>
          <w:i/>
          <w:sz w:val="24"/>
          <w:szCs w:val="24"/>
        </w:rPr>
        <w:t xml:space="preserve"> v. Francúzsko a Španielsko</w:t>
      </w:r>
      <w:r w:rsidRPr="00341839">
        <w:rPr>
          <w:sz w:val="24"/>
          <w:szCs w:val="24"/>
        </w:rPr>
        <w:t>, č. 12747/87, D.R. č. 64, 113 s.</w:t>
      </w:r>
    </w:p>
    <w:p w:rsidR="00DC1275" w:rsidRPr="00341839" w:rsidRDefault="00DC1275" w:rsidP="00DC1275">
      <w:pPr>
        <w:pStyle w:val="Odsekzoznamu"/>
        <w:numPr>
          <w:ilvl w:val="0"/>
          <w:numId w:val="17"/>
        </w:numPr>
        <w:ind w:left="426" w:hanging="426"/>
        <w:rPr>
          <w:rFonts w:cs="Times New Roman"/>
          <w:szCs w:val="24"/>
        </w:rPr>
      </w:pPr>
      <w:r w:rsidRPr="00341839">
        <w:rPr>
          <w:rFonts w:cs="Times New Roman"/>
          <w:szCs w:val="24"/>
        </w:rPr>
        <w:t xml:space="preserve">Európsky súd pre ľudské práva: Rozsudok zo dňa 22. októbra 1981, </w:t>
      </w:r>
      <w:proofErr w:type="spellStart"/>
      <w:r w:rsidRPr="00341839">
        <w:rPr>
          <w:rFonts w:cs="Times New Roman"/>
          <w:i/>
          <w:szCs w:val="24"/>
        </w:rPr>
        <w:t>Dudgeon</w:t>
      </w:r>
      <w:proofErr w:type="spellEnd"/>
      <w:r w:rsidRPr="00341839">
        <w:rPr>
          <w:rFonts w:cs="Times New Roman"/>
          <w:i/>
          <w:szCs w:val="24"/>
        </w:rPr>
        <w:t xml:space="preserve"> v. Spojené kráľovstvo</w:t>
      </w:r>
      <w:r w:rsidRPr="00341839">
        <w:rPr>
          <w:rFonts w:cs="Times New Roman"/>
          <w:szCs w:val="24"/>
        </w:rPr>
        <w:t xml:space="preserve">, č. </w:t>
      </w:r>
      <w:r w:rsidRPr="00341839">
        <w:rPr>
          <w:rFonts w:cs="Times New Roman"/>
          <w:color w:val="000000"/>
          <w:szCs w:val="24"/>
        </w:rPr>
        <w:t xml:space="preserve">7525/76, </w:t>
      </w:r>
      <w:proofErr w:type="spellStart"/>
      <w:r w:rsidRPr="00341839">
        <w:rPr>
          <w:rFonts w:cs="Times New Roman"/>
          <w:color w:val="000000"/>
          <w:szCs w:val="24"/>
        </w:rPr>
        <w:t>Series</w:t>
      </w:r>
      <w:proofErr w:type="spellEnd"/>
      <w:r w:rsidRPr="00341839">
        <w:rPr>
          <w:rFonts w:cs="Times New Roman"/>
          <w:color w:val="000000"/>
          <w:szCs w:val="24"/>
        </w:rPr>
        <w:t xml:space="preserve"> </w:t>
      </w:r>
      <w:r w:rsidRPr="00341839">
        <w:rPr>
          <w:rFonts w:cs="Times New Roman"/>
          <w:szCs w:val="24"/>
        </w:rPr>
        <w:t>A 45.</w:t>
      </w:r>
    </w:p>
    <w:p w:rsidR="00DC1275" w:rsidRPr="00341839" w:rsidRDefault="00DC1275" w:rsidP="00DC1275">
      <w:pPr>
        <w:pStyle w:val="Textpoznmkypodiarou"/>
        <w:numPr>
          <w:ilvl w:val="0"/>
          <w:numId w:val="17"/>
        </w:numPr>
        <w:spacing w:line="360" w:lineRule="auto"/>
        <w:ind w:left="426" w:hanging="426"/>
        <w:rPr>
          <w:rFonts w:cs="Times New Roman"/>
          <w:sz w:val="24"/>
          <w:szCs w:val="24"/>
        </w:rPr>
      </w:pPr>
      <w:r w:rsidRPr="00341839">
        <w:rPr>
          <w:rFonts w:cs="Times New Roman"/>
          <w:sz w:val="24"/>
          <w:szCs w:val="24"/>
        </w:rPr>
        <w:t xml:space="preserve">Európska komisia pre ľudské práva: Rozhodnutie zo dňa 3. mája 1988, </w:t>
      </w:r>
      <w:proofErr w:type="spellStart"/>
      <w:r w:rsidRPr="00341839">
        <w:rPr>
          <w:rFonts w:cs="Times New Roman"/>
          <w:i/>
          <w:sz w:val="24"/>
          <w:szCs w:val="24"/>
        </w:rPr>
        <w:t>Frederiksen</w:t>
      </w:r>
      <w:proofErr w:type="spellEnd"/>
      <w:r w:rsidRPr="00341839">
        <w:rPr>
          <w:rFonts w:cs="Times New Roman"/>
          <w:i/>
          <w:sz w:val="24"/>
          <w:szCs w:val="24"/>
        </w:rPr>
        <w:t xml:space="preserve"> a ostatní v. Dánsko</w:t>
      </w:r>
      <w:r w:rsidRPr="00341839">
        <w:rPr>
          <w:rFonts w:cs="Times New Roman"/>
          <w:sz w:val="24"/>
          <w:szCs w:val="24"/>
        </w:rPr>
        <w:t xml:space="preserve">, č. </w:t>
      </w:r>
      <w:r w:rsidRPr="00341839">
        <w:rPr>
          <w:rStyle w:val="hit"/>
          <w:rFonts w:cs="Times New Roman"/>
          <w:color w:val="000000"/>
          <w:sz w:val="24"/>
          <w:szCs w:val="24"/>
        </w:rPr>
        <w:t>12719/87, D.R. č. 56.</w:t>
      </w:r>
    </w:p>
    <w:p w:rsidR="00DC1275" w:rsidRPr="00341839" w:rsidRDefault="00DC1275" w:rsidP="00DC1275">
      <w:pPr>
        <w:pStyle w:val="Textpoznmkypodiarou"/>
        <w:numPr>
          <w:ilvl w:val="0"/>
          <w:numId w:val="17"/>
        </w:numPr>
        <w:spacing w:line="360" w:lineRule="auto"/>
        <w:ind w:left="426" w:hanging="426"/>
        <w:rPr>
          <w:sz w:val="24"/>
          <w:szCs w:val="24"/>
        </w:rPr>
      </w:pPr>
      <w:r w:rsidRPr="00341839">
        <w:rPr>
          <w:sz w:val="24"/>
          <w:szCs w:val="24"/>
        </w:rPr>
        <w:lastRenderedPageBreak/>
        <w:t xml:space="preserve">Európska komisia pre ľudské práva: Rozhodnutie zo dňa 5. marca 1990, </w:t>
      </w:r>
      <w:r w:rsidRPr="00341839">
        <w:rPr>
          <w:i/>
          <w:sz w:val="24"/>
          <w:szCs w:val="24"/>
        </w:rPr>
        <w:t xml:space="preserve">Gama </w:t>
      </w:r>
      <w:proofErr w:type="spellStart"/>
      <w:r w:rsidRPr="00341839">
        <w:rPr>
          <w:i/>
          <w:sz w:val="24"/>
          <w:szCs w:val="24"/>
        </w:rPr>
        <w:t>da</w:t>
      </w:r>
      <w:proofErr w:type="spellEnd"/>
      <w:r w:rsidRPr="00341839">
        <w:rPr>
          <w:i/>
          <w:sz w:val="24"/>
          <w:szCs w:val="24"/>
        </w:rPr>
        <w:t xml:space="preserve"> </w:t>
      </w:r>
      <w:proofErr w:type="spellStart"/>
      <w:r w:rsidRPr="00341839">
        <w:rPr>
          <w:i/>
          <w:sz w:val="24"/>
          <w:szCs w:val="24"/>
        </w:rPr>
        <w:t>Costa</w:t>
      </w:r>
      <w:proofErr w:type="spellEnd"/>
      <w:r w:rsidRPr="00341839">
        <w:rPr>
          <w:i/>
          <w:sz w:val="24"/>
          <w:szCs w:val="24"/>
        </w:rPr>
        <w:t xml:space="preserve"> v. Portugalsko</w:t>
      </w:r>
      <w:r w:rsidRPr="00341839">
        <w:rPr>
          <w:sz w:val="24"/>
          <w:szCs w:val="24"/>
        </w:rPr>
        <w:t>,  č. 12659/87, D.R. č. 65, 136 s.</w:t>
      </w:r>
    </w:p>
    <w:p w:rsidR="00DC1275" w:rsidRPr="00341839" w:rsidRDefault="00DC1275" w:rsidP="00DC1275">
      <w:pPr>
        <w:pStyle w:val="Textpoznmkypodiarou"/>
        <w:numPr>
          <w:ilvl w:val="0"/>
          <w:numId w:val="17"/>
        </w:numPr>
        <w:spacing w:line="360" w:lineRule="auto"/>
        <w:ind w:left="426" w:hanging="426"/>
        <w:rPr>
          <w:sz w:val="24"/>
          <w:szCs w:val="24"/>
        </w:rPr>
      </w:pPr>
      <w:r w:rsidRPr="00341839">
        <w:rPr>
          <w:sz w:val="24"/>
          <w:szCs w:val="24"/>
        </w:rPr>
        <w:t xml:space="preserve">Európska komisia pre ľudské práva: Rozhodnutie zo dňa 6. júla 1988, </w:t>
      </w:r>
      <w:proofErr w:type="spellStart"/>
      <w:r w:rsidRPr="00341839">
        <w:rPr>
          <w:i/>
          <w:sz w:val="24"/>
          <w:szCs w:val="24"/>
        </w:rPr>
        <w:t>Gobrecht</w:t>
      </w:r>
      <w:proofErr w:type="spellEnd"/>
      <w:r w:rsidRPr="00341839">
        <w:rPr>
          <w:i/>
          <w:sz w:val="24"/>
          <w:szCs w:val="24"/>
        </w:rPr>
        <w:t xml:space="preserve"> v. Rakúsko</w:t>
      </w:r>
      <w:r w:rsidRPr="00341839">
        <w:rPr>
          <w:sz w:val="24"/>
          <w:szCs w:val="24"/>
        </w:rPr>
        <w:t>, č. 11744/85, D.R. č. 56, 196 s.</w:t>
      </w:r>
    </w:p>
    <w:p w:rsidR="00DC1275" w:rsidRPr="00341839" w:rsidRDefault="00DC1275" w:rsidP="00DC1275">
      <w:pPr>
        <w:pStyle w:val="Odsekzoznamu"/>
        <w:numPr>
          <w:ilvl w:val="0"/>
          <w:numId w:val="17"/>
        </w:numPr>
        <w:ind w:left="426" w:hanging="426"/>
        <w:rPr>
          <w:rFonts w:eastAsia="Times New Roman" w:cs="Times New Roman"/>
          <w:color w:val="000000"/>
          <w:szCs w:val="24"/>
          <w:lang w:eastAsia="sk-SK"/>
        </w:rPr>
      </w:pPr>
      <w:r w:rsidRPr="00341839">
        <w:rPr>
          <w:rFonts w:cs="Times New Roman"/>
          <w:szCs w:val="24"/>
        </w:rPr>
        <w:t xml:space="preserve">Európsky súd pre ľudské práva: Rozsudok zo dňa 8. júla 2004, </w:t>
      </w:r>
      <w:proofErr w:type="spellStart"/>
      <w:r w:rsidRPr="00341839">
        <w:rPr>
          <w:rFonts w:cs="Times New Roman"/>
          <w:i/>
          <w:szCs w:val="24"/>
        </w:rPr>
        <w:t>Ilascu</w:t>
      </w:r>
      <w:proofErr w:type="spellEnd"/>
      <w:r w:rsidRPr="00341839">
        <w:rPr>
          <w:rFonts w:cs="Times New Roman"/>
          <w:i/>
          <w:szCs w:val="24"/>
        </w:rPr>
        <w:t xml:space="preserve"> v. Moldavsko a Rusko</w:t>
      </w:r>
      <w:r w:rsidRPr="00341839">
        <w:rPr>
          <w:rFonts w:cs="Times New Roman"/>
          <w:szCs w:val="24"/>
        </w:rPr>
        <w:t xml:space="preserve">, č. </w:t>
      </w:r>
      <w:r w:rsidRPr="00341839">
        <w:rPr>
          <w:rFonts w:eastAsia="Times New Roman" w:cs="Times New Roman"/>
          <w:color w:val="000000"/>
          <w:szCs w:val="24"/>
          <w:lang w:eastAsia="sk-SK"/>
        </w:rPr>
        <w:t xml:space="preserve">48787/99, </w:t>
      </w:r>
      <w:proofErr w:type="spellStart"/>
      <w:r w:rsidRPr="00341839">
        <w:rPr>
          <w:rFonts w:eastAsia="Times New Roman" w:cs="Times New Roman"/>
          <w:color w:val="000000"/>
          <w:szCs w:val="24"/>
          <w:lang w:eastAsia="sk-SK"/>
        </w:rPr>
        <w:t>Reports</w:t>
      </w:r>
      <w:proofErr w:type="spellEnd"/>
      <w:r w:rsidRPr="00341839">
        <w:rPr>
          <w:rFonts w:eastAsia="Times New Roman" w:cs="Times New Roman"/>
          <w:color w:val="000000"/>
          <w:szCs w:val="24"/>
          <w:lang w:eastAsia="sk-SK"/>
        </w:rPr>
        <w:t xml:space="preserve"> </w:t>
      </w:r>
      <w:proofErr w:type="spellStart"/>
      <w:r w:rsidRPr="00341839">
        <w:rPr>
          <w:rFonts w:eastAsia="Times New Roman" w:cs="Times New Roman"/>
          <w:color w:val="000000"/>
          <w:szCs w:val="24"/>
          <w:lang w:eastAsia="sk-SK"/>
        </w:rPr>
        <w:t>of</w:t>
      </w:r>
      <w:proofErr w:type="spellEnd"/>
      <w:r w:rsidRPr="00341839">
        <w:rPr>
          <w:rFonts w:eastAsia="Times New Roman" w:cs="Times New Roman"/>
          <w:color w:val="000000"/>
          <w:szCs w:val="24"/>
          <w:lang w:eastAsia="sk-SK"/>
        </w:rPr>
        <w:t xml:space="preserve"> </w:t>
      </w:r>
      <w:proofErr w:type="spellStart"/>
      <w:r w:rsidRPr="00341839">
        <w:rPr>
          <w:rFonts w:eastAsia="Times New Roman" w:cs="Times New Roman"/>
          <w:color w:val="000000"/>
          <w:szCs w:val="24"/>
          <w:lang w:eastAsia="sk-SK"/>
        </w:rPr>
        <w:t>Judgments</w:t>
      </w:r>
      <w:proofErr w:type="spellEnd"/>
      <w:r w:rsidRPr="00341839">
        <w:rPr>
          <w:rFonts w:eastAsia="Times New Roman" w:cs="Times New Roman"/>
          <w:color w:val="000000"/>
          <w:szCs w:val="24"/>
          <w:lang w:eastAsia="sk-SK"/>
        </w:rPr>
        <w:t xml:space="preserve"> and </w:t>
      </w:r>
      <w:proofErr w:type="spellStart"/>
      <w:r w:rsidRPr="00341839">
        <w:rPr>
          <w:rFonts w:eastAsia="Times New Roman" w:cs="Times New Roman"/>
          <w:color w:val="000000"/>
          <w:szCs w:val="24"/>
          <w:lang w:eastAsia="sk-SK"/>
        </w:rPr>
        <w:t>Decisions</w:t>
      </w:r>
      <w:proofErr w:type="spellEnd"/>
      <w:r w:rsidRPr="00341839">
        <w:rPr>
          <w:rFonts w:eastAsia="Times New Roman" w:cs="Times New Roman"/>
          <w:color w:val="000000"/>
          <w:szCs w:val="24"/>
          <w:lang w:eastAsia="sk-SK"/>
        </w:rPr>
        <w:t xml:space="preserve"> 2004-VII, ods. 480.</w:t>
      </w:r>
    </w:p>
    <w:p w:rsidR="00DC1275" w:rsidRPr="00341839" w:rsidRDefault="00DC1275" w:rsidP="00DC1275">
      <w:pPr>
        <w:pStyle w:val="Textpoznmkypodiarou"/>
        <w:numPr>
          <w:ilvl w:val="0"/>
          <w:numId w:val="17"/>
        </w:numPr>
        <w:spacing w:line="360" w:lineRule="auto"/>
        <w:ind w:left="426" w:hanging="426"/>
        <w:rPr>
          <w:sz w:val="24"/>
          <w:szCs w:val="24"/>
        </w:rPr>
      </w:pPr>
      <w:r w:rsidRPr="00341839">
        <w:rPr>
          <w:sz w:val="24"/>
          <w:szCs w:val="24"/>
        </w:rPr>
        <w:t xml:space="preserve">Medzinárodný súdny dvor: Rozsudok zo dňa 21. marca 1959, </w:t>
      </w:r>
      <w:proofErr w:type="spellStart"/>
      <w:r w:rsidRPr="00341839">
        <w:rPr>
          <w:i/>
          <w:sz w:val="24"/>
          <w:szCs w:val="24"/>
        </w:rPr>
        <w:t>Interhandel</w:t>
      </w:r>
      <w:proofErr w:type="spellEnd"/>
      <w:r w:rsidRPr="00341839">
        <w:rPr>
          <w:i/>
          <w:sz w:val="24"/>
          <w:szCs w:val="24"/>
        </w:rPr>
        <w:t xml:space="preserve"> (Švajčiarsko v. USA)</w:t>
      </w:r>
      <w:r w:rsidRPr="00341839">
        <w:rPr>
          <w:sz w:val="24"/>
          <w:szCs w:val="24"/>
        </w:rPr>
        <w:t xml:space="preserve">, I.C.J. </w:t>
      </w:r>
      <w:proofErr w:type="spellStart"/>
      <w:r w:rsidRPr="00341839">
        <w:rPr>
          <w:sz w:val="24"/>
          <w:szCs w:val="24"/>
        </w:rPr>
        <w:t>Reports</w:t>
      </w:r>
      <w:proofErr w:type="spellEnd"/>
      <w:r w:rsidRPr="00341839">
        <w:rPr>
          <w:sz w:val="24"/>
          <w:szCs w:val="24"/>
        </w:rPr>
        <w:t xml:space="preserve"> 1959, 6 s.</w:t>
      </w:r>
    </w:p>
    <w:p w:rsidR="00DC1275" w:rsidRPr="00341839" w:rsidRDefault="00DC1275" w:rsidP="00DC1275">
      <w:pPr>
        <w:pStyle w:val="Textpoznmkypodiarou"/>
        <w:numPr>
          <w:ilvl w:val="0"/>
          <w:numId w:val="17"/>
        </w:numPr>
        <w:spacing w:line="360" w:lineRule="auto"/>
        <w:ind w:left="426" w:hanging="426"/>
        <w:rPr>
          <w:sz w:val="24"/>
          <w:szCs w:val="24"/>
        </w:rPr>
      </w:pPr>
      <w:r w:rsidRPr="00341839">
        <w:rPr>
          <w:sz w:val="24"/>
          <w:szCs w:val="24"/>
        </w:rPr>
        <w:t xml:space="preserve">Európsky súd pre ľudské práva: Rozhodnutie zo dňa 1. júna 2010, </w:t>
      </w:r>
      <w:proofErr w:type="spellStart"/>
      <w:r w:rsidRPr="00341839">
        <w:rPr>
          <w:i/>
          <w:sz w:val="24"/>
          <w:szCs w:val="24"/>
        </w:rPr>
        <w:t>Ionescu</w:t>
      </w:r>
      <w:proofErr w:type="spellEnd"/>
      <w:r w:rsidRPr="00341839">
        <w:rPr>
          <w:i/>
          <w:sz w:val="24"/>
          <w:szCs w:val="24"/>
        </w:rPr>
        <w:t xml:space="preserve"> v. Rumunsko</w:t>
      </w:r>
      <w:r w:rsidRPr="00341839">
        <w:rPr>
          <w:sz w:val="24"/>
          <w:szCs w:val="24"/>
        </w:rPr>
        <w:t>, č. 36659/04.</w:t>
      </w:r>
    </w:p>
    <w:p w:rsidR="00DC1275" w:rsidRPr="00341839" w:rsidRDefault="00DC1275" w:rsidP="00DC1275">
      <w:pPr>
        <w:pStyle w:val="Textpoznmkypodiarou"/>
        <w:numPr>
          <w:ilvl w:val="0"/>
          <w:numId w:val="17"/>
        </w:numPr>
        <w:spacing w:line="360" w:lineRule="auto"/>
        <w:ind w:left="426" w:hanging="426"/>
        <w:rPr>
          <w:sz w:val="24"/>
          <w:szCs w:val="24"/>
        </w:rPr>
      </w:pPr>
      <w:r w:rsidRPr="00341839">
        <w:rPr>
          <w:rFonts w:cs="Times New Roman"/>
          <w:sz w:val="24"/>
          <w:szCs w:val="24"/>
        </w:rPr>
        <w:t xml:space="preserve">Európsky súd pre ľudské práva: Rozsudok zo dňa 6. septembra 1978, </w:t>
      </w:r>
      <w:proofErr w:type="spellStart"/>
      <w:r w:rsidRPr="00341839">
        <w:rPr>
          <w:rFonts w:cs="Times New Roman"/>
          <w:i/>
          <w:sz w:val="24"/>
          <w:szCs w:val="24"/>
        </w:rPr>
        <w:t>Klass</w:t>
      </w:r>
      <w:proofErr w:type="spellEnd"/>
      <w:r w:rsidRPr="00341839">
        <w:rPr>
          <w:rFonts w:cs="Times New Roman"/>
          <w:i/>
          <w:sz w:val="24"/>
          <w:szCs w:val="24"/>
        </w:rPr>
        <w:t xml:space="preserve"> v. Nemecko</w:t>
      </w:r>
      <w:r w:rsidRPr="00341839">
        <w:rPr>
          <w:rFonts w:cs="Times New Roman"/>
          <w:sz w:val="24"/>
          <w:szCs w:val="24"/>
        </w:rPr>
        <w:t xml:space="preserve">, č. </w:t>
      </w:r>
      <w:r w:rsidRPr="00341839">
        <w:rPr>
          <w:rFonts w:cs="Times New Roman"/>
          <w:color w:val="000000"/>
          <w:sz w:val="24"/>
          <w:szCs w:val="24"/>
        </w:rPr>
        <w:t xml:space="preserve">5029/71, </w:t>
      </w:r>
      <w:proofErr w:type="spellStart"/>
      <w:r w:rsidRPr="00341839">
        <w:rPr>
          <w:rFonts w:cs="Times New Roman"/>
          <w:color w:val="000000"/>
          <w:sz w:val="24"/>
          <w:szCs w:val="24"/>
        </w:rPr>
        <w:t>Series</w:t>
      </w:r>
      <w:proofErr w:type="spellEnd"/>
      <w:r w:rsidRPr="00341839">
        <w:rPr>
          <w:rFonts w:cs="Times New Roman"/>
          <w:color w:val="000000"/>
          <w:sz w:val="24"/>
          <w:szCs w:val="24"/>
        </w:rPr>
        <w:t xml:space="preserve"> A 28, 17 s</w:t>
      </w:r>
      <w:r w:rsidRPr="00341839">
        <w:rPr>
          <w:rFonts w:ascii="Verdana" w:hAnsi="Verdana"/>
          <w:color w:val="000000"/>
          <w:sz w:val="24"/>
          <w:szCs w:val="24"/>
        </w:rPr>
        <w:t>.</w:t>
      </w:r>
    </w:p>
    <w:p w:rsidR="00DC1275" w:rsidRPr="00341839" w:rsidRDefault="00DC1275" w:rsidP="00DC1275">
      <w:pPr>
        <w:pStyle w:val="Textpoznmkypodiarou"/>
        <w:numPr>
          <w:ilvl w:val="0"/>
          <w:numId w:val="17"/>
        </w:numPr>
        <w:spacing w:line="360" w:lineRule="auto"/>
        <w:ind w:left="426" w:hanging="426"/>
        <w:rPr>
          <w:sz w:val="24"/>
          <w:szCs w:val="24"/>
        </w:rPr>
      </w:pPr>
      <w:r w:rsidRPr="00341839">
        <w:rPr>
          <w:sz w:val="24"/>
          <w:szCs w:val="24"/>
        </w:rPr>
        <w:t xml:space="preserve">Európsky súd pre ľudské práva: Rozhodnutie zo dňa 1. júla 2010, </w:t>
      </w:r>
      <w:proofErr w:type="spellStart"/>
      <w:r w:rsidRPr="00341839">
        <w:rPr>
          <w:i/>
          <w:sz w:val="24"/>
          <w:szCs w:val="24"/>
        </w:rPr>
        <w:t>Korolev</w:t>
      </w:r>
      <w:proofErr w:type="spellEnd"/>
      <w:r w:rsidRPr="00341839">
        <w:rPr>
          <w:i/>
          <w:sz w:val="24"/>
          <w:szCs w:val="24"/>
        </w:rPr>
        <w:t xml:space="preserve"> v. Rusko</w:t>
      </w:r>
      <w:r w:rsidRPr="00341839">
        <w:rPr>
          <w:sz w:val="24"/>
          <w:szCs w:val="24"/>
        </w:rPr>
        <w:t xml:space="preserve">, č. 25551/05, </w:t>
      </w:r>
      <w:proofErr w:type="spellStart"/>
      <w:r w:rsidRPr="00341839">
        <w:rPr>
          <w:sz w:val="24"/>
          <w:szCs w:val="24"/>
        </w:rPr>
        <w:t>Reports</w:t>
      </w:r>
      <w:proofErr w:type="spellEnd"/>
      <w:r w:rsidRPr="00341839">
        <w:rPr>
          <w:sz w:val="24"/>
          <w:szCs w:val="24"/>
        </w:rPr>
        <w:t xml:space="preserve"> </w:t>
      </w:r>
      <w:proofErr w:type="spellStart"/>
      <w:r w:rsidRPr="00341839">
        <w:rPr>
          <w:sz w:val="24"/>
          <w:szCs w:val="24"/>
        </w:rPr>
        <w:t>of</w:t>
      </w:r>
      <w:proofErr w:type="spellEnd"/>
      <w:r w:rsidRPr="00341839">
        <w:rPr>
          <w:sz w:val="24"/>
          <w:szCs w:val="24"/>
        </w:rPr>
        <w:t xml:space="preserve"> </w:t>
      </w:r>
      <w:proofErr w:type="spellStart"/>
      <w:r w:rsidRPr="00341839">
        <w:rPr>
          <w:sz w:val="24"/>
          <w:szCs w:val="24"/>
        </w:rPr>
        <w:t>Judgments</w:t>
      </w:r>
      <w:proofErr w:type="spellEnd"/>
      <w:r w:rsidRPr="00341839">
        <w:rPr>
          <w:sz w:val="24"/>
          <w:szCs w:val="24"/>
        </w:rPr>
        <w:t xml:space="preserve"> and </w:t>
      </w:r>
      <w:proofErr w:type="spellStart"/>
      <w:r w:rsidRPr="00341839">
        <w:rPr>
          <w:sz w:val="24"/>
          <w:szCs w:val="24"/>
        </w:rPr>
        <w:t>Decisions</w:t>
      </w:r>
      <w:proofErr w:type="spellEnd"/>
      <w:r w:rsidRPr="00341839">
        <w:rPr>
          <w:sz w:val="24"/>
          <w:szCs w:val="24"/>
        </w:rPr>
        <w:t>.</w:t>
      </w:r>
    </w:p>
    <w:p w:rsidR="00DC1275" w:rsidRPr="00341839" w:rsidRDefault="00DC1275" w:rsidP="00DC1275">
      <w:pPr>
        <w:pStyle w:val="Odsekzoznamu"/>
        <w:numPr>
          <w:ilvl w:val="0"/>
          <w:numId w:val="17"/>
        </w:numPr>
        <w:ind w:left="426" w:hanging="426"/>
        <w:rPr>
          <w:rFonts w:cs="Times New Roman"/>
          <w:color w:val="000000"/>
          <w:szCs w:val="24"/>
        </w:rPr>
      </w:pPr>
      <w:r w:rsidRPr="00341839">
        <w:rPr>
          <w:szCs w:val="24"/>
        </w:rPr>
        <w:t xml:space="preserve">Európska komisia pre ľudské práva: Rozhodnutie zo dňa 2. júla 2002, </w:t>
      </w:r>
      <w:r w:rsidRPr="00341839">
        <w:rPr>
          <w:i/>
          <w:szCs w:val="24"/>
        </w:rPr>
        <w:t>Lacko v. Slovensko</w:t>
      </w:r>
      <w:r w:rsidRPr="00341839">
        <w:rPr>
          <w:szCs w:val="24"/>
        </w:rPr>
        <w:t xml:space="preserve">, č. </w:t>
      </w:r>
      <w:r w:rsidRPr="00341839">
        <w:rPr>
          <w:rFonts w:cs="Times New Roman"/>
          <w:color w:val="000000"/>
          <w:szCs w:val="24"/>
        </w:rPr>
        <w:t>47237/99.</w:t>
      </w:r>
    </w:p>
    <w:p w:rsidR="00DC1275" w:rsidRPr="00341839" w:rsidRDefault="00DC1275" w:rsidP="00DC1275">
      <w:pPr>
        <w:pStyle w:val="Textpoznmkypodiarou"/>
        <w:numPr>
          <w:ilvl w:val="0"/>
          <w:numId w:val="17"/>
        </w:numPr>
        <w:spacing w:line="360" w:lineRule="auto"/>
        <w:ind w:left="426" w:hanging="426"/>
        <w:rPr>
          <w:sz w:val="24"/>
          <w:szCs w:val="24"/>
        </w:rPr>
      </w:pPr>
      <w:r w:rsidRPr="00341839">
        <w:rPr>
          <w:sz w:val="24"/>
          <w:szCs w:val="24"/>
        </w:rPr>
        <w:t xml:space="preserve">Európsky súd pre ľudské práva: Rozsudok zo dňa 23. marca 1995, </w:t>
      </w:r>
      <w:proofErr w:type="spellStart"/>
      <w:r w:rsidRPr="00341839">
        <w:rPr>
          <w:i/>
          <w:sz w:val="24"/>
          <w:szCs w:val="24"/>
        </w:rPr>
        <w:t>Loizidou</w:t>
      </w:r>
      <w:proofErr w:type="spellEnd"/>
      <w:r w:rsidRPr="00341839">
        <w:rPr>
          <w:i/>
          <w:sz w:val="24"/>
          <w:szCs w:val="24"/>
        </w:rPr>
        <w:t xml:space="preserve"> v. Turecko</w:t>
      </w:r>
      <w:r w:rsidRPr="00341839">
        <w:rPr>
          <w:sz w:val="24"/>
          <w:szCs w:val="24"/>
        </w:rPr>
        <w:t xml:space="preserve">, č. </w:t>
      </w:r>
      <w:r w:rsidRPr="00341839">
        <w:rPr>
          <w:rFonts w:cs="Times New Roman"/>
          <w:color w:val="000000"/>
          <w:sz w:val="24"/>
          <w:szCs w:val="24"/>
        </w:rPr>
        <w:t xml:space="preserve">15318/89, </w:t>
      </w:r>
      <w:proofErr w:type="spellStart"/>
      <w:r w:rsidRPr="00341839">
        <w:rPr>
          <w:rFonts w:cs="Times New Roman"/>
          <w:color w:val="000000"/>
          <w:sz w:val="24"/>
          <w:szCs w:val="24"/>
        </w:rPr>
        <w:t>Series</w:t>
      </w:r>
      <w:proofErr w:type="spellEnd"/>
      <w:r w:rsidRPr="00341839">
        <w:rPr>
          <w:rFonts w:cs="Times New Roman"/>
          <w:color w:val="000000"/>
          <w:sz w:val="24"/>
          <w:szCs w:val="24"/>
        </w:rPr>
        <w:t xml:space="preserve"> A 310.</w:t>
      </w:r>
    </w:p>
    <w:p w:rsidR="00DC1275" w:rsidRPr="00341839" w:rsidRDefault="00DC1275" w:rsidP="00DC1275">
      <w:pPr>
        <w:pStyle w:val="Odsekzoznamu"/>
        <w:numPr>
          <w:ilvl w:val="0"/>
          <w:numId w:val="17"/>
        </w:numPr>
        <w:ind w:left="426" w:hanging="426"/>
        <w:rPr>
          <w:rFonts w:eastAsia="Times New Roman" w:cs="Times New Roman"/>
          <w:color w:val="000000"/>
          <w:szCs w:val="24"/>
          <w:lang w:eastAsia="sk-SK"/>
        </w:rPr>
      </w:pPr>
      <w:r w:rsidRPr="00341839">
        <w:rPr>
          <w:rFonts w:cs="Times New Roman"/>
          <w:szCs w:val="24"/>
        </w:rPr>
        <w:t xml:space="preserve">Európsky súd pre ľudské práva: Rozsudok zo dňa 13. júna 1979, </w:t>
      </w:r>
      <w:proofErr w:type="spellStart"/>
      <w:r w:rsidRPr="00341839">
        <w:rPr>
          <w:rFonts w:cs="Times New Roman"/>
          <w:i/>
          <w:szCs w:val="24"/>
        </w:rPr>
        <w:t>Marckx</w:t>
      </w:r>
      <w:proofErr w:type="spellEnd"/>
      <w:r w:rsidRPr="00341839">
        <w:rPr>
          <w:rFonts w:cs="Times New Roman"/>
          <w:i/>
          <w:szCs w:val="24"/>
        </w:rPr>
        <w:t xml:space="preserve"> v. Belgicko</w:t>
      </w:r>
      <w:r w:rsidRPr="00341839">
        <w:rPr>
          <w:rFonts w:cs="Times New Roman"/>
          <w:szCs w:val="24"/>
        </w:rPr>
        <w:t xml:space="preserve">, č. </w:t>
      </w:r>
      <w:r w:rsidRPr="00341839">
        <w:rPr>
          <w:rFonts w:eastAsia="Times New Roman" w:cs="Times New Roman"/>
          <w:color w:val="000000"/>
          <w:szCs w:val="24"/>
          <w:lang w:eastAsia="sk-SK"/>
        </w:rPr>
        <w:t xml:space="preserve">6833/74, </w:t>
      </w:r>
      <w:proofErr w:type="spellStart"/>
      <w:r w:rsidRPr="00341839">
        <w:rPr>
          <w:rFonts w:eastAsia="Times New Roman" w:cs="Times New Roman"/>
          <w:color w:val="000000"/>
          <w:szCs w:val="24"/>
          <w:lang w:eastAsia="sk-SK"/>
        </w:rPr>
        <w:t>Series</w:t>
      </w:r>
      <w:proofErr w:type="spellEnd"/>
      <w:r w:rsidRPr="00341839">
        <w:rPr>
          <w:rFonts w:eastAsia="Times New Roman" w:cs="Times New Roman"/>
          <w:color w:val="000000"/>
          <w:szCs w:val="24"/>
          <w:lang w:eastAsia="sk-SK"/>
        </w:rPr>
        <w:t xml:space="preserve"> A 31, s. 12 - 14.</w:t>
      </w:r>
    </w:p>
    <w:p w:rsidR="00DC1275" w:rsidRPr="00341839" w:rsidRDefault="00DC1275" w:rsidP="00DC1275">
      <w:pPr>
        <w:pStyle w:val="Textpoznmkypodiarou"/>
        <w:numPr>
          <w:ilvl w:val="0"/>
          <w:numId w:val="17"/>
        </w:numPr>
        <w:spacing w:line="360" w:lineRule="auto"/>
        <w:ind w:left="426" w:hanging="426"/>
        <w:rPr>
          <w:sz w:val="24"/>
          <w:szCs w:val="24"/>
        </w:rPr>
      </w:pPr>
      <w:r w:rsidRPr="00341839">
        <w:rPr>
          <w:sz w:val="24"/>
          <w:szCs w:val="24"/>
        </w:rPr>
        <w:t xml:space="preserve">Európska komisia pre ľudské práva: Rozhodnutie zo dňa 29. mája 1974, </w:t>
      </w:r>
      <w:r w:rsidRPr="00341839">
        <w:rPr>
          <w:i/>
          <w:sz w:val="24"/>
          <w:szCs w:val="24"/>
        </w:rPr>
        <w:t xml:space="preserve">Monika </w:t>
      </w:r>
      <w:proofErr w:type="spellStart"/>
      <w:r w:rsidRPr="00341839">
        <w:rPr>
          <w:i/>
          <w:sz w:val="24"/>
          <w:szCs w:val="24"/>
        </w:rPr>
        <w:t>Berberich</w:t>
      </w:r>
      <w:proofErr w:type="spellEnd"/>
      <w:r w:rsidRPr="00341839">
        <w:rPr>
          <w:i/>
          <w:sz w:val="24"/>
          <w:szCs w:val="24"/>
        </w:rPr>
        <w:t xml:space="preserve"> v. Nemecko</w:t>
      </w:r>
      <w:r w:rsidRPr="00341839">
        <w:rPr>
          <w:sz w:val="24"/>
          <w:szCs w:val="24"/>
        </w:rPr>
        <w:t xml:space="preserve">, č. 5874/72, </w:t>
      </w:r>
      <w:proofErr w:type="spellStart"/>
      <w:r w:rsidRPr="00341839">
        <w:rPr>
          <w:sz w:val="24"/>
          <w:szCs w:val="24"/>
        </w:rPr>
        <w:t>Yearbook</w:t>
      </w:r>
      <w:proofErr w:type="spellEnd"/>
      <w:r w:rsidRPr="00341839">
        <w:rPr>
          <w:sz w:val="24"/>
          <w:szCs w:val="24"/>
        </w:rPr>
        <w:t xml:space="preserve"> XVII, 386 s.</w:t>
      </w:r>
    </w:p>
    <w:p w:rsidR="00DC1275" w:rsidRPr="00341839" w:rsidRDefault="00DC1275" w:rsidP="00DC1275">
      <w:pPr>
        <w:pStyle w:val="Odsekzoznamu"/>
        <w:numPr>
          <w:ilvl w:val="0"/>
          <w:numId w:val="17"/>
        </w:numPr>
        <w:ind w:left="426" w:hanging="426"/>
        <w:rPr>
          <w:szCs w:val="24"/>
        </w:rPr>
      </w:pPr>
      <w:r w:rsidRPr="00341839">
        <w:rPr>
          <w:szCs w:val="24"/>
        </w:rPr>
        <w:t xml:space="preserve">Európska komisia pre ľudské práva: Rozhodnutie zo dňa 15. marca 1961, </w:t>
      </w:r>
      <w:proofErr w:type="spellStart"/>
      <w:r w:rsidRPr="00341839">
        <w:rPr>
          <w:i/>
          <w:szCs w:val="24"/>
        </w:rPr>
        <w:t>Nielsen</w:t>
      </w:r>
      <w:proofErr w:type="spellEnd"/>
      <w:r w:rsidRPr="00341839">
        <w:rPr>
          <w:i/>
          <w:szCs w:val="24"/>
        </w:rPr>
        <w:t xml:space="preserve"> v. Dánsko</w:t>
      </w:r>
      <w:r w:rsidRPr="00341839">
        <w:rPr>
          <w:szCs w:val="24"/>
        </w:rPr>
        <w:t xml:space="preserve">, č. 343/57, </w:t>
      </w:r>
      <w:proofErr w:type="spellStart"/>
      <w:r w:rsidRPr="00341839">
        <w:rPr>
          <w:szCs w:val="24"/>
        </w:rPr>
        <w:t>Yearbook</w:t>
      </w:r>
      <w:proofErr w:type="spellEnd"/>
      <w:r w:rsidRPr="00341839">
        <w:rPr>
          <w:szCs w:val="24"/>
        </w:rPr>
        <w:t xml:space="preserve"> II, 412 s.</w:t>
      </w:r>
    </w:p>
    <w:p w:rsidR="00DC1275" w:rsidRPr="00341839" w:rsidRDefault="00DC1275" w:rsidP="00DC1275">
      <w:pPr>
        <w:pStyle w:val="Textpoznmkypodiarou"/>
        <w:numPr>
          <w:ilvl w:val="0"/>
          <w:numId w:val="17"/>
        </w:numPr>
        <w:spacing w:line="360" w:lineRule="auto"/>
        <w:ind w:left="426" w:hanging="426"/>
        <w:rPr>
          <w:rFonts w:cs="Times New Roman"/>
          <w:sz w:val="24"/>
          <w:szCs w:val="24"/>
        </w:rPr>
      </w:pPr>
      <w:r w:rsidRPr="00341839">
        <w:rPr>
          <w:rFonts w:cs="Times New Roman"/>
          <w:sz w:val="24"/>
          <w:szCs w:val="24"/>
        </w:rPr>
        <w:t xml:space="preserve">Európsky súd pre ľudské práva: Rozsudok zo dňa 19. októbra 1992, </w:t>
      </w:r>
      <w:proofErr w:type="spellStart"/>
      <w:r w:rsidRPr="00341839">
        <w:rPr>
          <w:rFonts w:cs="Times New Roman"/>
          <w:i/>
          <w:sz w:val="24"/>
          <w:szCs w:val="24"/>
        </w:rPr>
        <w:t>Open</w:t>
      </w:r>
      <w:proofErr w:type="spellEnd"/>
      <w:r w:rsidRPr="00341839">
        <w:rPr>
          <w:rFonts w:cs="Times New Roman"/>
          <w:i/>
          <w:sz w:val="24"/>
          <w:szCs w:val="24"/>
        </w:rPr>
        <w:t xml:space="preserve"> Door and Dublin </w:t>
      </w:r>
      <w:proofErr w:type="spellStart"/>
      <w:r w:rsidRPr="00341839">
        <w:rPr>
          <w:rFonts w:cs="Times New Roman"/>
          <w:i/>
          <w:sz w:val="24"/>
          <w:szCs w:val="24"/>
        </w:rPr>
        <w:t>Well</w:t>
      </w:r>
      <w:proofErr w:type="spellEnd"/>
      <w:r w:rsidRPr="00341839">
        <w:rPr>
          <w:rFonts w:cs="Times New Roman"/>
          <w:i/>
          <w:sz w:val="24"/>
          <w:szCs w:val="24"/>
        </w:rPr>
        <w:t xml:space="preserve"> </w:t>
      </w:r>
      <w:proofErr w:type="spellStart"/>
      <w:r w:rsidRPr="00341839">
        <w:rPr>
          <w:rFonts w:cs="Times New Roman"/>
          <w:i/>
          <w:sz w:val="24"/>
          <w:szCs w:val="24"/>
        </w:rPr>
        <w:t>Woman</w:t>
      </w:r>
      <w:proofErr w:type="spellEnd"/>
      <w:r w:rsidRPr="00341839">
        <w:rPr>
          <w:rFonts w:cs="Times New Roman"/>
          <w:i/>
          <w:sz w:val="24"/>
          <w:szCs w:val="24"/>
        </w:rPr>
        <w:t xml:space="preserve"> v. Írsko</w:t>
      </w:r>
      <w:r w:rsidRPr="00341839">
        <w:rPr>
          <w:rFonts w:cs="Times New Roman"/>
          <w:sz w:val="24"/>
          <w:szCs w:val="24"/>
        </w:rPr>
        <w:t xml:space="preserve">, č. </w:t>
      </w:r>
      <w:r w:rsidRPr="00341839">
        <w:rPr>
          <w:rFonts w:cs="Times New Roman"/>
          <w:color w:val="000000"/>
          <w:sz w:val="24"/>
          <w:szCs w:val="24"/>
        </w:rPr>
        <w:t xml:space="preserve">14234, 14235/88, </w:t>
      </w:r>
      <w:proofErr w:type="spellStart"/>
      <w:r w:rsidRPr="00341839">
        <w:rPr>
          <w:rFonts w:cs="Times New Roman"/>
          <w:color w:val="000000"/>
          <w:sz w:val="24"/>
          <w:szCs w:val="24"/>
        </w:rPr>
        <w:t>Series</w:t>
      </w:r>
      <w:proofErr w:type="spellEnd"/>
      <w:r w:rsidRPr="00341839">
        <w:rPr>
          <w:rFonts w:cs="Times New Roman"/>
          <w:color w:val="000000"/>
          <w:sz w:val="24"/>
          <w:szCs w:val="24"/>
        </w:rPr>
        <w:t xml:space="preserve"> A 246-A, § 41 – 44.</w:t>
      </w:r>
    </w:p>
    <w:p w:rsidR="00DC1275" w:rsidRPr="00341839" w:rsidRDefault="00DC1275" w:rsidP="00DC1275">
      <w:pPr>
        <w:pStyle w:val="Odsekzoznamu"/>
        <w:numPr>
          <w:ilvl w:val="0"/>
          <w:numId w:val="17"/>
        </w:numPr>
        <w:ind w:left="426" w:hanging="426"/>
        <w:rPr>
          <w:szCs w:val="24"/>
        </w:rPr>
      </w:pPr>
      <w:proofErr w:type="spellStart"/>
      <w:r w:rsidRPr="00341839">
        <w:rPr>
          <w:szCs w:val="24"/>
          <w:lang w:val="en-US"/>
        </w:rPr>
        <w:t>Eur</w:t>
      </w:r>
      <w:r w:rsidRPr="00341839">
        <w:rPr>
          <w:szCs w:val="24"/>
        </w:rPr>
        <w:t>ópska</w:t>
      </w:r>
      <w:proofErr w:type="spellEnd"/>
      <w:r w:rsidRPr="00341839">
        <w:rPr>
          <w:szCs w:val="24"/>
        </w:rPr>
        <w:t xml:space="preserve"> komisia pre ľudské práva: Rozhodnutie zo </w:t>
      </w:r>
      <w:proofErr w:type="gramStart"/>
      <w:r w:rsidRPr="00341839">
        <w:rPr>
          <w:szCs w:val="24"/>
        </w:rPr>
        <w:t>dňa</w:t>
      </w:r>
      <w:proofErr w:type="gramEnd"/>
      <w:r w:rsidRPr="00341839">
        <w:rPr>
          <w:szCs w:val="24"/>
        </w:rPr>
        <w:t xml:space="preserve"> 13. mája 1980, </w:t>
      </w:r>
      <w:proofErr w:type="spellStart"/>
      <w:r w:rsidRPr="00341839">
        <w:rPr>
          <w:i/>
          <w:szCs w:val="24"/>
        </w:rPr>
        <w:t>Paton</w:t>
      </w:r>
      <w:proofErr w:type="spellEnd"/>
      <w:r w:rsidRPr="00341839">
        <w:rPr>
          <w:i/>
          <w:szCs w:val="24"/>
        </w:rPr>
        <w:t xml:space="preserve"> v. Spojené kráľovstvo</w:t>
      </w:r>
      <w:r w:rsidRPr="00341839">
        <w:rPr>
          <w:szCs w:val="24"/>
        </w:rPr>
        <w:t>, č. 8416/78, D.R. 19, 244 s.</w:t>
      </w:r>
    </w:p>
    <w:p w:rsidR="00DC1275" w:rsidRPr="00341839" w:rsidRDefault="00DC1275" w:rsidP="00DC1275">
      <w:pPr>
        <w:pStyle w:val="Textpoznmkypodiarou"/>
        <w:numPr>
          <w:ilvl w:val="0"/>
          <w:numId w:val="17"/>
        </w:numPr>
        <w:spacing w:line="360" w:lineRule="auto"/>
        <w:ind w:left="426" w:hanging="426"/>
        <w:rPr>
          <w:rFonts w:cs="Times New Roman"/>
          <w:sz w:val="24"/>
          <w:szCs w:val="24"/>
        </w:rPr>
      </w:pPr>
      <w:r w:rsidRPr="00341839">
        <w:rPr>
          <w:rFonts w:cs="Times New Roman"/>
          <w:sz w:val="24"/>
          <w:szCs w:val="24"/>
        </w:rPr>
        <w:t xml:space="preserve">Európsky súd pre ľudské práva: Rozsudok zo dňa 26. októbra 1993, </w:t>
      </w:r>
      <w:proofErr w:type="spellStart"/>
      <w:r w:rsidRPr="00341839">
        <w:rPr>
          <w:rFonts w:cs="Times New Roman"/>
          <w:i/>
          <w:sz w:val="24"/>
          <w:szCs w:val="24"/>
        </w:rPr>
        <w:t>Stamoulakatos</w:t>
      </w:r>
      <w:proofErr w:type="spellEnd"/>
      <w:r w:rsidRPr="00341839">
        <w:rPr>
          <w:rFonts w:cs="Times New Roman"/>
          <w:i/>
          <w:sz w:val="24"/>
          <w:szCs w:val="24"/>
        </w:rPr>
        <w:t xml:space="preserve"> v. Grécko (č. 1)</w:t>
      </w:r>
      <w:r w:rsidRPr="00341839">
        <w:rPr>
          <w:rFonts w:cs="Times New Roman"/>
          <w:sz w:val="24"/>
          <w:szCs w:val="24"/>
        </w:rPr>
        <w:t xml:space="preserve">, č. </w:t>
      </w:r>
      <w:r w:rsidRPr="00341839">
        <w:rPr>
          <w:rFonts w:cs="Times New Roman"/>
          <w:color w:val="000000"/>
          <w:sz w:val="24"/>
          <w:szCs w:val="24"/>
        </w:rPr>
        <w:t xml:space="preserve">12806/87, </w:t>
      </w:r>
      <w:proofErr w:type="spellStart"/>
      <w:r w:rsidRPr="00341839">
        <w:rPr>
          <w:rFonts w:cs="Times New Roman"/>
          <w:color w:val="000000"/>
          <w:sz w:val="24"/>
          <w:szCs w:val="24"/>
        </w:rPr>
        <w:t>Series</w:t>
      </w:r>
      <w:proofErr w:type="spellEnd"/>
      <w:r w:rsidRPr="00341839">
        <w:rPr>
          <w:rFonts w:cs="Times New Roman"/>
          <w:color w:val="000000"/>
          <w:sz w:val="24"/>
          <w:szCs w:val="24"/>
        </w:rPr>
        <w:t xml:space="preserve"> A 271, § 33.</w:t>
      </w:r>
    </w:p>
    <w:p w:rsidR="00DC1275" w:rsidRPr="00341839" w:rsidRDefault="00DC1275" w:rsidP="00DC1275">
      <w:pPr>
        <w:pStyle w:val="Textpoznmkypodiarou"/>
        <w:numPr>
          <w:ilvl w:val="0"/>
          <w:numId w:val="17"/>
        </w:numPr>
        <w:spacing w:line="360" w:lineRule="auto"/>
        <w:ind w:left="426" w:hanging="426"/>
        <w:rPr>
          <w:rFonts w:cs="Times New Roman"/>
          <w:sz w:val="24"/>
          <w:szCs w:val="24"/>
        </w:rPr>
      </w:pPr>
      <w:r w:rsidRPr="00341839">
        <w:rPr>
          <w:rFonts w:cs="Times New Roman"/>
          <w:sz w:val="24"/>
          <w:szCs w:val="24"/>
        </w:rPr>
        <w:t xml:space="preserve">Európsky súd pre ľudské práva: Rozsudok zo dňa 23. novembra 1983, </w:t>
      </w:r>
      <w:proofErr w:type="spellStart"/>
      <w:r w:rsidRPr="00341839">
        <w:rPr>
          <w:rFonts w:cs="Times New Roman"/>
          <w:i/>
          <w:sz w:val="24"/>
          <w:szCs w:val="24"/>
        </w:rPr>
        <w:t>Van</w:t>
      </w:r>
      <w:proofErr w:type="spellEnd"/>
      <w:r w:rsidRPr="00341839">
        <w:rPr>
          <w:rFonts w:cs="Times New Roman"/>
          <w:i/>
          <w:sz w:val="24"/>
          <w:szCs w:val="24"/>
        </w:rPr>
        <w:t xml:space="preserve"> der </w:t>
      </w:r>
      <w:proofErr w:type="spellStart"/>
      <w:r w:rsidRPr="00341839">
        <w:rPr>
          <w:rFonts w:cs="Times New Roman"/>
          <w:i/>
          <w:sz w:val="24"/>
          <w:szCs w:val="24"/>
        </w:rPr>
        <w:t>Mussele</w:t>
      </w:r>
      <w:proofErr w:type="spellEnd"/>
      <w:r w:rsidRPr="00341839">
        <w:rPr>
          <w:rFonts w:cs="Times New Roman"/>
          <w:i/>
          <w:sz w:val="24"/>
          <w:szCs w:val="24"/>
        </w:rPr>
        <w:t xml:space="preserve"> v. Belgicko</w:t>
      </w:r>
      <w:r w:rsidRPr="00341839">
        <w:rPr>
          <w:rFonts w:cs="Times New Roman"/>
          <w:sz w:val="24"/>
          <w:szCs w:val="24"/>
        </w:rPr>
        <w:t xml:space="preserve">, č. </w:t>
      </w:r>
      <w:r w:rsidRPr="00341839">
        <w:rPr>
          <w:rFonts w:cs="Times New Roman"/>
          <w:color w:val="000000"/>
          <w:sz w:val="24"/>
          <w:szCs w:val="24"/>
        </w:rPr>
        <w:t xml:space="preserve">8919/80, </w:t>
      </w:r>
      <w:proofErr w:type="spellStart"/>
      <w:r w:rsidRPr="00341839">
        <w:rPr>
          <w:rFonts w:cs="Times New Roman"/>
          <w:color w:val="000000"/>
          <w:sz w:val="24"/>
          <w:szCs w:val="24"/>
        </w:rPr>
        <w:t>Series</w:t>
      </w:r>
      <w:proofErr w:type="spellEnd"/>
      <w:r w:rsidRPr="00341839">
        <w:rPr>
          <w:rFonts w:cs="Times New Roman"/>
          <w:color w:val="000000"/>
          <w:sz w:val="24"/>
          <w:szCs w:val="24"/>
        </w:rPr>
        <w:t xml:space="preserve"> A 70.</w:t>
      </w:r>
    </w:p>
    <w:p w:rsidR="00DC1275" w:rsidRPr="00341839" w:rsidRDefault="00DC1275" w:rsidP="00DC1275">
      <w:pPr>
        <w:pStyle w:val="Textpoznmkypodiarou"/>
        <w:numPr>
          <w:ilvl w:val="0"/>
          <w:numId w:val="17"/>
        </w:numPr>
        <w:spacing w:line="360" w:lineRule="auto"/>
        <w:ind w:left="426" w:hanging="426"/>
        <w:rPr>
          <w:rFonts w:cs="Times New Roman"/>
          <w:color w:val="000000"/>
          <w:sz w:val="24"/>
          <w:szCs w:val="24"/>
        </w:rPr>
      </w:pPr>
      <w:r w:rsidRPr="00341839">
        <w:rPr>
          <w:rFonts w:cs="Times New Roman"/>
          <w:sz w:val="24"/>
          <w:szCs w:val="24"/>
        </w:rPr>
        <w:lastRenderedPageBreak/>
        <w:t xml:space="preserve">Európsky súd pre ľudské práva: Rozsudok zo dňa 6. novembra 1980, </w:t>
      </w:r>
      <w:proofErr w:type="spellStart"/>
      <w:r w:rsidRPr="00341839">
        <w:rPr>
          <w:rFonts w:cs="Times New Roman"/>
          <w:i/>
          <w:sz w:val="24"/>
          <w:szCs w:val="24"/>
        </w:rPr>
        <w:t>Van</w:t>
      </w:r>
      <w:proofErr w:type="spellEnd"/>
      <w:r w:rsidRPr="00341839">
        <w:rPr>
          <w:rFonts w:cs="Times New Roman"/>
          <w:i/>
          <w:sz w:val="24"/>
          <w:szCs w:val="24"/>
        </w:rPr>
        <w:t xml:space="preserve"> </w:t>
      </w:r>
      <w:proofErr w:type="spellStart"/>
      <w:r w:rsidRPr="00341839">
        <w:rPr>
          <w:rFonts w:cs="Times New Roman"/>
          <w:i/>
          <w:sz w:val="24"/>
          <w:szCs w:val="24"/>
        </w:rPr>
        <w:t>Oosterwijck</w:t>
      </w:r>
      <w:proofErr w:type="spellEnd"/>
      <w:r w:rsidRPr="00341839">
        <w:rPr>
          <w:rFonts w:cs="Times New Roman"/>
          <w:i/>
          <w:sz w:val="24"/>
          <w:szCs w:val="24"/>
        </w:rPr>
        <w:t xml:space="preserve"> v. Belgicko</w:t>
      </w:r>
      <w:r w:rsidRPr="00341839">
        <w:rPr>
          <w:rFonts w:cs="Times New Roman"/>
          <w:sz w:val="24"/>
          <w:szCs w:val="24"/>
        </w:rPr>
        <w:t xml:space="preserve">, č. </w:t>
      </w:r>
      <w:r w:rsidRPr="00341839">
        <w:rPr>
          <w:rFonts w:cs="Times New Roman"/>
          <w:color w:val="000000"/>
          <w:sz w:val="24"/>
          <w:szCs w:val="24"/>
        </w:rPr>
        <w:t xml:space="preserve">7654/76, </w:t>
      </w:r>
      <w:proofErr w:type="spellStart"/>
      <w:r w:rsidRPr="00341839">
        <w:rPr>
          <w:rFonts w:cs="Times New Roman"/>
          <w:color w:val="000000"/>
          <w:sz w:val="24"/>
          <w:szCs w:val="24"/>
        </w:rPr>
        <w:t>Series</w:t>
      </w:r>
      <w:proofErr w:type="spellEnd"/>
      <w:r w:rsidRPr="00341839">
        <w:rPr>
          <w:rFonts w:cs="Times New Roman"/>
          <w:color w:val="000000"/>
          <w:sz w:val="24"/>
          <w:szCs w:val="24"/>
        </w:rPr>
        <w:t xml:space="preserve"> A 40, 19 s.</w:t>
      </w:r>
    </w:p>
    <w:p w:rsidR="00DC1275" w:rsidRPr="00341839" w:rsidRDefault="00DC1275" w:rsidP="00DC1275">
      <w:pPr>
        <w:pStyle w:val="Textpoznmkypodiarou"/>
        <w:numPr>
          <w:ilvl w:val="0"/>
          <w:numId w:val="17"/>
        </w:numPr>
        <w:spacing w:line="360" w:lineRule="auto"/>
        <w:ind w:left="426" w:hanging="426"/>
        <w:rPr>
          <w:sz w:val="24"/>
          <w:szCs w:val="24"/>
        </w:rPr>
      </w:pPr>
      <w:r w:rsidRPr="00341839">
        <w:rPr>
          <w:sz w:val="24"/>
          <w:szCs w:val="24"/>
        </w:rPr>
        <w:t xml:space="preserve">Európska komisia pre ľudské práva: Rozhodnutie zo dňa 6. októbra 1981, </w:t>
      </w:r>
      <w:r w:rsidRPr="00341839">
        <w:rPr>
          <w:i/>
          <w:sz w:val="24"/>
          <w:szCs w:val="24"/>
        </w:rPr>
        <w:t>X. v. Nemecko</w:t>
      </w:r>
      <w:r w:rsidRPr="00341839">
        <w:rPr>
          <w:sz w:val="24"/>
          <w:szCs w:val="24"/>
        </w:rPr>
        <w:t>, č. 9177/80, D.R. 26, 255 s.</w:t>
      </w:r>
    </w:p>
    <w:p w:rsidR="00DC1275" w:rsidRPr="00341839" w:rsidRDefault="00DC1275" w:rsidP="00DC1275">
      <w:pPr>
        <w:pStyle w:val="Textpoznmkypodiarou"/>
        <w:numPr>
          <w:ilvl w:val="0"/>
          <w:numId w:val="17"/>
        </w:numPr>
        <w:spacing w:line="360" w:lineRule="auto"/>
        <w:ind w:left="426" w:hanging="426"/>
        <w:rPr>
          <w:rFonts w:cs="Times New Roman"/>
          <w:sz w:val="24"/>
          <w:szCs w:val="24"/>
        </w:rPr>
      </w:pPr>
      <w:r w:rsidRPr="00341839">
        <w:rPr>
          <w:rFonts w:cs="Times New Roman"/>
          <w:sz w:val="24"/>
          <w:szCs w:val="24"/>
        </w:rPr>
        <w:t xml:space="preserve">Európsky súd pre ľudské práva: Rozsudok zo dňa 19. októbra 2004, </w:t>
      </w:r>
      <w:proofErr w:type="spellStart"/>
      <w:r w:rsidRPr="00341839">
        <w:rPr>
          <w:rFonts w:cs="Times New Roman"/>
          <w:i/>
          <w:sz w:val="24"/>
          <w:szCs w:val="24"/>
        </w:rPr>
        <w:t>Yorgiadis</w:t>
      </w:r>
      <w:proofErr w:type="spellEnd"/>
      <w:r w:rsidRPr="00341839">
        <w:rPr>
          <w:rFonts w:cs="Times New Roman"/>
          <w:i/>
          <w:sz w:val="24"/>
          <w:szCs w:val="24"/>
        </w:rPr>
        <w:t xml:space="preserve"> v. Turecko (č. 1)</w:t>
      </w:r>
      <w:r w:rsidRPr="00341839">
        <w:rPr>
          <w:rFonts w:cs="Times New Roman"/>
          <w:sz w:val="24"/>
          <w:szCs w:val="24"/>
        </w:rPr>
        <w:t xml:space="preserve">, č. </w:t>
      </w:r>
      <w:r w:rsidRPr="00341839">
        <w:rPr>
          <w:rFonts w:cs="Times New Roman"/>
          <w:color w:val="000000"/>
          <w:sz w:val="24"/>
          <w:szCs w:val="24"/>
        </w:rPr>
        <w:t xml:space="preserve">48057/99, </w:t>
      </w:r>
      <w:proofErr w:type="spellStart"/>
      <w:r w:rsidRPr="00341839">
        <w:rPr>
          <w:rFonts w:cs="Times New Roman"/>
          <w:color w:val="000000"/>
          <w:sz w:val="24"/>
          <w:szCs w:val="24"/>
        </w:rPr>
        <w:t>Series</w:t>
      </w:r>
      <w:proofErr w:type="spellEnd"/>
      <w:r w:rsidRPr="00341839">
        <w:rPr>
          <w:rFonts w:cs="Times New Roman"/>
          <w:color w:val="000000"/>
          <w:sz w:val="24"/>
          <w:szCs w:val="24"/>
        </w:rPr>
        <w:t xml:space="preserve"> A 271, § 24, 33.</w:t>
      </w:r>
    </w:p>
    <w:p w:rsidR="00DC1275" w:rsidRPr="00341839" w:rsidRDefault="00DC1275" w:rsidP="00DC1275">
      <w:pPr>
        <w:rPr>
          <w:szCs w:val="24"/>
        </w:rPr>
      </w:pPr>
    </w:p>
    <w:p w:rsidR="00DC1275" w:rsidRDefault="00DC1275" w:rsidP="00DC1275">
      <w:pPr>
        <w:pStyle w:val="Nadpis2"/>
        <w:ind w:left="357" w:hanging="357"/>
      </w:pPr>
      <w:bookmarkStart w:id="76" w:name="_Toc289299961"/>
      <w:r>
        <w:t>Internetové stránky</w:t>
      </w:r>
      <w:bookmarkEnd w:id="76"/>
    </w:p>
    <w:p w:rsidR="00DC1275" w:rsidRPr="00813D3F" w:rsidRDefault="00DC1275" w:rsidP="00DC1275">
      <w:pPr>
        <w:pStyle w:val="Odsekzoznamu"/>
        <w:numPr>
          <w:ilvl w:val="0"/>
          <w:numId w:val="19"/>
        </w:numPr>
        <w:ind w:left="426" w:hanging="426"/>
        <w:rPr>
          <w:szCs w:val="24"/>
        </w:rPr>
      </w:pPr>
      <w:r w:rsidRPr="00813D3F">
        <w:rPr>
          <w:i/>
          <w:szCs w:val="24"/>
        </w:rPr>
        <w:t xml:space="preserve">Rada Európy: Rezolúcia o prístupe k bezpečnej a legálnej interrupcii v Európe. </w:t>
      </w:r>
      <w:proofErr w:type="spellStart"/>
      <w:r w:rsidRPr="00813D3F">
        <w:rPr>
          <w:i/>
          <w:szCs w:val="24"/>
        </w:rPr>
        <w:t>Jurisprudencia</w:t>
      </w:r>
      <w:proofErr w:type="spellEnd"/>
      <w:r w:rsidRPr="00813D3F">
        <w:rPr>
          <w:i/>
          <w:szCs w:val="24"/>
        </w:rPr>
        <w:t xml:space="preserve"> Európskeho systému ľudských práv</w:t>
      </w:r>
      <w:r w:rsidRPr="00813D3F">
        <w:rPr>
          <w:szCs w:val="24"/>
        </w:rPr>
        <w:t xml:space="preserve"> [</w:t>
      </w:r>
      <w:proofErr w:type="spellStart"/>
      <w:r w:rsidRPr="00813D3F">
        <w:rPr>
          <w:szCs w:val="24"/>
        </w:rPr>
        <w:t>online</w:t>
      </w:r>
      <w:proofErr w:type="spellEnd"/>
      <w:r w:rsidRPr="00813D3F">
        <w:rPr>
          <w:szCs w:val="24"/>
          <w:lang w:val="en-US"/>
        </w:rPr>
        <w:t>].</w:t>
      </w:r>
      <w:r w:rsidRPr="00813D3F">
        <w:rPr>
          <w:szCs w:val="24"/>
        </w:rPr>
        <w:t xml:space="preserve"> Spoločnosť pre plánované rodičovstvo [cit. 28. marca 2011</w:t>
      </w:r>
      <w:r w:rsidRPr="00813D3F">
        <w:rPr>
          <w:szCs w:val="24"/>
          <w:lang w:val="en-US"/>
        </w:rPr>
        <w:t>]</w:t>
      </w:r>
      <w:r w:rsidRPr="00813D3F">
        <w:rPr>
          <w:szCs w:val="24"/>
        </w:rPr>
        <w:t xml:space="preserve">. Dostupné na </w:t>
      </w:r>
      <w:r w:rsidRPr="00813D3F">
        <w:rPr>
          <w:szCs w:val="24"/>
          <w:lang w:val="en-US"/>
        </w:rPr>
        <w:t>&lt;</w:t>
      </w:r>
      <w:hyperlink r:id="rId7" w:history="1">
        <w:r w:rsidRPr="00813D3F">
          <w:rPr>
            <w:rStyle w:val="Hypertextovprepojenie"/>
            <w:szCs w:val="24"/>
          </w:rPr>
          <w:t>http://rodicovstvo.wordpress.com/interrupcie/pravo/medzinarodne-pravo/</w:t>
        </w:r>
      </w:hyperlink>
      <w:r w:rsidRPr="00813D3F">
        <w:rPr>
          <w:szCs w:val="24"/>
        </w:rPr>
        <w:t>&gt;.</w:t>
      </w:r>
    </w:p>
    <w:p w:rsidR="00DC1275" w:rsidRDefault="00DC1275" w:rsidP="00DC1275"/>
    <w:p w:rsidR="00DC1275" w:rsidRDefault="00DC1275" w:rsidP="00DC1275">
      <w:pPr>
        <w:pStyle w:val="Nadpis2"/>
        <w:ind w:left="357" w:hanging="357"/>
      </w:pPr>
      <w:bookmarkStart w:id="77" w:name="_Toc289299962"/>
      <w:r>
        <w:t>Články z elektronického časopisu</w:t>
      </w:r>
      <w:bookmarkEnd w:id="77"/>
    </w:p>
    <w:p w:rsidR="00DC1275" w:rsidRPr="00813D3F" w:rsidRDefault="00DC1275" w:rsidP="00DC1275">
      <w:pPr>
        <w:pStyle w:val="Bezriadkovania"/>
        <w:numPr>
          <w:ilvl w:val="0"/>
          <w:numId w:val="18"/>
        </w:numPr>
        <w:spacing w:line="360" w:lineRule="auto"/>
        <w:ind w:left="426" w:hanging="426"/>
        <w:jc w:val="left"/>
        <w:rPr>
          <w:szCs w:val="24"/>
        </w:rPr>
      </w:pPr>
      <w:r w:rsidRPr="00813D3F">
        <w:rPr>
          <w:szCs w:val="24"/>
        </w:rPr>
        <w:t>SMEKAL, Hubert. O </w:t>
      </w:r>
      <w:proofErr w:type="spellStart"/>
      <w:r w:rsidRPr="00813D3F">
        <w:rPr>
          <w:szCs w:val="24"/>
        </w:rPr>
        <w:t>čtrnácti</w:t>
      </w:r>
      <w:proofErr w:type="spellEnd"/>
      <w:r w:rsidRPr="00813D3F">
        <w:rPr>
          <w:szCs w:val="24"/>
        </w:rPr>
        <w:t xml:space="preserve"> korunách </w:t>
      </w:r>
      <w:proofErr w:type="spellStart"/>
      <w:r w:rsidRPr="00813D3F">
        <w:rPr>
          <w:szCs w:val="24"/>
        </w:rPr>
        <w:t>se</w:t>
      </w:r>
      <w:proofErr w:type="spellEnd"/>
      <w:r w:rsidRPr="00813D3F">
        <w:rPr>
          <w:szCs w:val="24"/>
        </w:rPr>
        <w:t xml:space="preserve"> nebudeme </w:t>
      </w:r>
      <w:proofErr w:type="spellStart"/>
      <w:r w:rsidRPr="00813D3F">
        <w:rPr>
          <w:szCs w:val="24"/>
        </w:rPr>
        <w:t>bavit</w:t>
      </w:r>
      <w:proofErr w:type="spellEnd"/>
      <w:r w:rsidRPr="00813D3F">
        <w:rPr>
          <w:szCs w:val="24"/>
        </w:rPr>
        <w:t xml:space="preserve">: 14. protokol </w:t>
      </w:r>
      <w:proofErr w:type="spellStart"/>
      <w:r w:rsidRPr="00813D3F">
        <w:rPr>
          <w:szCs w:val="24"/>
        </w:rPr>
        <w:t>se</w:t>
      </w:r>
      <w:proofErr w:type="spellEnd"/>
      <w:r w:rsidRPr="00813D3F">
        <w:rPr>
          <w:szCs w:val="24"/>
        </w:rPr>
        <w:t xml:space="preserve"> chytil. </w:t>
      </w:r>
      <w:r w:rsidRPr="00813D3F">
        <w:rPr>
          <w:i/>
          <w:szCs w:val="24"/>
        </w:rPr>
        <w:t xml:space="preserve">Bulletin Centra </w:t>
      </w:r>
      <w:proofErr w:type="spellStart"/>
      <w:r w:rsidRPr="00813D3F">
        <w:rPr>
          <w:i/>
          <w:szCs w:val="24"/>
        </w:rPr>
        <w:t>pro</w:t>
      </w:r>
      <w:proofErr w:type="spellEnd"/>
      <w:r w:rsidRPr="00813D3F">
        <w:rPr>
          <w:i/>
          <w:szCs w:val="24"/>
        </w:rPr>
        <w:t xml:space="preserve"> </w:t>
      </w:r>
      <w:proofErr w:type="spellStart"/>
      <w:r w:rsidRPr="00813D3F">
        <w:rPr>
          <w:i/>
          <w:szCs w:val="24"/>
        </w:rPr>
        <w:t>lidská</w:t>
      </w:r>
      <w:proofErr w:type="spellEnd"/>
      <w:r w:rsidRPr="00813D3F">
        <w:rPr>
          <w:i/>
          <w:szCs w:val="24"/>
        </w:rPr>
        <w:t xml:space="preserve"> práva a </w:t>
      </w:r>
      <w:proofErr w:type="spellStart"/>
      <w:r w:rsidRPr="00813D3F">
        <w:rPr>
          <w:i/>
          <w:szCs w:val="24"/>
        </w:rPr>
        <w:t>demokraci</w:t>
      </w:r>
      <w:proofErr w:type="spellEnd"/>
      <w:r w:rsidRPr="00813D3F">
        <w:rPr>
          <w:szCs w:val="24"/>
        </w:rPr>
        <w:t xml:space="preserve"> </w:t>
      </w:r>
      <w:r w:rsidRPr="00813D3F">
        <w:rPr>
          <w:szCs w:val="24"/>
          <w:lang w:val="en-US"/>
        </w:rPr>
        <w:t xml:space="preserve">[online]. September 2010 [cit. 28. </w:t>
      </w:r>
      <w:proofErr w:type="spellStart"/>
      <w:r w:rsidRPr="00813D3F">
        <w:rPr>
          <w:szCs w:val="24"/>
          <w:lang w:val="en-US"/>
        </w:rPr>
        <w:t>marca</w:t>
      </w:r>
      <w:proofErr w:type="spellEnd"/>
      <w:r w:rsidRPr="00813D3F">
        <w:rPr>
          <w:szCs w:val="24"/>
          <w:lang w:val="en-US"/>
        </w:rPr>
        <w:t xml:space="preserve"> 2011]. </w:t>
      </w:r>
      <w:proofErr w:type="spellStart"/>
      <w:r w:rsidRPr="00813D3F">
        <w:rPr>
          <w:szCs w:val="24"/>
          <w:lang w:val="en-US"/>
        </w:rPr>
        <w:t>Dostupné</w:t>
      </w:r>
      <w:proofErr w:type="spellEnd"/>
      <w:r w:rsidRPr="00813D3F">
        <w:rPr>
          <w:szCs w:val="24"/>
          <w:lang w:val="en-US"/>
        </w:rPr>
        <w:t xml:space="preserve"> </w:t>
      </w:r>
      <w:proofErr w:type="spellStart"/>
      <w:proofErr w:type="gramStart"/>
      <w:r w:rsidRPr="00813D3F">
        <w:rPr>
          <w:szCs w:val="24"/>
          <w:lang w:val="en-US"/>
        </w:rPr>
        <w:t>na</w:t>
      </w:r>
      <w:proofErr w:type="spellEnd"/>
      <w:proofErr w:type="gramEnd"/>
      <w:r w:rsidRPr="00813D3F">
        <w:rPr>
          <w:szCs w:val="24"/>
          <w:lang w:val="en-US"/>
        </w:rPr>
        <w:t xml:space="preserve"> &lt;</w:t>
      </w:r>
      <w:hyperlink r:id="rId8" w:history="1">
        <w:r w:rsidRPr="00813D3F">
          <w:rPr>
            <w:rStyle w:val="Hypertextovprepojenie"/>
            <w:szCs w:val="24"/>
          </w:rPr>
          <w:t>http://www.iips.cz/data/files/Centrum%20LP/bulletin%20LP/Vol.%20II/bulletin-LP-II-9.pdf</w:t>
        </w:r>
      </w:hyperlink>
      <w:r w:rsidRPr="00813D3F">
        <w:rPr>
          <w:szCs w:val="24"/>
          <w:lang w:val="en-US"/>
        </w:rPr>
        <w:t>&gt;.</w:t>
      </w:r>
    </w:p>
    <w:p w:rsidR="00DC1275" w:rsidRPr="00813D3F" w:rsidRDefault="00DC1275" w:rsidP="00DC1275">
      <w:pPr>
        <w:pStyle w:val="Odsekzoznamu"/>
        <w:numPr>
          <w:ilvl w:val="0"/>
          <w:numId w:val="18"/>
        </w:numPr>
        <w:ind w:left="426" w:hanging="426"/>
        <w:jc w:val="left"/>
        <w:rPr>
          <w:szCs w:val="24"/>
          <w:lang w:val="en-US"/>
        </w:rPr>
      </w:pPr>
      <w:r w:rsidRPr="00813D3F">
        <w:rPr>
          <w:szCs w:val="24"/>
        </w:rPr>
        <w:t>SMEKAL, Hubert. 14. protokol v </w:t>
      </w:r>
      <w:proofErr w:type="spellStart"/>
      <w:r w:rsidRPr="00813D3F">
        <w:rPr>
          <w:szCs w:val="24"/>
        </w:rPr>
        <w:t>akci</w:t>
      </w:r>
      <w:proofErr w:type="spellEnd"/>
      <w:r w:rsidRPr="00813D3F">
        <w:rPr>
          <w:szCs w:val="24"/>
        </w:rPr>
        <w:t xml:space="preserve">: </w:t>
      </w:r>
      <w:proofErr w:type="spellStart"/>
      <w:r w:rsidRPr="00813D3F">
        <w:rPr>
          <w:szCs w:val="24"/>
        </w:rPr>
        <w:t>Štrasburk</w:t>
      </w:r>
      <w:proofErr w:type="spellEnd"/>
      <w:r w:rsidRPr="00813D3F">
        <w:rPr>
          <w:szCs w:val="24"/>
        </w:rPr>
        <w:t xml:space="preserve"> </w:t>
      </w:r>
      <w:proofErr w:type="spellStart"/>
      <w:r w:rsidRPr="00813D3F">
        <w:rPr>
          <w:szCs w:val="24"/>
        </w:rPr>
        <w:t>využívá</w:t>
      </w:r>
      <w:proofErr w:type="spellEnd"/>
      <w:r w:rsidRPr="00813D3F">
        <w:rPr>
          <w:szCs w:val="24"/>
        </w:rPr>
        <w:t xml:space="preserve"> nových možností. </w:t>
      </w:r>
      <w:r w:rsidRPr="00813D3F">
        <w:rPr>
          <w:i/>
          <w:szCs w:val="24"/>
        </w:rPr>
        <w:t xml:space="preserve">Bulletin Centra </w:t>
      </w:r>
      <w:proofErr w:type="spellStart"/>
      <w:r w:rsidRPr="00813D3F">
        <w:rPr>
          <w:i/>
          <w:szCs w:val="24"/>
        </w:rPr>
        <w:t>pro</w:t>
      </w:r>
      <w:proofErr w:type="spellEnd"/>
      <w:r w:rsidRPr="00813D3F">
        <w:rPr>
          <w:i/>
          <w:szCs w:val="24"/>
        </w:rPr>
        <w:t xml:space="preserve"> </w:t>
      </w:r>
      <w:proofErr w:type="spellStart"/>
      <w:r w:rsidRPr="00813D3F">
        <w:rPr>
          <w:i/>
          <w:szCs w:val="24"/>
        </w:rPr>
        <w:t>lidská</w:t>
      </w:r>
      <w:proofErr w:type="spellEnd"/>
      <w:r w:rsidRPr="00813D3F">
        <w:rPr>
          <w:i/>
          <w:szCs w:val="24"/>
        </w:rPr>
        <w:t xml:space="preserve"> práva a </w:t>
      </w:r>
      <w:proofErr w:type="spellStart"/>
      <w:r w:rsidRPr="00813D3F">
        <w:rPr>
          <w:i/>
          <w:szCs w:val="24"/>
        </w:rPr>
        <w:t>demokraci</w:t>
      </w:r>
      <w:proofErr w:type="spellEnd"/>
      <w:r w:rsidRPr="00813D3F">
        <w:rPr>
          <w:szCs w:val="24"/>
        </w:rPr>
        <w:t xml:space="preserve"> </w:t>
      </w:r>
      <w:r w:rsidRPr="00813D3F">
        <w:rPr>
          <w:szCs w:val="24"/>
          <w:lang w:val="en-US"/>
        </w:rPr>
        <w:t xml:space="preserve">[online]. </w:t>
      </w:r>
      <w:proofErr w:type="spellStart"/>
      <w:r w:rsidRPr="00813D3F">
        <w:rPr>
          <w:szCs w:val="24"/>
          <w:lang w:val="en-US"/>
        </w:rPr>
        <w:t>Júl</w:t>
      </w:r>
      <w:proofErr w:type="spellEnd"/>
      <w:r w:rsidRPr="00813D3F">
        <w:rPr>
          <w:szCs w:val="24"/>
          <w:lang w:val="en-US"/>
        </w:rPr>
        <w:t xml:space="preserve">/august 2010 [cit. 28. </w:t>
      </w:r>
      <w:proofErr w:type="spellStart"/>
      <w:r w:rsidRPr="00813D3F">
        <w:rPr>
          <w:szCs w:val="24"/>
          <w:lang w:val="en-US"/>
        </w:rPr>
        <w:t>marca</w:t>
      </w:r>
      <w:proofErr w:type="spellEnd"/>
      <w:r w:rsidRPr="00813D3F">
        <w:rPr>
          <w:szCs w:val="24"/>
          <w:lang w:val="en-US"/>
        </w:rPr>
        <w:t xml:space="preserve"> 2011]. </w:t>
      </w:r>
      <w:proofErr w:type="spellStart"/>
      <w:r w:rsidRPr="00813D3F">
        <w:rPr>
          <w:szCs w:val="24"/>
          <w:lang w:val="en-US"/>
        </w:rPr>
        <w:t>Dostupné</w:t>
      </w:r>
      <w:proofErr w:type="spellEnd"/>
      <w:r w:rsidRPr="00813D3F">
        <w:rPr>
          <w:szCs w:val="24"/>
          <w:lang w:val="en-US"/>
        </w:rPr>
        <w:t xml:space="preserve"> </w:t>
      </w:r>
      <w:proofErr w:type="spellStart"/>
      <w:proofErr w:type="gramStart"/>
      <w:r w:rsidRPr="00813D3F">
        <w:rPr>
          <w:szCs w:val="24"/>
          <w:lang w:val="en-US"/>
        </w:rPr>
        <w:t>na</w:t>
      </w:r>
      <w:proofErr w:type="spellEnd"/>
      <w:proofErr w:type="gramEnd"/>
      <w:r w:rsidRPr="00813D3F">
        <w:rPr>
          <w:szCs w:val="24"/>
          <w:lang w:val="en-US"/>
        </w:rPr>
        <w:t xml:space="preserve"> &lt;</w:t>
      </w:r>
      <w:hyperlink r:id="rId9" w:history="1">
        <w:r w:rsidRPr="00813D3F">
          <w:rPr>
            <w:rStyle w:val="Hypertextovprepojenie"/>
            <w:szCs w:val="24"/>
          </w:rPr>
          <w:t>http://www.iips.cz/data/files/Centrum%20LP/bulletin%20LP/Vol.%20II/bulletin-LP-II-7,8.pdf</w:t>
        </w:r>
      </w:hyperlink>
      <w:r w:rsidRPr="00813D3F">
        <w:rPr>
          <w:szCs w:val="24"/>
          <w:lang w:val="en-US"/>
        </w:rPr>
        <w:t>&gt;.</w:t>
      </w:r>
    </w:p>
    <w:p w:rsidR="00DC1275" w:rsidRDefault="00DC1275" w:rsidP="00DC1275"/>
    <w:p w:rsidR="00DC1275" w:rsidRDefault="00DC1275" w:rsidP="00DC1275">
      <w:pPr>
        <w:pStyle w:val="Nadpis2"/>
        <w:ind w:left="357" w:hanging="357"/>
      </w:pPr>
      <w:bookmarkStart w:id="78" w:name="_Toc289299963"/>
      <w:r>
        <w:t>Dokumenty Rady Európy</w:t>
      </w:r>
      <w:bookmarkEnd w:id="78"/>
    </w:p>
    <w:p w:rsidR="00DC1275" w:rsidRDefault="00DC1275" w:rsidP="00DC1275">
      <w:r>
        <w:t>Európsky dohovor o ochrane ľudských práv a základných slobôd, podpísaný 4. novembra 1950, platnosť 3. septembra 1953, CETS No.: 005.</w:t>
      </w:r>
    </w:p>
    <w:p w:rsidR="00DC1275" w:rsidRDefault="00DC1275" w:rsidP="00DC1275"/>
    <w:p w:rsidR="00DC1275" w:rsidRDefault="00DC1275" w:rsidP="00DC1275"/>
    <w:p w:rsidR="00DC1275" w:rsidRDefault="00DC1275" w:rsidP="00DC1275">
      <w:pPr>
        <w:pStyle w:val="Nadpis1"/>
      </w:pPr>
      <w:bookmarkStart w:id="79" w:name="_Toc289299964"/>
      <w:r>
        <w:lastRenderedPageBreak/>
        <w:t>Prílohy:</w:t>
      </w:r>
      <w:bookmarkEnd w:id="79"/>
    </w:p>
    <w:p w:rsidR="00DC1275" w:rsidRDefault="00DC1275" w:rsidP="00DC1275">
      <w:pPr>
        <w:pStyle w:val="Nadpis2"/>
        <w:ind w:left="357" w:hanging="357"/>
        <w:rPr>
          <w:u w:val="single"/>
        </w:rPr>
      </w:pPr>
      <w:bookmarkStart w:id="80" w:name="_Toc289299965"/>
      <w:r w:rsidRPr="00652FF1">
        <w:rPr>
          <w:u w:val="single"/>
        </w:rPr>
        <w:t>Formulár individuálnej sťažnosti</w:t>
      </w:r>
      <w:bookmarkEnd w:id="80"/>
    </w:p>
    <w:p w:rsidR="00DC1275" w:rsidRPr="004C177A" w:rsidRDefault="00DC1275" w:rsidP="00DC1275"/>
    <w:p w:rsidR="00DC1275" w:rsidRDefault="00DC1275" w:rsidP="00DC1275">
      <w:pPr>
        <w:autoSpaceDE w:val="0"/>
        <w:autoSpaceDN w:val="0"/>
        <w:adjustRightInd w:val="0"/>
        <w:spacing w:line="240" w:lineRule="auto"/>
      </w:pPr>
      <w:proofErr w:type="spellStart"/>
      <w:r>
        <w:t>Voir</w:t>
      </w:r>
      <w:proofErr w:type="spellEnd"/>
      <w:r>
        <w:t xml:space="preserve"> Note </w:t>
      </w:r>
      <w:proofErr w:type="spellStart"/>
      <w:r>
        <w:t>explicative</w:t>
      </w:r>
      <w:proofErr w:type="spellEnd"/>
      <w:r>
        <w:tab/>
      </w:r>
      <w:r>
        <w:tab/>
        <w:t xml:space="preserve">                                                                       </w:t>
      </w:r>
      <w:proofErr w:type="spellStart"/>
      <w:r>
        <w:t>Numéro</w:t>
      </w:r>
      <w:proofErr w:type="spellEnd"/>
      <w:r>
        <w:t xml:space="preserve"> </w:t>
      </w:r>
      <w:proofErr w:type="spellStart"/>
      <w:r>
        <w:t>de</w:t>
      </w:r>
      <w:proofErr w:type="spellEnd"/>
      <w:r>
        <w:t xml:space="preserve"> </w:t>
      </w:r>
      <w:proofErr w:type="spellStart"/>
      <w:r>
        <w:t>dossier</w:t>
      </w:r>
      <w:proofErr w:type="spellEnd"/>
    </w:p>
    <w:p w:rsidR="00DC1275" w:rsidRPr="004C651F" w:rsidRDefault="00DC1275" w:rsidP="00DC1275">
      <w:pPr>
        <w:autoSpaceDE w:val="0"/>
        <w:autoSpaceDN w:val="0"/>
        <w:adjustRightInd w:val="0"/>
        <w:spacing w:line="240" w:lineRule="auto"/>
        <w:rPr>
          <w:i/>
        </w:rPr>
      </w:pPr>
      <w:proofErr w:type="spellStart"/>
      <w:r w:rsidRPr="004C651F">
        <w:rPr>
          <w:i/>
        </w:rPr>
        <w:t>See</w:t>
      </w:r>
      <w:proofErr w:type="spellEnd"/>
      <w:r w:rsidRPr="004C651F">
        <w:rPr>
          <w:i/>
        </w:rPr>
        <w:t xml:space="preserve"> </w:t>
      </w:r>
      <w:proofErr w:type="spellStart"/>
      <w:r w:rsidRPr="004C651F">
        <w:rPr>
          <w:i/>
        </w:rPr>
        <w:t>Explanatory</w:t>
      </w:r>
      <w:proofErr w:type="spellEnd"/>
      <w:r w:rsidRPr="004C651F">
        <w:rPr>
          <w:i/>
        </w:rPr>
        <w:t xml:space="preserve"> Note</w:t>
      </w:r>
      <w:r w:rsidRPr="004C651F">
        <w:rPr>
          <w:i/>
        </w:rPr>
        <w:tab/>
      </w:r>
      <w:r w:rsidRPr="004C651F">
        <w:rPr>
          <w:i/>
        </w:rPr>
        <w:tab/>
      </w:r>
      <w:r w:rsidRPr="004C651F">
        <w:rPr>
          <w:i/>
        </w:rPr>
        <w:tab/>
      </w:r>
      <w:r w:rsidRPr="004C651F">
        <w:rPr>
          <w:i/>
        </w:rPr>
        <w:tab/>
      </w:r>
      <w:r w:rsidRPr="004C651F">
        <w:rPr>
          <w:i/>
        </w:rPr>
        <w:tab/>
      </w:r>
      <w:r w:rsidRPr="004C651F">
        <w:rPr>
          <w:i/>
        </w:rPr>
        <w:tab/>
      </w:r>
      <w:r w:rsidRPr="004C651F">
        <w:rPr>
          <w:i/>
        </w:rPr>
        <w:tab/>
      </w:r>
      <w:r w:rsidRPr="004C651F">
        <w:rPr>
          <w:i/>
        </w:rPr>
        <w:tab/>
      </w:r>
      <w:proofErr w:type="spellStart"/>
      <w:r w:rsidRPr="004C651F">
        <w:rPr>
          <w:i/>
        </w:rPr>
        <w:t>File-number</w:t>
      </w:r>
      <w:proofErr w:type="spellEnd"/>
    </w:p>
    <w:p w:rsidR="00DC1275" w:rsidRDefault="00DC1275" w:rsidP="00DC1275">
      <w:pPr>
        <w:autoSpaceDE w:val="0"/>
        <w:autoSpaceDN w:val="0"/>
        <w:adjustRightInd w:val="0"/>
        <w:spacing w:line="240" w:lineRule="auto"/>
        <w:rPr>
          <w:b/>
          <w:bCs/>
        </w:rPr>
      </w:pPr>
      <w:r>
        <w:rPr>
          <w:b/>
          <w:bCs/>
        </w:rPr>
        <w:t>Pozri Vysvetľujúcu poznámku</w:t>
      </w:r>
      <w:r>
        <w:rPr>
          <w:b/>
          <w:bCs/>
        </w:rPr>
        <w:tab/>
      </w:r>
      <w:r>
        <w:rPr>
          <w:b/>
          <w:bCs/>
        </w:rPr>
        <w:tab/>
      </w:r>
      <w:r>
        <w:rPr>
          <w:b/>
          <w:bCs/>
        </w:rPr>
        <w:tab/>
      </w:r>
      <w:r>
        <w:rPr>
          <w:b/>
          <w:bCs/>
        </w:rPr>
        <w:tab/>
      </w:r>
      <w:r>
        <w:rPr>
          <w:b/>
          <w:bCs/>
        </w:rPr>
        <w:tab/>
      </w:r>
      <w:r>
        <w:rPr>
          <w:b/>
          <w:bCs/>
        </w:rPr>
        <w:tab/>
        <w:t>Číslo spisu</w:t>
      </w:r>
    </w:p>
    <w:p w:rsidR="00DC1275" w:rsidRDefault="00DC1275" w:rsidP="00DC1275">
      <w:pPr>
        <w:autoSpaceDE w:val="0"/>
        <w:autoSpaceDN w:val="0"/>
        <w:adjustRightInd w:val="0"/>
        <w:spacing w:line="240" w:lineRule="auto"/>
        <w:rPr>
          <w:b/>
          <w:bCs/>
        </w:rPr>
      </w:pPr>
      <w:r>
        <w:rPr>
          <w:b/>
          <w:bCs/>
        </w:rPr>
        <w:t>SVK</w:t>
      </w:r>
    </w:p>
    <w:p w:rsidR="00DC1275" w:rsidRDefault="00DC1275" w:rsidP="00DC1275">
      <w:pPr>
        <w:autoSpaceDE w:val="0"/>
        <w:autoSpaceDN w:val="0"/>
        <w:adjustRightInd w:val="0"/>
        <w:spacing w:line="240" w:lineRule="auto"/>
        <w:rPr>
          <w:sz w:val="28"/>
          <w:szCs w:val="28"/>
        </w:rPr>
      </w:pPr>
    </w:p>
    <w:p w:rsidR="00DC1275" w:rsidRDefault="00DC1275" w:rsidP="00DC1275">
      <w:pPr>
        <w:autoSpaceDE w:val="0"/>
        <w:autoSpaceDN w:val="0"/>
        <w:adjustRightInd w:val="0"/>
        <w:spacing w:line="240" w:lineRule="auto"/>
        <w:rPr>
          <w:sz w:val="28"/>
          <w:szCs w:val="28"/>
        </w:rPr>
      </w:pPr>
    </w:p>
    <w:p w:rsidR="00DC1275" w:rsidRDefault="00DC1275" w:rsidP="00DC1275">
      <w:pPr>
        <w:pStyle w:val="Nadpis2"/>
        <w:spacing w:line="240" w:lineRule="auto"/>
        <w:ind w:left="357"/>
        <w:jc w:val="center"/>
      </w:pPr>
      <w:bookmarkStart w:id="81" w:name="_Toc289299966"/>
      <w:r>
        <w:t>COUR EUROPÉENNE DES DROITS DE L’HOMME</w:t>
      </w:r>
      <w:bookmarkEnd w:id="81"/>
    </w:p>
    <w:p w:rsidR="00DC1275" w:rsidRDefault="00DC1275" w:rsidP="00DC1275">
      <w:pPr>
        <w:autoSpaceDE w:val="0"/>
        <w:autoSpaceDN w:val="0"/>
        <w:adjustRightInd w:val="0"/>
        <w:spacing w:line="240" w:lineRule="auto"/>
        <w:jc w:val="center"/>
        <w:rPr>
          <w:i/>
          <w:iCs/>
          <w:sz w:val="28"/>
          <w:szCs w:val="28"/>
        </w:rPr>
      </w:pPr>
      <w:r>
        <w:rPr>
          <w:i/>
          <w:iCs/>
          <w:sz w:val="28"/>
          <w:szCs w:val="28"/>
        </w:rPr>
        <w:t>EUROPEAN COURT OF HUMAN RIGHTS</w:t>
      </w:r>
    </w:p>
    <w:p w:rsidR="00DC1275" w:rsidRDefault="00DC1275" w:rsidP="00DC1275">
      <w:pPr>
        <w:autoSpaceDE w:val="0"/>
        <w:autoSpaceDN w:val="0"/>
        <w:adjustRightInd w:val="0"/>
        <w:spacing w:line="240" w:lineRule="auto"/>
        <w:jc w:val="center"/>
        <w:rPr>
          <w:b/>
          <w:bCs/>
          <w:sz w:val="28"/>
          <w:szCs w:val="28"/>
        </w:rPr>
      </w:pPr>
      <w:r>
        <w:rPr>
          <w:b/>
          <w:bCs/>
          <w:sz w:val="28"/>
          <w:szCs w:val="28"/>
        </w:rPr>
        <w:t>EURÓPSKY SÚD PRE ĽUDSKÉ PRÁVA</w:t>
      </w:r>
    </w:p>
    <w:p w:rsidR="00DC1275" w:rsidRDefault="00DC1275" w:rsidP="00DC1275">
      <w:pPr>
        <w:autoSpaceDE w:val="0"/>
        <w:autoSpaceDN w:val="0"/>
        <w:adjustRightInd w:val="0"/>
        <w:spacing w:line="240" w:lineRule="auto"/>
        <w:rPr>
          <w:sz w:val="18"/>
          <w:szCs w:val="18"/>
        </w:rPr>
      </w:pPr>
    </w:p>
    <w:p w:rsidR="00DC1275" w:rsidRDefault="00DC1275" w:rsidP="00DC1275">
      <w:pPr>
        <w:autoSpaceDE w:val="0"/>
        <w:autoSpaceDN w:val="0"/>
        <w:adjustRightInd w:val="0"/>
        <w:spacing w:line="240" w:lineRule="auto"/>
        <w:rPr>
          <w:sz w:val="18"/>
          <w:szCs w:val="18"/>
        </w:rPr>
      </w:pPr>
    </w:p>
    <w:p w:rsidR="00DC1275" w:rsidRDefault="00DC1275" w:rsidP="00DC1275">
      <w:pPr>
        <w:autoSpaceDE w:val="0"/>
        <w:autoSpaceDN w:val="0"/>
        <w:adjustRightInd w:val="0"/>
        <w:spacing w:line="240" w:lineRule="auto"/>
        <w:jc w:val="center"/>
        <w:rPr>
          <w:i/>
          <w:iCs/>
          <w:sz w:val="18"/>
          <w:szCs w:val="18"/>
        </w:rPr>
      </w:pPr>
      <w:proofErr w:type="spellStart"/>
      <w:r>
        <w:rPr>
          <w:sz w:val="18"/>
          <w:szCs w:val="18"/>
        </w:rPr>
        <w:t>Conseil</w:t>
      </w:r>
      <w:proofErr w:type="spellEnd"/>
      <w:r>
        <w:rPr>
          <w:sz w:val="18"/>
          <w:szCs w:val="18"/>
        </w:rPr>
        <w:t xml:space="preserve"> </w:t>
      </w:r>
      <w:proofErr w:type="spellStart"/>
      <w:r>
        <w:rPr>
          <w:sz w:val="18"/>
          <w:szCs w:val="18"/>
        </w:rPr>
        <w:t>de</w:t>
      </w:r>
      <w:proofErr w:type="spellEnd"/>
      <w:r>
        <w:rPr>
          <w:sz w:val="18"/>
          <w:szCs w:val="18"/>
        </w:rPr>
        <w:t xml:space="preserve"> </w:t>
      </w:r>
      <w:proofErr w:type="spellStart"/>
      <w:r>
        <w:rPr>
          <w:sz w:val="18"/>
          <w:szCs w:val="18"/>
        </w:rPr>
        <w:t>l’Europe</w:t>
      </w:r>
      <w:proofErr w:type="spellEnd"/>
      <w:r>
        <w:rPr>
          <w:sz w:val="18"/>
          <w:szCs w:val="18"/>
        </w:rPr>
        <w:t xml:space="preserve"> - </w:t>
      </w:r>
      <w:proofErr w:type="spellStart"/>
      <w:r>
        <w:rPr>
          <w:i/>
          <w:iCs/>
          <w:sz w:val="18"/>
          <w:szCs w:val="18"/>
        </w:rPr>
        <w:t>Council</w:t>
      </w:r>
      <w:proofErr w:type="spellEnd"/>
      <w:r>
        <w:rPr>
          <w:i/>
          <w:iCs/>
          <w:sz w:val="18"/>
          <w:szCs w:val="18"/>
        </w:rPr>
        <w:t xml:space="preserve"> </w:t>
      </w:r>
      <w:proofErr w:type="spellStart"/>
      <w:r>
        <w:rPr>
          <w:i/>
          <w:iCs/>
          <w:sz w:val="18"/>
          <w:szCs w:val="18"/>
        </w:rPr>
        <w:t>of</w:t>
      </w:r>
      <w:proofErr w:type="spellEnd"/>
      <w:r>
        <w:rPr>
          <w:i/>
          <w:iCs/>
          <w:sz w:val="18"/>
          <w:szCs w:val="18"/>
        </w:rPr>
        <w:t xml:space="preserve"> </w:t>
      </w:r>
      <w:proofErr w:type="spellStart"/>
      <w:r>
        <w:rPr>
          <w:i/>
          <w:iCs/>
          <w:sz w:val="18"/>
          <w:szCs w:val="18"/>
        </w:rPr>
        <w:t>Europe</w:t>
      </w:r>
      <w:proofErr w:type="spellEnd"/>
    </w:p>
    <w:p w:rsidR="00DC1275" w:rsidRDefault="00DC1275" w:rsidP="00DC1275">
      <w:pPr>
        <w:autoSpaceDE w:val="0"/>
        <w:autoSpaceDN w:val="0"/>
        <w:adjustRightInd w:val="0"/>
        <w:spacing w:line="240" w:lineRule="auto"/>
        <w:jc w:val="center"/>
        <w:rPr>
          <w:sz w:val="18"/>
          <w:szCs w:val="18"/>
        </w:rPr>
      </w:pPr>
      <w:proofErr w:type="spellStart"/>
      <w:r>
        <w:rPr>
          <w:sz w:val="18"/>
          <w:szCs w:val="18"/>
        </w:rPr>
        <w:t>Strasbourg</w:t>
      </w:r>
      <w:proofErr w:type="spellEnd"/>
      <w:r>
        <w:rPr>
          <w:sz w:val="18"/>
          <w:szCs w:val="18"/>
        </w:rPr>
        <w:t xml:space="preserve">, </w:t>
      </w:r>
      <w:proofErr w:type="spellStart"/>
      <w:r>
        <w:rPr>
          <w:sz w:val="18"/>
          <w:szCs w:val="18"/>
        </w:rPr>
        <w:t>France</w:t>
      </w:r>
      <w:proofErr w:type="spellEnd"/>
    </w:p>
    <w:p w:rsidR="00DC1275" w:rsidRDefault="00DC1275" w:rsidP="00DC1275">
      <w:pPr>
        <w:autoSpaceDE w:val="0"/>
        <w:autoSpaceDN w:val="0"/>
        <w:adjustRightInd w:val="0"/>
        <w:spacing w:line="240" w:lineRule="auto"/>
        <w:jc w:val="center"/>
        <w:rPr>
          <w:b/>
          <w:bCs/>
          <w:sz w:val="18"/>
          <w:szCs w:val="18"/>
        </w:rPr>
      </w:pPr>
    </w:p>
    <w:p w:rsidR="00DC1275" w:rsidRDefault="00DC1275" w:rsidP="00DC1275">
      <w:pPr>
        <w:autoSpaceDE w:val="0"/>
        <w:autoSpaceDN w:val="0"/>
        <w:adjustRightInd w:val="0"/>
        <w:spacing w:line="240" w:lineRule="auto"/>
        <w:jc w:val="center"/>
        <w:rPr>
          <w:b/>
          <w:bCs/>
          <w:sz w:val="18"/>
          <w:szCs w:val="18"/>
        </w:rPr>
      </w:pPr>
    </w:p>
    <w:p w:rsidR="00DC1275" w:rsidRDefault="00DC1275" w:rsidP="00DC1275">
      <w:pPr>
        <w:autoSpaceDE w:val="0"/>
        <w:autoSpaceDN w:val="0"/>
        <w:adjustRightInd w:val="0"/>
        <w:spacing w:line="240" w:lineRule="auto"/>
        <w:jc w:val="center"/>
        <w:rPr>
          <w:b/>
          <w:bCs/>
          <w:sz w:val="18"/>
          <w:szCs w:val="18"/>
        </w:rPr>
      </w:pPr>
      <w:r>
        <w:rPr>
          <w:b/>
          <w:bCs/>
          <w:sz w:val="18"/>
          <w:szCs w:val="18"/>
        </w:rPr>
        <w:t>Rada Európy</w:t>
      </w:r>
    </w:p>
    <w:p w:rsidR="00DC1275" w:rsidRDefault="00DC1275" w:rsidP="00DC1275">
      <w:pPr>
        <w:autoSpaceDE w:val="0"/>
        <w:autoSpaceDN w:val="0"/>
        <w:adjustRightInd w:val="0"/>
        <w:spacing w:line="240" w:lineRule="auto"/>
        <w:jc w:val="center"/>
        <w:rPr>
          <w:b/>
          <w:bCs/>
          <w:sz w:val="18"/>
          <w:szCs w:val="18"/>
        </w:rPr>
      </w:pPr>
      <w:r>
        <w:rPr>
          <w:b/>
          <w:bCs/>
          <w:sz w:val="18"/>
          <w:szCs w:val="18"/>
        </w:rPr>
        <w:t>Štrasburg, Francúzsko</w:t>
      </w:r>
    </w:p>
    <w:p w:rsidR="00DC1275" w:rsidRDefault="00DC1275" w:rsidP="00DC1275">
      <w:pPr>
        <w:autoSpaceDE w:val="0"/>
        <w:autoSpaceDN w:val="0"/>
        <w:adjustRightInd w:val="0"/>
        <w:spacing w:line="240" w:lineRule="auto"/>
        <w:rPr>
          <w:sz w:val="36"/>
          <w:szCs w:val="36"/>
        </w:rPr>
      </w:pPr>
    </w:p>
    <w:p w:rsidR="00DC1275" w:rsidRDefault="00DC1275" w:rsidP="00DC1275">
      <w:pPr>
        <w:autoSpaceDE w:val="0"/>
        <w:autoSpaceDN w:val="0"/>
        <w:adjustRightInd w:val="0"/>
        <w:spacing w:line="240" w:lineRule="auto"/>
        <w:jc w:val="center"/>
        <w:rPr>
          <w:sz w:val="36"/>
          <w:szCs w:val="36"/>
        </w:rPr>
      </w:pPr>
      <w:r>
        <w:rPr>
          <w:sz w:val="36"/>
          <w:szCs w:val="36"/>
        </w:rPr>
        <w:t>REQUÊTE</w:t>
      </w:r>
    </w:p>
    <w:p w:rsidR="00DC1275" w:rsidRDefault="00DC1275" w:rsidP="00DC1275">
      <w:pPr>
        <w:autoSpaceDE w:val="0"/>
        <w:autoSpaceDN w:val="0"/>
        <w:adjustRightInd w:val="0"/>
        <w:spacing w:line="240" w:lineRule="auto"/>
        <w:jc w:val="center"/>
        <w:rPr>
          <w:i/>
          <w:iCs/>
          <w:sz w:val="36"/>
          <w:szCs w:val="36"/>
        </w:rPr>
      </w:pPr>
      <w:r>
        <w:rPr>
          <w:i/>
          <w:iCs/>
          <w:sz w:val="36"/>
          <w:szCs w:val="36"/>
        </w:rPr>
        <w:t>APPLICATION</w:t>
      </w:r>
    </w:p>
    <w:p w:rsidR="00DC1275" w:rsidRDefault="00DC1275" w:rsidP="00DC1275">
      <w:pPr>
        <w:autoSpaceDE w:val="0"/>
        <w:autoSpaceDN w:val="0"/>
        <w:adjustRightInd w:val="0"/>
        <w:spacing w:line="240" w:lineRule="auto"/>
        <w:jc w:val="center"/>
        <w:rPr>
          <w:b/>
          <w:bCs/>
          <w:sz w:val="36"/>
          <w:szCs w:val="36"/>
        </w:rPr>
      </w:pPr>
      <w:r>
        <w:rPr>
          <w:b/>
          <w:bCs/>
          <w:sz w:val="36"/>
          <w:szCs w:val="36"/>
        </w:rPr>
        <w:t>SŤAŽNOSŤ</w:t>
      </w:r>
    </w:p>
    <w:p w:rsidR="00DC1275" w:rsidRDefault="00DC1275" w:rsidP="00DC1275">
      <w:pPr>
        <w:autoSpaceDE w:val="0"/>
        <w:autoSpaceDN w:val="0"/>
        <w:adjustRightInd w:val="0"/>
        <w:spacing w:line="240" w:lineRule="auto"/>
        <w:jc w:val="center"/>
        <w:rPr>
          <w:sz w:val="18"/>
          <w:szCs w:val="18"/>
        </w:rPr>
      </w:pPr>
    </w:p>
    <w:p w:rsidR="00DC1275" w:rsidRDefault="00DC1275" w:rsidP="00DC1275">
      <w:pPr>
        <w:autoSpaceDE w:val="0"/>
        <w:autoSpaceDN w:val="0"/>
        <w:adjustRightInd w:val="0"/>
        <w:spacing w:line="240" w:lineRule="auto"/>
        <w:jc w:val="center"/>
        <w:rPr>
          <w:sz w:val="18"/>
          <w:szCs w:val="18"/>
        </w:rPr>
      </w:pPr>
    </w:p>
    <w:p w:rsidR="00DC1275" w:rsidRDefault="00DC1275" w:rsidP="00DC1275">
      <w:pPr>
        <w:autoSpaceDE w:val="0"/>
        <w:autoSpaceDN w:val="0"/>
        <w:adjustRightInd w:val="0"/>
        <w:spacing w:line="240" w:lineRule="auto"/>
        <w:jc w:val="center"/>
        <w:rPr>
          <w:sz w:val="18"/>
          <w:szCs w:val="18"/>
        </w:rPr>
      </w:pPr>
    </w:p>
    <w:p w:rsidR="00DC1275" w:rsidRDefault="00DC1275" w:rsidP="00DC1275">
      <w:pPr>
        <w:autoSpaceDE w:val="0"/>
        <w:autoSpaceDN w:val="0"/>
        <w:adjustRightInd w:val="0"/>
        <w:spacing w:line="240" w:lineRule="auto"/>
        <w:jc w:val="center"/>
        <w:rPr>
          <w:sz w:val="18"/>
          <w:szCs w:val="18"/>
        </w:rPr>
      </w:pPr>
    </w:p>
    <w:p w:rsidR="00DC1275" w:rsidRDefault="00DC1275" w:rsidP="00DC1275">
      <w:pPr>
        <w:autoSpaceDE w:val="0"/>
        <w:autoSpaceDN w:val="0"/>
        <w:adjustRightInd w:val="0"/>
        <w:spacing w:line="240" w:lineRule="auto"/>
        <w:jc w:val="center"/>
        <w:rPr>
          <w:sz w:val="18"/>
          <w:szCs w:val="18"/>
        </w:rPr>
      </w:pPr>
      <w:proofErr w:type="spellStart"/>
      <w:r>
        <w:rPr>
          <w:sz w:val="18"/>
          <w:szCs w:val="18"/>
        </w:rPr>
        <w:t>présentée</w:t>
      </w:r>
      <w:proofErr w:type="spellEnd"/>
      <w:r>
        <w:rPr>
          <w:sz w:val="18"/>
          <w:szCs w:val="18"/>
        </w:rPr>
        <w:t xml:space="preserve"> en </w:t>
      </w:r>
      <w:proofErr w:type="spellStart"/>
      <w:r>
        <w:rPr>
          <w:sz w:val="18"/>
          <w:szCs w:val="18"/>
        </w:rPr>
        <w:t>application</w:t>
      </w:r>
      <w:proofErr w:type="spellEnd"/>
      <w:r>
        <w:rPr>
          <w:sz w:val="18"/>
          <w:szCs w:val="18"/>
        </w:rPr>
        <w:t xml:space="preserve"> </w:t>
      </w:r>
      <w:proofErr w:type="spellStart"/>
      <w:r>
        <w:rPr>
          <w:sz w:val="18"/>
          <w:szCs w:val="18"/>
        </w:rPr>
        <w:t>de</w:t>
      </w:r>
      <w:proofErr w:type="spellEnd"/>
      <w:r>
        <w:rPr>
          <w:sz w:val="18"/>
          <w:szCs w:val="18"/>
        </w:rPr>
        <w:t xml:space="preserve"> </w:t>
      </w:r>
      <w:proofErr w:type="spellStart"/>
      <w:r>
        <w:rPr>
          <w:sz w:val="18"/>
          <w:szCs w:val="18"/>
        </w:rPr>
        <w:t>l’article</w:t>
      </w:r>
      <w:proofErr w:type="spellEnd"/>
      <w:r>
        <w:rPr>
          <w:sz w:val="18"/>
          <w:szCs w:val="18"/>
        </w:rPr>
        <w:t xml:space="preserve"> 34 </w:t>
      </w:r>
      <w:proofErr w:type="spellStart"/>
      <w:r>
        <w:rPr>
          <w:sz w:val="18"/>
          <w:szCs w:val="18"/>
        </w:rPr>
        <w:t>de</w:t>
      </w:r>
      <w:proofErr w:type="spellEnd"/>
      <w:r>
        <w:rPr>
          <w:sz w:val="18"/>
          <w:szCs w:val="18"/>
        </w:rPr>
        <w:t xml:space="preserve"> la </w:t>
      </w:r>
      <w:proofErr w:type="spellStart"/>
      <w:r>
        <w:rPr>
          <w:sz w:val="18"/>
          <w:szCs w:val="18"/>
        </w:rPr>
        <w:t>Convention</w:t>
      </w:r>
      <w:proofErr w:type="spellEnd"/>
      <w:r>
        <w:rPr>
          <w:sz w:val="18"/>
          <w:szCs w:val="18"/>
        </w:rPr>
        <w:t xml:space="preserve"> </w:t>
      </w:r>
      <w:proofErr w:type="spellStart"/>
      <w:r>
        <w:rPr>
          <w:sz w:val="18"/>
          <w:szCs w:val="18"/>
        </w:rPr>
        <w:t>européenne</w:t>
      </w:r>
      <w:proofErr w:type="spellEnd"/>
      <w:r>
        <w:rPr>
          <w:sz w:val="18"/>
          <w:szCs w:val="18"/>
        </w:rPr>
        <w:t xml:space="preserve"> des </w:t>
      </w:r>
      <w:proofErr w:type="spellStart"/>
      <w:r>
        <w:rPr>
          <w:sz w:val="18"/>
          <w:szCs w:val="18"/>
        </w:rPr>
        <w:t>Droits</w:t>
      </w:r>
      <w:proofErr w:type="spellEnd"/>
      <w:r>
        <w:rPr>
          <w:sz w:val="18"/>
          <w:szCs w:val="18"/>
        </w:rPr>
        <w:t xml:space="preserve"> </w:t>
      </w:r>
      <w:proofErr w:type="spellStart"/>
      <w:r>
        <w:rPr>
          <w:sz w:val="18"/>
          <w:szCs w:val="18"/>
        </w:rPr>
        <w:t>de</w:t>
      </w:r>
      <w:proofErr w:type="spellEnd"/>
      <w:r>
        <w:rPr>
          <w:sz w:val="18"/>
          <w:szCs w:val="18"/>
        </w:rPr>
        <w:t xml:space="preserve"> </w:t>
      </w:r>
      <w:proofErr w:type="spellStart"/>
      <w:r>
        <w:rPr>
          <w:sz w:val="18"/>
          <w:szCs w:val="18"/>
        </w:rPr>
        <w:t>l’Homme</w:t>
      </w:r>
      <w:proofErr w:type="spellEnd"/>
      <w:r>
        <w:rPr>
          <w:sz w:val="18"/>
          <w:szCs w:val="18"/>
        </w:rPr>
        <w:t>,</w:t>
      </w:r>
    </w:p>
    <w:p w:rsidR="00DC1275" w:rsidRDefault="00DC1275" w:rsidP="00DC1275">
      <w:pPr>
        <w:autoSpaceDE w:val="0"/>
        <w:autoSpaceDN w:val="0"/>
        <w:adjustRightInd w:val="0"/>
        <w:spacing w:line="240" w:lineRule="auto"/>
        <w:jc w:val="center"/>
        <w:rPr>
          <w:sz w:val="18"/>
          <w:szCs w:val="18"/>
        </w:rPr>
      </w:pPr>
      <w:proofErr w:type="spellStart"/>
      <w:r>
        <w:rPr>
          <w:sz w:val="18"/>
          <w:szCs w:val="18"/>
        </w:rPr>
        <w:t>ainsi</w:t>
      </w:r>
      <w:proofErr w:type="spellEnd"/>
      <w:r>
        <w:rPr>
          <w:sz w:val="18"/>
          <w:szCs w:val="18"/>
        </w:rPr>
        <w:t xml:space="preserve"> </w:t>
      </w:r>
      <w:proofErr w:type="spellStart"/>
      <w:r>
        <w:rPr>
          <w:sz w:val="18"/>
          <w:szCs w:val="18"/>
        </w:rPr>
        <w:t>que</w:t>
      </w:r>
      <w:proofErr w:type="spellEnd"/>
      <w:r>
        <w:rPr>
          <w:sz w:val="18"/>
          <w:szCs w:val="18"/>
        </w:rPr>
        <w:t xml:space="preserve"> des </w:t>
      </w:r>
      <w:proofErr w:type="spellStart"/>
      <w:r>
        <w:rPr>
          <w:sz w:val="18"/>
          <w:szCs w:val="18"/>
        </w:rPr>
        <w:t>articles</w:t>
      </w:r>
      <w:proofErr w:type="spellEnd"/>
      <w:r>
        <w:rPr>
          <w:sz w:val="18"/>
          <w:szCs w:val="18"/>
        </w:rPr>
        <w:t xml:space="preserve"> 45 </w:t>
      </w:r>
      <w:proofErr w:type="spellStart"/>
      <w:r>
        <w:rPr>
          <w:sz w:val="18"/>
          <w:szCs w:val="18"/>
        </w:rPr>
        <w:t>et</w:t>
      </w:r>
      <w:proofErr w:type="spellEnd"/>
      <w:r>
        <w:rPr>
          <w:sz w:val="18"/>
          <w:szCs w:val="18"/>
        </w:rPr>
        <w:t xml:space="preserve"> 47 </w:t>
      </w:r>
      <w:proofErr w:type="spellStart"/>
      <w:r>
        <w:rPr>
          <w:sz w:val="18"/>
          <w:szCs w:val="18"/>
        </w:rPr>
        <w:t>du</w:t>
      </w:r>
      <w:proofErr w:type="spellEnd"/>
      <w:r>
        <w:rPr>
          <w:sz w:val="18"/>
          <w:szCs w:val="18"/>
        </w:rPr>
        <w:t xml:space="preserve"> </w:t>
      </w:r>
      <w:proofErr w:type="spellStart"/>
      <w:r>
        <w:rPr>
          <w:sz w:val="18"/>
          <w:szCs w:val="18"/>
        </w:rPr>
        <w:t>Règlement</w:t>
      </w:r>
      <w:proofErr w:type="spellEnd"/>
      <w:r>
        <w:rPr>
          <w:sz w:val="18"/>
          <w:szCs w:val="18"/>
        </w:rPr>
        <w:t xml:space="preserve"> </w:t>
      </w:r>
      <w:proofErr w:type="spellStart"/>
      <w:r>
        <w:rPr>
          <w:sz w:val="18"/>
          <w:szCs w:val="18"/>
        </w:rPr>
        <w:t>de</w:t>
      </w:r>
      <w:proofErr w:type="spellEnd"/>
      <w:r>
        <w:rPr>
          <w:sz w:val="18"/>
          <w:szCs w:val="18"/>
        </w:rPr>
        <w:t xml:space="preserve"> la </w:t>
      </w:r>
      <w:proofErr w:type="spellStart"/>
      <w:r>
        <w:rPr>
          <w:sz w:val="18"/>
          <w:szCs w:val="18"/>
        </w:rPr>
        <w:t>Cour</w:t>
      </w:r>
      <w:proofErr w:type="spellEnd"/>
    </w:p>
    <w:p w:rsidR="00DC1275" w:rsidRDefault="00DC1275" w:rsidP="00DC1275">
      <w:pPr>
        <w:autoSpaceDE w:val="0"/>
        <w:autoSpaceDN w:val="0"/>
        <w:adjustRightInd w:val="0"/>
        <w:spacing w:line="240" w:lineRule="auto"/>
        <w:jc w:val="center"/>
        <w:rPr>
          <w:i/>
          <w:iCs/>
          <w:sz w:val="18"/>
          <w:szCs w:val="18"/>
        </w:rPr>
      </w:pPr>
    </w:p>
    <w:p w:rsidR="00DC1275" w:rsidRDefault="00DC1275" w:rsidP="00DC1275">
      <w:pPr>
        <w:autoSpaceDE w:val="0"/>
        <w:autoSpaceDN w:val="0"/>
        <w:adjustRightInd w:val="0"/>
        <w:spacing w:line="240" w:lineRule="auto"/>
        <w:jc w:val="center"/>
        <w:rPr>
          <w:i/>
          <w:iCs/>
          <w:sz w:val="18"/>
          <w:szCs w:val="18"/>
        </w:rPr>
      </w:pPr>
    </w:p>
    <w:p w:rsidR="00DC1275" w:rsidRDefault="00DC1275" w:rsidP="00DC1275">
      <w:pPr>
        <w:autoSpaceDE w:val="0"/>
        <w:autoSpaceDN w:val="0"/>
        <w:adjustRightInd w:val="0"/>
        <w:spacing w:line="240" w:lineRule="auto"/>
        <w:jc w:val="center"/>
        <w:rPr>
          <w:i/>
          <w:iCs/>
          <w:sz w:val="18"/>
          <w:szCs w:val="18"/>
        </w:rPr>
      </w:pPr>
      <w:proofErr w:type="spellStart"/>
      <w:r>
        <w:rPr>
          <w:i/>
          <w:iCs/>
          <w:sz w:val="18"/>
          <w:szCs w:val="18"/>
        </w:rPr>
        <w:t>under</w:t>
      </w:r>
      <w:proofErr w:type="spellEnd"/>
      <w:r>
        <w:rPr>
          <w:i/>
          <w:iCs/>
          <w:sz w:val="18"/>
          <w:szCs w:val="18"/>
        </w:rPr>
        <w:t xml:space="preserve"> </w:t>
      </w:r>
      <w:proofErr w:type="spellStart"/>
      <w:r>
        <w:rPr>
          <w:i/>
          <w:iCs/>
          <w:sz w:val="18"/>
          <w:szCs w:val="18"/>
        </w:rPr>
        <w:t>Article</w:t>
      </w:r>
      <w:proofErr w:type="spellEnd"/>
      <w:r>
        <w:rPr>
          <w:i/>
          <w:iCs/>
          <w:sz w:val="18"/>
          <w:szCs w:val="18"/>
        </w:rPr>
        <w:t xml:space="preserve"> 34 </w:t>
      </w:r>
      <w:proofErr w:type="spellStart"/>
      <w:r>
        <w:rPr>
          <w:i/>
          <w:iCs/>
          <w:sz w:val="18"/>
          <w:szCs w:val="18"/>
        </w:rPr>
        <w:t>of</w:t>
      </w:r>
      <w:proofErr w:type="spellEnd"/>
      <w:r>
        <w:rPr>
          <w:i/>
          <w:iCs/>
          <w:sz w:val="18"/>
          <w:szCs w:val="18"/>
        </w:rPr>
        <w:t xml:space="preserve"> </w:t>
      </w:r>
      <w:proofErr w:type="spellStart"/>
      <w:r>
        <w:rPr>
          <w:i/>
          <w:iCs/>
          <w:sz w:val="18"/>
          <w:szCs w:val="18"/>
        </w:rPr>
        <w:t>the</w:t>
      </w:r>
      <w:proofErr w:type="spellEnd"/>
      <w:r>
        <w:rPr>
          <w:i/>
          <w:iCs/>
          <w:sz w:val="18"/>
          <w:szCs w:val="18"/>
        </w:rPr>
        <w:t xml:space="preserve"> </w:t>
      </w:r>
      <w:proofErr w:type="spellStart"/>
      <w:r>
        <w:rPr>
          <w:i/>
          <w:iCs/>
          <w:sz w:val="18"/>
          <w:szCs w:val="18"/>
        </w:rPr>
        <w:t>European</w:t>
      </w:r>
      <w:proofErr w:type="spellEnd"/>
      <w:r>
        <w:rPr>
          <w:i/>
          <w:iCs/>
          <w:sz w:val="18"/>
          <w:szCs w:val="18"/>
        </w:rPr>
        <w:t xml:space="preserve"> </w:t>
      </w:r>
      <w:proofErr w:type="spellStart"/>
      <w:r>
        <w:rPr>
          <w:i/>
          <w:iCs/>
          <w:sz w:val="18"/>
          <w:szCs w:val="18"/>
        </w:rPr>
        <w:t>Convention</w:t>
      </w:r>
      <w:proofErr w:type="spellEnd"/>
      <w:r>
        <w:rPr>
          <w:i/>
          <w:iCs/>
          <w:sz w:val="18"/>
          <w:szCs w:val="18"/>
        </w:rPr>
        <w:t xml:space="preserve"> on </w:t>
      </w:r>
      <w:proofErr w:type="spellStart"/>
      <w:r>
        <w:rPr>
          <w:i/>
          <w:iCs/>
          <w:sz w:val="18"/>
          <w:szCs w:val="18"/>
        </w:rPr>
        <w:t>Human</w:t>
      </w:r>
      <w:proofErr w:type="spellEnd"/>
      <w:r>
        <w:rPr>
          <w:i/>
          <w:iCs/>
          <w:sz w:val="18"/>
          <w:szCs w:val="18"/>
        </w:rPr>
        <w:t xml:space="preserve"> </w:t>
      </w:r>
      <w:proofErr w:type="spellStart"/>
      <w:r>
        <w:rPr>
          <w:i/>
          <w:iCs/>
          <w:sz w:val="18"/>
          <w:szCs w:val="18"/>
        </w:rPr>
        <w:t>Rights</w:t>
      </w:r>
      <w:proofErr w:type="spellEnd"/>
    </w:p>
    <w:p w:rsidR="00DC1275" w:rsidRDefault="00DC1275" w:rsidP="00DC1275">
      <w:pPr>
        <w:autoSpaceDE w:val="0"/>
        <w:autoSpaceDN w:val="0"/>
        <w:adjustRightInd w:val="0"/>
        <w:spacing w:line="240" w:lineRule="auto"/>
        <w:jc w:val="center"/>
        <w:rPr>
          <w:i/>
          <w:iCs/>
          <w:sz w:val="18"/>
          <w:szCs w:val="18"/>
        </w:rPr>
      </w:pPr>
      <w:r>
        <w:rPr>
          <w:i/>
          <w:iCs/>
          <w:sz w:val="18"/>
          <w:szCs w:val="18"/>
        </w:rPr>
        <w:t xml:space="preserve">and </w:t>
      </w:r>
      <w:proofErr w:type="spellStart"/>
      <w:r>
        <w:rPr>
          <w:i/>
          <w:iCs/>
          <w:sz w:val="18"/>
          <w:szCs w:val="18"/>
        </w:rPr>
        <w:t>Rules</w:t>
      </w:r>
      <w:proofErr w:type="spellEnd"/>
      <w:r>
        <w:rPr>
          <w:i/>
          <w:iCs/>
          <w:sz w:val="18"/>
          <w:szCs w:val="18"/>
        </w:rPr>
        <w:t xml:space="preserve"> 45 and 47 </w:t>
      </w:r>
      <w:proofErr w:type="spellStart"/>
      <w:r>
        <w:rPr>
          <w:i/>
          <w:iCs/>
          <w:sz w:val="18"/>
          <w:szCs w:val="18"/>
        </w:rPr>
        <w:t>of</w:t>
      </w:r>
      <w:proofErr w:type="spellEnd"/>
      <w:r>
        <w:rPr>
          <w:i/>
          <w:iCs/>
          <w:sz w:val="18"/>
          <w:szCs w:val="18"/>
        </w:rPr>
        <w:t xml:space="preserve"> </w:t>
      </w:r>
      <w:proofErr w:type="spellStart"/>
      <w:r>
        <w:rPr>
          <w:i/>
          <w:iCs/>
          <w:sz w:val="18"/>
          <w:szCs w:val="18"/>
        </w:rPr>
        <w:t>the</w:t>
      </w:r>
      <w:proofErr w:type="spellEnd"/>
      <w:r>
        <w:rPr>
          <w:i/>
          <w:iCs/>
          <w:sz w:val="18"/>
          <w:szCs w:val="18"/>
        </w:rPr>
        <w:t xml:space="preserve"> </w:t>
      </w:r>
      <w:proofErr w:type="spellStart"/>
      <w:r>
        <w:rPr>
          <w:i/>
          <w:iCs/>
          <w:sz w:val="18"/>
          <w:szCs w:val="18"/>
        </w:rPr>
        <w:t>Rules</w:t>
      </w:r>
      <w:proofErr w:type="spellEnd"/>
      <w:r>
        <w:rPr>
          <w:i/>
          <w:iCs/>
          <w:sz w:val="18"/>
          <w:szCs w:val="18"/>
        </w:rPr>
        <w:t xml:space="preserve"> </w:t>
      </w:r>
      <w:proofErr w:type="spellStart"/>
      <w:r>
        <w:rPr>
          <w:i/>
          <w:iCs/>
          <w:sz w:val="18"/>
          <w:szCs w:val="18"/>
        </w:rPr>
        <w:t>of</w:t>
      </w:r>
      <w:proofErr w:type="spellEnd"/>
      <w:r>
        <w:rPr>
          <w:i/>
          <w:iCs/>
          <w:sz w:val="18"/>
          <w:szCs w:val="18"/>
        </w:rPr>
        <w:t xml:space="preserve"> </w:t>
      </w:r>
      <w:proofErr w:type="spellStart"/>
      <w:r>
        <w:rPr>
          <w:i/>
          <w:iCs/>
          <w:sz w:val="18"/>
          <w:szCs w:val="18"/>
        </w:rPr>
        <w:t>Court</w:t>
      </w:r>
      <w:proofErr w:type="spellEnd"/>
    </w:p>
    <w:p w:rsidR="00DC1275" w:rsidRDefault="00DC1275" w:rsidP="00DC1275">
      <w:pPr>
        <w:autoSpaceDE w:val="0"/>
        <w:autoSpaceDN w:val="0"/>
        <w:adjustRightInd w:val="0"/>
        <w:spacing w:line="240" w:lineRule="auto"/>
        <w:jc w:val="center"/>
        <w:rPr>
          <w:b/>
          <w:bCs/>
          <w:sz w:val="18"/>
          <w:szCs w:val="18"/>
        </w:rPr>
      </w:pPr>
    </w:p>
    <w:p w:rsidR="00DC1275" w:rsidRDefault="00DC1275" w:rsidP="00DC1275">
      <w:pPr>
        <w:autoSpaceDE w:val="0"/>
        <w:autoSpaceDN w:val="0"/>
        <w:adjustRightInd w:val="0"/>
        <w:spacing w:line="240" w:lineRule="auto"/>
        <w:jc w:val="center"/>
        <w:rPr>
          <w:b/>
          <w:bCs/>
          <w:sz w:val="18"/>
          <w:szCs w:val="18"/>
        </w:rPr>
      </w:pPr>
    </w:p>
    <w:p w:rsidR="00DC1275" w:rsidRDefault="00DC1275" w:rsidP="00DC1275">
      <w:pPr>
        <w:autoSpaceDE w:val="0"/>
        <w:autoSpaceDN w:val="0"/>
        <w:adjustRightInd w:val="0"/>
        <w:spacing w:line="240" w:lineRule="auto"/>
        <w:jc w:val="center"/>
        <w:rPr>
          <w:b/>
          <w:bCs/>
          <w:sz w:val="18"/>
          <w:szCs w:val="18"/>
        </w:rPr>
      </w:pPr>
      <w:r>
        <w:rPr>
          <w:b/>
          <w:bCs/>
          <w:sz w:val="18"/>
          <w:szCs w:val="18"/>
        </w:rPr>
        <w:t>v zmysle článku 34 Európskeho dohovoru o ľudských právach</w:t>
      </w:r>
    </w:p>
    <w:p w:rsidR="00DC1275" w:rsidRDefault="00DC1275" w:rsidP="00DC1275">
      <w:pPr>
        <w:autoSpaceDE w:val="0"/>
        <w:autoSpaceDN w:val="0"/>
        <w:adjustRightInd w:val="0"/>
        <w:spacing w:line="240" w:lineRule="auto"/>
        <w:jc w:val="center"/>
        <w:rPr>
          <w:b/>
          <w:bCs/>
          <w:sz w:val="18"/>
          <w:szCs w:val="18"/>
        </w:rPr>
      </w:pPr>
      <w:r>
        <w:rPr>
          <w:b/>
          <w:bCs/>
          <w:sz w:val="18"/>
          <w:szCs w:val="18"/>
        </w:rPr>
        <w:t>a článkov 45 a 47 Rokovacieho poriadku Súdu</w:t>
      </w:r>
    </w:p>
    <w:p w:rsidR="00DC1275" w:rsidRDefault="00DC1275" w:rsidP="00DC1275">
      <w:pPr>
        <w:autoSpaceDE w:val="0"/>
        <w:autoSpaceDN w:val="0"/>
        <w:adjustRightInd w:val="0"/>
        <w:spacing w:line="240" w:lineRule="auto"/>
        <w:rPr>
          <w:b/>
          <w:bCs/>
          <w:sz w:val="18"/>
          <w:szCs w:val="18"/>
        </w:rPr>
      </w:pPr>
    </w:p>
    <w:p w:rsidR="00DC1275" w:rsidRDefault="00DC1275" w:rsidP="00DC1275">
      <w:pPr>
        <w:autoSpaceDE w:val="0"/>
        <w:autoSpaceDN w:val="0"/>
        <w:adjustRightInd w:val="0"/>
        <w:spacing w:line="240" w:lineRule="auto"/>
        <w:rPr>
          <w:b/>
          <w:bCs/>
          <w:sz w:val="18"/>
          <w:szCs w:val="18"/>
        </w:rPr>
      </w:pPr>
    </w:p>
    <w:p w:rsidR="00DC1275" w:rsidRDefault="00DC1275" w:rsidP="00DC1275">
      <w:pPr>
        <w:autoSpaceDE w:val="0"/>
        <w:autoSpaceDN w:val="0"/>
        <w:adjustRightInd w:val="0"/>
        <w:spacing w:line="240" w:lineRule="auto"/>
        <w:rPr>
          <w:b/>
          <w:bCs/>
          <w:sz w:val="18"/>
          <w:szCs w:val="18"/>
        </w:rPr>
      </w:pPr>
    </w:p>
    <w:p w:rsidR="00DC1275" w:rsidRDefault="00DC1275" w:rsidP="00DC1275">
      <w:pPr>
        <w:autoSpaceDE w:val="0"/>
        <w:autoSpaceDN w:val="0"/>
        <w:adjustRightInd w:val="0"/>
        <w:spacing w:line="240" w:lineRule="auto"/>
        <w:rPr>
          <w:b/>
          <w:bCs/>
          <w:sz w:val="18"/>
          <w:szCs w:val="18"/>
        </w:rPr>
      </w:pPr>
    </w:p>
    <w:p w:rsidR="00DC1275" w:rsidRDefault="00DC1275" w:rsidP="00DC1275">
      <w:pPr>
        <w:autoSpaceDE w:val="0"/>
        <w:autoSpaceDN w:val="0"/>
        <w:adjustRightInd w:val="0"/>
        <w:spacing w:line="240" w:lineRule="auto"/>
        <w:rPr>
          <w:b/>
          <w:bCs/>
          <w:sz w:val="18"/>
          <w:szCs w:val="18"/>
        </w:rPr>
      </w:pPr>
    </w:p>
    <w:p w:rsidR="00DC1275" w:rsidRDefault="00DC1275" w:rsidP="00DC1275">
      <w:pPr>
        <w:autoSpaceDE w:val="0"/>
        <w:autoSpaceDN w:val="0"/>
        <w:adjustRightInd w:val="0"/>
        <w:spacing w:line="240" w:lineRule="auto"/>
        <w:rPr>
          <w:b/>
          <w:bCs/>
          <w:sz w:val="18"/>
          <w:szCs w:val="18"/>
        </w:rPr>
      </w:pPr>
    </w:p>
    <w:p w:rsidR="00DC1275" w:rsidRDefault="00DC1275" w:rsidP="00DC1275">
      <w:pPr>
        <w:autoSpaceDE w:val="0"/>
        <w:autoSpaceDN w:val="0"/>
        <w:adjustRightInd w:val="0"/>
        <w:spacing w:line="240" w:lineRule="auto"/>
        <w:rPr>
          <w:b/>
          <w:bCs/>
          <w:sz w:val="18"/>
          <w:szCs w:val="18"/>
        </w:rPr>
      </w:pPr>
    </w:p>
    <w:p w:rsidR="00DC1275" w:rsidRDefault="00DC1275" w:rsidP="00DC1275">
      <w:pPr>
        <w:autoSpaceDE w:val="0"/>
        <w:autoSpaceDN w:val="0"/>
        <w:adjustRightInd w:val="0"/>
        <w:spacing w:line="240" w:lineRule="auto"/>
        <w:rPr>
          <w:b/>
          <w:bCs/>
          <w:sz w:val="18"/>
          <w:szCs w:val="18"/>
        </w:rPr>
      </w:pPr>
    </w:p>
    <w:p w:rsidR="00DC1275" w:rsidRDefault="00DC1275" w:rsidP="00DC1275">
      <w:pPr>
        <w:autoSpaceDE w:val="0"/>
        <w:autoSpaceDN w:val="0"/>
        <w:adjustRightInd w:val="0"/>
        <w:spacing w:line="240" w:lineRule="auto"/>
        <w:rPr>
          <w:b/>
          <w:bCs/>
          <w:sz w:val="18"/>
          <w:szCs w:val="18"/>
        </w:rPr>
      </w:pPr>
    </w:p>
    <w:p w:rsidR="00DC1275" w:rsidRDefault="00DC1275" w:rsidP="00DC1275">
      <w:pPr>
        <w:autoSpaceDE w:val="0"/>
        <w:autoSpaceDN w:val="0"/>
        <w:adjustRightInd w:val="0"/>
        <w:spacing w:line="240" w:lineRule="auto"/>
        <w:rPr>
          <w:b/>
          <w:bCs/>
          <w:sz w:val="18"/>
          <w:szCs w:val="18"/>
        </w:rPr>
      </w:pPr>
    </w:p>
    <w:p w:rsidR="00DC1275" w:rsidRDefault="00DC1275" w:rsidP="00DC1275">
      <w:pPr>
        <w:autoSpaceDE w:val="0"/>
        <w:autoSpaceDN w:val="0"/>
        <w:adjustRightInd w:val="0"/>
        <w:spacing w:line="240" w:lineRule="auto"/>
        <w:rPr>
          <w:b/>
          <w:bCs/>
          <w:sz w:val="18"/>
          <w:szCs w:val="18"/>
        </w:rPr>
      </w:pPr>
    </w:p>
    <w:p w:rsidR="00DC1275" w:rsidRDefault="00DC1275" w:rsidP="00DC1275">
      <w:pPr>
        <w:autoSpaceDE w:val="0"/>
        <w:autoSpaceDN w:val="0"/>
        <w:adjustRightInd w:val="0"/>
        <w:spacing w:line="240" w:lineRule="auto"/>
        <w:rPr>
          <w:sz w:val="18"/>
          <w:szCs w:val="18"/>
        </w:rPr>
      </w:pPr>
      <w:r>
        <w:rPr>
          <w:b/>
          <w:bCs/>
          <w:sz w:val="18"/>
          <w:szCs w:val="18"/>
        </w:rPr>
        <w:t xml:space="preserve">IMPORTANT:  </w:t>
      </w:r>
      <w:r>
        <w:rPr>
          <w:sz w:val="18"/>
          <w:szCs w:val="18"/>
        </w:rPr>
        <w:t xml:space="preserve">La </w:t>
      </w:r>
      <w:proofErr w:type="spellStart"/>
      <w:r>
        <w:rPr>
          <w:sz w:val="18"/>
          <w:szCs w:val="18"/>
        </w:rPr>
        <w:t>présente</w:t>
      </w:r>
      <w:proofErr w:type="spellEnd"/>
      <w:r>
        <w:rPr>
          <w:sz w:val="18"/>
          <w:szCs w:val="18"/>
        </w:rPr>
        <w:t xml:space="preserve"> </w:t>
      </w:r>
      <w:proofErr w:type="spellStart"/>
      <w:r>
        <w:rPr>
          <w:sz w:val="18"/>
          <w:szCs w:val="18"/>
        </w:rPr>
        <w:t>requête</w:t>
      </w:r>
      <w:proofErr w:type="spellEnd"/>
      <w:r>
        <w:rPr>
          <w:sz w:val="18"/>
          <w:szCs w:val="18"/>
        </w:rPr>
        <w:t xml:space="preserve"> </w:t>
      </w:r>
      <w:proofErr w:type="spellStart"/>
      <w:r>
        <w:rPr>
          <w:sz w:val="18"/>
          <w:szCs w:val="18"/>
        </w:rPr>
        <w:t>est</w:t>
      </w:r>
      <w:proofErr w:type="spellEnd"/>
      <w:r>
        <w:rPr>
          <w:sz w:val="18"/>
          <w:szCs w:val="18"/>
        </w:rPr>
        <w:t xml:space="preserve"> </w:t>
      </w:r>
      <w:proofErr w:type="spellStart"/>
      <w:r>
        <w:rPr>
          <w:sz w:val="18"/>
          <w:szCs w:val="18"/>
        </w:rPr>
        <w:t>un</w:t>
      </w:r>
      <w:proofErr w:type="spellEnd"/>
      <w:r>
        <w:rPr>
          <w:sz w:val="18"/>
          <w:szCs w:val="18"/>
        </w:rPr>
        <w:t xml:space="preserve"> </w:t>
      </w:r>
      <w:proofErr w:type="spellStart"/>
      <w:r>
        <w:rPr>
          <w:sz w:val="18"/>
          <w:szCs w:val="18"/>
        </w:rPr>
        <w:t>document</w:t>
      </w:r>
      <w:proofErr w:type="spellEnd"/>
      <w:r>
        <w:rPr>
          <w:sz w:val="18"/>
          <w:szCs w:val="18"/>
        </w:rPr>
        <w:t xml:space="preserve"> </w:t>
      </w:r>
      <w:proofErr w:type="spellStart"/>
      <w:r>
        <w:rPr>
          <w:sz w:val="18"/>
          <w:szCs w:val="18"/>
        </w:rPr>
        <w:t>juridique</w:t>
      </w:r>
      <w:proofErr w:type="spellEnd"/>
      <w:r>
        <w:rPr>
          <w:sz w:val="18"/>
          <w:szCs w:val="18"/>
        </w:rPr>
        <w:t xml:space="preserve"> </w:t>
      </w:r>
      <w:proofErr w:type="spellStart"/>
      <w:r>
        <w:rPr>
          <w:sz w:val="18"/>
          <w:szCs w:val="18"/>
        </w:rPr>
        <w:t>et</w:t>
      </w:r>
      <w:proofErr w:type="spellEnd"/>
      <w:r>
        <w:rPr>
          <w:sz w:val="18"/>
          <w:szCs w:val="18"/>
        </w:rPr>
        <w:t xml:space="preserve"> </w:t>
      </w:r>
      <w:proofErr w:type="spellStart"/>
      <w:r>
        <w:rPr>
          <w:sz w:val="18"/>
          <w:szCs w:val="18"/>
        </w:rPr>
        <w:t>peut</w:t>
      </w:r>
      <w:proofErr w:type="spellEnd"/>
      <w:r>
        <w:rPr>
          <w:sz w:val="18"/>
          <w:szCs w:val="18"/>
        </w:rPr>
        <w:t xml:space="preserve"> </w:t>
      </w:r>
      <w:proofErr w:type="spellStart"/>
      <w:r>
        <w:rPr>
          <w:sz w:val="18"/>
          <w:szCs w:val="18"/>
        </w:rPr>
        <w:t>affecter</w:t>
      </w:r>
      <w:proofErr w:type="spellEnd"/>
      <w:r>
        <w:rPr>
          <w:sz w:val="18"/>
          <w:szCs w:val="18"/>
        </w:rPr>
        <w:t xml:space="preserve"> </w:t>
      </w:r>
      <w:proofErr w:type="spellStart"/>
      <w:r>
        <w:rPr>
          <w:sz w:val="18"/>
          <w:szCs w:val="18"/>
        </w:rPr>
        <w:t>vos</w:t>
      </w:r>
      <w:proofErr w:type="spellEnd"/>
      <w:r>
        <w:rPr>
          <w:sz w:val="18"/>
          <w:szCs w:val="18"/>
        </w:rPr>
        <w:t xml:space="preserve"> </w:t>
      </w:r>
      <w:proofErr w:type="spellStart"/>
      <w:r>
        <w:rPr>
          <w:sz w:val="18"/>
          <w:szCs w:val="18"/>
        </w:rPr>
        <w:t>droits</w:t>
      </w:r>
      <w:proofErr w:type="spellEnd"/>
      <w:r>
        <w:rPr>
          <w:sz w:val="18"/>
          <w:szCs w:val="18"/>
        </w:rPr>
        <w:t xml:space="preserve"> </w:t>
      </w:r>
      <w:proofErr w:type="spellStart"/>
      <w:r>
        <w:rPr>
          <w:sz w:val="18"/>
          <w:szCs w:val="18"/>
        </w:rPr>
        <w:t>et</w:t>
      </w:r>
      <w:proofErr w:type="spellEnd"/>
      <w:r>
        <w:rPr>
          <w:sz w:val="18"/>
          <w:szCs w:val="18"/>
        </w:rPr>
        <w:t xml:space="preserve"> </w:t>
      </w:r>
      <w:proofErr w:type="spellStart"/>
      <w:r>
        <w:rPr>
          <w:sz w:val="18"/>
          <w:szCs w:val="18"/>
        </w:rPr>
        <w:t>obligation</w:t>
      </w:r>
      <w:proofErr w:type="spellEnd"/>
    </w:p>
    <w:p w:rsidR="00DC1275" w:rsidRDefault="00DC1275" w:rsidP="00DC1275">
      <w:pPr>
        <w:autoSpaceDE w:val="0"/>
        <w:autoSpaceDN w:val="0"/>
        <w:adjustRightInd w:val="0"/>
        <w:spacing w:line="240" w:lineRule="auto"/>
        <w:rPr>
          <w:i/>
          <w:iCs/>
          <w:sz w:val="18"/>
          <w:szCs w:val="18"/>
        </w:rPr>
      </w:pPr>
      <w:r>
        <w:rPr>
          <w:i/>
          <w:iCs/>
          <w:sz w:val="18"/>
          <w:szCs w:val="18"/>
        </w:rPr>
        <w:t xml:space="preserve">                            </w:t>
      </w:r>
      <w:proofErr w:type="spellStart"/>
      <w:r>
        <w:rPr>
          <w:i/>
          <w:iCs/>
          <w:sz w:val="18"/>
          <w:szCs w:val="18"/>
        </w:rPr>
        <w:t>This</w:t>
      </w:r>
      <w:proofErr w:type="spellEnd"/>
      <w:r>
        <w:rPr>
          <w:i/>
          <w:iCs/>
          <w:sz w:val="18"/>
          <w:szCs w:val="18"/>
        </w:rPr>
        <w:t xml:space="preserve"> </w:t>
      </w:r>
      <w:proofErr w:type="spellStart"/>
      <w:r>
        <w:rPr>
          <w:i/>
          <w:iCs/>
          <w:sz w:val="18"/>
          <w:szCs w:val="18"/>
        </w:rPr>
        <w:t>application</w:t>
      </w:r>
      <w:proofErr w:type="spellEnd"/>
      <w:r>
        <w:rPr>
          <w:i/>
          <w:iCs/>
          <w:sz w:val="18"/>
          <w:szCs w:val="18"/>
        </w:rPr>
        <w:t xml:space="preserve"> </w:t>
      </w:r>
      <w:proofErr w:type="spellStart"/>
      <w:r>
        <w:rPr>
          <w:i/>
          <w:iCs/>
          <w:sz w:val="18"/>
          <w:szCs w:val="18"/>
        </w:rPr>
        <w:t>is</w:t>
      </w:r>
      <w:proofErr w:type="spellEnd"/>
      <w:r>
        <w:rPr>
          <w:i/>
          <w:iCs/>
          <w:sz w:val="18"/>
          <w:szCs w:val="18"/>
        </w:rPr>
        <w:t xml:space="preserve"> a </w:t>
      </w:r>
      <w:proofErr w:type="spellStart"/>
      <w:r>
        <w:rPr>
          <w:i/>
          <w:iCs/>
          <w:sz w:val="18"/>
          <w:szCs w:val="18"/>
        </w:rPr>
        <w:t>formal</w:t>
      </w:r>
      <w:proofErr w:type="spellEnd"/>
      <w:r>
        <w:rPr>
          <w:i/>
          <w:iCs/>
          <w:sz w:val="18"/>
          <w:szCs w:val="18"/>
        </w:rPr>
        <w:t xml:space="preserve"> </w:t>
      </w:r>
      <w:proofErr w:type="spellStart"/>
      <w:r>
        <w:rPr>
          <w:i/>
          <w:iCs/>
          <w:sz w:val="18"/>
          <w:szCs w:val="18"/>
        </w:rPr>
        <w:t>legal</w:t>
      </w:r>
      <w:proofErr w:type="spellEnd"/>
      <w:r>
        <w:rPr>
          <w:i/>
          <w:iCs/>
          <w:sz w:val="18"/>
          <w:szCs w:val="18"/>
        </w:rPr>
        <w:t xml:space="preserve"> </w:t>
      </w:r>
      <w:proofErr w:type="spellStart"/>
      <w:r>
        <w:rPr>
          <w:i/>
          <w:iCs/>
          <w:sz w:val="18"/>
          <w:szCs w:val="18"/>
        </w:rPr>
        <w:t>document</w:t>
      </w:r>
      <w:proofErr w:type="spellEnd"/>
      <w:r>
        <w:rPr>
          <w:i/>
          <w:iCs/>
          <w:sz w:val="18"/>
          <w:szCs w:val="18"/>
        </w:rPr>
        <w:t xml:space="preserve"> and </w:t>
      </w:r>
      <w:proofErr w:type="spellStart"/>
      <w:r>
        <w:rPr>
          <w:i/>
          <w:iCs/>
          <w:sz w:val="18"/>
          <w:szCs w:val="18"/>
        </w:rPr>
        <w:t>may</w:t>
      </w:r>
      <w:proofErr w:type="spellEnd"/>
      <w:r>
        <w:rPr>
          <w:i/>
          <w:iCs/>
          <w:sz w:val="18"/>
          <w:szCs w:val="18"/>
        </w:rPr>
        <w:t xml:space="preserve"> </w:t>
      </w:r>
      <w:proofErr w:type="spellStart"/>
      <w:r>
        <w:rPr>
          <w:i/>
          <w:iCs/>
          <w:sz w:val="18"/>
          <w:szCs w:val="18"/>
        </w:rPr>
        <w:t>affect</w:t>
      </w:r>
      <w:proofErr w:type="spellEnd"/>
      <w:r>
        <w:rPr>
          <w:i/>
          <w:iCs/>
          <w:sz w:val="18"/>
          <w:szCs w:val="18"/>
        </w:rPr>
        <w:t xml:space="preserve"> </w:t>
      </w:r>
      <w:proofErr w:type="spellStart"/>
      <w:r>
        <w:rPr>
          <w:i/>
          <w:iCs/>
          <w:sz w:val="18"/>
          <w:szCs w:val="18"/>
        </w:rPr>
        <w:t>your</w:t>
      </w:r>
      <w:proofErr w:type="spellEnd"/>
      <w:r>
        <w:rPr>
          <w:i/>
          <w:iCs/>
          <w:sz w:val="18"/>
          <w:szCs w:val="18"/>
        </w:rPr>
        <w:t xml:space="preserve"> </w:t>
      </w:r>
      <w:proofErr w:type="spellStart"/>
      <w:r>
        <w:rPr>
          <w:i/>
          <w:iCs/>
          <w:sz w:val="18"/>
          <w:szCs w:val="18"/>
        </w:rPr>
        <w:t>rights</w:t>
      </w:r>
      <w:proofErr w:type="spellEnd"/>
      <w:r>
        <w:rPr>
          <w:i/>
          <w:iCs/>
          <w:sz w:val="18"/>
          <w:szCs w:val="18"/>
        </w:rPr>
        <w:t xml:space="preserve"> and </w:t>
      </w:r>
      <w:proofErr w:type="spellStart"/>
      <w:r>
        <w:rPr>
          <w:i/>
          <w:iCs/>
          <w:sz w:val="18"/>
          <w:szCs w:val="18"/>
        </w:rPr>
        <w:t>obligations</w:t>
      </w:r>
      <w:proofErr w:type="spellEnd"/>
      <w:r>
        <w:rPr>
          <w:i/>
          <w:iCs/>
          <w:sz w:val="18"/>
          <w:szCs w:val="18"/>
        </w:rPr>
        <w:t>.</w:t>
      </w:r>
    </w:p>
    <w:p w:rsidR="00DC1275" w:rsidRDefault="00DC1275" w:rsidP="00DC1275">
      <w:pPr>
        <w:spacing w:line="240" w:lineRule="auto"/>
        <w:rPr>
          <w:b/>
          <w:bCs/>
          <w:sz w:val="18"/>
          <w:szCs w:val="18"/>
        </w:rPr>
      </w:pPr>
      <w:r>
        <w:rPr>
          <w:b/>
          <w:bCs/>
          <w:sz w:val="18"/>
          <w:szCs w:val="18"/>
        </w:rPr>
        <w:t>DÔLEŽITÉ:      Táto sťažnosť je právny dokument a môže ovplyvniť Vaše práva a záväzky.</w:t>
      </w:r>
    </w:p>
    <w:p w:rsidR="00DC1275" w:rsidRDefault="00DC1275" w:rsidP="00DC1275">
      <w:pPr>
        <w:autoSpaceDE w:val="0"/>
        <w:autoSpaceDN w:val="0"/>
        <w:adjustRightInd w:val="0"/>
        <w:spacing w:line="240" w:lineRule="auto"/>
        <w:jc w:val="center"/>
        <w:rPr>
          <w:rFonts w:ascii="Arial" w:hAnsi="Arial" w:cs="Arial"/>
          <w:i/>
          <w:iCs/>
        </w:rPr>
      </w:pPr>
      <w:r>
        <w:rPr>
          <w:b/>
          <w:bCs/>
          <w:sz w:val="18"/>
          <w:szCs w:val="18"/>
        </w:rPr>
        <w:br w:type="page"/>
      </w:r>
      <w:r>
        <w:rPr>
          <w:rFonts w:ascii="Arial" w:hAnsi="Arial" w:cs="Arial"/>
          <w:i/>
          <w:iCs/>
        </w:rPr>
        <w:lastRenderedPageBreak/>
        <w:t>- 2 -</w:t>
      </w:r>
    </w:p>
    <w:p w:rsidR="00DC1275" w:rsidRDefault="00DC1275" w:rsidP="00DC1275">
      <w:pPr>
        <w:autoSpaceDE w:val="0"/>
        <w:autoSpaceDN w:val="0"/>
        <w:adjustRightInd w:val="0"/>
        <w:spacing w:line="240" w:lineRule="auto"/>
        <w:ind w:left="540" w:hanging="540"/>
        <w:rPr>
          <w:sz w:val="20"/>
          <w:szCs w:val="20"/>
        </w:rPr>
      </w:pPr>
    </w:p>
    <w:p w:rsidR="00DC1275" w:rsidRDefault="00DC1275" w:rsidP="00DC1275">
      <w:pPr>
        <w:autoSpaceDE w:val="0"/>
        <w:autoSpaceDN w:val="0"/>
        <w:adjustRightInd w:val="0"/>
        <w:spacing w:line="240" w:lineRule="auto"/>
        <w:ind w:left="540" w:hanging="540"/>
      </w:pPr>
      <w:r>
        <w:rPr>
          <w:sz w:val="20"/>
          <w:szCs w:val="20"/>
        </w:rPr>
        <w:t xml:space="preserve">I.     </w:t>
      </w:r>
      <w:r>
        <w:t>LES PARTIES</w:t>
      </w:r>
    </w:p>
    <w:p w:rsidR="00DC1275" w:rsidRDefault="00DC1275" w:rsidP="00DC1275">
      <w:pPr>
        <w:autoSpaceDE w:val="0"/>
        <w:autoSpaceDN w:val="0"/>
        <w:adjustRightInd w:val="0"/>
        <w:spacing w:line="240" w:lineRule="auto"/>
        <w:ind w:left="540" w:hanging="540"/>
        <w:rPr>
          <w:i/>
          <w:iCs/>
        </w:rPr>
      </w:pPr>
      <w:r>
        <w:rPr>
          <w:i/>
          <w:iCs/>
        </w:rPr>
        <w:t xml:space="preserve">       THE PARTIES</w:t>
      </w:r>
    </w:p>
    <w:p w:rsidR="00DC1275" w:rsidRDefault="00DC1275" w:rsidP="00DC1275">
      <w:pPr>
        <w:autoSpaceDE w:val="0"/>
        <w:autoSpaceDN w:val="0"/>
        <w:adjustRightInd w:val="0"/>
        <w:spacing w:line="240" w:lineRule="auto"/>
        <w:ind w:left="540" w:hanging="540"/>
        <w:rPr>
          <w:i/>
          <w:iCs/>
        </w:rPr>
      </w:pPr>
      <w:r>
        <w:rPr>
          <w:i/>
          <w:iCs/>
        </w:rPr>
        <w:t xml:space="preserve">       </w:t>
      </w:r>
      <w:r>
        <w:rPr>
          <w:b/>
          <w:bCs/>
        </w:rPr>
        <w:t>STRANY</w:t>
      </w:r>
    </w:p>
    <w:p w:rsidR="00DC1275" w:rsidRDefault="00DC1275" w:rsidP="00DC1275">
      <w:pPr>
        <w:autoSpaceDE w:val="0"/>
        <w:autoSpaceDN w:val="0"/>
        <w:adjustRightInd w:val="0"/>
        <w:spacing w:line="240" w:lineRule="auto"/>
        <w:rPr>
          <w:sz w:val="16"/>
          <w:szCs w:val="16"/>
        </w:rPr>
      </w:pPr>
    </w:p>
    <w:p w:rsidR="00DC1275" w:rsidRDefault="00DC1275" w:rsidP="00DC1275">
      <w:pPr>
        <w:numPr>
          <w:ilvl w:val="0"/>
          <w:numId w:val="20"/>
        </w:numPr>
        <w:tabs>
          <w:tab w:val="clear" w:pos="720"/>
        </w:tabs>
        <w:autoSpaceDE w:val="0"/>
        <w:autoSpaceDN w:val="0"/>
        <w:adjustRightInd w:val="0"/>
        <w:spacing w:line="240" w:lineRule="auto"/>
        <w:ind w:left="360"/>
        <w:jc w:val="left"/>
      </w:pPr>
      <w:r>
        <w:t>LE REQUÉRANT/LA REQUERANTE</w:t>
      </w:r>
    </w:p>
    <w:p w:rsidR="00DC1275" w:rsidRDefault="00DC1275" w:rsidP="00DC1275">
      <w:pPr>
        <w:autoSpaceDE w:val="0"/>
        <w:autoSpaceDN w:val="0"/>
        <w:adjustRightInd w:val="0"/>
        <w:spacing w:line="240" w:lineRule="auto"/>
        <w:ind w:left="360"/>
        <w:rPr>
          <w:i/>
          <w:iCs/>
        </w:rPr>
      </w:pPr>
      <w:r>
        <w:rPr>
          <w:i/>
          <w:iCs/>
        </w:rPr>
        <w:t>THE APPLICANT</w:t>
      </w:r>
    </w:p>
    <w:p w:rsidR="00DC1275" w:rsidRDefault="00DC1275" w:rsidP="00DC1275">
      <w:pPr>
        <w:autoSpaceDE w:val="0"/>
        <w:autoSpaceDN w:val="0"/>
        <w:adjustRightInd w:val="0"/>
        <w:spacing w:line="240" w:lineRule="auto"/>
        <w:ind w:left="360"/>
        <w:rPr>
          <w:b/>
          <w:bCs/>
          <w:sz w:val="20"/>
          <w:szCs w:val="20"/>
        </w:rPr>
      </w:pPr>
      <w:r>
        <w:rPr>
          <w:b/>
          <w:bCs/>
        </w:rPr>
        <w:t>SŤAŽOVATEĽ/STAŽOVATEĽKA</w:t>
      </w: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ind w:firstLine="540"/>
        <w:rPr>
          <w:sz w:val="16"/>
          <w:szCs w:val="16"/>
        </w:rPr>
      </w:pPr>
      <w:r>
        <w:rPr>
          <w:sz w:val="16"/>
          <w:szCs w:val="16"/>
        </w:rPr>
        <w:t>(</w:t>
      </w:r>
      <w:proofErr w:type="spellStart"/>
      <w:r>
        <w:rPr>
          <w:sz w:val="16"/>
          <w:szCs w:val="16"/>
        </w:rPr>
        <w:t>Renseignements</w:t>
      </w:r>
      <w:proofErr w:type="spellEnd"/>
      <w:r>
        <w:rPr>
          <w:sz w:val="16"/>
          <w:szCs w:val="16"/>
        </w:rPr>
        <w:t xml:space="preserve"> à </w:t>
      </w:r>
      <w:proofErr w:type="spellStart"/>
      <w:r>
        <w:rPr>
          <w:sz w:val="16"/>
          <w:szCs w:val="16"/>
        </w:rPr>
        <w:t>fournir</w:t>
      </w:r>
      <w:proofErr w:type="spellEnd"/>
      <w:r>
        <w:rPr>
          <w:sz w:val="16"/>
          <w:szCs w:val="16"/>
        </w:rPr>
        <w:t xml:space="preserve"> </w:t>
      </w:r>
      <w:proofErr w:type="spellStart"/>
      <w:r>
        <w:rPr>
          <w:sz w:val="16"/>
          <w:szCs w:val="16"/>
        </w:rPr>
        <w:t>concernant</w:t>
      </w:r>
      <w:proofErr w:type="spellEnd"/>
      <w:r>
        <w:rPr>
          <w:sz w:val="16"/>
          <w:szCs w:val="16"/>
        </w:rPr>
        <w:t xml:space="preserve"> </w:t>
      </w:r>
      <w:proofErr w:type="spellStart"/>
      <w:r>
        <w:rPr>
          <w:sz w:val="16"/>
          <w:szCs w:val="16"/>
        </w:rPr>
        <w:t>le</w:t>
      </w:r>
      <w:proofErr w:type="spellEnd"/>
      <w:r>
        <w:rPr>
          <w:sz w:val="16"/>
          <w:szCs w:val="16"/>
        </w:rPr>
        <w:t xml:space="preserve"> </w:t>
      </w:r>
      <w:proofErr w:type="spellStart"/>
      <w:r>
        <w:rPr>
          <w:sz w:val="16"/>
          <w:szCs w:val="16"/>
        </w:rPr>
        <w:t>requérant</w:t>
      </w:r>
      <w:proofErr w:type="spellEnd"/>
      <w:r>
        <w:rPr>
          <w:sz w:val="16"/>
          <w:szCs w:val="16"/>
        </w:rPr>
        <w:t xml:space="preserve">/la </w:t>
      </w:r>
      <w:proofErr w:type="spellStart"/>
      <w:r>
        <w:rPr>
          <w:sz w:val="16"/>
          <w:szCs w:val="16"/>
        </w:rPr>
        <w:t>requérante</w:t>
      </w:r>
      <w:proofErr w:type="spellEnd"/>
      <w:r>
        <w:rPr>
          <w:sz w:val="16"/>
          <w:szCs w:val="16"/>
        </w:rPr>
        <w:t xml:space="preserve"> </w:t>
      </w:r>
      <w:proofErr w:type="spellStart"/>
      <w:r>
        <w:rPr>
          <w:sz w:val="16"/>
          <w:szCs w:val="16"/>
        </w:rPr>
        <w:t>et</w:t>
      </w:r>
      <w:proofErr w:type="spellEnd"/>
      <w:r>
        <w:rPr>
          <w:sz w:val="16"/>
          <w:szCs w:val="16"/>
        </w:rPr>
        <w:t xml:space="preserve"> </w:t>
      </w:r>
      <w:proofErr w:type="spellStart"/>
      <w:r>
        <w:rPr>
          <w:sz w:val="16"/>
          <w:szCs w:val="16"/>
        </w:rPr>
        <w:t>son</w:t>
      </w:r>
      <w:proofErr w:type="spellEnd"/>
      <w:r>
        <w:rPr>
          <w:sz w:val="16"/>
          <w:szCs w:val="16"/>
        </w:rPr>
        <w:t xml:space="preserve">/sa </w:t>
      </w:r>
      <w:proofErr w:type="spellStart"/>
      <w:r>
        <w:rPr>
          <w:sz w:val="16"/>
          <w:szCs w:val="16"/>
        </w:rPr>
        <w:t>représentant</w:t>
      </w:r>
      <w:proofErr w:type="spellEnd"/>
      <w:r>
        <w:rPr>
          <w:sz w:val="16"/>
          <w:szCs w:val="16"/>
        </w:rPr>
        <w:t xml:space="preserve">(e) </w:t>
      </w:r>
      <w:proofErr w:type="spellStart"/>
      <w:r>
        <w:rPr>
          <w:sz w:val="16"/>
          <w:szCs w:val="16"/>
        </w:rPr>
        <w:t>éventuel</w:t>
      </w:r>
      <w:proofErr w:type="spellEnd"/>
      <w:r>
        <w:rPr>
          <w:sz w:val="16"/>
          <w:szCs w:val="16"/>
        </w:rPr>
        <w:t>(</w:t>
      </w:r>
      <w:proofErr w:type="spellStart"/>
      <w:r>
        <w:rPr>
          <w:sz w:val="16"/>
          <w:szCs w:val="16"/>
        </w:rPr>
        <w:t>le</w:t>
      </w:r>
      <w:proofErr w:type="spellEnd"/>
      <w:r>
        <w:rPr>
          <w:sz w:val="16"/>
          <w:szCs w:val="16"/>
        </w:rPr>
        <w:t>))</w:t>
      </w:r>
    </w:p>
    <w:p w:rsidR="00DC1275" w:rsidRDefault="00DC1275" w:rsidP="00DC1275">
      <w:pPr>
        <w:autoSpaceDE w:val="0"/>
        <w:autoSpaceDN w:val="0"/>
        <w:adjustRightInd w:val="0"/>
        <w:spacing w:line="240" w:lineRule="auto"/>
        <w:ind w:firstLine="540"/>
        <w:rPr>
          <w:i/>
          <w:iCs/>
          <w:sz w:val="16"/>
          <w:szCs w:val="16"/>
        </w:rPr>
      </w:pPr>
      <w:r>
        <w:rPr>
          <w:i/>
          <w:iCs/>
          <w:sz w:val="16"/>
          <w:szCs w:val="16"/>
        </w:rPr>
        <w:t>(</w:t>
      </w:r>
      <w:proofErr w:type="spellStart"/>
      <w:r>
        <w:rPr>
          <w:i/>
          <w:iCs/>
          <w:sz w:val="16"/>
          <w:szCs w:val="16"/>
        </w:rPr>
        <w:t>Fill</w:t>
      </w:r>
      <w:proofErr w:type="spellEnd"/>
      <w:r>
        <w:rPr>
          <w:i/>
          <w:iCs/>
          <w:sz w:val="16"/>
          <w:szCs w:val="16"/>
        </w:rPr>
        <w:t xml:space="preserve"> in </w:t>
      </w:r>
      <w:proofErr w:type="spellStart"/>
      <w:r>
        <w:rPr>
          <w:i/>
          <w:iCs/>
          <w:sz w:val="16"/>
          <w:szCs w:val="16"/>
        </w:rPr>
        <w:t>the</w:t>
      </w:r>
      <w:proofErr w:type="spellEnd"/>
      <w:r>
        <w:rPr>
          <w:i/>
          <w:iCs/>
          <w:sz w:val="16"/>
          <w:szCs w:val="16"/>
        </w:rPr>
        <w:t xml:space="preserve"> </w:t>
      </w:r>
      <w:proofErr w:type="spellStart"/>
      <w:r>
        <w:rPr>
          <w:i/>
          <w:iCs/>
          <w:sz w:val="16"/>
          <w:szCs w:val="16"/>
        </w:rPr>
        <w:t>following</w:t>
      </w:r>
      <w:proofErr w:type="spellEnd"/>
      <w:r>
        <w:rPr>
          <w:i/>
          <w:iCs/>
          <w:sz w:val="16"/>
          <w:szCs w:val="16"/>
        </w:rPr>
        <w:t xml:space="preserve"> </w:t>
      </w:r>
      <w:proofErr w:type="spellStart"/>
      <w:r>
        <w:rPr>
          <w:i/>
          <w:iCs/>
          <w:sz w:val="16"/>
          <w:szCs w:val="16"/>
        </w:rPr>
        <w:t>details</w:t>
      </w:r>
      <w:proofErr w:type="spellEnd"/>
      <w:r>
        <w:rPr>
          <w:i/>
          <w:iCs/>
          <w:sz w:val="16"/>
          <w:szCs w:val="16"/>
        </w:rPr>
        <w:t xml:space="preserve"> </w:t>
      </w:r>
      <w:proofErr w:type="spellStart"/>
      <w:r>
        <w:rPr>
          <w:i/>
          <w:iCs/>
          <w:sz w:val="16"/>
          <w:szCs w:val="16"/>
        </w:rPr>
        <w:t>of</w:t>
      </w:r>
      <w:proofErr w:type="spellEnd"/>
      <w:r>
        <w:rPr>
          <w:i/>
          <w:iCs/>
          <w:sz w:val="16"/>
          <w:szCs w:val="16"/>
        </w:rPr>
        <w:t xml:space="preserve"> </w:t>
      </w:r>
      <w:proofErr w:type="spellStart"/>
      <w:r>
        <w:rPr>
          <w:i/>
          <w:iCs/>
          <w:sz w:val="16"/>
          <w:szCs w:val="16"/>
        </w:rPr>
        <w:t>the</w:t>
      </w:r>
      <w:proofErr w:type="spellEnd"/>
      <w:r>
        <w:rPr>
          <w:i/>
          <w:iCs/>
          <w:sz w:val="16"/>
          <w:szCs w:val="16"/>
        </w:rPr>
        <w:t xml:space="preserve"> </w:t>
      </w:r>
      <w:proofErr w:type="spellStart"/>
      <w:r>
        <w:rPr>
          <w:i/>
          <w:iCs/>
          <w:sz w:val="16"/>
          <w:szCs w:val="16"/>
        </w:rPr>
        <w:t>applicant</w:t>
      </w:r>
      <w:proofErr w:type="spellEnd"/>
      <w:r>
        <w:rPr>
          <w:i/>
          <w:iCs/>
          <w:sz w:val="16"/>
          <w:szCs w:val="16"/>
        </w:rPr>
        <w:t xml:space="preserve"> and </w:t>
      </w:r>
      <w:proofErr w:type="spellStart"/>
      <w:r>
        <w:rPr>
          <w:i/>
          <w:iCs/>
          <w:sz w:val="16"/>
          <w:szCs w:val="16"/>
        </w:rPr>
        <w:t>the</w:t>
      </w:r>
      <w:proofErr w:type="spellEnd"/>
      <w:r>
        <w:rPr>
          <w:i/>
          <w:iCs/>
          <w:sz w:val="16"/>
          <w:szCs w:val="16"/>
        </w:rPr>
        <w:t xml:space="preserve"> </w:t>
      </w:r>
      <w:proofErr w:type="spellStart"/>
      <w:r>
        <w:rPr>
          <w:i/>
          <w:iCs/>
          <w:sz w:val="16"/>
          <w:szCs w:val="16"/>
        </w:rPr>
        <w:t>representative</w:t>
      </w:r>
      <w:proofErr w:type="spellEnd"/>
      <w:r>
        <w:rPr>
          <w:i/>
          <w:iCs/>
          <w:sz w:val="16"/>
          <w:szCs w:val="16"/>
        </w:rPr>
        <w:t xml:space="preserve">, </w:t>
      </w:r>
      <w:proofErr w:type="spellStart"/>
      <w:r>
        <w:rPr>
          <w:i/>
          <w:iCs/>
          <w:sz w:val="16"/>
          <w:szCs w:val="16"/>
        </w:rPr>
        <w:t>if</w:t>
      </w:r>
      <w:proofErr w:type="spellEnd"/>
      <w:r>
        <w:rPr>
          <w:i/>
          <w:iCs/>
          <w:sz w:val="16"/>
          <w:szCs w:val="16"/>
        </w:rPr>
        <w:t xml:space="preserve"> </w:t>
      </w:r>
      <w:proofErr w:type="spellStart"/>
      <w:r>
        <w:rPr>
          <w:i/>
          <w:iCs/>
          <w:sz w:val="16"/>
          <w:szCs w:val="16"/>
        </w:rPr>
        <w:t>any</w:t>
      </w:r>
      <w:proofErr w:type="spellEnd"/>
      <w:r>
        <w:rPr>
          <w:i/>
          <w:iCs/>
          <w:sz w:val="16"/>
          <w:szCs w:val="16"/>
        </w:rPr>
        <w:t>)</w:t>
      </w:r>
    </w:p>
    <w:p w:rsidR="00DC1275" w:rsidRDefault="00DC1275" w:rsidP="00DC1275">
      <w:pPr>
        <w:autoSpaceDE w:val="0"/>
        <w:autoSpaceDN w:val="0"/>
        <w:adjustRightInd w:val="0"/>
        <w:spacing w:line="240" w:lineRule="auto"/>
        <w:ind w:firstLine="540"/>
        <w:rPr>
          <w:b/>
          <w:bCs/>
          <w:sz w:val="16"/>
          <w:szCs w:val="16"/>
        </w:rPr>
      </w:pPr>
      <w:r>
        <w:rPr>
          <w:b/>
          <w:bCs/>
          <w:sz w:val="16"/>
          <w:szCs w:val="16"/>
        </w:rPr>
        <w:t>(Vyplňte nasledujúce údaje o sťažovateľovi/sťažovateľke a prípadnom/ej zástupcovi/</w:t>
      </w:r>
      <w:proofErr w:type="spellStart"/>
      <w:r>
        <w:rPr>
          <w:b/>
          <w:bCs/>
          <w:sz w:val="16"/>
          <w:szCs w:val="16"/>
        </w:rPr>
        <w:t>kyni</w:t>
      </w:r>
      <w:proofErr w:type="spellEnd"/>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 xml:space="preserve">1. </w:t>
      </w:r>
      <w:proofErr w:type="spellStart"/>
      <w:r>
        <w:rPr>
          <w:sz w:val="20"/>
          <w:szCs w:val="20"/>
        </w:rPr>
        <w:t>Nom</w:t>
      </w:r>
      <w:proofErr w:type="spellEnd"/>
      <w:r>
        <w:rPr>
          <w:sz w:val="20"/>
          <w:szCs w:val="20"/>
        </w:rPr>
        <w:t xml:space="preserve"> </w:t>
      </w:r>
      <w:proofErr w:type="spellStart"/>
      <w:r>
        <w:rPr>
          <w:sz w:val="20"/>
          <w:szCs w:val="20"/>
        </w:rPr>
        <w:t>de</w:t>
      </w:r>
      <w:proofErr w:type="spellEnd"/>
      <w:r>
        <w:rPr>
          <w:sz w:val="20"/>
          <w:szCs w:val="20"/>
        </w:rPr>
        <w:t xml:space="preserve"> </w:t>
      </w:r>
      <w:proofErr w:type="spellStart"/>
      <w:r>
        <w:rPr>
          <w:sz w:val="20"/>
          <w:szCs w:val="20"/>
        </w:rPr>
        <w:t>famille</w:t>
      </w:r>
      <w:proofErr w:type="spellEnd"/>
      <w:r>
        <w:rPr>
          <w:sz w:val="20"/>
          <w:szCs w:val="20"/>
        </w:rPr>
        <w:t xml:space="preserve"> …………………………………… 2. </w:t>
      </w:r>
      <w:proofErr w:type="spellStart"/>
      <w:r>
        <w:rPr>
          <w:sz w:val="20"/>
          <w:szCs w:val="20"/>
        </w:rPr>
        <w:t>Prénom</w:t>
      </w:r>
      <w:proofErr w:type="spellEnd"/>
      <w:r>
        <w:rPr>
          <w:sz w:val="20"/>
          <w:szCs w:val="20"/>
        </w:rPr>
        <w:t xml:space="preserve"> (s)………………………………………………</w:t>
      </w:r>
    </w:p>
    <w:p w:rsidR="00DC1275" w:rsidRDefault="00DC1275" w:rsidP="00DC1275">
      <w:pPr>
        <w:autoSpaceDE w:val="0"/>
        <w:autoSpaceDN w:val="0"/>
        <w:adjustRightInd w:val="0"/>
        <w:spacing w:line="240" w:lineRule="auto"/>
        <w:rPr>
          <w:i/>
          <w:iCs/>
          <w:sz w:val="20"/>
          <w:szCs w:val="20"/>
        </w:rPr>
      </w:pPr>
      <w:r>
        <w:rPr>
          <w:i/>
          <w:iCs/>
          <w:sz w:val="20"/>
          <w:szCs w:val="20"/>
        </w:rPr>
        <w:t xml:space="preserve">    </w:t>
      </w:r>
      <w:proofErr w:type="spellStart"/>
      <w:r>
        <w:rPr>
          <w:i/>
          <w:iCs/>
          <w:sz w:val="20"/>
          <w:szCs w:val="20"/>
        </w:rPr>
        <w:t>Surname</w:t>
      </w:r>
      <w:proofErr w:type="spellEnd"/>
      <w:r>
        <w:rPr>
          <w:i/>
          <w:iCs/>
          <w:sz w:val="20"/>
          <w:szCs w:val="20"/>
        </w:rPr>
        <w:t xml:space="preserve">                                                                       </w:t>
      </w:r>
      <w:proofErr w:type="spellStart"/>
      <w:r>
        <w:rPr>
          <w:i/>
          <w:iCs/>
          <w:sz w:val="20"/>
          <w:szCs w:val="20"/>
        </w:rPr>
        <w:t>First</w:t>
      </w:r>
      <w:proofErr w:type="spellEnd"/>
      <w:r>
        <w:rPr>
          <w:i/>
          <w:iCs/>
          <w:sz w:val="20"/>
          <w:szCs w:val="20"/>
        </w:rPr>
        <w:t xml:space="preserve"> </w:t>
      </w:r>
      <w:proofErr w:type="spellStart"/>
      <w:r>
        <w:rPr>
          <w:i/>
          <w:iCs/>
          <w:sz w:val="20"/>
          <w:szCs w:val="20"/>
        </w:rPr>
        <w:t>name</w:t>
      </w:r>
      <w:proofErr w:type="spellEnd"/>
      <w:r>
        <w:rPr>
          <w:i/>
          <w:iCs/>
          <w:sz w:val="20"/>
          <w:szCs w:val="20"/>
        </w:rPr>
        <w:t xml:space="preserve"> (s)</w:t>
      </w:r>
    </w:p>
    <w:p w:rsidR="00DC1275" w:rsidRDefault="00DC1275" w:rsidP="00DC1275">
      <w:pPr>
        <w:autoSpaceDE w:val="0"/>
        <w:autoSpaceDN w:val="0"/>
        <w:adjustRightInd w:val="0"/>
        <w:spacing w:line="240" w:lineRule="auto"/>
        <w:rPr>
          <w:b/>
          <w:bCs/>
          <w:sz w:val="20"/>
          <w:szCs w:val="20"/>
        </w:rPr>
      </w:pPr>
      <w:r>
        <w:rPr>
          <w:b/>
          <w:bCs/>
          <w:sz w:val="20"/>
          <w:szCs w:val="20"/>
        </w:rPr>
        <w:t xml:space="preserve">    Priezvisko                                                                    Meno</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 xml:space="preserve">    Sexe: </w:t>
      </w:r>
      <w:proofErr w:type="spellStart"/>
      <w:r>
        <w:rPr>
          <w:sz w:val="20"/>
          <w:szCs w:val="20"/>
        </w:rPr>
        <w:t>masculin</w:t>
      </w:r>
      <w:proofErr w:type="spellEnd"/>
      <w:r>
        <w:rPr>
          <w:sz w:val="20"/>
          <w:szCs w:val="20"/>
        </w:rPr>
        <w:t>/</w:t>
      </w:r>
      <w:proofErr w:type="spellStart"/>
      <w:r>
        <w:rPr>
          <w:sz w:val="20"/>
          <w:szCs w:val="20"/>
        </w:rPr>
        <w:t>féminin</w:t>
      </w:r>
      <w:proofErr w:type="spellEnd"/>
    </w:p>
    <w:p w:rsidR="00DC1275" w:rsidRDefault="00DC1275" w:rsidP="00DC1275">
      <w:pPr>
        <w:autoSpaceDE w:val="0"/>
        <w:autoSpaceDN w:val="0"/>
        <w:adjustRightInd w:val="0"/>
        <w:spacing w:line="240" w:lineRule="auto"/>
        <w:rPr>
          <w:i/>
          <w:iCs/>
          <w:sz w:val="20"/>
          <w:szCs w:val="20"/>
        </w:rPr>
      </w:pPr>
      <w:r>
        <w:rPr>
          <w:i/>
          <w:iCs/>
          <w:sz w:val="20"/>
          <w:szCs w:val="20"/>
        </w:rPr>
        <w:t xml:space="preserve">    Sex: </w:t>
      </w:r>
      <w:proofErr w:type="spellStart"/>
      <w:r>
        <w:rPr>
          <w:i/>
          <w:iCs/>
          <w:sz w:val="20"/>
          <w:szCs w:val="20"/>
        </w:rPr>
        <w:t>male</w:t>
      </w:r>
      <w:proofErr w:type="spellEnd"/>
      <w:r>
        <w:rPr>
          <w:i/>
          <w:iCs/>
          <w:sz w:val="20"/>
          <w:szCs w:val="20"/>
        </w:rPr>
        <w:t>/</w:t>
      </w:r>
      <w:proofErr w:type="spellStart"/>
      <w:r>
        <w:rPr>
          <w:i/>
          <w:iCs/>
          <w:sz w:val="20"/>
          <w:szCs w:val="20"/>
        </w:rPr>
        <w:t>female</w:t>
      </w:r>
      <w:proofErr w:type="spellEnd"/>
    </w:p>
    <w:p w:rsidR="00DC1275" w:rsidRDefault="00DC1275" w:rsidP="00DC1275">
      <w:pPr>
        <w:autoSpaceDE w:val="0"/>
        <w:autoSpaceDN w:val="0"/>
        <w:adjustRightInd w:val="0"/>
        <w:spacing w:line="240" w:lineRule="auto"/>
        <w:rPr>
          <w:b/>
          <w:bCs/>
          <w:sz w:val="20"/>
          <w:szCs w:val="20"/>
        </w:rPr>
      </w:pPr>
      <w:r>
        <w:rPr>
          <w:b/>
          <w:bCs/>
          <w:sz w:val="20"/>
          <w:szCs w:val="20"/>
        </w:rPr>
        <w:t xml:space="preserve">    Pohlavie: mužské/ženské</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 xml:space="preserve">3. </w:t>
      </w:r>
      <w:proofErr w:type="spellStart"/>
      <w:r>
        <w:rPr>
          <w:sz w:val="20"/>
          <w:szCs w:val="20"/>
        </w:rPr>
        <w:t>Nationalité</w:t>
      </w:r>
      <w:proofErr w:type="spellEnd"/>
      <w:r>
        <w:rPr>
          <w:sz w:val="20"/>
          <w:szCs w:val="20"/>
        </w:rPr>
        <w:t xml:space="preserve"> ……………………………………….. 4. </w:t>
      </w:r>
      <w:proofErr w:type="spellStart"/>
      <w:r>
        <w:rPr>
          <w:sz w:val="20"/>
          <w:szCs w:val="20"/>
        </w:rPr>
        <w:t>Profession</w:t>
      </w:r>
      <w:proofErr w:type="spellEnd"/>
      <w:r>
        <w:rPr>
          <w:sz w:val="20"/>
          <w:szCs w:val="20"/>
        </w:rPr>
        <w:t xml:space="preserve"> ………………………………………….</w:t>
      </w:r>
    </w:p>
    <w:p w:rsidR="00DC1275" w:rsidRDefault="00DC1275" w:rsidP="00DC1275">
      <w:pPr>
        <w:autoSpaceDE w:val="0"/>
        <w:autoSpaceDN w:val="0"/>
        <w:adjustRightInd w:val="0"/>
        <w:spacing w:line="240" w:lineRule="auto"/>
        <w:rPr>
          <w:i/>
          <w:iCs/>
          <w:sz w:val="20"/>
          <w:szCs w:val="20"/>
        </w:rPr>
      </w:pPr>
      <w:r>
        <w:rPr>
          <w:i/>
          <w:iCs/>
          <w:sz w:val="20"/>
          <w:szCs w:val="20"/>
        </w:rPr>
        <w:t xml:space="preserve">    </w:t>
      </w:r>
      <w:proofErr w:type="spellStart"/>
      <w:r>
        <w:rPr>
          <w:i/>
          <w:iCs/>
          <w:sz w:val="20"/>
          <w:szCs w:val="20"/>
        </w:rPr>
        <w:t>Nationality</w:t>
      </w:r>
      <w:proofErr w:type="spellEnd"/>
      <w:r>
        <w:rPr>
          <w:i/>
          <w:iCs/>
          <w:sz w:val="20"/>
          <w:szCs w:val="20"/>
        </w:rPr>
        <w:t xml:space="preserve">                                                                    </w:t>
      </w:r>
      <w:proofErr w:type="spellStart"/>
      <w:r>
        <w:rPr>
          <w:i/>
          <w:iCs/>
          <w:sz w:val="20"/>
          <w:szCs w:val="20"/>
        </w:rPr>
        <w:t>Occupation</w:t>
      </w:r>
      <w:proofErr w:type="spellEnd"/>
    </w:p>
    <w:p w:rsidR="00DC1275" w:rsidRDefault="00DC1275" w:rsidP="00DC1275">
      <w:pPr>
        <w:autoSpaceDE w:val="0"/>
        <w:autoSpaceDN w:val="0"/>
        <w:adjustRightInd w:val="0"/>
        <w:spacing w:line="240" w:lineRule="auto"/>
        <w:rPr>
          <w:b/>
          <w:bCs/>
          <w:sz w:val="20"/>
          <w:szCs w:val="20"/>
        </w:rPr>
      </w:pPr>
      <w:r>
        <w:rPr>
          <w:b/>
          <w:bCs/>
          <w:sz w:val="20"/>
          <w:szCs w:val="20"/>
        </w:rPr>
        <w:t xml:space="preserve">    Štátna príslušnosť                                                      Zamestnanie</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 xml:space="preserve">5. </w:t>
      </w:r>
      <w:proofErr w:type="spellStart"/>
      <w:r>
        <w:rPr>
          <w:sz w:val="20"/>
          <w:szCs w:val="20"/>
        </w:rPr>
        <w:t>Date</w:t>
      </w:r>
      <w:proofErr w:type="spellEnd"/>
      <w:r>
        <w:rPr>
          <w:sz w:val="20"/>
          <w:szCs w:val="20"/>
        </w:rPr>
        <w:t xml:space="preserve"> </w:t>
      </w:r>
      <w:proofErr w:type="spellStart"/>
      <w:r>
        <w:rPr>
          <w:sz w:val="20"/>
          <w:szCs w:val="20"/>
        </w:rPr>
        <w:t>et</w:t>
      </w:r>
      <w:proofErr w:type="spellEnd"/>
      <w:r>
        <w:rPr>
          <w:sz w:val="20"/>
          <w:szCs w:val="20"/>
        </w:rPr>
        <w:t xml:space="preserve"> </w:t>
      </w:r>
      <w:proofErr w:type="spellStart"/>
      <w:r>
        <w:rPr>
          <w:sz w:val="20"/>
          <w:szCs w:val="20"/>
        </w:rPr>
        <w:t>lieu</w:t>
      </w:r>
      <w:proofErr w:type="spellEnd"/>
      <w:r>
        <w:rPr>
          <w:sz w:val="20"/>
          <w:szCs w:val="20"/>
        </w:rPr>
        <w:t xml:space="preserve"> </w:t>
      </w:r>
      <w:proofErr w:type="spellStart"/>
      <w:r>
        <w:rPr>
          <w:sz w:val="20"/>
          <w:szCs w:val="20"/>
        </w:rPr>
        <w:t>de</w:t>
      </w:r>
      <w:proofErr w:type="spellEnd"/>
      <w:r>
        <w:rPr>
          <w:sz w:val="20"/>
          <w:szCs w:val="20"/>
        </w:rPr>
        <w:t xml:space="preserve"> </w:t>
      </w:r>
      <w:proofErr w:type="spellStart"/>
      <w:r>
        <w:rPr>
          <w:sz w:val="20"/>
          <w:szCs w:val="20"/>
        </w:rPr>
        <w:t>naissance</w:t>
      </w:r>
      <w:proofErr w:type="spellEnd"/>
      <w:r>
        <w:rPr>
          <w:sz w:val="20"/>
          <w:szCs w:val="20"/>
        </w:rPr>
        <w:t>………………………………………………………………………………………….</w:t>
      </w:r>
    </w:p>
    <w:p w:rsidR="00DC1275" w:rsidRDefault="00DC1275" w:rsidP="00DC1275">
      <w:pPr>
        <w:autoSpaceDE w:val="0"/>
        <w:autoSpaceDN w:val="0"/>
        <w:adjustRightInd w:val="0"/>
        <w:spacing w:line="240" w:lineRule="auto"/>
        <w:rPr>
          <w:i/>
          <w:iCs/>
          <w:sz w:val="20"/>
          <w:szCs w:val="20"/>
        </w:rPr>
      </w:pPr>
      <w:r>
        <w:rPr>
          <w:i/>
          <w:iCs/>
          <w:sz w:val="20"/>
          <w:szCs w:val="20"/>
        </w:rPr>
        <w:t xml:space="preserve">    </w:t>
      </w:r>
      <w:proofErr w:type="spellStart"/>
      <w:r>
        <w:rPr>
          <w:i/>
          <w:iCs/>
          <w:sz w:val="20"/>
          <w:szCs w:val="20"/>
        </w:rPr>
        <w:t>Date</w:t>
      </w:r>
      <w:proofErr w:type="spellEnd"/>
      <w:r>
        <w:rPr>
          <w:i/>
          <w:iCs/>
          <w:sz w:val="20"/>
          <w:szCs w:val="20"/>
        </w:rPr>
        <w:t xml:space="preserve"> and </w:t>
      </w:r>
      <w:proofErr w:type="spellStart"/>
      <w:r>
        <w:rPr>
          <w:i/>
          <w:iCs/>
          <w:sz w:val="20"/>
          <w:szCs w:val="20"/>
        </w:rPr>
        <w:t>place</w:t>
      </w:r>
      <w:proofErr w:type="spellEnd"/>
      <w:r>
        <w:rPr>
          <w:i/>
          <w:iCs/>
          <w:sz w:val="20"/>
          <w:szCs w:val="20"/>
        </w:rPr>
        <w:t xml:space="preserve"> </w:t>
      </w:r>
      <w:proofErr w:type="spellStart"/>
      <w:r>
        <w:rPr>
          <w:i/>
          <w:iCs/>
          <w:sz w:val="20"/>
          <w:szCs w:val="20"/>
        </w:rPr>
        <w:t>of</w:t>
      </w:r>
      <w:proofErr w:type="spellEnd"/>
      <w:r>
        <w:rPr>
          <w:i/>
          <w:iCs/>
          <w:sz w:val="20"/>
          <w:szCs w:val="20"/>
        </w:rPr>
        <w:t xml:space="preserve"> </w:t>
      </w:r>
      <w:proofErr w:type="spellStart"/>
      <w:r>
        <w:rPr>
          <w:i/>
          <w:iCs/>
          <w:sz w:val="20"/>
          <w:szCs w:val="20"/>
        </w:rPr>
        <w:t>birth</w:t>
      </w:r>
      <w:proofErr w:type="spellEnd"/>
    </w:p>
    <w:p w:rsidR="00DC1275" w:rsidRDefault="00DC1275" w:rsidP="00DC1275">
      <w:pPr>
        <w:autoSpaceDE w:val="0"/>
        <w:autoSpaceDN w:val="0"/>
        <w:adjustRightInd w:val="0"/>
        <w:spacing w:line="240" w:lineRule="auto"/>
        <w:rPr>
          <w:b/>
          <w:bCs/>
          <w:sz w:val="20"/>
          <w:szCs w:val="20"/>
        </w:rPr>
      </w:pPr>
      <w:r>
        <w:rPr>
          <w:b/>
          <w:bCs/>
          <w:sz w:val="20"/>
          <w:szCs w:val="20"/>
        </w:rPr>
        <w:t xml:space="preserve">    Dátum a miesto narodenia</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6. Domicile…………………………………………………………………………………………………………..</w:t>
      </w:r>
    </w:p>
    <w:p w:rsidR="00DC1275" w:rsidRDefault="00DC1275" w:rsidP="00DC1275">
      <w:pPr>
        <w:autoSpaceDE w:val="0"/>
        <w:autoSpaceDN w:val="0"/>
        <w:adjustRightInd w:val="0"/>
        <w:spacing w:line="240" w:lineRule="auto"/>
        <w:rPr>
          <w:i/>
          <w:iCs/>
          <w:sz w:val="20"/>
          <w:szCs w:val="20"/>
        </w:rPr>
      </w:pPr>
      <w:r>
        <w:rPr>
          <w:i/>
          <w:iCs/>
          <w:sz w:val="20"/>
          <w:szCs w:val="20"/>
        </w:rPr>
        <w:t xml:space="preserve">    </w:t>
      </w:r>
      <w:proofErr w:type="spellStart"/>
      <w:r>
        <w:rPr>
          <w:i/>
          <w:iCs/>
          <w:sz w:val="20"/>
          <w:szCs w:val="20"/>
        </w:rPr>
        <w:t>Permanent</w:t>
      </w:r>
      <w:proofErr w:type="spellEnd"/>
      <w:r>
        <w:rPr>
          <w:i/>
          <w:iCs/>
          <w:sz w:val="20"/>
          <w:szCs w:val="20"/>
        </w:rPr>
        <w:t xml:space="preserve"> </w:t>
      </w:r>
      <w:proofErr w:type="spellStart"/>
      <w:r>
        <w:rPr>
          <w:i/>
          <w:iCs/>
          <w:sz w:val="20"/>
          <w:szCs w:val="20"/>
        </w:rPr>
        <w:t>address</w:t>
      </w:r>
      <w:proofErr w:type="spellEnd"/>
    </w:p>
    <w:p w:rsidR="00DC1275" w:rsidRDefault="00DC1275" w:rsidP="00DC1275">
      <w:pPr>
        <w:autoSpaceDE w:val="0"/>
        <w:autoSpaceDN w:val="0"/>
        <w:adjustRightInd w:val="0"/>
        <w:spacing w:line="240" w:lineRule="auto"/>
        <w:rPr>
          <w:b/>
          <w:bCs/>
          <w:sz w:val="20"/>
          <w:szCs w:val="20"/>
        </w:rPr>
      </w:pPr>
      <w:r>
        <w:rPr>
          <w:b/>
          <w:bCs/>
          <w:sz w:val="20"/>
          <w:szCs w:val="20"/>
        </w:rPr>
        <w:t xml:space="preserve">    Trvalé bydlisko</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 xml:space="preserve">7. </w:t>
      </w:r>
      <w:r>
        <w:rPr>
          <w:b/>
          <w:bCs/>
          <w:sz w:val="20"/>
          <w:szCs w:val="20"/>
        </w:rPr>
        <w:t xml:space="preserve">Tel. číslo </w:t>
      </w:r>
      <w:r>
        <w:rPr>
          <w:sz w:val="20"/>
          <w:szCs w:val="20"/>
        </w:rPr>
        <w:t>………………………………………………………………………………………………………….</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 xml:space="preserve">8.  </w:t>
      </w:r>
      <w:proofErr w:type="spellStart"/>
      <w:r>
        <w:rPr>
          <w:sz w:val="20"/>
          <w:szCs w:val="20"/>
        </w:rPr>
        <w:t>Adresse</w:t>
      </w:r>
      <w:proofErr w:type="spellEnd"/>
      <w:r>
        <w:rPr>
          <w:sz w:val="20"/>
          <w:szCs w:val="20"/>
        </w:rPr>
        <w:t xml:space="preserve"> </w:t>
      </w:r>
      <w:proofErr w:type="spellStart"/>
      <w:r>
        <w:rPr>
          <w:sz w:val="20"/>
          <w:szCs w:val="20"/>
        </w:rPr>
        <w:t>actuelle</w:t>
      </w:r>
      <w:proofErr w:type="spellEnd"/>
      <w:r>
        <w:rPr>
          <w:sz w:val="20"/>
          <w:szCs w:val="20"/>
        </w:rPr>
        <w:t xml:space="preserve"> (si </w:t>
      </w:r>
      <w:proofErr w:type="spellStart"/>
      <w:r>
        <w:rPr>
          <w:sz w:val="20"/>
          <w:szCs w:val="20"/>
        </w:rPr>
        <w:t>différente</w:t>
      </w:r>
      <w:proofErr w:type="spellEnd"/>
      <w:r>
        <w:rPr>
          <w:sz w:val="20"/>
          <w:szCs w:val="20"/>
        </w:rPr>
        <w:t xml:space="preserve"> </w:t>
      </w:r>
      <w:proofErr w:type="spellStart"/>
      <w:r>
        <w:rPr>
          <w:sz w:val="20"/>
          <w:szCs w:val="20"/>
        </w:rPr>
        <w:t>de</w:t>
      </w:r>
      <w:proofErr w:type="spellEnd"/>
      <w:r>
        <w:rPr>
          <w:sz w:val="20"/>
          <w:szCs w:val="20"/>
        </w:rPr>
        <w:t xml:space="preserve"> 6.) ……………………………………………………………………………</w:t>
      </w:r>
    </w:p>
    <w:p w:rsidR="00DC1275" w:rsidRDefault="00DC1275" w:rsidP="00DC1275">
      <w:pPr>
        <w:autoSpaceDE w:val="0"/>
        <w:autoSpaceDN w:val="0"/>
        <w:adjustRightInd w:val="0"/>
        <w:spacing w:line="240" w:lineRule="auto"/>
        <w:rPr>
          <w:i/>
          <w:iCs/>
          <w:sz w:val="20"/>
          <w:szCs w:val="20"/>
        </w:rPr>
      </w:pPr>
      <w:r>
        <w:rPr>
          <w:i/>
          <w:iCs/>
          <w:sz w:val="20"/>
          <w:szCs w:val="20"/>
        </w:rPr>
        <w:t xml:space="preserve">     </w:t>
      </w:r>
      <w:proofErr w:type="spellStart"/>
      <w:r>
        <w:rPr>
          <w:i/>
          <w:iCs/>
          <w:sz w:val="20"/>
          <w:szCs w:val="20"/>
        </w:rPr>
        <w:t>Present</w:t>
      </w:r>
      <w:proofErr w:type="spellEnd"/>
      <w:r>
        <w:rPr>
          <w:i/>
          <w:iCs/>
          <w:sz w:val="20"/>
          <w:szCs w:val="20"/>
        </w:rPr>
        <w:t xml:space="preserve"> </w:t>
      </w:r>
      <w:proofErr w:type="spellStart"/>
      <w:r>
        <w:rPr>
          <w:i/>
          <w:iCs/>
          <w:sz w:val="20"/>
          <w:szCs w:val="20"/>
        </w:rPr>
        <w:t>address</w:t>
      </w:r>
      <w:proofErr w:type="spellEnd"/>
      <w:r>
        <w:rPr>
          <w:i/>
          <w:iCs/>
          <w:sz w:val="20"/>
          <w:szCs w:val="20"/>
        </w:rPr>
        <w:t xml:space="preserve">  (</w:t>
      </w:r>
      <w:proofErr w:type="spellStart"/>
      <w:r>
        <w:rPr>
          <w:i/>
          <w:iCs/>
          <w:sz w:val="20"/>
          <w:szCs w:val="20"/>
        </w:rPr>
        <w:t>if</w:t>
      </w:r>
      <w:proofErr w:type="spellEnd"/>
      <w:r>
        <w:rPr>
          <w:i/>
          <w:iCs/>
          <w:sz w:val="20"/>
          <w:szCs w:val="20"/>
        </w:rPr>
        <w:t xml:space="preserve"> </w:t>
      </w:r>
      <w:proofErr w:type="spellStart"/>
      <w:r>
        <w:rPr>
          <w:i/>
          <w:iCs/>
          <w:sz w:val="20"/>
          <w:szCs w:val="20"/>
        </w:rPr>
        <w:t>different</w:t>
      </w:r>
      <w:proofErr w:type="spellEnd"/>
      <w:r>
        <w:rPr>
          <w:i/>
          <w:iCs/>
          <w:sz w:val="20"/>
          <w:szCs w:val="20"/>
        </w:rPr>
        <w:t xml:space="preserve"> </w:t>
      </w:r>
      <w:proofErr w:type="spellStart"/>
      <w:r>
        <w:rPr>
          <w:i/>
          <w:iCs/>
          <w:sz w:val="20"/>
          <w:szCs w:val="20"/>
        </w:rPr>
        <w:t>from</w:t>
      </w:r>
      <w:proofErr w:type="spellEnd"/>
      <w:r>
        <w:rPr>
          <w:i/>
          <w:iCs/>
          <w:sz w:val="20"/>
          <w:szCs w:val="20"/>
        </w:rPr>
        <w:t xml:space="preserve"> 6.)</w:t>
      </w:r>
    </w:p>
    <w:p w:rsidR="00DC1275" w:rsidRDefault="00DC1275" w:rsidP="00DC1275">
      <w:pPr>
        <w:autoSpaceDE w:val="0"/>
        <w:autoSpaceDN w:val="0"/>
        <w:adjustRightInd w:val="0"/>
        <w:spacing w:line="240" w:lineRule="auto"/>
        <w:rPr>
          <w:b/>
          <w:bCs/>
          <w:sz w:val="20"/>
          <w:szCs w:val="20"/>
        </w:rPr>
      </w:pPr>
      <w:r>
        <w:rPr>
          <w:b/>
          <w:bCs/>
          <w:sz w:val="20"/>
          <w:szCs w:val="20"/>
        </w:rPr>
        <w:t xml:space="preserve">     Súčasná adresa (ak odlišná od bodu 6.)</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 xml:space="preserve">9.  </w:t>
      </w:r>
      <w:proofErr w:type="spellStart"/>
      <w:r>
        <w:rPr>
          <w:sz w:val="20"/>
          <w:szCs w:val="20"/>
        </w:rPr>
        <w:t>Nom</w:t>
      </w:r>
      <w:proofErr w:type="spellEnd"/>
      <w:r>
        <w:rPr>
          <w:sz w:val="20"/>
          <w:szCs w:val="20"/>
        </w:rPr>
        <w:t xml:space="preserve"> </w:t>
      </w:r>
      <w:proofErr w:type="spellStart"/>
      <w:r>
        <w:rPr>
          <w:sz w:val="20"/>
          <w:szCs w:val="20"/>
        </w:rPr>
        <w:t>et</w:t>
      </w:r>
      <w:proofErr w:type="spellEnd"/>
      <w:r>
        <w:rPr>
          <w:sz w:val="20"/>
          <w:szCs w:val="20"/>
        </w:rPr>
        <w:t xml:space="preserve"> </w:t>
      </w:r>
      <w:proofErr w:type="spellStart"/>
      <w:r>
        <w:rPr>
          <w:sz w:val="20"/>
          <w:szCs w:val="20"/>
        </w:rPr>
        <w:t>prénom</w:t>
      </w:r>
      <w:proofErr w:type="spellEnd"/>
      <w:r>
        <w:rPr>
          <w:sz w:val="20"/>
          <w:szCs w:val="20"/>
        </w:rPr>
        <w:t xml:space="preserve"> </w:t>
      </w:r>
      <w:proofErr w:type="spellStart"/>
      <w:r>
        <w:rPr>
          <w:sz w:val="20"/>
          <w:szCs w:val="20"/>
        </w:rPr>
        <w:t>du</w:t>
      </w:r>
      <w:proofErr w:type="spellEnd"/>
      <w:r>
        <w:rPr>
          <w:sz w:val="20"/>
          <w:szCs w:val="20"/>
        </w:rPr>
        <w:t>/</w:t>
      </w:r>
      <w:proofErr w:type="spellStart"/>
      <w:r>
        <w:rPr>
          <w:sz w:val="20"/>
          <w:szCs w:val="20"/>
        </w:rPr>
        <w:t>de</w:t>
      </w:r>
      <w:proofErr w:type="spellEnd"/>
      <w:r>
        <w:rPr>
          <w:sz w:val="20"/>
          <w:szCs w:val="20"/>
        </w:rPr>
        <w:t xml:space="preserve"> la </w:t>
      </w:r>
      <w:proofErr w:type="spellStart"/>
      <w:r>
        <w:rPr>
          <w:sz w:val="20"/>
          <w:szCs w:val="20"/>
        </w:rPr>
        <w:t>représentant</w:t>
      </w:r>
      <w:proofErr w:type="spellEnd"/>
      <w:r>
        <w:rPr>
          <w:sz w:val="20"/>
          <w:szCs w:val="20"/>
        </w:rPr>
        <w:t>(e)* ………………………………………………………………………</w:t>
      </w:r>
    </w:p>
    <w:p w:rsidR="00DC1275" w:rsidRDefault="00DC1275" w:rsidP="00DC1275">
      <w:pPr>
        <w:autoSpaceDE w:val="0"/>
        <w:autoSpaceDN w:val="0"/>
        <w:adjustRightInd w:val="0"/>
        <w:spacing w:line="240" w:lineRule="auto"/>
        <w:rPr>
          <w:i/>
          <w:iCs/>
          <w:sz w:val="20"/>
          <w:szCs w:val="20"/>
        </w:rPr>
      </w:pPr>
      <w:r>
        <w:rPr>
          <w:i/>
          <w:iCs/>
          <w:sz w:val="20"/>
          <w:szCs w:val="20"/>
        </w:rPr>
        <w:t xml:space="preserve">     </w:t>
      </w:r>
      <w:proofErr w:type="spellStart"/>
      <w:r>
        <w:rPr>
          <w:i/>
          <w:iCs/>
          <w:sz w:val="20"/>
          <w:szCs w:val="20"/>
        </w:rPr>
        <w:t>Name</w:t>
      </w:r>
      <w:proofErr w:type="spellEnd"/>
      <w:r>
        <w:rPr>
          <w:i/>
          <w:iCs/>
          <w:sz w:val="20"/>
          <w:szCs w:val="20"/>
        </w:rPr>
        <w:t xml:space="preserve"> </w:t>
      </w:r>
      <w:proofErr w:type="spellStart"/>
      <w:r>
        <w:rPr>
          <w:i/>
          <w:iCs/>
          <w:sz w:val="20"/>
          <w:szCs w:val="20"/>
        </w:rPr>
        <w:t>of</w:t>
      </w:r>
      <w:proofErr w:type="spellEnd"/>
      <w:r>
        <w:rPr>
          <w:i/>
          <w:iCs/>
          <w:sz w:val="20"/>
          <w:szCs w:val="20"/>
        </w:rPr>
        <w:t xml:space="preserve"> </w:t>
      </w:r>
      <w:proofErr w:type="spellStart"/>
      <w:r>
        <w:rPr>
          <w:i/>
          <w:iCs/>
          <w:sz w:val="20"/>
          <w:szCs w:val="20"/>
        </w:rPr>
        <w:t>representative</w:t>
      </w:r>
      <w:proofErr w:type="spellEnd"/>
      <w:r>
        <w:rPr>
          <w:i/>
          <w:iCs/>
          <w:sz w:val="20"/>
          <w:szCs w:val="20"/>
        </w:rPr>
        <w:t>*</w:t>
      </w:r>
    </w:p>
    <w:p w:rsidR="00DC1275" w:rsidRDefault="00DC1275" w:rsidP="00DC1275">
      <w:pPr>
        <w:autoSpaceDE w:val="0"/>
        <w:autoSpaceDN w:val="0"/>
        <w:adjustRightInd w:val="0"/>
        <w:spacing w:line="240" w:lineRule="auto"/>
        <w:rPr>
          <w:b/>
          <w:bCs/>
          <w:sz w:val="20"/>
          <w:szCs w:val="20"/>
        </w:rPr>
      </w:pPr>
      <w:r>
        <w:rPr>
          <w:b/>
          <w:bCs/>
          <w:sz w:val="20"/>
          <w:szCs w:val="20"/>
        </w:rPr>
        <w:t xml:space="preserve">     Priezvisko a meno zástupcu/</w:t>
      </w:r>
      <w:proofErr w:type="spellStart"/>
      <w:r>
        <w:rPr>
          <w:b/>
          <w:bCs/>
          <w:sz w:val="20"/>
          <w:szCs w:val="20"/>
        </w:rPr>
        <w:t>kyne</w:t>
      </w:r>
      <w:proofErr w:type="spellEnd"/>
      <w:r>
        <w:rPr>
          <w:b/>
          <w:bCs/>
          <w:sz w:val="20"/>
          <w:szCs w:val="20"/>
        </w:rPr>
        <w:t>*</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 xml:space="preserve">10. </w:t>
      </w:r>
      <w:proofErr w:type="spellStart"/>
      <w:r>
        <w:rPr>
          <w:sz w:val="20"/>
          <w:szCs w:val="20"/>
        </w:rPr>
        <w:t>Profession</w:t>
      </w:r>
      <w:proofErr w:type="spellEnd"/>
      <w:r>
        <w:rPr>
          <w:sz w:val="20"/>
          <w:szCs w:val="20"/>
        </w:rPr>
        <w:t xml:space="preserve"> </w:t>
      </w:r>
      <w:proofErr w:type="spellStart"/>
      <w:r>
        <w:rPr>
          <w:sz w:val="20"/>
          <w:szCs w:val="20"/>
        </w:rPr>
        <w:t>du</w:t>
      </w:r>
      <w:proofErr w:type="spellEnd"/>
      <w:r>
        <w:rPr>
          <w:sz w:val="20"/>
          <w:szCs w:val="20"/>
        </w:rPr>
        <w:t>/</w:t>
      </w:r>
      <w:proofErr w:type="spellStart"/>
      <w:r>
        <w:rPr>
          <w:sz w:val="20"/>
          <w:szCs w:val="20"/>
        </w:rPr>
        <w:t>de</w:t>
      </w:r>
      <w:proofErr w:type="spellEnd"/>
      <w:r>
        <w:rPr>
          <w:sz w:val="20"/>
          <w:szCs w:val="20"/>
        </w:rPr>
        <w:t xml:space="preserve"> la </w:t>
      </w:r>
      <w:proofErr w:type="spellStart"/>
      <w:r>
        <w:rPr>
          <w:sz w:val="20"/>
          <w:szCs w:val="20"/>
        </w:rPr>
        <w:t>représentan</w:t>
      </w:r>
      <w:r>
        <w:rPr>
          <w:i/>
          <w:iCs/>
          <w:sz w:val="20"/>
          <w:szCs w:val="20"/>
        </w:rPr>
        <w:t>t</w:t>
      </w:r>
      <w:proofErr w:type="spellEnd"/>
      <w:r>
        <w:rPr>
          <w:i/>
          <w:iCs/>
          <w:sz w:val="20"/>
          <w:szCs w:val="20"/>
        </w:rPr>
        <w:t xml:space="preserve">(e) </w:t>
      </w:r>
      <w:r>
        <w:rPr>
          <w:sz w:val="20"/>
          <w:szCs w:val="20"/>
        </w:rPr>
        <w:t>……………………………………………………………………………..</w:t>
      </w:r>
    </w:p>
    <w:p w:rsidR="00DC1275" w:rsidRDefault="00DC1275" w:rsidP="00DC1275">
      <w:pPr>
        <w:autoSpaceDE w:val="0"/>
        <w:autoSpaceDN w:val="0"/>
        <w:adjustRightInd w:val="0"/>
        <w:spacing w:line="240" w:lineRule="auto"/>
        <w:rPr>
          <w:i/>
          <w:iCs/>
          <w:sz w:val="20"/>
          <w:szCs w:val="20"/>
        </w:rPr>
      </w:pPr>
      <w:r>
        <w:rPr>
          <w:i/>
          <w:iCs/>
          <w:sz w:val="20"/>
          <w:szCs w:val="20"/>
        </w:rPr>
        <w:t xml:space="preserve">      </w:t>
      </w:r>
      <w:proofErr w:type="spellStart"/>
      <w:r>
        <w:rPr>
          <w:i/>
          <w:iCs/>
          <w:sz w:val="20"/>
          <w:szCs w:val="20"/>
        </w:rPr>
        <w:t>Occupation</w:t>
      </w:r>
      <w:proofErr w:type="spellEnd"/>
      <w:r>
        <w:rPr>
          <w:i/>
          <w:iCs/>
          <w:sz w:val="20"/>
          <w:szCs w:val="20"/>
        </w:rPr>
        <w:t xml:space="preserve"> </w:t>
      </w:r>
      <w:proofErr w:type="spellStart"/>
      <w:r>
        <w:rPr>
          <w:i/>
          <w:iCs/>
          <w:sz w:val="20"/>
          <w:szCs w:val="20"/>
        </w:rPr>
        <w:t>of</w:t>
      </w:r>
      <w:proofErr w:type="spellEnd"/>
      <w:r>
        <w:rPr>
          <w:i/>
          <w:iCs/>
          <w:sz w:val="20"/>
          <w:szCs w:val="20"/>
        </w:rPr>
        <w:t xml:space="preserve"> </w:t>
      </w:r>
      <w:proofErr w:type="spellStart"/>
      <w:r>
        <w:rPr>
          <w:i/>
          <w:iCs/>
          <w:sz w:val="20"/>
          <w:szCs w:val="20"/>
        </w:rPr>
        <w:t>representative</w:t>
      </w:r>
      <w:proofErr w:type="spellEnd"/>
    </w:p>
    <w:p w:rsidR="00DC1275" w:rsidRDefault="00DC1275" w:rsidP="00DC1275">
      <w:pPr>
        <w:autoSpaceDE w:val="0"/>
        <w:autoSpaceDN w:val="0"/>
        <w:adjustRightInd w:val="0"/>
        <w:spacing w:line="240" w:lineRule="auto"/>
        <w:rPr>
          <w:b/>
          <w:bCs/>
          <w:sz w:val="20"/>
          <w:szCs w:val="20"/>
        </w:rPr>
      </w:pPr>
      <w:r>
        <w:rPr>
          <w:b/>
          <w:bCs/>
          <w:sz w:val="20"/>
          <w:szCs w:val="20"/>
        </w:rPr>
        <w:t xml:space="preserve">      Zamestnanie zástupcu/</w:t>
      </w:r>
      <w:proofErr w:type="spellStart"/>
      <w:r>
        <w:rPr>
          <w:b/>
          <w:bCs/>
          <w:sz w:val="20"/>
          <w:szCs w:val="20"/>
        </w:rPr>
        <w:t>kyne</w:t>
      </w:r>
      <w:proofErr w:type="spellEnd"/>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 xml:space="preserve">11. </w:t>
      </w:r>
      <w:proofErr w:type="spellStart"/>
      <w:r>
        <w:rPr>
          <w:sz w:val="20"/>
          <w:szCs w:val="20"/>
        </w:rPr>
        <w:t>Adresse</w:t>
      </w:r>
      <w:proofErr w:type="spellEnd"/>
      <w:r>
        <w:rPr>
          <w:sz w:val="20"/>
          <w:szCs w:val="20"/>
        </w:rPr>
        <w:t xml:space="preserve"> </w:t>
      </w:r>
      <w:proofErr w:type="spellStart"/>
      <w:r>
        <w:rPr>
          <w:sz w:val="20"/>
          <w:szCs w:val="20"/>
        </w:rPr>
        <w:t>du</w:t>
      </w:r>
      <w:proofErr w:type="spellEnd"/>
      <w:r>
        <w:rPr>
          <w:sz w:val="20"/>
          <w:szCs w:val="20"/>
        </w:rPr>
        <w:t>/</w:t>
      </w:r>
      <w:proofErr w:type="spellStart"/>
      <w:r>
        <w:rPr>
          <w:sz w:val="20"/>
          <w:szCs w:val="20"/>
        </w:rPr>
        <w:t>de</w:t>
      </w:r>
      <w:proofErr w:type="spellEnd"/>
      <w:r>
        <w:rPr>
          <w:sz w:val="20"/>
          <w:szCs w:val="20"/>
        </w:rPr>
        <w:t xml:space="preserve"> la </w:t>
      </w:r>
      <w:proofErr w:type="spellStart"/>
      <w:r>
        <w:rPr>
          <w:sz w:val="20"/>
          <w:szCs w:val="20"/>
        </w:rPr>
        <w:t>représentant</w:t>
      </w:r>
      <w:proofErr w:type="spellEnd"/>
      <w:r>
        <w:rPr>
          <w:sz w:val="20"/>
          <w:szCs w:val="20"/>
        </w:rPr>
        <w:t>(e) ………………………………………………………………………………..</w:t>
      </w:r>
    </w:p>
    <w:p w:rsidR="00DC1275" w:rsidRDefault="00DC1275" w:rsidP="00DC1275">
      <w:pPr>
        <w:autoSpaceDE w:val="0"/>
        <w:autoSpaceDN w:val="0"/>
        <w:adjustRightInd w:val="0"/>
        <w:spacing w:line="240" w:lineRule="auto"/>
        <w:rPr>
          <w:i/>
          <w:iCs/>
          <w:sz w:val="20"/>
          <w:szCs w:val="20"/>
        </w:rPr>
      </w:pPr>
      <w:r>
        <w:rPr>
          <w:i/>
          <w:iCs/>
          <w:sz w:val="20"/>
          <w:szCs w:val="20"/>
        </w:rPr>
        <w:t xml:space="preserve">      </w:t>
      </w:r>
      <w:proofErr w:type="spellStart"/>
      <w:r>
        <w:rPr>
          <w:i/>
          <w:iCs/>
          <w:sz w:val="20"/>
          <w:szCs w:val="20"/>
        </w:rPr>
        <w:t>Address</w:t>
      </w:r>
      <w:proofErr w:type="spellEnd"/>
      <w:r>
        <w:rPr>
          <w:i/>
          <w:iCs/>
          <w:sz w:val="20"/>
          <w:szCs w:val="20"/>
        </w:rPr>
        <w:t xml:space="preserve"> </w:t>
      </w:r>
      <w:proofErr w:type="spellStart"/>
      <w:r>
        <w:rPr>
          <w:i/>
          <w:iCs/>
          <w:sz w:val="20"/>
          <w:szCs w:val="20"/>
        </w:rPr>
        <w:t>of</w:t>
      </w:r>
      <w:proofErr w:type="spellEnd"/>
      <w:r>
        <w:rPr>
          <w:i/>
          <w:iCs/>
          <w:sz w:val="20"/>
          <w:szCs w:val="20"/>
        </w:rPr>
        <w:t xml:space="preserve"> </w:t>
      </w:r>
      <w:proofErr w:type="spellStart"/>
      <w:r>
        <w:rPr>
          <w:i/>
          <w:iCs/>
          <w:sz w:val="20"/>
          <w:szCs w:val="20"/>
        </w:rPr>
        <w:t>representative</w:t>
      </w:r>
      <w:proofErr w:type="spellEnd"/>
    </w:p>
    <w:p w:rsidR="00DC1275" w:rsidRDefault="00DC1275" w:rsidP="00DC1275">
      <w:pPr>
        <w:autoSpaceDE w:val="0"/>
        <w:autoSpaceDN w:val="0"/>
        <w:adjustRightInd w:val="0"/>
        <w:spacing w:line="240" w:lineRule="auto"/>
        <w:rPr>
          <w:b/>
          <w:bCs/>
          <w:sz w:val="20"/>
          <w:szCs w:val="20"/>
        </w:rPr>
      </w:pPr>
      <w:r>
        <w:rPr>
          <w:b/>
          <w:bCs/>
          <w:sz w:val="20"/>
          <w:szCs w:val="20"/>
        </w:rPr>
        <w:t xml:space="preserve">      Adresa zástupcu/</w:t>
      </w:r>
      <w:proofErr w:type="spellStart"/>
      <w:r>
        <w:rPr>
          <w:b/>
          <w:bCs/>
          <w:sz w:val="20"/>
          <w:szCs w:val="20"/>
        </w:rPr>
        <w:t>kyne</w:t>
      </w:r>
      <w:proofErr w:type="spellEnd"/>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 xml:space="preserve">12. </w:t>
      </w:r>
      <w:r>
        <w:rPr>
          <w:b/>
          <w:bCs/>
          <w:sz w:val="20"/>
          <w:szCs w:val="20"/>
        </w:rPr>
        <w:t xml:space="preserve">Tel. číslo </w:t>
      </w:r>
      <w:r>
        <w:rPr>
          <w:sz w:val="20"/>
          <w:szCs w:val="20"/>
        </w:rPr>
        <w:t xml:space="preserve">…………………………………………. </w:t>
      </w:r>
      <w:r>
        <w:rPr>
          <w:b/>
          <w:bCs/>
          <w:sz w:val="20"/>
          <w:szCs w:val="20"/>
        </w:rPr>
        <w:t xml:space="preserve">Číslo faxu </w:t>
      </w:r>
      <w:r>
        <w:rPr>
          <w:sz w:val="20"/>
          <w:szCs w:val="20"/>
        </w:rPr>
        <w:t>……………………………………………</w:t>
      </w: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Pr="004C651F" w:rsidRDefault="00DC1275" w:rsidP="00DC1275">
      <w:pPr>
        <w:autoSpaceDE w:val="0"/>
        <w:autoSpaceDN w:val="0"/>
        <w:adjustRightInd w:val="0"/>
        <w:spacing w:line="240" w:lineRule="auto"/>
        <w:rPr>
          <w:szCs w:val="16"/>
        </w:rPr>
      </w:pPr>
      <w:r w:rsidRPr="004C651F">
        <w:rPr>
          <w:szCs w:val="16"/>
        </w:rPr>
        <w:lastRenderedPageBreak/>
        <w:t>B.     LA HAUTE PARTIE CONTRACTANTE</w:t>
      </w:r>
    </w:p>
    <w:p w:rsidR="00DC1275" w:rsidRDefault="00DC1275" w:rsidP="00DC1275">
      <w:pPr>
        <w:pStyle w:val="Nadpis3"/>
        <w:spacing w:line="240" w:lineRule="auto"/>
        <w:ind w:left="357" w:hanging="357"/>
      </w:pPr>
      <w:bookmarkStart w:id="82" w:name="_Toc289299967"/>
      <w:r>
        <w:t>THE HIGH CONTRACTING PARTY</w:t>
      </w:r>
      <w:bookmarkEnd w:id="82"/>
    </w:p>
    <w:p w:rsidR="00DC1275" w:rsidRDefault="00DC1275" w:rsidP="00DC1275">
      <w:pPr>
        <w:autoSpaceDE w:val="0"/>
        <w:autoSpaceDN w:val="0"/>
        <w:adjustRightInd w:val="0"/>
        <w:spacing w:line="240" w:lineRule="auto"/>
        <w:rPr>
          <w:b/>
          <w:bCs/>
          <w:sz w:val="16"/>
          <w:szCs w:val="16"/>
        </w:rPr>
      </w:pPr>
      <w:r>
        <w:rPr>
          <w:b/>
          <w:bCs/>
          <w:sz w:val="16"/>
          <w:szCs w:val="16"/>
        </w:rPr>
        <w:t xml:space="preserve">         VYSOKÁ ZMLUVNÁ STRANA</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 xml:space="preserve">        (</w:t>
      </w:r>
      <w:proofErr w:type="spellStart"/>
      <w:r>
        <w:rPr>
          <w:sz w:val="20"/>
          <w:szCs w:val="20"/>
        </w:rPr>
        <w:t>Indiquer</w:t>
      </w:r>
      <w:proofErr w:type="spellEnd"/>
      <w:r>
        <w:rPr>
          <w:sz w:val="20"/>
          <w:szCs w:val="20"/>
        </w:rPr>
        <w:t xml:space="preserve"> </w:t>
      </w:r>
      <w:proofErr w:type="spellStart"/>
      <w:r>
        <w:rPr>
          <w:sz w:val="20"/>
          <w:szCs w:val="20"/>
        </w:rPr>
        <w:t>ci-après</w:t>
      </w:r>
      <w:proofErr w:type="spellEnd"/>
      <w:r>
        <w:rPr>
          <w:sz w:val="20"/>
          <w:szCs w:val="20"/>
        </w:rPr>
        <w:t xml:space="preserve"> </w:t>
      </w:r>
      <w:proofErr w:type="spellStart"/>
      <w:r>
        <w:rPr>
          <w:sz w:val="20"/>
          <w:szCs w:val="20"/>
        </w:rPr>
        <w:t>le</w:t>
      </w:r>
      <w:proofErr w:type="spellEnd"/>
      <w:r>
        <w:rPr>
          <w:sz w:val="20"/>
          <w:szCs w:val="20"/>
        </w:rPr>
        <w:t xml:space="preserve"> </w:t>
      </w:r>
      <w:proofErr w:type="spellStart"/>
      <w:r>
        <w:rPr>
          <w:sz w:val="20"/>
          <w:szCs w:val="20"/>
        </w:rPr>
        <w:t>nom</w:t>
      </w:r>
      <w:proofErr w:type="spellEnd"/>
      <w:r>
        <w:rPr>
          <w:sz w:val="20"/>
          <w:szCs w:val="20"/>
        </w:rPr>
        <w:t xml:space="preserve"> </w:t>
      </w:r>
      <w:proofErr w:type="spellStart"/>
      <w:r>
        <w:rPr>
          <w:sz w:val="20"/>
          <w:szCs w:val="20"/>
        </w:rPr>
        <w:t>de</w:t>
      </w:r>
      <w:proofErr w:type="spellEnd"/>
      <w:r>
        <w:rPr>
          <w:sz w:val="20"/>
          <w:szCs w:val="20"/>
        </w:rPr>
        <w:t xml:space="preserve"> </w:t>
      </w:r>
      <w:proofErr w:type="spellStart"/>
      <w:r>
        <w:rPr>
          <w:sz w:val="20"/>
          <w:szCs w:val="20"/>
        </w:rPr>
        <w:t>l’Etat</w:t>
      </w:r>
      <w:proofErr w:type="spellEnd"/>
      <w:r>
        <w:rPr>
          <w:sz w:val="20"/>
          <w:szCs w:val="20"/>
        </w:rPr>
        <w:t xml:space="preserve">/des </w:t>
      </w:r>
      <w:proofErr w:type="spellStart"/>
      <w:r>
        <w:rPr>
          <w:sz w:val="20"/>
          <w:szCs w:val="20"/>
        </w:rPr>
        <w:t>Etats</w:t>
      </w:r>
      <w:proofErr w:type="spellEnd"/>
      <w:r>
        <w:rPr>
          <w:sz w:val="20"/>
          <w:szCs w:val="20"/>
        </w:rPr>
        <w:t xml:space="preserve"> </w:t>
      </w:r>
      <w:proofErr w:type="spellStart"/>
      <w:r>
        <w:rPr>
          <w:sz w:val="20"/>
          <w:szCs w:val="20"/>
        </w:rPr>
        <w:t>contre</w:t>
      </w:r>
      <w:proofErr w:type="spellEnd"/>
      <w:r>
        <w:rPr>
          <w:sz w:val="20"/>
          <w:szCs w:val="20"/>
        </w:rPr>
        <w:t xml:space="preserve"> </w:t>
      </w:r>
      <w:proofErr w:type="spellStart"/>
      <w:r>
        <w:rPr>
          <w:sz w:val="20"/>
          <w:szCs w:val="20"/>
        </w:rPr>
        <w:t>le</w:t>
      </w:r>
      <w:proofErr w:type="spellEnd"/>
      <w:r>
        <w:rPr>
          <w:sz w:val="20"/>
          <w:szCs w:val="20"/>
        </w:rPr>
        <w:t>(s)</w:t>
      </w:r>
      <w:proofErr w:type="spellStart"/>
      <w:r>
        <w:rPr>
          <w:sz w:val="20"/>
          <w:szCs w:val="20"/>
        </w:rPr>
        <w:t>quel</w:t>
      </w:r>
      <w:proofErr w:type="spellEnd"/>
      <w:r>
        <w:rPr>
          <w:sz w:val="20"/>
          <w:szCs w:val="20"/>
        </w:rPr>
        <w:t xml:space="preserve">(s) la </w:t>
      </w:r>
      <w:proofErr w:type="spellStart"/>
      <w:r>
        <w:rPr>
          <w:sz w:val="20"/>
          <w:szCs w:val="20"/>
        </w:rPr>
        <w:t>requête</w:t>
      </w:r>
      <w:proofErr w:type="spellEnd"/>
      <w:r>
        <w:rPr>
          <w:sz w:val="20"/>
          <w:szCs w:val="20"/>
        </w:rPr>
        <w:t xml:space="preserve"> </w:t>
      </w:r>
      <w:proofErr w:type="spellStart"/>
      <w:r>
        <w:rPr>
          <w:sz w:val="20"/>
          <w:szCs w:val="20"/>
        </w:rPr>
        <w:t>est</w:t>
      </w:r>
      <w:proofErr w:type="spellEnd"/>
      <w:r>
        <w:rPr>
          <w:sz w:val="20"/>
          <w:szCs w:val="20"/>
        </w:rPr>
        <w:t xml:space="preserve"> </w:t>
      </w:r>
      <w:proofErr w:type="spellStart"/>
      <w:r>
        <w:rPr>
          <w:sz w:val="20"/>
          <w:szCs w:val="20"/>
        </w:rPr>
        <w:t>dirigée</w:t>
      </w:r>
      <w:proofErr w:type="spellEnd"/>
      <w:r>
        <w:rPr>
          <w:sz w:val="20"/>
          <w:szCs w:val="20"/>
        </w:rPr>
        <w:t>)</w:t>
      </w:r>
    </w:p>
    <w:p w:rsidR="00DC1275" w:rsidRDefault="00DC1275" w:rsidP="00DC1275">
      <w:pPr>
        <w:autoSpaceDE w:val="0"/>
        <w:autoSpaceDN w:val="0"/>
        <w:adjustRightInd w:val="0"/>
        <w:spacing w:line="240" w:lineRule="auto"/>
        <w:rPr>
          <w:i/>
          <w:iCs/>
          <w:sz w:val="20"/>
          <w:szCs w:val="20"/>
        </w:rPr>
      </w:pPr>
      <w:r>
        <w:rPr>
          <w:i/>
          <w:iCs/>
          <w:sz w:val="20"/>
          <w:szCs w:val="20"/>
        </w:rPr>
        <w:t xml:space="preserve">        (</w:t>
      </w:r>
      <w:proofErr w:type="spellStart"/>
      <w:r>
        <w:rPr>
          <w:i/>
          <w:iCs/>
          <w:sz w:val="20"/>
          <w:szCs w:val="20"/>
        </w:rPr>
        <w:t>Fill</w:t>
      </w:r>
      <w:proofErr w:type="spellEnd"/>
      <w:r>
        <w:rPr>
          <w:i/>
          <w:iCs/>
          <w:sz w:val="20"/>
          <w:szCs w:val="20"/>
        </w:rPr>
        <w:t xml:space="preserve"> in </w:t>
      </w:r>
      <w:proofErr w:type="spellStart"/>
      <w:r>
        <w:rPr>
          <w:i/>
          <w:iCs/>
          <w:sz w:val="20"/>
          <w:szCs w:val="20"/>
        </w:rPr>
        <w:t>the</w:t>
      </w:r>
      <w:proofErr w:type="spellEnd"/>
      <w:r>
        <w:rPr>
          <w:i/>
          <w:iCs/>
          <w:sz w:val="20"/>
          <w:szCs w:val="20"/>
        </w:rPr>
        <w:t xml:space="preserve"> </w:t>
      </w:r>
      <w:proofErr w:type="spellStart"/>
      <w:r>
        <w:rPr>
          <w:i/>
          <w:iCs/>
          <w:sz w:val="20"/>
          <w:szCs w:val="20"/>
        </w:rPr>
        <w:t>name</w:t>
      </w:r>
      <w:proofErr w:type="spellEnd"/>
      <w:r>
        <w:rPr>
          <w:i/>
          <w:iCs/>
          <w:sz w:val="20"/>
          <w:szCs w:val="20"/>
        </w:rPr>
        <w:t xml:space="preserve"> </w:t>
      </w:r>
      <w:proofErr w:type="spellStart"/>
      <w:r>
        <w:rPr>
          <w:i/>
          <w:iCs/>
          <w:sz w:val="20"/>
          <w:szCs w:val="20"/>
        </w:rPr>
        <w:t>of</w:t>
      </w:r>
      <w:proofErr w:type="spellEnd"/>
      <w:r>
        <w:rPr>
          <w:i/>
          <w:iCs/>
          <w:sz w:val="20"/>
          <w:szCs w:val="20"/>
        </w:rPr>
        <w:t xml:space="preserve"> </w:t>
      </w:r>
      <w:proofErr w:type="spellStart"/>
      <w:r>
        <w:rPr>
          <w:i/>
          <w:iCs/>
          <w:sz w:val="20"/>
          <w:szCs w:val="20"/>
        </w:rPr>
        <w:t>the</w:t>
      </w:r>
      <w:proofErr w:type="spellEnd"/>
      <w:r>
        <w:rPr>
          <w:i/>
          <w:iCs/>
          <w:sz w:val="20"/>
          <w:szCs w:val="20"/>
        </w:rPr>
        <w:t xml:space="preserve"> State(s) </w:t>
      </w:r>
      <w:proofErr w:type="spellStart"/>
      <w:r>
        <w:rPr>
          <w:i/>
          <w:iCs/>
          <w:sz w:val="20"/>
          <w:szCs w:val="20"/>
        </w:rPr>
        <w:t>against</w:t>
      </w:r>
      <w:proofErr w:type="spellEnd"/>
      <w:r>
        <w:rPr>
          <w:i/>
          <w:iCs/>
          <w:sz w:val="20"/>
          <w:szCs w:val="20"/>
        </w:rPr>
        <w:t xml:space="preserve"> </w:t>
      </w:r>
      <w:proofErr w:type="spellStart"/>
      <w:r>
        <w:rPr>
          <w:i/>
          <w:iCs/>
          <w:sz w:val="20"/>
          <w:szCs w:val="20"/>
        </w:rPr>
        <w:t>which</w:t>
      </w:r>
      <w:proofErr w:type="spellEnd"/>
      <w:r>
        <w:rPr>
          <w:i/>
          <w:iCs/>
          <w:sz w:val="20"/>
          <w:szCs w:val="20"/>
        </w:rPr>
        <w:t xml:space="preserve"> </w:t>
      </w:r>
      <w:proofErr w:type="spellStart"/>
      <w:r>
        <w:rPr>
          <w:i/>
          <w:iCs/>
          <w:sz w:val="20"/>
          <w:szCs w:val="20"/>
        </w:rPr>
        <w:t>the</w:t>
      </w:r>
      <w:proofErr w:type="spellEnd"/>
      <w:r>
        <w:rPr>
          <w:i/>
          <w:iCs/>
          <w:sz w:val="20"/>
          <w:szCs w:val="20"/>
        </w:rPr>
        <w:t xml:space="preserve"> </w:t>
      </w:r>
      <w:proofErr w:type="spellStart"/>
      <w:r>
        <w:rPr>
          <w:i/>
          <w:iCs/>
          <w:sz w:val="20"/>
          <w:szCs w:val="20"/>
        </w:rPr>
        <w:t>application</w:t>
      </w:r>
      <w:proofErr w:type="spellEnd"/>
      <w:r>
        <w:rPr>
          <w:i/>
          <w:iCs/>
          <w:sz w:val="20"/>
          <w:szCs w:val="20"/>
        </w:rPr>
        <w:t xml:space="preserve"> </w:t>
      </w:r>
      <w:proofErr w:type="spellStart"/>
      <w:r>
        <w:rPr>
          <w:i/>
          <w:iCs/>
          <w:sz w:val="20"/>
          <w:szCs w:val="20"/>
        </w:rPr>
        <w:t>is</w:t>
      </w:r>
      <w:proofErr w:type="spellEnd"/>
      <w:r>
        <w:rPr>
          <w:i/>
          <w:iCs/>
          <w:sz w:val="20"/>
          <w:szCs w:val="20"/>
        </w:rPr>
        <w:t xml:space="preserve"> </w:t>
      </w:r>
      <w:proofErr w:type="spellStart"/>
      <w:r>
        <w:rPr>
          <w:i/>
          <w:iCs/>
          <w:sz w:val="20"/>
          <w:szCs w:val="20"/>
        </w:rPr>
        <w:t>directed</w:t>
      </w:r>
      <w:proofErr w:type="spellEnd"/>
      <w:r>
        <w:rPr>
          <w:i/>
          <w:iCs/>
          <w:sz w:val="20"/>
          <w:szCs w:val="20"/>
        </w:rPr>
        <w:t>)</w:t>
      </w:r>
    </w:p>
    <w:p w:rsidR="00DC1275" w:rsidRDefault="00DC1275" w:rsidP="00DC1275">
      <w:pPr>
        <w:autoSpaceDE w:val="0"/>
        <w:autoSpaceDN w:val="0"/>
        <w:adjustRightInd w:val="0"/>
        <w:spacing w:line="240" w:lineRule="auto"/>
        <w:rPr>
          <w:b/>
          <w:bCs/>
          <w:sz w:val="20"/>
          <w:szCs w:val="20"/>
        </w:rPr>
      </w:pPr>
      <w:r>
        <w:rPr>
          <w:b/>
          <w:bCs/>
          <w:sz w:val="20"/>
          <w:szCs w:val="20"/>
        </w:rPr>
        <w:t xml:space="preserve">        (Uveďte štát(y), proti ktorému/</w:t>
      </w:r>
      <w:proofErr w:type="spellStart"/>
      <w:r>
        <w:rPr>
          <w:b/>
          <w:bCs/>
          <w:sz w:val="20"/>
          <w:szCs w:val="20"/>
        </w:rPr>
        <w:t>ým</w:t>
      </w:r>
      <w:proofErr w:type="spellEnd"/>
      <w:r>
        <w:rPr>
          <w:b/>
          <w:bCs/>
          <w:sz w:val="20"/>
          <w:szCs w:val="20"/>
        </w:rPr>
        <w:t xml:space="preserve"> je sťažnosť podaná)</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r>
        <w:rPr>
          <w:sz w:val="20"/>
          <w:szCs w:val="20"/>
        </w:rPr>
        <w:t>13. ........................................................</w:t>
      </w:r>
    </w:p>
    <w:p w:rsidR="00DC1275" w:rsidRDefault="00DC1275" w:rsidP="00DC1275">
      <w:pPr>
        <w:autoSpaceDE w:val="0"/>
        <w:autoSpaceDN w:val="0"/>
        <w:adjustRightInd w:val="0"/>
        <w:spacing w:line="240" w:lineRule="auto"/>
      </w:pPr>
      <w:r>
        <w:t>__________</w:t>
      </w:r>
    </w:p>
    <w:p w:rsidR="00DC1275" w:rsidRDefault="00DC1275" w:rsidP="00DC1275">
      <w:pPr>
        <w:autoSpaceDE w:val="0"/>
        <w:autoSpaceDN w:val="0"/>
        <w:adjustRightInd w:val="0"/>
        <w:spacing w:line="240" w:lineRule="auto"/>
        <w:rPr>
          <w:sz w:val="16"/>
          <w:szCs w:val="16"/>
        </w:rPr>
      </w:pPr>
      <w:r>
        <w:rPr>
          <w:sz w:val="16"/>
          <w:szCs w:val="16"/>
        </w:rPr>
        <w:t xml:space="preserve">*Si </w:t>
      </w:r>
      <w:proofErr w:type="spellStart"/>
      <w:r>
        <w:rPr>
          <w:sz w:val="16"/>
          <w:szCs w:val="16"/>
        </w:rPr>
        <w:t>le</w:t>
      </w:r>
      <w:proofErr w:type="spellEnd"/>
      <w:r>
        <w:rPr>
          <w:sz w:val="16"/>
          <w:szCs w:val="16"/>
        </w:rPr>
        <w:t xml:space="preserve">/la </w:t>
      </w:r>
      <w:proofErr w:type="spellStart"/>
      <w:r>
        <w:rPr>
          <w:sz w:val="16"/>
          <w:szCs w:val="16"/>
        </w:rPr>
        <w:t>requérant</w:t>
      </w:r>
      <w:proofErr w:type="spellEnd"/>
      <w:r>
        <w:rPr>
          <w:sz w:val="16"/>
          <w:szCs w:val="16"/>
        </w:rPr>
        <w:t xml:space="preserve">(e) </w:t>
      </w:r>
      <w:proofErr w:type="spellStart"/>
      <w:r>
        <w:rPr>
          <w:sz w:val="16"/>
          <w:szCs w:val="16"/>
        </w:rPr>
        <w:t>est</w:t>
      </w:r>
      <w:proofErr w:type="spellEnd"/>
      <w:r>
        <w:rPr>
          <w:sz w:val="16"/>
          <w:szCs w:val="16"/>
        </w:rPr>
        <w:t xml:space="preserve"> </w:t>
      </w:r>
      <w:proofErr w:type="spellStart"/>
      <w:r>
        <w:rPr>
          <w:sz w:val="16"/>
          <w:szCs w:val="16"/>
        </w:rPr>
        <w:t>représenté</w:t>
      </w:r>
      <w:proofErr w:type="spellEnd"/>
      <w:r>
        <w:rPr>
          <w:sz w:val="16"/>
          <w:szCs w:val="16"/>
        </w:rPr>
        <w:t xml:space="preserve">(e), </w:t>
      </w:r>
      <w:proofErr w:type="spellStart"/>
      <w:r>
        <w:rPr>
          <w:sz w:val="16"/>
          <w:szCs w:val="16"/>
        </w:rPr>
        <w:t>joindre</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procuration</w:t>
      </w:r>
      <w:proofErr w:type="spellEnd"/>
      <w:r>
        <w:rPr>
          <w:sz w:val="16"/>
          <w:szCs w:val="16"/>
        </w:rPr>
        <w:t xml:space="preserve"> </w:t>
      </w:r>
      <w:proofErr w:type="spellStart"/>
      <w:r>
        <w:rPr>
          <w:sz w:val="16"/>
          <w:szCs w:val="16"/>
        </w:rPr>
        <w:t>signée</w:t>
      </w:r>
      <w:proofErr w:type="spellEnd"/>
      <w:r>
        <w:rPr>
          <w:sz w:val="16"/>
          <w:szCs w:val="16"/>
        </w:rPr>
        <w:t xml:space="preserve"> par </w:t>
      </w:r>
      <w:proofErr w:type="spellStart"/>
      <w:r>
        <w:rPr>
          <w:sz w:val="16"/>
          <w:szCs w:val="16"/>
        </w:rPr>
        <w:t>le</w:t>
      </w:r>
      <w:proofErr w:type="spellEnd"/>
      <w:r>
        <w:rPr>
          <w:sz w:val="16"/>
          <w:szCs w:val="16"/>
        </w:rPr>
        <w:t xml:space="preserve">/la </w:t>
      </w:r>
      <w:proofErr w:type="spellStart"/>
      <w:r>
        <w:rPr>
          <w:sz w:val="16"/>
          <w:szCs w:val="16"/>
        </w:rPr>
        <w:t>requérant</w:t>
      </w:r>
      <w:proofErr w:type="spellEnd"/>
      <w:r>
        <w:rPr>
          <w:sz w:val="16"/>
          <w:szCs w:val="16"/>
        </w:rPr>
        <w:t xml:space="preserve">(e) en </w:t>
      </w:r>
      <w:proofErr w:type="spellStart"/>
      <w:r>
        <w:rPr>
          <w:sz w:val="16"/>
          <w:szCs w:val="16"/>
        </w:rPr>
        <w:t>faveur</w:t>
      </w:r>
      <w:proofErr w:type="spellEnd"/>
      <w:r>
        <w:rPr>
          <w:sz w:val="16"/>
          <w:szCs w:val="16"/>
        </w:rPr>
        <w:t xml:space="preserve"> </w:t>
      </w:r>
      <w:proofErr w:type="spellStart"/>
      <w:r>
        <w:rPr>
          <w:sz w:val="16"/>
          <w:szCs w:val="16"/>
        </w:rPr>
        <w:t>du</w:t>
      </w:r>
      <w:proofErr w:type="spellEnd"/>
      <w:r>
        <w:rPr>
          <w:sz w:val="16"/>
          <w:szCs w:val="16"/>
        </w:rPr>
        <w:t>/</w:t>
      </w:r>
      <w:proofErr w:type="spellStart"/>
      <w:r>
        <w:rPr>
          <w:sz w:val="16"/>
          <w:szCs w:val="16"/>
        </w:rPr>
        <w:t>de</w:t>
      </w:r>
      <w:proofErr w:type="spellEnd"/>
      <w:r>
        <w:rPr>
          <w:sz w:val="16"/>
          <w:szCs w:val="16"/>
        </w:rPr>
        <w:t xml:space="preserve"> la </w:t>
      </w:r>
      <w:proofErr w:type="spellStart"/>
      <w:r>
        <w:rPr>
          <w:sz w:val="16"/>
          <w:szCs w:val="16"/>
        </w:rPr>
        <w:t>représentant</w:t>
      </w:r>
      <w:proofErr w:type="spellEnd"/>
      <w:r>
        <w:rPr>
          <w:sz w:val="16"/>
          <w:szCs w:val="16"/>
        </w:rPr>
        <w:t>(e).</w:t>
      </w:r>
    </w:p>
    <w:p w:rsidR="00DC1275" w:rsidRDefault="00DC1275" w:rsidP="00DC1275">
      <w:pPr>
        <w:autoSpaceDE w:val="0"/>
        <w:autoSpaceDN w:val="0"/>
        <w:adjustRightInd w:val="0"/>
        <w:spacing w:line="240" w:lineRule="auto"/>
        <w:rPr>
          <w:i/>
          <w:iCs/>
          <w:sz w:val="16"/>
          <w:szCs w:val="16"/>
        </w:rPr>
      </w:pPr>
      <w:r>
        <w:rPr>
          <w:i/>
          <w:iCs/>
          <w:sz w:val="16"/>
          <w:szCs w:val="16"/>
        </w:rPr>
        <w:t xml:space="preserve">  A </w:t>
      </w:r>
      <w:proofErr w:type="spellStart"/>
      <w:r>
        <w:rPr>
          <w:i/>
          <w:iCs/>
          <w:sz w:val="16"/>
          <w:szCs w:val="16"/>
        </w:rPr>
        <w:t>form</w:t>
      </w:r>
      <w:proofErr w:type="spellEnd"/>
      <w:r>
        <w:rPr>
          <w:i/>
          <w:iCs/>
          <w:sz w:val="16"/>
          <w:szCs w:val="16"/>
        </w:rPr>
        <w:t xml:space="preserve"> </w:t>
      </w:r>
      <w:proofErr w:type="spellStart"/>
      <w:r>
        <w:rPr>
          <w:i/>
          <w:iCs/>
          <w:sz w:val="16"/>
          <w:szCs w:val="16"/>
        </w:rPr>
        <w:t>of</w:t>
      </w:r>
      <w:proofErr w:type="spellEnd"/>
      <w:r>
        <w:rPr>
          <w:i/>
          <w:iCs/>
          <w:sz w:val="16"/>
          <w:szCs w:val="16"/>
        </w:rPr>
        <w:t xml:space="preserve"> </w:t>
      </w:r>
      <w:proofErr w:type="spellStart"/>
      <w:r>
        <w:rPr>
          <w:i/>
          <w:iCs/>
          <w:sz w:val="16"/>
          <w:szCs w:val="16"/>
        </w:rPr>
        <w:t>authority</w:t>
      </w:r>
      <w:proofErr w:type="spellEnd"/>
      <w:r>
        <w:rPr>
          <w:i/>
          <w:iCs/>
          <w:sz w:val="16"/>
          <w:szCs w:val="16"/>
        </w:rPr>
        <w:t xml:space="preserve"> </w:t>
      </w:r>
      <w:proofErr w:type="spellStart"/>
      <w:r>
        <w:rPr>
          <w:i/>
          <w:iCs/>
          <w:sz w:val="16"/>
          <w:szCs w:val="16"/>
        </w:rPr>
        <w:t>signed</w:t>
      </w:r>
      <w:proofErr w:type="spellEnd"/>
      <w:r>
        <w:rPr>
          <w:i/>
          <w:iCs/>
          <w:sz w:val="16"/>
          <w:szCs w:val="16"/>
        </w:rPr>
        <w:t xml:space="preserve"> by </w:t>
      </w:r>
      <w:proofErr w:type="spellStart"/>
      <w:r>
        <w:rPr>
          <w:i/>
          <w:iCs/>
          <w:sz w:val="16"/>
          <w:szCs w:val="16"/>
        </w:rPr>
        <w:t>the</w:t>
      </w:r>
      <w:proofErr w:type="spellEnd"/>
      <w:r>
        <w:rPr>
          <w:i/>
          <w:iCs/>
          <w:sz w:val="16"/>
          <w:szCs w:val="16"/>
        </w:rPr>
        <w:t xml:space="preserve"> </w:t>
      </w:r>
      <w:proofErr w:type="spellStart"/>
      <w:r>
        <w:rPr>
          <w:i/>
          <w:iCs/>
          <w:sz w:val="16"/>
          <w:szCs w:val="16"/>
        </w:rPr>
        <w:t>applicant</w:t>
      </w:r>
      <w:proofErr w:type="spellEnd"/>
      <w:r>
        <w:rPr>
          <w:i/>
          <w:iCs/>
          <w:sz w:val="16"/>
          <w:szCs w:val="16"/>
        </w:rPr>
        <w:t xml:space="preserve"> </w:t>
      </w:r>
      <w:proofErr w:type="spellStart"/>
      <w:r>
        <w:rPr>
          <w:i/>
          <w:iCs/>
          <w:sz w:val="16"/>
          <w:szCs w:val="16"/>
        </w:rPr>
        <w:t>should</w:t>
      </w:r>
      <w:proofErr w:type="spellEnd"/>
      <w:r>
        <w:rPr>
          <w:i/>
          <w:iCs/>
          <w:sz w:val="16"/>
          <w:szCs w:val="16"/>
        </w:rPr>
        <w:t xml:space="preserve"> </w:t>
      </w:r>
      <w:proofErr w:type="spellStart"/>
      <w:r>
        <w:rPr>
          <w:i/>
          <w:iCs/>
          <w:sz w:val="16"/>
          <w:szCs w:val="16"/>
        </w:rPr>
        <w:t>be</w:t>
      </w:r>
      <w:proofErr w:type="spellEnd"/>
      <w:r>
        <w:rPr>
          <w:i/>
          <w:iCs/>
          <w:sz w:val="16"/>
          <w:szCs w:val="16"/>
        </w:rPr>
        <w:t xml:space="preserve"> </w:t>
      </w:r>
      <w:proofErr w:type="spellStart"/>
      <w:r>
        <w:rPr>
          <w:i/>
          <w:iCs/>
          <w:sz w:val="16"/>
          <w:szCs w:val="16"/>
        </w:rPr>
        <w:t>submitted</w:t>
      </w:r>
      <w:proofErr w:type="spellEnd"/>
      <w:r>
        <w:rPr>
          <w:i/>
          <w:iCs/>
          <w:sz w:val="16"/>
          <w:szCs w:val="16"/>
        </w:rPr>
        <w:t xml:space="preserve"> </w:t>
      </w:r>
      <w:proofErr w:type="spellStart"/>
      <w:r>
        <w:rPr>
          <w:i/>
          <w:iCs/>
          <w:sz w:val="16"/>
          <w:szCs w:val="16"/>
        </w:rPr>
        <w:t>if</w:t>
      </w:r>
      <w:proofErr w:type="spellEnd"/>
      <w:r>
        <w:rPr>
          <w:i/>
          <w:iCs/>
          <w:sz w:val="16"/>
          <w:szCs w:val="16"/>
        </w:rPr>
        <w:t xml:space="preserve"> a </w:t>
      </w:r>
      <w:proofErr w:type="spellStart"/>
      <w:r>
        <w:rPr>
          <w:i/>
          <w:iCs/>
          <w:sz w:val="16"/>
          <w:szCs w:val="16"/>
        </w:rPr>
        <w:t>representative</w:t>
      </w:r>
      <w:proofErr w:type="spellEnd"/>
      <w:r>
        <w:rPr>
          <w:i/>
          <w:iCs/>
          <w:sz w:val="16"/>
          <w:szCs w:val="16"/>
        </w:rPr>
        <w:t xml:space="preserve"> </w:t>
      </w:r>
      <w:proofErr w:type="spellStart"/>
      <w:r>
        <w:rPr>
          <w:i/>
          <w:iCs/>
          <w:sz w:val="16"/>
          <w:szCs w:val="16"/>
        </w:rPr>
        <w:t>is</w:t>
      </w:r>
      <w:proofErr w:type="spellEnd"/>
      <w:r>
        <w:rPr>
          <w:i/>
          <w:iCs/>
          <w:sz w:val="16"/>
          <w:szCs w:val="16"/>
        </w:rPr>
        <w:t xml:space="preserve"> </w:t>
      </w:r>
      <w:proofErr w:type="spellStart"/>
      <w:r>
        <w:rPr>
          <w:i/>
          <w:iCs/>
          <w:sz w:val="16"/>
          <w:szCs w:val="16"/>
        </w:rPr>
        <w:t>appointed</w:t>
      </w:r>
      <w:proofErr w:type="spellEnd"/>
      <w:r>
        <w:rPr>
          <w:i/>
          <w:iCs/>
          <w:sz w:val="16"/>
          <w:szCs w:val="16"/>
        </w:rPr>
        <w:t>.</w:t>
      </w:r>
    </w:p>
    <w:p w:rsidR="00DC1275" w:rsidRDefault="00DC1275" w:rsidP="00DC1275">
      <w:pPr>
        <w:spacing w:line="240" w:lineRule="auto"/>
        <w:rPr>
          <w:b/>
          <w:bCs/>
          <w:sz w:val="16"/>
          <w:szCs w:val="16"/>
        </w:rPr>
      </w:pPr>
      <w:r>
        <w:rPr>
          <w:b/>
          <w:bCs/>
          <w:sz w:val="16"/>
          <w:szCs w:val="16"/>
        </w:rPr>
        <w:t xml:space="preserve">  Ak je sťažovateľ(</w:t>
      </w:r>
      <w:proofErr w:type="spellStart"/>
      <w:r>
        <w:rPr>
          <w:b/>
          <w:bCs/>
          <w:sz w:val="16"/>
          <w:szCs w:val="16"/>
        </w:rPr>
        <w:t>ka</w:t>
      </w:r>
      <w:proofErr w:type="spellEnd"/>
      <w:r>
        <w:rPr>
          <w:b/>
          <w:bCs/>
          <w:sz w:val="16"/>
          <w:szCs w:val="16"/>
        </w:rPr>
        <w:t>)  zastupovaný/á, treba priložiť splnomocnenie zástupcu/</w:t>
      </w:r>
      <w:proofErr w:type="spellStart"/>
      <w:r>
        <w:rPr>
          <w:b/>
          <w:bCs/>
          <w:sz w:val="16"/>
          <w:szCs w:val="16"/>
        </w:rPr>
        <w:t>kyne</w:t>
      </w:r>
      <w:proofErr w:type="spellEnd"/>
      <w:r>
        <w:rPr>
          <w:b/>
          <w:bCs/>
          <w:sz w:val="16"/>
          <w:szCs w:val="16"/>
        </w:rPr>
        <w:t xml:space="preserve">, podpísané </w:t>
      </w:r>
      <w:proofErr w:type="spellStart"/>
      <w:r>
        <w:rPr>
          <w:b/>
          <w:bCs/>
          <w:sz w:val="16"/>
          <w:szCs w:val="16"/>
        </w:rPr>
        <w:t>stažovateľom</w:t>
      </w:r>
      <w:proofErr w:type="spellEnd"/>
      <w:r>
        <w:rPr>
          <w:b/>
          <w:bCs/>
          <w:sz w:val="16"/>
          <w:szCs w:val="16"/>
        </w:rPr>
        <w:t>/kou.</w:t>
      </w:r>
    </w:p>
    <w:p w:rsidR="00DC1275" w:rsidRDefault="00DC1275" w:rsidP="00DC1275">
      <w:pPr>
        <w:autoSpaceDE w:val="0"/>
        <w:autoSpaceDN w:val="0"/>
        <w:adjustRightInd w:val="0"/>
        <w:spacing w:line="240" w:lineRule="auto"/>
        <w:jc w:val="center"/>
        <w:rPr>
          <w:rFonts w:ascii="Arial" w:hAnsi="Arial" w:cs="Arial"/>
          <w:i/>
          <w:iCs/>
        </w:rPr>
      </w:pPr>
      <w:r>
        <w:rPr>
          <w:b/>
          <w:bCs/>
          <w:sz w:val="16"/>
          <w:szCs w:val="16"/>
        </w:rPr>
        <w:br w:type="page"/>
      </w:r>
      <w:r>
        <w:rPr>
          <w:rFonts w:ascii="Arial" w:hAnsi="Arial" w:cs="Arial"/>
          <w:i/>
          <w:iCs/>
        </w:rPr>
        <w:lastRenderedPageBreak/>
        <w:t>- 3 -</w:t>
      </w:r>
    </w:p>
    <w:p w:rsidR="00DC1275" w:rsidRDefault="00DC1275" w:rsidP="00DC1275">
      <w:pPr>
        <w:autoSpaceDE w:val="0"/>
        <w:autoSpaceDN w:val="0"/>
        <w:adjustRightInd w:val="0"/>
        <w:spacing w:line="240" w:lineRule="auto"/>
        <w:ind w:left="540" w:hanging="540"/>
      </w:pPr>
      <w:r>
        <w:t>II.</w:t>
      </w:r>
      <w:r>
        <w:tab/>
        <w:t>EXPOSÉ DES FAITS</w:t>
      </w:r>
    </w:p>
    <w:p w:rsidR="00DC1275" w:rsidRDefault="00DC1275" w:rsidP="00DC1275">
      <w:pPr>
        <w:autoSpaceDE w:val="0"/>
        <w:autoSpaceDN w:val="0"/>
        <w:adjustRightInd w:val="0"/>
        <w:spacing w:line="240" w:lineRule="auto"/>
        <w:ind w:left="540" w:hanging="540"/>
        <w:rPr>
          <w:i/>
          <w:iCs/>
        </w:rPr>
      </w:pPr>
      <w:r>
        <w:rPr>
          <w:i/>
          <w:iCs/>
        </w:rPr>
        <w:tab/>
        <w:t>STATEMENT OF THE FACTS</w:t>
      </w:r>
    </w:p>
    <w:p w:rsidR="00DC1275" w:rsidRDefault="00DC1275" w:rsidP="00DC1275">
      <w:pPr>
        <w:autoSpaceDE w:val="0"/>
        <w:autoSpaceDN w:val="0"/>
        <w:adjustRightInd w:val="0"/>
        <w:spacing w:line="240" w:lineRule="auto"/>
        <w:ind w:left="540" w:hanging="540"/>
        <w:rPr>
          <w:b/>
          <w:bCs/>
        </w:rPr>
      </w:pPr>
      <w:r>
        <w:rPr>
          <w:b/>
          <w:bCs/>
        </w:rPr>
        <w:tab/>
        <w:t>OPIS SKUTOČNOSTÍ</w:t>
      </w: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ind w:left="540" w:hanging="540"/>
        <w:rPr>
          <w:sz w:val="16"/>
          <w:szCs w:val="16"/>
        </w:rPr>
      </w:pPr>
      <w:r>
        <w:rPr>
          <w:sz w:val="16"/>
          <w:szCs w:val="16"/>
        </w:rPr>
        <w:tab/>
        <w:t>(</w:t>
      </w:r>
      <w:proofErr w:type="spellStart"/>
      <w:r>
        <w:rPr>
          <w:sz w:val="16"/>
          <w:szCs w:val="16"/>
        </w:rPr>
        <w:t>Voir</w:t>
      </w:r>
      <w:proofErr w:type="spellEnd"/>
      <w:r>
        <w:rPr>
          <w:sz w:val="16"/>
          <w:szCs w:val="16"/>
        </w:rPr>
        <w:t xml:space="preserve"> </w:t>
      </w:r>
      <w:proofErr w:type="spellStart"/>
      <w:r>
        <w:rPr>
          <w:sz w:val="16"/>
          <w:szCs w:val="16"/>
        </w:rPr>
        <w:t>chapitre</w:t>
      </w:r>
      <w:proofErr w:type="spellEnd"/>
      <w:r>
        <w:rPr>
          <w:sz w:val="16"/>
          <w:szCs w:val="16"/>
        </w:rPr>
        <w:t xml:space="preserve"> II </w:t>
      </w:r>
      <w:proofErr w:type="spellStart"/>
      <w:r>
        <w:rPr>
          <w:sz w:val="16"/>
          <w:szCs w:val="16"/>
        </w:rPr>
        <w:t>de</w:t>
      </w:r>
      <w:proofErr w:type="spellEnd"/>
      <w:r>
        <w:rPr>
          <w:sz w:val="16"/>
          <w:szCs w:val="16"/>
        </w:rPr>
        <w:t xml:space="preserve"> la note </w:t>
      </w:r>
      <w:proofErr w:type="spellStart"/>
      <w:r>
        <w:rPr>
          <w:sz w:val="16"/>
          <w:szCs w:val="16"/>
        </w:rPr>
        <w:t>explicative</w:t>
      </w:r>
      <w:proofErr w:type="spellEnd"/>
      <w:r>
        <w:rPr>
          <w:sz w:val="16"/>
          <w:szCs w:val="16"/>
        </w:rPr>
        <w:t>)</w:t>
      </w:r>
    </w:p>
    <w:p w:rsidR="00DC1275" w:rsidRDefault="00DC1275" w:rsidP="00DC1275">
      <w:pPr>
        <w:autoSpaceDE w:val="0"/>
        <w:autoSpaceDN w:val="0"/>
        <w:adjustRightInd w:val="0"/>
        <w:spacing w:line="240" w:lineRule="auto"/>
        <w:ind w:left="540" w:hanging="540"/>
        <w:rPr>
          <w:i/>
          <w:iCs/>
          <w:sz w:val="16"/>
          <w:szCs w:val="16"/>
        </w:rPr>
      </w:pPr>
      <w:r>
        <w:rPr>
          <w:i/>
          <w:iCs/>
          <w:sz w:val="16"/>
          <w:szCs w:val="16"/>
        </w:rPr>
        <w:tab/>
        <w:t>(</w:t>
      </w:r>
      <w:proofErr w:type="spellStart"/>
      <w:r>
        <w:rPr>
          <w:i/>
          <w:iCs/>
          <w:sz w:val="16"/>
          <w:szCs w:val="16"/>
        </w:rPr>
        <w:t>See</w:t>
      </w:r>
      <w:proofErr w:type="spellEnd"/>
      <w:r>
        <w:rPr>
          <w:i/>
          <w:iCs/>
          <w:sz w:val="16"/>
          <w:szCs w:val="16"/>
        </w:rPr>
        <w:t xml:space="preserve"> Part II </w:t>
      </w:r>
      <w:proofErr w:type="spellStart"/>
      <w:r>
        <w:rPr>
          <w:i/>
          <w:iCs/>
          <w:sz w:val="16"/>
          <w:szCs w:val="16"/>
        </w:rPr>
        <w:t>of</w:t>
      </w:r>
      <w:proofErr w:type="spellEnd"/>
      <w:r>
        <w:rPr>
          <w:i/>
          <w:iCs/>
          <w:sz w:val="16"/>
          <w:szCs w:val="16"/>
        </w:rPr>
        <w:t xml:space="preserve"> </w:t>
      </w:r>
      <w:proofErr w:type="spellStart"/>
      <w:r>
        <w:rPr>
          <w:i/>
          <w:iCs/>
          <w:sz w:val="16"/>
          <w:szCs w:val="16"/>
        </w:rPr>
        <w:t>the</w:t>
      </w:r>
      <w:proofErr w:type="spellEnd"/>
      <w:r>
        <w:rPr>
          <w:i/>
          <w:iCs/>
          <w:sz w:val="16"/>
          <w:szCs w:val="16"/>
        </w:rPr>
        <w:t xml:space="preserve"> </w:t>
      </w:r>
      <w:proofErr w:type="spellStart"/>
      <w:r>
        <w:rPr>
          <w:i/>
          <w:iCs/>
          <w:sz w:val="16"/>
          <w:szCs w:val="16"/>
        </w:rPr>
        <w:t>Explanatory</w:t>
      </w:r>
      <w:proofErr w:type="spellEnd"/>
      <w:r>
        <w:rPr>
          <w:i/>
          <w:iCs/>
          <w:sz w:val="16"/>
          <w:szCs w:val="16"/>
        </w:rPr>
        <w:t xml:space="preserve"> Note)</w:t>
      </w:r>
    </w:p>
    <w:p w:rsidR="00DC1275" w:rsidRDefault="00DC1275" w:rsidP="00DC1275">
      <w:pPr>
        <w:autoSpaceDE w:val="0"/>
        <w:autoSpaceDN w:val="0"/>
        <w:adjustRightInd w:val="0"/>
        <w:spacing w:line="240" w:lineRule="auto"/>
        <w:ind w:left="540" w:hanging="540"/>
        <w:rPr>
          <w:b/>
          <w:bCs/>
          <w:sz w:val="16"/>
          <w:szCs w:val="16"/>
        </w:rPr>
      </w:pPr>
      <w:r>
        <w:rPr>
          <w:b/>
          <w:bCs/>
          <w:sz w:val="16"/>
          <w:szCs w:val="16"/>
        </w:rPr>
        <w:tab/>
        <w:t>(Pozri časť II Vysvetľujúcej poznámky)</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pPr>
      <w:r>
        <w:t>14.</w:t>
      </w: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jc w:val="right"/>
        <w:rPr>
          <w:sz w:val="16"/>
          <w:szCs w:val="16"/>
        </w:rPr>
      </w:pPr>
      <w:r>
        <w:rPr>
          <w:sz w:val="16"/>
          <w:szCs w:val="16"/>
        </w:rPr>
        <w:t xml:space="preserve">Si </w:t>
      </w:r>
      <w:proofErr w:type="spellStart"/>
      <w:r>
        <w:rPr>
          <w:sz w:val="16"/>
          <w:szCs w:val="16"/>
        </w:rPr>
        <w:t>nécessaire</w:t>
      </w:r>
      <w:proofErr w:type="spellEnd"/>
      <w:r>
        <w:rPr>
          <w:sz w:val="16"/>
          <w:szCs w:val="16"/>
        </w:rPr>
        <w:t xml:space="preserve">, </w:t>
      </w:r>
      <w:proofErr w:type="spellStart"/>
      <w:r>
        <w:rPr>
          <w:sz w:val="16"/>
          <w:szCs w:val="16"/>
        </w:rPr>
        <w:t>continuer</w:t>
      </w:r>
      <w:proofErr w:type="spellEnd"/>
      <w:r>
        <w:rPr>
          <w:sz w:val="16"/>
          <w:szCs w:val="16"/>
        </w:rPr>
        <w:t xml:space="preserve"> </w:t>
      </w:r>
      <w:proofErr w:type="spellStart"/>
      <w:r>
        <w:rPr>
          <w:sz w:val="16"/>
          <w:szCs w:val="16"/>
        </w:rPr>
        <w:t>sur</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feuille</w:t>
      </w:r>
      <w:proofErr w:type="spellEnd"/>
      <w:r>
        <w:rPr>
          <w:sz w:val="16"/>
          <w:szCs w:val="16"/>
        </w:rPr>
        <w:t xml:space="preserve"> </w:t>
      </w:r>
      <w:proofErr w:type="spellStart"/>
      <w:r>
        <w:rPr>
          <w:sz w:val="16"/>
          <w:szCs w:val="16"/>
        </w:rPr>
        <w:t>séparée</w:t>
      </w:r>
      <w:proofErr w:type="spellEnd"/>
    </w:p>
    <w:p w:rsidR="00DC1275" w:rsidRDefault="00DC1275" w:rsidP="00DC1275">
      <w:pPr>
        <w:autoSpaceDE w:val="0"/>
        <w:autoSpaceDN w:val="0"/>
        <w:adjustRightInd w:val="0"/>
        <w:spacing w:line="240" w:lineRule="auto"/>
        <w:jc w:val="right"/>
        <w:rPr>
          <w:i/>
          <w:iCs/>
          <w:sz w:val="16"/>
          <w:szCs w:val="16"/>
        </w:rPr>
      </w:pPr>
      <w:proofErr w:type="spellStart"/>
      <w:r>
        <w:rPr>
          <w:i/>
          <w:iCs/>
          <w:sz w:val="16"/>
          <w:szCs w:val="16"/>
        </w:rPr>
        <w:t>Continue</w:t>
      </w:r>
      <w:proofErr w:type="spellEnd"/>
      <w:r>
        <w:rPr>
          <w:i/>
          <w:iCs/>
          <w:sz w:val="16"/>
          <w:szCs w:val="16"/>
        </w:rPr>
        <w:t xml:space="preserve"> on a </w:t>
      </w:r>
      <w:proofErr w:type="spellStart"/>
      <w:r>
        <w:rPr>
          <w:i/>
          <w:iCs/>
          <w:sz w:val="16"/>
          <w:szCs w:val="16"/>
        </w:rPr>
        <w:t>separate</w:t>
      </w:r>
      <w:proofErr w:type="spellEnd"/>
      <w:r>
        <w:rPr>
          <w:i/>
          <w:iCs/>
          <w:sz w:val="16"/>
          <w:szCs w:val="16"/>
        </w:rPr>
        <w:t xml:space="preserve"> </w:t>
      </w:r>
      <w:proofErr w:type="spellStart"/>
      <w:r>
        <w:rPr>
          <w:i/>
          <w:iCs/>
          <w:sz w:val="16"/>
          <w:szCs w:val="16"/>
        </w:rPr>
        <w:t>sheet</w:t>
      </w:r>
      <w:proofErr w:type="spellEnd"/>
      <w:r>
        <w:rPr>
          <w:i/>
          <w:iCs/>
          <w:sz w:val="16"/>
          <w:szCs w:val="16"/>
        </w:rPr>
        <w:t xml:space="preserve"> </w:t>
      </w:r>
      <w:proofErr w:type="spellStart"/>
      <w:r>
        <w:rPr>
          <w:i/>
          <w:iCs/>
          <w:sz w:val="16"/>
          <w:szCs w:val="16"/>
        </w:rPr>
        <w:t>if</w:t>
      </w:r>
      <w:proofErr w:type="spellEnd"/>
      <w:r>
        <w:rPr>
          <w:i/>
          <w:iCs/>
          <w:sz w:val="16"/>
          <w:szCs w:val="16"/>
        </w:rPr>
        <w:t xml:space="preserve"> </w:t>
      </w:r>
      <w:proofErr w:type="spellStart"/>
      <w:r>
        <w:rPr>
          <w:i/>
          <w:iCs/>
          <w:sz w:val="16"/>
          <w:szCs w:val="16"/>
        </w:rPr>
        <w:t>necessary</w:t>
      </w:r>
      <w:proofErr w:type="spellEnd"/>
    </w:p>
    <w:p w:rsidR="00DC1275" w:rsidRDefault="00DC1275" w:rsidP="00DC1275">
      <w:pPr>
        <w:spacing w:line="240" w:lineRule="auto"/>
        <w:jc w:val="right"/>
        <w:rPr>
          <w:b/>
          <w:bCs/>
          <w:sz w:val="16"/>
          <w:szCs w:val="16"/>
        </w:rPr>
      </w:pPr>
      <w:r>
        <w:rPr>
          <w:b/>
          <w:bCs/>
          <w:sz w:val="16"/>
          <w:szCs w:val="16"/>
        </w:rPr>
        <w:t>V prípade potreby pokračujte na samostatnom hárku papiera</w:t>
      </w:r>
    </w:p>
    <w:p w:rsidR="00DC1275" w:rsidRDefault="00DC1275" w:rsidP="00DC1275">
      <w:pPr>
        <w:autoSpaceDE w:val="0"/>
        <w:autoSpaceDN w:val="0"/>
        <w:adjustRightInd w:val="0"/>
        <w:spacing w:line="240" w:lineRule="auto"/>
        <w:jc w:val="center"/>
        <w:rPr>
          <w:rFonts w:ascii="Arial" w:hAnsi="Arial" w:cs="Arial"/>
          <w:i/>
          <w:iCs/>
        </w:rPr>
      </w:pPr>
      <w:r>
        <w:rPr>
          <w:b/>
          <w:bCs/>
          <w:sz w:val="16"/>
          <w:szCs w:val="16"/>
        </w:rPr>
        <w:br w:type="page"/>
      </w:r>
      <w:r>
        <w:rPr>
          <w:rFonts w:ascii="Arial" w:hAnsi="Arial" w:cs="Arial"/>
          <w:i/>
          <w:iCs/>
        </w:rPr>
        <w:lastRenderedPageBreak/>
        <w:t>- 4 -</w:t>
      </w:r>
    </w:p>
    <w:p w:rsidR="00DC1275" w:rsidRDefault="00DC1275" w:rsidP="00DC1275">
      <w:pPr>
        <w:autoSpaceDE w:val="0"/>
        <w:autoSpaceDN w:val="0"/>
        <w:adjustRightInd w:val="0"/>
        <w:spacing w:line="240" w:lineRule="auto"/>
      </w:pPr>
    </w:p>
    <w:p w:rsidR="00DC1275" w:rsidRDefault="00DC1275" w:rsidP="00DC1275">
      <w:pPr>
        <w:autoSpaceDE w:val="0"/>
        <w:autoSpaceDN w:val="0"/>
        <w:adjustRightInd w:val="0"/>
        <w:spacing w:line="240" w:lineRule="auto"/>
        <w:ind w:left="540" w:hanging="540"/>
      </w:pPr>
      <w:r>
        <w:t>III.</w:t>
      </w:r>
      <w:r>
        <w:tab/>
        <w:t>EXPOSÉ DE LA OU DES VIOLATION(S) DE LA CONVENTION ET/OU DES</w:t>
      </w:r>
    </w:p>
    <w:p w:rsidR="00DC1275" w:rsidRDefault="00DC1275" w:rsidP="00DC1275">
      <w:pPr>
        <w:autoSpaceDE w:val="0"/>
        <w:autoSpaceDN w:val="0"/>
        <w:adjustRightInd w:val="0"/>
        <w:spacing w:line="240" w:lineRule="auto"/>
        <w:ind w:left="540" w:hanging="540"/>
      </w:pPr>
      <w:r>
        <w:tab/>
        <w:t>PROTOCOLES ALLÉGUÉE(S), AINSI QUE DES ARGUMENTS À L’APPUI</w:t>
      </w:r>
    </w:p>
    <w:p w:rsidR="00DC1275" w:rsidRDefault="00DC1275" w:rsidP="00DC1275">
      <w:pPr>
        <w:pStyle w:val="Zkladntext2"/>
      </w:pPr>
      <w:r>
        <w:tab/>
        <w:t>STATEMENT OF ALLEGED VIOLATION(S) OF THE CONVENTION AND/OR      PROTOCOLS AND OF RELEVANT ARGUMENTS</w:t>
      </w:r>
    </w:p>
    <w:p w:rsidR="00DC1275" w:rsidRDefault="00DC1275" w:rsidP="00DC1275">
      <w:pPr>
        <w:autoSpaceDE w:val="0"/>
        <w:autoSpaceDN w:val="0"/>
        <w:adjustRightInd w:val="0"/>
        <w:spacing w:line="240" w:lineRule="auto"/>
        <w:ind w:left="540" w:hanging="540"/>
        <w:rPr>
          <w:b/>
          <w:bCs/>
        </w:rPr>
      </w:pPr>
      <w:r>
        <w:rPr>
          <w:b/>
          <w:bCs/>
        </w:rPr>
        <w:tab/>
        <w:t>OPIS NAMIETANÉHO/ÝCH PORUŠENIA/Í DOHOVORU A/ALEBO</w:t>
      </w:r>
    </w:p>
    <w:p w:rsidR="00DC1275" w:rsidRDefault="00DC1275" w:rsidP="00DC1275">
      <w:pPr>
        <w:autoSpaceDE w:val="0"/>
        <w:autoSpaceDN w:val="0"/>
        <w:adjustRightInd w:val="0"/>
        <w:spacing w:line="240" w:lineRule="auto"/>
        <w:ind w:left="540" w:hanging="540"/>
        <w:rPr>
          <w:b/>
          <w:bCs/>
        </w:rPr>
      </w:pPr>
      <w:r>
        <w:rPr>
          <w:b/>
          <w:bCs/>
        </w:rPr>
        <w:tab/>
        <w:t>PROTOKOLOV A ARGUMENTOV NA PODPORU SŤAŽNOSTI</w:t>
      </w: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ind w:firstLine="540"/>
        <w:rPr>
          <w:sz w:val="16"/>
          <w:szCs w:val="16"/>
        </w:rPr>
      </w:pPr>
      <w:r>
        <w:rPr>
          <w:sz w:val="16"/>
          <w:szCs w:val="16"/>
        </w:rPr>
        <w:t>(</w:t>
      </w:r>
      <w:proofErr w:type="spellStart"/>
      <w:r>
        <w:rPr>
          <w:sz w:val="16"/>
          <w:szCs w:val="16"/>
        </w:rPr>
        <w:t>Voir</w:t>
      </w:r>
      <w:proofErr w:type="spellEnd"/>
      <w:r>
        <w:rPr>
          <w:sz w:val="16"/>
          <w:szCs w:val="16"/>
        </w:rPr>
        <w:t xml:space="preserve"> </w:t>
      </w:r>
      <w:proofErr w:type="spellStart"/>
      <w:r>
        <w:rPr>
          <w:sz w:val="16"/>
          <w:szCs w:val="16"/>
        </w:rPr>
        <w:t>chapitre</w:t>
      </w:r>
      <w:proofErr w:type="spellEnd"/>
      <w:r>
        <w:rPr>
          <w:sz w:val="16"/>
          <w:szCs w:val="16"/>
        </w:rPr>
        <w:t xml:space="preserve"> III </w:t>
      </w:r>
      <w:proofErr w:type="spellStart"/>
      <w:r>
        <w:rPr>
          <w:sz w:val="16"/>
          <w:szCs w:val="16"/>
        </w:rPr>
        <w:t>de</w:t>
      </w:r>
      <w:proofErr w:type="spellEnd"/>
      <w:r>
        <w:rPr>
          <w:sz w:val="16"/>
          <w:szCs w:val="16"/>
        </w:rPr>
        <w:t xml:space="preserve"> la note </w:t>
      </w:r>
      <w:proofErr w:type="spellStart"/>
      <w:r>
        <w:rPr>
          <w:sz w:val="16"/>
          <w:szCs w:val="16"/>
        </w:rPr>
        <w:t>explicative</w:t>
      </w:r>
      <w:proofErr w:type="spellEnd"/>
      <w:r>
        <w:rPr>
          <w:sz w:val="16"/>
          <w:szCs w:val="16"/>
        </w:rPr>
        <w:t>)</w:t>
      </w:r>
    </w:p>
    <w:p w:rsidR="00DC1275" w:rsidRDefault="00DC1275" w:rsidP="00DC1275">
      <w:pPr>
        <w:autoSpaceDE w:val="0"/>
        <w:autoSpaceDN w:val="0"/>
        <w:adjustRightInd w:val="0"/>
        <w:spacing w:line="240" w:lineRule="auto"/>
        <w:ind w:firstLine="540"/>
        <w:rPr>
          <w:i/>
          <w:iCs/>
          <w:sz w:val="16"/>
          <w:szCs w:val="16"/>
        </w:rPr>
      </w:pPr>
      <w:r>
        <w:rPr>
          <w:i/>
          <w:iCs/>
          <w:sz w:val="16"/>
          <w:szCs w:val="16"/>
        </w:rPr>
        <w:t>(</w:t>
      </w:r>
      <w:proofErr w:type="spellStart"/>
      <w:r>
        <w:rPr>
          <w:i/>
          <w:iCs/>
          <w:sz w:val="16"/>
          <w:szCs w:val="16"/>
        </w:rPr>
        <w:t>See</w:t>
      </w:r>
      <w:proofErr w:type="spellEnd"/>
      <w:r>
        <w:rPr>
          <w:i/>
          <w:iCs/>
          <w:sz w:val="16"/>
          <w:szCs w:val="16"/>
        </w:rPr>
        <w:t xml:space="preserve"> Part III </w:t>
      </w:r>
      <w:proofErr w:type="spellStart"/>
      <w:r>
        <w:rPr>
          <w:i/>
          <w:iCs/>
          <w:sz w:val="16"/>
          <w:szCs w:val="16"/>
        </w:rPr>
        <w:t>of</w:t>
      </w:r>
      <w:proofErr w:type="spellEnd"/>
      <w:r>
        <w:rPr>
          <w:i/>
          <w:iCs/>
          <w:sz w:val="16"/>
          <w:szCs w:val="16"/>
        </w:rPr>
        <w:t xml:space="preserve"> </w:t>
      </w:r>
      <w:proofErr w:type="spellStart"/>
      <w:r>
        <w:rPr>
          <w:i/>
          <w:iCs/>
          <w:sz w:val="16"/>
          <w:szCs w:val="16"/>
        </w:rPr>
        <w:t>the</w:t>
      </w:r>
      <w:proofErr w:type="spellEnd"/>
      <w:r>
        <w:rPr>
          <w:i/>
          <w:iCs/>
          <w:sz w:val="16"/>
          <w:szCs w:val="16"/>
        </w:rPr>
        <w:t xml:space="preserve"> </w:t>
      </w:r>
      <w:proofErr w:type="spellStart"/>
      <w:r>
        <w:rPr>
          <w:i/>
          <w:iCs/>
          <w:sz w:val="16"/>
          <w:szCs w:val="16"/>
        </w:rPr>
        <w:t>Explanatory</w:t>
      </w:r>
      <w:proofErr w:type="spellEnd"/>
      <w:r>
        <w:rPr>
          <w:i/>
          <w:iCs/>
          <w:sz w:val="16"/>
          <w:szCs w:val="16"/>
        </w:rPr>
        <w:t xml:space="preserve"> Note)</w:t>
      </w:r>
    </w:p>
    <w:p w:rsidR="00DC1275" w:rsidRDefault="00DC1275" w:rsidP="00DC1275">
      <w:pPr>
        <w:autoSpaceDE w:val="0"/>
        <w:autoSpaceDN w:val="0"/>
        <w:adjustRightInd w:val="0"/>
        <w:spacing w:line="240" w:lineRule="auto"/>
        <w:ind w:firstLine="540"/>
        <w:rPr>
          <w:b/>
          <w:bCs/>
          <w:sz w:val="16"/>
          <w:szCs w:val="16"/>
        </w:rPr>
      </w:pPr>
      <w:r>
        <w:rPr>
          <w:b/>
          <w:bCs/>
          <w:sz w:val="16"/>
          <w:szCs w:val="16"/>
        </w:rPr>
        <w:t>(Pozri časť III Vysvetľujúcej poznámky)</w:t>
      </w:r>
    </w:p>
    <w:p w:rsidR="00DC1275" w:rsidRDefault="00DC1275" w:rsidP="00DC1275">
      <w:pPr>
        <w:spacing w:line="240" w:lineRule="auto"/>
        <w:rPr>
          <w:sz w:val="20"/>
          <w:szCs w:val="20"/>
        </w:rPr>
      </w:pPr>
    </w:p>
    <w:p w:rsidR="00DC1275" w:rsidRDefault="00DC1275" w:rsidP="00DC1275">
      <w:pPr>
        <w:spacing w:line="240" w:lineRule="auto"/>
      </w:pPr>
      <w:r>
        <w:t>15.</w:t>
      </w:r>
    </w:p>
    <w:p w:rsidR="00DC1275" w:rsidRDefault="00DC1275" w:rsidP="00DC1275">
      <w:pPr>
        <w:autoSpaceDE w:val="0"/>
        <w:autoSpaceDN w:val="0"/>
        <w:adjustRightInd w:val="0"/>
        <w:spacing w:line="240" w:lineRule="auto"/>
        <w:jc w:val="center"/>
        <w:rPr>
          <w:rFonts w:ascii="Arial" w:hAnsi="Arial" w:cs="Arial"/>
          <w:i/>
          <w:iCs/>
        </w:rPr>
      </w:pPr>
      <w:r>
        <w:rPr>
          <w:sz w:val="20"/>
          <w:szCs w:val="20"/>
        </w:rPr>
        <w:br w:type="page"/>
      </w:r>
      <w:r>
        <w:rPr>
          <w:rFonts w:ascii="Arial" w:hAnsi="Arial" w:cs="Arial"/>
          <w:i/>
          <w:iCs/>
        </w:rPr>
        <w:lastRenderedPageBreak/>
        <w:t>- 5 -</w:t>
      </w:r>
    </w:p>
    <w:p w:rsidR="00DC1275" w:rsidRDefault="00DC1275" w:rsidP="00DC1275">
      <w:pPr>
        <w:autoSpaceDE w:val="0"/>
        <w:autoSpaceDN w:val="0"/>
        <w:adjustRightInd w:val="0"/>
        <w:spacing w:line="240" w:lineRule="auto"/>
      </w:pPr>
    </w:p>
    <w:p w:rsidR="00DC1275" w:rsidRDefault="00DC1275" w:rsidP="00DC1275">
      <w:pPr>
        <w:autoSpaceDE w:val="0"/>
        <w:autoSpaceDN w:val="0"/>
        <w:adjustRightInd w:val="0"/>
        <w:spacing w:line="240" w:lineRule="auto"/>
        <w:ind w:left="540" w:hanging="540"/>
      </w:pPr>
      <w:r>
        <w:t>IV.</w:t>
      </w:r>
      <w:r>
        <w:tab/>
        <w:t>EXPOSÉ RELATIF AUX PRESCRIPTIONS DE L’ARTICLE 35 § 1 DE LA CONVENTION</w:t>
      </w:r>
    </w:p>
    <w:p w:rsidR="00DC1275" w:rsidRDefault="00DC1275" w:rsidP="00DC1275">
      <w:pPr>
        <w:autoSpaceDE w:val="0"/>
        <w:autoSpaceDN w:val="0"/>
        <w:adjustRightInd w:val="0"/>
        <w:spacing w:line="240" w:lineRule="auto"/>
        <w:ind w:left="540"/>
        <w:rPr>
          <w:i/>
          <w:iCs/>
        </w:rPr>
      </w:pPr>
      <w:r>
        <w:rPr>
          <w:i/>
          <w:iCs/>
        </w:rPr>
        <w:t>STATEMENT RELATIVE TO ARTICLE 35 § 1 OF THE CONVENTION</w:t>
      </w:r>
    </w:p>
    <w:p w:rsidR="00DC1275" w:rsidRPr="004C651F" w:rsidRDefault="00DC1275" w:rsidP="00DC1275">
      <w:pPr>
        <w:pStyle w:val="Nadpis4"/>
        <w:spacing w:line="240" w:lineRule="auto"/>
        <w:rPr>
          <w:color w:val="auto"/>
        </w:rPr>
      </w:pPr>
      <w:r w:rsidRPr="004C651F">
        <w:rPr>
          <w:color w:val="auto"/>
        </w:rPr>
        <w:t>PREHLÁSENIE V ZMYSLE USTANOVENÍ ČLÁNKU 35 ODS. 1 DOHOVORU</w:t>
      </w:r>
    </w:p>
    <w:p w:rsidR="00DC1275" w:rsidRDefault="00DC1275" w:rsidP="00DC1275">
      <w:pPr>
        <w:autoSpaceDE w:val="0"/>
        <w:autoSpaceDN w:val="0"/>
        <w:adjustRightInd w:val="0"/>
        <w:spacing w:line="240" w:lineRule="auto"/>
        <w:ind w:left="540"/>
        <w:rPr>
          <w:sz w:val="16"/>
          <w:szCs w:val="16"/>
        </w:rPr>
      </w:pPr>
    </w:p>
    <w:p w:rsidR="00DC1275" w:rsidRDefault="00DC1275" w:rsidP="00DC1275">
      <w:pPr>
        <w:autoSpaceDE w:val="0"/>
        <w:autoSpaceDN w:val="0"/>
        <w:adjustRightInd w:val="0"/>
        <w:spacing w:line="240" w:lineRule="auto"/>
        <w:ind w:left="540"/>
        <w:rPr>
          <w:sz w:val="16"/>
          <w:szCs w:val="16"/>
        </w:rPr>
      </w:pPr>
      <w:r>
        <w:rPr>
          <w:sz w:val="16"/>
          <w:szCs w:val="16"/>
        </w:rPr>
        <w:t>(</w:t>
      </w:r>
      <w:proofErr w:type="spellStart"/>
      <w:r>
        <w:rPr>
          <w:sz w:val="16"/>
          <w:szCs w:val="16"/>
        </w:rPr>
        <w:t>Voir</w:t>
      </w:r>
      <w:proofErr w:type="spellEnd"/>
      <w:r>
        <w:rPr>
          <w:sz w:val="16"/>
          <w:szCs w:val="16"/>
        </w:rPr>
        <w:t xml:space="preserve"> </w:t>
      </w:r>
      <w:proofErr w:type="spellStart"/>
      <w:r>
        <w:rPr>
          <w:sz w:val="16"/>
          <w:szCs w:val="16"/>
        </w:rPr>
        <w:t>chapitre</w:t>
      </w:r>
      <w:proofErr w:type="spellEnd"/>
      <w:r>
        <w:rPr>
          <w:sz w:val="16"/>
          <w:szCs w:val="16"/>
        </w:rPr>
        <w:t xml:space="preserve"> IV </w:t>
      </w:r>
      <w:proofErr w:type="spellStart"/>
      <w:r>
        <w:rPr>
          <w:sz w:val="16"/>
          <w:szCs w:val="16"/>
        </w:rPr>
        <w:t>de</w:t>
      </w:r>
      <w:proofErr w:type="spellEnd"/>
      <w:r>
        <w:rPr>
          <w:sz w:val="16"/>
          <w:szCs w:val="16"/>
        </w:rPr>
        <w:t xml:space="preserve"> la note </w:t>
      </w:r>
      <w:proofErr w:type="spellStart"/>
      <w:r>
        <w:rPr>
          <w:sz w:val="16"/>
          <w:szCs w:val="16"/>
        </w:rPr>
        <w:t>explicative</w:t>
      </w:r>
      <w:proofErr w:type="spellEnd"/>
      <w:r>
        <w:rPr>
          <w:sz w:val="16"/>
          <w:szCs w:val="16"/>
        </w:rPr>
        <w:t xml:space="preserve">. </w:t>
      </w:r>
      <w:proofErr w:type="spellStart"/>
      <w:r>
        <w:rPr>
          <w:sz w:val="16"/>
          <w:szCs w:val="16"/>
        </w:rPr>
        <w:t>Donner</w:t>
      </w:r>
      <w:proofErr w:type="spellEnd"/>
      <w:r>
        <w:rPr>
          <w:sz w:val="16"/>
          <w:szCs w:val="16"/>
        </w:rPr>
        <w:t xml:space="preserve"> </w:t>
      </w:r>
      <w:proofErr w:type="spellStart"/>
      <w:r>
        <w:rPr>
          <w:sz w:val="16"/>
          <w:szCs w:val="16"/>
        </w:rPr>
        <w:t>pour</w:t>
      </w:r>
      <w:proofErr w:type="spellEnd"/>
      <w:r>
        <w:rPr>
          <w:sz w:val="16"/>
          <w:szCs w:val="16"/>
        </w:rPr>
        <w:t xml:space="preserve"> </w:t>
      </w:r>
      <w:proofErr w:type="spellStart"/>
      <w:r>
        <w:rPr>
          <w:sz w:val="16"/>
          <w:szCs w:val="16"/>
        </w:rPr>
        <w:t>chaque</w:t>
      </w:r>
      <w:proofErr w:type="spellEnd"/>
      <w:r>
        <w:rPr>
          <w:sz w:val="16"/>
          <w:szCs w:val="16"/>
        </w:rPr>
        <w:t xml:space="preserve"> </w:t>
      </w:r>
      <w:proofErr w:type="spellStart"/>
      <w:r>
        <w:rPr>
          <w:sz w:val="16"/>
          <w:szCs w:val="16"/>
        </w:rPr>
        <w:t>grief</w:t>
      </w:r>
      <w:proofErr w:type="spellEnd"/>
      <w:r>
        <w:rPr>
          <w:sz w:val="16"/>
          <w:szCs w:val="16"/>
        </w:rPr>
        <w:t xml:space="preserve">, </w:t>
      </w:r>
      <w:proofErr w:type="spellStart"/>
      <w:r>
        <w:rPr>
          <w:sz w:val="16"/>
          <w:szCs w:val="16"/>
        </w:rPr>
        <w:t>et</w:t>
      </w:r>
      <w:proofErr w:type="spellEnd"/>
      <w:r>
        <w:rPr>
          <w:sz w:val="16"/>
          <w:szCs w:val="16"/>
        </w:rPr>
        <w:t xml:space="preserve"> au </w:t>
      </w:r>
      <w:proofErr w:type="spellStart"/>
      <w:r>
        <w:rPr>
          <w:sz w:val="16"/>
          <w:szCs w:val="16"/>
        </w:rPr>
        <w:t>besoin</w:t>
      </w:r>
      <w:proofErr w:type="spellEnd"/>
      <w:r>
        <w:rPr>
          <w:sz w:val="16"/>
          <w:szCs w:val="16"/>
        </w:rPr>
        <w:t xml:space="preserve"> </w:t>
      </w:r>
      <w:proofErr w:type="spellStart"/>
      <w:r>
        <w:rPr>
          <w:sz w:val="16"/>
          <w:szCs w:val="16"/>
        </w:rPr>
        <w:t>sur</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feuille</w:t>
      </w:r>
      <w:proofErr w:type="spellEnd"/>
      <w:r>
        <w:rPr>
          <w:sz w:val="16"/>
          <w:szCs w:val="16"/>
        </w:rPr>
        <w:t xml:space="preserve"> </w:t>
      </w:r>
      <w:proofErr w:type="spellStart"/>
      <w:r>
        <w:rPr>
          <w:sz w:val="16"/>
          <w:szCs w:val="16"/>
        </w:rPr>
        <w:t>séparée</w:t>
      </w:r>
      <w:proofErr w:type="spellEnd"/>
      <w:r>
        <w:rPr>
          <w:sz w:val="16"/>
          <w:szCs w:val="16"/>
        </w:rPr>
        <w:t xml:space="preserve">, les </w:t>
      </w:r>
      <w:proofErr w:type="spellStart"/>
      <w:r>
        <w:rPr>
          <w:sz w:val="16"/>
          <w:szCs w:val="16"/>
        </w:rPr>
        <w:t>renseignements</w:t>
      </w:r>
      <w:proofErr w:type="spellEnd"/>
      <w:r>
        <w:rPr>
          <w:sz w:val="16"/>
          <w:szCs w:val="16"/>
        </w:rPr>
        <w:t xml:space="preserve"> </w:t>
      </w:r>
      <w:proofErr w:type="spellStart"/>
      <w:r>
        <w:rPr>
          <w:sz w:val="16"/>
          <w:szCs w:val="16"/>
        </w:rPr>
        <w:t>demandés</w:t>
      </w:r>
      <w:proofErr w:type="spellEnd"/>
      <w:r>
        <w:rPr>
          <w:sz w:val="16"/>
          <w:szCs w:val="16"/>
        </w:rPr>
        <w:t xml:space="preserve"> </w:t>
      </w:r>
      <w:proofErr w:type="spellStart"/>
      <w:r>
        <w:rPr>
          <w:sz w:val="16"/>
          <w:szCs w:val="16"/>
        </w:rPr>
        <w:t>sous</w:t>
      </w:r>
      <w:proofErr w:type="spellEnd"/>
      <w:r>
        <w:rPr>
          <w:sz w:val="16"/>
          <w:szCs w:val="16"/>
        </w:rPr>
        <w:t xml:space="preserve"> les </w:t>
      </w:r>
      <w:proofErr w:type="spellStart"/>
      <w:r>
        <w:rPr>
          <w:sz w:val="16"/>
          <w:szCs w:val="16"/>
        </w:rPr>
        <w:t>points</w:t>
      </w:r>
      <w:proofErr w:type="spellEnd"/>
      <w:r>
        <w:rPr>
          <w:sz w:val="16"/>
          <w:szCs w:val="16"/>
        </w:rPr>
        <w:t xml:space="preserve"> 16 à 18 </w:t>
      </w:r>
      <w:proofErr w:type="spellStart"/>
      <w:r>
        <w:rPr>
          <w:sz w:val="16"/>
          <w:szCs w:val="16"/>
        </w:rPr>
        <w:t>ci-après</w:t>
      </w:r>
      <w:proofErr w:type="spellEnd"/>
      <w:r>
        <w:rPr>
          <w:sz w:val="16"/>
          <w:szCs w:val="16"/>
        </w:rPr>
        <w:t>)</w:t>
      </w:r>
    </w:p>
    <w:p w:rsidR="00DC1275" w:rsidRDefault="00DC1275" w:rsidP="00DC1275">
      <w:pPr>
        <w:autoSpaceDE w:val="0"/>
        <w:autoSpaceDN w:val="0"/>
        <w:adjustRightInd w:val="0"/>
        <w:spacing w:line="240" w:lineRule="auto"/>
        <w:ind w:left="540"/>
        <w:rPr>
          <w:i/>
          <w:iCs/>
          <w:sz w:val="16"/>
          <w:szCs w:val="16"/>
        </w:rPr>
      </w:pPr>
      <w:r>
        <w:rPr>
          <w:i/>
          <w:iCs/>
          <w:sz w:val="16"/>
          <w:szCs w:val="16"/>
        </w:rPr>
        <w:t>(</w:t>
      </w:r>
      <w:proofErr w:type="spellStart"/>
      <w:r>
        <w:rPr>
          <w:i/>
          <w:iCs/>
          <w:sz w:val="16"/>
          <w:szCs w:val="16"/>
        </w:rPr>
        <w:t>See</w:t>
      </w:r>
      <w:proofErr w:type="spellEnd"/>
      <w:r>
        <w:rPr>
          <w:i/>
          <w:iCs/>
          <w:sz w:val="16"/>
          <w:szCs w:val="16"/>
        </w:rPr>
        <w:t xml:space="preserve"> Part IV </w:t>
      </w:r>
      <w:proofErr w:type="spellStart"/>
      <w:r>
        <w:rPr>
          <w:i/>
          <w:iCs/>
          <w:sz w:val="16"/>
          <w:szCs w:val="16"/>
        </w:rPr>
        <w:t>of</w:t>
      </w:r>
      <w:proofErr w:type="spellEnd"/>
      <w:r>
        <w:rPr>
          <w:i/>
          <w:iCs/>
          <w:sz w:val="16"/>
          <w:szCs w:val="16"/>
        </w:rPr>
        <w:t xml:space="preserve"> </w:t>
      </w:r>
      <w:proofErr w:type="spellStart"/>
      <w:r>
        <w:rPr>
          <w:i/>
          <w:iCs/>
          <w:sz w:val="16"/>
          <w:szCs w:val="16"/>
        </w:rPr>
        <w:t>the</w:t>
      </w:r>
      <w:proofErr w:type="spellEnd"/>
      <w:r>
        <w:rPr>
          <w:i/>
          <w:iCs/>
          <w:sz w:val="16"/>
          <w:szCs w:val="16"/>
        </w:rPr>
        <w:t xml:space="preserve"> </w:t>
      </w:r>
      <w:proofErr w:type="spellStart"/>
      <w:r>
        <w:rPr>
          <w:i/>
          <w:iCs/>
          <w:sz w:val="16"/>
          <w:szCs w:val="16"/>
        </w:rPr>
        <w:t>Explanatory</w:t>
      </w:r>
      <w:proofErr w:type="spellEnd"/>
      <w:r>
        <w:rPr>
          <w:i/>
          <w:iCs/>
          <w:sz w:val="16"/>
          <w:szCs w:val="16"/>
        </w:rPr>
        <w:t xml:space="preserve"> Note. </w:t>
      </w:r>
      <w:proofErr w:type="spellStart"/>
      <w:r>
        <w:rPr>
          <w:i/>
          <w:iCs/>
          <w:sz w:val="16"/>
          <w:szCs w:val="16"/>
        </w:rPr>
        <w:t>If</w:t>
      </w:r>
      <w:proofErr w:type="spellEnd"/>
      <w:r>
        <w:rPr>
          <w:i/>
          <w:iCs/>
          <w:sz w:val="16"/>
          <w:szCs w:val="16"/>
        </w:rPr>
        <w:t xml:space="preserve"> </w:t>
      </w:r>
      <w:proofErr w:type="spellStart"/>
      <w:r>
        <w:rPr>
          <w:i/>
          <w:iCs/>
          <w:sz w:val="16"/>
          <w:szCs w:val="16"/>
        </w:rPr>
        <w:t>necessary</w:t>
      </w:r>
      <w:proofErr w:type="spellEnd"/>
      <w:r>
        <w:rPr>
          <w:i/>
          <w:iCs/>
          <w:sz w:val="16"/>
          <w:szCs w:val="16"/>
        </w:rPr>
        <w:t xml:space="preserve">, </w:t>
      </w:r>
      <w:proofErr w:type="spellStart"/>
      <w:r>
        <w:rPr>
          <w:i/>
          <w:iCs/>
          <w:sz w:val="16"/>
          <w:szCs w:val="16"/>
        </w:rPr>
        <w:t>give</w:t>
      </w:r>
      <w:proofErr w:type="spellEnd"/>
      <w:r>
        <w:rPr>
          <w:i/>
          <w:iCs/>
          <w:sz w:val="16"/>
          <w:szCs w:val="16"/>
        </w:rPr>
        <w:t xml:space="preserve"> </w:t>
      </w:r>
      <w:proofErr w:type="spellStart"/>
      <w:r>
        <w:rPr>
          <w:i/>
          <w:iCs/>
          <w:sz w:val="16"/>
          <w:szCs w:val="16"/>
        </w:rPr>
        <w:t>the</w:t>
      </w:r>
      <w:proofErr w:type="spellEnd"/>
      <w:r>
        <w:rPr>
          <w:i/>
          <w:iCs/>
          <w:sz w:val="16"/>
          <w:szCs w:val="16"/>
        </w:rPr>
        <w:t xml:space="preserve"> </w:t>
      </w:r>
      <w:proofErr w:type="spellStart"/>
      <w:r>
        <w:rPr>
          <w:i/>
          <w:iCs/>
          <w:sz w:val="16"/>
          <w:szCs w:val="16"/>
        </w:rPr>
        <w:t>details</w:t>
      </w:r>
      <w:proofErr w:type="spellEnd"/>
      <w:r>
        <w:rPr>
          <w:i/>
          <w:iCs/>
          <w:sz w:val="16"/>
          <w:szCs w:val="16"/>
        </w:rPr>
        <w:t xml:space="preserve"> </w:t>
      </w:r>
      <w:proofErr w:type="spellStart"/>
      <w:r>
        <w:rPr>
          <w:i/>
          <w:iCs/>
          <w:sz w:val="16"/>
          <w:szCs w:val="16"/>
        </w:rPr>
        <w:t>mentioned</w:t>
      </w:r>
      <w:proofErr w:type="spellEnd"/>
      <w:r>
        <w:rPr>
          <w:i/>
          <w:iCs/>
          <w:sz w:val="16"/>
          <w:szCs w:val="16"/>
        </w:rPr>
        <w:t xml:space="preserve"> </w:t>
      </w:r>
      <w:proofErr w:type="spellStart"/>
      <w:r>
        <w:rPr>
          <w:i/>
          <w:iCs/>
          <w:sz w:val="16"/>
          <w:szCs w:val="16"/>
        </w:rPr>
        <w:t>below</w:t>
      </w:r>
      <w:proofErr w:type="spellEnd"/>
      <w:r>
        <w:rPr>
          <w:i/>
          <w:iCs/>
          <w:sz w:val="16"/>
          <w:szCs w:val="16"/>
        </w:rPr>
        <w:t xml:space="preserve"> </w:t>
      </w:r>
      <w:proofErr w:type="spellStart"/>
      <w:r>
        <w:rPr>
          <w:i/>
          <w:iCs/>
          <w:sz w:val="16"/>
          <w:szCs w:val="16"/>
        </w:rPr>
        <w:t>under</w:t>
      </w:r>
      <w:proofErr w:type="spellEnd"/>
      <w:r>
        <w:rPr>
          <w:i/>
          <w:iCs/>
          <w:sz w:val="16"/>
          <w:szCs w:val="16"/>
        </w:rPr>
        <w:t xml:space="preserve"> </w:t>
      </w:r>
      <w:proofErr w:type="spellStart"/>
      <w:r>
        <w:rPr>
          <w:i/>
          <w:iCs/>
          <w:sz w:val="16"/>
          <w:szCs w:val="16"/>
        </w:rPr>
        <w:t>points</w:t>
      </w:r>
      <w:proofErr w:type="spellEnd"/>
      <w:r>
        <w:rPr>
          <w:i/>
          <w:iCs/>
          <w:sz w:val="16"/>
          <w:szCs w:val="16"/>
        </w:rPr>
        <w:t xml:space="preserve"> 16 to 18 on a </w:t>
      </w:r>
      <w:proofErr w:type="spellStart"/>
      <w:r>
        <w:rPr>
          <w:i/>
          <w:iCs/>
          <w:sz w:val="16"/>
          <w:szCs w:val="16"/>
        </w:rPr>
        <w:t>separate</w:t>
      </w:r>
      <w:proofErr w:type="spellEnd"/>
      <w:r>
        <w:rPr>
          <w:i/>
          <w:iCs/>
          <w:sz w:val="16"/>
          <w:szCs w:val="16"/>
        </w:rPr>
        <w:t xml:space="preserve"> </w:t>
      </w:r>
      <w:proofErr w:type="spellStart"/>
      <w:r>
        <w:rPr>
          <w:i/>
          <w:iCs/>
          <w:sz w:val="16"/>
          <w:szCs w:val="16"/>
        </w:rPr>
        <w:t>sheet</w:t>
      </w:r>
      <w:proofErr w:type="spellEnd"/>
      <w:r>
        <w:rPr>
          <w:i/>
          <w:iCs/>
          <w:sz w:val="16"/>
          <w:szCs w:val="16"/>
        </w:rPr>
        <w:t xml:space="preserve"> </w:t>
      </w:r>
      <w:proofErr w:type="spellStart"/>
      <w:r>
        <w:rPr>
          <w:i/>
          <w:iCs/>
          <w:sz w:val="16"/>
          <w:szCs w:val="16"/>
        </w:rPr>
        <w:t>for</w:t>
      </w:r>
      <w:proofErr w:type="spellEnd"/>
      <w:r>
        <w:rPr>
          <w:i/>
          <w:iCs/>
          <w:sz w:val="16"/>
          <w:szCs w:val="16"/>
        </w:rPr>
        <w:t xml:space="preserve"> </w:t>
      </w:r>
      <w:proofErr w:type="spellStart"/>
      <w:r>
        <w:rPr>
          <w:i/>
          <w:iCs/>
          <w:sz w:val="16"/>
          <w:szCs w:val="16"/>
        </w:rPr>
        <w:t>each</w:t>
      </w:r>
      <w:proofErr w:type="spellEnd"/>
      <w:r>
        <w:rPr>
          <w:i/>
          <w:iCs/>
          <w:sz w:val="16"/>
          <w:szCs w:val="16"/>
        </w:rPr>
        <w:t xml:space="preserve"> </w:t>
      </w:r>
      <w:proofErr w:type="spellStart"/>
      <w:r>
        <w:rPr>
          <w:i/>
          <w:iCs/>
          <w:sz w:val="16"/>
          <w:szCs w:val="16"/>
        </w:rPr>
        <w:t>separate</w:t>
      </w:r>
      <w:proofErr w:type="spellEnd"/>
      <w:r>
        <w:rPr>
          <w:i/>
          <w:iCs/>
          <w:sz w:val="16"/>
          <w:szCs w:val="16"/>
        </w:rPr>
        <w:t xml:space="preserve"> </w:t>
      </w:r>
      <w:proofErr w:type="spellStart"/>
      <w:r>
        <w:rPr>
          <w:i/>
          <w:iCs/>
          <w:sz w:val="16"/>
          <w:szCs w:val="16"/>
        </w:rPr>
        <w:t>complaint</w:t>
      </w:r>
      <w:proofErr w:type="spellEnd"/>
      <w:r>
        <w:rPr>
          <w:i/>
          <w:iCs/>
          <w:sz w:val="16"/>
          <w:szCs w:val="16"/>
        </w:rPr>
        <w:t>)</w:t>
      </w:r>
    </w:p>
    <w:p w:rsidR="00DC1275" w:rsidRDefault="00DC1275" w:rsidP="00DC1275">
      <w:pPr>
        <w:autoSpaceDE w:val="0"/>
        <w:autoSpaceDN w:val="0"/>
        <w:adjustRightInd w:val="0"/>
        <w:spacing w:line="240" w:lineRule="auto"/>
        <w:ind w:left="540"/>
        <w:rPr>
          <w:b/>
          <w:bCs/>
          <w:sz w:val="16"/>
          <w:szCs w:val="16"/>
        </w:rPr>
      </w:pPr>
      <w:r>
        <w:rPr>
          <w:b/>
          <w:bCs/>
          <w:sz w:val="16"/>
          <w:szCs w:val="16"/>
        </w:rPr>
        <w:t>(Pozri časť IV Vysvetľujúcej poznámky. V prípade potreby odpovedajte na body 16 až 18 na samostatnom hárku papiera, osobitne pre každé namietané porušenie Dohovoru.)</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ind w:left="540" w:hanging="540"/>
        <w:rPr>
          <w:sz w:val="20"/>
          <w:szCs w:val="20"/>
        </w:rPr>
      </w:pPr>
      <w:r>
        <w:t>16.</w:t>
      </w:r>
      <w:r>
        <w:rPr>
          <w:sz w:val="20"/>
          <w:szCs w:val="20"/>
        </w:rPr>
        <w:tab/>
      </w:r>
      <w:proofErr w:type="spellStart"/>
      <w:r>
        <w:rPr>
          <w:sz w:val="20"/>
          <w:szCs w:val="20"/>
        </w:rPr>
        <w:t>Décision</w:t>
      </w:r>
      <w:proofErr w:type="spellEnd"/>
      <w:r>
        <w:rPr>
          <w:sz w:val="20"/>
          <w:szCs w:val="20"/>
        </w:rPr>
        <w:t xml:space="preserve"> interne </w:t>
      </w:r>
      <w:proofErr w:type="spellStart"/>
      <w:r>
        <w:rPr>
          <w:sz w:val="20"/>
          <w:szCs w:val="20"/>
        </w:rPr>
        <w:t>définitive</w:t>
      </w:r>
      <w:proofErr w:type="spellEnd"/>
      <w:r>
        <w:rPr>
          <w:sz w:val="20"/>
          <w:szCs w:val="20"/>
        </w:rPr>
        <w:t xml:space="preserve"> (</w:t>
      </w:r>
      <w:proofErr w:type="spellStart"/>
      <w:r>
        <w:rPr>
          <w:sz w:val="20"/>
          <w:szCs w:val="20"/>
        </w:rPr>
        <w:t>date</w:t>
      </w:r>
      <w:proofErr w:type="spellEnd"/>
      <w:r>
        <w:rPr>
          <w:sz w:val="20"/>
          <w:szCs w:val="20"/>
        </w:rPr>
        <w:t xml:space="preserve"> </w:t>
      </w:r>
      <w:proofErr w:type="spellStart"/>
      <w:r>
        <w:rPr>
          <w:sz w:val="20"/>
          <w:szCs w:val="20"/>
        </w:rPr>
        <w:t>et</w:t>
      </w:r>
      <w:proofErr w:type="spellEnd"/>
      <w:r>
        <w:rPr>
          <w:sz w:val="20"/>
          <w:szCs w:val="20"/>
        </w:rPr>
        <w:t xml:space="preserve"> </w:t>
      </w:r>
      <w:proofErr w:type="spellStart"/>
      <w:r>
        <w:rPr>
          <w:sz w:val="20"/>
          <w:szCs w:val="20"/>
        </w:rPr>
        <w:t>nature</w:t>
      </w:r>
      <w:proofErr w:type="spellEnd"/>
      <w:r>
        <w:rPr>
          <w:sz w:val="20"/>
          <w:szCs w:val="20"/>
        </w:rPr>
        <w:t xml:space="preserve"> </w:t>
      </w:r>
      <w:proofErr w:type="spellStart"/>
      <w:r>
        <w:rPr>
          <w:sz w:val="20"/>
          <w:szCs w:val="20"/>
        </w:rPr>
        <w:t>de</w:t>
      </w:r>
      <w:proofErr w:type="spellEnd"/>
      <w:r>
        <w:rPr>
          <w:sz w:val="20"/>
          <w:szCs w:val="20"/>
        </w:rPr>
        <w:t xml:space="preserve"> la </w:t>
      </w:r>
      <w:proofErr w:type="spellStart"/>
      <w:r>
        <w:rPr>
          <w:sz w:val="20"/>
          <w:szCs w:val="20"/>
        </w:rPr>
        <w:t>décision</w:t>
      </w:r>
      <w:proofErr w:type="spellEnd"/>
      <w:r>
        <w:rPr>
          <w:sz w:val="20"/>
          <w:szCs w:val="20"/>
        </w:rPr>
        <w:t xml:space="preserve">, organe - </w:t>
      </w:r>
      <w:proofErr w:type="spellStart"/>
      <w:r>
        <w:rPr>
          <w:sz w:val="20"/>
          <w:szCs w:val="20"/>
        </w:rPr>
        <w:t>judiciaire</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autre</w:t>
      </w:r>
      <w:proofErr w:type="spellEnd"/>
      <w:r>
        <w:rPr>
          <w:sz w:val="20"/>
          <w:szCs w:val="20"/>
        </w:rPr>
        <w:t xml:space="preserve"> – </w:t>
      </w:r>
      <w:proofErr w:type="spellStart"/>
      <w:r>
        <w:rPr>
          <w:sz w:val="20"/>
          <w:szCs w:val="20"/>
        </w:rPr>
        <w:t>l’ayant</w:t>
      </w:r>
      <w:proofErr w:type="spellEnd"/>
      <w:r>
        <w:rPr>
          <w:sz w:val="20"/>
          <w:szCs w:val="20"/>
        </w:rPr>
        <w:t xml:space="preserve"> </w:t>
      </w:r>
      <w:proofErr w:type="spellStart"/>
      <w:r>
        <w:rPr>
          <w:sz w:val="20"/>
          <w:szCs w:val="20"/>
        </w:rPr>
        <w:t>rendue</w:t>
      </w:r>
      <w:proofErr w:type="spellEnd"/>
      <w:r>
        <w:rPr>
          <w:sz w:val="20"/>
          <w:szCs w:val="20"/>
        </w:rPr>
        <w:t>)</w:t>
      </w:r>
    </w:p>
    <w:p w:rsidR="00DC1275" w:rsidRDefault="00DC1275" w:rsidP="00DC1275">
      <w:pPr>
        <w:autoSpaceDE w:val="0"/>
        <w:autoSpaceDN w:val="0"/>
        <w:adjustRightInd w:val="0"/>
        <w:spacing w:line="240" w:lineRule="auto"/>
        <w:ind w:firstLine="540"/>
        <w:rPr>
          <w:i/>
          <w:iCs/>
          <w:sz w:val="20"/>
          <w:szCs w:val="20"/>
        </w:rPr>
      </w:pPr>
      <w:proofErr w:type="spellStart"/>
      <w:r>
        <w:rPr>
          <w:i/>
          <w:iCs/>
          <w:sz w:val="20"/>
          <w:szCs w:val="20"/>
        </w:rPr>
        <w:t>Final</w:t>
      </w:r>
      <w:proofErr w:type="spellEnd"/>
      <w:r>
        <w:rPr>
          <w:i/>
          <w:iCs/>
          <w:sz w:val="20"/>
          <w:szCs w:val="20"/>
        </w:rPr>
        <w:t xml:space="preserve"> </w:t>
      </w:r>
      <w:proofErr w:type="spellStart"/>
      <w:r>
        <w:rPr>
          <w:i/>
          <w:iCs/>
          <w:sz w:val="20"/>
          <w:szCs w:val="20"/>
        </w:rPr>
        <w:t>decision</w:t>
      </w:r>
      <w:proofErr w:type="spellEnd"/>
      <w:r>
        <w:rPr>
          <w:i/>
          <w:iCs/>
          <w:sz w:val="20"/>
          <w:szCs w:val="20"/>
        </w:rPr>
        <w:t xml:space="preserve"> (</w:t>
      </w:r>
      <w:proofErr w:type="spellStart"/>
      <w:r>
        <w:rPr>
          <w:i/>
          <w:iCs/>
          <w:sz w:val="20"/>
          <w:szCs w:val="20"/>
        </w:rPr>
        <w:t>date</w:t>
      </w:r>
      <w:proofErr w:type="spellEnd"/>
      <w:r>
        <w:rPr>
          <w:i/>
          <w:iCs/>
          <w:sz w:val="20"/>
          <w:szCs w:val="20"/>
        </w:rPr>
        <w:t xml:space="preserve">, </w:t>
      </w:r>
      <w:proofErr w:type="spellStart"/>
      <w:r>
        <w:rPr>
          <w:i/>
          <w:iCs/>
          <w:sz w:val="20"/>
          <w:szCs w:val="20"/>
        </w:rPr>
        <w:t>court</w:t>
      </w:r>
      <w:proofErr w:type="spellEnd"/>
      <w:r>
        <w:rPr>
          <w:i/>
          <w:iCs/>
          <w:sz w:val="20"/>
          <w:szCs w:val="20"/>
        </w:rPr>
        <w:t xml:space="preserve"> or </w:t>
      </w:r>
      <w:proofErr w:type="spellStart"/>
      <w:r>
        <w:rPr>
          <w:i/>
          <w:iCs/>
          <w:sz w:val="20"/>
          <w:szCs w:val="20"/>
        </w:rPr>
        <w:t>authority</w:t>
      </w:r>
      <w:proofErr w:type="spellEnd"/>
      <w:r>
        <w:rPr>
          <w:i/>
          <w:iCs/>
          <w:sz w:val="20"/>
          <w:szCs w:val="20"/>
        </w:rPr>
        <w:t xml:space="preserve"> and </w:t>
      </w:r>
      <w:proofErr w:type="spellStart"/>
      <w:r>
        <w:rPr>
          <w:i/>
          <w:iCs/>
          <w:sz w:val="20"/>
          <w:szCs w:val="20"/>
        </w:rPr>
        <w:t>nature</w:t>
      </w:r>
      <w:proofErr w:type="spellEnd"/>
      <w:r>
        <w:rPr>
          <w:i/>
          <w:iCs/>
          <w:sz w:val="20"/>
          <w:szCs w:val="20"/>
        </w:rPr>
        <w:t xml:space="preserve"> </w:t>
      </w:r>
      <w:proofErr w:type="spellStart"/>
      <w:r>
        <w:rPr>
          <w:i/>
          <w:iCs/>
          <w:sz w:val="20"/>
          <w:szCs w:val="20"/>
        </w:rPr>
        <w:t>of</w:t>
      </w:r>
      <w:proofErr w:type="spellEnd"/>
      <w:r>
        <w:rPr>
          <w:i/>
          <w:iCs/>
          <w:sz w:val="20"/>
          <w:szCs w:val="20"/>
        </w:rPr>
        <w:t xml:space="preserve"> </w:t>
      </w:r>
      <w:proofErr w:type="spellStart"/>
      <w:r>
        <w:rPr>
          <w:i/>
          <w:iCs/>
          <w:sz w:val="20"/>
          <w:szCs w:val="20"/>
        </w:rPr>
        <w:t>decision</w:t>
      </w:r>
      <w:proofErr w:type="spellEnd"/>
      <w:r>
        <w:rPr>
          <w:i/>
          <w:iCs/>
          <w:sz w:val="20"/>
          <w:szCs w:val="20"/>
        </w:rPr>
        <w:t>)</w:t>
      </w:r>
    </w:p>
    <w:p w:rsidR="00DC1275" w:rsidRDefault="00DC1275" w:rsidP="00DC1275">
      <w:pPr>
        <w:autoSpaceDE w:val="0"/>
        <w:autoSpaceDN w:val="0"/>
        <w:adjustRightInd w:val="0"/>
        <w:spacing w:line="240" w:lineRule="auto"/>
        <w:ind w:firstLine="540"/>
        <w:rPr>
          <w:b/>
          <w:bCs/>
          <w:sz w:val="20"/>
          <w:szCs w:val="20"/>
        </w:rPr>
      </w:pPr>
      <w:r>
        <w:rPr>
          <w:b/>
          <w:bCs/>
          <w:sz w:val="20"/>
          <w:szCs w:val="20"/>
        </w:rPr>
        <w:t>Konečné rozhodnutie (dátum, súd alebo iný orgán a druh rozhodnutia)</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pPr>
    </w:p>
    <w:p w:rsidR="00DC1275" w:rsidRDefault="00DC1275" w:rsidP="00DC1275">
      <w:pPr>
        <w:pStyle w:val="Zarkazkladnhotextu2"/>
        <w:ind w:left="540" w:hanging="540"/>
      </w:pPr>
      <w:r>
        <w:rPr>
          <w:sz w:val="24"/>
          <w:szCs w:val="24"/>
        </w:rPr>
        <w:t>17.</w:t>
      </w:r>
      <w:r>
        <w:tab/>
      </w:r>
      <w:proofErr w:type="spellStart"/>
      <w:r>
        <w:t>Autres</w:t>
      </w:r>
      <w:proofErr w:type="spellEnd"/>
      <w:r>
        <w:t xml:space="preserve"> </w:t>
      </w:r>
      <w:proofErr w:type="spellStart"/>
      <w:r>
        <w:t>décisions</w:t>
      </w:r>
      <w:proofErr w:type="spellEnd"/>
      <w:r>
        <w:t xml:space="preserve"> (</w:t>
      </w:r>
      <w:proofErr w:type="spellStart"/>
      <w:r>
        <w:t>énumérées</w:t>
      </w:r>
      <w:proofErr w:type="spellEnd"/>
      <w:r>
        <w:t xml:space="preserve"> </w:t>
      </w:r>
      <w:proofErr w:type="spellStart"/>
      <w:r>
        <w:t>dans</w:t>
      </w:r>
      <w:proofErr w:type="spellEnd"/>
      <w:r>
        <w:t xml:space="preserve"> </w:t>
      </w:r>
      <w:proofErr w:type="spellStart"/>
      <w:r>
        <w:t>l’ordre</w:t>
      </w:r>
      <w:proofErr w:type="spellEnd"/>
      <w:r>
        <w:t xml:space="preserve"> </w:t>
      </w:r>
      <w:proofErr w:type="spellStart"/>
      <w:r>
        <w:t>chronologique</w:t>
      </w:r>
      <w:proofErr w:type="spellEnd"/>
      <w:r>
        <w:t xml:space="preserve"> en </w:t>
      </w:r>
      <w:proofErr w:type="spellStart"/>
      <w:r>
        <w:t>indiquant</w:t>
      </w:r>
      <w:proofErr w:type="spellEnd"/>
      <w:r>
        <w:t xml:space="preserve">, </w:t>
      </w:r>
      <w:proofErr w:type="spellStart"/>
      <w:r>
        <w:t>pour</w:t>
      </w:r>
      <w:proofErr w:type="spellEnd"/>
      <w:r>
        <w:t xml:space="preserve"> </w:t>
      </w:r>
      <w:proofErr w:type="spellStart"/>
      <w:r>
        <w:t>chaque</w:t>
      </w:r>
      <w:proofErr w:type="spellEnd"/>
      <w:r>
        <w:t xml:space="preserve"> </w:t>
      </w:r>
      <w:proofErr w:type="spellStart"/>
      <w:r>
        <w:t>décision</w:t>
      </w:r>
      <w:proofErr w:type="spellEnd"/>
      <w:r>
        <w:t xml:space="preserve">, sa </w:t>
      </w:r>
      <w:proofErr w:type="spellStart"/>
      <w:r>
        <w:t>date</w:t>
      </w:r>
      <w:proofErr w:type="spellEnd"/>
      <w:r>
        <w:t xml:space="preserve">, sa   </w:t>
      </w:r>
      <w:proofErr w:type="spellStart"/>
      <w:r>
        <w:t>nature</w:t>
      </w:r>
      <w:proofErr w:type="spellEnd"/>
      <w:r>
        <w:t xml:space="preserve"> </w:t>
      </w:r>
      <w:proofErr w:type="spellStart"/>
      <w:r>
        <w:t>et</w:t>
      </w:r>
      <w:proofErr w:type="spellEnd"/>
      <w:r>
        <w:t xml:space="preserve"> </w:t>
      </w:r>
      <w:proofErr w:type="spellStart"/>
      <w:r>
        <w:t>l’organe</w:t>
      </w:r>
      <w:proofErr w:type="spellEnd"/>
      <w:r>
        <w:t xml:space="preserve"> - </w:t>
      </w:r>
      <w:proofErr w:type="spellStart"/>
      <w:r>
        <w:t>judiciaire</w:t>
      </w:r>
      <w:proofErr w:type="spellEnd"/>
      <w:r>
        <w:t xml:space="preserve"> </w:t>
      </w:r>
      <w:proofErr w:type="spellStart"/>
      <w:r>
        <w:t>ou</w:t>
      </w:r>
      <w:proofErr w:type="spellEnd"/>
      <w:r>
        <w:t xml:space="preserve"> </w:t>
      </w:r>
      <w:proofErr w:type="spellStart"/>
      <w:r>
        <w:t>autre</w:t>
      </w:r>
      <w:proofErr w:type="spellEnd"/>
      <w:r>
        <w:t xml:space="preserve"> – </w:t>
      </w:r>
      <w:proofErr w:type="spellStart"/>
      <w:r>
        <w:t>l’ayant</w:t>
      </w:r>
      <w:proofErr w:type="spellEnd"/>
      <w:r>
        <w:t xml:space="preserve"> </w:t>
      </w:r>
      <w:proofErr w:type="spellStart"/>
      <w:r>
        <w:t>rendue</w:t>
      </w:r>
      <w:proofErr w:type="spellEnd"/>
      <w:r>
        <w:t>)</w:t>
      </w:r>
    </w:p>
    <w:p w:rsidR="00DC1275" w:rsidRDefault="00DC1275" w:rsidP="00DC1275">
      <w:pPr>
        <w:pStyle w:val="Zarkazkladnhotextu3"/>
        <w:ind w:left="540" w:firstLine="0"/>
      </w:pPr>
      <w:proofErr w:type="spellStart"/>
      <w:r>
        <w:t>Other</w:t>
      </w:r>
      <w:proofErr w:type="spellEnd"/>
      <w:r>
        <w:t xml:space="preserve"> </w:t>
      </w:r>
      <w:proofErr w:type="spellStart"/>
      <w:r>
        <w:t>decisions</w:t>
      </w:r>
      <w:proofErr w:type="spellEnd"/>
      <w:r>
        <w:t xml:space="preserve"> (list in </w:t>
      </w:r>
      <w:proofErr w:type="spellStart"/>
      <w:r>
        <w:t>chronological</w:t>
      </w:r>
      <w:proofErr w:type="spellEnd"/>
      <w:r>
        <w:t xml:space="preserve"> </w:t>
      </w:r>
      <w:proofErr w:type="spellStart"/>
      <w:r>
        <w:t>order</w:t>
      </w:r>
      <w:proofErr w:type="spellEnd"/>
      <w:r>
        <w:t xml:space="preserve">, </w:t>
      </w:r>
      <w:proofErr w:type="spellStart"/>
      <w:r>
        <w:t>giving</w:t>
      </w:r>
      <w:proofErr w:type="spellEnd"/>
      <w:r>
        <w:t xml:space="preserve"> </w:t>
      </w:r>
      <w:proofErr w:type="spellStart"/>
      <w:r>
        <w:t>date</w:t>
      </w:r>
      <w:proofErr w:type="spellEnd"/>
      <w:r>
        <w:t xml:space="preserve">, </w:t>
      </w:r>
      <w:proofErr w:type="spellStart"/>
      <w:r>
        <w:t>court</w:t>
      </w:r>
      <w:proofErr w:type="spellEnd"/>
      <w:r>
        <w:t xml:space="preserve"> or </w:t>
      </w:r>
      <w:proofErr w:type="spellStart"/>
      <w:r>
        <w:t>authority</w:t>
      </w:r>
      <w:proofErr w:type="spellEnd"/>
      <w:r>
        <w:t xml:space="preserve"> and </w:t>
      </w:r>
      <w:proofErr w:type="spellStart"/>
      <w:r>
        <w:t>nature</w:t>
      </w:r>
      <w:proofErr w:type="spellEnd"/>
      <w:r>
        <w:t xml:space="preserve"> </w:t>
      </w:r>
      <w:proofErr w:type="spellStart"/>
      <w:r>
        <w:t>of</w:t>
      </w:r>
      <w:proofErr w:type="spellEnd"/>
      <w:r>
        <w:t xml:space="preserve"> </w:t>
      </w:r>
      <w:proofErr w:type="spellStart"/>
      <w:r>
        <w:t>decision</w:t>
      </w:r>
      <w:proofErr w:type="spellEnd"/>
      <w:r>
        <w:t xml:space="preserve"> </w:t>
      </w:r>
      <w:proofErr w:type="spellStart"/>
      <w:r>
        <w:t>for</w:t>
      </w:r>
      <w:proofErr w:type="spellEnd"/>
      <w:r>
        <w:t xml:space="preserve">     </w:t>
      </w:r>
      <w:proofErr w:type="spellStart"/>
      <w:r>
        <w:t>each</w:t>
      </w:r>
      <w:proofErr w:type="spellEnd"/>
      <w:r>
        <w:t xml:space="preserve"> </w:t>
      </w:r>
      <w:proofErr w:type="spellStart"/>
      <w:r>
        <w:t>of</w:t>
      </w:r>
      <w:proofErr w:type="spellEnd"/>
      <w:r>
        <w:t xml:space="preserve">  </w:t>
      </w:r>
      <w:proofErr w:type="spellStart"/>
      <w:r>
        <w:t>them</w:t>
      </w:r>
      <w:proofErr w:type="spellEnd"/>
      <w:r>
        <w:t>)</w:t>
      </w:r>
    </w:p>
    <w:p w:rsidR="00DC1275" w:rsidRDefault="00DC1275" w:rsidP="00DC1275">
      <w:pPr>
        <w:autoSpaceDE w:val="0"/>
        <w:autoSpaceDN w:val="0"/>
        <w:adjustRightInd w:val="0"/>
        <w:spacing w:line="240" w:lineRule="auto"/>
        <w:ind w:firstLine="540"/>
        <w:rPr>
          <w:b/>
          <w:bCs/>
          <w:sz w:val="20"/>
          <w:szCs w:val="20"/>
        </w:rPr>
      </w:pPr>
      <w:r>
        <w:rPr>
          <w:b/>
          <w:bCs/>
          <w:sz w:val="20"/>
          <w:szCs w:val="20"/>
        </w:rPr>
        <w:t>Iné rozhodnutia (uveďte chronologicky dátum, súd alebo iný orgán a druh každého z rozhodnutí)</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pPr>
    </w:p>
    <w:p w:rsidR="00DC1275" w:rsidRDefault="00DC1275" w:rsidP="00DC1275">
      <w:pPr>
        <w:pStyle w:val="Zarkazkladnhotextu2"/>
        <w:ind w:left="540" w:hanging="540"/>
      </w:pPr>
      <w:r>
        <w:rPr>
          <w:sz w:val="24"/>
          <w:szCs w:val="24"/>
        </w:rPr>
        <w:t>18.</w:t>
      </w:r>
      <w:r>
        <w:tab/>
      </w:r>
      <w:proofErr w:type="spellStart"/>
      <w:r>
        <w:t>Dispos</w:t>
      </w:r>
      <w:proofErr w:type="spellEnd"/>
      <w:r>
        <w:t>(i)</w:t>
      </w:r>
      <w:proofErr w:type="spellStart"/>
      <w:r>
        <w:t>ez-vous</w:t>
      </w:r>
      <w:proofErr w:type="spellEnd"/>
      <w:r>
        <w:t xml:space="preserve"> </w:t>
      </w:r>
      <w:proofErr w:type="spellStart"/>
      <w:r>
        <w:t>d’un</w:t>
      </w:r>
      <w:proofErr w:type="spellEnd"/>
      <w:r>
        <w:t xml:space="preserve"> </w:t>
      </w:r>
      <w:proofErr w:type="spellStart"/>
      <w:r>
        <w:t>recours</w:t>
      </w:r>
      <w:proofErr w:type="spellEnd"/>
      <w:r>
        <w:t xml:space="preserve"> </w:t>
      </w:r>
      <w:proofErr w:type="spellStart"/>
      <w:r>
        <w:t>que</w:t>
      </w:r>
      <w:proofErr w:type="spellEnd"/>
      <w:r>
        <w:t xml:space="preserve"> </w:t>
      </w:r>
      <w:proofErr w:type="spellStart"/>
      <w:r>
        <w:t>vous</w:t>
      </w:r>
      <w:proofErr w:type="spellEnd"/>
      <w:r>
        <w:t xml:space="preserve"> </w:t>
      </w:r>
      <w:proofErr w:type="spellStart"/>
      <w:r>
        <w:t>n'avez</w:t>
      </w:r>
      <w:proofErr w:type="spellEnd"/>
      <w:r>
        <w:t xml:space="preserve"> pas </w:t>
      </w:r>
      <w:proofErr w:type="spellStart"/>
      <w:r>
        <w:t>exercé</w:t>
      </w:r>
      <w:proofErr w:type="spellEnd"/>
      <w:r>
        <w:t xml:space="preserve">? Si </w:t>
      </w:r>
      <w:proofErr w:type="spellStart"/>
      <w:r>
        <w:t>oui</w:t>
      </w:r>
      <w:proofErr w:type="spellEnd"/>
      <w:r>
        <w:t xml:space="preserve">, </w:t>
      </w:r>
      <w:proofErr w:type="spellStart"/>
      <w:r>
        <w:t>lequel</w:t>
      </w:r>
      <w:proofErr w:type="spellEnd"/>
      <w:r>
        <w:t xml:space="preserve"> </w:t>
      </w:r>
      <w:proofErr w:type="spellStart"/>
      <w:r>
        <w:t>et</w:t>
      </w:r>
      <w:proofErr w:type="spellEnd"/>
      <w:r>
        <w:t xml:space="preserve"> </w:t>
      </w:r>
      <w:proofErr w:type="spellStart"/>
      <w:r>
        <w:t>pour</w:t>
      </w:r>
      <w:proofErr w:type="spellEnd"/>
      <w:r>
        <w:t xml:space="preserve"> </w:t>
      </w:r>
      <w:proofErr w:type="spellStart"/>
      <w:r>
        <w:t>quel</w:t>
      </w:r>
      <w:proofErr w:type="spellEnd"/>
      <w:r>
        <w:t xml:space="preserve"> </w:t>
      </w:r>
      <w:proofErr w:type="spellStart"/>
      <w:r>
        <w:t>motif</w:t>
      </w:r>
      <w:proofErr w:type="spellEnd"/>
      <w:r>
        <w:t xml:space="preserve"> </w:t>
      </w:r>
      <w:proofErr w:type="spellStart"/>
      <w:r>
        <w:t>n’a-t-il</w:t>
      </w:r>
      <w:proofErr w:type="spellEnd"/>
      <w:r>
        <w:t xml:space="preserve"> pas </w:t>
      </w:r>
      <w:proofErr w:type="spellStart"/>
      <w:r>
        <w:t>été</w:t>
      </w:r>
      <w:proofErr w:type="spellEnd"/>
      <w:r>
        <w:t xml:space="preserve">        </w:t>
      </w:r>
      <w:proofErr w:type="spellStart"/>
      <w:r>
        <w:t>exercé</w:t>
      </w:r>
      <w:proofErr w:type="spellEnd"/>
      <w:r>
        <w:t>?</w:t>
      </w:r>
    </w:p>
    <w:p w:rsidR="00DC1275" w:rsidRDefault="00DC1275" w:rsidP="00DC1275">
      <w:pPr>
        <w:pStyle w:val="Zarkazkladnhotextu3"/>
        <w:ind w:left="540" w:hanging="540"/>
      </w:pPr>
      <w:r>
        <w:tab/>
      </w:r>
      <w:proofErr w:type="spellStart"/>
      <w:r>
        <w:t>Is</w:t>
      </w:r>
      <w:proofErr w:type="spellEnd"/>
      <w:r>
        <w:t xml:space="preserve"> </w:t>
      </w:r>
      <w:proofErr w:type="spellStart"/>
      <w:r>
        <w:t>there</w:t>
      </w:r>
      <w:proofErr w:type="spellEnd"/>
      <w:r>
        <w:t xml:space="preserve"> or </w:t>
      </w:r>
      <w:proofErr w:type="spellStart"/>
      <w:r>
        <w:t>was</w:t>
      </w:r>
      <w:proofErr w:type="spellEnd"/>
      <w:r>
        <w:t xml:space="preserve"> </w:t>
      </w:r>
      <w:proofErr w:type="spellStart"/>
      <w:r>
        <w:t>there</w:t>
      </w:r>
      <w:proofErr w:type="spellEnd"/>
      <w:r>
        <w:t xml:space="preserve"> </w:t>
      </w:r>
      <w:proofErr w:type="spellStart"/>
      <w:r>
        <w:t>any</w:t>
      </w:r>
      <w:proofErr w:type="spellEnd"/>
      <w:r>
        <w:t xml:space="preserve"> </w:t>
      </w:r>
      <w:proofErr w:type="spellStart"/>
      <w:r>
        <w:t>other</w:t>
      </w:r>
      <w:proofErr w:type="spellEnd"/>
      <w:r>
        <w:t xml:space="preserve"> </w:t>
      </w:r>
      <w:proofErr w:type="spellStart"/>
      <w:r>
        <w:t>appeal</w:t>
      </w:r>
      <w:proofErr w:type="spellEnd"/>
      <w:r>
        <w:t xml:space="preserve"> or </w:t>
      </w:r>
      <w:proofErr w:type="spellStart"/>
      <w:r>
        <w:t>other</w:t>
      </w:r>
      <w:proofErr w:type="spellEnd"/>
      <w:r>
        <w:t xml:space="preserve"> </w:t>
      </w:r>
      <w:proofErr w:type="spellStart"/>
      <w:r>
        <w:t>remedy</w:t>
      </w:r>
      <w:proofErr w:type="spellEnd"/>
      <w:r>
        <w:t xml:space="preserve"> </w:t>
      </w:r>
      <w:proofErr w:type="spellStart"/>
      <w:r>
        <w:t>available</w:t>
      </w:r>
      <w:proofErr w:type="spellEnd"/>
      <w:r>
        <w:t xml:space="preserve"> to </w:t>
      </w:r>
      <w:proofErr w:type="spellStart"/>
      <w:r>
        <w:t>you</w:t>
      </w:r>
      <w:proofErr w:type="spellEnd"/>
      <w:r>
        <w:t xml:space="preserve"> </w:t>
      </w:r>
      <w:proofErr w:type="spellStart"/>
      <w:r>
        <w:t>which</w:t>
      </w:r>
      <w:proofErr w:type="spellEnd"/>
      <w:r>
        <w:t xml:space="preserve"> </w:t>
      </w:r>
      <w:proofErr w:type="spellStart"/>
      <w:r>
        <w:t>you</w:t>
      </w:r>
      <w:proofErr w:type="spellEnd"/>
      <w:r>
        <w:t xml:space="preserve"> </w:t>
      </w:r>
      <w:proofErr w:type="spellStart"/>
      <w:r>
        <w:t>have</w:t>
      </w:r>
      <w:proofErr w:type="spellEnd"/>
      <w:r>
        <w:t xml:space="preserve"> </w:t>
      </w:r>
      <w:proofErr w:type="spellStart"/>
      <w:r>
        <w:t>not</w:t>
      </w:r>
      <w:proofErr w:type="spellEnd"/>
      <w:r>
        <w:t xml:space="preserve"> </w:t>
      </w:r>
      <w:proofErr w:type="spellStart"/>
      <w:r>
        <w:t>used</w:t>
      </w:r>
      <w:proofErr w:type="spellEnd"/>
      <w:r>
        <w:t xml:space="preserve">? </w:t>
      </w:r>
      <w:proofErr w:type="spellStart"/>
      <w:r>
        <w:t>If</w:t>
      </w:r>
      <w:proofErr w:type="spellEnd"/>
      <w:r>
        <w:t xml:space="preserve"> so, </w:t>
      </w:r>
      <w:proofErr w:type="spellStart"/>
      <w:r>
        <w:t>explain</w:t>
      </w:r>
      <w:proofErr w:type="spellEnd"/>
      <w:r>
        <w:t xml:space="preserve"> </w:t>
      </w:r>
      <w:proofErr w:type="spellStart"/>
      <w:r>
        <w:t>why</w:t>
      </w:r>
      <w:proofErr w:type="spellEnd"/>
      <w:r>
        <w:t xml:space="preserve"> </w:t>
      </w:r>
      <w:proofErr w:type="spellStart"/>
      <w:r>
        <w:t>you</w:t>
      </w:r>
      <w:proofErr w:type="spellEnd"/>
      <w:r>
        <w:t xml:space="preserve"> </w:t>
      </w:r>
      <w:proofErr w:type="spellStart"/>
      <w:r>
        <w:t>have</w:t>
      </w:r>
      <w:proofErr w:type="spellEnd"/>
      <w:r>
        <w:t xml:space="preserve"> </w:t>
      </w:r>
      <w:proofErr w:type="spellStart"/>
      <w:r>
        <w:t>not</w:t>
      </w:r>
      <w:proofErr w:type="spellEnd"/>
      <w:r>
        <w:t xml:space="preserve"> </w:t>
      </w:r>
      <w:proofErr w:type="spellStart"/>
      <w:r>
        <w:t>used</w:t>
      </w:r>
      <w:proofErr w:type="spellEnd"/>
      <w:r>
        <w:t xml:space="preserve"> </w:t>
      </w:r>
      <w:proofErr w:type="spellStart"/>
      <w:r>
        <w:t>it</w:t>
      </w:r>
      <w:proofErr w:type="spellEnd"/>
      <w:r>
        <w:t>.</w:t>
      </w:r>
    </w:p>
    <w:p w:rsidR="00DC1275" w:rsidRDefault="00DC1275" w:rsidP="00DC1275">
      <w:pPr>
        <w:autoSpaceDE w:val="0"/>
        <w:autoSpaceDN w:val="0"/>
        <w:adjustRightInd w:val="0"/>
        <w:spacing w:line="240" w:lineRule="auto"/>
        <w:ind w:left="540" w:hanging="540"/>
        <w:rPr>
          <w:b/>
          <w:bCs/>
          <w:sz w:val="20"/>
          <w:szCs w:val="20"/>
        </w:rPr>
      </w:pPr>
      <w:r>
        <w:rPr>
          <w:b/>
          <w:bCs/>
          <w:sz w:val="20"/>
          <w:szCs w:val="20"/>
        </w:rPr>
        <w:tab/>
        <w:t>Máte, resp. mali ste k dispozícii iné opravné prostriedky, ktoré ste nevyčerpali? Ak áno, vysvetlite z akých dôvodov.</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jc w:val="right"/>
        <w:rPr>
          <w:sz w:val="16"/>
          <w:szCs w:val="16"/>
        </w:rPr>
      </w:pPr>
      <w:r>
        <w:rPr>
          <w:sz w:val="16"/>
          <w:szCs w:val="16"/>
        </w:rPr>
        <w:t xml:space="preserve">Si </w:t>
      </w:r>
      <w:proofErr w:type="spellStart"/>
      <w:r>
        <w:rPr>
          <w:sz w:val="16"/>
          <w:szCs w:val="16"/>
        </w:rPr>
        <w:t>nécessaire</w:t>
      </w:r>
      <w:proofErr w:type="spellEnd"/>
      <w:r>
        <w:rPr>
          <w:sz w:val="16"/>
          <w:szCs w:val="16"/>
        </w:rPr>
        <w:t xml:space="preserve">, </w:t>
      </w:r>
      <w:proofErr w:type="spellStart"/>
      <w:r>
        <w:rPr>
          <w:sz w:val="16"/>
          <w:szCs w:val="16"/>
        </w:rPr>
        <w:t>continuer</w:t>
      </w:r>
      <w:proofErr w:type="spellEnd"/>
      <w:r>
        <w:rPr>
          <w:sz w:val="16"/>
          <w:szCs w:val="16"/>
        </w:rPr>
        <w:t xml:space="preserve"> </w:t>
      </w:r>
      <w:proofErr w:type="spellStart"/>
      <w:r>
        <w:rPr>
          <w:sz w:val="16"/>
          <w:szCs w:val="16"/>
        </w:rPr>
        <w:t>sur</w:t>
      </w:r>
      <w:proofErr w:type="spellEnd"/>
      <w:r>
        <w:rPr>
          <w:sz w:val="16"/>
          <w:szCs w:val="16"/>
        </w:rPr>
        <w:t xml:space="preserve"> </w:t>
      </w:r>
      <w:proofErr w:type="spellStart"/>
      <w:r>
        <w:rPr>
          <w:sz w:val="16"/>
          <w:szCs w:val="16"/>
        </w:rPr>
        <w:t>une</w:t>
      </w:r>
      <w:proofErr w:type="spellEnd"/>
      <w:r>
        <w:rPr>
          <w:sz w:val="16"/>
          <w:szCs w:val="16"/>
        </w:rPr>
        <w:t xml:space="preserve"> </w:t>
      </w:r>
      <w:proofErr w:type="spellStart"/>
      <w:r>
        <w:rPr>
          <w:sz w:val="16"/>
          <w:szCs w:val="16"/>
        </w:rPr>
        <w:t>feuille</w:t>
      </w:r>
      <w:proofErr w:type="spellEnd"/>
      <w:r>
        <w:rPr>
          <w:sz w:val="16"/>
          <w:szCs w:val="16"/>
        </w:rPr>
        <w:t xml:space="preserve"> </w:t>
      </w:r>
      <w:proofErr w:type="spellStart"/>
      <w:r>
        <w:rPr>
          <w:sz w:val="16"/>
          <w:szCs w:val="16"/>
        </w:rPr>
        <w:t>séparée</w:t>
      </w:r>
      <w:proofErr w:type="spellEnd"/>
    </w:p>
    <w:p w:rsidR="00DC1275" w:rsidRDefault="00DC1275" w:rsidP="00DC1275">
      <w:pPr>
        <w:autoSpaceDE w:val="0"/>
        <w:autoSpaceDN w:val="0"/>
        <w:adjustRightInd w:val="0"/>
        <w:spacing w:line="240" w:lineRule="auto"/>
        <w:jc w:val="right"/>
        <w:rPr>
          <w:i/>
          <w:iCs/>
          <w:sz w:val="16"/>
          <w:szCs w:val="16"/>
        </w:rPr>
      </w:pPr>
      <w:proofErr w:type="spellStart"/>
      <w:r>
        <w:rPr>
          <w:i/>
          <w:iCs/>
          <w:sz w:val="16"/>
          <w:szCs w:val="16"/>
        </w:rPr>
        <w:t>Continue</w:t>
      </w:r>
      <w:proofErr w:type="spellEnd"/>
      <w:r>
        <w:rPr>
          <w:i/>
          <w:iCs/>
          <w:sz w:val="16"/>
          <w:szCs w:val="16"/>
        </w:rPr>
        <w:t xml:space="preserve"> on a </w:t>
      </w:r>
      <w:proofErr w:type="spellStart"/>
      <w:r>
        <w:rPr>
          <w:i/>
          <w:iCs/>
          <w:sz w:val="16"/>
          <w:szCs w:val="16"/>
        </w:rPr>
        <w:t>separate</w:t>
      </w:r>
      <w:proofErr w:type="spellEnd"/>
      <w:r>
        <w:rPr>
          <w:i/>
          <w:iCs/>
          <w:sz w:val="16"/>
          <w:szCs w:val="16"/>
        </w:rPr>
        <w:t xml:space="preserve"> </w:t>
      </w:r>
      <w:proofErr w:type="spellStart"/>
      <w:r>
        <w:rPr>
          <w:i/>
          <w:iCs/>
          <w:sz w:val="16"/>
          <w:szCs w:val="16"/>
        </w:rPr>
        <w:t>sheet</w:t>
      </w:r>
      <w:proofErr w:type="spellEnd"/>
      <w:r>
        <w:rPr>
          <w:i/>
          <w:iCs/>
          <w:sz w:val="16"/>
          <w:szCs w:val="16"/>
        </w:rPr>
        <w:t xml:space="preserve"> </w:t>
      </w:r>
      <w:proofErr w:type="spellStart"/>
      <w:r>
        <w:rPr>
          <w:i/>
          <w:iCs/>
          <w:sz w:val="16"/>
          <w:szCs w:val="16"/>
        </w:rPr>
        <w:t>if</w:t>
      </w:r>
      <w:proofErr w:type="spellEnd"/>
      <w:r>
        <w:rPr>
          <w:i/>
          <w:iCs/>
          <w:sz w:val="16"/>
          <w:szCs w:val="16"/>
        </w:rPr>
        <w:t xml:space="preserve"> </w:t>
      </w:r>
      <w:proofErr w:type="spellStart"/>
      <w:r>
        <w:rPr>
          <w:i/>
          <w:iCs/>
          <w:sz w:val="16"/>
          <w:szCs w:val="16"/>
        </w:rPr>
        <w:t>necessary</w:t>
      </w:r>
      <w:proofErr w:type="spellEnd"/>
    </w:p>
    <w:p w:rsidR="00DC1275" w:rsidRDefault="00DC1275" w:rsidP="00DC1275">
      <w:pPr>
        <w:spacing w:line="240" w:lineRule="auto"/>
        <w:jc w:val="right"/>
        <w:rPr>
          <w:b/>
          <w:bCs/>
          <w:sz w:val="16"/>
          <w:szCs w:val="16"/>
        </w:rPr>
      </w:pPr>
      <w:r>
        <w:rPr>
          <w:b/>
          <w:bCs/>
          <w:sz w:val="16"/>
          <w:szCs w:val="16"/>
        </w:rPr>
        <w:t>V prípade potreby pokračujte na samostatnom hárku papiera</w:t>
      </w:r>
    </w:p>
    <w:p w:rsidR="00DC1275" w:rsidRDefault="00DC1275" w:rsidP="00DC1275">
      <w:pPr>
        <w:autoSpaceDE w:val="0"/>
        <w:autoSpaceDN w:val="0"/>
        <w:adjustRightInd w:val="0"/>
        <w:spacing w:line="240" w:lineRule="auto"/>
        <w:jc w:val="center"/>
        <w:rPr>
          <w:rFonts w:ascii="Arial" w:hAnsi="Arial" w:cs="Arial"/>
          <w:i/>
          <w:iCs/>
        </w:rPr>
      </w:pPr>
      <w:r>
        <w:rPr>
          <w:b/>
          <w:bCs/>
          <w:sz w:val="16"/>
          <w:szCs w:val="16"/>
        </w:rPr>
        <w:br w:type="page"/>
      </w:r>
      <w:r>
        <w:rPr>
          <w:rFonts w:ascii="Arial" w:hAnsi="Arial" w:cs="Arial"/>
          <w:i/>
          <w:iCs/>
        </w:rPr>
        <w:lastRenderedPageBreak/>
        <w:t>- 6 -</w:t>
      </w:r>
    </w:p>
    <w:p w:rsidR="00DC1275" w:rsidRDefault="00DC1275" w:rsidP="00DC1275">
      <w:pPr>
        <w:autoSpaceDE w:val="0"/>
        <w:autoSpaceDN w:val="0"/>
        <w:adjustRightInd w:val="0"/>
        <w:spacing w:line="240" w:lineRule="auto"/>
      </w:pPr>
    </w:p>
    <w:p w:rsidR="00DC1275" w:rsidRDefault="00DC1275" w:rsidP="00DC1275">
      <w:pPr>
        <w:autoSpaceDE w:val="0"/>
        <w:autoSpaceDN w:val="0"/>
        <w:adjustRightInd w:val="0"/>
        <w:spacing w:line="240" w:lineRule="auto"/>
        <w:ind w:left="540" w:hanging="540"/>
      </w:pPr>
      <w:r>
        <w:t>V.</w:t>
      </w:r>
      <w:r>
        <w:tab/>
        <w:t>EXPOSÉ DE L'OBJET DE LA REQUÊTE ET PRÉTENTIONS PROVISOIRES POUR UNE SATISFACTION EQUITABLE</w:t>
      </w:r>
    </w:p>
    <w:p w:rsidR="00DC1275" w:rsidRDefault="00DC1275" w:rsidP="00DC1275">
      <w:pPr>
        <w:autoSpaceDE w:val="0"/>
        <w:autoSpaceDN w:val="0"/>
        <w:adjustRightInd w:val="0"/>
        <w:spacing w:line="240" w:lineRule="auto"/>
        <w:ind w:left="540"/>
        <w:rPr>
          <w:i/>
          <w:iCs/>
        </w:rPr>
      </w:pPr>
      <w:r>
        <w:rPr>
          <w:i/>
          <w:iCs/>
        </w:rPr>
        <w:t>STATEMENT OF THE OBJECT OF THE APPLICATION AND PROVISIONAL CLAIMS FOR JUST SATISFACTION</w:t>
      </w:r>
    </w:p>
    <w:p w:rsidR="00DC1275" w:rsidRDefault="00DC1275" w:rsidP="00DC1275">
      <w:pPr>
        <w:autoSpaceDE w:val="0"/>
        <w:autoSpaceDN w:val="0"/>
        <w:adjustRightInd w:val="0"/>
        <w:spacing w:line="240" w:lineRule="auto"/>
        <w:ind w:firstLine="540"/>
        <w:rPr>
          <w:b/>
          <w:bCs/>
        </w:rPr>
      </w:pPr>
      <w:r>
        <w:rPr>
          <w:b/>
          <w:bCs/>
        </w:rPr>
        <w:t>OPIS PREDMETU STAŽNOSTI A PREDBEŽNÉ NÁROKY TÝKAJÚCE SA</w:t>
      </w:r>
    </w:p>
    <w:p w:rsidR="00DC1275" w:rsidRDefault="00DC1275" w:rsidP="00DC1275">
      <w:pPr>
        <w:autoSpaceDE w:val="0"/>
        <w:autoSpaceDN w:val="0"/>
        <w:adjustRightInd w:val="0"/>
        <w:spacing w:line="240" w:lineRule="auto"/>
        <w:ind w:firstLine="540"/>
        <w:rPr>
          <w:b/>
          <w:bCs/>
        </w:rPr>
      </w:pPr>
      <w:r>
        <w:rPr>
          <w:b/>
          <w:bCs/>
        </w:rPr>
        <w:t>SPRAVODLIVÉHO ZADOSŤUČINENIA</w:t>
      </w: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ind w:firstLine="540"/>
        <w:rPr>
          <w:sz w:val="16"/>
          <w:szCs w:val="16"/>
        </w:rPr>
      </w:pPr>
      <w:r>
        <w:rPr>
          <w:sz w:val="16"/>
          <w:szCs w:val="16"/>
        </w:rPr>
        <w:t>(</w:t>
      </w:r>
      <w:proofErr w:type="spellStart"/>
      <w:r>
        <w:rPr>
          <w:sz w:val="16"/>
          <w:szCs w:val="16"/>
        </w:rPr>
        <w:t>Voir</w:t>
      </w:r>
      <w:proofErr w:type="spellEnd"/>
      <w:r>
        <w:rPr>
          <w:sz w:val="16"/>
          <w:szCs w:val="16"/>
        </w:rPr>
        <w:t xml:space="preserve"> </w:t>
      </w:r>
      <w:proofErr w:type="spellStart"/>
      <w:r>
        <w:rPr>
          <w:sz w:val="16"/>
          <w:szCs w:val="16"/>
        </w:rPr>
        <w:t>chapitre</w:t>
      </w:r>
      <w:proofErr w:type="spellEnd"/>
      <w:r>
        <w:rPr>
          <w:sz w:val="16"/>
          <w:szCs w:val="16"/>
        </w:rPr>
        <w:t xml:space="preserve"> V </w:t>
      </w:r>
      <w:proofErr w:type="spellStart"/>
      <w:r>
        <w:rPr>
          <w:sz w:val="16"/>
          <w:szCs w:val="16"/>
        </w:rPr>
        <w:t>de</w:t>
      </w:r>
      <w:proofErr w:type="spellEnd"/>
      <w:r>
        <w:rPr>
          <w:sz w:val="16"/>
          <w:szCs w:val="16"/>
        </w:rPr>
        <w:t xml:space="preserve"> la note </w:t>
      </w:r>
      <w:proofErr w:type="spellStart"/>
      <w:r>
        <w:rPr>
          <w:sz w:val="16"/>
          <w:szCs w:val="16"/>
        </w:rPr>
        <w:t>explicative</w:t>
      </w:r>
      <w:proofErr w:type="spellEnd"/>
      <w:r>
        <w:rPr>
          <w:sz w:val="16"/>
          <w:szCs w:val="16"/>
        </w:rPr>
        <w:t>)</w:t>
      </w:r>
    </w:p>
    <w:p w:rsidR="00DC1275" w:rsidRDefault="00DC1275" w:rsidP="00DC1275">
      <w:pPr>
        <w:autoSpaceDE w:val="0"/>
        <w:autoSpaceDN w:val="0"/>
        <w:adjustRightInd w:val="0"/>
        <w:spacing w:line="240" w:lineRule="auto"/>
        <w:ind w:firstLine="540"/>
        <w:rPr>
          <w:i/>
          <w:iCs/>
          <w:sz w:val="16"/>
          <w:szCs w:val="16"/>
        </w:rPr>
      </w:pPr>
      <w:r>
        <w:rPr>
          <w:i/>
          <w:iCs/>
          <w:sz w:val="16"/>
          <w:szCs w:val="16"/>
        </w:rPr>
        <w:t>(</w:t>
      </w:r>
      <w:proofErr w:type="spellStart"/>
      <w:r>
        <w:rPr>
          <w:i/>
          <w:iCs/>
          <w:sz w:val="16"/>
          <w:szCs w:val="16"/>
        </w:rPr>
        <w:t>See</w:t>
      </w:r>
      <w:proofErr w:type="spellEnd"/>
      <w:r>
        <w:rPr>
          <w:i/>
          <w:iCs/>
          <w:sz w:val="16"/>
          <w:szCs w:val="16"/>
        </w:rPr>
        <w:t xml:space="preserve"> Part V </w:t>
      </w:r>
      <w:proofErr w:type="spellStart"/>
      <w:r>
        <w:rPr>
          <w:i/>
          <w:iCs/>
          <w:sz w:val="16"/>
          <w:szCs w:val="16"/>
        </w:rPr>
        <w:t>of</w:t>
      </w:r>
      <w:proofErr w:type="spellEnd"/>
      <w:r>
        <w:rPr>
          <w:i/>
          <w:iCs/>
          <w:sz w:val="16"/>
          <w:szCs w:val="16"/>
        </w:rPr>
        <w:t xml:space="preserve"> </w:t>
      </w:r>
      <w:proofErr w:type="spellStart"/>
      <w:r>
        <w:rPr>
          <w:i/>
          <w:iCs/>
          <w:sz w:val="16"/>
          <w:szCs w:val="16"/>
        </w:rPr>
        <w:t>the</w:t>
      </w:r>
      <w:proofErr w:type="spellEnd"/>
      <w:r>
        <w:rPr>
          <w:i/>
          <w:iCs/>
          <w:sz w:val="16"/>
          <w:szCs w:val="16"/>
        </w:rPr>
        <w:t xml:space="preserve"> </w:t>
      </w:r>
      <w:proofErr w:type="spellStart"/>
      <w:r>
        <w:rPr>
          <w:i/>
          <w:iCs/>
          <w:sz w:val="16"/>
          <w:szCs w:val="16"/>
        </w:rPr>
        <w:t>Explanatory</w:t>
      </w:r>
      <w:proofErr w:type="spellEnd"/>
      <w:r>
        <w:rPr>
          <w:i/>
          <w:iCs/>
          <w:sz w:val="16"/>
          <w:szCs w:val="16"/>
        </w:rPr>
        <w:t xml:space="preserve"> Note)</w:t>
      </w:r>
    </w:p>
    <w:p w:rsidR="00DC1275" w:rsidRDefault="00DC1275" w:rsidP="00DC1275">
      <w:pPr>
        <w:autoSpaceDE w:val="0"/>
        <w:autoSpaceDN w:val="0"/>
        <w:adjustRightInd w:val="0"/>
        <w:spacing w:line="240" w:lineRule="auto"/>
        <w:ind w:firstLine="540"/>
        <w:rPr>
          <w:b/>
          <w:bCs/>
          <w:sz w:val="16"/>
          <w:szCs w:val="16"/>
        </w:rPr>
      </w:pPr>
      <w:r>
        <w:rPr>
          <w:b/>
          <w:bCs/>
          <w:sz w:val="16"/>
          <w:szCs w:val="16"/>
        </w:rPr>
        <w:t>(Pozri časť V Vysvetľujúcej poznámky)</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pPr>
      <w:r>
        <w:t>19.</w:t>
      </w:r>
    </w:p>
    <w:p w:rsidR="00DC1275" w:rsidRDefault="00DC1275" w:rsidP="00DC1275">
      <w:pPr>
        <w:autoSpaceDE w:val="0"/>
        <w:autoSpaceDN w:val="0"/>
        <w:adjustRightInd w:val="0"/>
        <w:spacing w:line="240" w:lineRule="auto"/>
        <w:ind w:left="540"/>
      </w:pPr>
    </w:p>
    <w:p w:rsidR="00DC1275" w:rsidRDefault="00DC1275" w:rsidP="00DC1275">
      <w:pPr>
        <w:autoSpaceDE w:val="0"/>
        <w:autoSpaceDN w:val="0"/>
        <w:adjustRightInd w:val="0"/>
        <w:spacing w:line="240" w:lineRule="auto"/>
        <w:ind w:left="540"/>
      </w:pPr>
    </w:p>
    <w:p w:rsidR="00DC1275" w:rsidRDefault="00DC1275" w:rsidP="00DC1275">
      <w:pPr>
        <w:autoSpaceDE w:val="0"/>
        <w:autoSpaceDN w:val="0"/>
        <w:adjustRightInd w:val="0"/>
        <w:spacing w:line="240" w:lineRule="auto"/>
        <w:ind w:left="540"/>
      </w:pPr>
    </w:p>
    <w:p w:rsidR="00DC1275" w:rsidRDefault="00DC1275" w:rsidP="00DC1275">
      <w:pPr>
        <w:autoSpaceDE w:val="0"/>
        <w:autoSpaceDN w:val="0"/>
        <w:adjustRightInd w:val="0"/>
        <w:spacing w:line="240" w:lineRule="auto"/>
        <w:ind w:left="540"/>
      </w:pPr>
    </w:p>
    <w:p w:rsidR="00DC1275" w:rsidRDefault="00DC1275" w:rsidP="00DC1275">
      <w:pPr>
        <w:autoSpaceDE w:val="0"/>
        <w:autoSpaceDN w:val="0"/>
        <w:adjustRightInd w:val="0"/>
        <w:spacing w:line="240" w:lineRule="auto"/>
        <w:ind w:left="540"/>
      </w:pPr>
    </w:p>
    <w:p w:rsidR="00DC1275" w:rsidRDefault="00DC1275" w:rsidP="00DC1275">
      <w:pPr>
        <w:autoSpaceDE w:val="0"/>
        <w:autoSpaceDN w:val="0"/>
        <w:adjustRightInd w:val="0"/>
        <w:spacing w:line="240" w:lineRule="auto"/>
        <w:ind w:left="540"/>
      </w:pPr>
    </w:p>
    <w:p w:rsidR="00DC1275" w:rsidRDefault="00DC1275" w:rsidP="00DC1275">
      <w:pPr>
        <w:autoSpaceDE w:val="0"/>
        <w:autoSpaceDN w:val="0"/>
        <w:adjustRightInd w:val="0"/>
        <w:spacing w:line="240" w:lineRule="auto"/>
        <w:ind w:left="540"/>
      </w:pPr>
    </w:p>
    <w:p w:rsidR="00DC1275" w:rsidRDefault="00DC1275" w:rsidP="00DC1275">
      <w:pPr>
        <w:autoSpaceDE w:val="0"/>
        <w:autoSpaceDN w:val="0"/>
        <w:adjustRightInd w:val="0"/>
        <w:spacing w:line="240" w:lineRule="auto"/>
        <w:ind w:left="540"/>
      </w:pPr>
    </w:p>
    <w:p w:rsidR="00DC1275" w:rsidRDefault="00DC1275" w:rsidP="00DC1275">
      <w:pPr>
        <w:autoSpaceDE w:val="0"/>
        <w:autoSpaceDN w:val="0"/>
        <w:adjustRightInd w:val="0"/>
        <w:spacing w:line="240" w:lineRule="auto"/>
        <w:ind w:left="540"/>
      </w:pPr>
    </w:p>
    <w:p w:rsidR="00DC1275" w:rsidRDefault="00DC1275" w:rsidP="00DC1275">
      <w:pPr>
        <w:autoSpaceDE w:val="0"/>
        <w:autoSpaceDN w:val="0"/>
        <w:adjustRightInd w:val="0"/>
        <w:spacing w:line="240" w:lineRule="auto"/>
        <w:ind w:left="540" w:hanging="540"/>
      </w:pPr>
      <w:r>
        <w:t>VI.</w:t>
      </w:r>
      <w:r>
        <w:tab/>
        <w:t>AUTRES INSTANCES INTERNATIONALES TRAITANT OU AYANT TRAITÉ</w:t>
      </w:r>
    </w:p>
    <w:p w:rsidR="00DC1275" w:rsidRDefault="00DC1275" w:rsidP="00DC1275">
      <w:pPr>
        <w:autoSpaceDE w:val="0"/>
        <w:autoSpaceDN w:val="0"/>
        <w:adjustRightInd w:val="0"/>
        <w:spacing w:line="240" w:lineRule="auto"/>
        <w:ind w:firstLine="540"/>
      </w:pPr>
      <w:r>
        <w:t>L’AFFAIRE</w:t>
      </w:r>
    </w:p>
    <w:p w:rsidR="00DC1275" w:rsidRDefault="00DC1275" w:rsidP="00DC1275">
      <w:pPr>
        <w:autoSpaceDE w:val="0"/>
        <w:autoSpaceDN w:val="0"/>
        <w:adjustRightInd w:val="0"/>
        <w:spacing w:line="240" w:lineRule="auto"/>
        <w:ind w:left="540"/>
        <w:rPr>
          <w:i/>
          <w:iCs/>
        </w:rPr>
      </w:pPr>
      <w:r>
        <w:rPr>
          <w:i/>
          <w:iCs/>
        </w:rPr>
        <w:t>STATEMENT CONCERNING OTHER INTERNATIONAL PROCEEDINGS</w:t>
      </w:r>
    </w:p>
    <w:p w:rsidR="00DC1275" w:rsidRDefault="00DC1275" w:rsidP="00DC1275">
      <w:pPr>
        <w:autoSpaceDE w:val="0"/>
        <w:autoSpaceDN w:val="0"/>
        <w:adjustRightInd w:val="0"/>
        <w:spacing w:line="240" w:lineRule="auto"/>
        <w:ind w:left="540"/>
        <w:rPr>
          <w:b/>
          <w:bCs/>
        </w:rPr>
      </w:pPr>
      <w:r>
        <w:rPr>
          <w:b/>
          <w:bCs/>
        </w:rPr>
        <w:t>PREHLÁSENIE O PREDLOŽENÍ VECI INÝM MEDZINÁRODNÝM      INŠTITÚCIÁM</w:t>
      </w: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ind w:left="540"/>
        <w:rPr>
          <w:sz w:val="16"/>
          <w:szCs w:val="16"/>
        </w:rPr>
      </w:pPr>
      <w:r>
        <w:rPr>
          <w:sz w:val="16"/>
          <w:szCs w:val="16"/>
        </w:rPr>
        <w:t>(</w:t>
      </w:r>
      <w:proofErr w:type="spellStart"/>
      <w:r>
        <w:rPr>
          <w:sz w:val="16"/>
          <w:szCs w:val="16"/>
        </w:rPr>
        <w:t>Voir</w:t>
      </w:r>
      <w:proofErr w:type="spellEnd"/>
      <w:r>
        <w:rPr>
          <w:sz w:val="16"/>
          <w:szCs w:val="16"/>
        </w:rPr>
        <w:t xml:space="preserve"> </w:t>
      </w:r>
      <w:proofErr w:type="spellStart"/>
      <w:r>
        <w:rPr>
          <w:sz w:val="16"/>
          <w:szCs w:val="16"/>
        </w:rPr>
        <w:t>chapitre</w:t>
      </w:r>
      <w:proofErr w:type="spellEnd"/>
      <w:r>
        <w:rPr>
          <w:sz w:val="16"/>
          <w:szCs w:val="16"/>
        </w:rPr>
        <w:t xml:space="preserve"> VI </w:t>
      </w:r>
      <w:proofErr w:type="spellStart"/>
      <w:r>
        <w:rPr>
          <w:sz w:val="16"/>
          <w:szCs w:val="16"/>
        </w:rPr>
        <w:t>de</w:t>
      </w:r>
      <w:proofErr w:type="spellEnd"/>
      <w:r>
        <w:rPr>
          <w:sz w:val="16"/>
          <w:szCs w:val="16"/>
        </w:rPr>
        <w:t xml:space="preserve"> la note </w:t>
      </w:r>
      <w:proofErr w:type="spellStart"/>
      <w:r>
        <w:rPr>
          <w:sz w:val="16"/>
          <w:szCs w:val="16"/>
        </w:rPr>
        <w:t>explicative</w:t>
      </w:r>
      <w:proofErr w:type="spellEnd"/>
      <w:r>
        <w:rPr>
          <w:sz w:val="16"/>
          <w:szCs w:val="16"/>
        </w:rPr>
        <w:t>)</w:t>
      </w:r>
    </w:p>
    <w:p w:rsidR="00DC1275" w:rsidRDefault="00DC1275" w:rsidP="00DC1275">
      <w:pPr>
        <w:autoSpaceDE w:val="0"/>
        <w:autoSpaceDN w:val="0"/>
        <w:adjustRightInd w:val="0"/>
        <w:spacing w:line="240" w:lineRule="auto"/>
        <w:ind w:left="540"/>
        <w:rPr>
          <w:i/>
          <w:iCs/>
          <w:sz w:val="16"/>
          <w:szCs w:val="16"/>
        </w:rPr>
      </w:pPr>
      <w:r>
        <w:rPr>
          <w:i/>
          <w:iCs/>
          <w:sz w:val="16"/>
          <w:szCs w:val="16"/>
        </w:rPr>
        <w:t>(</w:t>
      </w:r>
      <w:proofErr w:type="spellStart"/>
      <w:r>
        <w:rPr>
          <w:i/>
          <w:iCs/>
          <w:sz w:val="16"/>
          <w:szCs w:val="16"/>
        </w:rPr>
        <w:t>See</w:t>
      </w:r>
      <w:proofErr w:type="spellEnd"/>
      <w:r>
        <w:rPr>
          <w:i/>
          <w:iCs/>
          <w:sz w:val="16"/>
          <w:szCs w:val="16"/>
        </w:rPr>
        <w:t xml:space="preserve"> Part VI </w:t>
      </w:r>
      <w:proofErr w:type="spellStart"/>
      <w:r>
        <w:rPr>
          <w:i/>
          <w:iCs/>
          <w:sz w:val="16"/>
          <w:szCs w:val="16"/>
        </w:rPr>
        <w:t>of</w:t>
      </w:r>
      <w:proofErr w:type="spellEnd"/>
      <w:r>
        <w:rPr>
          <w:i/>
          <w:iCs/>
          <w:sz w:val="16"/>
          <w:szCs w:val="16"/>
        </w:rPr>
        <w:t xml:space="preserve"> </w:t>
      </w:r>
      <w:proofErr w:type="spellStart"/>
      <w:r>
        <w:rPr>
          <w:i/>
          <w:iCs/>
          <w:sz w:val="16"/>
          <w:szCs w:val="16"/>
        </w:rPr>
        <w:t>the</w:t>
      </w:r>
      <w:proofErr w:type="spellEnd"/>
      <w:r>
        <w:rPr>
          <w:i/>
          <w:iCs/>
          <w:sz w:val="16"/>
          <w:szCs w:val="16"/>
        </w:rPr>
        <w:t xml:space="preserve"> </w:t>
      </w:r>
      <w:proofErr w:type="spellStart"/>
      <w:r>
        <w:rPr>
          <w:i/>
          <w:iCs/>
          <w:sz w:val="16"/>
          <w:szCs w:val="16"/>
        </w:rPr>
        <w:t>Explanatory</w:t>
      </w:r>
      <w:proofErr w:type="spellEnd"/>
      <w:r>
        <w:rPr>
          <w:i/>
          <w:iCs/>
          <w:sz w:val="16"/>
          <w:szCs w:val="16"/>
        </w:rPr>
        <w:t xml:space="preserve"> Note)</w:t>
      </w:r>
    </w:p>
    <w:p w:rsidR="00DC1275" w:rsidRDefault="00DC1275" w:rsidP="00DC1275">
      <w:pPr>
        <w:autoSpaceDE w:val="0"/>
        <w:autoSpaceDN w:val="0"/>
        <w:adjustRightInd w:val="0"/>
        <w:spacing w:line="240" w:lineRule="auto"/>
        <w:ind w:left="540"/>
        <w:rPr>
          <w:b/>
          <w:bCs/>
          <w:sz w:val="16"/>
          <w:szCs w:val="16"/>
        </w:rPr>
      </w:pPr>
      <w:r>
        <w:rPr>
          <w:b/>
          <w:bCs/>
          <w:sz w:val="16"/>
          <w:szCs w:val="16"/>
        </w:rPr>
        <w:t>(Pozri časť VI Vysvetľujúcej poznámky)</w:t>
      </w:r>
    </w:p>
    <w:p w:rsidR="00DC1275" w:rsidRDefault="00DC1275" w:rsidP="00DC1275">
      <w:pPr>
        <w:autoSpaceDE w:val="0"/>
        <w:autoSpaceDN w:val="0"/>
        <w:adjustRightInd w:val="0"/>
        <w:spacing w:line="240" w:lineRule="auto"/>
        <w:rPr>
          <w:sz w:val="20"/>
          <w:szCs w:val="20"/>
        </w:rPr>
      </w:pPr>
    </w:p>
    <w:p w:rsidR="00DC1275" w:rsidRDefault="00DC1275" w:rsidP="00DC1275">
      <w:pPr>
        <w:pStyle w:val="Zarkazkladnhotextu2"/>
        <w:ind w:left="540" w:hanging="540"/>
      </w:pPr>
      <w:r>
        <w:rPr>
          <w:sz w:val="24"/>
          <w:szCs w:val="24"/>
        </w:rPr>
        <w:t>20</w:t>
      </w:r>
      <w:r>
        <w:t xml:space="preserve">. </w:t>
      </w:r>
      <w:r>
        <w:tab/>
      </w:r>
      <w:proofErr w:type="spellStart"/>
      <w:r>
        <w:t>Avez-vous</w:t>
      </w:r>
      <w:proofErr w:type="spellEnd"/>
      <w:r>
        <w:t xml:space="preserve"> </w:t>
      </w:r>
      <w:proofErr w:type="spellStart"/>
      <w:r>
        <w:t>soumis</w:t>
      </w:r>
      <w:proofErr w:type="spellEnd"/>
      <w:r>
        <w:t xml:space="preserve"> à </w:t>
      </w:r>
      <w:proofErr w:type="spellStart"/>
      <w:r>
        <w:t>une</w:t>
      </w:r>
      <w:proofErr w:type="spellEnd"/>
      <w:r>
        <w:t xml:space="preserve"> </w:t>
      </w:r>
      <w:proofErr w:type="spellStart"/>
      <w:r>
        <w:t>autre</w:t>
      </w:r>
      <w:proofErr w:type="spellEnd"/>
      <w:r>
        <w:t xml:space="preserve"> </w:t>
      </w:r>
      <w:proofErr w:type="spellStart"/>
      <w:r>
        <w:t>instance</w:t>
      </w:r>
      <w:proofErr w:type="spellEnd"/>
      <w:r>
        <w:t xml:space="preserve"> </w:t>
      </w:r>
      <w:proofErr w:type="spellStart"/>
      <w:r>
        <w:t>internationale</w:t>
      </w:r>
      <w:proofErr w:type="spellEnd"/>
      <w:r>
        <w:t xml:space="preserve"> </w:t>
      </w:r>
      <w:proofErr w:type="spellStart"/>
      <w:r>
        <w:t>d’enquête</w:t>
      </w:r>
      <w:proofErr w:type="spellEnd"/>
      <w:r>
        <w:t xml:space="preserve"> </w:t>
      </w:r>
      <w:proofErr w:type="spellStart"/>
      <w:r>
        <w:t>ou</w:t>
      </w:r>
      <w:proofErr w:type="spellEnd"/>
      <w:r>
        <w:t xml:space="preserve"> </w:t>
      </w:r>
      <w:proofErr w:type="spellStart"/>
      <w:r>
        <w:t>de</w:t>
      </w:r>
      <w:proofErr w:type="spellEnd"/>
      <w:r>
        <w:t xml:space="preserve"> </w:t>
      </w:r>
      <w:proofErr w:type="spellStart"/>
      <w:r>
        <w:t>règlement</w:t>
      </w:r>
      <w:proofErr w:type="spellEnd"/>
      <w:r>
        <w:t xml:space="preserve"> les </w:t>
      </w:r>
      <w:proofErr w:type="spellStart"/>
      <w:r>
        <w:t>griefs</w:t>
      </w:r>
      <w:proofErr w:type="spellEnd"/>
      <w:r>
        <w:t xml:space="preserve"> </w:t>
      </w:r>
      <w:proofErr w:type="spellStart"/>
      <w:r>
        <w:t>énoncés</w:t>
      </w:r>
      <w:proofErr w:type="spellEnd"/>
      <w:r>
        <w:t xml:space="preserve"> </w:t>
      </w:r>
      <w:proofErr w:type="spellStart"/>
      <w:r>
        <w:t>dans</w:t>
      </w:r>
      <w:proofErr w:type="spellEnd"/>
      <w:r>
        <w:t xml:space="preserve"> la               </w:t>
      </w:r>
      <w:proofErr w:type="spellStart"/>
      <w:r>
        <w:t>présente</w:t>
      </w:r>
      <w:proofErr w:type="spellEnd"/>
      <w:r>
        <w:t xml:space="preserve"> </w:t>
      </w:r>
      <w:proofErr w:type="spellStart"/>
      <w:r>
        <w:t>requête</w:t>
      </w:r>
      <w:proofErr w:type="spellEnd"/>
      <w:r>
        <w:t xml:space="preserve">? Si </w:t>
      </w:r>
      <w:proofErr w:type="spellStart"/>
      <w:r>
        <w:t>oui</w:t>
      </w:r>
      <w:proofErr w:type="spellEnd"/>
      <w:r>
        <w:t xml:space="preserve">, </w:t>
      </w:r>
      <w:proofErr w:type="spellStart"/>
      <w:r>
        <w:t>fournir</w:t>
      </w:r>
      <w:proofErr w:type="spellEnd"/>
      <w:r>
        <w:t xml:space="preserve"> des </w:t>
      </w:r>
      <w:proofErr w:type="spellStart"/>
      <w:r>
        <w:t>indications</w:t>
      </w:r>
      <w:proofErr w:type="spellEnd"/>
      <w:r>
        <w:t xml:space="preserve"> </w:t>
      </w:r>
      <w:proofErr w:type="spellStart"/>
      <w:r>
        <w:t>détaillées</w:t>
      </w:r>
      <w:proofErr w:type="spellEnd"/>
      <w:r>
        <w:t xml:space="preserve"> à </w:t>
      </w:r>
      <w:proofErr w:type="spellStart"/>
      <w:r>
        <w:t>ce</w:t>
      </w:r>
      <w:proofErr w:type="spellEnd"/>
      <w:r>
        <w:t xml:space="preserve"> sujet.</w:t>
      </w:r>
    </w:p>
    <w:p w:rsidR="00DC1275" w:rsidRDefault="00DC1275" w:rsidP="00DC1275">
      <w:pPr>
        <w:pStyle w:val="Zarkazkladnhotextu3"/>
        <w:ind w:left="540" w:firstLine="0"/>
      </w:pPr>
      <w:proofErr w:type="spellStart"/>
      <w:r>
        <w:t>Have</w:t>
      </w:r>
      <w:proofErr w:type="spellEnd"/>
      <w:r>
        <w:t xml:space="preserve"> </w:t>
      </w:r>
      <w:proofErr w:type="spellStart"/>
      <w:r>
        <w:t>you</w:t>
      </w:r>
      <w:proofErr w:type="spellEnd"/>
      <w:r>
        <w:t xml:space="preserve"> </w:t>
      </w:r>
      <w:proofErr w:type="spellStart"/>
      <w:r>
        <w:t>submitted</w:t>
      </w:r>
      <w:proofErr w:type="spellEnd"/>
      <w:r>
        <w:t xml:space="preserve"> </w:t>
      </w:r>
      <w:proofErr w:type="spellStart"/>
      <w:r>
        <w:t>the</w:t>
      </w:r>
      <w:proofErr w:type="spellEnd"/>
      <w:r>
        <w:t xml:space="preserve"> </w:t>
      </w:r>
      <w:proofErr w:type="spellStart"/>
      <w:r>
        <w:t>above</w:t>
      </w:r>
      <w:proofErr w:type="spellEnd"/>
      <w:r>
        <w:t xml:space="preserve"> </w:t>
      </w:r>
      <w:proofErr w:type="spellStart"/>
      <w:r>
        <w:t>complaints</w:t>
      </w:r>
      <w:proofErr w:type="spellEnd"/>
      <w:r>
        <w:t xml:space="preserve"> to </w:t>
      </w:r>
      <w:proofErr w:type="spellStart"/>
      <w:r>
        <w:t>any</w:t>
      </w:r>
      <w:proofErr w:type="spellEnd"/>
      <w:r>
        <w:t xml:space="preserve"> </w:t>
      </w:r>
      <w:proofErr w:type="spellStart"/>
      <w:r>
        <w:t>other</w:t>
      </w:r>
      <w:proofErr w:type="spellEnd"/>
      <w:r>
        <w:t xml:space="preserve"> </w:t>
      </w:r>
      <w:proofErr w:type="spellStart"/>
      <w:r>
        <w:t>procedure</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investigation</w:t>
      </w:r>
      <w:proofErr w:type="spellEnd"/>
      <w:r>
        <w:t xml:space="preserve"> or  </w:t>
      </w:r>
      <w:proofErr w:type="spellStart"/>
      <w:r>
        <w:t>settlement</w:t>
      </w:r>
      <w:proofErr w:type="spellEnd"/>
      <w:r>
        <w:t xml:space="preserve">? </w:t>
      </w:r>
      <w:proofErr w:type="spellStart"/>
      <w:r>
        <w:t>If</w:t>
      </w:r>
      <w:proofErr w:type="spellEnd"/>
      <w:r>
        <w:t xml:space="preserve"> so, </w:t>
      </w:r>
      <w:proofErr w:type="spellStart"/>
      <w:r>
        <w:t>give</w:t>
      </w:r>
      <w:proofErr w:type="spellEnd"/>
      <w:r>
        <w:t xml:space="preserve"> </w:t>
      </w:r>
      <w:proofErr w:type="spellStart"/>
      <w:r>
        <w:t>full</w:t>
      </w:r>
      <w:proofErr w:type="spellEnd"/>
      <w:r>
        <w:t xml:space="preserve"> </w:t>
      </w:r>
      <w:proofErr w:type="spellStart"/>
      <w:r>
        <w:t>details</w:t>
      </w:r>
      <w:proofErr w:type="spellEnd"/>
      <w:r>
        <w:t>.</w:t>
      </w:r>
    </w:p>
    <w:p w:rsidR="00DC1275" w:rsidRDefault="00DC1275" w:rsidP="00DC1275">
      <w:pPr>
        <w:autoSpaceDE w:val="0"/>
        <w:autoSpaceDN w:val="0"/>
        <w:adjustRightInd w:val="0"/>
        <w:spacing w:line="240" w:lineRule="auto"/>
        <w:ind w:left="540"/>
        <w:rPr>
          <w:b/>
          <w:bCs/>
          <w:sz w:val="18"/>
          <w:szCs w:val="18"/>
        </w:rPr>
      </w:pPr>
      <w:r>
        <w:rPr>
          <w:b/>
          <w:bCs/>
          <w:sz w:val="18"/>
          <w:szCs w:val="18"/>
        </w:rPr>
        <w:t xml:space="preserve">Predložili ste </w:t>
      </w:r>
      <w:proofErr w:type="spellStart"/>
      <w:r>
        <w:rPr>
          <w:b/>
          <w:bCs/>
          <w:sz w:val="18"/>
          <w:szCs w:val="18"/>
        </w:rPr>
        <w:t>vyššieuvedenú</w:t>
      </w:r>
      <w:proofErr w:type="spellEnd"/>
      <w:r>
        <w:rPr>
          <w:b/>
          <w:bCs/>
          <w:sz w:val="18"/>
          <w:szCs w:val="18"/>
        </w:rPr>
        <w:t xml:space="preserve"> sťažnosť inému medzinárodnému vyšetrovaciemu alebo zmierovaciemu orgánu? Ak áno, uveďte podrobnosti.</w:t>
      </w:r>
    </w:p>
    <w:p w:rsidR="00DC1275" w:rsidRDefault="00DC1275" w:rsidP="00DC1275">
      <w:pPr>
        <w:autoSpaceDE w:val="0"/>
        <w:autoSpaceDN w:val="0"/>
        <w:adjustRightInd w:val="0"/>
        <w:spacing w:line="240" w:lineRule="auto"/>
        <w:jc w:val="center"/>
        <w:rPr>
          <w:rFonts w:ascii="Arial" w:hAnsi="Arial" w:cs="Arial"/>
          <w:i/>
          <w:iCs/>
        </w:rPr>
      </w:pPr>
      <w:r>
        <w:rPr>
          <w:b/>
          <w:bCs/>
          <w:sz w:val="18"/>
          <w:szCs w:val="18"/>
        </w:rPr>
        <w:br w:type="page"/>
      </w:r>
      <w:r>
        <w:rPr>
          <w:rFonts w:ascii="Arial" w:hAnsi="Arial" w:cs="Arial"/>
          <w:i/>
          <w:iCs/>
        </w:rPr>
        <w:lastRenderedPageBreak/>
        <w:t>- 7 -</w:t>
      </w:r>
    </w:p>
    <w:p w:rsidR="00DC1275" w:rsidRDefault="00DC1275" w:rsidP="00DC1275">
      <w:pPr>
        <w:shd w:val="clear" w:color="auto" w:fill="FFFFFF"/>
        <w:spacing w:line="240" w:lineRule="auto"/>
        <w:ind w:right="5"/>
        <w:jc w:val="right"/>
      </w:pPr>
    </w:p>
    <w:p w:rsidR="00DC1275" w:rsidRDefault="00DC1275" w:rsidP="00DC1275">
      <w:pPr>
        <w:shd w:val="clear" w:color="auto" w:fill="FFFFFF"/>
        <w:spacing w:line="240" w:lineRule="auto"/>
        <w:ind w:right="5"/>
        <w:jc w:val="right"/>
        <w:rPr>
          <w:color w:val="000000"/>
          <w:spacing w:val="-2"/>
          <w:sz w:val="20"/>
          <w:szCs w:val="20"/>
          <w:lang w:val="fr-FR"/>
        </w:rPr>
      </w:pPr>
      <w:r>
        <w:t>VII.</w:t>
      </w:r>
      <w:r>
        <w:tab/>
        <w:t xml:space="preserve">PIÈCES ANNEXÉES                                                                        </w:t>
      </w:r>
      <w:r>
        <w:rPr>
          <w:color w:val="000000"/>
          <w:spacing w:val="-5"/>
          <w:sz w:val="20"/>
          <w:szCs w:val="20"/>
          <w:lang w:val="fr-FR"/>
        </w:rPr>
        <w:t>(PAS D'ORIGINAUX, UNIQUEMENT DES COPIES;</w:t>
      </w:r>
      <w:r>
        <w:rPr>
          <w:color w:val="000000"/>
          <w:spacing w:val="-2"/>
          <w:sz w:val="20"/>
          <w:szCs w:val="20"/>
          <w:lang w:val="fr-FR"/>
        </w:rPr>
        <w:t xml:space="preserve"> </w:t>
      </w:r>
    </w:p>
    <w:p w:rsidR="00DC1275" w:rsidRDefault="00DC1275" w:rsidP="00DC1275">
      <w:pPr>
        <w:shd w:val="clear" w:color="auto" w:fill="FFFFFF"/>
        <w:spacing w:line="240" w:lineRule="auto"/>
        <w:ind w:right="5"/>
        <w:jc w:val="right"/>
        <w:rPr>
          <w:color w:val="000000"/>
          <w:spacing w:val="-5"/>
          <w:sz w:val="20"/>
          <w:szCs w:val="20"/>
          <w:lang w:val="fr-FR"/>
        </w:rPr>
      </w:pPr>
      <w:r>
        <w:rPr>
          <w:color w:val="000000"/>
          <w:spacing w:val="-2"/>
          <w:sz w:val="20"/>
          <w:szCs w:val="20"/>
          <w:lang w:val="fr-FR"/>
        </w:rPr>
        <w:t>PRIÈRE DE N'UTILISER NI AGRAFE,</w:t>
      </w:r>
      <w:r>
        <w:rPr>
          <w:color w:val="000000"/>
          <w:spacing w:val="-5"/>
          <w:sz w:val="20"/>
          <w:szCs w:val="20"/>
          <w:lang w:val="fr-FR"/>
        </w:rPr>
        <w:t xml:space="preserve"> </w:t>
      </w:r>
    </w:p>
    <w:p w:rsidR="00DC1275" w:rsidRDefault="00DC1275" w:rsidP="00DC1275">
      <w:pPr>
        <w:shd w:val="clear" w:color="auto" w:fill="FFFFFF"/>
        <w:spacing w:line="240" w:lineRule="auto"/>
        <w:ind w:right="5"/>
        <w:jc w:val="right"/>
        <w:rPr>
          <w:b/>
          <w:bCs/>
          <w:sz w:val="20"/>
          <w:szCs w:val="20"/>
        </w:rPr>
      </w:pPr>
      <w:r>
        <w:rPr>
          <w:color w:val="000000"/>
          <w:spacing w:val="-5"/>
          <w:sz w:val="20"/>
          <w:szCs w:val="20"/>
          <w:lang w:val="fr-FR"/>
        </w:rPr>
        <w:t>NI ADHÉSIF,NI LIEN D'AUCUNE SORTE)</w:t>
      </w:r>
    </w:p>
    <w:p w:rsidR="00DC1275" w:rsidRDefault="00DC1275" w:rsidP="00DC1275">
      <w:pPr>
        <w:shd w:val="clear" w:color="auto" w:fill="FFFFFF"/>
        <w:spacing w:before="288" w:line="240" w:lineRule="auto"/>
        <w:ind w:right="43"/>
        <w:jc w:val="right"/>
        <w:rPr>
          <w:sz w:val="20"/>
          <w:szCs w:val="20"/>
        </w:rPr>
      </w:pPr>
      <w:r>
        <w:rPr>
          <w:i/>
          <w:iCs/>
        </w:rPr>
        <w:t xml:space="preserve">LIST OF DOCUMENTS                                                       </w:t>
      </w:r>
      <w:r>
        <w:rPr>
          <w:i/>
          <w:iCs/>
          <w:color w:val="000000"/>
          <w:spacing w:val="-6"/>
          <w:sz w:val="20"/>
          <w:szCs w:val="20"/>
          <w:lang w:val="fr-FR"/>
        </w:rPr>
        <w:t>(NO ORIGINAL DOCUMENTS,</w:t>
      </w:r>
    </w:p>
    <w:p w:rsidR="00DC1275" w:rsidRDefault="00DC1275" w:rsidP="00DC1275">
      <w:pPr>
        <w:shd w:val="clear" w:color="auto" w:fill="FFFFFF"/>
        <w:spacing w:before="5" w:line="240" w:lineRule="auto"/>
        <w:ind w:right="43"/>
        <w:jc w:val="right"/>
        <w:rPr>
          <w:sz w:val="20"/>
          <w:szCs w:val="20"/>
        </w:rPr>
      </w:pPr>
      <w:r>
        <w:rPr>
          <w:i/>
          <w:iCs/>
          <w:color w:val="000000"/>
          <w:spacing w:val="-8"/>
          <w:sz w:val="20"/>
          <w:szCs w:val="20"/>
          <w:lang w:val="fr-FR"/>
        </w:rPr>
        <w:t>ONLY PHOTOCOPIES,</w:t>
      </w:r>
    </w:p>
    <w:p w:rsidR="00DC1275" w:rsidRDefault="00DC1275" w:rsidP="00DC1275">
      <w:pPr>
        <w:autoSpaceDE w:val="0"/>
        <w:autoSpaceDN w:val="0"/>
        <w:adjustRightInd w:val="0"/>
        <w:spacing w:line="240" w:lineRule="auto"/>
        <w:jc w:val="right"/>
        <w:rPr>
          <w:b/>
          <w:bCs/>
          <w:sz w:val="20"/>
          <w:szCs w:val="20"/>
        </w:rPr>
      </w:pPr>
      <w:r>
        <w:rPr>
          <w:i/>
          <w:iCs/>
          <w:color w:val="000000"/>
          <w:spacing w:val="-5"/>
          <w:sz w:val="20"/>
          <w:szCs w:val="20"/>
          <w:lang w:val="fr-FR"/>
        </w:rPr>
        <w:t>DO NOT</w:t>
      </w:r>
      <w:r>
        <w:rPr>
          <w:i/>
          <w:iCs/>
          <w:color w:val="000000"/>
          <w:spacing w:val="-5"/>
          <w:sz w:val="20"/>
          <w:szCs w:val="20"/>
        </w:rPr>
        <w:t xml:space="preserve"> </w:t>
      </w:r>
      <w:r>
        <w:rPr>
          <w:i/>
          <w:iCs/>
          <w:color w:val="000000"/>
          <w:spacing w:val="-5"/>
          <w:sz w:val="20"/>
          <w:szCs w:val="20"/>
          <w:lang w:val="fr-FR"/>
        </w:rPr>
        <w:t>STAPLE, TAPE OR BIND DOCUMENTS)</w:t>
      </w:r>
    </w:p>
    <w:p w:rsidR="00DC1275" w:rsidRDefault="00DC1275" w:rsidP="00DC1275">
      <w:pPr>
        <w:shd w:val="clear" w:color="auto" w:fill="FFFFFF"/>
        <w:spacing w:line="240" w:lineRule="auto"/>
        <w:ind w:right="38"/>
        <w:jc w:val="right"/>
        <w:rPr>
          <w:b/>
          <w:bCs/>
          <w:sz w:val="20"/>
          <w:szCs w:val="20"/>
        </w:rPr>
      </w:pPr>
    </w:p>
    <w:p w:rsidR="00DC1275" w:rsidRDefault="00DC1275" w:rsidP="00DC1275">
      <w:pPr>
        <w:shd w:val="clear" w:color="auto" w:fill="FFFFFF"/>
        <w:spacing w:line="240" w:lineRule="auto"/>
        <w:ind w:right="38"/>
        <w:jc w:val="right"/>
        <w:rPr>
          <w:b/>
          <w:bCs/>
          <w:sz w:val="20"/>
          <w:szCs w:val="20"/>
        </w:rPr>
      </w:pPr>
      <w:r>
        <w:rPr>
          <w:b/>
          <w:bCs/>
        </w:rPr>
        <w:t xml:space="preserve">ZOZNAM DOKUMENTOV                                 </w:t>
      </w:r>
      <w:r>
        <w:rPr>
          <w:b/>
          <w:bCs/>
          <w:sz w:val="20"/>
          <w:szCs w:val="20"/>
        </w:rPr>
        <w:t>(NEPREDKLADAJTE ORIGINÁLY DOKUMENTOV,</w:t>
      </w:r>
    </w:p>
    <w:p w:rsidR="00DC1275" w:rsidRDefault="00DC1275" w:rsidP="00DC1275">
      <w:pPr>
        <w:autoSpaceDE w:val="0"/>
        <w:autoSpaceDN w:val="0"/>
        <w:adjustRightInd w:val="0"/>
        <w:spacing w:line="240" w:lineRule="auto"/>
        <w:jc w:val="right"/>
        <w:rPr>
          <w:b/>
          <w:bCs/>
          <w:caps/>
          <w:sz w:val="20"/>
          <w:szCs w:val="20"/>
        </w:rPr>
      </w:pPr>
      <w:r>
        <w:rPr>
          <w:b/>
          <w:bCs/>
          <w:sz w:val="20"/>
          <w:szCs w:val="20"/>
        </w:rPr>
        <w:t>VÝLUČNE ICH FOTOKÓPIE, D</w:t>
      </w:r>
      <w:r>
        <w:rPr>
          <w:b/>
          <w:bCs/>
          <w:caps/>
          <w:sz w:val="20"/>
          <w:szCs w:val="20"/>
        </w:rPr>
        <w:t>okumenty nepripínajte,</w:t>
      </w:r>
    </w:p>
    <w:p w:rsidR="00DC1275" w:rsidRDefault="00DC1275" w:rsidP="00DC1275">
      <w:pPr>
        <w:autoSpaceDE w:val="0"/>
        <w:autoSpaceDN w:val="0"/>
        <w:adjustRightInd w:val="0"/>
        <w:spacing w:line="240" w:lineRule="auto"/>
        <w:jc w:val="right"/>
        <w:rPr>
          <w:b/>
          <w:bCs/>
          <w:sz w:val="20"/>
          <w:szCs w:val="20"/>
        </w:rPr>
      </w:pPr>
      <w:r>
        <w:rPr>
          <w:b/>
          <w:bCs/>
          <w:caps/>
          <w:sz w:val="20"/>
          <w:szCs w:val="20"/>
        </w:rPr>
        <w:t>nelepte lepiacou páskou alebo iným spÔsobom nespájajte</w:t>
      </w:r>
      <w:r>
        <w:rPr>
          <w:b/>
          <w:bCs/>
          <w:sz w:val="20"/>
          <w:szCs w:val="20"/>
        </w:rPr>
        <w:t>)</w:t>
      </w: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before="120" w:line="240" w:lineRule="auto"/>
        <w:ind w:left="720"/>
        <w:rPr>
          <w:sz w:val="16"/>
          <w:szCs w:val="16"/>
        </w:rPr>
      </w:pPr>
      <w:r>
        <w:rPr>
          <w:sz w:val="16"/>
          <w:szCs w:val="16"/>
        </w:rPr>
        <w:t>(</w:t>
      </w:r>
      <w:proofErr w:type="spellStart"/>
      <w:r>
        <w:rPr>
          <w:sz w:val="16"/>
          <w:szCs w:val="16"/>
        </w:rPr>
        <w:t>Voir</w:t>
      </w:r>
      <w:proofErr w:type="spellEnd"/>
      <w:r>
        <w:rPr>
          <w:sz w:val="16"/>
          <w:szCs w:val="16"/>
        </w:rPr>
        <w:t xml:space="preserve"> </w:t>
      </w:r>
      <w:proofErr w:type="spellStart"/>
      <w:r>
        <w:rPr>
          <w:sz w:val="16"/>
          <w:szCs w:val="16"/>
        </w:rPr>
        <w:t>chapitre</w:t>
      </w:r>
      <w:proofErr w:type="spellEnd"/>
      <w:r>
        <w:rPr>
          <w:sz w:val="16"/>
          <w:szCs w:val="16"/>
        </w:rPr>
        <w:t xml:space="preserve"> VII </w:t>
      </w:r>
      <w:proofErr w:type="spellStart"/>
      <w:r>
        <w:rPr>
          <w:sz w:val="16"/>
          <w:szCs w:val="16"/>
        </w:rPr>
        <w:t>de</w:t>
      </w:r>
      <w:proofErr w:type="spellEnd"/>
      <w:r>
        <w:rPr>
          <w:sz w:val="16"/>
          <w:szCs w:val="16"/>
        </w:rPr>
        <w:t xml:space="preserve"> la note </w:t>
      </w:r>
      <w:proofErr w:type="spellStart"/>
      <w:r>
        <w:rPr>
          <w:sz w:val="16"/>
          <w:szCs w:val="16"/>
        </w:rPr>
        <w:t>explicative</w:t>
      </w:r>
      <w:proofErr w:type="spellEnd"/>
      <w:r>
        <w:rPr>
          <w:sz w:val="16"/>
          <w:szCs w:val="16"/>
        </w:rPr>
        <w:t xml:space="preserve">. </w:t>
      </w:r>
      <w:proofErr w:type="spellStart"/>
      <w:r>
        <w:rPr>
          <w:sz w:val="16"/>
          <w:szCs w:val="16"/>
        </w:rPr>
        <w:t>Joindre</w:t>
      </w:r>
      <w:proofErr w:type="spellEnd"/>
      <w:r>
        <w:rPr>
          <w:sz w:val="16"/>
          <w:szCs w:val="16"/>
        </w:rPr>
        <w:t xml:space="preserve"> </w:t>
      </w:r>
      <w:proofErr w:type="spellStart"/>
      <w:r>
        <w:rPr>
          <w:sz w:val="16"/>
          <w:szCs w:val="16"/>
        </w:rPr>
        <w:t>copie</w:t>
      </w:r>
      <w:proofErr w:type="spellEnd"/>
      <w:r>
        <w:rPr>
          <w:sz w:val="16"/>
          <w:szCs w:val="16"/>
        </w:rPr>
        <w:t xml:space="preserve"> </w:t>
      </w:r>
      <w:proofErr w:type="spellStart"/>
      <w:r>
        <w:rPr>
          <w:sz w:val="16"/>
          <w:szCs w:val="16"/>
        </w:rPr>
        <w:t>de</w:t>
      </w:r>
      <w:proofErr w:type="spellEnd"/>
      <w:r>
        <w:rPr>
          <w:sz w:val="16"/>
          <w:szCs w:val="16"/>
        </w:rPr>
        <w:t xml:space="preserve"> </w:t>
      </w:r>
      <w:proofErr w:type="spellStart"/>
      <w:r>
        <w:rPr>
          <w:sz w:val="16"/>
          <w:szCs w:val="16"/>
        </w:rPr>
        <w:t>toutes</w:t>
      </w:r>
      <w:proofErr w:type="spellEnd"/>
      <w:r>
        <w:rPr>
          <w:sz w:val="16"/>
          <w:szCs w:val="16"/>
        </w:rPr>
        <w:t xml:space="preserve"> les </w:t>
      </w:r>
      <w:proofErr w:type="spellStart"/>
      <w:r>
        <w:rPr>
          <w:sz w:val="16"/>
          <w:szCs w:val="16"/>
        </w:rPr>
        <w:t>décisions</w:t>
      </w:r>
      <w:proofErr w:type="spellEnd"/>
      <w:r>
        <w:rPr>
          <w:sz w:val="16"/>
          <w:szCs w:val="16"/>
        </w:rPr>
        <w:t xml:space="preserve"> </w:t>
      </w:r>
      <w:proofErr w:type="spellStart"/>
      <w:r>
        <w:rPr>
          <w:sz w:val="16"/>
          <w:szCs w:val="16"/>
        </w:rPr>
        <w:t>mentionnées</w:t>
      </w:r>
      <w:proofErr w:type="spellEnd"/>
      <w:r>
        <w:rPr>
          <w:sz w:val="16"/>
          <w:szCs w:val="16"/>
        </w:rPr>
        <w:t xml:space="preserve"> </w:t>
      </w:r>
      <w:proofErr w:type="spellStart"/>
      <w:r>
        <w:rPr>
          <w:sz w:val="16"/>
          <w:szCs w:val="16"/>
        </w:rPr>
        <w:t>sous</w:t>
      </w:r>
      <w:proofErr w:type="spellEnd"/>
      <w:r>
        <w:rPr>
          <w:sz w:val="16"/>
          <w:szCs w:val="16"/>
        </w:rPr>
        <w:t xml:space="preserve"> ch. IV </w:t>
      </w:r>
      <w:proofErr w:type="spellStart"/>
      <w:r>
        <w:rPr>
          <w:sz w:val="16"/>
          <w:szCs w:val="16"/>
        </w:rPr>
        <w:t>et</w:t>
      </w:r>
      <w:proofErr w:type="spellEnd"/>
      <w:r>
        <w:rPr>
          <w:sz w:val="16"/>
          <w:szCs w:val="16"/>
        </w:rPr>
        <w:t xml:space="preserve"> VI </w:t>
      </w:r>
      <w:proofErr w:type="spellStart"/>
      <w:r>
        <w:rPr>
          <w:sz w:val="16"/>
          <w:szCs w:val="16"/>
        </w:rPr>
        <w:t>ci-dessus</w:t>
      </w:r>
      <w:proofErr w:type="spellEnd"/>
      <w:r>
        <w:rPr>
          <w:sz w:val="16"/>
          <w:szCs w:val="16"/>
        </w:rPr>
        <w:t xml:space="preserve">. </w:t>
      </w:r>
      <w:proofErr w:type="spellStart"/>
      <w:r>
        <w:rPr>
          <w:sz w:val="16"/>
          <w:szCs w:val="16"/>
        </w:rPr>
        <w:t>Se</w:t>
      </w:r>
      <w:proofErr w:type="spellEnd"/>
      <w:r>
        <w:rPr>
          <w:sz w:val="16"/>
          <w:szCs w:val="16"/>
        </w:rPr>
        <w:t xml:space="preserve"> </w:t>
      </w:r>
      <w:proofErr w:type="spellStart"/>
      <w:r>
        <w:rPr>
          <w:sz w:val="16"/>
          <w:szCs w:val="16"/>
        </w:rPr>
        <w:t>procurer</w:t>
      </w:r>
      <w:proofErr w:type="spellEnd"/>
      <w:r>
        <w:rPr>
          <w:sz w:val="16"/>
          <w:szCs w:val="16"/>
        </w:rPr>
        <w:t xml:space="preserve">, au </w:t>
      </w:r>
      <w:proofErr w:type="spellStart"/>
      <w:r>
        <w:rPr>
          <w:sz w:val="16"/>
          <w:szCs w:val="16"/>
        </w:rPr>
        <w:t>besoin</w:t>
      </w:r>
      <w:proofErr w:type="spellEnd"/>
      <w:r>
        <w:rPr>
          <w:sz w:val="16"/>
          <w:szCs w:val="16"/>
        </w:rPr>
        <w:t xml:space="preserve">, les </w:t>
      </w:r>
      <w:proofErr w:type="spellStart"/>
      <w:r>
        <w:rPr>
          <w:sz w:val="16"/>
          <w:szCs w:val="16"/>
        </w:rPr>
        <w:t>copies</w:t>
      </w:r>
      <w:proofErr w:type="spellEnd"/>
      <w:r>
        <w:rPr>
          <w:sz w:val="16"/>
          <w:szCs w:val="16"/>
        </w:rPr>
        <w:t xml:space="preserve"> </w:t>
      </w:r>
      <w:proofErr w:type="spellStart"/>
      <w:r>
        <w:rPr>
          <w:sz w:val="16"/>
          <w:szCs w:val="16"/>
        </w:rPr>
        <w:t>nécessaires</w:t>
      </w:r>
      <w:proofErr w:type="spellEnd"/>
      <w:r>
        <w:rPr>
          <w:sz w:val="16"/>
          <w:szCs w:val="16"/>
        </w:rPr>
        <w:t xml:space="preserve">, </w:t>
      </w:r>
      <w:proofErr w:type="spellStart"/>
      <w:r>
        <w:rPr>
          <w:sz w:val="16"/>
          <w:szCs w:val="16"/>
        </w:rPr>
        <w:t>et</w:t>
      </w:r>
      <w:proofErr w:type="spellEnd"/>
      <w:r>
        <w:rPr>
          <w:sz w:val="16"/>
          <w:szCs w:val="16"/>
        </w:rPr>
        <w:t xml:space="preserve">, en </w:t>
      </w:r>
      <w:proofErr w:type="spellStart"/>
      <w:r>
        <w:rPr>
          <w:sz w:val="16"/>
          <w:szCs w:val="16"/>
        </w:rPr>
        <w:t>cas</w:t>
      </w:r>
      <w:proofErr w:type="spellEnd"/>
      <w:r>
        <w:rPr>
          <w:sz w:val="16"/>
          <w:szCs w:val="16"/>
        </w:rPr>
        <w:t xml:space="preserve"> </w:t>
      </w:r>
      <w:proofErr w:type="spellStart"/>
      <w:r>
        <w:rPr>
          <w:sz w:val="16"/>
          <w:szCs w:val="16"/>
        </w:rPr>
        <w:t>d’impossibilité</w:t>
      </w:r>
      <w:proofErr w:type="spellEnd"/>
      <w:r>
        <w:rPr>
          <w:sz w:val="16"/>
          <w:szCs w:val="16"/>
        </w:rPr>
        <w:t xml:space="preserve">, </w:t>
      </w:r>
      <w:proofErr w:type="spellStart"/>
      <w:r>
        <w:rPr>
          <w:sz w:val="16"/>
          <w:szCs w:val="16"/>
        </w:rPr>
        <w:t>expliquer</w:t>
      </w:r>
      <w:proofErr w:type="spellEnd"/>
      <w:r>
        <w:rPr>
          <w:sz w:val="16"/>
          <w:szCs w:val="16"/>
        </w:rPr>
        <w:t xml:space="preserve"> </w:t>
      </w:r>
      <w:proofErr w:type="spellStart"/>
      <w:r>
        <w:rPr>
          <w:sz w:val="16"/>
          <w:szCs w:val="16"/>
        </w:rPr>
        <w:t>pourquoi</w:t>
      </w:r>
      <w:proofErr w:type="spellEnd"/>
      <w:r>
        <w:rPr>
          <w:sz w:val="16"/>
          <w:szCs w:val="16"/>
        </w:rPr>
        <w:t xml:space="preserve"> </w:t>
      </w:r>
      <w:proofErr w:type="spellStart"/>
      <w:r>
        <w:rPr>
          <w:sz w:val="16"/>
          <w:szCs w:val="16"/>
        </w:rPr>
        <w:t>celles-ci</w:t>
      </w:r>
      <w:proofErr w:type="spellEnd"/>
      <w:r>
        <w:rPr>
          <w:sz w:val="16"/>
          <w:szCs w:val="16"/>
        </w:rPr>
        <w:t xml:space="preserve"> ne </w:t>
      </w:r>
      <w:proofErr w:type="spellStart"/>
      <w:r>
        <w:rPr>
          <w:sz w:val="16"/>
          <w:szCs w:val="16"/>
        </w:rPr>
        <w:t>peuvent</w:t>
      </w:r>
      <w:proofErr w:type="spellEnd"/>
      <w:r>
        <w:rPr>
          <w:sz w:val="16"/>
          <w:szCs w:val="16"/>
        </w:rPr>
        <w:t xml:space="preserve"> pas </w:t>
      </w:r>
      <w:proofErr w:type="spellStart"/>
      <w:r>
        <w:rPr>
          <w:sz w:val="16"/>
          <w:szCs w:val="16"/>
        </w:rPr>
        <w:t>être</w:t>
      </w:r>
      <w:proofErr w:type="spellEnd"/>
      <w:r>
        <w:rPr>
          <w:sz w:val="16"/>
          <w:szCs w:val="16"/>
        </w:rPr>
        <w:t xml:space="preserve"> </w:t>
      </w:r>
      <w:proofErr w:type="spellStart"/>
      <w:r>
        <w:rPr>
          <w:sz w:val="16"/>
          <w:szCs w:val="16"/>
        </w:rPr>
        <w:t>obtenues</w:t>
      </w:r>
      <w:proofErr w:type="spellEnd"/>
      <w:r>
        <w:rPr>
          <w:sz w:val="16"/>
          <w:szCs w:val="16"/>
        </w:rPr>
        <w:t xml:space="preserve">. </w:t>
      </w:r>
      <w:proofErr w:type="spellStart"/>
      <w:r>
        <w:rPr>
          <w:sz w:val="16"/>
          <w:szCs w:val="16"/>
        </w:rPr>
        <w:t>Ces</w:t>
      </w:r>
      <w:proofErr w:type="spellEnd"/>
      <w:r>
        <w:rPr>
          <w:sz w:val="16"/>
          <w:szCs w:val="16"/>
        </w:rPr>
        <w:t xml:space="preserve"> </w:t>
      </w:r>
      <w:proofErr w:type="spellStart"/>
      <w:r>
        <w:rPr>
          <w:sz w:val="16"/>
          <w:szCs w:val="16"/>
        </w:rPr>
        <w:t>documents</w:t>
      </w:r>
      <w:proofErr w:type="spellEnd"/>
      <w:r>
        <w:rPr>
          <w:sz w:val="16"/>
          <w:szCs w:val="16"/>
        </w:rPr>
        <w:t xml:space="preserve"> ne </w:t>
      </w:r>
      <w:proofErr w:type="spellStart"/>
      <w:r>
        <w:rPr>
          <w:sz w:val="16"/>
          <w:szCs w:val="16"/>
        </w:rPr>
        <w:t>vous</w:t>
      </w:r>
      <w:proofErr w:type="spellEnd"/>
      <w:r>
        <w:rPr>
          <w:sz w:val="16"/>
          <w:szCs w:val="16"/>
        </w:rPr>
        <w:t xml:space="preserve"> </w:t>
      </w:r>
      <w:proofErr w:type="spellStart"/>
      <w:r>
        <w:rPr>
          <w:sz w:val="16"/>
          <w:szCs w:val="16"/>
        </w:rPr>
        <w:t>seront</w:t>
      </w:r>
      <w:proofErr w:type="spellEnd"/>
      <w:r>
        <w:rPr>
          <w:sz w:val="16"/>
          <w:szCs w:val="16"/>
        </w:rPr>
        <w:t xml:space="preserve"> pas </w:t>
      </w:r>
      <w:proofErr w:type="spellStart"/>
      <w:r>
        <w:rPr>
          <w:sz w:val="16"/>
          <w:szCs w:val="16"/>
        </w:rPr>
        <w:t>retournés</w:t>
      </w:r>
      <w:proofErr w:type="spellEnd"/>
      <w:r>
        <w:rPr>
          <w:sz w:val="16"/>
          <w:szCs w:val="16"/>
        </w:rPr>
        <w:t>.)</w:t>
      </w:r>
    </w:p>
    <w:p w:rsidR="00DC1275" w:rsidRDefault="00DC1275" w:rsidP="00DC1275">
      <w:pPr>
        <w:autoSpaceDE w:val="0"/>
        <w:autoSpaceDN w:val="0"/>
        <w:adjustRightInd w:val="0"/>
        <w:spacing w:before="120" w:line="240" w:lineRule="auto"/>
        <w:ind w:left="720"/>
        <w:rPr>
          <w:i/>
          <w:iCs/>
          <w:sz w:val="16"/>
          <w:szCs w:val="16"/>
        </w:rPr>
      </w:pPr>
      <w:r>
        <w:rPr>
          <w:i/>
          <w:iCs/>
          <w:sz w:val="16"/>
          <w:szCs w:val="16"/>
        </w:rPr>
        <w:t>(</w:t>
      </w:r>
      <w:proofErr w:type="spellStart"/>
      <w:r>
        <w:rPr>
          <w:i/>
          <w:iCs/>
          <w:sz w:val="16"/>
          <w:szCs w:val="16"/>
        </w:rPr>
        <w:t>See</w:t>
      </w:r>
      <w:proofErr w:type="spellEnd"/>
      <w:r>
        <w:rPr>
          <w:i/>
          <w:iCs/>
          <w:sz w:val="16"/>
          <w:szCs w:val="16"/>
        </w:rPr>
        <w:t xml:space="preserve"> Part VII </w:t>
      </w:r>
      <w:proofErr w:type="spellStart"/>
      <w:r>
        <w:rPr>
          <w:i/>
          <w:iCs/>
          <w:sz w:val="16"/>
          <w:szCs w:val="16"/>
        </w:rPr>
        <w:t>of</w:t>
      </w:r>
      <w:proofErr w:type="spellEnd"/>
      <w:r>
        <w:rPr>
          <w:i/>
          <w:iCs/>
          <w:sz w:val="16"/>
          <w:szCs w:val="16"/>
        </w:rPr>
        <w:t xml:space="preserve"> </w:t>
      </w:r>
      <w:proofErr w:type="spellStart"/>
      <w:r>
        <w:rPr>
          <w:i/>
          <w:iCs/>
          <w:sz w:val="16"/>
          <w:szCs w:val="16"/>
        </w:rPr>
        <w:t>the</w:t>
      </w:r>
      <w:proofErr w:type="spellEnd"/>
      <w:r>
        <w:rPr>
          <w:i/>
          <w:iCs/>
          <w:sz w:val="16"/>
          <w:szCs w:val="16"/>
        </w:rPr>
        <w:t xml:space="preserve"> </w:t>
      </w:r>
      <w:proofErr w:type="spellStart"/>
      <w:r>
        <w:rPr>
          <w:i/>
          <w:iCs/>
          <w:sz w:val="16"/>
          <w:szCs w:val="16"/>
        </w:rPr>
        <w:t>Explanatory</w:t>
      </w:r>
      <w:proofErr w:type="spellEnd"/>
      <w:r>
        <w:rPr>
          <w:i/>
          <w:iCs/>
          <w:sz w:val="16"/>
          <w:szCs w:val="16"/>
        </w:rPr>
        <w:t xml:space="preserve"> Note. </w:t>
      </w:r>
      <w:proofErr w:type="spellStart"/>
      <w:r>
        <w:rPr>
          <w:i/>
          <w:iCs/>
          <w:sz w:val="16"/>
          <w:szCs w:val="16"/>
        </w:rPr>
        <w:t>Include</w:t>
      </w:r>
      <w:proofErr w:type="spellEnd"/>
      <w:r>
        <w:rPr>
          <w:i/>
          <w:iCs/>
          <w:sz w:val="16"/>
          <w:szCs w:val="16"/>
        </w:rPr>
        <w:t xml:space="preserve"> </w:t>
      </w:r>
      <w:proofErr w:type="spellStart"/>
      <w:r>
        <w:rPr>
          <w:i/>
          <w:iCs/>
          <w:sz w:val="16"/>
          <w:szCs w:val="16"/>
        </w:rPr>
        <w:t>copies</w:t>
      </w:r>
      <w:proofErr w:type="spellEnd"/>
      <w:r>
        <w:rPr>
          <w:i/>
          <w:iCs/>
          <w:sz w:val="16"/>
          <w:szCs w:val="16"/>
        </w:rPr>
        <w:t xml:space="preserve"> </w:t>
      </w:r>
      <w:proofErr w:type="spellStart"/>
      <w:r>
        <w:rPr>
          <w:i/>
          <w:iCs/>
          <w:sz w:val="16"/>
          <w:szCs w:val="16"/>
        </w:rPr>
        <w:t>of</w:t>
      </w:r>
      <w:proofErr w:type="spellEnd"/>
      <w:r>
        <w:rPr>
          <w:i/>
          <w:iCs/>
          <w:sz w:val="16"/>
          <w:szCs w:val="16"/>
        </w:rPr>
        <w:t xml:space="preserve"> </w:t>
      </w:r>
      <w:proofErr w:type="spellStart"/>
      <w:r>
        <w:rPr>
          <w:i/>
          <w:iCs/>
          <w:sz w:val="16"/>
          <w:szCs w:val="16"/>
        </w:rPr>
        <w:t>all</w:t>
      </w:r>
      <w:proofErr w:type="spellEnd"/>
      <w:r>
        <w:rPr>
          <w:i/>
          <w:iCs/>
          <w:sz w:val="16"/>
          <w:szCs w:val="16"/>
        </w:rPr>
        <w:t xml:space="preserve"> </w:t>
      </w:r>
      <w:proofErr w:type="spellStart"/>
      <w:r>
        <w:rPr>
          <w:i/>
          <w:iCs/>
          <w:sz w:val="16"/>
          <w:szCs w:val="16"/>
        </w:rPr>
        <w:t>decisions</w:t>
      </w:r>
      <w:proofErr w:type="spellEnd"/>
      <w:r>
        <w:rPr>
          <w:i/>
          <w:iCs/>
          <w:sz w:val="16"/>
          <w:szCs w:val="16"/>
        </w:rPr>
        <w:t xml:space="preserve"> </w:t>
      </w:r>
      <w:proofErr w:type="spellStart"/>
      <w:r>
        <w:rPr>
          <w:i/>
          <w:iCs/>
          <w:sz w:val="16"/>
          <w:szCs w:val="16"/>
        </w:rPr>
        <w:t>referred</w:t>
      </w:r>
      <w:proofErr w:type="spellEnd"/>
      <w:r>
        <w:rPr>
          <w:i/>
          <w:iCs/>
          <w:sz w:val="16"/>
          <w:szCs w:val="16"/>
        </w:rPr>
        <w:t xml:space="preserve"> to in </w:t>
      </w:r>
      <w:proofErr w:type="spellStart"/>
      <w:r>
        <w:rPr>
          <w:i/>
          <w:iCs/>
          <w:sz w:val="16"/>
          <w:szCs w:val="16"/>
        </w:rPr>
        <w:t>Parts</w:t>
      </w:r>
      <w:proofErr w:type="spellEnd"/>
      <w:r>
        <w:rPr>
          <w:i/>
          <w:iCs/>
          <w:sz w:val="16"/>
          <w:szCs w:val="16"/>
        </w:rPr>
        <w:t xml:space="preserve"> IV and VI </w:t>
      </w:r>
      <w:proofErr w:type="spellStart"/>
      <w:r>
        <w:rPr>
          <w:i/>
          <w:iCs/>
          <w:sz w:val="16"/>
          <w:szCs w:val="16"/>
        </w:rPr>
        <w:t>above</w:t>
      </w:r>
      <w:proofErr w:type="spellEnd"/>
      <w:r>
        <w:rPr>
          <w:i/>
          <w:iCs/>
          <w:sz w:val="16"/>
          <w:szCs w:val="16"/>
        </w:rPr>
        <w:t xml:space="preserve">. </w:t>
      </w:r>
      <w:proofErr w:type="spellStart"/>
      <w:r>
        <w:rPr>
          <w:i/>
          <w:iCs/>
          <w:sz w:val="16"/>
          <w:szCs w:val="16"/>
        </w:rPr>
        <w:t>If</w:t>
      </w:r>
      <w:proofErr w:type="spellEnd"/>
      <w:r>
        <w:rPr>
          <w:i/>
          <w:iCs/>
          <w:sz w:val="16"/>
          <w:szCs w:val="16"/>
        </w:rPr>
        <w:t xml:space="preserve"> </w:t>
      </w:r>
      <w:proofErr w:type="spellStart"/>
      <w:r>
        <w:rPr>
          <w:i/>
          <w:iCs/>
          <w:sz w:val="16"/>
          <w:szCs w:val="16"/>
        </w:rPr>
        <w:t>you</w:t>
      </w:r>
      <w:proofErr w:type="spellEnd"/>
      <w:r>
        <w:rPr>
          <w:i/>
          <w:iCs/>
          <w:sz w:val="16"/>
          <w:szCs w:val="16"/>
        </w:rPr>
        <w:t xml:space="preserve"> do </w:t>
      </w:r>
      <w:proofErr w:type="spellStart"/>
      <w:r>
        <w:rPr>
          <w:i/>
          <w:iCs/>
          <w:sz w:val="16"/>
          <w:szCs w:val="16"/>
        </w:rPr>
        <w:t>not</w:t>
      </w:r>
      <w:proofErr w:type="spellEnd"/>
      <w:r>
        <w:rPr>
          <w:i/>
          <w:iCs/>
          <w:sz w:val="16"/>
          <w:szCs w:val="16"/>
        </w:rPr>
        <w:t xml:space="preserve"> </w:t>
      </w:r>
      <w:proofErr w:type="spellStart"/>
      <w:r>
        <w:rPr>
          <w:i/>
          <w:iCs/>
          <w:sz w:val="16"/>
          <w:szCs w:val="16"/>
        </w:rPr>
        <w:t>have</w:t>
      </w:r>
      <w:proofErr w:type="spellEnd"/>
      <w:r>
        <w:rPr>
          <w:i/>
          <w:iCs/>
          <w:sz w:val="16"/>
          <w:szCs w:val="16"/>
        </w:rPr>
        <w:t xml:space="preserve"> </w:t>
      </w:r>
      <w:proofErr w:type="spellStart"/>
      <w:r>
        <w:rPr>
          <w:i/>
          <w:iCs/>
          <w:sz w:val="16"/>
          <w:szCs w:val="16"/>
        </w:rPr>
        <w:t>copies</w:t>
      </w:r>
      <w:proofErr w:type="spellEnd"/>
      <w:r>
        <w:rPr>
          <w:i/>
          <w:iCs/>
          <w:sz w:val="16"/>
          <w:szCs w:val="16"/>
        </w:rPr>
        <w:t xml:space="preserve">, </w:t>
      </w:r>
      <w:proofErr w:type="spellStart"/>
      <w:r>
        <w:rPr>
          <w:i/>
          <w:iCs/>
          <w:sz w:val="16"/>
          <w:szCs w:val="16"/>
        </w:rPr>
        <w:t>you</w:t>
      </w:r>
      <w:proofErr w:type="spellEnd"/>
      <w:r>
        <w:rPr>
          <w:i/>
          <w:iCs/>
          <w:sz w:val="16"/>
          <w:szCs w:val="16"/>
        </w:rPr>
        <w:t xml:space="preserve"> </w:t>
      </w:r>
      <w:proofErr w:type="spellStart"/>
      <w:r>
        <w:rPr>
          <w:i/>
          <w:iCs/>
          <w:sz w:val="16"/>
          <w:szCs w:val="16"/>
        </w:rPr>
        <w:t>should</w:t>
      </w:r>
      <w:proofErr w:type="spellEnd"/>
      <w:r>
        <w:rPr>
          <w:i/>
          <w:iCs/>
          <w:sz w:val="16"/>
          <w:szCs w:val="16"/>
        </w:rPr>
        <w:t xml:space="preserve"> </w:t>
      </w:r>
      <w:proofErr w:type="spellStart"/>
      <w:r>
        <w:rPr>
          <w:i/>
          <w:iCs/>
          <w:sz w:val="16"/>
          <w:szCs w:val="16"/>
        </w:rPr>
        <w:t>obtain</w:t>
      </w:r>
      <w:proofErr w:type="spellEnd"/>
      <w:r>
        <w:rPr>
          <w:i/>
          <w:iCs/>
          <w:sz w:val="16"/>
          <w:szCs w:val="16"/>
        </w:rPr>
        <w:t xml:space="preserve"> </w:t>
      </w:r>
      <w:proofErr w:type="spellStart"/>
      <w:r>
        <w:rPr>
          <w:i/>
          <w:iCs/>
          <w:sz w:val="16"/>
          <w:szCs w:val="16"/>
        </w:rPr>
        <w:t>them</w:t>
      </w:r>
      <w:proofErr w:type="spellEnd"/>
      <w:r>
        <w:rPr>
          <w:i/>
          <w:iCs/>
          <w:sz w:val="16"/>
          <w:szCs w:val="16"/>
        </w:rPr>
        <w:t xml:space="preserve">. </w:t>
      </w:r>
      <w:proofErr w:type="spellStart"/>
      <w:r>
        <w:rPr>
          <w:i/>
          <w:iCs/>
          <w:sz w:val="16"/>
          <w:szCs w:val="16"/>
        </w:rPr>
        <w:t>If</w:t>
      </w:r>
      <w:proofErr w:type="spellEnd"/>
      <w:r>
        <w:rPr>
          <w:i/>
          <w:iCs/>
          <w:sz w:val="16"/>
          <w:szCs w:val="16"/>
        </w:rPr>
        <w:t xml:space="preserve"> </w:t>
      </w:r>
      <w:proofErr w:type="spellStart"/>
      <w:r>
        <w:rPr>
          <w:i/>
          <w:iCs/>
          <w:sz w:val="16"/>
          <w:szCs w:val="16"/>
        </w:rPr>
        <w:t>you</w:t>
      </w:r>
      <w:proofErr w:type="spellEnd"/>
      <w:r>
        <w:rPr>
          <w:i/>
          <w:iCs/>
          <w:sz w:val="16"/>
          <w:szCs w:val="16"/>
        </w:rPr>
        <w:t xml:space="preserve"> </w:t>
      </w:r>
      <w:proofErr w:type="spellStart"/>
      <w:r>
        <w:rPr>
          <w:i/>
          <w:iCs/>
          <w:sz w:val="16"/>
          <w:szCs w:val="16"/>
        </w:rPr>
        <w:t>cannot</w:t>
      </w:r>
      <w:proofErr w:type="spellEnd"/>
      <w:r>
        <w:rPr>
          <w:i/>
          <w:iCs/>
          <w:sz w:val="16"/>
          <w:szCs w:val="16"/>
        </w:rPr>
        <w:t xml:space="preserve"> </w:t>
      </w:r>
      <w:proofErr w:type="spellStart"/>
      <w:r>
        <w:rPr>
          <w:i/>
          <w:iCs/>
          <w:sz w:val="16"/>
          <w:szCs w:val="16"/>
        </w:rPr>
        <w:t>obtain</w:t>
      </w:r>
      <w:proofErr w:type="spellEnd"/>
      <w:r>
        <w:rPr>
          <w:i/>
          <w:iCs/>
          <w:sz w:val="16"/>
          <w:szCs w:val="16"/>
        </w:rPr>
        <w:t xml:space="preserve"> </w:t>
      </w:r>
      <w:proofErr w:type="spellStart"/>
      <w:r>
        <w:rPr>
          <w:i/>
          <w:iCs/>
          <w:sz w:val="16"/>
          <w:szCs w:val="16"/>
        </w:rPr>
        <w:t>them</w:t>
      </w:r>
      <w:proofErr w:type="spellEnd"/>
      <w:r>
        <w:rPr>
          <w:i/>
          <w:iCs/>
          <w:sz w:val="16"/>
          <w:szCs w:val="16"/>
        </w:rPr>
        <w:t xml:space="preserve">, </w:t>
      </w:r>
      <w:proofErr w:type="spellStart"/>
      <w:r>
        <w:rPr>
          <w:i/>
          <w:iCs/>
          <w:sz w:val="16"/>
          <w:szCs w:val="16"/>
        </w:rPr>
        <w:t>explain</w:t>
      </w:r>
      <w:proofErr w:type="spellEnd"/>
      <w:r>
        <w:rPr>
          <w:i/>
          <w:iCs/>
          <w:sz w:val="16"/>
          <w:szCs w:val="16"/>
        </w:rPr>
        <w:t xml:space="preserve"> </w:t>
      </w:r>
      <w:proofErr w:type="spellStart"/>
      <w:r>
        <w:rPr>
          <w:i/>
          <w:iCs/>
          <w:sz w:val="16"/>
          <w:szCs w:val="16"/>
        </w:rPr>
        <w:t>why</w:t>
      </w:r>
      <w:proofErr w:type="spellEnd"/>
      <w:r>
        <w:rPr>
          <w:i/>
          <w:iCs/>
          <w:sz w:val="16"/>
          <w:szCs w:val="16"/>
        </w:rPr>
        <w:t xml:space="preserve"> </w:t>
      </w:r>
      <w:proofErr w:type="spellStart"/>
      <w:r>
        <w:rPr>
          <w:i/>
          <w:iCs/>
          <w:sz w:val="16"/>
          <w:szCs w:val="16"/>
        </w:rPr>
        <w:t>not</w:t>
      </w:r>
      <w:proofErr w:type="spellEnd"/>
      <w:r>
        <w:rPr>
          <w:i/>
          <w:iCs/>
          <w:sz w:val="16"/>
          <w:szCs w:val="16"/>
        </w:rPr>
        <w:t xml:space="preserve">. No </w:t>
      </w:r>
      <w:proofErr w:type="spellStart"/>
      <w:r>
        <w:rPr>
          <w:i/>
          <w:iCs/>
          <w:sz w:val="16"/>
          <w:szCs w:val="16"/>
        </w:rPr>
        <w:t>documents</w:t>
      </w:r>
      <w:proofErr w:type="spellEnd"/>
      <w:r>
        <w:rPr>
          <w:i/>
          <w:iCs/>
          <w:sz w:val="16"/>
          <w:szCs w:val="16"/>
        </w:rPr>
        <w:t xml:space="preserve"> </w:t>
      </w:r>
      <w:proofErr w:type="spellStart"/>
      <w:r>
        <w:rPr>
          <w:i/>
          <w:iCs/>
          <w:sz w:val="16"/>
          <w:szCs w:val="16"/>
        </w:rPr>
        <w:t>will</w:t>
      </w:r>
      <w:proofErr w:type="spellEnd"/>
      <w:r>
        <w:rPr>
          <w:i/>
          <w:iCs/>
          <w:sz w:val="16"/>
          <w:szCs w:val="16"/>
        </w:rPr>
        <w:t xml:space="preserve"> </w:t>
      </w:r>
      <w:proofErr w:type="spellStart"/>
      <w:r>
        <w:rPr>
          <w:i/>
          <w:iCs/>
          <w:sz w:val="16"/>
          <w:szCs w:val="16"/>
        </w:rPr>
        <w:t>be</w:t>
      </w:r>
      <w:proofErr w:type="spellEnd"/>
      <w:r>
        <w:rPr>
          <w:i/>
          <w:iCs/>
          <w:sz w:val="16"/>
          <w:szCs w:val="16"/>
        </w:rPr>
        <w:t xml:space="preserve"> </w:t>
      </w:r>
      <w:proofErr w:type="spellStart"/>
      <w:r>
        <w:rPr>
          <w:i/>
          <w:iCs/>
          <w:sz w:val="16"/>
          <w:szCs w:val="16"/>
        </w:rPr>
        <w:t>returned</w:t>
      </w:r>
      <w:proofErr w:type="spellEnd"/>
      <w:r>
        <w:rPr>
          <w:i/>
          <w:iCs/>
          <w:sz w:val="16"/>
          <w:szCs w:val="16"/>
        </w:rPr>
        <w:t xml:space="preserve"> to </w:t>
      </w:r>
      <w:proofErr w:type="spellStart"/>
      <w:r>
        <w:rPr>
          <w:i/>
          <w:iCs/>
          <w:sz w:val="16"/>
          <w:szCs w:val="16"/>
        </w:rPr>
        <w:t>you</w:t>
      </w:r>
      <w:proofErr w:type="spellEnd"/>
      <w:r>
        <w:rPr>
          <w:i/>
          <w:iCs/>
          <w:sz w:val="16"/>
          <w:szCs w:val="16"/>
        </w:rPr>
        <w:t>.)</w:t>
      </w:r>
    </w:p>
    <w:p w:rsidR="00DC1275" w:rsidRDefault="00DC1275" w:rsidP="00DC1275">
      <w:pPr>
        <w:autoSpaceDE w:val="0"/>
        <w:autoSpaceDN w:val="0"/>
        <w:adjustRightInd w:val="0"/>
        <w:spacing w:before="120" w:line="240" w:lineRule="auto"/>
        <w:ind w:left="720"/>
        <w:rPr>
          <w:b/>
          <w:bCs/>
          <w:sz w:val="16"/>
          <w:szCs w:val="16"/>
        </w:rPr>
      </w:pPr>
      <w:r>
        <w:rPr>
          <w:b/>
          <w:bCs/>
          <w:sz w:val="16"/>
          <w:szCs w:val="16"/>
        </w:rPr>
        <w:t>(Pozri časť VII Vysvetľujúcej poznámky. Priložte kópie všetkých rozhodnutí uvedených vyššie v častiach IV a VI. Ak nemáte kópie a nemôžete si ich zadovážiť, vysvetlite prečo. Predložené dokumenty Vám  nebudú vrátené.)</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before="120" w:after="120" w:line="240" w:lineRule="auto"/>
      </w:pPr>
      <w:r>
        <w:t>21.</w:t>
      </w:r>
      <w:r>
        <w:tab/>
        <w:t>a).....................................................</w:t>
      </w:r>
    </w:p>
    <w:p w:rsidR="00DC1275" w:rsidRDefault="00DC1275" w:rsidP="00DC1275">
      <w:pPr>
        <w:autoSpaceDE w:val="0"/>
        <w:autoSpaceDN w:val="0"/>
        <w:adjustRightInd w:val="0"/>
        <w:spacing w:before="120" w:after="120" w:line="240" w:lineRule="auto"/>
        <w:ind w:firstLine="708"/>
      </w:pPr>
      <w:r>
        <w:t>b).....................................................</w:t>
      </w:r>
    </w:p>
    <w:p w:rsidR="00DC1275" w:rsidRDefault="00DC1275" w:rsidP="00DC1275">
      <w:pPr>
        <w:spacing w:before="120" w:after="120" w:line="240" w:lineRule="auto"/>
        <w:ind w:firstLine="708"/>
      </w:pPr>
      <w:r>
        <w:t>c).....................................................</w:t>
      </w:r>
    </w:p>
    <w:p w:rsidR="00DC1275" w:rsidRDefault="00DC1275" w:rsidP="00DC1275">
      <w:pPr>
        <w:autoSpaceDE w:val="0"/>
        <w:autoSpaceDN w:val="0"/>
        <w:adjustRightInd w:val="0"/>
        <w:spacing w:line="240" w:lineRule="auto"/>
        <w:jc w:val="center"/>
        <w:rPr>
          <w:rFonts w:ascii="Arial" w:hAnsi="Arial" w:cs="Arial"/>
          <w:i/>
          <w:iCs/>
        </w:rPr>
      </w:pPr>
      <w:r>
        <w:rPr>
          <w:sz w:val="20"/>
          <w:szCs w:val="20"/>
        </w:rPr>
        <w:br w:type="page"/>
      </w:r>
      <w:r>
        <w:rPr>
          <w:rFonts w:ascii="Arial" w:hAnsi="Arial" w:cs="Arial"/>
          <w:i/>
          <w:iCs/>
        </w:rPr>
        <w:lastRenderedPageBreak/>
        <w:t>- 8 -</w:t>
      </w:r>
    </w:p>
    <w:p w:rsidR="00DC1275" w:rsidRDefault="00DC1275" w:rsidP="00DC1275">
      <w:pPr>
        <w:autoSpaceDE w:val="0"/>
        <w:autoSpaceDN w:val="0"/>
        <w:adjustRightInd w:val="0"/>
        <w:spacing w:line="240" w:lineRule="auto"/>
      </w:pPr>
    </w:p>
    <w:p w:rsidR="00DC1275" w:rsidRDefault="00DC1275" w:rsidP="00DC1275">
      <w:pPr>
        <w:autoSpaceDE w:val="0"/>
        <w:autoSpaceDN w:val="0"/>
        <w:adjustRightInd w:val="0"/>
        <w:spacing w:line="240" w:lineRule="auto"/>
      </w:pPr>
      <w:r>
        <w:t>VIII.</w:t>
      </w:r>
      <w:r>
        <w:tab/>
        <w:t>DÉCLARATION ET SIGNATURE</w:t>
      </w:r>
    </w:p>
    <w:p w:rsidR="00DC1275" w:rsidRDefault="00DC1275" w:rsidP="00DC1275">
      <w:pPr>
        <w:autoSpaceDE w:val="0"/>
        <w:autoSpaceDN w:val="0"/>
        <w:adjustRightInd w:val="0"/>
        <w:spacing w:line="240" w:lineRule="auto"/>
        <w:ind w:firstLine="708"/>
        <w:rPr>
          <w:i/>
          <w:iCs/>
        </w:rPr>
      </w:pPr>
      <w:r>
        <w:rPr>
          <w:i/>
          <w:iCs/>
        </w:rPr>
        <w:t>DECLARATION AND SIGNATURE</w:t>
      </w:r>
    </w:p>
    <w:p w:rsidR="00DC1275" w:rsidRDefault="00DC1275" w:rsidP="00DC1275">
      <w:pPr>
        <w:autoSpaceDE w:val="0"/>
        <w:autoSpaceDN w:val="0"/>
        <w:adjustRightInd w:val="0"/>
        <w:spacing w:line="240" w:lineRule="auto"/>
        <w:ind w:firstLine="708"/>
        <w:rPr>
          <w:b/>
          <w:bCs/>
        </w:rPr>
      </w:pPr>
      <w:r>
        <w:rPr>
          <w:b/>
          <w:bCs/>
        </w:rPr>
        <w:t>PREHLÁSENIE A PODPIS</w:t>
      </w:r>
    </w:p>
    <w:p w:rsidR="00DC1275" w:rsidRDefault="00DC1275" w:rsidP="00DC1275">
      <w:pPr>
        <w:autoSpaceDE w:val="0"/>
        <w:autoSpaceDN w:val="0"/>
        <w:adjustRightInd w:val="0"/>
        <w:spacing w:line="240" w:lineRule="auto"/>
        <w:rPr>
          <w:sz w:val="16"/>
          <w:szCs w:val="16"/>
        </w:rPr>
      </w:pPr>
    </w:p>
    <w:p w:rsidR="00DC1275" w:rsidRDefault="00DC1275" w:rsidP="00DC1275">
      <w:pPr>
        <w:autoSpaceDE w:val="0"/>
        <w:autoSpaceDN w:val="0"/>
        <w:adjustRightInd w:val="0"/>
        <w:spacing w:line="240" w:lineRule="auto"/>
        <w:ind w:firstLine="708"/>
        <w:rPr>
          <w:sz w:val="16"/>
          <w:szCs w:val="16"/>
        </w:rPr>
      </w:pPr>
      <w:r>
        <w:rPr>
          <w:sz w:val="16"/>
          <w:szCs w:val="16"/>
        </w:rPr>
        <w:t>(</w:t>
      </w:r>
      <w:proofErr w:type="spellStart"/>
      <w:r>
        <w:rPr>
          <w:sz w:val="16"/>
          <w:szCs w:val="16"/>
        </w:rPr>
        <w:t>Voir</w:t>
      </w:r>
      <w:proofErr w:type="spellEnd"/>
      <w:r>
        <w:rPr>
          <w:sz w:val="16"/>
          <w:szCs w:val="16"/>
        </w:rPr>
        <w:t xml:space="preserve"> </w:t>
      </w:r>
      <w:proofErr w:type="spellStart"/>
      <w:r>
        <w:rPr>
          <w:sz w:val="16"/>
          <w:szCs w:val="16"/>
        </w:rPr>
        <w:t>chapitre</w:t>
      </w:r>
      <w:proofErr w:type="spellEnd"/>
      <w:r>
        <w:rPr>
          <w:sz w:val="16"/>
          <w:szCs w:val="16"/>
        </w:rPr>
        <w:t xml:space="preserve"> VIII </w:t>
      </w:r>
      <w:proofErr w:type="spellStart"/>
      <w:r>
        <w:rPr>
          <w:sz w:val="16"/>
          <w:szCs w:val="16"/>
        </w:rPr>
        <w:t>de</w:t>
      </w:r>
      <w:proofErr w:type="spellEnd"/>
      <w:r>
        <w:rPr>
          <w:sz w:val="16"/>
          <w:szCs w:val="16"/>
        </w:rPr>
        <w:t xml:space="preserve"> la note </w:t>
      </w:r>
      <w:proofErr w:type="spellStart"/>
      <w:r>
        <w:rPr>
          <w:sz w:val="16"/>
          <w:szCs w:val="16"/>
        </w:rPr>
        <w:t>explicative</w:t>
      </w:r>
      <w:proofErr w:type="spellEnd"/>
      <w:r>
        <w:rPr>
          <w:sz w:val="16"/>
          <w:szCs w:val="16"/>
        </w:rPr>
        <w:t>)</w:t>
      </w:r>
    </w:p>
    <w:p w:rsidR="00DC1275" w:rsidRDefault="00DC1275" w:rsidP="00DC1275">
      <w:pPr>
        <w:autoSpaceDE w:val="0"/>
        <w:autoSpaceDN w:val="0"/>
        <w:adjustRightInd w:val="0"/>
        <w:spacing w:line="240" w:lineRule="auto"/>
        <w:ind w:firstLine="708"/>
        <w:rPr>
          <w:i/>
          <w:iCs/>
          <w:sz w:val="18"/>
          <w:szCs w:val="18"/>
        </w:rPr>
      </w:pPr>
      <w:r>
        <w:rPr>
          <w:i/>
          <w:iCs/>
          <w:sz w:val="18"/>
          <w:szCs w:val="18"/>
        </w:rPr>
        <w:t>(</w:t>
      </w:r>
      <w:proofErr w:type="spellStart"/>
      <w:r>
        <w:rPr>
          <w:i/>
          <w:iCs/>
          <w:sz w:val="18"/>
          <w:szCs w:val="18"/>
        </w:rPr>
        <w:t>See</w:t>
      </w:r>
      <w:proofErr w:type="spellEnd"/>
      <w:r>
        <w:rPr>
          <w:i/>
          <w:iCs/>
          <w:sz w:val="18"/>
          <w:szCs w:val="18"/>
        </w:rPr>
        <w:t xml:space="preserve"> Part VIII </w:t>
      </w:r>
      <w:proofErr w:type="spellStart"/>
      <w:r>
        <w:rPr>
          <w:i/>
          <w:iCs/>
          <w:sz w:val="18"/>
          <w:szCs w:val="18"/>
        </w:rPr>
        <w:t>of</w:t>
      </w:r>
      <w:proofErr w:type="spellEnd"/>
      <w:r>
        <w:rPr>
          <w:i/>
          <w:iCs/>
          <w:sz w:val="18"/>
          <w:szCs w:val="18"/>
        </w:rPr>
        <w:t xml:space="preserve"> </w:t>
      </w:r>
      <w:proofErr w:type="spellStart"/>
      <w:r>
        <w:rPr>
          <w:i/>
          <w:iCs/>
          <w:sz w:val="18"/>
          <w:szCs w:val="18"/>
        </w:rPr>
        <w:t>the</w:t>
      </w:r>
      <w:proofErr w:type="spellEnd"/>
      <w:r>
        <w:rPr>
          <w:i/>
          <w:iCs/>
          <w:sz w:val="18"/>
          <w:szCs w:val="18"/>
        </w:rPr>
        <w:t xml:space="preserve"> </w:t>
      </w:r>
      <w:proofErr w:type="spellStart"/>
      <w:r>
        <w:rPr>
          <w:i/>
          <w:iCs/>
          <w:sz w:val="18"/>
          <w:szCs w:val="18"/>
        </w:rPr>
        <w:t>Explanatory</w:t>
      </w:r>
      <w:proofErr w:type="spellEnd"/>
      <w:r>
        <w:rPr>
          <w:i/>
          <w:iCs/>
          <w:sz w:val="18"/>
          <w:szCs w:val="18"/>
        </w:rPr>
        <w:t xml:space="preserve"> Note)</w:t>
      </w:r>
    </w:p>
    <w:p w:rsidR="00DC1275" w:rsidRDefault="00DC1275" w:rsidP="00DC1275">
      <w:pPr>
        <w:autoSpaceDE w:val="0"/>
        <w:autoSpaceDN w:val="0"/>
        <w:adjustRightInd w:val="0"/>
        <w:spacing w:line="240" w:lineRule="auto"/>
        <w:ind w:firstLine="708"/>
        <w:rPr>
          <w:b/>
          <w:bCs/>
          <w:sz w:val="16"/>
          <w:szCs w:val="16"/>
        </w:rPr>
      </w:pPr>
      <w:r>
        <w:rPr>
          <w:b/>
          <w:bCs/>
          <w:sz w:val="16"/>
          <w:szCs w:val="16"/>
        </w:rPr>
        <w:t xml:space="preserve">(Pozri časť VIII Vysvetľujúcej </w:t>
      </w:r>
      <w:proofErr w:type="spellStart"/>
      <w:r>
        <w:rPr>
          <w:b/>
          <w:bCs/>
          <w:sz w:val="16"/>
          <w:szCs w:val="16"/>
        </w:rPr>
        <w:t>poznánky</w:t>
      </w:r>
      <w:proofErr w:type="spellEnd"/>
      <w:r>
        <w:rPr>
          <w:b/>
          <w:bCs/>
          <w:sz w:val="16"/>
          <w:szCs w:val="16"/>
        </w:rPr>
        <w:t>)</w:t>
      </w:r>
    </w:p>
    <w:p w:rsidR="00DC1275" w:rsidRDefault="00DC1275" w:rsidP="00DC1275">
      <w:pPr>
        <w:autoSpaceDE w:val="0"/>
        <w:autoSpaceDN w:val="0"/>
        <w:adjustRightInd w:val="0"/>
        <w:spacing w:line="240" w:lineRule="auto"/>
        <w:rPr>
          <w:sz w:val="20"/>
          <w:szCs w:val="20"/>
        </w:rPr>
      </w:pPr>
    </w:p>
    <w:p w:rsidR="00DC1275" w:rsidRDefault="00DC1275" w:rsidP="00DC1275">
      <w:pPr>
        <w:pStyle w:val="Zarkazkladnhotextu2"/>
        <w:ind w:left="705" w:hanging="705"/>
      </w:pPr>
      <w:r>
        <w:t>22.</w:t>
      </w:r>
      <w:r>
        <w:tab/>
        <w:t xml:space="preserve">Je </w:t>
      </w:r>
      <w:proofErr w:type="spellStart"/>
      <w:r>
        <w:t>déclare</w:t>
      </w:r>
      <w:proofErr w:type="spellEnd"/>
      <w:r>
        <w:t xml:space="preserve"> en </w:t>
      </w:r>
      <w:proofErr w:type="spellStart"/>
      <w:r>
        <w:t>toute</w:t>
      </w:r>
      <w:proofErr w:type="spellEnd"/>
      <w:r>
        <w:t xml:space="preserve"> </w:t>
      </w:r>
      <w:proofErr w:type="spellStart"/>
      <w:r>
        <w:t>conscience</w:t>
      </w:r>
      <w:proofErr w:type="spellEnd"/>
      <w:r>
        <w:t xml:space="preserve"> </w:t>
      </w:r>
      <w:proofErr w:type="spellStart"/>
      <w:r>
        <w:t>et</w:t>
      </w:r>
      <w:proofErr w:type="spellEnd"/>
      <w:r>
        <w:t xml:space="preserve"> </w:t>
      </w:r>
      <w:proofErr w:type="spellStart"/>
      <w:r>
        <w:t>loyauté</w:t>
      </w:r>
      <w:proofErr w:type="spellEnd"/>
      <w:r>
        <w:t xml:space="preserve"> </w:t>
      </w:r>
      <w:proofErr w:type="spellStart"/>
      <w:r>
        <w:t>que</w:t>
      </w:r>
      <w:proofErr w:type="spellEnd"/>
      <w:r>
        <w:t xml:space="preserve"> les </w:t>
      </w:r>
      <w:proofErr w:type="spellStart"/>
      <w:r>
        <w:t>renseignements</w:t>
      </w:r>
      <w:proofErr w:type="spellEnd"/>
      <w:r>
        <w:t xml:space="preserve"> </w:t>
      </w:r>
      <w:proofErr w:type="spellStart"/>
      <w:r>
        <w:t>qui</w:t>
      </w:r>
      <w:proofErr w:type="spellEnd"/>
      <w:r>
        <w:t xml:space="preserve"> </w:t>
      </w:r>
      <w:proofErr w:type="spellStart"/>
      <w:r>
        <w:t>figurent</w:t>
      </w:r>
      <w:proofErr w:type="spellEnd"/>
      <w:r>
        <w:t xml:space="preserve"> </w:t>
      </w:r>
      <w:proofErr w:type="spellStart"/>
      <w:r>
        <w:t>sur</w:t>
      </w:r>
      <w:proofErr w:type="spellEnd"/>
      <w:r>
        <w:t xml:space="preserve"> la </w:t>
      </w:r>
      <w:proofErr w:type="spellStart"/>
      <w:r>
        <w:t>présente</w:t>
      </w:r>
      <w:proofErr w:type="spellEnd"/>
      <w:r>
        <w:t xml:space="preserve"> formule </w:t>
      </w:r>
      <w:proofErr w:type="spellStart"/>
      <w:r>
        <w:t>de</w:t>
      </w:r>
      <w:proofErr w:type="spellEnd"/>
      <w:r>
        <w:t xml:space="preserve">      </w:t>
      </w:r>
      <w:proofErr w:type="spellStart"/>
      <w:r>
        <w:t>requête</w:t>
      </w:r>
      <w:proofErr w:type="spellEnd"/>
      <w:r>
        <w:t xml:space="preserve"> </w:t>
      </w:r>
      <w:proofErr w:type="spellStart"/>
      <w:r>
        <w:t>sont</w:t>
      </w:r>
      <w:proofErr w:type="spellEnd"/>
      <w:r>
        <w:t xml:space="preserve"> </w:t>
      </w:r>
      <w:proofErr w:type="spellStart"/>
      <w:r>
        <w:t>exacts</w:t>
      </w:r>
      <w:proofErr w:type="spellEnd"/>
      <w:r>
        <w:t>.</w:t>
      </w:r>
    </w:p>
    <w:p w:rsidR="00DC1275" w:rsidRDefault="00DC1275" w:rsidP="00DC1275">
      <w:pPr>
        <w:autoSpaceDE w:val="0"/>
        <w:autoSpaceDN w:val="0"/>
        <w:adjustRightInd w:val="0"/>
        <w:spacing w:line="240" w:lineRule="auto"/>
        <w:ind w:left="705"/>
        <w:rPr>
          <w:sz w:val="20"/>
          <w:szCs w:val="20"/>
        </w:rPr>
      </w:pPr>
      <w:r>
        <w:rPr>
          <w:i/>
          <w:iCs/>
          <w:sz w:val="20"/>
          <w:szCs w:val="20"/>
        </w:rPr>
        <w:t xml:space="preserve">I </w:t>
      </w:r>
      <w:proofErr w:type="spellStart"/>
      <w:r>
        <w:rPr>
          <w:i/>
          <w:iCs/>
          <w:sz w:val="20"/>
          <w:szCs w:val="20"/>
        </w:rPr>
        <w:t>hereby</w:t>
      </w:r>
      <w:proofErr w:type="spellEnd"/>
      <w:r>
        <w:rPr>
          <w:i/>
          <w:iCs/>
          <w:sz w:val="20"/>
          <w:szCs w:val="20"/>
        </w:rPr>
        <w:t xml:space="preserve"> </w:t>
      </w:r>
      <w:proofErr w:type="spellStart"/>
      <w:r>
        <w:rPr>
          <w:i/>
          <w:iCs/>
          <w:sz w:val="20"/>
          <w:szCs w:val="20"/>
        </w:rPr>
        <w:t>declare</w:t>
      </w:r>
      <w:proofErr w:type="spellEnd"/>
      <w:r>
        <w:rPr>
          <w:i/>
          <w:iCs/>
          <w:sz w:val="20"/>
          <w:szCs w:val="20"/>
        </w:rPr>
        <w:t xml:space="preserve"> </w:t>
      </w:r>
      <w:proofErr w:type="spellStart"/>
      <w:r>
        <w:rPr>
          <w:i/>
          <w:iCs/>
          <w:sz w:val="20"/>
          <w:szCs w:val="20"/>
        </w:rPr>
        <w:t>that</w:t>
      </w:r>
      <w:proofErr w:type="spellEnd"/>
      <w:r>
        <w:rPr>
          <w:i/>
          <w:iCs/>
          <w:sz w:val="20"/>
          <w:szCs w:val="20"/>
        </w:rPr>
        <w:t xml:space="preserve">, to </w:t>
      </w:r>
      <w:proofErr w:type="spellStart"/>
      <w:r>
        <w:rPr>
          <w:i/>
          <w:iCs/>
          <w:sz w:val="20"/>
          <w:szCs w:val="20"/>
        </w:rPr>
        <w:t>the</w:t>
      </w:r>
      <w:proofErr w:type="spellEnd"/>
      <w:r>
        <w:rPr>
          <w:i/>
          <w:iCs/>
          <w:sz w:val="20"/>
          <w:szCs w:val="20"/>
        </w:rPr>
        <w:t xml:space="preserve"> </w:t>
      </w:r>
      <w:proofErr w:type="spellStart"/>
      <w:r>
        <w:rPr>
          <w:i/>
          <w:iCs/>
          <w:sz w:val="20"/>
          <w:szCs w:val="20"/>
        </w:rPr>
        <w:t>best</w:t>
      </w:r>
      <w:proofErr w:type="spellEnd"/>
      <w:r>
        <w:rPr>
          <w:i/>
          <w:iCs/>
          <w:sz w:val="20"/>
          <w:szCs w:val="20"/>
        </w:rPr>
        <w:t xml:space="preserve"> </w:t>
      </w:r>
      <w:proofErr w:type="spellStart"/>
      <w:r>
        <w:rPr>
          <w:i/>
          <w:iCs/>
          <w:sz w:val="20"/>
          <w:szCs w:val="20"/>
        </w:rPr>
        <w:t>of</w:t>
      </w:r>
      <w:proofErr w:type="spellEnd"/>
      <w:r>
        <w:rPr>
          <w:i/>
          <w:iCs/>
          <w:sz w:val="20"/>
          <w:szCs w:val="20"/>
        </w:rPr>
        <w:t xml:space="preserve"> my </w:t>
      </w:r>
      <w:proofErr w:type="spellStart"/>
      <w:r>
        <w:rPr>
          <w:i/>
          <w:iCs/>
          <w:sz w:val="20"/>
          <w:szCs w:val="20"/>
        </w:rPr>
        <w:t>knowledge</w:t>
      </w:r>
      <w:proofErr w:type="spellEnd"/>
      <w:r>
        <w:rPr>
          <w:i/>
          <w:iCs/>
          <w:sz w:val="20"/>
          <w:szCs w:val="20"/>
        </w:rPr>
        <w:t xml:space="preserve"> and </w:t>
      </w:r>
      <w:proofErr w:type="spellStart"/>
      <w:r>
        <w:rPr>
          <w:i/>
          <w:iCs/>
          <w:sz w:val="20"/>
          <w:szCs w:val="20"/>
        </w:rPr>
        <w:t>belief</w:t>
      </w:r>
      <w:proofErr w:type="spellEnd"/>
      <w:r>
        <w:rPr>
          <w:i/>
          <w:iCs/>
          <w:sz w:val="20"/>
          <w:szCs w:val="20"/>
        </w:rPr>
        <w:t xml:space="preserve">, </w:t>
      </w:r>
      <w:proofErr w:type="spellStart"/>
      <w:r>
        <w:rPr>
          <w:i/>
          <w:iCs/>
          <w:sz w:val="20"/>
          <w:szCs w:val="20"/>
        </w:rPr>
        <w:t>the</w:t>
      </w:r>
      <w:proofErr w:type="spellEnd"/>
      <w:r>
        <w:rPr>
          <w:i/>
          <w:iCs/>
          <w:sz w:val="20"/>
          <w:szCs w:val="20"/>
        </w:rPr>
        <w:t xml:space="preserve"> </w:t>
      </w:r>
      <w:proofErr w:type="spellStart"/>
      <w:r>
        <w:rPr>
          <w:i/>
          <w:iCs/>
          <w:sz w:val="20"/>
          <w:szCs w:val="20"/>
        </w:rPr>
        <w:t>information</w:t>
      </w:r>
      <w:proofErr w:type="spellEnd"/>
      <w:r>
        <w:rPr>
          <w:i/>
          <w:iCs/>
          <w:sz w:val="20"/>
          <w:szCs w:val="20"/>
        </w:rPr>
        <w:t xml:space="preserve"> I </w:t>
      </w:r>
      <w:proofErr w:type="spellStart"/>
      <w:r>
        <w:rPr>
          <w:i/>
          <w:iCs/>
          <w:sz w:val="20"/>
          <w:szCs w:val="20"/>
        </w:rPr>
        <w:t>have</w:t>
      </w:r>
      <w:proofErr w:type="spellEnd"/>
      <w:r>
        <w:rPr>
          <w:i/>
          <w:iCs/>
          <w:sz w:val="20"/>
          <w:szCs w:val="20"/>
        </w:rPr>
        <w:t xml:space="preserve"> </w:t>
      </w:r>
      <w:proofErr w:type="spellStart"/>
      <w:r>
        <w:rPr>
          <w:i/>
          <w:iCs/>
          <w:sz w:val="20"/>
          <w:szCs w:val="20"/>
        </w:rPr>
        <w:t>given</w:t>
      </w:r>
      <w:proofErr w:type="spellEnd"/>
      <w:r>
        <w:rPr>
          <w:i/>
          <w:iCs/>
          <w:sz w:val="20"/>
          <w:szCs w:val="20"/>
        </w:rPr>
        <w:t xml:space="preserve"> in </w:t>
      </w:r>
      <w:proofErr w:type="spellStart"/>
      <w:r>
        <w:rPr>
          <w:i/>
          <w:iCs/>
          <w:sz w:val="20"/>
          <w:szCs w:val="20"/>
        </w:rPr>
        <w:t>the</w:t>
      </w:r>
      <w:proofErr w:type="spellEnd"/>
      <w:r>
        <w:rPr>
          <w:i/>
          <w:iCs/>
          <w:sz w:val="20"/>
          <w:szCs w:val="20"/>
        </w:rPr>
        <w:t xml:space="preserve"> </w:t>
      </w:r>
      <w:proofErr w:type="spellStart"/>
      <w:r>
        <w:rPr>
          <w:i/>
          <w:iCs/>
          <w:sz w:val="20"/>
          <w:szCs w:val="20"/>
        </w:rPr>
        <w:t>present</w:t>
      </w:r>
      <w:proofErr w:type="spellEnd"/>
      <w:r>
        <w:rPr>
          <w:i/>
          <w:iCs/>
          <w:sz w:val="20"/>
          <w:szCs w:val="20"/>
        </w:rPr>
        <w:t xml:space="preserve">  </w:t>
      </w:r>
      <w:proofErr w:type="spellStart"/>
      <w:r>
        <w:rPr>
          <w:i/>
          <w:iCs/>
          <w:sz w:val="20"/>
          <w:szCs w:val="20"/>
        </w:rPr>
        <w:t>application</w:t>
      </w:r>
      <w:proofErr w:type="spellEnd"/>
      <w:r>
        <w:rPr>
          <w:i/>
          <w:iCs/>
          <w:sz w:val="20"/>
          <w:szCs w:val="20"/>
        </w:rPr>
        <w:t xml:space="preserve"> </w:t>
      </w:r>
      <w:proofErr w:type="spellStart"/>
      <w:r>
        <w:rPr>
          <w:i/>
          <w:iCs/>
          <w:sz w:val="20"/>
          <w:szCs w:val="20"/>
        </w:rPr>
        <w:t>form</w:t>
      </w:r>
      <w:proofErr w:type="spellEnd"/>
      <w:r>
        <w:rPr>
          <w:i/>
          <w:iCs/>
          <w:sz w:val="20"/>
          <w:szCs w:val="20"/>
        </w:rPr>
        <w:t xml:space="preserve"> </w:t>
      </w:r>
      <w:proofErr w:type="spellStart"/>
      <w:r>
        <w:rPr>
          <w:i/>
          <w:iCs/>
          <w:sz w:val="20"/>
          <w:szCs w:val="20"/>
        </w:rPr>
        <w:t>is</w:t>
      </w:r>
      <w:proofErr w:type="spellEnd"/>
      <w:r>
        <w:rPr>
          <w:i/>
          <w:iCs/>
          <w:sz w:val="20"/>
          <w:szCs w:val="20"/>
        </w:rPr>
        <w:t xml:space="preserve"> </w:t>
      </w:r>
      <w:proofErr w:type="spellStart"/>
      <w:r>
        <w:rPr>
          <w:i/>
          <w:iCs/>
          <w:sz w:val="20"/>
          <w:szCs w:val="20"/>
        </w:rPr>
        <w:t>correc</w:t>
      </w:r>
      <w:r>
        <w:rPr>
          <w:sz w:val="20"/>
          <w:szCs w:val="20"/>
        </w:rPr>
        <w:t>t</w:t>
      </w:r>
      <w:proofErr w:type="spellEnd"/>
      <w:r>
        <w:rPr>
          <w:sz w:val="20"/>
          <w:szCs w:val="20"/>
        </w:rPr>
        <w:t>.</w:t>
      </w:r>
    </w:p>
    <w:p w:rsidR="00DC1275" w:rsidRDefault="00DC1275" w:rsidP="00DC1275">
      <w:pPr>
        <w:autoSpaceDE w:val="0"/>
        <w:autoSpaceDN w:val="0"/>
        <w:adjustRightInd w:val="0"/>
        <w:spacing w:line="240" w:lineRule="auto"/>
        <w:ind w:left="705"/>
        <w:rPr>
          <w:b/>
          <w:bCs/>
          <w:sz w:val="20"/>
          <w:szCs w:val="20"/>
        </w:rPr>
      </w:pPr>
      <w:r>
        <w:rPr>
          <w:b/>
          <w:bCs/>
          <w:sz w:val="20"/>
          <w:szCs w:val="20"/>
        </w:rPr>
        <w:t>Prehlasujem podľa svojho najlepšieho vedomia a svedomia, že všetky informácie uvedené v tomto formulári zodpovedajú skutočnosti.</w:t>
      </w: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jc w:val="right"/>
        <w:rPr>
          <w:sz w:val="20"/>
          <w:szCs w:val="20"/>
        </w:rPr>
      </w:pPr>
      <w:proofErr w:type="spellStart"/>
      <w:r>
        <w:rPr>
          <w:sz w:val="20"/>
          <w:szCs w:val="20"/>
        </w:rPr>
        <w:t>Lieu</w:t>
      </w:r>
      <w:proofErr w:type="spellEnd"/>
      <w:r>
        <w:rPr>
          <w:sz w:val="20"/>
          <w:szCs w:val="20"/>
        </w:rPr>
        <w:t>/</w:t>
      </w:r>
      <w:proofErr w:type="spellStart"/>
      <w:r>
        <w:rPr>
          <w:i/>
          <w:iCs/>
          <w:sz w:val="20"/>
          <w:szCs w:val="20"/>
        </w:rPr>
        <w:t>Plac</w:t>
      </w:r>
      <w:r>
        <w:rPr>
          <w:sz w:val="20"/>
          <w:szCs w:val="20"/>
        </w:rPr>
        <w:t>e</w:t>
      </w:r>
      <w:proofErr w:type="spellEnd"/>
      <w:r>
        <w:rPr>
          <w:sz w:val="20"/>
          <w:szCs w:val="20"/>
        </w:rPr>
        <w:t>/</w:t>
      </w:r>
      <w:r>
        <w:rPr>
          <w:b/>
          <w:bCs/>
          <w:sz w:val="20"/>
          <w:szCs w:val="20"/>
        </w:rPr>
        <w:t xml:space="preserve">Miesto </w:t>
      </w:r>
      <w:r>
        <w:rPr>
          <w:sz w:val="20"/>
          <w:szCs w:val="20"/>
        </w:rPr>
        <w:t>..............................................................................</w:t>
      </w:r>
    </w:p>
    <w:p w:rsidR="00DC1275" w:rsidRDefault="00DC1275" w:rsidP="00DC1275">
      <w:pPr>
        <w:autoSpaceDE w:val="0"/>
        <w:autoSpaceDN w:val="0"/>
        <w:adjustRightInd w:val="0"/>
        <w:spacing w:line="240" w:lineRule="auto"/>
        <w:jc w:val="right"/>
        <w:rPr>
          <w:sz w:val="20"/>
          <w:szCs w:val="20"/>
        </w:rPr>
      </w:pPr>
      <w:proofErr w:type="spellStart"/>
      <w:r>
        <w:rPr>
          <w:sz w:val="20"/>
          <w:szCs w:val="20"/>
        </w:rPr>
        <w:t>Date</w:t>
      </w:r>
      <w:proofErr w:type="spellEnd"/>
      <w:r>
        <w:rPr>
          <w:sz w:val="20"/>
          <w:szCs w:val="20"/>
        </w:rPr>
        <w:t>/</w:t>
      </w:r>
      <w:proofErr w:type="spellStart"/>
      <w:r>
        <w:rPr>
          <w:i/>
          <w:iCs/>
          <w:sz w:val="20"/>
          <w:szCs w:val="20"/>
        </w:rPr>
        <w:t>Dat</w:t>
      </w:r>
      <w:r>
        <w:rPr>
          <w:sz w:val="20"/>
          <w:szCs w:val="20"/>
        </w:rPr>
        <w:t>e</w:t>
      </w:r>
      <w:proofErr w:type="spellEnd"/>
      <w:r>
        <w:rPr>
          <w:sz w:val="20"/>
          <w:szCs w:val="20"/>
        </w:rPr>
        <w:t>/</w:t>
      </w:r>
      <w:r>
        <w:rPr>
          <w:b/>
          <w:bCs/>
          <w:sz w:val="20"/>
          <w:szCs w:val="20"/>
        </w:rPr>
        <w:t xml:space="preserve">Dátum </w:t>
      </w:r>
      <w:r>
        <w:rPr>
          <w:sz w:val="20"/>
          <w:szCs w:val="20"/>
        </w:rPr>
        <w:t>..............................................................................</w:t>
      </w:r>
    </w:p>
    <w:p w:rsidR="00DC1275" w:rsidRDefault="00DC1275" w:rsidP="00DC1275">
      <w:pPr>
        <w:autoSpaceDE w:val="0"/>
        <w:autoSpaceDN w:val="0"/>
        <w:adjustRightInd w:val="0"/>
        <w:spacing w:line="240" w:lineRule="auto"/>
        <w:jc w:val="right"/>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rPr>
          <w:sz w:val="20"/>
          <w:szCs w:val="20"/>
        </w:rPr>
      </w:pPr>
    </w:p>
    <w:p w:rsidR="00DC1275" w:rsidRDefault="00DC1275" w:rsidP="00DC1275">
      <w:pPr>
        <w:autoSpaceDE w:val="0"/>
        <w:autoSpaceDN w:val="0"/>
        <w:adjustRightInd w:val="0"/>
        <w:spacing w:line="240" w:lineRule="auto"/>
        <w:jc w:val="right"/>
        <w:rPr>
          <w:sz w:val="20"/>
          <w:szCs w:val="20"/>
        </w:rPr>
      </w:pPr>
      <w:r>
        <w:rPr>
          <w:sz w:val="20"/>
          <w:szCs w:val="20"/>
        </w:rPr>
        <w:t>(</w:t>
      </w:r>
      <w:proofErr w:type="spellStart"/>
      <w:r>
        <w:rPr>
          <w:sz w:val="20"/>
          <w:szCs w:val="20"/>
        </w:rPr>
        <w:t>Signature</w:t>
      </w:r>
      <w:proofErr w:type="spellEnd"/>
      <w:r>
        <w:rPr>
          <w:sz w:val="20"/>
          <w:szCs w:val="20"/>
        </w:rPr>
        <w:t xml:space="preserve"> </w:t>
      </w:r>
      <w:proofErr w:type="spellStart"/>
      <w:r>
        <w:rPr>
          <w:sz w:val="20"/>
          <w:szCs w:val="20"/>
        </w:rPr>
        <w:t>du</w:t>
      </w:r>
      <w:proofErr w:type="spellEnd"/>
      <w:r>
        <w:rPr>
          <w:sz w:val="20"/>
          <w:szCs w:val="20"/>
        </w:rPr>
        <w:t>/</w:t>
      </w:r>
      <w:proofErr w:type="spellStart"/>
      <w:r>
        <w:rPr>
          <w:sz w:val="20"/>
          <w:szCs w:val="20"/>
        </w:rPr>
        <w:t>de</w:t>
      </w:r>
      <w:proofErr w:type="spellEnd"/>
      <w:r>
        <w:rPr>
          <w:sz w:val="20"/>
          <w:szCs w:val="20"/>
        </w:rPr>
        <w:t xml:space="preserve"> la </w:t>
      </w:r>
      <w:proofErr w:type="spellStart"/>
      <w:r>
        <w:rPr>
          <w:sz w:val="20"/>
          <w:szCs w:val="20"/>
        </w:rPr>
        <w:t>requérant</w:t>
      </w:r>
      <w:proofErr w:type="spellEnd"/>
      <w:r>
        <w:rPr>
          <w:sz w:val="20"/>
          <w:szCs w:val="20"/>
        </w:rPr>
        <w:t xml:space="preserve">(e) </w:t>
      </w:r>
      <w:proofErr w:type="spellStart"/>
      <w:r>
        <w:rPr>
          <w:sz w:val="20"/>
          <w:szCs w:val="20"/>
        </w:rPr>
        <w:t>ou</w:t>
      </w:r>
      <w:proofErr w:type="spellEnd"/>
      <w:r>
        <w:rPr>
          <w:sz w:val="20"/>
          <w:szCs w:val="20"/>
        </w:rPr>
        <w:t xml:space="preserve"> </w:t>
      </w:r>
      <w:proofErr w:type="spellStart"/>
      <w:r>
        <w:rPr>
          <w:sz w:val="20"/>
          <w:szCs w:val="20"/>
        </w:rPr>
        <w:t>du</w:t>
      </w:r>
      <w:proofErr w:type="spellEnd"/>
      <w:r>
        <w:rPr>
          <w:sz w:val="20"/>
          <w:szCs w:val="20"/>
        </w:rPr>
        <w:t>/</w:t>
      </w:r>
      <w:proofErr w:type="spellStart"/>
      <w:r>
        <w:rPr>
          <w:sz w:val="20"/>
          <w:szCs w:val="20"/>
        </w:rPr>
        <w:t>de</w:t>
      </w:r>
      <w:proofErr w:type="spellEnd"/>
      <w:r>
        <w:rPr>
          <w:sz w:val="20"/>
          <w:szCs w:val="20"/>
        </w:rPr>
        <w:t xml:space="preserve"> la </w:t>
      </w:r>
      <w:proofErr w:type="spellStart"/>
      <w:r>
        <w:rPr>
          <w:sz w:val="20"/>
          <w:szCs w:val="20"/>
        </w:rPr>
        <w:t>représentant</w:t>
      </w:r>
      <w:proofErr w:type="spellEnd"/>
      <w:r>
        <w:rPr>
          <w:sz w:val="20"/>
          <w:szCs w:val="20"/>
        </w:rPr>
        <w:t>(e))</w:t>
      </w:r>
    </w:p>
    <w:p w:rsidR="00DC1275" w:rsidRDefault="00DC1275" w:rsidP="00DC1275">
      <w:pPr>
        <w:autoSpaceDE w:val="0"/>
        <w:autoSpaceDN w:val="0"/>
        <w:adjustRightInd w:val="0"/>
        <w:spacing w:line="240" w:lineRule="auto"/>
        <w:jc w:val="right"/>
        <w:rPr>
          <w:i/>
          <w:iCs/>
          <w:sz w:val="20"/>
          <w:szCs w:val="20"/>
        </w:rPr>
      </w:pPr>
      <w:r>
        <w:rPr>
          <w:i/>
          <w:iCs/>
          <w:sz w:val="20"/>
          <w:szCs w:val="20"/>
        </w:rPr>
        <w:t>(</w:t>
      </w:r>
      <w:proofErr w:type="spellStart"/>
      <w:r>
        <w:rPr>
          <w:i/>
          <w:iCs/>
          <w:sz w:val="20"/>
          <w:szCs w:val="20"/>
        </w:rPr>
        <w:t>Signature</w:t>
      </w:r>
      <w:proofErr w:type="spellEnd"/>
      <w:r>
        <w:rPr>
          <w:i/>
          <w:iCs/>
          <w:sz w:val="20"/>
          <w:szCs w:val="20"/>
        </w:rPr>
        <w:t xml:space="preserve"> </w:t>
      </w:r>
      <w:proofErr w:type="spellStart"/>
      <w:r>
        <w:rPr>
          <w:i/>
          <w:iCs/>
          <w:sz w:val="20"/>
          <w:szCs w:val="20"/>
        </w:rPr>
        <w:t>of</w:t>
      </w:r>
      <w:proofErr w:type="spellEnd"/>
      <w:r>
        <w:rPr>
          <w:i/>
          <w:iCs/>
          <w:sz w:val="20"/>
          <w:szCs w:val="20"/>
        </w:rPr>
        <w:t xml:space="preserve"> </w:t>
      </w:r>
      <w:proofErr w:type="spellStart"/>
      <w:r>
        <w:rPr>
          <w:i/>
          <w:iCs/>
          <w:sz w:val="20"/>
          <w:szCs w:val="20"/>
        </w:rPr>
        <w:t>the</w:t>
      </w:r>
      <w:proofErr w:type="spellEnd"/>
      <w:r>
        <w:rPr>
          <w:i/>
          <w:iCs/>
          <w:sz w:val="20"/>
          <w:szCs w:val="20"/>
        </w:rPr>
        <w:t xml:space="preserve"> </w:t>
      </w:r>
      <w:proofErr w:type="spellStart"/>
      <w:r>
        <w:rPr>
          <w:i/>
          <w:iCs/>
          <w:sz w:val="20"/>
          <w:szCs w:val="20"/>
        </w:rPr>
        <w:t>applicant</w:t>
      </w:r>
      <w:proofErr w:type="spellEnd"/>
      <w:r>
        <w:rPr>
          <w:i/>
          <w:iCs/>
          <w:sz w:val="20"/>
          <w:szCs w:val="20"/>
        </w:rPr>
        <w:t xml:space="preserve"> or </w:t>
      </w:r>
      <w:proofErr w:type="spellStart"/>
      <w:r>
        <w:rPr>
          <w:i/>
          <w:iCs/>
          <w:sz w:val="20"/>
          <w:szCs w:val="20"/>
        </w:rPr>
        <w:t>of</w:t>
      </w:r>
      <w:proofErr w:type="spellEnd"/>
      <w:r>
        <w:rPr>
          <w:i/>
          <w:iCs/>
          <w:sz w:val="20"/>
          <w:szCs w:val="20"/>
        </w:rPr>
        <w:t xml:space="preserve"> </w:t>
      </w:r>
      <w:proofErr w:type="spellStart"/>
      <w:r>
        <w:rPr>
          <w:i/>
          <w:iCs/>
          <w:sz w:val="20"/>
          <w:szCs w:val="20"/>
        </w:rPr>
        <w:t>the</w:t>
      </w:r>
      <w:proofErr w:type="spellEnd"/>
      <w:r>
        <w:rPr>
          <w:i/>
          <w:iCs/>
          <w:sz w:val="20"/>
          <w:szCs w:val="20"/>
        </w:rPr>
        <w:t xml:space="preserve"> </w:t>
      </w:r>
      <w:proofErr w:type="spellStart"/>
      <w:r>
        <w:rPr>
          <w:i/>
          <w:iCs/>
          <w:sz w:val="20"/>
          <w:szCs w:val="20"/>
        </w:rPr>
        <w:t>representative</w:t>
      </w:r>
      <w:proofErr w:type="spellEnd"/>
      <w:r>
        <w:rPr>
          <w:i/>
          <w:iCs/>
          <w:sz w:val="20"/>
          <w:szCs w:val="20"/>
        </w:rPr>
        <w:t>)</w:t>
      </w:r>
    </w:p>
    <w:p w:rsidR="00DC1275" w:rsidRDefault="00DC1275" w:rsidP="00DC1275">
      <w:pPr>
        <w:spacing w:line="240" w:lineRule="auto"/>
        <w:jc w:val="right"/>
      </w:pPr>
      <w:r>
        <w:rPr>
          <w:b/>
          <w:bCs/>
          <w:sz w:val="20"/>
          <w:szCs w:val="20"/>
        </w:rPr>
        <w:t xml:space="preserve">(Podpis </w:t>
      </w:r>
      <w:proofErr w:type="spellStart"/>
      <w:r>
        <w:rPr>
          <w:b/>
          <w:bCs/>
          <w:sz w:val="20"/>
          <w:szCs w:val="20"/>
        </w:rPr>
        <w:t>stažovateľa</w:t>
      </w:r>
      <w:proofErr w:type="spellEnd"/>
      <w:r>
        <w:rPr>
          <w:b/>
          <w:bCs/>
          <w:sz w:val="20"/>
          <w:szCs w:val="20"/>
        </w:rPr>
        <w:t>/</w:t>
      </w:r>
      <w:proofErr w:type="spellStart"/>
      <w:r>
        <w:rPr>
          <w:b/>
          <w:bCs/>
          <w:sz w:val="20"/>
          <w:szCs w:val="20"/>
        </w:rPr>
        <w:t>ky</w:t>
      </w:r>
      <w:proofErr w:type="spellEnd"/>
      <w:r>
        <w:rPr>
          <w:b/>
          <w:bCs/>
          <w:sz w:val="20"/>
          <w:szCs w:val="20"/>
        </w:rPr>
        <w:t xml:space="preserve"> alebo zástupcu/</w:t>
      </w:r>
      <w:proofErr w:type="spellStart"/>
      <w:r>
        <w:rPr>
          <w:b/>
          <w:bCs/>
          <w:sz w:val="20"/>
          <w:szCs w:val="20"/>
        </w:rPr>
        <w:t>kyne</w:t>
      </w:r>
      <w:proofErr w:type="spellEnd"/>
      <w:r>
        <w:rPr>
          <w:b/>
          <w:bCs/>
          <w:sz w:val="20"/>
          <w:szCs w:val="20"/>
        </w:rPr>
        <w:t>)</w:t>
      </w:r>
    </w:p>
    <w:p w:rsidR="00DC1275" w:rsidRPr="00700686" w:rsidRDefault="00DC1275" w:rsidP="00DC1275"/>
    <w:p w:rsidR="00657E5F" w:rsidRDefault="00657E5F"/>
    <w:sectPr w:rsidR="00657E5F" w:rsidSect="00F447C8">
      <w:footerReference w:type="default" r:id="rId10"/>
      <w:pgSz w:w="11906" w:h="16838"/>
      <w:pgMar w:top="1560" w:right="1133"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E18" w:rsidRDefault="00017E18" w:rsidP="00DC1275">
      <w:pPr>
        <w:spacing w:line="240" w:lineRule="auto"/>
      </w:pPr>
      <w:r>
        <w:separator/>
      </w:r>
    </w:p>
  </w:endnote>
  <w:endnote w:type="continuationSeparator" w:id="0">
    <w:p w:rsidR="00017E18" w:rsidRDefault="00017E18" w:rsidP="00DC12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0976"/>
      <w:docPartObj>
        <w:docPartGallery w:val="Page Numbers (Bottom of Page)"/>
        <w:docPartUnique/>
      </w:docPartObj>
    </w:sdtPr>
    <w:sdtEndPr/>
    <w:sdtContent>
      <w:p w:rsidR="008F6071" w:rsidRDefault="00017E18">
        <w:pPr>
          <w:pStyle w:val="Pta"/>
          <w:jc w:val="right"/>
        </w:pPr>
        <w:r>
          <w:fldChar w:fldCharType="begin"/>
        </w:r>
        <w:r>
          <w:instrText xml:space="preserve"> PAGE   \* MERGEFORMAT </w:instrText>
        </w:r>
        <w:r>
          <w:fldChar w:fldCharType="separate"/>
        </w:r>
        <w:r w:rsidR="00AD7665">
          <w:rPr>
            <w:noProof/>
          </w:rPr>
          <w:t>69</w:t>
        </w:r>
        <w:r>
          <w:fldChar w:fldCharType="end"/>
        </w:r>
      </w:p>
    </w:sdtContent>
  </w:sdt>
  <w:p w:rsidR="008F6071" w:rsidRDefault="00017E1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E18" w:rsidRDefault="00017E18" w:rsidP="00DC1275">
      <w:pPr>
        <w:spacing w:line="240" w:lineRule="auto"/>
      </w:pPr>
      <w:r>
        <w:separator/>
      </w:r>
    </w:p>
  </w:footnote>
  <w:footnote w:type="continuationSeparator" w:id="0">
    <w:p w:rsidR="00017E18" w:rsidRDefault="00017E18" w:rsidP="00DC1275">
      <w:pPr>
        <w:spacing w:line="240" w:lineRule="auto"/>
      </w:pPr>
      <w:r>
        <w:continuationSeparator/>
      </w:r>
    </w:p>
  </w:footnote>
  <w:footnote w:id="1">
    <w:p w:rsidR="00DC1275" w:rsidRDefault="00DC1275" w:rsidP="00DC1275">
      <w:pPr>
        <w:pStyle w:val="Textpoznmkypodiarou"/>
      </w:pPr>
      <w:r>
        <w:rPr>
          <w:rStyle w:val="Odkaznapoznmkupodiarou"/>
        </w:rPr>
        <w:footnoteRef/>
      </w:r>
      <w:r>
        <w:t xml:space="preserve"> DONNELLY, </w:t>
      </w:r>
      <w:proofErr w:type="spellStart"/>
      <w:r>
        <w:t>Jack</w:t>
      </w:r>
      <w:proofErr w:type="spellEnd"/>
      <w:r>
        <w:t xml:space="preserve">. </w:t>
      </w:r>
      <w:proofErr w:type="spellStart"/>
      <w:r w:rsidRPr="0059482A">
        <w:rPr>
          <w:i/>
        </w:rPr>
        <w:t>International</w:t>
      </w:r>
      <w:proofErr w:type="spellEnd"/>
      <w:r w:rsidRPr="0059482A">
        <w:rPr>
          <w:i/>
        </w:rPr>
        <w:t xml:space="preserve"> </w:t>
      </w:r>
      <w:proofErr w:type="spellStart"/>
      <w:r w:rsidRPr="0059482A">
        <w:rPr>
          <w:i/>
        </w:rPr>
        <w:t>Human</w:t>
      </w:r>
      <w:proofErr w:type="spellEnd"/>
      <w:r w:rsidRPr="0059482A">
        <w:rPr>
          <w:i/>
        </w:rPr>
        <w:t xml:space="preserve"> </w:t>
      </w:r>
      <w:proofErr w:type="spellStart"/>
      <w:r w:rsidRPr="0059482A">
        <w:rPr>
          <w:i/>
        </w:rPr>
        <w:t>Rights</w:t>
      </w:r>
      <w:proofErr w:type="spellEnd"/>
      <w:r>
        <w:t>. 3</w:t>
      </w:r>
      <w:r w:rsidRPr="004C5DD4">
        <w:rPr>
          <w:vertAlign w:val="superscript"/>
        </w:rPr>
        <w:t>rd</w:t>
      </w:r>
      <w:r>
        <w:t xml:space="preserve"> </w:t>
      </w:r>
      <w:proofErr w:type="spellStart"/>
      <w:r>
        <w:t>edition</w:t>
      </w:r>
      <w:proofErr w:type="spellEnd"/>
      <w:r>
        <w:t xml:space="preserve">. </w:t>
      </w:r>
      <w:proofErr w:type="spellStart"/>
      <w:r>
        <w:t>Denver</w:t>
      </w:r>
      <w:proofErr w:type="spellEnd"/>
      <w:r>
        <w:t xml:space="preserve">: </w:t>
      </w:r>
      <w:proofErr w:type="spellStart"/>
      <w:r>
        <w:t>Westview</w:t>
      </w:r>
      <w:proofErr w:type="spellEnd"/>
      <w:r>
        <w:t xml:space="preserve"> Press, 2007, s. 21.</w:t>
      </w:r>
    </w:p>
  </w:footnote>
  <w:footnote w:id="2">
    <w:p w:rsidR="00DC1275" w:rsidRDefault="00DC1275" w:rsidP="00DC1275">
      <w:pPr>
        <w:pStyle w:val="Textpoznmkypodiarou"/>
      </w:pPr>
      <w:r>
        <w:rPr>
          <w:rStyle w:val="Odkaznapoznmkupodiarou"/>
        </w:rPr>
        <w:footnoteRef/>
      </w:r>
      <w:r>
        <w:t xml:space="preserve"> </w:t>
      </w:r>
      <w:r>
        <w:t xml:space="preserve">ALSTON, </w:t>
      </w:r>
      <w:proofErr w:type="spellStart"/>
      <w:r>
        <w:t>Philip</w:t>
      </w:r>
      <w:proofErr w:type="spellEnd"/>
      <w:r>
        <w:t xml:space="preserve">, MACDONALD, </w:t>
      </w:r>
      <w:proofErr w:type="spellStart"/>
      <w:r>
        <w:t>Euan</w:t>
      </w:r>
      <w:proofErr w:type="spellEnd"/>
      <w:r>
        <w:t xml:space="preserve">. </w:t>
      </w:r>
      <w:proofErr w:type="spellStart"/>
      <w:r w:rsidRPr="00A60D45">
        <w:rPr>
          <w:i/>
        </w:rPr>
        <w:t>Human</w:t>
      </w:r>
      <w:proofErr w:type="spellEnd"/>
      <w:r w:rsidRPr="00A60D45">
        <w:rPr>
          <w:i/>
        </w:rPr>
        <w:t xml:space="preserve"> </w:t>
      </w:r>
      <w:proofErr w:type="spellStart"/>
      <w:r w:rsidRPr="00A60D45">
        <w:rPr>
          <w:i/>
        </w:rPr>
        <w:t>Rights</w:t>
      </w:r>
      <w:proofErr w:type="spellEnd"/>
      <w:r w:rsidRPr="00A60D45">
        <w:rPr>
          <w:i/>
        </w:rPr>
        <w:t xml:space="preserve">, </w:t>
      </w:r>
      <w:proofErr w:type="spellStart"/>
      <w:r w:rsidRPr="00A60D45">
        <w:rPr>
          <w:i/>
        </w:rPr>
        <w:t>Intervention</w:t>
      </w:r>
      <w:proofErr w:type="spellEnd"/>
      <w:r w:rsidRPr="00A60D45">
        <w:rPr>
          <w:i/>
        </w:rPr>
        <w:t xml:space="preserve">, and </w:t>
      </w:r>
      <w:proofErr w:type="spellStart"/>
      <w:r w:rsidRPr="00A60D45">
        <w:rPr>
          <w:i/>
        </w:rPr>
        <w:t>the</w:t>
      </w:r>
      <w:proofErr w:type="spellEnd"/>
      <w:r w:rsidRPr="00A60D45">
        <w:rPr>
          <w:i/>
        </w:rPr>
        <w:t xml:space="preserve"> </w:t>
      </w:r>
      <w:proofErr w:type="spellStart"/>
      <w:r w:rsidRPr="00A60D45">
        <w:rPr>
          <w:i/>
        </w:rPr>
        <w:t>Use</w:t>
      </w:r>
      <w:proofErr w:type="spellEnd"/>
      <w:r w:rsidRPr="00A60D45">
        <w:rPr>
          <w:i/>
        </w:rPr>
        <w:t xml:space="preserve"> </w:t>
      </w:r>
      <w:proofErr w:type="spellStart"/>
      <w:r w:rsidRPr="00A60D45">
        <w:rPr>
          <w:i/>
        </w:rPr>
        <w:t>of</w:t>
      </w:r>
      <w:proofErr w:type="spellEnd"/>
      <w:r w:rsidRPr="00A60D45">
        <w:rPr>
          <w:i/>
        </w:rPr>
        <w:t xml:space="preserve"> </w:t>
      </w:r>
      <w:proofErr w:type="spellStart"/>
      <w:r w:rsidRPr="00A60D45">
        <w:rPr>
          <w:i/>
        </w:rPr>
        <w:t>Force</w:t>
      </w:r>
      <w:proofErr w:type="spellEnd"/>
      <w:r>
        <w:t>. 1</w:t>
      </w:r>
      <w:r w:rsidRPr="004C5DD4">
        <w:rPr>
          <w:vertAlign w:val="superscript"/>
        </w:rPr>
        <w:t xml:space="preserve">st </w:t>
      </w:r>
      <w:proofErr w:type="spellStart"/>
      <w:r>
        <w:t>edition</w:t>
      </w:r>
      <w:proofErr w:type="spellEnd"/>
      <w:r>
        <w:t xml:space="preserve">. New York: </w:t>
      </w:r>
      <w:proofErr w:type="spellStart"/>
      <w:r>
        <w:t>Oxford</w:t>
      </w:r>
      <w:proofErr w:type="spellEnd"/>
      <w:r>
        <w:t xml:space="preserve"> </w:t>
      </w:r>
      <w:proofErr w:type="spellStart"/>
      <w:r>
        <w:t>University</w:t>
      </w:r>
      <w:proofErr w:type="spellEnd"/>
      <w:r>
        <w:t xml:space="preserve"> Press, 2008, s. 38.</w:t>
      </w:r>
    </w:p>
  </w:footnote>
  <w:footnote w:id="3">
    <w:p w:rsidR="00DC1275" w:rsidRDefault="00DC1275" w:rsidP="00DC1275">
      <w:pPr>
        <w:pStyle w:val="Textpoznmkypodiarou"/>
      </w:pPr>
      <w:r>
        <w:rPr>
          <w:rStyle w:val="Odkaznapoznmkupodiarou"/>
        </w:rPr>
        <w:footnoteRef/>
      </w:r>
      <w:r>
        <w:t xml:space="preserve"> </w:t>
      </w:r>
      <w:r>
        <w:t xml:space="preserve">SVÁK, Ján. </w:t>
      </w:r>
      <w:r>
        <w:rPr>
          <w:i/>
        </w:rPr>
        <w:t xml:space="preserve">Ochrana ľudských práv (z pohľadu judikatúry a doktríny štrasburských orgánov ochrany práv). </w:t>
      </w:r>
      <w:r>
        <w:t>1. vydanie.  Bratislava: Poradca podnikateľa, spol. s.r.o., 2003,  s. 13 - 15.</w:t>
      </w:r>
    </w:p>
  </w:footnote>
  <w:footnote w:id="4">
    <w:p w:rsidR="00DC1275" w:rsidRDefault="00DC1275" w:rsidP="00DC1275">
      <w:pPr>
        <w:pStyle w:val="Textpoznmkypodiarou"/>
      </w:pPr>
      <w:r>
        <w:rPr>
          <w:rStyle w:val="Odkaznapoznmkupodiarou"/>
        </w:rPr>
        <w:footnoteRef/>
      </w:r>
      <w:r>
        <w:t xml:space="preserve"> </w:t>
      </w:r>
      <w:r>
        <w:t xml:space="preserve">SVÁK: </w:t>
      </w:r>
      <w:r>
        <w:rPr>
          <w:i/>
        </w:rPr>
        <w:t>Ochrana ľudských práv...,</w:t>
      </w:r>
      <w:r>
        <w:t xml:space="preserve"> s. 31.</w:t>
      </w:r>
    </w:p>
  </w:footnote>
  <w:footnote w:id="5">
    <w:p w:rsidR="00DC1275" w:rsidRDefault="00DC1275" w:rsidP="00DC1275">
      <w:pPr>
        <w:pStyle w:val="Textpoznmkypodiarou"/>
      </w:pPr>
      <w:r>
        <w:rPr>
          <w:rStyle w:val="Odkaznapoznmkupodiarou"/>
        </w:rPr>
        <w:footnoteRef/>
      </w:r>
      <w:r>
        <w:t xml:space="preserve"> </w:t>
      </w:r>
      <w:r>
        <w:t xml:space="preserve">SVÁK: </w:t>
      </w:r>
      <w:r>
        <w:rPr>
          <w:i/>
        </w:rPr>
        <w:t>Ochrana ľudských práv...</w:t>
      </w:r>
      <w:r>
        <w:t>, s. 29 – 41.</w:t>
      </w:r>
    </w:p>
  </w:footnote>
  <w:footnote w:id="6">
    <w:p w:rsidR="00DC1275" w:rsidRPr="00F60484" w:rsidRDefault="00DC1275" w:rsidP="00DC1275">
      <w:pPr>
        <w:pStyle w:val="Textpoznmkypodiarou"/>
      </w:pPr>
      <w:r>
        <w:rPr>
          <w:rStyle w:val="Odkaznapoznmkupodiarou"/>
        </w:rPr>
        <w:footnoteRef/>
      </w:r>
      <w:r>
        <w:t xml:space="preserve"> </w:t>
      </w:r>
      <w:r>
        <w:t xml:space="preserve">TOMUSCHAT, </w:t>
      </w:r>
      <w:r w:rsidRPr="00B06087">
        <w:rPr>
          <w:lang w:val="en-US"/>
        </w:rPr>
        <w:t xml:space="preserve">Christian. </w:t>
      </w:r>
      <w:proofErr w:type="gramStart"/>
      <w:r w:rsidRPr="00B06087">
        <w:rPr>
          <w:i/>
          <w:lang w:val="en-US"/>
        </w:rPr>
        <w:t>Human Rights (Between Idealism and Realism).</w:t>
      </w:r>
      <w:proofErr w:type="gramEnd"/>
      <w:r>
        <w:rPr>
          <w:i/>
          <w:lang w:val="en-US"/>
        </w:rPr>
        <w:t xml:space="preserve"> </w:t>
      </w:r>
      <w:proofErr w:type="gramStart"/>
      <w:r>
        <w:rPr>
          <w:lang w:val="en-US"/>
        </w:rPr>
        <w:t>2</w:t>
      </w:r>
      <w:r w:rsidRPr="004C5DD4">
        <w:rPr>
          <w:vertAlign w:val="superscript"/>
          <w:lang w:val="en-US"/>
        </w:rPr>
        <w:t>nd</w:t>
      </w:r>
      <w:r w:rsidRPr="00B06087">
        <w:rPr>
          <w:lang w:val="en-US"/>
        </w:rPr>
        <w:t xml:space="preserve"> </w:t>
      </w:r>
      <w:r>
        <w:rPr>
          <w:lang w:val="en-US"/>
        </w:rPr>
        <w:t>edition</w:t>
      </w:r>
      <w:r w:rsidRPr="00B06087">
        <w:rPr>
          <w:lang w:val="en-US"/>
        </w:rPr>
        <w:t>.</w:t>
      </w:r>
      <w:proofErr w:type="gramEnd"/>
      <w:r w:rsidRPr="00B06087">
        <w:rPr>
          <w:lang w:val="en-US"/>
        </w:rPr>
        <w:t xml:space="preserve"> New York: Oxford University Press</w:t>
      </w:r>
      <w:r>
        <w:t>, 2008, s. 239.</w:t>
      </w:r>
    </w:p>
  </w:footnote>
  <w:footnote w:id="7">
    <w:p w:rsidR="00DC1275" w:rsidRPr="00BB6A1D" w:rsidRDefault="00DC1275" w:rsidP="00DC1275">
      <w:pPr>
        <w:pStyle w:val="Textpoznmkypodiarou"/>
        <w:tabs>
          <w:tab w:val="left" w:pos="6804"/>
        </w:tabs>
      </w:pPr>
      <w:r>
        <w:rPr>
          <w:rStyle w:val="Odkaznapoznmkupodiarou"/>
        </w:rPr>
        <w:footnoteRef/>
      </w:r>
      <w:r>
        <w:t xml:space="preserve"> </w:t>
      </w:r>
      <w:r>
        <w:t xml:space="preserve">SVÁK, Ján. </w:t>
      </w:r>
      <w:r>
        <w:rPr>
          <w:i/>
        </w:rPr>
        <w:t>Ochrana ľudských práv...</w:t>
      </w:r>
      <w:r>
        <w:t>, s. 29 – 41.</w:t>
      </w:r>
    </w:p>
  </w:footnote>
  <w:footnote w:id="8">
    <w:p w:rsidR="00DC1275" w:rsidRPr="00535523" w:rsidRDefault="00DC1275" w:rsidP="00DC1275">
      <w:pPr>
        <w:pStyle w:val="Textpoznmkypodiarou"/>
      </w:pPr>
      <w:r w:rsidRPr="00535523">
        <w:rPr>
          <w:rStyle w:val="Odkaznapoznmkupodiarou"/>
        </w:rPr>
        <w:footnoteRef/>
      </w:r>
      <w:r w:rsidRPr="00535523">
        <w:t xml:space="preserve"> </w:t>
      </w:r>
      <w:r w:rsidRPr="00535523">
        <w:rPr>
          <w:lang w:val="en-US"/>
        </w:rPr>
        <w:t xml:space="preserve">HARRIS, D.J. a </w:t>
      </w:r>
      <w:proofErr w:type="spellStart"/>
      <w:r w:rsidRPr="00535523">
        <w:rPr>
          <w:lang w:val="en-US"/>
        </w:rPr>
        <w:t>kol</w:t>
      </w:r>
      <w:proofErr w:type="spellEnd"/>
      <w:r w:rsidRPr="00535523">
        <w:rPr>
          <w:lang w:val="en-US"/>
        </w:rPr>
        <w:t xml:space="preserve">. </w:t>
      </w:r>
      <w:proofErr w:type="gramStart"/>
      <w:r w:rsidRPr="00535523">
        <w:rPr>
          <w:i/>
          <w:lang w:val="en-US"/>
        </w:rPr>
        <w:t>Law of the European Convention on Human Rights</w:t>
      </w:r>
      <w:r>
        <w:rPr>
          <w:lang w:val="en-US"/>
        </w:rPr>
        <w:t>.</w:t>
      </w:r>
      <w:proofErr w:type="gramEnd"/>
      <w:r>
        <w:rPr>
          <w:lang w:val="en-US"/>
        </w:rPr>
        <w:t xml:space="preserve"> </w:t>
      </w:r>
      <w:proofErr w:type="gramStart"/>
      <w:r>
        <w:rPr>
          <w:lang w:val="en-US"/>
        </w:rPr>
        <w:t>2</w:t>
      </w:r>
      <w:r w:rsidRPr="004C5DD4">
        <w:rPr>
          <w:vertAlign w:val="superscript"/>
          <w:lang w:val="en-US"/>
        </w:rPr>
        <w:t>nd</w:t>
      </w:r>
      <w:r w:rsidRPr="00535523">
        <w:rPr>
          <w:lang w:val="en-US"/>
        </w:rPr>
        <w:t xml:space="preserve"> </w:t>
      </w:r>
      <w:proofErr w:type="spellStart"/>
      <w:r>
        <w:t>edition</w:t>
      </w:r>
      <w:proofErr w:type="spellEnd"/>
      <w:r w:rsidRPr="00535523">
        <w:rPr>
          <w:lang w:val="en-US"/>
        </w:rPr>
        <w:t>.</w:t>
      </w:r>
      <w:proofErr w:type="gramEnd"/>
      <w:r w:rsidRPr="00535523">
        <w:rPr>
          <w:lang w:val="en-US"/>
        </w:rPr>
        <w:t xml:space="preserve"> New York: Oxford University Press, 2009, s. 1-2.</w:t>
      </w:r>
    </w:p>
  </w:footnote>
  <w:footnote w:id="9">
    <w:p w:rsidR="00DC1275" w:rsidRDefault="00DC1275" w:rsidP="00DC1275">
      <w:pPr>
        <w:pStyle w:val="Textpoznmkypodiarou"/>
      </w:pPr>
      <w:r w:rsidRPr="0040573D">
        <w:rPr>
          <w:rStyle w:val="Odkaznapoznmkupodiarou"/>
        </w:rPr>
        <w:footnoteRef/>
      </w:r>
      <w:r w:rsidRPr="0040573D">
        <w:t xml:space="preserve"> </w:t>
      </w:r>
      <w:r w:rsidRPr="0040573D">
        <w:rPr>
          <w:lang w:val="en-US"/>
        </w:rPr>
        <w:t xml:space="preserve">HUBÁLKOVÁ, Eva. </w:t>
      </w:r>
      <w:r w:rsidRPr="0040573D">
        <w:rPr>
          <w:i/>
          <w:lang w:val="cs-CZ"/>
        </w:rPr>
        <w:t>Evropská</w:t>
      </w:r>
      <w:r w:rsidRPr="004C5C82">
        <w:rPr>
          <w:i/>
          <w:lang w:val="cs-CZ"/>
        </w:rPr>
        <w:t xml:space="preserve"> úmluva o lidských právech a Česká republika (Judikatura a řízení před Evropským soudem pro lidská práva).</w:t>
      </w:r>
      <w:r>
        <w:rPr>
          <w:lang w:val="en-US"/>
        </w:rPr>
        <w:t xml:space="preserve"> 1. </w:t>
      </w:r>
      <w:proofErr w:type="spellStart"/>
      <w:proofErr w:type="gramStart"/>
      <w:r>
        <w:t>vydání</w:t>
      </w:r>
      <w:proofErr w:type="spellEnd"/>
      <w:proofErr w:type="gramEnd"/>
      <w:r>
        <w:rPr>
          <w:lang w:val="en-US"/>
        </w:rPr>
        <w:t xml:space="preserve">. </w:t>
      </w:r>
      <w:proofErr w:type="spellStart"/>
      <w:r>
        <w:rPr>
          <w:lang w:val="en-US"/>
        </w:rPr>
        <w:t>Praha</w:t>
      </w:r>
      <w:proofErr w:type="spellEnd"/>
      <w:r>
        <w:rPr>
          <w:lang w:val="en-US"/>
        </w:rPr>
        <w:t xml:space="preserve">: </w:t>
      </w:r>
      <w:proofErr w:type="spellStart"/>
      <w:r>
        <w:rPr>
          <w:lang w:val="en-US"/>
        </w:rPr>
        <w:t>Linde</w:t>
      </w:r>
      <w:proofErr w:type="spellEnd"/>
      <w:r>
        <w:rPr>
          <w:lang w:val="en-US"/>
        </w:rPr>
        <w:t xml:space="preserve"> </w:t>
      </w:r>
      <w:proofErr w:type="spellStart"/>
      <w:r>
        <w:rPr>
          <w:lang w:val="en-US"/>
        </w:rPr>
        <w:t>Praha</w:t>
      </w:r>
      <w:proofErr w:type="spellEnd"/>
      <w:r>
        <w:rPr>
          <w:lang w:val="en-US"/>
        </w:rPr>
        <w:t xml:space="preserve">, </w:t>
      </w:r>
      <w:proofErr w:type="spellStart"/>
      <w:proofErr w:type="gramStart"/>
      <w:r>
        <w:rPr>
          <w:lang w:val="en-US"/>
        </w:rPr>
        <w:t>a.s</w:t>
      </w:r>
      <w:proofErr w:type="spellEnd"/>
      <w:proofErr w:type="gramEnd"/>
      <w:r>
        <w:rPr>
          <w:lang w:val="en-US"/>
        </w:rPr>
        <w:t>., 2003, s. 10.</w:t>
      </w:r>
    </w:p>
  </w:footnote>
  <w:footnote w:id="10">
    <w:p w:rsidR="00DC1275" w:rsidRDefault="00DC1275" w:rsidP="00DC1275">
      <w:pPr>
        <w:spacing w:line="240" w:lineRule="auto"/>
      </w:pPr>
      <w:r>
        <w:rPr>
          <w:rStyle w:val="Odkaznapoznmkupodiarou"/>
        </w:rPr>
        <w:footnoteRef/>
      </w:r>
      <w:r>
        <w:t xml:space="preserve"> </w:t>
      </w:r>
      <w:r w:rsidRPr="009C103D">
        <w:rPr>
          <w:sz w:val="20"/>
          <w:szCs w:val="20"/>
        </w:rPr>
        <w:t>PIROŠÍKOVÁ</w:t>
      </w:r>
      <w:r w:rsidRPr="009C103D">
        <w:rPr>
          <w:rFonts w:eastAsia="Calibri" w:cs="Times New Roman"/>
          <w:sz w:val="20"/>
          <w:szCs w:val="20"/>
        </w:rPr>
        <w:t xml:space="preserve">, </w:t>
      </w:r>
      <w:proofErr w:type="spellStart"/>
      <w:r w:rsidRPr="009C103D">
        <w:rPr>
          <w:rFonts w:eastAsia="Calibri" w:cs="Times New Roman"/>
          <w:sz w:val="20"/>
          <w:szCs w:val="20"/>
        </w:rPr>
        <w:t>Marica</w:t>
      </w:r>
      <w:proofErr w:type="spellEnd"/>
      <w:r w:rsidRPr="009C103D">
        <w:rPr>
          <w:sz w:val="20"/>
          <w:szCs w:val="20"/>
        </w:rPr>
        <w:t xml:space="preserve">. </w:t>
      </w:r>
      <w:r w:rsidRPr="009C103D">
        <w:rPr>
          <w:i/>
          <w:sz w:val="20"/>
          <w:szCs w:val="20"/>
        </w:rPr>
        <w:t>Komentár k </w:t>
      </w:r>
      <w:r w:rsidRPr="009D4AC9">
        <w:rPr>
          <w:i/>
          <w:sz w:val="20"/>
          <w:szCs w:val="20"/>
        </w:rPr>
        <w:t>vybraným</w:t>
      </w:r>
      <w:r w:rsidRPr="009C103D">
        <w:rPr>
          <w:i/>
          <w:sz w:val="20"/>
          <w:szCs w:val="20"/>
        </w:rPr>
        <w:t xml:space="preserve"> článkom Dohovoru o ochrane ľudských práv a základných slobôd.</w:t>
      </w:r>
      <w:r w:rsidRPr="009C103D">
        <w:rPr>
          <w:sz w:val="20"/>
          <w:szCs w:val="20"/>
        </w:rPr>
        <w:t xml:space="preserve"> 1. vydanie. Bratislava: EUROIURIS – Európske pr</w:t>
      </w:r>
      <w:r>
        <w:rPr>
          <w:sz w:val="20"/>
          <w:szCs w:val="20"/>
        </w:rPr>
        <w:t xml:space="preserve">ávne centrum, </w:t>
      </w:r>
      <w:proofErr w:type="spellStart"/>
      <w:r>
        <w:rPr>
          <w:sz w:val="20"/>
          <w:szCs w:val="20"/>
        </w:rPr>
        <w:t>o.z</w:t>
      </w:r>
      <w:proofErr w:type="spellEnd"/>
      <w:r>
        <w:rPr>
          <w:sz w:val="20"/>
          <w:szCs w:val="20"/>
        </w:rPr>
        <w:t>., 2007, s. 21-22</w:t>
      </w:r>
      <w:r w:rsidRPr="009C103D">
        <w:rPr>
          <w:sz w:val="20"/>
          <w:szCs w:val="20"/>
        </w:rPr>
        <w:t>.</w:t>
      </w:r>
    </w:p>
  </w:footnote>
  <w:footnote w:id="11">
    <w:p w:rsidR="00DC1275" w:rsidRPr="005538CD" w:rsidRDefault="00DC1275" w:rsidP="00DC1275">
      <w:pPr>
        <w:pStyle w:val="Textpoznmkypodiarou"/>
        <w:rPr>
          <w:lang w:val="en-US"/>
        </w:rPr>
      </w:pPr>
      <w:r w:rsidRPr="005538CD">
        <w:rPr>
          <w:rStyle w:val="Odkaznapoznmkupodiarou"/>
          <w:lang w:val="en-US"/>
        </w:rPr>
        <w:footnoteRef/>
      </w:r>
      <w:r>
        <w:rPr>
          <w:lang w:val="en-US"/>
        </w:rPr>
        <w:t xml:space="preserve"> HARRIS: </w:t>
      </w:r>
      <w:r w:rsidRPr="00B26AE4">
        <w:rPr>
          <w:i/>
          <w:lang w:val="en-US"/>
        </w:rPr>
        <w:t>Law of the European</w:t>
      </w:r>
      <w:r>
        <w:rPr>
          <w:i/>
          <w:lang w:val="en-US"/>
        </w:rPr>
        <w:t xml:space="preserve"> Convention…</w:t>
      </w:r>
      <w:r>
        <w:rPr>
          <w:lang w:val="en-US"/>
        </w:rPr>
        <w:t>, s. 1-2.</w:t>
      </w:r>
    </w:p>
  </w:footnote>
  <w:footnote w:id="12">
    <w:p w:rsidR="00DC1275" w:rsidRDefault="00DC1275" w:rsidP="00DC1275">
      <w:pPr>
        <w:spacing w:line="240" w:lineRule="auto"/>
      </w:pPr>
      <w:r>
        <w:rPr>
          <w:rStyle w:val="Odkaznapoznmkupodiarou"/>
        </w:rPr>
        <w:footnoteRef/>
      </w:r>
      <w:r>
        <w:rPr>
          <w:sz w:val="20"/>
          <w:szCs w:val="20"/>
        </w:rPr>
        <w:t xml:space="preserve"> </w:t>
      </w:r>
      <w:r w:rsidRPr="009C103D">
        <w:rPr>
          <w:sz w:val="20"/>
          <w:szCs w:val="20"/>
        </w:rPr>
        <w:t>PIROŠÍKOVÁ</w:t>
      </w:r>
      <w:r>
        <w:rPr>
          <w:rFonts w:eastAsia="Calibri" w:cs="Times New Roman"/>
          <w:sz w:val="20"/>
          <w:szCs w:val="20"/>
        </w:rPr>
        <w:t xml:space="preserve">: </w:t>
      </w:r>
      <w:r w:rsidRPr="009C103D">
        <w:rPr>
          <w:i/>
          <w:sz w:val="20"/>
          <w:szCs w:val="20"/>
        </w:rPr>
        <w:t>Kome</w:t>
      </w:r>
      <w:r>
        <w:rPr>
          <w:i/>
          <w:sz w:val="20"/>
          <w:szCs w:val="20"/>
        </w:rPr>
        <w:t>ntár k vybraným článkom Dohovoru...</w:t>
      </w:r>
      <w:r>
        <w:rPr>
          <w:sz w:val="20"/>
          <w:szCs w:val="20"/>
        </w:rPr>
        <w:t>,</w:t>
      </w:r>
      <w:r w:rsidRPr="009C103D">
        <w:rPr>
          <w:sz w:val="20"/>
          <w:szCs w:val="20"/>
        </w:rPr>
        <w:t xml:space="preserve"> </w:t>
      </w:r>
      <w:r>
        <w:rPr>
          <w:sz w:val="20"/>
          <w:szCs w:val="20"/>
        </w:rPr>
        <w:t>s. 21-22</w:t>
      </w:r>
      <w:r w:rsidRPr="009C103D">
        <w:rPr>
          <w:sz w:val="20"/>
          <w:szCs w:val="20"/>
        </w:rPr>
        <w:t>.</w:t>
      </w:r>
    </w:p>
  </w:footnote>
  <w:footnote w:id="13">
    <w:p w:rsidR="00DC1275" w:rsidRDefault="00DC1275" w:rsidP="00DC1275">
      <w:pPr>
        <w:pStyle w:val="Textpoznmkypodiarou"/>
      </w:pPr>
      <w:r>
        <w:rPr>
          <w:rStyle w:val="Odkaznapoznmkupodiarou"/>
        </w:rPr>
        <w:footnoteRef/>
      </w:r>
      <w:r>
        <w:t xml:space="preserve"> </w:t>
      </w:r>
      <w:r>
        <w:rPr>
          <w:lang w:val="en-US"/>
        </w:rPr>
        <w:t xml:space="preserve">HARRIS: </w:t>
      </w:r>
      <w:r w:rsidRPr="00B26AE4">
        <w:rPr>
          <w:i/>
          <w:lang w:val="en-US"/>
        </w:rPr>
        <w:t>Law</w:t>
      </w:r>
      <w:r w:rsidRPr="00AF18A4">
        <w:rPr>
          <w:i/>
          <w:lang w:val="en-US"/>
        </w:rPr>
        <w:t xml:space="preserve"> </w:t>
      </w:r>
      <w:r w:rsidRPr="00B26AE4">
        <w:rPr>
          <w:i/>
          <w:lang w:val="en-US"/>
        </w:rPr>
        <w:t>of the European Convention</w:t>
      </w:r>
      <w:r>
        <w:rPr>
          <w:i/>
          <w:lang w:val="en-US"/>
        </w:rPr>
        <w:t>…</w:t>
      </w:r>
      <w:r>
        <w:rPr>
          <w:lang w:val="en-US"/>
        </w:rPr>
        <w:t>, s. 2.</w:t>
      </w:r>
    </w:p>
  </w:footnote>
  <w:footnote w:id="14">
    <w:p w:rsidR="00DC1275" w:rsidRDefault="00DC1275" w:rsidP="00DC1275">
      <w:pPr>
        <w:pStyle w:val="Textpoznmkypodiarou"/>
      </w:pPr>
      <w:r>
        <w:rPr>
          <w:rStyle w:val="Odkaznapoznmkupodiarou"/>
        </w:rPr>
        <w:footnoteRef/>
      </w:r>
      <w:r>
        <w:t xml:space="preserve"> </w:t>
      </w:r>
      <w:r>
        <w:t xml:space="preserve">CAMERON, </w:t>
      </w:r>
      <w:proofErr w:type="spellStart"/>
      <w:r>
        <w:t>Iain</w:t>
      </w:r>
      <w:proofErr w:type="spellEnd"/>
      <w:r>
        <w:t xml:space="preserve">. </w:t>
      </w:r>
      <w:r w:rsidRPr="00205DB7">
        <w:rPr>
          <w:i/>
        </w:rPr>
        <w:t>Úvod do Európskeho dohovoru o ľudských právach</w:t>
      </w:r>
      <w:r>
        <w:t>. 1. vydanie. Bratislava: VEDA, 2000, s. 18-19.</w:t>
      </w:r>
    </w:p>
  </w:footnote>
  <w:footnote w:id="15">
    <w:p w:rsidR="00DC1275" w:rsidRDefault="00DC1275" w:rsidP="00DC1275">
      <w:pPr>
        <w:pStyle w:val="Textpoznmkypodiarou"/>
      </w:pPr>
      <w:r>
        <w:rPr>
          <w:rStyle w:val="Odkaznapoznmkupodiarou"/>
        </w:rPr>
        <w:footnoteRef/>
      </w:r>
      <w:r>
        <w:t xml:space="preserve"> </w:t>
      </w:r>
      <w:r>
        <w:t xml:space="preserve">ŠIŠKOVÁ, </w:t>
      </w:r>
      <w:proofErr w:type="spellStart"/>
      <w:r>
        <w:t>Naděžda</w:t>
      </w:r>
      <w:proofErr w:type="spellEnd"/>
      <w:r>
        <w:t xml:space="preserve">. </w:t>
      </w:r>
      <w:proofErr w:type="spellStart"/>
      <w:r w:rsidRPr="000B2648">
        <w:rPr>
          <w:i/>
        </w:rPr>
        <w:t>Dimenze</w:t>
      </w:r>
      <w:proofErr w:type="spellEnd"/>
      <w:r w:rsidRPr="000B2648">
        <w:rPr>
          <w:i/>
        </w:rPr>
        <w:t xml:space="preserve"> ochrany </w:t>
      </w:r>
      <w:proofErr w:type="spellStart"/>
      <w:r w:rsidRPr="000B2648">
        <w:rPr>
          <w:i/>
        </w:rPr>
        <w:t>lidských</w:t>
      </w:r>
      <w:proofErr w:type="spellEnd"/>
      <w:r w:rsidRPr="000B2648">
        <w:rPr>
          <w:i/>
        </w:rPr>
        <w:t xml:space="preserve"> práv v </w:t>
      </w:r>
      <w:proofErr w:type="spellStart"/>
      <w:r w:rsidRPr="000B2648">
        <w:rPr>
          <w:i/>
        </w:rPr>
        <w:t>Evropské</w:t>
      </w:r>
      <w:proofErr w:type="spellEnd"/>
      <w:r w:rsidRPr="000B2648">
        <w:rPr>
          <w:i/>
        </w:rPr>
        <w:t xml:space="preserve"> </w:t>
      </w:r>
      <w:proofErr w:type="spellStart"/>
      <w:r w:rsidRPr="000B2648">
        <w:rPr>
          <w:i/>
        </w:rPr>
        <w:t>unii</w:t>
      </w:r>
      <w:proofErr w:type="spellEnd"/>
      <w:r w:rsidRPr="000B2648">
        <w:rPr>
          <w:i/>
        </w:rPr>
        <w:t>.</w:t>
      </w:r>
      <w:r>
        <w:t xml:space="preserve"> 2. </w:t>
      </w:r>
      <w:proofErr w:type="spellStart"/>
      <w:r>
        <w:t>vydání</w:t>
      </w:r>
      <w:proofErr w:type="spellEnd"/>
      <w:r>
        <w:t>. Praha: Linde Praha, a.s., 2008, s. 110 – 111.</w:t>
      </w:r>
    </w:p>
  </w:footnote>
  <w:footnote w:id="16">
    <w:p w:rsidR="00DC1275" w:rsidRDefault="00DC1275" w:rsidP="00DC1275">
      <w:pPr>
        <w:pStyle w:val="Textpoznmkypodiarou"/>
      </w:pPr>
      <w:r>
        <w:rPr>
          <w:rStyle w:val="Odkaznapoznmkupodiarou"/>
        </w:rPr>
        <w:footnoteRef/>
      </w:r>
      <w:r>
        <w:t xml:space="preserve"> </w:t>
      </w:r>
      <w:r>
        <w:t xml:space="preserve">CAMERON: </w:t>
      </w:r>
      <w:r>
        <w:rPr>
          <w:i/>
        </w:rPr>
        <w:t>Úvod do Európskeho dohovoru...</w:t>
      </w:r>
      <w:r>
        <w:t>, s. 18-19.</w:t>
      </w:r>
    </w:p>
  </w:footnote>
  <w:footnote w:id="17">
    <w:p w:rsidR="00DC1275" w:rsidRDefault="00DC1275" w:rsidP="00DC1275">
      <w:pPr>
        <w:pStyle w:val="Textpoznmkypodiarou"/>
      </w:pPr>
      <w:r>
        <w:rPr>
          <w:rStyle w:val="Odkaznapoznmkupodiarou"/>
        </w:rPr>
        <w:footnoteRef/>
      </w:r>
      <w:r>
        <w:t xml:space="preserve"> </w:t>
      </w:r>
      <w:r>
        <w:t xml:space="preserve">ŠIŠKOVÁ: </w:t>
      </w:r>
      <w:proofErr w:type="spellStart"/>
      <w:r w:rsidRPr="000B2648">
        <w:rPr>
          <w:i/>
        </w:rPr>
        <w:t>Dimenze</w:t>
      </w:r>
      <w:proofErr w:type="spellEnd"/>
      <w:r w:rsidRPr="000B2648">
        <w:rPr>
          <w:i/>
        </w:rPr>
        <w:t xml:space="preserve"> ochrany </w:t>
      </w:r>
      <w:proofErr w:type="spellStart"/>
      <w:r w:rsidRPr="000B2648">
        <w:rPr>
          <w:i/>
        </w:rPr>
        <w:t>lidských</w:t>
      </w:r>
      <w:proofErr w:type="spellEnd"/>
      <w:r w:rsidRPr="000B2648">
        <w:rPr>
          <w:i/>
        </w:rPr>
        <w:t xml:space="preserve"> práv</w:t>
      </w:r>
      <w:r>
        <w:rPr>
          <w:i/>
        </w:rPr>
        <w:t>...</w:t>
      </w:r>
      <w:r>
        <w:t>, s. 112.</w:t>
      </w:r>
    </w:p>
  </w:footnote>
  <w:footnote w:id="18">
    <w:p w:rsidR="00DC1275" w:rsidRDefault="00DC1275" w:rsidP="00DC1275">
      <w:pPr>
        <w:pStyle w:val="Textpoznmkypodiarou"/>
      </w:pPr>
      <w:r>
        <w:rPr>
          <w:rStyle w:val="Odkaznapoznmkupodiarou"/>
        </w:rPr>
        <w:footnoteRef/>
      </w:r>
      <w:r>
        <w:t xml:space="preserve"> </w:t>
      </w:r>
      <w:r>
        <w:rPr>
          <w:lang w:val="en-US"/>
        </w:rPr>
        <w:t xml:space="preserve">HUBÁLKOVÁ: </w:t>
      </w:r>
      <w:r w:rsidRPr="004C5C82">
        <w:rPr>
          <w:i/>
          <w:lang w:val="cs-CZ"/>
        </w:rPr>
        <w:t>Evropská úmluva o lidských právech</w:t>
      </w:r>
      <w:r>
        <w:rPr>
          <w:i/>
          <w:lang w:val="cs-CZ"/>
        </w:rPr>
        <w:t>…</w:t>
      </w:r>
      <w:r>
        <w:rPr>
          <w:lang w:val="en-US"/>
        </w:rPr>
        <w:t>, s. 14-35.</w:t>
      </w:r>
    </w:p>
  </w:footnote>
  <w:footnote w:id="19">
    <w:p w:rsidR="00DC1275" w:rsidRDefault="00DC1275" w:rsidP="00DC1275">
      <w:pPr>
        <w:pStyle w:val="Textpoznmkypodiarou"/>
      </w:pPr>
      <w:r>
        <w:rPr>
          <w:rStyle w:val="Odkaznapoznmkupodiarou"/>
        </w:rPr>
        <w:footnoteRef/>
      </w:r>
      <w:r>
        <w:t xml:space="preserve"> </w:t>
      </w:r>
      <w:r>
        <w:t xml:space="preserve">ŠIŠKOVÁ: </w:t>
      </w:r>
      <w:proofErr w:type="spellStart"/>
      <w:r w:rsidRPr="000B2648">
        <w:rPr>
          <w:i/>
        </w:rPr>
        <w:t>Dimenze</w:t>
      </w:r>
      <w:proofErr w:type="spellEnd"/>
      <w:r w:rsidRPr="000B2648">
        <w:rPr>
          <w:i/>
        </w:rPr>
        <w:t xml:space="preserve"> ochrany </w:t>
      </w:r>
      <w:proofErr w:type="spellStart"/>
      <w:r w:rsidRPr="000B2648">
        <w:rPr>
          <w:i/>
        </w:rPr>
        <w:t>lidských</w:t>
      </w:r>
      <w:proofErr w:type="spellEnd"/>
      <w:r w:rsidRPr="000B2648">
        <w:rPr>
          <w:i/>
        </w:rPr>
        <w:t xml:space="preserve"> práv</w:t>
      </w:r>
      <w:r>
        <w:rPr>
          <w:i/>
        </w:rPr>
        <w:t>...</w:t>
      </w:r>
      <w:r>
        <w:t>, s. 113.</w:t>
      </w:r>
    </w:p>
  </w:footnote>
  <w:footnote w:id="20">
    <w:p w:rsidR="00DC1275" w:rsidRDefault="00DC1275" w:rsidP="00DC1275">
      <w:pPr>
        <w:pStyle w:val="Textpoznmkypodiarou"/>
      </w:pPr>
      <w:r>
        <w:rPr>
          <w:rStyle w:val="Odkaznapoznmkupodiarou"/>
        </w:rPr>
        <w:footnoteRef/>
      </w:r>
      <w:r>
        <w:t xml:space="preserve">  </w:t>
      </w:r>
      <w:r>
        <w:rPr>
          <w:lang w:val="en-US"/>
        </w:rPr>
        <w:t xml:space="preserve">HUBÁLKOVÁ: </w:t>
      </w:r>
      <w:r w:rsidRPr="004C5C82">
        <w:rPr>
          <w:i/>
          <w:lang w:val="cs-CZ"/>
        </w:rPr>
        <w:t>Evropská úmluva o lidských právech</w:t>
      </w:r>
      <w:r>
        <w:rPr>
          <w:i/>
          <w:lang w:val="cs-CZ"/>
        </w:rPr>
        <w:t>…</w:t>
      </w:r>
      <w:r>
        <w:rPr>
          <w:lang w:val="en-US"/>
        </w:rPr>
        <w:t>, s. 14-35.</w:t>
      </w:r>
    </w:p>
  </w:footnote>
  <w:footnote w:id="21">
    <w:p w:rsidR="00DC1275" w:rsidRPr="004C5DD4" w:rsidRDefault="00DC1275" w:rsidP="00DC1275">
      <w:pPr>
        <w:pStyle w:val="Textpoznmkypodiarou"/>
      </w:pPr>
      <w:r w:rsidRPr="004C5DD4">
        <w:rPr>
          <w:rStyle w:val="Odkaznapoznmkupodiarou"/>
        </w:rPr>
        <w:footnoteRef/>
      </w:r>
      <w:r w:rsidRPr="004C5DD4">
        <w:t xml:space="preserve"> </w:t>
      </w:r>
      <w:r w:rsidRPr="004C5DD4">
        <w:rPr>
          <w:rFonts w:cs="Times New Roman"/>
        </w:rPr>
        <w:t xml:space="preserve">HUBÁLKOVÁ, Eva. Stručná </w:t>
      </w:r>
      <w:proofErr w:type="spellStart"/>
      <w:r w:rsidRPr="004C5DD4">
        <w:rPr>
          <w:rFonts w:cs="Times New Roman"/>
        </w:rPr>
        <w:t>rukojeť</w:t>
      </w:r>
      <w:proofErr w:type="spellEnd"/>
      <w:r w:rsidRPr="004C5DD4">
        <w:rPr>
          <w:rFonts w:cs="Times New Roman"/>
        </w:rPr>
        <w:t xml:space="preserve"> českého advokáta k </w:t>
      </w:r>
      <w:proofErr w:type="spellStart"/>
      <w:r w:rsidRPr="004C5DD4">
        <w:rPr>
          <w:rFonts w:cs="Times New Roman"/>
        </w:rPr>
        <w:t>Evropské</w:t>
      </w:r>
      <w:proofErr w:type="spellEnd"/>
      <w:r w:rsidRPr="004C5DD4">
        <w:rPr>
          <w:rFonts w:cs="Times New Roman"/>
        </w:rPr>
        <w:t xml:space="preserve"> </w:t>
      </w:r>
      <w:proofErr w:type="spellStart"/>
      <w:r w:rsidRPr="004C5DD4">
        <w:rPr>
          <w:rFonts w:cs="Times New Roman"/>
        </w:rPr>
        <w:t>úmluvě</w:t>
      </w:r>
      <w:proofErr w:type="spellEnd"/>
      <w:r w:rsidRPr="004C5DD4">
        <w:rPr>
          <w:rFonts w:cs="Times New Roman"/>
        </w:rPr>
        <w:t xml:space="preserve"> o </w:t>
      </w:r>
      <w:proofErr w:type="spellStart"/>
      <w:r w:rsidRPr="004C5DD4">
        <w:rPr>
          <w:rFonts w:cs="Times New Roman"/>
        </w:rPr>
        <w:t>lidských</w:t>
      </w:r>
      <w:proofErr w:type="spellEnd"/>
      <w:r w:rsidRPr="004C5DD4">
        <w:rPr>
          <w:rFonts w:cs="Times New Roman"/>
        </w:rPr>
        <w:t xml:space="preserve"> </w:t>
      </w:r>
      <w:proofErr w:type="spellStart"/>
      <w:r w:rsidRPr="004C5DD4">
        <w:rPr>
          <w:rFonts w:cs="Times New Roman"/>
        </w:rPr>
        <w:t>právech</w:t>
      </w:r>
      <w:proofErr w:type="spellEnd"/>
      <w:r w:rsidRPr="004C5DD4">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2008, roč. 14, </w:t>
      </w:r>
      <w:proofErr w:type="spellStart"/>
      <w:r w:rsidRPr="004C5DD4">
        <w:rPr>
          <w:rFonts w:cs="Times New Roman"/>
        </w:rPr>
        <w:t>zvláš</w:t>
      </w:r>
      <w:r>
        <w:rPr>
          <w:rFonts w:cs="Times New Roman"/>
        </w:rPr>
        <w:t>tní</w:t>
      </w:r>
      <w:proofErr w:type="spellEnd"/>
      <w:r>
        <w:rPr>
          <w:rFonts w:cs="Times New Roman"/>
        </w:rPr>
        <w:t xml:space="preserve"> číslo, s. </w:t>
      </w:r>
      <w:r w:rsidRPr="004C5DD4">
        <w:rPr>
          <w:rFonts w:cs="Times New Roman"/>
        </w:rPr>
        <w:t>37.</w:t>
      </w:r>
    </w:p>
  </w:footnote>
  <w:footnote w:id="22">
    <w:p w:rsidR="00DC1275" w:rsidRDefault="00DC1275" w:rsidP="00DC1275">
      <w:pPr>
        <w:pStyle w:val="Textpoznmkypodiarou"/>
      </w:pPr>
      <w:r>
        <w:rPr>
          <w:rStyle w:val="Odkaznapoznmkupodiarou"/>
        </w:rPr>
        <w:footnoteRef/>
      </w:r>
      <w:r>
        <w:t xml:space="preserve"> </w:t>
      </w:r>
      <w:r>
        <w:rPr>
          <w:lang w:val="en-US"/>
        </w:rPr>
        <w:t xml:space="preserve">HUBÁLKOVÁ: </w:t>
      </w:r>
      <w:r w:rsidRPr="004C5C82">
        <w:rPr>
          <w:i/>
          <w:lang w:val="cs-CZ"/>
        </w:rPr>
        <w:t>Evropská úmluva o lidských právech</w:t>
      </w:r>
      <w:r>
        <w:rPr>
          <w:i/>
          <w:lang w:val="cs-CZ"/>
        </w:rPr>
        <w:t>…</w:t>
      </w:r>
      <w:r>
        <w:rPr>
          <w:lang w:val="en-US"/>
        </w:rPr>
        <w:t>, s. 14-35.</w:t>
      </w:r>
    </w:p>
  </w:footnote>
  <w:footnote w:id="23">
    <w:p w:rsidR="00DC1275" w:rsidRPr="00825D38" w:rsidRDefault="00DC1275" w:rsidP="00DC1275">
      <w:pPr>
        <w:pStyle w:val="Textpoznmkypodiarou"/>
        <w:rPr>
          <w:highlight w:val="yellow"/>
        </w:rPr>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40 – 41.</w:t>
      </w:r>
    </w:p>
  </w:footnote>
  <w:footnote w:id="24">
    <w:p w:rsidR="00DC1275" w:rsidRDefault="00DC1275" w:rsidP="00DC1275">
      <w:pPr>
        <w:pStyle w:val="Textpoznmkypodiarou"/>
      </w:pPr>
      <w:r>
        <w:rPr>
          <w:rStyle w:val="Odkaznapoznmkupodiarou"/>
        </w:rPr>
        <w:footnoteRef/>
      </w:r>
      <w:r>
        <w:t xml:space="preserve"> </w:t>
      </w:r>
      <w:r>
        <w:t xml:space="preserve">ŠIŠKOVÁ: </w:t>
      </w:r>
      <w:proofErr w:type="spellStart"/>
      <w:r>
        <w:rPr>
          <w:i/>
        </w:rPr>
        <w:t>Dimenze</w:t>
      </w:r>
      <w:proofErr w:type="spellEnd"/>
      <w:r>
        <w:rPr>
          <w:i/>
        </w:rPr>
        <w:t xml:space="preserve"> ochrany </w:t>
      </w:r>
      <w:proofErr w:type="spellStart"/>
      <w:r>
        <w:rPr>
          <w:i/>
        </w:rPr>
        <w:t>lidských</w:t>
      </w:r>
      <w:proofErr w:type="spellEnd"/>
      <w:r>
        <w:rPr>
          <w:i/>
        </w:rPr>
        <w:t xml:space="preserve"> práv...</w:t>
      </w:r>
      <w:r>
        <w:t>, s. 113 - 115.</w:t>
      </w:r>
    </w:p>
  </w:footnote>
  <w:footnote w:id="25">
    <w:p w:rsidR="00DC1275" w:rsidRDefault="00DC1275" w:rsidP="00DC1275">
      <w:pPr>
        <w:pStyle w:val="Textpoznmkypodiarou"/>
      </w:pPr>
      <w:r w:rsidRPr="00DB3ED4">
        <w:rPr>
          <w:rStyle w:val="Odkaznapoznmkupodiarou"/>
        </w:rPr>
        <w:footnoteRef/>
      </w:r>
      <w:r w:rsidRPr="00DB3ED4">
        <w:t xml:space="preserve"> </w:t>
      </w:r>
      <w:bookmarkStart w:id="30" w:name="OLE_LINK1"/>
      <w:bookmarkStart w:id="31" w:name="OLE_LINK2"/>
      <w:r>
        <w:rPr>
          <w:lang w:val="en-US"/>
        </w:rPr>
        <w:t xml:space="preserve">HUBÁLKOVÁ: </w:t>
      </w:r>
      <w:r w:rsidRPr="00DB3ED4">
        <w:rPr>
          <w:i/>
          <w:lang w:val="cs-CZ"/>
        </w:rPr>
        <w:t>Evropská úmluva o lidských právech</w:t>
      </w:r>
      <w:r>
        <w:rPr>
          <w:i/>
          <w:lang w:val="cs-CZ"/>
        </w:rPr>
        <w:t>…</w:t>
      </w:r>
      <w:r>
        <w:rPr>
          <w:lang w:val="en-US"/>
        </w:rPr>
        <w:t>, s. 14-35.</w:t>
      </w:r>
      <w:bookmarkEnd w:id="30"/>
      <w:bookmarkEnd w:id="31"/>
    </w:p>
  </w:footnote>
  <w:footnote w:id="26">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32 – 35.</w:t>
      </w:r>
    </w:p>
  </w:footnote>
  <w:footnote w:id="27">
    <w:p w:rsidR="00DC1275" w:rsidRDefault="00DC1275" w:rsidP="00DC1275">
      <w:pPr>
        <w:pStyle w:val="Textpoznmkypodiarou"/>
      </w:pPr>
      <w:r>
        <w:rPr>
          <w:rStyle w:val="Odkaznapoznmkupodiarou"/>
        </w:rPr>
        <w:footnoteRef/>
      </w:r>
      <w:r>
        <w:t xml:space="preserve"> </w:t>
      </w:r>
      <w:r>
        <w:rPr>
          <w:lang w:val="en-US"/>
        </w:rPr>
        <w:t xml:space="preserve">HUBÁLKOVÁ: </w:t>
      </w:r>
      <w:r w:rsidRPr="004C5C82">
        <w:rPr>
          <w:i/>
          <w:lang w:val="cs-CZ"/>
        </w:rPr>
        <w:t>Evropská úmluva o lidských právech</w:t>
      </w:r>
      <w:r>
        <w:rPr>
          <w:i/>
          <w:lang w:val="cs-CZ"/>
        </w:rPr>
        <w:t>…</w:t>
      </w:r>
      <w:r>
        <w:rPr>
          <w:lang w:val="en-US"/>
        </w:rPr>
        <w:t>, s. 14-35.</w:t>
      </w:r>
    </w:p>
  </w:footnote>
  <w:footnote w:id="28">
    <w:p w:rsidR="00DC1275" w:rsidRDefault="00DC1275" w:rsidP="00DC1275">
      <w:pPr>
        <w:pStyle w:val="Textpoznmkypodiarou"/>
      </w:pPr>
      <w:r>
        <w:rPr>
          <w:rStyle w:val="Odkaznapoznmkupodiarou"/>
        </w:rPr>
        <w:footnoteRef/>
      </w:r>
      <w:r>
        <w:t xml:space="preserve"> </w:t>
      </w:r>
      <w:r>
        <w:t xml:space="preserve">ŠIŠKOVÁ: </w:t>
      </w:r>
      <w:proofErr w:type="spellStart"/>
      <w:r w:rsidRPr="000B2648">
        <w:rPr>
          <w:i/>
        </w:rPr>
        <w:t>Dimenze</w:t>
      </w:r>
      <w:proofErr w:type="spellEnd"/>
      <w:r w:rsidRPr="000B2648">
        <w:rPr>
          <w:i/>
        </w:rPr>
        <w:t xml:space="preserve"> ochran</w:t>
      </w:r>
      <w:r>
        <w:rPr>
          <w:i/>
        </w:rPr>
        <w:t xml:space="preserve">y </w:t>
      </w:r>
      <w:proofErr w:type="spellStart"/>
      <w:r>
        <w:rPr>
          <w:i/>
        </w:rPr>
        <w:t>lidských</w:t>
      </w:r>
      <w:proofErr w:type="spellEnd"/>
      <w:r>
        <w:rPr>
          <w:i/>
        </w:rPr>
        <w:t xml:space="preserve"> práv...</w:t>
      </w:r>
      <w:r>
        <w:t>, s. 115.</w:t>
      </w:r>
    </w:p>
  </w:footnote>
  <w:footnote w:id="29">
    <w:p w:rsidR="00DC1275" w:rsidRDefault="00DC1275" w:rsidP="00DC1275">
      <w:pPr>
        <w:pStyle w:val="Textpoznmkypodiarou"/>
      </w:pPr>
      <w:r>
        <w:rPr>
          <w:rStyle w:val="Odkaznapoznmkupodiarou"/>
        </w:rPr>
        <w:footnoteRef/>
      </w:r>
      <w:r>
        <w:t xml:space="preserve"> </w:t>
      </w:r>
      <w:r>
        <w:t xml:space="preserve">SUDRE, </w:t>
      </w:r>
      <w:proofErr w:type="spellStart"/>
      <w:r>
        <w:t>Frédéric</w:t>
      </w:r>
      <w:proofErr w:type="spellEnd"/>
      <w:r>
        <w:t xml:space="preserve">. </w:t>
      </w:r>
      <w:proofErr w:type="spellStart"/>
      <w:r w:rsidRPr="0095408F">
        <w:rPr>
          <w:i/>
        </w:rPr>
        <w:t>Mezinárodní</w:t>
      </w:r>
      <w:proofErr w:type="spellEnd"/>
      <w:r w:rsidRPr="0095408F">
        <w:rPr>
          <w:i/>
        </w:rPr>
        <w:t xml:space="preserve"> a </w:t>
      </w:r>
      <w:proofErr w:type="spellStart"/>
      <w:r w:rsidRPr="0095408F">
        <w:rPr>
          <w:i/>
        </w:rPr>
        <w:t>evropské</w:t>
      </w:r>
      <w:proofErr w:type="spellEnd"/>
      <w:r w:rsidRPr="0095408F">
        <w:rPr>
          <w:i/>
        </w:rPr>
        <w:t xml:space="preserve"> právo </w:t>
      </w:r>
      <w:proofErr w:type="spellStart"/>
      <w:r w:rsidRPr="0095408F">
        <w:rPr>
          <w:i/>
        </w:rPr>
        <w:t>lidských</w:t>
      </w:r>
      <w:proofErr w:type="spellEnd"/>
      <w:r w:rsidRPr="0095408F">
        <w:rPr>
          <w:i/>
        </w:rPr>
        <w:t xml:space="preserve"> práv</w:t>
      </w:r>
      <w:r>
        <w:t>. 2. vydanie.  Brno: Masarykova univerzita v Brne, 1997, s. 256.</w:t>
      </w:r>
    </w:p>
  </w:footnote>
  <w:footnote w:id="30">
    <w:p w:rsidR="00DC1275" w:rsidRDefault="00DC1275" w:rsidP="00DC1275">
      <w:pPr>
        <w:pStyle w:val="Textpoznmkypodiarou"/>
      </w:pPr>
      <w:r>
        <w:rPr>
          <w:rStyle w:val="Odkaznapoznmkupodiarou"/>
        </w:rPr>
        <w:footnoteRef/>
      </w:r>
      <w:r>
        <w:t xml:space="preserve"> </w:t>
      </w:r>
      <w:r>
        <w:t xml:space="preserve">SVÁK, Ján. </w:t>
      </w:r>
      <w:r w:rsidRPr="006C7143">
        <w:rPr>
          <w:i/>
        </w:rPr>
        <w:t>Advokát pred európskymi súdmi (praktický sprievodca)</w:t>
      </w:r>
      <w:r>
        <w:t>. 1. vydanie. Bratislava: Poradca podnikateľa, spol. s.r.o., 2004, s. 58.</w:t>
      </w:r>
    </w:p>
  </w:footnote>
  <w:footnote w:id="31">
    <w:p w:rsidR="00DC1275" w:rsidRDefault="00DC1275" w:rsidP="00DC1275">
      <w:pPr>
        <w:pStyle w:val="Textpoznmkypodiarou"/>
      </w:pPr>
      <w:r>
        <w:rPr>
          <w:rStyle w:val="Odkaznapoznmkupodiarou"/>
        </w:rPr>
        <w:footnoteRef/>
      </w:r>
      <w:r>
        <w:t xml:space="preserve"> </w:t>
      </w:r>
      <w:r>
        <w:t xml:space="preserve">CAMERON: </w:t>
      </w:r>
      <w:r>
        <w:rPr>
          <w:i/>
        </w:rPr>
        <w:t>Úvod do Európskeho dohovoru...</w:t>
      </w:r>
      <w:r>
        <w:t>, s. 19-20.</w:t>
      </w:r>
    </w:p>
  </w:footnote>
  <w:footnote w:id="32">
    <w:p w:rsidR="00DC1275" w:rsidRDefault="00DC1275" w:rsidP="00DC1275">
      <w:pPr>
        <w:pStyle w:val="Textpoznmkypodiarou"/>
      </w:pPr>
      <w:r>
        <w:rPr>
          <w:rStyle w:val="Odkaznapoznmkupodiarou"/>
        </w:rPr>
        <w:footnoteRef/>
      </w:r>
      <w:r>
        <w:t xml:space="preserve"> </w:t>
      </w:r>
      <w:r>
        <w:t xml:space="preserve">ČAPEK, </w:t>
      </w:r>
      <w:proofErr w:type="spellStart"/>
      <w:r>
        <w:t>Jan</w:t>
      </w:r>
      <w:proofErr w:type="spellEnd"/>
      <w:r>
        <w:t xml:space="preserve">. </w:t>
      </w:r>
      <w:r w:rsidRPr="00856FB5">
        <w:rPr>
          <w:i/>
        </w:rPr>
        <w:t xml:space="preserve">Právnický slovník </w:t>
      </w:r>
      <w:proofErr w:type="spellStart"/>
      <w:r w:rsidRPr="00856FB5">
        <w:rPr>
          <w:i/>
        </w:rPr>
        <w:t>evropské</w:t>
      </w:r>
      <w:proofErr w:type="spellEnd"/>
      <w:r w:rsidRPr="00856FB5">
        <w:rPr>
          <w:i/>
        </w:rPr>
        <w:t xml:space="preserve"> ochrany </w:t>
      </w:r>
      <w:proofErr w:type="spellStart"/>
      <w:r w:rsidRPr="00856FB5">
        <w:rPr>
          <w:i/>
        </w:rPr>
        <w:t>lidských</w:t>
      </w:r>
      <w:proofErr w:type="spellEnd"/>
      <w:r w:rsidRPr="00856FB5">
        <w:rPr>
          <w:i/>
        </w:rPr>
        <w:t xml:space="preserve"> práv</w:t>
      </w:r>
      <w:r>
        <w:t xml:space="preserve">. 2. vydanie. Praha: </w:t>
      </w:r>
      <w:proofErr w:type="spellStart"/>
      <w:r>
        <w:t>Orac</w:t>
      </w:r>
      <w:proofErr w:type="spellEnd"/>
      <w:r>
        <w:t>, 2002, s. 261-263.</w:t>
      </w:r>
    </w:p>
  </w:footnote>
  <w:footnote w:id="33">
    <w:p w:rsidR="00DC1275" w:rsidRDefault="00DC1275" w:rsidP="00DC1275">
      <w:pPr>
        <w:pStyle w:val="Textpoznmkypodiarou"/>
      </w:pPr>
      <w:r>
        <w:rPr>
          <w:rStyle w:val="Odkaznapoznmkupodiarou"/>
        </w:rPr>
        <w:footnoteRef/>
      </w:r>
      <w:r>
        <w:t xml:space="preserve"> </w:t>
      </w:r>
      <w:r>
        <w:t xml:space="preserve">CAMERON: </w:t>
      </w:r>
      <w:r>
        <w:rPr>
          <w:i/>
        </w:rPr>
        <w:t>Úvod do Európskeho dohovoru...</w:t>
      </w:r>
      <w:r>
        <w:t>, s. 21.</w:t>
      </w:r>
    </w:p>
  </w:footnote>
  <w:footnote w:id="34">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(II. </w:t>
      </w:r>
      <w:proofErr w:type="spellStart"/>
      <w:r>
        <w:rPr>
          <w:i/>
        </w:rPr>
        <w:t>část</w:t>
      </w:r>
      <w:proofErr w:type="spellEnd"/>
      <w:r>
        <w:rPr>
          <w:i/>
        </w:rPr>
        <w:t xml:space="preserve"> – protokoly)</w:t>
      </w:r>
      <w:r>
        <w:t>, s. 149.</w:t>
      </w:r>
    </w:p>
  </w:footnote>
  <w:footnote w:id="35">
    <w:p w:rsidR="00DC1275" w:rsidRDefault="00DC1275" w:rsidP="00DC1275">
      <w:pPr>
        <w:pStyle w:val="Textpoznmkypodiarou"/>
      </w:pPr>
      <w:r>
        <w:rPr>
          <w:rStyle w:val="Odkaznapoznmkupodiarou"/>
        </w:rPr>
        <w:footnoteRef/>
      </w:r>
      <w:r>
        <w:t xml:space="preserve"> </w:t>
      </w:r>
      <w:r>
        <w:t>Účinnosť nadobudol 1. júna 2010.</w:t>
      </w:r>
    </w:p>
  </w:footnote>
  <w:footnote w:id="36">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...(II. </w:t>
      </w:r>
      <w:proofErr w:type="spellStart"/>
      <w:r>
        <w:rPr>
          <w:i/>
        </w:rPr>
        <w:t>část</w:t>
      </w:r>
      <w:proofErr w:type="spellEnd"/>
      <w:r>
        <w:rPr>
          <w:i/>
        </w:rPr>
        <w:t xml:space="preserve"> – protokoly)</w:t>
      </w:r>
      <w:r>
        <w:t>, s. 146 – 147.</w:t>
      </w:r>
    </w:p>
  </w:footnote>
  <w:footnote w:id="37">
    <w:p w:rsidR="00DC1275" w:rsidRDefault="00DC1275" w:rsidP="00DC1275">
      <w:pPr>
        <w:pStyle w:val="Textpoznmkypodiarou"/>
      </w:pPr>
      <w:r>
        <w:rPr>
          <w:rStyle w:val="Odkaznapoznmkupodiarou"/>
        </w:rPr>
        <w:footnoteRef/>
      </w:r>
      <w:r>
        <w:t xml:space="preserve"> </w:t>
      </w:r>
      <w:r>
        <w:t xml:space="preserve">Protokol č. 14 k Dohovoru prináša reformné prvky i v iných sférach, než sú podmienky prijateľnosti sťažností. K tomu viac viď ŠIŠKOVÁ: </w:t>
      </w:r>
      <w:proofErr w:type="spellStart"/>
      <w:r w:rsidRPr="000B2648">
        <w:rPr>
          <w:i/>
        </w:rPr>
        <w:t>Dimenze</w:t>
      </w:r>
      <w:proofErr w:type="spellEnd"/>
      <w:r w:rsidRPr="000B2648">
        <w:rPr>
          <w:i/>
        </w:rPr>
        <w:t xml:space="preserve"> ochrany </w:t>
      </w:r>
      <w:proofErr w:type="spellStart"/>
      <w:r w:rsidRPr="000B2648">
        <w:rPr>
          <w:i/>
        </w:rPr>
        <w:t>lidských</w:t>
      </w:r>
      <w:proofErr w:type="spellEnd"/>
      <w:r w:rsidRPr="000B2648">
        <w:rPr>
          <w:i/>
        </w:rPr>
        <w:t xml:space="preserve"> práv</w:t>
      </w:r>
      <w:r>
        <w:rPr>
          <w:i/>
        </w:rPr>
        <w:t>...</w:t>
      </w:r>
      <w:r>
        <w:t>, s. 144 – 151.</w:t>
      </w:r>
    </w:p>
  </w:footnote>
  <w:footnote w:id="38">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(II. </w:t>
      </w:r>
      <w:proofErr w:type="spellStart"/>
      <w:r>
        <w:rPr>
          <w:i/>
        </w:rPr>
        <w:t>část</w:t>
      </w:r>
      <w:proofErr w:type="spellEnd"/>
      <w:r>
        <w:rPr>
          <w:i/>
        </w:rPr>
        <w:t xml:space="preserve"> – protokoly)</w:t>
      </w:r>
      <w:r>
        <w:t>, s. 150.</w:t>
      </w:r>
    </w:p>
  </w:footnote>
  <w:footnote w:id="39">
    <w:p w:rsidR="00DC1275" w:rsidRDefault="00DC1275" w:rsidP="00DC1275">
      <w:pPr>
        <w:pStyle w:val="Textpoznmkypodiarou"/>
      </w:pPr>
      <w:r>
        <w:rPr>
          <w:rStyle w:val="Odkaznapoznmkupodiarou"/>
        </w:rPr>
        <w:footnoteRef/>
      </w:r>
      <w:r>
        <w:t xml:space="preserve"> </w:t>
      </w:r>
      <w:r>
        <w:t xml:space="preserve">ŠIŠKOVÁ: </w:t>
      </w:r>
      <w:proofErr w:type="spellStart"/>
      <w:r w:rsidRPr="000B2648">
        <w:rPr>
          <w:i/>
        </w:rPr>
        <w:t>Dimenze</w:t>
      </w:r>
      <w:proofErr w:type="spellEnd"/>
      <w:r w:rsidRPr="000B2648">
        <w:rPr>
          <w:i/>
        </w:rPr>
        <w:t xml:space="preserve"> ochrany </w:t>
      </w:r>
      <w:proofErr w:type="spellStart"/>
      <w:r w:rsidRPr="000B2648">
        <w:rPr>
          <w:i/>
        </w:rPr>
        <w:t>lidských</w:t>
      </w:r>
      <w:proofErr w:type="spellEnd"/>
      <w:r w:rsidRPr="000B2648">
        <w:rPr>
          <w:i/>
        </w:rPr>
        <w:t xml:space="preserve"> práv</w:t>
      </w:r>
      <w:r>
        <w:rPr>
          <w:i/>
        </w:rPr>
        <w:t>...</w:t>
      </w:r>
      <w:r>
        <w:t>, s. 150 – 151.</w:t>
      </w:r>
    </w:p>
  </w:footnote>
  <w:footnote w:id="40">
    <w:p w:rsidR="00DC1275" w:rsidRDefault="00DC1275" w:rsidP="00DC1275">
      <w:pPr>
        <w:pStyle w:val="Textpoznmkypodiarou"/>
      </w:pPr>
      <w:r>
        <w:rPr>
          <w:rStyle w:val="Odkaznapoznmkupodiarou"/>
        </w:rPr>
        <w:footnoteRef/>
      </w:r>
      <w:r>
        <w:t xml:space="preserve"> </w:t>
      </w:r>
      <w:r>
        <w:t xml:space="preserve">SVÁK: </w:t>
      </w:r>
      <w:r w:rsidRPr="006C7143">
        <w:rPr>
          <w:i/>
        </w:rPr>
        <w:t>Advokát pred európskymi súdmi</w:t>
      </w:r>
      <w:r>
        <w:rPr>
          <w:i/>
        </w:rPr>
        <w:t>...</w:t>
      </w:r>
      <w:r>
        <w:t>, s. 47 – 48.</w:t>
      </w:r>
    </w:p>
  </w:footnote>
  <w:footnote w:id="41">
    <w:p w:rsidR="00DC1275" w:rsidRDefault="00DC1275" w:rsidP="00DC1275">
      <w:pPr>
        <w:spacing w:line="240" w:lineRule="auto"/>
      </w:pPr>
      <w:r w:rsidRPr="00356BB0">
        <w:rPr>
          <w:sz w:val="20"/>
          <w:szCs w:val="20"/>
          <w:vertAlign w:val="superscript"/>
        </w:rPr>
        <w:footnoteRef/>
      </w:r>
      <w:r w:rsidRPr="006C7143">
        <w:rPr>
          <w:sz w:val="20"/>
          <w:szCs w:val="20"/>
        </w:rPr>
        <w:t xml:space="preserve"> </w:t>
      </w:r>
      <w:r>
        <w:rPr>
          <w:sz w:val="20"/>
          <w:szCs w:val="20"/>
        </w:rPr>
        <w:t xml:space="preserve">Sťažnosť musí byť zaslaná na adresu Súdu: </w:t>
      </w:r>
      <w:proofErr w:type="spellStart"/>
      <w:r w:rsidRPr="006C7143">
        <w:rPr>
          <w:sz w:val="20"/>
          <w:szCs w:val="20"/>
        </w:rPr>
        <w:t>The</w:t>
      </w:r>
      <w:proofErr w:type="spellEnd"/>
      <w:r w:rsidRPr="006C7143">
        <w:rPr>
          <w:sz w:val="20"/>
          <w:szCs w:val="20"/>
        </w:rPr>
        <w:t xml:space="preserve"> </w:t>
      </w:r>
      <w:proofErr w:type="spellStart"/>
      <w:r w:rsidRPr="006C7143">
        <w:rPr>
          <w:sz w:val="20"/>
          <w:szCs w:val="20"/>
        </w:rPr>
        <w:t>Registrar</w:t>
      </w:r>
      <w:proofErr w:type="spellEnd"/>
      <w:r w:rsidRPr="006C7143">
        <w:rPr>
          <w:sz w:val="20"/>
          <w:szCs w:val="20"/>
        </w:rPr>
        <w:t xml:space="preserve">, </w:t>
      </w:r>
      <w:proofErr w:type="spellStart"/>
      <w:r w:rsidRPr="006C7143">
        <w:rPr>
          <w:sz w:val="20"/>
          <w:szCs w:val="20"/>
        </w:rPr>
        <w:t>European</w:t>
      </w:r>
      <w:proofErr w:type="spellEnd"/>
      <w:r w:rsidRPr="006C7143">
        <w:rPr>
          <w:sz w:val="20"/>
          <w:szCs w:val="20"/>
        </w:rPr>
        <w:t xml:space="preserve"> </w:t>
      </w:r>
      <w:proofErr w:type="spellStart"/>
      <w:r w:rsidRPr="006C7143">
        <w:rPr>
          <w:sz w:val="20"/>
          <w:szCs w:val="20"/>
        </w:rPr>
        <w:t>Court</w:t>
      </w:r>
      <w:proofErr w:type="spellEnd"/>
      <w:r w:rsidRPr="006C7143">
        <w:rPr>
          <w:sz w:val="20"/>
          <w:szCs w:val="20"/>
        </w:rPr>
        <w:t xml:space="preserve"> </w:t>
      </w:r>
      <w:proofErr w:type="spellStart"/>
      <w:r w:rsidRPr="006C7143">
        <w:rPr>
          <w:sz w:val="20"/>
          <w:szCs w:val="20"/>
        </w:rPr>
        <w:t>of</w:t>
      </w:r>
      <w:proofErr w:type="spellEnd"/>
      <w:r w:rsidRPr="006C7143">
        <w:rPr>
          <w:sz w:val="20"/>
          <w:szCs w:val="20"/>
        </w:rPr>
        <w:t xml:space="preserve"> </w:t>
      </w:r>
      <w:proofErr w:type="spellStart"/>
      <w:r w:rsidRPr="006C7143">
        <w:rPr>
          <w:sz w:val="20"/>
          <w:szCs w:val="20"/>
        </w:rPr>
        <w:t>Human</w:t>
      </w:r>
      <w:proofErr w:type="spellEnd"/>
      <w:r w:rsidRPr="006C7143">
        <w:rPr>
          <w:sz w:val="20"/>
          <w:szCs w:val="20"/>
        </w:rPr>
        <w:t xml:space="preserve"> </w:t>
      </w:r>
      <w:proofErr w:type="spellStart"/>
      <w:r w:rsidRPr="006C7143">
        <w:rPr>
          <w:sz w:val="20"/>
          <w:szCs w:val="20"/>
        </w:rPr>
        <w:t>Rights</w:t>
      </w:r>
      <w:proofErr w:type="spellEnd"/>
      <w:r w:rsidRPr="006C7143">
        <w:rPr>
          <w:sz w:val="20"/>
          <w:szCs w:val="20"/>
        </w:rPr>
        <w:t xml:space="preserve">, </w:t>
      </w:r>
      <w:proofErr w:type="spellStart"/>
      <w:r w:rsidRPr="006C7143">
        <w:rPr>
          <w:sz w:val="20"/>
          <w:szCs w:val="20"/>
        </w:rPr>
        <w:t>Council</w:t>
      </w:r>
      <w:proofErr w:type="spellEnd"/>
      <w:r w:rsidRPr="006C7143">
        <w:rPr>
          <w:sz w:val="20"/>
          <w:szCs w:val="20"/>
        </w:rPr>
        <w:t xml:space="preserve"> </w:t>
      </w:r>
      <w:proofErr w:type="spellStart"/>
      <w:r w:rsidRPr="006C7143">
        <w:rPr>
          <w:sz w:val="20"/>
          <w:szCs w:val="20"/>
        </w:rPr>
        <w:t>of</w:t>
      </w:r>
      <w:proofErr w:type="spellEnd"/>
      <w:r w:rsidRPr="006C7143">
        <w:rPr>
          <w:sz w:val="20"/>
          <w:szCs w:val="20"/>
        </w:rPr>
        <w:t xml:space="preserve"> </w:t>
      </w:r>
      <w:proofErr w:type="spellStart"/>
      <w:r w:rsidRPr="006C7143">
        <w:rPr>
          <w:sz w:val="20"/>
          <w:szCs w:val="20"/>
        </w:rPr>
        <w:t>Europe</w:t>
      </w:r>
      <w:proofErr w:type="spellEnd"/>
      <w:r w:rsidRPr="006C7143">
        <w:rPr>
          <w:sz w:val="20"/>
          <w:szCs w:val="20"/>
        </w:rPr>
        <w:t>, F-67075 STRASBOURG CEDEX</w:t>
      </w:r>
      <w:r>
        <w:rPr>
          <w:sz w:val="20"/>
          <w:szCs w:val="20"/>
        </w:rPr>
        <w:t xml:space="preserve">, </w:t>
      </w:r>
      <w:proofErr w:type="spellStart"/>
      <w:r>
        <w:rPr>
          <w:sz w:val="20"/>
          <w:szCs w:val="20"/>
        </w:rPr>
        <w:t>France</w:t>
      </w:r>
      <w:proofErr w:type="spellEnd"/>
      <w:r>
        <w:rPr>
          <w:sz w:val="20"/>
          <w:szCs w:val="20"/>
        </w:rPr>
        <w:t>.</w:t>
      </w:r>
    </w:p>
  </w:footnote>
  <w:footnote w:id="42">
    <w:p w:rsidR="00DC1275" w:rsidRDefault="00DC1275" w:rsidP="00DC1275">
      <w:pPr>
        <w:pStyle w:val="Textpoznmkypodiarou"/>
      </w:pPr>
      <w:r>
        <w:rPr>
          <w:rStyle w:val="Odkaznapoznmkupodiarou"/>
        </w:rPr>
        <w:footnoteRef/>
      </w:r>
      <w:r>
        <w:t xml:space="preserve"> </w:t>
      </w:r>
      <w:r>
        <w:t xml:space="preserve">Informačná kancelária Rady Európy v Bratislave. </w:t>
      </w:r>
      <w:r w:rsidRPr="00232AC4">
        <w:rPr>
          <w:i/>
        </w:rPr>
        <w:t>Rada Európy – 800 miliónov Európanov.</w:t>
      </w:r>
      <w:r>
        <w:t xml:space="preserve"> 1. vydanie. Bratislava: Informačná kancelária Rady Európy, 2001, s. 29.</w:t>
      </w:r>
    </w:p>
  </w:footnote>
  <w:footnote w:id="43">
    <w:p w:rsidR="00DC1275" w:rsidRDefault="00DC1275" w:rsidP="00DC1275">
      <w:pPr>
        <w:pStyle w:val="Textpoznmkypodiarou"/>
      </w:pPr>
      <w:r>
        <w:rPr>
          <w:rStyle w:val="Odkaznapoznmkupodiarou"/>
        </w:rPr>
        <w:footnoteRef/>
      </w:r>
      <w:r>
        <w:t xml:space="preserve"> </w:t>
      </w:r>
      <w:r>
        <w:t xml:space="preserve">PROUZOVÁ, Anna. </w:t>
      </w:r>
      <w:proofErr w:type="spellStart"/>
      <w:r w:rsidRPr="003948DF">
        <w:rPr>
          <w:i/>
        </w:rPr>
        <w:t>Evropský</w:t>
      </w:r>
      <w:proofErr w:type="spellEnd"/>
      <w:r w:rsidRPr="003948DF">
        <w:rPr>
          <w:i/>
        </w:rPr>
        <w:t xml:space="preserve"> </w:t>
      </w:r>
      <w:proofErr w:type="spellStart"/>
      <w:r w:rsidRPr="003948DF">
        <w:rPr>
          <w:i/>
        </w:rPr>
        <w:t>soud</w:t>
      </w:r>
      <w:proofErr w:type="spellEnd"/>
      <w:r w:rsidRPr="003948DF">
        <w:rPr>
          <w:i/>
        </w:rPr>
        <w:t xml:space="preserve"> </w:t>
      </w:r>
      <w:proofErr w:type="spellStart"/>
      <w:r w:rsidRPr="003948DF">
        <w:rPr>
          <w:i/>
        </w:rPr>
        <w:t>pro</w:t>
      </w:r>
      <w:proofErr w:type="spellEnd"/>
      <w:r w:rsidRPr="003948DF">
        <w:rPr>
          <w:i/>
        </w:rPr>
        <w:t xml:space="preserve"> </w:t>
      </w:r>
      <w:proofErr w:type="spellStart"/>
      <w:r w:rsidRPr="003948DF">
        <w:rPr>
          <w:i/>
        </w:rPr>
        <w:t>lidská</w:t>
      </w:r>
      <w:proofErr w:type="spellEnd"/>
      <w:r w:rsidRPr="003948DF">
        <w:rPr>
          <w:i/>
        </w:rPr>
        <w:t xml:space="preserve"> práva</w:t>
      </w:r>
      <w:r>
        <w:t>. 1. vydanie. Praha: Linde Praha, a.s., 2004, s.  42.</w:t>
      </w:r>
    </w:p>
  </w:footnote>
  <w:footnote w:id="44">
    <w:p w:rsidR="00DC1275" w:rsidRDefault="00DC1275" w:rsidP="00DC1275">
      <w:pPr>
        <w:pStyle w:val="Textpoznmkypodiarou"/>
      </w:pPr>
      <w:r>
        <w:rPr>
          <w:rStyle w:val="Odkaznapoznmkupodiarou"/>
        </w:rPr>
        <w:footnoteRef/>
      </w:r>
      <w:r>
        <w:t xml:space="preserve"> </w:t>
      </w:r>
      <w:r w:rsidRPr="00BF58D0">
        <w:t xml:space="preserve">ČAPEK, </w:t>
      </w:r>
      <w:proofErr w:type="spellStart"/>
      <w:r w:rsidRPr="00BF58D0">
        <w:t>Jan</w:t>
      </w:r>
      <w:proofErr w:type="spellEnd"/>
      <w:r w:rsidRPr="00BF58D0">
        <w:t xml:space="preserve">. </w:t>
      </w:r>
      <w:proofErr w:type="spellStart"/>
      <w:r w:rsidRPr="00BF58D0">
        <w:rPr>
          <w:i/>
        </w:rPr>
        <w:t>Evropská</w:t>
      </w:r>
      <w:proofErr w:type="spellEnd"/>
      <w:r w:rsidRPr="00BF58D0">
        <w:rPr>
          <w:i/>
        </w:rPr>
        <w:t xml:space="preserve"> </w:t>
      </w:r>
      <w:proofErr w:type="spellStart"/>
      <w:r w:rsidRPr="00BF58D0">
        <w:rPr>
          <w:i/>
        </w:rPr>
        <w:t>úmluva</w:t>
      </w:r>
      <w:proofErr w:type="spellEnd"/>
      <w:r w:rsidRPr="00BF58D0">
        <w:rPr>
          <w:i/>
        </w:rPr>
        <w:t xml:space="preserve"> o </w:t>
      </w:r>
      <w:proofErr w:type="spellStart"/>
      <w:r w:rsidRPr="00BF58D0">
        <w:rPr>
          <w:i/>
        </w:rPr>
        <w:t>ochraně</w:t>
      </w:r>
      <w:proofErr w:type="spellEnd"/>
      <w:r w:rsidRPr="00BF58D0">
        <w:rPr>
          <w:i/>
        </w:rPr>
        <w:t xml:space="preserve"> </w:t>
      </w:r>
      <w:proofErr w:type="spellStart"/>
      <w:r w:rsidRPr="00BF58D0">
        <w:rPr>
          <w:i/>
        </w:rPr>
        <w:t>lidských</w:t>
      </w:r>
      <w:proofErr w:type="spellEnd"/>
      <w:r w:rsidRPr="00BF58D0">
        <w:rPr>
          <w:i/>
        </w:rPr>
        <w:t xml:space="preserve"> práv a </w:t>
      </w:r>
      <w:proofErr w:type="spellStart"/>
      <w:r w:rsidRPr="00BF58D0">
        <w:rPr>
          <w:i/>
        </w:rPr>
        <w:t>základních</w:t>
      </w:r>
      <w:proofErr w:type="spellEnd"/>
      <w:r w:rsidRPr="00BF58D0">
        <w:rPr>
          <w:i/>
        </w:rPr>
        <w:t xml:space="preserve"> </w:t>
      </w:r>
      <w:proofErr w:type="spellStart"/>
      <w:r w:rsidRPr="00BF58D0">
        <w:rPr>
          <w:i/>
        </w:rPr>
        <w:t>svobod</w:t>
      </w:r>
      <w:proofErr w:type="spellEnd"/>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xml:space="preserve">. 1. </w:t>
      </w:r>
      <w:proofErr w:type="spellStart"/>
      <w:r>
        <w:t>vydání</w:t>
      </w:r>
      <w:proofErr w:type="spellEnd"/>
      <w:r w:rsidRPr="00BF58D0">
        <w:t>. Praha: LINDE PRAHA, 2010, s. 697-703</w:t>
      </w:r>
      <w:r>
        <w:t>.</w:t>
      </w:r>
    </w:p>
  </w:footnote>
  <w:footnote w:id="45">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 Dohovoru</w:t>
      </w:r>
      <w:r>
        <w:rPr>
          <w:i/>
        </w:rPr>
        <w:t>...</w:t>
      </w:r>
      <w:r>
        <w:t>,</w:t>
      </w:r>
      <w:r w:rsidRPr="009C103D">
        <w:t xml:space="preserve"> </w:t>
      </w:r>
      <w:r>
        <w:t>s. 93.</w:t>
      </w:r>
    </w:p>
  </w:footnote>
  <w:footnote w:id="46">
    <w:p w:rsidR="00DC1275" w:rsidRDefault="00DC1275" w:rsidP="00DC1275">
      <w:pPr>
        <w:pStyle w:val="Textpoznmkypodiarou"/>
      </w:pPr>
      <w:r>
        <w:rPr>
          <w:rStyle w:val="Odkaznapoznmkupodiarou"/>
        </w:rPr>
        <w:footnoteRef/>
      </w:r>
      <w:r>
        <w:t xml:space="preserve"> </w:t>
      </w:r>
      <w:r>
        <w:t xml:space="preserve">ČAPEK: </w:t>
      </w:r>
      <w:proofErr w:type="spellStart"/>
      <w:r w:rsidRPr="00BF58D0">
        <w:rPr>
          <w:i/>
        </w:rPr>
        <w:t>Evropská</w:t>
      </w:r>
      <w:proofErr w:type="spellEnd"/>
      <w:r w:rsidRPr="00BF58D0">
        <w:rPr>
          <w:i/>
        </w:rPr>
        <w:t xml:space="preserve"> </w:t>
      </w:r>
      <w:proofErr w:type="spellStart"/>
      <w:r w:rsidRPr="00BF58D0">
        <w:rPr>
          <w:i/>
        </w:rPr>
        <w:t>úmluva</w:t>
      </w:r>
      <w:proofErr w:type="spellEnd"/>
      <w:r>
        <w:rPr>
          <w:i/>
        </w:rPr>
        <w:t xml:space="preserve">... (I. </w:t>
      </w:r>
      <w:proofErr w:type="spellStart"/>
      <w:r>
        <w:rPr>
          <w:i/>
        </w:rPr>
        <w:t>část</w:t>
      </w:r>
      <w:proofErr w:type="spellEnd"/>
      <w:r>
        <w:rPr>
          <w:i/>
        </w:rPr>
        <w:t xml:space="preserve"> – </w:t>
      </w:r>
      <w:proofErr w:type="spellStart"/>
      <w:r>
        <w:rPr>
          <w:i/>
        </w:rPr>
        <w:t>Úmluva</w:t>
      </w:r>
      <w:proofErr w:type="spellEnd"/>
      <w:r>
        <w:rPr>
          <w:i/>
        </w:rPr>
        <w:t>)</w:t>
      </w:r>
      <w:r w:rsidRPr="00BF58D0">
        <w:t>, s. 697-703.</w:t>
      </w:r>
    </w:p>
  </w:footnote>
  <w:footnote w:id="47">
    <w:p w:rsidR="00DC1275" w:rsidRPr="00872FF2" w:rsidRDefault="00DC1275" w:rsidP="00DC1275">
      <w:pPr>
        <w:pStyle w:val="Textpoznmkypodiarou"/>
        <w:rPr>
          <w:rFonts w:cs="Times New Roman"/>
        </w:rPr>
      </w:pPr>
      <w:r w:rsidRPr="00872FF2">
        <w:rPr>
          <w:rStyle w:val="Odkaznapoznmkupodiarou"/>
          <w:rFonts w:cs="Times New Roman"/>
        </w:rPr>
        <w:footnoteRef/>
      </w:r>
      <w:r w:rsidRPr="00872FF2">
        <w:rPr>
          <w:rFonts w:cs="Times New Roman"/>
        </w:rPr>
        <w:t xml:space="preserve"> </w:t>
      </w:r>
      <w:r w:rsidRPr="00872FF2">
        <w:rPr>
          <w:rFonts w:cs="Times New Roman"/>
        </w:rPr>
        <w:t xml:space="preserve">Európsky súd pre ľudské práva: Rozsudok zo dňa 13. júna 1979, </w:t>
      </w:r>
      <w:proofErr w:type="spellStart"/>
      <w:r w:rsidRPr="00872FF2">
        <w:rPr>
          <w:rFonts w:cs="Times New Roman"/>
          <w:i/>
        </w:rPr>
        <w:t>Marckx</w:t>
      </w:r>
      <w:proofErr w:type="spellEnd"/>
      <w:r w:rsidRPr="00872FF2">
        <w:rPr>
          <w:rFonts w:cs="Times New Roman"/>
          <w:i/>
        </w:rPr>
        <w:t xml:space="preserve"> v. Belgicko</w:t>
      </w:r>
      <w:r w:rsidRPr="00872FF2">
        <w:rPr>
          <w:rFonts w:cs="Times New Roman"/>
        </w:rPr>
        <w:t xml:space="preserve">, </w:t>
      </w:r>
      <w:r>
        <w:rPr>
          <w:rFonts w:cs="Times New Roman"/>
        </w:rPr>
        <w:t xml:space="preserve">č. </w:t>
      </w:r>
      <w:r w:rsidRPr="00872FF2">
        <w:rPr>
          <w:rFonts w:eastAsia="Times New Roman" w:cs="Times New Roman"/>
          <w:color w:val="000000"/>
          <w:lang w:eastAsia="sk-SK"/>
        </w:rPr>
        <w:t xml:space="preserve">6833/74, </w:t>
      </w:r>
      <w:proofErr w:type="spellStart"/>
      <w:r>
        <w:rPr>
          <w:rFonts w:eastAsia="Times New Roman" w:cs="Times New Roman"/>
          <w:color w:val="000000"/>
          <w:lang w:eastAsia="sk-SK"/>
        </w:rPr>
        <w:t>Series</w:t>
      </w:r>
      <w:proofErr w:type="spellEnd"/>
      <w:r>
        <w:rPr>
          <w:rFonts w:eastAsia="Times New Roman" w:cs="Times New Roman"/>
          <w:color w:val="000000"/>
          <w:lang w:eastAsia="sk-SK"/>
        </w:rPr>
        <w:t xml:space="preserve"> </w:t>
      </w:r>
      <w:r w:rsidRPr="00872FF2">
        <w:rPr>
          <w:rFonts w:eastAsia="Times New Roman" w:cs="Times New Roman"/>
          <w:color w:val="000000"/>
          <w:lang w:eastAsia="sk-SK"/>
        </w:rPr>
        <w:t>A 31, s. 12 - 14.</w:t>
      </w:r>
    </w:p>
  </w:footnote>
  <w:footnote w:id="48">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w:t>
      </w:r>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703.</w:t>
      </w:r>
    </w:p>
  </w:footnote>
  <w:footnote w:id="49">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 Dohovoru</w:t>
      </w:r>
      <w:r>
        <w:rPr>
          <w:i/>
        </w:rPr>
        <w:t>...</w:t>
      </w:r>
      <w:r>
        <w:t>,</w:t>
      </w:r>
      <w:r w:rsidRPr="009C103D">
        <w:t xml:space="preserve"> </w:t>
      </w:r>
      <w:r>
        <w:t>s. 93.</w:t>
      </w:r>
    </w:p>
  </w:footnote>
  <w:footnote w:id="50">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40 – 42.</w:t>
      </w:r>
    </w:p>
  </w:footnote>
  <w:footnote w:id="51">
    <w:p w:rsidR="00DC1275" w:rsidRPr="00872FF2" w:rsidRDefault="00DC1275" w:rsidP="00DC1275">
      <w:pPr>
        <w:pStyle w:val="Textpoznmkypodiarou"/>
        <w:rPr>
          <w:rFonts w:cs="Times New Roman"/>
        </w:rPr>
      </w:pPr>
      <w:r w:rsidRPr="00872FF2">
        <w:rPr>
          <w:rStyle w:val="Odkaznapoznmkupodiarou"/>
          <w:rFonts w:cs="Times New Roman"/>
        </w:rPr>
        <w:footnoteRef/>
      </w:r>
      <w:r w:rsidRPr="00872FF2">
        <w:rPr>
          <w:rFonts w:cs="Times New Roman"/>
        </w:rPr>
        <w:t xml:space="preserve"> </w:t>
      </w:r>
      <w:r w:rsidRPr="00872FF2">
        <w:rPr>
          <w:rFonts w:cs="Times New Roman"/>
        </w:rPr>
        <w:t xml:space="preserve">Európsky súd pre ľudské práva: Rozsudok zo dňa 8. júla 2004, </w:t>
      </w:r>
      <w:proofErr w:type="spellStart"/>
      <w:r w:rsidRPr="00872FF2">
        <w:rPr>
          <w:rFonts w:cs="Times New Roman"/>
          <w:i/>
        </w:rPr>
        <w:t>Ilascu</w:t>
      </w:r>
      <w:proofErr w:type="spellEnd"/>
      <w:r w:rsidRPr="00872FF2">
        <w:rPr>
          <w:rFonts w:cs="Times New Roman"/>
          <w:i/>
        </w:rPr>
        <w:t xml:space="preserve"> v. Moldavsko a Rusko</w:t>
      </w:r>
      <w:r w:rsidRPr="00872FF2">
        <w:rPr>
          <w:rFonts w:cs="Times New Roman"/>
        </w:rPr>
        <w:t xml:space="preserve">, </w:t>
      </w:r>
      <w:r>
        <w:rPr>
          <w:rFonts w:cs="Times New Roman"/>
        </w:rPr>
        <w:t xml:space="preserve">č. </w:t>
      </w:r>
      <w:r w:rsidRPr="00872FF2">
        <w:rPr>
          <w:rFonts w:eastAsia="Times New Roman" w:cs="Times New Roman"/>
          <w:color w:val="000000"/>
          <w:lang w:eastAsia="sk-SK"/>
        </w:rPr>
        <w:t xml:space="preserve">48787/99, </w:t>
      </w:r>
      <w:proofErr w:type="spellStart"/>
      <w:r w:rsidRPr="004465A6">
        <w:rPr>
          <w:rFonts w:eastAsia="Times New Roman" w:cs="Times New Roman"/>
          <w:color w:val="000000"/>
          <w:lang w:eastAsia="sk-SK"/>
        </w:rPr>
        <w:t>Reports</w:t>
      </w:r>
      <w:proofErr w:type="spellEnd"/>
      <w:r w:rsidRPr="004465A6">
        <w:rPr>
          <w:rFonts w:eastAsia="Times New Roman" w:cs="Times New Roman"/>
          <w:color w:val="000000"/>
          <w:lang w:eastAsia="sk-SK"/>
        </w:rPr>
        <w:t xml:space="preserve"> </w:t>
      </w:r>
      <w:proofErr w:type="spellStart"/>
      <w:r w:rsidRPr="004465A6">
        <w:rPr>
          <w:rFonts w:eastAsia="Times New Roman" w:cs="Times New Roman"/>
          <w:color w:val="000000"/>
          <w:lang w:eastAsia="sk-SK"/>
        </w:rPr>
        <w:t>of</w:t>
      </w:r>
      <w:proofErr w:type="spellEnd"/>
      <w:r w:rsidRPr="004465A6">
        <w:rPr>
          <w:rFonts w:eastAsia="Times New Roman" w:cs="Times New Roman"/>
          <w:color w:val="000000"/>
          <w:lang w:eastAsia="sk-SK"/>
        </w:rPr>
        <w:t xml:space="preserve"> </w:t>
      </w:r>
      <w:proofErr w:type="spellStart"/>
      <w:r w:rsidRPr="004465A6">
        <w:rPr>
          <w:rFonts w:eastAsia="Times New Roman" w:cs="Times New Roman"/>
          <w:color w:val="000000"/>
          <w:lang w:eastAsia="sk-SK"/>
        </w:rPr>
        <w:t>Judgments</w:t>
      </w:r>
      <w:proofErr w:type="spellEnd"/>
      <w:r w:rsidRPr="004465A6">
        <w:rPr>
          <w:rFonts w:eastAsia="Times New Roman" w:cs="Times New Roman"/>
          <w:color w:val="000000"/>
          <w:lang w:eastAsia="sk-SK"/>
        </w:rPr>
        <w:t xml:space="preserve"> and </w:t>
      </w:r>
      <w:proofErr w:type="spellStart"/>
      <w:r w:rsidRPr="004465A6">
        <w:rPr>
          <w:rFonts w:eastAsia="Times New Roman" w:cs="Times New Roman"/>
          <w:color w:val="000000"/>
          <w:lang w:eastAsia="sk-SK"/>
        </w:rPr>
        <w:t>Decisions</w:t>
      </w:r>
      <w:proofErr w:type="spellEnd"/>
      <w:r w:rsidRPr="00872FF2">
        <w:rPr>
          <w:rFonts w:eastAsia="Times New Roman" w:cs="Times New Roman"/>
          <w:color w:val="000000"/>
          <w:lang w:eastAsia="sk-SK"/>
        </w:rPr>
        <w:t xml:space="preserve"> 2004-VII</w:t>
      </w:r>
      <w:r w:rsidRPr="009B0A68">
        <w:rPr>
          <w:rFonts w:eastAsia="Times New Roman" w:cs="Times New Roman"/>
          <w:color w:val="000000"/>
          <w:lang w:eastAsia="sk-SK"/>
        </w:rPr>
        <w:t>, ods. 480.</w:t>
      </w:r>
    </w:p>
  </w:footnote>
  <w:footnote w:id="52">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40 – 42.</w:t>
      </w:r>
    </w:p>
  </w:footnote>
  <w:footnote w:id="53">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 Dohovoru</w:t>
      </w:r>
      <w:r>
        <w:rPr>
          <w:i/>
        </w:rPr>
        <w:t>...</w:t>
      </w:r>
      <w:r>
        <w:t>,</w:t>
      </w:r>
      <w:r w:rsidRPr="009C103D">
        <w:t xml:space="preserve"> </w:t>
      </w:r>
      <w:r>
        <w:t>s. 107.</w:t>
      </w:r>
    </w:p>
  </w:footnote>
  <w:footnote w:id="54">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40 – 42.</w:t>
      </w:r>
    </w:p>
  </w:footnote>
  <w:footnote w:id="55">
    <w:p w:rsidR="00DC1275" w:rsidRPr="00804D02" w:rsidRDefault="00DC1275" w:rsidP="00DC1275">
      <w:pPr>
        <w:pStyle w:val="Textpoznmkypodiarou"/>
      </w:pPr>
      <w:r>
        <w:rPr>
          <w:rStyle w:val="Odkaznapoznmkupodiarou"/>
        </w:rPr>
        <w:footnoteRef/>
      </w:r>
      <w:r>
        <w:t xml:space="preserve"> </w:t>
      </w:r>
      <w:proofErr w:type="spellStart"/>
      <w:r>
        <w:rPr>
          <w:lang w:val="en-US"/>
        </w:rPr>
        <w:t>Eur</w:t>
      </w:r>
      <w:r>
        <w:t>ópska</w:t>
      </w:r>
      <w:proofErr w:type="spellEnd"/>
      <w:r>
        <w:t xml:space="preserve"> komisia pre ľudské práva: Rozhodnutie zo </w:t>
      </w:r>
      <w:proofErr w:type="gramStart"/>
      <w:r>
        <w:t>dňa</w:t>
      </w:r>
      <w:proofErr w:type="gramEnd"/>
      <w:r>
        <w:t xml:space="preserve"> 13. mája 1980, </w:t>
      </w:r>
      <w:proofErr w:type="spellStart"/>
      <w:r w:rsidRPr="00804D02">
        <w:rPr>
          <w:i/>
        </w:rPr>
        <w:t>Paton</w:t>
      </w:r>
      <w:proofErr w:type="spellEnd"/>
      <w:r w:rsidRPr="00804D02">
        <w:rPr>
          <w:i/>
        </w:rPr>
        <w:t xml:space="preserve"> v. Spojené kráľovstvo</w:t>
      </w:r>
      <w:r>
        <w:t>, č. 8416/78, D.R. 19, s. 244.</w:t>
      </w:r>
    </w:p>
  </w:footnote>
  <w:footnote w:id="56">
    <w:p w:rsidR="00DC1275" w:rsidRDefault="00DC1275" w:rsidP="00DC1275">
      <w:pPr>
        <w:spacing w:line="240" w:lineRule="auto"/>
      </w:pPr>
      <w:r>
        <w:rPr>
          <w:rStyle w:val="Odkaznapoznmkupodiarou"/>
        </w:rPr>
        <w:footnoteRef/>
      </w:r>
      <w:r>
        <w:t xml:space="preserve"> </w:t>
      </w:r>
      <w:r w:rsidRPr="00036C73">
        <w:rPr>
          <w:i/>
          <w:sz w:val="20"/>
        </w:rPr>
        <w:t xml:space="preserve">Rada Európy: Rezolúcia o prístupe k bezpečnej a legálnej interrupcii v Európe. </w:t>
      </w:r>
      <w:proofErr w:type="spellStart"/>
      <w:r w:rsidRPr="00036C73">
        <w:rPr>
          <w:i/>
          <w:sz w:val="20"/>
        </w:rPr>
        <w:t>Jurisprudencia</w:t>
      </w:r>
      <w:proofErr w:type="spellEnd"/>
      <w:r w:rsidRPr="00036C73">
        <w:rPr>
          <w:i/>
          <w:sz w:val="20"/>
        </w:rPr>
        <w:t xml:space="preserve"> Európskeho systému ľudských práv</w:t>
      </w:r>
      <w:r>
        <w:rPr>
          <w:sz w:val="20"/>
        </w:rPr>
        <w:t xml:space="preserve"> [</w:t>
      </w:r>
      <w:proofErr w:type="spellStart"/>
      <w:r>
        <w:rPr>
          <w:sz w:val="20"/>
        </w:rPr>
        <w:t>online</w:t>
      </w:r>
      <w:proofErr w:type="spellEnd"/>
      <w:r>
        <w:rPr>
          <w:sz w:val="20"/>
          <w:lang w:val="en-US"/>
        </w:rPr>
        <w:t>].</w:t>
      </w:r>
      <w:r>
        <w:t xml:space="preserve"> </w:t>
      </w:r>
      <w:r>
        <w:rPr>
          <w:sz w:val="20"/>
        </w:rPr>
        <w:t>Spoločnosť pre plánované rodičovstvo [cit. 28. marca 2011</w:t>
      </w:r>
      <w:r>
        <w:rPr>
          <w:sz w:val="20"/>
          <w:lang w:val="en-US"/>
        </w:rPr>
        <w:t>]</w:t>
      </w:r>
      <w:r>
        <w:rPr>
          <w:sz w:val="20"/>
        </w:rPr>
        <w:t xml:space="preserve">. Dostupné na </w:t>
      </w:r>
      <w:r w:rsidRPr="009D4A10">
        <w:rPr>
          <w:sz w:val="20"/>
          <w:lang w:val="en-US"/>
        </w:rPr>
        <w:t>&lt;</w:t>
      </w:r>
      <w:hyperlink r:id="rId1" w:history="1">
        <w:r w:rsidRPr="009D4A10">
          <w:rPr>
            <w:rStyle w:val="Hypertextovprepojenie"/>
            <w:sz w:val="20"/>
          </w:rPr>
          <w:t>http://rodicovstvo.wordpress.com/interrupcie/pravo/medzinarodne-pravo/</w:t>
        </w:r>
      </w:hyperlink>
      <w:r w:rsidRPr="009D4A10">
        <w:rPr>
          <w:sz w:val="20"/>
        </w:rPr>
        <w:t>&gt;.</w:t>
      </w:r>
    </w:p>
  </w:footnote>
  <w:footnote w:id="57">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42 – 43.</w:t>
      </w:r>
    </w:p>
  </w:footnote>
  <w:footnote w:id="58">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 Dohovoru</w:t>
      </w:r>
      <w:r>
        <w:rPr>
          <w:i/>
        </w:rPr>
        <w:t>...</w:t>
      </w:r>
      <w:r>
        <w:t>,</w:t>
      </w:r>
      <w:r w:rsidRPr="009C103D">
        <w:t xml:space="preserve"> </w:t>
      </w:r>
      <w:r>
        <w:t>s. 109 – 110.</w:t>
      </w:r>
    </w:p>
  </w:footnote>
  <w:footnote w:id="59">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42 – 43.</w:t>
      </w:r>
    </w:p>
  </w:footnote>
  <w:footnote w:id="60">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 Dohovoru</w:t>
      </w:r>
      <w:r>
        <w:rPr>
          <w:i/>
        </w:rPr>
        <w:t>...</w:t>
      </w:r>
      <w:r>
        <w:t>,</w:t>
      </w:r>
      <w:r w:rsidRPr="009C103D">
        <w:t xml:space="preserve"> </w:t>
      </w:r>
      <w:r>
        <w:t>s. 111.</w:t>
      </w:r>
    </w:p>
  </w:footnote>
  <w:footnote w:id="61">
    <w:p w:rsidR="00DC1275" w:rsidRDefault="00DC1275" w:rsidP="00DC1275">
      <w:pPr>
        <w:pStyle w:val="Textpoznmkypodiarou"/>
      </w:pPr>
      <w:r w:rsidRPr="00AA0BE3">
        <w:rPr>
          <w:rStyle w:val="Odkaznapoznmkupodiarou"/>
        </w:rPr>
        <w:footnoteRef/>
      </w:r>
      <w:r w:rsidRPr="00AA0BE3">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41 – 48.</w:t>
      </w:r>
    </w:p>
  </w:footnote>
  <w:footnote w:id="62">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...(I. </w:t>
      </w:r>
      <w:proofErr w:type="spellStart"/>
      <w:r>
        <w:rPr>
          <w:i/>
        </w:rPr>
        <w:t>část</w:t>
      </w:r>
      <w:proofErr w:type="spellEnd"/>
      <w:r>
        <w:rPr>
          <w:i/>
        </w:rPr>
        <w:t xml:space="preserve">), </w:t>
      </w:r>
      <w:r>
        <w:t>s.</w:t>
      </w:r>
      <w:r>
        <w:rPr>
          <w:i/>
        </w:rPr>
        <w:t xml:space="preserve"> </w:t>
      </w:r>
      <w:r>
        <w:t>700.</w:t>
      </w:r>
    </w:p>
  </w:footnote>
  <w:footnote w:id="63">
    <w:p w:rsidR="00DC1275" w:rsidRDefault="00DC1275" w:rsidP="00DC1275">
      <w:pPr>
        <w:pStyle w:val="Textpoznmkypodiarou"/>
      </w:pPr>
      <w:r>
        <w:rPr>
          <w:rStyle w:val="Odkaznapoznmkupodiarou"/>
        </w:rPr>
        <w:footnoteRef/>
      </w:r>
      <w:r>
        <w:t xml:space="preserve"> </w:t>
      </w:r>
      <w:r>
        <w:t>Podrobnejšie viď výklad podkapitoly o kritériu prijateľnosti „závažná ujma“.</w:t>
      </w:r>
    </w:p>
  </w:footnote>
  <w:footnote w:id="64">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41 – 48.</w:t>
      </w:r>
    </w:p>
  </w:footnote>
  <w:footnote w:id="65">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700 – 701.</w:t>
      </w:r>
    </w:p>
  </w:footnote>
  <w:footnote w:id="66">
    <w:p w:rsidR="00DC1275" w:rsidRPr="00F53728" w:rsidRDefault="00DC1275" w:rsidP="00DC1275">
      <w:pPr>
        <w:pStyle w:val="Textpoznmkypodiarou"/>
        <w:rPr>
          <w:rFonts w:cs="Times New Roman"/>
        </w:rPr>
      </w:pPr>
      <w:r w:rsidRPr="00F53728">
        <w:rPr>
          <w:rStyle w:val="Odkaznapoznmkupodiarou"/>
          <w:rFonts w:cs="Times New Roman"/>
        </w:rPr>
        <w:footnoteRef/>
      </w:r>
      <w:r>
        <w:rPr>
          <w:rFonts w:cs="Times New Roman"/>
        </w:rPr>
        <w:t xml:space="preserve"> </w:t>
      </w:r>
      <w:r>
        <w:rPr>
          <w:rFonts w:cs="Times New Roman"/>
        </w:rPr>
        <w:t>Európska komisia</w:t>
      </w:r>
      <w:r w:rsidRPr="00F53728">
        <w:rPr>
          <w:rFonts w:cs="Times New Roman"/>
        </w:rPr>
        <w:t xml:space="preserve"> pre ľudské práva: </w:t>
      </w:r>
      <w:r>
        <w:rPr>
          <w:rFonts w:cs="Times New Roman"/>
        </w:rPr>
        <w:t xml:space="preserve">Rozhodnutie </w:t>
      </w:r>
      <w:r w:rsidRPr="00F53728">
        <w:rPr>
          <w:rFonts w:cs="Times New Roman"/>
        </w:rPr>
        <w:t xml:space="preserve">zo dňa 3. mája 1988, </w:t>
      </w:r>
      <w:proofErr w:type="spellStart"/>
      <w:r w:rsidRPr="00F53728">
        <w:rPr>
          <w:rFonts w:cs="Times New Roman"/>
          <w:i/>
        </w:rPr>
        <w:t>Frederiksen</w:t>
      </w:r>
      <w:proofErr w:type="spellEnd"/>
      <w:r w:rsidRPr="00F53728">
        <w:rPr>
          <w:rFonts w:cs="Times New Roman"/>
          <w:i/>
        </w:rPr>
        <w:t xml:space="preserve"> a ostatní v. Dánsko</w:t>
      </w:r>
      <w:r w:rsidRPr="00F53728">
        <w:rPr>
          <w:rFonts w:cs="Times New Roman"/>
        </w:rPr>
        <w:t xml:space="preserve">, </w:t>
      </w:r>
      <w:r>
        <w:rPr>
          <w:rFonts w:cs="Times New Roman"/>
        </w:rPr>
        <w:t xml:space="preserve">č. </w:t>
      </w:r>
      <w:r w:rsidRPr="00F53728">
        <w:rPr>
          <w:rStyle w:val="hit"/>
          <w:rFonts w:cs="Times New Roman"/>
          <w:color w:val="000000"/>
        </w:rPr>
        <w:t>12719/87</w:t>
      </w:r>
      <w:r>
        <w:rPr>
          <w:rStyle w:val="hit"/>
          <w:rFonts w:cs="Times New Roman"/>
          <w:color w:val="000000"/>
        </w:rPr>
        <w:t>, D.R. č. 56</w:t>
      </w:r>
      <w:r w:rsidRPr="00F53728">
        <w:rPr>
          <w:rStyle w:val="hit"/>
          <w:rFonts w:cs="Times New Roman"/>
          <w:color w:val="000000"/>
        </w:rPr>
        <w:t>.</w:t>
      </w:r>
    </w:p>
  </w:footnote>
  <w:footnote w:id="67">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705.</w:t>
      </w:r>
    </w:p>
  </w:footnote>
  <w:footnote w:id="68">
    <w:p w:rsidR="00DC1275" w:rsidRDefault="00DC1275" w:rsidP="00DC1275">
      <w:pPr>
        <w:pStyle w:val="Textpoznmkypodiarou"/>
      </w:pPr>
      <w:r>
        <w:rPr>
          <w:rStyle w:val="Odkaznapoznmkupodiarou"/>
        </w:rPr>
        <w:footnoteRef/>
      </w:r>
      <w:r>
        <w:t xml:space="preserve"> </w:t>
      </w:r>
      <w:r>
        <w:t xml:space="preserve">Európska komisia pre ľudské práva: Rozhodnutie zo dňa 2. júla 2002, </w:t>
      </w:r>
      <w:r w:rsidRPr="006F46FD">
        <w:rPr>
          <w:i/>
        </w:rPr>
        <w:t>Lacko v. Slovensko</w:t>
      </w:r>
      <w:r>
        <w:t xml:space="preserve">, č. </w:t>
      </w:r>
      <w:r w:rsidRPr="006F46FD">
        <w:rPr>
          <w:rFonts w:cs="Times New Roman"/>
          <w:color w:val="000000"/>
        </w:rPr>
        <w:t>47237/99.</w:t>
      </w:r>
    </w:p>
  </w:footnote>
  <w:footnote w:id="69">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w:t>
      </w:r>
      <w:r>
        <w:rPr>
          <w:i/>
        </w:rPr>
        <w:t>ntár k vybraným článkom Dohovoru...</w:t>
      </w:r>
      <w:r>
        <w:t>,</w:t>
      </w:r>
      <w:r w:rsidRPr="009C103D">
        <w:t xml:space="preserve"> </w:t>
      </w:r>
      <w:r>
        <w:t>s. 111 – 112.</w:t>
      </w:r>
    </w:p>
  </w:footnote>
  <w:footnote w:id="70">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w:t>
      </w:r>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700 – 701.</w:t>
      </w:r>
    </w:p>
  </w:footnote>
  <w:footnote w:id="71">
    <w:p w:rsidR="00DC1275" w:rsidRPr="00E74712" w:rsidRDefault="00DC1275" w:rsidP="00DC1275">
      <w:pPr>
        <w:pStyle w:val="Textpoznmkypodiarou"/>
        <w:rPr>
          <w:rFonts w:cs="Times New Roman"/>
        </w:rPr>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Pr>
          <w:rFonts w:cs="Times New Roman"/>
        </w:rPr>
        <w:t xml:space="preserve">, </w:t>
      </w:r>
      <w:proofErr w:type="spellStart"/>
      <w:r>
        <w:rPr>
          <w:rFonts w:cs="Times New Roman"/>
        </w:rPr>
        <w:t>zvláštní</w:t>
      </w:r>
      <w:proofErr w:type="spellEnd"/>
      <w:r>
        <w:rPr>
          <w:rFonts w:cs="Times New Roman"/>
        </w:rPr>
        <w:t xml:space="preserve"> číslo, s. 46.</w:t>
      </w:r>
    </w:p>
  </w:footnote>
  <w:footnote w:id="72">
    <w:p w:rsidR="00DC1275" w:rsidRDefault="00DC1275" w:rsidP="00DC1275">
      <w:pPr>
        <w:pStyle w:val="Textpoznmkypodiarou"/>
      </w:pPr>
      <w:r w:rsidRPr="00E74712">
        <w:rPr>
          <w:rStyle w:val="Odkaznapoznmkupodiarou"/>
          <w:rFonts w:cs="Times New Roman"/>
        </w:rPr>
        <w:footnoteRef/>
      </w:r>
      <w:r w:rsidRPr="00E74712">
        <w:rPr>
          <w:rFonts w:cs="Times New Roman"/>
        </w:rPr>
        <w:t xml:space="preserve"> </w:t>
      </w:r>
      <w:r w:rsidRPr="00E74712">
        <w:rPr>
          <w:rFonts w:cs="Times New Roman"/>
        </w:rPr>
        <w:t xml:space="preserve">Európsky súd pre ľudské práva: Rozsudok zo dňa 6. septembra 1978, </w:t>
      </w:r>
      <w:proofErr w:type="spellStart"/>
      <w:r w:rsidRPr="00E74712">
        <w:rPr>
          <w:rFonts w:cs="Times New Roman"/>
          <w:i/>
        </w:rPr>
        <w:t>Klass</w:t>
      </w:r>
      <w:proofErr w:type="spellEnd"/>
      <w:r w:rsidRPr="00E74712">
        <w:rPr>
          <w:rFonts w:cs="Times New Roman"/>
          <w:i/>
        </w:rPr>
        <w:t xml:space="preserve"> v. Nemecko</w:t>
      </w:r>
      <w:r w:rsidRPr="00E74712">
        <w:rPr>
          <w:rFonts w:cs="Times New Roman"/>
        </w:rPr>
        <w:t xml:space="preserve">, </w:t>
      </w:r>
      <w:r>
        <w:rPr>
          <w:rFonts w:cs="Times New Roman"/>
        </w:rPr>
        <w:t xml:space="preserve">č. </w:t>
      </w:r>
      <w:r w:rsidRPr="00E74712">
        <w:rPr>
          <w:rFonts w:cs="Times New Roman"/>
          <w:color w:val="000000"/>
        </w:rPr>
        <w:t xml:space="preserve">5029/71, </w:t>
      </w:r>
      <w:proofErr w:type="spellStart"/>
      <w:r>
        <w:rPr>
          <w:rFonts w:cs="Times New Roman"/>
          <w:color w:val="000000"/>
        </w:rPr>
        <w:t>Series</w:t>
      </w:r>
      <w:proofErr w:type="spellEnd"/>
      <w:r>
        <w:rPr>
          <w:rFonts w:cs="Times New Roman"/>
          <w:color w:val="000000"/>
        </w:rPr>
        <w:t xml:space="preserve"> A 28, s. </w:t>
      </w:r>
      <w:r w:rsidRPr="00E74712">
        <w:rPr>
          <w:rFonts w:cs="Times New Roman"/>
          <w:color w:val="000000"/>
        </w:rPr>
        <w:t>17</w:t>
      </w:r>
      <w:r>
        <w:rPr>
          <w:rFonts w:ascii="Verdana" w:hAnsi="Verdana"/>
          <w:color w:val="000000"/>
          <w:sz w:val="16"/>
          <w:szCs w:val="16"/>
        </w:rPr>
        <w:t>.</w:t>
      </w:r>
    </w:p>
  </w:footnote>
  <w:footnote w:id="73">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716.</w:t>
      </w:r>
    </w:p>
  </w:footnote>
  <w:footnote w:id="74">
    <w:p w:rsidR="00DC1275" w:rsidRPr="00576ADD" w:rsidRDefault="00DC1275" w:rsidP="00DC1275">
      <w:pPr>
        <w:pStyle w:val="Textpoznmkypodiarou"/>
        <w:rPr>
          <w:rFonts w:cs="Times New Roman"/>
        </w:rPr>
      </w:pPr>
      <w:r w:rsidRPr="00576ADD">
        <w:rPr>
          <w:rStyle w:val="Odkaznapoznmkupodiarou"/>
          <w:rFonts w:cs="Times New Roman"/>
        </w:rPr>
        <w:footnoteRef/>
      </w:r>
      <w:r w:rsidRPr="00576ADD">
        <w:rPr>
          <w:rFonts w:cs="Times New Roman"/>
        </w:rPr>
        <w:t xml:space="preserve"> </w:t>
      </w:r>
      <w:r w:rsidRPr="00576ADD">
        <w:rPr>
          <w:rFonts w:cs="Times New Roman"/>
        </w:rPr>
        <w:t xml:space="preserve">Európsky súd pre ľudské práva: Rozsudok zo dňa 19. októbra 1992, </w:t>
      </w:r>
      <w:proofErr w:type="spellStart"/>
      <w:r w:rsidRPr="00576ADD">
        <w:rPr>
          <w:rFonts w:cs="Times New Roman"/>
          <w:i/>
        </w:rPr>
        <w:t>Open</w:t>
      </w:r>
      <w:proofErr w:type="spellEnd"/>
      <w:r w:rsidRPr="00576ADD">
        <w:rPr>
          <w:rFonts w:cs="Times New Roman"/>
          <w:i/>
        </w:rPr>
        <w:t xml:space="preserve"> Door and Dublin </w:t>
      </w:r>
      <w:proofErr w:type="spellStart"/>
      <w:r w:rsidRPr="00576ADD">
        <w:rPr>
          <w:rFonts w:cs="Times New Roman"/>
          <w:i/>
        </w:rPr>
        <w:t>Well</w:t>
      </w:r>
      <w:proofErr w:type="spellEnd"/>
      <w:r w:rsidRPr="00576ADD">
        <w:rPr>
          <w:rFonts w:cs="Times New Roman"/>
          <w:i/>
        </w:rPr>
        <w:t xml:space="preserve"> </w:t>
      </w:r>
      <w:proofErr w:type="spellStart"/>
      <w:r w:rsidRPr="00576ADD">
        <w:rPr>
          <w:rFonts w:cs="Times New Roman"/>
          <w:i/>
        </w:rPr>
        <w:t>Woman</w:t>
      </w:r>
      <w:proofErr w:type="spellEnd"/>
      <w:r w:rsidRPr="00576ADD">
        <w:rPr>
          <w:rFonts w:cs="Times New Roman"/>
          <w:i/>
        </w:rPr>
        <w:t xml:space="preserve"> v. Írsko</w:t>
      </w:r>
      <w:r w:rsidRPr="00576ADD">
        <w:rPr>
          <w:rFonts w:cs="Times New Roman"/>
        </w:rPr>
        <w:t xml:space="preserve">, </w:t>
      </w:r>
      <w:r>
        <w:rPr>
          <w:rFonts w:cs="Times New Roman"/>
        </w:rPr>
        <w:t xml:space="preserve">č. </w:t>
      </w:r>
      <w:r w:rsidRPr="00576ADD">
        <w:rPr>
          <w:rFonts w:cs="Times New Roman"/>
          <w:color w:val="000000"/>
        </w:rPr>
        <w:t xml:space="preserve">14234, 14235/88, </w:t>
      </w:r>
      <w:proofErr w:type="spellStart"/>
      <w:r>
        <w:rPr>
          <w:rFonts w:cs="Times New Roman"/>
          <w:color w:val="000000"/>
        </w:rPr>
        <w:t>Series</w:t>
      </w:r>
      <w:proofErr w:type="spellEnd"/>
      <w:r>
        <w:rPr>
          <w:rFonts w:cs="Times New Roman"/>
          <w:color w:val="000000"/>
        </w:rPr>
        <w:t xml:space="preserve"> </w:t>
      </w:r>
      <w:r w:rsidRPr="00576ADD">
        <w:rPr>
          <w:rFonts w:cs="Times New Roman"/>
          <w:color w:val="000000"/>
        </w:rPr>
        <w:t>A 246-A, § 41 – 44.</w:t>
      </w:r>
    </w:p>
  </w:footnote>
  <w:footnote w:id="75">
    <w:p w:rsidR="00DC1275" w:rsidRPr="00DB2A65" w:rsidRDefault="00DC1275" w:rsidP="00DC1275">
      <w:pPr>
        <w:pStyle w:val="Textpoznmkypodiarou"/>
        <w:rPr>
          <w:rFonts w:cs="Times New Roman"/>
        </w:rPr>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w:t>
      </w:r>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2010, s. 711.</w:t>
      </w:r>
    </w:p>
  </w:footnote>
  <w:footnote w:id="76">
    <w:p w:rsidR="00DC1275" w:rsidRPr="00DB2A65" w:rsidRDefault="00DC1275" w:rsidP="00DC1275">
      <w:pPr>
        <w:pStyle w:val="Textpoznmkypodiarou"/>
        <w:rPr>
          <w:rFonts w:cs="Times New Roman"/>
        </w:rPr>
      </w:pPr>
      <w:r w:rsidRPr="00DB2A65">
        <w:rPr>
          <w:rStyle w:val="Odkaznapoznmkupodiarou"/>
          <w:rFonts w:cs="Times New Roman"/>
        </w:rPr>
        <w:footnoteRef/>
      </w:r>
      <w:r w:rsidRPr="00DB2A65">
        <w:rPr>
          <w:rFonts w:cs="Times New Roman"/>
        </w:rPr>
        <w:t xml:space="preserve"> </w:t>
      </w:r>
      <w:r w:rsidRPr="00DB2A65">
        <w:rPr>
          <w:rFonts w:cs="Times New Roman"/>
        </w:rPr>
        <w:t>Európsky súd pre ľudské práva: Rozsudok z</w:t>
      </w:r>
      <w:r>
        <w:rPr>
          <w:rFonts w:cs="Times New Roman"/>
        </w:rPr>
        <w:t>o</w:t>
      </w:r>
      <w:r w:rsidRPr="00DB2A65">
        <w:rPr>
          <w:rFonts w:cs="Times New Roman"/>
        </w:rPr>
        <w:t xml:space="preserve"> dňa 22. októbra 1981, </w:t>
      </w:r>
      <w:proofErr w:type="spellStart"/>
      <w:r w:rsidRPr="00DB2A65">
        <w:rPr>
          <w:rFonts w:cs="Times New Roman"/>
          <w:i/>
        </w:rPr>
        <w:t>Dudgeon</w:t>
      </w:r>
      <w:proofErr w:type="spellEnd"/>
      <w:r w:rsidRPr="00DB2A65">
        <w:rPr>
          <w:rFonts w:cs="Times New Roman"/>
          <w:i/>
        </w:rPr>
        <w:t xml:space="preserve"> v. Spojené kráľovstvo</w:t>
      </w:r>
      <w:r w:rsidRPr="00DB2A65">
        <w:rPr>
          <w:rFonts w:cs="Times New Roman"/>
        </w:rPr>
        <w:t xml:space="preserve">, </w:t>
      </w:r>
      <w:r>
        <w:rPr>
          <w:rFonts w:cs="Times New Roman"/>
        </w:rPr>
        <w:t xml:space="preserve">č. </w:t>
      </w:r>
      <w:r w:rsidRPr="00DB2A65">
        <w:rPr>
          <w:rFonts w:cs="Times New Roman"/>
          <w:color w:val="000000"/>
        </w:rPr>
        <w:t xml:space="preserve">7525/76, </w:t>
      </w:r>
      <w:proofErr w:type="spellStart"/>
      <w:r>
        <w:rPr>
          <w:rFonts w:cs="Times New Roman"/>
          <w:color w:val="000000"/>
        </w:rPr>
        <w:t>Series</w:t>
      </w:r>
      <w:proofErr w:type="spellEnd"/>
      <w:r>
        <w:rPr>
          <w:rFonts w:cs="Times New Roman"/>
          <w:color w:val="000000"/>
        </w:rPr>
        <w:t xml:space="preserve"> </w:t>
      </w:r>
      <w:r w:rsidRPr="00DB2A65">
        <w:rPr>
          <w:rFonts w:cs="Times New Roman"/>
        </w:rPr>
        <w:t>A 45.</w:t>
      </w:r>
    </w:p>
  </w:footnote>
  <w:footnote w:id="77">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46 – 47.</w:t>
      </w:r>
    </w:p>
  </w:footnote>
  <w:footnote w:id="78">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w:t>
      </w:r>
      <w:r>
        <w:rPr>
          <w:i/>
        </w:rPr>
        <w:t>vybraným článkom Dohovoru...</w:t>
      </w:r>
      <w:r>
        <w:t>,</w:t>
      </w:r>
      <w:r w:rsidRPr="009C103D">
        <w:t xml:space="preserve"> </w:t>
      </w:r>
      <w:r>
        <w:t>s. 114 – 115.</w:t>
      </w:r>
    </w:p>
  </w:footnote>
  <w:footnote w:id="79">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46 – 47.</w:t>
      </w:r>
    </w:p>
  </w:footnote>
  <w:footnote w:id="80">
    <w:p w:rsidR="00DC1275" w:rsidRDefault="00DC1275" w:rsidP="00DC1275">
      <w:pPr>
        <w:pStyle w:val="Textpoznmkypodiarou"/>
      </w:pPr>
      <w:r>
        <w:rPr>
          <w:rStyle w:val="Odkaznapoznmkupodiarou"/>
        </w:rPr>
        <w:footnoteRef/>
      </w:r>
      <w:r>
        <w:t xml:space="preserve"> </w:t>
      </w:r>
      <w:r w:rsidRPr="00BF58D0">
        <w:t>ČA</w:t>
      </w:r>
      <w:r>
        <w:t xml:space="preserve">PEK: </w:t>
      </w:r>
      <w:proofErr w:type="spellStart"/>
      <w:r>
        <w:rPr>
          <w:i/>
        </w:rPr>
        <w:t>Evropská</w:t>
      </w:r>
      <w:proofErr w:type="spellEnd"/>
      <w:r>
        <w:rPr>
          <w:i/>
        </w:rPr>
        <w:t xml:space="preserve"> </w:t>
      </w:r>
      <w:proofErr w:type="spellStart"/>
      <w:r>
        <w:rPr>
          <w:i/>
        </w:rPr>
        <w:t>úmluva</w:t>
      </w:r>
      <w:proofErr w:type="spellEnd"/>
      <w:r>
        <w:rPr>
          <w:i/>
        </w:rPr>
        <w:t>...</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699.</w:t>
      </w:r>
    </w:p>
  </w:footnote>
  <w:footnote w:id="81">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46 – 49.</w:t>
      </w:r>
    </w:p>
  </w:footnote>
  <w:footnote w:id="82">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w:t>
      </w:r>
      <w:r>
        <w:rPr>
          <w:i/>
        </w:rPr>
        <w:t xml:space="preserve"> Dohovoru...</w:t>
      </w:r>
      <w:r>
        <w:t>,</w:t>
      </w:r>
      <w:r w:rsidRPr="009C103D">
        <w:t xml:space="preserve"> </w:t>
      </w:r>
      <w:r>
        <w:t>s. 118.</w:t>
      </w:r>
    </w:p>
  </w:footnote>
  <w:footnote w:id="83">
    <w:p w:rsidR="00DC1275" w:rsidRDefault="00DC1275" w:rsidP="00DC1275">
      <w:pPr>
        <w:pStyle w:val="Textpoznmkypodiarou"/>
      </w:pPr>
      <w:r w:rsidRPr="00CB76D3">
        <w:rPr>
          <w:rStyle w:val="Odkaznapoznmkupodiarou"/>
        </w:rPr>
        <w:footnoteRef/>
      </w:r>
      <w:r w:rsidRPr="00CB76D3">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48 – 49.</w:t>
      </w:r>
    </w:p>
  </w:footnote>
  <w:footnote w:id="84">
    <w:p w:rsidR="00DC1275" w:rsidRDefault="00DC1275" w:rsidP="00DC1275">
      <w:pPr>
        <w:pStyle w:val="Textpoznmkypodiarou"/>
      </w:pPr>
      <w:r>
        <w:rPr>
          <w:rStyle w:val="Odkaznapoznmkupodiarou"/>
        </w:rPr>
        <w:footnoteRef/>
      </w:r>
      <w:r>
        <w:t xml:space="preserve"> </w:t>
      </w:r>
      <w:r>
        <w:t>K vyčiarknutiu sťažnosti môže dôjsť podľa článku 37 Dohovoru tiež vtedy, ak okolnosti prípadu nasvedčujú, že sťažovateľ viac netrvá na svojej sťažnosti, alebo že vec už bola vyriešená, prípadne z akéhokoľvek iného dôvodu, na základe ktorého Súd dospeje k záveru, že v posudzovaní sťažnosti nie je dôvodné pokračovať. Súd je tiež oprávnený rozhodnúť o navrátení sťažnosti do zoznamu prípadov, ak sa domnieva, že okolnosti takýto postup odôvodňujú.</w:t>
      </w:r>
    </w:p>
  </w:footnote>
  <w:footnote w:id="85">
    <w:p w:rsidR="00DC1275" w:rsidRDefault="00DC1275" w:rsidP="00DC1275">
      <w:pPr>
        <w:pStyle w:val="Textpoznmkypodiarou"/>
      </w:pPr>
      <w:r>
        <w:rPr>
          <w:rStyle w:val="Odkaznapoznmkupodiarou"/>
        </w:rPr>
        <w:footnoteRef/>
      </w:r>
      <w:r>
        <w:t xml:space="preserve"> </w:t>
      </w:r>
      <w:r>
        <w:t xml:space="preserve">Európska komisia pre ľudské práva: Rozhodnutie zo dňa 6. júla 1988, </w:t>
      </w:r>
      <w:proofErr w:type="spellStart"/>
      <w:r w:rsidRPr="00CD7B06">
        <w:rPr>
          <w:i/>
        </w:rPr>
        <w:t>Gobrecht</w:t>
      </w:r>
      <w:proofErr w:type="spellEnd"/>
      <w:r w:rsidRPr="00CD7B06">
        <w:rPr>
          <w:i/>
        </w:rPr>
        <w:t xml:space="preserve"> v. Rakúsko</w:t>
      </w:r>
      <w:r>
        <w:t>, č. 11744/85, D.R. č. 56, s. 196.</w:t>
      </w:r>
    </w:p>
  </w:footnote>
  <w:footnote w:id="86">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xml:space="preserve">, </w:t>
      </w:r>
      <w:r w:rsidRPr="00BF58D0">
        <w:t>s.</w:t>
      </w:r>
      <w:r>
        <w:t xml:space="preserve"> 705 – 706.</w:t>
      </w:r>
    </w:p>
  </w:footnote>
  <w:footnote w:id="87">
    <w:p w:rsidR="00DC1275" w:rsidRDefault="00DC1275" w:rsidP="00DC1275">
      <w:pPr>
        <w:pStyle w:val="Textpoznmkypodiarou"/>
      </w:pPr>
      <w:r>
        <w:rPr>
          <w:rStyle w:val="Odkaznapoznmkupodiarou"/>
        </w:rPr>
        <w:footnoteRef/>
      </w:r>
      <w:r>
        <w:t xml:space="preserve"> </w:t>
      </w:r>
      <w:r>
        <w:t xml:space="preserve">Európska komisia pre ľudské práva: Rozhodnutie zo dňa 5. marca 1990, </w:t>
      </w:r>
      <w:r w:rsidRPr="001D58DF">
        <w:rPr>
          <w:i/>
        </w:rPr>
        <w:t xml:space="preserve">Gama </w:t>
      </w:r>
      <w:proofErr w:type="spellStart"/>
      <w:r w:rsidRPr="001D58DF">
        <w:rPr>
          <w:i/>
        </w:rPr>
        <w:t>da</w:t>
      </w:r>
      <w:proofErr w:type="spellEnd"/>
      <w:r w:rsidRPr="001D58DF">
        <w:rPr>
          <w:i/>
        </w:rPr>
        <w:t xml:space="preserve"> </w:t>
      </w:r>
      <w:proofErr w:type="spellStart"/>
      <w:r w:rsidRPr="001D58DF">
        <w:rPr>
          <w:i/>
        </w:rPr>
        <w:t>Costa</w:t>
      </w:r>
      <w:proofErr w:type="spellEnd"/>
      <w:r w:rsidRPr="001D58DF">
        <w:rPr>
          <w:i/>
        </w:rPr>
        <w:t xml:space="preserve"> v. Portugalsko</w:t>
      </w:r>
      <w:r>
        <w:t>,  č. 12659/87, D.R. č. 65, s. 136.</w:t>
      </w:r>
    </w:p>
  </w:footnote>
  <w:footnote w:id="88">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710 – 711.</w:t>
      </w:r>
    </w:p>
  </w:footnote>
  <w:footnote w:id="89">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 Dohovoru</w:t>
      </w:r>
      <w:r>
        <w:rPr>
          <w:i/>
        </w:rPr>
        <w:t>...</w:t>
      </w:r>
      <w:r>
        <w:t>,</w:t>
      </w:r>
      <w:r w:rsidRPr="009C103D">
        <w:t xml:space="preserve"> </w:t>
      </w:r>
      <w:r>
        <w:t>s. 94.</w:t>
      </w:r>
    </w:p>
  </w:footnote>
  <w:footnote w:id="90">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41 – 48.</w:t>
      </w:r>
    </w:p>
  </w:footnote>
  <w:footnote w:id="91">
    <w:p w:rsidR="00DC1275" w:rsidRDefault="00DC1275" w:rsidP="00DC1275">
      <w:pPr>
        <w:pStyle w:val="Textpoznmkypodiarou"/>
      </w:pPr>
      <w:r>
        <w:rPr>
          <w:rStyle w:val="Odkaznapoznmkupodiarou"/>
        </w:rPr>
        <w:footnoteRef/>
      </w:r>
      <w:r>
        <w:t xml:space="preserve">  </w:t>
      </w:r>
      <w:r>
        <w:t xml:space="preserve">Podrobnejšie o problematike pozitívnych záväzkov štátu viď  SVÁK: </w:t>
      </w:r>
      <w:r>
        <w:rPr>
          <w:i/>
        </w:rPr>
        <w:t>Advokát pred európskymi súdmi...</w:t>
      </w:r>
      <w:r>
        <w:t>, s. 59 - 61.</w:t>
      </w:r>
    </w:p>
  </w:footnote>
  <w:footnote w:id="92">
    <w:p w:rsidR="00DC1275" w:rsidRPr="001D58DF" w:rsidRDefault="00DC1275" w:rsidP="00DC1275">
      <w:pPr>
        <w:pStyle w:val="Textpoznmkypodiarou"/>
        <w:rPr>
          <w:rFonts w:cs="Times New Roman"/>
        </w:rPr>
      </w:pPr>
      <w:r w:rsidRPr="001D58DF">
        <w:rPr>
          <w:rStyle w:val="Odkaznapoznmkupodiarou"/>
          <w:rFonts w:cs="Times New Roman"/>
        </w:rPr>
        <w:footnoteRef/>
      </w:r>
      <w:r w:rsidRPr="001D58DF">
        <w:rPr>
          <w:rFonts w:cs="Times New Roman"/>
        </w:rPr>
        <w:t xml:space="preserve"> </w:t>
      </w:r>
      <w:r w:rsidRPr="001D58DF">
        <w:rPr>
          <w:rFonts w:cs="Times New Roman"/>
        </w:rPr>
        <w:t xml:space="preserve">Európsky súd pre ľudské práva: Rozsudok zo dňa 23. novembra 1983, </w:t>
      </w:r>
      <w:proofErr w:type="spellStart"/>
      <w:r w:rsidRPr="001D58DF">
        <w:rPr>
          <w:rFonts w:cs="Times New Roman"/>
          <w:i/>
        </w:rPr>
        <w:t>Van</w:t>
      </w:r>
      <w:proofErr w:type="spellEnd"/>
      <w:r w:rsidRPr="001D58DF">
        <w:rPr>
          <w:rFonts w:cs="Times New Roman"/>
          <w:i/>
        </w:rPr>
        <w:t xml:space="preserve"> der </w:t>
      </w:r>
      <w:proofErr w:type="spellStart"/>
      <w:r w:rsidRPr="001D58DF">
        <w:rPr>
          <w:rFonts w:cs="Times New Roman"/>
          <w:i/>
        </w:rPr>
        <w:t>Mussele</w:t>
      </w:r>
      <w:proofErr w:type="spellEnd"/>
      <w:r w:rsidRPr="001D58DF">
        <w:rPr>
          <w:rFonts w:cs="Times New Roman"/>
          <w:i/>
        </w:rPr>
        <w:t xml:space="preserve"> v. Belgicko</w:t>
      </w:r>
      <w:r w:rsidRPr="001D58DF">
        <w:rPr>
          <w:rFonts w:cs="Times New Roman"/>
        </w:rPr>
        <w:t xml:space="preserve">, </w:t>
      </w:r>
      <w:r>
        <w:rPr>
          <w:rFonts w:cs="Times New Roman"/>
        </w:rPr>
        <w:t xml:space="preserve">č. </w:t>
      </w:r>
      <w:r w:rsidRPr="001D58DF">
        <w:rPr>
          <w:rFonts w:cs="Times New Roman"/>
          <w:color w:val="000000"/>
        </w:rPr>
        <w:t xml:space="preserve">8919/80, </w:t>
      </w:r>
      <w:proofErr w:type="spellStart"/>
      <w:r>
        <w:rPr>
          <w:rFonts w:cs="Times New Roman"/>
          <w:color w:val="000000"/>
        </w:rPr>
        <w:t>Series</w:t>
      </w:r>
      <w:proofErr w:type="spellEnd"/>
      <w:r>
        <w:rPr>
          <w:rFonts w:cs="Times New Roman"/>
          <w:color w:val="000000"/>
        </w:rPr>
        <w:t xml:space="preserve"> </w:t>
      </w:r>
      <w:r w:rsidRPr="001D58DF">
        <w:rPr>
          <w:rFonts w:cs="Times New Roman"/>
          <w:color w:val="000000"/>
        </w:rPr>
        <w:t>A 70.</w:t>
      </w:r>
    </w:p>
  </w:footnote>
  <w:footnote w:id="93">
    <w:p w:rsidR="00DC1275" w:rsidRDefault="00DC1275" w:rsidP="00DC1275">
      <w:pPr>
        <w:pStyle w:val="Textpoznmkypodiarou"/>
      </w:pPr>
      <w:r>
        <w:rPr>
          <w:rStyle w:val="Odkaznapoznmkupodiarou"/>
        </w:rPr>
        <w:footnoteRef/>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41 – 48.</w:t>
      </w:r>
    </w:p>
  </w:footnote>
  <w:footnote w:id="94">
    <w:p w:rsidR="00DC1275" w:rsidRPr="001D58DF" w:rsidRDefault="00DC1275" w:rsidP="00DC1275">
      <w:pPr>
        <w:pStyle w:val="Textpoznmkypodiarou"/>
        <w:rPr>
          <w:rFonts w:cs="Times New Roman"/>
        </w:rPr>
      </w:pPr>
      <w:r w:rsidRPr="001D58DF">
        <w:rPr>
          <w:rStyle w:val="Odkaznapoznmkupodiarou"/>
          <w:rFonts w:cs="Times New Roman"/>
        </w:rPr>
        <w:footnoteRef/>
      </w:r>
      <w:r w:rsidRPr="001D58DF">
        <w:rPr>
          <w:rFonts w:cs="Times New Roman"/>
        </w:rPr>
        <w:t xml:space="preserve"> </w:t>
      </w:r>
      <w:r w:rsidRPr="001D58DF">
        <w:rPr>
          <w:rFonts w:cs="Times New Roman"/>
        </w:rPr>
        <w:t xml:space="preserve">Európsky súd pre ľudské práva: Rozsudok zo dňa 23. septembra 1998, </w:t>
      </w:r>
      <w:r w:rsidRPr="001D58DF">
        <w:rPr>
          <w:rFonts w:cs="Times New Roman"/>
          <w:i/>
        </w:rPr>
        <w:t>A. v. Spojené kráľovstvo</w:t>
      </w:r>
      <w:r w:rsidRPr="001D58DF">
        <w:rPr>
          <w:rFonts w:cs="Times New Roman"/>
        </w:rPr>
        <w:t xml:space="preserve">, </w:t>
      </w:r>
      <w:r>
        <w:rPr>
          <w:rFonts w:cs="Times New Roman"/>
        </w:rPr>
        <w:t xml:space="preserve">č. </w:t>
      </w:r>
      <w:r w:rsidRPr="001D58DF">
        <w:rPr>
          <w:rFonts w:cs="Times New Roman"/>
          <w:color w:val="000000"/>
        </w:rPr>
        <w:t xml:space="preserve">25599/94, </w:t>
      </w:r>
      <w:proofErr w:type="spellStart"/>
      <w:r>
        <w:rPr>
          <w:rFonts w:cs="Times New Roman"/>
          <w:color w:val="000000"/>
        </w:rPr>
        <w:t>Reports</w:t>
      </w:r>
      <w:proofErr w:type="spellEnd"/>
      <w:r w:rsidRPr="001D58DF">
        <w:rPr>
          <w:rFonts w:cs="Times New Roman"/>
          <w:color w:val="000000"/>
        </w:rPr>
        <w:t xml:space="preserve"> 1998-VI.</w:t>
      </w:r>
    </w:p>
  </w:footnote>
  <w:footnote w:id="95">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41 – 48.</w:t>
      </w:r>
    </w:p>
  </w:footnote>
  <w:footnote w:id="96">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 Dohovoru</w:t>
      </w:r>
      <w:r>
        <w:rPr>
          <w:i/>
        </w:rPr>
        <w:t>...</w:t>
      </w:r>
      <w:r>
        <w:t>,</w:t>
      </w:r>
      <w:r w:rsidRPr="009C103D">
        <w:t xml:space="preserve"> </w:t>
      </w:r>
      <w:r>
        <w:t>s. 94.</w:t>
      </w:r>
    </w:p>
  </w:footnote>
  <w:footnote w:id="97">
    <w:p w:rsidR="00DC1275" w:rsidRDefault="00DC1275" w:rsidP="00DC1275">
      <w:pPr>
        <w:pStyle w:val="Textpoznmkypodiarou"/>
      </w:pPr>
      <w:r>
        <w:rPr>
          <w:rStyle w:val="Odkaznapoznmkupodiarou"/>
        </w:rPr>
        <w:footnoteRef/>
      </w:r>
      <w:r>
        <w:t xml:space="preserve"> </w:t>
      </w:r>
      <w:r>
        <w:rPr>
          <w:lang w:val="en-US"/>
        </w:rPr>
        <w:t xml:space="preserve">HARRIS: </w:t>
      </w:r>
      <w:r w:rsidRPr="00B26AE4">
        <w:rPr>
          <w:i/>
          <w:lang w:val="en-US"/>
        </w:rPr>
        <w:t>Law of the European</w:t>
      </w:r>
      <w:r>
        <w:rPr>
          <w:i/>
          <w:lang w:val="en-US"/>
        </w:rPr>
        <w:t xml:space="preserve"> Convention…</w:t>
      </w:r>
      <w:r>
        <w:rPr>
          <w:lang w:val="en-US"/>
        </w:rPr>
        <w:t>, s. 757.</w:t>
      </w:r>
    </w:p>
  </w:footnote>
  <w:footnote w:id="98">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w:t>
      </w:r>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739.</w:t>
      </w:r>
    </w:p>
  </w:footnote>
  <w:footnote w:id="99">
    <w:p w:rsidR="00DC1275" w:rsidRDefault="00DC1275" w:rsidP="00DC1275">
      <w:pPr>
        <w:pStyle w:val="Textpoznmkypodiarou"/>
      </w:pPr>
      <w:r>
        <w:rPr>
          <w:rStyle w:val="Odkaznapoznmkupodiarou"/>
        </w:rPr>
        <w:footnoteRef/>
      </w:r>
      <w:r>
        <w:t xml:space="preserve"> </w:t>
      </w:r>
      <w:r>
        <w:t xml:space="preserve">Európska komisia pre ľudské práva: Rozhodnutie zo dňa 15. marca 1961, </w:t>
      </w:r>
      <w:proofErr w:type="spellStart"/>
      <w:r w:rsidRPr="00163A3C">
        <w:rPr>
          <w:i/>
        </w:rPr>
        <w:t>Nielsen</w:t>
      </w:r>
      <w:proofErr w:type="spellEnd"/>
      <w:r w:rsidRPr="00163A3C">
        <w:rPr>
          <w:i/>
        </w:rPr>
        <w:t xml:space="preserve"> v. Dánsko</w:t>
      </w:r>
      <w:r>
        <w:t xml:space="preserve">, č. 343/57, </w:t>
      </w:r>
      <w:proofErr w:type="spellStart"/>
      <w:r>
        <w:t>Yearbook</w:t>
      </w:r>
      <w:proofErr w:type="spellEnd"/>
      <w:r>
        <w:t xml:space="preserve"> II, s. 412.</w:t>
      </w:r>
    </w:p>
  </w:footnote>
  <w:footnote w:id="100">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w:t>
      </w:r>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739.</w:t>
      </w:r>
    </w:p>
  </w:footnote>
  <w:footnote w:id="101">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832.</w:t>
      </w:r>
    </w:p>
  </w:footnote>
  <w:footnote w:id="102">
    <w:p w:rsidR="00DC1275" w:rsidRDefault="00DC1275" w:rsidP="00DC1275">
      <w:pPr>
        <w:pStyle w:val="Textpoznmkypodiarou"/>
      </w:pPr>
      <w:r w:rsidRPr="00F85904">
        <w:rPr>
          <w:rStyle w:val="Odkaznapoznmkupodiarou"/>
        </w:rPr>
        <w:footnoteRef/>
      </w:r>
      <w:r w:rsidRPr="00F85904">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Pr>
          <w:rFonts w:cs="Times New Roman"/>
        </w:rPr>
        <w:t xml:space="preserve">, </w:t>
      </w:r>
      <w:proofErr w:type="spellStart"/>
      <w:r>
        <w:rPr>
          <w:rFonts w:cs="Times New Roman"/>
        </w:rPr>
        <w:t>zvláštní</w:t>
      </w:r>
      <w:proofErr w:type="spellEnd"/>
      <w:r>
        <w:rPr>
          <w:rFonts w:cs="Times New Roman"/>
        </w:rPr>
        <w:t xml:space="preserve"> číslo, s. 20.</w:t>
      </w:r>
    </w:p>
  </w:footnote>
  <w:footnote w:id="103">
    <w:p w:rsidR="00DC1275" w:rsidRDefault="00DC1275" w:rsidP="00DC1275">
      <w:pPr>
        <w:pStyle w:val="Textpoznmkypodiarou"/>
      </w:pPr>
      <w:r>
        <w:rPr>
          <w:rStyle w:val="Odkaznapoznmkupodiarou"/>
        </w:rPr>
        <w:footnoteRef/>
      </w:r>
      <w:r>
        <w:t xml:space="preserve"> </w:t>
      </w:r>
      <w:r>
        <w:t xml:space="preserve">Medzinárodný súdny dvor: Rozsudok zo dňa 21. marca 1959, </w:t>
      </w:r>
      <w:proofErr w:type="spellStart"/>
      <w:r w:rsidRPr="00062F93">
        <w:rPr>
          <w:i/>
        </w:rPr>
        <w:t>Interhandel</w:t>
      </w:r>
      <w:proofErr w:type="spellEnd"/>
      <w:r w:rsidRPr="00062F93">
        <w:rPr>
          <w:i/>
        </w:rPr>
        <w:t xml:space="preserve"> (Švajčiarsko v. USA)</w:t>
      </w:r>
      <w:r>
        <w:t xml:space="preserve">, I.C.J. </w:t>
      </w:r>
      <w:proofErr w:type="spellStart"/>
      <w:r>
        <w:t>Reports</w:t>
      </w:r>
      <w:proofErr w:type="spellEnd"/>
      <w:r>
        <w:t xml:space="preserve"> 1959, s. 6.</w:t>
      </w:r>
    </w:p>
  </w:footnote>
  <w:footnote w:id="104">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740.</w:t>
      </w:r>
    </w:p>
  </w:footnote>
  <w:footnote w:id="105">
    <w:p w:rsidR="00DC1275" w:rsidRPr="00C56B84" w:rsidRDefault="00DC1275" w:rsidP="00DC1275">
      <w:pPr>
        <w:pStyle w:val="Textpoznmkypodiarou"/>
        <w:rPr>
          <w:rFonts w:cs="Times New Roman"/>
        </w:rPr>
      </w:pPr>
      <w:r w:rsidRPr="00C56B84">
        <w:rPr>
          <w:rStyle w:val="Odkaznapoznmkupodiarou"/>
          <w:rFonts w:cs="Times New Roman"/>
        </w:rPr>
        <w:footnoteRef/>
      </w:r>
      <w:r w:rsidRPr="00C56B84">
        <w:rPr>
          <w:rFonts w:cs="Times New Roman"/>
        </w:rPr>
        <w:t xml:space="preserve"> </w:t>
      </w:r>
      <w:r w:rsidRPr="00C56B84">
        <w:rPr>
          <w:rFonts w:cs="Times New Roman"/>
        </w:rPr>
        <w:t xml:space="preserve">Európsky súd pre ľudské práva: Rozsudok zo dňa 18. júna 1971, </w:t>
      </w:r>
      <w:proofErr w:type="spellStart"/>
      <w:r w:rsidRPr="00C56B84">
        <w:rPr>
          <w:rFonts w:cs="Times New Roman"/>
          <w:i/>
        </w:rPr>
        <w:t>De</w:t>
      </w:r>
      <w:proofErr w:type="spellEnd"/>
      <w:r w:rsidRPr="00C56B84">
        <w:rPr>
          <w:rFonts w:cs="Times New Roman"/>
          <w:i/>
        </w:rPr>
        <w:t xml:space="preserve"> </w:t>
      </w:r>
      <w:proofErr w:type="spellStart"/>
      <w:r w:rsidRPr="00C56B84">
        <w:rPr>
          <w:rFonts w:cs="Times New Roman"/>
          <w:i/>
        </w:rPr>
        <w:t>Wilde</w:t>
      </w:r>
      <w:proofErr w:type="spellEnd"/>
      <w:r w:rsidRPr="00C56B84">
        <w:rPr>
          <w:rFonts w:cs="Times New Roman"/>
          <w:i/>
        </w:rPr>
        <w:t xml:space="preserve">, </w:t>
      </w:r>
      <w:proofErr w:type="spellStart"/>
      <w:r w:rsidRPr="00C56B84">
        <w:rPr>
          <w:rFonts w:cs="Times New Roman"/>
          <w:i/>
        </w:rPr>
        <w:t>Ooms</w:t>
      </w:r>
      <w:proofErr w:type="spellEnd"/>
      <w:r w:rsidRPr="00C56B84">
        <w:rPr>
          <w:rFonts w:cs="Times New Roman"/>
          <w:i/>
        </w:rPr>
        <w:t xml:space="preserve"> a </w:t>
      </w:r>
      <w:proofErr w:type="spellStart"/>
      <w:r w:rsidRPr="00C56B84">
        <w:rPr>
          <w:rFonts w:cs="Times New Roman"/>
          <w:i/>
        </w:rPr>
        <w:t>Versyp</w:t>
      </w:r>
      <w:proofErr w:type="spellEnd"/>
      <w:r w:rsidRPr="00C56B84">
        <w:rPr>
          <w:rFonts w:cs="Times New Roman"/>
          <w:i/>
        </w:rPr>
        <w:t xml:space="preserve"> v. Belgicko</w:t>
      </w:r>
      <w:r w:rsidRPr="00C56B84">
        <w:rPr>
          <w:rFonts w:cs="Times New Roman"/>
        </w:rPr>
        <w:t xml:space="preserve">, </w:t>
      </w:r>
      <w:r>
        <w:rPr>
          <w:rFonts w:cs="Times New Roman"/>
        </w:rPr>
        <w:t xml:space="preserve">č. </w:t>
      </w:r>
      <w:r w:rsidRPr="00C56B84">
        <w:rPr>
          <w:rFonts w:cs="Times New Roman"/>
          <w:color w:val="000000"/>
        </w:rPr>
        <w:t xml:space="preserve">2832, 2835, 2899/66, </w:t>
      </w:r>
      <w:proofErr w:type="spellStart"/>
      <w:r>
        <w:rPr>
          <w:rFonts w:cs="Times New Roman"/>
          <w:color w:val="000000"/>
        </w:rPr>
        <w:t>Series</w:t>
      </w:r>
      <w:proofErr w:type="spellEnd"/>
      <w:r>
        <w:rPr>
          <w:rFonts w:cs="Times New Roman"/>
          <w:color w:val="000000"/>
        </w:rPr>
        <w:t xml:space="preserve"> A 12, s. </w:t>
      </w:r>
      <w:r w:rsidRPr="00C56B84">
        <w:rPr>
          <w:rFonts w:cs="Times New Roman"/>
          <w:color w:val="000000"/>
        </w:rPr>
        <w:t>33.</w:t>
      </w:r>
    </w:p>
  </w:footnote>
  <w:footnote w:id="106">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740.</w:t>
      </w:r>
    </w:p>
  </w:footnote>
  <w:footnote w:id="107">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832.</w:t>
      </w:r>
    </w:p>
  </w:footnote>
  <w:footnote w:id="108">
    <w:p w:rsidR="00DC1275" w:rsidRDefault="00DC1275" w:rsidP="00DC1275">
      <w:pPr>
        <w:pStyle w:val="Textpoznmkypodiarou"/>
      </w:pPr>
      <w:r>
        <w:rPr>
          <w:rStyle w:val="Odkaznapoznmkupodiarou"/>
        </w:rPr>
        <w:footnoteRef/>
      </w:r>
      <w:r>
        <w:t xml:space="preserve"> </w:t>
      </w:r>
      <w:r>
        <w:t xml:space="preserve">Európska komisia pre ľudské práva: Rozhodnutie zo dňa 29. mája 1974, </w:t>
      </w:r>
      <w:r w:rsidRPr="00FF0632">
        <w:rPr>
          <w:i/>
        </w:rPr>
        <w:t xml:space="preserve">Monika </w:t>
      </w:r>
      <w:proofErr w:type="spellStart"/>
      <w:r w:rsidRPr="00FF0632">
        <w:rPr>
          <w:i/>
        </w:rPr>
        <w:t>Berberich</w:t>
      </w:r>
      <w:proofErr w:type="spellEnd"/>
      <w:r w:rsidRPr="00FF0632">
        <w:rPr>
          <w:i/>
        </w:rPr>
        <w:t xml:space="preserve"> v. </w:t>
      </w:r>
      <w:r>
        <w:rPr>
          <w:i/>
        </w:rPr>
        <w:t>Nemecko</w:t>
      </w:r>
      <w:r>
        <w:t xml:space="preserve">, č. 5874/72, </w:t>
      </w:r>
      <w:proofErr w:type="spellStart"/>
      <w:r>
        <w:t>Yearbook</w:t>
      </w:r>
      <w:proofErr w:type="spellEnd"/>
      <w:r>
        <w:t xml:space="preserve"> XVII, s. 386.</w:t>
      </w:r>
    </w:p>
  </w:footnote>
  <w:footnote w:id="109">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rsidRPr="00BF58D0">
        <w:t>, s.</w:t>
      </w:r>
      <w:r>
        <w:t xml:space="preserve"> 740 - 741.</w:t>
      </w:r>
    </w:p>
  </w:footnote>
  <w:footnote w:id="110">
    <w:p w:rsidR="00DC1275" w:rsidRPr="00C9071C" w:rsidRDefault="00DC1275" w:rsidP="00DC1275">
      <w:pPr>
        <w:pStyle w:val="Textpoznmkypodiarou"/>
        <w:rPr>
          <w:rFonts w:cs="Times New Roman"/>
        </w:rPr>
      </w:pPr>
      <w:r w:rsidRPr="00C9071C">
        <w:rPr>
          <w:rStyle w:val="Odkaznapoznmkupodiarou"/>
          <w:rFonts w:cs="Times New Roman"/>
        </w:rPr>
        <w:footnoteRef/>
      </w:r>
      <w:r w:rsidRPr="00C9071C">
        <w:rPr>
          <w:rFonts w:cs="Times New Roman"/>
        </w:rPr>
        <w:t xml:space="preserve"> </w:t>
      </w:r>
      <w:r w:rsidRPr="00C9071C">
        <w:rPr>
          <w:rFonts w:cs="Times New Roman"/>
        </w:rPr>
        <w:t xml:space="preserve">Európsky súd pre ľudské práva: Rozsudok zo dňa 6. novembra 1980, </w:t>
      </w:r>
      <w:proofErr w:type="spellStart"/>
      <w:r w:rsidRPr="00C9071C">
        <w:rPr>
          <w:rFonts w:cs="Times New Roman"/>
          <w:i/>
        </w:rPr>
        <w:t>Van</w:t>
      </w:r>
      <w:proofErr w:type="spellEnd"/>
      <w:r w:rsidRPr="00C9071C">
        <w:rPr>
          <w:rFonts w:cs="Times New Roman"/>
          <w:i/>
        </w:rPr>
        <w:t xml:space="preserve"> </w:t>
      </w:r>
      <w:proofErr w:type="spellStart"/>
      <w:r w:rsidRPr="00C9071C">
        <w:rPr>
          <w:rFonts w:cs="Times New Roman"/>
          <w:i/>
        </w:rPr>
        <w:t>Oosterwijck</w:t>
      </w:r>
      <w:proofErr w:type="spellEnd"/>
      <w:r w:rsidRPr="00C9071C">
        <w:rPr>
          <w:rFonts w:cs="Times New Roman"/>
          <w:i/>
        </w:rPr>
        <w:t xml:space="preserve"> v. Belgicko</w:t>
      </w:r>
      <w:r w:rsidRPr="00C9071C">
        <w:rPr>
          <w:rFonts w:cs="Times New Roman"/>
        </w:rPr>
        <w:t xml:space="preserve">, </w:t>
      </w:r>
      <w:r>
        <w:rPr>
          <w:rFonts w:cs="Times New Roman"/>
        </w:rPr>
        <w:t xml:space="preserve">č. </w:t>
      </w:r>
      <w:r w:rsidRPr="00C9071C">
        <w:rPr>
          <w:rFonts w:cs="Times New Roman"/>
          <w:color w:val="000000"/>
        </w:rPr>
        <w:t xml:space="preserve">7654/76, </w:t>
      </w:r>
      <w:proofErr w:type="spellStart"/>
      <w:r>
        <w:rPr>
          <w:rFonts w:cs="Times New Roman"/>
          <w:color w:val="000000"/>
        </w:rPr>
        <w:t>Series</w:t>
      </w:r>
      <w:proofErr w:type="spellEnd"/>
      <w:r>
        <w:rPr>
          <w:rFonts w:cs="Times New Roman"/>
          <w:color w:val="000000"/>
        </w:rPr>
        <w:t xml:space="preserve"> A 40, s. </w:t>
      </w:r>
      <w:r w:rsidRPr="00C9071C">
        <w:rPr>
          <w:rFonts w:cs="Times New Roman"/>
          <w:color w:val="000000"/>
        </w:rPr>
        <w:t>19.</w:t>
      </w:r>
    </w:p>
  </w:footnote>
  <w:footnote w:id="111">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rsidRPr="00BF58D0">
        <w:t>, s.</w:t>
      </w:r>
      <w:r>
        <w:t xml:space="preserve"> 740 - 741.</w:t>
      </w:r>
    </w:p>
  </w:footnote>
  <w:footnote w:id="112">
    <w:p w:rsidR="00DC1275" w:rsidRDefault="00DC1275" w:rsidP="00DC1275">
      <w:pPr>
        <w:pStyle w:val="Textpoznmkypodiarou"/>
      </w:pPr>
      <w:r>
        <w:rPr>
          <w:rStyle w:val="Odkaznapoznmkupodiarou"/>
        </w:rPr>
        <w:footnoteRef/>
      </w:r>
      <w:r>
        <w:t xml:space="preserve"> </w:t>
      </w:r>
      <w:r>
        <w:t>Viď poznámku pod čiarou č. 84.</w:t>
      </w:r>
    </w:p>
  </w:footnote>
  <w:footnote w:id="113">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rsidRPr="00BF58D0">
        <w:t>, s.</w:t>
      </w:r>
      <w:r>
        <w:t xml:space="preserve"> 740 - 741.</w:t>
      </w:r>
    </w:p>
  </w:footnote>
  <w:footnote w:id="114">
    <w:p w:rsidR="00DC1275" w:rsidRDefault="00DC1275" w:rsidP="00DC1275">
      <w:pPr>
        <w:pStyle w:val="Textpoznmkypodiarou"/>
      </w:pPr>
      <w:r>
        <w:rPr>
          <w:rStyle w:val="Odkaznapoznmkupodiarou"/>
        </w:rPr>
        <w:footnoteRef/>
      </w:r>
      <w:r>
        <w:t xml:space="preserve"> </w:t>
      </w:r>
      <w:r>
        <w:t>Viď poznámku pod čiarou č. 75.</w:t>
      </w:r>
    </w:p>
  </w:footnote>
  <w:footnote w:id="115">
    <w:p w:rsidR="00DC1275" w:rsidRDefault="00DC1275" w:rsidP="00DC1275">
      <w:pPr>
        <w:pStyle w:val="Textpoznmkypodiarou"/>
      </w:pPr>
      <w:r>
        <w:rPr>
          <w:rStyle w:val="Odkaznapoznmkupodiarou"/>
        </w:rPr>
        <w:footnoteRef/>
      </w:r>
      <w:r>
        <w:t xml:space="preserve"> </w:t>
      </w:r>
      <w:r>
        <w:t xml:space="preserve">Príkladmi takýchto iných konaní môžu byť trebárs žiadosti o milosť, </w:t>
      </w:r>
      <w:proofErr w:type="spellStart"/>
      <w:r>
        <w:t>kárne</w:t>
      </w:r>
      <w:proofErr w:type="spellEnd"/>
      <w:r>
        <w:t xml:space="preserve"> konania alebo sťažnosti k predstaviteľom policajnej jednotky.</w:t>
      </w:r>
    </w:p>
  </w:footnote>
  <w:footnote w:id="116">
    <w:p w:rsidR="00DC1275" w:rsidRDefault="00DC1275" w:rsidP="00DC1275">
      <w:pPr>
        <w:pStyle w:val="Textpoznmkypodiarou"/>
      </w:pPr>
      <w:r>
        <w:rPr>
          <w:rStyle w:val="Odkaznapoznmkupodiarou"/>
        </w:rPr>
        <w:footnoteRef/>
      </w:r>
      <w:r>
        <w:t xml:space="preserve"> </w:t>
      </w:r>
      <w:r>
        <w:rPr>
          <w:lang w:val="en-US"/>
        </w:rPr>
        <w:t xml:space="preserve">HUBÁLKOVÁ: </w:t>
      </w:r>
      <w:r w:rsidRPr="0040573D">
        <w:rPr>
          <w:i/>
          <w:lang w:val="cs-CZ"/>
        </w:rPr>
        <w:t>Evropská</w:t>
      </w:r>
      <w:r>
        <w:rPr>
          <w:i/>
          <w:lang w:val="cs-CZ"/>
        </w:rPr>
        <w:t xml:space="preserve"> úmluva o lidských právech…</w:t>
      </w:r>
      <w:r>
        <w:rPr>
          <w:lang w:val="en-US"/>
        </w:rPr>
        <w:t>, s. 70.</w:t>
      </w:r>
    </w:p>
  </w:footnote>
  <w:footnote w:id="117">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w:t>
      </w:r>
      <w:r>
        <w:rPr>
          <w:i/>
        </w:rPr>
        <w:t>ntár k vybraným článkom Dohovoru...</w:t>
      </w:r>
      <w:r>
        <w:t>,</w:t>
      </w:r>
      <w:r w:rsidRPr="009C103D">
        <w:t xml:space="preserve"> </w:t>
      </w:r>
      <w:r>
        <w:t>s. 175.</w:t>
      </w:r>
    </w:p>
  </w:footnote>
  <w:footnote w:id="118">
    <w:p w:rsidR="00DC1275" w:rsidRDefault="00DC1275" w:rsidP="00DC1275">
      <w:pPr>
        <w:pStyle w:val="Textpoznmkypodiarou"/>
      </w:pPr>
      <w:r>
        <w:rPr>
          <w:rStyle w:val="Odkaznapoznmkupodiarou"/>
        </w:rPr>
        <w:footnoteRef/>
      </w:r>
      <w:r>
        <w:t xml:space="preserve"> </w:t>
      </w:r>
      <w:r>
        <w:rPr>
          <w:lang w:val="en-US"/>
        </w:rPr>
        <w:t xml:space="preserve">HUBÁLKOVÁ: </w:t>
      </w:r>
      <w:r w:rsidRPr="0040573D">
        <w:rPr>
          <w:i/>
          <w:lang w:val="cs-CZ"/>
        </w:rPr>
        <w:t>Evropská</w:t>
      </w:r>
      <w:r w:rsidRPr="004C5C82">
        <w:rPr>
          <w:i/>
          <w:lang w:val="cs-CZ"/>
        </w:rPr>
        <w:t xml:space="preserve"> úmluva o lidských</w:t>
      </w:r>
      <w:r>
        <w:rPr>
          <w:i/>
          <w:lang w:val="cs-CZ"/>
        </w:rPr>
        <w:t xml:space="preserve"> právech a Česká republika…, </w:t>
      </w:r>
      <w:r w:rsidRPr="00E2240B">
        <w:rPr>
          <w:lang w:val="cs-CZ"/>
        </w:rPr>
        <w:t>s.</w:t>
      </w:r>
      <w:r>
        <w:rPr>
          <w:i/>
          <w:lang w:val="cs-CZ"/>
        </w:rPr>
        <w:t xml:space="preserve"> </w:t>
      </w:r>
      <w:r>
        <w:rPr>
          <w:lang w:val="en-US"/>
        </w:rPr>
        <w:t>70.</w:t>
      </w:r>
    </w:p>
  </w:footnote>
  <w:footnote w:id="119">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w:t>
      </w:r>
      <w:r>
        <w:rPr>
          <w:i/>
        </w:rPr>
        <w:t>r k vybraným článkom Dohovoru...</w:t>
      </w:r>
      <w:r>
        <w:t>,</w:t>
      </w:r>
      <w:r w:rsidRPr="009C103D">
        <w:t xml:space="preserve"> </w:t>
      </w:r>
      <w:r>
        <w:t>s. 175.</w:t>
      </w:r>
    </w:p>
  </w:footnote>
  <w:footnote w:id="120">
    <w:p w:rsidR="00DC1275" w:rsidRDefault="00DC1275" w:rsidP="00DC1275">
      <w:pPr>
        <w:pStyle w:val="Textpoznmkypodiarou"/>
      </w:pPr>
      <w:r>
        <w:rPr>
          <w:rStyle w:val="Odkaznapoznmkupodiarou"/>
        </w:rPr>
        <w:footnoteRef/>
      </w:r>
      <w:r>
        <w:t xml:space="preserve"> </w:t>
      </w:r>
      <w:r>
        <w:rPr>
          <w:lang w:val="en-US"/>
        </w:rPr>
        <w:t xml:space="preserve">HUBÁLKOVÁ: </w:t>
      </w:r>
      <w:r w:rsidRPr="0040573D">
        <w:rPr>
          <w:i/>
          <w:lang w:val="cs-CZ"/>
        </w:rPr>
        <w:t>Evropská</w:t>
      </w:r>
      <w:r w:rsidRPr="004C5C82">
        <w:rPr>
          <w:i/>
          <w:lang w:val="cs-CZ"/>
        </w:rPr>
        <w:t xml:space="preserve"> úmluva o lids</w:t>
      </w:r>
      <w:r>
        <w:rPr>
          <w:i/>
          <w:lang w:val="cs-CZ"/>
        </w:rPr>
        <w:t xml:space="preserve">kých právech a Česká republika…, </w:t>
      </w:r>
      <w:r>
        <w:rPr>
          <w:lang w:val="cs-CZ"/>
        </w:rPr>
        <w:t xml:space="preserve">s. </w:t>
      </w:r>
      <w:r>
        <w:rPr>
          <w:lang w:val="en-US"/>
        </w:rPr>
        <w:t>70.</w:t>
      </w:r>
    </w:p>
  </w:footnote>
  <w:footnote w:id="121">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 Dohovoru</w:t>
      </w:r>
      <w:r>
        <w:rPr>
          <w:i/>
        </w:rPr>
        <w:t>...</w:t>
      </w:r>
      <w:r>
        <w:t>,</w:t>
      </w:r>
      <w:r w:rsidRPr="009C103D">
        <w:t xml:space="preserve"> </w:t>
      </w:r>
      <w:r>
        <w:t>s. 175 - 176.</w:t>
      </w:r>
    </w:p>
  </w:footnote>
  <w:footnote w:id="122">
    <w:p w:rsidR="00DC1275" w:rsidRDefault="00DC1275" w:rsidP="00DC1275">
      <w:pPr>
        <w:pStyle w:val="Textpoznmkypodiarou"/>
      </w:pPr>
      <w:r>
        <w:rPr>
          <w:rStyle w:val="Odkaznapoznmkupodiarou"/>
        </w:rPr>
        <w:footnoteRef/>
      </w:r>
      <w:r>
        <w:t xml:space="preserve"> </w:t>
      </w:r>
      <w:r>
        <w:rPr>
          <w:lang w:val="en-US"/>
        </w:rPr>
        <w:t xml:space="preserve">HUBÁLKOVÁ: </w:t>
      </w:r>
      <w:r w:rsidRPr="0040573D">
        <w:rPr>
          <w:i/>
          <w:lang w:val="cs-CZ"/>
        </w:rPr>
        <w:t>Evropská</w:t>
      </w:r>
      <w:r w:rsidRPr="004C5C82">
        <w:rPr>
          <w:i/>
          <w:lang w:val="cs-CZ"/>
        </w:rPr>
        <w:t xml:space="preserve"> úmluva o lidských právech a Česká republi</w:t>
      </w:r>
      <w:r>
        <w:rPr>
          <w:i/>
          <w:lang w:val="cs-CZ"/>
        </w:rPr>
        <w:t xml:space="preserve">ka…, </w:t>
      </w:r>
      <w:r>
        <w:rPr>
          <w:lang w:val="en-US"/>
        </w:rPr>
        <w:t>s. 70 – 75.</w:t>
      </w:r>
    </w:p>
  </w:footnote>
  <w:footnote w:id="123">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 Dohovoru</w:t>
      </w:r>
      <w:r>
        <w:rPr>
          <w:i/>
        </w:rPr>
        <w:t>...</w:t>
      </w:r>
      <w:r>
        <w:t>,</w:t>
      </w:r>
      <w:r w:rsidRPr="009C103D">
        <w:t xml:space="preserve"> </w:t>
      </w:r>
      <w:r>
        <w:t>s. 176.</w:t>
      </w:r>
    </w:p>
  </w:footnote>
  <w:footnote w:id="124">
    <w:p w:rsidR="00DC1275" w:rsidRDefault="00DC1275" w:rsidP="00DC1275">
      <w:pPr>
        <w:pStyle w:val="Textpoznmkypodiarou"/>
      </w:pPr>
      <w:r>
        <w:rPr>
          <w:rStyle w:val="Odkaznapoznmkupodiarou"/>
        </w:rPr>
        <w:footnoteRef/>
      </w:r>
      <w:r>
        <w:t xml:space="preserve"> </w:t>
      </w:r>
      <w:r>
        <w:rPr>
          <w:lang w:val="en-US"/>
        </w:rPr>
        <w:t>HUBÁLKOVÁ:</w:t>
      </w:r>
      <w:r w:rsidRPr="0040573D">
        <w:rPr>
          <w:lang w:val="en-US"/>
        </w:rPr>
        <w:t xml:space="preserve"> </w:t>
      </w:r>
      <w:r w:rsidRPr="0040573D">
        <w:rPr>
          <w:i/>
          <w:lang w:val="cs-CZ"/>
        </w:rPr>
        <w:t>Evropská</w:t>
      </w:r>
      <w:r w:rsidRPr="004C5C82">
        <w:rPr>
          <w:i/>
          <w:lang w:val="cs-CZ"/>
        </w:rPr>
        <w:t xml:space="preserve"> úmluva o lidských právech a Česká republika</w:t>
      </w:r>
      <w:r>
        <w:rPr>
          <w:i/>
          <w:lang w:val="cs-CZ"/>
        </w:rPr>
        <w:t xml:space="preserve">…, </w:t>
      </w:r>
      <w:r>
        <w:rPr>
          <w:lang w:val="en-US"/>
        </w:rPr>
        <w:t>s. 70 – 75.</w:t>
      </w:r>
    </w:p>
  </w:footnote>
  <w:footnote w:id="125">
    <w:p w:rsidR="00DC1275" w:rsidRDefault="00DC1275" w:rsidP="00DC1275">
      <w:pPr>
        <w:pStyle w:val="Textpoznmkypodiarou"/>
      </w:pPr>
      <w:r>
        <w:rPr>
          <w:rStyle w:val="Odkaznapoznmkupodiarou"/>
        </w:rPr>
        <w:footnoteRef/>
      </w:r>
      <w:r>
        <w:t xml:space="preserve"> </w:t>
      </w:r>
      <w:r>
        <w:t xml:space="preserve">ČAPEK, </w:t>
      </w:r>
      <w:proofErr w:type="spellStart"/>
      <w:r>
        <w:t>Jan</w:t>
      </w:r>
      <w:proofErr w:type="spellEnd"/>
      <w:r>
        <w:t xml:space="preserve">. </w:t>
      </w:r>
      <w:proofErr w:type="spellStart"/>
      <w:r>
        <w:rPr>
          <w:i/>
        </w:rPr>
        <w:t>Evropská</w:t>
      </w:r>
      <w:proofErr w:type="spellEnd"/>
      <w:r>
        <w:rPr>
          <w:i/>
        </w:rPr>
        <w:t xml:space="preserve"> </w:t>
      </w:r>
      <w:proofErr w:type="spellStart"/>
      <w:r>
        <w:rPr>
          <w:i/>
        </w:rPr>
        <w:t>úmluva</w:t>
      </w:r>
      <w:proofErr w:type="spellEnd"/>
      <w:r>
        <w:rPr>
          <w:i/>
        </w:rPr>
        <w:t xml:space="preserve"> o </w:t>
      </w:r>
      <w:proofErr w:type="spellStart"/>
      <w:r>
        <w:rPr>
          <w:i/>
        </w:rPr>
        <w:t>ochraně</w:t>
      </w:r>
      <w:proofErr w:type="spellEnd"/>
      <w:r>
        <w:rPr>
          <w:i/>
        </w:rPr>
        <w:t xml:space="preserve"> </w:t>
      </w:r>
      <w:proofErr w:type="spellStart"/>
      <w:r>
        <w:rPr>
          <w:i/>
        </w:rPr>
        <w:t>lidských</w:t>
      </w:r>
      <w:proofErr w:type="spellEnd"/>
      <w:r>
        <w:rPr>
          <w:i/>
        </w:rPr>
        <w:t xml:space="preserve"> práv a </w:t>
      </w:r>
      <w:proofErr w:type="spellStart"/>
      <w:r>
        <w:rPr>
          <w:i/>
        </w:rPr>
        <w:t>základních</w:t>
      </w:r>
      <w:proofErr w:type="spellEnd"/>
      <w:r>
        <w:rPr>
          <w:i/>
        </w:rPr>
        <w:t xml:space="preserve"> </w:t>
      </w:r>
      <w:proofErr w:type="spellStart"/>
      <w:r>
        <w:rPr>
          <w:i/>
        </w:rPr>
        <w:t>svobod</w:t>
      </w:r>
      <w:proofErr w:type="spellEnd"/>
      <w:r>
        <w:rPr>
          <w:i/>
        </w:rPr>
        <w:t xml:space="preserve"> (II. </w:t>
      </w:r>
      <w:proofErr w:type="spellStart"/>
      <w:r>
        <w:rPr>
          <w:i/>
        </w:rPr>
        <w:t>část</w:t>
      </w:r>
      <w:proofErr w:type="spellEnd"/>
      <w:r>
        <w:rPr>
          <w:i/>
        </w:rPr>
        <w:t xml:space="preserve"> – protokoly)</w:t>
      </w:r>
      <w:r>
        <w:t xml:space="preserve">. 1. </w:t>
      </w:r>
      <w:proofErr w:type="spellStart"/>
      <w:r>
        <w:t>vydání</w:t>
      </w:r>
      <w:proofErr w:type="spellEnd"/>
      <w:r>
        <w:t>. Praha: LINDE PRAHA, 2010, s. 161.</w:t>
      </w:r>
    </w:p>
  </w:footnote>
  <w:footnote w:id="126">
    <w:p w:rsidR="00DC1275" w:rsidRDefault="00DC1275" w:rsidP="00DC1275">
      <w:pPr>
        <w:pStyle w:val="Textpoznmkypodiarou"/>
      </w:pPr>
      <w:r>
        <w:rPr>
          <w:rStyle w:val="Odkaznapoznmkupodiarou"/>
        </w:rPr>
        <w:footnoteRef/>
      </w:r>
      <w:r>
        <w:t xml:space="preserve"> </w:t>
      </w:r>
      <w:r>
        <w:t xml:space="preserve">ŠIŠKOVÁ: </w:t>
      </w:r>
      <w:proofErr w:type="spellStart"/>
      <w:r w:rsidRPr="000B2648">
        <w:rPr>
          <w:i/>
        </w:rPr>
        <w:t>Dimenze</w:t>
      </w:r>
      <w:proofErr w:type="spellEnd"/>
      <w:r w:rsidRPr="000B2648">
        <w:rPr>
          <w:i/>
        </w:rPr>
        <w:t xml:space="preserve"> ochrany </w:t>
      </w:r>
      <w:proofErr w:type="spellStart"/>
      <w:r w:rsidRPr="000B2648">
        <w:rPr>
          <w:i/>
        </w:rPr>
        <w:t>lidských</w:t>
      </w:r>
      <w:proofErr w:type="spellEnd"/>
      <w:r w:rsidRPr="000B2648">
        <w:rPr>
          <w:i/>
        </w:rPr>
        <w:t xml:space="preserve"> práv</w:t>
      </w:r>
      <w:r>
        <w:rPr>
          <w:i/>
        </w:rPr>
        <w:t>...</w:t>
      </w:r>
      <w:r>
        <w:t>, s. 144 – 145.</w:t>
      </w:r>
    </w:p>
  </w:footnote>
  <w:footnote w:id="127">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w:t>
      </w:r>
      <w:r>
        <w:rPr>
          <w:i/>
        </w:rPr>
        <w:t>r k vybraným článkom Dohovoru...</w:t>
      </w:r>
      <w:r>
        <w:t>,</w:t>
      </w:r>
      <w:r w:rsidRPr="009C103D">
        <w:t xml:space="preserve"> </w:t>
      </w:r>
      <w:r>
        <w:t>s. 28 – 29.</w:t>
      </w:r>
    </w:p>
  </w:footnote>
  <w:footnote w:id="128">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(II. </w:t>
      </w:r>
      <w:proofErr w:type="spellStart"/>
      <w:r>
        <w:rPr>
          <w:i/>
        </w:rPr>
        <w:t>část</w:t>
      </w:r>
      <w:proofErr w:type="spellEnd"/>
      <w:r>
        <w:rPr>
          <w:i/>
        </w:rPr>
        <w:t xml:space="preserve"> – protokoly)</w:t>
      </w:r>
      <w:r>
        <w:t>, s. 161.</w:t>
      </w:r>
    </w:p>
  </w:footnote>
  <w:footnote w:id="129">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w:t>
      </w:r>
      <w:r>
        <w:rPr>
          <w:i/>
        </w:rPr>
        <w:t>r k vybraným článkom Dohovoru...</w:t>
      </w:r>
      <w:r>
        <w:t>,</w:t>
      </w:r>
      <w:r w:rsidRPr="009C103D">
        <w:t xml:space="preserve"> </w:t>
      </w:r>
      <w:r>
        <w:t>s. 28 – 29.</w:t>
      </w:r>
    </w:p>
  </w:footnote>
  <w:footnote w:id="130">
    <w:p w:rsidR="00DC1275" w:rsidRDefault="00DC1275" w:rsidP="00DC1275">
      <w:pPr>
        <w:pStyle w:val="Textpoznmkypodiarou"/>
      </w:pPr>
      <w:r>
        <w:rPr>
          <w:rStyle w:val="Odkaznapoznmkupodiarou"/>
        </w:rPr>
        <w:footnoteRef/>
      </w:r>
      <w:r>
        <w:t xml:space="preserve"> </w:t>
      </w:r>
      <w:r>
        <w:t xml:space="preserve">Európsky súd pre ľudské práva: Rozhodnutie zo dňa 1. júna 2010, </w:t>
      </w:r>
      <w:proofErr w:type="spellStart"/>
      <w:r w:rsidRPr="00804D02">
        <w:rPr>
          <w:i/>
        </w:rPr>
        <w:t>Ionescu</w:t>
      </w:r>
      <w:proofErr w:type="spellEnd"/>
      <w:r w:rsidRPr="00804D02">
        <w:rPr>
          <w:i/>
        </w:rPr>
        <w:t xml:space="preserve"> v. Rumunsko</w:t>
      </w:r>
      <w:r>
        <w:t>, č. 36659/04.</w:t>
      </w:r>
    </w:p>
  </w:footnote>
  <w:footnote w:id="131">
    <w:p w:rsidR="00DC1275" w:rsidRPr="00352E43" w:rsidRDefault="00DC1275" w:rsidP="00DC1275">
      <w:pPr>
        <w:pStyle w:val="Bezriadkovania"/>
        <w:rPr>
          <w:sz w:val="20"/>
          <w:szCs w:val="20"/>
        </w:rPr>
      </w:pPr>
      <w:r w:rsidRPr="00352E43">
        <w:rPr>
          <w:rStyle w:val="Odkaznapoznmkupodiarou"/>
        </w:rPr>
        <w:footnoteRef/>
      </w:r>
      <w:r w:rsidRPr="00352E43">
        <w:rPr>
          <w:sz w:val="20"/>
          <w:szCs w:val="20"/>
        </w:rPr>
        <w:t xml:space="preserve"> </w:t>
      </w:r>
      <w:r w:rsidRPr="00352E43">
        <w:rPr>
          <w:sz w:val="20"/>
          <w:szCs w:val="20"/>
        </w:rPr>
        <w:t>SMEKAL, Hubert. 14. protokol v </w:t>
      </w:r>
      <w:proofErr w:type="spellStart"/>
      <w:r w:rsidRPr="00352E43">
        <w:rPr>
          <w:sz w:val="20"/>
          <w:szCs w:val="20"/>
        </w:rPr>
        <w:t>akci</w:t>
      </w:r>
      <w:proofErr w:type="spellEnd"/>
      <w:r w:rsidRPr="00352E43">
        <w:rPr>
          <w:sz w:val="20"/>
          <w:szCs w:val="20"/>
        </w:rPr>
        <w:t xml:space="preserve">: </w:t>
      </w:r>
      <w:proofErr w:type="spellStart"/>
      <w:r w:rsidRPr="00352E43">
        <w:rPr>
          <w:sz w:val="20"/>
          <w:szCs w:val="20"/>
        </w:rPr>
        <w:t>Štrasburk</w:t>
      </w:r>
      <w:proofErr w:type="spellEnd"/>
      <w:r w:rsidRPr="00352E43">
        <w:rPr>
          <w:sz w:val="20"/>
          <w:szCs w:val="20"/>
        </w:rPr>
        <w:t xml:space="preserve"> </w:t>
      </w:r>
      <w:proofErr w:type="spellStart"/>
      <w:r w:rsidRPr="00352E43">
        <w:rPr>
          <w:sz w:val="20"/>
          <w:szCs w:val="20"/>
        </w:rPr>
        <w:t>využívá</w:t>
      </w:r>
      <w:proofErr w:type="spellEnd"/>
      <w:r w:rsidRPr="00352E43">
        <w:rPr>
          <w:sz w:val="20"/>
          <w:szCs w:val="20"/>
        </w:rPr>
        <w:t xml:space="preserve"> nových možností. </w:t>
      </w:r>
      <w:r w:rsidRPr="00352E43">
        <w:rPr>
          <w:i/>
          <w:sz w:val="20"/>
          <w:szCs w:val="20"/>
        </w:rPr>
        <w:t xml:space="preserve">Bulletin Centra </w:t>
      </w:r>
      <w:proofErr w:type="spellStart"/>
      <w:r w:rsidRPr="00352E43">
        <w:rPr>
          <w:i/>
          <w:sz w:val="20"/>
          <w:szCs w:val="20"/>
        </w:rPr>
        <w:t>pro</w:t>
      </w:r>
      <w:proofErr w:type="spellEnd"/>
      <w:r w:rsidRPr="00352E43">
        <w:rPr>
          <w:i/>
          <w:sz w:val="20"/>
          <w:szCs w:val="20"/>
        </w:rPr>
        <w:t xml:space="preserve"> </w:t>
      </w:r>
      <w:proofErr w:type="spellStart"/>
      <w:r w:rsidRPr="00352E43">
        <w:rPr>
          <w:i/>
          <w:sz w:val="20"/>
          <w:szCs w:val="20"/>
        </w:rPr>
        <w:t>lidská</w:t>
      </w:r>
      <w:proofErr w:type="spellEnd"/>
      <w:r w:rsidRPr="00352E43">
        <w:rPr>
          <w:i/>
          <w:sz w:val="20"/>
          <w:szCs w:val="20"/>
        </w:rPr>
        <w:t xml:space="preserve"> práva a </w:t>
      </w:r>
      <w:proofErr w:type="spellStart"/>
      <w:r w:rsidRPr="00352E43">
        <w:rPr>
          <w:i/>
          <w:sz w:val="20"/>
          <w:szCs w:val="20"/>
        </w:rPr>
        <w:t>demokraci</w:t>
      </w:r>
      <w:proofErr w:type="spellEnd"/>
      <w:r w:rsidRPr="00352E43">
        <w:rPr>
          <w:sz w:val="20"/>
          <w:szCs w:val="20"/>
        </w:rPr>
        <w:t xml:space="preserve"> </w:t>
      </w:r>
      <w:r w:rsidRPr="00352E43">
        <w:rPr>
          <w:sz w:val="20"/>
          <w:szCs w:val="20"/>
          <w:lang w:val="en-US"/>
        </w:rPr>
        <w:t xml:space="preserve">[online]. </w:t>
      </w:r>
      <w:proofErr w:type="spellStart"/>
      <w:proofErr w:type="gramStart"/>
      <w:r w:rsidRPr="00352E43">
        <w:rPr>
          <w:sz w:val="20"/>
          <w:szCs w:val="20"/>
          <w:lang w:val="en-US"/>
        </w:rPr>
        <w:t>Júl</w:t>
      </w:r>
      <w:proofErr w:type="spellEnd"/>
      <w:r w:rsidRPr="00352E43">
        <w:rPr>
          <w:sz w:val="20"/>
          <w:szCs w:val="20"/>
          <w:lang w:val="en-US"/>
        </w:rPr>
        <w:t xml:space="preserve">/august 2010 [cit. 28. </w:t>
      </w:r>
      <w:proofErr w:type="spellStart"/>
      <w:r w:rsidRPr="00352E43">
        <w:rPr>
          <w:sz w:val="20"/>
          <w:szCs w:val="20"/>
          <w:lang w:val="en-US"/>
        </w:rPr>
        <w:t>marca</w:t>
      </w:r>
      <w:proofErr w:type="spellEnd"/>
      <w:r w:rsidRPr="00352E43">
        <w:rPr>
          <w:sz w:val="20"/>
          <w:szCs w:val="20"/>
          <w:lang w:val="en-US"/>
        </w:rPr>
        <w:t xml:space="preserve"> 2011].</w:t>
      </w:r>
      <w:proofErr w:type="gramEnd"/>
      <w:r w:rsidRPr="00352E43">
        <w:rPr>
          <w:sz w:val="20"/>
          <w:szCs w:val="20"/>
          <w:lang w:val="en-US"/>
        </w:rPr>
        <w:t xml:space="preserve"> </w:t>
      </w:r>
      <w:proofErr w:type="spellStart"/>
      <w:r w:rsidRPr="00352E43">
        <w:rPr>
          <w:sz w:val="20"/>
          <w:szCs w:val="20"/>
          <w:lang w:val="en-US"/>
        </w:rPr>
        <w:t>Dostupné</w:t>
      </w:r>
      <w:proofErr w:type="spellEnd"/>
      <w:r w:rsidRPr="00352E43">
        <w:rPr>
          <w:sz w:val="20"/>
          <w:szCs w:val="20"/>
          <w:lang w:val="en-US"/>
        </w:rPr>
        <w:t xml:space="preserve"> </w:t>
      </w:r>
      <w:proofErr w:type="spellStart"/>
      <w:proofErr w:type="gramStart"/>
      <w:r>
        <w:rPr>
          <w:sz w:val="20"/>
          <w:szCs w:val="20"/>
          <w:lang w:val="en-US"/>
        </w:rPr>
        <w:t>na</w:t>
      </w:r>
      <w:proofErr w:type="spellEnd"/>
      <w:proofErr w:type="gramEnd"/>
      <w:r w:rsidRPr="00352E43">
        <w:rPr>
          <w:sz w:val="20"/>
          <w:szCs w:val="20"/>
          <w:lang w:val="en-US"/>
        </w:rPr>
        <w:t xml:space="preserve"> &lt;</w:t>
      </w:r>
      <w:hyperlink r:id="rId2" w:history="1">
        <w:r w:rsidRPr="00352E43">
          <w:rPr>
            <w:rStyle w:val="Hypertextovprepojenie"/>
            <w:sz w:val="20"/>
            <w:szCs w:val="20"/>
          </w:rPr>
          <w:t>http://www.iips.cz/data/files/Centrum%20LP/bulletin%20LP/Vol.%20II/bulletin-LP-II-7,8.pdf</w:t>
        </w:r>
      </w:hyperlink>
      <w:r w:rsidRPr="00352E43">
        <w:rPr>
          <w:sz w:val="20"/>
          <w:szCs w:val="20"/>
          <w:lang w:val="en-US"/>
        </w:rPr>
        <w:t>&gt;.</w:t>
      </w:r>
    </w:p>
  </w:footnote>
  <w:footnote w:id="132">
    <w:p w:rsidR="00DC1275" w:rsidRDefault="00DC1275" w:rsidP="00DC1275">
      <w:pPr>
        <w:pStyle w:val="Textpoznmkypodiarou"/>
      </w:pPr>
      <w:r>
        <w:rPr>
          <w:rStyle w:val="Odkaznapoznmkupodiarou"/>
        </w:rPr>
        <w:footnoteRef/>
      </w:r>
      <w:r>
        <w:t xml:space="preserve"> </w:t>
      </w:r>
      <w:r>
        <w:t xml:space="preserve">Európsky súd pre ľudské práva: Rozhodnutie zo dňa 1. júla 2010, </w:t>
      </w:r>
      <w:proofErr w:type="spellStart"/>
      <w:r w:rsidRPr="00A50328">
        <w:rPr>
          <w:i/>
        </w:rPr>
        <w:t>Korolev</w:t>
      </w:r>
      <w:proofErr w:type="spellEnd"/>
      <w:r w:rsidRPr="00A50328">
        <w:rPr>
          <w:i/>
        </w:rPr>
        <w:t xml:space="preserve"> v. Rusko</w:t>
      </w:r>
      <w:r>
        <w:t xml:space="preserve">, č. 25551/05, </w:t>
      </w:r>
      <w:proofErr w:type="spellStart"/>
      <w:r>
        <w:t>Reports</w:t>
      </w:r>
      <w:proofErr w:type="spellEnd"/>
      <w:r>
        <w:t xml:space="preserve"> </w:t>
      </w:r>
      <w:proofErr w:type="spellStart"/>
      <w:r>
        <w:t>of</w:t>
      </w:r>
      <w:proofErr w:type="spellEnd"/>
      <w:r>
        <w:t xml:space="preserve"> </w:t>
      </w:r>
      <w:proofErr w:type="spellStart"/>
      <w:r>
        <w:t>Judgments</w:t>
      </w:r>
      <w:proofErr w:type="spellEnd"/>
      <w:r>
        <w:t xml:space="preserve"> and </w:t>
      </w:r>
      <w:proofErr w:type="spellStart"/>
      <w:r>
        <w:t>Decisions</w:t>
      </w:r>
      <w:proofErr w:type="spellEnd"/>
      <w:r>
        <w:t>.</w:t>
      </w:r>
    </w:p>
  </w:footnote>
  <w:footnote w:id="133">
    <w:p w:rsidR="00DC1275" w:rsidRPr="006C476B" w:rsidRDefault="00DC1275" w:rsidP="00DC1275">
      <w:pPr>
        <w:pStyle w:val="Bezriadkovania"/>
        <w:rPr>
          <w:sz w:val="20"/>
          <w:szCs w:val="20"/>
        </w:rPr>
      </w:pPr>
      <w:r w:rsidRPr="006C476B">
        <w:rPr>
          <w:rStyle w:val="Odkaznapoznmkupodiarou"/>
        </w:rPr>
        <w:footnoteRef/>
      </w:r>
      <w:r w:rsidRPr="006C476B">
        <w:rPr>
          <w:sz w:val="20"/>
          <w:szCs w:val="20"/>
        </w:rPr>
        <w:t xml:space="preserve"> </w:t>
      </w:r>
      <w:r w:rsidRPr="006C476B">
        <w:rPr>
          <w:sz w:val="20"/>
          <w:szCs w:val="20"/>
        </w:rPr>
        <w:t>SMEKAL, Hubert. O </w:t>
      </w:r>
      <w:proofErr w:type="spellStart"/>
      <w:r w:rsidRPr="006C476B">
        <w:rPr>
          <w:sz w:val="20"/>
          <w:szCs w:val="20"/>
        </w:rPr>
        <w:t>čtrnácti</w:t>
      </w:r>
      <w:proofErr w:type="spellEnd"/>
      <w:r w:rsidRPr="006C476B">
        <w:rPr>
          <w:sz w:val="20"/>
          <w:szCs w:val="20"/>
        </w:rPr>
        <w:t xml:space="preserve"> korunách </w:t>
      </w:r>
      <w:proofErr w:type="spellStart"/>
      <w:r w:rsidRPr="006C476B">
        <w:rPr>
          <w:sz w:val="20"/>
          <w:szCs w:val="20"/>
        </w:rPr>
        <w:t>se</w:t>
      </w:r>
      <w:proofErr w:type="spellEnd"/>
      <w:r w:rsidRPr="006C476B">
        <w:rPr>
          <w:sz w:val="20"/>
          <w:szCs w:val="20"/>
        </w:rPr>
        <w:t xml:space="preserve"> nebudeme </w:t>
      </w:r>
      <w:proofErr w:type="spellStart"/>
      <w:r w:rsidRPr="006C476B">
        <w:rPr>
          <w:sz w:val="20"/>
          <w:szCs w:val="20"/>
        </w:rPr>
        <w:t>bavit</w:t>
      </w:r>
      <w:proofErr w:type="spellEnd"/>
      <w:r w:rsidRPr="006C476B">
        <w:rPr>
          <w:sz w:val="20"/>
          <w:szCs w:val="20"/>
        </w:rPr>
        <w:t xml:space="preserve">: 14. protokol </w:t>
      </w:r>
      <w:proofErr w:type="spellStart"/>
      <w:r w:rsidRPr="006C476B">
        <w:rPr>
          <w:sz w:val="20"/>
          <w:szCs w:val="20"/>
        </w:rPr>
        <w:t>se</w:t>
      </w:r>
      <w:proofErr w:type="spellEnd"/>
      <w:r w:rsidRPr="006C476B">
        <w:rPr>
          <w:sz w:val="20"/>
          <w:szCs w:val="20"/>
        </w:rPr>
        <w:t xml:space="preserve"> chytil</w:t>
      </w:r>
      <w:r>
        <w:rPr>
          <w:sz w:val="20"/>
          <w:szCs w:val="20"/>
        </w:rPr>
        <w:t xml:space="preserve">. </w:t>
      </w:r>
      <w:r w:rsidRPr="00352E43">
        <w:rPr>
          <w:i/>
          <w:sz w:val="20"/>
          <w:szCs w:val="20"/>
        </w:rPr>
        <w:t xml:space="preserve">Bulletin Centra </w:t>
      </w:r>
      <w:proofErr w:type="spellStart"/>
      <w:r w:rsidRPr="00352E43">
        <w:rPr>
          <w:i/>
          <w:sz w:val="20"/>
          <w:szCs w:val="20"/>
        </w:rPr>
        <w:t>pro</w:t>
      </w:r>
      <w:proofErr w:type="spellEnd"/>
      <w:r w:rsidRPr="00352E43">
        <w:rPr>
          <w:i/>
          <w:sz w:val="20"/>
          <w:szCs w:val="20"/>
        </w:rPr>
        <w:t xml:space="preserve"> </w:t>
      </w:r>
      <w:proofErr w:type="spellStart"/>
      <w:r w:rsidRPr="00352E43">
        <w:rPr>
          <w:i/>
          <w:sz w:val="20"/>
          <w:szCs w:val="20"/>
        </w:rPr>
        <w:t>lidská</w:t>
      </w:r>
      <w:proofErr w:type="spellEnd"/>
      <w:r w:rsidRPr="00352E43">
        <w:rPr>
          <w:i/>
          <w:sz w:val="20"/>
          <w:szCs w:val="20"/>
        </w:rPr>
        <w:t xml:space="preserve"> práva a </w:t>
      </w:r>
      <w:proofErr w:type="spellStart"/>
      <w:r w:rsidRPr="00352E43">
        <w:rPr>
          <w:i/>
          <w:sz w:val="20"/>
          <w:szCs w:val="20"/>
        </w:rPr>
        <w:t>demokraci</w:t>
      </w:r>
      <w:proofErr w:type="spellEnd"/>
      <w:r w:rsidRPr="006C476B">
        <w:rPr>
          <w:sz w:val="20"/>
          <w:szCs w:val="20"/>
        </w:rPr>
        <w:t xml:space="preserve"> </w:t>
      </w:r>
      <w:r w:rsidRPr="006C476B">
        <w:rPr>
          <w:sz w:val="20"/>
          <w:szCs w:val="20"/>
          <w:lang w:val="en-US"/>
        </w:rPr>
        <w:t xml:space="preserve">[online]. September 2010 [cit. 28. </w:t>
      </w:r>
      <w:proofErr w:type="spellStart"/>
      <w:r w:rsidRPr="006C476B">
        <w:rPr>
          <w:sz w:val="20"/>
          <w:szCs w:val="20"/>
          <w:lang w:val="en-US"/>
        </w:rPr>
        <w:t>marca</w:t>
      </w:r>
      <w:proofErr w:type="spellEnd"/>
      <w:r w:rsidRPr="006C476B">
        <w:rPr>
          <w:sz w:val="20"/>
          <w:szCs w:val="20"/>
          <w:lang w:val="en-US"/>
        </w:rPr>
        <w:t xml:space="preserve"> 2011]. </w:t>
      </w:r>
      <w:proofErr w:type="spellStart"/>
      <w:r w:rsidRPr="006C476B">
        <w:rPr>
          <w:sz w:val="20"/>
          <w:szCs w:val="20"/>
          <w:lang w:val="en-US"/>
        </w:rPr>
        <w:t>Dostupné</w:t>
      </w:r>
      <w:proofErr w:type="spellEnd"/>
      <w:r w:rsidRPr="006C476B">
        <w:rPr>
          <w:sz w:val="20"/>
          <w:szCs w:val="20"/>
          <w:lang w:val="en-US"/>
        </w:rPr>
        <w:t xml:space="preserve"> </w:t>
      </w:r>
      <w:proofErr w:type="spellStart"/>
      <w:proofErr w:type="gramStart"/>
      <w:r>
        <w:rPr>
          <w:sz w:val="20"/>
          <w:szCs w:val="20"/>
          <w:lang w:val="en-US"/>
        </w:rPr>
        <w:t>na</w:t>
      </w:r>
      <w:proofErr w:type="spellEnd"/>
      <w:proofErr w:type="gramEnd"/>
      <w:r w:rsidRPr="006C476B">
        <w:rPr>
          <w:sz w:val="20"/>
          <w:szCs w:val="20"/>
          <w:lang w:val="en-US"/>
        </w:rPr>
        <w:t xml:space="preserve"> &lt;</w:t>
      </w:r>
      <w:hyperlink r:id="rId3" w:history="1">
        <w:r w:rsidRPr="006C476B">
          <w:rPr>
            <w:rStyle w:val="Hypertextovprepojenie"/>
            <w:sz w:val="20"/>
            <w:szCs w:val="20"/>
          </w:rPr>
          <w:t>http://www.iips.cz/data/files/Centrum%20LP/bulletin%20LP/Vol.%20II/bulletin-LP-II-9.pdf</w:t>
        </w:r>
      </w:hyperlink>
      <w:r w:rsidRPr="006C476B">
        <w:rPr>
          <w:sz w:val="20"/>
          <w:szCs w:val="20"/>
          <w:lang w:val="en-US"/>
        </w:rPr>
        <w:t>&gt;</w:t>
      </w:r>
      <w:r>
        <w:rPr>
          <w:sz w:val="20"/>
          <w:szCs w:val="20"/>
          <w:lang w:val="en-US"/>
        </w:rPr>
        <w:t>.</w:t>
      </w:r>
    </w:p>
  </w:footnote>
  <w:footnote w:id="134">
    <w:p w:rsidR="00DC1275" w:rsidRDefault="00DC1275" w:rsidP="00DC1275">
      <w:pPr>
        <w:pStyle w:val="Textpoznmkypodiarou"/>
      </w:pPr>
      <w:r>
        <w:rPr>
          <w:rStyle w:val="Odkaznapoznmkupodiarou"/>
        </w:rPr>
        <w:footnoteRef/>
      </w:r>
      <w:r>
        <w:t xml:space="preserve"> </w:t>
      </w:r>
      <w:r>
        <w:rPr>
          <w:lang w:val="en-US"/>
        </w:rPr>
        <w:t xml:space="preserve">HUBÁLKOVÁ: </w:t>
      </w:r>
      <w:r w:rsidRPr="0040573D">
        <w:rPr>
          <w:i/>
          <w:lang w:val="cs-CZ"/>
        </w:rPr>
        <w:t>Evropská</w:t>
      </w:r>
      <w:r w:rsidRPr="004C5C82">
        <w:rPr>
          <w:i/>
          <w:lang w:val="cs-CZ"/>
        </w:rPr>
        <w:t xml:space="preserve"> úmluva o lidských právech a Česká republika</w:t>
      </w:r>
      <w:r>
        <w:rPr>
          <w:i/>
          <w:lang w:val="cs-CZ"/>
        </w:rPr>
        <w:t xml:space="preserve">…, </w:t>
      </w:r>
      <w:r>
        <w:rPr>
          <w:lang w:val="en-US"/>
        </w:rPr>
        <w:t>s. 47 – 50.</w:t>
      </w:r>
    </w:p>
  </w:footnote>
  <w:footnote w:id="135">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 Dohovoru</w:t>
      </w:r>
      <w:r>
        <w:rPr>
          <w:i/>
        </w:rPr>
        <w:t>...</w:t>
      </w:r>
      <w:r>
        <w:t>,</w:t>
      </w:r>
      <w:r w:rsidRPr="009C103D">
        <w:t xml:space="preserve"> </w:t>
      </w:r>
      <w:r>
        <w:t>s. 183 – 184.</w:t>
      </w:r>
    </w:p>
  </w:footnote>
  <w:footnote w:id="136">
    <w:p w:rsidR="00DC1275" w:rsidRDefault="00DC1275" w:rsidP="00DC1275">
      <w:pPr>
        <w:pStyle w:val="Textpoznmkypodiarou"/>
      </w:pPr>
      <w:r>
        <w:rPr>
          <w:rStyle w:val="Odkaznapoznmkupodiarou"/>
        </w:rPr>
        <w:footnoteRef/>
      </w:r>
      <w:r>
        <w:t xml:space="preserve"> </w:t>
      </w:r>
      <w:r>
        <w:rPr>
          <w:lang w:val="en-US"/>
        </w:rPr>
        <w:t xml:space="preserve">HUBÁLKOVÁ: </w:t>
      </w:r>
      <w:r w:rsidRPr="0040573D">
        <w:rPr>
          <w:i/>
          <w:lang w:val="cs-CZ"/>
        </w:rPr>
        <w:t>Evropská</w:t>
      </w:r>
      <w:r w:rsidRPr="004C5C82">
        <w:rPr>
          <w:i/>
          <w:lang w:val="cs-CZ"/>
        </w:rPr>
        <w:t xml:space="preserve"> úmluva o lid</w:t>
      </w:r>
      <w:r>
        <w:rPr>
          <w:i/>
          <w:lang w:val="cs-CZ"/>
        </w:rPr>
        <w:t xml:space="preserve">ských právech a Česká republika…, </w:t>
      </w:r>
      <w:r>
        <w:rPr>
          <w:lang w:val="en-US"/>
        </w:rPr>
        <w:t>s. 48 – 49.</w:t>
      </w:r>
    </w:p>
  </w:footnote>
  <w:footnote w:id="137">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w:t>
      </w:r>
      <w:r>
        <w:rPr>
          <w:i/>
        </w:rPr>
        <w:t>raným článkom Dohovoru...</w:t>
      </w:r>
      <w:r>
        <w:t>,</w:t>
      </w:r>
      <w:r w:rsidRPr="009C103D">
        <w:t xml:space="preserve"> </w:t>
      </w:r>
      <w:r>
        <w:t>s. 184.</w:t>
      </w:r>
    </w:p>
  </w:footnote>
  <w:footnote w:id="138">
    <w:p w:rsidR="00DC1275" w:rsidRDefault="00DC1275" w:rsidP="00DC1275">
      <w:pPr>
        <w:pStyle w:val="Textpoznmkypodiarou"/>
      </w:pPr>
      <w:r>
        <w:rPr>
          <w:rStyle w:val="Odkaznapoznmkupodiarou"/>
        </w:rPr>
        <w:footnoteRef/>
      </w:r>
      <w:r>
        <w:t xml:space="preserve"> </w:t>
      </w:r>
      <w:r>
        <w:t>Jednotlivé aspekty nezlučiteľnosti budú podrobnejšie rozvedené v nasledujúcej kapitole.</w:t>
      </w:r>
    </w:p>
  </w:footnote>
  <w:footnote w:id="139">
    <w:p w:rsidR="00DC1275" w:rsidRDefault="00DC1275" w:rsidP="00DC1275">
      <w:pPr>
        <w:pStyle w:val="Textpoznmkypodiarou"/>
      </w:pPr>
      <w:r>
        <w:rPr>
          <w:rStyle w:val="Odkaznapoznmkupodiarou"/>
        </w:rPr>
        <w:footnoteRef/>
      </w:r>
      <w:r>
        <w:t xml:space="preserve"> </w:t>
      </w:r>
      <w:r>
        <w:rPr>
          <w:lang w:val="en-US"/>
        </w:rPr>
        <w:t xml:space="preserve">HUBÁLKOVÁ: </w:t>
      </w:r>
      <w:r w:rsidRPr="0040573D">
        <w:rPr>
          <w:i/>
          <w:lang w:val="cs-CZ"/>
        </w:rPr>
        <w:t>Evropská</w:t>
      </w:r>
      <w:r w:rsidRPr="004C5C82">
        <w:rPr>
          <w:i/>
          <w:lang w:val="cs-CZ"/>
        </w:rPr>
        <w:t xml:space="preserve"> úmluva o lids</w:t>
      </w:r>
      <w:r>
        <w:rPr>
          <w:i/>
          <w:lang w:val="cs-CZ"/>
        </w:rPr>
        <w:t>kých právech a Česká republika…</w:t>
      </w:r>
      <w:r>
        <w:rPr>
          <w:lang w:val="en-US"/>
        </w:rPr>
        <w:t>, s. 50.</w:t>
      </w:r>
    </w:p>
  </w:footnote>
  <w:footnote w:id="140">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w:t>
      </w:r>
      <w:r>
        <w:rPr>
          <w:i/>
        </w:rPr>
        <w:t>r k vybraným článkom Dohovoru...</w:t>
      </w:r>
      <w:r>
        <w:t>,</w:t>
      </w:r>
      <w:r w:rsidRPr="009C103D">
        <w:t xml:space="preserve"> </w:t>
      </w:r>
      <w:r>
        <w:t>s. 184 – 186.</w:t>
      </w:r>
    </w:p>
  </w:footnote>
  <w:footnote w:id="141">
    <w:p w:rsidR="00DC1275" w:rsidRDefault="00DC1275" w:rsidP="00DC1275">
      <w:pPr>
        <w:pStyle w:val="Textpoznmkypodiarou"/>
      </w:pPr>
      <w:r>
        <w:rPr>
          <w:rStyle w:val="Odkaznapoznmkupodiarou"/>
        </w:rPr>
        <w:footnoteRef/>
      </w:r>
      <w:r>
        <w:t xml:space="preserve"> </w:t>
      </w:r>
      <w:r>
        <w:t xml:space="preserve">Európsky súd pre ľudské práva: Rozsudok zo dňa 8. novembra 2005, </w:t>
      </w:r>
      <w:proofErr w:type="spellStart"/>
      <w:r w:rsidRPr="00C9071C">
        <w:rPr>
          <w:i/>
        </w:rPr>
        <w:t>Bíro</w:t>
      </w:r>
      <w:proofErr w:type="spellEnd"/>
      <w:r w:rsidRPr="00C9071C">
        <w:rPr>
          <w:i/>
        </w:rPr>
        <w:t xml:space="preserve"> v. Slovensko</w:t>
      </w:r>
      <w:r w:rsidRPr="00802B6A">
        <w:rPr>
          <w:rFonts w:cs="Times New Roman"/>
        </w:rPr>
        <w:t xml:space="preserve">, </w:t>
      </w:r>
      <w:r>
        <w:rPr>
          <w:rFonts w:cs="Times New Roman"/>
        </w:rPr>
        <w:t xml:space="preserve">č. </w:t>
      </w:r>
      <w:r w:rsidRPr="00802B6A">
        <w:rPr>
          <w:rFonts w:cs="Times New Roman"/>
          <w:color w:val="000000"/>
        </w:rPr>
        <w:t>46844/99.</w:t>
      </w:r>
    </w:p>
  </w:footnote>
  <w:footnote w:id="142">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w:t>
      </w:r>
      <w:r>
        <w:rPr>
          <w:i/>
        </w:rPr>
        <w:t>r k vybraným článkom Dohovoru...</w:t>
      </w:r>
      <w:r>
        <w:t>,</w:t>
      </w:r>
      <w:r w:rsidRPr="009C103D">
        <w:t xml:space="preserve"> </w:t>
      </w:r>
      <w:r>
        <w:t>s. 184 – 186.</w:t>
      </w:r>
    </w:p>
  </w:footnote>
  <w:footnote w:id="143">
    <w:p w:rsidR="00DC1275" w:rsidRDefault="00DC1275" w:rsidP="00DC1275">
      <w:pPr>
        <w:pStyle w:val="Textpoznmkypodiarou"/>
      </w:pPr>
      <w:r>
        <w:rPr>
          <w:rStyle w:val="Odkaznapoznmkupodiarou"/>
        </w:rPr>
        <w:footnoteRef/>
      </w:r>
      <w:r>
        <w:t xml:space="preserve"> </w:t>
      </w:r>
      <w:r>
        <w:rPr>
          <w:lang w:val="en-US"/>
        </w:rPr>
        <w:t xml:space="preserve">HARRIS: </w:t>
      </w:r>
      <w:r w:rsidRPr="00B26AE4">
        <w:rPr>
          <w:i/>
          <w:lang w:val="en-US"/>
        </w:rPr>
        <w:t>Law of the European</w:t>
      </w:r>
      <w:r>
        <w:rPr>
          <w:i/>
          <w:lang w:val="en-US"/>
        </w:rPr>
        <w:t xml:space="preserve"> Convention…</w:t>
      </w:r>
      <w:r>
        <w:rPr>
          <w:lang w:val="en-US"/>
        </w:rPr>
        <w:t>, s. 787.</w:t>
      </w:r>
    </w:p>
  </w:footnote>
  <w:footnote w:id="144">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 xml:space="preserve">... </w:t>
      </w:r>
      <w:r w:rsidRPr="00BF58D0">
        <w:rPr>
          <w:i/>
        </w:rPr>
        <w:t xml:space="preserve">(I. </w:t>
      </w:r>
      <w:proofErr w:type="spellStart"/>
      <w:r w:rsidRPr="00BF58D0">
        <w:rPr>
          <w:i/>
        </w:rPr>
        <w:t>část</w:t>
      </w:r>
      <w:proofErr w:type="spellEnd"/>
      <w:r w:rsidRPr="00BF58D0">
        <w:rPr>
          <w:i/>
        </w:rPr>
        <w:t xml:space="preserve"> – </w:t>
      </w:r>
      <w:proofErr w:type="spellStart"/>
      <w:r w:rsidRPr="00BF58D0">
        <w:rPr>
          <w:i/>
        </w:rPr>
        <w:t>Úmluva</w:t>
      </w:r>
      <w:proofErr w:type="spellEnd"/>
      <w:r>
        <w:rPr>
          <w:i/>
        </w:rPr>
        <w:t>)</w:t>
      </w:r>
      <w:r w:rsidRPr="00BF58D0">
        <w:t>, s.</w:t>
      </w:r>
      <w:r>
        <w:t xml:space="preserve"> 741 – 743.</w:t>
      </w:r>
    </w:p>
  </w:footnote>
  <w:footnote w:id="145">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Pr>
          <w:rFonts w:cs="Times New Roman"/>
        </w:rPr>
        <w:t xml:space="preserve">, </w:t>
      </w:r>
      <w:proofErr w:type="spellStart"/>
      <w:r>
        <w:rPr>
          <w:rFonts w:cs="Times New Roman"/>
        </w:rPr>
        <w:t>zvláštní</w:t>
      </w:r>
      <w:proofErr w:type="spellEnd"/>
      <w:r>
        <w:rPr>
          <w:rFonts w:cs="Times New Roman"/>
        </w:rPr>
        <w:t xml:space="preserve"> číslo, s. 30.</w:t>
      </w:r>
    </w:p>
  </w:footnote>
  <w:footnote w:id="146">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Komentár k vybraným článkom Dohovoru</w:t>
      </w:r>
      <w:r>
        <w:rPr>
          <w:i/>
        </w:rPr>
        <w:t>...</w:t>
      </w:r>
      <w:r>
        <w:t>,</w:t>
      </w:r>
      <w:r w:rsidRPr="009C103D">
        <w:t xml:space="preserve"> </w:t>
      </w:r>
      <w:r>
        <w:t>s. 103 – 105.</w:t>
      </w:r>
    </w:p>
  </w:footnote>
  <w:footnote w:id="147">
    <w:p w:rsidR="00DC1275" w:rsidRDefault="00DC1275" w:rsidP="00DC1275">
      <w:pPr>
        <w:pStyle w:val="Textpoznmkypodiarou"/>
      </w:pPr>
      <w:r>
        <w:rPr>
          <w:rStyle w:val="Odkaznapoznmkupodiarou"/>
        </w:rPr>
        <w:footnoteRef/>
      </w:r>
      <w:r>
        <w:t xml:space="preserve"> </w:t>
      </w:r>
      <w:r>
        <w:t xml:space="preserve">Európska komisia pre ľudské práva: Rozhodnutie zo dňa 12. decembra 1989, </w:t>
      </w:r>
      <w:r w:rsidRPr="00802B6A">
        <w:rPr>
          <w:i/>
        </w:rPr>
        <w:t>Drozd a </w:t>
      </w:r>
      <w:proofErr w:type="spellStart"/>
      <w:r w:rsidRPr="00802B6A">
        <w:rPr>
          <w:i/>
        </w:rPr>
        <w:t>Janoušek</w:t>
      </w:r>
      <w:proofErr w:type="spellEnd"/>
      <w:r w:rsidRPr="00802B6A">
        <w:rPr>
          <w:i/>
        </w:rPr>
        <w:t xml:space="preserve"> v. Francúzsko a Španielsko</w:t>
      </w:r>
      <w:r>
        <w:t>, č. 12747/87, D.R. č. 64, s. 113.</w:t>
      </w:r>
    </w:p>
  </w:footnote>
  <w:footnote w:id="148">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Pr>
          <w:rFonts w:cs="Times New Roman"/>
        </w:rPr>
        <w:t xml:space="preserve">, </w:t>
      </w:r>
      <w:proofErr w:type="spellStart"/>
      <w:r>
        <w:rPr>
          <w:rFonts w:cs="Times New Roman"/>
        </w:rPr>
        <w:t>zvláštní</w:t>
      </w:r>
      <w:proofErr w:type="spellEnd"/>
      <w:r>
        <w:rPr>
          <w:rFonts w:cs="Times New Roman"/>
        </w:rPr>
        <w:t xml:space="preserve"> číslo, s. 30.</w:t>
      </w:r>
    </w:p>
  </w:footnote>
  <w:footnote w:id="149">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w:t>
      </w:r>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rsidRPr="00BF58D0">
        <w:t>, s.</w:t>
      </w:r>
      <w:r>
        <w:t xml:space="preserve"> 766 – 767.</w:t>
      </w:r>
    </w:p>
  </w:footnote>
  <w:footnote w:id="150">
    <w:p w:rsidR="00DC1275" w:rsidRDefault="00DC1275" w:rsidP="00DC1275">
      <w:pPr>
        <w:pStyle w:val="Textpoznmkypodiarou"/>
      </w:pPr>
      <w:r>
        <w:rPr>
          <w:rStyle w:val="Odkaznapoznmkupodiarou"/>
        </w:rPr>
        <w:footnoteRef/>
      </w:r>
      <w:r>
        <w:t xml:space="preserve"> </w:t>
      </w:r>
      <w:r>
        <w:t xml:space="preserve">Európsky súd pre ľudské práva: Rozsudok zo dňa 23. marca 1995, </w:t>
      </w:r>
      <w:proofErr w:type="spellStart"/>
      <w:r w:rsidRPr="00802B6A">
        <w:rPr>
          <w:i/>
        </w:rPr>
        <w:t>Loizidou</w:t>
      </w:r>
      <w:proofErr w:type="spellEnd"/>
      <w:r w:rsidRPr="00802B6A">
        <w:rPr>
          <w:i/>
        </w:rPr>
        <w:t xml:space="preserve"> v. Turecko</w:t>
      </w:r>
      <w:r>
        <w:t xml:space="preserve">, č. </w:t>
      </w:r>
      <w:r w:rsidRPr="00802B6A">
        <w:rPr>
          <w:rFonts w:cs="Times New Roman"/>
          <w:color w:val="000000"/>
        </w:rPr>
        <w:t xml:space="preserve">15318/89, </w:t>
      </w:r>
      <w:proofErr w:type="spellStart"/>
      <w:r>
        <w:rPr>
          <w:rFonts w:cs="Times New Roman"/>
          <w:color w:val="000000"/>
        </w:rPr>
        <w:t>Series</w:t>
      </w:r>
      <w:proofErr w:type="spellEnd"/>
      <w:r>
        <w:rPr>
          <w:rFonts w:cs="Times New Roman"/>
          <w:color w:val="000000"/>
        </w:rPr>
        <w:t xml:space="preserve"> </w:t>
      </w:r>
      <w:r w:rsidRPr="00802B6A">
        <w:rPr>
          <w:rFonts w:cs="Times New Roman"/>
          <w:color w:val="000000"/>
        </w:rPr>
        <w:t>A 310.</w:t>
      </w:r>
    </w:p>
  </w:footnote>
  <w:footnote w:id="151">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w:t>
      </w:r>
      <w:r>
        <w:rPr>
          <w:i/>
        </w:rPr>
        <w:t>r k vybraným článkom Dohovoru...</w:t>
      </w:r>
      <w:r>
        <w:t>,</w:t>
      </w:r>
      <w:r w:rsidRPr="009C103D">
        <w:t xml:space="preserve"> </w:t>
      </w:r>
      <w:r>
        <w:t>s. 103 – 104.</w:t>
      </w:r>
    </w:p>
  </w:footnote>
  <w:footnote w:id="152">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w:t>
      </w:r>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Pr>
          <w:i/>
        </w:rPr>
        <w:t>)</w:t>
      </w:r>
      <w:r w:rsidRPr="00BF58D0">
        <w:t>, s.</w:t>
      </w:r>
      <w:r>
        <w:t xml:space="preserve"> 744 – 745.</w:t>
      </w:r>
    </w:p>
  </w:footnote>
  <w:footnote w:id="153">
    <w:p w:rsidR="00DC1275" w:rsidRDefault="00DC1275" w:rsidP="00DC1275">
      <w:pPr>
        <w:pStyle w:val="Textpoznmkypodiarou"/>
      </w:pPr>
      <w:r>
        <w:rPr>
          <w:rStyle w:val="Odkaznapoznmkupodiarou"/>
        </w:rPr>
        <w:footnoteRef/>
      </w:r>
      <w:r>
        <w:t xml:space="preserve"> </w:t>
      </w:r>
      <w:r w:rsidRPr="009C103D">
        <w:t>PIROŠÍKOVÁ</w:t>
      </w:r>
      <w:r>
        <w:rPr>
          <w:rFonts w:eastAsia="Calibri" w:cs="Times New Roman"/>
        </w:rPr>
        <w:t xml:space="preserve">: </w:t>
      </w:r>
      <w:r w:rsidRPr="009C103D">
        <w:rPr>
          <w:i/>
        </w:rPr>
        <w:t>Komentá</w:t>
      </w:r>
      <w:r>
        <w:rPr>
          <w:i/>
        </w:rPr>
        <w:t>r k vybraným článkom Dohovoru...</w:t>
      </w:r>
      <w:r>
        <w:t>,</w:t>
      </w:r>
      <w:r w:rsidRPr="009C103D">
        <w:t xml:space="preserve"> </w:t>
      </w:r>
      <w:r>
        <w:t>s. 105.</w:t>
      </w:r>
    </w:p>
  </w:footnote>
  <w:footnote w:id="154">
    <w:p w:rsidR="00DC1275" w:rsidRDefault="00DC1275" w:rsidP="00DC1275">
      <w:pPr>
        <w:pStyle w:val="Textpoznmkypodiarou"/>
      </w:pPr>
      <w:r>
        <w:rPr>
          <w:rStyle w:val="Odkaznapoznmkupodiarou"/>
        </w:rPr>
        <w:footnoteRef/>
      </w:r>
      <w:r>
        <w:t xml:space="preserve"> </w:t>
      </w:r>
      <w:r>
        <w:t xml:space="preserve">ČAPEK: </w:t>
      </w:r>
      <w:proofErr w:type="spellStart"/>
      <w:r w:rsidRPr="00BF58D0">
        <w:rPr>
          <w:i/>
        </w:rPr>
        <w:t>Evropská</w:t>
      </w:r>
      <w:proofErr w:type="spellEnd"/>
      <w:r w:rsidRPr="00BF58D0">
        <w:rPr>
          <w:i/>
        </w:rPr>
        <w:t xml:space="preserve"> </w:t>
      </w:r>
      <w:proofErr w:type="spellStart"/>
      <w:r w:rsidRPr="00BF58D0">
        <w:rPr>
          <w:i/>
        </w:rPr>
        <w:t>úmluva</w:t>
      </w:r>
      <w:proofErr w:type="spellEnd"/>
      <w:r>
        <w:rPr>
          <w:i/>
        </w:rPr>
        <w:t>...</w:t>
      </w:r>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rsidRPr="00BF58D0">
        <w:t>, s.</w:t>
      </w:r>
      <w:r>
        <w:t xml:space="preserve"> 744 – 746.</w:t>
      </w:r>
    </w:p>
  </w:footnote>
  <w:footnote w:id="155">
    <w:p w:rsidR="00DC1275" w:rsidRDefault="00DC1275" w:rsidP="00DC1275">
      <w:pPr>
        <w:pStyle w:val="Textpoznmkypodiarou"/>
      </w:pPr>
      <w:r w:rsidRPr="003B6770">
        <w:rPr>
          <w:rStyle w:val="Odkaznapoznmkupodiarou"/>
        </w:rPr>
        <w:footnoteRef/>
      </w:r>
      <w:r w:rsidRPr="003B6770">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Pr>
          <w:rFonts w:cs="Times New Roman"/>
        </w:rPr>
        <w:t xml:space="preserve">, </w:t>
      </w:r>
      <w:proofErr w:type="spellStart"/>
      <w:r>
        <w:rPr>
          <w:rFonts w:cs="Times New Roman"/>
        </w:rPr>
        <w:t>zvláštní</w:t>
      </w:r>
      <w:proofErr w:type="spellEnd"/>
      <w:r>
        <w:rPr>
          <w:rFonts w:cs="Times New Roman"/>
        </w:rPr>
        <w:t xml:space="preserve"> číslo, s. 32.</w:t>
      </w:r>
    </w:p>
  </w:footnote>
  <w:footnote w:id="156">
    <w:p w:rsidR="00DC1275" w:rsidRPr="004465A6" w:rsidRDefault="00DC1275" w:rsidP="00DC1275">
      <w:pPr>
        <w:pStyle w:val="Textpoznmkypodiarou"/>
        <w:rPr>
          <w:rFonts w:cs="Times New Roman"/>
          <w:color w:val="000000"/>
        </w:rPr>
      </w:pPr>
      <w:r w:rsidRPr="00802B6A">
        <w:rPr>
          <w:rStyle w:val="Odkaznapoznmkupodiarou"/>
          <w:rFonts w:cs="Times New Roman"/>
        </w:rPr>
        <w:footnoteRef/>
      </w:r>
      <w:r w:rsidRPr="00802B6A">
        <w:rPr>
          <w:rFonts w:cs="Times New Roman"/>
        </w:rPr>
        <w:t xml:space="preserve"> </w:t>
      </w:r>
      <w:r w:rsidRPr="00802B6A">
        <w:rPr>
          <w:rFonts w:cs="Times New Roman"/>
        </w:rPr>
        <w:t xml:space="preserve">Európsky súd pre ľudské práva: Rozsudok zo dňa 8. marca 2006, </w:t>
      </w:r>
      <w:proofErr w:type="spellStart"/>
      <w:r w:rsidRPr="00802B6A">
        <w:rPr>
          <w:rFonts w:cs="Times New Roman"/>
          <w:i/>
        </w:rPr>
        <w:t>Blečič</w:t>
      </w:r>
      <w:proofErr w:type="spellEnd"/>
      <w:r w:rsidRPr="00802B6A">
        <w:rPr>
          <w:rFonts w:cs="Times New Roman"/>
          <w:i/>
        </w:rPr>
        <w:t xml:space="preserve"> v. Chorvátsko</w:t>
      </w:r>
      <w:r w:rsidRPr="00802B6A">
        <w:rPr>
          <w:rFonts w:cs="Times New Roman"/>
        </w:rPr>
        <w:t xml:space="preserve">, </w:t>
      </w:r>
      <w:r>
        <w:rPr>
          <w:rFonts w:cs="Times New Roman"/>
        </w:rPr>
        <w:t xml:space="preserve">č. </w:t>
      </w:r>
      <w:r w:rsidRPr="00802B6A">
        <w:rPr>
          <w:rFonts w:cs="Times New Roman"/>
          <w:color w:val="000000"/>
        </w:rPr>
        <w:t xml:space="preserve">59532/00, </w:t>
      </w:r>
      <w:proofErr w:type="spellStart"/>
      <w:r w:rsidRPr="004465A6">
        <w:rPr>
          <w:rFonts w:cs="Times New Roman"/>
          <w:color w:val="000000"/>
        </w:rPr>
        <w:t>Reports</w:t>
      </w:r>
      <w:proofErr w:type="spellEnd"/>
      <w:r w:rsidRPr="004465A6">
        <w:rPr>
          <w:rFonts w:cs="Times New Roman"/>
          <w:color w:val="000000"/>
        </w:rPr>
        <w:t xml:space="preserve"> </w:t>
      </w:r>
      <w:proofErr w:type="spellStart"/>
      <w:r w:rsidRPr="004465A6">
        <w:rPr>
          <w:rFonts w:cs="Times New Roman"/>
          <w:color w:val="000000"/>
        </w:rPr>
        <w:t>of</w:t>
      </w:r>
      <w:proofErr w:type="spellEnd"/>
      <w:r w:rsidRPr="004465A6">
        <w:rPr>
          <w:rFonts w:cs="Times New Roman"/>
          <w:color w:val="000000"/>
        </w:rPr>
        <w:t xml:space="preserve"> </w:t>
      </w:r>
      <w:proofErr w:type="spellStart"/>
      <w:r w:rsidRPr="004465A6">
        <w:rPr>
          <w:rFonts w:cs="Times New Roman"/>
          <w:color w:val="000000"/>
        </w:rPr>
        <w:t>Judgments</w:t>
      </w:r>
      <w:proofErr w:type="spellEnd"/>
      <w:r w:rsidRPr="004465A6">
        <w:rPr>
          <w:rFonts w:cs="Times New Roman"/>
          <w:color w:val="000000"/>
        </w:rPr>
        <w:t xml:space="preserve"> and </w:t>
      </w:r>
      <w:proofErr w:type="spellStart"/>
      <w:r w:rsidRPr="004465A6">
        <w:rPr>
          <w:rFonts w:cs="Times New Roman"/>
          <w:color w:val="000000"/>
        </w:rPr>
        <w:t>Decisions</w:t>
      </w:r>
      <w:proofErr w:type="spellEnd"/>
      <w:r w:rsidRPr="00802B6A">
        <w:rPr>
          <w:rFonts w:cs="Times New Roman"/>
          <w:color w:val="000000"/>
        </w:rPr>
        <w:t xml:space="preserve"> 2006-III, § 77 – 79.</w:t>
      </w:r>
    </w:p>
  </w:footnote>
  <w:footnote w:id="157">
    <w:p w:rsidR="00DC1275" w:rsidRDefault="00DC1275" w:rsidP="00DC1275">
      <w:pPr>
        <w:pStyle w:val="Textpoznmkypodiarou"/>
      </w:pPr>
      <w:r>
        <w:rPr>
          <w:rStyle w:val="Odkaznapoznmkupodiarou"/>
        </w:rPr>
        <w:footnoteRef/>
      </w:r>
      <w:r>
        <w:t xml:space="preserve"> </w:t>
      </w:r>
      <w:r>
        <w:t xml:space="preserve">ČAPEK: </w:t>
      </w:r>
      <w:proofErr w:type="spellStart"/>
      <w:r>
        <w:rPr>
          <w:i/>
        </w:rPr>
        <w:t>Evropská</w:t>
      </w:r>
      <w:proofErr w:type="spellEnd"/>
      <w:r>
        <w:rPr>
          <w:i/>
        </w:rPr>
        <w:t xml:space="preserve"> </w:t>
      </w:r>
      <w:proofErr w:type="spellStart"/>
      <w:r>
        <w:rPr>
          <w:i/>
        </w:rPr>
        <w:t>úmluva</w:t>
      </w:r>
      <w:proofErr w:type="spellEnd"/>
      <w:r>
        <w:rPr>
          <w:i/>
        </w:rPr>
        <w:t>...</w:t>
      </w:r>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rsidRPr="00BF58D0">
        <w:t>, s.</w:t>
      </w:r>
      <w:r>
        <w:t xml:space="preserve"> 839 – 840.</w:t>
      </w:r>
    </w:p>
  </w:footnote>
  <w:footnote w:id="158">
    <w:p w:rsidR="00DC1275" w:rsidRDefault="00DC1275" w:rsidP="00DC1275">
      <w:pPr>
        <w:pStyle w:val="Textpoznmkypodiarou"/>
      </w:pPr>
      <w:r w:rsidRPr="003B6770">
        <w:rPr>
          <w:rStyle w:val="Odkaznapoznmkupodiarou"/>
        </w:rPr>
        <w:footnoteRef/>
      </w:r>
      <w:r w:rsidRPr="003B6770">
        <w:t xml:space="preserve"> </w:t>
      </w:r>
      <w:r w:rsidRPr="004B5A30">
        <w:t>Bývalá</w:t>
      </w:r>
      <w:r>
        <w:t xml:space="preserve"> Česká a Slovenská Federatívna Republika ratifikovala Dohovor 18. 3. 1992. Po rozpade federácie dňa 31. 12. 1992 sa Česká republika i Slovensko stali členmi Rady Európy ku dňu 30. 6. 1993. Prehlásenia oboch novovzniknutých štátov o ich viazanosti Dohovorom prijal Výbor ministrov Rady Európy spätne ku dňu 1. 1. 1993. Na základe ústavných zákonov o právnom nástupníctve je Česká republika viazaná Dohovorom od dátumu ratifikácie bývalou ČSFR, teda od 18. 3. 1992.</w:t>
      </w:r>
    </w:p>
  </w:footnote>
  <w:footnote w:id="159">
    <w:p w:rsidR="00DC1275" w:rsidRPr="003E2E8C" w:rsidRDefault="00DC1275" w:rsidP="00DC1275">
      <w:pPr>
        <w:pStyle w:val="Textpoznmkypodiarou"/>
        <w:rPr>
          <w:rFonts w:cs="Times New Roman"/>
        </w:rPr>
      </w:pPr>
      <w:r w:rsidRPr="003E2E8C">
        <w:rPr>
          <w:rStyle w:val="Odkaznapoznmkupodiarou"/>
          <w:rFonts w:cs="Times New Roman"/>
        </w:rPr>
        <w:footnoteRef/>
      </w:r>
      <w:r w:rsidRPr="003E2E8C">
        <w:rPr>
          <w:rFonts w:cs="Times New Roman"/>
        </w:rPr>
        <w:t xml:space="preserve"> </w:t>
      </w:r>
      <w:r w:rsidRPr="003E2E8C">
        <w:rPr>
          <w:rFonts w:cs="Times New Roman"/>
        </w:rPr>
        <w:t xml:space="preserve">Európsky súd pre ľudské práva: Rozsudok zo dňa 19. októbra 2004, </w:t>
      </w:r>
      <w:proofErr w:type="spellStart"/>
      <w:r w:rsidRPr="003E2E8C">
        <w:rPr>
          <w:rFonts w:cs="Times New Roman"/>
          <w:i/>
        </w:rPr>
        <w:t>Yorgiadis</w:t>
      </w:r>
      <w:proofErr w:type="spellEnd"/>
      <w:r w:rsidRPr="003E2E8C">
        <w:rPr>
          <w:rFonts w:cs="Times New Roman"/>
          <w:i/>
        </w:rPr>
        <w:t xml:space="preserve"> v. Turecko (č. 1)</w:t>
      </w:r>
      <w:r w:rsidRPr="003E2E8C">
        <w:rPr>
          <w:rFonts w:cs="Times New Roman"/>
        </w:rPr>
        <w:t xml:space="preserve">, </w:t>
      </w:r>
      <w:r>
        <w:rPr>
          <w:rFonts w:cs="Times New Roman"/>
        </w:rPr>
        <w:t xml:space="preserve">č. </w:t>
      </w:r>
      <w:r w:rsidRPr="003E2E8C">
        <w:rPr>
          <w:rFonts w:cs="Times New Roman"/>
          <w:color w:val="000000"/>
        </w:rPr>
        <w:t xml:space="preserve">48057/99, </w:t>
      </w:r>
      <w:proofErr w:type="spellStart"/>
      <w:r>
        <w:rPr>
          <w:rFonts w:cs="Times New Roman"/>
          <w:color w:val="000000"/>
        </w:rPr>
        <w:t>Series</w:t>
      </w:r>
      <w:proofErr w:type="spellEnd"/>
      <w:r>
        <w:rPr>
          <w:rFonts w:cs="Times New Roman"/>
          <w:color w:val="000000"/>
        </w:rPr>
        <w:t xml:space="preserve"> </w:t>
      </w:r>
      <w:r w:rsidRPr="003E2E8C">
        <w:rPr>
          <w:rFonts w:cs="Times New Roman"/>
          <w:color w:val="000000"/>
        </w:rPr>
        <w:t xml:space="preserve">A 271, § </w:t>
      </w:r>
      <w:r>
        <w:rPr>
          <w:rFonts w:cs="Times New Roman"/>
          <w:color w:val="000000"/>
        </w:rPr>
        <w:t xml:space="preserve">24, </w:t>
      </w:r>
      <w:r w:rsidRPr="003E2E8C">
        <w:rPr>
          <w:rFonts w:cs="Times New Roman"/>
          <w:color w:val="000000"/>
        </w:rPr>
        <w:t>33.</w:t>
      </w:r>
    </w:p>
  </w:footnote>
  <w:footnote w:id="160">
    <w:p w:rsidR="00DC1275" w:rsidRDefault="00DC1275" w:rsidP="00DC1275">
      <w:pPr>
        <w:pStyle w:val="Textpoznmkypodiarou"/>
      </w:pPr>
      <w:r>
        <w:rPr>
          <w:rStyle w:val="Odkaznapoznmkupodiarou"/>
        </w:rPr>
        <w:footnoteRef/>
      </w:r>
      <w:r>
        <w:t xml:space="preserve"> </w:t>
      </w:r>
      <w:r>
        <w:t xml:space="preserve">ČAPEK: </w:t>
      </w:r>
      <w:proofErr w:type="spellStart"/>
      <w:r w:rsidRPr="00BF58D0">
        <w:rPr>
          <w:i/>
        </w:rPr>
        <w:t>Evropská</w:t>
      </w:r>
      <w:proofErr w:type="spellEnd"/>
      <w:r w:rsidRPr="00BF58D0">
        <w:rPr>
          <w:i/>
        </w:rPr>
        <w:t xml:space="preserve"> </w:t>
      </w:r>
      <w:proofErr w:type="spellStart"/>
      <w:r>
        <w:rPr>
          <w:i/>
        </w:rPr>
        <w:t>úmluva</w:t>
      </w:r>
      <w:proofErr w:type="spellEnd"/>
      <w:r>
        <w:rPr>
          <w:i/>
        </w:rPr>
        <w:t>...</w:t>
      </w:r>
      <w:r w:rsidRPr="00BF58D0">
        <w:rPr>
          <w:i/>
        </w:rPr>
        <w:t xml:space="preserve"> (I. </w:t>
      </w:r>
      <w:proofErr w:type="spellStart"/>
      <w:r w:rsidRPr="00BF58D0">
        <w:rPr>
          <w:i/>
        </w:rPr>
        <w:t>část</w:t>
      </w:r>
      <w:proofErr w:type="spellEnd"/>
      <w:r w:rsidRPr="00BF58D0">
        <w:rPr>
          <w:i/>
        </w:rPr>
        <w:t xml:space="preserve"> – </w:t>
      </w:r>
      <w:proofErr w:type="spellStart"/>
      <w:r w:rsidRPr="00BF58D0">
        <w:rPr>
          <w:i/>
        </w:rPr>
        <w:t>Úmluva</w:t>
      </w:r>
      <w:proofErr w:type="spellEnd"/>
      <w:r w:rsidRPr="00BF58D0">
        <w:rPr>
          <w:i/>
        </w:rPr>
        <w:t>)</w:t>
      </w:r>
      <w:r>
        <w:t>, s. 747 – 748.</w:t>
      </w:r>
    </w:p>
  </w:footnote>
  <w:footnote w:id="161">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Pr>
          <w:rFonts w:cs="Times New Roman"/>
        </w:rPr>
        <w:t xml:space="preserve">, </w:t>
      </w:r>
      <w:proofErr w:type="spellStart"/>
      <w:r>
        <w:rPr>
          <w:rFonts w:cs="Times New Roman"/>
        </w:rPr>
        <w:t>zvláštní</w:t>
      </w:r>
      <w:proofErr w:type="spellEnd"/>
      <w:r>
        <w:rPr>
          <w:rFonts w:cs="Times New Roman"/>
        </w:rPr>
        <w:t xml:space="preserve"> číslo, s. 35.</w:t>
      </w:r>
    </w:p>
  </w:footnote>
  <w:footnote w:id="162">
    <w:p w:rsidR="00DC1275" w:rsidRPr="003E2E8C" w:rsidRDefault="00DC1275" w:rsidP="00DC1275">
      <w:pPr>
        <w:pStyle w:val="Textpoznmkypodiarou"/>
        <w:rPr>
          <w:rFonts w:cs="Times New Roman"/>
        </w:rPr>
      </w:pPr>
      <w:r w:rsidRPr="003E2E8C">
        <w:rPr>
          <w:rStyle w:val="Odkaznapoznmkupodiarou"/>
          <w:rFonts w:cs="Times New Roman"/>
        </w:rPr>
        <w:footnoteRef/>
      </w:r>
      <w:r w:rsidRPr="003E2E8C">
        <w:rPr>
          <w:rFonts w:cs="Times New Roman"/>
        </w:rPr>
        <w:t xml:space="preserve"> </w:t>
      </w:r>
      <w:r w:rsidRPr="003E2E8C">
        <w:rPr>
          <w:rFonts w:cs="Times New Roman"/>
        </w:rPr>
        <w:t xml:space="preserve">Európsky súd pre ľudské práva: Rozsudok zo dňa 26. októbra 1993, </w:t>
      </w:r>
      <w:proofErr w:type="spellStart"/>
      <w:r w:rsidRPr="003E2E8C">
        <w:rPr>
          <w:rFonts w:cs="Times New Roman"/>
          <w:i/>
        </w:rPr>
        <w:t>Stamoulakatos</w:t>
      </w:r>
      <w:proofErr w:type="spellEnd"/>
      <w:r w:rsidRPr="003E2E8C">
        <w:rPr>
          <w:rFonts w:cs="Times New Roman"/>
          <w:i/>
        </w:rPr>
        <w:t xml:space="preserve"> v. Grécko (č. 1)</w:t>
      </w:r>
      <w:r w:rsidRPr="003E2E8C">
        <w:rPr>
          <w:rFonts w:cs="Times New Roman"/>
        </w:rPr>
        <w:t xml:space="preserve">, </w:t>
      </w:r>
      <w:r>
        <w:rPr>
          <w:rFonts w:cs="Times New Roman"/>
        </w:rPr>
        <w:t xml:space="preserve">č. </w:t>
      </w:r>
      <w:r w:rsidRPr="003E2E8C">
        <w:rPr>
          <w:rFonts w:cs="Times New Roman"/>
          <w:color w:val="000000"/>
        </w:rPr>
        <w:t xml:space="preserve">12806/87, </w:t>
      </w:r>
      <w:proofErr w:type="spellStart"/>
      <w:r>
        <w:rPr>
          <w:rFonts w:cs="Times New Roman"/>
          <w:color w:val="000000"/>
        </w:rPr>
        <w:t>Series</w:t>
      </w:r>
      <w:proofErr w:type="spellEnd"/>
      <w:r>
        <w:rPr>
          <w:rFonts w:cs="Times New Roman"/>
          <w:color w:val="000000"/>
        </w:rPr>
        <w:t xml:space="preserve"> </w:t>
      </w:r>
      <w:r w:rsidRPr="003E2E8C">
        <w:rPr>
          <w:rFonts w:cs="Times New Roman"/>
          <w:color w:val="000000"/>
        </w:rPr>
        <w:t>A 271, § 33.</w:t>
      </w:r>
    </w:p>
  </w:footnote>
  <w:footnote w:id="163">
    <w:p w:rsidR="00DC1275" w:rsidRDefault="00DC1275" w:rsidP="00DC1275">
      <w:pPr>
        <w:pStyle w:val="Textpoznmkypodiarou"/>
      </w:pPr>
      <w:r>
        <w:rPr>
          <w:rStyle w:val="Odkaznapoznmkupodiarou"/>
        </w:rPr>
        <w:footnoteRef/>
      </w:r>
      <w:r>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Pr>
          <w:rFonts w:cs="Times New Roman"/>
        </w:rPr>
        <w:t xml:space="preserve">, </w:t>
      </w:r>
      <w:proofErr w:type="spellStart"/>
      <w:r>
        <w:rPr>
          <w:rFonts w:cs="Times New Roman"/>
        </w:rPr>
        <w:t>zvláštní</w:t>
      </w:r>
      <w:proofErr w:type="spellEnd"/>
      <w:r>
        <w:rPr>
          <w:rFonts w:cs="Times New Roman"/>
        </w:rPr>
        <w:t xml:space="preserve"> číslo, s. 35.</w:t>
      </w:r>
    </w:p>
  </w:footnote>
  <w:footnote w:id="164">
    <w:p w:rsidR="00DC1275" w:rsidRPr="004465A6" w:rsidRDefault="00DC1275" w:rsidP="00DC1275">
      <w:pPr>
        <w:pStyle w:val="Textpoznmkypodiarou"/>
        <w:rPr>
          <w:rFonts w:cs="Times New Roman"/>
          <w:color w:val="000000"/>
        </w:rPr>
      </w:pPr>
      <w:r w:rsidRPr="00A53A58">
        <w:rPr>
          <w:rStyle w:val="Odkaznapoznmkupodiarou"/>
          <w:rFonts w:cs="Times New Roman"/>
        </w:rPr>
        <w:footnoteRef/>
      </w:r>
      <w:r w:rsidRPr="00A53A58">
        <w:rPr>
          <w:rFonts w:cs="Times New Roman"/>
        </w:rPr>
        <w:t xml:space="preserve"> </w:t>
      </w:r>
      <w:r w:rsidRPr="00A53A58">
        <w:rPr>
          <w:rFonts w:cs="Times New Roman"/>
        </w:rPr>
        <w:t xml:space="preserve">Európsky súd pre ľudské práva: Rozsudok zo dňa 10. mája 2001, </w:t>
      </w:r>
      <w:r w:rsidRPr="00A53A58">
        <w:rPr>
          <w:rFonts w:cs="Times New Roman"/>
          <w:i/>
        </w:rPr>
        <w:t>Cyprus v. Turecko</w:t>
      </w:r>
      <w:r w:rsidRPr="00A53A58">
        <w:rPr>
          <w:rFonts w:cs="Times New Roman"/>
        </w:rPr>
        <w:t xml:space="preserve">, </w:t>
      </w:r>
      <w:r>
        <w:rPr>
          <w:rFonts w:cs="Times New Roman"/>
        </w:rPr>
        <w:t xml:space="preserve">č. </w:t>
      </w:r>
      <w:r w:rsidRPr="00A53A58">
        <w:rPr>
          <w:rFonts w:cs="Times New Roman"/>
          <w:color w:val="000000"/>
        </w:rPr>
        <w:t xml:space="preserve">25781/94, </w:t>
      </w:r>
      <w:proofErr w:type="spellStart"/>
      <w:r w:rsidRPr="004465A6">
        <w:rPr>
          <w:rFonts w:cs="Times New Roman"/>
          <w:color w:val="000000"/>
        </w:rPr>
        <w:t>Reports</w:t>
      </w:r>
      <w:proofErr w:type="spellEnd"/>
      <w:r w:rsidRPr="004465A6">
        <w:rPr>
          <w:rFonts w:cs="Times New Roman"/>
          <w:color w:val="000000"/>
        </w:rPr>
        <w:t xml:space="preserve"> </w:t>
      </w:r>
      <w:proofErr w:type="spellStart"/>
      <w:r w:rsidRPr="004465A6">
        <w:rPr>
          <w:rFonts w:cs="Times New Roman"/>
          <w:color w:val="000000"/>
        </w:rPr>
        <w:t>of</w:t>
      </w:r>
      <w:proofErr w:type="spellEnd"/>
      <w:r w:rsidRPr="004465A6">
        <w:rPr>
          <w:rFonts w:cs="Times New Roman"/>
          <w:color w:val="000000"/>
        </w:rPr>
        <w:t xml:space="preserve"> </w:t>
      </w:r>
      <w:proofErr w:type="spellStart"/>
      <w:r w:rsidRPr="004465A6">
        <w:rPr>
          <w:rFonts w:cs="Times New Roman"/>
          <w:color w:val="000000"/>
        </w:rPr>
        <w:t>Judgments</w:t>
      </w:r>
      <w:proofErr w:type="spellEnd"/>
      <w:r w:rsidRPr="004465A6">
        <w:rPr>
          <w:rFonts w:cs="Times New Roman"/>
          <w:color w:val="000000"/>
        </w:rPr>
        <w:t xml:space="preserve"> and </w:t>
      </w:r>
      <w:proofErr w:type="spellStart"/>
      <w:r w:rsidRPr="004465A6">
        <w:rPr>
          <w:rFonts w:cs="Times New Roman"/>
          <w:color w:val="000000"/>
        </w:rPr>
        <w:t>Decisions</w:t>
      </w:r>
      <w:proofErr w:type="spellEnd"/>
      <w:r w:rsidRPr="00A53A58">
        <w:rPr>
          <w:rFonts w:cs="Times New Roman"/>
          <w:color w:val="000000"/>
        </w:rPr>
        <w:t xml:space="preserve"> 2001-IV.</w:t>
      </w:r>
    </w:p>
  </w:footnote>
  <w:footnote w:id="165">
    <w:p w:rsidR="00DC1275" w:rsidRDefault="00DC1275" w:rsidP="00DC1275">
      <w:pPr>
        <w:pStyle w:val="Textpoznmkypodiarou"/>
      </w:pPr>
      <w:r w:rsidRPr="003B6770">
        <w:rPr>
          <w:rStyle w:val="Odkaznapoznmkupodiarou"/>
        </w:rPr>
        <w:footnoteRef/>
      </w:r>
      <w:r w:rsidRPr="003B6770">
        <w:t xml:space="preserve"> </w:t>
      </w:r>
      <w:r>
        <w:rPr>
          <w:rFonts w:cs="Times New Roman"/>
        </w:rPr>
        <w:t xml:space="preserve">HUBÁLKOVÁ: </w:t>
      </w:r>
      <w:r w:rsidRPr="004C5DD4">
        <w:rPr>
          <w:rFonts w:cs="Times New Roman"/>
        </w:rPr>
        <w:t>Stručná</w:t>
      </w:r>
      <w:r>
        <w:rPr>
          <w:rFonts w:cs="Times New Roman"/>
        </w:rPr>
        <w:t xml:space="preserve"> </w:t>
      </w:r>
      <w:proofErr w:type="spellStart"/>
      <w:r>
        <w:rPr>
          <w:rFonts w:cs="Times New Roman"/>
        </w:rPr>
        <w:t>rukojeť</w:t>
      </w:r>
      <w:proofErr w:type="spellEnd"/>
      <w:r>
        <w:rPr>
          <w:rFonts w:cs="Times New Roman"/>
        </w:rPr>
        <w:t xml:space="preserve">..., </w:t>
      </w:r>
      <w:r w:rsidRPr="004C5DD4">
        <w:rPr>
          <w:rFonts w:cs="Times New Roman"/>
          <w:i/>
        </w:rPr>
        <w:t xml:space="preserve">Bulletin </w:t>
      </w:r>
      <w:proofErr w:type="spellStart"/>
      <w:r w:rsidRPr="004C5DD4">
        <w:rPr>
          <w:rFonts w:cs="Times New Roman"/>
          <w:i/>
        </w:rPr>
        <w:t>advokacie</w:t>
      </w:r>
      <w:proofErr w:type="spellEnd"/>
      <w:r w:rsidRPr="004C5DD4">
        <w:rPr>
          <w:rFonts w:cs="Times New Roman"/>
        </w:rPr>
        <w:t xml:space="preserve">, </w:t>
      </w:r>
      <w:proofErr w:type="spellStart"/>
      <w:r w:rsidRPr="004C5DD4">
        <w:rPr>
          <w:rFonts w:cs="Times New Roman"/>
        </w:rPr>
        <w:t>zvláštní</w:t>
      </w:r>
      <w:proofErr w:type="spellEnd"/>
      <w:r w:rsidRPr="004C5DD4">
        <w:rPr>
          <w:rFonts w:cs="Times New Roman"/>
        </w:rPr>
        <w:t xml:space="preserve"> číslo, s.</w:t>
      </w:r>
      <w:r>
        <w:rPr>
          <w:rFonts w:cs="Times New Roman"/>
        </w:rPr>
        <w:t xml:space="preserve"> </w:t>
      </w:r>
      <w:r>
        <w:t>35</w:t>
      </w:r>
      <w:r w:rsidRPr="003B6770">
        <w:t>-38.</w:t>
      </w:r>
    </w:p>
  </w:footnote>
  <w:footnote w:id="166">
    <w:p w:rsidR="00DC1275" w:rsidRDefault="00DC1275" w:rsidP="00DC1275">
      <w:pPr>
        <w:pStyle w:val="Textpoznmkypodiarou"/>
      </w:pPr>
      <w:r>
        <w:rPr>
          <w:rStyle w:val="Odkaznapoznmkupodiarou"/>
        </w:rPr>
        <w:footnoteRef/>
      </w:r>
      <w:r>
        <w:t xml:space="preserve"> </w:t>
      </w:r>
      <w:r>
        <w:t>Príkladmi takýchto inštrumentov sú Európska sociálna charta alebo Komunitárna charta základných sociálnych práv pracovníkov.</w:t>
      </w:r>
    </w:p>
  </w:footnote>
  <w:footnote w:id="167">
    <w:p w:rsidR="00DC1275" w:rsidRDefault="00DC1275" w:rsidP="00DC1275">
      <w:pPr>
        <w:pStyle w:val="Textpoznmkypodiarou"/>
      </w:pPr>
      <w:r>
        <w:rPr>
          <w:rStyle w:val="Odkaznapoznmkupodiarou"/>
        </w:rPr>
        <w:footnoteRef/>
      </w:r>
      <w:r>
        <w:t xml:space="preserve"> </w:t>
      </w:r>
      <w:r>
        <w:t xml:space="preserve">Európska komisia pre ľudské práva: Rozhodnutie zo dňa 6. októbra 1981, </w:t>
      </w:r>
      <w:r w:rsidRPr="0004278D">
        <w:rPr>
          <w:i/>
        </w:rPr>
        <w:t xml:space="preserve">X. v. </w:t>
      </w:r>
      <w:r>
        <w:rPr>
          <w:i/>
        </w:rPr>
        <w:t>Nemecko</w:t>
      </w:r>
      <w:r>
        <w:t>, č. 9177/80, D.R. 26, s. 255.</w:t>
      </w:r>
    </w:p>
  </w:footnote>
  <w:footnote w:id="168">
    <w:p w:rsidR="00DC1275" w:rsidRDefault="00DC1275" w:rsidP="00DC1275">
      <w:pPr>
        <w:pStyle w:val="Textpoznmkypodiarou"/>
      </w:pPr>
      <w:r>
        <w:rPr>
          <w:rStyle w:val="Odkaznapoznmkupodiarou"/>
        </w:rPr>
        <w:footnoteRef/>
      </w:r>
      <w:r>
        <w:t xml:space="preserve"> </w:t>
      </w:r>
      <w:r>
        <w:rPr>
          <w:lang w:val="en-US"/>
        </w:rPr>
        <w:t xml:space="preserve">HARRIS: </w:t>
      </w:r>
      <w:r w:rsidRPr="00B26AE4">
        <w:rPr>
          <w:i/>
          <w:lang w:val="en-US"/>
        </w:rPr>
        <w:t>Law of the European</w:t>
      </w:r>
      <w:r>
        <w:rPr>
          <w:i/>
          <w:lang w:val="en-US"/>
        </w:rPr>
        <w:t xml:space="preserve"> Convention…</w:t>
      </w:r>
      <w:r>
        <w:rPr>
          <w:lang w:val="en-US"/>
        </w:rPr>
        <w:t>, s. 801.</w:t>
      </w:r>
    </w:p>
  </w:footnote>
  <w:footnote w:id="169">
    <w:p w:rsidR="00DC1275" w:rsidRDefault="00DC1275" w:rsidP="00DC1275">
      <w:pPr>
        <w:pStyle w:val="Textpoznmkypodiarou"/>
      </w:pPr>
      <w:r>
        <w:rPr>
          <w:rStyle w:val="Odkaznapoznmkupodiarou"/>
        </w:rPr>
        <w:footnoteRef/>
      </w:r>
      <w:r>
        <w:t xml:space="preserve"> </w:t>
      </w:r>
      <w:r>
        <w:t xml:space="preserve">K tomu viac viď ŠIŠKOVÁ: </w:t>
      </w:r>
      <w:proofErr w:type="spellStart"/>
      <w:r w:rsidRPr="000B2648">
        <w:rPr>
          <w:i/>
        </w:rPr>
        <w:t>Dimenze</w:t>
      </w:r>
      <w:proofErr w:type="spellEnd"/>
      <w:r w:rsidRPr="000B2648">
        <w:rPr>
          <w:i/>
        </w:rPr>
        <w:t xml:space="preserve"> ochrany </w:t>
      </w:r>
      <w:proofErr w:type="spellStart"/>
      <w:r w:rsidRPr="000B2648">
        <w:rPr>
          <w:i/>
        </w:rPr>
        <w:t>lidských</w:t>
      </w:r>
      <w:proofErr w:type="spellEnd"/>
      <w:r w:rsidRPr="000B2648">
        <w:rPr>
          <w:i/>
        </w:rPr>
        <w:t xml:space="preserve"> práv</w:t>
      </w:r>
      <w:r>
        <w:rPr>
          <w:i/>
        </w:rPr>
        <w:t>...</w:t>
      </w:r>
      <w:r>
        <w:t>, s. 116 – 117.</w:t>
      </w:r>
    </w:p>
  </w:footnote>
  <w:footnote w:id="170">
    <w:p w:rsidR="00DC1275" w:rsidRDefault="00DC1275" w:rsidP="00DC1275">
      <w:pPr>
        <w:pStyle w:val="Textpoznmkypodiarou"/>
      </w:pPr>
      <w:r>
        <w:rPr>
          <w:rStyle w:val="Odkaznapoznmkupodiarou"/>
        </w:rPr>
        <w:footnoteRef/>
      </w:r>
      <w:r>
        <w:t xml:space="preserve"> </w:t>
      </w:r>
      <w:r>
        <w:t xml:space="preserve">ŠIŠKOVÁ: </w:t>
      </w:r>
      <w:proofErr w:type="spellStart"/>
      <w:r w:rsidRPr="000B2648">
        <w:rPr>
          <w:i/>
        </w:rPr>
        <w:t>Dimenze</w:t>
      </w:r>
      <w:proofErr w:type="spellEnd"/>
      <w:r w:rsidRPr="000B2648">
        <w:rPr>
          <w:i/>
        </w:rPr>
        <w:t xml:space="preserve"> ochrany </w:t>
      </w:r>
      <w:proofErr w:type="spellStart"/>
      <w:r w:rsidRPr="000B2648">
        <w:rPr>
          <w:i/>
        </w:rPr>
        <w:t>lidských</w:t>
      </w:r>
      <w:proofErr w:type="spellEnd"/>
      <w:r w:rsidRPr="000B2648">
        <w:rPr>
          <w:i/>
        </w:rPr>
        <w:t xml:space="preserve"> práv</w:t>
      </w:r>
      <w:r>
        <w:rPr>
          <w:i/>
        </w:rPr>
        <w:t>...</w:t>
      </w:r>
      <w:r>
        <w:t>, s. 116 – 118.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842"/>
    <w:multiLevelType w:val="hybridMultilevel"/>
    <w:tmpl w:val="E00EF5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E7C5494"/>
    <w:multiLevelType w:val="hybridMultilevel"/>
    <w:tmpl w:val="227095F8"/>
    <w:lvl w:ilvl="0">
      <w:numFmt w:val="bullet"/>
      <w:lvlText w:val="-"/>
      <w:lvlJc w:val="left"/>
      <w:pPr>
        <w:ind w:left="1068" w:hanging="360"/>
      </w:pPr>
      <w:rPr>
        <w:rFonts w:ascii="Times New Roman" w:eastAsiaTheme="minorHAnsi" w:hAnsi="Times New Roman"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1815181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331395"/>
    <w:multiLevelType w:val="hybridMultilevel"/>
    <w:tmpl w:val="8AE4F2A2"/>
    <w:lvl w:ilvl="0" w:tplc="041B0015">
      <w:start w:val="1"/>
      <w:numFmt w:val="upp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nsid w:val="3D757A95"/>
    <w:multiLevelType w:val="hybridMultilevel"/>
    <w:tmpl w:val="740EA9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C00639B"/>
    <w:multiLevelType w:val="hybridMultilevel"/>
    <w:tmpl w:val="FB00FA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FB43D9A"/>
    <w:multiLevelType w:val="multilevel"/>
    <w:tmpl w:val="36F00C94"/>
    <w:lvl w:ilvl="0">
      <w:start w:val="1"/>
      <w:numFmt w:val="decimal"/>
      <w:lvlText w:val="%1."/>
      <w:lvlJc w:val="left"/>
      <w:pPr>
        <w:ind w:left="360" w:hanging="360"/>
      </w:pPr>
      <w:rPr>
        <w:rFonts w:hint="default"/>
      </w:rPr>
    </w:lvl>
    <w:lvl w:ilvl="1">
      <w:start w:val="1"/>
      <w:numFmt w:val="decimal"/>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A4818E7"/>
    <w:multiLevelType w:val="hybridMultilevel"/>
    <w:tmpl w:val="9270551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F196055"/>
    <w:multiLevelType w:val="hybridMultilevel"/>
    <w:tmpl w:val="AE1A92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11C166D"/>
    <w:multiLevelType w:val="hybridMultilevel"/>
    <w:tmpl w:val="0DD4B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72FC0333"/>
    <w:multiLevelType w:val="multilevel"/>
    <w:tmpl w:val="4E8E21EE"/>
    <w:lvl w:ilvl="0">
      <w:start w:val="1"/>
      <w:numFmt w:val="decimal"/>
      <w:pStyle w:val="3podnadpis"/>
      <w:lvlText w:val="2.4.%1."/>
      <w:lvlJc w:val="left"/>
      <w:pPr>
        <w:ind w:left="357" w:hanging="357"/>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77CE5D86"/>
    <w:multiLevelType w:val="hybridMultilevel"/>
    <w:tmpl w:val="6734A0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B217B24"/>
    <w:multiLevelType w:val="hybridMultilevel"/>
    <w:tmpl w:val="2F60FA82"/>
    <w:lvl w:ilvl="0">
      <w:start w:val="2"/>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10"/>
  </w:num>
  <w:num w:numId="5">
    <w:abstractNumId w:val="7"/>
  </w:num>
  <w:num w:numId="6">
    <w:abstractNumId w:val="2"/>
  </w:num>
  <w:num w:numId="7">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firstLine="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0"/>
    <w:lvlOverride w:ilvl="0">
      <w:lvl w:ilvl="0">
        <w:start w:val="1"/>
        <w:numFmt w:val="decimal"/>
        <w:pStyle w:val="3podnadpis"/>
        <w:lvlText w:val="2.3.%1."/>
        <w:lvlJc w:val="left"/>
        <w:pPr>
          <w:ind w:left="357" w:hanging="357"/>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9">
    <w:abstractNumId w:val="10"/>
    <w:lvlOverride w:ilvl="0">
      <w:lvl w:ilvl="0">
        <w:start w:val="1"/>
        <w:numFmt w:val="none"/>
        <w:pStyle w:val="3podnadpis"/>
        <w:lvlText w:val="3.1.1."/>
        <w:lvlJc w:val="left"/>
        <w:pPr>
          <w:ind w:left="357" w:hanging="357"/>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0">
    <w:abstractNumId w:val="10"/>
    <w:lvlOverride w:ilvl="0">
      <w:lvl w:ilvl="0">
        <w:start w:val="1"/>
        <w:numFmt w:val="none"/>
        <w:pStyle w:val="3podnadpis"/>
        <w:lvlText w:val="3.1.2."/>
        <w:lvlJc w:val="left"/>
        <w:pPr>
          <w:ind w:left="357" w:hanging="357"/>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1">
    <w:abstractNumId w:val="4"/>
  </w:num>
  <w:num w:numId="12">
    <w:abstractNumId w:val="10"/>
    <w:lvlOverride w:ilvl="0">
      <w:lvl w:ilvl="0">
        <w:start w:val="1"/>
        <w:numFmt w:val="none"/>
        <w:pStyle w:val="3podnadpis"/>
        <w:lvlText w:val="3.2.5."/>
        <w:lvlJc w:val="left"/>
        <w:pPr>
          <w:ind w:left="357" w:hanging="357"/>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3">
    <w:abstractNumId w:val="10"/>
    <w:lvlOverride w:ilvl="0">
      <w:lvl w:ilvl="0">
        <w:start w:val="1"/>
        <w:numFmt w:val="none"/>
        <w:pStyle w:val="3podnadpis"/>
        <w:lvlText w:val="3.3.5."/>
        <w:lvlJc w:val="left"/>
        <w:pPr>
          <w:ind w:left="357" w:hanging="357"/>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0"/>
    <w:lvlOverride w:ilvl="0">
      <w:lvl w:ilvl="0">
        <w:start w:val="1"/>
        <w:numFmt w:val="none"/>
        <w:pStyle w:val="3podnadpis"/>
        <w:lvlText w:val="3.4.5."/>
        <w:lvlJc w:val="left"/>
        <w:pPr>
          <w:ind w:left="357" w:hanging="357"/>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5">
    <w:abstractNumId w:val="11"/>
  </w:num>
  <w:num w:numId="16">
    <w:abstractNumId w:val="9"/>
  </w:num>
  <w:num w:numId="17">
    <w:abstractNumId w:val="8"/>
  </w:num>
  <w:num w:numId="18">
    <w:abstractNumId w:val="0"/>
  </w:num>
  <w:num w:numId="19">
    <w:abstractNumId w:val="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C1275"/>
    <w:rsid w:val="00017E18"/>
    <w:rsid w:val="000F6714"/>
    <w:rsid w:val="00265A2E"/>
    <w:rsid w:val="0048314D"/>
    <w:rsid w:val="00586AF7"/>
    <w:rsid w:val="00657E5F"/>
    <w:rsid w:val="009418CC"/>
    <w:rsid w:val="00AD7665"/>
    <w:rsid w:val="00CA4FAE"/>
    <w:rsid w:val="00DC1275"/>
    <w:rsid w:val="00EF302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1275"/>
    <w:pPr>
      <w:spacing w:after="0" w:line="360" w:lineRule="auto"/>
      <w:jc w:val="both"/>
    </w:pPr>
    <w:rPr>
      <w:rFonts w:ascii="Times New Roman" w:hAnsi="Times New Roman"/>
      <w:sz w:val="24"/>
    </w:rPr>
  </w:style>
  <w:style w:type="paragraph" w:styleId="Nadpis1">
    <w:name w:val="heading 1"/>
    <w:aliases w:val="Nadpis 1 diplomka"/>
    <w:basedOn w:val="Normlny"/>
    <w:next w:val="Normlny"/>
    <w:link w:val="Nadpis1Char"/>
    <w:uiPriority w:val="9"/>
    <w:qFormat/>
    <w:rsid w:val="00586AF7"/>
    <w:pPr>
      <w:keepNext/>
      <w:keepLines/>
      <w:spacing w:before="480"/>
      <w:outlineLvl w:val="0"/>
    </w:pPr>
    <w:rPr>
      <w:rFonts w:eastAsiaTheme="majorEastAsia" w:cstheme="majorBidi"/>
      <w:b/>
      <w:bCs/>
      <w:sz w:val="32"/>
      <w:szCs w:val="28"/>
    </w:rPr>
  </w:style>
  <w:style w:type="paragraph" w:styleId="Nadpis2">
    <w:name w:val="heading 2"/>
    <w:aliases w:val="Nadpis 2 diplomka"/>
    <w:basedOn w:val="Normlny"/>
    <w:next w:val="Normlny"/>
    <w:link w:val="Nadpis2Char"/>
    <w:uiPriority w:val="9"/>
    <w:unhideWhenUsed/>
    <w:qFormat/>
    <w:rsid w:val="00586AF7"/>
    <w:pPr>
      <w:keepNext/>
      <w:keepLines/>
      <w:spacing w:before="200"/>
      <w:outlineLvl w:val="1"/>
    </w:pPr>
    <w:rPr>
      <w:rFonts w:eastAsiaTheme="majorEastAsia" w:cstheme="majorBidi"/>
      <w:b/>
      <w:bCs/>
      <w:sz w:val="28"/>
      <w:szCs w:val="26"/>
    </w:rPr>
  </w:style>
  <w:style w:type="paragraph" w:styleId="Nadpis3">
    <w:name w:val="heading 3"/>
    <w:aliases w:val="Nadpis 3 diplomka"/>
    <w:basedOn w:val="Normlny"/>
    <w:next w:val="Normlny"/>
    <w:link w:val="Nadpis3Char"/>
    <w:uiPriority w:val="9"/>
    <w:unhideWhenUsed/>
    <w:qFormat/>
    <w:rsid w:val="00586AF7"/>
    <w:pPr>
      <w:keepNext/>
      <w:keepLines/>
      <w:spacing w:before="200"/>
      <w:outlineLvl w:val="2"/>
    </w:pPr>
    <w:rPr>
      <w:rFonts w:eastAsiaTheme="majorEastAsia" w:cstheme="majorBidi"/>
      <w:b/>
      <w:bCs/>
    </w:rPr>
  </w:style>
  <w:style w:type="paragraph" w:styleId="Nadpis4">
    <w:name w:val="heading 4"/>
    <w:basedOn w:val="Normlny"/>
    <w:next w:val="Normlny"/>
    <w:link w:val="Nadpis4Char"/>
    <w:uiPriority w:val="9"/>
    <w:unhideWhenUsed/>
    <w:qFormat/>
    <w:rsid w:val="00586A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86AF7"/>
    <w:pPr>
      <w:ind w:left="720"/>
      <w:contextualSpacing/>
    </w:pPr>
  </w:style>
  <w:style w:type="character" w:customStyle="1" w:styleId="Nadpis1Char">
    <w:name w:val="Nadpis 1 Char"/>
    <w:aliases w:val="Nadpis 1 diplomka Char"/>
    <w:basedOn w:val="Predvolenpsmoodseku"/>
    <w:link w:val="Nadpis1"/>
    <w:uiPriority w:val="9"/>
    <w:rsid w:val="00586AF7"/>
    <w:rPr>
      <w:rFonts w:ascii="Times New Roman" w:eastAsiaTheme="majorEastAsia" w:hAnsi="Times New Roman" w:cstheme="majorBidi"/>
      <w:b/>
      <w:bCs/>
      <w:sz w:val="32"/>
      <w:szCs w:val="28"/>
    </w:rPr>
  </w:style>
  <w:style w:type="character" w:customStyle="1" w:styleId="Nadpis2Char">
    <w:name w:val="Nadpis 2 Char"/>
    <w:aliases w:val="Nadpis 2 diplomka Char"/>
    <w:basedOn w:val="Predvolenpsmoodseku"/>
    <w:link w:val="Nadpis2"/>
    <w:uiPriority w:val="9"/>
    <w:rsid w:val="00586AF7"/>
    <w:rPr>
      <w:rFonts w:ascii="Times New Roman" w:eastAsiaTheme="majorEastAsia" w:hAnsi="Times New Roman" w:cstheme="majorBidi"/>
      <w:b/>
      <w:bCs/>
      <w:sz w:val="28"/>
      <w:szCs w:val="26"/>
    </w:rPr>
  </w:style>
  <w:style w:type="character" w:customStyle="1" w:styleId="Nadpis3Char">
    <w:name w:val="Nadpis 3 Char"/>
    <w:aliases w:val="Nadpis 3 diplomka Char"/>
    <w:basedOn w:val="Predvolenpsmoodseku"/>
    <w:link w:val="Nadpis3"/>
    <w:uiPriority w:val="9"/>
    <w:rsid w:val="00586AF7"/>
    <w:rPr>
      <w:rFonts w:ascii="Times New Roman" w:eastAsiaTheme="majorEastAsia" w:hAnsi="Times New Roman" w:cstheme="majorBidi"/>
      <w:b/>
      <w:bCs/>
      <w:sz w:val="24"/>
    </w:rPr>
  </w:style>
  <w:style w:type="character" w:customStyle="1" w:styleId="Nadpis4Char">
    <w:name w:val="Nadpis 4 Char"/>
    <w:basedOn w:val="Predvolenpsmoodseku"/>
    <w:link w:val="Nadpis4"/>
    <w:uiPriority w:val="9"/>
    <w:rsid w:val="00586AF7"/>
    <w:rPr>
      <w:rFonts w:asciiTheme="majorHAnsi" w:eastAsiaTheme="majorEastAsia" w:hAnsiTheme="majorHAnsi" w:cstheme="majorBidi"/>
      <w:b/>
      <w:bCs/>
      <w:i/>
      <w:iCs/>
      <w:color w:val="4F81BD" w:themeColor="accent1"/>
      <w:sz w:val="24"/>
    </w:rPr>
  </w:style>
  <w:style w:type="paragraph" w:styleId="Citcia">
    <w:name w:val="Quote"/>
    <w:aliases w:val="pozn.pod čiarou diplomka"/>
    <w:basedOn w:val="Normlny"/>
    <w:next w:val="Normlny"/>
    <w:link w:val="CitciaChar"/>
    <w:uiPriority w:val="29"/>
    <w:qFormat/>
    <w:rsid w:val="00586AF7"/>
    <w:rPr>
      <w:iCs/>
      <w:color w:val="000000" w:themeColor="text1"/>
      <w:sz w:val="20"/>
    </w:rPr>
  </w:style>
  <w:style w:type="character" w:customStyle="1" w:styleId="CitciaChar">
    <w:name w:val="Citácia Char"/>
    <w:aliases w:val="pozn.pod čiarou diplomka Char"/>
    <w:basedOn w:val="Predvolenpsmoodseku"/>
    <w:link w:val="Citcia"/>
    <w:uiPriority w:val="29"/>
    <w:rsid w:val="00586AF7"/>
    <w:rPr>
      <w:rFonts w:ascii="Times New Roman" w:hAnsi="Times New Roman"/>
      <w:iCs/>
      <w:color w:val="000000" w:themeColor="text1"/>
      <w:sz w:val="20"/>
    </w:rPr>
  </w:style>
  <w:style w:type="paragraph" w:styleId="Bezriadkovania">
    <w:name w:val="No Spacing"/>
    <w:uiPriority w:val="1"/>
    <w:qFormat/>
    <w:rsid w:val="00586AF7"/>
    <w:pPr>
      <w:spacing w:after="0" w:line="240" w:lineRule="auto"/>
      <w:jc w:val="both"/>
    </w:pPr>
    <w:rPr>
      <w:rFonts w:ascii="Times New Roman" w:hAnsi="Times New Roman"/>
      <w:sz w:val="24"/>
    </w:rPr>
  </w:style>
  <w:style w:type="paragraph" w:styleId="Textpoznmkypodiarou">
    <w:name w:val="footnote text"/>
    <w:basedOn w:val="Normlny"/>
    <w:link w:val="TextpoznmkypodiarouChar"/>
    <w:uiPriority w:val="99"/>
    <w:semiHidden/>
    <w:unhideWhenUsed/>
    <w:rsid w:val="00DC1275"/>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C1275"/>
    <w:rPr>
      <w:rFonts w:ascii="Times New Roman" w:hAnsi="Times New Roman"/>
      <w:sz w:val="20"/>
      <w:szCs w:val="20"/>
    </w:rPr>
  </w:style>
  <w:style w:type="character" w:styleId="Odkaznapoznmkupodiarou">
    <w:name w:val="footnote reference"/>
    <w:basedOn w:val="Predvolenpsmoodseku"/>
    <w:uiPriority w:val="99"/>
    <w:semiHidden/>
    <w:unhideWhenUsed/>
    <w:rsid w:val="00DC1275"/>
    <w:rPr>
      <w:vertAlign w:val="superscript"/>
    </w:rPr>
  </w:style>
  <w:style w:type="paragraph" w:styleId="Textkoncovejpoznmky">
    <w:name w:val="endnote text"/>
    <w:basedOn w:val="Normlny"/>
    <w:link w:val="TextkoncovejpoznmkyChar"/>
    <w:uiPriority w:val="99"/>
    <w:semiHidden/>
    <w:unhideWhenUsed/>
    <w:rsid w:val="00DC1275"/>
    <w:pPr>
      <w:spacing w:line="240" w:lineRule="auto"/>
    </w:pPr>
    <w:rPr>
      <w:sz w:val="20"/>
      <w:szCs w:val="20"/>
    </w:rPr>
  </w:style>
  <w:style w:type="character" w:customStyle="1" w:styleId="TextkoncovejpoznmkyChar">
    <w:name w:val="Text koncovej poznámky Char"/>
    <w:basedOn w:val="Predvolenpsmoodseku"/>
    <w:link w:val="Textkoncovejpoznmky"/>
    <w:uiPriority w:val="99"/>
    <w:semiHidden/>
    <w:rsid w:val="00DC1275"/>
    <w:rPr>
      <w:rFonts w:ascii="Times New Roman" w:hAnsi="Times New Roman"/>
      <w:sz w:val="20"/>
      <w:szCs w:val="20"/>
    </w:rPr>
  </w:style>
  <w:style w:type="character" w:styleId="Odkaznakoncovpoznmku">
    <w:name w:val="endnote reference"/>
    <w:basedOn w:val="Predvolenpsmoodseku"/>
    <w:uiPriority w:val="99"/>
    <w:semiHidden/>
    <w:unhideWhenUsed/>
    <w:rsid w:val="00DC1275"/>
    <w:rPr>
      <w:vertAlign w:val="superscript"/>
    </w:rPr>
  </w:style>
  <w:style w:type="paragraph" w:customStyle="1" w:styleId="3podnadpis">
    <w:name w:val="3.podnadpis"/>
    <w:basedOn w:val="Nadpis2"/>
    <w:next w:val="Normlny"/>
    <w:link w:val="3podnadpisChar"/>
    <w:qFormat/>
    <w:rsid w:val="00DC1275"/>
    <w:pPr>
      <w:numPr>
        <w:numId w:val="4"/>
      </w:numPr>
    </w:pPr>
    <w:rPr>
      <w:sz w:val="24"/>
    </w:rPr>
  </w:style>
  <w:style w:type="character" w:customStyle="1" w:styleId="3podnadpisChar">
    <w:name w:val="3.podnadpis Char"/>
    <w:basedOn w:val="Nadpis2Char"/>
    <w:link w:val="3podnadpis"/>
    <w:rsid w:val="00DC1275"/>
    <w:rPr>
      <w:b/>
      <w:bCs/>
      <w:sz w:val="24"/>
    </w:rPr>
  </w:style>
  <w:style w:type="character" w:styleId="Hypertextovprepojenie">
    <w:name w:val="Hyperlink"/>
    <w:basedOn w:val="Predvolenpsmoodseku"/>
    <w:uiPriority w:val="99"/>
    <w:unhideWhenUsed/>
    <w:rsid w:val="00DC1275"/>
    <w:rPr>
      <w:color w:val="0000FF"/>
      <w:u w:val="single"/>
    </w:rPr>
  </w:style>
  <w:style w:type="table" w:styleId="Mriekatabuky">
    <w:name w:val="Table Grid"/>
    <w:basedOn w:val="Normlnatabuka"/>
    <w:uiPriority w:val="59"/>
    <w:rsid w:val="00DC1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semiHidden/>
    <w:unhideWhenUsed/>
    <w:rsid w:val="00DC1275"/>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DC1275"/>
    <w:rPr>
      <w:rFonts w:ascii="Times New Roman" w:hAnsi="Times New Roman"/>
      <w:sz w:val="24"/>
    </w:rPr>
  </w:style>
  <w:style w:type="paragraph" w:styleId="Pta">
    <w:name w:val="footer"/>
    <w:basedOn w:val="Normlny"/>
    <w:link w:val="PtaChar"/>
    <w:uiPriority w:val="99"/>
    <w:unhideWhenUsed/>
    <w:rsid w:val="00DC1275"/>
    <w:pPr>
      <w:tabs>
        <w:tab w:val="center" w:pos="4536"/>
        <w:tab w:val="right" w:pos="9072"/>
      </w:tabs>
      <w:spacing w:line="240" w:lineRule="auto"/>
    </w:pPr>
  </w:style>
  <w:style w:type="character" w:customStyle="1" w:styleId="PtaChar">
    <w:name w:val="Päta Char"/>
    <w:basedOn w:val="Predvolenpsmoodseku"/>
    <w:link w:val="Pta"/>
    <w:uiPriority w:val="99"/>
    <w:rsid w:val="00DC1275"/>
    <w:rPr>
      <w:rFonts w:ascii="Times New Roman" w:hAnsi="Times New Roman"/>
      <w:sz w:val="24"/>
    </w:rPr>
  </w:style>
  <w:style w:type="paragraph" w:styleId="Hlavikaobsahu">
    <w:name w:val="TOC Heading"/>
    <w:basedOn w:val="Nadpis1"/>
    <w:next w:val="Normlny"/>
    <w:uiPriority w:val="39"/>
    <w:unhideWhenUsed/>
    <w:qFormat/>
    <w:rsid w:val="00DC1275"/>
    <w:pPr>
      <w:spacing w:line="276" w:lineRule="auto"/>
      <w:jc w:val="left"/>
      <w:outlineLvl w:val="9"/>
    </w:pPr>
    <w:rPr>
      <w:rFonts w:asciiTheme="majorHAnsi" w:hAnsiTheme="majorHAnsi"/>
      <w:color w:val="365F91" w:themeColor="accent1" w:themeShade="BF"/>
      <w:sz w:val="28"/>
    </w:rPr>
  </w:style>
  <w:style w:type="paragraph" w:styleId="Obsah3">
    <w:name w:val="toc 3"/>
    <w:basedOn w:val="Normlny"/>
    <w:next w:val="Normlny"/>
    <w:autoRedefine/>
    <w:uiPriority w:val="39"/>
    <w:unhideWhenUsed/>
    <w:qFormat/>
    <w:rsid w:val="00DC1275"/>
    <w:pPr>
      <w:tabs>
        <w:tab w:val="left" w:pos="1320"/>
        <w:tab w:val="right" w:leader="dot" w:pos="9062"/>
      </w:tabs>
      <w:spacing w:after="100"/>
      <w:ind w:left="480"/>
    </w:pPr>
    <w:rPr>
      <w:i/>
      <w:noProof/>
    </w:rPr>
  </w:style>
  <w:style w:type="paragraph" w:styleId="Obsah1">
    <w:name w:val="toc 1"/>
    <w:basedOn w:val="Normlny"/>
    <w:next w:val="Normlny"/>
    <w:autoRedefine/>
    <w:uiPriority w:val="39"/>
    <w:unhideWhenUsed/>
    <w:qFormat/>
    <w:rsid w:val="00DC1275"/>
    <w:pPr>
      <w:tabs>
        <w:tab w:val="left" w:pos="480"/>
        <w:tab w:val="right" w:leader="dot" w:pos="9062"/>
      </w:tabs>
      <w:spacing w:after="100"/>
      <w:ind w:left="426" w:hanging="426"/>
    </w:pPr>
  </w:style>
  <w:style w:type="paragraph" w:styleId="Obsah2">
    <w:name w:val="toc 2"/>
    <w:basedOn w:val="Normlny"/>
    <w:next w:val="Normlny"/>
    <w:autoRedefine/>
    <w:uiPriority w:val="39"/>
    <w:unhideWhenUsed/>
    <w:qFormat/>
    <w:rsid w:val="00DC1275"/>
    <w:pPr>
      <w:spacing w:after="100"/>
      <w:ind w:left="240"/>
    </w:pPr>
  </w:style>
  <w:style w:type="paragraph" w:styleId="Textbubliny">
    <w:name w:val="Balloon Text"/>
    <w:basedOn w:val="Normlny"/>
    <w:link w:val="TextbublinyChar"/>
    <w:uiPriority w:val="99"/>
    <w:semiHidden/>
    <w:unhideWhenUsed/>
    <w:rsid w:val="00DC1275"/>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1275"/>
    <w:rPr>
      <w:rFonts w:ascii="Tahoma" w:hAnsi="Tahoma" w:cs="Tahoma"/>
      <w:sz w:val="16"/>
      <w:szCs w:val="16"/>
    </w:rPr>
  </w:style>
  <w:style w:type="character" w:customStyle="1" w:styleId="hit">
    <w:name w:val="hit"/>
    <w:basedOn w:val="Predvolenpsmoodseku"/>
    <w:rsid w:val="00DC1275"/>
  </w:style>
  <w:style w:type="paragraph" w:styleId="Zkladntext2">
    <w:name w:val="Body Text 2"/>
    <w:basedOn w:val="Normlny"/>
    <w:link w:val="Zkladntext2Char"/>
    <w:uiPriority w:val="99"/>
    <w:rsid w:val="00DC1275"/>
    <w:pPr>
      <w:autoSpaceDE w:val="0"/>
      <w:autoSpaceDN w:val="0"/>
      <w:adjustRightInd w:val="0"/>
      <w:spacing w:line="240" w:lineRule="auto"/>
      <w:ind w:left="540" w:hanging="540"/>
      <w:jc w:val="left"/>
    </w:pPr>
    <w:rPr>
      <w:rFonts w:eastAsiaTheme="minorEastAsia" w:cs="Times New Roman"/>
      <w:i/>
      <w:iCs/>
      <w:szCs w:val="24"/>
      <w:lang w:eastAsia="sk-SK"/>
    </w:rPr>
  </w:style>
  <w:style w:type="character" w:customStyle="1" w:styleId="Zkladntext2Char">
    <w:name w:val="Základný text 2 Char"/>
    <w:basedOn w:val="Predvolenpsmoodseku"/>
    <w:link w:val="Zkladntext2"/>
    <w:uiPriority w:val="99"/>
    <w:rsid w:val="00DC1275"/>
    <w:rPr>
      <w:rFonts w:ascii="Times New Roman" w:eastAsiaTheme="minorEastAsia" w:hAnsi="Times New Roman" w:cs="Times New Roman"/>
      <w:i/>
      <w:iCs/>
      <w:sz w:val="24"/>
      <w:szCs w:val="24"/>
      <w:lang w:eastAsia="sk-SK"/>
    </w:rPr>
  </w:style>
  <w:style w:type="paragraph" w:styleId="Zarkazkladnhotextu2">
    <w:name w:val="Body Text Indent 2"/>
    <w:basedOn w:val="Normlny"/>
    <w:link w:val="Zarkazkladnhotextu2Char"/>
    <w:uiPriority w:val="99"/>
    <w:rsid w:val="00DC1275"/>
    <w:pPr>
      <w:autoSpaceDE w:val="0"/>
      <w:autoSpaceDN w:val="0"/>
      <w:adjustRightInd w:val="0"/>
      <w:spacing w:line="240" w:lineRule="auto"/>
      <w:ind w:left="360" w:hanging="360"/>
      <w:jc w:val="left"/>
    </w:pPr>
    <w:rPr>
      <w:rFonts w:eastAsiaTheme="minorEastAsia"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DC1275"/>
    <w:rPr>
      <w:rFonts w:ascii="Times New Roman" w:eastAsiaTheme="minorEastAsia" w:hAnsi="Times New Roman" w:cs="Times New Roman"/>
      <w:sz w:val="20"/>
      <w:szCs w:val="20"/>
      <w:lang w:eastAsia="sk-SK"/>
    </w:rPr>
  </w:style>
  <w:style w:type="paragraph" w:styleId="Zarkazkladnhotextu3">
    <w:name w:val="Body Text Indent 3"/>
    <w:basedOn w:val="Normlny"/>
    <w:link w:val="Zarkazkladnhotextu3Char"/>
    <w:uiPriority w:val="99"/>
    <w:rsid w:val="00DC1275"/>
    <w:pPr>
      <w:autoSpaceDE w:val="0"/>
      <w:autoSpaceDN w:val="0"/>
      <w:adjustRightInd w:val="0"/>
      <w:spacing w:line="240" w:lineRule="auto"/>
      <w:ind w:left="360" w:hanging="360"/>
      <w:jc w:val="left"/>
    </w:pPr>
    <w:rPr>
      <w:rFonts w:eastAsiaTheme="minorEastAsia" w:cs="Times New Roman"/>
      <w:i/>
      <w:iCs/>
      <w:sz w:val="20"/>
      <w:szCs w:val="20"/>
      <w:lang w:eastAsia="sk-SK"/>
    </w:rPr>
  </w:style>
  <w:style w:type="character" w:customStyle="1" w:styleId="Zarkazkladnhotextu3Char">
    <w:name w:val="Zarážka základného textu 3 Char"/>
    <w:basedOn w:val="Predvolenpsmoodseku"/>
    <w:link w:val="Zarkazkladnhotextu3"/>
    <w:uiPriority w:val="99"/>
    <w:rsid w:val="00DC1275"/>
    <w:rPr>
      <w:rFonts w:ascii="Times New Roman" w:eastAsiaTheme="minorEastAsia" w:hAnsi="Times New Roman" w:cs="Times New Roman"/>
      <w:i/>
      <w:iCs/>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ips.cz/data/files/Centrum%20LP/bulletin%20LP/Vol.%20II/bulletin-LP-II-9.pdf" TargetMode="External"/><Relationship Id="rId3" Type="http://schemas.openxmlformats.org/officeDocument/2006/relationships/settings" Target="settings.xml"/><Relationship Id="rId7" Type="http://schemas.openxmlformats.org/officeDocument/2006/relationships/hyperlink" Target="http://rodicovstvo.wordpress.com/interrupcie/pravo/medzinarodne-pra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ips.cz/data/files/Centrum%20LP/bulletin%20LP/Vol.%20II/bulletin-LP-II-7,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ips.cz/data/files/Centrum%20LP/bulletin%20LP/Vol.%20II/bulletin-LP-II-9.pdf" TargetMode="External"/><Relationship Id="rId2" Type="http://schemas.openxmlformats.org/officeDocument/2006/relationships/hyperlink" Target="http://www.iips.cz/data/files/Centrum%20LP/bulletin%20LP/Vol.%20II/bulletin-LP-II-7,8.pdf" TargetMode="External"/><Relationship Id="rId1" Type="http://schemas.openxmlformats.org/officeDocument/2006/relationships/hyperlink" Target="http://rodicovstvo.wordpress.com/interrupcie/pravo/medzinarodne-prav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70</Pages>
  <Words>19674</Words>
  <Characters>112148</Characters>
  <Application>Microsoft Office Word</Application>
  <DocSecurity>0</DocSecurity>
  <Lines>934</Lines>
  <Paragraphs>263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Struhárová</dc:creator>
  <cp:keywords/>
  <dc:description/>
  <cp:lastModifiedBy>Magdaléna Struhárová</cp:lastModifiedBy>
  <cp:revision>2</cp:revision>
  <dcterms:created xsi:type="dcterms:W3CDTF">2011-04-03T20:10:00Z</dcterms:created>
  <dcterms:modified xsi:type="dcterms:W3CDTF">2011-04-03T20:28:00Z</dcterms:modified>
</cp:coreProperties>
</file>