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360" w:lineRule="auto"/>
        <w:jc w:val="center"/>
        <w:rPr>
          <w:rFonts w:ascii="Verdana" w:hAnsi="Verdana"/>
          <w:b/>
          <w:caps/>
          <w:sz w:val="48"/>
          <w:szCs w:val="56"/>
        </w:rPr>
      </w:pPr>
      <w:r>
        <w:rPr>
          <w:rFonts w:ascii="Verdana" w:hAnsi="Verdana"/>
          <w:b/>
          <w:caps/>
          <w:sz w:val="48"/>
          <w:szCs w:val="56"/>
        </w:rPr>
        <w:t>Projekt bakalářské práce</w:t>
      </w: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pStyle w:val="Title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KOMUNIKACE A LIDSKÉ ZDROJE</w:t>
      </w: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000000" w:rsidRDefault="004B28C2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2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Název BAKALÁŘSKÉ práce</w:t>
            </w:r>
          </w:p>
        </w:tc>
      </w:tr>
      <w:tr w:rsidR="00000000">
        <w:tc>
          <w:tcPr>
            <w:tcW w:w="9212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Odpovědnost za škodu v pracovněprávních vztazích</w:t>
            </w: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000000" w:rsidRDefault="004B28C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2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TERMÍN UKONČENÍ STUDIA A OBHAJOBA (MĚSÍC/ROK)</w:t>
            </w:r>
          </w:p>
        </w:tc>
      </w:tr>
      <w:tr w:rsidR="00000000">
        <w:tc>
          <w:tcPr>
            <w:tcW w:w="9212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Červen 2012</w:t>
            </w: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000000" w:rsidRDefault="004B28C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2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jméno a příjmení / studijn</w:t>
            </w:r>
            <w:r>
              <w:t>í skupina</w:t>
            </w:r>
          </w:p>
        </w:tc>
      </w:tr>
      <w:tr w:rsidR="00000000">
        <w:tc>
          <w:tcPr>
            <w:tcW w:w="9212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Lucie Hájková/KLZ06</w:t>
            </w: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000000" w:rsidRDefault="004B28C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0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jméno vedoucího BAKALÁŘSKÉ PRÁCE</w:t>
            </w:r>
          </w:p>
        </w:tc>
      </w:tr>
      <w:tr w:rsidR="00000000">
        <w:tc>
          <w:tcPr>
            <w:tcW w:w="9210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000000" w:rsidRDefault="004B28C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0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Datum odevzdání PROJEKTU BAKALÁŘSKÉ PRÁCE</w:t>
            </w:r>
          </w:p>
        </w:tc>
      </w:tr>
      <w:tr w:rsidR="00000000">
        <w:tc>
          <w:tcPr>
            <w:tcW w:w="9210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31.října </w:t>
            </w:r>
            <w:r>
              <w:rPr>
                <w:rFonts w:ascii="Verdana" w:hAnsi="Verdana"/>
              </w:rPr>
              <w:t>2011</w:t>
            </w: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000000" w:rsidRDefault="004B28C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000000">
        <w:tc>
          <w:tcPr>
            <w:tcW w:w="9210" w:type="dxa"/>
            <w:shd w:val="clear" w:color="auto" w:fill="F3F3F3"/>
          </w:tcPr>
          <w:p w:rsidR="00000000" w:rsidRDefault="004B28C2">
            <w:pPr>
              <w:pStyle w:val="Formul"/>
            </w:pPr>
            <w:r>
              <w:t>poznámky a připomínky</w:t>
            </w:r>
          </w:p>
        </w:tc>
      </w:tr>
      <w:tr w:rsidR="00000000">
        <w:tc>
          <w:tcPr>
            <w:tcW w:w="9210" w:type="dxa"/>
          </w:tcPr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000000" w:rsidRDefault="004B28C2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000000" w:rsidRDefault="004B28C2">
      <w:pPr>
        <w:rPr>
          <w:rFonts w:ascii="Verdana" w:hAnsi="Verdana"/>
        </w:rPr>
      </w:pPr>
    </w:p>
    <w:p w:rsidR="00000000" w:rsidRDefault="004B28C2"/>
    <w:p w:rsidR="00000000" w:rsidRDefault="004B28C2">
      <w:pPr>
        <w:pStyle w:val="Heading1"/>
        <w:ind w:left="357" w:hanging="357"/>
        <w:rPr>
          <w:szCs w:val="32"/>
        </w:rPr>
        <w:sectPr w:rsidR="0000000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693" w:gutter="0"/>
          <w:pgNumType w:start="1"/>
          <w:cols w:space="720"/>
          <w:docGrid w:linePitch="326"/>
        </w:sectPr>
      </w:pPr>
    </w:p>
    <w:p w:rsidR="00000000" w:rsidRDefault="004B28C2">
      <w:pPr>
        <w:pStyle w:val="Heading1"/>
        <w:ind w:left="357" w:hanging="357"/>
      </w:pPr>
      <w:r>
        <w:lastRenderedPageBreak/>
        <w:t>Cíl práce</w:t>
      </w:r>
    </w:p>
    <w:p w:rsidR="00000000" w:rsidRDefault="004B28C2">
      <w:r>
        <w:t>Problematika odpovědnosti za škodu je jednou z důležitých oblastí pracovněpr</w:t>
      </w:r>
      <w:r>
        <w:t>ávních vztahů. Ve své bakalářské práci se budu věnovat kapitole odpovědnosti za škodu v pracovněprávních vztazích. Mnoho z nás se v životě dostane do styku s pracovně právní úpravou odpovědnosti za škodu, ať z pohledu zaměstnance nebo zaměstnavatele. Proto</w:t>
      </w:r>
      <w:r>
        <w:t>že je tato oblast velmi rozsáhlá, chtěla bych se ve své práci zaměřit pouze na odpovědnost zaměstnance za škodu způsobenou zaměstnavateli. Pro každého zaměstnance je užitečné vědět, za co a kdy po něm zaměstnavatel může požadovat uhrazení škody nebo její p</w:t>
      </w:r>
      <w:r>
        <w:t>oměrné části. Zaměstnavatel může využít neznalosti zákoníku práce a požadovat po zaměstnanci náhradu škody, na kterou nemá ze zákona právo. Cílem mé práce je komplexně osvětlit problematiku odpovědnosti zaměstnance za škodu.</w:t>
      </w:r>
    </w:p>
    <w:p w:rsidR="00000000" w:rsidRDefault="004B28C2">
      <w:pPr>
        <w:pStyle w:val="Heading1"/>
      </w:pPr>
      <w:r>
        <w:t xml:space="preserve">Předmět zkoumání </w:t>
      </w:r>
    </w:p>
    <w:p w:rsidR="00000000" w:rsidRDefault="004B28C2">
      <w:pPr>
        <w:pStyle w:val="Heading2"/>
        <w:numPr>
          <w:ilvl w:val="0"/>
          <w:numId w:val="0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Jak již bylo </w:t>
      </w:r>
      <w:r>
        <w:rPr>
          <w:b w:val="0"/>
          <w:bCs w:val="0"/>
          <w:sz w:val="24"/>
        </w:rPr>
        <w:t xml:space="preserve">řečeno, budu se zabývat odpovědností za škodu v pracovněprávních vztazích a zaměřím se především na odpovědnost zaměstnance za škodu způsobenou zaměstnavateli, jak v teoretické části, tak i v praktické části. </w:t>
      </w:r>
    </w:p>
    <w:p w:rsidR="00000000" w:rsidRDefault="004B28C2">
      <w:pPr>
        <w:pStyle w:val="Heading2"/>
        <w:numPr>
          <w:ilvl w:val="0"/>
          <w:numId w:val="0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Předmětem zkoumání v teoretické části práce bu</w:t>
      </w:r>
      <w:r>
        <w:rPr>
          <w:b w:val="0"/>
          <w:bCs w:val="0"/>
          <w:sz w:val="24"/>
        </w:rPr>
        <w:t xml:space="preserve">de vymezení pojmu obecné odpovědnosti za škodu, dále definování pracovněprávních vztahů, účastníků těchto vztahů a popis odpovědnosti za škodu v pracovněprávních vztazích. V kapitole o odpovědnosti zaměstnance za škodu zaměstnavateli se pokusím vymezit na </w:t>
      </w:r>
      <w:r>
        <w:rPr>
          <w:b w:val="0"/>
          <w:bCs w:val="0"/>
          <w:sz w:val="24"/>
        </w:rPr>
        <w:t>předcházení škodám a charakterizuji druhy odpovědnosti za škodu způsobenou zaměstnanci zaměstnavateli a náhrady způsobené škody.</w:t>
      </w:r>
    </w:p>
    <w:p w:rsidR="00000000" w:rsidRDefault="004B28C2">
      <w:r>
        <w:t>V praktické části budu analyzovat konkrétní případy z praxe a to kauzy řešené Nejvyšším soudem ČR a případy, které se mi podaři</w:t>
      </w:r>
      <w:r>
        <w:t>lo získat ve spolupráci se společnostmi SAP BSCE,    s. r. o. a Dopravním podnikem hl. m. Prahy, a. s. Na základě výsledků jednotlivých případů bych ráda posoudila, zda úprava v zákoníku práce je dostatečně zpracována a zda byla právní úprava v jednotlivýc</w:t>
      </w:r>
      <w:r>
        <w:t>h případech konkrétní nebo zda došlo k pochybení a rozhodnutí by mohlo být napadeno.</w:t>
      </w:r>
    </w:p>
    <w:p w:rsidR="00000000" w:rsidRDefault="004B28C2"/>
    <w:p w:rsidR="00000000" w:rsidRDefault="004B28C2">
      <w:pPr>
        <w:pStyle w:val="Heading1"/>
      </w:pPr>
      <w:r>
        <w:t xml:space="preserve">Metody a techniky </w:t>
      </w:r>
    </w:p>
    <w:p w:rsidR="00000000" w:rsidRDefault="004B28C2">
      <w:r>
        <w:t>Metodu, kterou použiji pro teoretickou i praktickou část bude analýza. Pro lepší pochopení celé problematiky odpovědnosti za škodu nejdříve provedu teo</w:t>
      </w:r>
      <w:r>
        <w:t xml:space="preserve">retický popis problému, na který bude navazovat analyzování konkrétních případů z praxe.  </w:t>
      </w:r>
    </w:p>
    <w:p w:rsidR="00000000" w:rsidRDefault="004B28C2"/>
    <w:p w:rsidR="00000000" w:rsidRDefault="004B28C2">
      <w:pPr>
        <w:pStyle w:val="Heading1"/>
      </w:pPr>
      <w:r>
        <w:lastRenderedPageBreak/>
        <w:t xml:space="preserve">Osnova (struktura) práce </w:t>
      </w:r>
    </w:p>
    <w:p w:rsidR="00000000" w:rsidRDefault="004B28C2">
      <w:pPr>
        <w:pStyle w:val="ListParagraph"/>
        <w:numPr>
          <w:ilvl w:val="0"/>
          <w:numId w:val="5"/>
        </w:numPr>
      </w:pPr>
      <w:r>
        <w:t>Úvod</w:t>
      </w:r>
    </w:p>
    <w:p w:rsidR="00000000" w:rsidRDefault="004B28C2">
      <w:pPr>
        <w:pStyle w:val="ListParagraph"/>
        <w:numPr>
          <w:ilvl w:val="0"/>
          <w:numId w:val="5"/>
        </w:numPr>
      </w:pPr>
      <w:r>
        <w:t>Obecná odpovědnost za škodu</w:t>
      </w:r>
    </w:p>
    <w:p w:rsidR="00000000" w:rsidRDefault="004B28C2">
      <w:pPr>
        <w:pStyle w:val="ListParagraph"/>
        <w:numPr>
          <w:ilvl w:val="0"/>
          <w:numId w:val="5"/>
        </w:numPr>
      </w:pPr>
      <w:r>
        <w:t xml:space="preserve">Pracovněprávní vztahy </w:t>
      </w:r>
    </w:p>
    <w:p w:rsidR="00000000" w:rsidRDefault="004B28C2">
      <w:pPr>
        <w:pStyle w:val="ListParagraph"/>
        <w:numPr>
          <w:ilvl w:val="1"/>
          <w:numId w:val="5"/>
        </w:numPr>
      </w:pPr>
      <w:r>
        <w:t xml:space="preserve">Účastníci pracovněprávních vztahů 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Druhy pracovněprávních vztahů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Pracovněprávní od</w:t>
      </w:r>
      <w:r>
        <w:t>povědnost</w:t>
      </w:r>
    </w:p>
    <w:p w:rsidR="00000000" w:rsidRDefault="004B28C2">
      <w:pPr>
        <w:pStyle w:val="ListParagraph"/>
        <w:numPr>
          <w:ilvl w:val="0"/>
          <w:numId w:val="5"/>
        </w:numPr>
      </w:pPr>
      <w:r>
        <w:t>Odpovědnost zaměstnance za škodu způsobenou zaměstnavateli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Předcházení škodám</w:t>
      </w:r>
    </w:p>
    <w:p w:rsidR="00000000" w:rsidRDefault="004B28C2">
      <w:pPr>
        <w:pStyle w:val="ListParagraph"/>
        <w:numPr>
          <w:ilvl w:val="1"/>
          <w:numId w:val="5"/>
        </w:numPr>
      </w:pPr>
      <w:r>
        <w:t xml:space="preserve">Obecná odpovědnost 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Odpovědnost za nesplnění povinnosti k odvrácení škody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Odpovědnost za schodek na svěřených předmětech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Odpovědnost za ztrátu svěřených předmětů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Náhrad</w:t>
      </w:r>
      <w:r>
        <w:t>a škody způsobená zaměstnancem zaměstnavateli</w:t>
      </w:r>
    </w:p>
    <w:p w:rsidR="00000000" w:rsidRDefault="004B28C2">
      <w:pPr>
        <w:pStyle w:val="ListParagraph"/>
        <w:numPr>
          <w:ilvl w:val="0"/>
          <w:numId w:val="5"/>
        </w:numPr>
      </w:pPr>
      <w:r>
        <w:t>Modelové případy z praxe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Konkrétní případy řešené společnostmi bez využití soudu</w:t>
      </w:r>
    </w:p>
    <w:p w:rsidR="00000000" w:rsidRDefault="004B28C2">
      <w:pPr>
        <w:pStyle w:val="ListParagraph"/>
        <w:numPr>
          <w:ilvl w:val="1"/>
          <w:numId w:val="5"/>
        </w:numPr>
      </w:pPr>
      <w:r>
        <w:t>Konkrétní případy řešené soudní cestou</w:t>
      </w:r>
    </w:p>
    <w:p w:rsidR="00000000" w:rsidRDefault="004B28C2">
      <w:pPr>
        <w:pStyle w:val="ListParagraph"/>
        <w:numPr>
          <w:ilvl w:val="0"/>
          <w:numId w:val="5"/>
        </w:numPr>
      </w:pPr>
      <w:r>
        <w:t>Závěr</w:t>
      </w:r>
    </w:p>
    <w:p w:rsidR="00000000" w:rsidRDefault="004B28C2"/>
    <w:p w:rsidR="00000000" w:rsidRDefault="004B28C2">
      <w:pPr>
        <w:pStyle w:val="Heading1"/>
      </w:pPr>
      <w:r>
        <w:t xml:space="preserve">Časový harmonogram práce </w:t>
      </w:r>
    </w:p>
    <w:p w:rsidR="00000000" w:rsidRDefault="004B28C2">
      <w:pPr>
        <w:spacing w:after="0"/>
      </w:pPr>
      <w:r>
        <w:t>Odevzdání projektu BP do 1.12.2011</w:t>
      </w:r>
    </w:p>
    <w:p w:rsidR="00000000" w:rsidRDefault="004B28C2">
      <w:pPr>
        <w:spacing w:after="0"/>
      </w:pPr>
      <w:r>
        <w:t>Odevzdání pracovní ver</w:t>
      </w:r>
      <w:r>
        <w:t>ze BP do 1.4.2012</w:t>
      </w:r>
    </w:p>
    <w:p w:rsidR="00000000" w:rsidRDefault="004B28C2">
      <w:pPr>
        <w:spacing w:after="0"/>
      </w:pPr>
      <w:r>
        <w:t>Odevzdání finální verze BP a prezentace BP do 01.05.2012</w:t>
      </w:r>
    </w:p>
    <w:p w:rsidR="00000000" w:rsidRDefault="004B28C2"/>
    <w:p w:rsidR="00000000" w:rsidRDefault="004B28C2">
      <w:pPr>
        <w:pStyle w:val="Heading1"/>
      </w:pPr>
      <w:r>
        <w:t>Seznam literatury</w:t>
      </w:r>
    </w:p>
    <w:p w:rsidR="00000000" w:rsidRDefault="004B28C2">
      <w:pPr>
        <w:rPr>
          <w:b/>
        </w:rPr>
      </w:pPr>
      <w:r>
        <w:rPr>
          <w:b/>
        </w:rPr>
        <w:t>Primární zdroje</w:t>
      </w:r>
    </w:p>
    <w:p w:rsidR="00000000" w:rsidRDefault="004B28C2">
      <w:pPr>
        <w:rPr>
          <w:szCs w:val="24"/>
        </w:rPr>
      </w:pPr>
      <w:r>
        <w:rPr>
          <w:szCs w:val="24"/>
          <w:lang w:eastAsia="en-US"/>
        </w:rPr>
        <w:t xml:space="preserve">Úplné znění Občanského zákoníku č. </w:t>
      </w:r>
      <w:r>
        <w:rPr>
          <w:szCs w:val="24"/>
        </w:rPr>
        <w:t>40/1964 Sb., Sagit, a. s. , Ostrava 2011, ISBN 978-80-7208-861-4</w:t>
      </w:r>
    </w:p>
    <w:p w:rsidR="00000000" w:rsidRDefault="004B28C2">
      <w:pPr>
        <w:rPr>
          <w:szCs w:val="24"/>
        </w:rPr>
      </w:pPr>
      <w:r>
        <w:rPr>
          <w:szCs w:val="24"/>
        </w:rPr>
        <w:t>Úplné znění Ústavního zákona č. 1/1993 Sb., Sa</w:t>
      </w:r>
      <w:r>
        <w:rPr>
          <w:szCs w:val="24"/>
        </w:rPr>
        <w:t>git, a. s. , Ostrava 2011, ISBN 978-80-7208-808-9</w:t>
      </w:r>
    </w:p>
    <w:p w:rsidR="00000000" w:rsidRDefault="004B28C2">
      <w:pPr>
        <w:rPr>
          <w:szCs w:val="24"/>
        </w:rPr>
      </w:pPr>
      <w:r>
        <w:rPr>
          <w:szCs w:val="24"/>
        </w:rPr>
        <w:t>Úplné znění zákona č. 262/2006 Sb., zákoník práce, Sagit, a. s. , Ostrava 2011, ISBN 978-80-7208-780-8</w:t>
      </w:r>
    </w:p>
    <w:p w:rsidR="00000000" w:rsidRDefault="004B28C2">
      <w:pPr>
        <w:rPr>
          <w:b/>
        </w:rPr>
      </w:pPr>
      <w:r>
        <w:rPr>
          <w:b/>
        </w:rPr>
        <w:lastRenderedPageBreak/>
        <w:t>Monografie</w:t>
      </w:r>
    </w:p>
    <w:p w:rsidR="00000000" w:rsidRDefault="004B28C2">
      <w:r>
        <w:t>Hrouzková V., Pracovní právo, 1.vydání, VŠEM, Praha 2009, ISBN 978-80-86730-44-8, str. 264</w:t>
      </w:r>
    </w:p>
    <w:p w:rsidR="00000000" w:rsidRDefault="004B28C2">
      <w:r>
        <w:t>Z</w:t>
      </w:r>
      <w:r>
        <w:t>ima P., Základy Práva, 1.vydání, VŠEM, Praha 2007, ISBN 978-80-86730-20-2, str. 264</w:t>
      </w:r>
    </w:p>
    <w:p w:rsidR="00000000" w:rsidRDefault="004B28C2">
      <w:pPr>
        <w:rPr>
          <w:b/>
        </w:rPr>
      </w:pPr>
      <w:r>
        <w:rPr>
          <w:b/>
        </w:rPr>
        <w:t>Odborné knihy a časopisy</w:t>
      </w:r>
    </w:p>
    <w:p w:rsidR="00000000" w:rsidRDefault="004B28C2">
      <w:pPr>
        <w:rPr>
          <w:szCs w:val="24"/>
        </w:rPr>
      </w:pPr>
      <w:r>
        <w:rPr>
          <w:szCs w:val="24"/>
        </w:rPr>
        <w:t>Galvas M., Gregorová Z., Hrabcová D., Základy pracovního práva, Vydavatelství a nakladatelství Aleš Čeněk , s.r.o., Plzeň 2010, ISBN 978-80-7380-24</w:t>
      </w:r>
      <w:r>
        <w:rPr>
          <w:szCs w:val="24"/>
        </w:rPr>
        <w:t>3-1, str. 303</w:t>
      </w:r>
    </w:p>
    <w:p w:rsidR="00000000" w:rsidRDefault="004B28C2">
      <w:pPr>
        <w:rPr>
          <w:szCs w:val="24"/>
        </w:rPr>
      </w:pPr>
      <w:r>
        <w:rPr>
          <w:szCs w:val="24"/>
        </w:rPr>
        <w:t>Gerloch A., Teorie Práva, 5.upravené vydání, Vydavatelství a nakladatelství Aleš Čeněk , s.r.o., Plzeň 2009, ISBN 978-80-7380-233-2, str. 308</w:t>
      </w:r>
    </w:p>
    <w:p w:rsidR="00000000" w:rsidRDefault="004B28C2">
      <w:pPr>
        <w:rPr>
          <w:szCs w:val="24"/>
        </w:rPr>
      </w:pPr>
      <w:r>
        <w:rPr>
          <w:szCs w:val="24"/>
        </w:rPr>
        <w:t>Pokorný M., Hochman J., Odpovědnost za škodu v právu občanském a pracovním, 3.aktualizované a doplně</w:t>
      </w:r>
      <w:r>
        <w:rPr>
          <w:szCs w:val="24"/>
        </w:rPr>
        <w:t>né vydání, Linde Praha a.s., Praha 2008, ISBN 978-80-7201-722-5, str. 319</w:t>
      </w:r>
    </w:p>
    <w:p w:rsidR="00000000" w:rsidRDefault="004B28C2">
      <w:pPr>
        <w:rPr>
          <w:b/>
          <w:bCs/>
        </w:rPr>
      </w:pPr>
      <w:r>
        <w:rPr>
          <w:b/>
          <w:bCs/>
        </w:rPr>
        <w:t>Podnikové materiály</w:t>
      </w:r>
    </w:p>
    <w:p w:rsidR="00000000" w:rsidRDefault="004B28C2">
      <w:r>
        <w:t>Interní materiály společnosti SAP BSCE, s. r. o.  a Dopravního podniku hl. m. Prahy, a. s.</w:t>
      </w:r>
    </w:p>
    <w:p w:rsidR="00000000" w:rsidRDefault="004B28C2">
      <w:pPr>
        <w:rPr>
          <w:b/>
        </w:rPr>
      </w:pPr>
      <w:r>
        <w:rPr>
          <w:b/>
        </w:rPr>
        <w:t>Internetové zdroje</w:t>
      </w:r>
    </w:p>
    <w:p w:rsidR="00000000" w:rsidRDefault="004B28C2">
      <w:r>
        <w:t xml:space="preserve">Nejvyšší soud České republiky : </w:t>
      </w:r>
      <w:hyperlink r:id="rId9" w:history="1">
        <w:r>
          <w:rPr>
            <w:rStyle w:val="Hyperlink"/>
          </w:rPr>
          <w:t>www.nsoud.cz</w:t>
        </w:r>
      </w:hyperlink>
    </w:p>
    <w:p w:rsidR="00000000" w:rsidRDefault="004B28C2">
      <w:pPr>
        <w:spacing w:before="100" w:beforeAutospacing="1" w:after="100" w:afterAutospacing="1" w:line="240" w:lineRule="auto"/>
        <w:jc w:val="left"/>
      </w:pPr>
      <w:r>
        <w:t xml:space="preserve">Profiprávo: </w:t>
      </w:r>
      <w:hyperlink r:id="rId10" w:history="1">
        <w:r>
          <w:rPr>
            <w:rStyle w:val="Hyperlink"/>
          </w:rPr>
          <w:t>www.profiprávo.cz</w:t>
        </w:r>
      </w:hyperlink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2"/>
          <w:szCs w:val="22"/>
        </w:rPr>
      </w:pPr>
      <w:r>
        <w:rPr>
          <w:color w:val="000000"/>
          <w:szCs w:val="23"/>
        </w:rPr>
        <w:t xml:space="preserve">Rozsudek Nevyššího soudu ze dne 6. září 2011, sp. Zn. </w:t>
      </w:r>
      <w:r>
        <w:t>21 Cdo 2196/2010:</w:t>
      </w:r>
      <w:r>
        <w:rPr>
          <w:color w:val="000000"/>
          <w:sz w:val="22"/>
          <w:szCs w:val="22"/>
        </w:rPr>
        <w:t xml:space="preserve"> </w:t>
      </w: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2"/>
          <w:szCs w:val="22"/>
        </w:rPr>
      </w:pPr>
      <w:hyperlink r:id="rId11" w:history="1">
        <w:r>
          <w:rPr>
            <w:rStyle w:val="Hyperlink"/>
            <w:sz w:val="22"/>
            <w:szCs w:val="22"/>
          </w:rPr>
          <w:t>http://www.nsoud.cz/JudikaturaNS_new/judi</w:t>
        </w:r>
        <w:r>
          <w:rPr>
            <w:rStyle w:val="Hyperlink"/>
            <w:sz w:val="22"/>
            <w:szCs w:val="22"/>
          </w:rPr>
          <w:t>k</w:t>
        </w:r>
        <w:r>
          <w:rPr>
            <w:rStyle w:val="Hyperlink"/>
            <w:sz w:val="22"/>
            <w:szCs w:val="22"/>
          </w:rPr>
          <w:t>atura_prevedena2.nsf/WebSearch/BDC2EE67A90F68ACC125790A00435EFD?openDocument</w:t>
        </w:r>
      </w:hyperlink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2"/>
          <w:szCs w:val="22"/>
        </w:rPr>
      </w:pP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  <w:r>
        <w:t>Rozsudek Nejvyššího soudu ze dne 20.září 2011, sp. zn. 21 Cdo 2612/2010;  sp. zn. 21</w:t>
      </w:r>
      <w:r>
        <w:t xml:space="preserve"> Cdo 2593/2010:</w:t>
      </w: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  <w:hyperlink r:id="rId12" w:history="1">
        <w:r>
          <w:rPr>
            <w:rStyle w:val="Hyperlink"/>
          </w:rPr>
          <w:t>http://www.nsoud.cz/JudikaturaNS_new/judikatura_prevedena2.nsf/WebSearch/BAE5CE1E0A1695ABC125791B0022108F</w:t>
        </w:r>
        <w:r>
          <w:rPr>
            <w:rStyle w:val="Hyperlink"/>
          </w:rPr>
          <w:t>?openDocument</w:t>
        </w:r>
      </w:hyperlink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</w:p>
    <w:p w:rsidR="00000000" w:rsidRDefault="004B28C2">
      <w:pPr>
        <w:autoSpaceDE w:val="0"/>
        <w:autoSpaceDN w:val="0"/>
        <w:adjustRightInd w:val="0"/>
        <w:spacing w:after="0" w:line="240" w:lineRule="auto"/>
        <w:jc w:val="left"/>
      </w:pPr>
    </w:p>
    <w:sectPr w:rsidR="00000000">
      <w:footerReference w:type="default" r:id="rId13"/>
      <w:pgSz w:w="11906" w:h="16838" w:code="9"/>
      <w:pgMar w:top="2104" w:right="1418" w:bottom="1418" w:left="1418" w:header="709" w:footer="24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B28C2">
      <w:pPr>
        <w:spacing w:after="0"/>
      </w:pPr>
      <w:r>
        <w:separator/>
      </w:r>
    </w:p>
  </w:endnote>
  <w:endnote w:type="continuationSeparator" w:id="0">
    <w:p w:rsidR="00000000" w:rsidRDefault="004B28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8C2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>
      <w:rPr>
        <w:rFonts w:ascii="Verdana" w:hAnsi="Verdana"/>
        <w:b/>
        <w:bCs/>
        <w:color w:val="808080"/>
        <w:sz w:val="20"/>
      </w:rPr>
      <w:t>Vysoká škola ekonomie a managementu</w:t>
    </w:r>
  </w:p>
  <w:p w:rsidR="00000000" w:rsidRDefault="004B28C2">
    <w:pPr>
      <w:pStyle w:val="Footer"/>
      <w:jc w:val="center"/>
    </w:pPr>
    <w:r>
      <w:rPr>
        <w:rFonts w:ascii="Verdana" w:hAnsi="Verdana"/>
        <w:color w:val="808080"/>
        <w:sz w:val="20"/>
      </w:rPr>
      <w:t>+420 841 133 166 / info@vsem.cz / www.vsem.cz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8C2">
    <w:pPr>
      <w:pStyle w:val="Footer"/>
      <w:jc w:val="center"/>
    </w:pPr>
  </w:p>
  <w:p w:rsidR="00000000" w:rsidRDefault="004B28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4B28C2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>
      <w:rPr>
        <w:rFonts w:ascii="Verdana" w:hAnsi="Verdana"/>
        <w:b/>
        <w:bCs/>
        <w:color w:val="808080"/>
        <w:sz w:val="20"/>
      </w:rPr>
      <w:t>Vysoká škola ekonomie a managementu</w:t>
    </w:r>
  </w:p>
  <w:p w:rsidR="00000000" w:rsidRDefault="004B28C2">
    <w:pPr>
      <w:jc w:val="center"/>
    </w:pPr>
    <w:r>
      <w:rPr>
        <w:rFonts w:ascii="Verdana" w:hAnsi="Verdana"/>
        <w:color w:val="808080"/>
        <w:sz w:val="20"/>
      </w:rPr>
      <w:t>+420 841 133 166 / info@vsem.cz / www.vsem.cz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B28C2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000000" w:rsidRDefault="004B28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8C2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000000" w:rsidRDefault="004B28C2">
    <w:pPr>
      <w:pStyle w:val="Header"/>
      <w:jc w:val="center"/>
    </w:pPr>
    <w:r>
      <w:rPr>
        <w:rFonts w:ascii="Verdana" w:hAnsi="Verdana"/>
        <w:b/>
        <w:bCs/>
        <w:color w:val="808080"/>
        <w:szCs w:val="24"/>
      </w:rPr>
      <w:t>Nárožní 2600/9a, 158 00 Praha 5</w:t>
    </w:r>
  </w:p>
  <w:p w:rsidR="00000000" w:rsidRDefault="004B28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47D"/>
    <w:multiLevelType w:val="multilevel"/>
    <w:tmpl w:val="B706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5312"/>
    <w:multiLevelType w:val="multilevel"/>
    <w:tmpl w:val="75BE90A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7F0D59D1"/>
    <w:multiLevelType w:val="multilevel"/>
    <w:tmpl w:val="E3C4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08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28C2"/>
    <w:rsid w:val="004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 w:line="276" w:lineRule="auto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Heading4"/>
    <w:qFormat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Heading5"/>
    <w:qFormat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spacing w:after="0"/>
      <w:ind w:left="1009" w:hanging="1009"/>
      <w:jc w:val="left"/>
      <w:outlineLvl w:val="4"/>
    </w:pPr>
    <w:rPr>
      <w:bCs/>
      <w:szCs w:val="24"/>
    </w:rPr>
  </w:style>
  <w:style w:type="paragraph" w:styleId="Heading6">
    <w:name w:val="heading 6"/>
    <w:aliases w:val="Nadpis obrázku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semiHidden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al"/>
  </w:style>
  <w:style w:type="character" w:customStyle="1" w:styleId="TextodstavceChar">
    <w:name w:val="Text odstavce Char"/>
    <w:basedOn w:val="DefaultParagraphFont"/>
    <w:rPr>
      <w:sz w:val="24"/>
    </w:rPr>
  </w:style>
  <w:style w:type="paragraph" w:styleId="FootnoteText">
    <w:name w:val="footnote text"/>
    <w:aliases w:val="Text pozn. pod čarou Char Char Char Char,Text pozn. pod čarou Char Char Char"/>
    <w:basedOn w:val="Normal"/>
    <w:semiHidden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rPr>
      <w:sz w:val="24"/>
    </w:rPr>
  </w:style>
  <w:style w:type="paragraph" w:customStyle="1" w:styleId="Seznamtypa">
    <w:name w:val="Seznam typ=a"/>
    <w:basedOn w:val="Normal"/>
    <w:pPr>
      <w:tabs>
        <w:tab w:val="num" w:pos="360"/>
      </w:tabs>
      <w:ind w:left="360" w:hanging="360"/>
    </w:pPr>
    <w:rPr>
      <w:lang w:eastAsia="en-US"/>
    </w:rPr>
  </w:style>
  <w:style w:type="paragraph" w:styleId="List">
    <w:name w:val="List"/>
    <w:aliases w:val="číslovaný"/>
    <w:basedOn w:val="Normal"/>
    <w:semiHidden/>
    <w:pPr>
      <w:tabs>
        <w:tab w:val="num" w:pos="360"/>
      </w:tabs>
      <w:ind w:left="357" w:hanging="357"/>
    </w:pPr>
  </w:style>
  <w:style w:type="character" w:styleId="PageNumber">
    <w:name w:val="page number"/>
    <w:basedOn w:val="DefaultParagraphFont"/>
    <w:semiHidden/>
    <w:rPr>
      <w:rFonts w:ascii="Times New Roman" w:hAnsi="Times New Roman"/>
      <w:sz w:val="24"/>
    </w:rPr>
  </w:style>
  <w:style w:type="paragraph" w:customStyle="1" w:styleId="Tabulka-text">
    <w:name w:val="Tabulka - text"/>
    <w:basedOn w:val="Normal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pPr>
      <w:spacing w:before="360" w:after="120"/>
      <w:jc w:val="left"/>
    </w:p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rPr>
      <w:sz w:val="24"/>
    </w:rPr>
  </w:style>
  <w:style w:type="paragraph" w:customStyle="1" w:styleId="Tabulka-pramen">
    <w:name w:val="Tabulka - pramen"/>
    <w:aliases w:val="legenda"/>
    <w:basedOn w:val="Normal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al"/>
    <w:rPr>
      <w:sz w:val="20"/>
    </w:rPr>
  </w:style>
  <w:style w:type="paragraph" w:customStyle="1" w:styleId="Odrka3stupn">
    <w:name w:val="Odrážka 3. stupně"/>
    <w:basedOn w:val="Normal"/>
    <w:pPr>
      <w:numPr>
        <w:numId w:val="3"/>
      </w:numPr>
    </w:pPr>
  </w:style>
  <w:style w:type="paragraph" w:customStyle="1" w:styleId="Odrka1stupn">
    <w:name w:val="Odrážka 1. stupně"/>
    <w:basedOn w:val="Normal"/>
    <w:pPr>
      <w:numPr>
        <w:numId w:val="1"/>
      </w:numPr>
      <w:spacing w:after="0"/>
      <w:ind w:left="1066" w:hanging="357"/>
    </w:p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semiHidden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al"/>
    <w:pPr>
      <w:jc w:val="left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al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al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al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al"/>
    <w:rPr>
      <w:szCs w:val="24"/>
      <w:lang w:val="en-US"/>
    </w:rPr>
  </w:style>
  <w:style w:type="paragraph" w:customStyle="1" w:styleId="JELclassification">
    <w:name w:val="JEL classification"/>
    <w:basedOn w:val="Normal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semiHidden/>
    <w:unhideWhenUsed/>
    <w:qFormat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pPr>
      <w:numPr>
        <w:numId w:val="2"/>
      </w:numPr>
      <w:ind w:left="1604" w:hanging="357"/>
    </w:pPr>
  </w:style>
  <w:style w:type="paragraph" w:styleId="TOC1">
    <w:name w:val="toc 1"/>
    <w:basedOn w:val="Normal"/>
    <w:next w:val="Normal"/>
    <w:autoRedefine/>
    <w:semiHidden/>
    <w:unhideWhenUsed/>
    <w:qFormat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TOC3">
    <w:name w:val="toc 3"/>
    <w:basedOn w:val="Normal"/>
    <w:next w:val="Normal"/>
    <w:autoRedefine/>
    <w:semiHidden/>
    <w:unhideWhenUsed/>
    <w:qFormat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spacing w:after="0"/>
    </w:pPr>
  </w:style>
  <w:style w:type="character" w:customStyle="1" w:styleId="BodyTextIndentChar">
    <w:name w:val="Body Text Indent Char"/>
    <w:basedOn w:val="DefaultParagraphFont"/>
    <w:rPr>
      <w:sz w:val="24"/>
    </w:rPr>
  </w:style>
  <w:style w:type="paragraph" w:styleId="BodyText">
    <w:name w:val="Body Text"/>
    <w:basedOn w:val="Normal"/>
    <w:semiHidden/>
    <w:pPr>
      <w:spacing w:after="0"/>
    </w:pPr>
  </w:style>
  <w:style w:type="character" w:customStyle="1" w:styleId="BodyTextChar">
    <w:name w:val="Body Text Char"/>
    <w:basedOn w:val="DefaultParagraphFont"/>
    <w:rPr>
      <w:sz w:val="24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al"/>
    <w:qFormat/>
    <w:rPr>
      <w:sz w:val="22"/>
      <w:szCs w:val="22"/>
    </w:rPr>
  </w:style>
  <w:style w:type="paragraph" w:customStyle="1" w:styleId="Poznmkapodarou">
    <w:name w:val="Poznámka pod čarou"/>
    <w:qFormat/>
    <w:pPr>
      <w:autoSpaceDE w:val="0"/>
      <w:autoSpaceDN w:val="0"/>
      <w:adjustRightInd w:val="0"/>
      <w:spacing w:line="312" w:lineRule="auto"/>
      <w:jc w:val="both"/>
    </w:pPr>
    <w:rPr>
      <w:sz w:val="16"/>
      <w:szCs w:val="16"/>
      <w:lang w:val="cs-CZ" w:eastAsia="cs-CZ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b/>
      <w:sz w:val="72"/>
    </w:rPr>
  </w:style>
  <w:style w:type="character" w:customStyle="1" w:styleId="TitleChar">
    <w:name w:val="Title Char"/>
    <w:basedOn w:val="DefaultParagraphFont"/>
    <w:rPr>
      <w:b/>
      <w:sz w:val="72"/>
    </w:rPr>
  </w:style>
  <w:style w:type="paragraph" w:customStyle="1" w:styleId="Formul">
    <w:name w:val="Formulář"/>
    <w:qFormat/>
    <w:pPr>
      <w:jc w:val="center"/>
    </w:pPr>
    <w:rPr>
      <w:rFonts w:ascii="Verdana" w:hAnsi="Verdana"/>
      <w:b/>
      <w:bCs/>
      <w:caps/>
      <w:lang w:val="cs-CZ"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soud.cz/JudikaturaNS_new/judikatura_prevedena2.nsf/WebSearch/BAE5CE1E0A1695ABC125791B0022108F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oud.cz/JudikaturaNS_new/judikatura_prevedena2.nsf/WebSearch/BDC2EE67A90F68ACC125790A00435EFD?openDocum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fipr&#225;v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oud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textu.dot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Díky své nepřehlédnutelnosti a nepřemístitelnosti jsou nemovitosti odedávna přirozeným předmětem daně</vt:lpstr>
      <vt:lpstr>Díky své nepřehlédnutelnosti a nepřemístitelnosti jsou nemovitosti odedávna přirozeným předmětem daně</vt:lpstr>
    </vt:vector>
  </TitlesOfParts>
  <Company>VŠE</Company>
  <LinksUpToDate>false</LinksUpToDate>
  <CharactersWithSpaces>5382</CharactersWithSpaces>
  <SharedDoc>false</SharedDoc>
  <HLinks>
    <vt:vector size="24" baseType="variant">
      <vt:variant>
        <vt:i4>1638431</vt:i4>
      </vt:variant>
      <vt:variant>
        <vt:i4>9</vt:i4>
      </vt:variant>
      <vt:variant>
        <vt:i4>0</vt:i4>
      </vt:variant>
      <vt:variant>
        <vt:i4>5</vt:i4>
      </vt:variant>
      <vt:variant>
        <vt:lpwstr>http://www.nsoud.cz/JudikaturaNS_new/judikatura_prevedena2.nsf/WebSearch/BAE5CE1E0A1695ABC125791B0022108F?openDocument</vt:lpwstr>
      </vt:variant>
      <vt:variant>
        <vt:lpwstr/>
      </vt:variant>
      <vt:variant>
        <vt:i4>1835038</vt:i4>
      </vt:variant>
      <vt:variant>
        <vt:i4>6</vt:i4>
      </vt:variant>
      <vt:variant>
        <vt:i4>0</vt:i4>
      </vt:variant>
      <vt:variant>
        <vt:i4>5</vt:i4>
      </vt:variant>
      <vt:variant>
        <vt:lpwstr>http://www.nsoud.cz/JudikaturaNS_new/judikatura_prevedena2.nsf/WebSearch/BDC2EE67A90F68ACC125790A00435EFD?openDocument</vt:lpwstr>
      </vt:variant>
      <vt:variant>
        <vt:lpwstr/>
      </vt:variant>
      <vt:variant>
        <vt:i4>852185</vt:i4>
      </vt:variant>
      <vt:variant>
        <vt:i4>3</vt:i4>
      </vt:variant>
      <vt:variant>
        <vt:i4>0</vt:i4>
      </vt:variant>
      <vt:variant>
        <vt:i4>5</vt:i4>
      </vt:variant>
      <vt:variant>
        <vt:lpwstr>http://www.profiprávo.cz/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I055725</cp:lastModifiedBy>
  <cp:revision>2</cp:revision>
  <cp:lastPrinted>2010-09-12T12:19:00Z</cp:lastPrinted>
  <dcterms:created xsi:type="dcterms:W3CDTF">2011-10-31T11:01:00Z</dcterms:created>
  <dcterms:modified xsi:type="dcterms:W3CDTF">2011-10-31T11:01:00Z</dcterms:modified>
</cp:coreProperties>
</file>