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C0F" w:rsidRPr="0062347D" w:rsidRDefault="008F0C0F" w:rsidP="00284F89">
      <w:pPr>
        <w:jc w:val="center"/>
        <w:rPr>
          <w:b/>
          <w:sz w:val="48"/>
          <w:szCs w:val="48"/>
        </w:rPr>
      </w:pPr>
      <w:r w:rsidRPr="0062347D">
        <w:rPr>
          <w:b/>
          <w:sz w:val="48"/>
          <w:szCs w:val="48"/>
        </w:rPr>
        <w:t>Univerzita Palackého v Olomouci</w:t>
      </w:r>
    </w:p>
    <w:p w:rsidR="008F0C0F" w:rsidRPr="0062347D" w:rsidRDefault="008F0C0F" w:rsidP="00284F89">
      <w:pPr>
        <w:jc w:val="center"/>
        <w:rPr>
          <w:b/>
          <w:sz w:val="48"/>
          <w:szCs w:val="48"/>
        </w:rPr>
      </w:pPr>
      <w:r w:rsidRPr="0062347D">
        <w:rPr>
          <w:b/>
          <w:sz w:val="48"/>
          <w:szCs w:val="48"/>
        </w:rPr>
        <w:t>Lékařská fakulta</w:t>
      </w:r>
    </w:p>
    <w:p w:rsidR="008F0C0F" w:rsidRPr="0062347D" w:rsidRDefault="008F0C0F" w:rsidP="00284F89">
      <w:pPr>
        <w:jc w:val="center"/>
        <w:rPr>
          <w:rFonts w:cstheme="minorHAnsi"/>
          <w:b/>
          <w:sz w:val="24"/>
          <w:szCs w:val="24"/>
        </w:rPr>
      </w:pPr>
      <w:r w:rsidRPr="0062347D">
        <w:rPr>
          <w:rFonts w:eastAsia="Calibri" w:cstheme="minorHAnsi"/>
          <w:noProof/>
          <w:sz w:val="24"/>
          <w:szCs w:val="24"/>
          <w:lang w:eastAsia="cs-CZ"/>
        </w:rPr>
        <w:drawing>
          <wp:anchor distT="0" distB="0" distL="114300" distR="114300" simplePos="0" relativeHeight="251660288" behindDoc="0" locked="0" layoutInCell="1" allowOverlap="1" wp14:anchorId="307008FA" wp14:editId="5515342A">
            <wp:simplePos x="0" y="0"/>
            <wp:positionH relativeFrom="column">
              <wp:posOffset>1543685</wp:posOffset>
            </wp:positionH>
            <wp:positionV relativeFrom="paragraph">
              <wp:posOffset>219075</wp:posOffset>
            </wp:positionV>
            <wp:extent cx="2600325" cy="1475740"/>
            <wp:effectExtent l="0" t="0" r="9525" b="0"/>
            <wp:wrapSquare wrapText="bothSides"/>
            <wp:docPr id="25" name="obrázek 4" descr="h_i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_imun"/>
                    <pic:cNvPicPr>
                      <a:picLocks noChangeAspect="1" noChangeArrowheads="1"/>
                    </pic:cNvPicPr>
                  </pic:nvPicPr>
                  <pic:blipFill>
                    <a:blip r:embed="rId8" cstate="print"/>
                    <a:srcRect l="7833" t="36216" r="72445"/>
                    <a:stretch>
                      <a:fillRect/>
                    </a:stretch>
                  </pic:blipFill>
                  <pic:spPr bwMode="auto">
                    <a:xfrm>
                      <a:off x="0" y="0"/>
                      <a:ext cx="2600325" cy="1475740"/>
                    </a:xfrm>
                    <a:prstGeom prst="rect">
                      <a:avLst/>
                    </a:prstGeom>
                    <a:noFill/>
                    <a:ln w="9525">
                      <a:noFill/>
                      <a:miter lim="800000"/>
                      <a:headEnd/>
                      <a:tailEnd/>
                    </a:ln>
                  </pic:spPr>
                </pic:pic>
              </a:graphicData>
            </a:graphic>
          </wp:anchor>
        </w:drawing>
      </w:r>
    </w:p>
    <w:p w:rsidR="008F0C0F" w:rsidRPr="0062347D" w:rsidRDefault="008F0C0F" w:rsidP="00284F89">
      <w:pPr>
        <w:jc w:val="center"/>
        <w:rPr>
          <w:rFonts w:cstheme="minorHAnsi"/>
          <w:b/>
          <w:sz w:val="24"/>
          <w:szCs w:val="24"/>
        </w:rPr>
      </w:pPr>
    </w:p>
    <w:p w:rsidR="008F0C0F" w:rsidRPr="0062347D" w:rsidRDefault="008F0C0F" w:rsidP="00284F89">
      <w:pPr>
        <w:jc w:val="center"/>
        <w:rPr>
          <w:rFonts w:cstheme="minorHAnsi"/>
          <w:b/>
          <w:sz w:val="24"/>
          <w:szCs w:val="24"/>
        </w:rPr>
      </w:pPr>
    </w:p>
    <w:p w:rsidR="008F0C0F" w:rsidRPr="0062347D" w:rsidRDefault="008F0C0F" w:rsidP="00284F89">
      <w:pPr>
        <w:jc w:val="center"/>
        <w:rPr>
          <w:rFonts w:cstheme="minorHAnsi"/>
          <w:b/>
          <w:sz w:val="24"/>
          <w:szCs w:val="24"/>
        </w:rPr>
      </w:pPr>
    </w:p>
    <w:p w:rsidR="008F0C0F" w:rsidRPr="0062347D" w:rsidRDefault="008F0C0F" w:rsidP="00284F89">
      <w:pPr>
        <w:jc w:val="center"/>
        <w:rPr>
          <w:rFonts w:cstheme="minorHAnsi"/>
          <w:b/>
          <w:sz w:val="40"/>
          <w:szCs w:val="40"/>
        </w:rPr>
      </w:pPr>
    </w:p>
    <w:p w:rsidR="008F0C0F" w:rsidRDefault="008F0C0F" w:rsidP="00284F89">
      <w:pPr>
        <w:jc w:val="center"/>
        <w:rPr>
          <w:rFonts w:cstheme="minorHAnsi"/>
          <w:b/>
          <w:sz w:val="40"/>
          <w:szCs w:val="40"/>
        </w:rPr>
      </w:pPr>
      <w:r w:rsidRPr="0062347D">
        <w:rPr>
          <w:rFonts w:cstheme="minorHAnsi"/>
          <w:b/>
          <w:sz w:val="40"/>
          <w:szCs w:val="40"/>
        </w:rPr>
        <w:t>Disertační práce</w:t>
      </w:r>
    </w:p>
    <w:p w:rsidR="00714BB7" w:rsidRPr="0062347D" w:rsidRDefault="00714BB7" w:rsidP="00284F89">
      <w:pPr>
        <w:jc w:val="center"/>
        <w:rPr>
          <w:rFonts w:cstheme="minorHAnsi"/>
          <w:b/>
          <w:sz w:val="40"/>
          <w:szCs w:val="40"/>
        </w:rPr>
      </w:pPr>
    </w:p>
    <w:p w:rsidR="008F0C0F" w:rsidRPr="0062347D" w:rsidRDefault="008F0C0F" w:rsidP="00284F89">
      <w:pPr>
        <w:spacing w:before="240"/>
        <w:jc w:val="center"/>
        <w:rPr>
          <w:rFonts w:cstheme="minorHAnsi"/>
          <w:b/>
          <w:sz w:val="48"/>
          <w:szCs w:val="48"/>
        </w:rPr>
      </w:pPr>
      <w:r w:rsidRPr="0062347D">
        <w:rPr>
          <w:rFonts w:cstheme="minorHAnsi"/>
          <w:b/>
          <w:sz w:val="48"/>
          <w:szCs w:val="48"/>
        </w:rPr>
        <w:t>Studium vybraných molekulárních aspektů u</w:t>
      </w:r>
      <w:r>
        <w:rPr>
          <w:rFonts w:cstheme="minorHAnsi"/>
          <w:b/>
          <w:sz w:val="48"/>
          <w:szCs w:val="48"/>
        </w:rPr>
        <w:t> </w:t>
      </w:r>
      <w:r w:rsidRPr="0062347D">
        <w:rPr>
          <w:rFonts w:cstheme="minorHAnsi"/>
          <w:b/>
          <w:sz w:val="48"/>
          <w:szCs w:val="48"/>
        </w:rPr>
        <w:t>plicní sarkoidózy</w:t>
      </w:r>
    </w:p>
    <w:p w:rsidR="008F0C0F" w:rsidRPr="0062347D" w:rsidRDefault="008F0C0F" w:rsidP="00284F89">
      <w:pPr>
        <w:spacing w:before="240"/>
        <w:jc w:val="center"/>
        <w:rPr>
          <w:rFonts w:cstheme="minorHAnsi"/>
          <w:b/>
          <w:sz w:val="44"/>
          <w:szCs w:val="44"/>
        </w:rPr>
      </w:pPr>
    </w:p>
    <w:p w:rsidR="008F0C0F" w:rsidRPr="0062347D" w:rsidRDefault="008F0C0F" w:rsidP="00284F89">
      <w:pPr>
        <w:spacing w:before="240"/>
        <w:jc w:val="center"/>
        <w:rPr>
          <w:rFonts w:cstheme="minorHAnsi"/>
          <w:b/>
          <w:sz w:val="44"/>
          <w:szCs w:val="44"/>
        </w:rPr>
      </w:pPr>
      <w:r w:rsidRPr="0062347D">
        <w:rPr>
          <w:rFonts w:cstheme="minorHAnsi"/>
          <w:b/>
          <w:sz w:val="44"/>
          <w:szCs w:val="44"/>
        </w:rPr>
        <w:t>Mgr. Eva Novosadová</w:t>
      </w:r>
    </w:p>
    <w:p w:rsidR="008F0C0F" w:rsidRPr="0062347D" w:rsidRDefault="008F0C0F" w:rsidP="00284F89">
      <w:pPr>
        <w:spacing w:before="240"/>
        <w:jc w:val="center"/>
        <w:rPr>
          <w:rFonts w:cstheme="minorHAnsi"/>
          <w:b/>
          <w:sz w:val="36"/>
          <w:szCs w:val="36"/>
        </w:rPr>
      </w:pPr>
    </w:p>
    <w:p w:rsidR="008F0C0F" w:rsidRPr="0062347D" w:rsidRDefault="008F0C0F" w:rsidP="00284F89">
      <w:pPr>
        <w:spacing w:after="0" w:line="360" w:lineRule="auto"/>
        <w:jc w:val="center"/>
        <w:rPr>
          <w:rFonts w:cstheme="minorHAnsi"/>
          <w:b/>
          <w:sz w:val="36"/>
          <w:szCs w:val="36"/>
        </w:rPr>
      </w:pPr>
      <w:r w:rsidRPr="0062347D">
        <w:rPr>
          <w:rFonts w:cstheme="minorHAnsi"/>
          <w:b/>
          <w:sz w:val="36"/>
          <w:szCs w:val="36"/>
        </w:rPr>
        <w:t>Školitel: prof. MUDr. Martin Petřek, CSc.</w:t>
      </w:r>
    </w:p>
    <w:p w:rsidR="008F0C0F" w:rsidRPr="0062347D" w:rsidRDefault="008F0C0F" w:rsidP="00284F89">
      <w:pPr>
        <w:spacing w:after="0" w:line="360" w:lineRule="auto"/>
        <w:jc w:val="center"/>
        <w:rPr>
          <w:rFonts w:cstheme="minorHAnsi"/>
          <w:b/>
          <w:sz w:val="36"/>
          <w:szCs w:val="36"/>
        </w:rPr>
      </w:pPr>
      <w:r w:rsidRPr="0062347D">
        <w:rPr>
          <w:rFonts w:cstheme="minorHAnsi"/>
          <w:b/>
          <w:sz w:val="36"/>
          <w:szCs w:val="36"/>
        </w:rPr>
        <w:t>Ústav patologické fyziologie</w:t>
      </w:r>
    </w:p>
    <w:p w:rsidR="008F0C0F" w:rsidRPr="0062347D" w:rsidRDefault="008F0C0F" w:rsidP="00284F89">
      <w:pPr>
        <w:spacing w:after="0" w:line="360" w:lineRule="auto"/>
        <w:jc w:val="center"/>
        <w:rPr>
          <w:rFonts w:cstheme="minorHAnsi"/>
          <w:b/>
          <w:sz w:val="36"/>
          <w:szCs w:val="36"/>
        </w:rPr>
      </w:pPr>
      <w:r w:rsidRPr="0062347D">
        <w:rPr>
          <w:rFonts w:cstheme="minorHAnsi"/>
          <w:b/>
          <w:sz w:val="36"/>
          <w:szCs w:val="36"/>
        </w:rPr>
        <w:t>Obor: Lékařská biologie</w:t>
      </w:r>
    </w:p>
    <w:p w:rsidR="008F0C0F" w:rsidRPr="0062347D" w:rsidRDefault="008F0C0F" w:rsidP="00284F89">
      <w:pPr>
        <w:spacing w:after="0" w:line="360" w:lineRule="auto"/>
        <w:jc w:val="center"/>
        <w:rPr>
          <w:rFonts w:cstheme="minorHAnsi"/>
          <w:b/>
          <w:sz w:val="36"/>
          <w:szCs w:val="36"/>
        </w:rPr>
      </w:pPr>
      <w:r w:rsidRPr="0062347D">
        <w:rPr>
          <w:rFonts w:cstheme="minorHAnsi"/>
          <w:b/>
          <w:sz w:val="36"/>
          <w:szCs w:val="36"/>
        </w:rPr>
        <w:t>Olomouc, 2021</w:t>
      </w:r>
    </w:p>
    <w:p w:rsidR="008F0C0F" w:rsidRPr="00C87449" w:rsidRDefault="008F0C0F">
      <w:pPr>
        <w:rPr>
          <w:rFonts w:cstheme="minorHAnsi"/>
          <w:b/>
          <w:sz w:val="48"/>
          <w:szCs w:val="48"/>
        </w:rPr>
      </w:pPr>
      <w:r w:rsidRPr="00C87449">
        <w:rPr>
          <w:rFonts w:cstheme="minorHAnsi"/>
          <w:b/>
          <w:sz w:val="48"/>
          <w:szCs w:val="48"/>
        </w:rPr>
        <w:br w:type="page"/>
      </w:r>
    </w:p>
    <w:p w:rsidR="008F0C0F" w:rsidRPr="00C87449" w:rsidRDefault="008F0C0F" w:rsidP="00284F89">
      <w:pPr>
        <w:jc w:val="center"/>
        <w:rPr>
          <w:rFonts w:cstheme="minorHAnsi"/>
          <w:b/>
          <w:sz w:val="48"/>
          <w:szCs w:val="48"/>
        </w:rPr>
      </w:pPr>
      <w:r w:rsidRPr="00C87449">
        <w:rPr>
          <w:rFonts w:cstheme="minorHAnsi"/>
          <w:b/>
          <w:sz w:val="48"/>
          <w:szCs w:val="48"/>
        </w:rPr>
        <w:lastRenderedPageBreak/>
        <w:t>Palacky University</w:t>
      </w:r>
    </w:p>
    <w:p w:rsidR="008F0C0F" w:rsidRPr="00C87449" w:rsidRDefault="008F0C0F" w:rsidP="00284F89">
      <w:pPr>
        <w:jc w:val="center"/>
        <w:rPr>
          <w:rFonts w:cstheme="minorHAnsi"/>
          <w:b/>
          <w:sz w:val="48"/>
          <w:szCs w:val="48"/>
        </w:rPr>
      </w:pPr>
      <w:r w:rsidRPr="0062347D">
        <w:rPr>
          <w:rFonts w:eastAsia="Calibri" w:cstheme="minorHAnsi"/>
          <w:noProof/>
          <w:sz w:val="48"/>
          <w:szCs w:val="48"/>
          <w:lang w:eastAsia="cs-CZ"/>
        </w:rPr>
        <w:drawing>
          <wp:anchor distT="0" distB="0" distL="114300" distR="114300" simplePos="0" relativeHeight="251661312" behindDoc="1" locked="0" layoutInCell="1" allowOverlap="1" wp14:anchorId="297F04D4" wp14:editId="08E8FD21">
            <wp:simplePos x="0" y="0"/>
            <wp:positionH relativeFrom="column">
              <wp:posOffset>1490980</wp:posOffset>
            </wp:positionH>
            <wp:positionV relativeFrom="paragraph">
              <wp:posOffset>549910</wp:posOffset>
            </wp:positionV>
            <wp:extent cx="2600325" cy="1475740"/>
            <wp:effectExtent l="0" t="0" r="9525" b="0"/>
            <wp:wrapTight wrapText="bothSides">
              <wp:wrapPolygon edited="0">
                <wp:start x="0" y="0"/>
                <wp:lineTo x="0" y="21191"/>
                <wp:lineTo x="21521" y="21191"/>
                <wp:lineTo x="21521" y="0"/>
                <wp:lineTo x="0" y="0"/>
              </wp:wrapPolygon>
            </wp:wrapTight>
            <wp:docPr id="22" name="obrázek 4" descr="h_i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_imun"/>
                    <pic:cNvPicPr>
                      <a:picLocks noChangeAspect="1" noChangeArrowheads="1"/>
                    </pic:cNvPicPr>
                  </pic:nvPicPr>
                  <pic:blipFill>
                    <a:blip r:embed="rId8" cstate="print"/>
                    <a:srcRect l="7833" t="36216" r="72445"/>
                    <a:stretch>
                      <a:fillRect/>
                    </a:stretch>
                  </pic:blipFill>
                  <pic:spPr bwMode="auto">
                    <a:xfrm>
                      <a:off x="0" y="0"/>
                      <a:ext cx="2600325" cy="1475740"/>
                    </a:xfrm>
                    <a:prstGeom prst="rect">
                      <a:avLst/>
                    </a:prstGeom>
                    <a:noFill/>
                    <a:ln w="9525">
                      <a:noFill/>
                      <a:miter lim="800000"/>
                      <a:headEnd/>
                      <a:tailEnd/>
                    </a:ln>
                  </pic:spPr>
                </pic:pic>
              </a:graphicData>
            </a:graphic>
          </wp:anchor>
        </w:drawing>
      </w:r>
      <w:r w:rsidRPr="00C87449">
        <w:rPr>
          <w:rFonts w:cstheme="minorHAnsi"/>
          <w:b/>
          <w:sz w:val="48"/>
          <w:szCs w:val="48"/>
        </w:rPr>
        <w:t>Faculty of Medicine and Dentistry</w:t>
      </w:r>
    </w:p>
    <w:p w:rsidR="008F0C0F" w:rsidRPr="00C87449" w:rsidRDefault="008F0C0F" w:rsidP="00284F89">
      <w:pPr>
        <w:jc w:val="center"/>
        <w:rPr>
          <w:rFonts w:cstheme="minorHAnsi"/>
          <w:b/>
          <w:sz w:val="48"/>
          <w:szCs w:val="48"/>
        </w:rPr>
      </w:pPr>
    </w:p>
    <w:p w:rsidR="008F0C0F" w:rsidRPr="00C87449" w:rsidRDefault="008F0C0F" w:rsidP="00284F89">
      <w:pPr>
        <w:jc w:val="center"/>
        <w:rPr>
          <w:rFonts w:cstheme="minorHAnsi"/>
          <w:b/>
          <w:sz w:val="48"/>
          <w:szCs w:val="48"/>
        </w:rPr>
      </w:pPr>
    </w:p>
    <w:p w:rsidR="008F0C0F" w:rsidRPr="00C87449" w:rsidRDefault="008F0C0F" w:rsidP="00284F89">
      <w:pPr>
        <w:jc w:val="center"/>
        <w:rPr>
          <w:rFonts w:cstheme="minorHAnsi"/>
          <w:b/>
          <w:sz w:val="48"/>
          <w:szCs w:val="48"/>
        </w:rPr>
      </w:pPr>
    </w:p>
    <w:p w:rsidR="008F0C0F" w:rsidRDefault="008F0C0F" w:rsidP="00284F89">
      <w:pPr>
        <w:spacing w:before="240"/>
        <w:jc w:val="center"/>
        <w:rPr>
          <w:rFonts w:cstheme="minorHAnsi"/>
          <w:b/>
          <w:sz w:val="40"/>
          <w:szCs w:val="40"/>
        </w:rPr>
      </w:pPr>
      <w:r w:rsidRPr="00C87449">
        <w:rPr>
          <w:rFonts w:cstheme="minorHAnsi"/>
          <w:b/>
          <w:sz w:val="40"/>
          <w:szCs w:val="40"/>
        </w:rPr>
        <w:t>Dissertation thesis</w:t>
      </w:r>
    </w:p>
    <w:p w:rsidR="00E40B14" w:rsidRPr="00C87449" w:rsidRDefault="00E40B14" w:rsidP="00284F89">
      <w:pPr>
        <w:spacing w:before="240"/>
        <w:jc w:val="center"/>
        <w:rPr>
          <w:rFonts w:cstheme="minorHAnsi"/>
          <w:b/>
          <w:sz w:val="40"/>
          <w:szCs w:val="40"/>
        </w:rPr>
      </w:pPr>
    </w:p>
    <w:p w:rsidR="008F0C0F" w:rsidRPr="00C87449" w:rsidRDefault="008F0C0F" w:rsidP="00284F89">
      <w:pPr>
        <w:jc w:val="center"/>
        <w:rPr>
          <w:rFonts w:cstheme="minorHAnsi"/>
          <w:b/>
          <w:sz w:val="48"/>
          <w:szCs w:val="48"/>
        </w:rPr>
      </w:pPr>
      <w:r w:rsidRPr="00C87449">
        <w:rPr>
          <w:rFonts w:cstheme="minorHAnsi"/>
          <w:b/>
          <w:sz w:val="48"/>
          <w:szCs w:val="48"/>
        </w:rPr>
        <w:t>Study of selected molecular aspects in</w:t>
      </w:r>
      <w:r>
        <w:rPr>
          <w:rFonts w:cstheme="minorHAnsi"/>
          <w:b/>
          <w:sz w:val="48"/>
          <w:szCs w:val="48"/>
        </w:rPr>
        <w:t> </w:t>
      </w:r>
      <w:r w:rsidRPr="00C87449">
        <w:rPr>
          <w:rFonts w:cstheme="minorHAnsi"/>
          <w:b/>
          <w:sz w:val="48"/>
          <w:szCs w:val="48"/>
        </w:rPr>
        <w:t>pulmonary sarcoidosis</w:t>
      </w:r>
    </w:p>
    <w:p w:rsidR="008F0C0F" w:rsidRPr="00C87449" w:rsidRDefault="008F0C0F" w:rsidP="00284F89">
      <w:pPr>
        <w:jc w:val="center"/>
        <w:rPr>
          <w:rFonts w:cstheme="minorHAnsi"/>
          <w:b/>
          <w:sz w:val="48"/>
          <w:szCs w:val="48"/>
        </w:rPr>
      </w:pPr>
    </w:p>
    <w:p w:rsidR="008F0C0F" w:rsidRPr="0062347D" w:rsidRDefault="008F0C0F" w:rsidP="00284F89">
      <w:pPr>
        <w:spacing w:before="240"/>
        <w:jc w:val="center"/>
        <w:rPr>
          <w:rFonts w:cstheme="minorHAnsi"/>
          <w:b/>
          <w:sz w:val="44"/>
          <w:szCs w:val="44"/>
        </w:rPr>
      </w:pPr>
      <w:r w:rsidRPr="0062347D">
        <w:rPr>
          <w:rFonts w:cstheme="minorHAnsi"/>
          <w:b/>
          <w:sz w:val="44"/>
          <w:szCs w:val="44"/>
        </w:rPr>
        <w:t>Mgr. Eva Novosadová</w:t>
      </w:r>
    </w:p>
    <w:p w:rsidR="008F0C0F" w:rsidRPr="003329E2" w:rsidRDefault="008F0C0F" w:rsidP="00284F89">
      <w:pPr>
        <w:jc w:val="center"/>
        <w:rPr>
          <w:rFonts w:cstheme="minorHAnsi"/>
          <w:b/>
          <w:sz w:val="36"/>
          <w:szCs w:val="36"/>
        </w:rPr>
      </w:pPr>
    </w:p>
    <w:p w:rsidR="008F0C0F" w:rsidRPr="00C87449" w:rsidRDefault="008F0C0F" w:rsidP="00284F89">
      <w:pPr>
        <w:jc w:val="center"/>
        <w:rPr>
          <w:rFonts w:cstheme="minorHAnsi"/>
          <w:b/>
          <w:sz w:val="36"/>
          <w:szCs w:val="36"/>
        </w:rPr>
      </w:pPr>
      <w:r w:rsidRPr="00C87449">
        <w:rPr>
          <w:rFonts w:cstheme="minorHAnsi"/>
          <w:b/>
          <w:sz w:val="36"/>
          <w:szCs w:val="36"/>
        </w:rPr>
        <w:t>Supervisor: prof. MUDr. Martin Petřek, CSc.</w:t>
      </w:r>
    </w:p>
    <w:p w:rsidR="008F0C0F" w:rsidRPr="00C87449" w:rsidRDefault="008F0C0F" w:rsidP="00284F89">
      <w:pPr>
        <w:jc w:val="center"/>
        <w:rPr>
          <w:rFonts w:cstheme="minorHAnsi"/>
          <w:b/>
          <w:sz w:val="36"/>
          <w:szCs w:val="36"/>
        </w:rPr>
      </w:pPr>
      <w:r w:rsidRPr="00C87449">
        <w:rPr>
          <w:rFonts w:cstheme="minorHAnsi"/>
          <w:b/>
          <w:sz w:val="36"/>
          <w:szCs w:val="36"/>
        </w:rPr>
        <w:t>Department of Pathological Physiology</w:t>
      </w:r>
    </w:p>
    <w:p w:rsidR="008F0C0F" w:rsidRPr="00C87449" w:rsidRDefault="008F0C0F" w:rsidP="00284F89">
      <w:pPr>
        <w:jc w:val="center"/>
        <w:rPr>
          <w:rFonts w:cstheme="minorHAnsi"/>
          <w:b/>
          <w:sz w:val="36"/>
          <w:szCs w:val="36"/>
        </w:rPr>
      </w:pPr>
      <w:r w:rsidRPr="00C87449">
        <w:rPr>
          <w:rFonts w:cstheme="minorHAnsi"/>
          <w:b/>
          <w:sz w:val="36"/>
          <w:szCs w:val="36"/>
        </w:rPr>
        <w:t xml:space="preserve">Field of study: Medical </w:t>
      </w:r>
      <w:r>
        <w:rPr>
          <w:rFonts w:cstheme="minorHAnsi"/>
          <w:b/>
          <w:sz w:val="36"/>
          <w:szCs w:val="36"/>
        </w:rPr>
        <w:t>B</w:t>
      </w:r>
      <w:r w:rsidRPr="00C87449">
        <w:rPr>
          <w:rFonts w:cstheme="minorHAnsi"/>
          <w:b/>
          <w:sz w:val="36"/>
          <w:szCs w:val="36"/>
        </w:rPr>
        <w:t>iology</w:t>
      </w:r>
    </w:p>
    <w:p w:rsidR="008F0C0F" w:rsidRPr="00C87449" w:rsidRDefault="008F0C0F" w:rsidP="00284F89">
      <w:pPr>
        <w:jc w:val="center"/>
        <w:rPr>
          <w:rFonts w:cstheme="minorHAnsi"/>
          <w:b/>
          <w:sz w:val="36"/>
          <w:szCs w:val="36"/>
        </w:rPr>
      </w:pPr>
      <w:r w:rsidRPr="00C87449">
        <w:rPr>
          <w:rFonts w:cstheme="minorHAnsi"/>
          <w:b/>
          <w:sz w:val="36"/>
          <w:szCs w:val="36"/>
        </w:rPr>
        <w:t>Olomouc, 2021</w:t>
      </w:r>
    </w:p>
    <w:p w:rsidR="008F0C0F" w:rsidRPr="00C87449" w:rsidRDefault="008F0C0F">
      <w:pPr>
        <w:rPr>
          <w:rFonts w:cstheme="minorHAnsi"/>
          <w:b/>
          <w:sz w:val="36"/>
          <w:szCs w:val="36"/>
        </w:rPr>
      </w:pPr>
      <w:r w:rsidRPr="00C87449">
        <w:rPr>
          <w:rFonts w:cstheme="minorHAnsi"/>
          <w:b/>
          <w:sz w:val="36"/>
          <w:szCs w:val="36"/>
        </w:rPr>
        <w:br w:type="page"/>
      </w:r>
    </w:p>
    <w:p w:rsidR="008F0C0F" w:rsidRPr="0062347D" w:rsidRDefault="008F0C0F" w:rsidP="00284F89">
      <w:pPr>
        <w:spacing w:line="360" w:lineRule="auto"/>
        <w:jc w:val="both"/>
        <w:rPr>
          <w:rFonts w:cstheme="minorHAnsi"/>
          <w:b/>
          <w:sz w:val="24"/>
          <w:szCs w:val="24"/>
        </w:rPr>
      </w:pPr>
      <w:r w:rsidRPr="0062347D">
        <w:rPr>
          <w:rFonts w:cstheme="minorHAnsi"/>
          <w:b/>
          <w:sz w:val="24"/>
          <w:szCs w:val="24"/>
        </w:rPr>
        <w:lastRenderedPageBreak/>
        <w:t>PODĚKOVÁNÍ</w:t>
      </w:r>
    </w:p>
    <w:p w:rsidR="008F0C0F" w:rsidRPr="0062347D" w:rsidRDefault="008F0C0F" w:rsidP="00284F89">
      <w:pPr>
        <w:spacing w:line="360" w:lineRule="auto"/>
        <w:ind w:firstLine="708"/>
        <w:jc w:val="both"/>
        <w:rPr>
          <w:rFonts w:cstheme="minorHAnsi"/>
          <w:b/>
          <w:sz w:val="24"/>
          <w:szCs w:val="24"/>
        </w:rPr>
      </w:pPr>
      <w:r w:rsidRPr="003329E2">
        <w:rPr>
          <w:rFonts w:cstheme="minorHAnsi"/>
          <w:sz w:val="24"/>
          <w:szCs w:val="24"/>
        </w:rPr>
        <w:t>Chtěla bych poděkovat</w:t>
      </w:r>
      <w:r w:rsidRPr="00E663BF">
        <w:rPr>
          <w:rFonts w:cstheme="minorHAnsi"/>
          <w:b/>
          <w:sz w:val="24"/>
          <w:szCs w:val="24"/>
        </w:rPr>
        <w:t xml:space="preserve"> </w:t>
      </w:r>
      <w:r w:rsidRPr="00E663BF">
        <w:rPr>
          <w:rFonts w:cstheme="minorHAnsi"/>
          <w:sz w:val="24"/>
          <w:szCs w:val="24"/>
        </w:rPr>
        <w:t>prof. MUDr. Martinu Petř</w:t>
      </w:r>
      <w:r w:rsidRPr="004E5649">
        <w:rPr>
          <w:rFonts w:cstheme="minorHAnsi"/>
          <w:sz w:val="24"/>
          <w:szCs w:val="24"/>
        </w:rPr>
        <w:t>kovi, CSc.</w:t>
      </w:r>
      <w:r w:rsidRPr="00B24D8C">
        <w:rPr>
          <w:rFonts w:cstheme="minorHAnsi"/>
          <w:sz w:val="24"/>
          <w:szCs w:val="24"/>
        </w:rPr>
        <w:t xml:space="preserve"> z</w:t>
      </w:r>
      <w:r w:rsidRPr="0062347D">
        <w:rPr>
          <w:rFonts w:cstheme="minorHAnsi"/>
          <w:sz w:val="24"/>
          <w:szCs w:val="24"/>
        </w:rPr>
        <w:t>a příležitost studovat molekulární biologii na Lékařské fakultě Univerzity Palackého v Olomouci. Děkuji za vedení během studia, poskytnutý biologický materiál a laboratorní zázemí. Děkuji za ochotu, trpělivost a za odborné konzultace včetně spolupráce při publikování.</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Děkuji Mgr. Zdence Navrátilové, Ph.D. za úzkou spolupráci po celou dobu mého studia. Děkuji za ochotu a trpělivost při vysvětlování, za pomoc při optimalizaci metod, za vedení při analýzách a statistickém zpracování dat. Dále chci Mgr. Zdence Navrátilové, Ph.D. poděkovat za stanovení proteinové exprese RNA-vazebných proteinů průtokovou cytometrií a za analýzu získaných dat během</w:t>
      </w:r>
      <w:r w:rsidR="000E54F5">
        <w:rPr>
          <w:rFonts w:cstheme="minorHAnsi"/>
          <w:sz w:val="24"/>
          <w:szCs w:val="24"/>
        </w:rPr>
        <w:t xml:space="preserve"> její</w:t>
      </w:r>
      <w:r w:rsidRPr="0062347D">
        <w:rPr>
          <w:rFonts w:cstheme="minorHAnsi"/>
          <w:sz w:val="24"/>
          <w:szCs w:val="24"/>
        </w:rPr>
        <w:t xml:space="preserve"> stáže ve Švédsku (Stockholm, </w:t>
      </w:r>
      <w:r w:rsidR="00481D0B">
        <w:rPr>
          <w:rFonts w:cstheme="minorHAnsi"/>
          <w:sz w:val="24"/>
          <w:szCs w:val="24"/>
        </w:rPr>
        <w:t>Karo</w:t>
      </w:r>
      <w:r w:rsidR="00E40B14">
        <w:rPr>
          <w:rFonts w:cstheme="minorHAnsi"/>
          <w:sz w:val="24"/>
          <w:szCs w:val="24"/>
        </w:rPr>
        <w:t>linska I</w:t>
      </w:r>
      <w:r w:rsidR="00481D0B">
        <w:rPr>
          <w:rFonts w:cstheme="minorHAnsi"/>
          <w:sz w:val="24"/>
          <w:szCs w:val="24"/>
        </w:rPr>
        <w:t>nstitut</w:t>
      </w:r>
      <w:r w:rsidR="00E40B14">
        <w:rPr>
          <w:rFonts w:cstheme="minorHAnsi"/>
          <w:sz w:val="24"/>
          <w:szCs w:val="24"/>
        </w:rPr>
        <w:t>et</w:t>
      </w:r>
      <w:r w:rsidR="00481D0B">
        <w:rPr>
          <w:rFonts w:cstheme="minorHAnsi"/>
          <w:sz w:val="24"/>
          <w:szCs w:val="24"/>
        </w:rPr>
        <w:t xml:space="preserve">, </w:t>
      </w:r>
      <w:r w:rsidRPr="0062347D">
        <w:rPr>
          <w:rFonts w:cstheme="minorHAnsi"/>
          <w:sz w:val="24"/>
          <w:szCs w:val="24"/>
        </w:rPr>
        <w:t>Lungfo</w:t>
      </w:r>
      <w:r w:rsidR="008F5B04">
        <w:rPr>
          <w:rFonts w:cstheme="minorHAnsi"/>
          <w:sz w:val="24"/>
          <w:szCs w:val="24"/>
        </w:rPr>
        <w:t>r</w:t>
      </w:r>
      <w:r w:rsidRPr="0062347D">
        <w:rPr>
          <w:rFonts w:cstheme="minorHAnsi"/>
          <w:sz w:val="24"/>
          <w:szCs w:val="24"/>
        </w:rPr>
        <w:t>skningslab).</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Poděkování patří i Klinice plicních nemocí a tuberkulózy ve FNOL, jmenovitě prof.</w:t>
      </w:r>
      <w:r>
        <w:rPr>
          <w:rFonts w:cstheme="minorHAnsi"/>
          <w:sz w:val="24"/>
          <w:szCs w:val="24"/>
        </w:rPr>
        <w:t> </w:t>
      </w:r>
      <w:r w:rsidRPr="0062347D">
        <w:rPr>
          <w:rFonts w:cstheme="minorHAnsi"/>
          <w:sz w:val="24"/>
          <w:szCs w:val="24"/>
        </w:rPr>
        <w:t>MUDr. Vítězslavovi Kolkovi, DrSc., FCCP. Děkujeme za poskytnutý biologický materiál a</w:t>
      </w:r>
      <w:r>
        <w:rPr>
          <w:rFonts w:cstheme="minorHAnsi"/>
          <w:sz w:val="24"/>
          <w:szCs w:val="24"/>
        </w:rPr>
        <w:t> </w:t>
      </w:r>
      <w:r w:rsidRPr="0062347D">
        <w:rPr>
          <w:rFonts w:cstheme="minorHAnsi"/>
          <w:sz w:val="24"/>
          <w:szCs w:val="24"/>
        </w:rPr>
        <w:t>data o diferenciálních buněčných počtech v bronchoalveolární laváži. Nápomoc</w:t>
      </w:r>
      <w:r>
        <w:rPr>
          <w:rFonts w:cstheme="minorHAnsi"/>
          <w:sz w:val="24"/>
          <w:szCs w:val="24"/>
        </w:rPr>
        <w:t>n</w:t>
      </w:r>
      <w:r w:rsidRPr="0062347D">
        <w:rPr>
          <w:rFonts w:cstheme="minorHAnsi"/>
          <w:sz w:val="24"/>
          <w:szCs w:val="24"/>
        </w:rPr>
        <w:t xml:space="preserve">i byli kromě jiných zejména MUDr. Jaromír Zatloukal, Ph.D. a MUDr. Vladimíra Lošťáková, Ph.D. Děkuji RNDr. Martě Ordeltové (Ústav imunologie LF UP a FNOL) za data z průtokové cytometrie. </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Poděkování patří i doc. RNDr. Vladimíru Divokému, Ph.D. jako garantovi oboru Lékařská biologie za konzultace a přípravu ke státním závěrečným zkouškám.</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Dále děkuji kolegyním z laboratoře Ústavu patologické fyziologie LF UP, které se se mnou podílely na přípravě biologického materiálu a vlastním měření.</w:t>
      </w:r>
    </w:p>
    <w:p w:rsidR="008F0C0F" w:rsidRPr="0062347D" w:rsidRDefault="008F0C0F" w:rsidP="00284F89">
      <w:pPr>
        <w:rPr>
          <w:rFonts w:cstheme="minorHAnsi"/>
          <w:sz w:val="24"/>
          <w:szCs w:val="24"/>
        </w:rPr>
      </w:pPr>
      <w:r w:rsidRPr="0062347D">
        <w:rPr>
          <w:rFonts w:cstheme="minorHAnsi"/>
          <w:sz w:val="24"/>
          <w:szCs w:val="24"/>
        </w:rPr>
        <w:br w:type="page"/>
      </w:r>
    </w:p>
    <w:p w:rsidR="008F0C0F" w:rsidRPr="0062347D" w:rsidRDefault="008F0C0F" w:rsidP="00284F89">
      <w:pPr>
        <w:jc w:val="both"/>
        <w:rPr>
          <w:rFonts w:eastAsiaTheme="majorEastAsia" w:cstheme="minorHAnsi"/>
          <w:b/>
          <w:sz w:val="24"/>
          <w:szCs w:val="24"/>
        </w:rPr>
      </w:pPr>
      <w:r w:rsidRPr="0062347D">
        <w:rPr>
          <w:rFonts w:eastAsiaTheme="majorEastAsia" w:cstheme="minorHAnsi"/>
          <w:b/>
          <w:sz w:val="24"/>
          <w:szCs w:val="24"/>
        </w:rPr>
        <w:lastRenderedPageBreak/>
        <w:t>GRANTOVÁ PODPORA</w:t>
      </w:r>
    </w:p>
    <w:p w:rsidR="008F0C0F" w:rsidRPr="0062347D" w:rsidRDefault="008F0C0F" w:rsidP="00284F89">
      <w:pPr>
        <w:spacing w:line="360" w:lineRule="auto"/>
        <w:ind w:firstLine="709"/>
        <w:jc w:val="both"/>
        <w:rPr>
          <w:rFonts w:cstheme="minorHAnsi"/>
          <w:color w:val="000000"/>
          <w:sz w:val="24"/>
          <w:szCs w:val="24"/>
          <w:shd w:val="clear" w:color="auto" w:fill="FFFFFF"/>
        </w:rPr>
      </w:pPr>
      <w:r w:rsidRPr="0062347D">
        <w:rPr>
          <w:rFonts w:cstheme="minorHAnsi"/>
          <w:sz w:val="24"/>
          <w:szCs w:val="24"/>
        </w:rPr>
        <w:t xml:space="preserve">Studium exprese RNA-vazebných proteinů bylo podpořeno grantovým projektem </w:t>
      </w:r>
      <w:r w:rsidRPr="0062347D">
        <w:rPr>
          <w:rFonts w:cstheme="minorHAnsi"/>
          <w:color w:val="000000"/>
          <w:sz w:val="24"/>
          <w:szCs w:val="24"/>
        </w:rPr>
        <w:t>LO1304</w:t>
      </w:r>
      <w:r w:rsidRPr="0062347D">
        <w:rPr>
          <w:rFonts w:cstheme="minorHAnsi"/>
          <w:color w:val="000000"/>
          <w:sz w:val="24"/>
          <w:szCs w:val="24"/>
          <w:shd w:val="clear" w:color="auto" w:fill="FFFFFF"/>
        </w:rPr>
        <w:t xml:space="preserve">, CZ.1.07/2.3.00/30.0004 a IGA UP: LF_2016_009. Finanční podpora byla také získána od Švédské nadace pro srdce a plíce, </w:t>
      </w:r>
      <w:r w:rsidR="001511A4">
        <w:rPr>
          <w:rFonts w:cstheme="minorHAnsi"/>
          <w:color w:val="000000"/>
          <w:sz w:val="24"/>
          <w:szCs w:val="24"/>
          <w:shd w:val="clear" w:color="auto" w:fill="FFFFFF"/>
        </w:rPr>
        <w:t xml:space="preserve">Švédské výzkumné rady, </w:t>
      </w:r>
      <w:r w:rsidRPr="0062347D">
        <w:rPr>
          <w:rFonts w:cstheme="minorHAnsi"/>
          <w:color w:val="000000"/>
          <w:sz w:val="24"/>
          <w:szCs w:val="24"/>
          <w:shd w:val="clear" w:color="auto" w:fill="FFFFFF"/>
        </w:rPr>
        <w:t xml:space="preserve">Švédské asociace hrudních lékařů a </w:t>
      </w:r>
      <w:r w:rsidR="001511A4">
        <w:rPr>
          <w:rFonts w:cstheme="minorHAnsi"/>
          <w:color w:val="000000"/>
          <w:sz w:val="24"/>
          <w:szCs w:val="24"/>
          <w:shd w:val="clear" w:color="auto" w:fill="FFFFFF"/>
        </w:rPr>
        <w:t xml:space="preserve">od </w:t>
      </w:r>
      <w:r w:rsidRPr="0062347D">
        <w:rPr>
          <w:rFonts w:cstheme="minorHAnsi"/>
          <w:color w:val="000000"/>
          <w:sz w:val="24"/>
          <w:szCs w:val="24"/>
          <w:shd w:val="clear" w:color="auto" w:fill="FFFFFF"/>
        </w:rPr>
        <w:t>Karolínského Institutu (</w:t>
      </w:r>
      <w:r w:rsidRPr="00C87449">
        <w:rPr>
          <w:rFonts w:cstheme="minorHAnsi"/>
          <w:color w:val="000000"/>
          <w:sz w:val="24"/>
          <w:szCs w:val="24"/>
          <w:shd w:val="clear" w:color="auto" w:fill="FFFFFF"/>
        </w:rPr>
        <w:t>The Swedish Heart Lung Foundation, The Swedish Research Council, The Stockholm County Council, The Swedish Association for Chest Physicians, and Karolinska Institutet</w:t>
      </w:r>
      <w:r w:rsidRPr="0062347D">
        <w:rPr>
          <w:rFonts w:cstheme="minorHAnsi"/>
          <w:color w:val="000000"/>
          <w:sz w:val="24"/>
          <w:szCs w:val="24"/>
          <w:shd w:val="clear" w:color="auto" w:fill="FFFFFF"/>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 xml:space="preserve">Studium exprese miRNA v séru </w:t>
      </w:r>
      <w:r w:rsidRPr="00E663BF">
        <w:rPr>
          <w:rFonts w:cstheme="minorHAnsi"/>
          <w:sz w:val="24"/>
          <w:szCs w:val="24"/>
        </w:rPr>
        <w:t>pacientů</w:t>
      </w:r>
      <w:r w:rsidR="001511A4">
        <w:rPr>
          <w:rFonts w:cstheme="minorHAnsi"/>
          <w:sz w:val="24"/>
          <w:szCs w:val="24"/>
        </w:rPr>
        <w:t xml:space="preserve"> s plicní sarkoidózou</w:t>
      </w:r>
      <w:r w:rsidRPr="00E663BF">
        <w:rPr>
          <w:rFonts w:cstheme="minorHAnsi"/>
          <w:sz w:val="24"/>
          <w:szCs w:val="24"/>
        </w:rPr>
        <w:t xml:space="preserve"> bylo podpořeno Grantovým projektem LO1</w:t>
      </w:r>
      <w:r w:rsidRPr="004E5649">
        <w:rPr>
          <w:rFonts w:cstheme="minorHAnsi"/>
          <w:sz w:val="24"/>
          <w:szCs w:val="24"/>
        </w:rPr>
        <w:t xml:space="preserve">304, CZ.1.07/2.3.00/30.0004, a IGA UP: </w:t>
      </w:r>
      <w:r w:rsidRPr="00B24D8C">
        <w:rPr>
          <w:rFonts w:cstheme="minorHAnsi"/>
          <w:sz w:val="24"/>
          <w:szCs w:val="24"/>
        </w:rPr>
        <w:t>LF_2015_020</w:t>
      </w:r>
      <w:r w:rsidRPr="0062347D">
        <w:rPr>
          <w:rFonts w:cstheme="minorHAnsi"/>
          <w:sz w:val="24"/>
          <w:szCs w:val="24"/>
        </w:rPr>
        <w:t>, IGA UP: LF_2016_009.</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 xml:space="preserve">Analýza bronchoalveolárního buněčného profilu byla podpořena projekty CZ.02.1.01/0.0/0.0/16_019/0000868, LO1304 a IGA UP: LF_2019_009. </w:t>
      </w:r>
    </w:p>
    <w:p w:rsidR="008F0C0F" w:rsidRPr="0062347D" w:rsidRDefault="008F0C0F" w:rsidP="00284F89">
      <w:pPr>
        <w:shd w:val="clear" w:color="auto" w:fill="FFFFFF" w:themeFill="background1"/>
        <w:spacing w:line="360" w:lineRule="auto"/>
        <w:ind w:firstLine="709"/>
        <w:jc w:val="both"/>
        <w:rPr>
          <w:rFonts w:cstheme="minorHAnsi"/>
          <w:sz w:val="24"/>
          <w:szCs w:val="24"/>
        </w:rPr>
      </w:pPr>
      <w:r w:rsidRPr="0062347D">
        <w:rPr>
          <w:rFonts w:cstheme="minorHAnsi"/>
          <w:sz w:val="24"/>
          <w:szCs w:val="24"/>
        </w:rPr>
        <w:t>Finální zpracování disertační práce bylo podpořeno IGA UP: LF_2020_004.</w:t>
      </w:r>
    </w:p>
    <w:p w:rsidR="008F0C0F" w:rsidRPr="0062347D" w:rsidRDefault="008F0C0F">
      <w:pPr>
        <w:rPr>
          <w:rFonts w:cstheme="minorHAnsi"/>
          <w:sz w:val="24"/>
          <w:szCs w:val="24"/>
        </w:rPr>
      </w:pPr>
      <w:r w:rsidRPr="0062347D">
        <w:rPr>
          <w:rFonts w:cstheme="minorHAnsi"/>
          <w:sz w:val="24"/>
          <w:szCs w:val="24"/>
        </w:rPr>
        <w:br w:type="page"/>
      </w:r>
    </w:p>
    <w:p w:rsidR="008F0C0F" w:rsidRPr="0062347D" w:rsidRDefault="008F0C0F" w:rsidP="00284F89">
      <w:pPr>
        <w:rPr>
          <w:rFonts w:cstheme="minorHAnsi"/>
          <w:b/>
          <w:sz w:val="24"/>
          <w:szCs w:val="24"/>
        </w:rPr>
      </w:pPr>
      <w:r w:rsidRPr="0062347D">
        <w:rPr>
          <w:rFonts w:cstheme="minorHAnsi"/>
          <w:b/>
          <w:sz w:val="24"/>
          <w:szCs w:val="24"/>
        </w:rPr>
        <w:lastRenderedPageBreak/>
        <w:t xml:space="preserve">PROHLÁŠENÍ </w:t>
      </w:r>
    </w:p>
    <w:p w:rsidR="008F0C0F" w:rsidRPr="0062347D" w:rsidRDefault="008F0C0F" w:rsidP="00284F89">
      <w:pPr>
        <w:jc w:val="both"/>
        <w:rPr>
          <w:rFonts w:cstheme="minorHAnsi"/>
          <w:sz w:val="24"/>
          <w:szCs w:val="24"/>
        </w:rPr>
      </w:pPr>
      <w:r w:rsidRPr="0062347D">
        <w:rPr>
          <w:rFonts w:cstheme="minorHAnsi"/>
          <w:sz w:val="24"/>
          <w:szCs w:val="24"/>
        </w:rPr>
        <w:t xml:space="preserve">„Prohlašuji, že jsem předloženou disertační práci vypracovala samostatně pod vedením prof. MUDr. Martina Petřka, CSc. za použití citované literatury.“ </w:t>
      </w:r>
    </w:p>
    <w:p w:rsidR="008F0C0F" w:rsidRPr="0062347D" w:rsidRDefault="001511A4" w:rsidP="00284F89">
      <w:pPr>
        <w:tabs>
          <w:tab w:val="left" w:pos="6379"/>
        </w:tabs>
        <w:jc w:val="both"/>
        <w:rPr>
          <w:rFonts w:cstheme="minorHAnsi"/>
          <w:sz w:val="24"/>
          <w:szCs w:val="24"/>
        </w:rPr>
      </w:pPr>
      <w:r w:rsidRPr="0062347D">
        <w:rPr>
          <w:rFonts w:cstheme="minorHAnsi"/>
          <w:sz w:val="24"/>
          <w:szCs w:val="24"/>
        </w:rPr>
        <w:t xml:space="preserve"> </w:t>
      </w:r>
      <w:r w:rsidR="008F0C0F" w:rsidRPr="0062347D">
        <w:rPr>
          <w:rFonts w:cstheme="minorHAnsi"/>
          <w:sz w:val="24"/>
          <w:szCs w:val="24"/>
        </w:rPr>
        <w:t xml:space="preserve">„Jsem seznámena s tím, že tato disertační práce je majetkem Univerzity Palackého v Olomouci (autorský zákon č. 121/2000 Sb., § 60 odst. 1) a bez jejího souhlasu nesmí být obsah práce použit v jiné publikaci. Souhlasím se zpřístupněním této práce v Univerzitní knihovně Univerzity Palackého v Olomouci.“ </w:t>
      </w:r>
    </w:p>
    <w:p w:rsidR="008F0C0F" w:rsidRPr="0062347D" w:rsidRDefault="008F0C0F" w:rsidP="00284F89">
      <w:pPr>
        <w:tabs>
          <w:tab w:val="left" w:pos="6379"/>
        </w:tabs>
        <w:rPr>
          <w:rFonts w:cstheme="minorHAnsi"/>
          <w:sz w:val="24"/>
          <w:szCs w:val="24"/>
        </w:rPr>
      </w:pPr>
      <w:r w:rsidRPr="0062347D">
        <w:rPr>
          <w:rFonts w:cstheme="minorHAnsi"/>
          <w:sz w:val="24"/>
          <w:szCs w:val="24"/>
        </w:rPr>
        <w:t xml:space="preserve"> </w:t>
      </w:r>
    </w:p>
    <w:p w:rsidR="001511A4" w:rsidRDefault="008F0C0F" w:rsidP="001511A4">
      <w:pPr>
        <w:tabs>
          <w:tab w:val="left" w:pos="8222"/>
          <w:tab w:val="left" w:pos="8505"/>
        </w:tabs>
        <w:rPr>
          <w:rFonts w:cstheme="minorHAnsi"/>
          <w:sz w:val="24"/>
          <w:szCs w:val="24"/>
        </w:rPr>
      </w:pPr>
      <w:r w:rsidRPr="0062347D">
        <w:rPr>
          <w:rFonts w:cstheme="minorHAnsi"/>
          <w:sz w:val="24"/>
          <w:szCs w:val="24"/>
        </w:rPr>
        <w:t xml:space="preserve">V Olomouci …………………………………….       </w:t>
      </w:r>
      <w:r w:rsidRPr="0062347D">
        <w:rPr>
          <w:rFonts w:cstheme="minorHAnsi"/>
          <w:sz w:val="24"/>
          <w:szCs w:val="24"/>
        </w:rPr>
        <w:tab/>
      </w:r>
      <w:r w:rsidRPr="0062347D">
        <w:rPr>
          <w:rFonts w:cstheme="minorHAnsi"/>
          <w:sz w:val="24"/>
          <w:szCs w:val="24"/>
        </w:rPr>
        <w:tab/>
      </w:r>
    </w:p>
    <w:p w:rsidR="008F0C0F" w:rsidRPr="0062347D" w:rsidRDefault="001511A4" w:rsidP="001511A4">
      <w:pPr>
        <w:tabs>
          <w:tab w:val="left" w:pos="5103"/>
          <w:tab w:val="left" w:pos="8222"/>
          <w:tab w:val="left" w:pos="8505"/>
        </w:tabs>
        <w:rPr>
          <w:rFonts w:cstheme="minorHAnsi"/>
          <w:sz w:val="24"/>
          <w:szCs w:val="24"/>
        </w:rPr>
      </w:pPr>
      <w:r>
        <w:rPr>
          <w:rFonts w:cstheme="minorHAnsi"/>
          <w:sz w:val="24"/>
          <w:szCs w:val="24"/>
        </w:rPr>
        <w:tab/>
        <w:t>……………………………………………………………</w:t>
      </w:r>
    </w:p>
    <w:p w:rsidR="008F0C0F" w:rsidRPr="0062347D" w:rsidRDefault="008F0C0F" w:rsidP="001511A4">
      <w:pPr>
        <w:tabs>
          <w:tab w:val="left" w:pos="5954"/>
          <w:tab w:val="left" w:pos="6804"/>
        </w:tabs>
        <w:rPr>
          <w:rFonts w:cstheme="minorHAnsi"/>
          <w:sz w:val="24"/>
          <w:szCs w:val="24"/>
        </w:rPr>
      </w:pPr>
      <w:r w:rsidRPr="0062347D">
        <w:rPr>
          <w:rFonts w:cstheme="minorHAnsi"/>
          <w:sz w:val="24"/>
          <w:szCs w:val="24"/>
        </w:rPr>
        <w:tab/>
        <w:t xml:space="preserve">Mgr. Eva Novosadová </w:t>
      </w:r>
    </w:p>
    <w:p w:rsidR="008F0C0F" w:rsidRPr="0062347D" w:rsidRDefault="008F0C0F">
      <w:pPr>
        <w:rPr>
          <w:rFonts w:cstheme="minorHAnsi"/>
          <w:sz w:val="24"/>
          <w:szCs w:val="24"/>
        </w:rPr>
      </w:pPr>
      <w:r w:rsidRPr="0062347D">
        <w:rPr>
          <w:rFonts w:cstheme="minorHAnsi"/>
          <w:sz w:val="24"/>
          <w:szCs w:val="24"/>
        </w:rPr>
        <w:br w:type="page"/>
      </w:r>
    </w:p>
    <w:p w:rsidR="008F0C0F" w:rsidRPr="0062347D" w:rsidRDefault="008F0C0F" w:rsidP="00284F89">
      <w:pPr>
        <w:tabs>
          <w:tab w:val="left" w:pos="6379"/>
          <w:tab w:val="left" w:pos="6804"/>
        </w:tabs>
        <w:rPr>
          <w:rFonts w:cstheme="minorHAnsi"/>
          <w:b/>
          <w:sz w:val="28"/>
          <w:szCs w:val="28"/>
        </w:rPr>
      </w:pPr>
      <w:r w:rsidRPr="0062347D">
        <w:rPr>
          <w:rFonts w:cstheme="minorHAnsi"/>
          <w:b/>
          <w:sz w:val="28"/>
          <w:szCs w:val="28"/>
        </w:rPr>
        <w:lastRenderedPageBreak/>
        <w:t>Souhrn</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 xml:space="preserve">Sarkoidóza je systémové granulomatózní onemocnění postihující různé orgány. U obyvatel Evropy je nejčastější sarkoidóza plicní. Onemocnění může ve své počáteční fázi odeznít i bez léčby, avšak u jedné třetiny pacientů progreduje do chronické formy a vyžaduje farmakologickou terapii. </w:t>
      </w:r>
      <w:r>
        <w:rPr>
          <w:rFonts w:cstheme="minorHAnsi"/>
          <w:sz w:val="24"/>
          <w:szCs w:val="24"/>
        </w:rPr>
        <w:t>K</w:t>
      </w:r>
      <w:r w:rsidRPr="0062347D">
        <w:rPr>
          <w:rFonts w:cstheme="minorHAnsi"/>
          <w:sz w:val="24"/>
          <w:szCs w:val="24"/>
        </w:rPr>
        <w:t xml:space="preserve">vůli vedlejším účinkům se hledají další možnosti pro vývoj nových způsobů léčby. </w:t>
      </w:r>
    </w:p>
    <w:p w:rsidR="008F0C0F" w:rsidRDefault="008F0C0F" w:rsidP="00284F89">
      <w:pPr>
        <w:spacing w:line="360" w:lineRule="auto"/>
        <w:ind w:firstLine="709"/>
        <w:jc w:val="both"/>
        <w:rPr>
          <w:rFonts w:cstheme="minorHAnsi"/>
          <w:sz w:val="24"/>
          <w:szCs w:val="24"/>
        </w:rPr>
      </w:pPr>
      <w:r w:rsidRPr="0062347D">
        <w:rPr>
          <w:rFonts w:cstheme="minorHAnsi"/>
          <w:sz w:val="24"/>
          <w:szCs w:val="24"/>
        </w:rPr>
        <w:t>U plicní sarkoidózy dochází k rozvoji Th1 imunitní odpovědi (T helper 1 immune response) se zvýšením CD4</w:t>
      </w:r>
      <w:r w:rsidRPr="0062347D">
        <w:rPr>
          <w:rFonts w:cstheme="minorHAnsi"/>
          <w:sz w:val="24"/>
          <w:szCs w:val="24"/>
          <w:vertAlign w:val="superscript"/>
        </w:rPr>
        <w:t>+</w:t>
      </w:r>
      <w:r w:rsidRPr="0062347D">
        <w:rPr>
          <w:rFonts w:cstheme="minorHAnsi"/>
          <w:sz w:val="24"/>
          <w:szCs w:val="24"/>
        </w:rPr>
        <w:t xml:space="preserve"> T-lymfocytů v plicích a k jejich snížení v periferní krvi. Zkoumání relativní</w:t>
      </w:r>
      <w:r>
        <w:rPr>
          <w:rFonts w:cstheme="minorHAnsi"/>
          <w:sz w:val="24"/>
          <w:szCs w:val="24"/>
        </w:rPr>
        <w:t>ch</w:t>
      </w:r>
      <w:r w:rsidRPr="0062347D">
        <w:rPr>
          <w:rFonts w:cstheme="minorHAnsi"/>
          <w:sz w:val="24"/>
          <w:szCs w:val="24"/>
        </w:rPr>
        <w:t xml:space="preserve"> </w:t>
      </w:r>
      <w:r>
        <w:rPr>
          <w:rFonts w:cstheme="minorHAnsi"/>
          <w:sz w:val="24"/>
          <w:szCs w:val="24"/>
        </w:rPr>
        <w:t>počtů</w:t>
      </w:r>
      <w:r w:rsidRPr="0062347D">
        <w:rPr>
          <w:rFonts w:cstheme="minorHAnsi"/>
          <w:sz w:val="24"/>
          <w:szCs w:val="24"/>
        </w:rPr>
        <w:t xml:space="preserve"> CD4</w:t>
      </w:r>
      <w:r w:rsidRPr="0062347D">
        <w:rPr>
          <w:rFonts w:cstheme="minorHAnsi"/>
          <w:sz w:val="24"/>
          <w:szCs w:val="24"/>
          <w:vertAlign w:val="superscript"/>
        </w:rPr>
        <w:t>+</w:t>
      </w:r>
      <w:r w:rsidRPr="0062347D">
        <w:rPr>
          <w:rFonts w:cstheme="minorHAnsi"/>
          <w:sz w:val="24"/>
          <w:szCs w:val="24"/>
        </w:rPr>
        <w:t xml:space="preserve"> T-lymfocytů u jednotlivých stádií plicní sarkoidózy a jejich porovnání s ostatními intersticiálními plicními nemocemi doplňuje poznatky o bronchoalveolárních CD4</w:t>
      </w:r>
      <w:r w:rsidRPr="0062347D">
        <w:rPr>
          <w:rFonts w:cstheme="minorHAnsi"/>
          <w:sz w:val="24"/>
          <w:szCs w:val="24"/>
          <w:vertAlign w:val="superscript"/>
        </w:rPr>
        <w:t>+</w:t>
      </w:r>
      <w:r w:rsidRPr="0062347D">
        <w:rPr>
          <w:rFonts w:cstheme="minorHAnsi"/>
          <w:sz w:val="24"/>
          <w:szCs w:val="24"/>
        </w:rPr>
        <w:t xml:space="preserve"> T-lymfocytech. Prozatím nebyla uvedena publikace, která by porovnala buněčné profily jednotlivých stádií plicní sarkoidózy s ostatními intersticiálními plicními nemocemi. Pacienti v této studii byli všichni nekuřáci, protože kouření může ovlivňovat buněčné populace v plicích.</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 xml:space="preserve"> Stanovení </w:t>
      </w:r>
      <w:r>
        <w:rPr>
          <w:rFonts w:cstheme="minorHAnsi"/>
          <w:sz w:val="24"/>
          <w:szCs w:val="24"/>
        </w:rPr>
        <w:t xml:space="preserve">relativních počtů </w:t>
      </w:r>
      <w:r w:rsidRPr="0062347D">
        <w:rPr>
          <w:rFonts w:cstheme="minorHAnsi"/>
          <w:sz w:val="24"/>
          <w:szCs w:val="24"/>
        </w:rPr>
        <w:t>bronchoalveolárních CD4</w:t>
      </w:r>
      <w:r w:rsidRPr="0062347D">
        <w:rPr>
          <w:rFonts w:cstheme="minorHAnsi"/>
          <w:sz w:val="24"/>
          <w:szCs w:val="24"/>
          <w:vertAlign w:val="superscript"/>
        </w:rPr>
        <w:t>+</w:t>
      </w:r>
      <w:r w:rsidRPr="0062347D">
        <w:rPr>
          <w:rFonts w:cstheme="minorHAnsi"/>
          <w:sz w:val="24"/>
          <w:szCs w:val="24"/>
        </w:rPr>
        <w:t xml:space="preserve"> a CD8</w:t>
      </w:r>
      <w:r w:rsidRPr="0062347D">
        <w:rPr>
          <w:rFonts w:cstheme="minorHAnsi"/>
          <w:sz w:val="24"/>
          <w:szCs w:val="24"/>
          <w:vertAlign w:val="superscript"/>
        </w:rPr>
        <w:t>+</w:t>
      </w:r>
      <w:r w:rsidR="00167B85">
        <w:rPr>
          <w:rFonts w:cstheme="minorHAnsi"/>
          <w:sz w:val="24"/>
          <w:szCs w:val="24"/>
        </w:rPr>
        <w:t xml:space="preserve"> T-lymfocytů a výpočtu</w:t>
      </w:r>
      <w:r w:rsidRPr="0062347D">
        <w:rPr>
          <w:rFonts w:cstheme="minorHAnsi"/>
          <w:sz w:val="24"/>
          <w:szCs w:val="24"/>
        </w:rPr>
        <w:t xml:space="preserve"> poměru CD4</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je v současné době využíván</w:t>
      </w:r>
      <w:r w:rsidR="00AF351A">
        <w:rPr>
          <w:rFonts w:cstheme="minorHAnsi"/>
          <w:sz w:val="24"/>
          <w:szCs w:val="24"/>
        </w:rPr>
        <w:t>o</w:t>
      </w:r>
      <w:r w:rsidRPr="0062347D">
        <w:rPr>
          <w:rFonts w:cstheme="minorHAnsi"/>
          <w:sz w:val="24"/>
          <w:szCs w:val="24"/>
        </w:rPr>
        <w:t xml:space="preserve"> v rámci vyšetření pro diagnostiku sarkoidózy. Někteří autoři se domnívají, že by CD4</w:t>
      </w:r>
      <w:r w:rsidRPr="0062347D">
        <w:rPr>
          <w:rFonts w:cstheme="minorHAnsi"/>
          <w:sz w:val="24"/>
          <w:szCs w:val="24"/>
          <w:vertAlign w:val="superscript"/>
        </w:rPr>
        <w:t>+</w:t>
      </w:r>
      <w:r w:rsidRPr="0062347D">
        <w:rPr>
          <w:rFonts w:cstheme="minorHAnsi"/>
          <w:sz w:val="24"/>
          <w:szCs w:val="24"/>
        </w:rPr>
        <w:t xml:space="preserve"> T-lymfocyty mohly sloužit jako potenciální terapeutick</w:t>
      </w:r>
      <w:r>
        <w:rPr>
          <w:rFonts w:cstheme="minorHAnsi"/>
          <w:sz w:val="24"/>
          <w:szCs w:val="24"/>
        </w:rPr>
        <w:t>é</w:t>
      </w:r>
      <w:r w:rsidRPr="0062347D">
        <w:rPr>
          <w:rFonts w:cstheme="minorHAnsi"/>
          <w:sz w:val="24"/>
          <w:szCs w:val="24"/>
        </w:rPr>
        <w:t xml:space="preserve"> cíle. Proto by bylo dobré podrobněji prozkoumat bronchoalveolární CD4</w:t>
      </w:r>
      <w:r w:rsidRPr="0062347D">
        <w:rPr>
          <w:rFonts w:cstheme="minorHAnsi"/>
          <w:sz w:val="24"/>
          <w:szCs w:val="24"/>
          <w:vertAlign w:val="superscript"/>
        </w:rPr>
        <w:t>+</w:t>
      </w:r>
      <w:r w:rsidRPr="0062347D">
        <w:rPr>
          <w:rFonts w:cstheme="minorHAnsi"/>
          <w:sz w:val="24"/>
          <w:szCs w:val="24"/>
        </w:rPr>
        <w:t xml:space="preserve"> T-lymfocyty u přesněji stratifikovaných stádií plicní sarkoidózy.</w:t>
      </w:r>
      <w:r>
        <w:rPr>
          <w:rFonts w:cstheme="minorHAnsi"/>
          <w:sz w:val="24"/>
          <w:szCs w:val="24"/>
        </w:rPr>
        <w:t xml:space="preserve"> Zkoumání relativních počtů CD4</w:t>
      </w:r>
      <w:r w:rsidRPr="00C87449">
        <w:rPr>
          <w:rFonts w:cstheme="minorHAnsi"/>
          <w:sz w:val="24"/>
          <w:szCs w:val="24"/>
          <w:vertAlign w:val="superscript"/>
        </w:rPr>
        <w:t>+</w:t>
      </w:r>
      <w:r>
        <w:rPr>
          <w:rFonts w:cstheme="minorHAnsi"/>
          <w:sz w:val="24"/>
          <w:szCs w:val="24"/>
        </w:rPr>
        <w:t xml:space="preserve"> T-lymfocytů u různých skupin pacientů s plicní sarkoidózou by mohlo dopomoci k lepšímu popisu tohoto onemocnění, které může mít tak variabilní průběh a jehož mechanismy vzniku nejsou zatím objasněny.</w:t>
      </w:r>
    </w:p>
    <w:p w:rsidR="008F0C0F" w:rsidRPr="0062347D" w:rsidRDefault="008F0C0F" w:rsidP="00284F89">
      <w:pPr>
        <w:spacing w:line="360" w:lineRule="auto"/>
        <w:ind w:firstLine="709"/>
        <w:jc w:val="both"/>
        <w:rPr>
          <w:rFonts w:cstheme="minorHAnsi"/>
          <w:color w:val="1F497D" w:themeColor="text2"/>
          <w:sz w:val="24"/>
          <w:szCs w:val="24"/>
        </w:rPr>
      </w:pPr>
      <w:r w:rsidRPr="0062347D">
        <w:rPr>
          <w:rFonts w:cstheme="minorHAnsi"/>
          <w:sz w:val="24"/>
          <w:szCs w:val="24"/>
        </w:rPr>
        <w:t xml:space="preserve">Co se týče vývoje nových způsobů léčby, naděje </w:t>
      </w:r>
      <w:r>
        <w:rPr>
          <w:rFonts w:cstheme="minorHAnsi"/>
          <w:sz w:val="24"/>
          <w:szCs w:val="24"/>
        </w:rPr>
        <w:t xml:space="preserve">jsou </w:t>
      </w:r>
      <w:r w:rsidRPr="0062347D">
        <w:rPr>
          <w:rFonts w:cstheme="minorHAnsi"/>
          <w:sz w:val="24"/>
          <w:szCs w:val="24"/>
        </w:rPr>
        <w:t>také vkládány do RNA-vazebných proteinů. RNA-vazebné proteiny jsou potenciálním terapeutickým cílem především u maligních plicních onemocnění. Znalosti o jejich expresi v bronchoalveolárních buňkách by také mohly přispět k rozvoji nových terapeutických strategií u sarkoidózy. V naší práci jsme stanovili relativní mRNA expresi vybraných RNA-vazebných proteinů u pacientů s plicní sarkoidózou a porovnali ji s relativní expresí u pacientů s obstrukčními plicními nemocemi, idiopatickými intersticiálními pneumoniemi a zdravými kontrolami.</w:t>
      </w:r>
    </w:p>
    <w:p w:rsidR="008F0C0F" w:rsidRDefault="008F0C0F" w:rsidP="00284F89">
      <w:pPr>
        <w:spacing w:line="360" w:lineRule="auto"/>
        <w:ind w:firstLine="709"/>
        <w:jc w:val="both"/>
        <w:rPr>
          <w:rFonts w:cstheme="minorHAnsi"/>
          <w:sz w:val="24"/>
          <w:szCs w:val="24"/>
        </w:rPr>
      </w:pPr>
      <w:r w:rsidRPr="0062347D">
        <w:rPr>
          <w:rFonts w:cstheme="minorHAnsi"/>
          <w:sz w:val="24"/>
          <w:szCs w:val="24"/>
        </w:rPr>
        <w:lastRenderedPageBreak/>
        <w:t>Diagnóza sarkoidózy může být stanovena kombinací laboratorních vyšetření, zobrazovacích metod, funkčního vyšetření plic a invazivního bronchoskopického vyšetření, které může být spojeno s biopsií plicní tkáně. Průběh onemocnění může být variabilní a</w:t>
      </w:r>
      <w:r>
        <w:rPr>
          <w:rFonts w:cstheme="minorHAnsi"/>
          <w:sz w:val="24"/>
          <w:szCs w:val="24"/>
        </w:rPr>
        <w:t> </w:t>
      </w:r>
      <w:r w:rsidRPr="0062347D">
        <w:rPr>
          <w:rFonts w:cstheme="minorHAnsi"/>
          <w:sz w:val="24"/>
          <w:szCs w:val="24"/>
        </w:rPr>
        <w:t>neurčitý. Proto přetrvává potřeba nalézt nové neinvazivní způsoby pro diagnostiku dalšího rozvoje nemoci. V tomto směru je naděje vkládána do studia miRNA, a to zejména těch obsažených v krvi. V tomto projektu jsme se zaměřili na prozkoumání a porovnání relativní exprese miRNA v séru pacientů s plicní sarkoidózou</w:t>
      </w:r>
      <w:r>
        <w:rPr>
          <w:rFonts w:cstheme="minorHAnsi"/>
          <w:sz w:val="24"/>
          <w:szCs w:val="24"/>
        </w:rPr>
        <w:t>,</w:t>
      </w:r>
      <w:r w:rsidRPr="0062347D">
        <w:rPr>
          <w:rFonts w:cstheme="minorHAnsi"/>
          <w:sz w:val="24"/>
          <w:szCs w:val="24"/>
        </w:rPr>
        <w:t xml:space="preserve"> a to u pacientů s akutním stádiem provázeným Löfgrenovým syndromem s pacienty v pokročilém stádiu onemocnění.</w:t>
      </w:r>
    </w:p>
    <w:p w:rsidR="008F0C0F" w:rsidRPr="0062347D" w:rsidRDefault="008F0C0F" w:rsidP="00284F89">
      <w:pPr>
        <w:spacing w:line="360" w:lineRule="auto"/>
        <w:ind w:firstLine="709"/>
        <w:jc w:val="both"/>
        <w:rPr>
          <w:rFonts w:cstheme="minorHAnsi"/>
          <w:sz w:val="24"/>
          <w:szCs w:val="24"/>
        </w:rPr>
      </w:pPr>
      <w:r w:rsidRPr="003B36A1">
        <w:rPr>
          <w:rFonts w:cstheme="minorHAnsi"/>
          <w:b/>
          <w:sz w:val="24"/>
          <w:szCs w:val="24"/>
        </w:rPr>
        <w:t>Klíčová slova:</w:t>
      </w:r>
      <w:r>
        <w:rPr>
          <w:rFonts w:cstheme="minorHAnsi"/>
          <w:sz w:val="24"/>
          <w:szCs w:val="24"/>
        </w:rPr>
        <w:t xml:space="preserve"> plicní sarkoidóza, bronchoalveolární CD4</w:t>
      </w:r>
      <w:r w:rsidRPr="006B198A">
        <w:rPr>
          <w:rFonts w:cstheme="minorHAnsi"/>
          <w:sz w:val="24"/>
          <w:szCs w:val="24"/>
          <w:vertAlign w:val="superscript"/>
        </w:rPr>
        <w:t>+</w:t>
      </w:r>
      <w:r>
        <w:rPr>
          <w:rFonts w:cstheme="minorHAnsi"/>
          <w:sz w:val="24"/>
          <w:szCs w:val="24"/>
        </w:rPr>
        <w:t xml:space="preserve"> a CD8</w:t>
      </w:r>
      <w:r w:rsidRPr="006B198A">
        <w:rPr>
          <w:rFonts w:cstheme="minorHAnsi"/>
          <w:sz w:val="24"/>
          <w:szCs w:val="24"/>
          <w:vertAlign w:val="superscript"/>
        </w:rPr>
        <w:t>+</w:t>
      </w:r>
      <w:r>
        <w:rPr>
          <w:rFonts w:cstheme="minorHAnsi"/>
          <w:sz w:val="24"/>
          <w:szCs w:val="24"/>
        </w:rPr>
        <w:t xml:space="preserve"> T-lymfocyty, RNA-vazebné proteiny, miRNA, real-time PCR</w:t>
      </w:r>
      <w:r w:rsidRPr="0062347D">
        <w:rPr>
          <w:rFonts w:cstheme="minorHAnsi"/>
          <w:sz w:val="24"/>
          <w:szCs w:val="24"/>
        </w:rPr>
        <w:br w:type="page"/>
      </w:r>
    </w:p>
    <w:p w:rsidR="008F0C0F" w:rsidRPr="00DC2A0D" w:rsidRDefault="008F0C0F" w:rsidP="00284F89">
      <w:pPr>
        <w:spacing w:line="360" w:lineRule="auto"/>
        <w:jc w:val="both"/>
        <w:rPr>
          <w:rFonts w:cstheme="minorHAnsi"/>
          <w:sz w:val="28"/>
          <w:szCs w:val="28"/>
          <w:lang w:val="en-GB"/>
        </w:rPr>
      </w:pPr>
      <w:r w:rsidRPr="00D12901">
        <w:rPr>
          <w:rFonts w:cstheme="minorHAnsi"/>
          <w:b/>
          <w:sz w:val="28"/>
          <w:szCs w:val="28"/>
          <w:lang w:val="en-GB"/>
        </w:rPr>
        <w:lastRenderedPageBreak/>
        <w:t>Summary</w:t>
      </w:r>
      <w:r w:rsidRPr="00D12901">
        <w:rPr>
          <w:rFonts w:cstheme="minorHAnsi"/>
          <w:sz w:val="28"/>
          <w:szCs w:val="28"/>
          <w:lang w:val="en-GB"/>
        </w:rPr>
        <w:t xml:space="preserve"> </w:t>
      </w:r>
    </w:p>
    <w:p w:rsidR="008F0C0F" w:rsidRPr="00D12901" w:rsidRDefault="008F0C0F" w:rsidP="00284F89">
      <w:pPr>
        <w:spacing w:line="360" w:lineRule="auto"/>
        <w:ind w:firstLine="709"/>
        <w:jc w:val="both"/>
        <w:rPr>
          <w:rFonts w:cstheme="minorHAnsi"/>
          <w:sz w:val="24"/>
          <w:szCs w:val="24"/>
          <w:lang w:val="en-GB"/>
        </w:rPr>
      </w:pPr>
      <w:r w:rsidRPr="00DC2A0D">
        <w:rPr>
          <w:rFonts w:cstheme="minorHAnsi"/>
          <w:sz w:val="24"/>
          <w:szCs w:val="24"/>
          <w:lang w:val="en-GB"/>
        </w:rPr>
        <w:t>Sarcoidosis is a systemic granulomatous disease affecting various organs. Pulmonary sarcoidosis is the most common in the European population. Sarcoidosis can resolve in its initial phase, nevertheless, it can deteriorate in one third of patients. These patients need a</w:t>
      </w:r>
      <w:r w:rsidRPr="00D12901">
        <w:rPr>
          <w:rFonts w:cstheme="minorHAnsi"/>
          <w:sz w:val="24"/>
          <w:szCs w:val="24"/>
          <w:lang w:val="en-GB"/>
        </w:rPr>
        <w:t> pharmacological therapy. However, current treatment could have side effects.</w:t>
      </w:r>
    </w:p>
    <w:p w:rsidR="008F0C0F" w:rsidRDefault="008F0C0F" w:rsidP="00284F89">
      <w:pPr>
        <w:spacing w:line="360" w:lineRule="auto"/>
        <w:ind w:firstLine="709"/>
        <w:jc w:val="both"/>
        <w:rPr>
          <w:rFonts w:cstheme="minorHAnsi"/>
          <w:sz w:val="24"/>
          <w:szCs w:val="24"/>
          <w:lang w:val="en-GB"/>
        </w:rPr>
      </w:pPr>
      <w:r w:rsidRPr="00D12901">
        <w:rPr>
          <w:rFonts w:cstheme="minorHAnsi"/>
          <w:sz w:val="24"/>
          <w:szCs w:val="24"/>
          <w:lang w:val="en-GB"/>
        </w:rPr>
        <w:t>In pulmonary sarcoidosis, there is a development of T helper 1 (Th1) immune response with the increase of CD4</w:t>
      </w:r>
      <w:r w:rsidRPr="00D12901">
        <w:rPr>
          <w:rFonts w:cstheme="minorHAnsi"/>
          <w:sz w:val="24"/>
          <w:szCs w:val="24"/>
          <w:vertAlign w:val="superscript"/>
          <w:lang w:val="en-GB"/>
        </w:rPr>
        <w:t>+</w:t>
      </w:r>
      <w:r w:rsidRPr="00D12901">
        <w:rPr>
          <w:rFonts w:cstheme="minorHAnsi"/>
          <w:sz w:val="24"/>
          <w:szCs w:val="24"/>
          <w:lang w:val="en-GB"/>
        </w:rPr>
        <w:t xml:space="preserve"> T</w:t>
      </w:r>
      <w:r w:rsidRPr="00C87449">
        <w:rPr>
          <w:rFonts w:cstheme="minorHAnsi"/>
          <w:sz w:val="24"/>
          <w:szCs w:val="24"/>
          <w:lang w:val="en-GB"/>
        </w:rPr>
        <w:t>-</w:t>
      </w:r>
      <w:r w:rsidRPr="00D12901">
        <w:rPr>
          <w:rFonts w:cstheme="minorHAnsi"/>
          <w:sz w:val="24"/>
          <w:szCs w:val="24"/>
          <w:lang w:val="en-GB"/>
        </w:rPr>
        <w:t>lymph</w:t>
      </w:r>
      <w:r w:rsidRPr="00DC2A0D">
        <w:rPr>
          <w:rFonts w:cstheme="minorHAnsi"/>
          <w:sz w:val="24"/>
          <w:szCs w:val="24"/>
          <w:lang w:val="en-GB"/>
        </w:rPr>
        <w:t xml:space="preserve">ocytes in bronchoalveolar space and their decrease in peripheral blood. The research </w:t>
      </w:r>
      <w:r>
        <w:rPr>
          <w:rFonts w:cstheme="minorHAnsi"/>
          <w:sz w:val="24"/>
          <w:szCs w:val="24"/>
          <w:lang w:val="en-GB"/>
        </w:rPr>
        <w:t>in</w:t>
      </w:r>
      <w:r w:rsidRPr="00D12901">
        <w:rPr>
          <w:rFonts w:cstheme="minorHAnsi"/>
          <w:sz w:val="24"/>
          <w:szCs w:val="24"/>
          <w:lang w:val="en-GB"/>
        </w:rPr>
        <w:t xml:space="preserve"> the field of bronchoalveolar CD4</w:t>
      </w:r>
      <w:r w:rsidRPr="00D12901">
        <w:rPr>
          <w:rFonts w:cstheme="minorHAnsi"/>
          <w:sz w:val="24"/>
          <w:szCs w:val="24"/>
          <w:vertAlign w:val="superscript"/>
          <w:lang w:val="en-GB"/>
        </w:rPr>
        <w:t>+</w:t>
      </w:r>
      <w:r w:rsidRPr="00D12901">
        <w:rPr>
          <w:rFonts w:cstheme="minorHAnsi"/>
          <w:sz w:val="24"/>
          <w:szCs w:val="24"/>
          <w:lang w:val="en-GB"/>
        </w:rPr>
        <w:t xml:space="preserve"> T-lymphocytes in particular pulmonary sarcoidosis stages and its comparison with other interstitial pulmonary diseases could improve the knowledge about bronchoalveolar CD4</w:t>
      </w:r>
      <w:r w:rsidRPr="00D12901">
        <w:rPr>
          <w:rFonts w:cstheme="minorHAnsi"/>
          <w:sz w:val="24"/>
          <w:szCs w:val="24"/>
          <w:vertAlign w:val="superscript"/>
          <w:lang w:val="en-GB"/>
        </w:rPr>
        <w:t>+</w:t>
      </w:r>
      <w:r w:rsidRPr="00D12901">
        <w:rPr>
          <w:rFonts w:cstheme="minorHAnsi"/>
          <w:sz w:val="24"/>
          <w:szCs w:val="24"/>
          <w:lang w:val="en-GB"/>
        </w:rPr>
        <w:t xml:space="preserve"> T</w:t>
      </w:r>
      <w:r w:rsidRPr="00C87449">
        <w:rPr>
          <w:rFonts w:cstheme="minorHAnsi"/>
          <w:sz w:val="24"/>
          <w:szCs w:val="24"/>
          <w:lang w:val="en-GB"/>
        </w:rPr>
        <w:t>-</w:t>
      </w:r>
      <w:r w:rsidRPr="00D12901">
        <w:rPr>
          <w:rFonts w:cstheme="minorHAnsi"/>
          <w:sz w:val="24"/>
          <w:szCs w:val="24"/>
          <w:lang w:val="en-GB"/>
        </w:rPr>
        <w:t xml:space="preserve">lymphocytes. So far, no </w:t>
      </w:r>
      <w:r w:rsidRPr="00DC2A0D">
        <w:rPr>
          <w:rFonts w:cstheme="minorHAnsi"/>
          <w:sz w:val="24"/>
          <w:szCs w:val="24"/>
          <w:lang w:val="en-GB"/>
        </w:rPr>
        <w:t>publication about comparison of the bronchoalveolar CD4</w:t>
      </w:r>
      <w:r w:rsidRPr="00DC2A0D">
        <w:rPr>
          <w:rFonts w:cstheme="minorHAnsi"/>
          <w:sz w:val="24"/>
          <w:szCs w:val="24"/>
          <w:vertAlign w:val="superscript"/>
          <w:lang w:val="en-GB"/>
        </w:rPr>
        <w:t>+</w:t>
      </w:r>
      <w:r w:rsidRPr="00DC2A0D">
        <w:rPr>
          <w:rFonts w:cstheme="minorHAnsi"/>
          <w:sz w:val="24"/>
          <w:szCs w:val="24"/>
          <w:lang w:val="en-GB"/>
        </w:rPr>
        <w:t xml:space="preserve"> </w:t>
      </w:r>
      <w:r>
        <w:rPr>
          <w:rFonts w:cstheme="minorHAnsi"/>
          <w:sz w:val="24"/>
          <w:szCs w:val="24"/>
          <w:lang w:val="en-GB"/>
        </w:rPr>
        <w:t xml:space="preserve">and </w:t>
      </w:r>
      <w:r w:rsidRPr="00DC2A0D">
        <w:rPr>
          <w:rFonts w:cstheme="minorHAnsi"/>
          <w:sz w:val="24"/>
          <w:szCs w:val="24"/>
          <w:lang w:val="en-GB"/>
        </w:rPr>
        <w:t>CD8</w:t>
      </w:r>
      <w:r w:rsidRPr="00DC2A0D">
        <w:rPr>
          <w:rFonts w:cstheme="minorHAnsi"/>
          <w:sz w:val="24"/>
          <w:szCs w:val="24"/>
          <w:vertAlign w:val="superscript"/>
          <w:lang w:val="en-GB"/>
        </w:rPr>
        <w:t>+</w:t>
      </w:r>
      <w:r w:rsidRPr="00DC2A0D">
        <w:rPr>
          <w:rFonts w:cstheme="minorHAnsi"/>
          <w:sz w:val="24"/>
          <w:szCs w:val="24"/>
          <w:lang w:val="en-GB"/>
        </w:rPr>
        <w:t xml:space="preserve"> T-lymphocytes of individual pulmonary sarcoidosis stages with other interstitial lung d</w:t>
      </w:r>
      <w:r w:rsidR="00D378BA">
        <w:rPr>
          <w:rFonts w:cstheme="minorHAnsi"/>
          <w:sz w:val="24"/>
          <w:szCs w:val="24"/>
          <w:lang w:val="en-GB"/>
        </w:rPr>
        <w:t>iseases has been published. P</w:t>
      </w:r>
      <w:r w:rsidRPr="00DC2A0D">
        <w:rPr>
          <w:rFonts w:cstheme="minorHAnsi"/>
          <w:sz w:val="24"/>
          <w:szCs w:val="24"/>
          <w:lang w:val="en-GB"/>
        </w:rPr>
        <w:t>atients in this study were all non-smokers, because smoking may affect cell populations in the lungs.</w:t>
      </w:r>
    </w:p>
    <w:p w:rsidR="008F0C0F" w:rsidRPr="00DC2A0D" w:rsidRDefault="008F0C0F" w:rsidP="00284F89">
      <w:pPr>
        <w:spacing w:line="360" w:lineRule="auto"/>
        <w:ind w:firstLine="709"/>
        <w:jc w:val="both"/>
        <w:rPr>
          <w:rFonts w:cstheme="minorHAnsi"/>
          <w:sz w:val="24"/>
          <w:szCs w:val="24"/>
          <w:lang w:val="en-GB"/>
        </w:rPr>
      </w:pPr>
      <w:r>
        <w:rPr>
          <w:rFonts w:cstheme="minorHAnsi"/>
          <w:sz w:val="24"/>
          <w:szCs w:val="24"/>
          <w:lang w:val="en-GB"/>
        </w:rPr>
        <w:t>Relative counts of bronchoalveolar CD4</w:t>
      </w:r>
      <w:r w:rsidRPr="003B36A1">
        <w:rPr>
          <w:rFonts w:cstheme="minorHAnsi"/>
          <w:sz w:val="24"/>
          <w:szCs w:val="24"/>
          <w:vertAlign w:val="superscript"/>
          <w:lang w:val="en-GB"/>
        </w:rPr>
        <w:t>+</w:t>
      </w:r>
      <w:r>
        <w:rPr>
          <w:rFonts w:cstheme="minorHAnsi"/>
          <w:sz w:val="24"/>
          <w:szCs w:val="24"/>
          <w:lang w:val="en-GB"/>
        </w:rPr>
        <w:t xml:space="preserve"> and CD8</w:t>
      </w:r>
      <w:r w:rsidRPr="003B36A1">
        <w:rPr>
          <w:rFonts w:cstheme="minorHAnsi"/>
          <w:sz w:val="24"/>
          <w:szCs w:val="24"/>
          <w:vertAlign w:val="superscript"/>
          <w:lang w:val="en-GB"/>
        </w:rPr>
        <w:t>+</w:t>
      </w:r>
      <w:r>
        <w:rPr>
          <w:rFonts w:cstheme="minorHAnsi"/>
          <w:sz w:val="24"/>
          <w:szCs w:val="24"/>
          <w:lang w:val="en-GB"/>
        </w:rPr>
        <w:t xml:space="preserve"> T-lymphocytes and calculation of their ratio (CD4</w:t>
      </w:r>
      <w:r w:rsidR="00D378BA" w:rsidRPr="003B36A1">
        <w:rPr>
          <w:rFonts w:cstheme="minorHAnsi"/>
          <w:sz w:val="24"/>
          <w:szCs w:val="24"/>
          <w:vertAlign w:val="superscript"/>
          <w:lang w:val="en-GB"/>
        </w:rPr>
        <w:t>+</w:t>
      </w:r>
      <w:r>
        <w:rPr>
          <w:rFonts w:cstheme="minorHAnsi"/>
          <w:sz w:val="24"/>
          <w:szCs w:val="24"/>
          <w:lang w:val="en-GB"/>
        </w:rPr>
        <w:t>/CD8</w:t>
      </w:r>
      <w:r w:rsidR="00D378BA" w:rsidRPr="003B36A1">
        <w:rPr>
          <w:rFonts w:cstheme="minorHAnsi"/>
          <w:sz w:val="24"/>
          <w:szCs w:val="24"/>
          <w:vertAlign w:val="superscript"/>
          <w:lang w:val="en-GB"/>
        </w:rPr>
        <w:t>+</w:t>
      </w:r>
      <w:r>
        <w:rPr>
          <w:rFonts w:cstheme="minorHAnsi"/>
          <w:sz w:val="24"/>
          <w:szCs w:val="24"/>
          <w:lang w:val="en-GB"/>
        </w:rPr>
        <w:t>) is today still a part of the diagnostic process of sarcoidosis. CD4</w:t>
      </w:r>
      <w:r w:rsidRPr="003B36A1">
        <w:rPr>
          <w:rFonts w:cstheme="minorHAnsi"/>
          <w:sz w:val="24"/>
          <w:szCs w:val="24"/>
          <w:vertAlign w:val="superscript"/>
          <w:lang w:val="en-GB"/>
        </w:rPr>
        <w:t>+</w:t>
      </w:r>
      <w:r>
        <w:rPr>
          <w:rFonts w:cstheme="minorHAnsi"/>
          <w:sz w:val="24"/>
          <w:szCs w:val="24"/>
          <w:lang w:val="en-GB"/>
        </w:rPr>
        <w:t xml:space="preserve"> T-lymphocytes are also interesting in terms of the development of new therapies. Therefore it could be useful to study relative bronchoalveolar T-lymphocytes in more detail in more precisely divided sarcoidosis stages. This could contribute to reveal the mechanism of sarcoidosis origin, which is not still clarified. </w:t>
      </w:r>
    </w:p>
    <w:p w:rsidR="008F0C0F" w:rsidRPr="00532CA3" w:rsidRDefault="008F0C0F" w:rsidP="00284F89">
      <w:pPr>
        <w:spacing w:line="360" w:lineRule="auto"/>
        <w:ind w:firstLine="709"/>
        <w:jc w:val="both"/>
        <w:rPr>
          <w:rFonts w:cstheme="minorHAnsi"/>
          <w:sz w:val="24"/>
          <w:szCs w:val="24"/>
          <w:lang w:val="en-GB"/>
        </w:rPr>
      </w:pPr>
      <w:r w:rsidRPr="00DC2A0D">
        <w:rPr>
          <w:rFonts w:cstheme="minorHAnsi"/>
          <w:sz w:val="24"/>
          <w:szCs w:val="24"/>
          <w:lang w:val="en-GB"/>
        </w:rPr>
        <w:t>New ways of therapies</w:t>
      </w:r>
      <w:r w:rsidRPr="00087CE5">
        <w:rPr>
          <w:rFonts w:cstheme="minorHAnsi"/>
          <w:sz w:val="24"/>
          <w:szCs w:val="24"/>
          <w:lang w:val="en-GB"/>
        </w:rPr>
        <w:t xml:space="preserve"> for patients with sarcoidosis are still being sought. Molecules that are considered to be potential therapeutic targets are RNA-binding proteins. These molecules participate on regulation of transcription in the cells.</w:t>
      </w:r>
      <w:r w:rsidRPr="00D12901">
        <w:rPr>
          <w:rFonts w:cstheme="minorHAnsi"/>
          <w:sz w:val="24"/>
          <w:szCs w:val="24"/>
          <w:lang w:val="en-GB"/>
        </w:rPr>
        <w:t xml:space="preserve"> As regards to</w:t>
      </w:r>
      <w:r w:rsidRPr="00087CE5">
        <w:rPr>
          <w:rFonts w:cstheme="minorHAnsi"/>
          <w:sz w:val="24"/>
          <w:szCs w:val="24"/>
          <w:lang w:val="en-GB"/>
        </w:rPr>
        <w:t xml:space="preserve"> the pulmonary diseases, RNA-binding proteins are currently potential therapeutic targets in malignant pulmonary disease. The knowledge about their expression in bronchoalveolar cells could contribute to the issue of new therapies in pulmonary sarcoidosis. In our work</w:t>
      </w:r>
      <w:r>
        <w:rPr>
          <w:rFonts w:cstheme="minorHAnsi"/>
          <w:sz w:val="24"/>
          <w:szCs w:val="24"/>
          <w:lang w:val="en-GB"/>
        </w:rPr>
        <w:t>,</w:t>
      </w:r>
      <w:r w:rsidRPr="00087CE5">
        <w:rPr>
          <w:rFonts w:cstheme="minorHAnsi"/>
          <w:sz w:val="24"/>
          <w:szCs w:val="24"/>
          <w:lang w:val="en-GB"/>
        </w:rPr>
        <w:t xml:space="preserve"> we determined relative mRNA expression of RNA-binding proteins in patients with pulmonary sarcoidosis and we compared it with the relative mRNA expression determined in obstructive pulmonary diseases (asthma and chronic obstructive pulmonary disease), idiopathic</w:t>
      </w:r>
      <w:r w:rsidRPr="00532CA3">
        <w:rPr>
          <w:rFonts w:cstheme="minorHAnsi"/>
          <w:sz w:val="24"/>
          <w:szCs w:val="24"/>
          <w:lang w:val="en-GB"/>
        </w:rPr>
        <w:t xml:space="preserve"> interstitial pneumonias and healthy controls.</w:t>
      </w:r>
    </w:p>
    <w:p w:rsidR="008F0C0F" w:rsidRDefault="008F0C0F" w:rsidP="00284F89">
      <w:pPr>
        <w:spacing w:line="360" w:lineRule="auto"/>
        <w:ind w:firstLine="709"/>
        <w:jc w:val="both"/>
        <w:rPr>
          <w:rFonts w:cstheme="minorHAnsi"/>
          <w:sz w:val="24"/>
          <w:szCs w:val="24"/>
          <w:lang w:val="en-GB"/>
        </w:rPr>
      </w:pPr>
      <w:r w:rsidRPr="00532CA3">
        <w:rPr>
          <w:rFonts w:cstheme="minorHAnsi"/>
          <w:sz w:val="24"/>
          <w:szCs w:val="24"/>
          <w:lang w:val="en-GB"/>
        </w:rPr>
        <w:lastRenderedPageBreak/>
        <w:t>Diagnosis of sarcoidosis could be determined by combination of laboratory examination, medical imaging methods, functional examination of lungs and sometimes invasive bronchoscopic examination that could be associated with biopsy of pulmonary tissue. The course of the disease can be variable and difficult to predict. Therefore, there remains a need to find new non-invasive ways to diagnose the further development of the disease. In this regard, hope is placed in the study of miRNAs, especially those contained in the blood. In this miRNAs project, we focused on determination and comparison of the relative miRNA expression in the serum of patients with pulmonary sarcoidosis, notably in sarcoidosis patients with an acute stage with Löfgren's syndrome and patients in an advanced stage of the disease.</w:t>
      </w:r>
    </w:p>
    <w:p w:rsidR="008F0C0F" w:rsidRPr="00532CA3" w:rsidRDefault="008F0C0F" w:rsidP="00284F89">
      <w:pPr>
        <w:spacing w:line="360" w:lineRule="auto"/>
        <w:ind w:firstLine="709"/>
        <w:jc w:val="both"/>
        <w:rPr>
          <w:rFonts w:cstheme="minorHAnsi"/>
          <w:sz w:val="24"/>
          <w:szCs w:val="24"/>
          <w:lang w:val="en-GB"/>
        </w:rPr>
      </w:pPr>
      <w:r w:rsidRPr="003B36A1">
        <w:rPr>
          <w:rFonts w:cstheme="minorHAnsi"/>
          <w:b/>
          <w:sz w:val="24"/>
          <w:szCs w:val="24"/>
          <w:lang w:val="en-GB"/>
        </w:rPr>
        <w:t>Keywords:</w:t>
      </w:r>
      <w:r>
        <w:rPr>
          <w:rFonts w:cstheme="minorHAnsi"/>
          <w:sz w:val="24"/>
          <w:szCs w:val="24"/>
          <w:lang w:val="en-GB"/>
        </w:rPr>
        <w:t xml:space="preserve"> pulmonary sarcoidosis, bronchoalveolar CD4</w:t>
      </w:r>
      <w:r w:rsidRPr="006B198A">
        <w:rPr>
          <w:rFonts w:cstheme="minorHAnsi"/>
          <w:sz w:val="24"/>
          <w:szCs w:val="24"/>
          <w:vertAlign w:val="superscript"/>
          <w:lang w:val="en-GB"/>
        </w:rPr>
        <w:t>+</w:t>
      </w:r>
      <w:r>
        <w:rPr>
          <w:rFonts w:cstheme="minorHAnsi"/>
          <w:sz w:val="24"/>
          <w:szCs w:val="24"/>
          <w:lang w:val="en-GB"/>
        </w:rPr>
        <w:t xml:space="preserve"> and CD8</w:t>
      </w:r>
      <w:r w:rsidRPr="006B198A">
        <w:rPr>
          <w:rFonts w:cstheme="minorHAnsi"/>
          <w:sz w:val="24"/>
          <w:szCs w:val="24"/>
          <w:vertAlign w:val="superscript"/>
          <w:lang w:val="en-GB"/>
        </w:rPr>
        <w:t>+</w:t>
      </w:r>
      <w:r w:rsidR="00D60E1B">
        <w:rPr>
          <w:rFonts w:cstheme="minorHAnsi"/>
          <w:sz w:val="24"/>
          <w:szCs w:val="24"/>
          <w:lang w:val="en-GB"/>
        </w:rPr>
        <w:t xml:space="preserve"> T-lymphocytes</w:t>
      </w:r>
      <w:r>
        <w:rPr>
          <w:rFonts w:cstheme="minorHAnsi"/>
          <w:sz w:val="24"/>
          <w:szCs w:val="24"/>
          <w:lang w:val="en-GB"/>
        </w:rPr>
        <w:t>, RNA-binding proteins, miRNA, real-time PCR</w:t>
      </w:r>
      <w:r w:rsidR="00241F3F">
        <w:rPr>
          <w:rFonts w:cstheme="minorHAnsi"/>
          <w:sz w:val="24"/>
          <w:szCs w:val="24"/>
          <w:lang w:val="en-GB"/>
        </w:rPr>
        <w:t>.</w:t>
      </w:r>
    </w:p>
    <w:p w:rsidR="008F0C0F" w:rsidRPr="00C87449" w:rsidRDefault="008F0C0F">
      <w:pPr>
        <w:rPr>
          <w:rFonts w:cstheme="minorHAnsi"/>
          <w:sz w:val="24"/>
          <w:szCs w:val="24"/>
        </w:rPr>
      </w:pPr>
      <w:r w:rsidRPr="00C87449">
        <w:rPr>
          <w:rFonts w:cstheme="minorHAnsi"/>
          <w:sz w:val="24"/>
          <w:szCs w:val="24"/>
        </w:rPr>
        <w:br w:type="page"/>
      </w:r>
    </w:p>
    <w:sdt>
      <w:sdtPr>
        <w:rPr>
          <w:rFonts w:cstheme="minorHAnsi"/>
          <w:b/>
          <w:bCs/>
        </w:rPr>
        <w:id w:val="1769187801"/>
        <w:docPartObj>
          <w:docPartGallery w:val="Table of Contents"/>
          <w:docPartUnique/>
        </w:docPartObj>
      </w:sdtPr>
      <w:sdtEndPr>
        <w:rPr>
          <w:b w:val="0"/>
          <w:bCs w:val="0"/>
          <w:sz w:val="24"/>
          <w:szCs w:val="24"/>
        </w:rPr>
      </w:sdtEndPr>
      <w:sdtContent>
        <w:p w:rsidR="008F0C0F" w:rsidRPr="0062347D" w:rsidRDefault="008F0C0F">
          <w:pPr>
            <w:pStyle w:val="Obsah1"/>
            <w:tabs>
              <w:tab w:val="right" w:leader="dot" w:pos="9062"/>
            </w:tabs>
            <w:rPr>
              <w:rFonts w:cstheme="minorHAnsi"/>
              <w:b/>
              <w:bCs/>
            </w:rPr>
          </w:pPr>
          <w:r w:rsidRPr="0062347D">
            <w:rPr>
              <w:rFonts w:cstheme="minorHAnsi"/>
              <w:b/>
              <w:bCs/>
            </w:rPr>
            <w:t>Obsah</w:t>
          </w:r>
        </w:p>
        <w:p w:rsidR="004072B9" w:rsidRDefault="008F0C0F">
          <w:pPr>
            <w:pStyle w:val="Obsah1"/>
            <w:tabs>
              <w:tab w:val="right" w:leader="dot" w:pos="9060"/>
            </w:tabs>
            <w:rPr>
              <w:rFonts w:eastAsiaTheme="minorEastAsia"/>
              <w:noProof/>
              <w:lang w:eastAsia="cs-CZ"/>
            </w:rPr>
          </w:pPr>
          <w:r w:rsidRPr="0062347D">
            <w:rPr>
              <w:rFonts w:cstheme="minorHAnsi"/>
            </w:rPr>
            <w:fldChar w:fldCharType="begin"/>
          </w:r>
          <w:r w:rsidRPr="0062347D">
            <w:rPr>
              <w:rFonts w:cstheme="minorHAnsi"/>
            </w:rPr>
            <w:instrText xml:space="preserve"> TOC \o "1-3" \h \z \u </w:instrText>
          </w:r>
          <w:r w:rsidRPr="0062347D">
            <w:rPr>
              <w:rFonts w:cstheme="minorHAnsi"/>
            </w:rPr>
            <w:fldChar w:fldCharType="separate"/>
          </w:r>
          <w:hyperlink w:anchor="_Toc69542996" w:history="1">
            <w:r w:rsidR="004072B9" w:rsidRPr="00424210">
              <w:rPr>
                <w:rStyle w:val="Hypertextovodkaz"/>
                <w:noProof/>
                <w14:scene3d>
                  <w14:camera w14:prst="orthographicFront"/>
                  <w14:lightRig w14:rig="threePt" w14:dir="t">
                    <w14:rot w14:lat="0" w14:lon="0" w14:rev="0"/>
                  </w14:lightRig>
                </w14:scene3d>
              </w:rPr>
              <w:t>A.</w:t>
            </w:r>
            <w:r w:rsidR="004072B9" w:rsidRPr="00424210">
              <w:rPr>
                <w:rStyle w:val="Hypertextovodkaz"/>
                <w:noProof/>
              </w:rPr>
              <w:t xml:space="preserve"> Úvod</w:t>
            </w:r>
            <w:r w:rsidR="004072B9">
              <w:rPr>
                <w:noProof/>
                <w:webHidden/>
              </w:rPr>
              <w:tab/>
            </w:r>
            <w:r w:rsidR="004072B9">
              <w:rPr>
                <w:noProof/>
                <w:webHidden/>
              </w:rPr>
              <w:fldChar w:fldCharType="begin"/>
            </w:r>
            <w:r w:rsidR="004072B9">
              <w:rPr>
                <w:noProof/>
                <w:webHidden/>
              </w:rPr>
              <w:instrText xml:space="preserve"> PAGEREF _Toc69542996 \h </w:instrText>
            </w:r>
            <w:r w:rsidR="004072B9">
              <w:rPr>
                <w:noProof/>
                <w:webHidden/>
              </w:rPr>
            </w:r>
            <w:r w:rsidR="004072B9">
              <w:rPr>
                <w:noProof/>
                <w:webHidden/>
              </w:rPr>
              <w:fldChar w:fldCharType="separate"/>
            </w:r>
            <w:r w:rsidR="004072B9">
              <w:rPr>
                <w:noProof/>
                <w:webHidden/>
              </w:rPr>
              <w:t>13</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2997" w:history="1">
            <w:r w:rsidR="004072B9" w:rsidRPr="00424210">
              <w:rPr>
                <w:rStyle w:val="Hypertextovodkaz"/>
                <w:rFonts w:cstheme="minorHAnsi"/>
                <w:noProof/>
                <w14:scene3d>
                  <w14:camera w14:prst="orthographicFront"/>
                  <w14:lightRig w14:rig="threePt" w14:dir="t">
                    <w14:rot w14:lat="0" w14:lon="0" w14:rev="0"/>
                  </w14:lightRig>
                </w14:scene3d>
              </w:rPr>
              <w:t>A.1.</w:t>
            </w:r>
            <w:r w:rsidR="004072B9" w:rsidRPr="00424210">
              <w:rPr>
                <w:rStyle w:val="Hypertextovodkaz"/>
                <w:rFonts w:cstheme="minorHAnsi"/>
                <w:noProof/>
              </w:rPr>
              <w:t xml:space="preserve"> Sarkoidóza</w:t>
            </w:r>
            <w:r w:rsidR="004072B9">
              <w:rPr>
                <w:noProof/>
                <w:webHidden/>
              </w:rPr>
              <w:tab/>
            </w:r>
            <w:r w:rsidR="004072B9">
              <w:rPr>
                <w:noProof/>
                <w:webHidden/>
              </w:rPr>
              <w:fldChar w:fldCharType="begin"/>
            </w:r>
            <w:r w:rsidR="004072B9">
              <w:rPr>
                <w:noProof/>
                <w:webHidden/>
              </w:rPr>
              <w:instrText xml:space="preserve"> PAGEREF _Toc69542997 \h </w:instrText>
            </w:r>
            <w:r w:rsidR="004072B9">
              <w:rPr>
                <w:noProof/>
                <w:webHidden/>
              </w:rPr>
            </w:r>
            <w:r w:rsidR="004072B9">
              <w:rPr>
                <w:noProof/>
                <w:webHidden/>
              </w:rPr>
              <w:fldChar w:fldCharType="separate"/>
            </w:r>
            <w:r w:rsidR="004072B9">
              <w:rPr>
                <w:noProof/>
                <w:webHidden/>
              </w:rPr>
              <w:t>13</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2998" w:history="1">
            <w:r w:rsidR="004072B9" w:rsidRPr="00424210">
              <w:rPr>
                <w:rStyle w:val="Hypertextovodkaz"/>
                <w:rFonts w:cstheme="minorHAnsi"/>
                <w:noProof/>
              </w:rPr>
              <w:t>A.1.1. Granulom – specifická struktura sarkoidózy</w:t>
            </w:r>
            <w:r w:rsidR="004072B9">
              <w:rPr>
                <w:noProof/>
                <w:webHidden/>
              </w:rPr>
              <w:tab/>
            </w:r>
            <w:r w:rsidR="004072B9">
              <w:rPr>
                <w:noProof/>
                <w:webHidden/>
              </w:rPr>
              <w:fldChar w:fldCharType="begin"/>
            </w:r>
            <w:r w:rsidR="004072B9">
              <w:rPr>
                <w:noProof/>
                <w:webHidden/>
              </w:rPr>
              <w:instrText xml:space="preserve"> PAGEREF _Toc69542998 \h </w:instrText>
            </w:r>
            <w:r w:rsidR="004072B9">
              <w:rPr>
                <w:noProof/>
                <w:webHidden/>
              </w:rPr>
            </w:r>
            <w:r w:rsidR="004072B9">
              <w:rPr>
                <w:noProof/>
                <w:webHidden/>
              </w:rPr>
              <w:fldChar w:fldCharType="separate"/>
            </w:r>
            <w:r w:rsidR="004072B9">
              <w:rPr>
                <w:noProof/>
                <w:webHidden/>
              </w:rPr>
              <w:t>14</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2999" w:history="1">
            <w:r w:rsidR="004072B9" w:rsidRPr="00424210">
              <w:rPr>
                <w:rStyle w:val="Hypertextovodkaz"/>
                <w:rFonts w:cstheme="minorHAnsi"/>
                <w:noProof/>
              </w:rPr>
              <w:t>A.1.2. Prevalence a incidence sarkoidózy</w:t>
            </w:r>
            <w:r w:rsidR="004072B9">
              <w:rPr>
                <w:noProof/>
                <w:webHidden/>
              </w:rPr>
              <w:tab/>
            </w:r>
            <w:r w:rsidR="004072B9">
              <w:rPr>
                <w:noProof/>
                <w:webHidden/>
              </w:rPr>
              <w:fldChar w:fldCharType="begin"/>
            </w:r>
            <w:r w:rsidR="004072B9">
              <w:rPr>
                <w:noProof/>
                <w:webHidden/>
              </w:rPr>
              <w:instrText xml:space="preserve"> PAGEREF _Toc69542999 \h </w:instrText>
            </w:r>
            <w:r w:rsidR="004072B9">
              <w:rPr>
                <w:noProof/>
                <w:webHidden/>
              </w:rPr>
            </w:r>
            <w:r w:rsidR="004072B9">
              <w:rPr>
                <w:noProof/>
                <w:webHidden/>
              </w:rPr>
              <w:fldChar w:fldCharType="separate"/>
            </w:r>
            <w:r w:rsidR="004072B9">
              <w:rPr>
                <w:noProof/>
                <w:webHidden/>
              </w:rPr>
              <w:t>15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00" w:history="1">
            <w:r w:rsidR="004072B9" w:rsidRPr="00424210">
              <w:rPr>
                <w:rStyle w:val="Hypertextovodkaz"/>
                <w:rFonts w:cstheme="minorHAnsi"/>
                <w:noProof/>
              </w:rPr>
              <w:t>A.1.3. Löfgrenův syndrom</w:t>
            </w:r>
            <w:r w:rsidR="004072B9">
              <w:rPr>
                <w:noProof/>
                <w:webHidden/>
              </w:rPr>
              <w:tab/>
            </w:r>
            <w:r w:rsidR="004072B9">
              <w:rPr>
                <w:noProof/>
                <w:webHidden/>
              </w:rPr>
              <w:fldChar w:fldCharType="begin"/>
            </w:r>
            <w:r w:rsidR="004072B9">
              <w:rPr>
                <w:noProof/>
                <w:webHidden/>
              </w:rPr>
              <w:instrText xml:space="preserve"> PAGEREF _Toc69543000 \h </w:instrText>
            </w:r>
            <w:r w:rsidR="004072B9">
              <w:rPr>
                <w:noProof/>
                <w:webHidden/>
              </w:rPr>
            </w:r>
            <w:r w:rsidR="004072B9">
              <w:rPr>
                <w:noProof/>
                <w:webHidden/>
              </w:rPr>
              <w:fldChar w:fldCharType="separate"/>
            </w:r>
            <w:r w:rsidR="004072B9">
              <w:rPr>
                <w:noProof/>
                <w:webHidden/>
              </w:rPr>
              <w:t>16</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01" w:history="1">
            <w:r w:rsidR="004072B9" w:rsidRPr="00424210">
              <w:rPr>
                <w:rStyle w:val="Hypertextovodkaz"/>
                <w:rFonts w:cstheme="minorHAnsi"/>
                <w:noProof/>
              </w:rPr>
              <w:t>A.1.4. Klasifikace sarkoidózy podle nálezu na rentgenologickém snímku hrudníku</w:t>
            </w:r>
            <w:r w:rsidR="004072B9">
              <w:rPr>
                <w:noProof/>
                <w:webHidden/>
              </w:rPr>
              <w:tab/>
            </w:r>
            <w:r w:rsidR="004072B9">
              <w:rPr>
                <w:noProof/>
                <w:webHidden/>
              </w:rPr>
              <w:fldChar w:fldCharType="begin"/>
            </w:r>
            <w:r w:rsidR="004072B9">
              <w:rPr>
                <w:noProof/>
                <w:webHidden/>
              </w:rPr>
              <w:instrText xml:space="preserve"> PAGEREF _Toc69543001 \h </w:instrText>
            </w:r>
            <w:r w:rsidR="004072B9">
              <w:rPr>
                <w:noProof/>
                <w:webHidden/>
              </w:rPr>
            </w:r>
            <w:r w:rsidR="004072B9">
              <w:rPr>
                <w:noProof/>
                <w:webHidden/>
              </w:rPr>
              <w:fldChar w:fldCharType="separate"/>
            </w:r>
            <w:r w:rsidR="004072B9">
              <w:rPr>
                <w:noProof/>
                <w:webHidden/>
              </w:rPr>
              <w:t>16</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02" w:history="1">
            <w:r w:rsidR="004072B9" w:rsidRPr="00424210">
              <w:rPr>
                <w:rStyle w:val="Hypertextovodkaz"/>
                <w:rFonts w:cstheme="minorHAnsi"/>
                <w:noProof/>
                <w14:scene3d>
                  <w14:camera w14:prst="orthographicFront"/>
                  <w14:lightRig w14:rig="threePt" w14:dir="t">
                    <w14:rot w14:lat="0" w14:lon="0" w14:rev="0"/>
                  </w14:lightRig>
                </w14:scene3d>
              </w:rPr>
              <w:t>A.2.</w:t>
            </w:r>
            <w:r w:rsidR="004072B9" w:rsidRPr="00424210">
              <w:rPr>
                <w:rStyle w:val="Hypertextovodkaz"/>
                <w:rFonts w:cstheme="minorHAnsi"/>
                <w:noProof/>
              </w:rPr>
              <w:t xml:space="preserve"> Další intersticiální plicní procesy</w:t>
            </w:r>
            <w:r w:rsidR="004072B9">
              <w:rPr>
                <w:noProof/>
                <w:webHidden/>
              </w:rPr>
              <w:tab/>
            </w:r>
            <w:r w:rsidR="004072B9">
              <w:rPr>
                <w:noProof/>
                <w:webHidden/>
              </w:rPr>
              <w:fldChar w:fldCharType="begin"/>
            </w:r>
            <w:r w:rsidR="004072B9">
              <w:rPr>
                <w:noProof/>
                <w:webHidden/>
              </w:rPr>
              <w:instrText xml:space="preserve"> PAGEREF _Toc69543002 \h </w:instrText>
            </w:r>
            <w:r w:rsidR="004072B9">
              <w:rPr>
                <w:noProof/>
                <w:webHidden/>
              </w:rPr>
            </w:r>
            <w:r w:rsidR="004072B9">
              <w:rPr>
                <w:noProof/>
                <w:webHidden/>
              </w:rPr>
              <w:fldChar w:fldCharType="separate"/>
            </w:r>
            <w:r w:rsidR="004072B9">
              <w:rPr>
                <w:noProof/>
                <w:webHidden/>
              </w:rPr>
              <w:t>17</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03" w:history="1">
            <w:r w:rsidR="004072B9" w:rsidRPr="00424210">
              <w:rPr>
                <w:rStyle w:val="Hypertextovodkaz"/>
                <w:rFonts w:cstheme="minorHAnsi"/>
                <w:noProof/>
              </w:rPr>
              <w:t>A.2.1. Idiopatická plicní fibróza</w:t>
            </w:r>
            <w:r w:rsidR="004072B9">
              <w:rPr>
                <w:noProof/>
                <w:webHidden/>
              </w:rPr>
              <w:tab/>
            </w:r>
            <w:r w:rsidR="004072B9">
              <w:rPr>
                <w:noProof/>
                <w:webHidden/>
              </w:rPr>
              <w:fldChar w:fldCharType="begin"/>
            </w:r>
            <w:r w:rsidR="004072B9">
              <w:rPr>
                <w:noProof/>
                <w:webHidden/>
              </w:rPr>
              <w:instrText xml:space="preserve"> PAGEREF _Toc69543003 \h </w:instrText>
            </w:r>
            <w:r w:rsidR="004072B9">
              <w:rPr>
                <w:noProof/>
                <w:webHidden/>
              </w:rPr>
            </w:r>
            <w:r w:rsidR="004072B9">
              <w:rPr>
                <w:noProof/>
                <w:webHidden/>
              </w:rPr>
              <w:fldChar w:fldCharType="separate"/>
            </w:r>
            <w:r w:rsidR="004072B9">
              <w:rPr>
                <w:noProof/>
                <w:webHidden/>
              </w:rPr>
              <w:t>17</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04" w:history="1">
            <w:r w:rsidR="004072B9" w:rsidRPr="00424210">
              <w:rPr>
                <w:rStyle w:val="Hypertextovodkaz"/>
                <w:rFonts w:cstheme="minorHAnsi"/>
                <w:noProof/>
              </w:rPr>
              <w:t>A.2.2. Hypersenzitivní pneumonie</w:t>
            </w:r>
            <w:r w:rsidR="004072B9">
              <w:rPr>
                <w:noProof/>
                <w:webHidden/>
              </w:rPr>
              <w:tab/>
            </w:r>
            <w:r w:rsidR="004072B9">
              <w:rPr>
                <w:noProof/>
                <w:webHidden/>
              </w:rPr>
              <w:fldChar w:fldCharType="begin"/>
            </w:r>
            <w:r w:rsidR="004072B9">
              <w:rPr>
                <w:noProof/>
                <w:webHidden/>
              </w:rPr>
              <w:instrText xml:space="preserve"> PAGEREF _Toc69543004 \h </w:instrText>
            </w:r>
            <w:r w:rsidR="004072B9">
              <w:rPr>
                <w:noProof/>
                <w:webHidden/>
              </w:rPr>
            </w:r>
            <w:r w:rsidR="004072B9">
              <w:rPr>
                <w:noProof/>
                <w:webHidden/>
              </w:rPr>
              <w:fldChar w:fldCharType="separate"/>
            </w:r>
            <w:r w:rsidR="004072B9">
              <w:rPr>
                <w:noProof/>
                <w:webHidden/>
              </w:rPr>
              <w:t>18</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05" w:history="1">
            <w:r w:rsidR="004072B9" w:rsidRPr="00424210">
              <w:rPr>
                <w:rStyle w:val="Hypertextovodkaz"/>
                <w:noProof/>
                <w14:scene3d>
                  <w14:camera w14:prst="orthographicFront"/>
                  <w14:lightRig w14:rig="threePt" w14:dir="t">
                    <w14:rot w14:lat="0" w14:lon="0" w14:rev="0"/>
                  </w14:lightRig>
                </w14:scene3d>
              </w:rPr>
              <w:t>A.3.</w:t>
            </w:r>
            <w:r w:rsidR="004072B9" w:rsidRPr="00424210">
              <w:rPr>
                <w:rStyle w:val="Hypertextovodkaz"/>
                <w:noProof/>
              </w:rPr>
              <w:t xml:space="preserve"> Obstrukční plicní onemocnění</w:t>
            </w:r>
            <w:r w:rsidR="004072B9">
              <w:rPr>
                <w:noProof/>
                <w:webHidden/>
              </w:rPr>
              <w:tab/>
            </w:r>
            <w:r w:rsidR="004072B9">
              <w:rPr>
                <w:noProof/>
                <w:webHidden/>
              </w:rPr>
              <w:fldChar w:fldCharType="begin"/>
            </w:r>
            <w:r w:rsidR="004072B9">
              <w:rPr>
                <w:noProof/>
                <w:webHidden/>
              </w:rPr>
              <w:instrText xml:space="preserve"> PAGEREF _Toc69543005 \h </w:instrText>
            </w:r>
            <w:r w:rsidR="004072B9">
              <w:rPr>
                <w:noProof/>
                <w:webHidden/>
              </w:rPr>
            </w:r>
            <w:r w:rsidR="004072B9">
              <w:rPr>
                <w:noProof/>
                <w:webHidden/>
              </w:rPr>
              <w:fldChar w:fldCharType="separate"/>
            </w:r>
            <w:r w:rsidR="004072B9">
              <w:rPr>
                <w:noProof/>
                <w:webHidden/>
              </w:rPr>
              <w:t>18</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06" w:history="1">
            <w:r w:rsidR="004072B9" w:rsidRPr="00424210">
              <w:rPr>
                <w:rStyle w:val="Hypertextovodkaz"/>
                <w:noProof/>
              </w:rPr>
              <w:t>A.3.1. Chronická obstrukční plicní nemoc</w:t>
            </w:r>
            <w:r w:rsidR="004072B9">
              <w:rPr>
                <w:noProof/>
                <w:webHidden/>
              </w:rPr>
              <w:tab/>
            </w:r>
            <w:r w:rsidR="004072B9">
              <w:rPr>
                <w:noProof/>
                <w:webHidden/>
              </w:rPr>
              <w:fldChar w:fldCharType="begin"/>
            </w:r>
            <w:r w:rsidR="004072B9">
              <w:rPr>
                <w:noProof/>
                <w:webHidden/>
              </w:rPr>
              <w:instrText xml:space="preserve"> PAGEREF _Toc69543006 \h </w:instrText>
            </w:r>
            <w:r w:rsidR="004072B9">
              <w:rPr>
                <w:noProof/>
                <w:webHidden/>
              </w:rPr>
            </w:r>
            <w:r w:rsidR="004072B9">
              <w:rPr>
                <w:noProof/>
                <w:webHidden/>
              </w:rPr>
              <w:fldChar w:fldCharType="separate"/>
            </w:r>
            <w:r w:rsidR="004072B9">
              <w:rPr>
                <w:noProof/>
                <w:webHidden/>
              </w:rPr>
              <w:t>18</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07" w:history="1">
            <w:r w:rsidR="004072B9" w:rsidRPr="00424210">
              <w:rPr>
                <w:rStyle w:val="Hypertextovodkaz"/>
                <w:noProof/>
              </w:rPr>
              <w:t>A.3.2. Bronchiální astma</w:t>
            </w:r>
            <w:r w:rsidR="004072B9">
              <w:rPr>
                <w:noProof/>
                <w:webHidden/>
              </w:rPr>
              <w:tab/>
            </w:r>
            <w:r w:rsidR="004072B9">
              <w:rPr>
                <w:noProof/>
                <w:webHidden/>
              </w:rPr>
              <w:fldChar w:fldCharType="begin"/>
            </w:r>
            <w:r w:rsidR="004072B9">
              <w:rPr>
                <w:noProof/>
                <w:webHidden/>
              </w:rPr>
              <w:instrText xml:space="preserve"> PAGEREF _Toc69543007 \h </w:instrText>
            </w:r>
            <w:r w:rsidR="004072B9">
              <w:rPr>
                <w:noProof/>
                <w:webHidden/>
              </w:rPr>
            </w:r>
            <w:r w:rsidR="004072B9">
              <w:rPr>
                <w:noProof/>
                <w:webHidden/>
              </w:rPr>
              <w:fldChar w:fldCharType="separate"/>
            </w:r>
            <w:r w:rsidR="004072B9">
              <w:rPr>
                <w:noProof/>
                <w:webHidden/>
              </w:rPr>
              <w:t>20</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08" w:history="1">
            <w:r w:rsidR="004072B9" w:rsidRPr="00424210">
              <w:rPr>
                <w:rStyle w:val="Hypertextovodkaz"/>
                <w:rFonts w:cstheme="minorHAnsi"/>
                <w:noProof/>
                <w14:scene3d>
                  <w14:camera w14:prst="orthographicFront"/>
                  <w14:lightRig w14:rig="threePt" w14:dir="t">
                    <w14:rot w14:lat="0" w14:lon="0" w14:rev="0"/>
                  </w14:lightRig>
                </w14:scene3d>
              </w:rPr>
              <w:t>A.4.</w:t>
            </w:r>
            <w:r w:rsidR="004072B9" w:rsidRPr="00424210">
              <w:rPr>
                <w:rStyle w:val="Hypertextovodkaz"/>
                <w:rFonts w:cstheme="minorHAnsi"/>
                <w:noProof/>
              </w:rPr>
              <w:t xml:space="preserve"> Bronchoalveolární laváž</w:t>
            </w:r>
            <w:r w:rsidR="004072B9">
              <w:rPr>
                <w:noProof/>
                <w:webHidden/>
              </w:rPr>
              <w:tab/>
            </w:r>
            <w:r w:rsidR="004072B9">
              <w:rPr>
                <w:noProof/>
                <w:webHidden/>
              </w:rPr>
              <w:fldChar w:fldCharType="begin"/>
            </w:r>
            <w:r w:rsidR="004072B9">
              <w:rPr>
                <w:noProof/>
                <w:webHidden/>
              </w:rPr>
              <w:instrText xml:space="preserve"> PAGEREF _Toc69543008 \h </w:instrText>
            </w:r>
            <w:r w:rsidR="004072B9">
              <w:rPr>
                <w:noProof/>
                <w:webHidden/>
              </w:rPr>
            </w:r>
            <w:r w:rsidR="004072B9">
              <w:rPr>
                <w:noProof/>
                <w:webHidden/>
              </w:rPr>
              <w:fldChar w:fldCharType="separate"/>
            </w:r>
            <w:r w:rsidR="004072B9">
              <w:rPr>
                <w:noProof/>
                <w:webHidden/>
              </w:rPr>
              <w:t>20</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09" w:history="1">
            <w:r w:rsidR="004072B9" w:rsidRPr="00424210">
              <w:rPr>
                <w:rStyle w:val="Hypertextovodkaz"/>
                <w:rFonts w:cstheme="minorHAnsi"/>
                <w:noProof/>
                <w14:scene3d>
                  <w14:camera w14:prst="orthographicFront"/>
                  <w14:lightRig w14:rig="threePt" w14:dir="t">
                    <w14:rot w14:lat="0" w14:lon="0" w14:rev="0"/>
                  </w14:lightRig>
                </w14:scene3d>
              </w:rPr>
              <w:t>A.5.</w:t>
            </w:r>
            <w:r w:rsidR="004072B9" w:rsidRPr="00424210">
              <w:rPr>
                <w:rStyle w:val="Hypertextovodkaz"/>
                <w:rFonts w:cstheme="minorHAnsi"/>
                <w:noProof/>
              </w:rPr>
              <w:t xml:space="preserve"> RNA-vazebné proteiny</w:t>
            </w:r>
            <w:r w:rsidR="004072B9">
              <w:rPr>
                <w:noProof/>
                <w:webHidden/>
              </w:rPr>
              <w:tab/>
            </w:r>
            <w:r w:rsidR="004072B9">
              <w:rPr>
                <w:noProof/>
                <w:webHidden/>
              </w:rPr>
              <w:fldChar w:fldCharType="begin"/>
            </w:r>
            <w:r w:rsidR="004072B9">
              <w:rPr>
                <w:noProof/>
                <w:webHidden/>
              </w:rPr>
              <w:instrText xml:space="preserve"> PAGEREF _Toc69543009 \h </w:instrText>
            </w:r>
            <w:r w:rsidR="004072B9">
              <w:rPr>
                <w:noProof/>
                <w:webHidden/>
              </w:rPr>
            </w:r>
            <w:r w:rsidR="004072B9">
              <w:rPr>
                <w:noProof/>
                <w:webHidden/>
              </w:rPr>
              <w:fldChar w:fldCharType="separate"/>
            </w:r>
            <w:r w:rsidR="004072B9">
              <w:rPr>
                <w:noProof/>
                <w:webHidden/>
              </w:rPr>
              <w:t>21</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10" w:history="1">
            <w:r w:rsidR="004072B9" w:rsidRPr="00424210">
              <w:rPr>
                <w:rStyle w:val="Hypertextovodkaz"/>
                <w:rFonts w:cstheme="minorHAnsi"/>
                <w:noProof/>
                <w14:scene3d>
                  <w14:camera w14:prst="orthographicFront"/>
                  <w14:lightRig w14:rig="threePt" w14:dir="t">
                    <w14:rot w14:lat="0" w14:lon="0" w14:rev="0"/>
                  </w14:lightRig>
                </w14:scene3d>
              </w:rPr>
              <w:t>A.6.</w:t>
            </w:r>
            <w:r w:rsidR="004072B9" w:rsidRPr="00424210">
              <w:rPr>
                <w:rStyle w:val="Hypertextovodkaz"/>
                <w:rFonts w:cstheme="minorHAnsi"/>
                <w:noProof/>
              </w:rPr>
              <w:t xml:space="preserve"> Inhibitory matrix metaloproteináz</w:t>
            </w:r>
            <w:r w:rsidR="004072B9">
              <w:rPr>
                <w:noProof/>
                <w:webHidden/>
              </w:rPr>
              <w:tab/>
            </w:r>
            <w:r w:rsidR="004072B9">
              <w:rPr>
                <w:noProof/>
                <w:webHidden/>
              </w:rPr>
              <w:fldChar w:fldCharType="begin"/>
            </w:r>
            <w:r w:rsidR="004072B9">
              <w:rPr>
                <w:noProof/>
                <w:webHidden/>
              </w:rPr>
              <w:instrText xml:space="preserve"> PAGEREF _Toc69543010 \h </w:instrText>
            </w:r>
            <w:r w:rsidR="004072B9">
              <w:rPr>
                <w:noProof/>
                <w:webHidden/>
              </w:rPr>
            </w:r>
            <w:r w:rsidR="004072B9">
              <w:rPr>
                <w:noProof/>
                <w:webHidden/>
              </w:rPr>
              <w:fldChar w:fldCharType="separate"/>
            </w:r>
            <w:r w:rsidR="004072B9">
              <w:rPr>
                <w:noProof/>
                <w:webHidden/>
              </w:rPr>
              <w:t>23</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11" w:history="1">
            <w:r w:rsidR="004072B9" w:rsidRPr="00424210">
              <w:rPr>
                <w:rStyle w:val="Hypertextovodkaz"/>
                <w:rFonts w:cstheme="minorHAnsi"/>
                <w:noProof/>
                <w14:scene3d>
                  <w14:camera w14:prst="orthographicFront"/>
                  <w14:lightRig w14:rig="threePt" w14:dir="t">
                    <w14:rot w14:lat="0" w14:lon="0" w14:rev="0"/>
                  </w14:lightRig>
                </w14:scene3d>
              </w:rPr>
              <w:t>A.7.</w:t>
            </w:r>
            <w:r w:rsidR="004072B9" w:rsidRPr="00424210">
              <w:rPr>
                <w:rStyle w:val="Hypertextovodkaz"/>
                <w:rFonts w:cstheme="minorHAnsi"/>
                <w:noProof/>
              </w:rPr>
              <w:t xml:space="preserve"> MikroRNA</w:t>
            </w:r>
            <w:r w:rsidR="004072B9">
              <w:rPr>
                <w:noProof/>
                <w:webHidden/>
              </w:rPr>
              <w:tab/>
            </w:r>
            <w:r w:rsidR="004072B9">
              <w:rPr>
                <w:noProof/>
                <w:webHidden/>
              </w:rPr>
              <w:fldChar w:fldCharType="begin"/>
            </w:r>
            <w:r w:rsidR="004072B9">
              <w:rPr>
                <w:noProof/>
                <w:webHidden/>
              </w:rPr>
              <w:instrText xml:space="preserve"> PAGEREF _Toc69543011 \h </w:instrText>
            </w:r>
            <w:r w:rsidR="004072B9">
              <w:rPr>
                <w:noProof/>
                <w:webHidden/>
              </w:rPr>
            </w:r>
            <w:r w:rsidR="004072B9">
              <w:rPr>
                <w:noProof/>
                <w:webHidden/>
              </w:rPr>
              <w:fldChar w:fldCharType="separate"/>
            </w:r>
            <w:r w:rsidR="004072B9">
              <w:rPr>
                <w:noProof/>
                <w:webHidden/>
              </w:rPr>
              <w:t>23</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12" w:history="1">
            <w:r w:rsidR="004072B9" w:rsidRPr="00424210">
              <w:rPr>
                <w:rStyle w:val="Hypertextovodkaz"/>
                <w:noProof/>
              </w:rPr>
              <w:t>A.7.1. Cirkulující miRNA jako biomarkery</w:t>
            </w:r>
            <w:r w:rsidR="004072B9">
              <w:rPr>
                <w:noProof/>
                <w:webHidden/>
              </w:rPr>
              <w:tab/>
            </w:r>
            <w:r w:rsidR="004072B9">
              <w:rPr>
                <w:noProof/>
                <w:webHidden/>
              </w:rPr>
              <w:fldChar w:fldCharType="begin"/>
            </w:r>
            <w:r w:rsidR="004072B9">
              <w:rPr>
                <w:noProof/>
                <w:webHidden/>
              </w:rPr>
              <w:instrText xml:space="preserve"> PAGEREF _Toc69543012 \h </w:instrText>
            </w:r>
            <w:r w:rsidR="004072B9">
              <w:rPr>
                <w:noProof/>
                <w:webHidden/>
              </w:rPr>
            </w:r>
            <w:r w:rsidR="004072B9">
              <w:rPr>
                <w:noProof/>
                <w:webHidden/>
              </w:rPr>
              <w:fldChar w:fldCharType="separate"/>
            </w:r>
            <w:r w:rsidR="004072B9">
              <w:rPr>
                <w:noProof/>
                <w:webHidden/>
              </w:rPr>
              <w:t>24</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13" w:history="1">
            <w:r w:rsidR="004072B9" w:rsidRPr="00424210">
              <w:rPr>
                <w:rStyle w:val="Hypertextovodkaz"/>
                <w:rFonts w:cstheme="minorHAnsi"/>
                <w:noProof/>
                <w14:scene3d>
                  <w14:camera w14:prst="orthographicFront"/>
                  <w14:lightRig w14:rig="threePt" w14:dir="t">
                    <w14:rot w14:lat="0" w14:lon="0" w14:rev="0"/>
                  </w14:lightRig>
                </w14:scene3d>
              </w:rPr>
              <w:t>A.8.</w:t>
            </w:r>
            <w:r w:rsidR="004072B9" w:rsidRPr="00424210">
              <w:rPr>
                <w:rStyle w:val="Hypertextovodkaz"/>
                <w:rFonts w:cstheme="minorHAnsi"/>
                <w:noProof/>
              </w:rPr>
              <w:t xml:space="preserve"> Reverzní transkripce a PCR v reálném čase</w:t>
            </w:r>
            <w:r w:rsidR="004072B9">
              <w:rPr>
                <w:noProof/>
                <w:webHidden/>
              </w:rPr>
              <w:tab/>
            </w:r>
            <w:r w:rsidR="004072B9">
              <w:rPr>
                <w:noProof/>
                <w:webHidden/>
              </w:rPr>
              <w:fldChar w:fldCharType="begin"/>
            </w:r>
            <w:r w:rsidR="004072B9">
              <w:rPr>
                <w:noProof/>
                <w:webHidden/>
              </w:rPr>
              <w:instrText xml:space="preserve"> PAGEREF _Toc69543013 \h </w:instrText>
            </w:r>
            <w:r w:rsidR="004072B9">
              <w:rPr>
                <w:noProof/>
                <w:webHidden/>
              </w:rPr>
            </w:r>
            <w:r w:rsidR="004072B9">
              <w:rPr>
                <w:noProof/>
                <w:webHidden/>
              </w:rPr>
              <w:fldChar w:fldCharType="separate"/>
            </w:r>
            <w:r w:rsidR="004072B9">
              <w:rPr>
                <w:noProof/>
                <w:webHidden/>
              </w:rPr>
              <w:t>24</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14" w:history="1">
            <w:r w:rsidR="004072B9" w:rsidRPr="00424210">
              <w:rPr>
                <w:rStyle w:val="Hypertextovodkaz"/>
                <w:rFonts w:cstheme="minorHAnsi"/>
                <w:noProof/>
              </w:rPr>
              <w:t>A.8.1. Reverzní transkripce mRNA a miRNA</w:t>
            </w:r>
            <w:r w:rsidR="004072B9">
              <w:rPr>
                <w:noProof/>
                <w:webHidden/>
              </w:rPr>
              <w:tab/>
            </w:r>
            <w:r w:rsidR="004072B9">
              <w:rPr>
                <w:noProof/>
                <w:webHidden/>
              </w:rPr>
              <w:fldChar w:fldCharType="begin"/>
            </w:r>
            <w:r w:rsidR="004072B9">
              <w:rPr>
                <w:noProof/>
                <w:webHidden/>
              </w:rPr>
              <w:instrText xml:space="preserve"> PAGEREF _Toc69543014 \h </w:instrText>
            </w:r>
            <w:r w:rsidR="004072B9">
              <w:rPr>
                <w:noProof/>
                <w:webHidden/>
              </w:rPr>
            </w:r>
            <w:r w:rsidR="004072B9">
              <w:rPr>
                <w:noProof/>
                <w:webHidden/>
              </w:rPr>
              <w:fldChar w:fldCharType="separate"/>
            </w:r>
            <w:r w:rsidR="004072B9">
              <w:rPr>
                <w:noProof/>
                <w:webHidden/>
              </w:rPr>
              <w:t>24</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15" w:history="1">
            <w:r w:rsidR="004072B9" w:rsidRPr="00424210">
              <w:rPr>
                <w:rStyle w:val="Hypertextovodkaz"/>
                <w:rFonts w:cstheme="minorHAnsi"/>
                <w:noProof/>
              </w:rPr>
              <w:t>A.8.2. Složení chemikálií a teplotní profil pro PCR v reálném čase</w:t>
            </w:r>
            <w:r w:rsidR="004072B9">
              <w:rPr>
                <w:noProof/>
                <w:webHidden/>
              </w:rPr>
              <w:tab/>
            </w:r>
            <w:r w:rsidR="004072B9">
              <w:rPr>
                <w:noProof/>
                <w:webHidden/>
              </w:rPr>
              <w:fldChar w:fldCharType="begin"/>
            </w:r>
            <w:r w:rsidR="004072B9">
              <w:rPr>
                <w:noProof/>
                <w:webHidden/>
              </w:rPr>
              <w:instrText xml:space="preserve"> PAGEREF _Toc69543015 \h </w:instrText>
            </w:r>
            <w:r w:rsidR="004072B9">
              <w:rPr>
                <w:noProof/>
                <w:webHidden/>
              </w:rPr>
            </w:r>
            <w:r w:rsidR="004072B9">
              <w:rPr>
                <w:noProof/>
                <w:webHidden/>
              </w:rPr>
              <w:fldChar w:fldCharType="separate"/>
            </w:r>
            <w:r w:rsidR="004072B9">
              <w:rPr>
                <w:noProof/>
                <w:webHidden/>
              </w:rPr>
              <w:t>25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16" w:history="1">
            <w:r w:rsidR="004072B9" w:rsidRPr="00424210">
              <w:rPr>
                <w:rStyle w:val="Hypertextovodkaz"/>
                <w:rFonts w:cstheme="minorHAnsi"/>
                <w:noProof/>
              </w:rPr>
              <w:t>A.8.3. Relativní kvantifikace mRNA exprese</w:t>
            </w:r>
            <w:r w:rsidR="004072B9">
              <w:rPr>
                <w:noProof/>
                <w:webHidden/>
              </w:rPr>
              <w:tab/>
            </w:r>
            <w:r w:rsidR="004072B9">
              <w:rPr>
                <w:noProof/>
                <w:webHidden/>
              </w:rPr>
              <w:fldChar w:fldCharType="begin"/>
            </w:r>
            <w:r w:rsidR="004072B9">
              <w:rPr>
                <w:noProof/>
                <w:webHidden/>
              </w:rPr>
              <w:instrText xml:space="preserve"> PAGEREF _Toc69543016 \h </w:instrText>
            </w:r>
            <w:r w:rsidR="004072B9">
              <w:rPr>
                <w:noProof/>
                <w:webHidden/>
              </w:rPr>
            </w:r>
            <w:r w:rsidR="004072B9">
              <w:rPr>
                <w:noProof/>
                <w:webHidden/>
              </w:rPr>
              <w:fldChar w:fldCharType="separate"/>
            </w:r>
            <w:r w:rsidR="004072B9">
              <w:rPr>
                <w:noProof/>
                <w:webHidden/>
              </w:rPr>
              <w:t>26</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17" w:history="1">
            <w:r w:rsidR="004072B9" w:rsidRPr="00424210">
              <w:rPr>
                <w:rStyle w:val="Hypertextovodkaz"/>
                <w:rFonts w:cstheme="minorHAnsi"/>
                <w:noProof/>
                <w14:scene3d>
                  <w14:camera w14:prst="orthographicFront"/>
                  <w14:lightRig w14:rig="threePt" w14:dir="t">
                    <w14:rot w14:lat="0" w14:lon="0" w14:rev="0"/>
                  </w14:lightRig>
                </w14:scene3d>
              </w:rPr>
              <w:t>A.9.</w:t>
            </w:r>
            <w:r w:rsidR="004072B9" w:rsidRPr="00424210">
              <w:rPr>
                <w:rStyle w:val="Hypertextovodkaz"/>
                <w:rFonts w:cstheme="minorHAnsi"/>
                <w:noProof/>
              </w:rPr>
              <w:t xml:space="preserve"> Průtoková cytometrie</w:t>
            </w:r>
            <w:r w:rsidR="004072B9">
              <w:rPr>
                <w:noProof/>
                <w:webHidden/>
              </w:rPr>
              <w:tab/>
            </w:r>
            <w:r w:rsidR="004072B9">
              <w:rPr>
                <w:noProof/>
                <w:webHidden/>
              </w:rPr>
              <w:fldChar w:fldCharType="begin"/>
            </w:r>
            <w:r w:rsidR="004072B9">
              <w:rPr>
                <w:noProof/>
                <w:webHidden/>
              </w:rPr>
              <w:instrText xml:space="preserve"> PAGEREF _Toc69543017 \h </w:instrText>
            </w:r>
            <w:r w:rsidR="004072B9">
              <w:rPr>
                <w:noProof/>
                <w:webHidden/>
              </w:rPr>
            </w:r>
            <w:r w:rsidR="004072B9">
              <w:rPr>
                <w:noProof/>
                <w:webHidden/>
              </w:rPr>
              <w:fldChar w:fldCharType="separate"/>
            </w:r>
            <w:r w:rsidR="004072B9">
              <w:rPr>
                <w:noProof/>
                <w:webHidden/>
              </w:rPr>
              <w:t>26</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18" w:history="1">
            <w:r w:rsidR="004072B9" w:rsidRPr="00424210">
              <w:rPr>
                <w:rStyle w:val="Hypertextovodkaz"/>
                <w:rFonts w:cstheme="minorHAnsi"/>
                <w:noProof/>
              </w:rPr>
              <w:t>A.9.1. Fluorescence v průtokové cytometrii</w:t>
            </w:r>
            <w:r w:rsidR="004072B9">
              <w:rPr>
                <w:noProof/>
                <w:webHidden/>
              </w:rPr>
              <w:tab/>
            </w:r>
            <w:r w:rsidR="004072B9">
              <w:rPr>
                <w:noProof/>
                <w:webHidden/>
              </w:rPr>
              <w:fldChar w:fldCharType="begin"/>
            </w:r>
            <w:r w:rsidR="004072B9">
              <w:rPr>
                <w:noProof/>
                <w:webHidden/>
              </w:rPr>
              <w:instrText xml:space="preserve"> PAGEREF _Toc69543018 \h </w:instrText>
            </w:r>
            <w:r w:rsidR="004072B9">
              <w:rPr>
                <w:noProof/>
                <w:webHidden/>
              </w:rPr>
            </w:r>
            <w:r w:rsidR="004072B9">
              <w:rPr>
                <w:noProof/>
                <w:webHidden/>
              </w:rPr>
              <w:fldChar w:fldCharType="separate"/>
            </w:r>
            <w:r w:rsidR="004072B9">
              <w:rPr>
                <w:noProof/>
                <w:webHidden/>
              </w:rPr>
              <w:t>28</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19" w:history="1">
            <w:r w:rsidR="004072B9" w:rsidRPr="00424210">
              <w:rPr>
                <w:rStyle w:val="Hypertextovodkaz"/>
                <w:noProof/>
                <w14:scene3d>
                  <w14:camera w14:prst="orthographicFront"/>
                  <w14:lightRig w14:rig="threePt" w14:dir="t">
                    <w14:rot w14:lat="0" w14:lon="0" w14:rev="0"/>
                  </w14:lightRig>
                </w14:scene3d>
              </w:rPr>
              <w:t>B.</w:t>
            </w:r>
            <w:r w:rsidR="004072B9" w:rsidRPr="00424210">
              <w:rPr>
                <w:rStyle w:val="Hypertextovodkaz"/>
                <w:noProof/>
              </w:rPr>
              <w:t xml:space="preserve"> Materiál a metoda</w:t>
            </w:r>
            <w:r w:rsidR="004072B9">
              <w:rPr>
                <w:noProof/>
                <w:webHidden/>
              </w:rPr>
              <w:tab/>
            </w:r>
            <w:r w:rsidR="004072B9">
              <w:rPr>
                <w:noProof/>
                <w:webHidden/>
              </w:rPr>
              <w:fldChar w:fldCharType="begin"/>
            </w:r>
            <w:r w:rsidR="004072B9">
              <w:rPr>
                <w:noProof/>
                <w:webHidden/>
              </w:rPr>
              <w:instrText xml:space="preserve"> PAGEREF _Toc69543019 \h </w:instrText>
            </w:r>
            <w:r w:rsidR="004072B9">
              <w:rPr>
                <w:noProof/>
                <w:webHidden/>
              </w:rPr>
            </w:r>
            <w:r w:rsidR="004072B9">
              <w:rPr>
                <w:noProof/>
                <w:webHidden/>
              </w:rPr>
              <w:fldChar w:fldCharType="separate"/>
            </w:r>
            <w:r w:rsidR="004072B9">
              <w:rPr>
                <w:noProof/>
                <w:webHidden/>
              </w:rPr>
              <w:t>28</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20" w:history="1">
            <w:r w:rsidR="004072B9" w:rsidRPr="00424210">
              <w:rPr>
                <w:rStyle w:val="Hypertextovodkaz"/>
                <w:rFonts w:cstheme="minorHAnsi"/>
                <w:noProof/>
                <w14:scene3d>
                  <w14:camera w14:prst="orthographicFront"/>
                  <w14:lightRig w14:rig="threePt" w14:dir="t">
                    <w14:rot w14:lat="0" w14:lon="0" w14:rev="0"/>
                  </w14:lightRig>
                </w14:scene3d>
              </w:rPr>
              <w:t>B.1.</w:t>
            </w:r>
            <w:r w:rsidR="004072B9" w:rsidRPr="00424210">
              <w:rPr>
                <w:rStyle w:val="Hypertextovodkaz"/>
                <w:rFonts w:cstheme="minorHAnsi"/>
                <w:noProof/>
              </w:rPr>
              <w:t xml:space="preserve"> Materiál a metoda pro porovnání relativních počtů bronchoalveolárních 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T-lymfocytů u pacientů s plicní sarkoidózou a ostatních intersticiálních plicních nemocí</w:t>
            </w:r>
            <w:r w:rsidR="004072B9">
              <w:rPr>
                <w:noProof/>
                <w:webHidden/>
              </w:rPr>
              <w:tab/>
            </w:r>
            <w:r w:rsidR="004072B9">
              <w:rPr>
                <w:noProof/>
                <w:webHidden/>
              </w:rPr>
              <w:fldChar w:fldCharType="begin"/>
            </w:r>
            <w:r w:rsidR="004072B9">
              <w:rPr>
                <w:noProof/>
                <w:webHidden/>
              </w:rPr>
              <w:instrText xml:space="preserve"> PAGEREF _Toc69543020 \h </w:instrText>
            </w:r>
            <w:r w:rsidR="004072B9">
              <w:rPr>
                <w:noProof/>
                <w:webHidden/>
              </w:rPr>
            </w:r>
            <w:r w:rsidR="004072B9">
              <w:rPr>
                <w:noProof/>
                <w:webHidden/>
              </w:rPr>
              <w:fldChar w:fldCharType="separate"/>
            </w:r>
            <w:r w:rsidR="004072B9">
              <w:rPr>
                <w:noProof/>
                <w:webHidden/>
              </w:rPr>
              <w:t>28</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1" w:history="1">
            <w:r w:rsidR="004072B9" w:rsidRPr="00424210">
              <w:rPr>
                <w:rStyle w:val="Hypertextovodkaz"/>
                <w:rFonts w:cstheme="minorHAnsi"/>
                <w:noProof/>
              </w:rPr>
              <w:t>B.1.1. Soubor pacientů pro porovnání relativních počtů bronchoalveolárních 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T-lymfocytů</w:t>
            </w:r>
            <w:r w:rsidR="004072B9">
              <w:rPr>
                <w:noProof/>
                <w:webHidden/>
              </w:rPr>
              <w:tab/>
            </w:r>
            <w:r w:rsidR="004072B9">
              <w:rPr>
                <w:noProof/>
                <w:webHidden/>
              </w:rPr>
              <w:fldChar w:fldCharType="begin"/>
            </w:r>
            <w:r w:rsidR="004072B9">
              <w:rPr>
                <w:noProof/>
                <w:webHidden/>
              </w:rPr>
              <w:instrText xml:space="preserve"> PAGEREF _Toc69543021 \h </w:instrText>
            </w:r>
            <w:r w:rsidR="004072B9">
              <w:rPr>
                <w:noProof/>
                <w:webHidden/>
              </w:rPr>
            </w:r>
            <w:r w:rsidR="004072B9">
              <w:rPr>
                <w:noProof/>
                <w:webHidden/>
              </w:rPr>
              <w:fldChar w:fldCharType="separate"/>
            </w:r>
            <w:r w:rsidR="004072B9">
              <w:rPr>
                <w:noProof/>
                <w:webHidden/>
              </w:rPr>
              <w:t>28</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2" w:history="1">
            <w:r w:rsidR="004072B9" w:rsidRPr="00424210">
              <w:rPr>
                <w:rStyle w:val="Hypertextovodkaz"/>
                <w:rFonts w:cstheme="minorHAnsi"/>
                <w:noProof/>
              </w:rPr>
              <w:t>B.1.2. Zpracování bronchoalveolární laváže a stanovení relativních počtů 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T-lymfocytů průtokovou cytometrií</w:t>
            </w:r>
            <w:r w:rsidR="004072B9">
              <w:rPr>
                <w:noProof/>
                <w:webHidden/>
              </w:rPr>
              <w:tab/>
            </w:r>
            <w:r w:rsidR="004072B9">
              <w:rPr>
                <w:noProof/>
                <w:webHidden/>
              </w:rPr>
              <w:fldChar w:fldCharType="begin"/>
            </w:r>
            <w:r w:rsidR="004072B9">
              <w:rPr>
                <w:noProof/>
                <w:webHidden/>
              </w:rPr>
              <w:instrText xml:space="preserve"> PAGEREF _Toc69543022 \h </w:instrText>
            </w:r>
            <w:r w:rsidR="004072B9">
              <w:rPr>
                <w:noProof/>
                <w:webHidden/>
              </w:rPr>
            </w:r>
            <w:r w:rsidR="004072B9">
              <w:rPr>
                <w:noProof/>
                <w:webHidden/>
              </w:rPr>
              <w:fldChar w:fldCharType="separate"/>
            </w:r>
            <w:r w:rsidR="004072B9">
              <w:rPr>
                <w:noProof/>
                <w:webHidden/>
              </w:rPr>
              <w:t>29</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3" w:history="1">
            <w:r w:rsidR="004072B9" w:rsidRPr="00424210">
              <w:rPr>
                <w:rStyle w:val="Hypertextovodkaz"/>
                <w:rFonts w:cstheme="minorHAnsi"/>
                <w:noProof/>
              </w:rPr>
              <w:t>B.1.3. Statistické vyhodnocení dat relativních počtů u 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T-lymfocytů</w:t>
            </w:r>
            <w:r w:rsidR="004072B9">
              <w:rPr>
                <w:noProof/>
                <w:webHidden/>
              </w:rPr>
              <w:tab/>
            </w:r>
            <w:r w:rsidR="004072B9">
              <w:rPr>
                <w:noProof/>
                <w:webHidden/>
              </w:rPr>
              <w:fldChar w:fldCharType="begin"/>
            </w:r>
            <w:r w:rsidR="004072B9">
              <w:rPr>
                <w:noProof/>
                <w:webHidden/>
              </w:rPr>
              <w:instrText xml:space="preserve"> PAGEREF _Toc69543023 \h </w:instrText>
            </w:r>
            <w:r w:rsidR="004072B9">
              <w:rPr>
                <w:noProof/>
                <w:webHidden/>
              </w:rPr>
            </w:r>
            <w:r w:rsidR="004072B9">
              <w:rPr>
                <w:noProof/>
                <w:webHidden/>
              </w:rPr>
              <w:fldChar w:fldCharType="separate"/>
            </w:r>
            <w:r w:rsidR="004072B9">
              <w:rPr>
                <w:noProof/>
                <w:webHidden/>
              </w:rPr>
              <w:t>29</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24" w:history="1">
            <w:r w:rsidR="004072B9" w:rsidRPr="00424210">
              <w:rPr>
                <w:rStyle w:val="Hypertextovodkaz"/>
                <w:rFonts w:cstheme="minorHAnsi"/>
                <w:noProof/>
                <w14:scene3d>
                  <w14:camera w14:prst="orthographicFront"/>
                  <w14:lightRig w14:rig="threePt" w14:dir="t">
                    <w14:rot w14:lat="0" w14:lon="0" w14:rev="0"/>
                  </w14:lightRig>
                </w14:scene3d>
              </w:rPr>
              <w:t>B.2.</w:t>
            </w:r>
            <w:r w:rsidR="004072B9" w:rsidRPr="00424210">
              <w:rPr>
                <w:rStyle w:val="Hypertextovodkaz"/>
                <w:rFonts w:cstheme="minorHAnsi"/>
                <w:noProof/>
              </w:rPr>
              <w:t xml:space="preserve"> Materiál a metoda pro studium exprese šesti RNA-vazebných proteinů a dvou inhibitorů matrix metaloproteináz u pacientů s plicní sarkoidózou, chronickou obstrukční plicní nemocí, astmatem a idiopatickými intersticiálními pneumoniemi</w:t>
            </w:r>
            <w:r w:rsidR="004072B9">
              <w:rPr>
                <w:noProof/>
                <w:webHidden/>
              </w:rPr>
              <w:tab/>
            </w:r>
            <w:r w:rsidR="004072B9">
              <w:rPr>
                <w:noProof/>
                <w:webHidden/>
              </w:rPr>
              <w:fldChar w:fldCharType="begin"/>
            </w:r>
            <w:r w:rsidR="004072B9">
              <w:rPr>
                <w:noProof/>
                <w:webHidden/>
              </w:rPr>
              <w:instrText xml:space="preserve"> PAGEREF _Toc69543024 \h </w:instrText>
            </w:r>
            <w:r w:rsidR="004072B9">
              <w:rPr>
                <w:noProof/>
                <w:webHidden/>
              </w:rPr>
            </w:r>
            <w:r w:rsidR="004072B9">
              <w:rPr>
                <w:noProof/>
                <w:webHidden/>
              </w:rPr>
              <w:fldChar w:fldCharType="separate"/>
            </w:r>
            <w:r w:rsidR="004072B9">
              <w:rPr>
                <w:noProof/>
                <w:webHidden/>
              </w:rPr>
              <w:t>31</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5" w:history="1">
            <w:r w:rsidR="004072B9" w:rsidRPr="00424210">
              <w:rPr>
                <w:rStyle w:val="Hypertextovodkaz"/>
                <w:rFonts w:cstheme="minorHAnsi"/>
                <w:noProof/>
              </w:rPr>
              <w:t>B.2.1. Soubor pacientů pro studium relativní mRNA exprese RNA-vazebných proteinů a inhibitorů matrix metaloproteináz v bronchoalveolárních buňkách</w:t>
            </w:r>
            <w:r w:rsidR="004072B9">
              <w:rPr>
                <w:noProof/>
                <w:webHidden/>
              </w:rPr>
              <w:tab/>
            </w:r>
            <w:r w:rsidR="004072B9">
              <w:rPr>
                <w:noProof/>
                <w:webHidden/>
              </w:rPr>
              <w:fldChar w:fldCharType="begin"/>
            </w:r>
            <w:r w:rsidR="004072B9">
              <w:rPr>
                <w:noProof/>
                <w:webHidden/>
              </w:rPr>
              <w:instrText xml:space="preserve"> PAGEREF _Toc69543025 \h </w:instrText>
            </w:r>
            <w:r w:rsidR="004072B9">
              <w:rPr>
                <w:noProof/>
                <w:webHidden/>
              </w:rPr>
            </w:r>
            <w:r w:rsidR="004072B9">
              <w:rPr>
                <w:noProof/>
                <w:webHidden/>
              </w:rPr>
              <w:fldChar w:fldCharType="separate"/>
            </w:r>
            <w:r w:rsidR="004072B9">
              <w:rPr>
                <w:noProof/>
                <w:webHidden/>
              </w:rPr>
              <w:t>31</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6" w:history="1">
            <w:r w:rsidR="004072B9" w:rsidRPr="00424210">
              <w:rPr>
                <w:rStyle w:val="Hypertextovodkaz"/>
                <w:rFonts w:cstheme="minorHAnsi"/>
                <w:noProof/>
              </w:rPr>
              <w:t>B.2.2. Izolace mRNA z bronchoalveolárních buněk a studium mRNA exprese RNA-vazebných proteinů a inhibitorů matrix metaloproteináz pomocí PCR v reálném čase</w:t>
            </w:r>
            <w:r w:rsidR="004072B9">
              <w:rPr>
                <w:noProof/>
                <w:webHidden/>
              </w:rPr>
              <w:tab/>
            </w:r>
            <w:r w:rsidR="004072B9">
              <w:rPr>
                <w:noProof/>
                <w:webHidden/>
              </w:rPr>
              <w:fldChar w:fldCharType="begin"/>
            </w:r>
            <w:r w:rsidR="004072B9">
              <w:rPr>
                <w:noProof/>
                <w:webHidden/>
              </w:rPr>
              <w:instrText xml:space="preserve"> PAGEREF _Toc69543026 \h </w:instrText>
            </w:r>
            <w:r w:rsidR="004072B9">
              <w:rPr>
                <w:noProof/>
                <w:webHidden/>
              </w:rPr>
            </w:r>
            <w:r w:rsidR="004072B9">
              <w:rPr>
                <w:noProof/>
                <w:webHidden/>
              </w:rPr>
              <w:fldChar w:fldCharType="separate"/>
            </w:r>
            <w:r w:rsidR="004072B9">
              <w:rPr>
                <w:noProof/>
                <w:webHidden/>
              </w:rPr>
              <w:t>33</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7" w:history="1">
            <w:r w:rsidR="004072B9" w:rsidRPr="00424210">
              <w:rPr>
                <w:rStyle w:val="Hypertextovodkaz"/>
                <w:rFonts w:cstheme="minorHAnsi"/>
                <w:noProof/>
              </w:rPr>
              <w:t>B.2.3. Izolace mononukleárních buněk z krve a studium proteinové exprese dvou RNA-vazebných proteinů pomocí průtokové cytometrie v 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 xml:space="preserve">+ </w:t>
            </w:r>
            <w:r w:rsidR="004072B9" w:rsidRPr="00424210">
              <w:rPr>
                <w:rStyle w:val="Hypertextovodkaz"/>
                <w:rFonts w:cstheme="minorHAnsi"/>
                <w:noProof/>
              </w:rPr>
              <w:t>buňkách periferní krve</w:t>
            </w:r>
            <w:r w:rsidR="004072B9">
              <w:rPr>
                <w:noProof/>
                <w:webHidden/>
              </w:rPr>
              <w:tab/>
            </w:r>
            <w:r w:rsidR="004072B9">
              <w:rPr>
                <w:noProof/>
                <w:webHidden/>
              </w:rPr>
              <w:fldChar w:fldCharType="begin"/>
            </w:r>
            <w:r w:rsidR="004072B9">
              <w:rPr>
                <w:noProof/>
                <w:webHidden/>
              </w:rPr>
              <w:instrText xml:space="preserve"> PAGEREF _Toc69543027 \h </w:instrText>
            </w:r>
            <w:r w:rsidR="004072B9">
              <w:rPr>
                <w:noProof/>
                <w:webHidden/>
              </w:rPr>
            </w:r>
            <w:r w:rsidR="004072B9">
              <w:rPr>
                <w:noProof/>
                <w:webHidden/>
              </w:rPr>
              <w:fldChar w:fldCharType="separate"/>
            </w:r>
            <w:r w:rsidR="004072B9">
              <w:rPr>
                <w:noProof/>
                <w:webHidden/>
              </w:rPr>
              <w:t>35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8" w:history="1">
            <w:r w:rsidR="004072B9" w:rsidRPr="00424210">
              <w:rPr>
                <w:rStyle w:val="Hypertextovodkaz"/>
                <w:rFonts w:cstheme="minorHAnsi"/>
                <w:noProof/>
              </w:rPr>
              <w:t>B.2.4. Analýza a statistické zpracování výsledků relativní mRNA exprese RNA-vazebných proteinů a inhibitorů matrix metaloproteináz</w:t>
            </w:r>
            <w:r w:rsidR="004072B9">
              <w:rPr>
                <w:noProof/>
                <w:webHidden/>
              </w:rPr>
              <w:tab/>
            </w:r>
            <w:r w:rsidR="004072B9">
              <w:rPr>
                <w:noProof/>
                <w:webHidden/>
              </w:rPr>
              <w:fldChar w:fldCharType="begin"/>
            </w:r>
            <w:r w:rsidR="004072B9">
              <w:rPr>
                <w:noProof/>
                <w:webHidden/>
              </w:rPr>
              <w:instrText xml:space="preserve"> PAGEREF _Toc69543028 \h </w:instrText>
            </w:r>
            <w:r w:rsidR="004072B9">
              <w:rPr>
                <w:noProof/>
                <w:webHidden/>
              </w:rPr>
            </w:r>
            <w:r w:rsidR="004072B9">
              <w:rPr>
                <w:noProof/>
                <w:webHidden/>
              </w:rPr>
              <w:fldChar w:fldCharType="separate"/>
            </w:r>
            <w:r w:rsidR="004072B9">
              <w:rPr>
                <w:noProof/>
                <w:webHidden/>
              </w:rPr>
              <w:t>36</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29" w:history="1">
            <w:r w:rsidR="004072B9" w:rsidRPr="00424210">
              <w:rPr>
                <w:rStyle w:val="Hypertextovodkaz"/>
                <w:rFonts w:cstheme="minorHAnsi"/>
                <w:noProof/>
              </w:rPr>
              <w:t>B.2.5. Analýza a statistické zpracování dat proteinové exprese RNA-vazebných proteinů AUF1 a HuR</w:t>
            </w:r>
            <w:r w:rsidR="004072B9">
              <w:rPr>
                <w:noProof/>
                <w:webHidden/>
              </w:rPr>
              <w:tab/>
            </w:r>
            <w:r w:rsidR="004072B9">
              <w:rPr>
                <w:noProof/>
                <w:webHidden/>
              </w:rPr>
              <w:fldChar w:fldCharType="begin"/>
            </w:r>
            <w:r w:rsidR="004072B9">
              <w:rPr>
                <w:noProof/>
                <w:webHidden/>
              </w:rPr>
              <w:instrText xml:space="preserve"> PAGEREF _Toc69543029 \h </w:instrText>
            </w:r>
            <w:r w:rsidR="004072B9">
              <w:rPr>
                <w:noProof/>
                <w:webHidden/>
              </w:rPr>
            </w:r>
            <w:r w:rsidR="004072B9">
              <w:rPr>
                <w:noProof/>
                <w:webHidden/>
              </w:rPr>
              <w:fldChar w:fldCharType="separate"/>
            </w:r>
            <w:r w:rsidR="004072B9">
              <w:rPr>
                <w:noProof/>
                <w:webHidden/>
              </w:rPr>
              <w:t>36</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30" w:history="1">
            <w:r w:rsidR="004072B9" w:rsidRPr="00424210">
              <w:rPr>
                <w:rStyle w:val="Hypertextovodkaz"/>
                <w:rFonts w:cstheme="minorHAnsi"/>
                <w:noProof/>
                <w14:scene3d>
                  <w14:camera w14:prst="orthographicFront"/>
                  <w14:lightRig w14:rig="threePt" w14:dir="t">
                    <w14:rot w14:lat="0" w14:lon="0" w14:rev="0"/>
                  </w14:lightRig>
                </w14:scene3d>
              </w:rPr>
              <w:t>B.3.</w:t>
            </w:r>
            <w:r w:rsidR="004072B9" w:rsidRPr="00424210">
              <w:rPr>
                <w:rStyle w:val="Hypertextovodkaz"/>
                <w:rFonts w:cstheme="minorHAnsi"/>
                <w:noProof/>
              </w:rPr>
              <w:t xml:space="preserve"> Materiál a metoda pro studium relativní exprese miRNA v séru u pacientů s plicní sarkoidózou a u zdravých kontrol</w:t>
            </w:r>
            <w:r w:rsidR="004072B9">
              <w:rPr>
                <w:noProof/>
                <w:webHidden/>
              </w:rPr>
              <w:tab/>
            </w:r>
            <w:r w:rsidR="004072B9">
              <w:rPr>
                <w:noProof/>
                <w:webHidden/>
              </w:rPr>
              <w:fldChar w:fldCharType="begin"/>
            </w:r>
            <w:r w:rsidR="004072B9">
              <w:rPr>
                <w:noProof/>
                <w:webHidden/>
              </w:rPr>
              <w:instrText xml:space="preserve"> PAGEREF _Toc69543030 \h </w:instrText>
            </w:r>
            <w:r w:rsidR="004072B9">
              <w:rPr>
                <w:noProof/>
                <w:webHidden/>
              </w:rPr>
            </w:r>
            <w:r w:rsidR="004072B9">
              <w:rPr>
                <w:noProof/>
                <w:webHidden/>
              </w:rPr>
              <w:fldChar w:fldCharType="separate"/>
            </w:r>
            <w:r w:rsidR="004072B9">
              <w:rPr>
                <w:noProof/>
                <w:webHidden/>
              </w:rPr>
              <w:t>36</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31" w:history="1">
            <w:r w:rsidR="004072B9" w:rsidRPr="00424210">
              <w:rPr>
                <w:rStyle w:val="Hypertextovodkaz"/>
                <w:rFonts w:cstheme="minorHAnsi"/>
                <w:noProof/>
              </w:rPr>
              <w:t>B.3.1. Soubor pacientů s plicní sarkoidózou a zdravými kontrolami pro studium exprese miRNA v séru</w:t>
            </w:r>
            <w:r w:rsidR="004072B9">
              <w:rPr>
                <w:noProof/>
                <w:webHidden/>
              </w:rPr>
              <w:tab/>
            </w:r>
            <w:r w:rsidR="004072B9">
              <w:rPr>
                <w:noProof/>
                <w:webHidden/>
              </w:rPr>
              <w:fldChar w:fldCharType="begin"/>
            </w:r>
            <w:r w:rsidR="004072B9">
              <w:rPr>
                <w:noProof/>
                <w:webHidden/>
              </w:rPr>
              <w:instrText xml:space="preserve"> PAGEREF _Toc69543031 \h </w:instrText>
            </w:r>
            <w:r w:rsidR="004072B9">
              <w:rPr>
                <w:noProof/>
                <w:webHidden/>
              </w:rPr>
            </w:r>
            <w:r w:rsidR="004072B9">
              <w:rPr>
                <w:noProof/>
                <w:webHidden/>
              </w:rPr>
              <w:fldChar w:fldCharType="separate"/>
            </w:r>
            <w:r w:rsidR="004072B9">
              <w:rPr>
                <w:noProof/>
                <w:webHidden/>
              </w:rPr>
              <w:t>36</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32" w:history="1">
            <w:r w:rsidR="004072B9" w:rsidRPr="00424210">
              <w:rPr>
                <w:rStyle w:val="Hypertextovodkaz"/>
                <w:rFonts w:cstheme="minorHAnsi"/>
                <w:noProof/>
              </w:rPr>
              <w:t>B.3.2. Izolace extracelulárních miRNA ze séra a stanovení jejich exprese pomocí PCR v reálném čase</w:t>
            </w:r>
            <w:r w:rsidR="004072B9">
              <w:rPr>
                <w:noProof/>
                <w:webHidden/>
              </w:rPr>
              <w:tab/>
            </w:r>
            <w:r w:rsidR="004072B9">
              <w:rPr>
                <w:noProof/>
                <w:webHidden/>
              </w:rPr>
              <w:fldChar w:fldCharType="begin"/>
            </w:r>
            <w:r w:rsidR="004072B9">
              <w:rPr>
                <w:noProof/>
                <w:webHidden/>
              </w:rPr>
              <w:instrText xml:space="preserve"> PAGEREF _Toc69543032 \h </w:instrText>
            </w:r>
            <w:r w:rsidR="004072B9">
              <w:rPr>
                <w:noProof/>
                <w:webHidden/>
              </w:rPr>
            </w:r>
            <w:r w:rsidR="004072B9">
              <w:rPr>
                <w:noProof/>
                <w:webHidden/>
              </w:rPr>
              <w:fldChar w:fldCharType="separate"/>
            </w:r>
            <w:r w:rsidR="004072B9">
              <w:rPr>
                <w:noProof/>
                <w:webHidden/>
              </w:rPr>
              <w:t>38</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33" w:history="1">
            <w:r w:rsidR="004072B9" w:rsidRPr="00424210">
              <w:rPr>
                <w:rStyle w:val="Hypertextovodkaz"/>
                <w:rFonts w:cstheme="minorHAnsi"/>
                <w:noProof/>
              </w:rPr>
              <w:t>B.3.3. Analýza exprese miRNA v séru a statistické zpracování dat</w:t>
            </w:r>
            <w:r w:rsidR="004072B9">
              <w:rPr>
                <w:noProof/>
                <w:webHidden/>
              </w:rPr>
              <w:tab/>
            </w:r>
            <w:r w:rsidR="004072B9">
              <w:rPr>
                <w:noProof/>
                <w:webHidden/>
              </w:rPr>
              <w:fldChar w:fldCharType="begin"/>
            </w:r>
            <w:r w:rsidR="004072B9">
              <w:rPr>
                <w:noProof/>
                <w:webHidden/>
              </w:rPr>
              <w:instrText xml:space="preserve"> PAGEREF _Toc69543033 \h </w:instrText>
            </w:r>
            <w:r w:rsidR="004072B9">
              <w:rPr>
                <w:noProof/>
                <w:webHidden/>
              </w:rPr>
            </w:r>
            <w:r w:rsidR="004072B9">
              <w:rPr>
                <w:noProof/>
                <w:webHidden/>
              </w:rPr>
              <w:fldChar w:fldCharType="separate"/>
            </w:r>
            <w:r w:rsidR="004072B9">
              <w:rPr>
                <w:noProof/>
                <w:webHidden/>
              </w:rPr>
              <w:t>41</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34" w:history="1">
            <w:r w:rsidR="004072B9" w:rsidRPr="00424210">
              <w:rPr>
                <w:rStyle w:val="Hypertextovodkaz"/>
                <w:rFonts w:cstheme="minorHAnsi"/>
                <w:noProof/>
              </w:rPr>
              <w:t>B.3.4. Analýza signálních drah u deregulovaných miRNA v séru</w:t>
            </w:r>
            <w:r w:rsidR="004072B9">
              <w:rPr>
                <w:noProof/>
                <w:webHidden/>
              </w:rPr>
              <w:tab/>
            </w:r>
            <w:r w:rsidR="004072B9">
              <w:rPr>
                <w:noProof/>
                <w:webHidden/>
              </w:rPr>
              <w:fldChar w:fldCharType="begin"/>
            </w:r>
            <w:r w:rsidR="004072B9">
              <w:rPr>
                <w:noProof/>
                <w:webHidden/>
              </w:rPr>
              <w:instrText xml:space="preserve"> PAGEREF _Toc69543034 \h </w:instrText>
            </w:r>
            <w:r w:rsidR="004072B9">
              <w:rPr>
                <w:noProof/>
                <w:webHidden/>
              </w:rPr>
            </w:r>
            <w:r w:rsidR="004072B9">
              <w:rPr>
                <w:noProof/>
                <w:webHidden/>
              </w:rPr>
              <w:fldChar w:fldCharType="separate"/>
            </w:r>
            <w:r w:rsidR="004072B9">
              <w:rPr>
                <w:noProof/>
                <w:webHidden/>
              </w:rPr>
              <w:t>42</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35" w:history="1">
            <w:r w:rsidR="004072B9" w:rsidRPr="00424210">
              <w:rPr>
                <w:rStyle w:val="Hypertextovodkaz"/>
                <w:noProof/>
                <w14:scene3d>
                  <w14:camera w14:prst="orthographicFront"/>
                  <w14:lightRig w14:rig="threePt" w14:dir="t">
                    <w14:rot w14:lat="0" w14:lon="0" w14:rev="0"/>
                  </w14:lightRig>
                </w14:scene3d>
              </w:rPr>
              <w:t>C.</w:t>
            </w:r>
            <w:r w:rsidR="004072B9" w:rsidRPr="00424210">
              <w:rPr>
                <w:rStyle w:val="Hypertextovodkaz"/>
                <w:noProof/>
              </w:rPr>
              <w:t xml:space="preserve"> Výsledky</w:t>
            </w:r>
            <w:r w:rsidR="004072B9">
              <w:rPr>
                <w:noProof/>
                <w:webHidden/>
              </w:rPr>
              <w:tab/>
            </w:r>
            <w:r w:rsidR="004072B9">
              <w:rPr>
                <w:noProof/>
                <w:webHidden/>
              </w:rPr>
              <w:fldChar w:fldCharType="begin"/>
            </w:r>
            <w:r w:rsidR="004072B9">
              <w:rPr>
                <w:noProof/>
                <w:webHidden/>
              </w:rPr>
              <w:instrText xml:space="preserve"> PAGEREF _Toc69543035 \h </w:instrText>
            </w:r>
            <w:r w:rsidR="004072B9">
              <w:rPr>
                <w:noProof/>
                <w:webHidden/>
              </w:rPr>
            </w:r>
            <w:r w:rsidR="004072B9">
              <w:rPr>
                <w:noProof/>
                <w:webHidden/>
              </w:rPr>
              <w:fldChar w:fldCharType="separate"/>
            </w:r>
            <w:r w:rsidR="004072B9">
              <w:rPr>
                <w:noProof/>
                <w:webHidden/>
              </w:rPr>
              <w:t>43</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36" w:history="1">
            <w:r w:rsidR="004072B9" w:rsidRPr="00424210">
              <w:rPr>
                <w:rStyle w:val="Hypertextovodkaz"/>
                <w:rFonts w:cstheme="minorHAnsi"/>
                <w:noProof/>
                <w14:scene3d>
                  <w14:camera w14:prst="orthographicFront"/>
                  <w14:lightRig w14:rig="threePt" w14:dir="t">
                    <w14:rot w14:lat="0" w14:lon="0" w14:rev="0"/>
                  </w14:lightRig>
                </w14:scene3d>
              </w:rPr>
              <w:t>C.1.</w:t>
            </w:r>
            <w:r w:rsidR="004072B9" w:rsidRPr="00424210">
              <w:rPr>
                <w:rStyle w:val="Hypertextovodkaz"/>
                <w:rFonts w:cstheme="minorHAnsi"/>
                <w:noProof/>
              </w:rPr>
              <w:t xml:space="preserve"> Výsledky analýzy porovnání relativních počtů bronchoalveolárních 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T-lymfocytů a jejich poměru u pacientů se sarkoidózou a ostatními intersticiálními plicními nemocemi</w:t>
            </w:r>
            <w:r w:rsidR="004072B9">
              <w:rPr>
                <w:noProof/>
                <w:webHidden/>
              </w:rPr>
              <w:tab/>
            </w:r>
            <w:r w:rsidR="004072B9">
              <w:rPr>
                <w:noProof/>
                <w:webHidden/>
              </w:rPr>
              <w:fldChar w:fldCharType="begin"/>
            </w:r>
            <w:r w:rsidR="004072B9">
              <w:rPr>
                <w:noProof/>
                <w:webHidden/>
              </w:rPr>
              <w:instrText xml:space="preserve"> PAGEREF _Toc69543036 \h </w:instrText>
            </w:r>
            <w:r w:rsidR="004072B9">
              <w:rPr>
                <w:noProof/>
                <w:webHidden/>
              </w:rPr>
            </w:r>
            <w:r w:rsidR="004072B9">
              <w:rPr>
                <w:noProof/>
                <w:webHidden/>
              </w:rPr>
              <w:fldChar w:fldCharType="separate"/>
            </w:r>
            <w:r w:rsidR="004072B9">
              <w:rPr>
                <w:noProof/>
                <w:webHidden/>
              </w:rPr>
              <w:t>43</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37" w:history="1">
            <w:r w:rsidR="004072B9" w:rsidRPr="00424210">
              <w:rPr>
                <w:rStyle w:val="Hypertextovodkaz"/>
                <w:rFonts w:cstheme="minorHAnsi"/>
                <w:noProof/>
                <w14:scene3d>
                  <w14:camera w14:prst="orthographicFront"/>
                  <w14:lightRig w14:rig="threePt" w14:dir="t">
                    <w14:rot w14:lat="0" w14:lon="0" w14:rev="0"/>
                  </w14:lightRig>
                </w14:scene3d>
              </w:rPr>
              <w:t>C.2.</w:t>
            </w:r>
            <w:r w:rsidR="004072B9" w:rsidRPr="00424210">
              <w:rPr>
                <w:rStyle w:val="Hypertextovodkaz"/>
                <w:rFonts w:cstheme="minorHAnsi"/>
                <w:noProof/>
              </w:rPr>
              <w:t xml:space="preserve"> Výsledky studia exprese RNA-vazebných proteinů a inhibitorů matrix metaloproteináz (MMP) u pacientů s plicní sarkoidózou</w:t>
            </w:r>
            <w:r w:rsidR="004072B9">
              <w:rPr>
                <w:noProof/>
                <w:webHidden/>
              </w:rPr>
              <w:tab/>
            </w:r>
            <w:r w:rsidR="004072B9">
              <w:rPr>
                <w:noProof/>
                <w:webHidden/>
              </w:rPr>
              <w:fldChar w:fldCharType="begin"/>
            </w:r>
            <w:r w:rsidR="004072B9">
              <w:rPr>
                <w:noProof/>
                <w:webHidden/>
              </w:rPr>
              <w:instrText xml:space="preserve"> PAGEREF _Toc69543037 \h </w:instrText>
            </w:r>
            <w:r w:rsidR="004072B9">
              <w:rPr>
                <w:noProof/>
                <w:webHidden/>
              </w:rPr>
            </w:r>
            <w:r w:rsidR="004072B9">
              <w:rPr>
                <w:noProof/>
                <w:webHidden/>
              </w:rPr>
              <w:fldChar w:fldCharType="separate"/>
            </w:r>
            <w:r w:rsidR="004072B9">
              <w:rPr>
                <w:noProof/>
                <w:webHidden/>
              </w:rPr>
              <w:t>45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38" w:history="1">
            <w:r w:rsidR="004072B9" w:rsidRPr="00424210">
              <w:rPr>
                <w:rStyle w:val="Hypertextovodkaz"/>
                <w:rFonts w:cstheme="minorHAnsi"/>
                <w:noProof/>
              </w:rPr>
              <w:t>C.2.1. Výsledky porovnání bronchoalveolární mRNA exprese RNA-vazebných proteinů a inhibitorů MMP u pacientů s plicní sarkoidózou v porovnání se zdravými kontrolami</w:t>
            </w:r>
            <w:r w:rsidR="004072B9">
              <w:rPr>
                <w:noProof/>
                <w:webHidden/>
              </w:rPr>
              <w:tab/>
            </w:r>
            <w:r w:rsidR="004072B9">
              <w:rPr>
                <w:noProof/>
                <w:webHidden/>
              </w:rPr>
              <w:fldChar w:fldCharType="begin"/>
            </w:r>
            <w:r w:rsidR="004072B9">
              <w:rPr>
                <w:noProof/>
                <w:webHidden/>
              </w:rPr>
              <w:instrText xml:space="preserve"> PAGEREF _Toc69543038 \h </w:instrText>
            </w:r>
            <w:r w:rsidR="004072B9">
              <w:rPr>
                <w:noProof/>
                <w:webHidden/>
              </w:rPr>
            </w:r>
            <w:r w:rsidR="004072B9">
              <w:rPr>
                <w:noProof/>
                <w:webHidden/>
              </w:rPr>
              <w:fldChar w:fldCharType="separate"/>
            </w:r>
            <w:r w:rsidR="004072B9">
              <w:rPr>
                <w:noProof/>
                <w:webHidden/>
              </w:rPr>
              <w:t>45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39" w:history="1">
            <w:r w:rsidR="004072B9" w:rsidRPr="00424210">
              <w:rPr>
                <w:rStyle w:val="Hypertextovodkaz"/>
                <w:rFonts w:cstheme="minorHAnsi"/>
                <w:noProof/>
              </w:rPr>
              <w:t>C.2.2. Výsledky porovnání bronchoalveolární mRNA exprese RNA-vazebných proteinů a inhibitorů MMP u pacientů s plicní sarkoidózou, CHOPN, astmatem a IIP</w:t>
            </w:r>
            <w:r w:rsidR="004072B9">
              <w:rPr>
                <w:noProof/>
                <w:webHidden/>
              </w:rPr>
              <w:tab/>
            </w:r>
            <w:r w:rsidR="004072B9">
              <w:rPr>
                <w:noProof/>
                <w:webHidden/>
              </w:rPr>
              <w:fldChar w:fldCharType="begin"/>
            </w:r>
            <w:r w:rsidR="004072B9">
              <w:rPr>
                <w:noProof/>
                <w:webHidden/>
              </w:rPr>
              <w:instrText xml:space="preserve"> PAGEREF _Toc69543039 \h </w:instrText>
            </w:r>
            <w:r w:rsidR="004072B9">
              <w:rPr>
                <w:noProof/>
                <w:webHidden/>
              </w:rPr>
            </w:r>
            <w:r w:rsidR="004072B9">
              <w:rPr>
                <w:noProof/>
                <w:webHidden/>
              </w:rPr>
              <w:fldChar w:fldCharType="separate"/>
            </w:r>
            <w:r w:rsidR="004072B9">
              <w:rPr>
                <w:noProof/>
                <w:webHidden/>
              </w:rPr>
              <w:t>45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0" w:history="1">
            <w:r w:rsidR="004072B9" w:rsidRPr="00424210">
              <w:rPr>
                <w:rStyle w:val="Hypertextovodkaz"/>
                <w:rFonts w:cstheme="minorHAnsi"/>
                <w:noProof/>
              </w:rPr>
              <w:t>C.2.3. Výsledky porovnání bronchoalveolární mRNA exprese RNA-vazebných proteinů a inhibitorů MMP u zdravých kontrol s pacienty s CHOPN, astmatem a IIP</w:t>
            </w:r>
            <w:r w:rsidR="004072B9">
              <w:rPr>
                <w:noProof/>
                <w:webHidden/>
              </w:rPr>
              <w:tab/>
            </w:r>
            <w:r w:rsidR="004072B9">
              <w:rPr>
                <w:noProof/>
                <w:webHidden/>
              </w:rPr>
              <w:fldChar w:fldCharType="begin"/>
            </w:r>
            <w:r w:rsidR="004072B9">
              <w:rPr>
                <w:noProof/>
                <w:webHidden/>
              </w:rPr>
              <w:instrText xml:space="preserve"> PAGEREF _Toc69543040 \h </w:instrText>
            </w:r>
            <w:r w:rsidR="004072B9">
              <w:rPr>
                <w:noProof/>
                <w:webHidden/>
              </w:rPr>
            </w:r>
            <w:r w:rsidR="004072B9">
              <w:rPr>
                <w:noProof/>
                <w:webHidden/>
              </w:rPr>
              <w:fldChar w:fldCharType="separate"/>
            </w:r>
            <w:r w:rsidR="004072B9">
              <w:rPr>
                <w:noProof/>
                <w:webHidden/>
              </w:rPr>
              <w:t>46</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1" w:history="1">
            <w:r w:rsidR="004072B9" w:rsidRPr="00424210">
              <w:rPr>
                <w:rStyle w:val="Hypertextovodkaz"/>
                <w:rFonts w:cstheme="minorHAnsi"/>
                <w:noProof/>
              </w:rPr>
              <w:t>C.2.4. Výsledky korelační analýzy bronchoalveolární mRNA exprese RNA-vazebných proteinů, inhibitorů matrix metaloproteináz a bronchoalveolárních buněčných populací</w:t>
            </w:r>
            <w:r w:rsidR="004072B9">
              <w:rPr>
                <w:noProof/>
                <w:webHidden/>
              </w:rPr>
              <w:tab/>
            </w:r>
            <w:r w:rsidR="004072B9">
              <w:rPr>
                <w:noProof/>
                <w:webHidden/>
              </w:rPr>
              <w:fldChar w:fldCharType="begin"/>
            </w:r>
            <w:r w:rsidR="004072B9">
              <w:rPr>
                <w:noProof/>
                <w:webHidden/>
              </w:rPr>
              <w:instrText xml:space="preserve"> PAGEREF _Toc69543041 \h </w:instrText>
            </w:r>
            <w:r w:rsidR="004072B9">
              <w:rPr>
                <w:noProof/>
                <w:webHidden/>
              </w:rPr>
            </w:r>
            <w:r w:rsidR="004072B9">
              <w:rPr>
                <w:noProof/>
                <w:webHidden/>
              </w:rPr>
              <w:fldChar w:fldCharType="separate"/>
            </w:r>
            <w:r w:rsidR="004072B9">
              <w:rPr>
                <w:noProof/>
                <w:webHidden/>
              </w:rPr>
              <w:t>49</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2" w:history="1">
            <w:r w:rsidR="004072B9" w:rsidRPr="00424210">
              <w:rPr>
                <w:rStyle w:val="Hypertextovodkaz"/>
                <w:rFonts w:cstheme="minorHAnsi"/>
                <w:noProof/>
              </w:rPr>
              <w:t>C.2.5. Vliv kouření a věku na bronchoalveolární mRNA expresi RNA-vazebných proteinů u pacientů s plicní sarkoidózou</w:t>
            </w:r>
            <w:r w:rsidR="004072B9">
              <w:rPr>
                <w:noProof/>
                <w:webHidden/>
              </w:rPr>
              <w:tab/>
            </w:r>
            <w:r w:rsidR="004072B9">
              <w:rPr>
                <w:noProof/>
                <w:webHidden/>
              </w:rPr>
              <w:fldChar w:fldCharType="begin"/>
            </w:r>
            <w:r w:rsidR="004072B9">
              <w:rPr>
                <w:noProof/>
                <w:webHidden/>
              </w:rPr>
              <w:instrText xml:space="preserve"> PAGEREF _Toc69543042 \h </w:instrText>
            </w:r>
            <w:r w:rsidR="004072B9">
              <w:rPr>
                <w:noProof/>
                <w:webHidden/>
              </w:rPr>
            </w:r>
            <w:r w:rsidR="004072B9">
              <w:rPr>
                <w:noProof/>
                <w:webHidden/>
              </w:rPr>
              <w:fldChar w:fldCharType="separate"/>
            </w:r>
            <w:r w:rsidR="004072B9">
              <w:rPr>
                <w:noProof/>
                <w:webHidden/>
              </w:rPr>
              <w:t>49</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3" w:history="1">
            <w:r w:rsidR="004072B9" w:rsidRPr="00424210">
              <w:rPr>
                <w:rStyle w:val="Hypertextovodkaz"/>
                <w:rFonts w:cstheme="minorHAnsi"/>
                <w:noProof/>
              </w:rPr>
              <w:t>C.2.6. Výsledky porovnání relativní proteinové exprese dvou RNA-vazebných proteinů v mononukleárních buňkách periferní krve u pacientů s plicní sarkoidózou a zdravých kontrol</w:t>
            </w:r>
            <w:r w:rsidR="004072B9">
              <w:rPr>
                <w:noProof/>
                <w:webHidden/>
              </w:rPr>
              <w:tab/>
            </w:r>
            <w:r w:rsidR="004072B9">
              <w:rPr>
                <w:noProof/>
                <w:webHidden/>
              </w:rPr>
              <w:fldChar w:fldCharType="begin"/>
            </w:r>
            <w:r w:rsidR="004072B9">
              <w:rPr>
                <w:noProof/>
                <w:webHidden/>
              </w:rPr>
              <w:instrText xml:space="preserve"> PAGEREF _Toc69543043 \h </w:instrText>
            </w:r>
            <w:r w:rsidR="004072B9">
              <w:rPr>
                <w:noProof/>
                <w:webHidden/>
              </w:rPr>
            </w:r>
            <w:r w:rsidR="004072B9">
              <w:rPr>
                <w:noProof/>
                <w:webHidden/>
              </w:rPr>
              <w:fldChar w:fldCharType="separate"/>
            </w:r>
            <w:r w:rsidR="004072B9">
              <w:rPr>
                <w:noProof/>
                <w:webHidden/>
              </w:rPr>
              <w:t>50</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44" w:history="1">
            <w:r w:rsidR="004072B9" w:rsidRPr="00424210">
              <w:rPr>
                <w:rStyle w:val="Hypertextovodkaz"/>
                <w:rFonts w:cstheme="minorHAnsi"/>
                <w:noProof/>
                <w14:scene3d>
                  <w14:camera w14:prst="orthographicFront"/>
                  <w14:lightRig w14:rig="threePt" w14:dir="t">
                    <w14:rot w14:lat="0" w14:lon="0" w14:rev="0"/>
                  </w14:lightRig>
                </w14:scene3d>
              </w:rPr>
              <w:t>C.3.</w:t>
            </w:r>
            <w:r w:rsidR="004072B9" w:rsidRPr="00424210">
              <w:rPr>
                <w:rStyle w:val="Hypertextovodkaz"/>
                <w:rFonts w:cstheme="minorHAnsi"/>
                <w:noProof/>
              </w:rPr>
              <w:t xml:space="preserve"> Výsledky stanovení relativní exprese miRNA v séru u pacientů s plicní sarkoidózou a zdravými kontrolami</w:t>
            </w:r>
            <w:r w:rsidR="004072B9">
              <w:rPr>
                <w:noProof/>
                <w:webHidden/>
              </w:rPr>
              <w:tab/>
            </w:r>
            <w:r w:rsidR="004072B9">
              <w:rPr>
                <w:noProof/>
                <w:webHidden/>
              </w:rPr>
              <w:fldChar w:fldCharType="begin"/>
            </w:r>
            <w:r w:rsidR="004072B9">
              <w:rPr>
                <w:noProof/>
                <w:webHidden/>
              </w:rPr>
              <w:instrText xml:space="preserve"> PAGEREF _Toc69543044 \h </w:instrText>
            </w:r>
            <w:r w:rsidR="004072B9">
              <w:rPr>
                <w:noProof/>
                <w:webHidden/>
              </w:rPr>
            </w:r>
            <w:r w:rsidR="004072B9">
              <w:rPr>
                <w:noProof/>
                <w:webHidden/>
              </w:rPr>
              <w:fldChar w:fldCharType="separate"/>
            </w:r>
            <w:r w:rsidR="004072B9">
              <w:rPr>
                <w:noProof/>
                <w:webHidden/>
              </w:rPr>
              <w:t>52</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5" w:history="1">
            <w:r w:rsidR="004072B9" w:rsidRPr="00424210">
              <w:rPr>
                <w:rStyle w:val="Hypertextovodkaz"/>
                <w:rFonts w:cstheme="minorHAnsi"/>
                <w:noProof/>
              </w:rPr>
              <w:t>C.3.1. Výsledky Mann-Whitney testu při porovnání exprese miRNA v séru</w:t>
            </w:r>
            <w:r w:rsidR="004072B9">
              <w:rPr>
                <w:noProof/>
                <w:webHidden/>
              </w:rPr>
              <w:tab/>
            </w:r>
            <w:r w:rsidR="004072B9">
              <w:rPr>
                <w:noProof/>
                <w:webHidden/>
              </w:rPr>
              <w:fldChar w:fldCharType="begin"/>
            </w:r>
            <w:r w:rsidR="004072B9">
              <w:rPr>
                <w:noProof/>
                <w:webHidden/>
              </w:rPr>
              <w:instrText xml:space="preserve"> PAGEREF _Toc69543045 \h </w:instrText>
            </w:r>
            <w:r w:rsidR="004072B9">
              <w:rPr>
                <w:noProof/>
                <w:webHidden/>
              </w:rPr>
            </w:r>
            <w:r w:rsidR="004072B9">
              <w:rPr>
                <w:noProof/>
                <w:webHidden/>
              </w:rPr>
              <w:fldChar w:fldCharType="separate"/>
            </w:r>
            <w:r w:rsidR="004072B9">
              <w:rPr>
                <w:noProof/>
                <w:webHidden/>
              </w:rPr>
              <w:t>52</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6" w:history="1">
            <w:r w:rsidR="004072B9" w:rsidRPr="00424210">
              <w:rPr>
                <w:rStyle w:val="Hypertextovodkaz"/>
                <w:rFonts w:cstheme="minorHAnsi"/>
                <w:noProof/>
              </w:rPr>
              <w:t>C.3.2. Výsledky analýzy signálních drah miRNA deregulovaných v séru pacientů s plicní sarkoidózou</w:t>
            </w:r>
            <w:r w:rsidR="004072B9">
              <w:rPr>
                <w:noProof/>
                <w:webHidden/>
              </w:rPr>
              <w:tab/>
            </w:r>
            <w:r w:rsidR="004072B9">
              <w:rPr>
                <w:noProof/>
                <w:webHidden/>
              </w:rPr>
              <w:fldChar w:fldCharType="begin"/>
            </w:r>
            <w:r w:rsidR="004072B9">
              <w:rPr>
                <w:noProof/>
                <w:webHidden/>
              </w:rPr>
              <w:instrText xml:space="preserve"> PAGEREF _Toc69543046 \h </w:instrText>
            </w:r>
            <w:r w:rsidR="004072B9">
              <w:rPr>
                <w:noProof/>
                <w:webHidden/>
              </w:rPr>
            </w:r>
            <w:r w:rsidR="004072B9">
              <w:rPr>
                <w:noProof/>
                <w:webHidden/>
              </w:rPr>
              <w:fldChar w:fldCharType="separate"/>
            </w:r>
            <w:r w:rsidR="004072B9">
              <w:rPr>
                <w:noProof/>
                <w:webHidden/>
              </w:rPr>
              <w:t>55</w:t>
            </w:r>
            <w:r w:rsidR="004072B9">
              <w:rPr>
                <w:noProof/>
                <w:webHidden/>
              </w:rPr>
              <w:fldChar w:fldCharType="end"/>
            </w:r>
          </w:hyperlink>
        </w:p>
        <w:p w:rsidR="004072B9" w:rsidRDefault="006F4D60">
          <w:pPr>
            <w:pStyle w:val="Obsah3"/>
            <w:tabs>
              <w:tab w:val="right" w:leader="dot" w:pos="9060"/>
            </w:tabs>
            <w:rPr>
              <w:rFonts w:eastAsiaTheme="minorEastAsia"/>
              <w:noProof/>
              <w:lang w:eastAsia="cs-CZ"/>
            </w:rPr>
          </w:pPr>
          <w:hyperlink w:anchor="_Toc69543047" w:history="1">
            <w:r w:rsidR="004072B9" w:rsidRPr="00424210">
              <w:rPr>
                <w:rStyle w:val="Hypertextovodkaz"/>
                <w:rFonts w:cstheme="minorHAnsi"/>
                <w:noProof/>
              </w:rPr>
              <w:t>C.3.3. Výsledky multivariační analýzy exprese deregulovaných miRNA v séru pacientů se sarkoidózou</w:t>
            </w:r>
            <w:r w:rsidR="004072B9">
              <w:rPr>
                <w:noProof/>
                <w:webHidden/>
              </w:rPr>
              <w:tab/>
            </w:r>
            <w:r w:rsidR="004072B9">
              <w:rPr>
                <w:noProof/>
                <w:webHidden/>
              </w:rPr>
              <w:fldChar w:fldCharType="begin"/>
            </w:r>
            <w:r w:rsidR="004072B9">
              <w:rPr>
                <w:noProof/>
                <w:webHidden/>
              </w:rPr>
              <w:instrText xml:space="preserve"> PAGEREF _Toc69543047 \h </w:instrText>
            </w:r>
            <w:r w:rsidR="004072B9">
              <w:rPr>
                <w:noProof/>
                <w:webHidden/>
              </w:rPr>
            </w:r>
            <w:r w:rsidR="004072B9">
              <w:rPr>
                <w:noProof/>
                <w:webHidden/>
              </w:rPr>
              <w:fldChar w:fldCharType="separate"/>
            </w:r>
            <w:r w:rsidR="004072B9">
              <w:rPr>
                <w:noProof/>
                <w:webHidden/>
              </w:rPr>
              <w:t>55</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48" w:history="1">
            <w:r w:rsidR="004072B9" w:rsidRPr="00424210">
              <w:rPr>
                <w:rStyle w:val="Hypertextovodkaz"/>
                <w:noProof/>
                <w14:scene3d>
                  <w14:camera w14:prst="orthographicFront"/>
                  <w14:lightRig w14:rig="threePt" w14:dir="t">
                    <w14:rot w14:lat="0" w14:lon="0" w14:rev="0"/>
                  </w14:lightRig>
                </w14:scene3d>
              </w:rPr>
              <w:t>D.</w:t>
            </w:r>
            <w:r w:rsidR="004072B9" w:rsidRPr="00424210">
              <w:rPr>
                <w:rStyle w:val="Hypertextovodkaz"/>
                <w:noProof/>
              </w:rPr>
              <w:t xml:space="preserve"> Diskuse</w:t>
            </w:r>
            <w:r w:rsidR="004072B9">
              <w:rPr>
                <w:noProof/>
                <w:webHidden/>
              </w:rPr>
              <w:tab/>
            </w:r>
            <w:r w:rsidR="004072B9">
              <w:rPr>
                <w:noProof/>
                <w:webHidden/>
              </w:rPr>
              <w:fldChar w:fldCharType="begin"/>
            </w:r>
            <w:r w:rsidR="004072B9">
              <w:rPr>
                <w:noProof/>
                <w:webHidden/>
              </w:rPr>
              <w:instrText xml:space="preserve"> PAGEREF _Toc69543048 \h </w:instrText>
            </w:r>
            <w:r w:rsidR="004072B9">
              <w:rPr>
                <w:noProof/>
                <w:webHidden/>
              </w:rPr>
            </w:r>
            <w:r w:rsidR="004072B9">
              <w:rPr>
                <w:noProof/>
                <w:webHidden/>
              </w:rPr>
              <w:fldChar w:fldCharType="separate"/>
            </w:r>
            <w:r w:rsidR="004072B9">
              <w:rPr>
                <w:noProof/>
                <w:webHidden/>
              </w:rPr>
              <w:t>57</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49" w:history="1">
            <w:r w:rsidR="004072B9" w:rsidRPr="00424210">
              <w:rPr>
                <w:rStyle w:val="Hypertextovodkaz"/>
                <w:noProof/>
                <w14:scene3d>
                  <w14:camera w14:prst="orthographicFront"/>
                  <w14:lightRig w14:rig="threePt" w14:dir="t">
                    <w14:rot w14:lat="0" w14:lon="0" w14:rev="0"/>
                  </w14:lightRig>
                </w14:scene3d>
              </w:rPr>
              <w:t>D.1.</w:t>
            </w:r>
            <w:r w:rsidR="004072B9" w:rsidRPr="00424210">
              <w:rPr>
                <w:rStyle w:val="Hypertextovodkaz"/>
                <w:noProof/>
              </w:rPr>
              <w:t xml:space="preserve"> Diskuse: Porovnání </w:t>
            </w:r>
            <w:r w:rsidR="004072B9" w:rsidRPr="00424210">
              <w:rPr>
                <w:rStyle w:val="Hypertextovodkaz"/>
                <w:rFonts w:cstheme="minorHAnsi"/>
                <w:noProof/>
              </w:rPr>
              <w:t xml:space="preserve">relativních počtů </w:t>
            </w:r>
            <w:r w:rsidR="004072B9" w:rsidRPr="00424210">
              <w:rPr>
                <w:rStyle w:val="Hypertextovodkaz"/>
                <w:noProof/>
              </w:rPr>
              <w:t xml:space="preserve">bronchoalveolárních </w:t>
            </w:r>
            <w:r w:rsidR="004072B9" w:rsidRPr="00424210">
              <w:rPr>
                <w:rStyle w:val="Hypertextovodkaz"/>
                <w:rFonts w:cstheme="minorHAnsi"/>
                <w:noProof/>
              </w:rPr>
              <w:t>CD4</w:t>
            </w:r>
            <w:r w:rsidR="004072B9" w:rsidRPr="00424210">
              <w:rPr>
                <w:rStyle w:val="Hypertextovodkaz"/>
                <w:rFonts w:cstheme="minorHAnsi"/>
                <w:noProof/>
                <w:vertAlign w:val="superscript"/>
              </w:rPr>
              <w:t>+</w:t>
            </w:r>
            <w:r w:rsidR="004072B9" w:rsidRPr="00424210">
              <w:rPr>
                <w:rStyle w:val="Hypertextovodkaz"/>
                <w:rFonts w:cstheme="minorHAnsi"/>
                <w:noProof/>
              </w:rPr>
              <w:t xml:space="preserve"> a CD8</w:t>
            </w:r>
            <w:r w:rsidR="004072B9" w:rsidRPr="00424210">
              <w:rPr>
                <w:rStyle w:val="Hypertextovodkaz"/>
                <w:rFonts w:cstheme="minorHAnsi"/>
                <w:noProof/>
                <w:vertAlign w:val="superscript"/>
              </w:rPr>
              <w:t xml:space="preserve">+ </w:t>
            </w:r>
            <w:r w:rsidR="004072B9" w:rsidRPr="00424210">
              <w:rPr>
                <w:rStyle w:val="Hypertextovodkaz"/>
                <w:noProof/>
              </w:rPr>
              <w:t>T-lymfocytů u plicní sarkoidózy a ostatních intersticiálních plicních onemocnění</w:t>
            </w:r>
            <w:r w:rsidR="004072B9">
              <w:rPr>
                <w:noProof/>
                <w:webHidden/>
              </w:rPr>
              <w:tab/>
            </w:r>
            <w:r w:rsidR="004072B9">
              <w:rPr>
                <w:noProof/>
                <w:webHidden/>
              </w:rPr>
              <w:fldChar w:fldCharType="begin"/>
            </w:r>
            <w:r w:rsidR="004072B9">
              <w:rPr>
                <w:noProof/>
                <w:webHidden/>
              </w:rPr>
              <w:instrText xml:space="preserve"> PAGEREF _Toc69543049 \h </w:instrText>
            </w:r>
            <w:r w:rsidR="004072B9">
              <w:rPr>
                <w:noProof/>
                <w:webHidden/>
              </w:rPr>
            </w:r>
            <w:r w:rsidR="004072B9">
              <w:rPr>
                <w:noProof/>
                <w:webHidden/>
              </w:rPr>
              <w:fldChar w:fldCharType="separate"/>
            </w:r>
            <w:r w:rsidR="004072B9">
              <w:rPr>
                <w:noProof/>
                <w:webHidden/>
              </w:rPr>
              <w:t>57</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50" w:history="1">
            <w:r w:rsidR="004072B9" w:rsidRPr="00424210">
              <w:rPr>
                <w:rStyle w:val="Hypertextovodkaz"/>
                <w:noProof/>
                <w14:scene3d>
                  <w14:camera w14:prst="orthographicFront"/>
                  <w14:lightRig w14:rig="threePt" w14:dir="t">
                    <w14:rot w14:lat="0" w14:lon="0" w14:rev="0"/>
                  </w14:lightRig>
                </w14:scene3d>
              </w:rPr>
              <w:t>D.2.</w:t>
            </w:r>
            <w:r w:rsidR="004072B9" w:rsidRPr="00424210">
              <w:rPr>
                <w:rStyle w:val="Hypertextovodkaz"/>
                <w:noProof/>
              </w:rPr>
              <w:t xml:space="preserve"> Diskuze: Exprese RNA-vazebných proteinů v bronchoalveolárních buňkách u plicní sarkoidózy</w:t>
            </w:r>
            <w:r w:rsidR="004072B9">
              <w:rPr>
                <w:noProof/>
                <w:webHidden/>
              </w:rPr>
              <w:tab/>
            </w:r>
            <w:r w:rsidR="004072B9">
              <w:rPr>
                <w:noProof/>
                <w:webHidden/>
              </w:rPr>
              <w:fldChar w:fldCharType="begin"/>
            </w:r>
            <w:r w:rsidR="004072B9">
              <w:rPr>
                <w:noProof/>
                <w:webHidden/>
              </w:rPr>
              <w:instrText xml:space="preserve"> PAGEREF _Toc69543050 \h </w:instrText>
            </w:r>
            <w:r w:rsidR="004072B9">
              <w:rPr>
                <w:noProof/>
                <w:webHidden/>
              </w:rPr>
            </w:r>
            <w:r w:rsidR="004072B9">
              <w:rPr>
                <w:noProof/>
                <w:webHidden/>
              </w:rPr>
              <w:fldChar w:fldCharType="separate"/>
            </w:r>
            <w:r w:rsidR="004072B9">
              <w:rPr>
                <w:noProof/>
                <w:webHidden/>
              </w:rPr>
              <w:t>59</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51" w:history="1">
            <w:r w:rsidR="004072B9" w:rsidRPr="00424210">
              <w:rPr>
                <w:rStyle w:val="Hypertextovodkaz"/>
                <w:noProof/>
                <w14:scene3d>
                  <w14:camera w14:prst="orthographicFront"/>
                  <w14:lightRig w14:rig="threePt" w14:dir="t">
                    <w14:rot w14:lat="0" w14:lon="0" w14:rev="0"/>
                  </w14:lightRig>
                </w14:scene3d>
              </w:rPr>
              <w:t>D.3.</w:t>
            </w:r>
            <w:r w:rsidR="004072B9" w:rsidRPr="00424210">
              <w:rPr>
                <w:rStyle w:val="Hypertextovodkaz"/>
                <w:noProof/>
              </w:rPr>
              <w:t xml:space="preserve"> Diskuze: Exprese miRNA v séru u pacientů s plicní sarkoidózou</w:t>
            </w:r>
            <w:r w:rsidR="004072B9">
              <w:rPr>
                <w:noProof/>
                <w:webHidden/>
              </w:rPr>
              <w:tab/>
            </w:r>
            <w:r w:rsidR="004072B9">
              <w:rPr>
                <w:noProof/>
                <w:webHidden/>
              </w:rPr>
              <w:fldChar w:fldCharType="begin"/>
            </w:r>
            <w:r w:rsidR="004072B9">
              <w:rPr>
                <w:noProof/>
                <w:webHidden/>
              </w:rPr>
              <w:instrText xml:space="preserve"> PAGEREF _Toc69543051 \h </w:instrText>
            </w:r>
            <w:r w:rsidR="004072B9">
              <w:rPr>
                <w:noProof/>
                <w:webHidden/>
              </w:rPr>
            </w:r>
            <w:r w:rsidR="004072B9">
              <w:rPr>
                <w:noProof/>
                <w:webHidden/>
              </w:rPr>
              <w:fldChar w:fldCharType="separate"/>
            </w:r>
            <w:r w:rsidR="004072B9">
              <w:rPr>
                <w:noProof/>
                <w:webHidden/>
              </w:rPr>
              <w:t>60</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52" w:history="1">
            <w:r w:rsidR="004072B9" w:rsidRPr="00424210">
              <w:rPr>
                <w:rStyle w:val="Hypertextovodkaz"/>
                <w:noProof/>
                <w14:scene3d>
                  <w14:camera w14:prst="orthographicFront"/>
                  <w14:lightRig w14:rig="threePt" w14:dir="t">
                    <w14:rot w14:lat="0" w14:lon="0" w14:rev="0"/>
                  </w14:lightRig>
                </w14:scene3d>
              </w:rPr>
              <w:t>E.</w:t>
            </w:r>
            <w:r w:rsidR="004072B9" w:rsidRPr="00424210">
              <w:rPr>
                <w:rStyle w:val="Hypertextovodkaz"/>
                <w:noProof/>
              </w:rPr>
              <w:t xml:space="preserve"> Závěr</w:t>
            </w:r>
            <w:r w:rsidR="004072B9">
              <w:rPr>
                <w:noProof/>
                <w:webHidden/>
              </w:rPr>
              <w:tab/>
            </w:r>
            <w:r w:rsidR="004072B9">
              <w:rPr>
                <w:noProof/>
                <w:webHidden/>
              </w:rPr>
              <w:fldChar w:fldCharType="begin"/>
            </w:r>
            <w:r w:rsidR="004072B9">
              <w:rPr>
                <w:noProof/>
                <w:webHidden/>
              </w:rPr>
              <w:instrText xml:space="preserve"> PAGEREF _Toc69543052 \h </w:instrText>
            </w:r>
            <w:r w:rsidR="004072B9">
              <w:rPr>
                <w:noProof/>
                <w:webHidden/>
              </w:rPr>
            </w:r>
            <w:r w:rsidR="004072B9">
              <w:rPr>
                <w:noProof/>
                <w:webHidden/>
              </w:rPr>
              <w:fldChar w:fldCharType="separate"/>
            </w:r>
            <w:r w:rsidR="004072B9">
              <w:rPr>
                <w:noProof/>
                <w:webHidden/>
              </w:rPr>
              <w:t>63</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53" w:history="1">
            <w:r w:rsidR="004072B9" w:rsidRPr="00424210">
              <w:rPr>
                <w:rStyle w:val="Hypertextovodkaz"/>
                <w:noProof/>
                <w14:scene3d>
                  <w14:camera w14:prst="orthographicFront"/>
                  <w14:lightRig w14:rig="threePt" w14:dir="t">
                    <w14:rot w14:lat="0" w14:lon="0" w14:rev="0"/>
                  </w14:lightRig>
                </w14:scene3d>
              </w:rPr>
              <w:t>F.</w:t>
            </w:r>
            <w:r w:rsidR="004072B9" w:rsidRPr="00424210">
              <w:rPr>
                <w:rStyle w:val="Hypertextovodkaz"/>
                <w:noProof/>
              </w:rPr>
              <w:t xml:space="preserve"> Seznam ostatních publikací a konferenčních příspěvků</w:t>
            </w:r>
            <w:r w:rsidR="004072B9">
              <w:rPr>
                <w:noProof/>
                <w:webHidden/>
              </w:rPr>
              <w:tab/>
            </w:r>
            <w:r w:rsidR="004072B9">
              <w:rPr>
                <w:noProof/>
                <w:webHidden/>
              </w:rPr>
              <w:fldChar w:fldCharType="begin"/>
            </w:r>
            <w:r w:rsidR="004072B9">
              <w:rPr>
                <w:noProof/>
                <w:webHidden/>
              </w:rPr>
              <w:instrText xml:space="preserve"> PAGEREF _Toc69543053 \h </w:instrText>
            </w:r>
            <w:r w:rsidR="004072B9">
              <w:rPr>
                <w:noProof/>
                <w:webHidden/>
              </w:rPr>
            </w:r>
            <w:r w:rsidR="004072B9">
              <w:rPr>
                <w:noProof/>
                <w:webHidden/>
              </w:rPr>
              <w:fldChar w:fldCharType="separate"/>
            </w:r>
            <w:r w:rsidR="004072B9">
              <w:rPr>
                <w:noProof/>
                <w:webHidden/>
              </w:rPr>
              <w:t>65</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54" w:history="1">
            <w:r w:rsidR="004072B9" w:rsidRPr="00424210">
              <w:rPr>
                <w:rStyle w:val="Hypertextovodkaz"/>
                <w:noProof/>
                <w14:scene3d>
                  <w14:camera w14:prst="orthographicFront"/>
                  <w14:lightRig w14:rig="threePt" w14:dir="t">
                    <w14:rot w14:lat="0" w14:lon="0" w14:rev="0"/>
                  </w14:lightRig>
                </w14:scene3d>
              </w:rPr>
              <w:t>G.</w:t>
            </w:r>
            <w:r w:rsidR="004072B9" w:rsidRPr="00424210">
              <w:rPr>
                <w:rStyle w:val="Hypertextovodkaz"/>
                <w:noProof/>
              </w:rPr>
              <w:t xml:space="preserve"> Seznam zkratek</w:t>
            </w:r>
            <w:r w:rsidR="004072B9">
              <w:rPr>
                <w:noProof/>
                <w:webHidden/>
              </w:rPr>
              <w:tab/>
            </w:r>
            <w:r w:rsidR="004072B9">
              <w:rPr>
                <w:noProof/>
                <w:webHidden/>
              </w:rPr>
              <w:fldChar w:fldCharType="begin"/>
            </w:r>
            <w:r w:rsidR="004072B9">
              <w:rPr>
                <w:noProof/>
                <w:webHidden/>
              </w:rPr>
              <w:instrText xml:space="preserve"> PAGEREF _Toc69543054 \h </w:instrText>
            </w:r>
            <w:r w:rsidR="004072B9">
              <w:rPr>
                <w:noProof/>
                <w:webHidden/>
              </w:rPr>
            </w:r>
            <w:r w:rsidR="004072B9">
              <w:rPr>
                <w:noProof/>
                <w:webHidden/>
              </w:rPr>
              <w:fldChar w:fldCharType="separate"/>
            </w:r>
            <w:r w:rsidR="004072B9">
              <w:rPr>
                <w:noProof/>
                <w:webHidden/>
              </w:rPr>
              <w:t>66</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55" w:history="1">
            <w:r w:rsidR="004072B9" w:rsidRPr="00424210">
              <w:rPr>
                <w:rStyle w:val="Hypertextovodkaz"/>
                <w:noProof/>
                <w14:scene3d>
                  <w14:camera w14:prst="orthographicFront"/>
                  <w14:lightRig w14:rig="threePt" w14:dir="t">
                    <w14:rot w14:lat="0" w14:lon="0" w14:rev="0"/>
                  </w14:lightRig>
                </w14:scene3d>
              </w:rPr>
              <w:t>H.</w:t>
            </w:r>
            <w:r w:rsidR="004072B9" w:rsidRPr="00424210">
              <w:rPr>
                <w:rStyle w:val="Hypertextovodkaz"/>
                <w:noProof/>
              </w:rPr>
              <w:t xml:space="preserve"> Přílohy</w:t>
            </w:r>
            <w:r w:rsidR="004072B9">
              <w:rPr>
                <w:noProof/>
                <w:webHidden/>
              </w:rPr>
              <w:tab/>
            </w:r>
            <w:r w:rsidR="004072B9">
              <w:rPr>
                <w:noProof/>
                <w:webHidden/>
              </w:rPr>
              <w:fldChar w:fldCharType="begin"/>
            </w:r>
            <w:r w:rsidR="004072B9">
              <w:rPr>
                <w:noProof/>
                <w:webHidden/>
              </w:rPr>
              <w:instrText xml:space="preserve"> PAGEREF _Toc69543055 \h </w:instrText>
            </w:r>
            <w:r w:rsidR="004072B9">
              <w:rPr>
                <w:noProof/>
                <w:webHidden/>
              </w:rPr>
            </w:r>
            <w:r w:rsidR="004072B9">
              <w:rPr>
                <w:noProof/>
                <w:webHidden/>
              </w:rPr>
              <w:fldChar w:fldCharType="separate"/>
            </w:r>
            <w:r w:rsidR="004072B9">
              <w:rPr>
                <w:noProof/>
                <w:webHidden/>
              </w:rPr>
              <w:t>69</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56" w:history="1">
            <w:r w:rsidR="004072B9" w:rsidRPr="00424210">
              <w:rPr>
                <w:rStyle w:val="Hypertextovodkaz"/>
                <w:rFonts w:cstheme="minorHAnsi"/>
                <w:noProof/>
                <w14:scene3d>
                  <w14:camera w14:prst="orthographicFront"/>
                  <w14:lightRig w14:rig="threePt" w14:dir="t">
                    <w14:rot w14:lat="0" w14:lon="0" w14:rev="0"/>
                  </w14:lightRig>
                </w14:scene3d>
              </w:rPr>
              <w:t>H.1.</w:t>
            </w:r>
            <w:r w:rsidR="004072B9" w:rsidRPr="00424210">
              <w:rPr>
                <w:rStyle w:val="Hypertextovodkaz"/>
                <w:rFonts w:cstheme="minorHAnsi"/>
                <w:noProof/>
              </w:rPr>
              <w:t xml:space="preserve"> Příloha: Výsledky subanalýzy porovnání BAL buněčného profilu u pacientů kuřáků a nekuřáků v různých stádiích sarkoidózy s intersticiálními plicními nemocemi</w:t>
            </w:r>
            <w:r w:rsidR="004072B9">
              <w:rPr>
                <w:noProof/>
                <w:webHidden/>
              </w:rPr>
              <w:tab/>
            </w:r>
            <w:r w:rsidR="004072B9">
              <w:rPr>
                <w:noProof/>
                <w:webHidden/>
              </w:rPr>
              <w:fldChar w:fldCharType="begin"/>
            </w:r>
            <w:r w:rsidR="004072B9">
              <w:rPr>
                <w:noProof/>
                <w:webHidden/>
              </w:rPr>
              <w:instrText xml:space="preserve"> PAGEREF _Toc69543056 \h </w:instrText>
            </w:r>
            <w:r w:rsidR="004072B9">
              <w:rPr>
                <w:noProof/>
                <w:webHidden/>
              </w:rPr>
            </w:r>
            <w:r w:rsidR="004072B9">
              <w:rPr>
                <w:noProof/>
                <w:webHidden/>
              </w:rPr>
              <w:fldChar w:fldCharType="separate"/>
            </w:r>
            <w:r w:rsidR="004072B9">
              <w:rPr>
                <w:noProof/>
                <w:webHidden/>
              </w:rPr>
              <w:t>69</w:t>
            </w:r>
            <w:r w:rsidR="004072B9">
              <w:rPr>
                <w:noProof/>
                <w:webHidden/>
              </w:rPr>
              <w:fldChar w:fldCharType="end"/>
            </w:r>
          </w:hyperlink>
        </w:p>
        <w:p w:rsidR="004072B9" w:rsidRDefault="006F4D60">
          <w:pPr>
            <w:pStyle w:val="Obsah2"/>
            <w:tabs>
              <w:tab w:val="right" w:leader="dot" w:pos="9060"/>
            </w:tabs>
            <w:rPr>
              <w:rFonts w:eastAsiaTheme="minorEastAsia"/>
              <w:noProof/>
              <w:lang w:eastAsia="cs-CZ"/>
            </w:rPr>
          </w:pPr>
          <w:hyperlink w:anchor="_Toc69543057" w:history="1">
            <w:r w:rsidR="004072B9" w:rsidRPr="00424210">
              <w:rPr>
                <w:rStyle w:val="Hypertextovodkaz"/>
                <w:rFonts w:cstheme="minorHAnsi"/>
                <w:noProof/>
                <w14:scene3d>
                  <w14:camera w14:prst="orthographicFront"/>
                  <w14:lightRig w14:rig="threePt" w14:dir="t">
                    <w14:rot w14:lat="0" w14:lon="0" w14:rev="0"/>
                  </w14:lightRig>
                </w14:scene3d>
              </w:rPr>
              <w:t>H.2.</w:t>
            </w:r>
            <w:r w:rsidR="004072B9" w:rsidRPr="00424210">
              <w:rPr>
                <w:rStyle w:val="Hypertextovodkaz"/>
                <w:rFonts w:cstheme="minorHAnsi"/>
                <w:noProof/>
              </w:rPr>
              <w:t xml:space="preserve"> Příloha: Výsledky studia bronchoalveolární mRNA exprese RNA-vazebných proteinů:</w:t>
            </w:r>
            <w:r w:rsidR="004072B9">
              <w:rPr>
                <w:noProof/>
                <w:webHidden/>
              </w:rPr>
              <w:tab/>
            </w:r>
            <w:r w:rsidR="004072B9">
              <w:rPr>
                <w:noProof/>
                <w:webHidden/>
              </w:rPr>
              <w:fldChar w:fldCharType="begin"/>
            </w:r>
            <w:r w:rsidR="004072B9">
              <w:rPr>
                <w:noProof/>
                <w:webHidden/>
              </w:rPr>
              <w:instrText xml:space="preserve"> PAGEREF _Toc69543057 \h </w:instrText>
            </w:r>
            <w:r w:rsidR="004072B9">
              <w:rPr>
                <w:noProof/>
                <w:webHidden/>
              </w:rPr>
            </w:r>
            <w:r w:rsidR="004072B9">
              <w:rPr>
                <w:noProof/>
                <w:webHidden/>
              </w:rPr>
              <w:fldChar w:fldCharType="separate"/>
            </w:r>
            <w:r w:rsidR="004072B9">
              <w:rPr>
                <w:noProof/>
                <w:webHidden/>
              </w:rPr>
              <w:t>74</w:t>
            </w:r>
            <w:r w:rsidR="004072B9">
              <w:rPr>
                <w:noProof/>
                <w:webHidden/>
              </w:rPr>
              <w:fldChar w:fldCharType="end"/>
            </w:r>
          </w:hyperlink>
        </w:p>
        <w:p w:rsidR="004072B9" w:rsidRDefault="006F4D60">
          <w:pPr>
            <w:pStyle w:val="Obsah1"/>
            <w:tabs>
              <w:tab w:val="right" w:leader="dot" w:pos="9060"/>
            </w:tabs>
            <w:rPr>
              <w:rFonts w:eastAsiaTheme="minorEastAsia"/>
              <w:noProof/>
              <w:lang w:eastAsia="cs-CZ"/>
            </w:rPr>
          </w:pPr>
          <w:hyperlink w:anchor="_Toc69543058" w:history="1">
            <w:r w:rsidR="004072B9" w:rsidRPr="00424210">
              <w:rPr>
                <w:rStyle w:val="Hypertextovodkaz"/>
                <w:rFonts w:cstheme="minorHAnsi"/>
                <w:noProof/>
                <w14:scene3d>
                  <w14:camera w14:prst="orthographicFront"/>
                  <w14:lightRig w14:rig="threePt" w14:dir="t">
                    <w14:rot w14:lat="0" w14:lon="0" w14:rev="0"/>
                  </w14:lightRig>
                </w14:scene3d>
              </w:rPr>
              <w:t>I.</w:t>
            </w:r>
            <w:r w:rsidR="004072B9" w:rsidRPr="00424210">
              <w:rPr>
                <w:rStyle w:val="Hypertextovodkaz"/>
                <w:rFonts w:cstheme="minorHAnsi"/>
                <w:noProof/>
              </w:rPr>
              <w:t xml:space="preserve"> Seznam literatury</w:t>
            </w:r>
            <w:r w:rsidR="004072B9">
              <w:rPr>
                <w:noProof/>
                <w:webHidden/>
              </w:rPr>
              <w:tab/>
            </w:r>
            <w:r w:rsidR="004072B9">
              <w:rPr>
                <w:noProof/>
                <w:webHidden/>
              </w:rPr>
              <w:fldChar w:fldCharType="begin"/>
            </w:r>
            <w:r w:rsidR="004072B9">
              <w:rPr>
                <w:noProof/>
                <w:webHidden/>
              </w:rPr>
              <w:instrText xml:space="preserve"> PAGEREF _Toc69543058 \h </w:instrText>
            </w:r>
            <w:r w:rsidR="004072B9">
              <w:rPr>
                <w:noProof/>
                <w:webHidden/>
              </w:rPr>
            </w:r>
            <w:r w:rsidR="004072B9">
              <w:rPr>
                <w:noProof/>
                <w:webHidden/>
              </w:rPr>
              <w:fldChar w:fldCharType="separate"/>
            </w:r>
            <w:r w:rsidR="004072B9">
              <w:rPr>
                <w:noProof/>
                <w:webHidden/>
              </w:rPr>
              <w:t>75</w:t>
            </w:r>
            <w:r w:rsidR="004072B9">
              <w:rPr>
                <w:noProof/>
                <w:webHidden/>
              </w:rPr>
              <w:fldChar w:fldCharType="end"/>
            </w:r>
          </w:hyperlink>
        </w:p>
        <w:p w:rsidR="008F0C0F" w:rsidRPr="0062347D" w:rsidRDefault="008F0C0F" w:rsidP="00284F89">
          <w:pPr>
            <w:jc w:val="both"/>
            <w:rPr>
              <w:rFonts w:cstheme="minorHAnsi"/>
              <w:sz w:val="24"/>
              <w:szCs w:val="24"/>
            </w:rPr>
          </w:pPr>
          <w:r w:rsidRPr="0062347D">
            <w:rPr>
              <w:rFonts w:cstheme="minorHAnsi"/>
              <w:b/>
              <w:bCs/>
            </w:rPr>
            <w:fldChar w:fldCharType="end"/>
          </w:r>
        </w:p>
      </w:sdtContent>
    </w:sdt>
    <w:p w:rsidR="008F0C0F" w:rsidRPr="0062347D" w:rsidRDefault="008F0C0F" w:rsidP="00284F89">
      <w:pPr>
        <w:jc w:val="both"/>
        <w:rPr>
          <w:rFonts w:eastAsiaTheme="majorEastAsia" w:cstheme="minorHAnsi"/>
          <w:b/>
          <w:bCs/>
          <w:sz w:val="24"/>
          <w:szCs w:val="24"/>
        </w:rPr>
        <w:sectPr w:rsidR="008F0C0F" w:rsidRPr="0062347D" w:rsidSect="006F4D60">
          <w:footerReference w:type="first" r:id="rId9"/>
          <w:pgSz w:w="11906" w:h="16838"/>
          <w:pgMar w:top="992" w:right="1418" w:bottom="1418" w:left="1418" w:header="709" w:footer="975" w:gutter="0"/>
          <w:cols w:space="708"/>
          <w:docGrid w:linePitch="360"/>
        </w:sectPr>
      </w:pPr>
    </w:p>
    <w:p w:rsidR="008F0C0F" w:rsidRPr="003329E2" w:rsidRDefault="008F0C0F" w:rsidP="00284F89">
      <w:pPr>
        <w:pStyle w:val="Nadpis1"/>
      </w:pPr>
      <w:bookmarkStart w:id="0" w:name="_Toc69542996"/>
      <w:r w:rsidRPr="0062347D">
        <w:lastRenderedPageBreak/>
        <w:t>Úvod</w:t>
      </w:r>
      <w:bookmarkEnd w:id="0"/>
    </w:p>
    <w:p w:rsidR="008F0C0F" w:rsidRPr="004E5649" w:rsidRDefault="008F0C0F" w:rsidP="00284F89">
      <w:pPr>
        <w:pStyle w:val="Nadpis2"/>
        <w:spacing w:after="240"/>
        <w:rPr>
          <w:rFonts w:cstheme="minorHAnsi"/>
          <w:szCs w:val="24"/>
        </w:rPr>
      </w:pPr>
      <w:bookmarkStart w:id="1" w:name="_Toc69542997"/>
      <w:r w:rsidRPr="004E5649">
        <w:rPr>
          <w:rFonts w:cstheme="minorHAnsi"/>
          <w:szCs w:val="24"/>
        </w:rPr>
        <w:t>Sarkoidóza</w:t>
      </w:r>
      <w:bookmarkEnd w:id="1"/>
      <w:r w:rsidRPr="004E5649">
        <w:rPr>
          <w:rFonts w:cstheme="minorHAnsi"/>
          <w:szCs w:val="24"/>
        </w:rPr>
        <w:t xml:space="preserve"> </w:t>
      </w:r>
    </w:p>
    <w:p w:rsidR="008F0C0F" w:rsidRPr="0062347D" w:rsidRDefault="008F0C0F" w:rsidP="00284F89">
      <w:pPr>
        <w:spacing w:line="360" w:lineRule="auto"/>
        <w:ind w:firstLine="709"/>
        <w:jc w:val="both"/>
        <w:rPr>
          <w:rFonts w:cstheme="minorHAnsi"/>
          <w:sz w:val="24"/>
          <w:szCs w:val="24"/>
        </w:rPr>
      </w:pPr>
      <w:r w:rsidRPr="00B24D8C">
        <w:rPr>
          <w:sz w:val="24"/>
          <w:szCs w:val="24"/>
        </w:rPr>
        <w:t>Sarkoid</w:t>
      </w:r>
      <w:r w:rsidRPr="0062347D">
        <w:rPr>
          <w:sz w:val="24"/>
          <w:szCs w:val="24"/>
        </w:rPr>
        <w:t xml:space="preserve">óza patří mezi intersticiální plicní </w:t>
      </w:r>
      <w:r>
        <w:rPr>
          <w:sz w:val="24"/>
          <w:szCs w:val="24"/>
        </w:rPr>
        <w:t>onemocnění</w:t>
      </w:r>
      <w:r w:rsidRPr="0062347D">
        <w:rPr>
          <w:sz w:val="24"/>
          <w:szCs w:val="24"/>
        </w:rPr>
        <w:t>, charakteristické kombinací zánětu a na něj navazující fibrózy plicního parenchymu. T</w:t>
      </w:r>
      <w:r>
        <w:rPr>
          <w:sz w:val="24"/>
          <w:szCs w:val="24"/>
        </w:rPr>
        <w:t>ato</w:t>
      </w:r>
      <w:r w:rsidRPr="0062347D">
        <w:rPr>
          <w:sz w:val="24"/>
          <w:szCs w:val="24"/>
        </w:rPr>
        <w:t xml:space="preserve"> </w:t>
      </w:r>
      <w:r>
        <w:rPr>
          <w:sz w:val="24"/>
          <w:szCs w:val="24"/>
        </w:rPr>
        <w:t>onemocnění</w:t>
      </w:r>
      <w:r w:rsidRPr="0062347D">
        <w:rPr>
          <w:sz w:val="24"/>
          <w:szCs w:val="24"/>
        </w:rPr>
        <w:t xml:space="preserve"> mohou být zapříčiněn</w:t>
      </w:r>
      <w:r>
        <w:rPr>
          <w:sz w:val="24"/>
          <w:szCs w:val="24"/>
        </w:rPr>
        <w:t>a</w:t>
      </w:r>
      <w:r w:rsidRPr="0062347D">
        <w:rPr>
          <w:sz w:val="24"/>
          <w:szCs w:val="24"/>
        </w:rPr>
        <w:t xml:space="preserve"> vlivy vnějšího prostředí nebo </w:t>
      </w:r>
      <w:r w:rsidRPr="0062347D">
        <w:rPr>
          <w:rFonts w:cstheme="minorHAnsi"/>
          <w:sz w:val="24"/>
          <w:szCs w:val="24"/>
        </w:rPr>
        <w:t>se mohou rozvinout v důsledku autoimunitního onemocnění</w:t>
      </w:r>
      <w:r>
        <w:rPr>
          <w:rFonts w:cstheme="minorHAnsi"/>
          <w:sz w:val="24"/>
          <w:szCs w:val="24"/>
        </w:rPr>
        <w:t>. Do skupiny intersticiálních plicních onemocnění patří také</w:t>
      </w:r>
      <w:r w:rsidRPr="0062347D">
        <w:rPr>
          <w:rFonts w:cstheme="minorHAnsi"/>
          <w:sz w:val="24"/>
          <w:szCs w:val="24"/>
        </w:rPr>
        <w:t xml:space="preserve"> </w:t>
      </w:r>
      <w:r w:rsidRPr="0062347D">
        <w:rPr>
          <w:sz w:val="24"/>
          <w:szCs w:val="24"/>
        </w:rPr>
        <w:t>například hypersenzitivní pneumoni</w:t>
      </w:r>
      <w:r>
        <w:rPr>
          <w:sz w:val="24"/>
          <w:szCs w:val="24"/>
        </w:rPr>
        <w:t>e a idiopatická plicní fibróza.</w:t>
      </w:r>
      <w:r w:rsidRPr="0062347D">
        <w:rPr>
          <w:sz w:val="24"/>
          <w:szCs w:val="24"/>
        </w:rPr>
        <w:t xml:space="preserve"> </w:t>
      </w:r>
      <w:r w:rsidRPr="0062347D">
        <w:rPr>
          <w:rFonts w:cstheme="minorHAnsi"/>
          <w:noProof/>
          <w:sz w:val="24"/>
          <w:szCs w:val="24"/>
        </w:rPr>
        <w:t>(</w:t>
      </w:r>
      <w:r>
        <w:rPr>
          <w:rFonts w:cstheme="minorHAnsi"/>
          <w:noProof/>
          <w:sz w:val="24"/>
          <w:szCs w:val="24"/>
        </w:rPr>
        <w:t xml:space="preserve">Meyer, Raghu et al. 2012; </w:t>
      </w:r>
      <w:r w:rsidRPr="0062347D">
        <w:rPr>
          <w:rFonts w:cstheme="minorHAnsi"/>
          <w:noProof/>
          <w:sz w:val="24"/>
          <w:szCs w:val="24"/>
        </w:rPr>
        <w:t>Kalchiem-Dekel, Galvin et al. 2018</w:t>
      </w:r>
      <w:r>
        <w:rPr>
          <w:rFonts w:cstheme="minorHAnsi"/>
          <w:noProof/>
          <w:sz w:val="24"/>
          <w:szCs w:val="24"/>
        </w:rPr>
        <w:t>)</w:t>
      </w:r>
      <w:r w:rsidRPr="0062347D">
        <w:rPr>
          <w:rFonts w:cstheme="minorHAnsi"/>
          <w:sz w:val="24"/>
          <w:szCs w:val="24"/>
        </w:rPr>
        <w:t>.</w:t>
      </w:r>
    </w:p>
    <w:p w:rsidR="008F0C0F" w:rsidRPr="0062347D" w:rsidRDefault="008F0C0F" w:rsidP="00284F89">
      <w:pPr>
        <w:spacing w:after="240" w:line="360" w:lineRule="auto"/>
        <w:ind w:firstLine="709"/>
        <w:jc w:val="both"/>
        <w:rPr>
          <w:rFonts w:cstheme="minorHAnsi"/>
          <w:sz w:val="24"/>
          <w:szCs w:val="24"/>
        </w:rPr>
      </w:pPr>
      <w:r w:rsidRPr="0062347D">
        <w:rPr>
          <w:rFonts w:cstheme="minorHAnsi"/>
          <w:sz w:val="24"/>
          <w:szCs w:val="24"/>
        </w:rPr>
        <w:t>V roce 1999 bylo přijato společné prohlášení Americké hrudní společnosti (ATS</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American Thoracic Society</w:t>
      </w:r>
      <w:r w:rsidRPr="0062347D">
        <w:rPr>
          <w:rFonts w:cstheme="minorHAnsi"/>
          <w:sz w:val="24"/>
          <w:szCs w:val="24"/>
        </w:rPr>
        <w:t>), Evropské respirační společnosti (ERS</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European Respiratory Society</w:t>
      </w:r>
      <w:r w:rsidRPr="0062347D">
        <w:rPr>
          <w:rFonts w:cstheme="minorHAnsi"/>
          <w:sz w:val="24"/>
          <w:szCs w:val="24"/>
        </w:rPr>
        <w:t>) a Světové asociace sarkoidózy a jiných granulomatózních onemocnění (WASOG</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World Association of Sarcoidosis and Other Granulomatous Disorders</w:t>
      </w:r>
      <w:r w:rsidRPr="0062347D">
        <w:rPr>
          <w:rFonts w:cstheme="minorHAnsi"/>
          <w:sz w:val="24"/>
          <w:szCs w:val="24"/>
        </w:rPr>
        <w:t>), ve kterém je sarkoidóza definována</w:t>
      </w:r>
      <w:r w:rsidRPr="003329E2">
        <w:rPr>
          <w:rFonts w:cstheme="minorHAnsi"/>
          <w:sz w:val="24"/>
          <w:szCs w:val="24"/>
        </w:rPr>
        <w:t xml:space="preserve"> jako </w:t>
      </w:r>
      <w:r w:rsidRPr="00E663BF">
        <w:rPr>
          <w:rFonts w:cstheme="minorHAnsi"/>
          <w:sz w:val="24"/>
          <w:szCs w:val="24"/>
        </w:rPr>
        <w:t xml:space="preserve">onemocnění neznámé příčiny, postihující pacienty mladé nebo středního </w:t>
      </w:r>
      <w:r w:rsidRPr="004E5649">
        <w:rPr>
          <w:rFonts w:cstheme="minorHAnsi"/>
          <w:sz w:val="24"/>
          <w:szCs w:val="24"/>
        </w:rPr>
        <w:t>věku. Sarkoidóza se projevuje jako oboustranná hilová lymfadenopatie, plicní infilt</w:t>
      </w:r>
      <w:r w:rsidRPr="00B24D8C">
        <w:rPr>
          <w:rFonts w:cstheme="minorHAnsi"/>
          <w:sz w:val="24"/>
          <w:szCs w:val="24"/>
        </w:rPr>
        <w:t>ráty</w:t>
      </w:r>
      <w:r w:rsidRPr="0062347D">
        <w:rPr>
          <w:rFonts w:cstheme="minorHAnsi"/>
          <w:sz w:val="24"/>
          <w:szCs w:val="24"/>
        </w:rPr>
        <w:t xml:space="preserve">, případně jako oční nebo kožní léze. Může postihovat játra, slezinu, slinné žlázy, srdce, nervový systém, kosti, svaly </w:t>
      </w:r>
      <w:r w:rsidRPr="0062347D">
        <w:rPr>
          <w:rFonts w:cstheme="minorHAnsi"/>
          <w:noProof/>
          <w:sz w:val="24"/>
          <w:szCs w:val="24"/>
        </w:rPr>
        <w:t>(Costabel a Hunninhake 1999)</w:t>
      </w:r>
      <w:r w:rsidRPr="0062347D">
        <w:rPr>
          <w:rFonts w:cstheme="minorHAnsi"/>
          <w:sz w:val="24"/>
          <w:szCs w:val="24"/>
        </w:rPr>
        <w:t>. U 90</w:t>
      </w:r>
      <w:r>
        <w:rPr>
          <w:rFonts w:cstheme="minorHAnsi"/>
          <w:sz w:val="24"/>
          <w:szCs w:val="24"/>
        </w:rPr>
        <w:t xml:space="preserve"> </w:t>
      </w:r>
      <w:r w:rsidRPr="0062347D">
        <w:rPr>
          <w:rFonts w:cstheme="minorHAnsi"/>
          <w:sz w:val="24"/>
          <w:szCs w:val="24"/>
        </w:rPr>
        <w:t xml:space="preserve">% všech diagnostikovaných pacientů </w:t>
      </w:r>
      <w:r>
        <w:rPr>
          <w:rFonts w:cstheme="minorHAnsi"/>
          <w:sz w:val="24"/>
          <w:szCs w:val="24"/>
        </w:rPr>
        <w:t>bývá</w:t>
      </w:r>
      <w:r w:rsidRPr="0062347D">
        <w:rPr>
          <w:rFonts w:cstheme="minorHAnsi"/>
          <w:sz w:val="24"/>
          <w:szCs w:val="24"/>
        </w:rPr>
        <w:t xml:space="preserve"> sarkoidózou postiženo dýchací ústrojí </w:t>
      </w:r>
      <w:r w:rsidRPr="0062347D">
        <w:rPr>
          <w:rFonts w:cstheme="minorHAnsi"/>
          <w:noProof/>
          <w:sz w:val="24"/>
          <w:szCs w:val="24"/>
        </w:rPr>
        <w:t>(Kolek, Žůrková et al. 2019)</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Diagnóza sarkoidózy je stanovena, pokud je klinicky a radio</w:t>
      </w:r>
      <w:r w:rsidRPr="003329E2">
        <w:rPr>
          <w:rFonts w:cstheme="minorHAnsi"/>
          <w:sz w:val="24"/>
          <w:szCs w:val="24"/>
        </w:rPr>
        <w:t>logicky prokázána přítomnost nekaseifikujícího epiteloidního granulomu. Granulomy vytvořené ze známých příčin by mě</w:t>
      </w:r>
      <w:r w:rsidRPr="004E5649">
        <w:rPr>
          <w:rFonts w:cstheme="minorHAnsi"/>
          <w:sz w:val="24"/>
          <w:szCs w:val="24"/>
        </w:rPr>
        <w:t xml:space="preserve">ly být vyloučeny. V místě postižení bývá charakteristická zvýšená imunitní odpověď pomocných Th1 (T </w:t>
      </w:r>
      <w:r w:rsidRPr="00C87449">
        <w:rPr>
          <w:rFonts w:cstheme="minorHAnsi"/>
          <w:sz w:val="24"/>
          <w:szCs w:val="24"/>
        </w:rPr>
        <w:t>helper</w:t>
      </w:r>
      <w:r w:rsidRPr="0062347D">
        <w:rPr>
          <w:rFonts w:cstheme="minorHAnsi"/>
          <w:sz w:val="24"/>
          <w:szCs w:val="24"/>
        </w:rPr>
        <w:t xml:space="preserve"> 1) T-lymfocytů. Akutní nástup plic</w:t>
      </w:r>
      <w:r w:rsidRPr="003329E2">
        <w:rPr>
          <w:rFonts w:cstheme="minorHAnsi"/>
          <w:sz w:val="24"/>
          <w:szCs w:val="24"/>
        </w:rPr>
        <w:t>ní sarkoidózy spolu s nodózním erytéme</w:t>
      </w:r>
      <w:r w:rsidRPr="004E5649">
        <w:rPr>
          <w:rFonts w:cstheme="minorHAnsi"/>
          <w:sz w:val="24"/>
          <w:szCs w:val="24"/>
        </w:rPr>
        <w:t xml:space="preserve">m nebo asymptomatickou bilaterální hilovou lymfadenopatií mohou </w:t>
      </w:r>
      <w:r w:rsidRPr="00B24D8C">
        <w:rPr>
          <w:rFonts w:cstheme="minorHAnsi"/>
          <w:sz w:val="24"/>
          <w:szCs w:val="24"/>
        </w:rPr>
        <w:t>naznač</w:t>
      </w:r>
      <w:r w:rsidRPr="0062347D">
        <w:rPr>
          <w:rFonts w:cstheme="minorHAnsi"/>
          <w:sz w:val="24"/>
          <w:szCs w:val="24"/>
        </w:rPr>
        <w:t xml:space="preserve">ovat, že dojde ke spontánnímu uzdravení pacienta. Postupný nástup nemoci s výraznějším množstvím mimoplicních lézí může předznamenávat rozvoj nevratné fibrózy plic a jiných orgánů </w:t>
      </w:r>
      <w:r w:rsidRPr="0062347D">
        <w:rPr>
          <w:rFonts w:cstheme="minorHAnsi"/>
          <w:noProof/>
          <w:sz w:val="24"/>
          <w:szCs w:val="24"/>
        </w:rPr>
        <w:t>(Costabel a Hunninhake 1999)</w:t>
      </w:r>
      <w:r w:rsidRPr="0062347D">
        <w:rPr>
          <w:rFonts w:cstheme="minorHAnsi"/>
          <w:sz w:val="24"/>
          <w:szCs w:val="24"/>
        </w:rPr>
        <w:t>. Kolek et al. (2019) doplňují, že se změnily některé aspekty, které původní definici již nevyhovují. Onemocnění se posouvá do vyšších věkových kategorií, objevují se nové biomark</w:t>
      </w:r>
      <w:r w:rsidRPr="003329E2">
        <w:rPr>
          <w:rFonts w:cstheme="minorHAnsi"/>
          <w:sz w:val="24"/>
          <w:szCs w:val="24"/>
        </w:rPr>
        <w:t xml:space="preserve">ery a buňky imunitního systému </w:t>
      </w:r>
      <w:r w:rsidRPr="00E663BF">
        <w:rPr>
          <w:rFonts w:cstheme="minorHAnsi"/>
          <w:sz w:val="24"/>
          <w:szCs w:val="24"/>
        </w:rPr>
        <w:t>podílející se na onemocnění</w:t>
      </w:r>
      <w:r w:rsidRPr="004E5649">
        <w:rPr>
          <w:rFonts w:cstheme="minorHAnsi"/>
          <w:sz w:val="24"/>
          <w:szCs w:val="24"/>
        </w:rPr>
        <w:t xml:space="preserve">, které jsou podrobněji charakterizovány </w:t>
      </w:r>
      <w:r w:rsidRPr="0062347D">
        <w:rPr>
          <w:rFonts w:cstheme="minorHAnsi"/>
          <w:noProof/>
          <w:sz w:val="24"/>
          <w:szCs w:val="24"/>
        </w:rPr>
        <w:t>(Kolek, Žůrková et al. 2019)</w:t>
      </w:r>
      <w:r w:rsidRPr="0062347D">
        <w:rPr>
          <w:rFonts w:cstheme="minorHAnsi"/>
          <w:sz w:val="24"/>
          <w:szCs w:val="24"/>
        </w:rPr>
        <w:t>.</w:t>
      </w:r>
    </w:p>
    <w:p w:rsidR="008F0C0F" w:rsidRPr="004E5649" w:rsidRDefault="008F0C0F" w:rsidP="00284F89">
      <w:pPr>
        <w:pStyle w:val="Nadpis3"/>
        <w:spacing w:after="240"/>
        <w:rPr>
          <w:rFonts w:cstheme="minorHAnsi"/>
          <w:szCs w:val="24"/>
        </w:rPr>
      </w:pPr>
      <w:bookmarkStart w:id="2" w:name="_Toc69542998"/>
      <w:r w:rsidRPr="003329E2">
        <w:rPr>
          <w:rFonts w:cstheme="minorHAnsi"/>
          <w:szCs w:val="24"/>
        </w:rPr>
        <w:lastRenderedPageBreak/>
        <w:t>Granulom</w:t>
      </w:r>
      <w:r w:rsidRPr="00E663BF">
        <w:rPr>
          <w:rFonts w:cstheme="minorHAnsi"/>
          <w:szCs w:val="24"/>
        </w:rPr>
        <w:t xml:space="preserve"> – specifická struktura sarkoidózy</w:t>
      </w:r>
      <w:bookmarkEnd w:id="2"/>
    </w:p>
    <w:p w:rsidR="008F0C0F" w:rsidRPr="0062347D" w:rsidRDefault="008F0C0F" w:rsidP="00284F89">
      <w:pPr>
        <w:spacing w:line="360" w:lineRule="auto"/>
        <w:ind w:firstLine="709"/>
        <w:jc w:val="both"/>
        <w:rPr>
          <w:rFonts w:cstheme="minorHAnsi"/>
          <w:sz w:val="24"/>
          <w:szCs w:val="24"/>
        </w:rPr>
      </w:pPr>
      <w:r w:rsidRPr="00B24D8C">
        <w:rPr>
          <w:rFonts w:cstheme="minorHAnsi"/>
          <w:sz w:val="24"/>
          <w:szCs w:val="24"/>
        </w:rPr>
        <w:t>Za specifickou strukturu sarkoidózy je označován granulom. Tato struktura vzniká</w:t>
      </w:r>
      <w:r w:rsidRPr="0062347D">
        <w:rPr>
          <w:rFonts w:cstheme="minorHAnsi"/>
          <w:sz w:val="24"/>
          <w:szCs w:val="24"/>
        </w:rPr>
        <w:t xml:space="preserve"> následkem zánětlivé reakce u řady onemocnění. Sarkoidóza není zdaleka jediné onemocnění, u něhož vznikají granulomy z neznámých příčin. I při nálezu granulomu se diagnostika sarkoidózy opírá o další klinické a laboratorní informace </w:t>
      </w:r>
      <w:r w:rsidRPr="0062347D">
        <w:rPr>
          <w:rFonts w:cstheme="minorHAnsi"/>
          <w:noProof/>
          <w:sz w:val="24"/>
          <w:szCs w:val="24"/>
        </w:rPr>
        <w:t>(Kolek, Žůrková et al. 2019)</w:t>
      </w:r>
      <w:r w:rsidRPr="0062347D">
        <w:rPr>
          <w:rFonts w:cstheme="minorHAnsi"/>
          <w:sz w:val="24"/>
          <w:szCs w:val="24"/>
        </w:rPr>
        <w:t>.</w:t>
      </w:r>
    </w:p>
    <w:p w:rsidR="008F0C0F" w:rsidRPr="0062347D" w:rsidRDefault="008F0C0F" w:rsidP="00284F89">
      <w:pPr>
        <w:spacing w:after="0" w:line="360" w:lineRule="auto"/>
        <w:ind w:firstLine="709"/>
        <w:jc w:val="both"/>
        <w:rPr>
          <w:rFonts w:cstheme="minorHAnsi"/>
          <w:sz w:val="24"/>
          <w:szCs w:val="24"/>
        </w:rPr>
      </w:pPr>
      <w:r w:rsidRPr="003329E2">
        <w:rPr>
          <w:rFonts w:cstheme="minorHAnsi"/>
          <w:sz w:val="24"/>
          <w:szCs w:val="24"/>
        </w:rPr>
        <w:t>Předpok</w:t>
      </w:r>
      <w:r w:rsidRPr="00E663BF">
        <w:rPr>
          <w:rFonts w:cstheme="minorHAnsi"/>
          <w:sz w:val="24"/>
          <w:szCs w:val="24"/>
        </w:rPr>
        <w:t>ládaný rozvoj granulomu pravděpodobně začíná fagocytózou antige</w:t>
      </w:r>
      <w:r w:rsidRPr="004E5649">
        <w:rPr>
          <w:rFonts w:cstheme="minorHAnsi"/>
          <w:sz w:val="24"/>
          <w:szCs w:val="24"/>
        </w:rPr>
        <w:t>nu antigen prezentující buňkou, například makrofágem nebo dendritickou buňkou.</w:t>
      </w:r>
      <w:r w:rsidRPr="00B24D8C">
        <w:rPr>
          <w:rFonts w:cstheme="minorHAnsi"/>
          <w:sz w:val="24"/>
          <w:szCs w:val="24"/>
        </w:rPr>
        <w:t xml:space="preserve"> Antigen prezentující buňka zpracuje </w:t>
      </w:r>
      <w:r w:rsidRPr="0062347D">
        <w:rPr>
          <w:rFonts w:cstheme="minorHAnsi"/>
          <w:sz w:val="24"/>
          <w:szCs w:val="24"/>
        </w:rPr>
        <w:t>antigen a předkládá jej pomocí lidského leukocytárního antigenu (HLA</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Human</w:t>
      </w:r>
      <w:r w:rsidRPr="0062347D">
        <w:rPr>
          <w:rFonts w:cstheme="minorHAnsi"/>
          <w:sz w:val="24"/>
          <w:szCs w:val="24"/>
        </w:rPr>
        <w:t xml:space="preserve"> Leukocyte Antigen) II</w:t>
      </w:r>
      <w:r>
        <w:rPr>
          <w:rFonts w:cstheme="minorHAnsi"/>
          <w:sz w:val="24"/>
          <w:szCs w:val="24"/>
        </w:rPr>
        <w:t>.</w:t>
      </w:r>
      <w:r w:rsidRPr="0062347D">
        <w:rPr>
          <w:rFonts w:cstheme="minorHAnsi"/>
          <w:sz w:val="24"/>
          <w:szCs w:val="24"/>
        </w:rPr>
        <w:t xml:space="preserve"> třídy. Antigen vystavený na povrchu buňky je předložen T </w:t>
      </w:r>
      <w:r w:rsidRPr="003329E2">
        <w:rPr>
          <w:rFonts w:cstheme="minorHAnsi"/>
          <w:sz w:val="24"/>
          <w:szCs w:val="24"/>
        </w:rPr>
        <w:t xml:space="preserve">buněčným </w:t>
      </w:r>
      <w:r w:rsidRPr="00E663BF">
        <w:rPr>
          <w:rFonts w:cstheme="minorHAnsi"/>
          <w:sz w:val="24"/>
          <w:szCs w:val="24"/>
        </w:rPr>
        <w:t>receptorům na naivních T-</w:t>
      </w:r>
      <w:r w:rsidRPr="004E5649">
        <w:rPr>
          <w:rFonts w:cstheme="minorHAnsi"/>
          <w:sz w:val="24"/>
          <w:szCs w:val="24"/>
        </w:rPr>
        <w:t xml:space="preserve">lymfocytech nesoucích na svém </w:t>
      </w:r>
      <w:r w:rsidRPr="00B24D8C">
        <w:rPr>
          <w:rFonts w:cstheme="minorHAnsi"/>
          <w:sz w:val="24"/>
          <w:szCs w:val="24"/>
        </w:rPr>
        <w:t>povrchu CD4</w:t>
      </w:r>
      <w:r w:rsidRPr="0062347D">
        <w:rPr>
          <w:rFonts w:cstheme="minorHAnsi"/>
          <w:sz w:val="24"/>
          <w:szCs w:val="24"/>
          <w:vertAlign w:val="superscript"/>
        </w:rPr>
        <w:t>+</w:t>
      </w:r>
      <w:r w:rsidRPr="0062347D">
        <w:rPr>
          <w:rFonts w:cstheme="minorHAnsi"/>
          <w:sz w:val="24"/>
          <w:szCs w:val="24"/>
        </w:rPr>
        <w:t xml:space="preserve"> znaky. Dochází k polarizaci T-lymfocytů na pomocné Th1 a atrakci dalších buněk do místa, kde se antigen nachází. Jádro granulomu je tvořeno epiteloidními histocyty odvozenými z makrofágů a velkými mnohojadernými buňkami, mezi kterými jsou rozptýleny CD4</w:t>
      </w:r>
      <w:r w:rsidRPr="0062347D">
        <w:rPr>
          <w:rFonts w:cstheme="minorHAnsi"/>
          <w:sz w:val="24"/>
          <w:szCs w:val="24"/>
          <w:vertAlign w:val="superscript"/>
        </w:rPr>
        <w:t>+</w:t>
      </w:r>
      <w:r w:rsidRPr="0062347D">
        <w:rPr>
          <w:rFonts w:cstheme="minorHAnsi"/>
          <w:sz w:val="24"/>
          <w:szCs w:val="24"/>
        </w:rPr>
        <w:t xml:space="preserve"> T-lymfocyty </w:t>
      </w:r>
      <w:r w:rsidRPr="0062347D">
        <w:rPr>
          <w:rFonts w:cstheme="minorHAnsi"/>
          <w:noProof/>
          <w:sz w:val="24"/>
          <w:szCs w:val="24"/>
        </w:rPr>
        <w:t>(Baughman, Culver et al. 2011)</w:t>
      </w:r>
      <w:r w:rsidRPr="0062347D">
        <w:rPr>
          <w:rFonts w:cstheme="minorHAnsi"/>
          <w:sz w:val="24"/>
          <w:szCs w:val="24"/>
        </w:rPr>
        <w:t>. Infiltrace aktivovanými CD4</w:t>
      </w:r>
      <w:r w:rsidRPr="0062347D">
        <w:rPr>
          <w:rFonts w:cstheme="minorHAnsi"/>
          <w:sz w:val="24"/>
          <w:szCs w:val="24"/>
          <w:vertAlign w:val="superscript"/>
        </w:rPr>
        <w:t>+</w:t>
      </w:r>
      <w:r w:rsidRPr="0062347D">
        <w:rPr>
          <w:rFonts w:cstheme="minorHAnsi"/>
          <w:sz w:val="24"/>
          <w:szCs w:val="24"/>
        </w:rPr>
        <w:t xml:space="preserve"> T-lymfocyty v bronchoalveolární laváži je jedním ze znaků sarkoidózy </w:t>
      </w:r>
      <w:r w:rsidRPr="0062347D">
        <w:rPr>
          <w:rFonts w:cstheme="minorHAnsi"/>
          <w:noProof/>
          <w:sz w:val="24"/>
          <w:szCs w:val="24"/>
        </w:rPr>
        <w:t>(Drent, Mansour et al. 2007)</w:t>
      </w:r>
      <w:r w:rsidRPr="0062347D">
        <w:rPr>
          <w:rFonts w:cstheme="minorHAnsi"/>
          <w:sz w:val="24"/>
          <w:szCs w:val="24"/>
        </w:rPr>
        <w:t>. Na povrchu granulomu se vyskytují CD8</w:t>
      </w:r>
      <w:r w:rsidRPr="0062347D">
        <w:rPr>
          <w:rFonts w:cstheme="minorHAnsi"/>
          <w:sz w:val="24"/>
          <w:szCs w:val="24"/>
          <w:vertAlign w:val="superscript"/>
        </w:rPr>
        <w:t>+</w:t>
      </w:r>
      <w:r w:rsidRPr="003329E2">
        <w:rPr>
          <w:rFonts w:cstheme="minorHAnsi"/>
          <w:sz w:val="24"/>
          <w:szCs w:val="24"/>
        </w:rPr>
        <w:t xml:space="preserve"> T-</w:t>
      </w:r>
      <w:r w:rsidRPr="00E663BF">
        <w:rPr>
          <w:rFonts w:cstheme="minorHAnsi"/>
          <w:sz w:val="24"/>
          <w:szCs w:val="24"/>
        </w:rPr>
        <w:t>lymfocyty, fibroblasty, regulační T</w:t>
      </w:r>
      <w:r>
        <w:rPr>
          <w:rFonts w:cstheme="minorHAnsi"/>
          <w:sz w:val="24"/>
          <w:szCs w:val="24"/>
        </w:rPr>
        <w:t> </w:t>
      </w:r>
      <w:r w:rsidRPr="00E663BF">
        <w:rPr>
          <w:rFonts w:cstheme="minorHAnsi"/>
          <w:sz w:val="24"/>
          <w:szCs w:val="24"/>
        </w:rPr>
        <w:t>lymfocyty</w:t>
      </w:r>
      <w:r w:rsidRPr="004E5649">
        <w:rPr>
          <w:rFonts w:cstheme="minorHAnsi"/>
          <w:sz w:val="24"/>
          <w:szCs w:val="24"/>
        </w:rPr>
        <w:t xml:space="preserve"> a B</w:t>
      </w:r>
      <w:r>
        <w:rPr>
          <w:rFonts w:cstheme="minorHAnsi"/>
          <w:sz w:val="24"/>
          <w:szCs w:val="24"/>
        </w:rPr>
        <w:t>-</w:t>
      </w:r>
      <w:r w:rsidRPr="004E5649">
        <w:rPr>
          <w:rFonts w:cstheme="minorHAnsi"/>
          <w:sz w:val="24"/>
          <w:szCs w:val="24"/>
        </w:rPr>
        <w:t xml:space="preserve">lymfocyty </w:t>
      </w:r>
      <w:r w:rsidRPr="0062347D">
        <w:rPr>
          <w:rFonts w:cstheme="minorHAnsi"/>
          <w:noProof/>
          <w:sz w:val="24"/>
          <w:szCs w:val="24"/>
        </w:rPr>
        <w:t>(Baughman, Culver et al. 2011)</w:t>
      </w:r>
      <w:r w:rsidRPr="0062347D">
        <w:rPr>
          <w:rFonts w:cstheme="minorHAnsi"/>
          <w:sz w:val="24"/>
          <w:szCs w:val="24"/>
        </w:rPr>
        <w:t>. Epiteloidní a mnohojaderné buňky uvnitř granulomu</w:t>
      </w:r>
      <w:r w:rsidRPr="003329E2">
        <w:rPr>
          <w:rFonts w:cstheme="minorHAnsi"/>
          <w:sz w:val="24"/>
          <w:szCs w:val="24"/>
        </w:rPr>
        <w:t xml:space="preserve"> produkují řadu cytokinů a jejich receptor</w:t>
      </w:r>
      <w:r w:rsidRPr="00E663BF">
        <w:rPr>
          <w:rFonts w:cstheme="minorHAnsi"/>
          <w:sz w:val="24"/>
          <w:szCs w:val="24"/>
        </w:rPr>
        <w:t>ů. Dochází k expresi interleukinů IL-1α</w:t>
      </w:r>
      <w:r w:rsidRPr="004E5649">
        <w:rPr>
          <w:rFonts w:cstheme="minorHAnsi"/>
          <w:sz w:val="24"/>
          <w:szCs w:val="24"/>
        </w:rPr>
        <w:t>, IL-1 β, IL-6, IL-12, IL-18, chemokinů CCL5, CXCR3, CXCR6 a jejich receptorů CCR a CCR2. Dále jsou produkovány další významné cytokiny, tumor nekrotizující faktor alfa (TNF-α), interferon gama (IFN-γ) a transformující růstový faktor beta (T</w:t>
      </w:r>
      <w:r w:rsidRPr="00B24D8C">
        <w:rPr>
          <w:rFonts w:cstheme="minorHAnsi"/>
          <w:sz w:val="24"/>
          <w:szCs w:val="24"/>
        </w:rPr>
        <w:t>GF-β). TNF-α je ústřední</w:t>
      </w:r>
      <w:r w:rsidRPr="0062347D">
        <w:rPr>
          <w:rFonts w:cstheme="minorHAnsi"/>
          <w:sz w:val="24"/>
          <w:szCs w:val="24"/>
        </w:rPr>
        <w:t xml:space="preserve"> cytokin podílející se na tvorbě granulomu (viz </w:t>
      </w:r>
      <w:proofErr w:type="gramStart"/>
      <w:r w:rsidRPr="0062347D">
        <w:rPr>
          <w:rFonts w:cstheme="minorHAnsi"/>
          <w:b/>
          <w:sz w:val="24"/>
          <w:szCs w:val="24"/>
        </w:rPr>
        <w:t>Obrázek 1</w:t>
      </w:r>
      <w:r w:rsidRPr="0062347D">
        <w:rPr>
          <w:rFonts w:cstheme="minorHAnsi"/>
          <w:sz w:val="24"/>
          <w:szCs w:val="24"/>
        </w:rPr>
        <w:t xml:space="preserve">) </w:t>
      </w:r>
      <w:r w:rsidRPr="0062347D">
        <w:rPr>
          <w:rFonts w:cstheme="minorHAnsi"/>
          <w:noProof/>
          <w:sz w:val="24"/>
          <w:szCs w:val="24"/>
        </w:rPr>
        <w:t>(Kolek</w:t>
      </w:r>
      <w:proofErr w:type="gramEnd"/>
      <w:r w:rsidRPr="0062347D">
        <w:rPr>
          <w:rFonts w:cstheme="minorHAnsi"/>
          <w:noProof/>
          <w:sz w:val="24"/>
          <w:szCs w:val="24"/>
        </w:rPr>
        <w:t>, Žůrková et al. 2019)</w:t>
      </w:r>
      <w:r w:rsidRPr="0062347D">
        <w:rPr>
          <w:rFonts w:cstheme="minorHAnsi"/>
          <w:sz w:val="24"/>
          <w:szCs w:val="24"/>
        </w:rPr>
        <w:t xml:space="preserve">. K výše </w:t>
      </w:r>
      <w:r w:rsidRPr="003329E2">
        <w:rPr>
          <w:rFonts w:cstheme="minorHAnsi"/>
          <w:sz w:val="24"/>
          <w:szCs w:val="24"/>
        </w:rPr>
        <w:t>zmíněnému mechanism</w:t>
      </w:r>
      <w:r w:rsidRPr="00E663BF">
        <w:rPr>
          <w:rFonts w:cstheme="minorHAnsi"/>
          <w:sz w:val="24"/>
          <w:szCs w:val="24"/>
        </w:rPr>
        <w:t>u rozvoje onemocnění musíme přidat i nesporné zapojení genetických faktorů, HLA genů</w:t>
      </w:r>
      <w:r w:rsidRPr="004E5649">
        <w:rPr>
          <w:rFonts w:cstheme="minorHAnsi"/>
          <w:sz w:val="24"/>
          <w:szCs w:val="24"/>
        </w:rPr>
        <w:t xml:space="preserve">, genů pro cytokiny a jejich receptory </w:t>
      </w:r>
      <w:r w:rsidRPr="0062347D">
        <w:rPr>
          <w:rFonts w:cstheme="minorHAnsi"/>
          <w:noProof/>
          <w:sz w:val="24"/>
          <w:szCs w:val="24"/>
        </w:rPr>
        <w:t xml:space="preserve">(Kishore </w:t>
      </w:r>
      <w:r w:rsidR="00166BDD">
        <w:rPr>
          <w:rFonts w:cstheme="minorHAnsi"/>
          <w:noProof/>
          <w:sz w:val="24"/>
          <w:szCs w:val="24"/>
        </w:rPr>
        <w:t>a</w:t>
      </w:r>
      <w:r w:rsidRPr="0062347D">
        <w:rPr>
          <w:rFonts w:cstheme="minorHAnsi"/>
          <w:noProof/>
          <w:sz w:val="24"/>
          <w:szCs w:val="24"/>
        </w:rPr>
        <w:t xml:space="preserve"> Petrek 2013)</w:t>
      </w:r>
      <w:r w:rsidRPr="0062347D">
        <w:rPr>
          <w:rFonts w:cstheme="minorHAnsi"/>
          <w:sz w:val="24"/>
          <w:szCs w:val="24"/>
        </w:rPr>
        <w:t>.</w:t>
      </w:r>
    </w:p>
    <w:p w:rsidR="008F0C0F" w:rsidRPr="00E663BF" w:rsidRDefault="008F0C0F">
      <w:pPr>
        <w:rPr>
          <w:rFonts w:cstheme="minorHAnsi"/>
          <w:sz w:val="24"/>
          <w:szCs w:val="24"/>
        </w:rPr>
      </w:pPr>
      <w:r w:rsidRPr="003329E2">
        <w:rPr>
          <w:rFonts w:cstheme="minorHAnsi"/>
          <w:sz w:val="24"/>
          <w:szCs w:val="24"/>
        </w:rPr>
        <w:br w:type="page"/>
      </w:r>
    </w:p>
    <w:p w:rsidR="008F0C0F" w:rsidRPr="0062347D" w:rsidRDefault="008F0C0F" w:rsidP="00284F89">
      <w:pPr>
        <w:spacing w:line="360" w:lineRule="auto"/>
        <w:ind w:firstLine="709"/>
        <w:jc w:val="both"/>
        <w:rPr>
          <w:rFonts w:cstheme="minorHAnsi"/>
          <w:sz w:val="24"/>
          <w:szCs w:val="24"/>
        </w:rPr>
      </w:pPr>
      <w:r w:rsidRPr="004E5649">
        <w:rPr>
          <w:rFonts w:cstheme="minorHAnsi"/>
          <w:b/>
          <w:sz w:val="24"/>
          <w:szCs w:val="24"/>
        </w:rPr>
        <w:lastRenderedPageBreak/>
        <w:t>Obrázek 1:</w:t>
      </w:r>
      <w:r w:rsidRPr="004E5649">
        <w:rPr>
          <w:rFonts w:cstheme="minorHAnsi"/>
          <w:sz w:val="24"/>
          <w:szCs w:val="24"/>
        </w:rPr>
        <w:t xml:space="preserve"> Schéma rozvoje imunitní odpovědi u plicní sarkoidózy s postupným formováním granulomu </w:t>
      </w:r>
      <w:r w:rsidRPr="0062347D">
        <w:rPr>
          <w:rFonts w:cstheme="minorHAnsi"/>
          <w:noProof/>
          <w:sz w:val="24"/>
          <w:szCs w:val="24"/>
        </w:rPr>
        <w:t>(</w:t>
      </w:r>
      <w:r w:rsidRPr="003329E2">
        <w:rPr>
          <w:rFonts w:cstheme="minorHAnsi"/>
          <w:noProof/>
          <w:sz w:val="24"/>
          <w:szCs w:val="24"/>
        </w:rPr>
        <w:t>Baughman, Culver et al. 2011</w:t>
      </w:r>
      <w:r w:rsidRPr="0062347D">
        <w:rPr>
          <w:rFonts w:cstheme="minorHAnsi"/>
          <w:noProof/>
          <w:sz w:val="24"/>
          <w:szCs w:val="24"/>
        </w:rPr>
        <w:t>)</w:t>
      </w:r>
      <w:r w:rsidRPr="0062347D">
        <w:rPr>
          <w:rFonts w:cstheme="minorHAnsi"/>
          <w:sz w:val="24"/>
          <w:szCs w:val="24"/>
        </w:rPr>
        <w:t>.</w:t>
      </w:r>
    </w:p>
    <w:p w:rsidR="008F0C0F" w:rsidRPr="0062347D" w:rsidRDefault="008F0C0F" w:rsidP="00284F89">
      <w:pPr>
        <w:spacing w:line="360" w:lineRule="auto"/>
        <w:ind w:firstLine="432"/>
        <w:jc w:val="both"/>
        <w:rPr>
          <w:rFonts w:cstheme="minorHAnsi"/>
          <w:sz w:val="24"/>
          <w:szCs w:val="24"/>
        </w:rPr>
      </w:pPr>
      <w:r w:rsidRPr="0062347D">
        <w:rPr>
          <w:rFonts w:cstheme="minorHAnsi"/>
          <w:noProof/>
          <w:sz w:val="24"/>
          <w:szCs w:val="24"/>
          <w:lang w:eastAsia="cs-CZ"/>
        </w:rPr>
        <w:drawing>
          <wp:inline distT="0" distB="0" distL="0" distR="0" wp14:anchorId="6D4392BC" wp14:editId="54611588">
            <wp:extent cx="4667250" cy="28003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800350"/>
                    </a:xfrm>
                    <a:prstGeom prst="rect">
                      <a:avLst/>
                    </a:prstGeom>
                    <a:noFill/>
                    <a:ln>
                      <a:noFill/>
                    </a:ln>
                  </pic:spPr>
                </pic:pic>
              </a:graphicData>
            </a:graphic>
          </wp:inline>
        </w:drawing>
      </w:r>
    </w:p>
    <w:p w:rsidR="008F0C0F" w:rsidRPr="004E5649" w:rsidRDefault="008F0C0F" w:rsidP="00284F89">
      <w:pPr>
        <w:spacing w:line="360" w:lineRule="auto"/>
        <w:ind w:firstLine="709"/>
        <w:jc w:val="both"/>
        <w:rPr>
          <w:rFonts w:cstheme="minorHAnsi"/>
          <w:sz w:val="24"/>
          <w:szCs w:val="24"/>
        </w:rPr>
      </w:pPr>
      <w:r w:rsidRPr="003329E2">
        <w:rPr>
          <w:rFonts w:cstheme="minorHAnsi"/>
          <w:b/>
          <w:sz w:val="24"/>
          <w:szCs w:val="24"/>
        </w:rPr>
        <w:t>Legenda k obrázku 1:</w:t>
      </w:r>
      <w:r w:rsidRPr="00E663BF">
        <w:rPr>
          <w:rFonts w:cstheme="minorHAnsi"/>
          <w:sz w:val="24"/>
          <w:szCs w:val="24"/>
        </w:rPr>
        <w:t xml:space="preserve"> Ag peptid</w:t>
      </w:r>
      <w:r>
        <w:rPr>
          <w:rFonts w:cstheme="minorHAnsi"/>
          <w:sz w:val="24"/>
          <w:szCs w:val="24"/>
        </w:rPr>
        <w:t xml:space="preserve"> </w:t>
      </w:r>
      <w:r w:rsidRPr="00E663BF">
        <w:rPr>
          <w:rFonts w:cstheme="minorHAnsi"/>
          <w:sz w:val="24"/>
          <w:szCs w:val="24"/>
        </w:rPr>
        <w:t>= antigenní peptid, INF-γ</w:t>
      </w:r>
      <w:r>
        <w:rPr>
          <w:rFonts w:cstheme="minorHAnsi"/>
          <w:sz w:val="24"/>
          <w:szCs w:val="24"/>
        </w:rPr>
        <w:t xml:space="preserve"> </w:t>
      </w:r>
      <w:r w:rsidRPr="00E663BF">
        <w:rPr>
          <w:rFonts w:cstheme="minorHAnsi"/>
          <w:sz w:val="24"/>
          <w:szCs w:val="24"/>
        </w:rPr>
        <w:t>= interferon-gama, HLA</w:t>
      </w:r>
      <w:r>
        <w:rPr>
          <w:rFonts w:cstheme="minorHAnsi"/>
          <w:sz w:val="24"/>
          <w:szCs w:val="24"/>
        </w:rPr>
        <w:t xml:space="preserve"> </w:t>
      </w:r>
      <w:r w:rsidRPr="004E5649">
        <w:rPr>
          <w:rFonts w:cstheme="minorHAnsi"/>
          <w:sz w:val="24"/>
          <w:szCs w:val="24"/>
        </w:rPr>
        <w:t>= (</w:t>
      </w:r>
      <w:r w:rsidRPr="00C87449">
        <w:rPr>
          <w:rFonts w:cstheme="minorHAnsi"/>
          <w:sz w:val="24"/>
          <w:szCs w:val="24"/>
        </w:rPr>
        <w:t>Human</w:t>
      </w:r>
      <w:r w:rsidRPr="0062347D">
        <w:rPr>
          <w:rFonts w:cstheme="minorHAnsi"/>
          <w:sz w:val="24"/>
          <w:szCs w:val="24"/>
        </w:rPr>
        <w:t xml:space="preserve"> Leukocyte Antigen) lidský leukocytární antigen, TCR</w:t>
      </w:r>
      <w:r>
        <w:rPr>
          <w:rFonts w:cstheme="minorHAnsi"/>
          <w:sz w:val="24"/>
          <w:szCs w:val="24"/>
        </w:rPr>
        <w:t xml:space="preserve"> </w:t>
      </w:r>
      <w:r w:rsidRPr="0062347D">
        <w:rPr>
          <w:rFonts w:cstheme="minorHAnsi"/>
          <w:sz w:val="24"/>
          <w:szCs w:val="24"/>
        </w:rPr>
        <w:t>= (T cell Receptor) receptor T-</w:t>
      </w:r>
      <w:r w:rsidRPr="003329E2">
        <w:rPr>
          <w:rFonts w:cstheme="minorHAnsi"/>
          <w:sz w:val="24"/>
          <w:szCs w:val="24"/>
        </w:rPr>
        <w:t>lymfocytů, TNF</w:t>
      </w:r>
      <w:r>
        <w:rPr>
          <w:rFonts w:cstheme="minorHAnsi"/>
          <w:sz w:val="24"/>
          <w:szCs w:val="24"/>
        </w:rPr>
        <w:t xml:space="preserve"> </w:t>
      </w:r>
      <w:r w:rsidRPr="003329E2">
        <w:rPr>
          <w:rFonts w:cstheme="minorHAnsi"/>
          <w:sz w:val="24"/>
          <w:szCs w:val="24"/>
        </w:rPr>
        <w:t>= tumor nekrotizující faktor</w:t>
      </w:r>
      <w:r w:rsidRPr="00E663BF">
        <w:rPr>
          <w:rFonts w:cstheme="minorHAnsi"/>
          <w:sz w:val="24"/>
          <w:szCs w:val="24"/>
        </w:rPr>
        <w:t>.</w:t>
      </w:r>
    </w:p>
    <w:p w:rsidR="008F0C0F" w:rsidRPr="0062347D" w:rsidRDefault="008F0C0F" w:rsidP="00284F89">
      <w:pPr>
        <w:pStyle w:val="Nadpis3"/>
        <w:spacing w:after="240"/>
        <w:rPr>
          <w:rFonts w:cstheme="minorHAnsi"/>
          <w:szCs w:val="24"/>
        </w:rPr>
      </w:pPr>
      <w:bookmarkStart w:id="3" w:name="_Toc69542999"/>
      <w:r w:rsidRPr="00B24D8C">
        <w:rPr>
          <w:rFonts w:cstheme="minorHAnsi"/>
          <w:szCs w:val="24"/>
        </w:rPr>
        <w:t xml:space="preserve">Prevalence a incidence </w:t>
      </w:r>
      <w:r w:rsidRPr="0062347D">
        <w:rPr>
          <w:rFonts w:cstheme="minorHAnsi"/>
          <w:szCs w:val="24"/>
        </w:rPr>
        <w:t>sarkoidózy</w:t>
      </w:r>
      <w:bookmarkEnd w:id="3"/>
    </w:p>
    <w:p w:rsidR="008F0C0F" w:rsidRPr="0062347D" w:rsidRDefault="008F0C0F" w:rsidP="00284F89">
      <w:pPr>
        <w:spacing w:after="240" w:line="360" w:lineRule="auto"/>
        <w:ind w:firstLine="709"/>
        <w:jc w:val="both"/>
        <w:rPr>
          <w:rFonts w:cstheme="minorHAnsi"/>
          <w:sz w:val="24"/>
          <w:szCs w:val="24"/>
        </w:rPr>
      </w:pPr>
      <w:r w:rsidRPr="0062347D">
        <w:rPr>
          <w:rFonts w:cstheme="minorHAnsi"/>
          <w:sz w:val="24"/>
          <w:szCs w:val="24"/>
        </w:rPr>
        <w:t>Sarkoidóza je celosvětově rozšířená, postihuje muže i ženy různého věku. Rozšíření sarkoidózy se liší v souvislosti s etnickou příslušností, kdy je u Afroameričanů a u Evropanů na severu pozorován nejvyšší výskyt. V </w:t>
      </w:r>
      <w:r w:rsidRPr="0062347D">
        <w:rPr>
          <w:rFonts w:cstheme="minorHAnsi"/>
          <w:b/>
          <w:sz w:val="24"/>
          <w:szCs w:val="24"/>
        </w:rPr>
        <w:t>Tabulce 1</w:t>
      </w:r>
      <w:r w:rsidRPr="0062347D">
        <w:rPr>
          <w:rFonts w:cstheme="minorHAnsi"/>
          <w:sz w:val="24"/>
          <w:szCs w:val="24"/>
        </w:rPr>
        <w:t xml:space="preserve"> jsou uvedeny příklady incidencí a</w:t>
      </w:r>
      <w:r>
        <w:rPr>
          <w:rFonts w:cstheme="minorHAnsi"/>
          <w:sz w:val="24"/>
          <w:szCs w:val="24"/>
        </w:rPr>
        <w:t> </w:t>
      </w:r>
      <w:r w:rsidRPr="0062347D">
        <w:rPr>
          <w:rFonts w:cstheme="minorHAnsi"/>
          <w:sz w:val="24"/>
          <w:szCs w:val="24"/>
        </w:rPr>
        <w:t xml:space="preserve">prevalencí v některých státech, případně u určitého etnika </w:t>
      </w:r>
      <w:r w:rsidRPr="0062347D">
        <w:rPr>
          <w:rFonts w:cstheme="minorHAnsi"/>
          <w:noProof/>
          <w:sz w:val="24"/>
          <w:szCs w:val="24"/>
        </w:rPr>
        <w:t>(</w:t>
      </w:r>
      <w:r w:rsidRPr="003329E2">
        <w:rPr>
          <w:rFonts w:cstheme="minorHAnsi"/>
          <w:noProof/>
          <w:sz w:val="24"/>
          <w:szCs w:val="24"/>
        </w:rPr>
        <w:t>Gerke, Judston et al. 2017</w:t>
      </w:r>
      <w:r w:rsidRPr="0062347D">
        <w:rPr>
          <w:rFonts w:cstheme="minorHAnsi"/>
          <w:noProof/>
          <w:sz w:val="24"/>
          <w:szCs w:val="24"/>
        </w:rPr>
        <w:t>)</w:t>
      </w:r>
      <w:r w:rsidRPr="0062347D">
        <w:rPr>
          <w:rFonts w:cstheme="minorHAnsi"/>
          <w:sz w:val="24"/>
          <w:szCs w:val="24"/>
        </w:rPr>
        <w:t>.</w:t>
      </w:r>
    </w:p>
    <w:p w:rsidR="008F0C0F" w:rsidRPr="00E663BF" w:rsidRDefault="008F0C0F">
      <w:pPr>
        <w:rPr>
          <w:rFonts w:cstheme="minorHAnsi"/>
          <w:sz w:val="24"/>
          <w:szCs w:val="24"/>
        </w:rPr>
      </w:pPr>
      <w:r w:rsidRPr="003329E2">
        <w:rPr>
          <w:rFonts w:cstheme="minorHAnsi"/>
          <w:sz w:val="24"/>
          <w:szCs w:val="24"/>
        </w:rPr>
        <w:br w:type="page"/>
      </w:r>
    </w:p>
    <w:p w:rsidR="008F0C0F" w:rsidRPr="0062347D" w:rsidRDefault="008F0C0F" w:rsidP="00284F89">
      <w:pPr>
        <w:spacing w:line="360" w:lineRule="auto"/>
        <w:ind w:firstLine="432"/>
        <w:jc w:val="both"/>
        <w:rPr>
          <w:rFonts w:cstheme="minorHAnsi"/>
          <w:sz w:val="24"/>
          <w:szCs w:val="24"/>
        </w:rPr>
      </w:pPr>
      <w:r w:rsidRPr="00E663BF">
        <w:rPr>
          <w:rFonts w:cstheme="minorHAnsi"/>
          <w:b/>
          <w:sz w:val="24"/>
          <w:szCs w:val="24"/>
        </w:rPr>
        <w:lastRenderedPageBreak/>
        <w:t>Tabulka 1:</w:t>
      </w:r>
      <w:r w:rsidRPr="004E5649">
        <w:rPr>
          <w:rFonts w:cstheme="minorHAnsi"/>
          <w:sz w:val="24"/>
          <w:szCs w:val="24"/>
        </w:rPr>
        <w:t xml:space="preserve"> Příklady incidencí a prevalencí sarkoidózy </w:t>
      </w:r>
      <w:r w:rsidRPr="0062347D">
        <w:rPr>
          <w:rFonts w:cstheme="minorHAnsi"/>
          <w:noProof/>
          <w:sz w:val="24"/>
          <w:szCs w:val="24"/>
        </w:rPr>
        <w:t>(Gerke, Judston et al. 2017)</w:t>
      </w:r>
      <w:r w:rsidRPr="0062347D">
        <w:rPr>
          <w:rFonts w:cstheme="minorHAnsi"/>
          <w:sz w:val="24"/>
          <w:szCs w:val="24"/>
        </w:rPr>
        <w:t>.</w:t>
      </w:r>
    </w:p>
    <w:tbl>
      <w:tblPr>
        <w:tblStyle w:val="Mkatabulky"/>
        <w:tblW w:w="0" w:type="auto"/>
        <w:tblLook w:val="04A0" w:firstRow="1" w:lastRow="0" w:firstColumn="1" w:lastColumn="0" w:noHBand="0" w:noVBand="1"/>
      </w:tblPr>
      <w:tblGrid>
        <w:gridCol w:w="3510"/>
        <w:gridCol w:w="2631"/>
        <w:gridCol w:w="3071"/>
      </w:tblGrid>
      <w:tr w:rsidR="008F0C0F" w:rsidRPr="0062347D" w:rsidTr="00284F89">
        <w:tc>
          <w:tcPr>
            <w:tcW w:w="3510" w:type="dxa"/>
          </w:tcPr>
          <w:p w:rsidR="008F0C0F" w:rsidRPr="004E5649" w:rsidRDefault="008F0C0F" w:rsidP="00284F89">
            <w:pPr>
              <w:jc w:val="both"/>
              <w:rPr>
                <w:rFonts w:cstheme="minorHAnsi"/>
                <w:sz w:val="24"/>
                <w:szCs w:val="24"/>
              </w:rPr>
            </w:pPr>
            <w:r w:rsidRPr="003329E2">
              <w:rPr>
                <w:rFonts w:cstheme="minorHAnsi"/>
                <w:sz w:val="24"/>
                <w:szCs w:val="24"/>
              </w:rPr>
              <w:t>Název studie nebo země, ve které byl výzkum proveden</w:t>
            </w:r>
          </w:p>
        </w:tc>
        <w:tc>
          <w:tcPr>
            <w:tcW w:w="2631" w:type="dxa"/>
          </w:tcPr>
          <w:p w:rsidR="008F0C0F" w:rsidRPr="0062347D" w:rsidRDefault="008F0C0F" w:rsidP="00284F89">
            <w:pPr>
              <w:jc w:val="center"/>
              <w:rPr>
                <w:rFonts w:cstheme="minorHAnsi"/>
                <w:sz w:val="24"/>
                <w:szCs w:val="24"/>
              </w:rPr>
            </w:pPr>
            <w:r w:rsidRPr="00B24D8C">
              <w:rPr>
                <w:rFonts w:cstheme="minorHAnsi"/>
                <w:sz w:val="24"/>
                <w:szCs w:val="24"/>
              </w:rPr>
              <w:t>Incidence (na 100 000 obyvatel)</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Prevalence (na 100 000 obyvatel)</w:t>
            </w:r>
          </w:p>
        </w:tc>
      </w:tr>
      <w:tr w:rsidR="008F0C0F" w:rsidRPr="0062347D" w:rsidTr="00284F89">
        <w:trPr>
          <w:trHeight w:val="1611"/>
        </w:trPr>
        <w:tc>
          <w:tcPr>
            <w:tcW w:w="3510" w:type="dxa"/>
          </w:tcPr>
          <w:p w:rsidR="008F0C0F" w:rsidRPr="0062347D" w:rsidRDefault="008F0C0F" w:rsidP="00284F89">
            <w:pPr>
              <w:rPr>
                <w:rFonts w:cstheme="minorHAnsi"/>
                <w:sz w:val="24"/>
                <w:szCs w:val="24"/>
                <w:u w:val="single"/>
              </w:rPr>
            </w:pPr>
            <w:proofErr w:type="gramStart"/>
            <w:r w:rsidRPr="0062347D">
              <w:rPr>
                <w:rFonts w:cstheme="minorHAnsi"/>
                <w:b/>
                <w:sz w:val="24"/>
                <w:szCs w:val="24"/>
                <w:u w:val="single"/>
              </w:rPr>
              <w:t>U.S.</w:t>
            </w:r>
            <w:proofErr w:type="gramEnd"/>
            <w:r w:rsidRPr="0062347D">
              <w:rPr>
                <w:rFonts w:cstheme="minorHAnsi"/>
                <w:b/>
                <w:sz w:val="24"/>
                <w:szCs w:val="24"/>
                <w:u w:val="single"/>
              </w:rPr>
              <w:t xml:space="preserve"> Optum Database</w:t>
            </w:r>
            <w:r w:rsidRPr="0062347D">
              <w:rPr>
                <w:rFonts w:cstheme="minorHAnsi"/>
                <w:sz w:val="24"/>
                <w:szCs w:val="24"/>
                <w:u w:val="single"/>
              </w:rPr>
              <w:t xml:space="preserve"> </w:t>
            </w:r>
            <w:r w:rsidRPr="0062347D">
              <w:rPr>
                <w:rFonts w:cstheme="minorHAnsi"/>
                <w:noProof/>
                <w:sz w:val="24"/>
                <w:szCs w:val="24"/>
                <w:u w:val="single"/>
              </w:rPr>
              <w:t>(Baughman, Field et al. 2016)</w:t>
            </w:r>
            <w:r w:rsidRPr="0062347D">
              <w:rPr>
                <w:rFonts w:cstheme="minorHAnsi"/>
                <w:sz w:val="24"/>
                <w:szCs w:val="24"/>
                <w:u w:val="single"/>
              </w:rPr>
              <w:t xml:space="preserve">: </w:t>
            </w:r>
          </w:p>
          <w:p w:rsidR="008F0C0F" w:rsidRPr="00E663BF" w:rsidRDefault="008F0C0F" w:rsidP="00284F89">
            <w:pPr>
              <w:jc w:val="both"/>
              <w:rPr>
                <w:rFonts w:cstheme="minorHAnsi"/>
                <w:sz w:val="24"/>
                <w:szCs w:val="24"/>
              </w:rPr>
            </w:pPr>
            <w:r w:rsidRPr="003329E2">
              <w:rPr>
                <w:rFonts w:cstheme="minorHAnsi"/>
                <w:sz w:val="24"/>
                <w:szCs w:val="24"/>
              </w:rPr>
              <w:t>Afro-Američané</w:t>
            </w:r>
          </w:p>
          <w:p w:rsidR="008F0C0F" w:rsidRPr="004E5649" w:rsidRDefault="008F0C0F" w:rsidP="00284F89">
            <w:pPr>
              <w:jc w:val="both"/>
              <w:rPr>
                <w:rFonts w:cstheme="minorHAnsi"/>
                <w:sz w:val="24"/>
                <w:szCs w:val="24"/>
              </w:rPr>
            </w:pPr>
            <w:r w:rsidRPr="004E5649">
              <w:rPr>
                <w:rFonts w:cstheme="minorHAnsi"/>
                <w:sz w:val="24"/>
                <w:szCs w:val="24"/>
              </w:rPr>
              <w:t>Bílá rasa</w:t>
            </w:r>
          </w:p>
          <w:p w:rsidR="008F0C0F" w:rsidRPr="0062347D" w:rsidRDefault="008F0C0F" w:rsidP="00284F89">
            <w:pPr>
              <w:jc w:val="both"/>
              <w:rPr>
                <w:rFonts w:cstheme="minorHAnsi"/>
                <w:sz w:val="24"/>
                <w:szCs w:val="24"/>
              </w:rPr>
            </w:pPr>
            <w:r w:rsidRPr="00B24D8C">
              <w:rPr>
                <w:rFonts w:cstheme="minorHAnsi"/>
                <w:sz w:val="24"/>
                <w:szCs w:val="24"/>
              </w:rPr>
              <w:t>Hispánci</w:t>
            </w:r>
          </w:p>
          <w:p w:rsidR="008F0C0F" w:rsidRPr="0062347D" w:rsidRDefault="008F0C0F" w:rsidP="00284F89">
            <w:pPr>
              <w:jc w:val="both"/>
              <w:rPr>
                <w:rFonts w:cstheme="minorHAnsi"/>
                <w:sz w:val="24"/>
                <w:szCs w:val="24"/>
                <w:u w:val="single"/>
              </w:rPr>
            </w:pPr>
            <w:r w:rsidRPr="0062347D">
              <w:rPr>
                <w:rFonts w:cstheme="minorHAnsi"/>
                <w:sz w:val="24"/>
                <w:szCs w:val="24"/>
              </w:rPr>
              <w:t>Asiaté</w:t>
            </w:r>
          </w:p>
        </w:tc>
        <w:tc>
          <w:tcPr>
            <w:tcW w:w="2631" w:type="dxa"/>
          </w:tcPr>
          <w:p w:rsidR="008F0C0F" w:rsidRPr="0062347D" w:rsidRDefault="008F0C0F" w:rsidP="00284F89">
            <w:pPr>
              <w:jc w:val="center"/>
              <w:rPr>
                <w:rFonts w:cstheme="minorHAnsi"/>
                <w:sz w:val="24"/>
                <w:szCs w:val="24"/>
              </w:rPr>
            </w:pPr>
          </w:p>
          <w:p w:rsidR="008F0C0F" w:rsidRPr="0062347D" w:rsidRDefault="008F0C0F" w:rsidP="00284F89">
            <w:pPr>
              <w:jc w:val="center"/>
              <w:rPr>
                <w:rFonts w:cstheme="minorHAnsi"/>
                <w:sz w:val="24"/>
                <w:szCs w:val="24"/>
              </w:rPr>
            </w:pPr>
          </w:p>
          <w:p w:rsidR="008F0C0F" w:rsidRPr="0062347D" w:rsidRDefault="008F0C0F" w:rsidP="00284F89">
            <w:pPr>
              <w:jc w:val="center"/>
              <w:rPr>
                <w:rFonts w:cstheme="minorHAnsi"/>
                <w:sz w:val="24"/>
                <w:szCs w:val="24"/>
              </w:rPr>
            </w:pPr>
            <w:r w:rsidRPr="0062347D">
              <w:rPr>
                <w:rFonts w:cstheme="minorHAnsi"/>
                <w:sz w:val="24"/>
                <w:szCs w:val="24"/>
              </w:rPr>
              <w:t>17,8</w:t>
            </w:r>
          </w:p>
          <w:p w:rsidR="008F0C0F" w:rsidRPr="0062347D" w:rsidRDefault="008F0C0F" w:rsidP="00284F89">
            <w:pPr>
              <w:jc w:val="center"/>
              <w:rPr>
                <w:rFonts w:cstheme="minorHAnsi"/>
                <w:sz w:val="24"/>
                <w:szCs w:val="24"/>
              </w:rPr>
            </w:pPr>
            <w:r w:rsidRPr="0062347D">
              <w:rPr>
                <w:rFonts w:cstheme="minorHAnsi"/>
                <w:sz w:val="24"/>
                <w:szCs w:val="24"/>
              </w:rPr>
              <w:t>8,1</w:t>
            </w:r>
          </w:p>
          <w:p w:rsidR="008F0C0F" w:rsidRPr="0062347D" w:rsidRDefault="008F0C0F" w:rsidP="00284F89">
            <w:pPr>
              <w:jc w:val="center"/>
              <w:rPr>
                <w:rFonts w:cstheme="minorHAnsi"/>
                <w:sz w:val="24"/>
                <w:szCs w:val="24"/>
              </w:rPr>
            </w:pPr>
            <w:r w:rsidRPr="0062347D">
              <w:rPr>
                <w:rFonts w:cstheme="minorHAnsi"/>
                <w:sz w:val="24"/>
                <w:szCs w:val="24"/>
              </w:rPr>
              <w:t>4,3</w:t>
            </w:r>
          </w:p>
          <w:p w:rsidR="008F0C0F" w:rsidRPr="0062347D" w:rsidRDefault="008F0C0F" w:rsidP="00284F89">
            <w:pPr>
              <w:jc w:val="center"/>
              <w:rPr>
                <w:rFonts w:cstheme="minorHAnsi"/>
                <w:sz w:val="24"/>
                <w:szCs w:val="24"/>
              </w:rPr>
            </w:pPr>
            <w:r w:rsidRPr="0062347D">
              <w:rPr>
                <w:rFonts w:cstheme="minorHAnsi"/>
                <w:sz w:val="24"/>
                <w:szCs w:val="24"/>
              </w:rPr>
              <w:t>3,2</w:t>
            </w:r>
          </w:p>
        </w:tc>
        <w:tc>
          <w:tcPr>
            <w:tcW w:w="3071" w:type="dxa"/>
          </w:tcPr>
          <w:p w:rsidR="008F0C0F" w:rsidRPr="0062347D" w:rsidRDefault="008F0C0F" w:rsidP="00284F89">
            <w:pPr>
              <w:jc w:val="center"/>
              <w:rPr>
                <w:rFonts w:cstheme="minorHAnsi"/>
                <w:sz w:val="24"/>
                <w:szCs w:val="24"/>
              </w:rPr>
            </w:pPr>
          </w:p>
          <w:p w:rsidR="008F0C0F" w:rsidRPr="0062347D" w:rsidRDefault="008F0C0F" w:rsidP="00284F89">
            <w:pPr>
              <w:jc w:val="center"/>
              <w:rPr>
                <w:rFonts w:cstheme="minorHAnsi"/>
                <w:sz w:val="24"/>
                <w:szCs w:val="24"/>
              </w:rPr>
            </w:pPr>
          </w:p>
          <w:p w:rsidR="008F0C0F" w:rsidRPr="0062347D" w:rsidRDefault="008F0C0F" w:rsidP="00284F89">
            <w:pPr>
              <w:jc w:val="center"/>
              <w:rPr>
                <w:rFonts w:cstheme="minorHAnsi"/>
                <w:sz w:val="24"/>
                <w:szCs w:val="24"/>
              </w:rPr>
            </w:pPr>
            <w:r w:rsidRPr="0062347D">
              <w:rPr>
                <w:rFonts w:cstheme="minorHAnsi"/>
                <w:sz w:val="24"/>
                <w:szCs w:val="24"/>
              </w:rPr>
              <w:t>141,4</w:t>
            </w:r>
          </w:p>
          <w:p w:rsidR="008F0C0F" w:rsidRPr="0062347D" w:rsidRDefault="008F0C0F" w:rsidP="00284F89">
            <w:pPr>
              <w:jc w:val="center"/>
              <w:rPr>
                <w:rFonts w:cstheme="minorHAnsi"/>
                <w:sz w:val="24"/>
                <w:szCs w:val="24"/>
              </w:rPr>
            </w:pPr>
            <w:r w:rsidRPr="0062347D">
              <w:rPr>
                <w:rFonts w:cstheme="minorHAnsi"/>
                <w:sz w:val="24"/>
                <w:szCs w:val="24"/>
              </w:rPr>
              <w:t>49,8</w:t>
            </w:r>
          </w:p>
          <w:p w:rsidR="008F0C0F" w:rsidRPr="0062347D" w:rsidRDefault="008F0C0F" w:rsidP="00284F89">
            <w:pPr>
              <w:jc w:val="center"/>
              <w:rPr>
                <w:rFonts w:cstheme="minorHAnsi"/>
                <w:sz w:val="24"/>
                <w:szCs w:val="24"/>
              </w:rPr>
            </w:pPr>
            <w:r w:rsidRPr="0062347D">
              <w:rPr>
                <w:rFonts w:cstheme="minorHAnsi"/>
                <w:sz w:val="24"/>
                <w:szCs w:val="24"/>
              </w:rPr>
              <w:t>21,7</w:t>
            </w:r>
          </w:p>
          <w:p w:rsidR="008F0C0F" w:rsidRPr="0062347D" w:rsidRDefault="008F0C0F" w:rsidP="00284F89">
            <w:pPr>
              <w:jc w:val="center"/>
              <w:rPr>
                <w:rFonts w:cstheme="minorHAnsi"/>
                <w:sz w:val="24"/>
                <w:szCs w:val="24"/>
              </w:rPr>
            </w:pPr>
            <w:r w:rsidRPr="0062347D">
              <w:rPr>
                <w:rFonts w:cstheme="minorHAnsi"/>
                <w:sz w:val="24"/>
                <w:szCs w:val="24"/>
              </w:rPr>
              <w:t>18,9</w:t>
            </w:r>
          </w:p>
        </w:tc>
      </w:tr>
      <w:tr w:rsidR="008F0C0F" w:rsidRPr="0062347D" w:rsidTr="00284F89">
        <w:tc>
          <w:tcPr>
            <w:tcW w:w="3510" w:type="dxa"/>
          </w:tcPr>
          <w:p w:rsidR="008F0C0F" w:rsidRPr="0062347D" w:rsidRDefault="008F0C0F" w:rsidP="00284F89">
            <w:pPr>
              <w:jc w:val="both"/>
              <w:rPr>
                <w:rFonts w:cstheme="minorHAnsi"/>
                <w:sz w:val="24"/>
                <w:szCs w:val="24"/>
                <w:u w:val="single"/>
              </w:rPr>
            </w:pPr>
            <w:r w:rsidRPr="0062347D">
              <w:rPr>
                <w:rFonts w:cstheme="minorHAnsi"/>
                <w:b/>
                <w:sz w:val="24"/>
                <w:szCs w:val="24"/>
                <w:u w:val="single"/>
              </w:rPr>
              <w:t>Švédsko</w:t>
            </w:r>
            <w:r w:rsidRPr="0062347D">
              <w:rPr>
                <w:rFonts w:cstheme="minorHAnsi"/>
                <w:sz w:val="24"/>
                <w:szCs w:val="24"/>
                <w:u w:val="single"/>
              </w:rPr>
              <w:t xml:space="preserve"> </w:t>
            </w:r>
            <w:r w:rsidRPr="0062347D">
              <w:rPr>
                <w:rFonts w:cstheme="minorHAnsi"/>
                <w:noProof/>
                <w:sz w:val="24"/>
                <w:szCs w:val="24"/>
                <w:u w:val="single"/>
              </w:rPr>
              <w:t xml:space="preserve">(Milman </w:t>
            </w:r>
            <w:r w:rsidR="00166BDD">
              <w:rPr>
                <w:rFonts w:cstheme="minorHAnsi"/>
                <w:noProof/>
                <w:sz w:val="24"/>
                <w:szCs w:val="24"/>
                <w:u w:val="single"/>
              </w:rPr>
              <w:t>a</w:t>
            </w:r>
            <w:r w:rsidRPr="0062347D">
              <w:rPr>
                <w:rFonts w:cstheme="minorHAnsi"/>
                <w:noProof/>
                <w:sz w:val="24"/>
                <w:szCs w:val="24"/>
                <w:u w:val="single"/>
              </w:rPr>
              <w:t xml:space="preserve"> Selroos 1990)</w:t>
            </w:r>
            <w:r w:rsidRPr="0062347D">
              <w:rPr>
                <w:rFonts w:cstheme="minorHAnsi"/>
                <w:sz w:val="24"/>
                <w:szCs w:val="24"/>
                <w:u w:val="single"/>
              </w:rPr>
              <w:t>:</w:t>
            </w:r>
          </w:p>
        </w:tc>
        <w:tc>
          <w:tcPr>
            <w:tcW w:w="2631" w:type="dxa"/>
          </w:tcPr>
          <w:p w:rsidR="008F0C0F" w:rsidRPr="00E663BF" w:rsidRDefault="008F0C0F" w:rsidP="00284F89">
            <w:pPr>
              <w:jc w:val="center"/>
              <w:rPr>
                <w:rFonts w:cstheme="minorHAnsi"/>
                <w:sz w:val="24"/>
                <w:szCs w:val="24"/>
              </w:rPr>
            </w:pPr>
            <w:r w:rsidRPr="003329E2">
              <w:rPr>
                <w:rFonts w:cstheme="minorHAnsi"/>
                <w:sz w:val="24"/>
                <w:szCs w:val="24"/>
              </w:rPr>
              <w:t>24</w:t>
            </w:r>
          </w:p>
        </w:tc>
        <w:tc>
          <w:tcPr>
            <w:tcW w:w="3071" w:type="dxa"/>
          </w:tcPr>
          <w:p w:rsidR="008F0C0F" w:rsidRPr="004E5649" w:rsidRDefault="008F0C0F" w:rsidP="00284F89">
            <w:pPr>
              <w:jc w:val="center"/>
              <w:rPr>
                <w:rFonts w:cstheme="minorHAnsi"/>
                <w:sz w:val="24"/>
                <w:szCs w:val="24"/>
              </w:rPr>
            </w:pPr>
            <w:r w:rsidRPr="004E5649">
              <w:rPr>
                <w:rFonts w:cstheme="minorHAnsi"/>
                <w:sz w:val="24"/>
                <w:szCs w:val="24"/>
              </w:rPr>
              <w:t>64</w:t>
            </w:r>
          </w:p>
        </w:tc>
      </w:tr>
      <w:tr w:rsidR="008F0C0F" w:rsidRPr="0062347D" w:rsidTr="00284F89">
        <w:tc>
          <w:tcPr>
            <w:tcW w:w="3510" w:type="dxa"/>
          </w:tcPr>
          <w:p w:rsidR="008F0C0F" w:rsidRPr="0062347D" w:rsidRDefault="008F0C0F" w:rsidP="00284F89">
            <w:pPr>
              <w:jc w:val="both"/>
              <w:rPr>
                <w:rFonts w:cstheme="minorHAnsi"/>
                <w:sz w:val="24"/>
                <w:szCs w:val="24"/>
                <w:u w:val="single"/>
              </w:rPr>
            </w:pPr>
            <w:r w:rsidRPr="0062347D">
              <w:rPr>
                <w:rFonts w:cstheme="minorHAnsi"/>
                <w:b/>
                <w:sz w:val="24"/>
                <w:szCs w:val="24"/>
                <w:u w:val="single"/>
              </w:rPr>
              <w:t>Finsko</w:t>
            </w:r>
            <w:r w:rsidRPr="0062347D">
              <w:rPr>
                <w:rFonts w:cstheme="minorHAnsi"/>
                <w:sz w:val="24"/>
                <w:szCs w:val="24"/>
                <w:u w:val="single"/>
              </w:rPr>
              <w:t xml:space="preserve"> </w:t>
            </w:r>
            <w:r w:rsidRPr="0062347D">
              <w:rPr>
                <w:rFonts w:cstheme="minorHAnsi"/>
                <w:noProof/>
                <w:sz w:val="24"/>
                <w:szCs w:val="24"/>
                <w:u w:val="single"/>
              </w:rPr>
              <w:t>(Pietinalho, Hiraga et al. 1995)</w:t>
            </w:r>
            <w:r w:rsidRPr="0062347D">
              <w:rPr>
                <w:rFonts w:cstheme="minorHAnsi"/>
                <w:sz w:val="24"/>
                <w:szCs w:val="24"/>
                <w:u w:val="single"/>
              </w:rPr>
              <w:t>:</w:t>
            </w:r>
          </w:p>
        </w:tc>
        <w:tc>
          <w:tcPr>
            <w:tcW w:w="2631" w:type="dxa"/>
          </w:tcPr>
          <w:p w:rsidR="008F0C0F" w:rsidRPr="00E663BF" w:rsidRDefault="008F0C0F" w:rsidP="00284F89">
            <w:pPr>
              <w:jc w:val="center"/>
              <w:rPr>
                <w:rFonts w:cstheme="minorHAnsi"/>
                <w:sz w:val="24"/>
                <w:szCs w:val="24"/>
              </w:rPr>
            </w:pPr>
            <w:r w:rsidRPr="003329E2">
              <w:rPr>
                <w:rFonts w:cstheme="minorHAnsi"/>
                <w:sz w:val="24"/>
                <w:szCs w:val="24"/>
              </w:rPr>
              <w:t>11,4</w:t>
            </w:r>
          </w:p>
        </w:tc>
        <w:tc>
          <w:tcPr>
            <w:tcW w:w="3071" w:type="dxa"/>
          </w:tcPr>
          <w:p w:rsidR="008F0C0F" w:rsidRPr="004E5649" w:rsidRDefault="008F0C0F" w:rsidP="00284F89">
            <w:pPr>
              <w:jc w:val="center"/>
              <w:rPr>
                <w:rFonts w:cstheme="minorHAnsi"/>
                <w:sz w:val="24"/>
                <w:szCs w:val="24"/>
              </w:rPr>
            </w:pPr>
            <w:r w:rsidRPr="004E5649">
              <w:rPr>
                <w:rFonts w:cstheme="minorHAnsi"/>
                <w:sz w:val="24"/>
                <w:szCs w:val="24"/>
              </w:rPr>
              <w:t>28,2</w:t>
            </w:r>
          </w:p>
        </w:tc>
      </w:tr>
      <w:tr w:rsidR="008F0C0F" w:rsidRPr="0062347D" w:rsidTr="00284F89">
        <w:tc>
          <w:tcPr>
            <w:tcW w:w="3510" w:type="dxa"/>
          </w:tcPr>
          <w:p w:rsidR="008F0C0F" w:rsidRPr="0062347D" w:rsidRDefault="008F0C0F" w:rsidP="00284F89">
            <w:pPr>
              <w:rPr>
                <w:rFonts w:cstheme="minorHAnsi"/>
                <w:sz w:val="24"/>
                <w:szCs w:val="24"/>
                <w:u w:val="single"/>
              </w:rPr>
            </w:pPr>
            <w:r w:rsidRPr="0062347D">
              <w:rPr>
                <w:rFonts w:cstheme="minorHAnsi"/>
                <w:b/>
                <w:sz w:val="24"/>
                <w:szCs w:val="24"/>
                <w:u w:val="single"/>
              </w:rPr>
              <w:t>Česká republika</w:t>
            </w:r>
            <w:r w:rsidRPr="0062347D">
              <w:rPr>
                <w:rFonts w:cstheme="minorHAnsi"/>
                <w:sz w:val="24"/>
                <w:szCs w:val="24"/>
                <w:u w:val="single"/>
              </w:rPr>
              <w:t xml:space="preserve"> (Morava a </w:t>
            </w:r>
            <w:proofErr w:type="gramStart"/>
            <w:r w:rsidRPr="0062347D">
              <w:rPr>
                <w:rFonts w:cstheme="minorHAnsi"/>
                <w:sz w:val="24"/>
                <w:szCs w:val="24"/>
                <w:u w:val="single"/>
              </w:rPr>
              <w:t xml:space="preserve">Slezsko) </w:t>
            </w:r>
            <w:r w:rsidRPr="0062347D">
              <w:rPr>
                <w:rFonts w:cstheme="minorHAnsi"/>
                <w:noProof/>
                <w:sz w:val="24"/>
                <w:szCs w:val="24"/>
                <w:u w:val="single"/>
              </w:rPr>
              <w:t>(Kolek</w:t>
            </w:r>
            <w:proofErr w:type="gramEnd"/>
            <w:r w:rsidRPr="0062347D">
              <w:rPr>
                <w:rFonts w:cstheme="minorHAnsi"/>
                <w:noProof/>
                <w:sz w:val="24"/>
                <w:szCs w:val="24"/>
                <w:u w:val="single"/>
              </w:rPr>
              <w:t xml:space="preserve"> 1994)</w:t>
            </w:r>
            <w:r w:rsidRPr="0062347D">
              <w:rPr>
                <w:rFonts w:cstheme="minorHAnsi"/>
                <w:sz w:val="24"/>
                <w:szCs w:val="24"/>
                <w:u w:val="single"/>
              </w:rPr>
              <w:t>:</w:t>
            </w:r>
          </w:p>
        </w:tc>
        <w:tc>
          <w:tcPr>
            <w:tcW w:w="2631" w:type="dxa"/>
          </w:tcPr>
          <w:p w:rsidR="008F0C0F" w:rsidRPr="004E5649" w:rsidRDefault="008F0C0F" w:rsidP="00284F89">
            <w:pPr>
              <w:jc w:val="center"/>
              <w:rPr>
                <w:rFonts w:cstheme="minorHAnsi"/>
                <w:sz w:val="24"/>
                <w:szCs w:val="24"/>
              </w:rPr>
            </w:pPr>
            <w:r w:rsidRPr="003329E2">
              <w:rPr>
                <w:rFonts w:cstheme="minorHAnsi"/>
                <w:sz w:val="24"/>
                <w:szCs w:val="24"/>
              </w:rPr>
              <w:t>3,3</w:t>
            </w:r>
            <w:r w:rsidRPr="00E663BF">
              <w:rPr>
                <w:rFonts w:cstheme="minorHAnsi"/>
                <w:sz w:val="24"/>
                <w:szCs w:val="24"/>
              </w:rPr>
              <w:t>–</w:t>
            </w:r>
            <w:r w:rsidRPr="004E5649">
              <w:rPr>
                <w:rFonts w:cstheme="minorHAnsi"/>
                <w:sz w:val="24"/>
                <w:szCs w:val="24"/>
              </w:rPr>
              <w:t>4,4</w:t>
            </w:r>
          </w:p>
        </w:tc>
        <w:tc>
          <w:tcPr>
            <w:tcW w:w="3071" w:type="dxa"/>
          </w:tcPr>
          <w:p w:rsidR="008F0C0F" w:rsidRPr="0062347D" w:rsidRDefault="008F0C0F" w:rsidP="00284F89">
            <w:pPr>
              <w:jc w:val="center"/>
              <w:rPr>
                <w:rFonts w:cstheme="minorHAnsi"/>
                <w:sz w:val="24"/>
                <w:szCs w:val="24"/>
              </w:rPr>
            </w:pPr>
            <w:r w:rsidRPr="00B24D8C">
              <w:rPr>
                <w:rFonts w:cstheme="minorHAnsi"/>
                <w:sz w:val="24"/>
                <w:szCs w:val="24"/>
              </w:rPr>
              <w:t>41,3</w:t>
            </w:r>
            <w:r w:rsidRPr="0062347D">
              <w:rPr>
                <w:rFonts w:cstheme="minorHAnsi"/>
                <w:sz w:val="24"/>
                <w:szCs w:val="24"/>
              </w:rPr>
              <w:t>–63,1</w:t>
            </w:r>
          </w:p>
        </w:tc>
      </w:tr>
      <w:tr w:rsidR="008F0C0F" w:rsidRPr="0062347D" w:rsidTr="00284F89">
        <w:tc>
          <w:tcPr>
            <w:tcW w:w="3510" w:type="dxa"/>
          </w:tcPr>
          <w:p w:rsidR="008F0C0F" w:rsidRPr="0062347D" w:rsidRDefault="008F0C0F" w:rsidP="00284F89">
            <w:pPr>
              <w:jc w:val="both"/>
              <w:rPr>
                <w:rFonts w:cstheme="minorHAnsi"/>
                <w:sz w:val="24"/>
                <w:szCs w:val="24"/>
                <w:u w:val="single"/>
              </w:rPr>
            </w:pPr>
            <w:r w:rsidRPr="0062347D">
              <w:rPr>
                <w:rFonts w:cstheme="minorHAnsi"/>
                <w:b/>
                <w:sz w:val="24"/>
                <w:szCs w:val="24"/>
                <w:u w:val="single"/>
              </w:rPr>
              <w:t>Řecko</w:t>
            </w:r>
            <w:r w:rsidRPr="0062347D">
              <w:rPr>
                <w:rFonts w:cstheme="minorHAnsi"/>
                <w:sz w:val="24"/>
                <w:szCs w:val="24"/>
                <w:u w:val="single"/>
              </w:rPr>
              <w:t xml:space="preserve"> </w:t>
            </w:r>
            <w:r w:rsidRPr="0062347D">
              <w:rPr>
                <w:rFonts w:cstheme="minorHAnsi"/>
                <w:noProof/>
                <w:sz w:val="24"/>
                <w:szCs w:val="24"/>
                <w:u w:val="single"/>
              </w:rPr>
              <w:t>(Karakatsani, Papakosta et al. 2009)</w:t>
            </w:r>
            <w:r w:rsidRPr="0062347D">
              <w:rPr>
                <w:rFonts w:cstheme="minorHAnsi"/>
                <w:sz w:val="24"/>
                <w:szCs w:val="24"/>
                <w:u w:val="single"/>
              </w:rPr>
              <w:t>:</w:t>
            </w:r>
          </w:p>
        </w:tc>
        <w:tc>
          <w:tcPr>
            <w:tcW w:w="2631" w:type="dxa"/>
          </w:tcPr>
          <w:p w:rsidR="008F0C0F" w:rsidRPr="00E663BF" w:rsidRDefault="008F0C0F" w:rsidP="00284F89">
            <w:pPr>
              <w:jc w:val="center"/>
              <w:rPr>
                <w:rFonts w:cstheme="minorHAnsi"/>
                <w:sz w:val="24"/>
                <w:szCs w:val="24"/>
              </w:rPr>
            </w:pPr>
            <w:r w:rsidRPr="003329E2">
              <w:rPr>
                <w:rFonts w:cstheme="minorHAnsi"/>
                <w:sz w:val="24"/>
                <w:szCs w:val="24"/>
              </w:rPr>
              <w:t>1,07</w:t>
            </w:r>
          </w:p>
        </w:tc>
        <w:tc>
          <w:tcPr>
            <w:tcW w:w="3071" w:type="dxa"/>
          </w:tcPr>
          <w:p w:rsidR="008F0C0F" w:rsidRPr="004E5649" w:rsidRDefault="008F0C0F" w:rsidP="00284F89">
            <w:pPr>
              <w:jc w:val="center"/>
              <w:rPr>
                <w:rFonts w:cstheme="minorHAnsi"/>
                <w:sz w:val="24"/>
                <w:szCs w:val="24"/>
              </w:rPr>
            </w:pPr>
            <w:r w:rsidRPr="004E5649">
              <w:rPr>
                <w:rFonts w:cstheme="minorHAnsi"/>
                <w:sz w:val="24"/>
                <w:szCs w:val="24"/>
              </w:rPr>
              <w:t>5,89</w:t>
            </w:r>
          </w:p>
        </w:tc>
      </w:tr>
      <w:tr w:rsidR="008F0C0F" w:rsidRPr="0062347D" w:rsidTr="00284F89">
        <w:tc>
          <w:tcPr>
            <w:tcW w:w="3510" w:type="dxa"/>
          </w:tcPr>
          <w:p w:rsidR="008F0C0F" w:rsidRPr="0062347D" w:rsidRDefault="008F0C0F" w:rsidP="00284F89">
            <w:pPr>
              <w:jc w:val="both"/>
              <w:rPr>
                <w:rFonts w:cstheme="minorHAnsi"/>
                <w:sz w:val="24"/>
                <w:szCs w:val="24"/>
                <w:u w:val="single"/>
              </w:rPr>
            </w:pPr>
            <w:r w:rsidRPr="0062347D">
              <w:rPr>
                <w:rFonts w:cstheme="minorHAnsi"/>
                <w:b/>
                <w:sz w:val="24"/>
                <w:szCs w:val="24"/>
                <w:u w:val="single"/>
              </w:rPr>
              <w:t>Japonsko, Hokkaido</w:t>
            </w:r>
            <w:r w:rsidRPr="0062347D">
              <w:rPr>
                <w:rFonts w:cstheme="minorHAnsi"/>
                <w:sz w:val="24"/>
                <w:szCs w:val="24"/>
                <w:u w:val="single"/>
              </w:rPr>
              <w:t xml:space="preserve"> </w:t>
            </w:r>
            <w:r w:rsidRPr="0062347D">
              <w:rPr>
                <w:rFonts w:cstheme="minorHAnsi"/>
                <w:noProof/>
                <w:sz w:val="24"/>
                <w:szCs w:val="24"/>
                <w:u w:val="single"/>
              </w:rPr>
              <w:t>(Pietinalho, Hiraga et al. 1995)</w:t>
            </w:r>
            <w:r w:rsidRPr="0062347D">
              <w:rPr>
                <w:rFonts w:cstheme="minorHAnsi"/>
                <w:sz w:val="24"/>
                <w:szCs w:val="24"/>
                <w:u w:val="single"/>
              </w:rPr>
              <w:t>:</w:t>
            </w:r>
          </w:p>
        </w:tc>
        <w:tc>
          <w:tcPr>
            <w:tcW w:w="2631" w:type="dxa"/>
          </w:tcPr>
          <w:p w:rsidR="008F0C0F" w:rsidRPr="00E663BF" w:rsidRDefault="008F0C0F" w:rsidP="00284F89">
            <w:pPr>
              <w:jc w:val="center"/>
              <w:rPr>
                <w:rFonts w:cstheme="minorHAnsi"/>
                <w:sz w:val="24"/>
                <w:szCs w:val="24"/>
              </w:rPr>
            </w:pPr>
            <w:r w:rsidRPr="003329E2">
              <w:rPr>
                <w:rFonts w:cstheme="minorHAnsi"/>
                <w:sz w:val="24"/>
                <w:szCs w:val="24"/>
              </w:rPr>
              <w:t>1</w:t>
            </w:r>
          </w:p>
        </w:tc>
        <w:tc>
          <w:tcPr>
            <w:tcW w:w="3071" w:type="dxa"/>
          </w:tcPr>
          <w:p w:rsidR="008F0C0F" w:rsidRPr="004E5649" w:rsidRDefault="008F0C0F" w:rsidP="00284F89">
            <w:pPr>
              <w:jc w:val="center"/>
              <w:rPr>
                <w:rFonts w:cstheme="minorHAnsi"/>
                <w:sz w:val="24"/>
                <w:szCs w:val="24"/>
              </w:rPr>
            </w:pPr>
            <w:r w:rsidRPr="004E5649">
              <w:rPr>
                <w:rFonts w:cstheme="minorHAnsi"/>
                <w:sz w:val="24"/>
                <w:szCs w:val="24"/>
              </w:rPr>
              <w:t>3,7</w:t>
            </w:r>
          </w:p>
        </w:tc>
      </w:tr>
    </w:tbl>
    <w:p w:rsidR="008F0C0F" w:rsidRPr="0062347D" w:rsidRDefault="008F0C0F" w:rsidP="00284F89">
      <w:pPr>
        <w:pStyle w:val="Nadpis3"/>
        <w:spacing w:after="240"/>
        <w:rPr>
          <w:rFonts w:cstheme="minorHAnsi"/>
          <w:szCs w:val="24"/>
        </w:rPr>
      </w:pPr>
      <w:bookmarkStart w:id="4" w:name="_Toc69543000"/>
      <w:r w:rsidRPr="0062347D">
        <w:rPr>
          <w:rFonts w:cstheme="minorHAnsi"/>
          <w:szCs w:val="24"/>
        </w:rPr>
        <w:t>Löfgrenův syndrom</w:t>
      </w:r>
      <w:bookmarkEnd w:id="4"/>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 xml:space="preserve">Löfgrenův syndrom patří mezi akutní a specifické projevy sarkoidózy. Mezi příznaky patří oboustranně zvětšené mízní hrudní uzliny, plicní parenchym se zánětlivou infiltrací nebo bez infiltrace, horečka, erythema nodosum a artritida. Pacienti mají obvykle vyšší předpoklad k uzdravení </w:t>
      </w:r>
      <w:r w:rsidRPr="0062347D">
        <w:rPr>
          <w:rFonts w:cstheme="minorHAnsi"/>
          <w:noProof/>
          <w:sz w:val="24"/>
          <w:szCs w:val="24"/>
        </w:rPr>
        <w:t xml:space="preserve">(Grunewald </w:t>
      </w:r>
      <w:r w:rsidR="00166BDD">
        <w:rPr>
          <w:rFonts w:cstheme="minorHAnsi"/>
          <w:noProof/>
          <w:sz w:val="24"/>
          <w:szCs w:val="24"/>
        </w:rPr>
        <w:t>a</w:t>
      </w:r>
      <w:r w:rsidRPr="0062347D">
        <w:rPr>
          <w:rFonts w:cstheme="minorHAnsi"/>
          <w:noProof/>
          <w:sz w:val="24"/>
          <w:szCs w:val="24"/>
        </w:rPr>
        <w:t xml:space="preserve"> Eklund 2009)</w:t>
      </w:r>
      <w:r w:rsidRPr="0062347D">
        <w:rPr>
          <w:rFonts w:cstheme="minorHAnsi"/>
          <w:sz w:val="24"/>
          <w:szCs w:val="24"/>
        </w:rPr>
        <w:t>. Pacienti s Löfgrenovým syndromem m</w:t>
      </w:r>
      <w:r w:rsidRPr="003329E2">
        <w:rPr>
          <w:rFonts w:cstheme="minorHAnsi"/>
          <w:sz w:val="24"/>
          <w:szCs w:val="24"/>
        </w:rPr>
        <w:t xml:space="preserve">ají </w:t>
      </w:r>
      <w:r w:rsidRPr="00E663BF">
        <w:rPr>
          <w:rFonts w:cstheme="minorHAnsi"/>
          <w:sz w:val="24"/>
          <w:szCs w:val="24"/>
        </w:rPr>
        <w:t>lepší prognózu</w:t>
      </w:r>
      <w:r w:rsidRPr="004E5649">
        <w:rPr>
          <w:rFonts w:cstheme="minorHAnsi"/>
          <w:sz w:val="24"/>
          <w:szCs w:val="24"/>
        </w:rPr>
        <w:t xml:space="preserve"> v porovnání s ostatními formami. Löfgrenův syndrom bývá obvykle </w:t>
      </w:r>
      <w:r w:rsidRPr="00B24D8C">
        <w:rPr>
          <w:rFonts w:cstheme="minorHAnsi"/>
          <w:sz w:val="24"/>
          <w:szCs w:val="24"/>
        </w:rPr>
        <w:t>spojen</w:t>
      </w:r>
      <w:r w:rsidRPr="0062347D">
        <w:rPr>
          <w:rFonts w:cstheme="minorHAnsi"/>
          <w:sz w:val="24"/>
          <w:szCs w:val="24"/>
        </w:rPr>
        <w:t xml:space="preserve"> s rentgenologickým stádiem I, mnohem méně často se stádiem II a výjimečně se stádiem 0 </w:t>
      </w:r>
      <w:r w:rsidRPr="0062347D">
        <w:rPr>
          <w:rFonts w:cstheme="minorHAnsi"/>
          <w:noProof/>
          <w:sz w:val="24"/>
          <w:szCs w:val="24"/>
        </w:rPr>
        <w:t>(Vasakova, Sterclova et al. 2009)</w:t>
      </w:r>
      <w:r w:rsidRPr="0062347D">
        <w:rPr>
          <w:rFonts w:cstheme="minorHAnsi"/>
          <w:sz w:val="24"/>
          <w:szCs w:val="24"/>
        </w:rPr>
        <w:t>.</w:t>
      </w:r>
    </w:p>
    <w:p w:rsidR="008F0C0F" w:rsidRPr="004E5649" w:rsidRDefault="008F0C0F" w:rsidP="00284F89">
      <w:pPr>
        <w:pStyle w:val="Nadpis3"/>
        <w:spacing w:after="240"/>
        <w:rPr>
          <w:rFonts w:cstheme="minorHAnsi"/>
          <w:szCs w:val="24"/>
        </w:rPr>
      </w:pPr>
      <w:bookmarkStart w:id="5" w:name="_Toc69543001"/>
      <w:r w:rsidRPr="003329E2">
        <w:rPr>
          <w:rFonts w:cstheme="minorHAnsi"/>
          <w:szCs w:val="24"/>
        </w:rPr>
        <w:t xml:space="preserve">Klasifikace sarkoidózy podle nálezu na </w:t>
      </w:r>
      <w:r w:rsidRPr="00E663BF">
        <w:rPr>
          <w:rFonts w:cstheme="minorHAnsi"/>
          <w:szCs w:val="24"/>
        </w:rPr>
        <w:t xml:space="preserve">rentgenologickém </w:t>
      </w:r>
      <w:r w:rsidRPr="004E5649">
        <w:rPr>
          <w:rFonts w:cstheme="minorHAnsi"/>
          <w:szCs w:val="24"/>
        </w:rPr>
        <w:t>snímku hrudníku</w:t>
      </w:r>
      <w:bookmarkEnd w:id="5"/>
    </w:p>
    <w:p w:rsidR="008F0C0F" w:rsidRPr="0062347D" w:rsidRDefault="008F0C0F" w:rsidP="00284F89">
      <w:pPr>
        <w:spacing w:after="240" w:line="360" w:lineRule="auto"/>
        <w:ind w:firstLine="709"/>
        <w:jc w:val="both"/>
        <w:rPr>
          <w:rFonts w:cstheme="minorHAnsi"/>
          <w:sz w:val="24"/>
          <w:szCs w:val="24"/>
        </w:rPr>
      </w:pPr>
      <w:r w:rsidRPr="00B24D8C">
        <w:rPr>
          <w:rFonts w:cstheme="minorHAnsi"/>
          <w:b/>
          <w:sz w:val="24"/>
          <w:szCs w:val="24"/>
        </w:rPr>
        <w:t>Stádiu</w:t>
      </w:r>
      <w:r w:rsidRPr="0062347D">
        <w:rPr>
          <w:rFonts w:cstheme="minorHAnsi"/>
          <w:b/>
          <w:sz w:val="24"/>
          <w:szCs w:val="24"/>
        </w:rPr>
        <w:t>m 0:</w:t>
      </w:r>
      <w:r w:rsidRPr="0062347D">
        <w:rPr>
          <w:rFonts w:cstheme="minorHAnsi"/>
          <w:sz w:val="24"/>
          <w:szCs w:val="24"/>
        </w:rPr>
        <w:t xml:space="preserve"> Normální nález na snímku hrudníku. Onemocnění může být lokalizováno mimo plíce. Může se i jednat o asymptomatické stádium.</w:t>
      </w:r>
    </w:p>
    <w:p w:rsidR="008F0C0F" w:rsidRPr="0062347D" w:rsidRDefault="008F0C0F" w:rsidP="00284F89">
      <w:pPr>
        <w:spacing w:line="360" w:lineRule="auto"/>
        <w:ind w:firstLine="709"/>
        <w:jc w:val="both"/>
        <w:rPr>
          <w:rFonts w:cstheme="minorHAnsi"/>
          <w:sz w:val="24"/>
          <w:szCs w:val="24"/>
        </w:rPr>
      </w:pPr>
      <w:r w:rsidRPr="0062347D">
        <w:rPr>
          <w:rFonts w:cstheme="minorHAnsi"/>
          <w:b/>
          <w:sz w:val="24"/>
          <w:szCs w:val="24"/>
        </w:rPr>
        <w:t>Stádium I:</w:t>
      </w:r>
      <w:r w:rsidRPr="0062347D">
        <w:rPr>
          <w:rFonts w:cstheme="minorHAnsi"/>
          <w:sz w:val="24"/>
          <w:szCs w:val="24"/>
        </w:rPr>
        <w:t xml:space="preserve"> Symetrické bilaterární zvětšení hilových uzlin beze změn v plicním parenchymu. Zvětšení uzlin může být spojeno s erythema nodosum a Löfgrenovým syndromem, s plicními obtížemi nebo mimoplicní lokalizací sarkoidózy.</w:t>
      </w:r>
    </w:p>
    <w:p w:rsidR="008F0C0F" w:rsidRPr="0062347D" w:rsidRDefault="008F0C0F" w:rsidP="00284F89">
      <w:pPr>
        <w:spacing w:line="360" w:lineRule="auto"/>
        <w:ind w:firstLine="709"/>
        <w:jc w:val="both"/>
        <w:rPr>
          <w:rFonts w:cstheme="minorHAnsi"/>
          <w:sz w:val="24"/>
          <w:szCs w:val="24"/>
        </w:rPr>
      </w:pPr>
      <w:r w:rsidRPr="0062347D">
        <w:rPr>
          <w:rFonts w:cstheme="minorHAnsi"/>
          <w:b/>
          <w:sz w:val="24"/>
          <w:szCs w:val="24"/>
        </w:rPr>
        <w:t>Stádium II:</w:t>
      </w:r>
      <w:r w:rsidRPr="0062347D">
        <w:rPr>
          <w:rFonts w:cstheme="minorHAnsi"/>
          <w:sz w:val="24"/>
          <w:szCs w:val="24"/>
        </w:rPr>
        <w:t xml:space="preserve"> Jedná se o postižení plicního parenchymu s hilovou lymfadenopatií.</w:t>
      </w:r>
    </w:p>
    <w:p w:rsidR="008F0C0F" w:rsidRPr="0062347D" w:rsidRDefault="008F0C0F" w:rsidP="00284F89">
      <w:pPr>
        <w:spacing w:after="0" w:line="360" w:lineRule="auto"/>
        <w:ind w:firstLine="709"/>
        <w:jc w:val="both"/>
        <w:rPr>
          <w:rFonts w:cstheme="minorHAnsi"/>
          <w:sz w:val="24"/>
          <w:szCs w:val="24"/>
        </w:rPr>
      </w:pPr>
      <w:r w:rsidRPr="0062347D">
        <w:rPr>
          <w:rFonts w:cstheme="minorHAnsi"/>
          <w:b/>
          <w:sz w:val="24"/>
          <w:szCs w:val="24"/>
        </w:rPr>
        <w:lastRenderedPageBreak/>
        <w:t>Stádium III</w:t>
      </w:r>
      <w:r w:rsidRPr="0062347D">
        <w:rPr>
          <w:rFonts w:cstheme="minorHAnsi"/>
          <w:sz w:val="24"/>
          <w:szCs w:val="24"/>
        </w:rPr>
        <w:t>: Je spojeno s postižením plicního parenchymu bez známek zvětšení nitrohrudních uzlin.</w:t>
      </w:r>
    </w:p>
    <w:p w:rsidR="008F0C0F" w:rsidRPr="0062347D" w:rsidRDefault="008F0C0F" w:rsidP="00284F89">
      <w:pPr>
        <w:spacing w:after="0" w:line="360" w:lineRule="auto"/>
        <w:ind w:firstLine="709"/>
        <w:jc w:val="both"/>
        <w:rPr>
          <w:rFonts w:cstheme="minorHAnsi"/>
          <w:sz w:val="24"/>
          <w:szCs w:val="24"/>
        </w:rPr>
      </w:pPr>
      <w:r w:rsidRPr="0062347D">
        <w:rPr>
          <w:rFonts w:cstheme="minorHAnsi"/>
          <w:b/>
          <w:sz w:val="24"/>
          <w:szCs w:val="24"/>
        </w:rPr>
        <w:t>Stádium IV:</w:t>
      </w:r>
      <w:r w:rsidRPr="0062347D">
        <w:rPr>
          <w:rFonts w:cstheme="minorHAnsi"/>
          <w:sz w:val="24"/>
          <w:szCs w:val="24"/>
        </w:rPr>
        <w:t xml:space="preserve"> Je spojeno s fibrotickými změnami v plicním parenchymu. Změny jsou ireverzibilní </w:t>
      </w:r>
      <w:r w:rsidRPr="0062347D">
        <w:rPr>
          <w:rFonts w:cstheme="minorHAnsi"/>
          <w:noProof/>
          <w:sz w:val="24"/>
          <w:szCs w:val="24"/>
        </w:rPr>
        <w:t>(Hu</w:t>
      </w:r>
      <w:r w:rsidR="00946F2D">
        <w:rPr>
          <w:rFonts w:cstheme="minorHAnsi"/>
          <w:noProof/>
          <w:sz w:val="24"/>
          <w:szCs w:val="24"/>
        </w:rPr>
        <w:t xml:space="preserve">nninghake, Costabel et al. 1999; </w:t>
      </w:r>
      <w:r w:rsidRPr="0062347D">
        <w:rPr>
          <w:rFonts w:cstheme="minorHAnsi"/>
          <w:noProof/>
          <w:sz w:val="24"/>
          <w:szCs w:val="24"/>
        </w:rPr>
        <w:t>Kolek, Žůrková et al. 2019)</w:t>
      </w:r>
      <w:r w:rsidRPr="0062347D">
        <w:rPr>
          <w:rFonts w:cstheme="minorHAnsi"/>
          <w:sz w:val="24"/>
          <w:szCs w:val="24"/>
        </w:rPr>
        <w:t>.</w:t>
      </w:r>
    </w:p>
    <w:p w:rsidR="008F0C0F" w:rsidRPr="004E5649" w:rsidRDefault="008F0C0F" w:rsidP="00284F89">
      <w:pPr>
        <w:pStyle w:val="Nadpis2"/>
        <w:spacing w:after="240"/>
        <w:rPr>
          <w:rFonts w:cstheme="minorHAnsi"/>
          <w:szCs w:val="24"/>
        </w:rPr>
      </w:pPr>
      <w:bookmarkStart w:id="6" w:name="_Toc69543002"/>
      <w:r w:rsidRPr="003329E2">
        <w:rPr>
          <w:rFonts w:cstheme="minorHAnsi"/>
          <w:szCs w:val="24"/>
        </w:rPr>
        <w:t>Další i</w:t>
      </w:r>
      <w:r w:rsidRPr="00E663BF">
        <w:rPr>
          <w:rFonts w:cstheme="minorHAnsi"/>
          <w:szCs w:val="24"/>
        </w:rPr>
        <w:t>ntersticiální plicní procesy</w:t>
      </w:r>
      <w:bookmarkEnd w:id="6"/>
    </w:p>
    <w:p w:rsidR="008F0C0F" w:rsidRPr="0062347D" w:rsidRDefault="008F0C0F" w:rsidP="00284F89">
      <w:pPr>
        <w:spacing w:line="360" w:lineRule="auto"/>
        <w:ind w:firstLine="708"/>
        <w:jc w:val="both"/>
        <w:rPr>
          <w:rFonts w:cstheme="minorHAnsi"/>
          <w:sz w:val="24"/>
          <w:szCs w:val="24"/>
        </w:rPr>
      </w:pPr>
      <w:r w:rsidRPr="00B24D8C">
        <w:rPr>
          <w:rFonts w:cstheme="minorHAnsi"/>
          <w:sz w:val="24"/>
          <w:szCs w:val="24"/>
        </w:rPr>
        <w:t>Intersticiální plicní procesy jsou nesourodou skupinou onemocnění postihující</w:t>
      </w:r>
      <w:r w:rsidRPr="0062347D">
        <w:rPr>
          <w:rFonts w:cstheme="minorHAnsi"/>
          <w:sz w:val="24"/>
          <w:szCs w:val="24"/>
        </w:rPr>
        <w:t xml:space="preserve">ch plicní intersticium, což je prostor mezi plicními kapilárami a stěnou plicních sklípků, který je vyplněn elastickým pojivem </w:t>
      </w:r>
      <w:r w:rsidRPr="0062347D">
        <w:rPr>
          <w:rFonts w:cstheme="minorHAnsi"/>
          <w:noProof/>
          <w:sz w:val="24"/>
          <w:szCs w:val="24"/>
        </w:rPr>
        <w:t>(Vašáková 2010)</w:t>
      </w:r>
      <w:r w:rsidRPr="0062347D">
        <w:rPr>
          <w:rFonts w:cstheme="minorHAnsi"/>
          <w:sz w:val="24"/>
          <w:szCs w:val="24"/>
        </w:rPr>
        <w:t>. Mezi další intersticiální</w:t>
      </w:r>
      <w:r w:rsidRPr="003329E2">
        <w:rPr>
          <w:rFonts w:cstheme="minorHAnsi"/>
          <w:sz w:val="24"/>
          <w:szCs w:val="24"/>
        </w:rPr>
        <w:t xml:space="preserve"> plicní</w:t>
      </w:r>
      <w:r w:rsidRPr="00E663BF">
        <w:rPr>
          <w:rFonts w:cstheme="minorHAnsi"/>
          <w:sz w:val="24"/>
          <w:szCs w:val="24"/>
        </w:rPr>
        <w:t xml:space="preserve"> procesy patří</w:t>
      </w:r>
      <w:r w:rsidRPr="004E5649">
        <w:rPr>
          <w:rFonts w:cstheme="minorHAnsi"/>
          <w:sz w:val="24"/>
          <w:szCs w:val="24"/>
        </w:rPr>
        <w:t xml:space="preserve"> idiopatické intersticiální pneumonie (IIP).</w:t>
      </w:r>
      <w:r w:rsidRPr="00B24D8C">
        <w:rPr>
          <w:rFonts w:cstheme="minorHAnsi"/>
          <w:sz w:val="24"/>
          <w:szCs w:val="24"/>
        </w:rPr>
        <w:t xml:space="preserve"> </w:t>
      </w:r>
      <w:r w:rsidRPr="0062347D">
        <w:rPr>
          <w:rFonts w:cstheme="minorHAnsi"/>
          <w:sz w:val="24"/>
          <w:szCs w:val="24"/>
        </w:rPr>
        <w:t xml:space="preserve">Mezi hlavní IIP patří idiopatická plicní fibróza (IPF), idiopatická nespecifická intersticiální pneumonie, respirační bronchiolitida, deskvamativní intersticiální pneumonie a kryptogenní organizující pneumonie. Dále jsou rozeznávány vzácné formy IIP, jako je například lymfoidní intersticiální pneumonie </w:t>
      </w:r>
      <w:r w:rsidRPr="0062347D">
        <w:rPr>
          <w:rFonts w:cstheme="minorHAnsi"/>
          <w:noProof/>
          <w:sz w:val="24"/>
          <w:szCs w:val="24"/>
        </w:rPr>
        <w:t>(Antoniou, Margaritopoulos et al. 2014)</w:t>
      </w:r>
      <w:r w:rsidRPr="0062347D">
        <w:rPr>
          <w:rFonts w:cstheme="minorHAnsi"/>
          <w:sz w:val="24"/>
          <w:szCs w:val="24"/>
        </w:rPr>
        <w:t xml:space="preserve">. Některé případy intersticiálních plicních onemocnění zůstávají neklasifikovány i navzdory multidisciplinárním diagnostickým přístupům </w:t>
      </w:r>
      <w:r w:rsidRPr="0062347D">
        <w:rPr>
          <w:rFonts w:cstheme="minorHAnsi"/>
          <w:noProof/>
          <w:sz w:val="24"/>
          <w:szCs w:val="24"/>
        </w:rPr>
        <w:t xml:space="preserve">(Wallis </w:t>
      </w:r>
      <w:r w:rsidR="00166BDD">
        <w:rPr>
          <w:rFonts w:cstheme="minorHAnsi"/>
          <w:noProof/>
          <w:sz w:val="24"/>
          <w:szCs w:val="24"/>
        </w:rPr>
        <w:t>a</w:t>
      </w:r>
      <w:r w:rsidR="00946F2D">
        <w:rPr>
          <w:rFonts w:cstheme="minorHAnsi"/>
          <w:noProof/>
          <w:sz w:val="24"/>
          <w:szCs w:val="24"/>
        </w:rPr>
        <w:t xml:space="preserve"> Spinks 2015;</w:t>
      </w:r>
      <w:r w:rsidRPr="0062347D">
        <w:rPr>
          <w:rFonts w:cstheme="minorHAnsi"/>
          <w:noProof/>
          <w:sz w:val="24"/>
          <w:szCs w:val="24"/>
        </w:rPr>
        <w:t xml:space="preserve"> Skolnik </w:t>
      </w:r>
      <w:r w:rsidR="00166BDD">
        <w:rPr>
          <w:rFonts w:cstheme="minorHAnsi"/>
          <w:noProof/>
          <w:sz w:val="24"/>
          <w:szCs w:val="24"/>
        </w:rPr>
        <w:t>a</w:t>
      </w:r>
      <w:r w:rsidR="00946F2D">
        <w:rPr>
          <w:rFonts w:cstheme="minorHAnsi"/>
          <w:noProof/>
          <w:sz w:val="24"/>
          <w:szCs w:val="24"/>
        </w:rPr>
        <w:t xml:space="preserve"> Ryerson 2016;</w:t>
      </w:r>
      <w:r w:rsidRPr="0062347D">
        <w:rPr>
          <w:rFonts w:cstheme="minorHAnsi"/>
          <w:noProof/>
          <w:sz w:val="24"/>
          <w:szCs w:val="24"/>
        </w:rPr>
        <w:t xml:space="preserve"> Kalchiem-Dekel, Galvin et al. 2018)</w:t>
      </w:r>
      <w:r w:rsidRPr="0062347D">
        <w:rPr>
          <w:rFonts w:cstheme="minorHAnsi"/>
          <w:sz w:val="24"/>
          <w:szCs w:val="24"/>
        </w:rPr>
        <w:t>.</w:t>
      </w:r>
    </w:p>
    <w:p w:rsidR="008F0C0F" w:rsidRPr="00E663BF" w:rsidRDefault="008F0C0F" w:rsidP="00284F89">
      <w:pPr>
        <w:pStyle w:val="Nadpis3"/>
        <w:spacing w:after="240"/>
        <w:rPr>
          <w:rFonts w:cstheme="minorHAnsi"/>
          <w:szCs w:val="24"/>
        </w:rPr>
      </w:pPr>
      <w:bookmarkStart w:id="7" w:name="_Toc69543003"/>
      <w:r w:rsidRPr="003329E2">
        <w:rPr>
          <w:rFonts w:cstheme="minorHAnsi"/>
          <w:szCs w:val="24"/>
        </w:rPr>
        <w:t>Idiopatická plicní fibróza</w:t>
      </w:r>
      <w:bookmarkEnd w:id="7"/>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Idiopatická plicní fibróza (IPF) je nejběžnějším onemocněním ze skupiny interstici</w:t>
      </w:r>
      <w:r w:rsidRPr="00B24D8C">
        <w:rPr>
          <w:rFonts w:cstheme="minorHAnsi"/>
          <w:sz w:val="24"/>
          <w:szCs w:val="24"/>
        </w:rPr>
        <w:t>á</w:t>
      </w:r>
      <w:r w:rsidRPr="0062347D">
        <w:rPr>
          <w:rFonts w:cstheme="minorHAnsi"/>
          <w:sz w:val="24"/>
          <w:szCs w:val="24"/>
        </w:rPr>
        <w:t xml:space="preserve">lních plicních nemocí. Příčina vzniku je neznámá. Onemocnění má špatný dlouhodobý výhled pro uzdravení a nízkou terapeutickou odpověď </w:t>
      </w:r>
      <w:r w:rsidRPr="0062347D">
        <w:rPr>
          <w:rFonts w:cstheme="minorHAnsi"/>
          <w:noProof/>
          <w:sz w:val="24"/>
          <w:szCs w:val="24"/>
        </w:rPr>
        <w:t>(Kalchiem-Dekel, Galvin et al. 2018)</w:t>
      </w:r>
      <w:r w:rsidRPr="0062347D">
        <w:rPr>
          <w:rFonts w:cstheme="minorHAnsi"/>
          <w:sz w:val="24"/>
          <w:szCs w:val="24"/>
        </w:rPr>
        <w:t>. IPF je jednou z nejagresivnějších forem idiopatických intersticiálních pneumonií. J</w:t>
      </w:r>
      <w:r w:rsidRPr="003329E2">
        <w:rPr>
          <w:rFonts w:cstheme="minorHAnsi"/>
          <w:sz w:val="24"/>
          <w:szCs w:val="24"/>
        </w:rPr>
        <w:t>e charakterizovaná</w:t>
      </w:r>
      <w:r w:rsidRPr="00E663BF">
        <w:rPr>
          <w:rFonts w:cstheme="minorHAnsi"/>
          <w:sz w:val="24"/>
          <w:szCs w:val="24"/>
        </w:rPr>
        <w:t xml:space="preserve"> progresivní fibrózou s neúprosným poklesem plicních funkcí, následným respiračním selháním a úmrtím </w:t>
      </w:r>
      <w:r w:rsidRPr="0062347D">
        <w:rPr>
          <w:rFonts w:cstheme="minorHAnsi"/>
          <w:noProof/>
          <w:sz w:val="24"/>
          <w:szCs w:val="24"/>
        </w:rPr>
        <w:t>(Barratt, Creamer et al. 2018)</w:t>
      </w:r>
      <w:r w:rsidRPr="0062347D">
        <w:rPr>
          <w:rFonts w:cstheme="minorHAnsi"/>
          <w:sz w:val="24"/>
          <w:szCs w:val="24"/>
        </w:rPr>
        <w:t>. Mezi klinické projevy IPF patří v průběhu času se zhoršuj</w:t>
      </w:r>
      <w:r w:rsidRPr="003329E2">
        <w:rPr>
          <w:rFonts w:cstheme="minorHAnsi"/>
          <w:sz w:val="24"/>
          <w:szCs w:val="24"/>
        </w:rPr>
        <w:t>ící námahová a klidová dušnost,</w:t>
      </w:r>
      <w:r w:rsidRPr="00E663BF">
        <w:rPr>
          <w:rFonts w:cstheme="minorHAnsi"/>
          <w:sz w:val="24"/>
          <w:szCs w:val="24"/>
        </w:rPr>
        <w:t xml:space="preserve"> dále</w:t>
      </w:r>
      <w:r w:rsidRPr="004E5649">
        <w:rPr>
          <w:rFonts w:cstheme="minorHAnsi"/>
          <w:sz w:val="24"/>
          <w:szCs w:val="24"/>
        </w:rPr>
        <w:t xml:space="preserve"> únava a kašel. V pozdějším stádiu nastupuje hypoxe</w:t>
      </w:r>
      <w:r w:rsidRPr="00B24D8C">
        <w:rPr>
          <w:rFonts w:cstheme="minorHAnsi"/>
          <w:sz w:val="24"/>
          <w:szCs w:val="24"/>
        </w:rPr>
        <w:t>mie i cyanóza. U některých pacientů může být fenotypovým projevem</w:t>
      </w:r>
      <w:r w:rsidRPr="0062347D">
        <w:rPr>
          <w:rFonts w:cstheme="minorHAnsi"/>
          <w:sz w:val="24"/>
          <w:szCs w:val="24"/>
        </w:rPr>
        <w:t xml:space="preserve"> vznik paličkovitých prstů. V plicích je typické zmnožení neutrofilních granulocytů s menším množstvím eozinofilů. Lymfocyty jsou zvýšeny minimálně </w:t>
      </w:r>
      <w:r w:rsidRPr="0062347D">
        <w:rPr>
          <w:rFonts w:cstheme="minorHAnsi"/>
          <w:noProof/>
          <w:sz w:val="24"/>
          <w:szCs w:val="24"/>
        </w:rPr>
        <w:t>(Vašáková 2015)</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Prevalence a incidence IPF je závislá na použitých diagnostických postupech a</w:t>
      </w:r>
      <w:r>
        <w:rPr>
          <w:rFonts w:cstheme="minorHAnsi"/>
          <w:sz w:val="24"/>
          <w:szCs w:val="24"/>
        </w:rPr>
        <w:t> </w:t>
      </w:r>
      <w:r w:rsidRPr="003329E2">
        <w:rPr>
          <w:rFonts w:cstheme="minorHAnsi"/>
          <w:sz w:val="24"/>
          <w:szCs w:val="24"/>
        </w:rPr>
        <w:t>zkoumané populaci. Prevalence IPF v USA je odh</w:t>
      </w:r>
      <w:r w:rsidRPr="004E5649">
        <w:rPr>
          <w:rFonts w:cstheme="minorHAnsi"/>
          <w:sz w:val="24"/>
          <w:szCs w:val="24"/>
        </w:rPr>
        <w:t>adována mezi 14 až 27,4 případů na 100 000 obyvatel a v Evropě se prevalence IPF pohybuje mezi 1,25 až 23,4 případů</w:t>
      </w:r>
      <w:r w:rsidRPr="00B24D8C">
        <w:rPr>
          <w:rFonts w:cstheme="minorHAnsi"/>
          <w:sz w:val="24"/>
          <w:szCs w:val="24"/>
        </w:rPr>
        <w:t xml:space="preserve"> nemocných na 100 000 obyvatel. Roční incidence IPF se v USA pohybuje mezi 6,8 až 8,8 postižených IPF</w:t>
      </w:r>
      <w:r w:rsidRPr="0062347D">
        <w:rPr>
          <w:rFonts w:cstheme="minorHAnsi"/>
          <w:sz w:val="24"/>
          <w:szCs w:val="24"/>
        </w:rPr>
        <w:t xml:space="preserve"> na 100 000 a v Evropě mezi 0,22 a 7,4 případů na 100 000 obyvatel. </w:t>
      </w:r>
      <w:r w:rsidRPr="0062347D">
        <w:rPr>
          <w:rFonts w:cstheme="minorHAnsi"/>
          <w:sz w:val="24"/>
          <w:szCs w:val="24"/>
        </w:rPr>
        <w:lastRenderedPageBreak/>
        <w:t xml:space="preserve">Incidence a prevalence se zvyšuje s věkem, je častější u mužů </w:t>
      </w:r>
      <w:r w:rsidRPr="0062347D">
        <w:rPr>
          <w:rFonts w:cstheme="minorHAnsi"/>
          <w:noProof/>
          <w:sz w:val="24"/>
          <w:szCs w:val="24"/>
        </w:rPr>
        <w:t>(Nalysnyk, Cid-Ruzafa et al. 2012)</w:t>
      </w:r>
      <w:r w:rsidRPr="0062347D">
        <w:rPr>
          <w:rFonts w:cstheme="minorHAnsi"/>
          <w:sz w:val="24"/>
          <w:szCs w:val="24"/>
        </w:rPr>
        <w:t>. V České republice se incid</w:t>
      </w:r>
      <w:r w:rsidRPr="003329E2">
        <w:rPr>
          <w:rFonts w:cstheme="minorHAnsi"/>
          <w:sz w:val="24"/>
          <w:szCs w:val="24"/>
        </w:rPr>
        <w:t>ence hlášené I</w:t>
      </w:r>
      <w:r w:rsidRPr="00E663BF">
        <w:rPr>
          <w:rFonts w:cstheme="minorHAnsi"/>
          <w:sz w:val="24"/>
          <w:szCs w:val="24"/>
        </w:rPr>
        <w:t xml:space="preserve">PF pohybuje nad 1 případ na </w:t>
      </w:r>
      <w:r w:rsidRPr="004E5649">
        <w:rPr>
          <w:rFonts w:cstheme="minorHAnsi"/>
          <w:sz w:val="24"/>
          <w:szCs w:val="24"/>
        </w:rPr>
        <w:t xml:space="preserve">100 000 obyvatel ročně, prevalence nad 10 případů na 100 000 obyvatel </w:t>
      </w:r>
      <w:r w:rsidRPr="0062347D">
        <w:rPr>
          <w:rFonts w:cstheme="minorHAnsi"/>
          <w:noProof/>
          <w:sz w:val="24"/>
          <w:szCs w:val="24"/>
        </w:rPr>
        <w:t>(Vašáková 2010)</w:t>
      </w:r>
      <w:r w:rsidRPr="0062347D">
        <w:rPr>
          <w:rFonts w:cstheme="minorHAnsi"/>
          <w:sz w:val="24"/>
          <w:szCs w:val="24"/>
        </w:rPr>
        <w:t>.</w:t>
      </w:r>
    </w:p>
    <w:p w:rsidR="008F0C0F" w:rsidRPr="00E663BF" w:rsidRDefault="008F0C0F" w:rsidP="00284F89">
      <w:pPr>
        <w:pStyle w:val="Nadpis3"/>
        <w:spacing w:after="240"/>
        <w:rPr>
          <w:rFonts w:cstheme="minorHAnsi"/>
          <w:szCs w:val="24"/>
        </w:rPr>
      </w:pPr>
      <w:bookmarkStart w:id="8" w:name="_Toc69543004"/>
      <w:r w:rsidRPr="003329E2">
        <w:rPr>
          <w:rFonts w:cstheme="minorHAnsi"/>
          <w:szCs w:val="24"/>
        </w:rPr>
        <w:t>Hypersenzitivní pneumonie</w:t>
      </w:r>
      <w:bookmarkEnd w:id="8"/>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 xml:space="preserve">Hypersenzitivní pneumonie se může rozvinout po imunologicky indukovaném zánětu plicního parenchymu zasahujícího alveoly, terminální bronchy a intersticium. Nejběžnějšími agens způsobujícími hypersenzitivní pneumonii jsou antigeny mikrobiální a ptačí. Tyto antigeny s určitým nastavením genetického pozadí </w:t>
      </w:r>
      <w:r w:rsidRPr="00B24D8C">
        <w:rPr>
          <w:rFonts w:cstheme="minorHAnsi"/>
          <w:sz w:val="24"/>
          <w:szCs w:val="24"/>
        </w:rPr>
        <w:t>mohou</w:t>
      </w:r>
      <w:r w:rsidRPr="0062347D">
        <w:rPr>
          <w:rFonts w:cstheme="minorHAnsi"/>
          <w:sz w:val="24"/>
          <w:szCs w:val="24"/>
        </w:rPr>
        <w:t xml:space="preserve"> přispět k rozvoji plicního zánětu. Akutní HP se vyznačuje zvýšením neutrofilů v plicích, u chronické HP dochází k aktivaci T-buněčné imunitní odpovědi</w:t>
      </w:r>
      <w:r>
        <w:rPr>
          <w:rFonts w:cstheme="minorHAnsi"/>
          <w:sz w:val="24"/>
          <w:szCs w:val="24"/>
        </w:rPr>
        <w:t xml:space="preserve"> a</w:t>
      </w:r>
      <w:r w:rsidRPr="0062347D">
        <w:rPr>
          <w:rFonts w:cstheme="minorHAnsi"/>
          <w:sz w:val="24"/>
          <w:szCs w:val="24"/>
        </w:rPr>
        <w:t xml:space="preserve"> rozvoji tzv. T-lymfocytární alveolitidy </w:t>
      </w:r>
      <w:r w:rsidRPr="0062347D">
        <w:rPr>
          <w:rFonts w:cstheme="minorHAnsi"/>
          <w:noProof/>
          <w:sz w:val="24"/>
          <w:szCs w:val="24"/>
        </w:rPr>
        <w:t>(Spagnolo, Rossi et al. 2015)</w:t>
      </w:r>
      <w:r w:rsidRPr="0062347D">
        <w:rPr>
          <w:rFonts w:cstheme="minorHAnsi"/>
          <w:sz w:val="24"/>
          <w:szCs w:val="24"/>
        </w:rPr>
        <w:t>. Současná literatura naznačuje, že poměr CD4</w:t>
      </w:r>
      <w:r w:rsidRPr="0062347D">
        <w:rPr>
          <w:rFonts w:eastAsia="Times New Roman" w:cstheme="minorHAnsi"/>
          <w:color w:val="000000"/>
          <w:sz w:val="24"/>
          <w:szCs w:val="24"/>
          <w:vertAlign w:val="superscript"/>
          <w:lang w:eastAsia="en-GB"/>
        </w:rPr>
        <w:t>+</w:t>
      </w:r>
      <w:r w:rsidRPr="0062347D">
        <w:rPr>
          <w:rFonts w:cstheme="minorHAnsi"/>
          <w:sz w:val="24"/>
          <w:szCs w:val="24"/>
        </w:rPr>
        <w:t>/CD8</w:t>
      </w:r>
      <w:r w:rsidRPr="003329E2">
        <w:rPr>
          <w:rFonts w:eastAsia="Times New Roman" w:cstheme="minorHAnsi"/>
          <w:color w:val="000000"/>
          <w:sz w:val="24"/>
          <w:szCs w:val="24"/>
          <w:vertAlign w:val="superscript"/>
          <w:lang w:eastAsia="en-GB"/>
        </w:rPr>
        <w:t>+</w:t>
      </w:r>
      <w:r w:rsidRPr="00E663BF">
        <w:rPr>
          <w:rFonts w:cstheme="minorHAnsi"/>
          <w:sz w:val="24"/>
          <w:szCs w:val="24"/>
        </w:rPr>
        <w:t xml:space="preserve"> T-lymfocytů může být u pacientů s HP značně variabilní v</w:t>
      </w:r>
      <w:r w:rsidRPr="004E5649">
        <w:rPr>
          <w:rFonts w:cstheme="minorHAnsi"/>
          <w:sz w:val="24"/>
          <w:szCs w:val="24"/>
        </w:rPr>
        <w:t xml:space="preserve"> závislosti na době od poslední expozice </w:t>
      </w:r>
      <w:r w:rsidRPr="0062347D">
        <w:rPr>
          <w:rFonts w:cstheme="minorHAnsi"/>
          <w:noProof/>
          <w:sz w:val="24"/>
          <w:szCs w:val="24"/>
        </w:rPr>
        <w:t>(T</w:t>
      </w:r>
      <w:r w:rsidR="00A65D5B">
        <w:rPr>
          <w:rFonts w:cstheme="minorHAnsi"/>
          <w:noProof/>
          <w:sz w:val="24"/>
          <w:szCs w:val="24"/>
        </w:rPr>
        <w:t xml:space="preserve">rentin, Marcer et al. 1988; </w:t>
      </w:r>
      <w:r w:rsidRPr="0062347D">
        <w:rPr>
          <w:rFonts w:cstheme="minorHAnsi"/>
          <w:noProof/>
          <w:sz w:val="24"/>
          <w:szCs w:val="24"/>
        </w:rPr>
        <w:t>Drent, van Velzen-Blad et al. 1993)</w:t>
      </w:r>
      <w:r w:rsidRPr="0062347D">
        <w:rPr>
          <w:rFonts w:cstheme="minorHAnsi"/>
          <w:sz w:val="24"/>
          <w:szCs w:val="24"/>
        </w:rPr>
        <w:t xml:space="preserve">, povaze </w:t>
      </w:r>
      <w:r>
        <w:rPr>
          <w:rFonts w:cstheme="minorHAnsi"/>
          <w:sz w:val="24"/>
          <w:szCs w:val="24"/>
        </w:rPr>
        <w:t>případně</w:t>
      </w:r>
      <w:r w:rsidRPr="0062347D">
        <w:rPr>
          <w:rFonts w:cstheme="minorHAnsi"/>
          <w:sz w:val="24"/>
          <w:szCs w:val="24"/>
        </w:rPr>
        <w:t xml:space="preserve"> dávce antigenu </w:t>
      </w:r>
      <w:r w:rsidRPr="0062347D">
        <w:rPr>
          <w:rFonts w:cstheme="minorHAnsi"/>
          <w:noProof/>
          <w:sz w:val="24"/>
          <w:szCs w:val="24"/>
        </w:rPr>
        <w:t>(Ando, Konishi et al. 1991)</w:t>
      </w:r>
      <w:r w:rsidRPr="0062347D">
        <w:rPr>
          <w:rFonts w:cstheme="minorHAnsi"/>
          <w:sz w:val="24"/>
          <w:szCs w:val="24"/>
        </w:rPr>
        <w:t>. Prevalence onemocnění se dosti mění. Je různá mezi zeměmi a</w:t>
      </w:r>
      <w:r w:rsidRPr="003329E2">
        <w:rPr>
          <w:rFonts w:cstheme="minorHAnsi"/>
          <w:sz w:val="24"/>
          <w:szCs w:val="24"/>
        </w:rPr>
        <w:t xml:space="preserve"> </w:t>
      </w:r>
      <w:r w:rsidRPr="00E663BF">
        <w:rPr>
          <w:rFonts w:cstheme="minorHAnsi"/>
          <w:sz w:val="24"/>
          <w:szCs w:val="24"/>
        </w:rPr>
        <w:t>j</w:t>
      </w:r>
      <w:r w:rsidRPr="004E5649">
        <w:rPr>
          <w:rFonts w:cstheme="minorHAnsi"/>
          <w:sz w:val="24"/>
          <w:szCs w:val="24"/>
        </w:rPr>
        <w:t xml:space="preserve">e ovlivněná klimatickými faktory, různými pracovními podmínkami a kouřením </w:t>
      </w:r>
      <w:r w:rsidRPr="0062347D">
        <w:rPr>
          <w:rFonts w:cstheme="minorHAnsi"/>
          <w:noProof/>
          <w:sz w:val="24"/>
          <w:szCs w:val="24"/>
        </w:rPr>
        <w:t>(Bourke, Dalphin et al. 2001)</w:t>
      </w:r>
      <w:r w:rsidRPr="0062347D">
        <w:rPr>
          <w:rFonts w:cstheme="minorHAnsi"/>
          <w:sz w:val="24"/>
          <w:szCs w:val="24"/>
        </w:rPr>
        <w:t>.</w:t>
      </w:r>
    </w:p>
    <w:p w:rsidR="008F0C0F" w:rsidRPr="00E663BF" w:rsidRDefault="008F0C0F" w:rsidP="00284F89">
      <w:pPr>
        <w:pStyle w:val="Nadpis2"/>
        <w:spacing w:after="240"/>
      </w:pPr>
      <w:bookmarkStart w:id="9" w:name="_Toc69543005"/>
      <w:r w:rsidRPr="003329E2">
        <w:t>Obstrukční plicní onemocnění</w:t>
      </w:r>
      <w:bookmarkEnd w:id="9"/>
    </w:p>
    <w:p w:rsidR="008F0C0F" w:rsidRPr="0062347D" w:rsidRDefault="008F0C0F" w:rsidP="00284F89">
      <w:pPr>
        <w:tabs>
          <w:tab w:val="left" w:pos="709"/>
        </w:tabs>
        <w:spacing w:line="360" w:lineRule="auto"/>
        <w:jc w:val="both"/>
        <w:rPr>
          <w:sz w:val="24"/>
          <w:szCs w:val="24"/>
        </w:rPr>
      </w:pPr>
      <w:r w:rsidRPr="004E5649">
        <w:tab/>
      </w:r>
      <w:r w:rsidR="00907314" w:rsidRPr="00907314">
        <w:rPr>
          <w:sz w:val="24"/>
          <w:szCs w:val="24"/>
        </w:rPr>
        <w:t>Bronchiální</w:t>
      </w:r>
      <w:r w:rsidR="00907314">
        <w:t xml:space="preserve"> </w:t>
      </w:r>
      <w:r w:rsidR="00907314">
        <w:rPr>
          <w:sz w:val="24"/>
          <w:szCs w:val="24"/>
        </w:rPr>
        <w:t>a</w:t>
      </w:r>
      <w:r w:rsidRPr="004E5649">
        <w:rPr>
          <w:sz w:val="24"/>
          <w:szCs w:val="24"/>
        </w:rPr>
        <w:t>stma a chronická obstrukční nemoc (CHOPN) jsou chronická obstrukční plicní onemocnění postihující dýchací systém chronickým zánětem. Obě onemocnění jsou charakterizována obstrukcí, zúžením dýchacích cest, které je reverzibilní u astmatu a</w:t>
      </w:r>
      <w:r>
        <w:rPr>
          <w:sz w:val="24"/>
          <w:szCs w:val="24"/>
        </w:rPr>
        <w:t> </w:t>
      </w:r>
      <w:r w:rsidRPr="004E5649">
        <w:rPr>
          <w:sz w:val="24"/>
          <w:szCs w:val="24"/>
        </w:rPr>
        <w:t>u</w:t>
      </w:r>
      <w:r>
        <w:rPr>
          <w:sz w:val="24"/>
          <w:szCs w:val="24"/>
        </w:rPr>
        <w:t> </w:t>
      </w:r>
      <w:r w:rsidRPr="0062347D">
        <w:rPr>
          <w:sz w:val="24"/>
          <w:szCs w:val="24"/>
        </w:rPr>
        <w:t>CHOPN je progresivní a ireverzibilní. U obou onemocnění dochází k rozvoji chronického zánětu, který je řízen zvýšenou expresí mnoha zánětlivých proteinů, zahrnující</w:t>
      </w:r>
      <w:r>
        <w:rPr>
          <w:sz w:val="24"/>
          <w:szCs w:val="24"/>
        </w:rPr>
        <w:t>c</w:t>
      </w:r>
      <w:r w:rsidRPr="0062347D">
        <w:rPr>
          <w:sz w:val="24"/>
          <w:szCs w:val="24"/>
        </w:rPr>
        <w:t xml:space="preserve">h cytokiny, chemokiny, zánětlivé enzymy a receptory. Onemocnění jsou provázena akutními zhoršeními, exacerbacemi, kdy intenzita zánětu stoupá </w:t>
      </w:r>
      <w:r w:rsidRPr="0062347D">
        <w:rPr>
          <w:noProof/>
          <w:sz w:val="24"/>
          <w:szCs w:val="24"/>
        </w:rPr>
        <w:t>(Barnes 2008)</w:t>
      </w:r>
      <w:r w:rsidR="00415F8D">
        <w:rPr>
          <w:noProof/>
          <w:sz w:val="24"/>
          <w:szCs w:val="24"/>
        </w:rPr>
        <w:t>.</w:t>
      </w:r>
    </w:p>
    <w:p w:rsidR="008F0C0F" w:rsidRPr="004E5649" w:rsidRDefault="008F0C0F" w:rsidP="00284F89">
      <w:pPr>
        <w:pStyle w:val="Nadpis3"/>
        <w:spacing w:after="240"/>
      </w:pPr>
      <w:bookmarkStart w:id="10" w:name="_Toc69543006"/>
      <w:r w:rsidRPr="003329E2">
        <w:t xml:space="preserve">Chronická </w:t>
      </w:r>
      <w:r w:rsidRPr="00E663BF">
        <w:t xml:space="preserve">obstrukční </w:t>
      </w:r>
      <w:r w:rsidRPr="004E5649">
        <w:t>plicní nemoc</w:t>
      </w:r>
      <w:bookmarkEnd w:id="10"/>
      <w:r w:rsidRPr="004E5649">
        <w:t xml:space="preserve"> </w:t>
      </w:r>
    </w:p>
    <w:p w:rsidR="008F0C0F" w:rsidRPr="0062347D" w:rsidRDefault="008F0C0F" w:rsidP="00284F89">
      <w:pPr>
        <w:spacing w:after="240" w:line="360" w:lineRule="auto"/>
        <w:ind w:firstLine="709"/>
        <w:jc w:val="both"/>
        <w:rPr>
          <w:rFonts w:cstheme="minorHAnsi"/>
          <w:sz w:val="24"/>
          <w:szCs w:val="24"/>
        </w:rPr>
      </w:pPr>
      <w:r w:rsidRPr="004E5649">
        <w:rPr>
          <w:rFonts w:cstheme="minorHAnsi"/>
          <w:sz w:val="24"/>
          <w:szCs w:val="24"/>
        </w:rPr>
        <w:t>Chronická plicní obstrukční nemoc (CHOPN) je v současné době čtvrtou nejčastější příčinou úmrtí na světě a v roce 2020 by se mohla stát třetí nejčastější příčinou úmrtí. V roce 2012 zemřely</w:t>
      </w:r>
      <w:r w:rsidRPr="00B24D8C">
        <w:rPr>
          <w:rFonts w:cstheme="minorHAnsi"/>
          <w:sz w:val="24"/>
          <w:szCs w:val="24"/>
        </w:rPr>
        <w:t xml:space="preserve"> na CHOPN více než tři miliony lidí, což t</w:t>
      </w:r>
      <w:r w:rsidRPr="0062347D">
        <w:rPr>
          <w:rFonts w:cstheme="minorHAnsi"/>
          <w:sz w:val="24"/>
          <w:szCs w:val="24"/>
        </w:rPr>
        <w:t xml:space="preserve">voří 6 % z celkově globálně zemřelých. CHOPN představuje nemoc léčitelnou a preventivními přístupy jí lze v mnoha případech zabránit </w:t>
      </w:r>
      <w:r w:rsidRPr="0062347D">
        <w:rPr>
          <w:rFonts w:cstheme="minorHAnsi"/>
          <w:noProof/>
          <w:sz w:val="24"/>
          <w:szCs w:val="24"/>
        </w:rPr>
        <w:t>(Augusti, Beasley et al. 2020)</w:t>
      </w:r>
      <w:r w:rsidRPr="0062347D">
        <w:rPr>
          <w:rFonts w:cstheme="minorHAnsi"/>
          <w:sz w:val="24"/>
          <w:szCs w:val="24"/>
        </w:rPr>
        <w:t xml:space="preserve">. Onemocnění nastupuje ve středním nebo vyšším věku </w:t>
      </w:r>
      <w:r w:rsidRPr="0062347D">
        <w:rPr>
          <w:rFonts w:cstheme="minorHAnsi"/>
          <w:noProof/>
          <w:sz w:val="24"/>
          <w:szCs w:val="24"/>
        </w:rPr>
        <w:lastRenderedPageBreak/>
        <w:t xml:space="preserve">(Koblížek </w:t>
      </w:r>
      <w:r w:rsidR="00166BDD">
        <w:rPr>
          <w:rFonts w:cstheme="minorHAnsi"/>
          <w:noProof/>
          <w:sz w:val="24"/>
          <w:szCs w:val="24"/>
        </w:rPr>
        <w:t>a</w:t>
      </w:r>
      <w:r w:rsidRPr="0062347D">
        <w:rPr>
          <w:rFonts w:cstheme="minorHAnsi"/>
          <w:noProof/>
          <w:sz w:val="24"/>
          <w:szCs w:val="24"/>
        </w:rPr>
        <w:t xml:space="preserve"> Zatloukal 2019)</w:t>
      </w:r>
      <w:r w:rsidRPr="0062347D">
        <w:rPr>
          <w:rFonts w:cstheme="minorHAnsi"/>
          <w:sz w:val="24"/>
          <w:szCs w:val="24"/>
        </w:rPr>
        <w:t xml:space="preserve">. Rozvoj onemocnění je pomalý. Je charakterizované obstrukcí dýchacích cest a může vést k respiračnímu selhání </w:t>
      </w:r>
      <w:r w:rsidRPr="0062347D">
        <w:rPr>
          <w:rFonts w:cstheme="minorHAnsi"/>
          <w:noProof/>
          <w:sz w:val="24"/>
          <w:szCs w:val="24"/>
        </w:rPr>
        <w:t xml:space="preserve">(Raherison </w:t>
      </w:r>
      <w:r w:rsidR="00166BDD">
        <w:rPr>
          <w:rFonts w:cstheme="minorHAnsi"/>
          <w:noProof/>
          <w:sz w:val="24"/>
          <w:szCs w:val="24"/>
        </w:rPr>
        <w:t>a</w:t>
      </w:r>
      <w:r w:rsidRPr="0062347D">
        <w:rPr>
          <w:rFonts w:cstheme="minorHAnsi"/>
          <w:noProof/>
          <w:sz w:val="24"/>
          <w:szCs w:val="24"/>
        </w:rPr>
        <w:t xml:space="preserve"> Girodet 2009)</w:t>
      </w:r>
      <w:r w:rsidRPr="0062347D">
        <w:rPr>
          <w:rFonts w:cstheme="minorHAnsi"/>
          <w:sz w:val="24"/>
          <w:szCs w:val="24"/>
        </w:rPr>
        <w:t>. Jako nejčastější příčina CHOPN</w:t>
      </w:r>
      <w:r w:rsidRPr="003329E2">
        <w:rPr>
          <w:rFonts w:cstheme="minorHAnsi"/>
          <w:sz w:val="24"/>
          <w:szCs w:val="24"/>
        </w:rPr>
        <w:t xml:space="preserve"> v západních zemích je vdechování cigaretového kouře a</w:t>
      </w:r>
      <w:r>
        <w:rPr>
          <w:rFonts w:cstheme="minorHAnsi"/>
          <w:sz w:val="24"/>
          <w:szCs w:val="24"/>
        </w:rPr>
        <w:t> </w:t>
      </w:r>
      <w:r w:rsidRPr="003329E2">
        <w:rPr>
          <w:rFonts w:cstheme="minorHAnsi"/>
          <w:sz w:val="24"/>
          <w:szCs w:val="24"/>
        </w:rPr>
        <w:t>dlouhodobá expozice znečištěné</w:t>
      </w:r>
      <w:r w:rsidRPr="004E5649">
        <w:rPr>
          <w:rFonts w:cstheme="minorHAnsi"/>
          <w:sz w:val="24"/>
          <w:szCs w:val="24"/>
        </w:rPr>
        <w:t>mu vzduchu (smog, látky z pracovního prostředí</w:t>
      </w:r>
      <w:r>
        <w:rPr>
          <w:rFonts w:cstheme="minorHAnsi"/>
          <w:sz w:val="24"/>
          <w:szCs w:val="24"/>
        </w:rPr>
        <w:t xml:space="preserve"> </w:t>
      </w:r>
      <w:r>
        <w:rPr>
          <w:rStyle w:val="acopre"/>
        </w:rPr>
        <w:t>–</w:t>
      </w:r>
      <w:r w:rsidRPr="004E5649" w:rsidDel="00EA102D">
        <w:rPr>
          <w:rFonts w:cstheme="minorHAnsi"/>
          <w:sz w:val="24"/>
          <w:szCs w:val="24"/>
        </w:rPr>
        <w:t xml:space="preserve"> </w:t>
      </w:r>
      <w:r w:rsidRPr="004E5649">
        <w:rPr>
          <w:rFonts w:cstheme="minorHAnsi"/>
          <w:sz w:val="24"/>
          <w:szCs w:val="24"/>
        </w:rPr>
        <w:t xml:space="preserve">chemické produkty, produkty hoření, drobné prachové </w:t>
      </w:r>
      <w:proofErr w:type="gramStart"/>
      <w:r w:rsidRPr="004E5649">
        <w:rPr>
          <w:rFonts w:cstheme="minorHAnsi"/>
          <w:sz w:val="24"/>
          <w:szCs w:val="24"/>
        </w:rPr>
        <w:t xml:space="preserve">částice) </w:t>
      </w:r>
      <w:r w:rsidR="00415F8D">
        <w:rPr>
          <w:rFonts w:cstheme="minorHAnsi"/>
          <w:noProof/>
          <w:sz w:val="24"/>
          <w:szCs w:val="24"/>
        </w:rPr>
        <w:t>(Bourdin</w:t>
      </w:r>
      <w:proofErr w:type="gramEnd"/>
      <w:r w:rsidR="00415F8D">
        <w:rPr>
          <w:rFonts w:cstheme="minorHAnsi"/>
          <w:noProof/>
          <w:sz w:val="24"/>
          <w:szCs w:val="24"/>
        </w:rPr>
        <w:t xml:space="preserve">, Burgel et al. 2009; </w:t>
      </w:r>
      <w:r w:rsidRPr="0062347D">
        <w:rPr>
          <w:rFonts w:cstheme="minorHAnsi"/>
          <w:noProof/>
          <w:sz w:val="24"/>
          <w:szCs w:val="24"/>
        </w:rPr>
        <w:t xml:space="preserve">Koblížek </w:t>
      </w:r>
      <w:r w:rsidR="00166BDD">
        <w:rPr>
          <w:rFonts w:cstheme="minorHAnsi"/>
          <w:noProof/>
          <w:sz w:val="24"/>
          <w:szCs w:val="24"/>
        </w:rPr>
        <w:t>a</w:t>
      </w:r>
      <w:r w:rsidRPr="0062347D">
        <w:rPr>
          <w:rFonts w:cstheme="minorHAnsi"/>
          <w:noProof/>
          <w:sz w:val="24"/>
          <w:szCs w:val="24"/>
        </w:rPr>
        <w:t xml:space="preserve"> Zatloukal 2019)</w:t>
      </w:r>
      <w:r w:rsidRPr="0062347D">
        <w:rPr>
          <w:rFonts w:cstheme="minorHAnsi"/>
          <w:sz w:val="24"/>
          <w:szCs w:val="24"/>
        </w:rPr>
        <w:t xml:space="preserve">. Běžnými symptomy jsou dušnost, kašel, produkce sputa. CHOPN může být provázena opakujícími se exacerbacemi </w:t>
      </w:r>
      <w:r w:rsidRPr="0062347D">
        <w:rPr>
          <w:rFonts w:cstheme="minorHAnsi"/>
          <w:noProof/>
          <w:sz w:val="24"/>
          <w:szCs w:val="24"/>
        </w:rPr>
        <w:t>(Augusti, Beasley et al. 2020)</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Látky obsažené v cigaretovém kouři narušují funkci plicního epitelu a podporují procesy vedoucí k rozvoji zánětu a strukturálním zm</w:t>
      </w:r>
      <w:r w:rsidRPr="004E5649">
        <w:rPr>
          <w:rFonts w:cstheme="minorHAnsi"/>
          <w:sz w:val="24"/>
          <w:szCs w:val="24"/>
        </w:rPr>
        <w:t>ěnám tkáně. Přetrvávající zánět podporuje zvýšení oxidativního stresu a nerovnováhu mezi proteázami a anti-proteázami a</w:t>
      </w:r>
      <w:r>
        <w:rPr>
          <w:rFonts w:cstheme="minorHAnsi"/>
          <w:sz w:val="24"/>
          <w:szCs w:val="24"/>
        </w:rPr>
        <w:t> </w:t>
      </w:r>
      <w:r w:rsidRPr="0062347D">
        <w:rPr>
          <w:rFonts w:cstheme="minorHAnsi"/>
          <w:sz w:val="24"/>
          <w:szCs w:val="24"/>
        </w:rPr>
        <w:t xml:space="preserve">narušení plicní tkáně </w:t>
      </w:r>
      <w:r w:rsidRPr="0062347D">
        <w:rPr>
          <w:rFonts w:cstheme="minorHAnsi"/>
          <w:noProof/>
          <w:sz w:val="24"/>
          <w:szCs w:val="24"/>
        </w:rPr>
        <w:t>(Bourdin, Burgel et al. 2009)</w:t>
      </w:r>
      <w:r w:rsidRPr="0062347D">
        <w:rPr>
          <w:rFonts w:cstheme="minorHAnsi"/>
          <w:sz w:val="24"/>
          <w:szCs w:val="24"/>
        </w:rPr>
        <w:t>. Oxidativní stres výrazně zesiluje rozvoj zánětu. Látky, které podporují oxidativní st</w:t>
      </w:r>
      <w:r w:rsidRPr="003329E2">
        <w:rPr>
          <w:rFonts w:cstheme="minorHAnsi"/>
          <w:sz w:val="24"/>
          <w:szCs w:val="24"/>
        </w:rPr>
        <w:t>res, jsou obsaženy v cigaretovém kouři, ale jsou produkovány i buňkam</w:t>
      </w:r>
      <w:r w:rsidRPr="004E5649">
        <w:rPr>
          <w:rFonts w:cstheme="minorHAnsi"/>
          <w:sz w:val="24"/>
          <w:szCs w:val="24"/>
        </w:rPr>
        <w:t xml:space="preserve">i imunitního systému účastnícími se zánětu. Jsou to hlavně makrofágy a neutrofily </w:t>
      </w:r>
      <w:r w:rsidRPr="0062347D">
        <w:rPr>
          <w:rFonts w:cstheme="minorHAnsi"/>
          <w:noProof/>
          <w:sz w:val="24"/>
          <w:szCs w:val="24"/>
        </w:rPr>
        <w:t>(Augusti, Beasley et al. 2020)</w:t>
      </w:r>
      <w:r w:rsidRPr="0062347D">
        <w:rPr>
          <w:rFonts w:cstheme="minorHAnsi"/>
          <w:sz w:val="24"/>
          <w:szCs w:val="24"/>
        </w:rPr>
        <w:t xml:space="preserve">. Zánět v plicích u CHOPN je provázen </w:t>
      </w:r>
      <w:r>
        <w:rPr>
          <w:rFonts w:cstheme="minorHAnsi"/>
          <w:sz w:val="24"/>
          <w:szCs w:val="24"/>
        </w:rPr>
        <w:t>z</w:t>
      </w:r>
      <w:r w:rsidRPr="0062347D">
        <w:rPr>
          <w:rFonts w:cstheme="minorHAnsi"/>
          <w:sz w:val="24"/>
          <w:szCs w:val="24"/>
        </w:rPr>
        <w:t>výšením CD8</w:t>
      </w:r>
      <w:r w:rsidRPr="0062347D">
        <w:rPr>
          <w:rFonts w:cstheme="minorHAnsi"/>
          <w:sz w:val="24"/>
          <w:szCs w:val="24"/>
          <w:vertAlign w:val="superscript"/>
        </w:rPr>
        <w:t>+</w:t>
      </w:r>
      <w:r w:rsidRPr="0062347D">
        <w:rPr>
          <w:rFonts w:cstheme="minorHAnsi"/>
          <w:sz w:val="24"/>
          <w:szCs w:val="24"/>
        </w:rPr>
        <w:t xml:space="preserve"> T-</w:t>
      </w:r>
      <w:r w:rsidRPr="003329E2">
        <w:rPr>
          <w:rFonts w:cstheme="minorHAnsi"/>
          <w:sz w:val="24"/>
          <w:szCs w:val="24"/>
        </w:rPr>
        <w:t xml:space="preserve">lymfocytů </w:t>
      </w:r>
      <w:r w:rsidRPr="0062347D">
        <w:rPr>
          <w:rFonts w:cstheme="minorHAnsi"/>
          <w:noProof/>
          <w:sz w:val="24"/>
          <w:szCs w:val="24"/>
        </w:rPr>
        <w:t xml:space="preserve">(Spurzem </w:t>
      </w:r>
      <w:r w:rsidR="00166BDD">
        <w:rPr>
          <w:rFonts w:cstheme="minorHAnsi"/>
          <w:noProof/>
          <w:sz w:val="24"/>
          <w:szCs w:val="24"/>
        </w:rPr>
        <w:t>a</w:t>
      </w:r>
      <w:r w:rsidRPr="0062347D">
        <w:rPr>
          <w:rFonts w:cstheme="minorHAnsi"/>
          <w:noProof/>
          <w:sz w:val="24"/>
          <w:szCs w:val="24"/>
        </w:rPr>
        <w:t xml:space="preserve"> Rennard 2005)</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Biopsie plicní tkáně u pacient</w:t>
      </w:r>
      <w:r w:rsidRPr="00E663BF">
        <w:rPr>
          <w:rFonts w:cstheme="minorHAnsi"/>
          <w:sz w:val="24"/>
          <w:szCs w:val="24"/>
        </w:rPr>
        <w:t>ů s CHOPN vykazuj</w:t>
      </w:r>
      <w:r w:rsidRPr="004E5649">
        <w:rPr>
          <w:rFonts w:cstheme="minorHAnsi"/>
          <w:sz w:val="24"/>
          <w:szCs w:val="24"/>
        </w:rPr>
        <w:t>í infiltraci T-lymfocyty a neutrofily, a</w:t>
      </w:r>
      <w:r>
        <w:rPr>
          <w:rFonts w:cstheme="minorHAnsi"/>
          <w:sz w:val="24"/>
          <w:szCs w:val="24"/>
        </w:rPr>
        <w:t> </w:t>
      </w:r>
      <w:r w:rsidRPr="004E5649">
        <w:rPr>
          <w:rFonts w:cstheme="minorHAnsi"/>
          <w:sz w:val="24"/>
          <w:szCs w:val="24"/>
        </w:rPr>
        <w:t xml:space="preserve">to zejména v lumen dýchacích cest </w:t>
      </w:r>
      <w:r w:rsidRPr="0062347D">
        <w:rPr>
          <w:rFonts w:cstheme="minorHAnsi"/>
          <w:noProof/>
          <w:sz w:val="24"/>
          <w:szCs w:val="24"/>
        </w:rPr>
        <w:t>(Barnes 2008)</w:t>
      </w:r>
      <w:r w:rsidRPr="0062347D">
        <w:rPr>
          <w:rFonts w:cstheme="minorHAnsi"/>
          <w:sz w:val="24"/>
          <w:szCs w:val="24"/>
        </w:rPr>
        <w:t xml:space="preserve">. Buňky imunitního systému společně s epiteliálními buňkami produkují zánětlivé mediátory. Chemotaktické faktory přitahují další buňky z periferie, prozánětlivé cytokiny amplifikují zánětlivé procesy a růstové faktory indukují strukturální změny ve tkáni </w:t>
      </w:r>
      <w:r w:rsidRPr="0062347D">
        <w:rPr>
          <w:rFonts w:cstheme="minorHAnsi"/>
          <w:noProof/>
          <w:sz w:val="24"/>
          <w:szCs w:val="24"/>
        </w:rPr>
        <w:t>(Augusti, Beasley et al. 2020)</w:t>
      </w:r>
      <w:r w:rsidRPr="0062347D">
        <w:rPr>
          <w:rFonts w:cstheme="minorHAnsi"/>
          <w:sz w:val="24"/>
          <w:szCs w:val="24"/>
        </w:rPr>
        <w:t>. Epiteliální buňky a</w:t>
      </w:r>
      <w:r>
        <w:rPr>
          <w:rFonts w:cstheme="minorHAnsi"/>
          <w:sz w:val="24"/>
          <w:szCs w:val="24"/>
        </w:rPr>
        <w:t> </w:t>
      </w:r>
      <w:r w:rsidRPr="0062347D">
        <w:rPr>
          <w:rFonts w:cstheme="minorHAnsi"/>
          <w:sz w:val="24"/>
          <w:szCs w:val="24"/>
        </w:rPr>
        <w:t>makrofágy uvolňují transformující růstový faktor-beta (TGF-β</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Transforming growth factor</w:t>
      </w:r>
      <w:r w:rsidRPr="0062347D">
        <w:rPr>
          <w:rFonts w:cstheme="minorHAnsi"/>
          <w:sz w:val="24"/>
          <w:szCs w:val="24"/>
        </w:rPr>
        <w:t xml:space="preserve">-β), který stimuluje proliferaci fibroblastů a rozvoj fibrózy </w:t>
      </w:r>
      <w:r w:rsidRPr="0062347D">
        <w:rPr>
          <w:rFonts w:cstheme="minorHAnsi"/>
          <w:noProof/>
          <w:sz w:val="24"/>
          <w:szCs w:val="24"/>
        </w:rPr>
        <w:t>(Barnes 2008)</w:t>
      </w:r>
      <w:r w:rsidRPr="0062347D">
        <w:rPr>
          <w:rFonts w:cstheme="minorHAnsi"/>
          <w:sz w:val="24"/>
          <w:szCs w:val="24"/>
        </w:rPr>
        <w:t>. Postupným hojením dochází k nahrazování původní funk</w:t>
      </w:r>
      <w:r w:rsidRPr="003329E2">
        <w:rPr>
          <w:rFonts w:cstheme="minorHAnsi"/>
          <w:sz w:val="24"/>
          <w:szCs w:val="24"/>
        </w:rPr>
        <w:t>ční tkáně extracelulární matrix a</w:t>
      </w:r>
      <w:r>
        <w:rPr>
          <w:rFonts w:cstheme="minorHAnsi"/>
          <w:sz w:val="24"/>
          <w:szCs w:val="24"/>
        </w:rPr>
        <w:t> </w:t>
      </w:r>
      <w:r w:rsidRPr="003329E2">
        <w:rPr>
          <w:rFonts w:cstheme="minorHAnsi"/>
          <w:sz w:val="24"/>
          <w:szCs w:val="24"/>
        </w:rPr>
        <w:t>k</w:t>
      </w:r>
      <w:r>
        <w:rPr>
          <w:rFonts w:cstheme="minorHAnsi"/>
          <w:sz w:val="24"/>
          <w:szCs w:val="24"/>
        </w:rPr>
        <w:t> </w:t>
      </w:r>
      <w:r w:rsidRPr="003329E2">
        <w:rPr>
          <w:rFonts w:cstheme="minorHAnsi"/>
          <w:sz w:val="24"/>
          <w:szCs w:val="24"/>
        </w:rPr>
        <w:t>rozvoji</w:t>
      </w:r>
      <w:r w:rsidRPr="00E663BF">
        <w:rPr>
          <w:rFonts w:cstheme="minorHAnsi"/>
          <w:sz w:val="24"/>
          <w:szCs w:val="24"/>
        </w:rPr>
        <w:t> </w:t>
      </w:r>
      <w:r w:rsidRPr="004E5649">
        <w:rPr>
          <w:rFonts w:cstheme="minorHAnsi"/>
          <w:sz w:val="24"/>
          <w:szCs w:val="24"/>
        </w:rPr>
        <w:t xml:space="preserve">fibrózy </w:t>
      </w:r>
      <w:r w:rsidRPr="0062347D">
        <w:rPr>
          <w:rFonts w:cstheme="minorHAnsi"/>
          <w:noProof/>
          <w:sz w:val="24"/>
          <w:szCs w:val="24"/>
        </w:rPr>
        <w:t>(Navratilova, Petrek et al. 2016)</w:t>
      </w:r>
      <w:r w:rsidRPr="0062347D">
        <w:rPr>
          <w:rFonts w:cstheme="minorHAnsi"/>
          <w:sz w:val="24"/>
          <w:szCs w:val="24"/>
        </w:rPr>
        <w:t xml:space="preserve">. Fibróza se objevuje kolem malých dýchacích cest a předpokládá se, že je jedním </w:t>
      </w:r>
      <w:r w:rsidRPr="003329E2">
        <w:rPr>
          <w:rFonts w:cstheme="minorHAnsi"/>
          <w:sz w:val="24"/>
          <w:szCs w:val="24"/>
        </w:rPr>
        <w:t xml:space="preserve">z hlavních faktorů, které odpovídají za </w:t>
      </w:r>
      <w:r w:rsidRPr="00E663BF">
        <w:rPr>
          <w:rFonts w:cstheme="minorHAnsi"/>
          <w:sz w:val="24"/>
          <w:szCs w:val="24"/>
        </w:rPr>
        <w:t xml:space="preserve">jejich </w:t>
      </w:r>
      <w:r w:rsidRPr="004E5649">
        <w:rPr>
          <w:rFonts w:cstheme="minorHAnsi"/>
          <w:sz w:val="24"/>
          <w:szCs w:val="24"/>
        </w:rPr>
        <w:t xml:space="preserve">ireverzibilní zužování </w:t>
      </w:r>
      <w:r w:rsidRPr="0062347D">
        <w:rPr>
          <w:rFonts w:cstheme="minorHAnsi"/>
          <w:noProof/>
          <w:sz w:val="24"/>
          <w:szCs w:val="24"/>
        </w:rPr>
        <w:t>(Barnes 2008)</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Buňky zánětu produkují zvýšená množství proteáz, jež narušují pojivov</w:t>
      </w:r>
      <w:r w:rsidRPr="00E663BF">
        <w:rPr>
          <w:rFonts w:cstheme="minorHAnsi"/>
          <w:sz w:val="24"/>
          <w:szCs w:val="24"/>
        </w:rPr>
        <w:t xml:space="preserve">ou tkáň plic </w:t>
      </w:r>
      <w:r w:rsidRPr="0062347D">
        <w:rPr>
          <w:rFonts w:cstheme="minorHAnsi"/>
          <w:noProof/>
          <w:sz w:val="24"/>
          <w:szCs w:val="24"/>
        </w:rPr>
        <w:t>(Augusti, Beasley et al. 2020)</w:t>
      </w:r>
      <w:r w:rsidRPr="0062347D">
        <w:rPr>
          <w:rFonts w:cstheme="minorHAnsi"/>
          <w:sz w:val="24"/>
          <w:szCs w:val="24"/>
        </w:rPr>
        <w:t>. Mezi tyto proteolytické enzymy patří například matrix metalo</w:t>
      </w:r>
      <w:r w:rsidRPr="003329E2">
        <w:rPr>
          <w:rFonts w:cstheme="minorHAnsi"/>
          <w:sz w:val="24"/>
          <w:szCs w:val="24"/>
        </w:rPr>
        <w:t>proteinázy (MMP</w:t>
      </w:r>
      <w:r w:rsidRPr="00E663BF">
        <w:rPr>
          <w:rFonts w:cstheme="minorHAnsi"/>
          <w:sz w:val="24"/>
          <w:szCs w:val="24"/>
        </w:rPr>
        <w:t>) a neutrofilní elastázy</w:t>
      </w:r>
      <w:r w:rsidRPr="004E5649">
        <w:rPr>
          <w:rFonts w:cstheme="minorHAnsi"/>
          <w:sz w:val="24"/>
          <w:szCs w:val="24"/>
        </w:rPr>
        <w:t xml:space="preserve"> </w:t>
      </w:r>
      <w:r w:rsidR="00F443E4">
        <w:rPr>
          <w:rFonts w:cstheme="minorHAnsi"/>
          <w:noProof/>
          <w:sz w:val="24"/>
          <w:szCs w:val="24"/>
        </w:rPr>
        <w:t xml:space="preserve">(Barnes 2008; </w:t>
      </w:r>
      <w:r w:rsidRPr="0062347D">
        <w:rPr>
          <w:rFonts w:cstheme="minorHAnsi"/>
          <w:noProof/>
          <w:sz w:val="24"/>
          <w:szCs w:val="24"/>
        </w:rPr>
        <w:t>Navratilova, Petrek et al. 2016)</w:t>
      </w:r>
      <w:r w:rsidRPr="003329E2">
        <w:rPr>
          <w:rFonts w:cstheme="minorHAnsi"/>
          <w:noProof/>
          <w:sz w:val="24"/>
          <w:szCs w:val="24"/>
        </w:rPr>
        <w:t>.</w:t>
      </w:r>
      <w:r w:rsidRPr="00E663BF">
        <w:rPr>
          <w:rFonts w:cstheme="minorHAnsi"/>
          <w:sz w:val="24"/>
          <w:szCs w:val="24"/>
        </w:rPr>
        <w:t xml:space="preserve"> Neutrofilní elastázy odpovídají za hypersekreci hlenu</w:t>
      </w:r>
      <w:r w:rsidRPr="004E5649">
        <w:rPr>
          <w:rFonts w:cstheme="minorHAnsi"/>
          <w:sz w:val="24"/>
          <w:szCs w:val="24"/>
        </w:rPr>
        <w:t xml:space="preserve">. Dochází k proteolýze elastinu. </w:t>
      </w:r>
      <w:r w:rsidR="006F4D60">
        <w:rPr>
          <w:rFonts w:cstheme="minorHAnsi"/>
          <w:sz w:val="24"/>
          <w:szCs w:val="24"/>
        </w:rPr>
        <w:lastRenderedPageBreak/>
        <w:t>A</w:t>
      </w:r>
      <w:r w:rsidRPr="004E5649">
        <w:rPr>
          <w:rFonts w:cstheme="minorHAnsi"/>
          <w:sz w:val="24"/>
          <w:szCs w:val="24"/>
        </w:rPr>
        <w:t>poptóze podléhají pneumocyty I. řádu, které odpovídají za výměnu plynů, a</w:t>
      </w:r>
      <w:r>
        <w:rPr>
          <w:rFonts w:cstheme="minorHAnsi"/>
          <w:sz w:val="24"/>
          <w:szCs w:val="24"/>
        </w:rPr>
        <w:t> </w:t>
      </w:r>
      <w:r w:rsidRPr="0062347D">
        <w:rPr>
          <w:rFonts w:cstheme="minorHAnsi"/>
          <w:sz w:val="24"/>
          <w:szCs w:val="24"/>
        </w:rPr>
        <w:t xml:space="preserve">endoteliální buňky. Tyto děje vedou k destrukci stěn alveolů nazývané emfyzém. </w:t>
      </w:r>
      <w:r w:rsidRPr="0062347D">
        <w:rPr>
          <w:rFonts w:cstheme="minorHAnsi"/>
          <w:noProof/>
          <w:sz w:val="24"/>
          <w:szCs w:val="24"/>
        </w:rPr>
        <w:t>(Barnes 2008)</w:t>
      </w:r>
      <w:r w:rsidRPr="0062347D">
        <w:rPr>
          <w:rFonts w:cstheme="minorHAnsi"/>
          <w:sz w:val="24"/>
          <w:szCs w:val="24"/>
        </w:rPr>
        <w:t>.</w:t>
      </w:r>
    </w:p>
    <w:p w:rsidR="008F0C0F" w:rsidRPr="004E5649" w:rsidRDefault="008F0C0F" w:rsidP="0087309B">
      <w:pPr>
        <w:pStyle w:val="Nadpis3"/>
        <w:spacing w:after="240"/>
      </w:pPr>
      <w:bookmarkStart w:id="11" w:name="_Toc69543007"/>
      <w:r w:rsidRPr="003329E2">
        <w:t>Bronchiální a</w:t>
      </w:r>
      <w:r w:rsidRPr="00E663BF">
        <w:t>stma</w:t>
      </w:r>
      <w:bookmarkEnd w:id="11"/>
      <w:r w:rsidRPr="00E663BF">
        <w:t xml:space="preserve"> </w:t>
      </w:r>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Bronchiální astma je chronické zánětlivé onemocnění dýchacích cest, které u</w:t>
      </w:r>
      <w:r>
        <w:rPr>
          <w:rFonts w:cstheme="minorHAnsi"/>
          <w:sz w:val="24"/>
          <w:szCs w:val="24"/>
        </w:rPr>
        <w:t> </w:t>
      </w:r>
      <w:r w:rsidRPr="0062347D">
        <w:rPr>
          <w:rFonts w:cstheme="minorHAnsi"/>
          <w:sz w:val="24"/>
          <w:szCs w:val="24"/>
        </w:rPr>
        <w:t>vnímavého jedince způsobuje typické opakované stavy dušnosti provázené pískoty a</w:t>
      </w:r>
      <w:r>
        <w:rPr>
          <w:rFonts w:cstheme="minorHAnsi"/>
          <w:sz w:val="24"/>
          <w:szCs w:val="24"/>
        </w:rPr>
        <w:t> </w:t>
      </w:r>
      <w:r w:rsidRPr="0062347D">
        <w:rPr>
          <w:rFonts w:cstheme="minorHAnsi"/>
          <w:sz w:val="24"/>
          <w:szCs w:val="24"/>
        </w:rPr>
        <w:t xml:space="preserve">sevřením na hrudi. I přesto je pro astma typická velká variabilita příznaků </w:t>
      </w:r>
      <w:r w:rsidRPr="0062347D">
        <w:rPr>
          <w:rFonts w:cstheme="minorHAnsi"/>
          <w:noProof/>
          <w:sz w:val="24"/>
          <w:szCs w:val="24"/>
        </w:rPr>
        <w:t xml:space="preserve">(Krčmová </w:t>
      </w:r>
      <w:r w:rsidR="00166BDD">
        <w:rPr>
          <w:rFonts w:cstheme="minorHAnsi"/>
          <w:noProof/>
          <w:sz w:val="24"/>
          <w:szCs w:val="24"/>
        </w:rPr>
        <w:t>a</w:t>
      </w:r>
      <w:r w:rsidRPr="0062347D">
        <w:rPr>
          <w:rFonts w:cstheme="minorHAnsi"/>
          <w:noProof/>
          <w:sz w:val="24"/>
          <w:szCs w:val="24"/>
        </w:rPr>
        <w:t xml:space="preserve"> Novosad 2010, Mims 2015)</w:t>
      </w:r>
      <w:r w:rsidRPr="0062347D">
        <w:rPr>
          <w:rFonts w:cstheme="minorHAnsi"/>
          <w:sz w:val="24"/>
          <w:szCs w:val="24"/>
        </w:rPr>
        <w:t xml:space="preserve">. Někdy může mít pacient pouze určitý příznak, suchý dráždivý kašel nebo přetrvávající dušnost </w:t>
      </w:r>
      <w:r w:rsidRPr="0062347D">
        <w:rPr>
          <w:rFonts w:cstheme="minorHAnsi"/>
          <w:noProof/>
          <w:sz w:val="24"/>
          <w:szCs w:val="24"/>
        </w:rPr>
        <w:t xml:space="preserve">(Krčmová </w:t>
      </w:r>
      <w:r w:rsidR="00166BDD">
        <w:rPr>
          <w:rFonts w:cstheme="minorHAnsi"/>
          <w:noProof/>
          <w:sz w:val="24"/>
          <w:szCs w:val="24"/>
        </w:rPr>
        <w:t>a</w:t>
      </w:r>
      <w:r w:rsidRPr="0062347D">
        <w:rPr>
          <w:rFonts w:cstheme="minorHAnsi"/>
          <w:noProof/>
          <w:sz w:val="24"/>
          <w:szCs w:val="24"/>
        </w:rPr>
        <w:t xml:space="preserve"> Novosad 2010)</w:t>
      </w:r>
      <w:r w:rsidRPr="0062347D">
        <w:rPr>
          <w:rFonts w:cstheme="minorHAnsi"/>
          <w:sz w:val="24"/>
          <w:szCs w:val="24"/>
        </w:rPr>
        <w:t>. Onemocnění je provázeno astmatickými epizodami, exacerbacemi, při nichž dochází k otoku a konstrikci průduškových svalů</w:t>
      </w:r>
      <w:r w:rsidRPr="003329E2">
        <w:rPr>
          <w:rFonts w:cstheme="minorHAnsi"/>
          <w:sz w:val="24"/>
          <w:szCs w:val="24"/>
        </w:rPr>
        <w:t>. Tyto astmatické epizody a zhoršování zánětu mohou být inicio</w:t>
      </w:r>
      <w:r w:rsidRPr="00E663BF">
        <w:rPr>
          <w:rFonts w:cstheme="minorHAnsi"/>
          <w:sz w:val="24"/>
          <w:szCs w:val="24"/>
        </w:rPr>
        <w:t>vány různými spouštěči, respiračními virovými infekcemi, cigar</w:t>
      </w:r>
      <w:r w:rsidRPr="004E5649">
        <w:rPr>
          <w:rFonts w:cstheme="minorHAnsi"/>
          <w:sz w:val="24"/>
          <w:szCs w:val="24"/>
        </w:rPr>
        <w:t xml:space="preserve">etovým kouřem, částicemi znečišťujícími ovzduší, změnami teplot, stresem nebo přílišnou fyzickou námahou </w:t>
      </w:r>
      <w:r w:rsidRPr="0062347D">
        <w:rPr>
          <w:rFonts w:cstheme="minorHAnsi"/>
          <w:noProof/>
          <w:sz w:val="24"/>
          <w:szCs w:val="24"/>
        </w:rPr>
        <w:t>(Mims 2015)</w:t>
      </w:r>
      <w:r w:rsidRPr="0062347D">
        <w:rPr>
          <w:rFonts w:cstheme="minorHAnsi"/>
          <w:sz w:val="24"/>
          <w:szCs w:val="24"/>
        </w:rPr>
        <w:t>.</w:t>
      </w:r>
    </w:p>
    <w:p w:rsidR="008F0C0F" w:rsidRPr="0062347D" w:rsidRDefault="008F0C0F" w:rsidP="00284F89">
      <w:pPr>
        <w:spacing w:before="240" w:line="360" w:lineRule="auto"/>
        <w:ind w:firstLine="709"/>
        <w:jc w:val="both"/>
        <w:rPr>
          <w:rFonts w:cstheme="minorHAnsi"/>
          <w:sz w:val="24"/>
          <w:szCs w:val="24"/>
        </w:rPr>
      </w:pPr>
      <w:r w:rsidRPr="003329E2">
        <w:rPr>
          <w:rFonts w:cstheme="minorHAnsi"/>
          <w:sz w:val="24"/>
          <w:szCs w:val="24"/>
        </w:rPr>
        <w:t xml:space="preserve">Na rozdíl od CHOPN, u něhož dochází k rozvoji Th1 imunitní odpovědi, je pro astma charakteristická Th2 imunitní odpověď </w:t>
      </w:r>
      <w:r w:rsidRPr="0062347D">
        <w:rPr>
          <w:rFonts w:cstheme="minorHAnsi"/>
          <w:noProof/>
          <w:sz w:val="24"/>
          <w:szCs w:val="24"/>
        </w:rPr>
        <w:t xml:space="preserve">(Spurzem </w:t>
      </w:r>
      <w:r w:rsidR="00166BDD">
        <w:rPr>
          <w:rFonts w:cstheme="minorHAnsi"/>
          <w:noProof/>
          <w:sz w:val="24"/>
          <w:szCs w:val="24"/>
        </w:rPr>
        <w:t>a</w:t>
      </w:r>
      <w:r w:rsidRPr="0062347D">
        <w:rPr>
          <w:rFonts w:cstheme="minorHAnsi"/>
          <w:noProof/>
          <w:sz w:val="24"/>
          <w:szCs w:val="24"/>
        </w:rPr>
        <w:t xml:space="preserve"> Rennard 2005)</w:t>
      </w:r>
      <w:r w:rsidRPr="0062347D">
        <w:rPr>
          <w:rFonts w:cstheme="minorHAnsi"/>
          <w:sz w:val="24"/>
          <w:szCs w:val="24"/>
        </w:rPr>
        <w:t>. Senzibilizace alergenem</w:t>
      </w:r>
      <w:r w:rsidRPr="003329E2">
        <w:rPr>
          <w:rFonts w:cstheme="minorHAnsi"/>
          <w:sz w:val="24"/>
          <w:szCs w:val="24"/>
        </w:rPr>
        <w:t xml:space="preserve"> může proběhnout</w:t>
      </w:r>
      <w:r w:rsidRPr="00E663BF">
        <w:rPr>
          <w:rFonts w:cstheme="minorHAnsi"/>
          <w:sz w:val="24"/>
          <w:szCs w:val="24"/>
        </w:rPr>
        <w:t xml:space="preserve"> již</w:t>
      </w:r>
      <w:r w:rsidR="00A75278">
        <w:rPr>
          <w:rFonts w:cstheme="minorHAnsi"/>
          <w:sz w:val="24"/>
          <w:szCs w:val="24"/>
        </w:rPr>
        <w:t xml:space="preserve"> v dětství</w:t>
      </w:r>
      <w:r w:rsidRPr="004E5649">
        <w:rPr>
          <w:rFonts w:cstheme="minorHAnsi"/>
          <w:sz w:val="24"/>
          <w:szCs w:val="24"/>
        </w:rPr>
        <w:t xml:space="preserve"> </w:t>
      </w:r>
      <w:r w:rsidRPr="0062347D">
        <w:rPr>
          <w:rFonts w:cstheme="minorHAnsi"/>
          <w:noProof/>
          <w:sz w:val="24"/>
          <w:szCs w:val="24"/>
        </w:rPr>
        <w:t xml:space="preserve">(Krčmová </w:t>
      </w:r>
      <w:r w:rsidR="00166BDD">
        <w:rPr>
          <w:rFonts w:cstheme="minorHAnsi"/>
          <w:noProof/>
          <w:sz w:val="24"/>
          <w:szCs w:val="24"/>
        </w:rPr>
        <w:t>a</w:t>
      </w:r>
      <w:r w:rsidR="00F443E4">
        <w:rPr>
          <w:rFonts w:cstheme="minorHAnsi"/>
          <w:noProof/>
          <w:sz w:val="24"/>
          <w:szCs w:val="24"/>
        </w:rPr>
        <w:t xml:space="preserve"> Novosad 2010;</w:t>
      </w:r>
      <w:r w:rsidRPr="0062347D">
        <w:rPr>
          <w:rFonts w:cstheme="minorHAnsi"/>
          <w:noProof/>
          <w:sz w:val="24"/>
          <w:szCs w:val="24"/>
        </w:rPr>
        <w:t xml:space="preserve"> Kudo, Ishigatsubo et al. 2013)</w:t>
      </w:r>
      <w:r w:rsidRPr="0062347D">
        <w:rPr>
          <w:rFonts w:cstheme="minorHAnsi"/>
          <w:sz w:val="24"/>
          <w:szCs w:val="24"/>
        </w:rPr>
        <w:t xml:space="preserve">. Alergeny jsou pohlcovány antigen prezentujícími buňkami, například dendritickými buňkami, které antigen zpracují </w:t>
      </w:r>
      <w:r w:rsidRPr="003329E2">
        <w:rPr>
          <w:rFonts w:cstheme="minorHAnsi"/>
          <w:sz w:val="24"/>
          <w:szCs w:val="24"/>
        </w:rPr>
        <w:t xml:space="preserve">a následně jej pak prezentují </w:t>
      </w:r>
      <w:r w:rsidRPr="00E663BF">
        <w:rPr>
          <w:rFonts w:cstheme="minorHAnsi"/>
          <w:sz w:val="24"/>
          <w:szCs w:val="24"/>
        </w:rPr>
        <w:t>T-</w:t>
      </w:r>
      <w:r w:rsidRPr="004E5649">
        <w:rPr>
          <w:rFonts w:cstheme="minorHAnsi"/>
          <w:sz w:val="24"/>
          <w:szCs w:val="24"/>
        </w:rPr>
        <w:t>lymfocytům. Dochází k proliferaci Th2 buněk produkujících interleukin-</w:t>
      </w:r>
      <w:smartTag w:uri="urn:schemas-microsoft-com:office:smarttags" w:element="metricconverter">
        <w:smartTagPr>
          <w:attr w:name="ProductID" w:val="4 a"/>
        </w:smartTagPr>
        <w:r w:rsidRPr="004E5649">
          <w:rPr>
            <w:rFonts w:cstheme="minorHAnsi"/>
            <w:sz w:val="24"/>
            <w:szCs w:val="24"/>
          </w:rPr>
          <w:t>4 a</w:t>
        </w:r>
      </w:smartTag>
      <w:r w:rsidRPr="004E5649">
        <w:rPr>
          <w:rFonts w:cstheme="minorHAnsi"/>
          <w:sz w:val="24"/>
          <w:szCs w:val="24"/>
        </w:rPr>
        <w:t xml:space="preserve"> inter</w:t>
      </w:r>
      <w:r w:rsidRPr="00B24D8C">
        <w:rPr>
          <w:rFonts w:cstheme="minorHAnsi"/>
          <w:sz w:val="24"/>
          <w:szCs w:val="24"/>
        </w:rPr>
        <w:t>leukin-</w:t>
      </w:r>
      <w:smartTag w:uri="urn:schemas-microsoft-com:office:smarttags" w:element="metricconverter">
        <w:smartTagPr>
          <w:attr w:name="ProductID" w:val="13 a"/>
        </w:smartTagPr>
        <w:r w:rsidRPr="00B24D8C">
          <w:rPr>
            <w:rFonts w:cstheme="minorHAnsi"/>
            <w:sz w:val="24"/>
            <w:szCs w:val="24"/>
          </w:rPr>
          <w:t>13 a</w:t>
        </w:r>
      </w:smartTag>
      <w:r w:rsidRPr="00B24D8C">
        <w:rPr>
          <w:rFonts w:cstheme="minorHAnsi"/>
          <w:sz w:val="24"/>
          <w:szCs w:val="24"/>
        </w:rPr>
        <w:t xml:space="preserve"> ty stimulují B-lymfocyty k produkci protilátek, imunoglobulinů třídy E (</w:t>
      </w:r>
      <w:proofErr w:type="gramStart"/>
      <w:r w:rsidRPr="00B24D8C">
        <w:rPr>
          <w:rFonts w:cstheme="minorHAnsi"/>
          <w:sz w:val="24"/>
          <w:szCs w:val="24"/>
        </w:rPr>
        <w:t>IgE)</w:t>
      </w:r>
      <w:r w:rsidRPr="0062347D">
        <w:rPr>
          <w:rFonts w:cstheme="minorHAnsi"/>
          <w:sz w:val="24"/>
          <w:szCs w:val="24"/>
        </w:rPr>
        <w:t xml:space="preserve"> </w:t>
      </w:r>
      <w:r w:rsidRPr="0062347D">
        <w:rPr>
          <w:rFonts w:cstheme="minorHAnsi"/>
          <w:noProof/>
          <w:sz w:val="24"/>
          <w:szCs w:val="24"/>
        </w:rPr>
        <w:t>(Barnes</w:t>
      </w:r>
      <w:proofErr w:type="gramEnd"/>
      <w:r w:rsidRPr="0062347D">
        <w:rPr>
          <w:rFonts w:cstheme="minorHAnsi"/>
          <w:noProof/>
          <w:sz w:val="24"/>
          <w:szCs w:val="24"/>
        </w:rPr>
        <w:t xml:space="preserve"> 2008)</w:t>
      </w:r>
      <w:r w:rsidRPr="0062347D">
        <w:rPr>
          <w:rFonts w:cstheme="minorHAnsi"/>
          <w:sz w:val="24"/>
          <w:szCs w:val="24"/>
        </w:rPr>
        <w:t xml:space="preserve">. Zánět průdušek vede ke zvýšené produkci hlenu, bronchokonstrikci, depozici kolagenu a zužování dýchacích cest </w:t>
      </w:r>
      <w:r w:rsidRPr="0062347D">
        <w:rPr>
          <w:rFonts w:cstheme="minorHAnsi"/>
          <w:noProof/>
          <w:sz w:val="24"/>
          <w:szCs w:val="24"/>
        </w:rPr>
        <w:t>(Mims 2015)</w:t>
      </w:r>
      <w:r w:rsidRPr="0062347D">
        <w:rPr>
          <w:rFonts w:cstheme="minorHAnsi"/>
          <w:sz w:val="24"/>
          <w:szCs w:val="24"/>
        </w:rPr>
        <w:t>.</w:t>
      </w:r>
    </w:p>
    <w:p w:rsidR="008F0C0F" w:rsidRPr="00E663BF" w:rsidRDefault="008F0C0F" w:rsidP="00284F89">
      <w:pPr>
        <w:pStyle w:val="Nadpis2"/>
        <w:spacing w:after="240"/>
        <w:rPr>
          <w:rFonts w:cstheme="minorHAnsi"/>
          <w:szCs w:val="24"/>
        </w:rPr>
      </w:pPr>
      <w:bookmarkStart w:id="12" w:name="_Toc69543008"/>
      <w:r w:rsidRPr="003329E2">
        <w:rPr>
          <w:rFonts w:cstheme="minorHAnsi"/>
          <w:szCs w:val="24"/>
        </w:rPr>
        <w:t>Bronchoalveolární laváž</w:t>
      </w:r>
      <w:bookmarkEnd w:id="12"/>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Bronchoalveolární laváž (BAL) je užitečným diagnostickým nástrojem pro stanovení intersticiálních plicních onemocnění. Buněčný profil získaný BAL</w:t>
      </w:r>
      <w:r w:rsidRPr="00B24D8C">
        <w:rPr>
          <w:rFonts w:cstheme="minorHAnsi"/>
          <w:sz w:val="24"/>
          <w:szCs w:val="24"/>
        </w:rPr>
        <w:t xml:space="preserve"> může</w:t>
      </w:r>
      <w:r w:rsidRPr="0062347D">
        <w:rPr>
          <w:rFonts w:cstheme="minorHAnsi"/>
          <w:sz w:val="24"/>
          <w:szCs w:val="24"/>
        </w:rPr>
        <w:t xml:space="preserve">, ve spojení s dalšími diagnostickými postupy a zobrazovacími metodami, dopomoci k přesnější diagnostice onemocnění </w:t>
      </w:r>
      <w:r w:rsidR="00F443E4">
        <w:rPr>
          <w:rFonts w:cstheme="minorHAnsi"/>
          <w:noProof/>
          <w:sz w:val="24"/>
          <w:szCs w:val="24"/>
        </w:rPr>
        <w:t xml:space="preserve">(Meyer, Raghu et al. 2012; </w:t>
      </w:r>
      <w:r w:rsidRPr="0062347D">
        <w:rPr>
          <w:rFonts w:cstheme="minorHAnsi"/>
          <w:noProof/>
          <w:sz w:val="24"/>
          <w:szCs w:val="24"/>
        </w:rPr>
        <w:t xml:space="preserve">Costa e Silva </w:t>
      </w:r>
      <w:r w:rsidR="00166BDD">
        <w:rPr>
          <w:rFonts w:cstheme="minorHAnsi"/>
          <w:noProof/>
          <w:sz w:val="24"/>
          <w:szCs w:val="24"/>
        </w:rPr>
        <w:t>a</w:t>
      </w:r>
      <w:r w:rsidRPr="0062347D">
        <w:rPr>
          <w:rFonts w:cstheme="minorHAnsi"/>
          <w:noProof/>
          <w:sz w:val="24"/>
          <w:szCs w:val="24"/>
        </w:rPr>
        <w:t xml:space="preserve"> Rolo 2017)</w:t>
      </w:r>
      <w:r w:rsidRPr="0062347D">
        <w:rPr>
          <w:rFonts w:cstheme="minorHAnsi"/>
          <w:sz w:val="24"/>
          <w:szCs w:val="24"/>
        </w:rPr>
        <w:t>. Cytologické vyšetření je užitečné</w:t>
      </w:r>
      <w:r w:rsidRPr="003329E2">
        <w:rPr>
          <w:rFonts w:cstheme="minorHAnsi"/>
          <w:sz w:val="24"/>
          <w:szCs w:val="24"/>
        </w:rPr>
        <w:t xml:space="preserve"> pro stanovení diferenciálních buněčných počtů a identifikaci neobvyklých typů buněk v plicích (plasmatické buňky, mastocyty, apoptotické </w:t>
      </w:r>
      <w:proofErr w:type="gramStart"/>
      <w:r w:rsidRPr="003329E2">
        <w:rPr>
          <w:rFonts w:cstheme="minorHAnsi"/>
          <w:sz w:val="24"/>
          <w:szCs w:val="24"/>
        </w:rPr>
        <w:t>makrofágy</w:t>
      </w:r>
      <w:r w:rsidRPr="00E663BF">
        <w:rPr>
          <w:rFonts w:cstheme="minorHAnsi"/>
          <w:sz w:val="24"/>
          <w:szCs w:val="24"/>
        </w:rPr>
        <w:t>)</w:t>
      </w:r>
      <w:r w:rsidRPr="004E5649">
        <w:rPr>
          <w:rFonts w:cstheme="minorHAnsi"/>
          <w:sz w:val="24"/>
          <w:szCs w:val="24"/>
        </w:rPr>
        <w:t xml:space="preserve"> </w:t>
      </w:r>
      <w:r w:rsidRPr="0062347D">
        <w:rPr>
          <w:rFonts w:cstheme="minorHAnsi"/>
          <w:noProof/>
          <w:sz w:val="24"/>
          <w:szCs w:val="24"/>
        </w:rPr>
        <w:t>(Meyer</w:t>
      </w:r>
      <w:proofErr w:type="gramEnd"/>
      <w:r w:rsidRPr="0062347D">
        <w:rPr>
          <w:rFonts w:cstheme="minorHAnsi"/>
          <w:noProof/>
          <w:sz w:val="24"/>
          <w:szCs w:val="24"/>
        </w:rPr>
        <w:t xml:space="preserve"> </w:t>
      </w:r>
      <w:r w:rsidR="00166BDD">
        <w:rPr>
          <w:rFonts w:cstheme="minorHAnsi"/>
          <w:noProof/>
          <w:sz w:val="24"/>
          <w:szCs w:val="24"/>
        </w:rPr>
        <w:t>a</w:t>
      </w:r>
      <w:r w:rsidRPr="0062347D">
        <w:rPr>
          <w:rFonts w:cstheme="minorHAnsi"/>
          <w:noProof/>
          <w:sz w:val="24"/>
          <w:szCs w:val="24"/>
        </w:rPr>
        <w:t xml:space="preserve"> Raghu 2011)</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lastRenderedPageBreak/>
        <w:t>Zvýšení lymfocytů v</w:t>
      </w:r>
      <w:r w:rsidRPr="00E663BF">
        <w:rPr>
          <w:rFonts w:cstheme="minorHAnsi"/>
          <w:sz w:val="24"/>
          <w:szCs w:val="24"/>
        </w:rPr>
        <w:t xml:space="preserve"> BAL bylo pozorováno u pacientů se sarkoidózou, hypersenzitivní pneumonií a ostatními intersticiálními plicními </w:t>
      </w:r>
      <w:r w:rsidRPr="004E5649">
        <w:rPr>
          <w:rFonts w:cstheme="minorHAnsi"/>
          <w:sz w:val="24"/>
          <w:szCs w:val="24"/>
        </w:rPr>
        <w:t>onemocněními jako jsou například kryptogenní organizující pneumonie, pneumokonióza nebo nespecifická intersticiální pneumonie</w:t>
      </w:r>
      <w:r w:rsidRPr="00B24D8C">
        <w:rPr>
          <w:rFonts w:cstheme="minorHAnsi"/>
          <w:sz w:val="24"/>
          <w:szCs w:val="24"/>
        </w:rPr>
        <w:t>. Mezi další významnou populaci buněk v BAL patří neutrofily a eozinofily</w:t>
      </w:r>
      <w:r w:rsidRPr="0062347D">
        <w:rPr>
          <w:rFonts w:cstheme="minorHAnsi"/>
          <w:sz w:val="24"/>
          <w:szCs w:val="24"/>
        </w:rPr>
        <w:t>. Jejich zvýšení je běžné u intersticiálních plicních onemocnění charakterizovaných fibrózou. Zvýšené množství neutrofilů je zaznamenáno u pacientů s idiopatickou plicní fibrózou, s diferenciálním buněčným počtem kolem 21</w:t>
      </w:r>
      <w:r>
        <w:rPr>
          <w:rFonts w:cstheme="minorHAnsi"/>
          <w:sz w:val="24"/>
          <w:szCs w:val="24"/>
        </w:rPr>
        <w:t xml:space="preserve"> </w:t>
      </w:r>
      <w:r w:rsidRPr="0062347D">
        <w:rPr>
          <w:rFonts w:cstheme="minorHAnsi"/>
          <w:sz w:val="24"/>
          <w:szCs w:val="24"/>
        </w:rPr>
        <w:t xml:space="preserve">% </w:t>
      </w:r>
      <w:r w:rsidRPr="0062347D">
        <w:rPr>
          <w:rFonts w:cstheme="minorHAnsi"/>
          <w:noProof/>
          <w:sz w:val="24"/>
          <w:szCs w:val="24"/>
        </w:rPr>
        <w:t xml:space="preserve">(Costa e Silva </w:t>
      </w:r>
      <w:r w:rsidR="00166BDD">
        <w:rPr>
          <w:rFonts w:cstheme="minorHAnsi"/>
          <w:noProof/>
          <w:sz w:val="24"/>
          <w:szCs w:val="24"/>
        </w:rPr>
        <w:t>a</w:t>
      </w:r>
      <w:r w:rsidRPr="0062347D">
        <w:rPr>
          <w:rFonts w:cstheme="minorHAnsi"/>
          <w:noProof/>
          <w:sz w:val="24"/>
          <w:szCs w:val="24"/>
        </w:rPr>
        <w:t xml:space="preserve"> Rolo 2017)</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Využití stanovení lymfocytárních subpopulací v b</w:t>
      </w:r>
      <w:r w:rsidRPr="00E663BF">
        <w:rPr>
          <w:rFonts w:cstheme="minorHAnsi"/>
          <w:sz w:val="24"/>
          <w:szCs w:val="24"/>
        </w:rPr>
        <w:t>ronchoalveolární laváži při diferenciální diagnóze intersticiálních plicních onemocnění zůstává kontroverzním tématem. Pro aktivní plicní sarkoidózu je typické zvýšení CD4</w:t>
      </w:r>
      <w:r w:rsidRPr="004E5649">
        <w:rPr>
          <w:rFonts w:cstheme="minorHAnsi"/>
          <w:sz w:val="24"/>
          <w:szCs w:val="24"/>
          <w:vertAlign w:val="superscript"/>
        </w:rPr>
        <w:t>+</w:t>
      </w:r>
      <w:r w:rsidRPr="004E5649">
        <w:rPr>
          <w:rFonts w:cstheme="minorHAnsi"/>
          <w:sz w:val="24"/>
          <w:szCs w:val="24"/>
        </w:rPr>
        <w:t xml:space="preserve"> T-lymfocytů a poměru CD4</w:t>
      </w:r>
      <w:r w:rsidRPr="004E5649">
        <w:rPr>
          <w:rFonts w:cstheme="minorHAnsi"/>
          <w:sz w:val="24"/>
          <w:szCs w:val="24"/>
          <w:vertAlign w:val="superscript"/>
        </w:rPr>
        <w:t xml:space="preserve">+ </w:t>
      </w:r>
      <w:r w:rsidRPr="004E5649">
        <w:rPr>
          <w:rFonts w:cstheme="minorHAnsi"/>
          <w:sz w:val="24"/>
          <w:szCs w:val="24"/>
        </w:rPr>
        <w:t>ku CD8</w:t>
      </w:r>
      <w:r w:rsidRPr="00B24D8C">
        <w:rPr>
          <w:rFonts w:cstheme="minorHAnsi"/>
          <w:sz w:val="24"/>
          <w:szCs w:val="24"/>
          <w:vertAlign w:val="superscript"/>
        </w:rPr>
        <w:t>+</w:t>
      </w:r>
      <w:r w:rsidRPr="0062347D">
        <w:rPr>
          <w:rFonts w:cstheme="minorHAnsi"/>
          <w:sz w:val="24"/>
          <w:szCs w:val="24"/>
        </w:rPr>
        <w:t xml:space="preserve"> </w:t>
      </w:r>
      <w:r>
        <w:rPr>
          <w:rFonts w:cstheme="minorHAnsi"/>
          <w:sz w:val="24"/>
          <w:szCs w:val="24"/>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C87449">
        <w:rPr>
          <w:rFonts w:cstheme="minorHAnsi"/>
          <w:sz w:val="24"/>
          <w:szCs w:val="24"/>
        </w:rPr>
        <w:t>)</w:t>
      </w:r>
      <w:r w:rsidRPr="0062347D">
        <w:rPr>
          <w:rFonts w:cstheme="minorHAnsi"/>
          <w:sz w:val="24"/>
          <w:szCs w:val="24"/>
          <w:vertAlign w:val="superscript"/>
        </w:rPr>
        <w:t xml:space="preserve"> </w:t>
      </w:r>
      <w:r w:rsidRPr="0062347D">
        <w:rPr>
          <w:rFonts w:cstheme="minorHAnsi"/>
          <w:sz w:val="24"/>
          <w:szCs w:val="24"/>
        </w:rPr>
        <w:t>subpopulací. U zdravých jedinců se poměr CD4</w:t>
      </w:r>
      <w:r w:rsidRPr="0062347D">
        <w:rPr>
          <w:rFonts w:cstheme="minorHAnsi"/>
          <w:sz w:val="24"/>
          <w:szCs w:val="24"/>
          <w:vertAlign w:val="superscript"/>
        </w:rPr>
        <w:t>+</w:t>
      </w:r>
      <w:r w:rsidRPr="0062347D">
        <w:rPr>
          <w:rFonts w:cstheme="minorHAnsi"/>
          <w:sz w:val="24"/>
          <w:szCs w:val="24"/>
        </w:rPr>
        <w:t xml:space="preserve"> a CD8</w:t>
      </w:r>
      <w:r w:rsidRPr="0062347D">
        <w:rPr>
          <w:rFonts w:cstheme="minorHAnsi"/>
          <w:sz w:val="24"/>
          <w:szCs w:val="24"/>
          <w:vertAlign w:val="superscript"/>
        </w:rPr>
        <w:t>+</w:t>
      </w:r>
      <w:r w:rsidRPr="0062347D">
        <w:rPr>
          <w:rFonts w:cstheme="minorHAnsi"/>
          <w:sz w:val="24"/>
          <w:szCs w:val="24"/>
        </w:rPr>
        <w:t xml:space="preserve"> T-lymfocytů pohybuje mezi hodnotami 1,5 až 2. Hodnota ≥</w:t>
      </w:r>
      <w:r>
        <w:rPr>
          <w:rFonts w:cstheme="minorHAnsi"/>
          <w:sz w:val="24"/>
          <w:szCs w:val="24"/>
        </w:rPr>
        <w:t> </w:t>
      </w:r>
      <w:r w:rsidRPr="0062347D">
        <w:rPr>
          <w:rFonts w:cstheme="minorHAnsi"/>
          <w:sz w:val="24"/>
          <w:szCs w:val="24"/>
        </w:rPr>
        <w:t>3,5 je docela specifická pro sarkoidózu, nicméně má nízkou senzitivitu, protože mnoho pacientů se sarkoidózou má hodnotu poměru CD4</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sz w:val="24"/>
          <w:szCs w:val="24"/>
        </w:rPr>
        <w:t xml:space="preserve">menší než 3,5 </w:t>
      </w:r>
      <w:r w:rsidRPr="0062347D">
        <w:rPr>
          <w:rFonts w:cstheme="minorHAnsi"/>
          <w:noProof/>
          <w:sz w:val="24"/>
          <w:szCs w:val="24"/>
        </w:rPr>
        <w:t>(Meyer 2007)</w:t>
      </w:r>
      <w:r w:rsidRPr="0062347D">
        <w:rPr>
          <w:rFonts w:cstheme="minorHAnsi"/>
          <w:sz w:val="24"/>
          <w:szCs w:val="24"/>
        </w:rPr>
        <w:t xml:space="preserve">. Pacienti s odlišnými stádii plicní sarkoidózy, pacienti s Löfgrenovým syndromem (LS) a pokročilé třetí až čtvrté rentgenologické stádium mohou mít zcela odlišný BAL buněčný profil </w:t>
      </w:r>
      <w:r w:rsidRPr="0062347D">
        <w:rPr>
          <w:rFonts w:cstheme="minorHAnsi"/>
          <w:noProof/>
          <w:sz w:val="24"/>
          <w:szCs w:val="24"/>
        </w:rPr>
        <w:t>(Danila, Norkuniene et al. 2009)</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S p</w:t>
      </w:r>
      <w:r w:rsidRPr="00E663BF">
        <w:rPr>
          <w:rFonts w:cstheme="minorHAnsi"/>
          <w:sz w:val="24"/>
          <w:szCs w:val="24"/>
        </w:rPr>
        <w:t>ostupujícím onemocněním se počet CD4</w:t>
      </w:r>
      <w:r w:rsidRPr="004E5649">
        <w:rPr>
          <w:rFonts w:cstheme="minorHAnsi"/>
          <w:sz w:val="24"/>
          <w:szCs w:val="24"/>
          <w:vertAlign w:val="superscript"/>
        </w:rPr>
        <w:t>+</w:t>
      </w:r>
      <w:r w:rsidRPr="004E5649">
        <w:rPr>
          <w:rFonts w:cstheme="minorHAnsi"/>
          <w:sz w:val="24"/>
          <w:szCs w:val="24"/>
        </w:rPr>
        <w:t xml:space="preserve"> </w:t>
      </w:r>
      <w:r>
        <w:rPr>
          <w:rFonts w:cstheme="minorHAnsi"/>
          <w:sz w:val="24"/>
          <w:szCs w:val="24"/>
        </w:rPr>
        <w:t>T-</w:t>
      </w:r>
      <w:r w:rsidRPr="004E5649">
        <w:rPr>
          <w:rFonts w:cstheme="minorHAnsi"/>
          <w:sz w:val="24"/>
          <w:szCs w:val="24"/>
        </w:rPr>
        <w:t>lymfocytů snižuje a počet CD8</w:t>
      </w:r>
      <w:r w:rsidRPr="004E5649">
        <w:rPr>
          <w:rFonts w:cstheme="minorHAnsi"/>
          <w:sz w:val="24"/>
          <w:szCs w:val="24"/>
          <w:vertAlign w:val="superscript"/>
        </w:rPr>
        <w:t>+</w:t>
      </w:r>
      <w:r w:rsidRPr="004E5649">
        <w:rPr>
          <w:rFonts w:cstheme="minorHAnsi"/>
          <w:sz w:val="24"/>
          <w:szCs w:val="24"/>
        </w:rPr>
        <w:t xml:space="preserve"> </w:t>
      </w:r>
      <w:r>
        <w:rPr>
          <w:rFonts w:cstheme="minorHAnsi"/>
          <w:sz w:val="24"/>
          <w:szCs w:val="24"/>
        </w:rPr>
        <w:t>T-lymfocytů</w:t>
      </w:r>
      <w:r w:rsidRPr="004E5649">
        <w:rPr>
          <w:rFonts w:cstheme="minorHAnsi"/>
          <w:sz w:val="24"/>
          <w:szCs w:val="24"/>
        </w:rPr>
        <w:t xml:space="preserve"> se zvyšuje, to vede ke snížení poměru CD4</w:t>
      </w:r>
      <w:r w:rsidRPr="00B24D8C">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w:t>
      </w:r>
      <w:r w:rsidRPr="0062347D">
        <w:rPr>
          <w:rFonts w:cstheme="minorHAnsi"/>
          <w:noProof/>
          <w:sz w:val="24"/>
          <w:szCs w:val="24"/>
        </w:rPr>
        <w:t>(Danila, Jurgauskiene et al. 2008)</w:t>
      </w:r>
      <w:r w:rsidRPr="0062347D">
        <w:rPr>
          <w:rFonts w:cstheme="minorHAnsi"/>
          <w:sz w:val="24"/>
          <w:szCs w:val="24"/>
        </w:rPr>
        <w:t xml:space="preserve">. Z BAL parametrů využívaných pro diagnostiku zůstává zvýšený poměr </w:t>
      </w:r>
      <w:r w:rsidRPr="003329E2">
        <w:rPr>
          <w:rFonts w:cstheme="minorHAnsi"/>
          <w:sz w:val="24"/>
          <w:szCs w:val="24"/>
        </w:rPr>
        <w:t>CD4</w:t>
      </w:r>
      <w:r w:rsidRPr="00E663BF">
        <w:rPr>
          <w:rFonts w:cstheme="minorHAnsi"/>
          <w:sz w:val="24"/>
          <w:szCs w:val="24"/>
          <w:vertAlign w:val="superscript"/>
        </w:rPr>
        <w:t>+</w:t>
      </w:r>
      <w:r w:rsidRPr="00E663BF">
        <w:rPr>
          <w:rFonts w:cstheme="minorHAnsi"/>
          <w:sz w:val="24"/>
          <w:szCs w:val="24"/>
        </w:rPr>
        <w:t>/CD8</w:t>
      </w:r>
      <w:r w:rsidRPr="004E5649">
        <w:rPr>
          <w:rFonts w:cstheme="minorHAnsi"/>
          <w:sz w:val="24"/>
          <w:szCs w:val="24"/>
          <w:vertAlign w:val="superscript"/>
        </w:rPr>
        <w:t>+</w:t>
      </w:r>
      <w:r w:rsidRPr="004E5649">
        <w:rPr>
          <w:rFonts w:cstheme="minorHAnsi"/>
          <w:sz w:val="24"/>
          <w:szCs w:val="24"/>
        </w:rPr>
        <w:t xml:space="preserve"> stále specifický pro akutní sarkoidózu. Práce z</w:t>
      </w:r>
      <w:r w:rsidRPr="00B24D8C">
        <w:rPr>
          <w:rFonts w:cstheme="minorHAnsi"/>
          <w:sz w:val="24"/>
          <w:szCs w:val="24"/>
        </w:rPr>
        <w:t>abývající se hlubším využitím bronchoalveolárních (BA)</w:t>
      </w:r>
      <w:r w:rsidRPr="0062347D">
        <w:rPr>
          <w:rFonts w:cstheme="minorHAnsi"/>
          <w:sz w:val="24"/>
          <w:szCs w:val="24"/>
        </w:rPr>
        <w:t xml:space="preserve"> buněk k předpovědi následujícího vývoje onemocnění jsou sporadické. </w:t>
      </w:r>
      <w:r w:rsidR="00B17BB9">
        <w:rPr>
          <w:rFonts w:cstheme="minorHAnsi"/>
          <w:sz w:val="24"/>
          <w:szCs w:val="24"/>
        </w:rPr>
        <w:t>Nicméně se objevují</w:t>
      </w:r>
      <w:r>
        <w:rPr>
          <w:rFonts w:cstheme="minorHAnsi"/>
          <w:sz w:val="24"/>
          <w:szCs w:val="24"/>
        </w:rPr>
        <w:t xml:space="preserve"> </w:t>
      </w:r>
      <w:r w:rsidRPr="0062347D">
        <w:rPr>
          <w:rFonts w:cstheme="minorHAnsi"/>
          <w:sz w:val="24"/>
          <w:szCs w:val="24"/>
        </w:rPr>
        <w:t>publikace, které se snaží nalézt přínosy i dalších BA buněčných populací než pouze lymfocytů. Například Kinder et al. (2008) nalezli vztah mezi zvýšenými diferenciálními počty neutrofilů v BAL tekutině a následnou mortalitou u pacientů s idiopatickou plicní fibrózou (</w:t>
      </w:r>
      <w:proofErr w:type="gramStart"/>
      <w:r w:rsidRPr="0062347D">
        <w:rPr>
          <w:rFonts w:cstheme="minorHAnsi"/>
          <w:sz w:val="24"/>
          <w:szCs w:val="24"/>
        </w:rPr>
        <w:t xml:space="preserve">IPF) </w:t>
      </w:r>
      <w:r w:rsidRPr="0062347D">
        <w:rPr>
          <w:rFonts w:cstheme="minorHAnsi"/>
          <w:noProof/>
          <w:sz w:val="24"/>
          <w:szCs w:val="24"/>
        </w:rPr>
        <w:t>(Kinder</w:t>
      </w:r>
      <w:proofErr w:type="gramEnd"/>
      <w:r w:rsidRPr="0062347D">
        <w:rPr>
          <w:rFonts w:cstheme="minorHAnsi"/>
          <w:noProof/>
          <w:sz w:val="24"/>
          <w:szCs w:val="24"/>
        </w:rPr>
        <w:t>, Brown et al. 2008)</w:t>
      </w:r>
      <w:r w:rsidRPr="0062347D">
        <w:rPr>
          <w:rFonts w:cstheme="minorHAnsi"/>
          <w:sz w:val="24"/>
          <w:szCs w:val="24"/>
        </w:rPr>
        <w:t>.</w:t>
      </w:r>
    </w:p>
    <w:p w:rsidR="008F0C0F" w:rsidRPr="00E663BF" w:rsidRDefault="008F0C0F" w:rsidP="00284F89">
      <w:pPr>
        <w:pStyle w:val="Nadpis2"/>
        <w:spacing w:after="240"/>
        <w:rPr>
          <w:rFonts w:cstheme="minorHAnsi"/>
          <w:szCs w:val="24"/>
        </w:rPr>
      </w:pPr>
      <w:bookmarkStart w:id="13" w:name="_Toc69543009"/>
      <w:r w:rsidRPr="003329E2">
        <w:rPr>
          <w:rFonts w:cstheme="minorHAnsi"/>
          <w:szCs w:val="24"/>
        </w:rPr>
        <w:t>RNA-</w:t>
      </w:r>
      <w:r w:rsidRPr="00E663BF">
        <w:rPr>
          <w:rFonts w:cstheme="minorHAnsi"/>
          <w:szCs w:val="24"/>
        </w:rPr>
        <w:t>vazebné proteiny</w:t>
      </w:r>
      <w:bookmarkEnd w:id="13"/>
      <w:r w:rsidRPr="00E663BF">
        <w:rPr>
          <w:rFonts w:cstheme="minorHAnsi"/>
          <w:szCs w:val="24"/>
        </w:rPr>
        <w:t xml:space="preserve"> </w:t>
      </w:r>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Regulace stability mediátorových RNA (</w:t>
      </w:r>
      <w:r>
        <w:rPr>
          <w:rFonts w:cstheme="minorHAnsi"/>
          <w:sz w:val="24"/>
          <w:szCs w:val="24"/>
        </w:rPr>
        <w:t xml:space="preserve">mRNA </w:t>
      </w:r>
      <w:r w:rsidRPr="004E5649">
        <w:rPr>
          <w:rFonts w:cstheme="minorHAnsi"/>
          <w:sz w:val="24"/>
          <w:szCs w:val="24"/>
        </w:rPr>
        <w:t>= messenger RNA) v buňce</w:t>
      </w:r>
      <w:r w:rsidRPr="00B24D8C">
        <w:rPr>
          <w:rFonts w:cstheme="minorHAnsi"/>
          <w:sz w:val="24"/>
          <w:szCs w:val="24"/>
        </w:rPr>
        <w:t xml:space="preserve"> je</w:t>
      </w:r>
      <w:r w:rsidRPr="0062347D">
        <w:rPr>
          <w:rFonts w:cstheme="minorHAnsi"/>
          <w:sz w:val="24"/>
          <w:szCs w:val="24"/>
        </w:rPr>
        <w:t xml:space="preserve"> významným mechanismem pro kontrolu genové exprese. Změny v mRNA stabilitě se následně odráží na proteinové úrovni a jsou zásadní pro homeostázu buněk </w:t>
      </w:r>
      <w:r w:rsidRPr="0062347D">
        <w:rPr>
          <w:rFonts w:cstheme="minorHAnsi"/>
          <w:noProof/>
          <w:sz w:val="24"/>
          <w:szCs w:val="24"/>
        </w:rPr>
        <w:t>(Palanisamy, Jakymiw et al. 2012)</w:t>
      </w:r>
      <w:r w:rsidRPr="0062347D">
        <w:rPr>
          <w:rFonts w:cstheme="minorHAnsi"/>
          <w:sz w:val="24"/>
          <w:szCs w:val="24"/>
        </w:rPr>
        <w:t>. Post-transkripční kontrolní mechanismy obvykle cílí na 3´ nepřeklád</w:t>
      </w:r>
      <w:r w:rsidRPr="003329E2">
        <w:rPr>
          <w:rFonts w:cstheme="minorHAnsi"/>
          <w:sz w:val="24"/>
          <w:szCs w:val="24"/>
        </w:rPr>
        <w:t>anou</w:t>
      </w:r>
      <w:r w:rsidRPr="00E663BF">
        <w:rPr>
          <w:rFonts w:cstheme="minorHAnsi"/>
          <w:sz w:val="24"/>
          <w:szCs w:val="24"/>
        </w:rPr>
        <w:t xml:space="preserve"> </w:t>
      </w:r>
      <w:r w:rsidRPr="004E5649">
        <w:rPr>
          <w:rFonts w:cstheme="minorHAnsi"/>
          <w:sz w:val="24"/>
          <w:szCs w:val="24"/>
        </w:rPr>
        <w:t>oblast (UTR</w:t>
      </w:r>
      <w:r>
        <w:rPr>
          <w:rFonts w:cstheme="minorHAnsi"/>
          <w:sz w:val="24"/>
          <w:szCs w:val="24"/>
        </w:rPr>
        <w:t xml:space="preserve"> </w:t>
      </w:r>
      <w:r w:rsidRPr="004E5649">
        <w:rPr>
          <w:rFonts w:cstheme="minorHAnsi"/>
          <w:sz w:val="24"/>
          <w:szCs w:val="24"/>
        </w:rPr>
        <w:t xml:space="preserve">= </w:t>
      </w:r>
      <w:r w:rsidRPr="00C87449">
        <w:rPr>
          <w:rFonts w:cstheme="minorHAnsi"/>
          <w:sz w:val="24"/>
          <w:szCs w:val="24"/>
        </w:rPr>
        <w:t>untranslated</w:t>
      </w:r>
      <w:r w:rsidRPr="0062347D">
        <w:rPr>
          <w:rFonts w:cstheme="minorHAnsi"/>
          <w:sz w:val="24"/>
          <w:szCs w:val="24"/>
        </w:rPr>
        <w:t xml:space="preserve"> region) v mRNA sekvenci </w:t>
      </w:r>
      <w:r w:rsidRPr="0062347D">
        <w:rPr>
          <w:rFonts w:cstheme="minorHAnsi"/>
          <w:noProof/>
          <w:sz w:val="24"/>
          <w:szCs w:val="24"/>
        </w:rPr>
        <w:t>(Anderson 2010)</w:t>
      </w:r>
      <w:r w:rsidRPr="0062347D">
        <w:rPr>
          <w:rFonts w:cstheme="minorHAnsi"/>
          <w:sz w:val="24"/>
          <w:szCs w:val="24"/>
        </w:rPr>
        <w:t xml:space="preserve">. </w:t>
      </w:r>
      <w:r w:rsidRPr="003329E2">
        <w:rPr>
          <w:rFonts w:cstheme="minorHAnsi"/>
          <w:sz w:val="24"/>
          <w:szCs w:val="24"/>
        </w:rPr>
        <w:lastRenderedPageBreak/>
        <w:t>V</w:t>
      </w:r>
      <w:r w:rsidRPr="00E663BF">
        <w:rPr>
          <w:rFonts w:cstheme="minorHAnsi"/>
          <w:sz w:val="24"/>
          <w:szCs w:val="24"/>
        </w:rPr>
        <w:t> </w:t>
      </w:r>
      <w:r w:rsidRPr="004E5649">
        <w:rPr>
          <w:rFonts w:cstheme="minorHAnsi"/>
          <w:sz w:val="24"/>
          <w:szCs w:val="24"/>
        </w:rPr>
        <w:t>tomto úseku mRNA se nachází konzervativní vazebné domény pro RNA-vazebné proteiny s místy bohatými na ade</w:t>
      </w:r>
      <w:r w:rsidRPr="00B24D8C">
        <w:rPr>
          <w:rFonts w:cstheme="minorHAnsi"/>
          <w:sz w:val="24"/>
          <w:szCs w:val="24"/>
        </w:rPr>
        <w:t>nin a uridin (ARE</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shd w:val="clear" w:color="auto" w:fill="FFFFFF"/>
        </w:rPr>
        <w:t xml:space="preserve">Adenylate-Uridylate </w:t>
      </w:r>
      <w:r w:rsidRPr="00C87449">
        <w:rPr>
          <w:rStyle w:val="Zvraznn"/>
          <w:rFonts w:cstheme="minorHAnsi"/>
          <w:bCs/>
          <w:i w:val="0"/>
          <w:iCs w:val="0"/>
          <w:sz w:val="24"/>
          <w:szCs w:val="24"/>
          <w:shd w:val="clear" w:color="auto" w:fill="FFFFFF"/>
        </w:rPr>
        <w:t>rich Elements</w:t>
      </w:r>
      <w:r w:rsidRPr="0062347D">
        <w:rPr>
          <w:rStyle w:val="Zvraznn"/>
          <w:rFonts w:cstheme="minorHAnsi"/>
          <w:bCs/>
          <w:i w:val="0"/>
          <w:iCs w:val="0"/>
          <w:color w:val="52565A"/>
          <w:sz w:val="24"/>
          <w:szCs w:val="24"/>
          <w:shd w:val="clear" w:color="auto" w:fill="FFFFFF"/>
        </w:rPr>
        <w:t xml:space="preserve">). </w:t>
      </w:r>
      <w:r w:rsidRPr="0062347D">
        <w:rPr>
          <w:rStyle w:val="Zvraznn"/>
          <w:rFonts w:cstheme="minorHAnsi"/>
          <w:bCs/>
          <w:i w:val="0"/>
          <w:iCs w:val="0"/>
          <w:sz w:val="24"/>
          <w:szCs w:val="24"/>
          <w:shd w:val="clear" w:color="auto" w:fill="FFFFFF"/>
        </w:rPr>
        <w:t>Transkripty genů, které jsou exprimovány brzy po zahájení imunitní odpovědi</w:t>
      </w:r>
      <w:r w:rsidRPr="003329E2">
        <w:rPr>
          <w:rStyle w:val="Zvraznn"/>
          <w:rFonts w:cstheme="minorHAnsi"/>
          <w:bCs/>
          <w:i w:val="0"/>
          <w:iCs w:val="0"/>
          <w:sz w:val="24"/>
          <w:szCs w:val="24"/>
          <w:shd w:val="clear" w:color="auto" w:fill="FFFFFF"/>
        </w:rPr>
        <w:t>,</w:t>
      </w:r>
      <w:r w:rsidRPr="00E663BF">
        <w:rPr>
          <w:rStyle w:val="Zvraznn"/>
          <w:rFonts w:cstheme="minorHAnsi"/>
          <w:bCs/>
          <w:i w:val="0"/>
          <w:iCs w:val="0"/>
          <w:sz w:val="24"/>
          <w:szCs w:val="24"/>
          <w:shd w:val="clear" w:color="auto" w:fill="FFFFFF"/>
        </w:rPr>
        <w:t xml:space="preserve"> mají více úseků </w:t>
      </w:r>
      <w:r w:rsidRPr="004E5649">
        <w:rPr>
          <w:rStyle w:val="Zvraznn"/>
          <w:rFonts w:cstheme="minorHAnsi"/>
          <w:bCs/>
          <w:i w:val="0"/>
          <w:iCs w:val="0"/>
          <w:sz w:val="24"/>
          <w:szCs w:val="24"/>
          <w:shd w:val="clear" w:color="auto" w:fill="FFFFFF"/>
        </w:rPr>
        <w:t xml:space="preserve">bohatých na adenin a uridin, než ty, které jsou exprimovány později </w:t>
      </w:r>
      <w:r w:rsidRPr="0062347D">
        <w:rPr>
          <w:rStyle w:val="Zvraznn"/>
          <w:rFonts w:cstheme="minorHAnsi"/>
          <w:bCs/>
          <w:i w:val="0"/>
          <w:iCs w:val="0"/>
          <w:noProof/>
          <w:sz w:val="24"/>
          <w:szCs w:val="24"/>
          <w:shd w:val="clear" w:color="auto" w:fill="FFFFFF"/>
        </w:rPr>
        <w:t>(Palanisamy, Jakymiw et al. 2012)</w:t>
      </w:r>
      <w:r w:rsidRPr="0062347D">
        <w:rPr>
          <w:rStyle w:val="Zvraznn"/>
          <w:rFonts w:cstheme="minorHAnsi"/>
          <w:bCs/>
          <w:i w:val="0"/>
          <w:iCs w:val="0"/>
          <w:color w:val="52565A"/>
          <w:sz w:val="24"/>
          <w:szCs w:val="24"/>
          <w:shd w:val="clear" w:color="auto" w:fill="FFFFFF"/>
        </w:rPr>
        <w:t xml:space="preserve">. </w:t>
      </w:r>
      <w:r w:rsidRPr="003329E2">
        <w:rPr>
          <w:rStyle w:val="Zvraznn"/>
          <w:rFonts w:cstheme="minorHAnsi"/>
          <w:bCs/>
          <w:i w:val="0"/>
          <w:iCs w:val="0"/>
          <w:sz w:val="24"/>
          <w:szCs w:val="24"/>
          <w:shd w:val="clear" w:color="auto" w:fill="FFFFFF"/>
        </w:rPr>
        <w:t xml:space="preserve">Tímto způsobem dokáže </w:t>
      </w:r>
      <w:r w:rsidRPr="00E663BF">
        <w:rPr>
          <w:rStyle w:val="Zvraznn"/>
          <w:rFonts w:cstheme="minorHAnsi"/>
          <w:bCs/>
          <w:i w:val="0"/>
          <w:iCs w:val="0"/>
          <w:color w:val="52565A"/>
          <w:sz w:val="24"/>
          <w:szCs w:val="24"/>
          <w:shd w:val="clear" w:color="auto" w:fill="FFFFFF"/>
        </w:rPr>
        <w:t>i</w:t>
      </w:r>
      <w:r w:rsidRPr="004E5649">
        <w:rPr>
          <w:rFonts w:cstheme="minorHAnsi"/>
          <w:sz w:val="24"/>
          <w:szCs w:val="24"/>
        </w:rPr>
        <w:t xml:space="preserve">munitní systém na post-transkripční úrovni tlumit proteinovou expresi a regulovat zánět tak, aby nedošlo k poškození tkání </w:t>
      </w:r>
      <w:r w:rsidR="00F443E4">
        <w:rPr>
          <w:rFonts w:cstheme="minorHAnsi"/>
          <w:noProof/>
          <w:sz w:val="24"/>
          <w:szCs w:val="24"/>
        </w:rPr>
        <w:t xml:space="preserve">(Anderson 2010; </w:t>
      </w:r>
      <w:r w:rsidRPr="0062347D">
        <w:rPr>
          <w:rFonts w:cstheme="minorHAnsi"/>
          <w:noProof/>
          <w:sz w:val="24"/>
          <w:szCs w:val="24"/>
        </w:rPr>
        <w:t xml:space="preserve">Ivanov </w:t>
      </w:r>
      <w:r w:rsidR="00166BDD">
        <w:rPr>
          <w:rFonts w:cstheme="minorHAnsi"/>
          <w:noProof/>
          <w:sz w:val="24"/>
          <w:szCs w:val="24"/>
        </w:rPr>
        <w:t>a</w:t>
      </w:r>
      <w:r w:rsidRPr="0062347D">
        <w:rPr>
          <w:rFonts w:cstheme="minorHAnsi"/>
          <w:noProof/>
          <w:sz w:val="24"/>
          <w:szCs w:val="24"/>
        </w:rPr>
        <w:t xml:space="preserve"> Anderson 2013)</w:t>
      </w:r>
      <w:r w:rsidRPr="0062347D">
        <w:rPr>
          <w:rFonts w:cstheme="minorHAnsi"/>
          <w:sz w:val="24"/>
          <w:szCs w:val="24"/>
        </w:rPr>
        <w:t>. RNA-vazebné proteiny jsou schopné ovlivňovat expresi cytokinů, které jsou mediá</w:t>
      </w:r>
      <w:r w:rsidRPr="003329E2">
        <w:rPr>
          <w:rFonts w:cstheme="minorHAnsi"/>
          <w:sz w:val="24"/>
          <w:szCs w:val="24"/>
        </w:rPr>
        <w:t>tory imunitní odpovědi. J</w:t>
      </w:r>
      <w:r w:rsidRPr="00E663BF">
        <w:rPr>
          <w:rFonts w:cstheme="minorHAnsi"/>
          <w:sz w:val="24"/>
          <w:szCs w:val="24"/>
        </w:rPr>
        <w:t>sou to například různé interleukiny (IL-3, IL</w:t>
      </w:r>
      <w:r w:rsidRPr="004E5649">
        <w:rPr>
          <w:rFonts w:cstheme="minorHAnsi"/>
          <w:sz w:val="24"/>
          <w:szCs w:val="24"/>
        </w:rPr>
        <w:t>-5, IL-8, IL-10), dále tumor nekrotizující fa</w:t>
      </w:r>
      <w:r w:rsidRPr="00B24D8C">
        <w:rPr>
          <w:rFonts w:cstheme="minorHAnsi"/>
          <w:sz w:val="24"/>
          <w:szCs w:val="24"/>
        </w:rPr>
        <w:t>ktor alfa (TNF-α), vaskulární endoteliální růstový faktor (VEGF</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Vascular Endothelial Grow Factor</w:t>
      </w:r>
      <w:r w:rsidRPr="0062347D">
        <w:rPr>
          <w:rFonts w:cstheme="minorHAnsi"/>
          <w:sz w:val="24"/>
          <w:szCs w:val="24"/>
        </w:rPr>
        <w:t>), faktor stimulující kolonie granulocytů a makrofágů (GM-CSF</w:t>
      </w:r>
      <w:r>
        <w:rPr>
          <w:rFonts w:cstheme="minorHAnsi"/>
          <w:sz w:val="24"/>
          <w:szCs w:val="24"/>
        </w:rPr>
        <w:t xml:space="preserve"> </w:t>
      </w:r>
      <w:r w:rsidRPr="0062347D">
        <w:rPr>
          <w:rFonts w:cstheme="minorHAnsi"/>
          <w:sz w:val="24"/>
          <w:szCs w:val="24"/>
        </w:rPr>
        <w:t xml:space="preserve">= Granulocyte </w:t>
      </w:r>
      <w:r w:rsidRPr="00C87449">
        <w:rPr>
          <w:rFonts w:cstheme="minorHAnsi"/>
          <w:sz w:val="24"/>
          <w:szCs w:val="24"/>
        </w:rPr>
        <w:t>Macrophage Colony-Stimulating Factor</w:t>
      </w:r>
      <w:r w:rsidRPr="0062347D">
        <w:rPr>
          <w:rFonts w:cstheme="minorHAnsi"/>
          <w:sz w:val="24"/>
          <w:szCs w:val="24"/>
        </w:rPr>
        <w:t>) nebo cyklooxygenáza-2 (</w:t>
      </w:r>
      <w:proofErr w:type="gramStart"/>
      <w:r w:rsidRPr="0062347D">
        <w:rPr>
          <w:rFonts w:cstheme="minorHAnsi"/>
          <w:sz w:val="24"/>
          <w:szCs w:val="24"/>
        </w:rPr>
        <w:t xml:space="preserve">COX-2) </w:t>
      </w:r>
      <w:r w:rsidRPr="0062347D">
        <w:rPr>
          <w:rFonts w:cstheme="minorHAnsi"/>
          <w:noProof/>
          <w:sz w:val="24"/>
          <w:szCs w:val="24"/>
        </w:rPr>
        <w:t>(Palanisamy</w:t>
      </w:r>
      <w:proofErr w:type="gramEnd"/>
      <w:r w:rsidRPr="0062347D">
        <w:rPr>
          <w:rFonts w:cstheme="minorHAnsi"/>
          <w:noProof/>
          <w:sz w:val="24"/>
          <w:szCs w:val="24"/>
        </w:rPr>
        <w:t>, Jakymiw et al. 2012)</w:t>
      </w:r>
      <w:r w:rsidRPr="0062347D">
        <w:rPr>
          <w:rFonts w:cstheme="minorHAnsi"/>
          <w:sz w:val="24"/>
          <w:szCs w:val="24"/>
        </w:rPr>
        <w:t>.</w:t>
      </w:r>
    </w:p>
    <w:p w:rsidR="008F0C0F" w:rsidRPr="0062347D" w:rsidRDefault="008F0C0F" w:rsidP="00284F89">
      <w:pPr>
        <w:spacing w:after="0" w:line="360" w:lineRule="auto"/>
        <w:ind w:firstLine="709"/>
        <w:jc w:val="both"/>
        <w:rPr>
          <w:rFonts w:cstheme="minorHAnsi"/>
          <w:sz w:val="24"/>
          <w:szCs w:val="24"/>
        </w:rPr>
      </w:pPr>
      <w:r w:rsidRPr="0062347D">
        <w:rPr>
          <w:rFonts w:cstheme="minorHAnsi"/>
          <w:sz w:val="24"/>
          <w:szCs w:val="24"/>
        </w:rPr>
        <w:t>AUF1 (</w:t>
      </w:r>
      <w:r w:rsidRPr="00C87449">
        <w:rPr>
          <w:rFonts w:cstheme="minorHAnsi"/>
          <w:sz w:val="24"/>
          <w:szCs w:val="24"/>
          <w:shd w:val="clear" w:color="auto" w:fill="FFFFFF"/>
        </w:rPr>
        <w:t>AU-rich element RNA-binding </w:t>
      </w:r>
      <w:r w:rsidRPr="00C87449">
        <w:rPr>
          <w:rStyle w:val="Zvraznn"/>
          <w:rFonts w:cstheme="minorHAnsi"/>
          <w:bCs/>
          <w:i w:val="0"/>
          <w:iCs w:val="0"/>
          <w:sz w:val="24"/>
          <w:szCs w:val="24"/>
          <w:shd w:val="clear" w:color="auto" w:fill="FFFFFF"/>
        </w:rPr>
        <w:t>protein</w:t>
      </w:r>
      <w:r w:rsidRPr="0062347D">
        <w:rPr>
          <w:rFonts w:cstheme="minorHAnsi"/>
          <w:sz w:val="24"/>
          <w:szCs w:val="24"/>
          <w:shd w:val="clear" w:color="auto" w:fill="FFFFFF"/>
        </w:rPr>
        <w:t> 1)</w:t>
      </w:r>
      <w:r w:rsidRPr="0062347D">
        <w:rPr>
          <w:rFonts w:cstheme="minorHAnsi"/>
          <w:sz w:val="24"/>
          <w:szCs w:val="24"/>
        </w:rPr>
        <w:t xml:space="preserve"> je protein, jehož primární funkcí je rychlá degradace mRNA, ale příležitostně působí i jako stabilizační faktor. AUF1 se podílí na degradaci </w:t>
      </w:r>
      <w:r w:rsidRPr="003329E2">
        <w:rPr>
          <w:rFonts w:cstheme="minorHAnsi"/>
          <w:sz w:val="24"/>
          <w:szCs w:val="24"/>
        </w:rPr>
        <w:t>cytokinových a proto-onkoge</w:t>
      </w:r>
      <w:r w:rsidRPr="00E663BF">
        <w:rPr>
          <w:rFonts w:cstheme="minorHAnsi"/>
          <w:sz w:val="24"/>
          <w:szCs w:val="24"/>
        </w:rPr>
        <w:t>n</w:t>
      </w:r>
      <w:r w:rsidRPr="004E5649">
        <w:rPr>
          <w:rFonts w:cstheme="minorHAnsi"/>
          <w:sz w:val="24"/>
          <w:szCs w:val="24"/>
        </w:rPr>
        <w:t>ních mRNA</w:t>
      </w:r>
      <w:r>
        <w:rPr>
          <w:rFonts w:cstheme="minorHAnsi"/>
          <w:sz w:val="24"/>
          <w:szCs w:val="24"/>
        </w:rPr>
        <w:t>,</w:t>
      </w:r>
      <w:r w:rsidRPr="004E5649">
        <w:rPr>
          <w:rFonts w:cstheme="minorHAnsi"/>
          <w:sz w:val="24"/>
          <w:szCs w:val="24"/>
        </w:rPr>
        <w:t xml:space="preserve"> a to mechanismem destabilizace, který mRNA předurčí k rychlé degradaci </w:t>
      </w:r>
      <w:r w:rsidRPr="0062347D">
        <w:rPr>
          <w:rFonts w:cstheme="minorHAnsi"/>
          <w:noProof/>
          <w:sz w:val="24"/>
          <w:szCs w:val="24"/>
        </w:rPr>
        <w:t>(Moore, Chenette et al. 2014)</w:t>
      </w:r>
      <w:r w:rsidRPr="0062347D">
        <w:rPr>
          <w:rFonts w:cstheme="minorHAnsi"/>
          <w:sz w:val="24"/>
          <w:szCs w:val="24"/>
        </w:rPr>
        <w:t>. Jedním z dalších RNA-</w:t>
      </w:r>
      <w:r w:rsidRPr="003329E2">
        <w:rPr>
          <w:rFonts w:cstheme="minorHAnsi"/>
          <w:sz w:val="24"/>
          <w:szCs w:val="24"/>
        </w:rPr>
        <w:t>vazebných proteinů je HuR</w:t>
      </w:r>
      <w:r w:rsidRPr="00E663BF">
        <w:rPr>
          <w:rFonts w:cstheme="minorHAnsi"/>
          <w:sz w:val="24"/>
          <w:szCs w:val="24"/>
        </w:rPr>
        <w:t xml:space="preserve"> (tj. ELAV1</w:t>
      </w:r>
      <w:r>
        <w:rPr>
          <w:rFonts w:cstheme="minorHAnsi"/>
          <w:sz w:val="24"/>
          <w:szCs w:val="24"/>
        </w:rPr>
        <w:t xml:space="preserve"> </w:t>
      </w:r>
      <w:r w:rsidRPr="00E663BF">
        <w:rPr>
          <w:rFonts w:cstheme="minorHAnsi"/>
          <w:sz w:val="24"/>
          <w:szCs w:val="24"/>
        </w:rPr>
        <w:t xml:space="preserve">= </w:t>
      </w:r>
      <w:r w:rsidRPr="004E5649">
        <w:rPr>
          <w:rFonts w:cstheme="minorHAnsi"/>
          <w:color w:val="000000"/>
          <w:sz w:val="24"/>
          <w:szCs w:val="24"/>
          <w:shd w:val="clear" w:color="auto" w:fill="FFFFFF"/>
        </w:rPr>
        <w:t>ELAV like RNA-binding protein 1)</w:t>
      </w:r>
      <w:r w:rsidRPr="004E5649">
        <w:rPr>
          <w:rFonts w:cstheme="minorHAnsi"/>
          <w:sz w:val="24"/>
          <w:szCs w:val="24"/>
        </w:rPr>
        <w:t xml:space="preserve">, který stabilizuje například </w:t>
      </w:r>
      <w:r w:rsidRPr="00B24D8C">
        <w:rPr>
          <w:rFonts w:cstheme="minorHAnsi"/>
          <w:sz w:val="24"/>
          <w:szCs w:val="24"/>
        </w:rPr>
        <w:t>transkripty</w:t>
      </w:r>
      <w:r w:rsidRPr="0062347D">
        <w:rPr>
          <w:rFonts w:cstheme="minorHAnsi"/>
          <w:sz w:val="24"/>
          <w:szCs w:val="24"/>
        </w:rPr>
        <w:t xml:space="preserve"> matrix metaloproteináz </w:t>
      </w:r>
      <w:r w:rsidRPr="0062347D">
        <w:rPr>
          <w:rFonts w:cstheme="minorHAnsi"/>
          <w:noProof/>
          <w:sz w:val="24"/>
          <w:szCs w:val="24"/>
        </w:rPr>
        <w:t xml:space="preserve">(Ezegbunam </w:t>
      </w:r>
      <w:r w:rsidR="00166BDD">
        <w:rPr>
          <w:rFonts w:cstheme="minorHAnsi"/>
          <w:noProof/>
          <w:sz w:val="24"/>
          <w:szCs w:val="24"/>
        </w:rPr>
        <w:t>a</w:t>
      </w:r>
      <w:r w:rsidRPr="0062347D">
        <w:rPr>
          <w:rFonts w:cstheme="minorHAnsi"/>
          <w:noProof/>
          <w:sz w:val="24"/>
          <w:szCs w:val="24"/>
        </w:rPr>
        <w:t xml:space="preserve"> Foronjy 2018)</w:t>
      </w:r>
      <w:r w:rsidRPr="0062347D">
        <w:rPr>
          <w:rFonts w:cstheme="minorHAnsi"/>
          <w:sz w:val="24"/>
          <w:szCs w:val="24"/>
        </w:rPr>
        <w:t xml:space="preserve">. Matrix </w:t>
      </w:r>
      <w:r w:rsidRPr="003329E2">
        <w:rPr>
          <w:rFonts w:cstheme="minorHAnsi"/>
          <w:sz w:val="24"/>
          <w:szCs w:val="24"/>
        </w:rPr>
        <w:t xml:space="preserve">metaloproteinázy jsou skupinou enzymů významně se podílejících na patologických procesech probíhajících v plicích nemocných </w:t>
      </w:r>
      <w:r w:rsidR="00F443E4">
        <w:rPr>
          <w:rFonts w:cstheme="minorHAnsi"/>
          <w:noProof/>
          <w:sz w:val="24"/>
          <w:szCs w:val="24"/>
        </w:rPr>
        <w:t>(Fireman, Kraiem et al. 2002;</w:t>
      </w:r>
      <w:r w:rsidRPr="0062347D">
        <w:rPr>
          <w:rFonts w:cstheme="minorHAnsi"/>
          <w:noProof/>
          <w:sz w:val="24"/>
          <w:szCs w:val="24"/>
        </w:rPr>
        <w:t xml:space="preserve"> Henry, McMahon et al. </w:t>
      </w:r>
      <w:r w:rsidR="00F443E4">
        <w:rPr>
          <w:rFonts w:cstheme="minorHAnsi"/>
          <w:noProof/>
          <w:sz w:val="24"/>
          <w:szCs w:val="24"/>
        </w:rPr>
        <w:t>2002;</w:t>
      </w:r>
      <w:r w:rsidRPr="0062347D">
        <w:rPr>
          <w:rFonts w:cstheme="minorHAnsi"/>
          <w:sz w:val="24"/>
          <w:szCs w:val="24"/>
        </w:rPr>
        <w:t xml:space="preserve"> </w:t>
      </w:r>
      <w:r w:rsidRPr="0062347D">
        <w:rPr>
          <w:rFonts w:cstheme="minorHAnsi"/>
          <w:noProof/>
          <w:sz w:val="24"/>
          <w:szCs w:val="24"/>
        </w:rPr>
        <w:t>Craig, Zhang et al. 2015)</w:t>
      </w:r>
      <w:r w:rsidRPr="0062347D">
        <w:rPr>
          <w:rFonts w:cstheme="minorHAnsi"/>
          <w:sz w:val="24"/>
          <w:szCs w:val="24"/>
        </w:rPr>
        <w:t>. Protein HuR ochraňuje mRNA před degradací</w:t>
      </w:r>
      <w:r>
        <w:rPr>
          <w:rFonts w:cstheme="minorHAnsi"/>
          <w:sz w:val="24"/>
          <w:szCs w:val="24"/>
        </w:rPr>
        <w:t>,</w:t>
      </w:r>
      <w:r w:rsidRPr="0062347D">
        <w:rPr>
          <w:rFonts w:cstheme="minorHAnsi"/>
          <w:sz w:val="24"/>
          <w:szCs w:val="24"/>
        </w:rPr>
        <w:t xml:space="preserve"> a to tím způsobem, že </w:t>
      </w:r>
      <w:r w:rsidRPr="00F443E4">
        <w:rPr>
          <w:rFonts w:cstheme="minorHAnsi"/>
          <w:sz w:val="24"/>
          <w:szCs w:val="24"/>
        </w:rPr>
        <w:t>kompetuje</w:t>
      </w:r>
      <w:r w:rsidRPr="0062347D">
        <w:rPr>
          <w:rFonts w:cstheme="minorHAnsi"/>
          <w:sz w:val="24"/>
          <w:szCs w:val="24"/>
        </w:rPr>
        <w:t xml:space="preserve"> s mikroRNA, které navádí mRNA k proteinovému komplexu RISC (RNA Induced Silencing Complex) a ten je poté rozštěpí </w:t>
      </w:r>
      <w:r w:rsidRPr="0062347D">
        <w:rPr>
          <w:rFonts w:cstheme="minorHAnsi"/>
          <w:noProof/>
          <w:sz w:val="24"/>
          <w:szCs w:val="24"/>
        </w:rPr>
        <w:t>(Srikantan, Tominaga et al. 2012)</w:t>
      </w:r>
      <w:r w:rsidRPr="0062347D">
        <w:rPr>
          <w:rFonts w:cstheme="minorHAnsi"/>
          <w:sz w:val="24"/>
          <w:szCs w:val="24"/>
        </w:rPr>
        <w:t>. Další RNA-</w:t>
      </w:r>
      <w:r w:rsidRPr="003329E2">
        <w:rPr>
          <w:rFonts w:cstheme="minorHAnsi"/>
          <w:sz w:val="24"/>
          <w:szCs w:val="24"/>
        </w:rPr>
        <w:t>vazebn</w:t>
      </w:r>
      <w:r w:rsidRPr="00E663BF">
        <w:rPr>
          <w:rFonts w:cstheme="minorHAnsi"/>
          <w:sz w:val="24"/>
          <w:szCs w:val="24"/>
        </w:rPr>
        <w:t>é proteiny</w:t>
      </w:r>
      <w:r w:rsidRPr="004E5649">
        <w:rPr>
          <w:rFonts w:cstheme="minorHAnsi"/>
          <w:sz w:val="24"/>
          <w:szCs w:val="24"/>
        </w:rPr>
        <w:t xml:space="preserve"> KSRP (</w:t>
      </w:r>
      <w:r w:rsidRPr="004E5649">
        <w:rPr>
          <w:rFonts w:cstheme="minorHAnsi"/>
          <w:color w:val="212121"/>
          <w:sz w:val="24"/>
          <w:szCs w:val="24"/>
          <w:shd w:val="clear" w:color="auto" w:fill="FFFFFF"/>
        </w:rPr>
        <w:t>KH-type splicing regulatory protein</w:t>
      </w:r>
      <w:r w:rsidRPr="004E5649">
        <w:rPr>
          <w:rFonts w:cstheme="minorHAnsi"/>
          <w:sz w:val="24"/>
          <w:szCs w:val="24"/>
        </w:rPr>
        <w:t>) a TTP (Tristetraprolin) se podílejí</w:t>
      </w:r>
      <w:r w:rsidRPr="00B24D8C">
        <w:rPr>
          <w:rFonts w:cstheme="minorHAnsi"/>
          <w:sz w:val="24"/>
          <w:szCs w:val="24"/>
        </w:rPr>
        <w:t xml:space="preserve"> na procesu odstranění po</w:t>
      </w:r>
      <w:r w:rsidRPr="0062347D">
        <w:rPr>
          <w:rFonts w:cstheme="minorHAnsi"/>
          <w:sz w:val="24"/>
          <w:szCs w:val="24"/>
        </w:rPr>
        <w:t xml:space="preserve">ly-A konce ze sekvence mRNA, přičemž mRNA je následně urychleně degradována </w:t>
      </w:r>
      <w:r w:rsidR="00F443E4">
        <w:rPr>
          <w:rFonts w:cstheme="minorHAnsi"/>
          <w:noProof/>
          <w:sz w:val="24"/>
          <w:szCs w:val="24"/>
        </w:rPr>
        <w:t xml:space="preserve">(Gherzi, Lee et al. 2004; </w:t>
      </w:r>
      <w:r w:rsidRPr="0062347D">
        <w:rPr>
          <w:rFonts w:cstheme="minorHAnsi"/>
          <w:noProof/>
          <w:sz w:val="24"/>
          <w:szCs w:val="24"/>
        </w:rPr>
        <w:t>Lai, Kennington et al. 2003)</w:t>
      </w:r>
      <w:r w:rsidRPr="0062347D">
        <w:rPr>
          <w:rFonts w:cstheme="minorHAnsi"/>
          <w:sz w:val="24"/>
          <w:szCs w:val="24"/>
        </w:rPr>
        <w:t>.</w:t>
      </w:r>
    </w:p>
    <w:p w:rsidR="008F0C0F" w:rsidRPr="0062347D" w:rsidRDefault="008F0C0F" w:rsidP="00927720">
      <w:pPr>
        <w:spacing w:before="240" w:line="360" w:lineRule="auto"/>
        <w:ind w:firstLine="709"/>
        <w:jc w:val="both"/>
        <w:rPr>
          <w:rFonts w:cstheme="minorHAnsi"/>
          <w:sz w:val="24"/>
          <w:szCs w:val="24"/>
        </w:rPr>
      </w:pPr>
      <w:r w:rsidRPr="003329E2">
        <w:rPr>
          <w:rFonts w:cstheme="minorHAnsi"/>
          <w:sz w:val="24"/>
          <w:szCs w:val="24"/>
        </w:rPr>
        <w:t>RNA-</w:t>
      </w:r>
      <w:r w:rsidRPr="00E663BF">
        <w:rPr>
          <w:rFonts w:cstheme="minorHAnsi"/>
          <w:sz w:val="24"/>
          <w:szCs w:val="24"/>
        </w:rPr>
        <w:t xml:space="preserve">vazebný protein </w:t>
      </w:r>
      <w:r w:rsidRPr="004E5649">
        <w:rPr>
          <w:rFonts w:cstheme="minorHAnsi"/>
          <w:sz w:val="24"/>
          <w:szCs w:val="24"/>
        </w:rPr>
        <w:t>TIA-1 (T-cell-restricted intracellular antigen 1) se účastní alternativního sestřihu pre-mRNA</w:t>
      </w:r>
      <w:r w:rsidRPr="00B24D8C">
        <w:rPr>
          <w:rFonts w:cstheme="minorHAnsi"/>
          <w:sz w:val="24"/>
          <w:szCs w:val="24"/>
        </w:rPr>
        <w:t xml:space="preserve"> a</w:t>
      </w:r>
      <w:r w:rsidRPr="0062347D">
        <w:rPr>
          <w:rFonts w:cstheme="minorHAnsi"/>
          <w:sz w:val="24"/>
          <w:szCs w:val="24"/>
        </w:rPr>
        <w:t xml:space="preserve"> je schopný inhibovat translaci vazbou na sekvence v mRNA genů TNF-α a COX-2, které jsou bohaté na adenosin a uridin </w:t>
      </w:r>
      <w:r w:rsidRPr="0062347D">
        <w:rPr>
          <w:rFonts w:cstheme="minorHAnsi"/>
          <w:noProof/>
          <w:sz w:val="24"/>
          <w:szCs w:val="24"/>
        </w:rPr>
        <w:t>(López de Silanes, Galbán et al. 2005)</w:t>
      </w:r>
      <w:r w:rsidRPr="0062347D">
        <w:rPr>
          <w:rFonts w:cstheme="minorHAnsi"/>
          <w:sz w:val="24"/>
          <w:szCs w:val="24"/>
        </w:rPr>
        <w:t>. TIAR (TIA-1 related protein) může asociovat s transkripčním faktorem c-Myc, který reguluje prote</w:t>
      </w:r>
      <w:r w:rsidRPr="003329E2">
        <w:rPr>
          <w:rFonts w:cstheme="minorHAnsi"/>
          <w:sz w:val="24"/>
          <w:szCs w:val="24"/>
        </w:rPr>
        <w:t>iny spojené s translací</w:t>
      </w:r>
      <w:r w:rsidRPr="00E663BF">
        <w:rPr>
          <w:rFonts w:cstheme="minorHAnsi"/>
          <w:sz w:val="24"/>
          <w:szCs w:val="24"/>
        </w:rPr>
        <w:t xml:space="preserve"> v</w:t>
      </w:r>
      <w:r w:rsidRPr="004E5649">
        <w:rPr>
          <w:rFonts w:cstheme="minorHAnsi"/>
          <w:sz w:val="24"/>
          <w:szCs w:val="24"/>
        </w:rPr>
        <w:t xml:space="preserve"> buňce. Mezi tyto proteiny patří například transkripční faktory eIF4E nebo eIF4A a další </w:t>
      </w:r>
      <w:r w:rsidRPr="0062347D">
        <w:rPr>
          <w:rFonts w:cstheme="minorHAnsi"/>
          <w:noProof/>
          <w:sz w:val="24"/>
          <w:szCs w:val="24"/>
        </w:rPr>
        <w:t>(Mazan-Mamczarz, Lal et al. 2006)</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lastRenderedPageBreak/>
        <w:t>D</w:t>
      </w:r>
      <w:r w:rsidRPr="00E663BF">
        <w:rPr>
          <w:rFonts w:cstheme="minorHAnsi"/>
          <w:sz w:val="24"/>
          <w:szCs w:val="24"/>
        </w:rPr>
        <w:t>alší</w:t>
      </w:r>
      <w:r w:rsidRPr="004E5649">
        <w:rPr>
          <w:rFonts w:cstheme="minorHAnsi"/>
          <w:sz w:val="24"/>
          <w:szCs w:val="24"/>
        </w:rPr>
        <w:t>m proteinem, který jsme zkoumali na mRNA úrovni, je nukleolin (NCL). NCL je multifunkční protein, vyskytuje se v jádře</w:t>
      </w:r>
      <w:r w:rsidRPr="00B24D8C">
        <w:rPr>
          <w:rFonts w:cstheme="minorHAnsi"/>
          <w:sz w:val="24"/>
          <w:szCs w:val="24"/>
        </w:rPr>
        <w:t xml:space="preserve"> i</w:t>
      </w:r>
      <w:r w:rsidRPr="0062347D">
        <w:rPr>
          <w:rFonts w:cstheme="minorHAnsi"/>
          <w:sz w:val="24"/>
          <w:szCs w:val="24"/>
        </w:rPr>
        <w:t xml:space="preserve"> v cytoplazmě, ale i na plazmatické membráně buněk. NCL se podílí na remodelaci chromatinu, transkripci ribozomálních RNA, transportu ribozomálních podjednotek z jádra do cytoplazmy a sestavení ribozomů v cytoplazmě </w:t>
      </w:r>
      <w:r w:rsidRPr="0062347D">
        <w:rPr>
          <w:rFonts w:cstheme="minorHAnsi"/>
          <w:noProof/>
          <w:sz w:val="24"/>
          <w:szCs w:val="24"/>
        </w:rPr>
        <w:t xml:space="preserve">(Abdelmohsen </w:t>
      </w:r>
      <w:r w:rsidR="00166BDD">
        <w:rPr>
          <w:rFonts w:cstheme="minorHAnsi"/>
          <w:noProof/>
          <w:sz w:val="24"/>
          <w:szCs w:val="24"/>
        </w:rPr>
        <w:t>a</w:t>
      </w:r>
      <w:r w:rsidRPr="0062347D">
        <w:rPr>
          <w:rFonts w:cstheme="minorHAnsi"/>
          <w:noProof/>
          <w:sz w:val="24"/>
          <w:szCs w:val="24"/>
        </w:rPr>
        <w:t xml:space="preserve"> Gorospe 2012)</w:t>
      </w:r>
      <w:r w:rsidRPr="0062347D">
        <w:rPr>
          <w:rFonts w:cstheme="minorHAnsi"/>
          <w:sz w:val="24"/>
          <w:szCs w:val="24"/>
        </w:rPr>
        <w:t>.</w:t>
      </w:r>
    </w:p>
    <w:p w:rsidR="008F0C0F" w:rsidRPr="004E5649" w:rsidRDefault="008F0C0F" w:rsidP="00284F89">
      <w:pPr>
        <w:pStyle w:val="Nadpis2"/>
        <w:spacing w:after="240"/>
        <w:rPr>
          <w:rFonts w:cstheme="minorHAnsi"/>
          <w:szCs w:val="24"/>
        </w:rPr>
      </w:pPr>
      <w:bookmarkStart w:id="14" w:name="_Toc69543010"/>
      <w:r w:rsidRPr="003329E2">
        <w:rPr>
          <w:rFonts w:cstheme="minorHAnsi"/>
          <w:szCs w:val="24"/>
        </w:rPr>
        <w:t>Inhibitory matrix</w:t>
      </w:r>
      <w:r w:rsidRPr="00E663BF">
        <w:rPr>
          <w:rFonts w:cstheme="minorHAnsi"/>
          <w:szCs w:val="24"/>
        </w:rPr>
        <w:t xml:space="preserve"> </w:t>
      </w:r>
      <w:r w:rsidRPr="004E5649">
        <w:rPr>
          <w:rFonts w:cstheme="minorHAnsi"/>
          <w:szCs w:val="24"/>
        </w:rPr>
        <w:t>metaloproteináz</w:t>
      </w:r>
      <w:bookmarkEnd w:id="14"/>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 xml:space="preserve">Matrix metaloproteinázy (MMP) jsou rodina </w:t>
      </w:r>
      <w:r w:rsidRPr="00B24D8C">
        <w:rPr>
          <w:rFonts w:cstheme="minorHAnsi"/>
          <w:sz w:val="24"/>
          <w:szCs w:val="24"/>
        </w:rPr>
        <w:t>proteolytických enzymů, které mají významnou úlohu v rem</w:t>
      </w:r>
      <w:r w:rsidRPr="0062347D">
        <w:rPr>
          <w:rFonts w:cstheme="minorHAnsi"/>
          <w:sz w:val="24"/>
          <w:szCs w:val="24"/>
        </w:rPr>
        <w:t xml:space="preserve">odelaci extracelulární matrix, zajišťování buněčné migrace a dále například aktivaci cytokinů. Nicméně, nadbytečná aktivita MMP může vést k poškozování tkání </w:t>
      </w:r>
      <w:r w:rsidRPr="0062347D">
        <w:rPr>
          <w:rFonts w:cstheme="minorHAnsi"/>
          <w:noProof/>
          <w:sz w:val="24"/>
          <w:szCs w:val="24"/>
        </w:rPr>
        <w:t xml:space="preserve">(Elkington </w:t>
      </w:r>
      <w:r w:rsidR="00166BDD">
        <w:rPr>
          <w:rFonts w:cstheme="minorHAnsi"/>
          <w:noProof/>
          <w:sz w:val="24"/>
          <w:szCs w:val="24"/>
        </w:rPr>
        <w:t>a</w:t>
      </w:r>
      <w:r w:rsidR="00F443E4">
        <w:rPr>
          <w:rFonts w:cstheme="minorHAnsi"/>
          <w:noProof/>
          <w:sz w:val="24"/>
          <w:szCs w:val="24"/>
        </w:rPr>
        <w:t xml:space="preserve"> Friedland 2006; </w:t>
      </w:r>
      <w:r w:rsidRPr="0062347D">
        <w:rPr>
          <w:rFonts w:cstheme="minorHAnsi"/>
          <w:noProof/>
          <w:sz w:val="24"/>
          <w:szCs w:val="24"/>
        </w:rPr>
        <w:t>Navratilova, Petrek et al. 2016)</w:t>
      </w:r>
      <w:r w:rsidRPr="0062347D">
        <w:rPr>
          <w:rFonts w:cstheme="minorHAnsi"/>
          <w:sz w:val="24"/>
          <w:szCs w:val="24"/>
        </w:rPr>
        <w:t>. Mnoho enzymů z</w:t>
      </w:r>
      <w:r>
        <w:rPr>
          <w:rFonts w:cstheme="minorHAnsi"/>
          <w:sz w:val="24"/>
          <w:szCs w:val="24"/>
        </w:rPr>
        <w:t> </w:t>
      </w:r>
      <w:r w:rsidRPr="003329E2">
        <w:rPr>
          <w:rFonts w:cstheme="minorHAnsi"/>
          <w:sz w:val="24"/>
          <w:szCs w:val="24"/>
        </w:rPr>
        <w:t>rodiny MMP je zvýšen</w:t>
      </w:r>
      <w:r w:rsidRPr="00E663BF">
        <w:rPr>
          <w:rFonts w:cstheme="minorHAnsi"/>
          <w:sz w:val="24"/>
          <w:szCs w:val="24"/>
        </w:rPr>
        <w:t xml:space="preserve">ých v plicích pacientů během zánětlivých procesů </w:t>
      </w:r>
      <w:r w:rsidRPr="0062347D">
        <w:rPr>
          <w:rFonts w:cstheme="minorHAnsi"/>
          <w:noProof/>
          <w:sz w:val="24"/>
          <w:szCs w:val="24"/>
        </w:rPr>
        <w:t>(Greenlee, Werb et al. 2007)</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Jednou z molekul, kterou jsme se zabývali v naší prá</w:t>
      </w:r>
      <w:r w:rsidRPr="00E663BF">
        <w:rPr>
          <w:rFonts w:cstheme="minorHAnsi"/>
          <w:sz w:val="24"/>
          <w:szCs w:val="24"/>
        </w:rPr>
        <w:t>ci, v návaznosti na předchozí studii matrix</w:t>
      </w:r>
      <w:r w:rsidRPr="004E5649">
        <w:rPr>
          <w:rFonts w:cstheme="minorHAnsi"/>
          <w:sz w:val="24"/>
          <w:szCs w:val="24"/>
        </w:rPr>
        <w:t xml:space="preserve"> metaloproteináz </w:t>
      </w:r>
      <w:r w:rsidRPr="0062347D">
        <w:rPr>
          <w:rFonts w:cstheme="minorHAnsi"/>
          <w:noProof/>
          <w:sz w:val="24"/>
          <w:szCs w:val="24"/>
        </w:rPr>
        <w:t>(Navratilova, Zatloukal et al. 2012)</w:t>
      </w:r>
      <w:r w:rsidRPr="0062347D">
        <w:rPr>
          <w:rFonts w:cstheme="minorHAnsi"/>
          <w:sz w:val="24"/>
          <w:szCs w:val="24"/>
        </w:rPr>
        <w:t xml:space="preserve"> je protein RECK (</w:t>
      </w:r>
      <w:r w:rsidRPr="00C87449">
        <w:rPr>
          <w:rFonts w:cstheme="minorHAnsi"/>
          <w:sz w:val="24"/>
          <w:szCs w:val="24"/>
        </w:rPr>
        <w:t>reversion inducing cysteine rich protein with kazal motifs</w:t>
      </w:r>
      <w:r w:rsidRPr="0062347D">
        <w:rPr>
          <w:rFonts w:cstheme="minorHAnsi"/>
          <w:sz w:val="24"/>
          <w:szCs w:val="24"/>
        </w:rPr>
        <w:t xml:space="preserve">). Tato molekula se vyskytuje na povrchu buněk a působí jako inhibitor MMP-9 a MMP-2 </w:t>
      </w:r>
      <w:r w:rsidR="00F443E4">
        <w:rPr>
          <w:rFonts w:cstheme="minorHAnsi"/>
          <w:noProof/>
          <w:sz w:val="24"/>
          <w:szCs w:val="24"/>
        </w:rPr>
        <w:t xml:space="preserve">(Takahashi, Sheng et al. 1998; </w:t>
      </w:r>
      <w:r w:rsidRPr="0062347D">
        <w:rPr>
          <w:rFonts w:cstheme="minorHAnsi"/>
          <w:noProof/>
          <w:sz w:val="24"/>
          <w:szCs w:val="24"/>
        </w:rPr>
        <w:t>O</w:t>
      </w:r>
      <w:r w:rsidRPr="003329E2">
        <w:rPr>
          <w:rFonts w:cstheme="minorHAnsi"/>
          <w:noProof/>
          <w:sz w:val="24"/>
          <w:szCs w:val="24"/>
        </w:rPr>
        <w:t>h, Takahashi et al. 2001</w:t>
      </w:r>
      <w:r w:rsidRPr="0062347D">
        <w:rPr>
          <w:rFonts w:cstheme="minorHAnsi"/>
          <w:noProof/>
          <w:sz w:val="24"/>
          <w:szCs w:val="24"/>
        </w:rPr>
        <w:t>)</w:t>
      </w:r>
      <w:r w:rsidRPr="0062347D">
        <w:rPr>
          <w:rFonts w:cstheme="minorHAnsi"/>
          <w:sz w:val="24"/>
          <w:szCs w:val="24"/>
        </w:rPr>
        <w:t>. Dalším inhibitorem, kterým jsme se v naší práci zabývali</w:t>
      </w:r>
      <w:r>
        <w:rPr>
          <w:rFonts w:cstheme="minorHAnsi"/>
          <w:sz w:val="24"/>
          <w:szCs w:val="24"/>
        </w:rPr>
        <w:t>,</w:t>
      </w:r>
      <w:r w:rsidRPr="0062347D">
        <w:rPr>
          <w:rFonts w:cstheme="minorHAnsi"/>
          <w:sz w:val="24"/>
          <w:szCs w:val="24"/>
        </w:rPr>
        <w:t xml:space="preserve"> je multifunkční protein P</w:t>
      </w:r>
      <w:r w:rsidRPr="003329E2">
        <w:rPr>
          <w:rFonts w:cstheme="minorHAnsi"/>
          <w:sz w:val="24"/>
          <w:szCs w:val="24"/>
        </w:rPr>
        <w:t xml:space="preserve">TEN </w:t>
      </w:r>
      <w:r w:rsidRPr="00C87449">
        <w:rPr>
          <w:rFonts w:cstheme="minorHAnsi"/>
          <w:sz w:val="24"/>
          <w:szCs w:val="24"/>
        </w:rPr>
        <w:t>(phosphatase and tensin homolog deleted</w:t>
      </w:r>
      <w:r w:rsidRPr="0062347D">
        <w:rPr>
          <w:rFonts w:cstheme="minorHAnsi"/>
          <w:sz w:val="24"/>
          <w:szCs w:val="24"/>
        </w:rPr>
        <w:t xml:space="preserve"> on chromosome ten). </w:t>
      </w:r>
      <w:r w:rsidRPr="003329E2">
        <w:rPr>
          <w:rFonts w:cstheme="minorHAnsi"/>
          <w:sz w:val="24"/>
          <w:szCs w:val="24"/>
        </w:rPr>
        <w:t xml:space="preserve">PTEN </w:t>
      </w:r>
      <w:r w:rsidRPr="00E663BF">
        <w:rPr>
          <w:rFonts w:cstheme="minorHAnsi"/>
          <w:sz w:val="24"/>
          <w:szCs w:val="24"/>
        </w:rPr>
        <w:t>také inhibuje</w:t>
      </w:r>
      <w:r w:rsidRPr="004E5649">
        <w:rPr>
          <w:rFonts w:cstheme="minorHAnsi"/>
          <w:sz w:val="24"/>
          <w:szCs w:val="24"/>
        </w:rPr>
        <w:t xml:space="preserve"> funkci MMP-</w:t>
      </w:r>
      <w:smartTag w:uri="urn:schemas-microsoft-com:office:smarttags" w:element="metricconverter">
        <w:smartTagPr>
          <w:attr w:name="ProductID" w:val="2 a"/>
        </w:smartTagPr>
        <w:r w:rsidRPr="004E5649">
          <w:rPr>
            <w:rFonts w:cstheme="minorHAnsi"/>
            <w:sz w:val="24"/>
            <w:szCs w:val="24"/>
          </w:rPr>
          <w:t>2 a</w:t>
        </w:r>
      </w:smartTag>
      <w:r w:rsidRPr="004E5649">
        <w:rPr>
          <w:rFonts w:cstheme="minorHAnsi"/>
          <w:sz w:val="24"/>
          <w:szCs w:val="24"/>
        </w:rPr>
        <w:t xml:space="preserve"> MMP-9 </w:t>
      </w:r>
      <w:r w:rsidRPr="0062347D">
        <w:rPr>
          <w:rFonts w:cstheme="minorHAnsi"/>
          <w:noProof/>
          <w:sz w:val="24"/>
          <w:szCs w:val="24"/>
        </w:rPr>
        <w:t>(Park, Kim et al. 2002)</w:t>
      </w:r>
      <w:r w:rsidRPr="0062347D">
        <w:rPr>
          <w:rFonts w:cstheme="minorHAnsi"/>
          <w:sz w:val="24"/>
          <w:szCs w:val="24"/>
        </w:rPr>
        <w:t>. Dále ovlivňuje mnoho buněčných funkcí, jako je růst, proliferace a buněčný metabolismus. PTEN odpovídá za regulaci bu</w:t>
      </w:r>
      <w:r w:rsidRPr="003329E2">
        <w:rPr>
          <w:rFonts w:cstheme="minorHAnsi"/>
          <w:sz w:val="24"/>
          <w:szCs w:val="24"/>
        </w:rPr>
        <w:t xml:space="preserve">něčného cyklu, blokuje vstup buňky do S-fáze a působí tak jako nádorový supresor </w:t>
      </w:r>
      <w:r w:rsidRPr="0062347D">
        <w:rPr>
          <w:rFonts w:cstheme="minorHAnsi"/>
          <w:noProof/>
          <w:sz w:val="24"/>
          <w:szCs w:val="24"/>
        </w:rPr>
        <w:t xml:space="preserve">(Fata, </w:t>
      </w:r>
      <w:r w:rsidRPr="003329E2">
        <w:rPr>
          <w:rFonts w:cstheme="minorHAnsi"/>
          <w:noProof/>
          <w:sz w:val="24"/>
          <w:szCs w:val="24"/>
        </w:rPr>
        <w:t>Debnath et al. 2012</w:t>
      </w:r>
      <w:r w:rsidRPr="0062347D">
        <w:rPr>
          <w:rFonts w:cstheme="minorHAnsi"/>
          <w:noProof/>
          <w:sz w:val="24"/>
          <w:szCs w:val="24"/>
        </w:rPr>
        <w:t>)</w:t>
      </w:r>
      <w:r w:rsidRPr="0062347D">
        <w:rPr>
          <w:rFonts w:cstheme="minorHAnsi"/>
          <w:sz w:val="24"/>
          <w:szCs w:val="24"/>
        </w:rPr>
        <w:t>.</w:t>
      </w:r>
    </w:p>
    <w:p w:rsidR="008F0C0F" w:rsidRPr="004E5649" w:rsidRDefault="008F0C0F" w:rsidP="00284F89">
      <w:pPr>
        <w:pStyle w:val="Nadpis2"/>
        <w:spacing w:after="240"/>
        <w:rPr>
          <w:rFonts w:cstheme="minorHAnsi"/>
          <w:szCs w:val="24"/>
        </w:rPr>
      </w:pPr>
      <w:bookmarkStart w:id="15" w:name="_Toc69543011"/>
      <w:r w:rsidRPr="003329E2">
        <w:rPr>
          <w:rFonts w:cstheme="minorHAnsi"/>
          <w:szCs w:val="24"/>
        </w:rPr>
        <w:t>M</w:t>
      </w:r>
      <w:r w:rsidRPr="00E663BF">
        <w:rPr>
          <w:rFonts w:cstheme="minorHAnsi"/>
          <w:szCs w:val="24"/>
        </w:rPr>
        <w:t>ikroRNA</w:t>
      </w:r>
      <w:bookmarkEnd w:id="15"/>
    </w:p>
    <w:p w:rsidR="008F0C0F" w:rsidRPr="0062347D" w:rsidRDefault="008F0C0F" w:rsidP="00284F89">
      <w:pPr>
        <w:spacing w:after="0" w:line="360" w:lineRule="auto"/>
        <w:ind w:firstLine="709"/>
        <w:jc w:val="both"/>
        <w:rPr>
          <w:rFonts w:cstheme="minorHAnsi"/>
          <w:sz w:val="24"/>
          <w:szCs w:val="24"/>
        </w:rPr>
      </w:pPr>
      <w:r w:rsidRPr="004E5649">
        <w:rPr>
          <w:rFonts w:cstheme="minorHAnsi"/>
          <w:sz w:val="24"/>
          <w:szCs w:val="24"/>
        </w:rPr>
        <w:t xml:space="preserve">MikroRNA (miRNA) jsou jednovláknové nekódující RNA o délce 18–24 nukleotidů. MiRNA se </w:t>
      </w:r>
      <w:r w:rsidRPr="00B24D8C">
        <w:rPr>
          <w:rFonts w:cstheme="minorHAnsi"/>
          <w:sz w:val="24"/>
          <w:szCs w:val="24"/>
        </w:rPr>
        <w:t>vážou</w:t>
      </w:r>
      <w:r w:rsidRPr="0062347D">
        <w:rPr>
          <w:rFonts w:cstheme="minorHAnsi"/>
          <w:sz w:val="24"/>
          <w:szCs w:val="24"/>
        </w:rPr>
        <w:t xml:space="preserve"> na sekvence messengerových RNA (mRNA) a mohou tak potlačit následnou mRNA translaci nebo mohou přímo podpořit destabilizaci mRNA a jejich štěpení, rozklad. Těmito mechanismy potlačují expresi protein kódujících genů na post-transkripční úrovni. </w:t>
      </w:r>
      <w:r w:rsidRPr="0062347D">
        <w:rPr>
          <w:rFonts w:cstheme="minorHAnsi"/>
          <w:noProof/>
          <w:sz w:val="24"/>
          <w:szCs w:val="24"/>
        </w:rPr>
        <w:t xml:space="preserve">(Sonkoly </w:t>
      </w:r>
      <w:r w:rsidR="00166BDD">
        <w:rPr>
          <w:rFonts w:cstheme="minorHAnsi"/>
          <w:noProof/>
          <w:sz w:val="24"/>
          <w:szCs w:val="24"/>
        </w:rPr>
        <w:t>a</w:t>
      </w:r>
      <w:r w:rsidRPr="0062347D">
        <w:rPr>
          <w:rFonts w:cstheme="minorHAnsi"/>
          <w:noProof/>
          <w:sz w:val="24"/>
          <w:szCs w:val="24"/>
        </w:rPr>
        <w:t xml:space="preserve"> Pivarcsi 2009)</w:t>
      </w:r>
      <w:r w:rsidRPr="0062347D">
        <w:rPr>
          <w:rFonts w:cstheme="minorHAnsi"/>
          <w:sz w:val="24"/>
          <w:szCs w:val="24"/>
        </w:rPr>
        <w:t>. Exprese miRNA se výrazně liší mezi tkáněmi a jejich deregulace může přispívat k rozvoji onemocnění</w:t>
      </w:r>
      <w:r w:rsidRPr="003329E2">
        <w:rPr>
          <w:rFonts w:cstheme="minorHAnsi"/>
          <w:sz w:val="24"/>
          <w:szCs w:val="24"/>
        </w:rPr>
        <w:t>. Detekce deregulované exprese může odlišit zdravou a</w:t>
      </w:r>
      <w:r>
        <w:rPr>
          <w:rFonts w:cstheme="minorHAnsi"/>
          <w:sz w:val="24"/>
          <w:szCs w:val="24"/>
        </w:rPr>
        <w:t> </w:t>
      </w:r>
      <w:r w:rsidRPr="003329E2">
        <w:rPr>
          <w:rFonts w:cstheme="minorHAnsi"/>
          <w:sz w:val="24"/>
          <w:szCs w:val="24"/>
        </w:rPr>
        <w:t>nemocnou tkáň. Kromě maligních</w:t>
      </w:r>
      <w:r w:rsidRPr="004E5649">
        <w:rPr>
          <w:rFonts w:cstheme="minorHAnsi"/>
          <w:sz w:val="24"/>
          <w:szCs w:val="24"/>
        </w:rPr>
        <w:t xml:space="preserve"> plicních onemocnění byla zaznamenána deregulace exprese miRNA u zánětlivých plicních onemocnění jako je astma, chronická obstrukční plicní </w:t>
      </w:r>
      <w:r w:rsidRPr="004E5649">
        <w:rPr>
          <w:rFonts w:cstheme="minorHAnsi"/>
          <w:sz w:val="24"/>
          <w:szCs w:val="24"/>
        </w:rPr>
        <w:lastRenderedPageBreak/>
        <w:t>nemoc, cystická fibróza</w:t>
      </w:r>
      <w:r>
        <w:rPr>
          <w:rFonts w:cstheme="minorHAnsi"/>
          <w:sz w:val="24"/>
          <w:szCs w:val="24"/>
        </w:rPr>
        <w:t xml:space="preserve"> a</w:t>
      </w:r>
      <w:r w:rsidRPr="004E5649">
        <w:rPr>
          <w:rFonts w:cstheme="minorHAnsi"/>
          <w:sz w:val="24"/>
          <w:szCs w:val="24"/>
        </w:rPr>
        <w:t xml:space="preserve"> idiopatická plicní fibróza</w:t>
      </w:r>
      <w:r w:rsidRPr="00B24D8C">
        <w:rPr>
          <w:rFonts w:cstheme="minorHAnsi"/>
          <w:sz w:val="24"/>
          <w:szCs w:val="24"/>
        </w:rPr>
        <w:t xml:space="preserve"> </w:t>
      </w:r>
      <w:r w:rsidR="00F85BBA">
        <w:rPr>
          <w:rFonts w:cstheme="minorHAnsi"/>
          <w:noProof/>
          <w:sz w:val="24"/>
          <w:szCs w:val="24"/>
        </w:rPr>
        <w:t xml:space="preserve">(Oglesby, McElvaney et al. 2010; </w:t>
      </w:r>
      <w:r w:rsidRPr="0062347D">
        <w:rPr>
          <w:rFonts w:cstheme="minorHAnsi"/>
          <w:noProof/>
          <w:sz w:val="24"/>
          <w:szCs w:val="24"/>
        </w:rPr>
        <w:t>Kishore, Borucka et al. 2014)</w:t>
      </w:r>
      <w:r w:rsidRPr="0062347D">
        <w:rPr>
          <w:rFonts w:cstheme="minorHAnsi"/>
          <w:sz w:val="24"/>
          <w:szCs w:val="24"/>
        </w:rPr>
        <w:t>.</w:t>
      </w:r>
    </w:p>
    <w:p w:rsidR="008F0C0F" w:rsidRPr="0062347D" w:rsidRDefault="008F0C0F" w:rsidP="00927720">
      <w:pPr>
        <w:spacing w:before="240" w:after="0" w:line="360" w:lineRule="auto"/>
        <w:ind w:firstLine="709"/>
        <w:jc w:val="both"/>
        <w:rPr>
          <w:rFonts w:cstheme="minorHAnsi"/>
          <w:sz w:val="24"/>
          <w:szCs w:val="24"/>
        </w:rPr>
      </w:pPr>
      <w:r w:rsidRPr="003329E2">
        <w:rPr>
          <w:rFonts w:cstheme="minorHAnsi"/>
          <w:sz w:val="24"/>
          <w:szCs w:val="24"/>
        </w:rPr>
        <w:t>Tvorba miRNA začíná syntézou primárních miR</w:t>
      </w:r>
      <w:r w:rsidRPr="00E663BF">
        <w:rPr>
          <w:rFonts w:cstheme="minorHAnsi"/>
          <w:sz w:val="24"/>
          <w:szCs w:val="24"/>
        </w:rPr>
        <w:t>NA (pri-miRNA), jejichž transkripty mají velikost od několika stovek nukleotidů po několik kilo</w:t>
      </w:r>
      <w:r w:rsidRPr="004E5649">
        <w:rPr>
          <w:rFonts w:cstheme="minorHAnsi"/>
          <w:sz w:val="24"/>
          <w:szCs w:val="24"/>
        </w:rPr>
        <w:t>-bází. Pri-miRNA jsou štěpeny na prekurzorové miRNA (pre-miRNA) nukleázou RNasa III, také nazývanou Drosha. Z jádra jsou pre-miRNA transportovány do cytoplazmy a zde jsou štěpeny cytoplazmatickou RN</w:t>
      </w:r>
      <w:r w:rsidRPr="00B24D8C">
        <w:rPr>
          <w:rFonts w:cstheme="minorHAnsi"/>
          <w:sz w:val="24"/>
          <w:szCs w:val="24"/>
        </w:rPr>
        <w:t>á</w:t>
      </w:r>
      <w:r w:rsidRPr="0062347D">
        <w:rPr>
          <w:rFonts w:cstheme="minorHAnsi"/>
          <w:sz w:val="24"/>
          <w:szCs w:val="24"/>
        </w:rPr>
        <w:t>zou II (</w:t>
      </w:r>
      <w:proofErr w:type="gramStart"/>
      <w:r w:rsidRPr="0062347D">
        <w:rPr>
          <w:rFonts w:cstheme="minorHAnsi"/>
          <w:sz w:val="24"/>
          <w:szCs w:val="24"/>
        </w:rPr>
        <w:t xml:space="preserve">Dicer) </w:t>
      </w:r>
      <w:r w:rsidR="002B4AE8">
        <w:rPr>
          <w:rFonts w:cstheme="minorHAnsi"/>
          <w:noProof/>
          <w:sz w:val="24"/>
          <w:szCs w:val="24"/>
        </w:rPr>
        <w:t>(Denli</w:t>
      </w:r>
      <w:proofErr w:type="gramEnd"/>
      <w:r w:rsidR="002B4AE8">
        <w:rPr>
          <w:rFonts w:cstheme="minorHAnsi"/>
          <w:noProof/>
          <w:sz w:val="24"/>
          <w:szCs w:val="24"/>
        </w:rPr>
        <w:t>, Tops et al. 2004;</w:t>
      </w:r>
      <w:r w:rsidRPr="0062347D">
        <w:rPr>
          <w:rFonts w:cstheme="minorHAnsi"/>
          <w:noProof/>
          <w:sz w:val="24"/>
          <w:szCs w:val="24"/>
        </w:rPr>
        <w:t xml:space="preserve"> Han, Lee et al. 2004)</w:t>
      </w:r>
      <w:r w:rsidR="00927720">
        <w:rPr>
          <w:rFonts w:cstheme="minorHAnsi"/>
          <w:sz w:val="24"/>
          <w:szCs w:val="24"/>
        </w:rPr>
        <w:t>. Vznikají</w:t>
      </w:r>
      <w:r w:rsidRPr="0062347D">
        <w:rPr>
          <w:rFonts w:cstheme="minorHAnsi"/>
          <w:sz w:val="24"/>
          <w:szCs w:val="24"/>
        </w:rPr>
        <w:t xml:space="preserve"> miRNA duplexy dlouhé přibližně 22 nukleotidů </w:t>
      </w:r>
      <w:r>
        <w:rPr>
          <w:rFonts w:cstheme="minorHAnsi"/>
          <w:sz w:val="24"/>
          <w:szCs w:val="24"/>
        </w:rPr>
        <w:t xml:space="preserve">a </w:t>
      </w:r>
      <w:r w:rsidR="00927720">
        <w:rPr>
          <w:rFonts w:cstheme="minorHAnsi"/>
          <w:sz w:val="24"/>
          <w:szCs w:val="24"/>
        </w:rPr>
        <w:t xml:space="preserve">ty se nazývají </w:t>
      </w:r>
      <w:r w:rsidRPr="0062347D">
        <w:rPr>
          <w:rFonts w:cstheme="minorHAnsi"/>
          <w:sz w:val="24"/>
          <w:szCs w:val="24"/>
        </w:rPr>
        <w:t xml:space="preserve">zralé miRNA </w:t>
      </w:r>
      <w:r w:rsidRPr="0062347D">
        <w:rPr>
          <w:rFonts w:cstheme="minorHAnsi"/>
          <w:noProof/>
          <w:sz w:val="24"/>
          <w:szCs w:val="24"/>
        </w:rPr>
        <w:t>(Han, Lee et al. 2004)</w:t>
      </w:r>
      <w:r w:rsidRPr="0062347D">
        <w:rPr>
          <w:rFonts w:cstheme="minorHAnsi"/>
          <w:sz w:val="24"/>
          <w:szCs w:val="24"/>
        </w:rPr>
        <w:t>. Jeden z řetězců zralé miRNA po</w:t>
      </w:r>
      <w:r w:rsidRPr="003329E2">
        <w:rPr>
          <w:rFonts w:cstheme="minorHAnsi"/>
          <w:sz w:val="24"/>
          <w:szCs w:val="24"/>
        </w:rPr>
        <w:t>té vstupuje do miRISC (microRNA Induced Silencing Complex) a</w:t>
      </w:r>
      <w:r>
        <w:rPr>
          <w:rFonts w:cstheme="minorHAnsi"/>
          <w:sz w:val="24"/>
          <w:szCs w:val="24"/>
        </w:rPr>
        <w:t> </w:t>
      </w:r>
      <w:r w:rsidRPr="003329E2">
        <w:rPr>
          <w:rFonts w:cstheme="minorHAnsi"/>
          <w:sz w:val="24"/>
          <w:szCs w:val="24"/>
        </w:rPr>
        <w:t>společně s</w:t>
      </w:r>
      <w:r>
        <w:rPr>
          <w:rFonts w:cstheme="minorHAnsi"/>
          <w:sz w:val="24"/>
          <w:szCs w:val="24"/>
        </w:rPr>
        <w:t> </w:t>
      </w:r>
      <w:r w:rsidRPr="003329E2">
        <w:rPr>
          <w:rFonts w:cstheme="minorHAnsi"/>
          <w:sz w:val="24"/>
          <w:szCs w:val="24"/>
        </w:rPr>
        <w:t xml:space="preserve">proteinem Argonaut </w:t>
      </w:r>
      <w:r w:rsidRPr="004E5649">
        <w:rPr>
          <w:rFonts w:cstheme="minorHAnsi"/>
          <w:sz w:val="24"/>
          <w:szCs w:val="24"/>
        </w:rPr>
        <w:t>je tento komplex transportován k cílové mRNA. Protein Argonaut odpovídá za inkorporaci zralé dvouvláknové miRNA do miRISC. V sekvenci každé miRNA je úsek 2–</w:t>
      </w:r>
      <w:r w:rsidRPr="00B24D8C">
        <w:rPr>
          <w:rFonts w:cstheme="minorHAnsi"/>
          <w:sz w:val="24"/>
          <w:szCs w:val="24"/>
        </w:rPr>
        <w:t>8 nukleo</w:t>
      </w:r>
      <w:r w:rsidRPr="0062347D">
        <w:rPr>
          <w:rFonts w:cstheme="minorHAnsi"/>
          <w:sz w:val="24"/>
          <w:szCs w:val="24"/>
        </w:rPr>
        <w:t xml:space="preserve">tidů, pomocí kterého se miRNA připojují k cílové mRNA. Sekvence pro vazbu miRNA se obvykle nachází na 3´ nepřekládané oblasti mRNA sekvence. Vazba miRNA na mRNA sekvenci inhibuje translaci, nebo může vést i k degradaci mRNA </w:t>
      </w:r>
      <w:r w:rsidRPr="0062347D">
        <w:rPr>
          <w:rFonts w:cstheme="minorHAnsi"/>
          <w:noProof/>
          <w:sz w:val="24"/>
          <w:szCs w:val="24"/>
        </w:rPr>
        <w:t>(Oglesby, McElvaney et al. 2010)</w:t>
      </w:r>
      <w:r w:rsidRPr="0062347D">
        <w:rPr>
          <w:rFonts w:cstheme="minorHAnsi"/>
          <w:sz w:val="24"/>
          <w:szCs w:val="24"/>
        </w:rPr>
        <w:t>.</w:t>
      </w:r>
    </w:p>
    <w:p w:rsidR="008F0C0F" w:rsidRPr="004E5649" w:rsidRDefault="008F0C0F" w:rsidP="00284F89">
      <w:pPr>
        <w:pStyle w:val="Nadpis3"/>
        <w:spacing w:after="240"/>
      </w:pPr>
      <w:bookmarkStart w:id="16" w:name="_Toc69543012"/>
      <w:r w:rsidRPr="003329E2">
        <w:t xml:space="preserve">Cirkulující </w:t>
      </w:r>
      <w:r w:rsidRPr="00E663BF">
        <w:t>miRNA</w:t>
      </w:r>
      <w:r w:rsidRPr="004E5649">
        <w:t xml:space="preserve"> jako biomarkery</w:t>
      </w:r>
      <w:bookmarkEnd w:id="16"/>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Identifikace určitých miRNA,</w:t>
      </w:r>
      <w:r w:rsidRPr="00B24D8C">
        <w:rPr>
          <w:rFonts w:cstheme="minorHAnsi"/>
          <w:sz w:val="24"/>
          <w:szCs w:val="24"/>
        </w:rPr>
        <w:t xml:space="preserve"> </w:t>
      </w:r>
      <w:r w:rsidRPr="0062347D">
        <w:rPr>
          <w:rFonts w:cstheme="minorHAnsi"/>
          <w:sz w:val="24"/>
          <w:szCs w:val="24"/>
        </w:rPr>
        <w:t>jejichž exprese je deregulována kvůli nemoci ve tkáních nebo extracelulárních tekutinách, by mohla z takto vybraných miRNA vytvořit potenciální biomarker pro diagnostiku určitého onemocnění. Potenciál miRNA jako biomarkeru se skrývá v jejich základních vlastnostech. Lze je izolovat téměř ze všech buněk, ze všech tkání a tělních tekutin jako jsou sérum, plazma, moč, sliny, mateřské mléko, slzy, vydechovaný kondenzát z plic nebo také z bronchoalveolární laváže</w:t>
      </w:r>
      <w:r w:rsidR="002B4AE8">
        <w:rPr>
          <w:rFonts w:cstheme="minorHAnsi"/>
          <w:sz w:val="24"/>
          <w:szCs w:val="24"/>
        </w:rPr>
        <w:t xml:space="preserve"> </w:t>
      </w:r>
      <w:r w:rsidR="002B4AE8" w:rsidRPr="0062347D">
        <w:rPr>
          <w:rFonts w:cstheme="minorHAnsi"/>
          <w:noProof/>
          <w:sz w:val="24"/>
          <w:szCs w:val="24"/>
        </w:rPr>
        <w:t>(Blondal, Jensby Nielsen et al. 2013)</w:t>
      </w:r>
      <w:r w:rsidRPr="0062347D">
        <w:rPr>
          <w:rFonts w:cstheme="minorHAnsi"/>
          <w:sz w:val="24"/>
          <w:szCs w:val="24"/>
        </w:rPr>
        <w:t>.</w:t>
      </w:r>
    </w:p>
    <w:p w:rsidR="008F0C0F" w:rsidRPr="0062347D" w:rsidRDefault="008F0C0F" w:rsidP="00284F89">
      <w:pPr>
        <w:spacing w:after="0" w:line="360" w:lineRule="auto"/>
        <w:ind w:firstLine="709"/>
        <w:jc w:val="both"/>
        <w:rPr>
          <w:rFonts w:cstheme="minorHAnsi"/>
          <w:sz w:val="24"/>
          <w:szCs w:val="24"/>
        </w:rPr>
      </w:pPr>
      <w:r w:rsidRPr="0062347D">
        <w:rPr>
          <w:rFonts w:cstheme="minorHAnsi"/>
          <w:sz w:val="24"/>
          <w:szCs w:val="24"/>
        </w:rPr>
        <w:t>Cirkulující miRNA nacházející se v krvi vykazují charakteristické znaky pro biomarkery. Jsou vysoce stabilní i mimo buněčné prostředí. Obvykle jsou vázány v komplexu s</w:t>
      </w:r>
      <w:r>
        <w:rPr>
          <w:rFonts w:cstheme="minorHAnsi"/>
          <w:sz w:val="24"/>
          <w:szCs w:val="24"/>
        </w:rPr>
        <w:t> </w:t>
      </w:r>
      <w:r w:rsidRPr="0062347D">
        <w:rPr>
          <w:rFonts w:cstheme="minorHAnsi"/>
          <w:sz w:val="24"/>
          <w:szCs w:val="24"/>
        </w:rPr>
        <w:t>proteiny</w:t>
      </w:r>
      <w:r>
        <w:rPr>
          <w:rFonts w:cstheme="minorHAnsi"/>
          <w:sz w:val="24"/>
          <w:szCs w:val="24"/>
        </w:rPr>
        <w:t>,</w:t>
      </w:r>
      <w:r w:rsidRPr="0062347D">
        <w:rPr>
          <w:rFonts w:cstheme="minorHAnsi"/>
          <w:sz w:val="24"/>
          <w:szCs w:val="24"/>
        </w:rPr>
        <w:t xml:space="preserve"> a to je chrání před degradací RNázami. Nebo mohou být obaleny extracelulárními vezikulami, exozomy nebo mikrovezikulami. Dalším jejich charakteristickým z</w:t>
      </w:r>
      <w:r w:rsidR="002B4AE8">
        <w:rPr>
          <w:rFonts w:cstheme="minorHAnsi"/>
          <w:sz w:val="24"/>
          <w:szCs w:val="24"/>
        </w:rPr>
        <w:t>nakem je, že jsou všudypřítomné</w:t>
      </w:r>
      <w:r w:rsidRPr="0062347D">
        <w:rPr>
          <w:rFonts w:cstheme="minorHAnsi"/>
          <w:sz w:val="24"/>
          <w:szCs w:val="24"/>
        </w:rPr>
        <w:t xml:space="preserve"> </w:t>
      </w:r>
      <w:r w:rsidRPr="0062347D">
        <w:rPr>
          <w:rFonts w:cstheme="minorHAnsi"/>
          <w:noProof/>
          <w:sz w:val="24"/>
          <w:szCs w:val="24"/>
        </w:rPr>
        <w:t>(Blon</w:t>
      </w:r>
      <w:r w:rsidR="002B4AE8">
        <w:rPr>
          <w:rFonts w:cstheme="minorHAnsi"/>
          <w:noProof/>
          <w:sz w:val="24"/>
          <w:szCs w:val="24"/>
        </w:rPr>
        <w:t xml:space="preserve">dal, Jensby Nielsen et al. 2013; </w:t>
      </w:r>
      <w:r w:rsidRPr="0062347D">
        <w:rPr>
          <w:rFonts w:cstheme="minorHAnsi"/>
          <w:noProof/>
          <w:sz w:val="24"/>
          <w:szCs w:val="24"/>
        </w:rPr>
        <w:t>Kishore, Borucka et al. 2014)</w:t>
      </w:r>
      <w:r w:rsidRPr="0062347D">
        <w:rPr>
          <w:rFonts w:cstheme="minorHAnsi"/>
          <w:sz w:val="24"/>
          <w:szCs w:val="24"/>
        </w:rPr>
        <w:t>. Cirkulující miRNA js</w:t>
      </w:r>
      <w:r w:rsidRPr="003329E2">
        <w:rPr>
          <w:rFonts w:cstheme="minorHAnsi"/>
          <w:sz w:val="24"/>
          <w:szCs w:val="24"/>
        </w:rPr>
        <w:t>ou snadno dostupné, jelikož odběr krve není příliš invazivní zákrok.</w:t>
      </w:r>
      <w:r w:rsidRPr="00E663BF">
        <w:rPr>
          <w:rFonts w:cstheme="minorHAnsi"/>
          <w:sz w:val="24"/>
          <w:szCs w:val="24"/>
        </w:rPr>
        <w:t xml:space="preserve"> </w:t>
      </w:r>
      <w:r w:rsidRPr="004E5649">
        <w:rPr>
          <w:rFonts w:cstheme="minorHAnsi"/>
          <w:sz w:val="24"/>
          <w:szCs w:val="24"/>
        </w:rPr>
        <w:t>Co se týče stability při zpracovávání biologického materiálu, jsou miRNA stabilní i při zmrazování a rozmrazování vzorku</w:t>
      </w:r>
      <w:r w:rsidRPr="00B24D8C">
        <w:rPr>
          <w:rFonts w:cstheme="minorHAnsi"/>
          <w:sz w:val="24"/>
          <w:szCs w:val="24"/>
        </w:rPr>
        <w:t>.</w:t>
      </w:r>
      <w:r w:rsidRPr="0062347D">
        <w:rPr>
          <w:rFonts w:cstheme="minorHAnsi"/>
          <w:sz w:val="24"/>
          <w:szCs w:val="24"/>
        </w:rPr>
        <w:t xml:space="preserve"> Exprese cirkulujících miRNA může být u určitých onemocnění </w:t>
      </w:r>
      <w:r w:rsidRPr="0062347D">
        <w:rPr>
          <w:rFonts w:cstheme="minorHAnsi"/>
          <w:sz w:val="24"/>
          <w:szCs w:val="24"/>
        </w:rPr>
        <w:lastRenderedPageBreak/>
        <w:t xml:space="preserve">specifická. Cirkulující miRNA jsou snadno detekovatelné a kvantifikovatelné </w:t>
      </w:r>
      <w:r w:rsidRPr="0062347D">
        <w:rPr>
          <w:rFonts w:cstheme="minorHAnsi"/>
          <w:noProof/>
          <w:sz w:val="24"/>
          <w:szCs w:val="24"/>
        </w:rPr>
        <w:t>(Ortiz-Quintero 2016)</w:t>
      </w:r>
      <w:r w:rsidRPr="0062347D">
        <w:rPr>
          <w:rFonts w:cstheme="minorHAnsi"/>
          <w:sz w:val="24"/>
          <w:szCs w:val="24"/>
        </w:rPr>
        <w:t>.</w:t>
      </w:r>
    </w:p>
    <w:p w:rsidR="008F0C0F" w:rsidRPr="00E663BF" w:rsidRDefault="008F0C0F" w:rsidP="00284F89">
      <w:pPr>
        <w:pStyle w:val="Nadpis2"/>
        <w:rPr>
          <w:rFonts w:cstheme="minorHAnsi"/>
          <w:szCs w:val="24"/>
        </w:rPr>
      </w:pPr>
      <w:bookmarkStart w:id="17" w:name="_Toc69543013"/>
      <w:r w:rsidRPr="003329E2">
        <w:rPr>
          <w:rFonts w:cstheme="minorHAnsi"/>
          <w:szCs w:val="24"/>
        </w:rPr>
        <w:t xml:space="preserve">Reverzní transkripce a </w:t>
      </w:r>
      <w:r w:rsidRPr="00E663BF">
        <w:rPr>
          <w:rFonts w:cstheme="minorHAnsi"/>
          <w:szCs w:val="24"/>
        </w:rPr>
        <w:t>PCR v reálném čase</w:t>
      </w:r>
      <w:bookmarkEnd w:id="17"/>
    </w:p>
    <w:p w:rsidR="008F0C0F" w:rsidRPr="004E5649" w:rsidRDefault="008F0C0F" w:rsidP="00284F89">
      <w:pPr>
        <w:pStyle w:val="Nadpis3"/>
        <w:spacing w:after="240"/>
        <w:rPr>
          <w:rFonts w:cstheme="minorHAnsi"/>
          <w:szCs w:val="24"/>
        </w:rPr>
      </w:pPr>
      <w:bookmarkStart w:id="18" w:name="_Toc69543014"/>
      <w:r w:rsidRPr="004E5649">
        <w:rPr>
          <w:rFonts w:cstheme="minorHAnsi"/>
          <w:szCs w:val="24"/>
        </w:rPr>
        <w:t>Reverzní transkripce mRNA a miRNA</w:t>
      </w:r>
      <w:bookmarkEnd w:id="18"/>
    </w:p>
    <w:p w:rsidR="008F0C0F" w:rsidRPr="0062347D" w:rsidRDefault="008F0C0F" w:rsidP="00284F89">
      <w:pPr>
        <w:spacing w:after="240" w:line="360" w:lineRule="auto"/>
        <w:ind w:firstLine="709"/>
        <w:jc w:val="both"/>
        <w:rPr>
          <w:rFonts w:cstheme="minorHAnsi"/>
          <w:sz w:val="24"/>
          <w:szCs w:val="24"/>
        </w:rPr>
      </w:pPr>
      <w:r w:rsidRPr="00B24D8C">
        <w:rPr>
          <w:rFonts w:cstheme="minorHAnsi"/>
          <w:sz w:val="24"/>
          <w:szCs w:val="24"/>
        </w:rPr>
        <w:t>Pro st</w:t>
      </w:r>
      <w:r w:rsidRPr="0062347D">
        <w:rPr>
          <w:rFonts w:cstheme="minorHAnsi"/>
          <w:sz w:val="24"/>
          <w:szCs w:val="24"/>
        </w:rPr>
        <w:t>udium mRNA a miRNA exprese metodou PCR v reálném čase (real-time Polymerase Chain Reaction) je potřeba vyizolovanou mRNA a miRNA přepsat do sekvence cDNA. cDNA je poté použita jako vstupní materiál pro následnou PCR reakci.</w:t>
      </w:r>
    </w:p>
    <w:p w:rsidR="008F0C0F" w:rsidRPr="0062347D" w:rsidRDefault="008F0C0F" w:rsidP="00284F89">
      <w:pPr>
        <w:spacing w:after="240" w:line="360" w:lineRule="auto"/>
        <w:ind w:firstLine="709"/>
        <w:jc w:val="both"/>
        <w:rPr>
          <w:rFonts w:cstheme="minorHAnsi"/>
          <w:sz w:val="24"/>
          <w:szCs w:val="24"/>
        </w:rPr>
      </w:pPr>
      <w:r w:rsidRPr="0062347D">
        <w:rPr>
          <w:rFonts w:cstheme="minorHAnsi"/>
          <w:sz w:val="24"/>
          <w:szCs w:val="24"/>
        </w:rPr>
        <w:t>Hlavními složkami reakce pro reverzní transkripci mRNA sekvencí jsou enzym reverzní transkriptáza, čtyři deoxynukleotidtrifosfáty a primer pro přepis mRNA, který ve své sekvenci obsahuje několik tymidinů (</w:t>
      </w:r>
      <w:r w:rsidRPr="00C87449">
        <w:rPr>
          <w:rFonts w:cstheme="minorHAnsi"/>
          <w:sz w:val="24"/>
          <w:szCs w:val="24"/>
        </w:rPr>
        <w:t>Anchored oligo</w:t>
      </w:r>
      <w:r w:rsidRPr="0062347D">
        <w:rPr>
          <w:rFonts w:cstheme="minorHAnsi"/>
          <w:sz w:val="24"/>
          <w:szCs w:val="24"/>
        </w:rPr>
        <w:t xml:space="preserve"> (dT)</w:t>
      </w:r>
      <w:r w:rsidRPr="0062347D">
        <w:rPr>
          <w:rFonts w:cstheme="minorHAnsi"/>
          <w:sz w:val="24"/>
          <w:szCs w:val="24"/>
          <w:vertAlign w:val="subscript"/>
        </w:rPr>
        <w:t>18</w:t>
      </w:r>
      <w:r w:rsidRPr="0062347D">
        <w:rPr>
          <w:rFonts w:cstheme="minorHAnsi"/>
          <w:sz w:val="24"/>
          <w:szCs w:val="24"/>
        </w:rPr>
        <w:t xml:space="preserve"> primer) a</w:t>
      </w:r>
      <w:r w:rsidRPr="003329E2">
        <w:rPr>
          <w:rFonts w:cstheme="minorHAnsi"/>
          <w:sz w:val="24"/>
          <w:szCs w:val="24"/>
        </w:rPr>
        <w:t xml:space="preserve"> označuje tak počátek</w:t>
      </w:r>
      <w:r w:rsidRPr="00E663BF">
        <w:rPr>
          <w:rFonts w:cstheme="minorHAnsi"/>
          <w:sz w:val="24"/>
          <w:szCs w:val="24"/>
        </w:rPr>
        <w:t xml:space="preserve"> přepisu mRNA od </w:t>
      </w:r>
      <w:r w:rsidRPr="004E5649">
        <w:rPr>
          <w:rFonts w:cstheme="minorHAnsi"/>
          <w:sz w:val="24"/>
          <w:szCs w:val="24"/>
        </w:rPr>
        <w:t>3´-</w:t>
      </w:r>
      <w:proofErr w:type="gramStart"/>
      <w:r w:rsidRPr="004E5649">
        <w:rPr>
          <w:rFonts w:cstheme="minorHAnsi"/>
          <w:sz w:val="24"/>
          <w:szCs w:val="24"/>
        </w:rPr>
        <w:t>poly(A) konce</w:t>
      </w:r>
      <w:proofErr w:type="gramEnd"/>
      <w:r w:rsidRPr="004E5649">
        <w:rPr>
          <w:rFonts w:cstheme="minorHAnsi"/>
          <w:sz w:val="24"/>
          <w:szCs w:val="24"/>
        </w:rPr>
        <w:t>. Reverzní transkriptáza syntetizuje dlouhé cDNA (až 14 kb) při teplotě až +65</w:t>
      </w:r>
      <w:r>
        <w:rPr>
          <w:rFonts w:cstheme="minorHAnsi"/>
          <w:sz w:val="24"/>
          <w:szCs w:val="24"/>
        </w:rPr>
        <w:t xml:space="preserve"> </w:t>
      </w:r>
      <w:r w:rsidRPr="004E5649">
        <w:rPr>
          <w:rFonts w:cstheme="minorHAnsi"/>
          <w:sz w:val="24"/>
          <w:szCs w:val="24"/>
        </w:rPr>
        <w:t xml:space="preserve">°C. Tohoto principu využívá kit pro reverzní transkripci mRNA </w:t>
      </w:r>
      <w:r w:rsidRPr="00C87449">
        <w:rPr>
          <w:rFonts w:cstheme="minorHAnsi"/>
          <w:sz w:val="24"/>
          <w:szCs w:val="24"/>
        </w:rPr>
        <w:t>Transcriptor First Strand cDNA Synthesis Kit (LifeScience, Roche</w:t>
      </w:r>
      <w:r w:rsidRPr="0062347D">
        <w:rPr>
          <w:rFonts w:cstheme="minorHAnsi"/>
          <w:sz w:val="24"/>
          <w:szCs w:val="24"/>
        </w:rPr>
        <w:t>).</w:t>
      </w:r>
    </w:p>
    <w:p w:rsidR="008F0C0F" w:rsidRPr="0062347D" w:rsidRDefault="008F0C0F" w:rsidP="00284F89">
      <w:pPr>
        <w:spacing w:after="240" w:line="360" w:lineRule="auto"/>
        <w:ind w:firstLine="709"/>
        <w:jc w:val="both"/>
        <w:rPr>
          <w:rFonts w:cstheme="minorHAnsi"/>
          <w:sz w:val="24"/>
          <w:szCs w:val="24"/>
        </w:rPr>
      </w:pPr>
      <w:r w:rsidRPr="003329E2">
        <w:rPr>
          <w:rFonts w:cstheme="minorHAnsi"/>
          <w:sz w:val="24"/>
          <w:szCs w:val="24"/>
        </w:rPr>
        <w:t>U reverzní transkripce miRNA se ov</w:t>
      </w:r>
      <w:r w:rsidRPr="00E663BF">
        <w:rPr>
          <w:rFonts w:cstheme="minorHAnsi"/>
          <w:sz w:val="24"/>
          <w:szCs w:val="24"/>
        </w:rPr>
        <w:t xml:space="preserve">šem používá jiných typů primerů. Primery pro reverzní transkripci určitých miRNA jsou sekvenčně specifické, každá miRNA potřebuje pro svůj přepis vlastní primer. </w:t>
      </w:r>
      <w:r w:rsidRPr="004E5649">
        <w:rPr>
          <w:rFonts w:cstheme="minorHAnsi"/>
          <w:sz w:val="24"/>
          <w:szCs w:val="24"/>
        </w:rPr>
        <w:t>Zralé miRNA mají délku pouze ~22 nukleotidů</w:t>
      </w:r>
      <w:r w:rsidRPr="00B24D8C">
        <w:rPr>
          <w:rFonts w:cstheme="minorHAnsi"/>
          <w:sz w:val="24"/>
          <w:szCs w:val="24"/>
        </w:rPr>
        <w:t xml:space="preserve"> a </w:t>
      </w:r>
      <w:r w:rsidRPr="0062347D">
        <w:rPr>
          <w:rFonts w:cstheme="minorHAnsi"/>
          <w:sz w:val="24"/>
          <w:szCs w:val="24"/>
        </w:rPr>
        <w:t>nelze využít konvenčních primerů pro reverzní transkripci mRNA. Primer specifický pro miRNA má vlásenkovou strukturu (</w:t>
      </w:r>
      <w:r w:rsidRPr="00C87449">
        <w:rPr>
          <w:rFonts w:cstheme="minorHAnsi"/>
          <w:sz w:val="24"/>
          <w:szCs w:val="24"/>
        </w:rPr>
        <w:t>Stem Loop Structure</w:t>
      </w:r>
      <w:r w:rsidRPr="0062347D">
        <w:rPr>
          <w:rFonts w:cstheme="minorHAnsi"/>
          <w:sz w:val="24"/>
          <w:szCs w:val="24"/>
        </w:rPr>
        <w:t>). T</w:t>
      </w:r>
      <w:r w:rsidRPr="003329E2">
        <w:rPr>
          <w:rFonts w:cstheme="minorHAnsi"/>
          <w:sz w:val="24"/>
          <w:szCs w:val="24"/>
        </w:rPr>
        <w:t>yto primery jsou dodávány</w:t>
      </w:r>
      <w:r w:rsidRPr="00E663BF">
        <w:rPr>
          <w:rFonts w:cstheme="minorHAnsi"/>
          <w:sz w:val="24"/>
          <w:szCs w:val="24"/>
        </w:rPr>
        <w:t xml:space="preserve"> například </w:t>
      </w:r>
      <w:r w:rsidRPr="004E5649">
        <w:rPr>
          <w:rFonts w:cstheme="minorHAnsi"/>
          <w:sz w:val="24"/>
          <w:szCs w:val="24"/>
        </w:rPr>
        <w:t xml:space="preserve">v kitu </w:t>
      </w:r>
      <w:r w:rsidRPr="00B24D8C">
        <w:rPr>
          <w:rFonts w:cstheme="minorHAnsi"/>
          <w:sz w:val="24"/>
          <w:szCs w:val="24"/>
        </w:rPr>
        <w:t xml:space="preserve">TaqMan microRNA Assay </w:t>
      </w:r>
      <w:r w:rsidR="009D79EE">
        <w:rPr>
          <w:rFonts w:cstheme="minorHAnsi"/>
          <w:sz w:val="24"/>
          <w:szCs w:val="24"/>
        </w:rPr>
        <w:t>(Applied Biosystem, Thermofisher</w:t>
      </w:r>
      <w:r w:rsidRPr="0062347D">
        <w:rPr>
          <w:rFonts w:cstheme="minorHAnsi"/>
          <w:sz w:val="24"/>
          <w:szCs w:val="24"/>
        </w:rPr>
        <w:t>).</w:t>
      </w:r>
    </w:p>
    <w:p w:rsidR="008F0C0F" w:rsidRPr="0062347D" w:rsidRDefault="008F0C0F" w:rsidP="00284F89">
      <w:pPr>
        <w:pStyle w:val="Nadpis3"/>
        <w:spacing w:after="240"/>
        <w:rPr>
          <w:rFonts w:cstheme="minorHAnsi"/>
          <w:szCs w:val="24"/>
        </w:rPr>
      </w:pPr>
      <w:bookmarkStart w:id="19" w:name="_Toc69543015"/>
      <w:r w:rsidRPr="0062347D">
        <w:rPr>
          <w:rFonts w:cstheme="minorHAnsi"/>
          <w:szCs w:val="24"/>
        </w:rPr>
        <w:t>Složení chemikálií a teplotní profil pro PCR v reálném čase</w:t>
      </w:r>
      <w:bookmarkEnd w:id="19"/>
    </w:p>
    <w:p w:rsidR="008F0C0F" w:rsidRPr="0062347D" w:rsidRDefault="008F0C0F" w:rsidP="00284F89">
      <w:pPr>
        <w:spacing w:after="240" w:line="360" w:lineRule="auto"/>
        <w:ind w:firstLine="709"/>
        <w:jc w:val="both"/>
        <w:rPr>
          <w:rFonts w:cstheme="minorHAnsi"/>
          <w:sz w:val="24"/>
          <w:szCs w:val="24"/>
        </w:rPr>
      </w:pPr>
      <w:r w:rsidRPr="0062347D">
        <w:rPr>
          <w:rFonts w:cstheme="minorHAnsi"/>
          <w:sz w:val="24"/>
          <w:szCs w:val="24"/>
        </w:rPr>
        <w:t xml:space="preserve">Metoda PCR v reálném čase (real-time PCR) se stala jednou z nejběžněji užívaných metod pro genovou kvantifikaci. Real-time PCR využívá fluorescence, jejíž intenzita koreluje s koncentrací PCR produktu </w:t>
      </w:r>
      <w:r w:rsidRPr="0062347D">
        <w:rPr>
          <w:rFonts w:cstheme="minorHAnsi"/>
          <w:noProof/>
          <w:sz w:val="24"/>
          <w:szCs w:val="24"/>
        </w:rPr>
        <w:t xml:space="preserve">(Wong </w:t>
      </w:r>
      <w:r w:rsidR="00166BDD">
        <w:rPr>
          <w:rFonts w:cstheme="minorHAnsi"/>
          <w:noProof/>
          <w:sz w:val="24"/>
          <w:szCs w:val="24"/>
        </w:rPr>
        <w:t>a</w:t>
      </w:r>
      <w:r w:rsidRPr="0062347D">
        <w:rPr>
          <w:rFonts w:cstheme="minorHAnsi"/>
          <w:noProof/>
          <w:sz w:val="24"/>
          <w:szCs w:val="24"/>
        </w:rPr>
        <w:t xml:space="preserve"> Medrano 2005)</w:t>
      </w:r>
      <w:r w:rsidRPr="0062347D">
        <w:rPr>
          <w:rFonts w:cstheme="minorHAnsi"/>
          <w:sz w:val="24"/>
          <w:szCs w:val="24"/>
        </w:rPr>
        <w:t>. Pro detekci PCR produktu lze využívat různé typy sond, například</w:t>
      </w:r>
      <w:r w:rsidRPr="003329E2">
        <w:rPr>
          <w:rFonts w:cstheme="minorHAnsi"/>
          <w:sz w:val="24"/>
          <w:szCs w:val="24"/>
        </w:rPr>
        <w:t xml:space="preserve"> fluorescenčně značené LNA (Locked Nucleic Aci</w:t>
      </w:r>
      <w:r w:rsidRPr="00E663BF">
        <w:rPr>
          <w:rFonts w:cstheme="minorHAnsi"/>
          <w:sz w:val="24"/>
          <w:szCs w:val="24"/>
        </w:rPr>
        <w:t xml:space="preserve">d) sondy (LNA, Universal ProbeLibrary; Roche Applied Science, Indianapolis, </w:t>
      </w:r>
      <w:proofErr w:type="gramStart"/>
      <w:r w:rsidRPr="00E663BF">
        <w:rPr>
          <w:rFonts w:cstheme="minorHAnsi"/>
          <w:sz w:val="24"/>
          <w:szCs w:val="24"/>
        </w:rPr>
        <w:t>USA)</w:t>
      </w:r>
      <w:r w:rsidRPr="004E5649">
        <w:rPr>
          <w:rFonts w:cstheme="minorHAnsi"/>
          <w:sz w:val="24"/>
          <w:szCs w:val="24"/>
        </w:rPr>
        <w:t xml:space="preserve"> </w:t>
      </w:r>
      <w:r w:rsidRPr="0062347D">
        <w:rPr>
          <w:rFonts w:cstheme="minorHAnsi"/>
          <w:noProof/>
          <w:sz w:val="24"/>
          <w:szCs w:val="24"/>
        </w:rPr>
        <w:t>(Kriegova</w:t>
      </w:r>
      <w:proofErr w:type="gramEnd"/>
      <w:r w:rsidRPr="0062347D">
        <w:rPr>
          <w:rFonts w:cstheme="minorHAnsi"/>
          <w:noProof/>
          <w:sz w:val="24"/>
          <w:szCs w:val="24"/>
        </w:rPr>
        <w:t>, Arakelyan et al. 2008)</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Začlenění uzamčených nukleových kyselin do s</w:t>
      </w:r>
      <w:r w:rsidRPr="00E663BF">
        <w:rPr>
          <w:rFonts w:cstheme="minorHAnsi"/>
          <w:sz w:val="24"/>
          <w:szCs w:val="24"/>
        </w:rPr>
        <w:t>ekvence sond, jako jsou například TaqMan so</w:t>
      </w:r>
      <w:r w:rsidRPr="004E5649">
        <w:rPr>
          <w:rFonts w:cstheme="minorHAnsi"/>
          <w:sz w:val="24"/>
          <w:szCs w:val="24"/>
        </w:rPr>
        <w:t xml:space="preserve">ndy, zvyšuje stabilitu vzniku duplexu sondy a cílové </w:t>
      </w:r>
      <w:r>
        <w:rPr>
          <w:rFonts w:cstheme="minorHAnsi"/>
          <w:sz w:val="24"/>
          <w:szCs w:val="24"/>
        </w:rPr>
        <w:t xml:space="preserve">cDNA </w:t>
      </w:r>
      <w:r w:rsidRPr="004E5649">
        <w:rPr>
          <w:rFonts w:cstheme="minorHAnsi"/>
          <w:sz w:val="24"/>
          <w:szCs w:val="24"/>
        </w:rPr>
        <w:t xml:space="preserve">sekvence. </w:t>
      </w:r>
      <w:proofErr w:type="gramStart"/>
      <w:r w:rsidRPr="004E5649">
        <w:rPr>
          <w:rFonts w:cstheme="minorHAnsi"/>
          <w:sz w:val="24"/>
          <w:szCs w:val="24"/>
        </w:rPr>
        <w:t>LNA</w:t>
      </w:r>
      <w:proofErr w:type="gramEnd"/>
      <w:r w:rsidRPr="004E5649">
        <w:rPr>
          <w:rFonts w:cstheme="minorHAnsi"/>
          <w:sz w:val="24"/>
          <w:szCs w:val="24"/>
        </w:rPr>
        <w:t xml:space="preserve"> jsou analogy nukleotidů, které mají větší vazebnou sílu v porovnání se standar</w:t>
      </w:r>
      <w:r w:rsidRPr="00B24D8C">
        <w:rPr>
          <w:rFonts w:cstheme="minorHAnsi"/>
          <w:sz w:val="24"/>
          <w:szCs w:val="24"/>
        </w:rPr>
        <w:t>d</w:t>
      </w:r>
      <w:r w:rsidRPr="0062347D">
        <w:rPr>
          <w:rFonts w:cstheme="minorHAnsi"/>
          <w:sz w:val="24"/>
          <w:szCs w:val="24"/>
        </w:rPr>
        <w:t xml:space="preserve">ními nukleotidy. </w:t>
      </w:r>
      <w:proofErr w:type="gramStart"/>
      <w:r w:rsidRPr="0062347D">
        <w:rPr>
          <w:rFonts w:cstheme="minorHAnsi"/>
          <w:sz w:val="24"/>
          <w:szCs w:val="24"/>
        </w:rPr>
        <w:lastRenderedPageBreak/>
        <w:t>LNA</w:t>
      </w:r>
      <w:proofErr w:type="gramEnd"/>
      <w:r w:rsidRPr="0062347D">
        <w:rPr>
          <w:rFonts w:cstheme="minorHAnsi"/>
          <w:sz w:val="24"/>
          <w:szCs w:val="24"/>
        </w:rPr>
        <w:t xml:space="preserve"> zajišťují sondám určitou specifitu a teplotu tání, která je potřebná pro hybridizaci sondy na cílovou sekvenci </w:t>
      </w:r>
      <w:r w:rsidRPr="0062347D">
        <w:rPr>
          <w:rFonts w:cstheme="minorHAnsi"/>
          <w:noProof/>
          <w:sz w:val="24"/>
          <w:szCs w:val="24"/>
        </w:rPr>
        <w:t>(Bonetta 2005)</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3329E2">
        <w:rPr>
          <w:rFonts w:cstheme="minorHAnsi"/>
          <w:sz w:val="24"/>
          <w:szCs w:val="24"/>
        </w:rPr>
        <w:t>PCR reakční mix se skládá z cDNA, kt</w:t>
      </w:r>
      <w:r w:rsidRPr="00E663BF">
        <w:rPr>
          <w:rFonts w:cstheme="minorHAnsi"/>
          <w:sz w:val="24"/>
          <w:szCs w:val="24"/>
        </w:rPr>
        <w:t>erá pochází z vyizolované mRNA přepsané reverzní transkripcí do podoby cDNA. Dále jsou součástí r</w:t>
      </w:r>
      <w:r w:rsidRPr="004E5649">
        <w:rPr>
          <w:rFonts w:cstheme="minorHAnsi"/>
          <w:sz w:val="24"/>
          <w:szCs w:val="24"/>
        </w:rPr>
        <w:t xml:space="preserve">eakce chlorid hořečnatý, směs </w:t>
      </w:r>
      <w:r w:rsidRPr="00B24D8C">
        <w:rPr>
          <w:rFonts w:cstheme="minorHAnsi"/>
          <w:sz w:val="24"/>
          <w:szCs w:val="24"/>
        </w:rPr>
        <w:t xml:space="preserve">deoxynukleotidtrifosfátů (dNTP), </w:t>
      </w:r>
      <w:r w:rsidRPr="0062347D">
        <w:rPr>
          <w:rFonts w:cstheme="minorHAnsi"/>
          <w:sz w:val="24"/>
          <w:szCs w:val="24"/>
        </w:rPr>
        <w:t>termostabilní polymeráza, PCR pufr, LNA sonda a primery ohraničující studovanou sekvenci. Obvyklý teplotní profil reakce začíná denaturací při 94</w:t>
      </w:r>
      <w:r>
        <w:rPr>
          <w:rFonts w:cstheme="minorHAnsi"/>
          <w:sz w:val="24"/>
          <w:szCs w:val="24"/>
        </w:rPr>
        <w:t xml:space="preserve"> </w:t>
      </w:r>
      <w:r w:rsidRPr="004E5649">
        <w:rPr>
          <w:rFonts w:cstheme="minorHAnsi"/>
          <w:sz w:val="24"/>
          <w:szCs w:val="24"/>
        </w:rPr>
        <w:t>°C (jeden cyklus 15 min) a</w:t>
      </w:r>
      <w:r w:rsidRPr="00B24D8C">
        <w:rPr>
          <w:rFonts w:cstheme="minorHAnsi"/>
          <w:sz w:val="24"/>
          <w:szCs w:val="24"/>
        </w:rPr>
        <w:t xml:space="preserve"> pokračuje</w:t>
      </w:r>
      <w:r w:rsidRPr="0062347D">
        <w:rPr>
          <w:rFonts w:cstheme="minorHAnsi"/>
          <w:sz w:val="24"/>
          <w:szCs w:val="24"/>
        </w:rPr>
        <w:t xml:space="preserve"> 40 cyklů amplifikace (</w:t>
      </w:r>
      <w:r w:rsidRPr="00120105">
        <w:rPr>
          <w:rFonts w:cstheme="minorHAnsi"/>
          <w:sz w:val="24"/>
          <w:szCs w:val="24"/>
        </w:rPr>
        <w:t xml:space="preserve">94 °C po dobu 45 s, 60 °C po dobu </w:t>
      </w:r>
      <w:proofErr w:type="gramStart"/>
      <w:r w:rsidRPr="00120105">
        <w:rPr>
          <w:rFonts w:cstheme="minorHAnsi"/>
          <w:sz w:val="24"/>
          <w:szCs w:val="24"/>
        </w:rPr>
        <w:t>30 </w:t>
      </w:r>
      <w:r w:rsidRPr="002B4AE8">
        <w:rPr>
          <w:rFonts w:cstheme="minorHAnsi"/>
          <w:sz w:val="24"/>
          <w:szCs w:val="24"/>
        </w:rPr>
        <w:t>s</w:t>
      </w:r>
      <w:r w:rsidRPr="0062347D">
        <w:rPr>
          <w:rFonts w:cstheme="minorHAnsi"/>
          <w:sz w:val="24"/>
          <w:szCs w:val="24"/>
        </w:rPr>
        <w:t xml:space="preserve">) </w:t>
      </w:r>
      <w:r w:rsidRPr="0062347D">
        <w:rPr>
          <w:rFonts w:cstheme="minorHAnsi"/>
          <w:noProof/>
          <w:sz w:val="24"/>
          <w:szCs w:val="24"/>
        </w:rPr>
        <w:t>(Kriegova</w:t>
      </w:r>
      <w:proofErr w:type="gramEnd"/>
      <w:r w:rsidRPr="0062347D">
        <w:rPr>
          <w:rFonts w:cstheme="minorHAnsi"/>
          <w:noProof/>
          <w:sz w:val="24"/>
          <w:szCs w:val="24"/>
        </w:rPr>
        <w:t>, Arakelyan et al. 2008)</w:t>
      </w:r>
      <w:r w:rsidRPr="0062347D">
        <w:rPr>
          <w:rFonts w:cstheme="minorHAnsi"/>
          <w:sz w:val="24"/>
          <w:szCs w:val="24"/>
        </w:rPr>
        <w:t>.</w:t>
      </w:r>
    </w:p>
    <w:p w:rsidR="008F0C0F" w:rsidRPr="00E663BF" w:rsidRDefault="008F0C0F" w:rsidP="00284F89">
      <w:pPr>
        <w:pStyle w:val="Nadpis3"/>
        <w:spacing w:after="240"/>
        <w:rPr>
          <w:rFonts w:cstheme="minorHAnsi"/>
          <w:szCs w:val="24"/>
        </w:rPr>
      </w:pPr>
      <w:bookmarkStart w:id="20" w:name="_Toc69543016"/>
      <w:r w:rsidRPr="003329E2">
        <w:rPr>
          <w:rFonts w:cstheme="minorHAnsi"/>
          <w:szCs w:val="24"/>
        </w:rPr>
        <w:t>Relativní kvantifikace</w:t>
      </w:r>
      <w:r w:rsidRPr="00E663BF">
        <w:rPr>
          <w:rFonts w:cstheme="minorHAnsi"/>
          <w:szCs w:val="24"/>
        </w:rPr>
        <w:t xml:space="preserve"> mRNA exprese</w:t>
      </w:r>
      <w:bookmarkEnd w:id="20"/>
    </w:p>
    <w:p w:rsidR="008F0C0F" w:rsidRPr="0062347D" w:rsidRDefault="008F0C0F" w:rsidP="00284F89">
      <w:pPr>
        <w:spacing w:after="240" w:line="360" w:lineRule="auto"/>
        <w:ind w:firstLine="709"/>
        <w:jc w:val="both"/>
        <w:rPr>
          <w:rFonts w:cstheme="minorHAnsi"/>
          <w:sz w:val="24"/>
          <w:szCs w:val="24"/>
        </w:rPr>
      </w:pPr>
      <w:r w:rsidRPr="004E5649">
        <w:rPr>
          <w:rFonts w:cstheme="minorHAnsi"/>
          <w:sz w:val="24"/>
          <w:szCs w:val="24"/>
        </w:rPr>
        <w:t>Během relativní kvantifikace jsou změny v genové expresi měřeny na základě externího standardu nebo referenčního vzorku,</w:t>
      </w:r>
      <w:r>
        <w:rPr>
          <w:rFonts w:cstheme="minorHAnsi"/>
          <w:sz w:val="24"/>
          <w:szCs w:val="24"/>
        </w:rPr>
        <w:t xml:space="preserve"> který je</w:t>
      </w:r>
      <w:r w:rsidRPr="004E5649">
        <w:rPr>
          <w:rFonts w:cstheme="minorHAnsi"/>
          <w:sz w:val="24"/>
          <w:szCs w:val="24"/>
        </w:rPr>
        <w:t xml:space="preserve"> znám</w:t>
      </w:r>
      <w:r>
        <w:rPr>
          <w:rFonts w:cstheme="minorHAnsi"/>
          <w:sz w:val="24"/>
          <w:szCs w:val="24"/>
        </w:rPr>
        <w:t>ý</w:t>
      </w:r>
      <w:r w:rsidRPr="004E5649">
        <w:rPr>
          <w:rFonts w:cstheme="minorHAnsi"/>
          <w:sz w:val="24"/>
          <w:szCs w:val="24"/>
        </w:rPr>
        <w:t xml:space="preserve"> jako kalibrátor </w:t>
      </w:r>
      <w:r w:rsidRPr="0062347D">
        <w:rPr>
          <w:rFonts w:cstheme="minorHAnsi"/>
          <w:noProof/>
          <w:sz w:val="24"/>
          <w:szCs w:val="24"/>
        </w:rPr>
        <w:t xml:space="preserve">(Livak </w:t>
      </w:r>
      <w:r w:rsidR="00166BDD">
        <w:rPr>
          <w:rFonts w:cstheme="minorHAnsi"/>
          <w:noProof/>
          <w:sz w:val="24"/>
          <w:szCs w:val="24"/>
        </w:rPr>
        <w:t>a</w:t>
      </w:r>
      <w:r w:rsidRPr="0062347D">
        <w:rPr>
          <w:rFonts w:cstheme="minorHAnsi"/>
          <w:noProof/>
          <w:sz w:val="24"/>
          <w:szCs w:val="24"/>
        </w:rPr>
        <w:t xml:space="preserve"> Schmittgen 2001)</w:t>
      </w:r>
      <w:r w:rsidRPr="0062347D">
        <w:rPr>
          <w:rFonts w:cstheme="minorHAnsi"/>
          <w:sz w:val="24"/>
          <w:szCs w:val="24"/>
        </w:rPr>
        <w:t>. Jako kalibrátor lze využít například cDNA syntetizované z univerzální referenční RNA (Stratagene QPCR Human Reference Total RNA,</w:t>
      </w:r>
      <w:r w:rsidRPr="003329E2">
        <w:rPr>
          <w:rFonts w:cstheme="minorHAnsi"/>
          <w:sz w:val="24"/>
          <w:szCs w:val="24"/>
        </w:rPr>
        <w:t xml:space="preserve"> La Jolla, CA, USA). </w:t>
      </w:r>
      <w:r w:rsidRPr="00E663BF">
        <w:rPr>
          <w:rFonts w:cstheme="minorHAnsi"/>
          <w:sz w:val="24"/>
          <w:szCs w:val="24"/>
        </w:rPr>
        <w:t>Relativní koncentrace každého vzorku je př</w:t>
      </w:r>
      <w:r w:rsidRPr="004E5649">
        <w:rPr>
          <w:rFonts w:cstheme="minorHAnsi"/>
          <w:sz w:val="24"/>
          <w:szCs w:val="24"/>
        </w:rPr>
        <w:t>irovnána ke kalibračnímu vzorku a je vypočítána na základě počát</w:t>
      </w:r>
      <w:r w:rsidRPr="00B24D8C">
        <w:rPr>
          <w:rFonts w:cstheme="minorHAnsi"/>
          <w:sz w:val="24"/>
          <w:szCs w:val="24"/>
        </w:rPr>
        <w:t xml:space="preserve">ečního bodu </w:t>
      </w:r>
      <w:r w:rsidRPr="0062347D">
        <w:rPr>
          <w:rFonts w:cstheme="minorHAnsi"/>
          <w:sz w:val="24"/>
          <w:szCs w:val="24"/>
        </w:rPr>
        <w:t>(TakeOff) a reakční efektivity neboli účinnosti (Rotor-Gene</w:t>
      </w:r>
      <w:r w:rsidRPr="0062347D">
        <w:rPr>
          <w:rFonts w:cstheme="minorHAnsi"/>
          <w:sz w:val="32"/>
          <w:szCs w:val="24"/>
        </w:rPr>
        <w:t>®</w:t>
      </w:r>
      <w:r w:rsidRPr="0062347D">
        <w:rPr>
          <w:rFonts w:cstheme="minorHAnsi"/>
          <w:sz w:val="24"/>
          <w:szCs w:val="24"/>
        </w:rPr>
        <w:t xml:space="preserve"> Q MDx User Ma</w:t>
      </w:r>
      <w:r w:rsidR="00952F15">
        <w:rPr>
          <w:rFonts w:cstheme="minorHAnsi"/>
          <w:sz w:val="24"/>
          <w:szCs w:val="24"/>
        </w:rPr>
        <w:t>nual, 2010, Hilden)</w:t>
      </w:r>
      <w:r w:rsidR="00631A60">
        <w:rPr>
          <w:rFonts w:cstheme="minorHAnsi"/>
          <w:sz w:val="24"/>
          <w:szCs w:val="24"/>
        </w:rPr>
        <w:t>.</w:t>
      </w:r>
    </w:p>
    <w:p w:rsidR="008F0C0F" w:rsidRPr="0062347D" w:rsidRDefault="008F0C0F" w:rsidP="00284F89">
      <w:pPr>
        <w:spacing w:line="360" w:lineRule="auto"/>
        <w:ind w:firstLine="709"/>
        <w:jc w:val="both"/>
        <w:rPr>
          <w:rFonts w:cstheme="minorHAnsi"/>
          <w:color w:val="000000"/>
          <w:sz w:val="24"/>
          <w:szCs w:val="24"/>
          <w:shd w:val="clear" w:color="auto" w:fill="FFFFFF"/>
        </w:rPr>
      </w:pPr>
      <w:r w:rsidRPr="0062347D">
        <w:rPr>
          <w:rFonts w:cstheme="minorHAnsi"/>
          <w:sz w:val="24"/>
          <w:szCs w:val="24"/>
        </w:rPr>
        <w:t>Relativní expresi mRNA je možné spočítat metodou druhé derivace. Metoda druhé derivace je kvantifikační metoda založená na výpočtu druhé derivace amplifikační křivky, která odpovíd</w:t>
      </w:r>
      <w:r>
        <w:rPr>
          <w:rFonts w:cstheme="minorHAnsi"/>
          <w:sz w:val="24"/>
          <w:szCs w:val="24"/>
        </w:rPr>
        <w:t>á</w:t>
      </w:r>
      <w:r w:rsidRPr="0062347D">
        <w:rPr>
          <w:rFonts w:cstheme="minorHAnsi"/>
          <w:sz w:val="24"/>
          <w:szCs w:val="24"/>
        </w:rPr>
        <w:t xml:space="preserve"> nárůstu fluorescence v reakci. Počáteční bod (TakeOff) je definován jako cyklus, během kterého začíná konec fluorescenčního šumu a dochází k přechodu do exponenciální fáze reakce. TakeOff point je zde druhou derivací, která je na 20</w:t>
      </w:r>
      <w:r>
        <w:rPr>
          <w:rFonts w:cstheme="minorHAnsi"/>
          <w:sz w:val="24"/>
          <w:szCs w:val="24"/>
        </w:rPr>
        <w:t xml:space="preserve"> </w:t>
      </w:r>
      <w:r w:rsidRPr="0062347D">
        <w:rPr>
          <w:rFonts w:cstheme="minorHAnsi"/>
          <w:sz w:val="24"/>
          <w:szCs w:val="24"/>
        </w:rPr>
        <w:t>% své maximální úrovně (</w:t>
      </w:r>
      <w:r w:rsidRPr="0062347D">
        <w:rPr>
          <w:rFonts w:cstheme="minorHAnsi"/>
          <w:color w:val="000000"/>
          <w:sz w:val="24"/>
          <w:szCs w:val="24"/>
          <w:shd w:val="clear" w:color="auto" w:fill="FFFFFF"/>
        </w:rPr>
        <w:t xml:space="preserve">RotorGene Software </w:t>
      </w:r>
      <w:proofErr w:type="gramStart"/>
      <w:r w:rsidRPr="0062347D">
        <w:rPr>
          <w:rFonts w:cstheme="minorHAnsi"/>
          <w:color w:val="000000"/>
          <w:sz w:val="24"/>
          <w:szCs w:val="24"/>
          <w:shd w:val="clear" w:color="auto" w:fill="FFFFFF"/>
        </w:rPr>
        <w:t>6.1.71</w:t>
      </w:r>
      <w:proofErr w:type="gramEnd"/>
      <w:r w:rsidRPr="0062347D">
        <w:rPr>
          <w:rFonts w:cstheme="minorHAnsi"/>
          <w:color w:val="000000"/>
          <w:sz w:val="24"/>
          <w:szCs w:val="24"/>
          <w:shd w:val="clear" w:color="auto" w:fill="FFFFFF"/>
        </w:rPr>
        <w:t>, Corbett Research</w:t>
      </w:r>
      <w:r w:rsidRPr="0062347D">
        <w:rPr>
          <w:rFonts w:cstheme="minorHAnsi"/>
          <w:sz w:val="24"/>
          <w:szCs w:val="24"/>
        </w:rPr>
        <w:t>, Sydney, Austrálie</w:t>
      </w:r>
      <w:r w:rsidRPr="003329E2">
        <w:rPr>
          <w:rFonts w:cstheme="minorHAnsi"/>
          <w:color w:val="000000"/>
          <w:sz w:val="24"/>
          <w:szCs w:val="24"/>
          <w:shd w:val="clear" w:color="auto" w:fill="FFFFFF"/>
        </w:rPr>
        <w:t>)</w:t>
      </w:r>
      <w:r w:rsidRPr="00E663BF">
        <w:rPr>
          <w:rFonts w:cstheme="minorHAnsi"/>
          <w:color w:val="000000"/>
          <w:sz w:val="24"/>
          <w:szCs w:val="24"/>
          <w:shd w:val="clear" w:color="auto" w:fill="FFFFFF"/>
        </w:rPr>
        <w:t>. Po výpočtu hodnot TakeOff kalibrátoru a vzorku</w:t>
      </w:r>
      <w:r w:rsidRPr="004E5649">
        <w:rPr>
          <w:rFonts w:cstheme="minorHAnsi"/>
          <w:color w:val="000000"/>
          <w:sz w:val="24"/>
          <w:szCs w:val="24"/>
          <w:shd w:val="clear" w:color="auto" w:fill="FFFFFF"/>
        </w:rPr>
        <w:t xml:space="preserve"> je získána průměrná hodnota amplifikace a z ní relativní konce</w:t>
      </w:r>
      <w:r w:rsidRPr="00B24D8C">
        <w:rPr>
          <w:rFonts w:cstheme="minorHAnsi"/>
          <w:color w:val="000000"/>
          <w:sz w:val="24"/>
          <w:szCs w:val="24"/>
          <w:shd w:val="clear" w:color="auto" w:fill="FFFFFF"/>
        </w:rPr>
        <w:t>n</w:t>
      </w:r>
      <w:r w:rsidRPr="0062347D">
        <w:rPr>
          <w:rFonts w:cstheme="minorHAnsi"/>
          <w:color w:val="000000"/>
          <w:sz w:val="24"/>
          <w:szCs w:val="24"/>
          <w:shd w:val="clear" w:color="auto" w:fill="FFFFFF"/>
        </w:rPr>
        <w:t xml:space="preserve">trace. Relativní koncentrace pro každý vzorek je spočítána jako: </w:t>
      </w:r>
      <m:oMath>
        <m:r>
          <w:rPr>
            <w:rFonts w:ascii="Cambria Math" w:hAnsi="Cambria Math" w:cstheme="minorHAnsi"/>
            <w:color w:val="000000"/>
            <w:sz w:val="24"/>
            <w:szCs w:val="24"/>
            <w:shd w:val="clear" w:color="auto" w:fill="FFFFFF"/>
          </w:rPr>
          <m:t xml:space="preserve">Relativní koncentrace= </m:t>
        </m:r>
        <m:sSup>
          <m:sSupPr>
            <m:ctrlPr>
              <w:rPr>
                <w:rFonts w:ascii="Cambria Math" w:hAnsi="Cambria Math" w:cstheme="minorHAnsi"/>
                <w:i/>
                <w:color w:val="000000"/>
                <w:sz w:val="24"/>
                <w:szCs w:val="24"/>
                <w:shd w:val="clear" w:color="auto" w:fill="FFFFFF"/>
              </w:rPr>
            </m:ctrlPr>
          </m:sSupPr>
          <m:e>
            <m:r>
              <w:rPr>
                <w:rFonts w:ascii="Cambria Math" w:hAnsi="Cambria Math" w:cstheme="minorHAnsi"/>
                <w:color w:val="000000"/>
                <w:sz w:val="24"/>
                <w:szCs w:val="24"/>
                <w:shd w:val="clear" w:color="auto" w:fill="FFFFFF"/>
              </w:rPr>
              <m:t>Amplifikace</m:t>
            </m:r>
          </m:e>
          <m:sup>
            <m:r>
              <m:rPr>
                <m:sty m:val="p"/>
              </m:rPr>
              <w:rPr>
                <w:rFonts w:ascii="Cambria Math" w:hAnsi="Cambria Math" w:cstheme="minorHAnsi"/>
                <w:color w:val="000000"/>
                <w:sz w:val="24"/>
                <w:szCs w:val="24"/>
                <w:shd w:val="clear" w:color="auto" w:fill="FFFFFF"/>
                <w:vertAlign w:val="superscript"/>
              </w:rPr>
              <m:t>(TakeOff Kalibrátoru - TakeOff Vzorku)</m:t>
            </m:r>
          </m:sup>
        </m:sSup>
      </m:oMath>
      <w:r w:rsidRPr="0062347D">
        <w:rPr>
          <w:rFonts w:cstheme="minorHAnsi"/>
          <w:color w:val="000000"/>
          <w:sz w:val="24"/>
          <w:szCs w:val="24"/>
          <w:shd w:val="clear" w:color="auto" w:fill="FFFFFF"/>
        </w:rPr>
        <w:t xml:space="preserve"> </w:t>
      </w:r>
    </w:p>
    <w:p w:rsidR="008F0C0F" w:rsidRPr="0062347D" w:rsidRDefault="008F0C0F" w:rsidP="00284F89">
      <w:pPr>
        <w:spacing w:line="360" w:lineRule="auto"/>
        <w:ind w:firstLine="709"/>
        <w:jc w:val="both"/>
        <w:rPr>
          <w:rFonts w:cstheme="minorHAnsi"/>
          <w:color w:val="000000"/>
          <w:sz w:val="24"/>
          <w:szCs w:val="24"/>
          <w:shd w:val="clear" w:color="auto" w:fill="FFFFFF"/>
        </w:rPr>
      </w:pPr>
      <w:r w:rsidRPr="003329E2">
        <w:rPr>
          <w:rFonts w:cstheme="minorHAnsi"/>
          <w:color w:val="000000"/>
          <w:sz w:val="24"/>
          <w:szCs w:val="24"/>
          <w:shd w:val="clear" w:color="auto" w:fill="FFFFFF"/>
        </w:rPr>
        <w:t>Pro PCR je důležité sledovat hodnotu účinnosti reakce</w:t>
      </w:r>
      <w:r w:rsidRPr="00E663BF">
        <w:rPr>
          <w:rFonts w:cstheme="minorHAnsi"/>
          <w:color w:val="000000"/>
          <w:sz w:val="24"/>
          <w:szCs w:val="24"/>
          <w:shd w:val="clear" w:color="auto" w:fill="FFFFFF"/>
        </w:rPr>
        <w:t xml:space="preserve"> neboli</w:t>
      </w:r>
      <w:r w:rsidRPr="004E5649">
        <w:rPr>
          <w:rFonts w:cstheme="minorHAnsi"/>
          <w:color w:val="000000"/>
          <w:sz w:val="24"/>
          <w:szCs w:val="24"/>
          <w:shd w:val="clear" w:color="auto" w:fill="FFFFFF"/>
        </w:rPr>
        <w:t xml:space="preserve"> účinnosti amplifikace. V ideálním případě by se h</w:t>
      </w:r>
      <w:r w:rsidRPr="00B24D8C">
        <w:rPr>
          <w:rFonts w:cstheme="minorHAnsi"/>
          <w:color w:val="000000"/>
          <w:sz w:val="24"/>
          <w:szCs w:val="24"/>
          <w:shd w:val="clear" w:color="auto" w:fill="FFFFFF"/>
        </w:rPr>
        <w:t>odnota</w:t>
      </w:r>
      <w:r w:rsidRPr="0062347D">
        <w:rPr>
          <w:rFonts w:cstheme="minorHAnsi"/>
          <w:color w:val="000000"/>
          <w:sz w:val="24"/>
          <w:szCs w:val="24"/>
          <w:shd w:val="clear" w:color="auto" w:fill="FFFFFF"/>
        </w:rPr>
        <w:t xml:space="preserve"> účinnosti amplifikace rovnala číslu 2, účinnost PCR pro každý vzorek by byla 100%. To by znamenalo, že během každého cyklu by se množství amplikonů zdvojnásobilo. Při metodě druhé derivace je účinnost amplifikace spočítána pro </w:t>
      </w:r>
      <w:r w:rsidRPr="0062347D">
        <w:rPr>
          <w:rFonts w:cstheme="minorHAnsi"/>
          <w:color w:val="000000"/>
          <w:sz w:val="24"/>
          <w:szCs w:val="24"/>
          <w:shd w:val="clear" w:color="auto" w:fill="FFFFFF"/>
        </w:rPr>
        <w:lastRenderedPageBreak/>
        <w:t xml:space="preserve">každý vzorek z části sklonu křivky mezi TakeOff bodem a jejím maximem </w:t>
      </w:r>
      <w:r w:rsidRPr="0062347D">
        <w:rPr>
          <w:rFonts w:cstheme="minorHAnsi"/>
          <w:noProof/>
          <w:color w:val="000000"/>
          <w:sz w:val="24"/>
          <w:szCs w:val="24"/>
          <w:shd w:val="clear" w:color="auto" w:fill="FFFFFF"/>
        </w:rPr>
        <w:t>(Kriegova, Arakelyan et al. 2008)</w:t>
      </w:r>
      <w:r w:rsidRPr="0062347D">
        <w:rPr>
          <w:rFonts w:cstheme="minorHAnsi"/>
          <w:color w:val="000000"/>
          <w:sz w:val="24"/>
          <w:szCs w:val="24"/>
          <w:shd w:val="clear" w:color="auto" w:fill="FFFFFF"/>
        </w:rPr>
        <w:t>.</w:t>
      </w:r>
    </w:p>
    <w:p w:rsidR="008F0C0F" w:rsidRPr="00E663BF" w:rsidRDefault="008F0C0F" w:rsidP="00284F89">
      <w:pPr>
        <w:pStyle w:val="Nadpis2"/>
        <w:spacing w:after="240"/>
        <w:rPr>
          <w:rFonts w:cstheme="minorHAnsi"/>
          <w:szCs w:val="24"/>
        </w:rPr>
      </w:pPr>
      <w:bookmarkStart w:id="21" w:name="_Toc69543017"/>
      <w:r w:rsidRPr="003329E2">
        <w:rPr>
          <w:rFonts w:cstheme="minorHAnsi"/>
          <w:szCs w:val="24"/>
        </w:rPr>
        <w:t>Průtoková cytometrie</w:t>
      </w:r>
      <w:bookmarkEnd w:id="21"/>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Průtokový cytometr je zařízení skládající se ze tří hlavních systémů</w:t>
      </w:r>
      <w:r>
        <w:rPr>
          <w:rFonts w:cstheme="minorHAnsi"/>
          <w:sz w:val="24"/>
          <w:szCs w:val="24"/>
        </w:rPr>
        <w:t>:</w:t>
      </w:r>
      <w:r w:rsidRPr="004E5649">
        <w:rPr>
          <w:rFonts w:cstheme="minorHAnsi"/>
          <w:sz w:val="24"/>
          <w:szCs w:val="24"/>
        </w:rPr>
        <w:t xml:space="preserve"> kapalinového, optického a elektronického. Kapalinový systém transportuje částice do paprsku laseru k analýze.</w:t>
      </w:r>
      <w:r w:rsidRPr="00B24D8C">
        <w:rPr>
          <w:rFonts w:cstheme="minorHAnsi"/>
          <w:sz w:val="24"/>
          <w:szCs w:val="24"/>
        </w:rPr>
        <w:t xml:space="preserve"> Optický systém se skládá z laseru ozařu</w:t>
      </w:r>
      <w:r w:rsidRPr="0062347D">
        <w:rPr>
          <w:rFonts w:cstheme="minorHAnsi"/>
          <w:sz w:val="24"/>
          <w:szCs w:val="24"/>
        </w:rPr>
        <w:t>jícího vzorek v proudu kapaliny a optických filtrů pro směřování světelných signálů k detektorům. Systém elektronicky převádí detekované světelné signály do elektronických, které jsou zpracovány počítačem (</w:t>
      </w:r>
      <w:r w:rsidRPr="00C87449">
        <w:rPr>
          <w:rFonts w:cstheme="minorHAnsi"/>
          <w:sz w:val="24"/>
          <w:szCs w:val="24"/>
        </w:rPr>
        <w:t>Introduction to flow cytometry: A Learning guide, © 2002</w:t>
      </w:r>
      <w:r w:rsidR="00D04785">
        <w:rPr>
          <w:rFonts w:cstheme="minorHAnsi"/>
          <w:sz w:val="24"/>
          <w:szCs w:val="24"/>
        </w:rPr>
        <w:t xml:space="preserve"> </w:t>
      </w:r>
      <w:r w:rsidRPr="00C87449">
        <w:rPr>
          <w:rFonts w:cstheme="minorHAnsi"/>
          <w:sz w:val="24"/>
          <w:szCs w:val="24"/>
        </w:rPr>
        <w:t>Becton, Dicinson Company</w:t>
      </w:r>
      <w:r w:rsidRPr="0062347D">
        <w:rPr>
          <w:rFonts w:cstheme="minorHAnsi"/>
          <w:sz w:val="24"/>
          <w:szCs w:val="24"/>
        </w:rPr>
        <w:t>).</w:t>
      </w:r>
    </w:p>
    <w:p w:rsidR="008F0C0F" w:rsidRPr="004E5649" w:rsidRDefault="008F0C0F" w:rsidP="00284F89">
      <w:pPr>
        <w:spacing w:line="360" w:lineRule="auto"/>
        <w:ind w:firstLine="709"/>
        <w:jc w:val="both"/>
        <w:rPr>
          <w:rFonts w:cstheme="minorHAnsi"/>
          <w:sz w:val="24"/>
          <w:szCs w:val="24"/>
        </w:rPr>
      </w:pPr>
      <w:r w:rsidRPr="003329E2">
        <w:rPr>
          <w:rFonts w:cstheme="minorHAnsi"/>
          <w:sz w:val="24"/>
          <w:szCs w:val="24"/>
        </w:rPr>
        <w:t>B</w:t>
      </w:r>
      <w:r w:rsidRPr="00E663BF">
        <w:rPr>
          <w:rFonts w:cstheme="minorHAnsi"/>
          <w:sz w:val="24"/>
          <w:szCs w:val="24"/>
        </w:rPr>
        <w:t>uňky pr</w:t>
      </w:r>
      <w:r w:rsidRPr="004E5649">
        <w:rPr>
          <w:rFonts w:cstheme="minorHAnsi"/>
          <w:sz w:val="24"/>
          <w:szCs w:val="24"/>
        </w:rPr>
        <w:t xml:space="preserve">ocházejí skrze laserový paprsek a světlo rozptylují. </w:t>
      </w:r>
      <w:r w:rsidRPr="00B24D8C">
        <w:rPr>
          <w:rFonts w:cstheme="minorHAnsi"/>
          <w:sz w:val="24"/>
          <w:szCs w:val="24"/>
        </w:rPr>
        <w:t xml:space="preserve">Zároveň </w:t>
      </w:r>
      <w:r w:rsidRPr="0062347D">
        <w:rPr>
          <w:rFonts w:cstheme="minorHAnsi"/>
          <w:sz w:val="24"/>
          <w:szCs w:val="24"/>
        </w:rPr>
        <w:t>protilátky s</w:t>
      </w:r>
      <w:r>
        <w:rPr>
          <w:rFonts w:cstheme="minorHAnsi"/>
          <w:sz w:val="24"/>
          <w:szCs w:val="24"/>
        </w:rPr>
        <w:t> </w:t>
      </w:r>
      <w:r w:rsidRPr="0062347D">
        <w:rPr>
          <w:rFonts w:cstheme="minorHAnsi"/>
          <w:sz w:val="24"/>
          <w:szCs w:val="24"/>
        </w:rPr>
        <w:t>fluorochromy navázanými na buňky vyzařují světlo (fluoreskují). Rozptýlené (</w:t>
      </w:r>
      <w:r w:rsidRPr="00C87449">
        <w:rPr>
          <w:rFonts w:cstheme="minorHAnsi"/>
          <w:sz w:val="24"/>
          <w:szCs w:val="24"/>
        </w:rPr>
        <w:t>scattered</w:t>
      </w:r>
      <w:r w:rsidRPr="0062347D">
        <w:rPr>
          <w:rFonts w:cstheme="minorHAnsi"/>
          <w:sz w:val="24"/>
          <w:szCs w:val="24"/>
        </w:rPr>
        <w:t>) a</w:t>
      </w:r>
      <w:r>
        <w:rPr>
          <w:rFonts w:cstheme="minorHAnsi"/>
          <w:sz w:val="24"/>
          <w:szCs w:val="24"/>
        </w:rPr>
        <w:t> </w:t>
      </w:r>
      <w:r w:rsidRPr="003329E2">
        <w:rPr>
          <w:rFonts w:cstheme="minorHAnsi"/>
          <w:sz w:val="24"/>
          <w:szCs w:val="24"/>
        </w:rPr>
        <w:t>fluore</w:t>
      </w:r>
      <w:r w:rsidRPr="00E663BF">
        <w:rPr>
          <w:rFonts w:cstheme="minorHAnsi"/>
          <w:sz w:val="24"/>
          <w:szCs w:val="24"/>
        </w:rPr>
        <w:t>scenční světlo je sbíráno</w:t>
      </w:r>
      <w:r w:rsidRPr="004E5649">
        <w:rPr>
          <w:rFonts w:cstheme="minorHAnsi"/>
          <w:sz w:val="24"/>
          <w:szCs w:val="24"/>
        </w:rPr>
        <w:t xml:space="preserve"> čočkami. Kombinace rozbočovačů paprsků a filtrů řídí rozptýlené a fluorescenční světlo k příslušným detektorům. Rozpty</w:t>
      </w:r>
      <w:r w:rsidRPr="00B24D8C">
        <w:rPr>
          <w:rFonts w:cstheme="minorHAnsi"/>
          <w:sz w:val="24"/>
          <w:szCs w:val="24"/>
        </w:rPr>
        <w:t>l</w:t>
      </w:r>
      <w:r w:rsidRPr="0062347D">
        <w:rPr>
          <w:rFonts w:cstheme="minorHAnsi"/>
          <w:sz w:val="24"/>
          <w:szCs w:val="24"/>
        </w:rPr>
        <w:t xml:space="preserve"> světla je závislý na fyzických vlastnostech částic, například na jejich velikosti a vnitřní komplexnosti. Faktory, které ovlivňují rozptyl světla, jsou buněčná membrána, jádro, granularita buněčné cytoplazmy či tvar buňky. Přední rozptýlené světlo (Forward-</w:t>
      </w:r>
      <w:r w:rsidRPr="00C87449">
        <w:rPr>
          <w:rFonts w:cstheme="minorHAnsi"/>
          <w:sz w:val="24"/>
          <w:szCs w:val="24"/>
        </w:rPr>
        <w:t>scattered</w:t>
      </w:r>
      <w:r w:rsidRPr="0062347D">
        <w:rPr>
          <w:rFonts w:cstheme="minorHAnsi"/>
          <w:sz w:val="24"/>
          <w:szCs w:val="24"/>
        </w:rPr>
        <w:t xml:space="preserve"> </w:t>
      </w:r>
      <w:r w:rsidRPr="00C87449">
        <w:rPr>
          <w:rFonts w:cstheme="minorHAnsi"/>
          <w:sz w:val="24"/>
          <w:szCs w:val="24"/>
        </w:rPr>
        <w:t>light</w:t>
      </w:r>
      <w:r>
        <w:rPr>
          <w:rFonts w:cstheme="minorHAnsi"/>
          <w:sz w:val="24"/>
          <w:szCs w:val="24"/>
        </w:rPr>
        <w:t xml:space="preserve"> </w:t>
      </w:r>
      <w:r w:rsidRPr="0062347D">
        <w:rPr>
          <w:rFonts w:cstheme="minorHAnsi"/>
          <w:sz w:val="24"/>
          <w:szCs w:val="24"/>
        </w:rPr>
        <w:t>= FSC) je úměrné velikosti buněčného povrchu</w:t>
      </w:r>
      <w:r w:rsidRPr="003329E2">
        <w:rPr>
          <w:rFonts w:cstheme="minorHAnsi"/>
          <w:sz w:val="24"/>
          <w:szCs w:val="24"/>
        </w:rPr>
        <w:t xml:space="preserve"> (</w:t>
      </w:r>
      <w:r w:rsidRPr="00E663BF">
        <w:rPr>
          <w:rFonts w:cstheme="minorHAnsi"/>
          <w:b/>
          <w:sz w:val="24"/>
          <w:szCs w:val="24"/>
        </w:rPr>
        <w:t>Obrázek 2</w:t>
      </w:r>
      <w:r w:rsidRPr="004E5649">
        <w:rPr>
          <w:rFonts w:cstheme="minorHAnsi"/>
          <w:sz w:val="24"/>
          <w:szCs w:val="24"/>
        </w:rPr>
        <w:t>). FSC detekuje částice nezávisle na jejich fluorescenci. Boční rozptyl světla (</w:t>
      </w:r>
      <w:r w:rsidRPr="00C87449">
        <w:rPr>
          <w:rFonts w:cstheme="minorHAnsi"/>
          <w:sz w:val="24"/>
          <w:szCs w:val="24"/>
        </w:rPr>
        <w:t>Side-scattered light</w:t>
      </w:r>
      <w:r>
        <w:rPr>
          <w:rFonts w:cstheme="minorHAnsi"/>
          <w:sz w:val="24"/>
          <w:szCs w:val="24"/>
        </w:rPr>
        <w:t xml:space="preserve"> </w:t>
      </w:r>
      <w:r w:rsidRPr="0062347D">
        <w:rPr>
          <w:rFonts w:cstheme="minorHAnsi"/>
          <w:sz w:val="24"/>
          <w:szCs w:val="24"/>
        </w:rPr>
        <w:t>= SSC) je úměrný granularitě buňky. Boční rozptyl svě</w:t>
      </w:r>
      <w:r w:rsidRPr="003329E2">
        <w:rPr>
          <w:rFonts w:cstheme="minorHAnsi"/>
          <w:sz w:val="24"/>
          <w:szCs w:val="24"/>
        </w:rPr>
        <w:t xml:space="preserve">tla představuje světlo, </w:t>
      </w:r>
      <w:r w:rsidRPr="00E663BF">
        <w:rPr>
          <w:rFonts w:cstheme="minorHAnsi"/>
          <w:sz w:val="24"/>
          <w:szCs w:val="24"/>
        </w:rPr>
        <w:t>které je sbíráno pod úhl</w:t>
      </w:r>
      <w:r w:rsidRPr="004E5649">
        <w:rPr>
          <w:rFonts w:cstheme="minorHAnsi"/>
          <w:sz w:val="24"/>
          <w:szCs w:val="24"/>
        </w:rPr>
        <w:t>em 90° a je kolmé k původní dráze laserového paprsku (</w:t>
      </w:r>
      <w:r w:rsidRPr="00C87449">
        <w:rPr>
          <w:rFonts w:cstheme="minorHAnsi"/>
          <w:sz w:val="24"/>
          <w:szCs w:val="24"/>
        </w:rPr>
        <w:t>Introduction to flow cytometry: A Learning guide, ©2002</w:t>
      </w:r>
      <w:r>
        <w:rPr>
          <w:rFonts w:cstheme="minorHAnsi"/>
          <w:sz w:val="24"/>
          <w:szCs w:val="24"/>
        </w:rPr>
        <w:t xml:space="preserve"> </w:t>
      </w:r>
      <w:r w:rsidRPr="00C87449">
        <w:rPr>
          <w:rFonts w:cstheme="minorHAnsi"/>
          <w:sz w:val="24"/>
          <w:szCs w:val="24"/>
        </w:rPr>
        <w:t xml:space="preserve">Becton, Dicinson </w:t>
      </w:r>
      <w:proofErr w:type="gramStart"/>
      <w:r w:rsidRPr="00C87449">
        <w:rPr>
          <w:rFonts w:cstheme="minorHAnsi"/>
          <w:sz w:val="24"/>
          <w:szCs w:val="24"/>
        </w:rPr>
        <w:t>Company</w:t>
      </w:r>
      <w:r w:rsidRPr="0062347D">
        <w:rPr>
          <w:rFonts w:cstheme="minorHAnsi"/>
          <w:sz w:val="24"/>
          <w:szCs w:val="24"/>
        </w:rPr>
        <w:t>) (</w:t>
      </w:r>
      <w:r w:rsidRPr="0062347D">
        <w:rPr>
          <w:rFonts w:cstheme="minorHAnsi"/>
          <w:b/>
          <w:sz w:val="24"/>
          <w:szCs w:val="24"/>
        </w:rPr>
        <w:t>Obrázek</w:t>
      </w:r>
      <w:proofErr w:type="gramEnd"/>
      <w:r w:rsidRPr="0062347D">
        <w:rPr>
          <w:rFonts w:cstheme="minorHAnsi"/>
          <w:b/>
          <w:sz w:val="24"/>
          <w:szCs w:val="24"/>
        </w:rPr>
        <w:t xml:space="preserve"> 2</w:t>
      </w:r>
      <w:r w:rsidRPr="0062347D">
        <w:rPr>
          <w:rFonts w:cstheme="minorHAnsi"/>
          <w:sz w:val="24"/>
          <w:szCs w:val="24"/>
        </w:rPr>
        <w:t xml:space="preserve">). Korelace naměřeného FSC a SSC může dovolit diferenciaci různých buněčných populací. </w:t>
      </w:r>
      <w:r w:rsidRPr="003329E2">
        <w:rPr>
          <w:rFonts w:cstheme="minorHAnsi"/>
          <w:sz w:val="24"/>
          <w:szCs w:val="24"/>
        </w:rPr>
        <w:t>Hlavní populace leukocytů mohou být diferenciovány pomocí FSC a SSC (</w:t>
      </w:r>
      <w:r w:rsidRPr="004E5649">
        <w:rPr>
          <w:rFonts w:cstheme="minorHAnsi"/>
          <w:b/>
          <w:sz w:val="24"/>
          <w:szCs w:val="24"/>
        </w:rPr>
        <w:t>Obrázek 3</w:t>
      </w:r>
      <w:r w:rsidRPr="004E5649">
        <w:rPr>
          <w:rFonts w:cstheme="minorHAnsi"/>
          <w:sz w:val="24"/>
          <w:szCs w:val="24"/>
        </w:rPr>
        <w:t>).</w:t>
      </w:r>
    </w:p>
    <w:p w:rsidR="008F0C0F" w:rsidRPr="0062347D" w:rsidRDefault="008F0C0F" w:rsidP="00284F89">
      <w:pPr>
        <w:spacing w:line="360" w:lineRule="auto"/>
        <w:ind w:firstLine="709"/>
        <w:rPr>
          <w:rFonts w:cstheme="minorHAnsi"/>
          <w:sz w:val="24"/>
          <w:szCs w:val="24"/>
        </w:rPr>
      </w:pPr>
      <w:r w:rsidRPr="004E5649">
        <w:rPr>
          <w:rFonts w:cstheme="minorHAnsi"/>
          <w:b/>
          <w:sz w:val="24"/>
          <w:szCs w:val="24"/>
        </w:rPr>
        <w:lastRenderedPageBreak/>
        <w:t>Obrázek 2</w:t>
      </w:r>
      <w:r w:rsidRPr="004E5649">
        <w:rPr>
          <w:rFonts w:cstheme="minorHAnsi"/>
          <w:sz w:val="24"/>
          <w:szCs w:val="24"/>
        </w:rPr>
        <w:t>: Přední a boční rozptyl světla (</w:t>
      </w:r>
      <w:r w:rsidRPr="00C87449">
        <w:rPr>
          <w:rFonts w:cstheme="minorHAnsi"/>
          <w:sz w:val="24"/>
          <w:szCs w:val="24"/>
        </w:rPr>
        <w:t>Introduction to flow cytometry: A Learning guide, ©2002 Becton, Dicinson Company</w:t>
      </w:r>
      <w:r w:rsidRPr="0062347D">
        <w:rPr>
          <w:rFonts w:cstheme="minorHAnsi"/>
          <w:sz w:val="24"/>
          <w:szCs w:val="24"/>
        </w:rPr>
        <w:t>).</w:t>
      </w:r>
      <w:r w:rsidRPr="0062347D">
        <w:rPr>
          <w:rFonts w:cstheme="minorHAnsi"/>
          <w:noProof/>
          <w:sz w:val="24"/>
          <w:szCs w:val="24"/>
          <w:lang w:eastAsia="cs-CZ"/>
        </w:rPr>
        <w:drawing>
          <wp:inline distT="0" distB="0" distL="0" distR="0" wp14:anchorId="2B83D727" wp14:editId="7BE1B759">
            <wp:extent cx="5762445" cy="18891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flow cytometry.png"/>
                    <pic:cNvPicPr/>
                  </pic:nvPicPr>
                  <pic:blipFill rotWithShape="1">
                    <a:blip r:embed="rId11">
                      <a:extLst>
                        <a:ext uri="{28A0092B-C50C-407E-A947-70E740481C1C}">
                          <a14:useLocalDpi xmlns:a14="http://schemas.microsoft.com/office/drawing/2010/main" val="0"/>
                        </a:ext>
                      </a:extLst>
                    </a:blip>
                    <a:srcRect t="13983" b="7501"/>
                    <a:stretch/>
                  </pic:blipFill>
                  <pic:spPr bwMode="auto">
                    <a:xfrm>
                      <a:off x="0" y="0"/>
                      <a:ext cx="5760720" cy="1888619"/>
                    </a:xfrm>
                    <a:prstGeom prst="rect">
                      <a:avLst/>
                    </a:prstGeom>
                    <a:ln>
                      <a:noFill/>
                    </a:ln>
                    <a:extLst>
                      <a:ext uri="{53640926-AAD7-44D8-BBD7-CCE9431645EC}">
                        <a14:shadowObscured xmlns:a14="http://schemas.microsoft.com/office/drawing/2010/main"/>
                      </a:ext>
                    </a:extLst>
                  </pic:spPr>
                </pic:pic>
              </a:graphicData>
            </a:graphic>
          </wp:inline>
        </w:drawing>
      </w:r>
    </w:p>
    <w:p w:rsidR="008F0C0F" w:rsidRPr="003329E2" w:rsidRDefault="008F0C0F" w:rsidP="00284F89">
      <w:pPr>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r w:rsidRPr="004E5649">
        <w:rPr>
          <w:rFonts w:cstheme="minorHAnsi"/>
          <w:b/>
          <w:sz w:val="24"/>
          <w:szCs w:val="24"/>
        </w:rPr>
        <w:t>Obrázek 3</w:t>
      </w:r>
      <w:r w:rsidRPr="004E5649">
        <w:rPr>
          <w:rFonts w:cstheme="minorHAnsi"/>
          <w:sz w:val="24"/>
          <w:szCs w:val="24"/>
        </w:rPr>
        <w:t>: Buněčné populace lymfocytů v krvi zobrazené pomocí předního a</w:t>
      </w:r>
      <w:r>
        <w:rPr>
          <w:rFonts w:cstheme="minorHAnsi"/>
          <w:sz w:val="24"/>
          <w:szCs w:val="24"/>
        </w:rPr>
        <w:t> </w:t>
      </w:r>
      <w:r w:rsidRPr="0062347D">
        <w:rPr>
          <w:rFonts w:cstheme="minorHAnsi"/>
          <w:sz w:val="24"/>
          <w:szCs w:val="24"/>
        </w:rPr>
        <w:t>bočního paprsku (</w:t>
      </w:r>
      <w:r w:rsidRPr="00C87449">
        <w:rPr>
          <w:rFonts w:cstheme="minorHAnsi"/>
          <w:sz w:val="24"/>
          <w:szCs w:val="24"/>
        </w:rPr>
        <w:t>Introduction to flow cytometry: A Learning guide, ©2002</w:t>
      </w:r>
      <w:r>
        <w:rPr>
          <w:rFonts w:cstheme="minorHAnsi"/>
          <w:sz w:val="24"/>
          <w:szCs w:val="24"/>
        </w:rPr>
        <w:t xml:space="preserve"> </w:t>
      </w:r>
      <w:r w:rsidRPr="00C87449">
        <w:rPr>
          <w:rFonts w:cstheme="minorHAnsi"/>
          <w:sz w:val="24"/>
          <w:szCs w:val="24"/>
        </w:rPr>
        <w:t>Becton, Dicinson Company</w:t>
      </w:r>
      <w:r w:rsidRPr="0062347D">
        <w:rPr>
          <w:rFonts w:cstheme="minorHAnsi"/>
          <w:sz w:val="24"/>
          <w:szCs w:val="24"/>
        </w:rPr>
        <w:t>).</w:t>
      </w:r>
    </w:p>
    <w:p w:rsidR="008F0C0F" w:rsidRPr="0062347D" w:rsidRDefault="008F0C0F">
      <w:pPr>
        <w:rPr>
          <w:rFonts w:cstheme="minorHAnsi"/>
          <w:sz w:val="24"/>
          <w:szCs w:val="24"/>
        </w:rPr>
      </w:pPr>
      <w:r w:rsidRPr="0062347D">
        <w:rPr>
          <w:rFonts w:cstheme="minorHAnsi"/>
          <w:noProof/>
          <w:sz w:val="24"/>
          <w:szCs w:val="24"/>
          <w:lang w:eastAsia="cs-CZ"/>
        </w:rPr>
        <w:drawing>
          <wp:inline distT="0" distB="0" distL="0" distR="0" wp14:anchorId="1D43DCC7" wp14:editId="4F79731E">
            <wp:extent cx="4784652" cy="2600126"/>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ňky-celá krev- průtokový cytomet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9238" cy="2597184"/>
                    </a:xfrm>
                    <a:prstGeom prst="rect">
                      <a:avLst/>
                    </a:prstGeom>
                  </pic:spPr>
                </pic:pic>
              </a:graphicData>
            </a:graphic>
          </wp:inline>
        </w:drawing>
      </w:r>
      <w:bookmarkStart w:id="22" w:name="_Toc39603550"/>
      <w:bookmarkStart w:id="23" w:name="_Toc39603933"/>
      <w:bookmarkEnd w:id="22"/>
      <w:bookmarkEnd w:id="23"/>
    </w:p>
    <w:p w:rsidR="008F0C0F" w:rsidRPr="004E5649" w:rsidRDefault="008F0C0F" w:rsidP="00284F89">
      <w:pPr>
        <w:pStyle w:val="Nadpis3"/>
        <w:spacing w:after="240"/>
        <w:rPr>
          <w:rFonts w:cstheme="minorHAnsi"/>
          <w:szCs w:val="24"/>
        </w:rPr>
      </w:pPr>
      <w:r w:rsidRPr="003329E2">
        <w:rPr>
          <w:rFonts w:cstheme="minorHAnsi"/>
          <w:szCs w:val="24"/>
        </w:rPr>
        <w:tab/>
      </w:r>
      <w:bookmarkStart w:id="24" w:name="_Toc69543018"/>
      <w:r w:rsidRPr="003329E2">
        <w:rPr>
          <w:rFonts w:cstheme="minorHAnsi"/>
          <w:szCs w:val="24"/>
        </w:rPr>
        <w:t>Fluorescence</w:t>
      </w:r>
      <w:r w:rsidRPr="00E663BF">
        <w:rPr>
          <w:rFonts w:cstheme="minorHAnsi"/>
          <w:szCs w:val="24"/>
        </w:rPr>
        <w:t xml:space="preserve"> v průtokové cytometrii</w:t>
      </w:r>
      <w:bookmarkEnd w:id="24"/>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Fluorescenční složka systému, fluorochrom, absorbuje světelnou ener</w:t>
      </w:r>
      <w:r w:rsidRPr="00B24D8C">
        <w:rPr>
          <w:rFonts w:cstheme="minorHAnsi"/>
          <w:sz w:val="24"/>
          <w:szCs w:val="24"/>
        </w:rPr>
        <w:t>gii v rozmezí vlnov</w:t>
      </w:r>
      <w:r w:rsidRPr="0062347D">
        <w:rPr>
          <w:rFonts w:cstheme="minorHAnsi"/>
          <w:sz w:val="24"/>
          <w:szCs w:val="24"/>
        </w:rPr>
        <w:t xml:space="preserve">ých délek charakteristických pro určitý fluorochrom. Absorpce světla způsobuje, že elektron fluorochromu se dostává na vyšší energetickou úroveň. Excitovaný elektron se rychle navrací do svého původního stavu a emituje energii v podobě fotonů. Množství detekovaného fluorescenčního signálu je úměrné počtu molekul fluorochromu na detekované částici. Fluorochrom konjugovaný k protilátce může identifikovat určitý buněčný typ v závislosti na antigenech buňky. Můžeme použít různé protilátky značené různými </w:t>
      </w:r>
      <w:r w:rsidRPr="0062347D">
        <w:rPr>
          <w:rFonts w:cstheme="minorHAnsi"/>
          <w:sz w:val="24"/>
          <w:szCs w:val="24"/>
        </w:rPr>
        <w:lastRenderedPageBreak/>
        <w:t>fluorochromy k odlišení různých buněčných populací. V kombinaci s daty FSC a SSC můžeme zjistit, které buňky se ve vzorku nachází a spočítat jejich relativní procento (</w:t>
      </w:r>
      <w:r w:rsidRPr="00C87449">
        <w:rPr>
          <w:rFonts w:cstheme="minorHAnsi"/>
          <w:sz w:val="24"/>
          <w:szCs w:val="24"/>
        </w:rPr>
        <w:t>Introduction to flow cytometry: A Learning guide, ©2002 Becton, Dicinson Company</w:t>
      </w:r>
      <w:r w:rsidRPr="0062347D">
        <w:rPr>
          <w:rFonts w:cstheme="minorHAnsi"/>
          <w:sz w:val="24"/>
          <w:szCs w:val="24"/>
        </w:rPr>
        <w:t>).</w:t>
      </w:r>
    </w:p>
    <w:p w:rsidR="008F0C0F" w:rsidRPr="00E663BF" w:rsidRDefault="008F0C0F" w:rsidP="00284F89">
      <w:pPr>
        <w:pStyle w:val="Nadpis1"/>
      </w:pPr>
      <w:bookmarkStart w:id="25" w:name="_Toc69543019"/>
      <w:r w:rsidRPr="003329E2">
        <w:t>Materiál a me</w:t>
      </w:r>
      <w:r w:rsidRPr="00E663BF">
        <w:t>tod</w:t>
      </w:r>
      <w:bookmarkEnd w:id="25"/>
      <w:r w:rsidR="008773ED">
        <w:t>y</w:t>
      </w:r>
    </w:p>
    <w:p w:rsidR="008F0C0F" w:rsidRPr="0062347D" w:rsidRDefault="008F0C0F" w:rsidP="00284F89">
      <w:pPr>
        <w:pStyle w:val="Nadpis2"/>
        <w:ind w:left="709" w:hanging="709"/>
        <w:jc w:val="both"/>
        <w:rPr>
          <w:rFonts w:cstheme="minorHAnsi"/>
          <w:szCs w:val="24"/>
        </w:rPr>
      </w:pPr>
      <w:bookmarkStart w:id="26" w:name="_Toc69543020"/>
      <w:r w:rsidRPr="004E5649">
        <w:rPr>
          <w:rFonts w:cstheme="minorHAnsi"/>
          <w:szCs w:val="24"/>
        </w:rPr>
        <w:t>Materiál a metod</w:t>
      </w:r>
      <w:r w:rsidR="000B097D">
        <w:rPr>
          <w:rFonts w:cstheme="minorHAnsi"/>
          <w:szCs w:val="24"/>
        </w:rPr>
        <w:t>y</w:t>
      </w:r>
      <w:r w:rsidRPr="004E5649">
        <w:rPr>
          <w:rFonts w:cstheme="minorHAnsi"/>
          <w:szCs w:val="24"/>
        </w:rPr>
        <w:t xml:space="preserve"> pro porovnání relativních počtů bronchoalveolárních CD4</w:t>
      </w:r>
      <w:r w:rsidRPr="004E5649">
        <w:rPr>
          <w:rFonts w:cstheme="minorHAnsi"/>
          <w:szCs w:val="24"/>
          <w:vertAlign w:val="superscript"/>
        </w:rPr>
        <w:t>+</w:t>
      </w:r>
      <w:r w:rsidRPr="004E5649">
        <w:rPr>
          <w:rFonts w:cstheme="minorHAnsi"/>
          <w:szCs w:val="24"/>
        </w:rPr>
        <w:t xml:space="preserve"> a CD8</w:t>
      </w:r>
      <w:r w:rsidRPr="00B24D8C">
        <w:rPr>
          <w:rFonts w:cstheme="minorHAnsi"/>
          <w:szCs w:val="24"/>
          <w:vertAlign w:val="superscript"/>
        </w:rPr>
        <w:t>+</w:t>
      </w:r>
      <w:r w:rsidRPr="0062347D">
        <w:rPr>
          <w:rFonts w:cstheme="minorHAnsi"/>
          <w:szCs w:val="24"/>
        </w:rPr>
        <w:t xml:space="preserve"> T-lymfocytů u pacientů s plicní sarkoidózou a ostatních intersticiálních plicních nemocí</w:t>
      </w:r>
      <w:bookmarkEnd w:id="26"/>
    </w:p>
    <w:p w:rsidR="008F0C0F" w:rsidRPr="0062347D" w:rsidRDefault="008F0C0F" w:rsidP="00284F89">
      <w:pPr>
        <w:pStyle w:val="Nadpis3"/>
        <w:spacing w:after="240"/>
        <w:ind w:hanging="680"/>
        <w:rPr>
          <w:rFonts w:cstheme="minorHAnsi"/>
          <w:szCs w:val="24"/>
        </w:rPr>
      </w:pPr>
      <w:bookmarkStart w:id="27" w:name="_Toc69543021"/>
      <w:r w:rsidRPr="0062347D">
        <w:rPr>
          <w:rFonts w:cstheme="minorHAnsi"/>
          <w:szCs w:val="24"/>
        </w:rPr>
        <w:t>Soubor pacientů pro porovnání relativních počtů bronchoalveolárních CD4</w:t>
      </w:r>
      <w:r w:rsidRPr="0062347D">
        <w:rPr>
          <w:rFonts w:cstheme="minorHAnsi"/>
          <w:szCs w:val="24"/>
          <w:vertAlign w:val="superscript"/>
        </w:rPr>
        <w:t>+</w:t>
      </w:r>
      <w:r w:rsidRPr="0062347D">
        <w:rPr>
          <w:rFonts w:cstheme="minorHAnsi"/>
          <w:szCs w:val="24"/>
        </w:rPr>
        <w:t xml:space="preserve"> a CD8</w:t>
      </w:r>
      <w:r w:rsidRPr="0062347D">
        <w:rPr>
          <w:rFonts w:cstheme="minorHAnsi"/>
          <w:szCs w:val="24"/>
          <w:vertAlign w:val="superscript"/>
        </w:rPr>
        <w:t>+</w:t>
      </w:r>
      <w:r w:rsidRPr="0062347D">
        <w:rPr>
          <w:rFonts w:cstheme="minorHAnsi"/>
          <w:szCs w:val="24"/>
        </w:rPr>
        <w:t xml:space="preserve"> T-lymfocytů</w:t>
      </w:r>
      <w:bookmarkEnd w:id="27"/>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Provedli jsme analýzu buněčného profilu získaného bronchoalveolární laváží (BAL) u</w:t>
      </w:r>
      <w:r>
        <w:rPr>
          <w:rFonts w:cstheme="minorHAnsi"/>
          <w:sz w:val="24"/>
          <w:szCs w:val="24"/>
        </w:rPr>
        <w:t> </w:t>
      </w:r>
      <w:r w:rsidRPr="0062347D">
        <w:rPr>
          <w:rFonts w:cstheme="minorHAnsi"/>
          <w:sz w:val="24"/>
          <w:szCs w:val="24"/>
        </w:rPr>
        <w:t xml:space="preserve">297 pacientů s intersticiálními plicními nemocemi. Pacienti byli diagnostikováni na Klinice plicních nemocí a tuberkulózy ve Fakultní nemocnici Olomouc (FNOL) a vzorky byly odebrány v letech 1995–2013. Všechny osoby ve studii byly nekuřáci. Charakteristiky pacientů nekuřáků jsou uvedeny v </w:t>
      </w:r>
      <w:r w:rsidRPr="0062347D">
        <w:rPr>
          <w:rFonts w:cstheme="minorHAnsi"/>
          <w:b/>
          <w:sz w:val="24"/>
          <w:szCs w:val="24"/>
        </w:rPr>
        <w:t>Tabulce 2</w:t>
      </w:r>
      <w:r w:rsidRPr="0062347D">
        <w:rPr>
          <w:rFonts w:cstheme="minorHAnsi"/>
          <w:sz w:val="24"/>
          <w:szCs w:val="24"/>
        </w:rPr>
        <w:t>. Do studie byli zahrnuti pacienti se sarkoidózou s</w:t>
      </w:r>
      <w:r>
        <w:rPr>
          <w:rFonts w:cstheme="minorHAnsi"/>
          <w:sz w:val="24"/>
          <w:szCs w:val="24"/>
        </w:rPr>
        <w:t> </w:t>
      </w:r>
      <w:r w:rsidRPr="0062347D">
        <w:rPr>
          <w:rFonts w:cstheme="minorHAnsi"/>
          <w:sz w:val="24"/>
          <w:szCs w:val="24"/>
        </w:rPr>
        <w:t>Löfgrenovým syndromem (</w:t>
      </w:r>
      <w:proofErr w:type="gramStart"/>
      <w:r w:rsidRPr="0062347D">
        <w:rPr>
          <w:rFonts w:cstheme="minorHAnsi"/>
          <w:sz w:val="24"/>
          <w:szCs w:val="24"/>
        </w:rPr>
        <w:t>LS)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18</w:t>
      </w:r>
      <w:proofErr w:type="gramEnd"/>
      <w:r w:rsidRPr="0062347D">
        <w:rPr>
          <w:rFonts w:cstheme="minorHAnsi"/>
          <w:sz w:val="24"/>
          <w:szCs w:val="24"/>
        </w:rPr>
        <w:t>) a bez LS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64) s</w:t>
      </w:r>
      <w:bookmarkStart w:id="28" w:name="_Hlk67319298"/>
      <w:r w:rsidR="00C137AA">
        <w:rPr>
          <w:rFonts w:cstheme="minorHAnsi"/>
          <w:sz w:val="24"/>
          <w:szCs w:val="24"/>
        </w:rPr>
        <w:t xml:space="preserve"> rentgenologickým (RTG) stádiem </w:t>
      </w:r>
      <w:r w:rsidRPr="0062347D">
        <w:rPr>
          <w:rFonts w:cstheme="minorHAnsi"/>
          <w:sz w:val="24"/>
          <w:szCs w:val="24"/>
        </w:rPr>
        <w:t>≤</w:t>
      </w:r>
      <w:bookmarkEnd w:id="28"/>
      <w:r>
        <w:rPr>
          <w:rFonts w:cstheme="minorHAnsi"/>
          <w:sz w:val="24"/>
          <w:szCs w:val="24"/>
        </w:rPr>
        <w:t> </w:t>
      </w:r>
      <w:r w:rsidRPr="0062347D">
        <w:rPr>
          <w:rFonts w:cstheme="minorHAnsi"/>
          <w:sz w:val="24"/>
          <w:szCs w:val="24"/>
        </w:rPr>
        <w:t>1, dále pacienti s RTG stádiem 2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 xml:space="preserve">113) a pacienti s pokročilým RTG stádiem </w:t>
      </w:r>
      <w:bookmarkStart w:id="29" w:name="_Hlk67319285"/>
      <w:r w:rsidRPr="0062347D">
        <w:rPr>
          <w:rFonts w:cstheme="minorHAnsi"/>
          <w:sz w:val="24"/>
          <w:szCs w:val="24"/>
        </w:rPr>
        <w:t>≥</w:t>
      </w:r>
      <w:bookmarkEnd w:id="29"/>
      <w:r>
        <w:rPr>
          <w:rFonts w:cstheme="minorHAnsi"/>
          <w:sz w:val="24"/>
          <w:szCs w:val="24"/>
        </w:rPr>
        <w:t> </w:t>
      </w:r>
      <w:r w:rsidRPr="0062347D">
        <w:rPr>
          <w:rFonts w:cstheme="minorHAnsi"/>
          <w:sz w:val="24"/>
          <w:szCs w:val="24"/>
        </w:rPr>
        <w:t>3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26). Tyto skupiny pacientů s plicní sarkoidózou byly porovnávány s dalšími intersticiálními plicními nemocemi, jako jsou idiopatická plicní fibróza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22), hypersenzitivní pneumonie (</w:t>
      </w:r>
      <w:proofErr w:type="gramStart"/>
      <w:r w:rsidRPr="0062347D">
        <w:rPr>
          <w:rFonts w:cstheme="minorHAnsi"/>
          <w:sz w:val="24"/>
          <w:szCs w:val="24"/>
        </w:rPr>
        <w:t>HP)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15</w:t>
      </w:r>
      <w:proofErr w:type="gramEnd"/>
      <w:r w:rsidRPr="0062347D">
        <w:rPr>
          <w:rFonts w:cstheme="minorHAnsi"/>
          <w:sz w:val="24"/>
          <w:szCs w:val="24"/>
        </w:rPr>
        <w:t>) a skupina ostatních intersticiálních idiopatických pneumonií (OIIP)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39). Skupina OIIP byla složena z pacientů s nespecifickou intersticiální pneumonií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10), kryptogenní organizující pneumonií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6), idiopatickou lymfoidní intersticiální pneumonií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 deskvamativní intersticiální pneumonií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 a skupinou pacientů s IIP, které nelze přesně klasifikovat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21). Pohlaví a věk pacientů v jednotlivých skupinách jsou uvedeny v </w:t>
      </w:r>
      <w:r w:rsidRPr="0062347D">
        <w:rPr>
          <w:rFonts w:cstheme="minorHAnsi"/>
          <w:b/>
          <w:sz w:val="24"/>
          <w:szCs w:val="24"/>
        </w:rPr>
        <w:t>Tabulce 2.</w:t>
      </w:r>
    </w:p>
    <w:p w:rsidR="008F0C0F" w:rsidRPr="0062347D" w:rsidRDefault="008F0C0F" w:rsidP="00284F89">
      <w:pPr>
        <w:pStyle w:val="Nadpis3"/>
        <w:spacing w:after="240"/>
        <w:ind w:hanging="680"/>
        <w:jc w:val="both"/>
        <w:rPr>
          <w:rFonts w:cstheme="minorHAnsi"/>
          <w:szCs w:val="24"/>
        </w:rPr>
      </w:pPr>
      <w:bookmarkStart w:id="30" w:name="_Toc69543022"/>
      <w:r w:rsidRPr="0062347D">
        <w:rPr>
          <w:rFonts w:cstheme="minorHAnsi"/>
          <w:szCs w:val="24"/>
        </w:rPr>
        <w:t>Zpracování bronchoalveolární laváže a stanovení relativních počtů CD4</w:t>
      </w:r>
      <w:r w:rsidRPr="0062347D">
        <w:rPr>
          <w:rFonts w:cstheme="minorHAnsi"/>
          <w:szCs w:val="24"/>
          <w:vertAlign w:val="superscript"/>
        </w:rPr>
        <w:t>+</w:t>
      </w:r>
      <w:r w:rsidRPr="0062347D">
        <w:rPr>
          <w:rFonts w:cstheme="minorHAnsi"/>
          <w:szCs w:val="24"/>
        </w:rPr>
        <w:t xml:space="preserve"> a CD8</w:t>
      </w:r>
      <w:r w:rsidRPr="0062347D">
        <w:rPr>
          <w:rFonts w:cstheme="minorHAnsi"/>
          <w:szCs w:val="24"/>
          <w:vertAlign w:val="superscript"/>
        </w:rPr>
        <w:t>+</w:t>
      </w:r>
      <w:r w:rsidRPr="0062347D">
        <w:rPr>
          <w:rFonts w:cstheme="minorHAnsi"/>
          <w:szCs w:val="24"/>
        </w:rPr>
        <w:t xml:space="preserve"> T-lymfocytů průtokovou cytometrií</w:t>
      </w:r>
      <w:bookmarkEnd w:id="30"/>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 xml:space="preserve">Diferenciální buněčné počty byly stanoveny rutinně cytologickou laboratoří na Klinice plicních nemocí a tuberkulózy ve FNOL. Buňky fixované na sklo byly barveny pomocí May-Grünwald Giemsa barvení. Subpopulace BAL lymfocytů byly měřeny při rutinním zpracování pro diagnostické účely. Bronchoalveolární tekutina byla získána a zpracována podle doporučených postupů </w:t>
      </w:r>
      <w:r w:rsidRPr="0062347D">
        <w:rPr>
          <w:rFonts w:cstheme="minorHAnsi"/>
          <w:noProof/>
          <w:sz w:val="24"/>
          <w:szCs w:val="24"/>
        </w:rPr>
        <w:t xml:space="preserve">(Petrek </w:t>
      </w:r>
      <w:r w:rsidR="00166BDD">
        <w:rPr>
          <w:rFonts w:cstheme="minorHAnsi"/>
          <w:noProof/>
          <w:sz w:val="24"/>
          <w:szCs w:val="24"/>
        </w:rPr>
        <w:t>a</w:t>
      </w:r>
      <w:r w:rsidR="00FC6ECE">
        <w:rPr>
          <w:rFonts w:cstheme="minorHAnsi"/>
          <w:noProof/>
          <w:sz w:val="24"/>
          <w:szCs w:val="24"/>
        </w:rPr>
        <w:t xml:space="preserve"> Kolek 1993; </w:t>
      </w:r>
      <w:r w:rsidRPr="0062347D">
        <w:rPr>
          <w:rFonts w:cstheme="minorHAnsi"/>
          <w:noProof/>
          <w:sz w:val="24"/>
          <w:szCs w:val="24"/>
        </w:rPr>
        <w:t>Petrek, Gibejova et al. 2002)</w:t>
      </w:r>
      <w:r w:rsidRPr="0062347D">
        <w:rPr>
          <w:rFonts w:cstheme="minorHAnsi"/>
          <w:sz w:val="24"/>
          <w:szCs w:val="24"/>
        </w:rPr>
        <w:t>. V letech 1995</w:t>
      </w:r>
      <w:r>
        <w:rPr>
          <w:rStyle w:val="acopre"/>
        </w:rPr>
        <w:t>–</w:t>
      </w:r>
      <w:r w:rsidRPr="0062347D">
        <w:rPr>
          <w:rFonts w:cstheme="minorHAnsi"/>
          <w:sz w:val="24"/>
          <w:szCs w:val="24"/>
        </w:rPr>
        <w:lastRenderedPageBreak/>
        <w:t>2004 byl buněčný profil T-lymfocytů měřen průtokovým cytometrem Coulter Epics XL (Beckman</w:t>
      </w:r>
      <w:r w:rsidRPr="003329E2">
        <w:rPr>
          <w:rFonts w:cstheme="minorHAnsi"/>
          <w:sz w:val="24"/>
          <w:szCs w:val="24"/>
        </w:rPr>
        <w:t xml:space="preserve"> Coulter). Od roku 2004 byl </w:t>
      </w:r>
      <w:r w:rsidRPr="00E663BF">
        <w:rPr>
          <w:rFonts w:cstheme="minorHAnsi"/>
          <w:sz w:val="24"/>
          <w:szCs w:val="24"/>
        </w:rPr>
        <w:t>používán průtokový cytometr BD FACSCanto (Becton Dicinson, USA). Pro testování vzorků s</w:t>
      </w:r>
      <w:r w:rsidR="00C137AA">
        <w:rPr>
          <w:rFonts w:cstheme="minorHAnsi"/>
          <w:sz w:val="24"/>
          <w:szCs w:val="24"/>
        </w:rPr>
        <w:t xml:space="preserve"> cytometrem</w:t>
      </w:r>
      <w:r w:rsidRPr="00E663BF">
        <w:rPr>
          <w:rFonts w:cstheme="minorHAnsi"/>
          <w:sz w:val="24"/>
          <w:szCs w:val="24"/>
        </w:rPr>
        <w:t xml:space="preserve"> BD FACSCanto byly buňky značeny prot</w:t>
      </w:r>
      <w:r w:rsidRPr="004E5649">
        <w:rPr>
          <w:rFonts w:cstheme="minorHAnsi"/>
          <w:sz w:val="24"/>
          <w:szCs w:val="24"/>
        </w:rPr>
        <w:t>ilátkami Simultest CD4/CD8 Reage</w:t>
      </w:r>
      <w:r w:rsidRPr="00B24D8C">
        <w:rPr>
          <w:rFonts w:cstheme="minorHAnsi"/>
          <w:sz w:val="24"/>
          <w:szCs w:val="24"/>
        </w:rPr>
        <w:t>nt (</w:t>
      </w:r>
      <w:proofErr w:type="gramStart"/>
      <w:r w:rsidRPr="00B24D8C">
        <w:rPr>
          <w:rFonts w:cstheme="minorHAnsi"/>
          <w:sz w:val="24"/>
          <w:szCs w:val="24"/>
        </w:rPr>
        <w:t>342407) (CD4-FITC/CD8-PE</w:t>
      </w:r>
      <w:proofErr w:type="gramEnd"/>
      <w:r w:rsidRPr="00B24D8C">
        <w:rPr>
          <w:rFonts w:cstheme="minorHAnsi"/>
          <w:sz w:val="24"/>
          <w:szCs w:val="24"/>
        </w:rPr>
        <w:t xml:space="preserve">) </w:t>
      </w:r>
      <w:r w:rsidRPr="0062347D">
        <w:rPr>
          <w:rFonts w:cstheme="minorHAnsi"/>
          <w:sz w:val="24"/>
          <w:szCs w:val="24"/>
        </w:rPr>
        <w:t>od BD Biosciences. Charakteristiky bronchoalveolárních buněčných populací jsou uvedeny v </w:t>
      </w:r>
      <w:r w:rsidRPr="0062347D">
        <w:rPr>
          <w:rFonts w:cstheme="minorHAnsi"/>
          <w:b/>
          <w:sz w:val="24"/>
          <w:szCs w:val="24"/>
        </w:rPr>
        <w:t>Tabulce 2.</w:t>
      </w:r>
    </w:p>
    <w:p w:rsidR="008F0C0F" w:rsidRPr="0062347D" w:rsidRDefault="008F0C0F" w:rsidP="00284F89">
      <w:pPr>
        <w:pStyle w:val="Nadpis3"/>
        <w:spacing w:after="240"/>
        <w:ind w:hanging="680"/>
        <w:rPr>
          <w:rFonts w:cstheme="minorHAnsi"/>
          <w:szCs w:val="24"/>
        </w:rPr>
      </w:pPr>
      <w:bookmarkStart w:id="31" w:name="_Toc69543023"/>
      <w:r w:rsidRPr="0062347D">
        <w:rPr>
          <w:rFonts w:cstheme="minorHAnsi"/>
          <w:szCs w:val="24"/>
        </w:rPr>
        <w:t>Statistické vyhodnocení dat relativních počtů u CD4</w:t>
      </w:r>
      <w:r w:rsidRPr="0062347D">
        <w:rPr>
          <w:rFonts w:cstheme="minorHAnsi"/>
          <w:szCs w:val="24"/>
          <w:vertAlign w:val="superscript"/>
        </w:rPr>
        <w:t>+</w:t>
      </w:r>
      <w:r w:rsidRPr="0062347D">
        <w:rPr>
          <w:rFonts w:cstheme="minorHAnsi"/>
          <w:szCs w:val="24"/>
        </w:rPr>
        <w:t xml:space="preserve"> a CD8</w:t>
      </w:r>
      <w:r w:rsidRPr="0062347D">
        <w:rPr>
          <w:rFonts w:cstheme="minorHAnsi"/>
          <w:szCs w:val="24"/>
          <w:vertAlign w:val="superscript"/>
        </w:rPr>
        <w:t>+</w:t>
      </w:r>
      <w:r w:rsidRPr="0062347D">
        <w:rPr>
          <w:rFonts w:cstheme="minorHAnsi"/>
          <w:szCs w:val="24"/>
        </w:rPr>
        <w:t xml:space="preserve"> T-lymfocytů</w:t>
      </w:r>
      <w:bookmarkEnd w:id="31"/>
    </w:p>
    <w:p w:rsidR="008F0C0F" w:rsidRPr="00E663BF" w:rsidRDefault="008F0C0F" w:rsidP="00284F89">
      <w:pPr>
        <w:spacing w:line="360" w:lineRule="auto"/>
        <w:ind w:firstLine="709"/>
        <w:jc w:val="both"/>
        <w:rPr>
          <w:rFonts w:cstheme="minorHAnsi"/>
          <w:sz w:val="24"/>
          <w:szCs w:val="24"/>
        </w:rPr>
      </w:pPr>
      <w:r w:rsidRPr="0062347D">
        <w:rPr>
          <w:rFonts w:cstheme="minorHAnsi"/>
          <w:sz w:val="24"/>
          <w:szCs w:val="24"/>
        </w:rPr>
        <w:t xml:space="preserve">Rozdíly v buněčných subpopulacích T-lymfocytů a mezi skupinami pacientů byly vyhodnoceny pomocí Mann-Whitney testu v programu SPSS 23. Výsledné p hodnoty byly upraveny pomocí FDR (False Discovery Rate) korekce podle Benjamina a Hochberga pro odstranění falešně pozitivních výsledků </w:t>
      </w:r>
      <w:r w:rsidRPr="0062347D">
        <w:rPr>
          <w:rFonts w:cstheme="minorHAnsi"/>
          <w:noProof/>
          <w:sz w:val="24"/>
          <w:szCs w:val="24"/>
        </w:rPr>
        <w:t xml:space="preserve">(Benjamini </w:t>
      </w:r>
      <w:r w:rsidR="00166BDD">
        <w:rPr>
          <w:rFonts w:cstheme="minorHAnsi"/>
          <w:noProof/>
          <w:sz w:val="24"/>
          <w:szCs w:val="24"/>
        </w:rPr>
        <w:t>a</w:t>
      </w:r>
      <w:r w:rsidRPr="0062347D">
        <w:rPr>
          <w:rFonts w:cstheme="minorHAnsi"/>
          <w:noProof/>
          <w:sz w:val="24"/>
          <w:szCs w:val="24"/>
        </w:rPr>
        <w:t xml:space="preserve"> Hochberg 1995)</w:t>
      </w:r>
      <w:r w:rsidRPr="0062347D">
        <w:rPr>
          <w:rFonts w:cstheme="minorHAnsi"/>
          <w:sz w:val="24"/>
          <w:szCs w:val="24"/>
        </w:rPr>
        <w:t>. Úroveň signifikance byla nastaven</w:t>
      </w:r>
      <w:r w:rsidRPr="003329E2">
        <w:rPr>
          <w:rFonts w:cstheme="minorHAnsi"/>
          <w:sz w:val="24"/>
          <w:szCs w:val="24"/>
        </w:rPr>
        <w:t>a</w:t>
      </w:r>
      <w:r w:rsidRPr="00E663BF">
        <w:rPr>
          <w:rFonts w:cstheme="minorHAnsi"/>
          <w:sz w:val="24"/>
          <w:szCs w:val="24"/>
        </w:rPr>
        <w:t xml:space="preserve"> na p</w:t>
      </w:r>
      <w:r>
        <w:rPr>
          <w:rFonts w:cstheme="minorHAnsi"/>
          <w:sz w:val="24"/>
          <w:szCs w:val="24"/>
        </w:rPr>
        <w:t xml:space="preserve"> </w:t>
      </w:r>
      <w:bookmarkStart w:id="32" w:name="_Hlk67319424"/>
      <w:r w:rsidRPr="00E663BF">
        <w:rPr>
          <w:rFonts w:cstheme="minorHAnsi"/>
          <w:sz w:val="24"/>
          <w:szCs w:val="24"/>
        </w:rPr>
        <w:t>&lt;</w:t>
      </w:r>
      <w:bookmarkEnd w:id="32"/>
      <w:r>
        <w:rPr>
          <w:rFonts w:cstheme="minorHAnsi"/>
          <w:sz w:val="24"/>
          <w:szCs w:val="24"/>
        </w:rPr>
        <w:t> </w:t>
      </w:r>
      <w:r w:rsidRPr="00E663BF">
        <w:rPr>
          <w:rFonts w:cstheme="minorHAnsi"/>
          <w:sz w:val="24"/>
          <w:szCs w:val="24"/>
        </w:rPr>
        <w:t>0,05.</w:t>
      </w:r>
    </w:p>
    <w:p w:rsidR="008F0C0F" w:rsidRPr="0062347D" w:rsidRDefault="008F0C0F" w:rsidP="00284F89">
      <w:pPr>
        <w:rPr>
          <w:rFonts w:cstheme="minorHAnsi"/>
          <w:sz w:val="24"/>
          <w:szCs w:val="24"/>
        </w:rPr>
        <w:sectPr w:rsidR="008F0C0F" w:rsidRPr="0062347D" w:rsidSect="006F4D60">
          <w:footerReference w:type="default" r:id="rId13"/>
          <w:footerReference w:type="first" r:id="rId14"/>
          <w:pgSz w:w="11906" w:h="16838"/>
          <w:pgMar w:top="992" w:right="1418" w:bottom="1418" w:left="1418" w:header="709" w:footer="709" w:gutter="0"/>
          <w:pgNumType w:start="13"/>
          <w:cols w:space="708"/>
          <w:docGrid w:linePitch="360"/>
        </w:sectPr>
      </w:pPr>
    </w:p>
    <w:p w:rsidR="008F0C0F" w:rsidRPr="0062347D" w:rsidRDefault="008F0C0F" w:rsidP="00284F89">
      <w:pPr>
        <w:ind w:left="426" w:firstLine="708"/>
        <w:jc w:val="both"/>
        <w:rPr>
          <w:rFonts w:cstheme="minorHAnsi"/>
          <w:sz w:val="24"/>
          <w:szCs w:val="24"/>
        </w:rPr>
      </w:pPr>
      <w:r w:rsidRPr="0062347D">
        <w:rPr>
          <w:rFonts w:cstheme="minorHAnsi"/>
          <w:b/>
          <w:sz w:val="24"/>
          <w:szCs w:val="24"/>
        </w:rPr>
        <w:lastRenderedPageBreak/>
        <w:t>Tabulka 2</w:t>
      </w:r>
      <w:r w:rsidRPr="0062347D">
        <w:rPr>
          <w:rFonts w:cstheme="minorHAnsi"/>
          <w:sz w:val="24"/>
          <w:szCs w:val="24"/>
        </w:rPr>
        <w:t>: Charakteristiky pacientů nekuřáků s intersticiálními plicními nemocemi. Data jsou uvedena jako průměr</w:t>
      </w:r>
      <w:r>
        <w:rPr>
          <w:rFonts w:cstheme="minorHAnsi"/>
          <w:sz w:val="24"/>
          <w:szCs w:val="24"/>
        </w:rPr>
        <w:t xml:space="preserve"> </w:t>
      </w:r>
      <w:r w:rsidRPr="0062347D">
        <w:rPr>
          <w:rFonts w:eastAsia="Times New Roman" w:cstheme="minorHAnsi"/>
          <w:color w:val="000000"/>
          <w:sz w:val="24"/>
          <w:szCs w:val="24"/>
          <w:lang w:eastAsia="en-GB"/>
        </w:rPr>
        <w:t>± směrodatná odchylka průměru.</w:t>
      </w:r>
    </w:p>
    <w:tbl>
      <w:tblPr>
        <w:tblW w:w="474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827"/>
        <w:gridCol w:w="1341"/>
        <w:gridCol w:w="1759"/>
        <w:gridCol w:w="1395"/>
        <w:gridCol w:w="1545"/>
        <w:gridCol w:w="1404"/>
        <w:gridCol w:w="1404"/>
      </w:tblGrid>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cstheme="minorHAnsi"/>
              </w:rPr>
            </w:pPr>
          </w:p>
        </w:tc>
        <w:tc>
          <w:tcPr>
            <w:tcW w:w="657" w:type="pct"/>
            <w:tcBorders>
              <w:top w:val="single" w:sz="4" w:space="0" w:color="auto"/>
              <w:left w:val="single" w:sz="4" w:space="0" w:color="auto"/>
              <w:bottom w:val="single" w:sz="4" w:space="0" w:color="auto"/>
              <w:right w:val="single" w:sz="4" w:space="0" w:color="auto"/>
            </w:tcBorders>
            <w:shd w:val="clear" w:color="auto" w:fill="D9D9D9"/>
            <w:hideMark/>
          </w:tcPr>
          <w:p w:rsidR="008F0C0F" w:rsidRPr="0062347D" w:rsidRDefault="008F0C0F" w:rsidP="00284F89">
            <w:pPr>
              <w:spacing w:after="0" w:line="240" w:lineRule="auto"/>
              <w:jc w:val="center"/>
              <w:rPr>
                <w:rFonts w:cstheme="minorHAnsi"/>
              </w:rPr>
            </w:pPr>
            <w:r w:rsidRPr="0062347D">
              <w:rPr>
                <w:rFonts w:cstheme="minorHAnsi"/>
              </w:rPr>
              <w:t>S RTG ≤</w:t>
            </w:r>
            <w:r>
              <w:rPr>
                <w:rFonts w:cstheme="minorHAnsi"/>
              </w:rPr>
              <w:t> </w:t>
            </w:r>
            <w:r w:rsidRPr="0062347D">
              <w:rPr>
                <w:rFonts w:cstheme="minorHAnsi"/>
              </w:rPr>
              <w:t>1 bez LS (n</w:t>
            </w:r>
            <w:r>
              <w:rPr>
                <w:rFonts w:cstheme="minorHAnsi"/>
              </w:rPr>
              <w:t> </w:t>
            </w:r>
            <w:r w:rsidRPr="0062347D">
              <w:rPr>
                <w:rFonts w:cstheme="minorHAnsi"/>
              </w:rPr>
              <w:t>=</w:t>
            </w:r>
            <w:r>
              <w:rPr>
                <w:rFonts w:cstheme="minorHAnsi"/>
              </w:rPr>
              <w:t> </w:t>
            </w:r>
            <w:r w:rsidRPr="0062347D">
              <w:rPr>
                <w:rFonts w:cstheme="minorHAnsi"/>
              </w:rPr>
              <w:t>64)</w:t>
            </w:r>
          </w:p>
        </w:tc>
        <w:tc>
          <w:tcPr>
            <w:tcW w:w="482" w:type="pct"/>
            <w:tcBorders>
              <w:top w:val="single" w:sz="4" w:space="0" w:color="auto"/>
              <w:left w:val="single" w:sz="4" w:space="0" w:color="auto"/>
              <w:bottom w:val="single" w:sz="4" w:space="0" w:color="auto"/>
              <w:right w:val="single" w:sz="4" w:space="0" w:color="auto"/>
            </w:tcBorders>
            <w:shd w:val="clear" w:color="auto" w:fill="D9D9D9"/>
            <w:hideMark/>
          </w:tcPr>
          <w:p w:rsidR="008F0C0F" w:rsidRPr="0062347D" w:rsidRDefault="008F0C0F" w:rsidP="00284F89">
            <w:pPr>
              <w:spacing w:after="0" w:line="240" w:lineRule="auto"/>
              <w:jc w:val="center"/>
              <w:rPr>
                <w:rFonts w:cstheme="minorHAnsi"/>
              </w:rPr>
            </w:pPr>
            <w:r w:rsidRPr="0062347D">
              <w:rPr>
                <w:rFonts w:cstheme="minorHAnsi"/>
              </w:rPr>
              <w:t>S RTG</w:t>
            </w:r>
            <w:r>
              <w:rPr>
                <w:rFonts w:cstheme="minorHAnsi"/>
              </w:rPr>
              <w:t> </w:t>
            </w:r>
            <w:r w:rsidRPr="0062347D">
              <w:rPr>
                <w:rFonts w:cstheme="minorHAnsi"/>
              </w:rPr>
              <w:t>=</w:t>
            </w:r>
            <w:r>
              <w:rPr>
                <w:rFonts w:cstheme="minorHAnsi"/>
              </w:rPr>
              <w:t> </w:t>
            </w:r>
            <w:r w:rsidRPr="0062347D">
              <w:rPr>
                <w:rFonts w:cstheme="minorHAnsi"/>
              </w:rPr>
              <w:t>2</w:t>
            </w:r>
          </w:p>
          <w:p w:rsidR="008F0C0F" w:rsidRPr="0062347D" w:rsidRDefault="008F0C0F" w:rsidP="00284F89">
            <w:pPr>
              <w:spacing w:after="0" w:line="240" w:lineRule="auto"/>
              <w:jc w:val="center"/>
              <w:rPr>
                <w:rFonts w:cstheme="minorHAnsi"/>
              </w:rPr>
            </w:pPr>
            <w:r w:rsidRPr="0062347D">
              <w:rPr>
                <w:rFonts w:cstheme="minorHAnsi"/>
              </w:rPr>
              <w:t>(n</w:t>
            </w:r>
            <w:r>
              <w:rPr>
                <w:rFonts w:cstheme="minorHAnsi"/>
              </w:rPr>
              <w:t> </w:t>
            </w:r>
            <w:r w:rsidRPr="0062347D">
              <w:rPr>
                <w:rFonts w:cstheme="minorHAnsi"/>
              </w:rPr>
              <w:t>=</w:t>
            </w:r>
            <w:r>
              <w:rPr>
                <w:rFonts w:cstheme="minorHAnsi"/>
              </w:rPr>
              <w:t> </w:t>
            </w:r>
            <w:r w:rsidRPr="0062347D">
              <w:rPr>
                <w:rFonts w:cstheme="minorHAnsi"/>
              </w:rPr>
              <w:t>113)</w:t>
            </w:r>
          </w:p>
        </w:tc>
        <w:tc>
          <w:tcPr>
            <w:tcW w:w="63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S RTG ≤</w:t>
            </w:r>
            <w:r>
              <w:rPr>
                <w:rFonts w:cstheme="minorHAnsi"/>
              </w:rPr>
              <w:t> </w:t>
            </w:r>
            <w:r w:rsidRPr="0062347D">
              <w:rPr>
                <w:rFonts w:cstheme="minorHAnsi"/>
              </w:rPr>
              <w:t>1 s LS</w:t>
            </w:r>
            <w:r w:rsidRPr="0062347D">
              <w:rPr>
                <w:rFonts w:eastAsia="Times New Roman" w:cstheme="minorHAnsi"/>
                <w:color w:val="000000"/>
                <w:lang w:eastAsia="en-GB"/>
              </w:rPr>
              <w:t xml:space="preserve"> (n</w:t>
            </w:r>
            <w:r>
              <w:rPr>
                <w:rFonts w:eastAsia="Times New Roman" w:cstheme="minorHAnsi"/>
                <w:color w:val="000000"/>
                <w:lang w:eastAsia="en-GB"/>
              </w:rPr>
              <w:t> </w:t>
            </w:r>
            <w:r w:rsidRPr="0062347D">
              <w:rPr>
                <w:rFonts w:eastAsia="Times New Roman" w:cstheme="minorHAnsi"/>
                <w:color w:val="000000"/>
                <w:lang w:eastAsia="en-GB"/>
              </w:rPr>
              <w:t>=</w:t>
            </w:r>
            <w:r>
              <w:rPr>
                <w:rFonts w:eastAsia="Times New Roman" w:cstheme="minorHAnsi"/>
                <w:color w:val="000000"/>
                <w:lang w:eastAsia="en-GB"/>
              </w:rPr>
              <w:t> </w:t>
            </w:r>
            <w:r w:rsidRPr="0062347D">
              <w:rPr>
                <w:rFonts w:eastAsia="Times New Roman" w:cstheme="minorHAnsi"/>
                <w:color w:val="000000"/>
                <w:lang w:eastAsia="en-GB"/>
              </w:rPr>
              <w:t>18)</w:t>
            </w:r>
          </w:p>
        </w:tc>
        <w:tc>
          <w:tcPr>
            <w:tcW w:w="50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S RTG</w:t>
            </w:r>
            <w:r w:rsidRPr="0062347D">
              <w:rPr>
                <w:rFonts w:eastAsia="Times New Roman" w:cstheme="minorHAnsi"/>
                <w:color w:val="000000"/>
                <w:lang w:eastAsia="en-GB"/>
              </w:rPr>
              <w:t xml:space="preserve"> ≥</w:t>
            </w:r>
            <w:r>
              <w:rPr>
                <w:rFonts w:eastAsia="Times New Roman" w:cstheme="minorHAnsi"/>
                <w:color w:val="000000"/>
                <w:lang w:eastAsia="en-GB"/>
              </w:rPr>
              <w:t> </w:t>
            </w:r>
            <w:r w:rsidRPr="0062347D">
              <w:rPr>
                <w:rFonts w:eastAsia="Times New Roman" w:cstheme="minorHAnsi"/>
                <w:color w:val="000000"/>
                <w:lang w:eastAsia="en-GB"/>
              </w:rPr>
              <w:t>3 (n</w:t>
            </w:r>
            <w:r>
              <w:rPr>
                <w:rFonts w:eastAsia="Times New Roman" w:cstheme="minorHAnsi"/>
                <w:color w:val="000000"/>
                <w:lang w:eastAsia="en-GB"/>
              </w:rPr>
              <w:t> </w:t>
            </w:r>
            <w:r w:rsidRPr="0062347D">
              <w:rPr>
                <w:rFonts w:eastAsia="Times New Roman" w:cstheme="minorHAnsi"/>
                <w:color w:val="000000"/>
                <w:lang w:eastAsia="en-GB"/>
              </w:rPr>
              <w:t>=</w:t>
            </w:r>
            <w:r>
              <w:rPr>
                <w:rFonts w:eastAsia="Times New Roman" w:cstheme="minorHAnsi"/>
                <w:color w:val="000000"/>
                <w:lang w:eastAsia="en-GB"/>
              </w:rPr>
              <w:t> </w:t>
            </w:r>
            <w:r w:rsidRPr="0062347D">
              <w:rPr>
                <w:rFonts w:eastAsia="Times New Roman" w:cstheme="minorHAnsi"/>
                <w:color w:val="000000"/>
                <w:lang w:eastAsia="en-GB"/>
              </w:rPr>
              <w:t>26)</w:t>
            </w:r>
          </w:p>
        </w:tc>
        <w:tc>
          <w:tcPr>
            <w:tcW w:w="55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0C0F" w:rsidRPr="0062347D" w:rsidRDefault="008F0C0F" w:rsidP="00284F89">
            <w:pPr>
              <w:spacing w:after="0" w:line="240" w:lineRule="auto"/>
              <w:jc w:val="center"/>
              <w:rPr>
                <w:rFonts w:cstheme="minorHAnsi"/>
              </w:rPr>
            </w:pPr>
            <w:r w:rsidRPr="0062347D">
              <w:rPr>
                <w:rFonts w:cstheme="minorHAnsi"/>
              </w:rPr>
              <w:t>IPF (n</w:t>
            </w:r>
            <w:r>
              <w:rPr>
                <w:rFonts w:cstheme="minorHAnsi"/>
              </w:rPr>
              <w:t> </w:t>
            </w:r>
            <w:r w:rsidRPr="0062347D">
              <w:rPr>
                <w:rFonts w:cstheme="minorHAnsi"/>
              </w:rPr>
              <w:t>=</w:t>
            </w:r>
            <w:r>
              <w:t> </w:t>
            </w:r>
            <w:r w:rsidRPr="0062347D">
              <w:rPr>
                <w:rFonts w:cstheme="minorHAnsi"/>
              </w:rPr>
              <w:t>22)</w:t>
            </w:r>
          </w:p>
        </w:tc>
        <w:tc>
          <w:tcPr>
            <w:tcW w:w="50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0C0F" w:rsidRPr="0062347D" w:rsidRDefault="008F0C0F" w:rsidP="00284F89">
            <w:pPr>
              <w:spacing w:after="0" w:line="240" w:lineRule="auto"/>
              <w:jc w:val="center"/>
              <w:rPr>
                <w:rFonts w:cstheme="minorHAnsi"/>
              </w:rPr>
            </w:pPr>
            <w:r w:rsidRPr="0062347D">
              <w:rPr>
                <w:rFonts w:cstheme="minorHAnsi"/>
              </w:rPr>
              <w:t>OIIP (n</w:t>
            </w:r>
            <w:r>
              <w:rPr>
                <w:rFonts w:cstheme="minorHAnsi"/>
              </w:rPr>
              <w:t> </w:t>
            </w:r>
            <w:r w:rsidRPr="0062347D">
              <w:rPr>
                <w:rFonts w:cstheme="minorHAnsi"/>
              </w:rPr>
              <w:t>=</w:t>
            </w:r>
            <w:r>
              <w:rPr>
                <w:rFonts w:cstheme="minorHAnsi"/>
              </w:rPr>
              <w:t> </w:t>
            </w:r>
            <w:r w:rsidRPr="0062347D">
              <w:rPr>
                <w:rFonts w:cstheme="minorHAnsi"/>
              </w:rPr>
              <w:t>39)</w:t>
            </w:r>
          </w:p>
        </w:tc>
        <w:tc>
          <w:tcPr>
            <w:tcW w:w="50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0C0F" w:rsidRPr="0062347D" w:rsidRDefault="008F0C0F" w:rsidP="00284F89">
            <w:pPr>
              <w:spacing w:after="0" w:line="240" w:lineRule="auto"/>
              <w:jc w:val="center"/>
              <w:rPr>
                <w:rFonts w:cstheme="minorHAnsi"/>
              </w:rPr>
            </w:pPr>
            <w:r w:rsidRPr="0062347D">
              <w:rPr>
                <w:rFonts w:cstheme="minorHAnsi"/>
              </w:rPr>
              <w:t>HP (n</w:t>
            </w:r>
            <w:r>
              <w:rPr>
                <w:rFonts w:cstheme="minorHAnsi"/>
              </w:rPr>
              <w:t> </w:t>
            </w:r>
            <w:r w:rsidRPr="0062347D">
              <w:rPr>
                <w:rFonts w:cstheme="minorHAnsi"/>
              </w:rPr>
              <w:t>=</w:t>
            </w:r>
            <w:r>
              <w:rPr>
                <w:rFonts w:cstheme="minorHAnsi"/>
              </w:rPr>
              <w:t> </w:t>
            </w:r>
            <w:r w:rsidRPr="0062347D">
              <w:rPr>
                <w:rFonts w:cstheme="minorHAnsi"/>
              </w:rPr>
              <w:t>15)</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Věk muži/ ženy</w:t>
            </w:r>
          </w:p>
        </w:tc>
        <w:tc>
          <w:tcPr>
            <w:tcW w:w="657"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cstheme="minorHAnsi"/>
              </w:rPr>
            </w:pPr>
            <w:r w:rsidRPr="0062347D">
              <w:rPr>
                <w:rFonts w:cstheme="minorHAnsi"/>
              </w:rPr>
              <w:t>45,5</w:t>
            </w:r>
            <w:r>
              <w:rPr>
                <w:rFonts w:cstheme="minorHAnsi"/>
              </w:rPr>
              <w:t> </w:t>
            </w:r>
            <w:r w:rsidRPr="0062347D">
              <w:rPr>
                <w:rFonts w:cstheme="minorHAnsi"/>
              </w:rPr>
              <w:t>± 11,9/</w:t>
            </w:r>
          </w:p>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53,8</w:t>
            </w:r>
            <w:r>
              <w:rPr>
                <w:rFonts w:cstheme="minorHAnsi"/>
              </w:rPr>
              <w:t> </w:t>
            </w:r>
            <w:r w:rsidRPr="0062347D">
              <w:rPr>
                <w:rFonts w:cstheme="minorHAnsi"/>
              </w:rPr>
              <w:t>± 11,7</w:t>
            </w:r>
          </w:p>
        </w:tc>
        <w:tc>
          <w:tcPr>
            <w:tcW w:w="48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40,2</w:t>
            </w:r>
            <w:r>
              <w:rPr>
                <w:rFonts w:eastAsia="Times New Roman" w:cstheme="minorHAnsi"/>
                <w:color w:val="000000"/>
                <w:lang w:eastAsia="en-GB"/>
              </w:rPr>
              <w:t> </w:t>
            </w:r>
            <w:r w:rsidRPr="0062347D">
              <w:rPr>
                <w:rFonts w:eastAsia="Times New Roman" w:cstheme="minorHAnsi"/>
                <w:color w:val="000000"/>
                <w:lang w:eastAsia="en-GB"/>
              </w:rPr>
              <w:t>± 8,0/ 52,0</w:t>
            </w:r>
            <w:r>
              <w:rPr>
                <w:rFonts w:eastAsia="Times New Roman" w:cstheme="minorHAnsi"/>
                <w:color w:val="000000"/>
                <w:lang w:eastAsia="en-GB"/>
              </w:rPr>
              <w:t> </w:t>
            </w:r>
            <w:r w:rsidRPr="0062347D">
              <w:rPr>
                <w:rFonts w:eastAsia="Times New Roman" w:cstheme="minorHAnsi"/>
                <w:color w:val="000000"/>
                <w:lang w:eastAsia="en-GB"/>
              </w:rPr>
              <w:t>± 12,8</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33,2</w:t>
            </w:r>
            <w:r>
              <w:rPr>
                <w:rFonts w:eastAsia="Times New Roman" w:cstheme="minorHAnsi"/>
                <w:color w:val="000000"/>
                <w:lang w:eastAsia="en-GB"/>
              </w:rPr>
              <w:t> </w:t>
            </w:r>
            <w:r w:rsidRPr="0062347D">
              <w:rPr>
                <w:rFonts w:eastAsia="Times New Roman" w:cstheme="minorHAnsi"/>
                <w:color w:val="000000"/>
                <w:lang w:eastAsia="en-GB"/>
              </w:rPr>
              <w:t>± 4/</w:t>
            </w:r>
          </w:p>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33,2</w:t>
            </w:r>
            <w:r>
              <w:rPr>
                <w:rFonts w:eastAsia="Times New Roman" w:cstheme="minorHAnsi"/>
                <w:color w:val="000000"/>
                <w:lang w:eastAsia="en-GB"/>
              </w:rPr>
              <w:t> </w:t>
            </w:r>
            <w:r w:rsidRPr="0062347D">
              <w:rPr>
                <w:rFonts w:eastAsia="Times New Roman" w:cstheme="minorHAnsi"/>
                <w:color w:val="000000"/>
                <w:lang w:eastAsia="en-GB"/>
              </w:rPr>
              <w:t>± 4</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42,4</w:t>
            </w:r>
            <w:r>
              <w:rPr>
                <w:rFonts w:eastAsia="Times New Roman" w:cstheme="minorHAnsi"/>
                <w:color w:val="000000"/>
                <w:lang w:eastAsia="en-GB"/>
              </w:rPr>
              <w:t> </w:t>
            </w:r>
            <w:r w:rsidRPr="0062347D">
              <w:rPr>
                <w:rFonts w:eastAsia="Times New Roman" w:cstheme="minorHAnsi"/>
                <w:color w:val="000000"/>
                <w:lang w:eastAsia="en-GB"/>
              </w:rPr>
              <w:t xml:space="preserve">± 10,5/ </w:t>
            </w:r>
          </w:p>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57</w:t>
            </w:r>
            <w:r>
              <w:rPr>
                <w:rFonts w:eastAsia="Times New Roman" w:cstheme="minorHAnsi"/>
                <w:color w:val="000000"/>
                <w:lang w:eastAsia="en-GB"/>
              </w:rPr>
              <w:t> </w:t>
            </w:r>
            <w:r w:rsidRPr="0062347D">
              <w:rPr>
                <w:rFonts w:eastAsia="Times New Roman" w:cstheme="minorHAnsi"/>
                <w:color w:val="000000"/>
                <w:lang w:eastAsia="en-GB"/>
              </w:rPr>
              <w:t>± 11,7</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62,4</w:t>
            </w:r>
            <w:r>
              <w:rPr>
                <w:rFonts w:eastAsia="Times New Roman" w:cstheme="minorHAnsi"/>
                <w:color w:val="000000"/>
                <w:lang w:eastAsia="en-GB"/>
              </w:rPr>
              <w:t> </w:t>
            </w:r>
            <w:r w:rsidRPr="0062347D">
              <w:rPr>
                <w:rFonts w:eastAsia="Times New Roman" w:cstheme="minorHAnsi"/>
                <w:color w:val="000000"/>
                <w:lang w:eastAsia="en-GB"/>
              </w:rPr>
              <w:t>± 10,0/ 58,2</w:t>
            </w:r>
            <w:r>
              <w:rPr>
                <w:rFonts w:eastAsia="Times New Roman" w:cstheme="minorHAnsi"/>
                <w:color w:val="000000"/>
                <w:lang w:eastAsia="en-GB"/>
              </w:rPr>
              <w:t> </w:t>
            </w:r>
            <w:r w:rsidRPr="0062347D">
              <w:rPr>
                <w:rFonts w:eastAsia="Times New Roman" w:cstheme="minorHAnsi"/>
                <w:color w:val="000000"/>
                <w:lang w:eastAsia="en-GB"/>
              </w:rPr>
              <w:t>± 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59,1</w:t>
            </w:r>
            <w:r>
              <w:rPr>
                <w:rFonts w:eastAsia="Times New Roman" w:cstheme="minorHAnsi"/>
                <w:color w:val="000000"/>
                <w:lang w:eastAsia="en-GB"/>
              </w:rPr>
              <w:t> </w:t>
            </w:r>
            <w:r w:rsidRPr="0062347D">
              <w:rPr>
                <w:rFonts w:eastAsia="Times New Roman" w:cstheme="minorHAnsi"/>
                <w:color w:val="000000"/>
                <w:lang w:eastAsia="en-GB"/>
              </w:rPr>
              <w:t>± 12,8/ 57,3</w:t>
            </w:r>
            <w:r>
              <w:rPr>
                <w:rFonts w:eastAsia="Times New Roman" w:cstheme="minorHAnsi"/>
                <w:color w:val="000000"/>
                <w:lang w:eastAsia="en-GB"/>
              </w:rPr>
              <w:t> </w:t>
            </w:r>
            <w:r w:rsidRPr="0062347D">
              <w:rPr>
                <w:rFonts w:eastAsia="Times New Roman" w:cstheme="minorHAnsi"/>
                <w:color w:val="000000"/>
                <w:lang w:eastAsia="en-GB"/>
              </w:rPr>
              <w:t>± 15,9</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55</w:t>
            </w:r>
            <w:r>
              <w:rPr>
                <w:rFonts w:eastAsia="Times New Roman" w:cstheme="minorHAnsi"/>
                <w:color w:val="000000"/>
                <w:lang w:eastAsia="en-GB"/>
              </w:rPr>
              <w:t> </w:t>
            </w:r>
            <w:r w:rsidRPr="0062347D">
              <w:rPr>
                <w:rFonts w:eastAsia="Times New Roman" w:cstheme="minorHAnsi"/>
                <w:color w:val="000000"/>
                <w:lang w:eastAsia="en-GB"/>
              </w:rPr>
              <w:t>± 5,3/ 53,0</w:t>
            </w:r>
            <w:r>
              <w:rPr>
                <w:rFonts w:eastAsia="Times New Roman" w:cstheme="minorHAnsi"/>
                <w:color w:val="000000"/>
                <w:lang w:eastAsia="en-GB"/>
              </w:rPr>
              <w:t> </w:t>
            </w:r>
            <w:r w:rsidRPr="0062347D">
              <w:rPr>
                <w:rFonts w:eastAsia="Times New Roman" w:cstheme="minorHAnsi"/>
                <w:color w:val="000000"/>
                <w:lang w:eastAsia="en-GB"/>
              </w:rPr>
              <w:t>± 10,2</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Pohlaví muži/ženy</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23/41</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45/68</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6/12</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9/17</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9/13</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14/25</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5/10</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cstheme="minorHAnsi"/>
              </w:rPr>
              <w:t>RTG</w:t>
            </w:r>
            <w:r w:rsidRPr="0062347D">
              <w:rPr>
                <w:rFonts w:eastAsia="Times New Roman" w:cstheme="minorHAnsi"/>
                <w:color w:val="000000"/>
                <w:lang w:eastAsia="en-GB"/>
              </w:rPr>
              <w:t xml:space="preserve"> stádium 0/1</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9/55</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1/17</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cstheme="minorHAnsi"/>
              </w:rPr>
              <w:t>RTG stádium</w:t>
            </w:r>
            <w:r w:rsidRPr="0062347D">
              <w:rPr>
                <w:rFonts w:eastAsia="Times New Roman" w:cstheme="minorHAnsi"/>
                <w:color w:val="000000"/>
                <w:lang w:eastAsia="en-GB"/>
              </w:rPr>
              <w:t xml:space="preserve"> 3/3-4/4</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22/2/2</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BAL buněčný profil</w:t>
            </w:r>
          </w:p>
        </w:tc>
        <w:tc>
          <w:tcPr>
            <w:tcW w:w="657" w:type="pct"/>
            <w:tcBorders>
              <w:top w:val="single" w:sz="4" w:space="0" w:color="auto"/>
              <w:left w:val="single" w:sz="4" w:space="0" w:color="auto"/>
              <w:bottom w:val="single" w:sz="4" w:space="0" w:color="auto"/>
              <w:right w:val="single" w:sz="4" w:space="0" w:color="auto"/>
            </w:tcBorders>
            <w:shd w:val="clear" w:color="auto" w:fill="BFBFBF"/>
          </w:tcPr>
          <w:p w:rsidR="008F0C0F" w:rsidRPr="0062347D" w:rsidRDefault="008F0C0F" w:rsidP="00284F89">
            <w:pPr>
              <w:spacing w:after="0" w:line="240" w:lineRule="auto"/>
              <w:jc w:val="center"/>
              <w:rPr>
                <w:rFonts w:eastAsia="Times New Roman" w:cstheme="minorHAnsi"/>
                <w:color w:val="000000"/>
                <w:lang w:eastAsia="en-GB"/>
              </w:rPr>
            </w:pPr>
          </w:p>
        </w:tc>
        <w:tc>
          <w:tcPr>
            <w:tcW w:w="482" w:type="pct"/>
            <w:tcBorders>
              <w:top w:val="single" w:sz="4" w:space="0" w:color="auto"/>
              <w:left w:val="single" w:sz="4" w:space="0" w:color="auto"/>
              <w:bottom w:val="single" w:sz="4" w:space="0" w:color="auto"/>
              <w:right w:val="single" w:sz="4" w:space="0" w:color="auto"/>
            </w:tcBorders>
            <w:shd w:val="clear" w:color="auto" w:fill="BFBFBF"/>
          </w:tcPr>
          <w:p w:rsidR="008F0C0F" w:rsidRPr="0062347D" w:rsidRDefault="008F0C0F" w:rsidP="00284F89">
            <w:pPr>
              <w:spacing w:after="0" w:line="240" w:lineRule="auto"/>
              <w:jc w:val="center"/>
              <w:rPr>
                <w:rFonts w:eastAsia="Times New Roman" w:cstheme="minorHAnsi"/>
                <w:color w:val="000000"/>
                <w:lang w:eastAsia="en-GB"/>
              </w:rPr>
            </w:pPr>
          </w:p>
        </w:tc>
        <w:tc>
          <w:tcPr>
            <w:tcW w:w="63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F0C0F" w:rsidRPr="0062347D" w:rsidRDefault="008F0C0F" w:rsidP="00284F89">
            <w:pPr>
              <w:spacing w:after="0" w:line="240" w:lineRule="auto"/>
              <w:rPr>
                <w:rFonts w:cstheme="minorHAnsi"/>
              </w:rPr>
            </w:pPr>
          </w:p>
        </w:tc>
        <w:tc>
          <w:tcPr>
            <w:tcW w:w="502" w:type="pct"/>
            <w:tcBorders>
              <w:top w:val="single" w:sz="4" w:space="0" w:color="auto"/>
              <w:left w:val="single" w:sz="4" w:space="0" w:color="auto"/>
              <w:bottom w:val="single" w:sz="4" w:space="0" w:color="auto"/>
              <w:right w:val="single" w:sz="4" w:space="0" w:color="auto"/>
            </w:tcBorders>
            <w:shd w:val="clear" w:color="auto" w:fill="BFBFBF"/>
            <w:vAlign w:val="center"/>
          </w:tcPr>
          <w:p w:rsidR="008F0C0F" w:rsidRPr="0062347D" w:rsidRDefault="008F0C0F" w:rsidP="00284F89">
            <w:pPr>
              <w:spacing w:after="0" w:line="240" w:lineRule="auto"/>
              <w:jc w:val="center"/>
              <w:rPr>
                <w:rFonts w:eastAsia="Times New Roman" w:cstheme="minorHAnsi"/>
                <w:color w:val="000000"/>
                <w:lang w:eastAsia="en-GB"/>
              </w:rPr>
            </w:pP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tcPr>
          <w:p w:rsidR="008F0C0F" w:rsidRPr="0062347D" w:rsidRDefault="008F0C0F" w:rsidP="00284F89">
            <w:pPr>
              <w:spacing w:after="0" w:line="240" w:lineRule="auto"/>
              <w:jc w:val="center"/>
              <w:rPr>
                <w:rFonts w:eastAsia="Times New Roman" w:cstheme="minorHAnsi"/>
                <w:color w:val="000000"/>
                <w:lang w:eastAsia="en-GB"/>
              </w:rPr>
            </w:pPr>
          </w:p>
        </w:tc>
        <w:tc>
          <w:tcPr>
            <w:tcW w:w="505" w:type="pct"/>
            <w:tcBorders>
              <w:top w:val="single" w:sz="4" w:space="0" w:color="auto"/>
              <w:left w:val="single" w:sz="4" w:space="0" w:color="auto"/>
              <w:bottom w:val="single" w:sz="4" w:space="0" w:color="auto"/>
              <w:right w:val="single" w:sz="4" w:space="0" w:color="auto"/>
            </w:tcBorders>
            <w:shd w:val="clear" w:color="auto" w:fill="BFBFBF"/>
            <w:vAlign w:val="center"/>
          </w:tcPr>
          <w:p w:rsidR="008F0C0F" w:rsidRPr="0062347D" w:rsidRDefault="008F0C0F" w:rsidP="00284F89">
            <w:pPr>
              <w:spacing w:after="0" w:line="240" w:lineRule="auto"/>
              <w:jc w:val="center"/>
              <w:rPr>
                <w:rFonts w:eastAsia="Times New Roman" w:cstheme="minorHAnsi"/>
                <w:color w:val="000000"/>
                <w:lang w:eastAsia="en-GB"/>
              </w:rPr>
            </w:pPr>
          </w:p>
        </w:tc>
        <w:tc>
          <w:tcPr>
            <w:tcW w:w="505" w:type="pct"/>
            <w:tcBorders>
              <w:top w:val="single" w:sz="4" w:space="0" w:color="auto"/>
              <w:left w:val="single" w:sz="4" w:space="0" w:color="auto"/>
              <w:bottom w:val="single" w:sz="4" w:space="0" w:color="auto"/>
              <w:right w:val="single" w:sz="4" w:space="0" w:color="auto"/>
            </w:tcBorders>
            <w:shd w:val="clear" w:color="auto" w:fill="BFBFBF"/>
            <w:vAlign w:val="center"/>
          </w:tcPr>
          <w:p w:rsidR="008F0C0F" w:rsidRPr="0062347D" w:rsidRDefault="008F0C0F" w:rsidP="00284F89">
            <w:pPr>
              <w:spacing w:after="0" w:line="240" w:lineRule="auto"/>
              <w:jc w:val="center"/>
              <w:rPr>
                <w:rFonts w:eastAsia="Times New Roman" w:cstheme="minorHAnsi"/>
                <w:color w:val="000000"/>
                <w:lang w:eastAsia="en-GB"/>
              </w:rPr>
            </w:pP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BAL návratnost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62,1</w:t>
            </w:r>
            <w:r>
              <w:rPr>
                <w:rFonts w:cstheme="minorHAnsi"/>
              </w:rPr>
              <w:t> </w:t>
            </w:r>
            <w:r w:rsidRPr="0062347D">
              <w:rPr>
                <w:rFonts w:cstheme="minorHAnsi"/>
              </w:rPr>
              <w:t>± 9,2</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61,7</w:t>
            </w:r>
            <w:r>
              <w:rPr>
                <w:rFonts w:eastAsia="Times New Roman" w:cstheme="minorHAnsi"/>
                <w:color w:val="000000"/>
                <w:lang w:eastAsia="en-GB"/>
              </w:rPr>
              <w:t> </w:t>
            </w:r>
            <w:r w:rsidRPr="0062347D">
              <w:rPr>
                <w:rFonts w:eastAsia="Times New Roman" w:cstheme="minorHAnsi"/>
                <w:color w:val="000000"/>
                <w:lang w:eastAsia="en-GB"/>
              </w:rPr>
              <w:t>± 10,2</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64,1</w:t>
            </w:r>
            <w:r>
              <w:rPr>
                <w:rFonts w:eastAsia="Times New Roman" w:cstheme="minorHAnsi"/>
                <w:color w:val="000000"/>
                <w:lang w:eastAsia="en-GB"/>
              </w:rPr>
              <w:t> </w:t>
            </w:r>
            <w:r w:rsidRPr="0062347D">
              <w:rPr>
                <w:rFonts w:eastAsia="Times New Roman" w:cstheme="minorHAnsi"/>
                <w:color w:val="000000"/>
                <w:lang w:eastAsia="en-GB"/>
              </w:rPr>
              <w:t>± 7,1</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60,2</w:t>
            </w:r>
            <w:r>
              <w:rPr>
                <w:rFonts w:eastAsia="Times New Roman" w:cstheme="minorHAnsi"/>
                <w:color w:val="000000"/>
                <w:lang w:eastAsia="en-GB"/>
              </w:rPr>
              <w:t> </w:t>
            </w:r>
            <w:r w:rsidRPr="0062347D">
              <w:rPr>
                <w:rFonts w:eastAsia="Times New Roman" w:cstheme="minorHAnsi"/>
                <w:color w:val="000000"/>
                <w:lang w:eastAsia="en-GB"/>
              </w:rPr>
              <w:t>± 11,4</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66,8</w:t>
            </w:r>
            <w:r>
              <w:rPr>
                <w:rFonts w:eastAsia="Times New Roman" w:cstheme="minorHAnsi"/>
                <w:color w:val="000000"/>
                <w:lang w:eastAsia="en-GB"/>
              </w:rPr>
              <w:t> </w:t>
            </w:r>
            <w:r w:rsidRPr="0062347D">
              <w:rPr>
                <w:rFonts w:eastAsia="Times New Roman" w:cstheme="minorHAnsi"/>
                <w:color w:val="000000"/>
                <w:lang w:eastAsia="en-GB"/>
              </w:rPr>
              <w:t>± 8,9</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62,2</w:t>
            </w:r>
            <w:r>
              <w:rPr>
                <w:rFonts w:eastAsia="Times New Roman" w:cstheme="minorHAnsi"/>
                <w:color w:val="000000"/>
                <w:lang w:eastAsia="en-GB"/>
              </w:rPr>
              <w:t> </w:t>
            </w:r>
            <w:r w:rsidRPr="0062347D">
              <w:rPr>
                <w:rFonts w:eastAsia="Times New Roman" w:cstheme="minorHAnsi"/>
                <w:color w:val="000000"/>
                <w:lang w:eastAsia="en-GB"/>
              </w:rPr>
              <w:t>± 11,0</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64,9</w:t>
            </w:r>
            <w:r>
              <w:rPr>
                <w:rFonts w:eastAsia="Times New Roman" w:cstheme="minorHAnsi"/>
                <w:color w:val="000000"/>
                <w:lang w:eastAsia="en-GB"/>
              </w:rPr>
              <w:t> </w:t>
            </w:r>
            <w:r w:rsidRPr="0062347D">
              <w:rPr>
                <w:rFonts w:eastAsia="Times New Roman" w:cstheme="minorHAnsi"/>
                <w:color w:val="000000"/>
                <w:lang w:eastAsia="en-GB"/>
              </w:rPr>
              <w:t>± 11,0</w:t>
            </w:r>
          </w:p>
        </w:tc>
      </w:tr>
      <w:tr w:rsidR="008F0C0F" w:rsidRPr="0062347D" w:rsidTr="00284F89">
        <w:trPr>
          <w:trHeight w:val="345"/>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Celkový poč. buněk [x10</w:t>
            </w:r>
            <w:r w:rsidRPr="0062347D">
              <w:rPr>
                <w:rFonts w:eastAsia="Times New Roman" w:cstheme="minorHAnsi"/>
                <w:color w:val="000000"/>
                <w:vertAlign w:val="superscript"/>
                <w:lang w:eastAsia="en-GB"/>
              </w:rPr>
              <w:t>5</w:t>
            </w:r>
            <w:r w:rsidRPr="0062347D">
              <w:rPr>
                <w:rFonts w:eastAsia="Times New Roman" w:cstheme="minorHAnsi"/>
                <w:color w:val="000000"/>
                <w:lang w:eastAsia="en-GB"/>
              </w:rPr>
              <w:t xml:space="preserve">l]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0,8</w:t>
            </w:r>
            <w:r>
              <w:rPr>
                <w:rFonts w:cstheme="minorHAnsi"/>
              </w:rPr>
              <w:t> </w:t>
            </w:r>
            <w:r w:rsidRPr="0062347D">
              <w:rPr>
                <w:rFonts w:cstheme="minorHAnsi"/>
              </w:rPr>
              <w:t>± 0,6</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0,9</w:t>
            </w:r>
            <w:r>
              <w:rPr>
                <w:rFonts w:eastAsia="Times New Roman" w:cstheme="minorHAnsi"/>
                <w:color w:val="000000"/>
                <w:lang w:eastAsia="en-GB"/>
              </w:rPr>
              <w:t> </w:t>
            </w:r>
            <w:r w:rsidRPr="0062347D">
              <w:rPr>
                <w:rFonts w:eastAsia="Times New Roman" w:cstheme="minorHAnsi"/>
                <w:color w:val="000000"/>
                <w:lang w:eastAsia="en-GB"/>
              </w:rPr>
              <w:t>± 0,5</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1,0</w:t>
            </w:r>
            <w:r>
              <w:rPr>
                <w:rFonts w:eastAsia="Times New Roman" w:cstheme="minorHAnsi"/>
                <w:color w:val="000000"/>
                <w:lang w:eastAsia="en-GB"/>
              </w:rPr>
              <w:t> </w:t>
            </w:r>
            <w:r w:rsidRPr="0062347D">
              <w:rPr>
                <w:rFonts w:eastAsia="Times New Roman" w:cstheme="minorHAnsi"/>
                <w:color w:val="000000"/>
                <w:lang w:eastAsia="en-GB"/>
              </w:rPr>
              <w:t>± 0,3</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0,9</w:t>
            </w:r>
            <w:r>
              <w:rPr>
                <w:rFonts w:eastAsia="Times New Roman" w:cstheme="minorHAnsi"/>
                <w:color w:val="000000"/>
                <w:lang w:eastAsia="en-GB"/>
              </w:rPr>
              <w:t> ±</w:t>
            </w:r>
            <w:r w:rsidRPr="0062347D">
              <w:rPr>
                <w:rFonts w:eastAsia="Times New Roman" w:cstheme="minorHAnsi"/>
                <w:color w:val="000000"/>
                <w:lang w:eastAsia="en-GB"/>
              </w:rPr>
              <w:t xml:space="preserve"> 0,8</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1,5</w:t>
            </w:r>
            <w:r>
              <w:rPr>
                <w:rFonts w:eastAsia="Times New Roman" w:cstheme="minorHAnsi"/>
                <w:color w:val="000000"/>
                <w:lang w:eastAsia="en-GB"/>
              </w:rPr>
              <w:t> ±</w:t>
            </w:r>
            <w:r w:rsidRPr="0062347D">
              <w:rPr>
                <w:rFonts w:eastAsia="Times New Roman" w:cstheme="minorHAnsi"/>
                <w:color w:val="000000"/>
                <w:lang w:eastAsia="en-GB"/>
              </w:rPr>
              <w:t xml:space="preserve"> 0,9</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1,3</w:t>
            </w:r>
            <w:r>
              <w:rPr>
                <w:rFonts w:eastAsia="Times New Roman" w:cstheme="minorHAnsi"/>
                <w:color w:val="000000"/>
                <w:lang w:eastAsia="en-GB"/>
              </w:rPr>
              <w:t> ±</w:t>
            </w:r>
            <w:r w:rsidRPr="0062347D">
              <w:rPr>
                <w:rFonts w:eastAsia="Times New Roman" w:cstheme="minorHAnsi"/>
                <w:color w:val="000000"/>
                <w:lang w:eastAsia="en-GB"/>
              </w:rPr>
              <w:t xml:space="preserve"> 1,0</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0,8</w:t>
            </w:r>
            <w:r>
              <w:rPr>
                <w:rFonts w:eastAsia="Times New Roman" w:cstheme="minorHAnsi"/>
                <w:color w:val="000000"/>
                <w:lang w:eastAsia="en-GB"/>
              </w:rPr>
              <w:t> ±</w:t>
            </w:r>
            <w:r w:rsidRPr="0062347D">
              <w:rPr>
                <w:rFonts w:eastAsia="Times New Roman" w:cstheme="minorHAnsi"/>
                <w:color w:val="000000"/>
                <w:lang w:eastAsia="en-GB"/>
              </w:rPr>
              <w:t xml:space="preserve"> 0,4</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Makrofágy relativní poč.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75,8</w:t>
            </w:r>
            <w:r>
              <w:rPr>
                <w:rFonts w:cstheme="minorHAnsi"/>
              </w:rPr>
              <w:t> </w:t>
            </w:r>
            <w:r w:rsidRPr="0062347D">
              <w:rPr>
                <w:rFonts w:cstheme="minorHAnsi"/>
              </w:rPr>
              <w:t>± 11,1</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73,2</w:t>
            </w:r>
            <w:r>
              <w:rPr>
                <w:rFonts w:eastAsia="Times New Roman" w:cstheme="minorHAnsi"/>
                <w:color w:val="000000"/>
                <w:lang w:eastAsia="en-GB"/>
              </w:rPr>
              <w:t> </w:t>
            </w:r>
            <w:r w:rsidRPr="0062347D">
              <w:rPr>
                <w:rFonts w:eastAsia="Times New Roman" w:cstheme="minorHAnsi"/>
                <w:color w:val="000000"/>
                <w:lang w:eastAsia="en-GB"/>
              </w:rPr>
              <w:t>± 12,9</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78,3</w:t>
            </w:r>
            <w:r>
              <w:rPr>
                <w:rFonts w:eastAsia="Times New Roman" w:cstheme="minorHAnsi"/>
                <w:color w:val="000000"/>
                <w:lang w:eastAsia="en-GB"/>
              </w:rPr>
              <w:t> </w:t>
            </w:r>
            <w:r w:rsidRPr="0062347D">
              <w:rPr>
                <w:rFonts w:eastAsia="Times New Roman" w:cstheme="minorHAnsi"/>
                <w:color w:val="000000"/>
                <w:lang w:eastAsia="en-GB"/>
              </w:rPr>
              <w:t>± 11,8</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75,7</w:t>
            </w:r>
            <w:r>
              <w:rPr>
                <w:rFonts w:eastAsia="Times New Roman" w:cstheme="minorHAnsi"/>
                <w:color w:val="000000"/>
                <w:lang w:eastAsia="en-GB"/>
              </w:rPr>
              <w:t> ±</w:t>
            </w:r>
            <w:r w:rsidRPr="0062347D">
              <w:rPr>
                <w:rFonts w:eastAsia="Times New Roman" w:cstheme="minorHAnsi"/>
                <w:color w:val="000000"/>
                <w:lang w:eastAsia="en-GB"/>
              </w:rPr>
              <w:t xml:space="preserve"> 17,6</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76,7</w:t>
            </w:r>
            <w:r>
              <w:rPr>
                <w:rFonts w:eastAsia="Times New Roman" w:cstheme="minorHAnsi"/>
                <w:color w:val="000000"/>
                <w:lang w:eastAsia="en-GB"/>
              </w:rPr>
              <w:t> ±</w:t>
            </w:r>
            <w:r w:rsidRPr="0062347D">
              <w:rPr>
                <w:rFonts w:eastAsia="Times New Roman" w:cstheme="minorHAnsi"/>
                <w:color w:val="000000"/>
                <w:lang w:eastAsia="en-GB"/>
              </w:rPr>
              <w:t xml:space="preserve"> 13,8</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70,3</w:t>
            </w:r>
            <w:r>
              <w:rPr>
                <w:rFonts w:eastAsia="Times New Roman" w:cstheme="minorHAnsi"/>
                <w:color w:val="000000"/>
                <w:lang w:eastAsia="en-GB"/>
              </w:rPr>
              <w:t> ±</w:t>
            </w:r>
            <w:r w:rsidRPr="0062347D">
              <w:rPr>
                <w:rFonts w:eastAsia="Times New Roman" w:cstheme="minorHAnsi"/>
                <w:color w:val="000000"/>
                <w:lang w:eastAsia="en-GB"/>
              </w:rPr>
              <w:t xml:space="preserve"> 19,2</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61,1± 17,9</w:t>
            </w:r>
          </w:p>
        </w:tc>
      </w:tr>
      <w:tr w:rsidR="008F0C0F" w:rsidRPr="0062347D" w:rsidTr="00284F89">
        <w:trPr>
          <w:trHeight w:val="345"/>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Makrofágy absolutní poč. [x10</w:t>
            </w:r>
            <w:r w:rsidRPr="0062347D">
              <w:rPr>
                <w:rFonts w:eastAsia="Times New Roman" w:cstheme="minorHAnsi"/>
                <w:color w:val="000000"/>
                <w:vertAlign w:val="superscript"/>
                <w:lang w:eastAsia="en-GB"/>
              </w:rPr>
              <w:t>5</w:t>
            </w:r>
            <w:r w:rsidRPr="0062347D">
              <w:rPr>
                <w:rFonts w:eastAsia="Times New Roman" w:cstheme="minorHAnsi"/>
                <w:color w:val="000000"/>
                <w:lang w:eastAsia="en-GB"/>
              </w:rPr>
              <w:t xml:space="preserve">]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0,6</w:t>
            </w:r>
            <w:r>
              <w:rPr>
                <w:rFonts w:eastAsia="Times New Roman" w:cstheme="minorHAnsi"/>
                <w:color w:val="000000"/>
                <w:lang w:eastAsia="en-GB"/>
              </w:rPr>
              <w:t> </w:t>
            </w:r>
            <w:r w:rsidRPr="0062347D">
              <w:rPr>
                <w:rFonts w:cstheme="minorHAnsi"/>
              </w:rPr>
              <w:t>± 0,4</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0,7</w:t>
            </w:r>
            <w:r>
              <w:rPr>
                <w:rFonts w:eastAsia="Times New Roman" w:cstheme="minorHAnsi"/>
                <w:color w:val="000000"/>
                <w:lang w:eastAsia="en-GB"/>
              </w:rPr>
              <w:t> </w:t>
            </w:r>
            <w:r w:rsidRPr="0062347D">
              <w:rPr>
                <w:rFonts w:eastAsia="Times New Roman" w:cstheme="minorHAnsi"/>
                <w:color w:val="000000"/>
                <w:lang w:eastAsia="en-GB"/>
              </w:rPr>
              <w:t>± 0,4</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0,8</w:t>
            </w:r>
            <w:r>
              <w:rPr>
                <w:rFonts w:eastAsia="Times New Roman" w:cstheme="minorHAnsi"/>
                <w:color w:val="000000"/>
                <w:lang w:eastAsia="en-GB"/>
              </w:rPr>
              <w:t> </w:t>
            </w:r>
            <w:r w:rsidRPr="0062347D">
              <w:rPr>
                <w:rFonts w:eastAsia="Times New Roman" w:cstheme="minorHAnsi"/>
                <w:color w:val="000000"/>
                <w:lang w:eastAsia="en-GB"/>
              </w:rPr>
              <w:t>± 0,3</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0,75</w:t>
            </w:r>
            <w:r>
              <w:rPr>
                <w:rFonts w:eastAsia="Times New Roman" w:cstheme="minorHAnsi"/>
                <w:color w:val="000000"/>
                <w:lang w:eastAsia="en-GB"/>
              </w:rPr>
              <w:t> ±</w:t>
            </w:r>
            <w:r w:rsidRPr="0062347D">
              <w:rPr>
                <w:rFonts w:eastAsia="Times New Roman" w:cstheme="minorHAnsi"/>
                <w:color w:val="000000"/>
                <w:lang w:eastAsia="en-GB"/>
              </w:rPr>
              <w:t xml:space="preserve"> 0,74</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1,1</w:t>
            </w:r>
            <w:r>
              <w:rPr>
                <w:rFonts w:eastAsia="Times New Roman" w:cstheme="minorHAnsi"/>
                <w:color w:val="000000"/>
                <w:lang w:eastAsia="en-GB"/>
              </w:rPr>
              <w:t> ±</w:t>
            </w:r>
            <w:r w:rsidRPr="0062347D">
              <w:rPr>
                <w:rFonts w:eastAsia="Times New Roman" w:cstheme="minorHAnsi"/>
                <w:color w:val="000000"/>
                <w:lang w:eastAsia="en-GB"/>
              </w:rPr>
              <w:t xml:space="preserve"> 0,7</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0,9</w:t>
            </w:r>
            <w:r>
              <w:rPr>
                <w:rFonts w:eastAsia="Times New Roman" w:cstheme="minorHAnsi"/>
                <w:color w:val="000000"/>
                <w:lang w:eastAsia="en-GB"/>
              </w:rPr>
              <w:t> ±</w:t>
            </w:r>
            <w:r w:rsidRPr="0062347D">
              <w:rPr>
                <w:rFonts w:eastAsia="Times New Roman" w:cstheme="minorHAnsi"/>
                <w:color w:val="000000"/>
                <w:lang w:eastAsia="en-GB"/>
              </w:rPr>
              <w:t xml:space="preserve"> 0,8</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0,5</w:t>
            </w:r>
            <w:r>
              <w:rPr>
                <w:rFonts w:eastAsia="Times New Roman" w:cstheme="minorHAnsi"/>
                <w:color w:val="000000"/>
                <w:lang w:eastAsia="en-GB"/>
              </w:rPr>
              <w:t> ±</w:t>
            </w:r>
            <w:r w:rsidRPr="0062347D">
              <w:rPr>
                <w:rFonts w:eastAsia="Times New Roman" w:cstheme="minorHAnsi"/>
                <w:color w:val="000000"/>
                <w:lang w:eastAsia="en-GB"/>
              </w:rPr>
              <w:t xml:space="preserve"> 0,3</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Lymfocyty relativní poč.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21,8</w:t>
            </w:r>
            <w:r>
              <w:rPr>
                <w:rFonts w:cstheme="minorHAnsi"/>
              </w:rPr>
              <w:t> </w:t>
            </w:r>
            <w:r w:rsidRPr="0062347D">
              <w:rPr>
                <w:rFonts w:cstheme="minorHAnsi"/>
              </w:rPr>
              <w:t>± 11,1</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21,8</w:t>
            </w:r>
            <w:r>
              <w:rPr>
                <w:rFonts w:eastAsia="Times New Roman" w:cstheme="minorHAnsi"/>
                <w:color w:val="000000"/>
                <w:lang w:eastAsia="en-GB"/>
              </w:rPr>
              <w:t> </w:t>
            </w:r>
            <w:r w:rsidRPr="0062347D">
              <w:rPr>
                <w:rFonts w:eastAsia="Times New Roman" w:cstheme="minorHAnsi"/>
                <w:color w:val="000000"/>
                <w:lang w:eastAsia="en-GB"/>
              </w:rPr>
              <w:t>± 9,9</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20,1</w:t>
            </w:r>
            <w:r>
              <w:rPr>
                <w:rFonts w:eastAsia="Times New Roman" w:cstheme="minorHAnsi"/>
                <w:color w:val="000000"/>
                <w:lang w:eastAsia="en-GB"/>
              </w:rPr>
              <w:t> </w:t>
            </w:r>
            <w:r w:rsidRPr="0062347D">
              <w:rPr>
                <w:rFonts w:eastAsia="Times New Roman" w:cstheme="minorHAnsi"/>
                <w:color w:val="000000"/>
                <w:lang w:eastAsia="en-GB"/>
              </w:rPr>
              <w:t>± 12,0</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18,3</w:t>
            </w:r>
            <w:r>
              <w:rPr>
                <w:rFonts w:eastAsia="Times New Roman" w:cstheme="minorHAnsi"/>
                <w:color w:val="000000"/>
                <w:lang w:eastAsia="en-GB"/>
              </w:rPr>
              <w:t> ±</w:t>
            </w:r>
            <w:r w:rsidRPr="0062347D">
              <w:rPr>
                <w:rFonts w:eastAsia="Times New Roman" w:cstheme="minorHAnsi"/>
                <w:color w:val="000000"/>
                <w:lang w:eastAsia="en-GB"/>
              </w:rPr>
              <w:t xml:space="preserve"> 13,2</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9,4</w:t>
            </w:r>
            <w:r>
              <w:rPr>
                <w:rFonts w:eastAsia="Times New Roman" w:cstheme="minorHAnsi"/>
                <w:color w:val="000000"/>
                <w:lang w:eastAsia="en-GB"/>
              </w:rPr>
              <w:t> ±</w:t>
            </w:r>
            <w:r w:rsidRPr="0062347D">
              <w:rPr>
                <w:rFonts w:eastAsia="Times New Roman" w:cstheme="minorHAnsi"/>
                <w:color w:val="000000"/>
                <w:lang w:eastAsia="en-GB"/>
              </w:rPr>
              <w:t xml:space="preserve"> 9,4</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15,3</w:t>
            </w:r>
            <w:r>
              <w:rPr>
                <w:rFonts w:eastAsia="Times New Roman" w:cstheme="minorHAnsi"/>
                <w:color w:val="000000"/>
                <w:lang w:eastAsia="en-GB"/>
              </w:rPr>
              <w:t> ±</w:t>
            </w:r>
            <w:r w:rsidRPr="0062347D">
              <w:rPr>
                <w:rFonts w:eastAsia="Times New Roman" w:cstheme="minorHAnsi"/>
                <w:color w:val="000000"/>
                <w:lang w:eastAsia="en-GB"/>
              </w:rPr>
              <w:t xml:space="preserve"> 14,5</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28,3</w:t>
            </w:r>
            <w:r>
              <w:rPr>
                <w:rFonts w:eastAsia="Times New Roman" w:cstheme="minorHAnsi"/>
                <w:color w:val="000000"/>
                <w:lang w:eastAsia="en-GB"/>
              </w:rPr>
              <w:t> ±</w:t>
            </w:r>
            <w:r w:rsidRPr="0062347D">
              <w:rPr>
                <w:rFonts w:eastAsia="Times New Roman" w:cstheme="minorHAnsi"/>
                <w:color w:val="000000"/>
                <w:lang w:eastAsia="en-GB"/>
              </w:rPr>
              <w:t xml:space="preserve"> 17,7</w:t>
            </w:r>
          </w:p>
        </w:tc>
      </w:tr>
      <w:tr w:rsidR="008F0C0F" w:rsidRPr="0062347D" w:rsidTr="00284F89">
        <w:trPr>
          <w:trHeight w:val="345"/>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Lymfocyty absolutní poč. [x10</w:t>
            </w:r>
            <w:r w:rsidRPr="0062347D">
              <w:rPr>
                <w:rFonts w:eastAsia="Times New Roman" w:cstheme="minorHAnsi"/>
                <w:color w:val="000000"/>
                <w:vertAlign w:val="superscript"/>
                <w:lang w:eastAsia="en-GB"/>
              </w:rPr>
              <w:t>5</w:t>
            </w:r>
            <w:r w:rsidRPr="0062347D">
              <w:rPr>
                <w:rFonts w:eastAsia="Times New Roman" w:cstheme="minorHAnsi"/>
                <w:color w:val="000000"/>
                <w:lang w:eastAsia="en-GB"/>
              </w:rPr>
              <w:t xml:space="preserve">]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0,6</w:t>
            </w:r>
            <w:r>
              <w:rPr>
                <w:rFonts w:cstheme="minorHAnsi"/>
              </w:rPr>
              <w:t> </w:t>
            </w:r>
            <w:r w:rsidRPr="0062347D">
              <w:rPr>
                <w:rFonts w:cstheme="minorHAnsi"/>
              </w:rPr>
              <w:t>± 0,4</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0,2</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0,1</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xml:space="preserve"> 0,1</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xml:space="preserve"> 0,3</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xml:space="preserve"> 0,3</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xml:space="preserve"> 0,2</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Neutrofily relativní poč.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2,0</w:t>
            </w:r>
            <w:r>
              <w:rPr>
                <w:rFonts w:cstheme="minorHAnsi"/>
              </w:rPr>
              <w:t> </w:t>
            </w:r>
            <w:r w:rsidRPr="0062347D">
              <w:rPr>
                <w:rFonts w:cstheme="minorHAnsi"/>
              </w:rPr>
              <w:t>± 3,8</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3,4</w:t>
            </w:r>
            <w:r>
              <w:rPr>
                <w:rFonts w:eastAsia="Times New Roman" w:cstheme="minorHAnsi"/>
                <w:color w:val="000000"/>
                <w:lang w:eastAsia="en-GB"/>
              </w:rPr>
              <w:t> </w:t>
            </w:r>
            <w:r w:rsidRPr="0062347D">
              <w:rPr>
                <w:rFonts w:eastAsia="Times New Roman" w:cstheme="minorHAnsi"/>
                <w:color w:val="000000"/>
                <w:lang w:eastAsia="en-GB"/>
              </w:rPr>
              <w:t>± 4,9</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1,23</w:t>
            </w:r>
            <w:r>
              <w:rPr>
                <w:rFonts w:eastAsia="Times New Roman" w:cstheme="minorHAnsi"/>
                <w:color w:val="000000"/>
                <w:lang w:eastAsia="en-GB"/>
              </w:rPr>
              <w:t> ±</w:t>
            </w:r>
            <w:r w:rsidRPr="0062347D">
              <w:rPr>
                <w:rFonts w:eastAsia="Times New Roman" w:cstheme="minorHAnsi"/>
                <w:color w:val="000000"/>
                <w:lang w:eastAsia="en-GB"/>
              </w:rPr>
              <w:t xml:space="preserve"> 1,21</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5,5</w:t>
            </w:r>
            <w:r>
              <w:rPr>
                <w:rFonts w:eastAsia="Times New Roman" w:cstheme="minorHAnsi"/>
                <w:color w:val="000000"/>
                <w:lang w:eastAsia="en-GB"/>
              </w:rPr>
              <w:t> ±</w:t>
            </w:r>
            <w:r w:rsidRPr="0062347D">
              <w:rPr>
                <w:rFonts w:eastAsia="Times New Roman" w:cstheme="minorHAnsi"/>
                <w:color w:val="000000"/>
                <w:lang w:eastAsia="en-GB"/>
              </w:rPr>
              <w:t xml:space="preserve"> 14,0</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11,1</w:t>
            </w:r>
            <w:r>
              <w:rPr>
                <w:rFonts w:eastAsia="Times New Roman" w:cstheme="minorHAnsi"/>
                <w:color w:val="000000"/>
                <w:lang w:eastAsia="en-GB"/>
              </w:rPr>
              <w:t> ±</w:t>
            </w:r>
            <w:r w:rsidRPr="0062347D">
              <w:rPr>
                <w:rFonts w:eastAsia="Times New Roman" w:cstheme="minorHAnsi"/>
                <w:color w:val="000000"/>
                <w:lang w:eastAsia="en-GB"/>
              </w:rPr>
              <w:t xml:space="preserve"> 13,9</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11,9</w:t>
            </w:r>
            <w:r>
              <w:rPr>
                <w:rFonts w:eastAsia="Times New Roman" w:cstheme="minorHAnsi"/>
                <w:color w:val="000000"/>
                <w:lang w:eastAsia="en-GB"/>
              </w:rPr>
              <w:t> ±</w:t>
            </w:r>
            <w:r w:rsidRPr="0062347D">
              <w:rPr>
                <w:rFonts w:eastAsia="Times New Roman" w:cstheme="minorHAnsi"/>
                <w:color w:val="000000"/>
                <w:lang w:eastAsia="en-GB"/>
              </w:rPr>
              <w:t xml:space="preserve"> 13,8</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7,3</w:t>
            </w:r>
            <w:r>
              <w:rPr>
                <w:rFonts w:eastAsia="Times New Roman" w:cstheme="minorHAnsi"/>
                <w:color w:val="000000"/>
                <w:lang w:eastAsia="en-GB"/>
              </w:rPr>
              <w:t> ±</w:t>
            </w:r>
            <w:r w:rsidRPr="0062347D">
              <w:rPr>
                <w:rFonts w:eastAsia="Times New Roman" w:cstheme="minorHAnsi"/>
                <w:color w:val="000000"/>
                <w:lang w:eastAsia="en-GB"/>
              </w:rPr>
              <w:t xml:space="preserve"> 5,4</w:t>
            </w:r>
          </w:p>
        </w:tc>
      </w:tr>
      <w:tr w:rsidR="008F0C0F" w:rsidRPr="0062347D" w:rsidTr="00284F89">
        <w:trPr>
          <w:trHeight w:val="345"/>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Neutrofily absolutní poč. [x10</w:t>
            </w:r>
            <w:r w:rsidRPr="0062347D">
              <w:rPr>
                <w:rFonts w:eastAsia="Times New Roman" w:cstheme="minorHAnsi"/>
                <w:color w:val="000000"/>
                <w:vertAlign w:val="superscript"/>
                <w:lang w:eastAsia="en-GB"/>
              </w:rPr>
              <w:t>5</w:t>
            </w:r>
            <w:r w:rsidRPr="0062347D">
              <w:rPr>
                <w:rFonts w:eastAsia="Times New Roman" w:cstheme="minorHAnsi"/>
                <w:color w:val="000000"/>
                <w:lang w:eastAsia="en-GB"/>
              </w:rPr>
              <w:t xml:space="preserve">] </w:t>
            </w:r>
          </w:p>
        </w:tc>
        <w:tc>
          <w:tcPr>
            <w:tcW w:w="657"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0,02</w:t>
            </w:r>
            <w:r>
              <w:rPr>
                <w:rFonts w:cstheme="minorHAnsi"/>
              </w:rPr>
              <w:t> </w:t>
            </w:r>
            <w:r w:rsidRPr="0062347D">
              <w:rPr>
                <w:rFonts w:cstheme="minorHAnsi"/>
              </w:rPr>
              <w:t>± 0,04</w:t>
            </w:r>
          </w:p>
        </w:tc>
        <w:tc>
          <w:tcPr>
            <w:tcW w:w="48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0,4</w:t>
            </w:r>
            <w:r>
              <w:rPr>
                <w:rFonts w:eastAsia="Times New Roman" w:cstheme="minorHAnsi"/>
                <w:color w:val="000000"/>
                <w:lang w:eastAsia="en-GB"/>
              </w:rPr>
              <w:t> </w:t>
            </w:r>
            <w:r w:rsidRPr="0062347D">
              <w:rPr>
                <w:rFonts w:eastAsia="Times New Roman" w:cstheme="minorHAnsi"/>
                <w:color w:val="000000"/>
                <w:lang w:eastAsia="en-GB"/>
              </w:rPr>
              <w:t>± 3,7</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0,01</w:t>
            </w:r>
            <w:r>
              <w:rPr>
                <w:rFonts w:eastAsia="Times New Roman" w:cstheme="minorHAnsi"/>
                <w:color w:val="000000"/>
                <w:lang w:eastAsia="en-GB"/>
              </w:rPr>
              <w:t> ±</w:t>
            </w:r>
            <w:r w:rsidRPr="0062347D">
              <w:rPr>
                <w:rFonts w:eastAsia="Times New Roman" w:cstheme="minorHAnsi"/>
                <w:color w:val="000000"/>
                <w:lang w:eastAsia="en-GB"/>
              </w:rPr>
              <w:t xml:space="preserve"> 0,01</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0,03</w:t>
            </w:r>
            <w:r>
              <w:rPr>
                <w:rFonts w:eastAsia="Times New Roman" w:cstheme="minorHAnsi"/>
                <w:color w:val="000000"/>
                <w:lang w:eastAsia="en-GB"/>
              </w:rPr>
              <w:t> ±</w:t>
            </w:r>
            <w:r w:rsidRPr="0062347D">
              <w:rPr>
                <w:rFonts w:eastAsia="Times New Roman" w:cstheme="minorHAnsi"/>
                <w:color w:val="000000"/>
                <w:lang w:eastAsia="en-GB"/>
              </w:rPr>
              <w:t xml:space="preserve"> 0,1</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0,2</w:t>
            </w:r>
            <w:r>
              <w:rPr>
                <w:rFonts w:eastAsia="Times New Roman" w:cstheme="minorHAnsi"/>
                <w:color w:val="000000"/>
                <w:lang w:eastAsia="en-GB"/>
              </w:rPr>
              <w:t> ±</w:t>
            </w:r>
            <w:r w:rsidRPr="0062347D">
              <w:rPr>
                <w:rFonts w:eastAsia="Times New Roman" w:cstheme="minorHAnsi"/>
                <w:color w:val="000000"/>
                <w:lang w:eastAsia="en-GB"/>
              </w:rPr>
              <w:t xml:space="preserve"> 0,2</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0,1</w:t>
            </w:r>
            <w:r>
              <w:rPr>
                <w:rFonts w:eastAsia="Times New Roman" w:cstheme="minorHAnsi"/>
                <w:color w:val="000000"/>
                <w:lang w:eastAsia="en-GB"/>
              </w:rPr>
              <w:t> ±</w:t>
            </w:r>
            <w:r w:rsidRPr="0062347D">
              <w:rPr>
                <w:rFonts w:eastAsia="Times New Roman" w:cstheme="minorHAnsi"/>
                <w:color w:val="000000"/>
                <w:lang w:eastAsia="en-GB"/>
              </w:rPr>
              <w:t xml:space="preserve"> 0,1</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0,1</w:t>
            </w:r>
            <w:r>
              <w:rPr>
                <w:rFonts w:eastAsia="Times New Roman" w:cstheme="minorHAnsi"/>
                <w:color w:val="000000"/>
                <w:lang w:eastAsia="en-GB"/>
              </w:rPr>
              <w:t> ±</w:t>
            </w:r>
            <w:r w:rsidRPr="0062347D">
              <w:rPr>
                <w:rFonts w:eastAsia="Times New Roman" w:cstheme="minorHAnsi"/>
                <w:color w:val="000000"/>
                <w:lang w:eastAsia="en-GB"/>
              </w:rPr>
              <w:t xml:space="preserve"> 0,1</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Eozinofily relativní poč.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0,5</w:t>
            </w:r>
            <w:r>
              <w:rPr>
                <w:rFonts w:cstheme="minorHAnsi"/>
              </w:rPr>
              <w:t> </w:t>
            </w:r>
            <w:r w:rsidRPr="0062347D">
              <w:rPr>
                <w:rFonts w:cstheme="minorHAnsi"/>
              </w:rPr>
              <w:t>± 0,9</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0,8</w:t>
            </w:r>
            <w:r>
              <w:rPr>
                <w:rFonts w:eastAsia="Times New Roman" w:cstheme="minorHAnsi"/>
                <w:color w:val="000000"/>
                <w:lang w:eastAsia="en-GB"/>
              </w:rPr>
              <w:t> </w:t>
            </w:r>
            <w:r w:rsidRPr="0062347D">
              <w:rPr>
                <w:rFonts w:eastAsia="Times New Roman" w:cstheme="minorHAnsi"/>
                <w:color w:val="000000"/>
                <w:lang w:eastAsia="en-GB"/>
              </w:rPr>
              <w:t>± 2,1</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0,4</w:t>
            </w:r>
            <w:r>
              <w:rPr>
                <w:rFonts w:eastAsia="Times New Roman" w:cstheme="minorHAnsi"/>
                <w:color w:val="000000"/>
                <w:lang w:eastAsia="en-GB"/>
              </w:rPr>
              <w:t> ±</w:t>
            </w:r>
            <w:r w:rsidRPr="0062347D">
              <w:rPr>
                <w:rFonts w:eastAsia="Times New Roman" w:cstheme="minorHAnsi"/>
                <w:color w:val="000000"/>
                <w:lang w:eastAsia="en-GB"/>
              </w:rPr>
              <w:t xml:space="preserve"> 0,5</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0,6</w:t>
            </w:r>
            <w:r>
              <w:rPr>
                <w:rFonts w:eastAsia="Times New Roman" w:cstheme="minorHAnsi"/>
                <w:color w:val="000000"/>
                <w:lang w:eastAsia="en-GB"/>
              </w:rPr>
              <w:t> ±</w:t>
            </w:r>
            <w:r w:rsidRPr="0062347D">
              <w:rPr>
                <w:rFonts w:eastAsia="Times New Roman" w:cstheme="minorHAnsi"/>
                <w:color w:val="000000"/>
                <w:lang w:eastAsia="en-GB"/>
              </w:rPr>
              <w:t xml:space="preserve"> 1,6</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2,9</w:t>
            </w:r>
            <w:r>
              <w:rPr>
                <w:rFonts w:eastAsia="Times New Roman" w:cstheme="minorHAnsi"/>
                <w:color w:val="000000"/>
                <w:lang w:eastAsia="en-GB"/>
              </w:rPr>
              <w:t> ±</w:t>
            </w:r>
            <w:r w:rsidRPr="0062347D">
              <w:rPr>
                <w:rFonts w:eastAsia="Times New Roman" w:cstheme="minorHAnsi"/>
                <w:color w:val="000000"/>
                <w:lang w:eastAsia="en-GB"/>
              </w:rPr>
              <w:t xml:space="preserve"> 3,2</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2,5</w:t>
            </w:r>
            <w:r>
              <w:rPr>
                <w:rFonts w:eastAsia="Times New Roman" w:cstheme="minorHAnsi"/>
                <w:color w:val="000000"/>
                <w:lang w:eastAsia="en-GB"/>
              </w:rPr>
              <w:t> ±</w:t>
            </w:r>
            <w:r w:rsidRPr="0062347D">
              <w:rPr>
                <w:rFonts w:eastAsia="Times New Roman" w:cstheme="minorHAnsi"/>
                <w:color w:val="000000"/>
                <w:lang w:eastAsia="en-GB"/>
              </w:rPr>
              <w:t xml:space="preserve"> 4,6</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3,3</w:t>
            </w:r>
            <w:r>
              <w:rPr>
                <w:rFonts w:eastAsia="Times New Roman" w:cstheme="minorHAnsi"/>
                <w:color w:val="000000"/>
                <w:lang w:eastAsia="en-GB"/>
              </w:rPr>
              <w:t> ±</w:t>
            </w:r>
            <w:r w:rsidRPr="0062347D">
              <w:rPr>
                <w:rFonts w:eastAsia="Times New Roman" w:cstheme="minorHAnsi"/>
                <w:color w:val="000000"/>
                <w:lang w:eastAsia="en-GB"/>
              </w:rPr>
              <w:t xml:space="preserve"> 4,4</w:t>
            </w:r>
          </w:p>
        </w:tc>
      </w:tr>
      <w:tr w:rsidR="008F0C0F" w:rsidRPr="0062347D" w:rsidTr="00284F89">
        <w:trPr>
          <w:trHeight w:val="345"/>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Eozinofily absolutní poč. [x10</w:t>
            </w:r>
            <w:r w:rsidRPr="0062347D">
              <w:rPr>
                <w:rFonts w:eastAsia="Times New Roman" w:cstheme="minorHAnsi"/>
                <w:color w:val="000000"/>
                <w:vertAlign w:val="superscript"/>
                <w:lang w:eastAsia="en-GB"/>
              </w:rPr>
              <w:t>5</w:t>
            </w:r>
            <w:r w:rsidRPr="0062347D">
              <w:rPr>
                <w:rFonts w:eastAsia="Times New Roman" w:cstheme="minorHAnsi"/>
                <w:color w:val="000000"/>
                <w:lang w:eastAsia="en-GB"/>
              </w:rPr>
              <w:t xml:space="preserve">]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0,01</w:t>
            </w:r>
            <w:r>
              <w:rPr>
                <w:rFonts w:cstheme="minorHAnsi"/>
              </w:rPr>
              <w:t> </w:t>
            </w:r>
            <w:r w:rsidRPr="0062347D">
              <w:rPr>
                <w:rFonts w:cstheme="minorHAnsi"/>
              </w:rPr>
              <w:t>± 0,02</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0,01</w:t>
            </w:r>
            <w:r>
              <w:rPr>
                <w:rFonts w:eastAsia="Times New Roman" w:cstheme="minorHAnsi"/>
                <w:color w:val="000000"/>
                <w:lang w:eastAsia="en-GB"/>
              </w:rPr>
              <w:t> </w:t>
            </w:r>
            <w:r w:rsidRPr="0062347D">
              <w:rPr>
                <w:rFonts w:eastAsia="Times New Roman" w:cstheme="minorHAnsi"/>
                <w:color w:val="000000"/>
                <w:lang w:eastAsia="en-GB"/>
              </w:rPr>
              <w:t>± 0,03</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0,01</w:t>
            </w:r>
            <w:r>
              <w:rPr>
                <w:rFonts w:eastAsia="Times New Roman" w:cstheme="minorHAnsi"/>
                <w:color w:val="000000"/>
                <w:lang w:eastAsia="en-GB"/>
              </w:rPr>
              <w:t> ±</w:t>
            </w:r>
            <w:r w:rsidRPr="0062347D">
              <w:rPr>
                <w:rFonts w:eastAsia="Times New Roman" w:cstheme="minorHAnsi"/>
                <w:color w:val="000000"/>
                <w:lang w:eastAsia="en-GB"/>
              </w:rPr>
              <w:t xml:space="preserve"> 0,01</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0,002</w:t>
            </w:r>
            <w:r>
              <w:rPr>
                <w:rFonts w:eastAsia="Times New Roman" w:cstheme="minorHAnsi"/>
                <w:color w:val="000000"/>
                <w:lang w:eastAsia="en-GB"/>
              </w:rPr>
              <w:t> ±</w:t>
            </w:r>
            <w:r w:rsidRPr="0062347D">
              <w:rPr>
                <w:rFonts w:eastAsia="Times New Roman" w:cstheme="minorHAnsi"/>
                <w:color w:val="000000"/>
                <w:lang w:eastAsia="en-GB"/>
              </w:rPr>
              <w:t>0,01</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0,1</w:t>
            </w:r>
            <w:r>
              <w:rPr>
                <w:rFonts w:eastAsia="Times New Roman" w:cstheme="minorHAnsi"/>
                <w:color w:val="000000"/>
                <w:lang w:eastAsia="en-GB"/>
              </w:rPr>
              <w:t> ±</w:t>
            </w:r>
            <w:r w:rsidRPr="0062347D">
              <w:rPr>
                <w:rFonts w:eastAsia="Times New Roman" w:cstheme="minorHAnsi"/>
                <w:color w:val="000000"/>
                <w:lang w:eastAsia="en-GB"/>
              </w:rPr>
              <w:t xml:space="preserve"> 0,1</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0,02</w:t>
            </w:r>
            <w:r>
              <w:rPr>
                <w:rFonts w:eastAsia="Times New Roman" w:cstheme="minorHAnsi"/>
                <w:color w:val="000000"/>
                <w:lang w:eastAsia="en-GB"/>
              </w:rPr>
              <w:t> ±</w:t>
            </w:r>
            <w:r w:rsidRPr="0062347D">
              <w:rPr>
                <w:rFonts w:eastAsia="Times New Roman" w:cstheme="minorHAnsi"/>
                <w:color w:val="000000"/>
                <w:lang w:eastAsia="en-GB"/>
              </w:rPr>
              <w:t xml:space="preserve"> 0,04</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0,03</w:t>
            </w:r>
            <w:r>
              <w:rPr>
                <w:rFonts w:eastAsia="Times New Roman" w:cstheme="minorHAnsi"/>
                <w:color w:val="000000"/>
                <w:lang w:eastAsia="en-GB"/>
              </w:rPr>
              <w:t> ±</w:t>
            </w:r>
            <w:r w:rsidRPr="0062347D">
              <w:rPr>
                <w:rFonts w:eastAsia="Times New Roman" w:cstheme="minorHAnsi"/>
                <w:color w:val="000000"/>
                <w:lang w:eastAsia="en-GB"/>
              </w:rPr>
              <w:t xml:space="preserve"> 0,05</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CD3</w:t>
            </w:r>
            <w:r w:rsidRPr="0062347D">
              <w:rPr>
                <w:rFonts w:eastAsia="Times New Roman" w:cstheme="minorHAnsi"/>
                <w:color w:val="000000"/>
                <w:vertAlign w:val="superscript"/>
                <w:lang w:eastAsia="en-GB"/>
              </w:rPr>
              <w:t>+</w:t>
            </w:r>
            <w:r w:rsidRPr="0062347D">
              <w:rPr>
                <w:rFonts w:eastAsia="Times New Roman" w:cstheme="minorHAnsi"/>
                <w:color w:val="000000"/>
                <w:lang w:eastAsia="en-GB"/>
              </w:rPr>
              <w:t xml:space="preserve"> relativní poč.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83,5</w:t>
            </w:r>
            <w:r>
              <w:rPr>
                <w:rFonts w:cstheme="minorHAnsi"/>
              </w:rPr>
              <w:t> </w:t>
            </w:r>
            <w:r w:rsidRPr="0062347D">
              <w:rPr>
                <w:rFonts w:cstheme="minorHAnsi"/>
              </w:rPr>
              <w:t>± 15,4</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80,9</w:t>
            </w:r>
            <w:r>
              <w:rPr>
                <w:rFonts w:eastAsia="Times New Roman" w:cstheme="minorHAnsi"/>
                <w:color w:val="000000"/>
                <w:lang w:eastAsia="en-GB"/>
              </w:rPr>
              <w:t> </w:t>
            </w:r>
            <w:r w:rsidRPr="0062347D">
              <w:rPr>
                <w:rFonts w:eastAsia="Times New Roman" w:cstheme="minorHAnsi"/>
                <w:color w:val="000000"/>
                <w:lang w:eastAsia="en-GB"/>
              </w:rPr>
              <w:t>± 14,2</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86,0</w:t>
            </w:r>
            <w:r>
              <w:rPr>
                <w:rFonts w:eastAsia="Times New Roman" w:cstheme="minorHAnsi"/>
                <w:color w:val="000000"/>
                <w:lang w:eastAsia="en-GB"/>
              </w:rPr>
              <w:t> ±</w:t>
            </w:r>
            <w:r w:rsidRPr="0062347D">
              <w:rPr>
                <w:rFonts w:eastAsia="Times New Roman" w:cstheme="minorHAnsi"/>
                <w:color w:val="000000"/>
                <w:lang w:eastAsia="en-GB"/>
              </w:rPr>
              <w:t xml:space="preserve"> 11,5</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76,6</w:t>
            </w:r>
            <w:r>
              <w:rPr>
                <w:rFonts w:eastAsia="Times New Roman" w:cstheme="minorHAnsi"/>
                <w:color w:val="000000"/>
                <w:lang w:eastAsia="en-GB"/>
              </w:rPr>
              <w:t> ±</w:t>
            </w:r>
            <w:r w:rsidRPr="0062347D">
              <w:rPr>
                <w:rFonts w:eastAsia="Times New Roman" w:cstheme="minorHAnsi"/>
                <w:color w:val="000000"/>
                <w:lang w:eastAsia="en-GB"/>
              </w:rPr>
              <w:t xml:space="preserve"> 16,0</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71,8</w:t>
            </w:r>
            <w:r>
              <w:rPr>
                <w:rFonts w:eastAsia="Times New Roman" w:cstheme="minorHAnsi"/>
                <w:color w:val="000000"/>
                <w:lang w:eastAsia="en-GB"/>
              </w:rPr>
              <w:t> ±</w:t>
            </w:r>
            <w:r w:rsidRPr="0062347D">
              <w:rPr>
                <w:rFonts w:eastAsia="Times New Roman" w:cstheme="minorHAnsi"/>
                <w:color w:val="000000"/>
                <w:lang w:eastAsia="en-GB"/>
              </w:rPr>
              <w:t xml:space="preserve"> 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73,5</w:t>
            </w:r>
            <w:r>
              <w:rPr>
                <w:rFonts w:eastAsia="Times New Roman" w:cstheme="minorHAnsi"/>
                <w:color w:val="000000"/>
                <w:lang w:eastAsia="en-GB"/>
              </w:rPr>
              <w:t> ±</w:t>
            </w:r>
            <w:r w:rsidRPr="0062347D">
              <w:rPr>
                <w:rFonts w:eastAsia="Times New Roman" w:cstheme="minorHAnsi"/>
                <w:color w:val="000000"/>
                <w:lang w:eastAsia="en-GB"/>
              </w:rPr>
              <w:t xml:space="preserve"> 20,9</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79,5</w:t>
            </w:r>
            <w:r>
              <w:rPr>
                <w:rFonts w:eastAsia="Times New Roman" w:cstheme="minorHAnsi"/>
                <w:color w:val="000000"/>
                <w:lang w:eastAsia="en-GB"/>
              </w:rPr>
              <w:t> ±</w:t>
            </w:r>
            <w:r w:rsidRPr="0062347D">
              <w:rPr>
                <w:rFonts w:eastAsia="Times New Roman" w:cstheme="minorHAnsi"/>
                <w:color w:val="000000"/>
                <w:lang w:eastAsia="en-GB"/>
              </w:rPr>
              <w:t xml:space="preserve"> 12,5</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CD4</w:t>
            </w:r>
            <w:r w:rsidRPr="0062347D">
              <w:rPr>
                <w:rFonts w:eastAsia="Times New Roman" w:cstheme="minorHAnsi"/>
                <w:color w:val="000000"/>
                <w:vertAlign w:val="superscript"/>
                <w:lang w:eastAsia="en-GB"/>
              </w:rPr>
              <w:t xml:space="preserve">+ </w:t>
            </w:r>
            <w:r w:rsidRPr="0062347D">
              <w:rPr>
                <w:rFonts w:eastAsia="Times New Roman" w:cstheme="minorHAnsi"/>
                <w:color w:val="000000"/>
                <w:lang w:eastAsia="en-GB"/>
              </w:rPr>
              <w:t>relativní poč. [%]</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65,4</w:t>
            </w:r>
            <w:r>
              <w:rPr>
                <w:rFonts w:cstheme="minorHAnsi"/>
              </w:rPr>
              <w:t> </w:t>
            </w:r>
            <w:r w:rsidRPr="0062347D">
              <w:rPr>
                <w:rFonts w:cstheme="minorHAnsi"/>
              </w:rPr>
              <w:t>± 20,8</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60,0</w:t>
            </w:r>
            <w:r>
              <w:rPr>
                <w:rFonts w:eastAsia="Times New Roman" w:cstheme="minorHAnsi"/>
                <w:color w:val="000000"/>
                <w:lang w:eastAsia="en-GB"/>
              </w:rPr>
              <w:t> </w:t>
            </w:r>
            <w:r w:rsidRPr="0062347D">
              <w:rPr>
                <w:rFonts w:eastAsia="Times New Roman" w:cstheme="minorHAnsi"/>
                <w:color w:val="000000"/>
                <w:lang w:eastAsia="en-GB"/>
              </w:rPr>
              <w:t>± 19,7</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71,5</w:t>
            </w:r>
            <w:r>
              <w:rPr>
                <w:rFonts w:eastAsia="Times New Roman" w:cstheme="minorHAnsi"/>
                <w:color w:val="000000"/>
                <w:lang w:eastAsia="en-GB"/>
              </w:rPr>
              <w:t> ±</w:t>
            </w:r>
            <w:r w:rsidRPr="0062347D">
              <w:rPr>
                <w:rFonts w:eastAsia="Times New Roman" w:cstheme="minorHAnsi"/>
                <w:color w:val="000000"/>
                <w:lang w:eastAsia="en-GB"/>
              </w:rPr>
              <w:t xml:space="preserve"> 16,5</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53,5</w:t>
            </w:r>
            <w:r>
              <w:rPr>
                <w:rFonts w:eastAsia="Times New Roman" w:cstheme="minorHAnsi"/>
                <w:color w:val="000000"/>
                <w:lang w:eastAsia="en-GB"/>
              </w:rPr>
              <w:t> ±</w:t>
            </w:r>
            <w:r w:rsidRPr="0062347D">
              <w:rPr>
                <w:rFonts w:eastAsia="Times New Roman" w:cstheme="minorHAnsi"/>
                <w:color w:val="000000"/>
                <w:lang w:eastAsia="en-GB"/>
              </w:rPr>
              <w:t xml:space="preserve"> 16,0</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42,9</w:t>
            </w:r>
            <w:r>
              <w:rPr>
                <w:rFonts w:eastAsia="Times New Roman" w:cstheme="minorHAnsi"/>
                <w:color w:val="000000"/>
                <w:lang w:eastAsia="en-GB"/>
              </w:rPr>
              <w:t> ±</w:t>
            </w:r>
            <w:r w:rsidRPr="0062347D">
              <w:rPr>
                <w:rFonts w:eastAsia="Times New Roman" w:cstheme="minorHAnsi"/>
                <w:color w:val="000000"/>
                <w:lang w:eastAsia="en-GB"/>
              </w:rPr>
              <w:t xml:space="preserve"> 16,1</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38,9</w:t>
            </w:r>
            <w:r>
              <w:rPr>
                <w:rFonts w:eastAsia="Times New Roman" w:cstheme="minorHAnsi"/>
                <w:color w:val="000000"/>
                <w:lang w:eastAsia="en-GB"/>
              </w:rPr>
              <w:t> ±</w:t>
            </w:r>
            <w:r w:rsidRPr="0062347D">
              <w:rPr>
                <w:rFonts w:eastAsia="Times New Roman" w:cstheme="minorHAnsi"/>
                <w:color w:val="000000"/>
                <w:lang w:eastAsia="en-GB"/>
              </w:rPr>
              <w:t xml:space="preserve"> 18,7</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39,5</w:t>
            </w:r>
            <w:r>
              <w:rPr>
                <w:rFonts w:eastAsia="Times New Roman" w:cstheme="minorHAnsi"/>
                <w:color w:val="000000"/>
                <w:lang w:eastAsia="en-GB"/>
              </w:rPr>
              <w:t> ±</w:t>
            </w:r>
            <w:r w:rsidRPr="0062347D">
              <w:rPr>
                <w:rFonts w:eastAsia="Times New Roman" w:cstheme="minorHAnsi"/>
                <w:color w:val="000000"/>
                <w:lang w:eastAsia="en-GB"/>
              </w:rPr>
              <w:t xml:space="preserve"> 15,7</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CD8</w:t>
            </w:r>
            <w:r w:rsidRPr="0062347D">
              <w:rPr>
                <w:rFonts w:eastAsia="Times New Roman" w:cstheme="minorHAnsi"/>
                <w:color w:val="000000"/>
                <w:vertAlign w:val="superscript"/>
                <w:lang w:eastAsia="en-GB"/>
              </w:rPr>
              <w:t xml:space="preserve">+ </w:t>
            </w:r>
            <w:r w:rsidRPr="0062347D">
              <w:rPr>
                <w:rFonts w:eastAsia="Times New Roman" w:cstheme="minorHAnsi"/>
                <w:color w:val="000000"/>
                <w:lang w:eastAsia="en-GB"/>
              </w:rPr>
              <w:t>relativní poč.[%]</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16,2</w:t>
            </w:r>
            <w:r>
              <w:rPr>
                <w:rFonts w:cstheme="minorHAnsi"/>
              </w:rPr>
              <w:t> </w:t>
            </w:r>
            <w:r w:rsidRPr="0062347D">
              <w:rPr>
                <w:rFonts w:cstheme="minorHAnsi"/>
              </w:rPr>
              <w:t>± 11,1</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19,2</w:t>
            </w:r>
            <w:r>
              <w:rPr>
                <w:rFonts w:eastAsia="Times New Roman" w:cstheme="minorHAnsi"/>
                <w:color w:val="000000"/>
                <w:lang w:eastAsia="en-GB"/>
              </w:rPr>
              <w:t> </w:t>
            </w:r>
            <w:r w:rsidRPr="0062347D">
              <w:rPr>
                <w:rFonts w:eastAsia="Times New Roman" w:cstheme="minorHAnsi"/>
                <w:color w:val="000000"/>
                <w:lang w:eastAsia="en-GB"/>
              </w:rPr>
              <w:t>± 14,0</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13,1</w:t>
            </w:r>
            <w:r>
              <w:rPr>
                <w:rFonts w:eastAsia="Times New Roman" w:cstheme="minorHAnsi"/>
                <w:color w:val="000000"/>
                <w:lang w:eastAsia="en-GB"/>
              </w:rPr>
              <w:t> ±</w:t>
            </w:r>
            <w:r w:rsidRPr="0062347D">
              <w:rPr>
                <w:rFonts w:eastAsia="Times New Roman" w:cstheme="minorHAnsi"/>
                <w:color w:val="000000"/>
                <w:lang w:eastAsia="en-GB"/>
              </w:rPr>
              <w:t xml:space="preserve"> 7,5</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20,4</w:t>
            </w:r>
            <w:r>
              <w:rPr>
                <w:rFonts w:eastAsia="Times New Roman" w:cstheme="minorHAnsi"/>
                <w:color w:val="000000"/>
                <w:lang w:eastAsia="en-GB"/>
              </w:rPr>
              <w:t> ±</w:t>
            </w:r>
            <w:r w:rsidRPr="0062347D">
              <w:rPr>
                <w:rFonts w:eastAsia="Times New Roman" w:cstheme="minorHAnsi"/>
                <w:color w:val="000000"/>
                <w:lang w:eastAsia="en-GB"/>
              </w:rPr>
              <w:t xml:space="preserve"> 10,5</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25,8</w:t>
            </w:r>
            <w:r>
              <w:rPr>
                <w:rFonts w:eastAsia="Times New Roman" w:cstheme="minorHAnsi"/>
                <w:color w:val="000000"/>
                <w:lang w:eastAsia="en-GB"/>
              </w:rPr>
              <w:t> ±</w:t>
            </w:r>
            <w:r w:rsidRPr="0062347D">
              <w:rPr>
                <w:rFonts w:eastAsia="Times New Roman" w:cstheme="minorHAnsi"/>
                <w:color w:val="000000"/>
                <w:lang w:eastAsia="en-GB"/>
              </w:rPr>
              <w:t xml:space="preserve"> 14,0</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32,8</w:t>
            </w:r>
            <w:r>
              <w:rPr>
                <w:rFonts w:eastAsia="Times New Roman" w:cstheme="minorHAnsi"/>
                <w:color w:val="000000"/>
                <w:lang w:eastAsia="en-GB"/>
              </w:rPr>
              <w:t> ±</w:t>
            </w:r>
            <w:r w:rsidRPr="0062347D">
              <w:rPr>
                <w:rFonts w:eastAsia="Times New Roman" w:cstheme="minorHAnsi"/>
                <w:color w:val="000000"/>
                <w:lang w:eastAsia="en-GB"/>
              </w:rPr>
              <w:t xml:space="preserve"> 20,7</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39,4± 19,0</w:t>
            </w:r>
          </w:p>
        </w:tc>
      </w:tr>
      <w:tr w:rsidR="008F0C0F" w:rsidRPr="0062347D" w:rsidTr="00284F89">
        <w:trPr>
          <w:trHeight w:val="300"/>
        </w:trPr>
        <w:tc>
          <w:tcPr>
            <w:tcW w:w="1159"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rPr>
                <w:rFonts w:eastAsia="Times New Roman" w:cstheme="minorHAnsi"/>
                <w:color w:val="000000"/>
                <w:lang w:eastAsia="en-GB"/>
              </w:rPr>
            </w:pPr>
            <w:r w:rsidRPr="0062347D">
              <w:rPr>
                <w:rFonts w:eastAsia="Times New Roman" w:cstheme="minorHAnsi"/>
                <w:color w:val="000000"/>
                <w:lang w:eastAsia="en-GB"/>
              </w:rPr>
              <w:t>CD4</w:t>
            </w:r>
            <w:r w:rsidRPr="0062347D">
              <w:rPr>
                <w:rFonts w:eastAsia="Times New Roman" w:cstheme="minorHAnsi"/>
                <w:color w:val="000000"/>
                <w:vertAlign w:val="superscript"/>
                <w:lang w:eastAsia="en-GB"/>
              </w:rPr>
              <w:t>+</w:t>
            </w:r>
            <w:r w:rsidRPr="0062347D">
              <w:rPr>
                <w:rFonts w:eastAsia="Times New Roman" w:cstheme="minorHAnsi"/>
                <w:color w:val="000000"/>
                <w:lang w:eastAsia="en-GB"/>
              </w:rPr>
              <w:t>/CD8</w:t>
            </w:r>
            <w:r w:rsidRPr="0062347D">
              <w:rPr>
                <w:rFonts w:eastAsia="Times New Roman" w:cstheme="minorHAnsi"/>
                <w:color w:val="000000"/>
                <w:vertAlign w:val="superscript"/>
                <w:lang w:eastAsia="en-GB"/>
              </w:rPr>
              <w:t>+</w:t>
            </w:r>
            <w:r w:rsidRPr="0062347D">
              <w:rPr>
                <w:rFonts w:eastAsia="Times New Roman" w:cstheme="minorHAnsi"/>
                <w:color w:val="000000"/>
                <w:lang w:eastAsia="en-GB"/>
              </w:rPr>
              <w:t xml:space="preserve"> poměr</w:t>
            </w:r>
          </w:p>
        </w:tc>
        <w:tc>
          <w:tcPr>
            <w:tcW w:w="657"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cstheme="minorHAnsi"/>
              </w:rPr>
              <w:t>7,5</w:t>
            </w:r>
            <w:r>
              <w:rPr>
                <w:rFonts w:cstheme="minorHAnsi"/>
              </w:rPr>
              <w:t> </w:t>
            </w:r>
            <w:r w:rsidRPr="0062347D">
              <w:rPr>
                <w:rFonts w:cstheme="minorHAnsi"/>
              </w:rPr>
              <w:t>± 7,7</w:t>
            </w:r>
          </w:p>
        </w:tc>
        <w:tc>
          <w:tcPr>
            <w:tcW w:w="482" w:type="pct"/>
            <w:tcBorders>
              <w:top w:val="single" w:sz="4" w:space="0" w:color="auto"/>
              <w:left w:val="single" w:sz="4" w:space="0" w:color="auto"/>
              <w:bottom w:val="single" w:sz="4" w:space="0" w:color="auto"/>
              <w:right w:val="single" w:sz="4" w:space="0" w:color="auto"/>
            </w:tcBorders>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5,7</w:t>
            </w:r>
            <w:r>
              <w:rPr>
                <w:rFonts w:eastAsia="Times New Roman" w:cstheme="minorHAnsi"/>
                <w:color w:val="000000"/>
                <w:lang w:eastAsia="en-GB"/>
              </w:rPr>
              <w:t> </w:t>
            </w:r>
            <w:r w:rsidRPr="0062347D">
              <w:rPr>
                <w:rFonts w:eastAsia="Times New Roman" w:cstheme="minorHAnsi"/>
                <w:color w:val="000000"/>
                <w:lang w:eastAsia="en-GB"/>
              </w:rPr>
              <w:t>± 5,4</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9,4</w:t>
            </w:r>
            <w:r>
              <w:rPr>
                <w:rFonts w:eastAsia="Times New Roman" w:cstheme="minorHAnsi"/>
                <w:color w:val="000000"/>
                <w:lang w:eastAsia="en-GB"/>
              </w:rPr>
              <w:t> ±</w:t>
            </w:r>
            <w:r w:rsidRPr="0062347D">
              <w:rPr>
                <w:rFonts w:eastAsia="Times New Roman" w:cstheme="minorHAnsi"/>
                <w:color w:val="000000"/>
                <w:lang w:eastAsia="en-GB"/>
              </w:rPr>
              <w:t xml:space="preserve"> 8,6</w:t>
            </w:r>
          </w:p>
        </w:tc>
        <w:tc>
          <w:tcPr>
            <w:tcW w:w="502"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4,09</w:t>
            </w:r>
            <w:r>
              <w:rPr>
                <w:rFonts w:eastAsia="Times New Roman" w:cstheme="minorHAnsi"/>
                <w:color w:val="000000"/>
                <w:lang w:eastAsia="en-GB"/>
              </w:rPr>
              <w:t> ±</w:t>
            </w:r>
            <w:r w:rsidRPr="0062347D">
              <w:rPr>
                <w:rFonts w:eastAsia="Times New Roman" w:cstheme="minorHAnsi"/>
                <w:color w:val="000000"/>
                <w:lang w:eastAsia="en-GB"/>
              </w:rPr>
              <w:t xml:space="preserve"> 4,06</w:t>
            </w:r>
          </w:p>
        </w:tc>
        <w:tc>
          <w:tcPr>
            <w:tcW w:w="556"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2,9</w:t>
            </w:r>
            <w:r>
              <w:rPr>
                <w:rFonts w:eastAsia="Times New Roman" w:cstheme="minorHAnsi"/>
                <w:color w:val="000000"/>
                <w:lang w:eastAsia="en-GB"/>
              </w:rPr>
              <w:t> ±</w:t>
            </w:r>
            <w:r w:rsidRPr="0062347D">
              <w:rPr>
                <w:rFonts w:eastAsia="Times New Roman" w:cstheme="minorHAnsi"/>
                <w:color w:val="000000"/>
                <w:lang w:eastAsia="en-GB"/>
              </w:rPr>
              <w:t xml:space="preserve"> 3,2</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2,2</w:t>
            </w:r>
            <w:r>
              <w:rPr>
                <w:rFonts w:eastAsia="Times New Roman" w:cstheme="minorHAnsi"/>
                <w:color w:val="000000"/>
                <w:lang w:eastAsia="en-GB"/>
              </w:rPr>
              <w:t> ±</w:t>
            </w:r>
            <w:r w:rsidRPr="0062347D">
              <w:rPr>
                <w:rFonts w:eastAsia="Times New Roman" w:cstheme="minorHAnsi"/>
                <w:color w:val="000000"/>
                <w:lang w:eastAsia="en-GB"/>
              </w:rPr>
              <w:t xml:space="preserve"> 2,7</w:t>
            </w:r>
          </w:p>
        </w:tc>
        <w:tc>
          <w:tcPr>
            <w:tcW w:w="505" w:type="pc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Times New Roman" w:cstheme="minorHAnsi"/>
                <w:color w:val="000000"/>
                <w:lang w:eastAsia="en-GB"/>
              </w:rPr>
            </w:pPr>
            <w:r w:rsidRPr="0062347D">
              <w:rPr>
                <w:rFonts w:eastAsia="Times New Roman" w:cstheme="minorHAnsi"/>
                <w:color w:val="000000"/>
                <w:lang w:eastAsia="en-GB"/>
              </w:rPr>
              <w:t>1,5</w:t>
            </w:r>
            <w:r>
              <w:rPr>
                <w:rFonts w:eastAsia="Times New Roman" w:cstheme="minorHAnsi"/>
                <w:color w:val="000000"/>
                <w:lang w:eastAsia="en-GB"/>
              </w:rPr>
              <w:t> ±</w:t>
            </w:r>
            <w:r w:rsidRPr="0062347D">
              <w:rPr>
                <w:rFonts w:eastAsia="Times New Roman" w:cstheme="minorHAnsi"/>
                <w:color w:val="000000"/>
                <w:lang w:eastAsia="en-GB"/>
              </w:rPr>
              <w:t xml:space="preserve"> 1,5</w:t>
            </w:r>
          </w:p>
        </w:tc>
      </w:tr>
    </w:tbl>
    <w:p w:rsidR="008F0C0F" w:rsidRPr="0062347D" w:rsidRDefault="008F0C0F" w:rsidP="00284F89">
      <w:pPr>
        <w:ind w:left="709"/>
        <w:rPr>
          <w:rFonts w:cstheme="minorHAnsi"/>
          <w:b/>
          <w:sz w:val="24"/>
          <w:szCs w:val="24"/>
        </w:rPr>
      </w:pPr>
    </w:p>
    <w:p w:rsidR="008F0C0F" w:rsidRPr="0062347D" w:rsidRDefault="008F0C0F" w:rsidP="00284F89">
      <w:pPr>
        <w:ind w:left="709"/>
        <w:rPr>
          <w:rFonts w:cstheme="minorHAnsi"/>
          <w:sz w:val="24"/>
          <w:szCs w:val="24"/>
        </w:rPr>
        <w:sectPr w:rsidR="008F0C0F" w:rsidRPr="0062347D" w:rsidSect="00182227">
          <w:pgSz w:w="16838" w:h="11906" w:orient="landscape"/>
          <w:pgMar w:top="1418" w:right="1418" w:bottom="1418" w:left="992" w:header="709" w:footer="709" w:gutter="0"/>
          <w:cols w:space="708"/>
          <w:docGrid w:linePitch="360"/>
        </w:sectPr>
      </w:pPr>
      <w:r w:rsidRPr="0062347D">
        <w:rPr>
          <w:rFonts w:cstheme="minorHAnsi"/>
          <w:b/>
          <w:sz w:val="24"/>
          <w:szCs w:val="24"/>
        </w:rPr>
        <w:t>Legenda k Tabulce 2:</w:t>
      </w:r>
      <w:r w:rsidRPr="0062347D">
        <w:rPr>
          <w:rFonts w:cstheme="minorHAnsi"/>
          <w:sz w:val="24"/>
          <w:szCs w:val="24"/>
        </w:rPr>
        <w:t xml:space="preserve"> S</w:t>
      </w:r>
      <w:r>
        <w:rPr>
          <w:rFonts w:cstheme="minorHAnsi"/>
          <w:sz w:val="24"/>
          <w:szCs w:val="24"/>
        </w:rPr>
        <w:t xml:space="preserve"> </w:t>
      </w:r>
      <w:r w:rsidRPr="0062347D">
        <w:rPr>
          <w:rFonts w:cstheme="minorHAnsi"/>
          <w:sz w:val="24"/>
          <w:szCs w:val="24"/>
        </w:rPr>
        <w:t>= sarkoidóza; RTG = rentgenologické stádium; LS</w:t>
      </w:r>
      <w:r>
        <w:rPr>
          <w:rFonts w:cstheme="minorHAnsi"/>
          <w:sz w:val="24"/>
          <w:szCs w:val="24"/>
        </w:rPr>
        <w:t xml:space="preserve"> </w:t>
      </w:r>
      <w:r w:rsidRPr="0062347D">
        <w:rPr>
          <w:rFonts w:cstheme="minorHAnsi"/>
          <w:sz w:val="24"/>
          <w:szCs w:val="24"/>
        </w:rPr>
        <w:t>= Löfgrenův syndrom; IPF</w:t>
      </w:r>
      <w:r>
        <w:rPr>
          <w:rFonts w:cstheme="minorHAnsi"/>
          <w:sz w:val="24"/>
          <w:szCs w:val="24"/>
        </w:rPr>
        <w:t xml:space="preserve"> </w:t>
      </w:r>
      <w:r w:rsidRPr="0062347D">
        <w:rPr>
          <w:rFonts w:cstheme="minorHAnsi"/>
          <w:sz w:val="24"/>
          <w:szCs w:val="24"/>
        </w:rPr>
        <w:t>= idiopatická plicní fibróza, OIIP</w:t>
      </w:r>
      <w:r>
        <w:rPr>
          <w:rFonts w:cstheme="minorHAnsi"/>
          <w:sz w:val="24"/>
          <w:szCs w:val="24"/>
        </w:rPr>
        <w:t xml:space="preserve"> </w:t>
      </w:r>
      <w:r w:rsidRPr="0062347D">
        <w:rPr>
          <w:rFonts w:cstheme="minorHAnsi"/>
          <w:sz w:val="24"/>
          <w:szCs w:val="24"/>
        </w:rPr>
        <w:t>= ostatní idiopatické intersticiální pneumonie, HP</w:t>
      </w:r>
      <w:r>
        <w:rPr>
          <w:rFonts w:cstheme="minorHAnsi"/>
          <w:sz w:val="24"/>
          <w:szCs w:val="24"/>
        </w:rPr>
        <w:t xml:space="preserve"> </w:t>
      </w:r>
      <w:r w:rsidRPr="0062347D">
        <w:rPr>
          <w:rFonts w:cstheme="minorHAnsi"/>
          <w:sz w:val="24"/>
          <w:szCs w:val="24"/>
        </w:rPr>
        <w:t xml:space="preserve">= hypersensitivní pneumonie, </w:t>
      </w:r>
      <w:proofErr w:type="gramStart"/>
      <w:r w:rsidRPr="0062347D">
        <w:rPr>
          <w:rFonts w:cstheme="minorHAnsi"/>
          <w:sz w:val="24"/>
          <w:szCs w:val="24"/>
        </w:rPr>
        <w:t>poč.= počet</w:t>
      </w:r>
      <w:proofErr w:type="gramEnd"/>
      <w:r w:rsidRPr="0062347D">
        <w:rPr>
          <w:rFonts w:cstheme="minorHAnsi"/>
          <w:sz w:val="24"/>
          <w:szCs w:val="24"/>
        </w:rPr>
        <w:t xml:space="preserve">. </w:t>
      </w:r>
    </w:p>
    <w:p w:rsidR="008F0C0F" w:rsidRPr="0062347D" w:rsidRDefault="008F0C0F" w:rsidP="00C137AA">
      <w:pPr>
        <w:pStyle w:val="Nadpis2"/>
        <w:ind w:hanging="680"/>
        <w:jc w:val="both"/>
        <w:rPr>
          <w:rFonts w:cstheme="minorHAnsi"/>
          <w:szCs w:val="24"/>
        </w:rPr>
      </w:pPr>
      <w:bookmarkStart w:id="33" w:name="_Toc69543024"/>
      <w:r w:rsidRPr="0062347D">
        <w:rPr>
          <w:rFonts w:cstheme="minorHAnsi"/>
          <w:szCs w:val="24"/>
        </w:rPr>
        <w:lastRenderedPageBreak/>
        <w:t>Materiál a metod</w:t>
      </w:r>
      <w:r w:rsidR="000C5873">
        <w:rPr>
          <w:rFonts w:cstheme="minorHAnsi"/>
          <w:szCs w:val="24"/>
        </w:rPr>
        <w:t>y</w:t>
      </w:r>
      <w:r w:rsidRPr="00E663BF">
        <w:rPr>
          <w:rFonts w:cstheme="minorHAnsi"/>
          <w:szCs w:val="24"/>
        </w:rPr>
        <w:t xml:space="preserve"> pro studium exprese šesti</w:t>
      </w:r>
      <w:r w:rsidRPr="004E5649">
        <w:rPr>
          <w:rFonts w:cstheme="minorHAnsi"/>
          <w:szCs w:val="24"/>
        </w:rPr>
        <w:t xml:space="preserve"> RNA-vazebných proteinů a dvou inhibitorů matrix metaloproteináz</w:t>
      </w:r>
      <w:r w:rsidRPr="00B24D8C">
        <w:rPr>
          <w:rFonts w:cstheme="minorHAnsi"/>
          <w:szCs w:val="24"/>
        </w:rPr>
        <w:t xml:space="preserve"> u pacientů s</w:t>
      </w:r>
      <w:r w:rsidRPr="0062347D">
        <w:rPr>
          <w:rFonts w:cstheme="minorHAnsi"/>
          <w:szCs w:val="24"/>
        </w:rPr>
        <w:t> plicní sarkoidózou, chronickou obstrukční plicní nemocí, astmatem a idiopatickými intersticiálními pneumoniemi</w:t>
      </w:r>
      <w:bookmarkEnd w:id="33"/>
    </w:p>
    <w:p w:rsidR="008F0C0F" w:rsidRPr="0062347D" w:rsidRDefault="008F0C0F" w:rsidP="00C137AA">
      <w:pPr>
        <w:pStyle w:val="Nadpis3"/>
        <w:ind w:hanging="680"/>
        <w:jc w:val="both"/>
        <w:rPr>
          <w:rFonts w:cstheme="minorHAnsi"/>
          <w:szCs w:val="24"/>
        </w:rPr>
      </w:pPr>
      <w:bookmarkStart w:id="34" w:name="_Toc69543025"/>
      <w:r w:rsidRPr="0062347D">
        <w:rPr>
          <w:rFonts w:cstheme="minorHAnsi"/>
          <w:szCs w:val="24"/>
        </w:rPr>
        <w:t>Soubor pacientů pro studium relativní mRNA exprese RNA-vazebných proteinů a</w:t>
      </w:r>
      <w:r>
        <w:rPr>
          <w:rFonts w:cstheme="minorHAnsi"/>
          <w:szCs w:val="24"/>
        </w:rPr>
        <w:t> </w:t>
      </w:r>
      <w:r w:rsidRPr="0062347D">
        <w:rPr>
          <w:rFonts w:cstheme="minorHAnsi"/>
          <w:szCs w:val="24"/>
        </w:rPr>
        <w:t>inhibitorů matrix metaloproteináz v bronchoalveolárních buňkách</w:t>
      </w:r>
      <w:bookmarkEnd w:id="34"/>
    </w:p>
    <w:p w:rsidR="008F0C0F" w:rsidRPr="0062347D" w:rsidRDefault="008F0C0F" w:rsidP="00284F89">
      <w:pPr>
        <w:spacing w:before="240" w:line="360" w:lineRule="auto"/>
        <w:ind w:firstLine="709"/>
        <w:jc w:val="both"/>
        <w:rPr>
          <w:rFonts w:cstheme="minorHAnsi"/>
          <w:sz w:val="24"/>
          <w:szCs w:val="24"/>
        </w:rPr>
      </w:pPr>
      <w:r w:rsidRPr="0062347D">
        <w:rPr>
          <w:rFonts w:cstheme="minorHAnsi"/>
          <w:sz w:val="24"/>
          <w:szCs w:val="24"/>
        </w:rPr>
        <w:t>Diagnóza plicní sarkoidózy byla provedena podle kritérií obsažených v dokumentu vydaném Americkou hrudní společností (ATS</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American Thoracic</w:t>
      </w:r>
      <w:r w:rsidRPr="0062347D">
        <w:rPr>
          <w:rFonts w:cstheme="minorHAnsi"/>
          <w:sz w:val="24"/>
          <w:szCs w:val="24"/>
        </w:rPr>
        <w:t xml:space="preserve"> Society), Evropskou respirační společností (ERS</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European Respiratory</w:t>
      </w:r>
      <w:r w:rsidRPr="0062347D">
        <w:rPr>
          <w:rFonts w:cstheme="minorHAnsi"/>
          <w:sz w:val="24"/>
          <w:szCs w:val="24"/>
        </w:rPr>
        <w:t xml:space="preserve"> Society) a Světovou asociací sarkoidózy a</w:t>
      </w:r>
      <w:r>
        <w:rPr>
          <w:rFonts w:cstheme="minorHAnsi"/>
          <w:sz w:val="24"/>
          <w:szCs w:val="24"/>
        </w:rPr>
        <w:t> </w:t>
      </w:r>
      <w:r w:rsidRPr="0062347D">
        <w:rPr>
          <w:rFonts w:cstheme="minorHAnsi"/>
          <w:sz w:val="24"/>
          <w:szCs w:val="24"/>
        </w:rPr>
        <w:t>jiných granulomatózních onemocnění (WASOG</w:t>
      </w:r>
      <w:r>
        <w:rPr>
          <w:rFonts w:cstheme="minorHAnsi"/>
          <w:sz w:val="24"/>
          <w:szCs w:val="24"/>
        </w:rPr>
        <w:t xml:space="preserve"> </w:t>
      </w:r>
      <w:r w:rsidRPr="00C87449">
        <w:rPr>
          <w:rFonts w:cstheme="minorHAnsi"/>
          <w:sz w:val="24"/>
          <w:szCs w:val="24"/>
        </w:rPr>
        <w:t xml:space="preserve">= World Association of Sarcoidosis </w:t>
      </w:r>
      <w:r w:rsidR="00166BDD">
        <w:rPr>
          <w:rFonts w:cstheme="minorHAnsi"/>
          <w:sz w:val="24"/>
          <w:szCs w:val="24"/>
        </w:rPr>
        <w:t>and</w:t>
      </w:r>
      <w:r w:rsidRPr="00C87449">
        <w:rPr>
          <w:rFonts w:cstheme="minorHAnsi"/>
          <w:sz w:val="24"/>
          <w:szCs w:val="24"/>
        </w:rPr>
        <w:t xml:space="preserve"> Other Granulomatous </w:t>
      </w:r>
      <w:proofErr w:type="gramStart"/>
      <w:r w:rsidRPr="00C87449">
        <w:rPr>
          <w:rFonts w:cstheme="minorHAnsi"/>
          <w:sz w:val="24"/>
          <w:szCs w:val="24"/>
        </w:rPr>
        <w:t>Disorders</w:t>
      </w:r>
      <w:r w:rsidRPr="0062347D">
        <w:rPr>
          <w:rFonts w:cstheme="minorHAnsi"/>
          <w:sz w:val="24"/>
          <w:szCs w:val="24"/>
        </w:rPr>
        <w:t xml:space="preserve">) </w:t>
      </w:r>
      <w:r w:rsidRPr="0062347D">
        <w:rPr>
          <w:rFonts w:cstheme="minorHAnsi"/>
          <w:noProof/>
          <w:sz w:val="24"/>
          <w:szCs w:val="24"/>
        </w:rPr>
        <w:t>(Costabel</w:t>
      </w:r>
      <w:proofErr w:type="gramEnd"/>
      <w:r w:rsidRPr="0062347D">
        <w:rPr>
          <w:rFonts w:cstheme="minorHAnsi"/>
          <w:noProof/>
          <w:sz w:val="24"/>
          <w:szCs w:val="24"/>
        </w:rPr>
        <w:t xml:space="preserve"> a Hunninhake 1999)</w:t>
      </w:r>
      <w:r w:rsidRPr="0062347D">
        <w:rPr>
          <w:rFonts w:cstheme="minorHAnsi"/>
          <w:sz w:val="24"/>
          <w:szCs w:val="24"/>
        </w:rPr>
        <w:t>. Vzorky bronchoalveolární laváže byly získány od českých pacientů s plicní sarkoidózou (n</w:t>
      </w:r>
      <w:r>
        <w:rPr>
          <w:rFonts w:cstheme="minorHAnsi"/>
          <w:sz w:val="24"/>
          <w:szCs w:val="24"/>
        </w:rPr>
        <w:t> </w:t>
      </w:r>
      <w:r w:rsidRPr="0062347D">
        <w:rPr>
          <w:rFonts w:cstheme="minorHAnsi"/>
          <w:sz w:val="24"/>
          <w:szCs w:val="24"/>
        </w:rPr>
        <w:t>=</w:t>
      </w:r>
      <w:r>
        <w:rPr>
          <w:rFonts w:cstheme="minorHAnsi"/>
          <w:sz w:val="24"/>
          <w:szCs w:val="24"/>
        </w:rPr>
        <w:t> </w:t>
      </w:r>
      <w:r w:rsidRPr="003329E2">
        <w:rPr>
          <w:rFonts w:cstheme="minorHAnsi"/>
          <w:sz w:val="24"/>
          <w:szCs w:val="24"/>
        </w:rPr>
        <w:t>50). Tito pa</w:t>
      </w:r>
      <w:r w:rsidRPr="00E663BF">
        <w:rPr>
          <w:rFonts w:cstheme="minorHAnsi"/>
          <w:sz w:val="24"/>
          <w:szCs w:val="24"/>
        </w:rPr>
        <w:t>cienti neměli Löfgrenův syndrom</w:t>
      </w:r>
      <w:r w:rsidRPr="004E5649">
        <w:rPr>
          <w:rFonts w:cstheme="minorHAnsi"/>
          <w:sz w:val="24"/>
          <w:szCs w:val="24"/>
        </w:rPr>
        <w:t xml:space="preserve"> a rentgenologické (RTG) vyšetření hrudníku zobrazilo, že se nacházejí v RTG stádiu </w:t>
      </w:r>
      <w:r w:rsidRPr="00B24D8C">
        <w:rPr>
          <w:rFonts w:cstheme="minorHAnsi"/>
          <w:sz w:val="24"/>
          <w:szCs w:val="24"/>
        </w:rPr>
        <w:t>1</w:t>
      </w:r>
      <w:r w:rsidRPr="0062347D">
        <w:rPr>
          <w:rFonts w:cstheme="minorHAnsi"/>
          <w:sz w:val="24"/>
          <w:szCs w:val="24"/>
        </w:rPr>
        <w:t xml:space="preserve">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25) a RTG stádiu 2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25). Pro studium relativní mRNA exprese RNA-vazebných proteinů v bronchoalveolárních buňkách bylo do skupiny pacientů s plicní sarkoidózou zařazeno 25 mužů a 25 žen. Skupina měla průměrný věk 44 let v rozmezí 21–77 let. Dále bylo do studie zařazeno 17 zdravých mužů a 6 zdravých žen s průměrným věkem 43 let v rozmezí 19-78 let.</w:t>
      </w:r>
    </w:p>
    <w:p w:rsidR="008F0C0F" w:rsidRPr="0062347D" w:rsidRDefault="008F0C0F" w:rsidP="00284F89">
      <w:pPr>
        <w:spacing w:before="240" w:line="360" w:lineRule="auto"/>
        <w:ind w:firstLine="709"/>
        <w:jc w:val="both"/>
        <w:rPr>
          <w:rFonts w:cstheme="minorHAnsi"/>
          <w:sz w:val="24"/>
          <w:szCs w:val="24"/>
        </w:rPr>
      </w:pPr>
      <w:r w:rsidRPr="0062347D">
        <w:rPr>
          <w:rFonts w:cstheme="minorHAnsi"/>
          <w:sz w:val="24"/>
          <w:szCs w:val="24"/>
        </w:rPr>
        <w:t>Chronická obstrukční plicní nemoc (CHOPN) a astma byly definovány podle kritérií společností zabývajících se CHOPN (GOLD</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 xml:space="preserve">Global Initiative for Chronic Obstructive Lung </w:t>
      </w:r>
      <w:proofErr w:type="gramStart"/>
      <w:r w:rsidRPr="00C87449">
        <w:rPr>
          <w:rFonts w:cstheme="minorHAnsi"/>
          <w:sz w:val="24"/>
          <w:szCs w:val="24"/>
        </w:rPr>
        <w:t>Disease</w:t>
      </w:r>
      <w:r w:rsidRPr="0062347D">
        <w:rPr>
          <w:rFonts w:cstheme="minorHAnsi"/>
          <w:sz w:val="24"/>
          <w:szCs w:val="24"/>
        </w:rPr>
        <w:t xml:space="preserve">) </w:t>
      </w:r>
      <w:r w:rsidRPr="0062347D">
        <w:rPr>
          <w:rFonts w:cstheme="minorHAnsi"/>
          <w:noProof/>
          <w:sz w:val="24"/>
          <w:szCs w:val="24"/>
        </w:rPr>
        <w:t>(Rabe</w:t>
      </w:r>
      <w:proofErr w:type="gramEnd"/>
      <w:r w:rsidRPr="0062347D">
        <w:rPr>
          <w:rFonts w:cstheme="minorHAnsi"/>
          <w:noProof/>
          <w:sz w:val="24"/>
          <w:szCs w:val="24"/>
        </w:rPr>
        <w:t>, Hurd et al. 2007)</w:t>
      </w:r>
      <w:r w:rsidRPr="0062347D">
        <w:rPr>
          <w:rFonts w:cstheme="minorHAnsi"/>
          <w:sz w:val="24"/>
          <w:szCs w:val="24"/>
        </w:rPr>
        <w:t xml:space="preserve"> a astmatem (GINA</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 xml:space="preserve">Global Initiative for </w:t>
      </w:r>
      <w:proofErr w:type="gramStart"/>
      <w:r w:rsidRPr="00C87449">
        <w:rPr>
          <w:rFonts w:cstheme="minorHAnsi"/>
          <w:sz w:val="24"/>
          <w:szCs w:val="24"/>
        </w:rPr>
        <w:t>Asthma</w:t>
      </w:r>
      <w:r w:rsidRPr="0062347D">
        <w:rPr>
          <w:rFonts w:cstheme="minorHAnsi"/>
          <w:sz w:val="24"/>
          <w:szCs w:val="24"/>
        </w:rPr>
        <w:t>)</w:t>
      </w:r>
      <w:r w:rsidR="00C137AA">
        <w:rPr>
          <w:rFonts w:cstheme="minorHAnsi"/>
          <w:sz w:val="24"/>
          <w:szCs w:val="24"/>
        </w:rPr>
        <w:t xml:space="preserve"> </w:t>
      </w:r>
      <w:r w:rsidRPr="0062347D">
        <w:rPr>
          <w:rFonts w:cstheme="minorHAnsi"/>
          <w:noProof/>
          <w:sz w:val="24"/>
          <w:szCs w:val="24"/>
        </w:rPr>
        <w:t>(GINA</w:t>
      </w:r>
      <w:proofErr w:type="gramEnd"/>
      <w:r w:rsidRPr="0062347D">
        <w:rPr>
          <w:rFonts w:cstheme="minorHAnsi"/>
          <w:noProof/>
          <w:sz w:val="24"/>
          <w:szCs w:val="24"/>
        </w:rPr>
        <w:t xml:space="preserve"> 2014)</w:t>
      </w:r>
      <w:r w:rsidRPr="0062347D">
        <w:rPr>
          <w:rFonts w:cstheme="minorHAnsi"/>
          <w:sz w:val="24"/>
          <w:szCs w:val="24"/>
        </w:rPr>
        <w:t>.</w:t>
      </w:r>
      <w:r w:rsidRPr="00C87449">
        <w:rPr>
          <w:rFonts w:cstheme="minorHAnsi"/>
          <w:sz w:val="24"/>
          <w:szCs w:val="24"/>
        </w:rPr>
        <w:fldChar w:fldCharType="begin"/>
      </w:r>
      <w:r w:rsidRPr="00C87449">
        <w:rPr>
          <w:rFonts w:cstheme="minorHAnsi"/>
          <w:sz w:val="24"/>
          <w:szCs w:val="24"/>
        </w:rPr>
        <w:fldChar w:fldCharType="separate"/>
      </w:r>
      <w:r w:rsidRPr="0062347D">
        <w:rPr>
          <w:rFonts w:cstheme="minorHAnsi"/>
          <w:sz w:val="24"/>
          <w:szCs w:val="24"/>
        </w:rPr>
        <w:t>{Asthma, 2014 #23}</w:t>
      </w:r>
      <w:r w:rsidRPr="00C87449">
        <w:rPr>
          <w:rFonts w:cstheme="minorHAnsi"/>
          <w:sz w:val="24"/>
          <w:szCs w:val="24"/>
        </w:rPr>
        <w:fldChar w:fldCharType="end"/>
      </w:r>
      <w:r w:rsidRPr="0062347D">
        <w:rPr>
          <w:rFonts w:cstheme="minorHAnsi"/>
          <w:sz w:val="24"/>
          <w:szCs w:val="24"/>
        </w:rPr>
        <w:t xml:space="preserve"> Pacienti s CHOPN měli mírnou či střední obstrukci dýchacích cest charakterizovanou poměrem parametrů FEV1/FVC (usilovně vydechnutý objem za 1 sekundu</w:t>
      </w:r>
      <w:r>
        <w:rPr>
          <w:rFonts w:cstheme="minorHAnsi"/>
          <w:sz w:val="24"/>
          <w:szCs w:val="24"/>
        </w:rPr>
        <w:t xml:space="preserve"> </w:t>
      </w:r>
      <w:r w:rsidRPr="0062347D">
        <w:rPr>
          <w:rFonts w:cstheme="minorHAnsi"/>
          <w:sz w:val="24"/>
          <w:szCs w:val="24"/>
        </w:rPr>
        <w:t>/ usilovná vitální kapacit</w:t>
      </w:r>
      <w:r w:rsidRPr="003329E2">
        <w:rPr>
          <w:rFonts w:cstheme="minorHAnsi"/>
          <w:sz w:val="24"/>
          <w:szCs w:val="24"/>
        </w:rPr>
        <w:t>a) s výslednou hodnotou poměru &lt;</w:t>
      </w:r>
      <w:r w:rsidRPr="00E663BF">
        <w:rPr>
          <w:rFonts w:cstheme="minorHAnsi"/>
          <w:sz w:val="24"/>
          <w:szCs w:val="24"/>
        </w:rPr>
        <w:t> </w:t>
      </w:r>
      <w:smartTag w:uri="urn:schemas-microsoft-com:office:smarttags" w:element="metricconverter">
        <w:smartTagPr>
          <w:attr w:name="ProductID" w:val="0,7 a"/>
        </w:smartTagPr>
        <w:r w:rsidRPr="00E663BF">
          <w:rPr>
            <w:rFonts w:cstheme="minorHAnsi"/>
            <w:sz w:val="24"/>
            <w:szCs w:val="24"/>
          </w:rPr>
          <w:t>0,7 a</w:t>
        </w:r>
      </w:smartTag>
      <w:r w:rsidRPr="00E663BF">
        <w:rPr>
          <w:rFonts w:cstheme="minorHAnsi"/>
          <w:sz w:val="24"/>
          <w:szCs w:val="24"/>
        </w:rPr>
        <w:t xml:space="preserve"> parametrem FEV1</w:t>
      </w:r>
      <w:r>
        <w:rPr>
          <w:rFonts w:cstheme="minorHAnsi"/>
          <w:sz w:val="24"/>
          <w:szCs w:val="24"/>
        </w:rPr>
        <w:t> </w:t>
      </w:r>
      <w:r w:rsidRPr="00E663BF">
        <w:rPr>
          <w:rFonts w:cstheme="minorHAnsi"/>
          <w:sz w:val="24"/>
          <w:szCs w:val="24"/>
        </w:rPr>
        <w:t>% s rozmezím hodnot 50</w:t>
      </w:r>
      <w:r w:rsidRPr="004E5649">
        <w:rPr>
          <w:rFonts w:cstheme="minorHAnsi"/>
          <w:sz w:val="24"/>
          <w:szCs w:val="24"/>
        </w:rPr>
        <w:t>–</w:t>
      </w:r>
      <w:r w:rsidRPr="00B24D8C">
        <w:rPr>
          <w:rFonts w:cstheme="minorHAnsi"/>
          <w:sz w:val="24"/>
          <w:szCs w:val="24"/>
        </w:rPr>
        <w:t>79</w:t>
      </w:r>
      <w:r w:rsidRPr="0062347D">
        <w:rPr>
          <w:rFonts w:cstheme="minorHAnsi"/>
          <w:sz w:val="24"/>
          <w:szCs w:val="24"/>
        </w:rPr>
        <w:t> %. Skupina pacientů s CHOPN obsahovala 18 mužů a 12 žen s věkovým průměrem 64 let v rozmezí 40–84 let. Do skupiny pacientů s astmatem bylo zařazeno 5 mužů a 14 žen s průměrným věkem 45 let v rozmezí 20–83 let.</w:t>
      </w:r>
    </w:p>
    <w:p w:rsidR="008F0C0F" w:rsidRPr="0062347D" w:rsidRDefault="008F0C0F" w:rsidP="00284F89">
      <w:pPr>
        <w:spacing w:before="240" w:line="360" w:lineRule="auto"/>
        <w:ind w:firstLine="709"/>
        <w:jc w:val="both"/>
        <w:rPr>
          <w:rFonts w:cstheme="minorHAnsi"/>
          <w:sz w:val="24"/>
          <w:szCs w:val="24"/>
        </w:rPr>
      </w:pPr>
      <w:r w:rsidRPr="0062347D">
        <w:rPr>
          <w:rFonts w:cstheme="minorHAnsi"/>
          <w:sz w:val="24"/>
          <w:szCs w:val="24"/>
        </w:rPr>
        <w:t xml:space="preserve">Dále jsme pro studii vybrali pacienty s idiopatickými intersticiálními pneumoniemi (IIP) podle jejich klinických a radiologických příznaků podpořených histologickým vyšetřením plicní tkáně </w:t>
      </w:r>
      <w:r w:rsidRPr="0062347D">
        <w:rPr>
          <w:rFonts w:cstheme="minorHAnsi"/>
          <w:noProof/>
          <w:sz w:val="24"/>
          <w:szCs w:val="24"/>
        </w:rPr>
        <w:t xml:space="preserve">(Katzenstein </w:t>
      </w:r>
      <w:r w:rsidR="00166BDD">
        <w:rPr>
          <w:rFonts w:cstheme="minorHAnsi"/>
          <w:noProof/>
          <w:sz w:val="24"/>
          <w:szCs w:val="24"/>
        </w:rPr>
        <w:t>a</w:t>
      </w:r>
      <w:r w:rsidR="00FC6ECE">
        <w:rPr>
          <w:rFonts w:cstheme="minorHAnsi"/>
          <w:noProof/>
          <w:sz w:val="24"/>
          <w:szCs w:val="24"/>
        </w:rPr>
        <w:t xml:space="preserve"> Myers 2000; ATS a ERS 2002; </w:t>
      </w:r>
      <w:r w:rsidRPr="0062347D">
        <w:rPr>
          <w:rFonts w:cstheme="minorHAnsi"/>
          <w:noProof/>
          <w:sz w:val="24"/>
          <w:szCs w:val="24"/>
        </w:rPr>
        <w:t>Travis, King et al. 2002)</w:t>
      </w:r>
      <w:r w:rsidRPr="0062347D">
        <w:rPr>
          <w:rFonts w:cstheme="minorHAnsi"/>
          <w:sz w:val="24"/>
          <w:szCs w:val="24"/>
        </w:rPr>
        <w:t>. Ve skupině pacientů</w:t>
      </w:r>
      <w:r w:rsidRPr="003329E2">
        <w:rPr>
          <w:rFonts w:cstheme="minorHAnsi"/>
          <w:sz w:val="24"/>
          <w:szCs w:val="24"/>
        </w:rPr>
        <w:t xml:space="preserve"> s</w:t>
      </w:r>
      <w:r w:rsidRPr="00E663BF">
        <w:rPr>
          <w:rFonts w:cstheme="minorHAnsi"/>
          <w:sz w:val="24"/>
          <w:szCs w:val="24"/>
        </w:rPr>
        <w:t xml:space="preserve"> IIP bylo </w:t>
      </w:r>
      <w:r w:rsidRPr="004E5649">
        <w:rPr>
          <w:rFonts w:cstheme="minorHAnsi"/>
          <w:sz w:val="24"/>
          <w:szCs w:val="24"/>
        </w:rPr>
        <w:t xml:space="preserve">6 mužů a 13 žen s věkovým průměrem 57 let v rozmezí 33-80 let. </w:t>
      </w:r>
      <w:r>
        <w:rPr>
          <w:rFonts w:cstheme="minorHAnsi"/>
          <w:sz w:val="24"/>
          <w:szCs w:val="24"/>
        </w:rPr>
        <w:t>Bronchoalveolární b</w:t>
      </w:r>
      <w:r w:rsidRPr="004E5649">
        <w:rPr>
          <w:rFonts w:cstheme="minorHAnsi"/>
          <w:sz w:val="24"/>
          <w:szCs w:val="24"/>
        </w:rPr>
        <w:t>uněčný profil jednotlivých skupin je uveden v </w:t>
      </w:r>
      <w:r w:rsidRPr="00B24D8C">
        <w:rPr>
          <w:rFonts w:cstheme="minorHAnsi"/>
          <w:b/>
          <w:sz w:val="24"/>
          <w:szCs w:val="24"/>
        </w:rPr>
        <w:t>Tabulce</w:t>
      </w:r>
      <w:r w:rsidRPr="0062347D">
        <w:rPr>
          <w:rFonts w:cstheme="minorHAnsi"/>
          <w:b/>
          <w:sz w:val="24"/>
          <w:szCs w:val="24"/>
        </w:rPr>
        <w:t xml:space="preserve"> 3</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sectPr w:rsidR="008F0C0F" w:rsidRPr="0062347D" w:rsidSect="00D47ADA">
          <w:pgSz w:w="11906" w:h="16838"/>
          <w:pgMar w:top="992" w:right="1418" w:bottom="1418" w:left="1418" w:header="709" w:footer="709" w:gutter="0"/>
          <w:cols w:space="708"/>
          <w:docGrid w:linePitch="360"/>
        </w:sectPr>
      </w:pPr>
    </w:p>
    <w:p w:rsidR="008F0C0F" w:rsidRPr="0062347D" w:rsidRDefault="008F0C0F" w:rsidP="00284F89">
      <w:pPr>
        <w:ind w:left="851"/>
        <w:jc w:val="both"/>
        <w:rPr>
          <w:rFonts w:cstheme="minorHAnsi"/>
          <w:sz w:val="24"/>
          <w:szCs w:val="24"/>
        </w:rPr>
      </w:pPr>
      <w:r w:rsidRPr="0062347D">
        <w:rPr>
          <w:rFonts w:cstheme="minorHAnsi"/>
          <w:b/>
          <w:sz w:val="24"/>
          <w:szCs w:val="24"/>
        </w:rPr>
        <w:lastRenderedPageBreak/>
        <w:t>Tabulka 3:</w:t>
      </w:r>
      <w:r w:rsidRPr="0062347D">
        <w:rPr>
          <w:rFonts w:cstheme="minorHAnsi"/>
          <w:sz w:val="24"/>
          <w:szCs w:val="24"/>
        </w:rPr>
        <w:t xml:space="preserve"> Buněčný profil bronchoalveolární laváže (BAL) u pacientů s intersticiálními plicními nemocemi, s CHOPN, s astmatem a zdravými kontrolami, u kterých byla v BAL na úrovni mRNA měřena exprese šesti RNA-vazebných proteinů a dvou inhibitorů matrix metaloproteináz.</w:t>
      </w:r>
    </w:p>
    <w:tbl>
      <w:tblPr>
        <w:tblpPr w:leftFromText="141" w:rightFromText="141" w:vertAnchor="page" w:horzAnchor="page" w:tblpX="1370" w:tblpY="2433"/>
        <w:tblW w:w="13797" w:type="dxa"/>
        <w:tblLayout w:type="fixed"/>
        <w:tblCellMar>
          <w:left w:w="70" w:type="dxa"/>
          <w:right w:w="70" w:type="dxa"/>
        </w:tblCellMar>
        <w:tblLook w:val="04A0" w:firstRow="1" w:lastRow="0" w:firstColumn="1" w:lastColumn="0" w:noHBand="0" w:noVBand="1"/>
      </w:tblPr>
      <w:tblGrid>
        <w:gridCol w:w="1771"/>
        <w:gridCol w:w="1122"/>
        <w:gridCol w:w="1439"/>
        <w:gridCol w:w="1266"/>
        <w:gridCol w:w="1276"/>
        <w:gridCol w:w="1276"/>
        <w:gridCol w:w="1276"/>
        <w:gridCol w:w="850"/>
        <w:gridCol w:w="708"/>
        <w:gridCol w:w="697"/>
        <w:gridCol w:w="1265"/>
        <w:gridCol w:w="851"/>
      </w:tblGrid>
      <w:tr w:rsidR="008F0C0F" w:rsidRPr="0062347D" w:rsidTr="00284F89">
        <w:trPr>
          <w:trHeight w:val="1020"/>
        </w:trPr>
        <w:tc>
          <w:tcPr>
            <w:tcW w:w="1771" w:type="dxa"/>
            <w:vMerge w:val="restar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p>
        </w:tc>
        <w:tc>
          <w:tcPr>
            <w:tcW w:w="1122" w:type="dxa"/>
            <w:vMerge w:val="restart"/>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percentil</w:t>
            </w:r>
          </w:p>
        </w:tc>
        <w:tc>
          <w:tcPr>
            <w:tcW w:w="1439"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Celkový počet BAL buněk</w:t>
            </w:r>
          </w:p>
        </w:tc>
        <w:tc>
          <w:tcPr>
            <w:tcW w:w="1266"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Makrofágy</w:t>
            </w:r>
          </w:p>
        </w:tc>
        <w:tc>
          <w:tcPr>
            <w:tcW w:w="1276"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Lymfocyty</w:t>
            </w:r>
          </w:p>
        </w:tc>
        <w:tc>
          <w:tcPr>
            <w:tcW w:w="1276"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Neutrofily</w:t>
            </w:r>
          </w:p>
        </w:tc>
        <w:tc>
          <w:tcPr>
            <w:tcW w:w="1276"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Eozinofily</w:t>
            </w:r>
          </w:p>
        </w:tc>
        <w:tc>
          <w:tcPr>
            <w:tcW w:w="850"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CD3</w:t>
            </w:r>
            <w:r w:rsidRPr="0062347D">
              <w:rPr>
                <w:rFonts w:eastAsia="MS Mincho" w:cstheme="minorHAnsi"/>
                <w:bCs/>
                <w:sz w:val="24"/>
                <w:szCs w:val="24"/>
                <w:vertAlign w:val="superscript"/>
                <w:lang w:eastAsia="ja-JP"/>
              </w:rPr>
              <w:t>+</w:t>
            </w:r>
          </w:p>
        </w:tc>
        <w:tc>
          <w:tcPr>
            <w:tcW w:w="708"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CD4</w:t>
            </w:r>
            <w:r w:rsidRPr="0062347D">
              <w:rPr>
                <w:rFonts w:eastAsia="MS Mincho" w:cstheme="minorHAnsi"/>
                <w:bCs/>
                <w:sz w:val="24"/>
                <w:szCs w:val="24"/>
                <w:vertAlign w:val="superscript"/>
                <w:lang w:eastAsia="ja-JP"/>
              </w:rPr>
              <w:t>+</w:t>
            </w:r>
          </w:p>
        </w:tc>
        <w:tc>
          <w:tcPr>
            <w:tcW w:w="697"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CD8</w:t>
            </w:r>
            <w:r w:rsidRPr="0062347D">
              <w:rPr>
                <w:rFonts w:eastAsia="MS Mincho" w:cstheme="minorHAnsi"/>
                <w:bCs/>
                <w:sz w:val="24"/>
                <w:szCs w:val="24"/>
                <w:vertAlign w:val="superscript"/>
                <w:lang w:eastAsia="ja-JP"/>
              </w:rPr>
              <w:t>+</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CD4</w:t>
            </w:r>
            <w:r w:rsidRPr="0062347D">
              <w:rPr>
                <w:rFonts w:eastAsia="MS Mincho" w:cstheme="minorHAnsi"/>
                <w:bCs/>
                <w:sz w:val="24"/>
                <w:szCs w:val="24"/>
                <w:vertAlign w:val="superscript"/>
                <w:lang w:eastAsia="ja-JP"/>
              </w:rPr>
              <w:t>+</w:t>
            </w:r>
            <w:r w:rsidRPr="0062347D">
              <w:rPr>
                <w:rFonts w:eastAsia="MS Mincho" w:cstheme="minorHAnsi"/>
                <w:bCs/>
                <w:sz w:val="24"/>
                <w:szCs w:val="24"/>
                <w:lang w:eastAsia="ja-JP"/>
              </w:rPr>
              <w:t>/CD8</w:t>
            </w:r>
            <w:r w:rsidRPr="0062347D">
              <w:rPr>
                <w:rFonts w:eastAsia="MS Mincho" w:cstheme="minorHAnsi"/>
                <w:bCs/>
                <w:sz w:val="24"/>
                <w:szCs w:val="24"/>
                <w:vertAlign w:val="superscript"/>
                <w:lang w:eastAsia="ja-JP"/>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center"/>
              <w:rPr>
                <w:rFonts w:eastAsia="MS Mincho" w:cstheme="minorHAnsi"/>
                <w:bCs/>
                <w:sz w:val="24"/>
                <w:szCs w:val="24"/>
                <w:lang w:eastAsia="ja-JP"/>
              </w:rPr>
            </w:pPr>
            <w:r w:rsidRPr="0062347D">
              <w:rPr>
                <w:rFonts w:eastAsia="MS Mincho" w:cstheme="minorHAnsi"/>
                <w:bCs/>
                <w:sz w:val="24"/>
                <w:szCs w:val="24"/>
                <w:lang w:eastAsia="ja-JP"/>
              </w:rPr>
              <w:t>CD19</w:t>
            </w:r>
            <w:r w:rsidRPr="0062347D">
              <w:rPr>
                <w:rFonts w:eastAsia="MS Mincho" w:cstheme="minorHAnsi"/>
                <w:bCs/>
                <w:sz w:val="24"/>
                <w:szCs w:val="24"/>
                <w:vertAlign w:val="superscript"/>
                <w:lang w:eastAsia="ja-JP"/>
              </w:rPr>
              <w:t>+</w:t>
            </w:r>
          </w:p>
        </w:tc>
      </w:tr>
      <w:tr w:rsidR="008F0C0F" w:rsidRPr="0062347D" w:rsidTr="00284F89">
        <w:trPr>
          <w:trHeight w:val="253"/>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vMerge/>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439"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x10</w:t>
            </w:r>
            <w:r w:rsidRPr="0062347D">
              <w:rPr>
                <w:rFonts w:eastAsia="MS Mincho" w:cstheme="minorHAnsi"/>
                <w:bCs/>
                <w:sz w:val="24"/>
                <w:szCs w:val="24"/>
                <w:vertAlign w:val="superscript"/>
                <w:lang w:eastAsia="ja-JP"/>
              </w:rPr>
              <w:t>9</w:t>
            </w:r>
            <w:r w:rsidRPr="0062347D">
              <w:rPr>
                <w:rFonts w:eastAsia="MS Mincho" w:cstheme="minorHAnsi"/>
                <w:bCs/>
                <w:sz w:val="24"/>
                <w:szCs w:val="24"/>
                <w:lang w:eastAsia="ja-JP"/>
              </w:rPr>
              <w:t>/1ml</w:t>
            </w:r>
          </w:p>
        </w:tc>
        <w:tc>
          <w:tcPr>
            <w:tcW w:w="126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850"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708"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697"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1265"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w:t>
            </w:r>
          </w:p>
        </w:tc>
      </w:tr>
      <w:tr w:rsidR="008F0C0F" w:rsidRPr="0062347D" w:rsidTr="00284F89">
        <w:trPr>
          <w:trHeight w:val="255"/>
        </w:trPr>
        <w:tc>
          <w:tcPr>
            <w:tcW w:w="1771" w:type="dxa"/>
            <w:vMerge w:val="restart"/>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K (n</w:t>
            </w:r>
            <w:r>
              <w:rPr>
                <w:rFonts w:eastAsia="MS Mincho" w:cstheme="minorHAnsi"/>
                <w:bCs/>
                <w:sz w:val="24"/>
                <w:szCs w:val="24"/>
                <w:lang w:eastAsia="ja-JP"/>
              </w:rPr>
              <w:t> </w:t>
            </w:r>
            <w:r w:rsidRPr="0062347D">
              <w:rPr>
                <w:rFonts w:eastAsia="MS Mincho" w:cstheme="minorHAnsi"/>
                <w:bCs/>
                <w:sz w:val="24"/>
                <w:szCs w:val="24"/>
                <w:lang w:eastAsia="ja-JP"/>
              </w:rPr>
              <w:t>=</w:t>
            </w:r>
            <w:r>
              <w:rPr>
                <w:rFonts w:eastAsia="MS Mincho" w:cstheme="minorHAnsi"/>
                <w:bCs/>
                <w:sz w:val="24"/>
                <w:szCs w:val="24"/>
                <w:lang w:eastAsia="ja-JP"/>
              </w:rPr>
              <w:t> </w:t>
            </w:r>
            <w:r w:rsidRPr="0062347D">
              <w:rPr>
                <w:rFonts w:eastAsia="MS Mincho" w:cstheme="minorHAnsi"/>
                <w:bCs/>
                <w:sz w:val="24"/>
                <w:szCs w:val="24"/>
                <w:lang w:eastAsia="ja-JP"/>
              </w:rPr>
              <w:t>23)</w:t>
            </w:r>
          </w:p>
        </w:tc>
        <w:tc>
          <w:tcPr>
            <w:tcW w:w="1122"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25. </w:t>
            </w:r>
          </w:p>
        </w:tc>
        <w:tc>
          <w:tcPr>
            <w:tcW w:w="1439"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0,6</w:t>
            </w:r>
          </w:p>
        </w:tc>
        <w:tc>
          <w:tcPr>
            <w:tcW w:w="126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90,1</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2,5</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0,7</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0,4</w:t>
            </w:r>
          </w:p>
        </w:tc>
        <w:tc>
          <w:tcPr>
            <w:tcW w:w="850"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68,4</w:t>
            </w:r>
          </w:p>
        </w:tc>
        <w:tc>
          <w:tcPr>
            <w:tcW w:w="708"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32,3</w:t>
            </w:r>
          </w:p>
        </w:tc>
        <w:tc>
          <w:tcPr>
            <w:tcW w:w="697"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26,3</w:t>
            </w:r>
          </w:p>
        </w:tc>
        <w:tc>
          <w:tcPr>
            <w:tcW w:w="1265"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0,0</w:t>
            </w:r>
          </w:p>
        </w:tc>
      </w:tr>
      <w:tr w:rsidR="008F0C0F" w:rsidRPr="0062347D" w:rsidTr="00284F89">
        <w:trPr>
          <w:trHeight w:val="255"/>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medián</w:t>
            </w:r>
          </w:p>
        </w:tc>
        <w:tc>
          <w:tcPr>
            <w:tcW w:w="1439"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0,8</w:t>
            </w:r>
          </w:p>
        </w:tc>
        <w:tc>
          <w:tcPr>
            <w:tcW w:w="126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94,2</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5,3</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1,3</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0,5</w:t>
            </w:r>
          </w:p>
        </w:tc>
        <w:tc>
          <w:tcPr>
            <w:tcW w:w="850"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81,5</w:t>
            </w:r>
          </w:p>
        </w:tc>
        <w:tc>
          <w:tcPr>
            <w:tcW w:w="708"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41,5</w:t>
            </w:r>
          </w:p>
        </w:tc>
        <w:tc>
          <w:tcPr>
            <w:tcW w:w="697"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32,0</w:t>
            </w:r>
          </w:p>
        </w:tc>
        <w:tc>
          <w:tcPr>
            <w:tcW w:w="1265"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1,3</w:t>
            </w:r>
          </w:p>
        </w:tc>
        <w:tc>
          <w:tcPr>
            <w:tcW w:w="851" w:type="dxa"/>
            <w:tcBorders>
              <w:top w:val="single" w:sz="4" w:space="0" w:color="auto"/>
              <w:left w:val="single" w:sz="4" w:space="0" w:color="auto"/>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1,0</w:t>
            </w:r>
          </w:p>
        </w:tc>
      </w:tr>
      <w:tr w:rsidR="008F0C0F" w:rsidRPr="0062347D" w:rsidTr="00284F89">
        <w:trPr>
          <w:trHeight w:val="255"/>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75. </w:t>
            </w:r>
          </w:p>
        </w:tc>
        <w:tc>
          <w:tcPr>
            <w:tcW w:w="1439"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1,1</w:t>
            </w:r>
          </w:p>
        </w:tc>
        <w:tc>
          <w:tcPr>
            <w:tcW w:w="126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95,8</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7,0</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3,0</w:t>
            </w:r>
          </w:p>
        </w:tc>
        <w:tc>
          <w:tcPr>
            <w:tcW w:w="1276"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0,5</w:t>
            </w:r>
          </w:p>
        </w:tc>
        <w:tc>
          <w:tcPr>
            <w:tcW w:w="850"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89,0</w:t>
            </w:r>
          </w:p>
        </w:tc>
        <w:tc>
          <w:tcPr>
            <w:tcW w:w="708"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48,8</w:t>
            </w:r>
          </w:p>
        </w:tc>
        <w:tc>
          <w:tcPr>
            <w:tcW w:w="697"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39,8</w:t>
            </w:r>
          </w:p>
        </w:tc>
        <w:tc>
          <w:tcPr>
            <w:tcW w:w="1265" w:type="dxa"/>
            <w:tcBorders>
              <w:top w:val="single" w:sz="4" w:space="0" w:color="auto"/>
              <w:left w:val="nil"/>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2,0</w:t>
            </w:r>
          </w:p>
        </w:tc>
        <w:tc>
          <w:tcPr>
            <w:tcW w:w="851" w:type="dxa"/>
            <w:tcBorders>
              <w:top w:val="single" w:sz="4" w:space="0" w:color="auto"/>
              <w:left w:val="single" w:sz="4" w:space="0" w:color="auto"/>
              <w:bottom w:val="single" w:sz="4" w:space="0" w:color="auto"/>
              <w:right w:val="single" w:sz="4" w:space="0" w:color="auto"/>
            </w:tcBorders>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1,0</w:t>
            </w:r>
          </w:p>
        </w:tc>
      </w:tr>
      <w:tr w:rsidR="008F0C0F" w:rsidRPr="0062347D" w:rsidTr="00284F89">
        <w:trPr>
          <w:trHeight w:val="255"/>
        </w:trPr>
        <w:tc>
          <w:tcPr>
            <w:tcW w:w="1771" w:type="dxa"/>
            <w:vMerge w:val="restart"/>
            <w:tcBorders>
              <w:top w:val="nil"/>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S (n</w:t>
            </w:r>
            <w:r>
              <w:rPr>
                <w:rFonts w:eastAsia="MS Mincho" w:cstheme="minorHAnsi"/>
                <w:bCs/>
                <w:sz w:val="24"/>
                <w:szCs w:val="24"/>
                <w:lang w:eastAsia="ja-JP"/>
              </w:rPr>
              <w:t> </w:t>
            </w:r>
            <w:r w:rsidRPr="0062347D">
              <w:rPr>
                <w:rFonts w:eastAsia="MS Mincho" w:cstheme="minorHAnsi"/>
                <w:bCs/>
                <w:sz w:val="24"/>
                <w:szCs w:val="24"/>
                <w:lang w:eastAsia="ja-JP"/>
              </w:rPr>
              <w:t>=</w:t>
            </w:r>
            <w:r>
              <w:rPr>
                <w:rFonts w:eastAsia="MS Mincho" w:cstheme="minorHAnsi"/>
                <w:bCs/>
                <w:sz w:val="24"/>
                <w:szCs w:val="24"/>
                <w:lang w:eastAsia="ja-JP"/>
              </w:rPr>
              <w:t> </w:t>
            </w:r>
            <w:r w:rsidRPr="0062347D">
              <w:rPr>
                <w:rFonts w:eastAsia="MS Mincho" w:cstheme="minorHAnsi"/>
                <w:bCs/>
                <w:sz w:val="24"/>
                <w:szCs w:val="24"/>
                <w:lang w:eastAsia="ja-JP"/>
              </w:rPr>
              <w:t>50)</w:t>
            </w: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25.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0,46</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64,0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16,0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82,8</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47,3</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9,8</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2,7</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medián</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0,68</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72,5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24,0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0,0</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89,0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71,5</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13,0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color w:val="000000"/>
                <w:sz w:val="24"/>
                <w:szCs w:val="24"/>
                <w:lang w:eastAsia="ja-JP"/>
              </w:rPr>
            </w:pPr>
            <w:r w:rsidRPr="0062347D">
              <w:rPr>
                <w:rFonts w:eastAsia="MS Mincho" w:cstheme="minorHAnsi"/>
                <w:bCs/>
                <w:color w:val="000000"/>
                <w:sz w:val="24"/>
                <w:szCs w:val="24"/>
                <w:lang w:eastAsia="ja-JP"/>
              </w:rPr>
              <w:t>5,7</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75.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0,99</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78,0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31,0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1,0</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92,0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78,3</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17,3</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7,3</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1,0</w:t>
            </w:r>
          </w:p>
        </w:tc>
      </w:tr>
      <w:tr w:rsidR="008F0C0F" w:rsidRPr="0062347D" w:rsidTr="00284F89">
        <w:trPr>
          <w:trHeight w:val="255"/>
        </w:trPr>
        <w:tc>
          <w:tcPr>
            <w:tcW w:w="1771" w:type="dxa"/>
            <w:vMerge w:val="restart"/>
            <w:tcBorders>
              <w:top w:val="nil"/>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CHOPN (n</w:t>
            </w:r>
            <w:r>
              <w:rPr>
                <w:rFonts w:eastAsia="MS Mincho" w:cstheme="minorHAnsi"/>
                <w:bCs/>
                <w:sz w:val="24"/>
                <w:szCs w:val="24"/>
                <w:lang w:eastAsia="ja-JP"/>
              </w:rPr>
              <w:t> </w:t>
            </w:r>
            <w:r w:rsidRPr="0062347D">
              <w:rPr>
                <w:rFonts w:eastAsia="MS Mincho" w:cstheme="minorHAnsi"/>
                <w:bCs/>
                <w:sz w:val="24"/>
                <w:szCs w:val="24"/>
                <w:lang w:eastAsia="ja-JP"/>
              </w:rPr>
              <w:t>=</w:t>
            </w:r>
            <w:r>
              <w:rPr>
                <w:rFonts w:eastAsia="MS Mincho" w:cstheme="minorHAnsi"/>
                <w:bCs/>
                <w:sz w:val="24"/>
                <w:szCs w:val="24"/>
                <w:lang w:eastAsia="ja-JP"/>
              </w:rPr>
              <w:t> </w:t>
            </w:r>
            <w:r w:rsidRPr="0062347D">
              <w:rPr>
                <w:rFonts w:eastAsia="MS Mincho" w:cstheme="minorHAnsi"/>
                <w:bCs/>
                <w:sz w:val="24"/>
                <w:szCs w:val="24"/>
                <w:lang w:eastAsia="ja-JP"/>
              </w:rPr>
              <w:t>30)</w:t>
            </w: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25.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0,5</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72,0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1,2</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42,0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18,0</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10,0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0,9</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medián</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0,9</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85,4</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3,8</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0,3</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74,0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34,0</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17,0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color w:val="000000"/>
                <w:sz w:val="24"/>
                <w:szCs w:val="24"/>
                <w:lang w:eastAsia="ja-JP"/>
              </w:rPr>
            </w:pPr>
            <w:r w:rsidRPr="0062347D">
              <w:rPr>
                <w:rFonts w:eastAsia="MS Mincho" w:cstheme="minorHAnsi"/>
                <w:bCs/>
                <w:color w:val="000000"/>
                <w:sz w:val="24"/>
                <w:szCs w:val="24"/>
                <w:lang w:eastAsia="ja-JP"/>
              </w:rPr>
              <w:t>1,5</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75.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1,9</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93,0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11,7</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5,7</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1,3</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79,0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45,0</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38,0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4,2</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r>
      <w:tr w:rsidR="008F0C0F" w:rsidRPr="0062347D" w:rsidTr="00284F89">
        <w:trPr>
          <w:trHeight w:val="255"/>
        </w:trPr>
        <w:tc>
          <w:tcPr>
            <w:tcW w:w="1771" w:type="dxa"/>
            <w:vMerge w:val="restart"/>
            <w:tcBorders>
              <w:top w:val="nil"/>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Astma (n</w:t>
            </w:r>
            <w:r>
              <w:rPr>
                <w:rFonts w:eastAsia="MS Mincho" w:cstheme="minorHAnsi"/>
                <w:bCs/>
                <w:sz w:val="24"/>
                <w:szCs w:val="24"/>
                <w:lang w:eastAsia="ja-JP"/>
              </w:rPr>
              <w:t> </w:t>
            </w:r>
            <w:r w:rsidRPr="0062347D">
              <w:rPr>
                <w:rFonts w:eastAsia="MS Mincho" w:cstheme="minorHAnsi"/>
                <w:bCs/>
                <w:sz w:val="24"/>
                <w:szCs w:val="24"/>
                <w:lang w:eastAsia="ja-JP"/>
              </w:rPr>
              <w:t>=</w:t>
            </w:r>
            <w:r>
              <w:rPr>
                <w:rFonts w:eastAsia="MS Mincho" w:cstheme="minorHAnsi"/>
                <w:bCs/>
                <w:sz w:val="24"/>
                <w:szCs w:val="24"/>
                <w:lang w:eastAsia="ja-JP"/>
              </w:rPr>
              <w:t> </w:t>
            </w:r>
            <w:r w:rsidRPr="0062347D">
              <w:rPr>
                <w:rFonts w:eastAsia="MS Mincho" w:cstheme="minorHAnsi"/>
                <w:bCs/>
                <w:sz w:val="24"/>
                <w:szCs w:val="24"/>
                <w:lang w:eastAsia="ja-JP"/>
              </w:rPr>
              <w:t>19)</w:t>
            </w: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25.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0,5</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76,8</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0,6</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0,4</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45,5</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27,5</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13,0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0,8</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medián</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0,6</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84,0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6,0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2,0</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68,5</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33,0</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20,5</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color w:val="000000"/>
                <w:sz w:val="24"/>
                <w:szCs w:val="24"/>
                <w:lang w:eastAsia="ja-JP"/>
              </w:rPr>
            </w:pPr>
            <w:r w:rsidRPr="0062347D">
              <w:rPr>
                <w:rFonts w:eastAsia="MS Mincho" w:cstheme="minorHAnsi"/>
                <w:bCs/>
                <w:color w:val="000000"/>
                <w:sz w:val="24"/>
                <w:szCs w:val="24"/>
                <w:lang w:eastAsia="ja-JP"/>
              </w:rPr>
              <w:t>1,9</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0,1</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75.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1,2</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94,0</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12,5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3,8</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8,1</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84,0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53,5</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28,0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3,7</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1,0</w:t>
            </w:r>
          </w:p>
        </w:tc>
      </w:tr>
      <w:tr w:rsidR="008F0C0F" w:rsidRPr="0062347D" w:rsidTr="00284F89">
        <w:trPr>
          <w:trHeight w:val="255"/>
        </w:trPr>
        <w:tc>
          <w:tcPr>
            <w:tcW w:w="1771" w:type="dxa"/>
            <w:vMerge w:val="restart"/>
            <w:tcBorders>
              <w:top w:val="nil"/>
              <w:left w:val="single" w:sz="4" w:space="0" w:color="auto"/>
              <w:bottom w:val="single" w:sz="4" w:space="0" w:color="auto"/>
              <w:right w:val="single" w:sz="4" w:space="0" w:color="auto"/>
            </w:tcBorders>
            <w:noWrap/>
            <w:vAlign w:val="center"/>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IIP (n</w:t>
            </w:r>
            <w:r>
              <w:rPr>
                <w:rFonts w:eastAsia="MS Mincho" w:cstheme="minorHAnsi"/>
                <w:bCs/>
                <w:sz w:val="24"/>
                <w:szCs w:val="24"/>
                <w:lang w:eastAsia="ja-JP"/>
              </w:rPr>
              <w:t> </w:t>
            </w:r>
            <w:r w:rsidRPr="0062347D">
              <w:rPr>
                <w:rFonts w:eastAsia="MS Mincho" w:cstheme="minorHAnsi"/>
                <w:bCs/>
                <w:sz w:val="24"/>
                <w:szCs w:val="24"/>
                <w:lang w:eastAsia="ja-JP"/>
              </w:rPr>
              <w:t>=</w:t>
            </w:r>
            <w:r>
              <w:rPr>
                <w:rFonts w:eastAsia="MS Mincho" w:cstheme="minorHAnsi"/>
                <w:bCs/>
                <w:sz w:val="24"/>
                <w:szCs w:val="24"/>
                <w:lang w:eastAsia="ja-JP"/>
              </w:rPr>
              <w:t> </w:t>
            </w:r>
            <w:r w:rsidRPr="0062347D">
              <w:rPr>
                <w:rFonts w:eastAsia="MS Mincho" w:cstheme="minorHAnsi"/>
                <w:bCs/>
                <w:sz w:val="24"/>
                <w:szCs w:val="24"/>
                <w:lang w:eastAsia="ja-JP"/>
              </w:rPr>
              <w:t>19)</w:t>
            </w: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25.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1,1</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74,6</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6,9</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1,8</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0,1</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66,0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17,5</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20,0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0,6</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medián</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1,5</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82,3</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8,5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2,5</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0,8</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74,0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34,0</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24,0</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color w:val="000000"/>
                <w:sz w:val="24"/>
                <w:szCs w:val="24"/>
                <w:lang w:eastAsia="ja-JP"/>
              </w:rPr>
            </w:pPr>
            <w:r w:rsidRPr="0062347D">
              <w:rPr>
                <w:rFonts w:eastAsia="MS Mincho" w:cstheme="minorHAnsi"/>
                <w:bCs/>
                <w:color w:val="000000"/>
                <w:sz w:val="24"/>
                <w:szCs w:val="24"/>
                <w:lang w:eastAsia="ja-JP"/>
              </w:rPr>
              <w:t>1,3</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bCs/>
                <w:sz w:val="24"/>
                <w:szCs w:val="24"/>
                <w:lang w:eastAsia="ja-JP"/>
              </w:rPr>
            </w:pPr>
            <w:r w:rsidRPr="0062347D">
              <w:rPr>
                <w:rFonts w:eastAsia="MS Mincho" w:cstheme="minorHAnsi"/>
                <w:bCs/>
                <w:sz w:val="24"/>
                <w:szCs w:val="24"/>
                <w:lang w:eastAsia="ja-JP"/>
              </w:rPr>
              <w:t>0,0</w:t>
            </w:r>
          </w:p>
        </w:tc>
      </w:tr>
      <w:tr w:rsidR="008F0C0F" w:rsidRPr="0062347D" w:rsidTr="00284F89">
        <w:trPr>
          <w:trHeight w:val="255"/>
        </w:trPr>
        <w:tc>
          <w:tcPr>
            <w:tcW w:w="1771" w:type="dxa"/>
            <w:vMerge/>
            <w:tcBorders>
              <w:top w:val="nil"/>
              <w:left w:val="single" w:sz="4" w:space="0" w:color="auto"/>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bCs/>
                <w:sz w:val="24"/>
                <w:szCs w:val="24"/>
                <w:lang w:eastAsia="ja-JP"/>
              </w:rPr>
            </w:pPr>
          </w:p>
        </w:tc>
        <w:tc>
          <w:tcPr>
            <w:tcW w:w="1122"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75. </w:t>
            </w:r>
          </w:p>
        </w:tc>
        <w:tc>
          <w:tcPr>
            <w:tcW w:w="1439"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2,4</w:t>
            </w:r>
          </w:p>
        </w:tc>
        <w:tc>
          <w:tcPr>
            <w:tcW w:w="126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89,6</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14,6</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5,8</w:t>
            </w:r>
          </w:p>
        </w:tc>
        <w:tc>
          <w:tcPr>
            <w:tcW w:w="1276"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4,5</w:t>
            </w:r>
          </w:p>
        </w:tc>
        <w:tc>
          <w:tcPr>
            <w:tcW w:w="850"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90,0</w:t>
            </w:r>
          </w:p>
        </w:tc>
        <w:tc>
          <w:tcPr>
            <w:tcW w:w="708"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55,5</w:t>
            </w:r>
          </w:p>
        </w:tc>
        <w:tc>
          <w:tcPr>
            <w:tcW w:w="697" w:type="dxa"/>
            <w:tcBorders>
              <w:top w:val="nil"/>
              <w:left w:val="nil"/>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41,5</w:t>
            </w:r>
          </w:p>
        </w:tc>
        <w:tc>
          <w:tcPr>
            <w:tcW w:w="1265" w:type="dxa"/>
            <w:tcBorders>
              <w:top w:val="single" w:sz="4" w:space="0" w:color="auto"/>
              <w:left w:val="nil"/>
              <w:bottom w:val="single" w:sz="4" w:space="0" w:color="auto"/>
              <w:right w:val="single" w:sz="4" w:space="0" w:color="auto"/>
            </w:tcBorders>
            <w:vAlign w:val="center"/>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3,0</w:t>
            </w:r>
          </w:p>
        </w:tc>
        <w:tc>
          <w:tcPr>
            <w:tcW w:w="851" w:type="dxa"/>
            <w:tcBorders>
              <w:top w:val="nil"/>
              <w:left w:val="single" w:sz="4" w:space="0" w:color="auto"/>
              <w:bottom w:val="single" w:sz="4" w:space="0" w:color="auto"/>
              <w:right w:val="single" w:sz="4" w:space="0" w:color="auto"/>
            </w:tcBorders>
            <w:noWrap/>
            <w:vAlign w:val="bottom"/>
            <w:hideMark/>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1,0</w:t>
            </w:r>
          </w:p>
        </w:tc>
      </w:tr>
    </w:tbl>
    <w:p w:rsidR="008F0C0F" w:rsidRPr="0062347D" w:rsidRDefault="008F0C0F" w:rsidP="00284F89">
      <w:pPr>
        <w:ind w:left="851"/>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spacing w:line="360" w:lineRule="auto"/>
        <w:ind w:firstLine="709"/>
        <w:jc w:val="both"/>
        <w:rPr>
          <w:rFonts w:cstheme="minorHAnsi"/>
          <w:sz w:val="24"/>
          <w:szCs w:val="24"/>
        </w:rPr>
      </w:pPr>
    </w:p>
    <w:p w:rsidR="008F0C0F" w:rsidRPr="0062347D" w:rsidRDefault="008F0C0F" w:rsidP="00284F89">
      <w:pPr>
        <w:ind w:left="993"/>
        <w:rPr>
          <w:rFonts w:cstheme="minorHAnsi"/>
          <w:sz w:val="24"/>
          <w:szCs w:val="24"/>
        </w:rPr>
        <w:sectPr w:rsidR="008F0C0F" w:rsidRPr="0062347D" w:rsidSect="00D47ADA">
          <w:pgSz w:w="16838" w:h="11906" w:orient="landscape"/>
          <w:pgMar w:top="1418" w:right="992" w:bottom="1418" w:left="1418" w:header="709" w:footer="709" w:gutter="0"/>
          <w:cols w:space="708"/>
          <w:docGrid w:linePitch="360"/>
        </w:sectPr>
      </w:pPr>
      <w:r w:rsidRPr="0062347D">
        <w:rPr>
          <w:rFonts w:cstheme="minorHAnsi"/>
          <w:b/>
          <w:sz w:val="24"/>
          <w:szCs w:val="24"/>
        </w:rPr>
        <w:t>Legenda k Tabulce 3:</w:t>
      </w:r>
      <w:r w:rsidRPr="0062347D">
        <w:rPr>
          <w:rFonts w:cstheme="minorHAnsi"/>
          <w:sz w:val="24"/>
          <w:szCs w:val="24"/>
        </w:rPr>
        <w:t xml:space="preserve"> K</w:t>
      </w:r>
      <w:r>
        <w:rPr>
          <w:rFonts w:cstheme="minorHAnsi"/>
          <w:sz w:val="24"/>
          <w:szCs w:val="24"/>
        </w:rPr>
        <w:t xml:space="preserve"> </w:t>
      </w:r>
      <w:r w:rsidRPr="0062347D">
        <w:rPr>
          <w:rFonts w:cstheme="minorHAnsi"/>
          <w:sz w:val="24"/>
          <w:szCs w:val="24"/>
        </w:rPr>
        <w:t>=</w:t>
      </w:r>
      <w:r w:rsidR="000C5873">
        <w:rPr>
          <w:rFonts w:cstheme="minorHAnsi"/>
          <w:sz w:val="24"/>
          <w:szCs w:val="24"/>
        </w:rPr>
        <w:t xml:space="preserve"> zdravé kontroly</w:t>
      </w:r>
      <w:r w:rsidRPr="0062347D">
        <w:rPr>
          <w:rFonts w:cstheme="minorHAnsi"/>
          <w:sz w:val="24"/>
          <w:szCs w:val="24"/>
        </w:rPr>
        <w:t>, S</w:t>
      </w:r>
      <w:r>
        <w:rPr>
          <w:rFonts w:cstheme="minorHAnsi"/>
          <w:sz w:val="24"/>
          <w:szCs w:val="24"/>
        </w:rPr>
        <w:t xml:space="preserve"> </w:t>
      </w:r>
      <w:r w:rsidRPr="0062347D">
        <w:rPr>
          <w:rFonts w:cstheme="minorHAnsi"/>
          <w:sz w:val="24"/>
          <w:szCs w:val="24"/>
        </w:rPr>
        <w:t>= pacienti s plicní sarkoidózou, CHOPN</w:t>
      </w:r>
      <w:r>
        <w:rPr>
          <w:rFonts w:cstheme="minorHAnsi"/>
          <w:sz w:val="24"/>
          <w:szCs w:val="24"/>
        </w:rPr>
        <w:t xml:space="preserve"> </w:t>
      </w:r>
      <w:r w:rsidRPr="0062347D">
        <w:rPr>
          <w:rFonts w:cstheme="minorHAnsi"/>
          <w:sz w:val="24"/>
          <w:szCs w:val="24"/>
        </w:rPr>
        <w:t>= chronická obstrukční plicní nemoc, IIP</w:t>
      </w:r>
      <w:r>
        <w:rPr>
          <w:rFonts w:cstheme="minorHAnsi"/>
          <w:sz w:val="24"/>
          <w:szCs w:val="24"/>
        </w:rPr>
        <w:t xml:space="preserve"> </w:t>
      </w:r>
      <w:r w:rsidRPr="0062347D">
        <w:rPr>
          <w:rFonts w:cstheme="minorHAnsi"/>
          <w:sz w:val="24"/>
          <w:szCs w:val="24"/>
        </w:rPr>
        <w:t>= idiopatická intersticiální pneumonie.</w:t>
      </w:r>
    </w:p>
    <w:p w:rsidR="00284AFD" w:rsidRPr="00284AFD" w:rsidRDefault="00284AFD" w:rsidP="00284AFD">
      <w:pPr>
        <w:spacing w:line="360" w:lineRule="auto"/>
        <w:ind w:firstLine="709"/>
        <w:jc w:val="both"/>
        <w:rPr>
          <w:rFonts w:cstheme="minorHAnsi"/>
          <w:sz w:val="24"/>
          <w:szCs w:val="24"/>
        </w:rPr>
      </w:pPr>
      <w:r w:rsidRPr="00284AFD">
        <w:rPr>
          <w:rFonts w:cstheme="minorHAnsi"/>
          <w:sz w:val="24"/>
          <w:szCs w:val="24"/>
        </w:rPr>
        <w:lastRenderedPageBreak/>
        <w:t xml:space="preserve">Vzorky </w:t>
      </w:r>
      <w:r>
        <w:rPr>
          <w:rFonts w:cstheme="minorHAnsi"/>
          <w:sz w:val="24"/>
          <w:szCs w:val="24"/>
        </w:rPr>
        <w:t>bronchoalveolární laváže</w:t>
      </w:r>
      <w:r w:rsidRPr="00284AFD">
        <w:rPr>
          <w:rFonts w:cstheme="minorHAnsi"/>
          <w:sz w:val="24"/>
          <w:szCs w:val="24"/>
        </w:rPr>
        <w:t xml:space="preserve"> (krve) byly získány od pacientů se sarkoidózou/ zdravých kontrol/ CHOPN/ astma/ IIP pacientů kteří nikdy nekouřili (35(6)/13/8/9/9), byli ex-kuuřáci po dobu nejméně dvou let (11(3)/6/14/6/4) a ti co v době odběru vzorků kouřili (2(0)/4/8/3/4). Informace o kouření nebyla dostupná u 2/0/0/1/2 subjektů sarkoidózou/ zdravých kontrol/ CHOPN/ astma/IIP.</w:t>
      </w:r>
      <w:r>
        <w:rPr>
          <w:rFonts w:cstheme="minorHAnsi"/>
          <w:sz w:val="24"/>
          <w:szCs w:val="24"/>
        </w:rPr>
        <w:t xml:space="preserve"> V čase odběru BAL (krve), 33 (4) pacientů s plicní sarkoidózou, 15 pacientů s IIP </w:t>
      </w:r>
      <w:r w:rsidR="00FB3FC2">
        <w:rPr>
          <w:rFonts w:cstheme="minorHAnsi"/>
          <w:sz w:val="24"/>
          <w:szCs w:val="24"/>
        </w:rPr>
        <w:t>mělo steroidní léčbu. 21 pacientů s CHOPN a 15 pacientů s</w:t>
      </w:r>
      <w:r w:rsidR="000C5873">
        <w:rPr>
          <w:rFonts w:cstheme="minorHAnsi"/>
          <w:sz w:val="24"/>
          <w:szCs w:val="24"/>
        </w:rPr>
        <w:t> </w:t>
      </w:r>
      <w:r w:rsidR="00FB3FC2">
        <w:rPr>
          <w:rFonts w:cstheme="minorHAnsi"/>
          <w:sz w:val="24"/>
          <w:szCs w:val="24"/>
        </w:rPr>
        <w:t>astmatem</w:t>
      </w:r>
      <w:r w:rsidR="000C5873">
        <w:rPr>
          <w:rFonts w:cstheme="minorHAnsi"/>
          <w:sz w:val="24"/>
          <w:szCs w:val="24"/>
        </w:rPr>
        <w:t xml:space="preserve"> </w:t>
      </w:r>
      <w:r w:rsidR="00FB3FC2">
        <w:rPr>
          <w:rFonts w:cstheme="minorHAnsi"/>
          <w:sz w:val="24"/>
          <w:szCs w:val="24"/>
        </w:rPr>
        <w:t xml:space="preserve">bylo také léčeno steroidními přípravky. Žádný ze zdravých subjektů neměl </w:t>
      </w:r>
      <w:r w:rsidR="005156A3">
        <w:rPr>
          <w:rFonts w:cstheme="minorHAnsi"/>
          <w:sz w:val="24"/>
          <w:szCs w:val="24"/>
        </w:rPr>
        <w:t xml:space="preserve">chronické respirační </w:t>
      </w:r>
      <w:r w:rsidR="00FB3FC2">
        <w:rPr>
          <w:rFonts w:cstheme="minorHAnsi"/>
          <w:sz w:val="24"/>
          <w:szCs w:val="24"/>
        </w:rPr>
        <w:t xml:space="preserve">příznaky </w:t>
      </w:r>
      <w:r w:rsidR="005156A3">
        <w:rPr>
          <w:rFonts w:cstheme="minorHAnsi"/>
          <w:sz w:val="24"/>
          <w:szCs w:val="24"/>
        </w:rPr>
        <w:t xml:space="preserve">a měli normální BAL buněčný profil. </w:t>
      </w:r>
    </w:p>
    <w:p w:rsidR="008F0C0F" w:rsidRPr="0062347D" w:rsidRDefault="008F0C0F" w:rsidP="00284F89">
      <w:pPr>
        <w:pStyle w:val="Nadpis3"/>
        <w:jc w:val="both"/>
        <w:rPr>
          <w:rFonts w:cstheme="minorHAnsi"/>
          <w:szCs w:val="24"/>
        </w:rPr>
      </w:pPr>
      <w:bookmarkStart w:id="35" w:name="_Toc69543026"/>
      <w:r w:rsidRPr="0062347D">
        <w:rPr>
          <w:rFonts w:cstheme="minorHAnsi"/>
          <w:szCs w:val="24"/>
        </w:rPr>
        <w:t>Izolace mRNA z</w:t>
      </w:r>
      <w:r w:rsidRPr="003329E2">
        <w:rPr>
          <w:rFonts w:cstheme="minorHAnsi"/>
          <w:szCs w:val="24"/>
        </w:rPr>
        <w:t xml:space="preserve"> bronchoalveolárních </w:t>
      </w:r>
      <w:r w:rsidRPr="00E663BF">
        <w:rPr>
          <w:rFonts w:cstheme="minorHAnsi"/>
          <w:szCs w:val="24"/>
        </w:rPr>
        <w:t>buněk</w:t>
      </w:r>
      <w:r w:rsidRPr="004E5649">
        <w:rPr>
          <w:rFonts w:cstheme="minorHAnsi"/>
          <w:szCs w:val="24"/>
        </w:rPr>
        <w:t xml:space="preserve"> a studium mRNA exprese RNA-vazebných proteinů a inhibitorů matrix metaloproteináz </w:t>
      </w:r>
      <w:r w:rsidRPr="00B24D8C">
        <w:rPr>
          <w:rFonts w:cstheme="minorHAnsi"/>
          <w:szCs w:val="24"/>
        </w:rPr>
        <w:t xml:space="preserve">pomocí </w:t>
      </w:r>
      <w:r w:rsidRPr="0062347D">
        <w:rPr>
          <w:rFonts w:cstheme="minorHAnsi"/>
          <w:szCs w:val="24"/>
        </w:rPr>
        <w:t>PCR v reálném čase</w:t>
      </w:r>
      <w:bookmarkEnd w:id="35"/>
    </w:p>
    <w:p w:rsidR="008F0C0F" w:rsidRPr="0062347D" w:rsidRDefault="008F0C0F" w:rsidP="00284F89">
      <w:pPr>
        <w:spacing w:before="240" w:line="360" w:lineRule="auto"/>
        <w:ind w:firstLine="709"/>
        <w:jc w:val="both"/>
        <w:rPr>
          <w:rFonts w:cstheme="minorHAnsi"/>
          <w:sz w:val="24"/>
          <w:szCs w:val="24"/>
        </w:rPr>
      </w:pPr>
      <w:r w:rsidRPr="0062347D">
        <w:rPr>
          <w:rFonts w:cstheme="minorHAnsi"/>
          <w:sz w:val="24"/>
          <w:szCs w:val="24"/>
        </w:rPr>
        <w:t xml:space="preserve">Bronchoalveolární buňky byly získány z tekutiny laváže centrifugací </w:t>
      </w:r>
      <w:r w:rsidRPr="0062347D">
        <w:rPr>
          <w:rFonts w:cstheme="minorHAnsi"/>
          <w:noProof/>
          <w:sz w:val="24"/>
          <w:szCs w:val="24"/>
        </w:rPr>
        <w:t>(Petrek, Gibejova et al. 2002)</w:t>
      </w:r>
      <w:r w:rsidRPr="0062347D">
        <w:rPr>
          <w:rFonts w:cstheme="minorHAnsi"/>
          <w:sz w:val="24"/>
          <w:szCs w:val="24"/>
        </w:rPr>
        <w:t xml:space="preserve">. Z buněk byla izolována celková RNA pomocí </w:t>
      </w:r>
      <w:r w:rsidRPr="00C87449">
        <w:rPr>
          <w:rFonts w:cstheme="minorHAnsi"/>
          <w:sz w:val="24"/>
          <w:szCs w:val="24"/>
        </w:rPr>
        <w:t>High Pure</w:t>
      </w:r>
      <w:r w:rsidRPr="0062347D">
        <w:rPr>
          <w:rFonts w:cstheme="minorHAnsi"/>
          <w:sz w:val="24"/>
          <w:szCs w:val="24"/>
        </w:rPr>
        <w:t xml:space="preserve"> miRNA kitu (Roche, Německo). Reverzní transkripce byla provedena pomocí </w:t>
      </w:r>
      <w:r>
        <w:rPr>
          <w:rFonts w:cstheme="minorHAnsi"/>
          <w:sz w:val="24"/>
          <w:szCs w:val="24"/>
        </w:rPr>
        <w:t xml:space="preserve">chemikálií obsažených v </w:t>
      </w:r>
      <w:r w:rsidRPr="00C87449">
        <w:rPr>
          <w:rFonts w:cstheme="minorHAnsi"/>
          <w:sz w:val="24"/>
          <w:szCs w:val="24"/>
        </w:rPr>
        <w:t>Transcriptor First Strand cDNA Synthesis Kit</w:t>
      </w:r>
      <w:r>
        <w:rPr>
          <w:rFonts w:cstheme="minorHAnsi"/>
          <w:sz w:val="24"/>
          <w:szCs w:val="24"/>
        </w:rPr>
        <w:t>u</w:t>
      </w:r>
      <w:r w:rsidRPr="0062347D">
        <w:rPr>
          <w:rFonts w:cstheme="minorHAnsi"/>
          <w:sz w:val="24"/>
          <w:szCs w:val="24"/>
        </w:rPr>
        <w:t xml:space="preserve"> (Roche, Německo).</w:t>
      </w:r>
    </w:p>
    <w:p w:rsidR="008F0C0F" w:rsidRPr="0062347D" w:rsidRDefault="008F0C0F" w:rsidP="00284F89">
      <w:pPr>
        <w:spacing w:before="240" w:line="360" w:lineRule="auto"/>
        <w:ind w:firstLine="709"/>
        <w:jc w:val="both"/>
        <w:rPr>
          <w:rFonts w:cstheme="minorHAnsi"/>
          <w:sz w:val="24"/>
          <w:szCs w:val="24"/>
        </w:rPr>
      </w:pPr>
      <w:r w:rsidRPr="0062347D">
        <w:rPr>
          <w:rFonts w:cstheme="minorHAnsi"/>
          <w:sz w:val="24"/>
          <w:szCs w:val="24"/>
        </w:rPr>
        <w:t>Pro studium relativní exprese mRNA v buňkách bronchoalveolární laváže byl jako referenční gen vybrán PSMB2 (</w:t>
      </w:r>
      <w:r w:rsidRPr="00C87449">
        <w:rPr>
          <w:rFonts w:eastAsia="MS Mincho" w:cstheme="minorHAnsi"/>
          <w:bCs/>
          <w:sz w:val="24"/>
          <w:szCs w:val="24"/>
          <w:lang w:eastAsia="ja-JP"/>
        </w:rPr>
        <w:t xml:space="preserve">Homo sapiens proteasome (prosome, macropain) subunit, beta type, 2). </w:t>
      </w:r>
      <w:r w:rsidRPr="0062347D">
        <w:rPr>
          <w:rFonts w:cstheme="minorHAnsi"/>
          <w:sz w:val="24"/>
          <w:szCs w:val="24"/>
        </w:rPr>
        <w:t>Podmínky reakce a použitý referenční gen jsou popsány v práci Krie</w:t>
      </w:r>
      <w:r w:rsidRPr="003329E2">
        <w:rPr>
          <w:rFonts w:cstheme="minorHAnsi"/>
          <w:sz w:val="24"/>
          <w:szCs w:val="24"/>
        </w:rPr>
        <w:t xml:space="preserve">gová </w:t>
      </w:r>
      <w:r w:rsidRPr="00E663BF">
        <w:rPr>
          <w:rFonts w:cstheme="minorHAnsi"/>
          <w:i/>
          <w:sz w:val="24"/>
          <w:szCs w:val="24"/>
        </w:rPr>
        <w:t>et al.</w:t>
      </w:r>
      <w:r w:rsidRPr="004E5649">
        <w:rPr>
          <w:rFonts w:cstheme="minorHAnsi"/>
          <w:sz w:val="24"/>
          <w:szCs w:val="24"/>
        </w:rPr>
        <w:t xml:space="preserve"> (</w:t>
      </w:r>
      <w:proofErr w:type="gramStart"/>
      <w:r w:rsidRPr="004E5649">
        <w:rPr>
          <w:rFonts w:cstheme="minorHAnsi"/>
          <w:sz w:val="24"/>
          <w:szCs w:val="24"/>
        </w:rPr>
        <w:t xml:space="preserve">2008) </w:t>
      </w:r>
      <w:r w:rsidRPr="0062347D">
        <w:rPr>
          <w:rFonts w:cstheme="minorHAnsi"/>
          <w:noProof/>
          <w:sz w:val="24"/>
          <w:szCs w:val="24"/>
        </w:rPr>
        <w:t>(Kriegova</w:t>
      </w:r>
      <w:proofErr w:type="gramEnd"/>
      <w:r w:rsidRPr="0062347D">
        <w:rPr>
          <w:rFonts w:cstheme="minorHAnsi"/>
          <w:noProof/>
          <w:sz w:val="24"/>
          <w:szCs w:val="24"/>
        </w:rPr>
        <w:t>, Arakelyan et al. 2008)</w:t>
      </w:r>
      <w:r w:rsidRPr="0062347D">
        <w:rPr>
          <w:rFonts w:cstheme="minorHAnsi"/>
          <w:sz w:val="24"/>
          <w:szCs w:val="24"/>
        </w:rPr>
        <w:t xml:space="preserve">. Po </w:t>
      </w:r>
      <w:r w:rsidRPr="003329E2">
        <w:rPr>
          <w:rFonts w:cstheme="minorHAnsi"/>
          <w:sz w:val="24"/>
          <w:szCs w:val="24"/>
        </w:rPr>
        <w:t>fázi počáteční denaturace</w:t>
      </w:r>
      <w:r w:rsidRPr="00E663BF">
        <w:rPr>
          <w:rFonts w:cstheme="minorHAnsi"/>
          <w:sz w:val="24"/>
          <w:szCs w:val="24"/>
        </w:rPr>
        <w:t xml:space="preserve"> (94</w:t>
      </w:r>
      <w:r>
        <w:rPr>
          <w:rFonts w:cstheme="minorHAnsi"/>
          <w:sz w:val="24"/>
          <w:szCs w:val="24"/>
        </w:rPr>
        <w:t xml:space="preserve"> </w:t>
      </w:r>
      <w:r w:rsidRPr="00E663BF">
        <w:rPr>
          <w:rFonts w:cstheme="minorHAnsi"/>
          <w:sz w:val="24"/>
          <w:szCs w:val="24"/>
        </w:rPr>
        <w:t>°C, 15 min) byla provedena amplifikace cDNA, získané reverzní transkripcí,</w:t>
      </w:r>
      <w:r w:rsidRPr="004E5649">
        <w:rPr>
          <w:rFonts w:cstheme="minorHAnsi"/>
          <w:sz w:val="24"/>
          <w:szCs w:val="24"/>
        </w:rPr>
        <w:t xml:space="preserve"> ve čtyřiceti cyklech (94</w:t>
      </w:r>
      <w:r>
        <w:rPr>
          <w:rFonts w:cstheme="minorHAnsi"/>
          <w:sz w:val="24"/>
          <w:szCs w:val="24"/>
        </w:rPr>
        <w:t> </w:t>
      </w:r>
      <w:r w:rsidRPr="004E5649">
        <w:rPr>
          <w:rFonts w:cstheme="minorHAnsi"/>
          <w:sz w:val="24"/>
          <w:szCs w:val="24"/>
        </w:rPr>
        <w:t>°C, 45 s a 60</w:t>
      </w:r>
      <w:r>
        <w:rPr>
          <w:rFonts w:cstheme="minorHAnsi"/>
          <w:sz w:val="24"/>
          <w:szCs w:val="24"/>
        </w:rPr>
        <w:t> </w:t>
      </w:r>
      <w:r w:rsidRPr="004E5649">
        <w:rPr>
          <w:rFonts w:cstheme="minorHAnsi"/>
          <w:sz w:val="24"/>
          <w:szCs w:val="24"/>
        </w:rPr>
        <w:t xml:space="preserve">°C, 30 s) pomocí přístroje </w:t>
      </w:r>
      <w:r w:rsidRPr="004E5649">
        <w:rPr>
          <w:rFonts w:eastAsia="Calibri" w:cstheme="minorHAnsi"/>
          <w:sz w:val="24"/>
          <w:szCs w:val="24"/>
        </w:rPr>
        <w:t>RotorGene3000 (Corbett Research, Sydney, Austrálie). Relativní exprese byla vypočtena s</w:t>
      </w:r>
      <w:r>
        <w:rPr>
          <w:rFonts w:eastAsia="Calibri" w:cstheme="minorHAnsi"/>
          <w:sz w:val="24"/>
          <w:szCs w:val="24"/>
        </w:rPr>
        <w:t> </w:t>
      </w:r>
      <w:r w:rsidRPr="0062347D">
        <w:rPr>
          <w:rFonts w:eastAsia="Calibri" w:cstheme="minorHAnsi"/>
          <w:sz w:val="24"/>
          <w:szCs w:val="24"/>
        </w:rPr>
        <w:t xml:space="preserve">použitím metody druhé derivace (RotorGene Software </w:t>
      </w:r>
      <w:proofErr w:type="gramStart"/>
      <w:r w:rsidRPr="0062347D">
        <w:rPr>
          <w:rFonts w:eastAsia="Calibri" w:cstheme="minorHAnsi"/>
          <w:sz w:val="24"/>
          <w:szCs w:val="24"/>
        </w:rPr>
        <w:t>6.1.71</w:t>
      </w:r>
      <w:proofErr w:type="gramEnd"/>
      <w:r w:rsidRPr="0062347D">
        <w:rPr>
          <w:rFonts w:eastAsia="Calibri" w:cstheme="minorHAnsi"/>
          <w:sz w:val="24"/>
          <w:szCs w:val="24"/>
        </w:rPr>
        <w:t xml:space="preserve">, Corbett Research, Sydney, Austrálie). Jako kalibrátor sloužila cDNA, která byla přepsána z lidské univerzální referenční RNA (Stratagene, La Jolla, CA, USA) při vstupní koncentraci 1,25 ng/5μl RNA. </w:t>
      </w:r>
      <w:r w:rsidRPr="0062347D">
        <w:rPr>
          <w:rFonts w:cstheme="minorHAnsi"/>
          <w:sz w:val="24"/>
          <w:szCs w:val="24"/>
        </w:rPr>
        <w:t>Celé názvy genů, odpovídající sekvence primerů a sonda, pro geny</w:t>
      </w:r>
      <w:r>
        <w:rPr>
          <w:rFonts w:cstheme="minorHAnsi"/>
          <w:sz w:val="24"/>
          <w:szCs w:val="24"/>
        </w:rPr>
        <w:t>,</w:t>
      </w:r>
      <w:r w:rsidRPr="0062347D">
        <w:rPr>
          <w:rFonts w:cstheme="minorHAnsi"/>
          <w:sz w:val="24"/>
          <w:szCs w:val="24"/>
        </w:rPr>
        <w:t xml:space="preserve"> u kterých byla měřena mRNA exprese, jsou uvedeny v </w:t>
      </w:r>
      <w:r w:rsidRPr="0062347D">
        <w:rPr>
          <w:rFonts w:cstheme="minorHAnsi"/>
          <w:b/>
          <w:sz w:val="24"/>
          <w:szCs w:val="24"/>
        </w:rPr>
        <w:t>Tabulce 4</w:t>
      </w:r>
      <w:r w:rsidRPr="0062347D">
        <w:rPr>
          <w:rFonts w:cstheme="minorHAnsi"/>
          <w:sz w:val="24"/>
          <w:szCs w:val="24"/>
        </w:rPr>
        <w:t>.</w:t>
      </w:r>
    </w:p>
    <w:p w:rsidR="008F0C0F" w:rsidRPr="0062347D" w:rsidRDefault="008F0C0F">
      <w:pPr>
        <w:rPr>
          <w:rFonts w:cstheme="minorHAnsi"/>
          <w:sz w:val="24"/>
          <w:szCs w:val="24"/>
        </w:rPr>
      </w:pPr>
      <w:r w:rsidRPr="0062347D">
        <w:rPr>
          <w:rFonts w:cstheme="minorHAnsi"/>
          <w:sz w:val="24"/>
          <w:szCs w:val="24"/>
        </w:rPr>
        <w:br w:type="page"/>
      </w:r>
    </w:p>
    <w:p w:rsidR="008F0C0F" w:rsidRPr="0062347D" w:rsidRDefault="008F0C0F" w:rsidP="00284F89">
      <w:pPr>
        <w:spacing w:before="240" w:line="360" w:lineRule="auto"/>
        <w:ind w:firstLine="709"/>
        <w:jc w:val="both"/>
        <w:rPr>
          <w:rFonts w:cstheme="minorHAnsi"/>
          <w:sz w:val="24"/>
          <w:szCs w:val="24"/>
        </w:rPr>
        <w:sectPr w:rsidR="008F0C0F" w:rsidRPr="0062347D" w:rsidSect="00D47ADA">
          <w:pgSz w:w="11906" w:h="16838"/>
          <w:pgMar w:top="992" w:right="1418" w:bottom="1418" w:left="1418" w:header="709" w:footer="709" w:gutter="0"/>
          <w:cols w:space="708"/>
          <w:docGrid w:linePitch="360"/>
        </w:sectPr>
      </w:pPr>
    </w:p>
    <w:tbl>
      <w:tblPr>
        <w:tblpPr w:leftFromText="141" w:rightFromText="141" w:vertAnchor="page" w:horzAnchor="margin" w:tblpXSpec="center" w:tblpY="1958"/>
        <w:tblW w:w="13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2520"/>
        <w:gridCol w:w="2760"/>
        <w:gridCol w:w="1938"/>
        <w:gridCol w:w="2279"/>
        <w:gridCol w:w="942"/>
      </w:tblGrid>
      <w:tr w:rsidR="008F0C0F" w:rsidRPr="0062347D" w:rsidTr="00284F89">
        <w:tc>
          <w:tcPr>
            <w:tcW w:w="1668" w:type="dxa"/>
          </w:tcPr>
          <w:p w:rsidR="008F0C0F" w:rsidRPr="0062347D" w:rsidRDefault="008F0C0F" w:rsidP="00284F89">
            <w:pPr>
              <w:spacing w:after="0" w:line="240" w:lineRule="auto"/>
              <w:jc w:val="both"/>
              <w:rPr>
                <w:rFonts w:eastAsia="MS Mincho" w:cstheme="minorHAnsi"/>
                <w:sz w:val="24"/>
                <w:szCs w:val="24"/>
                <w:lang w:eastAsia="ja-JP"/>
              </w:rPr>
            </w:pPr>
          </w:p>
        </w:tc>
        <w:tc>
          <w:tcPr>
            <w:tcW w:w="1134"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Zkratka genu</w:t>
            </w:r>
          </w:p>
        </w:tc>
        <w:tc>
          <w:tcPr>
            <w:tcW w:w="2520" w:type="dxa"/>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Název genu anglicky</w:t>
            </w:r>
          </w:p>
        </w:tc>
        <w:tc>
          <w:tcPr>
            <w:tcW w:w="2760" w:type="dxa"/>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Obecná funkce</w:t>
            </w:r>
            <w:r w:rsidR="005A3AE1">
              <w:rPr>
                <w:rFonts w:eastAsia="MS Mincho" w:cstheme="minorHAnsi"/>
                <w:sz w:val="24"/>
                <w:szCs w:val="24"/>
                <w:lang w:eastAsia="ja-JP"/>
              </w:rPr>
              <w:t xml:space="preserve"> (velmi zkráceně)</w:t>
            </w:r>
          </w:p>
        </w:tc>
        <w:tc>
          <w:tcPr>
            <w:tcW w:w="1938"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 xml:space="preserve">Přístupové číslo v </w:t>
            </w:r>
            <w:r w:rsidRPr="00C87449">
              <w:rPr>
                <w:rFonts w:eastAsia="MS Mincho" w:cstheme="minorHAnsi"/>
                <w:sz w:val="24"/>
                <w:szCs w:val="24"/>
                <w:lang w:eastAsia="ja-JP"/>
              </w:rPr>
              <w:t>GeneBank</w:t>
            </w:r>
          </w:p>
        </w:tc>
        <w:tc>
          <w:tcPr>
            <w:tcW w:w="2279" w:type="dxa"/>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E663BF">
              <w:rPr>
                <w:rFonts w:eastAsia="MS Mincho" w:cstheme="minorHAnsi"/>
                <w:sz w:val="24"/>
                <w:szCs w:val="24"/>
                <w:lang w:eastAsia="ja-JP"/>
              </w:rPr>
              <w:t>Sekvence forward a reverse primerů</w:t>
            </w:r>
          </w:p>
        </w:tc>
        <w:tc>
          <w:tcPr>
            <w:tcW w:w="942"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LNA sonda</w:t>
            </w:r>
          </w:p>
        </w:tc>
      </w:tr>
      <w:tr w:rsidR="008F0C0F" w:rsidRPr="0062347D" w:rsidTr="00284F89">
        <w:tc>
          <w:tcPr>
            <w:tcW w:w="1668" w:type="dxa"/>
            <w:vMerge w:val="restart"/>
          </w:tcPr>
          <w:p w:rsidR="008F0C0F" w:rsidRPr="0062347D" w:rsidRDefault="008F0C0F" w:rsidP="00284F89">
            <w:pPr>
              <w:spacing w:after="0" w:line="240" w:lineRule="auto"/>
              <w:rPr>
                <w:rFonts w:eastAsia="MS Mincho" w:cstheme="minorHAnsi"/>
                <w:sz w:val="24"/>
                <w:szCs w:val="24"/>
                <w:lang w:eastAsia="ja-JP"/>
              </w:rPr>
            </w:pPr>
            <w:r w:rsidRPr="0062347D">
              <w:rPr>
                <w:rFonts w:eastAsia="MS Mincho" w:cstheme="minorHAnsi"/>
                <w:sz w:val="24"/>
                <w:szCs w:val="24"/>
                <w:lang w:eastAsia="ja-JP"/>
              </w:rPr>
              <w:t>RNA-vazebný protein</w:t>
            </w: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AUF1</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Human AU-rich element RNA-binding protein AUF1 mRNA, complete cds</w:t>
            </w:r>
          </w:p>
        </w:tc>
        <w:tc>
          <w:tcPr>
            <w:tcW w:w="2760" w:type="dxa"/>
            <w:vMerge w:val="restart"/>
            <w:vAlign w:val="center"/>
          </w:tcPr>
          <w:p w:rsidR="008F0C0F" w:rsidRPr="00E663BF" w:rsidRDefault="008F0C0F" w:rsidP="00284F89">
            <w:pPr>
              <w:spacing w:after="0" w:line="240" w:lineRule="auto"/>
              <w:jc w:val="center"/>
              <w:rPr>
                <w:rFonts w:eastAsia="MS Mincho" w:cstheme="minorHAnsi"/>
                <w:sz w:val="24"/>
                <w:szCs w:val="24"/>
                <w:lang w:eastAsia="ja-JP"/>
              </w:rPr>
            </w:pPr>
            <w:r w:rsidRPr="0062347D">
              <w:rPr>
                <w:rFonts w:eastAsia="MS Mincho" w:cstheme="minorHAnsi"/>
                <w:sz w:val="24"/>
                <w:szCs w:val="24"/>
                <w:lang w:eastAsia="ja-JP"/>
              </w:rPr>
              <w:t xml:space="preserve">mRNA destabilizace při vazbě na </w:t>
            </w:r>
            <w:proofErr w:type="gramStart"/>
            <w:r w:rsidRPr="0062347D">
              <w:rPr>
                <w:rFonts w:eastAsia="MS Mincho" w:cstheme="minorHAnsi"/>
                <w:sz w:val="24"/>
                <w:szCs w:val="24"/>
                <w:lang w:eastAsia="ja-JP"/>
              </w:rPr>
              <w:t>ARE</w:t>
            </w:r>
            <w:proofErr w:type="gramEnd"/>
            <w:r w:rsidRPr="0062347D">
              <w:rPr>
                <w:rFonts w:eastAsia="MS Mincho" w:cstheme="minorHAnsi"/>
                <w:sz w:val="24"/>
                <w:szCs w:val="24"/>
                <w:lang w:eastAsia="ja-JP"/>
              </w:rPr>
              <w:t xml:space="preserve"> sekvenci</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U02019.1</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gc</w:t>
            </w:r>
            <w:r w:rsidRPr="0062347D">
              <w:rPr>
                <w:rFonts w:eastAsia="MS Mincho" w:cstheme="minorHAnsi"/>
                <w:sz w:val="24"/>
                <w:szCs w:val="24"/>
                <w:lang w:eastAsia="ja-JP"/>
              </w:rPr>
              <w:t>gaagattgacgccagta</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#88</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tcccagctaaggcctcctat</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HuR</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Human HuR RNA binding protein (HuR) mRNA</w:t>
            </w:r>
          </w:p>
        </w:tc>
        <w:tc>
          <w:tcPr>
            <w:tcW w:w="2760" w:type="dxa"/>
            <w:vMerge w:val="restart"/>
            <w:vAlign w:val="center"/>
          </w:tcPr>
          <w:p w:rsidR="008F0C0F" w:rsidRPr="00E663BF" w:rsidRDefault="008F0C0F" w:rsidP="00284F89">
            <w:pPr>
              <w:spacing w:after="0" w:line="240" w:lineRule="auto"/>
              <w:jc w:val="center"/>
              <w:rPr>
                <w:rFonts w:eastAsia="MS Mincho" w:cstheme="minorHAnsi"/>
                <w:sz w:val="24"/>
                <w:szCs w:val="24"/>
                <w:lang w:eastAsia="ja-JP"/>
              </w:rPr>
            </w:pPr>
            <w:r w:rsidRPr="0062347D">
              <w:rPr>
                <w:rFonts w:eastAsia="MS Mincho" w:cstheme="minorHAnsi"/>
                <w:sz w:val="24"/>
                <w:szCs w:val="24"/>
                <w:lang w:eastAsia="ja-JP"/>
              </w:rPr>
              <w:t xml:space="preserve">mRNA destabilizace při vazbě na </w:t>
            </w:r>
            <w:proofErr w:type="gramStart"/>
            <w:r w:rsidRPr="0062347D">
              <w:rPr>
                <w:rFonts w:eastAsia="MS Mincho" w:cstheme="minorHAnsi"/>
                <w:sz w:val="24"/>
                <w:szCs w:val="24"/>
                <w:lang w:eastAsia="ja-JP"/>
              </w:rPr>
              <w:t>ARE</w:t>
            </w:r>
            <w:proofErr w:type="gramEnd"/>
            <w:r w:rsidRPr="0062347D">
              <w:rPr>
                <w:rFonts w:eastAsia="MS Mincho" w:cstheme="minorHAnsi"/>
                <w:sz w:val="24"/>
                <w:szCs w:val="24"/>
                <w:lang w:eastAsia="ja-JP"/>
              </w:rPr>
              <w:t xml:space="preserve"> sekvence</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U38175.1</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ccaggcgcagagattcag</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#72</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ggttgtagatgaaaatgcaccag</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NCL</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Homo sapiens nucleolin</w:t>
            </w:r>
          </w:p>
        </w:tc>
        <w:tc>
          <w:tcPr>
            <w:tcW w:w="2760" w:type="dxa"/>
            <w:vMerge w:val="restart"/>
            <w:vAlign w:val="center"/>
          </w:tcPr>
          <w:p w:rsidR="008F0C0F" w:rsidRPr="00E663BF" w:rsidRDefault="005A3AE1" w:rsidP="005A3AE1">
            <w:pPr>
              <w:spacing w:after="0" w:line="240" w:lineRule="auto"/>
              <w:jc w:val="center"/>
              <w:rPr>
                <w:rFonts w:eastAsia="MS Mincho" w:cstheme="minorHAnsi"/>
                <w:sz w:val="24"/>
                <w:szCs w:val="24"/>
                <w:lang w:eastAsia="ja-JP"/>
              </w:rPr>
            </w:pPr>
            <w:r w:rsidRPr="0062347D">
              <w:rPr>
                <w:rFonts w:eastAsia="MS Mincho" w:cstheme="minorHAnsi"/>
                <w:sz w:val="24"/>
                <w:szCs w:val="24"/>
                <w:lang w:eastAsia="ja-JP"/>
              </w:rPr>
              <w:t>biosynt</w:t>
            </w:r>
            <w:r w:rsidRPr="00E663BF">
              <w:rPr>
                <w:rFonts w:eastAsia="MS Mincho" w:cstheme="minorHAnsi"/>
                <w:sz w:val="24"/>
                <w:szCs w:val="24"/>
                <w:lang w:eastAsia="ja-JP"/>
              </w:rPr>
              <w:t>éza</w:t>
            </w:r>
            <w:r w:rsidRPr="0062347D">
              <w:rPr>
                <w:rFonts w:eastAsia="MS Mincho" w:cstheme="minorHAnsi"/>
                <w:sz w:val="24"/>
                <w:szCs w:val="24"/>
                <w:lang w:eastAsia="ja-JP"/>
              </w:rPr>
              <w:t xml:space="preserve"> </w:t>
            </w:r>
            <w:r>
              <w:rPr>
                <w:rFonts w:eastAsia="MS Mincho" w:cstheme="minorHAnsi"/>
                <w:sz w:val="24"/>
                <w:szCs w:val="24"/>
                <w:lang w:eastAsia="ja-JP"/>
              </w:rPr>
              <w:t>r</w:t>
            </w:r>
            <w:r w:rsidR="008F0C0F" w:rsidRPr="0062347D">
              <w:rPr>
                <w:rFonts w:eastAsia="MS Mincho" w:cstheme="minorHAnsi"/>
                <w:sz w:val="24"/>
                <w:szCs w:val="24"/>
                <w:lang w:eastAsia="ja-JP"/>
              </w:rPr>
              <w:t xml:space="preserve">ibosomální RNA </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NM_005381.2</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ccacttgtccgcttcaca</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#70</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tcttggggtcaccttgattt</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TIA</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Human polyadenylate binding protein</w:t>
            </w:r>
          </w:p>
        </w:tc>
        <w:tc>
          <w:tcPr>
            <w:tcW w:w="2760" w:type="dxa"/>
            <w:vMerge w:val="restart"/>
            <w:vAlign w:val="center"/>
          </w:tcPr>
          <w:p w:rsidR="008F0C0F" w:rsidRPr="0062347D" w:rsidRDefault="008F0C0F" w:rsidP="00284F89">
            <w:pPr>
              <w:spacing w:after="0" w:line="240" w:lineRule="auto"/>
              <w:jc w:val="center"/>
              <w:rPr>
                <w:rFonts w:eastAsia="MS Mincho" w:cstheme="minorHAnsi"/>
                <w:sz w:val="24"/>
                <w:szCs w:val="24"/>
                <w:lang w:eastAsia="ja-JP"/>
              </w:rPr>
            </w:pPr>
            <w:r w:rsidRPr="0062347D">
              <w:rPr>
                <w:rFonts w:eastAsia="MS Mincho" w:cstheme="minorHAnsi"/>
                <w:sz w:val="24"/>
                <w:szCs w:val="24"/>
                <w:lang w:eastAsia="ja-JP"/>
              </w:rPr>
              <w:t>Inhibice translace</w:t>
            </w:r>
          </w:p>
        </w:tc>
        <w:tc>
          <w:tcPr>
            <w:tcW w:w="1938" w:type="dxa"/>
            <w:vMerge w:val="restart"/>
            <w:shd w:val="clear" w:color="auto" w:fill="auto"/>
          </w:tcPr>
          <w:p w:rsidR="008F0C0F" w:rsidRPr="00E663BF" w:rsidRDefault="008F0C0F" w:rsidP="00284F89">
            <w:pPr>
              <w:spacing w:after="0" w:line="240" w:lineRule="auto"/>
              <w:jc w:val="both"/>
              <w:rPr>
                <w:rFonts w:eastAsia="MS Mincho" w:cstheme="minorHAnsi"/>
                <w:sz w:val="24"/>
                <w:szCs w:val="24"/>
                <w:lang w:eastAsia="ja-JP"/>
              </w:rPr>
            </w:pPr>
            <w:r w:rsidRPr="00E663BF">
              <w:rPr>
                <w:rFonts w:eastAsia="MS Mincho" w:cstheme="minorHAnsi"/>
                <w:sz w:val="24"/>
                <w:szCs w:val="24"/>
                <w:lang w:eastAsia="ja-JP"/>
              </w:rPr>
              <w:t>M77142.1</w:t>
            </w:r>
          </w:p>
        </w:tc>
        <w:tc>
          <w:tcPr>
            <w:tcW w:w="2279" w:type="dxa"/>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agggagctggacctggag</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#46</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tggaaaggttaccgacgtataga</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TIAR</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GDB Homo sapiens nucleolysin TIAR mRNA</w:t>
            </w: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M96954.1</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ggcaaccatggaatcaaca</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#84</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agcaccaaatccacccatc</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PCBP2</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 xml:space="preserve">Homo sapiens </w:t>
            </w:r>
            <w:proofErr w:type="gramStart"/>
            <w:r w:rsidRPr="00C87449">
              <w:rPr>
                <w:rFonts w:eastAsia="MS Mincho" w:cstheme="minorHAnsi"/>
                <w:bCs/>
                <w:sz w:val="24"/>
                <w:szCs w:val="24"/>
                <w:lang w:eastAsia="ja-JP"/>
              </w:rPr>
              <w:t>poly(rC</w:t>
            </w:r>
            <w:proofErr w:type="gramEnd"/>
            <w:r w:rsidRPr="00C87449">
              <w:rPr>
                <w:rFonts w:eastAsia="MS Mincho" w:cstheme="minorHAnsi"/>
                <w:bCs/>
                <w:sz w:val="24"/>
                <w:szCs w:val="24"/>
                <w:lang w:eastAsia="ja-JP"/>
              </w:rPr>
              <w:t>) binding protein 2</w:t>
            </w:r>
          </w:p>
        </w:tc>
        <w:tc>
          <w:tcPr>
            <w:tcW w:w="2760" w:type="dxa"/>
            <w:vMerge w:val="restart"/>
            <w:vAlign w:val="center"/>
          </w:tcPr>
          <w:p w:rsidR="008F0C0F" w:rsidRPr="00E663BF" w:rsidRDefault="005A3AE1" w:rsidP="00284F89">
            <w:pPr>
              <w:spacing w:after="0" w:line="240" w:lineRule="auto"/>
              <w:jc w:val="center"/>
              <w:rPr>
                <w:rFonts w:eastAsia="MS Mincho" w:cstheme="minorHAnsi"/>
                <w:sz w:val="24"/>
                <w:szCs w:val="24"/>
                <w:lang w:eastAsia="ja-JP"/>
              </w:rPr>
            </w:pPr>
            <w:r>
              <w:rPr>
                <w:rFonts w:eastAsia="MS Mincho" w:cstheme="minorHAnsi"/>
                <w:sz w:val="24"/>
                <w:szCs w:val="24"/>
                <w:lang w:eastAsia="ja-JP"/>
              </w:rPr>
              <w:t xml:space="preserve">mRNA splicing </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NM_005016.5</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agatctgcgtggtcatgttg</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#14</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tgctgtacctgtcctgacca</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val="restart"/>
          </w:tcPr>
          <w:p w:rsidR="008F0C0F" w:rsidRPr="0062347D" w:rsidRDefault="008F0C0F" w:rsidP="00284F89">
            <w:pPr>
              <w:spacing w:after="0" w:line="240" w:lineRule="auto"/>
              <w:rPr>
                <w:rFonts w:eastAsia="MS Mincho" w:cstheme="minorHAnsi"/>
                <w:sz w:val="24"/>
                <w:szCs w:val="24"/>
                <w:lang w:eastAsia="ja-JP"/>
              </w:rPr>
            </w:pPr>
            <w:r w:rsidRPr="0062347D">
              <w:rPr>
                <w:rFonts w:eastAsia="MS Mincho" w:cstheme="minorHAnsi"/>
                <w:sz w:val="24"/>
                <w:szCs w:val="24"/>
                <w:lang w:eastAsia="ja-JP"/>
              </w:rPr>
              <w:t>Inhibitory proteolytické aktivity</w:t>
            </w: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RECK</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Homo sapiens reversion-inducing-cysteine-rich protein with kazal motifs</w:t>
            </w:r>
          </w:p>
        </w:tc>
        <w:tc>
          <w:tcPr>
            <w:tcW w:w="2760" w:type="dxa"/>
            <w:vMerge w:val="restart"/>
            <w:vAlign w:val="center"/>
          </w:tcPr>
          <w:p w:rsidR="008F0C0F" w:rsidRPr="00E663BF" w:rsidRDefault="008F0C0F" w:rsidP="00284F89">
            <w:pPr>
              <w:spacing w:after="0" w:line="240" w:lineRule="auto"/>
              <w:jc w:val="center"/>
              <w:rPr>
                <w:rFonts w:eastAsia="MS Mincho" w:cstheme="minorHAnsi"/>
                <w:sz w:val="24"/>
                <w:szCs w:val="24"/>
                <w:lang w:eastAsia="ja-JP"/>
              </w:rPr>
            </w:pPr>
            <w:r w:rsidRPr="0062347D">
              <w:rPr>
                <w:rFonts w:eastAsia="MS Mincho" w:cstheme="minorHAnsi"/>
                <w:sz w:val="24"/>
                <w:szCs w:val="24"/>
                <w:lang w:eastAsia="ja-JP"/>
              </w:rPr>
              <w:t>Inhibice</w:t>
            </w:r>
            <w:r w:rsidR="0011408B">
              <w:rPr>
                <w:rFonts w:eastAsia="MS Mincho" w:cstheme="minorHAnsi"/>
                <w:sz w:val="24"/>
                <w:szCs w:val="24"/>
                <w:lang w:eastAsia="ja-JP"/>
              </w:rPr>
              <w:t xml:space="preserve"> sekrece MMP a indukce jejich</w:t>
            </w:r>
            <w:r w:rsidRPr="0062347D">
              <w:rPr>
                <w:rFonts w:eastAsia="MS Mincho" w:cstheme="minorHAnsi"/>
                <w:sz w:val="24"/>
                <w:szCs w:val="24"/>
                <w:lang w:eastAsia="ja-JP"/>
              </w:rPr>
              <w:t xml:space="preserve"> inhibitorů</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NM_021111.2</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caagtgtccttcgctcttgg</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#42</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cacataatgggcaacaagca</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PTEN</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Homo sapiens phosphatase and tensin homolog</w:t>
            </w:r>
          </w:p>
        </w:tc>
        <w:tc>
          <w:tcPr>
            <w:tcW w:w="2760" w:type="dxa"/>
            <w:vMerge w:val="restart"/>
            <w:vAlign w:val="center"/>
          </w:tcPr>
          <w:p w:rsidR="008F0C0F" w:rsidRPr="00E663BF" w:rsidRDefault="008F0C0F" w:rsidP="00284F89">
            <w:pPr>
              <w:spacing w:after="0" w:line="240" w:lineRule="auto"/>
              <w:jc w:val="center"/>
              <w:rPr>
                <w:rFonts w:eastAsia="MS Mincho" w:cstheme="minorHAnsi"/>
                <w:sz w:val="24"/>
                <w:szCs w:val="24"/>
                <w:lang w:eastAsia="ja-JP"/>
              </w:rPr>
            </w:pPr>
            <w:r w:rsidRPr="0062347D">
              <w:rPr>
                <w:rFonts w:eastAsia="MS Mincho" w:cstheme="minorHAnsi"/>
                <w:sz w:val="24"/>
                <w:szCs w:val="24"/>
                <w:lang w:eastAsia="ja-JP"/>
              </w:rPr>
              <w:t>Inh</w:t>
            </w:r>
            <w:r w:rsidR="0011408B">
              <w:rPr>
                <w:rFonts w:eastAsia="MS Mincho" w:cstheme="minorHAnsi"/>
                <w:sz w:val="24"/>
                <w:szCs w:val="24"/>
                <w:lang w:eastAsia="ja-JP"/>
              </w:rPr>
              <w:t>ibice sekrece MMP a indukce jejich</w:t>
            </w:r>
            <w:r w:rsidRPr="0062347D">
              <w:rPr>
                <w:rFonts w:eastAsia="MS Mincho" w:cstheme="minorHAnsi"/>
                <w:sz w:val="24"/>
                <w:szCs w:val="24"/>
                <w:lang w:eastAsia="ja-JP"/>
              </w:rPr>
              <w:t xml:space="preserve"> in</w:t>
            </w:r>
            <w:r w:rsidRPr="00E663BF">
              <w:rPr>
                <w:rFonts w:eastAsia="MS Mincho" w:cstheme="minorHAnsi"/>
                <w:sz w:val="24"/>
                <w:szCs w:val="24"/>
                <w:lang w:eastAsia="ja-JP"/>
              </w:rPr>
              <w:t>hibitorů</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NM_000314.4</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gcacaagaggccctagatttc</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#60</w:t>
            </w:r>
          </w:p>
        </w:tc>
      </w:tr>
      <w:tr w:rsidR="008F0C0F" w:rsidRPr="0062347D" w:rsidTr="00284F89">
        <w:tc>
          <w:tcPr>
            <w:tcW w:w="1668" w:type="dxa"/>
            <w:vMerge/>
          </w:tcPr>
          <w:p w:rsidR="008F0C0F" w:rsidRPr="0062347D" w:rsidRDefault="008F0C0F" w:rsidP="00284F89">
            <w:pPr>
              <w:spacing w:after="0" w:line="240" w:lineRule="auto"/>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C87449" w:rsidRDefault="008F0C0F" w:rsidP="00284F89">
            <w:pPr>
              <w:spacing w:after="0" w:line="240" w:lineRule="auto"/>
              <w:rPr>
                <w:rFonts w:eastAsia="MS Mincho" w:cstheme="minorHAnsi"/>
                <w:sz w:val="24"/>
                <w:szCs w:val="24"/>
                <w:lang w:eastAsia="ja-JP"/>
              </w:rPr>
            </w:pPr>
          </w:p>
        </w:tc>
        <w:tc>
          <w:tcPr>
            <w:tcW w:w="2760" w:type="dxa"/>
            <w:vMerge/>
            <w:vAlign w:val="center"/>
          </w:tcPr>
          <w:p w:rsidR="008F0C0F" w:rsidRPr="0062347D" w:rsidRDefault="008F0C0F" w:rsidP="00284F89">
            <w:pPr>
              <w:spacing w:after="0" w:line="240" w:lineRule="auto"/>
              <w:jc w:val="center"/>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cgcctctgactgggaatagt</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r w:rsidR="008F0C0F" w:rsidRPr="0062347D" w:rsidTr="00284F89">
        <w:tc>
          <w:tcPr>
            <w:tcW w:w="1668" w:type="dxa"/>
            <w:vMerge w:val="restart"/>
          </w:tcPr>
          <w:p w:rsidR="008F0C0F" w:rsidRPr="0062347D" w:rsidRDefault="008F0C0F" w:rsidP="00284F89">
            <w:pPr>
              <w:spacing w:after="0" w:line="240" w:lineRule="auto"/>
              <w:rPr>
                <w:rFonts w:eastAsia="MS Mincho" w:cstheme="minorHAnsi"/>
                <w:sz w:val="24"/>
                <w:szCs w:val="24"/>
                <w:lang w:eastAsia="ja-JP"/>
              </w:rPr>
            </w:pPr>
            <w:r w:rsidRPr="0062347D">
              <w:rPr>
                <w:rFonts w:eastAsia="MS Mincho" w:cstheme="minorHAnsi"/>
                <w:sz w:val="24"/>
                <w:szCs w:val="24"/>
                <w:lang w:eastAsia="ja-JP"/>
              </w:rPr>
              <w:t>Referenční gen pro PCR reakci</w:t>
            </w:r>
          </w:p>
        </w:tc>
        <w:tc>
          <w:tcPr>
            <w:tcW w:w="1134"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PSMB2</w:t>
            </w:r>
          </w:p>
        </w:tc>
        <w:tc>
          <w:tcPr>
            <w:tcW w:w="2520" w:type="dxa"/>
            <w:vMerge w:val="restart"/>
          </w:tcPr>
          <w:p w:rsidR="008F0C0F" w:rsidRPr="00C87449" w:rsidRDefault="008F0C0F" w:rsidP="00284F89">
            <w:pPr>
              <w:spacing w:after="0" w:line="240" w:lineRule="auto"/>
              <w:rPr>
                <w:rFonts w:eastAsia="MS Mincho" w:cstheme="minorHAnsi"/>
                <w:sz w:val="24"/>
                <w:szCs w:val="24"/>
                <w:lang w:eastAsia="ja-JP"/>
              </w:rPr>
            </w:pPr>
            <w:r w:rsidRPr="00C87449">
              <w:rPr>
                <w:rFonts w:eastAsia="MS Mincho" w:cstheme="minorHAnsi"/>
                <w:bCs/>
                <w:sz w:val="24"/>
                <w:szCs w:val="24"/>
                <w:lang w:eastAsia="ja-JP"/>
              </w:rPr>
              <w:t>Homo sapiens proteasome (prosome, macropain) subunit, beta type, 2</w:t>
            </w:r>
          </w:p>
        </w:tc>
        <w:tc>
          <w:tcPr>
            <w:tcW w:w="2760" w:type="dxa"/>
            <w:vMerge w:val="restart"/>
            <w:vAlign w:val="center"/>
          </w:tcPr>
          <w:p w:rsidR="008F0C0F" w:rsidRPr="00E663BF" w:rsidRDefault="008F0C0F" w:rsidP="00284F89">
            <w:pPr>
              <w:spacing w:after="0" w:line="240" w:lineRule="auto"/>
              <w:jc w:val="center"/>
              <w:rPr>
                <w:rFonts w:eastAsia="MS Mincho" w:cstheme="minorHAnsi"/>
                <w:sz w:val="24"/>
                <w:szCs w:val="24"/>
                <w:lang w:eastAsia="ja-JP"/>
              </w:rPr>
            </w:pPr>
            <w:r w:rsidRPr="00C87449">
              <w:rPr>
                <w:rFonts w:eastAsia="MS Mincho" w:cstheme="minorHAnsi"/>
                <w:sz w:val="24"/>
                <w:szCs w:val="24"/>
                <w:lang w:eastAsia="ja-JP"/>
              </w:rPr>
              <w:t xml:space="preserve">Housekeeping </w:t>
            </w:r>
            <w:r w:rsidRPr="0062347D">
              <w:rPr>
                <w:rFonts w:eastAsia="MS Mincho" w:cstheme="minorHAnsi"/>
                <w:sz w:val="24"/>
                <w:szCs w:val="24"/>
                <w:lang w:eastAsia="ja-JP"/>
              </w:rPr>
              <w:t>gen pro bronchoalveolární buňky</w:t>
            </w:r>
          </w:p>
        </w:tc>
        <w:tc>
          <w:tcPr>
            <w:tcW w:w="1938" w:type="dxa"/>
            <w:vMerge w:val="restart"/>
            <w:shd w:val="clear" w:color="auto" w:fill="auto"/>
          </w:tcPr>
          <w:p w:rsidR="008F0C0F" w:rsidRPr="004E5649" w:rsidRDefault="008F0C0F" w:rsidP="00284F89">
            <w:pPr>
              <w:spacing w:after="0" w:line="240" w:lineRule="auto"/>
              <w:jc w:val="both"/>
              <w:rPr>
                <w:rFonts w:eastAsia="MS Mincho" w:cstheme="minorHAnsi"/>
                <w:sz w:val="24"/>
                <w:szCs w:val="24"/>
                <w:lang w:eastAsia="ja-JP"/>
              </w:rPr>
            </w:pPr>
            <w:r w:rsidRPr="004E5649">
              <w:rPr>
                <w:rFonts w:eastAsia="MS Mincho" w:cstheme="minorHAnsi"/>
                <w:sz w:val="24"/>
                <w:szCs w:val="24"/>
                <w:lang w:eastAsia="ja-JP"/>
              </w:rPr>
              <w:t>NM_002794.4</w:t>
            </w: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B24D8C">
              <w:rPr>
                <w:rFonts w:eastAsia="MS Mincho" w:cstheme="minorHAnsi"/>
                <w:sz w:val="24"/>
                <w:szCs w:val="24"/>
                <w:lang w:eastAsia="ja-JP"/>
              </w:rPr>
              <w:t>gtgagagggcagtggaact</w:t>
            </w:r>
            <w:r w:rsidRPr="0062347D">
              <w:rPr>
                <w:rFonts w:eastAsia="MS Mincho" w:cstheme="minorHAnsi"/>
                <w:sz w:val="24"/>
                <w:szCs w:val="24"/>
                <w:lang w:eastAsia="ja-JP"/>
              </w:rPr>
              <w:t>c</w:t>
            </w:r>
          </w:p>
        </w:tc>
        <w:tc>
          <w:tcPr>
            <w:tcW w:w="942" w:type="dxa"/>
            <w:vMerge w:val="restart"/>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#50</w:t>
            </w:r>
          </w:p>
        </w:tc>
      </w:tr>
      <w:tr w:rsidR="008F0C0F" w:rsidRPr="0062347D" w:rsidTr="00284F89">
        <w:tc>
          <w:tcPr>
            <w:tcW w:w="1668" w:type="dxa"/>
            <w:vMerge/>
          </w:tcPr>
          <w:p w:rsidR="008F0C0F" w:rsidRPr="0062347D" w:rsidRDefault="008F0C0F" w:rsidP="00284F89">
            <w:pPr>
              <w:spacing w:after="0" w:line="240" w:lineRule="auto"/>
              <w:jc w:val="both"/>
              <w:rPr>
                <w:rFonts w:eastAsia="MS Mincho" w:cstheme="minorHAnsi"/>
                <w:sz w:val="24"/>
                <w:szCs w:val="24"/>
                <w:lang w:eastAsia="ja-JP"/>
              </w:rPr>
            </w:pPr>
          </w:p>
        </w:tc>
        <w:tc>
          <w:tcPr>
            <w:tcW w:w="1134"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520" w:type="dxa"/>
            <w:vMerge/>
          </w:tcPr>
          <w:p w:rsidR="008F0C0F" w:rsidRPr="0062347D" w:rsidRDefault="008F0C0F" w:rsidP="00284F89">
            <w:pPr>
              <w:spacing w:after="0" w:line="240" w:lineRule="auto"/>
              <w:jc w:val="both"/>
              <w:rPr>
                <w:rFonts w:eastAsia="MS Mincho" w:cstheme="minorHAnsi"/>
                <w:sz w:val="24"/>
                <w:szCs w:val="24"/>
                <w:lang w:eastAsia="ja-JP"/>
              </w:rPr>
            </w:pPr>
          </w:p>
        </w:tc>
        <w:tc>
          <w:tcPr>
            <w:tcW w:w="2760" w:type="dxa"/>
            <w:vMerge/>
          </w:tcPr>
          <w:p w:rsidR="008F0C0F" w:rsidRPr="0062347D" w:rsidRDefault="008F0C0F" w:rsidP="00284F89">
            <w:pPr>
              <w:spacing w:after="0" w:line="240" w:lineRule="auto"/>
              <w:jc w:val="both"/>
              <w:rPr>
                <w:rFonts w:eastAsia="MS Mincho" w:cstheme="minorHAnsi"/>
                <w:sz w:val="24"/>
                <w:szCs w:val="24"/>
                <w:lang w:eastAsia="ja-JP"/>
              </w:rPr>
            </w:pPr>
          </w:p>
        </w:tc>
        <w:tc>
          <w:tcPr>
            <w:tcW w:w="1938"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c>
          <w:tcPr>
            <w:tcW w:w="2279" w:type="dxa"/>
            <w:shd w:val="clear" w:color="auto" w:fill="auto"/>
          </w:tcPr>
          <w:p w:rsidR="008F0C0F" w:rsidRPr="0062347D" w:rsidRDefault="008F0C0F" w:rsidP="00284F89">
            <w:pPr>
              <w:spacing w:after="0" w:line="240" w:lineRule="auto"/>
              <w:jc w:val="both"/>
              <w:rPr>
                <w:rFonts w:eastAsia="MS Mincho" w:cstheme="minorHAnsi"/>
                <w:sz w:val="24"/>
                <w:szCs w:val="24"/>
                <w:lang w:eastAsia="ja-JP"/>
              </w:rPr>
            </w:pPr>
            <w:r w:rsidRPr="0062347D">
              <w:rPr>
                <w:rFonts w:eastAsia="MS Mincho" w:cstheme="minorHAnsi"/>
                <w:sz w:val="24"/>
                <w:szCs w:val="24"/>
                <w:lang w:eastAsia="ja-JP"/>
              </w:rPr>
              <w:t>gaaggttggcagattcagga</w:t>
            </w:r>
          </w:p>
        </w:tc>
        <w:tc>
          <w:tcPr>
            <w:tcW w:w="942" w:type="dxa"/>
            <w:vMerge/>
            <w:shd w:val="clear" w:color="auto" w:fill="auto"/>
          </w:tcPr>
          <w:p w:rsidR="008F0C0F" w:rsidRPr="0062347D" w:rsidRDefault="008F0C0F" w:rsidP="00284F89">
            <w:pPr>
              <w:spacing w:after="0" w:line="240" w:lineRule="auto"/>
              <w:jc w:val="both"/>
              <w:rPr>
                <w:rFonts w:eastAsia="MS Mincho" w:cstheme="minorHAnsi"/>
                <w:sz w:val="24"/>
                <w:szCs w:val="24"/>
                <w:lang w:eastAsia="ja-JP"/>
              </w:rPr>
            </w:pPr>
          </w:p>
        </w:tc>
      </w:tr>
    </w:tbl>
    <w:p w:rsidR="008F0C0F" w:rsidRPr="0062347D" w:rsidRDefault="008F0C0F" w:rsidP="00D47ADA">
      <w:pPr>
        <w:jc w:val="both"/>
        <w:rPr>
          <w:rFonts w:cstheme="minorHAnsi"/>
          <w:sz w:val="24"/>
          <w:szCs w:val="24"/>
        </w:rPr>
      </w:pPr>
      <w:r w:rsidRPr="0062347D">
        <w:rPr>
          <w:rFonts w:cstheme="minorHAnsi"/>
          <w:b/>
          <w:sz w:val="24"/>
          <w:szCs w:val="24"/>
        </w:rPr>
        <w:t>Tabulka 4:</w:t>
      </w:r>
      <w:r w:rsidRPr="0062347D">
        <w:rPr>
          <w:rFonts w:cstheme="minorHAnsi"/>
          <w:sz w:val="24"/>
          <w:szCs w:val="24"/>
        </w:rPr>
        <w:t xml:space="preserve"> Sekvence primerů pro studium mRNA exprese RNA-vazebných proteinů, dvou inhibitorů proteolytické aktivity a referenčního genu.</w:t>
      </w: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jc w:val="both"/>
        <w:rPr>
          <w:rFonts w:cstheme="minorHAnsi"/>
          <w:sz w:val="24"/>
          <w:szCs w:val="24"/>
        </w:rPr>
      </w:pPr>
    </w:p>
    <w:p w:rsidR="008F0C0F" w:rsidRPr="0062347D" w:rsidRDefault="008F0C0F" w:rsidP="00284F89">
      <w:pPr>
        <w:spacing w:before="240" w:line="360" w:lineRule="auto"/>
        <w:ind w:firstLine="709"/>
        <w:jc w:val="both"/>
        <w:rPr>
          <w:rFonts w:cstheme="minorHAnsi"/>
          <w:sz w:val="24"/>
          <w:szCs w:val="24"/>
        </w:rPr>
      </w:pPr>
    </w:p>
    <w:p w:rsidR="008F0C0F" w:rsidRPr="0062347D" w:rsidRDefault="008F0C0F" w:rsidP="00284F89">
      <w:pPr>
        <w:spacing w:before="240" w:line="360" w:lineRule="auto"/>
        <w:ind w:firstLine="709"/>
        <w:jc w:val="both"/>
        <w:rPr>
          <w:rFonts w:cstheme="minorHAnsi"/>
          <w:sz w:val="24"/>
          <w:szCs w:val="24"/>
        </w:rPr>
        <w:sectPr w:rsidR="008F0C0F" w:rsidRPr="0062347D" w:rsidSect="00D47ADA">
          <w:pgSz w:w="16838" w:h="11906" w:orient="landscape"/>
          <w:pgMar w:top="1418" w:right="992" w:bottom="1418" w:left="1418" w:header="709" w:footer="709" w:gutter="0"/>
          <w:cols w:space="708"/>
          <w:docGrid w:linePitch="360"/>
        </w:sectPr>
      </w:pPr>
    </w:p>
    <w:p w:rsidR="008F0C0F" w:rsidRPr="004E5649" w:rsidRDefault="008F0C0F" w:rsidP="00284F89">
      <w:pPr>
        <w:pStyle w:val="Nadpis3"/>
        <w:spacing w:after="240"/>
        <w:ind w:left="709"/>
        <w:jc w:val="both"/>
        <w:rPr>
          <w:rFonts w:cstheme="minorHAnsi"/>
          <w:szCs w:val="24"/>
        </w:rPr>
      </w:pPr>
      <w:bookmarkStart w:id="36" w:name="_Toc69543027"/>
      <w:r w:rsidRPr="0062347D">
        <w:rPr>
          <w:rFonts w:cstheme="minorHAnsi"/>
          <w:szCs w:val="24"/>
        </w:rPr>
        <w:lastRenderedPageBreak/>
        <w:t xml:space="preserve">Izolace mononukleárních buněk z krve a studium </w:t>
      </w:r>
      <w:r w:rsidRPr="00E663BF">
        <w:rPr>
          <w:rFonts w:cstheme="minorHAnsi"/>
          <w:szCs w:val="24"/>
        </w:rPr>
        <w:t>proteinové exprese dvou</w:t>
      </w:r>
      <w:r w:rsidRPr="004E5649">
        <w:rPr>
          <w:rFonts w:cstheme="minorHAnsi"/>
          <w:szCs w:val="24"/>
        </w:rPr>
        <w:t xml:space="preserve"> RNA-vazebných proteinů pomocí průtokové cytometrie v CD4</w:t>
      </w:r>
      <w:r w:rsidRPr="004E5649">
        <w:rPr>
          <w:rFonts w:cstheme="minorHAnsi"/>
          <w:szCs w:val="24"/>
          <w:vertAlign w:val="superscript"/>
        </w:rPr>
        <w:t>+</w:t>
      </w:r>
      <w:r w:rsidRPr="004E5649">
        <w:rPr>
          <w:rFonts w:cstheme="minorHAnsi"/>
          <w:szCs w:val="24"/>
        </w:rPr>
        <w:t xml:space="preserve"> a CD8</w:t>
      </w:r>
      <w:r w:rsidRPr="004E5649">
        <w:rPr>
          <w:rFonts w:cstheme="minorHAnsi"/>
          <w:szCs w:val="24"/>
          <w:vertAlign w:val="superscript"/>
        </w:rPr>
        <w:t xml:space="preserve">+ </w:t>
      </w:r>
      <w:r w:rsidRPr="004E5649">
        <w:rPr>
          <w:rFonts w:cstheme="minorHAnsi"/>
          <w:szCs w:val="24"/>
        </w:rPr>
        <w:t>buňkách periferní krve</w:t>
      </w:r>
      <w:bookmarkEnd w:id="36"/>
    </w:p>
    <w:p w:rsidR="008F0C0F" w:rsidRPr="0062347D" w:rsidRDefault="008F0C0F" w:rsidP="00284F89">
      <w:pPr>
        <w:spacing w:after="240" w:line="360" w:lineRule="auto"/>
        <w:ind w:firstLine="709"/>
        <w:jc w:val="both"/>
        <w:rPr>
          <w:rFonts w:cstheme="minorHAnsi"/>
          <w:sz w:val="24"/>
          <w:szCs w:val="24"/>
        </w:rPr>
      </w:pPr>
      <w:r w:rsidRPr="004E5649">
        <w:rPr>
          <w:rFonts w:cstheme="minorHAnsi"/>
          <w:sz w:val="24"/>
          <w:szCs w:val="24"/>
        </w:rPr>
        <w:t>RNA-vazebné proteiny byly stanoveny na proteinové úrovni v buňkách periferní krve u</w:t>
      </w:r>
      <w:r>
        <w:rPr>
          <w:rFonts w:cstheme="minorHAnsi"/>
          <w:sz w:val="24"/>
          <w:szCs w:val="24"/>
        </w:rPr>
        <w:t> </w:t>
      </w:r>
      <w:r w:rsidRPr="004E5649">
        <w:rPr>
          <w:rFonts w:cstheme="minorHAnsi"/>
          <w:sz w:val="24"/>
          <w:szCs w:val="24"/>
        </w:rPr>
        <w:t xml:space="preserve">devíti švédských pacientů s plicní sarkoidózou </w:t>
      </w:r>
      <w:r w:rsidRPr="00B24D8C">
        <w:rPr>
          <w:rFonts w:cstheme="minorHAnsi"/>
          <w:sz w:val="24"/>
          <w:szCs w:val="24"/>
        </w:rPr>
        <w:t>bez/s Löfgrenovým syndromem (n</w:t>
      </w:r>
      <w:r>
        <w:rPr>
          <w:rFonts w:cstheme="minorHAnsi"/>
          <w:sz w:val="24"/>
          <w:szCs w:val="24"/>
        </w:rPr>
        <w:t> </w:t>
      </w:r>
      <w:r w:rsidRPr="00B24D8C">
        <w:rPr>
          <w:rFonts w:cstheme="minorHAnsi"/>
          <w:sz w:val="24"/>
          <w:szCs w:val="24"/>
        </w:rPr>
        <w:t>=</w:t>
      </w:r>
      <w:r>
        <w:rPr>
          <w:rFonts w:cstheme="minorHAnsi"/>
          <w:sz w:val="24"/>
          <w:szCs w:val="24"/>
        </w:rPr>
        <w:t> </w:t>
      </w:r>
      <w:r w:rsidRPr="00B24D8C">
        <w:rPr>
          <w:rFonts w:cstheme="minorHAnsi"/>
          <w:sz w:val="24"/>
          <w:szCs w:val="24"/>
        </w:rPr>
        <w:t xml:space="preserve">2/7) </w:t>
      </w:r>
      <w:r w:rsidRPr="0062347D">
        <w:rPr>
          <w:rFonts w:cstheme="minorHAnsi"/>
          <w:sz w:val="24"/>
          <w:szCs w:val="24"/>
        </w:rPr>
        <w:t>s RTG stádiem 1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 2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3), 2-3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 3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 a 4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 Soubor obsahoval 5 mužů a</w:t>
      </w:r>
      <w:r>
        <w:rPr>
          <w:rFonts w:cstheme="minorHAnsi"/>
          <w:sz w:val="24"/>
          <w:szCs w:val="24"/>
        </w:rPr>
        <w:t> </w:t>
      </w:r>
      <w:r w:rsidRPr="0062347D">
        <w:rPr>
          <w:rFonts w:cstheme="minorHAnsi"/>
          <w:sz w:val="24"/>
          <w:szCs w:val="24"/>
        </w:rPr>
        <w:t>4</w:t>
      </w:r>
      <w:r>
        <w:rPr>
          <w:rFonts w:cstheme="minorHAnsi"/>
          <w:sz w:val="24"/>
          <w:szCs w:val="24"/>
        </w:rPr>
        <w:t> </w:t>
      </w:r>
      <w:r w:rsidRPr="0062347D">
        <w:rPr>
          <w:rFonts w:cstheme="minorHAnsi"/>
          <w:sz w:val="24"/>
          <w:szCs w:val="24"/>
        </w:rPr>
        <w:t>ženy s průměrným věkem 54 let v rozmezí 41–80 let. Jako kontrolní soubor sloužilo šest zdravých subjektů, 1 muž a 5 žen s průměrným věkem 45 let v rozmezí 35–59 let. Vzorky krve byly odebrány na Karolínském institutu ve Stockholmu ve Švédsku. Švédští pacienti poskytli informovaný souhlas s účastí na studii, která byla schválena etickou komisí na Karolínském institutu.</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Pro izolaci mononukleárních buněk byla odebrána periferní krev do zkumavek s</w:t>
      </w:r>
      <w:r>
        <w:rPr>
          <w:rFonts w:cstheme="minorHAnsi"/>
          <w:sz w:val="24"/>
          <w:szCs w:val="24"/>
        </w:rPr>
        <w:t> </w:t>
      </w:r>
      <w:r w:rsidRPr="0062347D">
        <w:rPr>
          <w:rFonts w:cstheme="minorHAnsi"/>
          <w:sz w:val="24"/>
          <w:szCs w:val="24"/>
        </w:rPr>
        <w:t>heparinem. Mononukleární buňky byly separovány na gradientu s médiem Ficoll (</w:t>
      </w:r>
      <w:r w:rsidRPr="00C87449">
        <w:rPr>
          <w:rFonts w:cstheme="minorHAnsi"/>
          <w:sz w:val="24"/>
          <w:szCs w:val="24"/>
        </w:rPr>
        <w:t>Ficoll Paque PLUS, GE Healthcare, Uppsala, Sweden</w:t>
      </w:r>
      <w:r w:rsidRPr="0062347D">
        <w:rPr>
          <w:rFonts w:cstheme="minorHAnsi"/>
          <w:sz w:val="24"/>
          <w:szCs w:val="24"/>
        </w:rPr>
        <w:t>) a dvakrát promyty roztokem složeným z PBS, 0,5% BSA a 0,02% NaN</w:t>
      </w:r>
      <w:r w:rsidRPr="00E663BF">
        <w:rPr>
          <w:rFonts w:cstheme="minorHAnsi"/>
          <w:sz w:val="24"/>
          <w:szCs w:val="24"/>
          <w:vertAlign w:val="subscript"/>
        </w:rPr>
        <w:t>3</w:t>
      </w:r>
      <w:r w:rsidRPr="00E663BF">
        <w:rPr>
          <w:rFonts w:cstheme="minorHAnsi"/>
          <w:sz w:val="24"/>
          <w:szCs w:val="24"/>
        </w:rPr>
        <w:t>. U každého vzorku, bylo odebráno 0,5</w:t>
      </w:r>
      <w:r>
        <w:rPr>
          <w:rFonts w:cstheme="minorHAnsi"/>
          <w:sz w:val="24"/>
          <w:szCs w:val="24"/>
        </w:rPr>
        <w:t xml:space="preserve"> </w:t>
      </w:r>
      <w:r w:rsidRPr="00E663BF">
        <w:rPr>
          <w:rFonts w:cstheme="minorHAnsi"/>
          <w:sz w:val="24"/>
          <w:szCs w:val="24"/>
        </w:rPr>
        <w:t>x</w:t>
      </w:r>
      <w:r>
        <w:rPr>
          <w:rFonts w:cstheme="minorHAnsi"/>
          <w:sz w:val="24"/>
          <w:szCs w:val="24"/>
        </w:rPr>
        <w:t xml:space="preserve"> </w:t>
      </w:r>
      <w:r w:rsidRPr="004E5649">
        <w:rPr>
          <w:rFonts w:cstheme="minorHAnsi"/>
          <w:sz w:val="24"/>
          <w:szCs w:val="24"/>
        </w:rPr>
        <w:t>10</w:t>
      </w:r>
      <w:r w:rsidRPr="004E5649">
        <w:rPr>
          <w:rFonts w:cstheme="minorHAnsi"/>
          <w:sz w:val="24"/>
          <w:szCs w:val="24"/>
          <w:vertAlign w:val="superscript"/>
        </w:rPr>
        <w:t>6</w:t>
      </w:r>
      <w:r w:rsidRPr="004E5649">
        <w:rPr>
          <w:rFonts w:cstheme="minorHAnsi"/>
          <w:sz w:val="24"/>
          <w:szCs w:val="24"/>
        </w:rPr>
        <w:t xml:space="preserve"> buněk a</w:t>
      </w:r>
      <w:r>
        <w:rPr>
          <w:rFonts w:cstheme="minorHAnsi"/>
          <w:sz w:val="24"/>
          <w:szCs w:val="24"/>
        </w:rPr>
        <w:t> </w:t>
      </w:r>
      <w:r w:rsidRPr="004E5649">
        <w:rPr>
          <w:rFonts w:cstheme="minorHAnsi"/>
          <w:sz w:val="24"/>
          <w:szCs w:val="24"/>
        </w:rPr>
        <w:t>ty byly fixovány a permeabilizovány (</w:t>
      </w:r>
      <w:r w:rsidRPr="00C87449">
        <w:rPr>
          <w:rFonts w:cstheme="minorHAnsi"/>
          <w:sz w:val="24"/>
          <w:szCs w:val="24"/>
        </w:rPr>
        <w:t>Fixation/Permeabilization Concentrate and Diluent, eBioscience</w:t>
      </w:r>
      <w:r w:rsidRPr="0062347D">
        <w:rPr>
          <w:rFonts w:cstheme="minorHAnsi"/>
          <w:sz w:val="24"/>
          <w:szCs w:val="24"/>
        </w:rPr>
        <w:t>). Pomocí fluorescenčně značených protilátek byly označeny povrchové znaky buněk CD3</w:t>
      </w:r>
      <w:r w:rsidRPr="00E663BF">
        <w:rPr>
          <w:rFonts w:cstheme="minorHAnsi"/>
          <w:sz w:val="24"/>
          <w:szCs w:val="24"/>
          <w:vertAlign w:val="superscript"/>
        </w:rPr>
        <w:t>+</w:t>
      </w:r>
      <w:r w:rsidRPr="00E663BF">
        <w:rPr>
          <w:rFonts w:cstheme="minorHAnsi"/>
          <w:sz w:val="24"/>
          <w:szCs w:val="24"/>
        </w:rPr>
        <w:t xml:space="preserve"> (CD3-Pacific Blue, BD Pharmigen), CD4</w:t>
      </w:r>
      <w:r w:rsidRPr="004E5649">
        <w:rPr>
          <w:rFonts w:cstheme="minorHAnsi"/>
          <w:sz w:val="24"/>
          <w:szCs w:val="24"/>
          <w:vertAlign w:val="superscript"/>
        </w:rPr>
        <w:t xml:space="preserve">+ </w:t>
      </w:r>
      <w:r w:rsidRPr="004E5649">
        <w:rPr>
          <w:rFonts w:cstheme="minorHAnsi"/>
          <w:sz w:val="24"/>
          <w:szCs w:val="24"/>
        </w:rPr>
        <w:t>(anti-CD4-APC-H7, BD Pharmigen) a CD8</w:t>
      </w:r>
      <w:r w:rsidRPr="004E5649">
        <w:rPr>
          <w:rFonts w:cstheme="minorHAnsi"/>
          <w:sz w:val="24"/>
          <w:szCs w:val="24"/>
          <w:vertAlign w:val="superscript"/>
        </w:rPr>
        <w:t xml:space="preserve">+ </w:t>
      </w:r>
      <w:r w:rsidRPr="004E5649">
        <w:rPr>
          <w:rFonts w:cstheme="minorHAnsi"/>
          <w:sz w:val="24"/>
          <w:szCs w:val="24"/>
        </w:rPr>
        <w:t>(CD8-AmCyan, BD Pharmingen). Pro intracelulární značení byly použity protilátky polyklonální králičí IgG proti proteinu AUF1 (anti-AUF1-APC, LifeSpan BioSciences) a</w:t>
      </w:r>
      <w:r>
        <w:rPr>
          <w:rFonts w:cstheme="minorHAnsi"/>
          <w:sz w:val="24"/>
          <w:szCs w:val="24"/>
        </w:rPr>
        <w:t> </w:t>
      </w:r>
      <w:r w:rsidRPr="004E5649">
        <w:rPr>
          <w:rFonts w:cstheme="minorHAnsi"/>
          <w:sz w:val="24"/>
          <w:szCs w:val="24"/>
        </w:rPr>
        <w:t>protilátky monoklonální myší IgG1-kappa proti proteinu HuR (anti-HuR-APC, LifeSpan BioSciences). Dále byly použity izotypové kontroly, myší IgG1-kappa značená APC (BD Pharmigen) a králičí IgG izotopová kontrola značená APC (Santa Cruz Biotechnology) pro s</w:t>
      </w:r>
      <w:r w:rsidRPr="00B24D8C">
        <w:rPr>
          <w:rFonts w:cstheme="minorHAnsi"/>
          <w:sz w:val="24"/>
          <w:szCs w:val="24"/>
        </w:rPr>
        <w:t xml:space="preserve">tanovení nespecifického značení vzorku protilátkami. </w:t>
      </w:r>
      <w:r w:rsidRPr="0062347D">
        <w:rPr>
          <w:rFonts w:cstheme="minorHAnsi"/>
          <w:sz w:val="24"/>
          <w:szCs w:val="24"/>
        </w:rPr>
        <w:t>Tyto izotypové kontroly byly protilátky se stejným izotypem jako protilátky proti RNA-vazebným proteinům. Izotypová kontrola byla použita u každého vzorku jak u nemocných, tak i u pacientů. Fluorescence izotypové kontroly byla odečtena od fluorescence protilátek proti RNA-vazebným proteinům. Výsledky jsou uvedeny jako průměrná intenzita fluorescence (mean fluorescence intensity</w:t>
      </w:r>
      <w:r>
        <w:rPr>
          <w:rFonts w:cstheme="minorHAnsi"/>
          <w:sz w:val="24"/>
          <w:szCs w:val="24"/>
        </w:rPr>
        <w:t xml:space="preserve"> </w:t>
      </w:r>
      <w:r w:rsidRPr="0062347D">
        <w:rPr>
          <w:rFonts w:cstheme="minorHAnsi"/>
          <w:sz w:val="24"/>
          <w:szCs w:val="24"/>
        </w:rPr>
        <w:t>= MFI) buněk, u kterých došlo k navázání protilátky v populaci. Vzorky byly měřeny pomocí průtokového cytometru FACSCanto II flow cytometer (Becton Dickinson</w:t>
      </w:r>
      <w:r w:rsidR="00714A54">
        <w:rPr>
          <w:rFonts w:cstheme="minorHAnsi"/>
          <w:sz w:val="24"/>
          <w:szCs w:val="24"/>
        </w:rPr>
        <w:t>, USA</w:t>
      </w:r>
      <w:r w:rsidRPr="0062347D">
        <w:rPr>
          <w:rFonts w:cstheme="minorHAnsi"/>
          <w:sz w:val="24"/>
          <w:szCs w:val="24"/>
        </w:rPr>
        <w:t>).</w:t>
      </w:r>
    </w:p>
    <w:p w:rsidR="008F0C0F" w:rsidRPr="0062347D" w:rsidRDefault="008F0C0F" w:rsidP="00284F89">
      <w:pPr>
        <w:pStyle w:val="Nadpis3"/>
        <w:spacing w:after="240"/>
        <w:jc w:val="both"/>
        <w:rPr>
          <w:rFonts w:cstheme="minorHAnsi"/>
          <w:szCs w:val="24"/>
        </w:rPr>
      </w:pPr>
      <w:bookmarkStart w:id="37" w:name="_Toc69543028"/>
      <w:r w:rsidRPr="0062347D">
        <w:rPr>
          <w:rFonts w:cstheme="minorHAnsi"/>
          <w:szCs w:val="24"/>
        </w:rPr>
        <w:lastRenderedPageBreak/>
        <w:t>Analýza a statistické zpracování výsledků relativní mRNA exprese RNA-vazebných proteinů a inhibitorů matrix metaloproteináz</w:t>
      </w:r>
      <w:bookmarkEnd w:id="37"/>
    </w:p>
    <w:p w:rsidR="008F0C0F" w:rsidRPr="0062347D" w:rsidRDefault="008F0C0F" w:rsidP="00284F89">
      <w:pPr>
        <w:spacing w:line="360" w:lineRule="auto"/>
        <w:ind w:firstLine="709"/>
        <w:jc w:val="both"/>
        <w:rPr>
          <w:rFonts w:eastAsia="Calibri" w:cstheme="minorHAnsi"/>
          <w:sz w:val="24"/>
          <w:szCs w:val="24"/>
        </w:rPr>
      </w:pPr>
      <w:r w:rsidRPr="0062347D">
        <w:rPr>
          <w:rFonts w:cstheme="minorHAnsi"/>
          <w:sz w:val="24"/>
          <w:szCs w:val="24"/>
        </w:rPr>
        <w:t>Analýza dat naměřených PCR v reálném čase byla provedena programem</w:t>
      </w:r>
      <w:r w:rsidR="00DB60C7">
        <w:rPr>
          <w:rFonts w:eastAsia="Calibri" w:cstheme="minorHAnsi"/>
          <w:sz w:val="24"/>
          <w:szCs w:val="24"/>
        </w:rPr>
        <w:t xml:space="preserve"> </w:t>
      </w:r>
      <w:r w:rsidRPr="0062347D">
        <w:rPr>
          <w:rFonts w:eastAsia="Calibri" w:cstheme="minorHAnsi"/>
          <w:sz w:val="24"/>
          <w:szCs w:val="24"/>
        </w:rPr>
        <w:t xml:space="preserve">RotorGene Software </w:t>
      </w:r>
      <w:proofErr w:type="gramStart"/>
      <w:r w:rsidRPr="0062347D">
        <w:rPr>
          <w:rFonts w:eastAsia="Calibri" w:cstheme="minorHAnsi"/>
          <w:sz w:val="24"/>
          <w:szCs w:val="24"/>
        </w:rPr>
        <w:t>6.1.71</w:t>
      </w:r>
      <w:proofErr w:type="gramEnd"/>
      <w:r w:rsidRPr="0062347D">
        <w:rPr>
          <w:rFonts w:eastAsia="Calibri" w:cstheme="minorHAnsi"/>
          <w:sz w:val="24"/>
          <w:szCs w:val="24"/>
        </w:rPr>
        <w:t xml:space="preserve"> (Corbett Research, Sydney, Austrálie). Relativní mRNA exprese byla normalizována k relativní expresi mRNA genu PSMB2.</w:t>
      </w:r>
    </w:p>
    <w:p w:rsidR="008F0C0F" w:rsidRPr="0062347D" w:rsidRDefault="008F0C0F" w:rsidP="00284F89">
      <w:pPr>
        <w:spacing w:line="360" w:lineRule="auto"/>
        <w:ind w:firstLine="709"/>
        <w:jc w:val="both"/>
        <w:rPr>
          <w:rFonts w:cstheme="minorHAnsi"/>
          <w:sz w:val="24"/>
          <w:szCs w:val="24"/>
        </w:rPr>
      </w:pPr>
      <w:r w:rsidRPr="001019AF">
        <w:rPr>
          <w:rFonts w:cstheme="minorHAnsi"/>
          <w:sz w:val="24"/>
          <w:szCs w:val="24"/>
        </w:rPr>
        <w:t>Pomocí Mann-Whitney testu byl detekován možný vliv cigaretového kouře a stárnutí u jednotlivých skupin pacientů a zdravých kontrol. Tyto vlivy byly testovány pouze u plicní sarkoidózy, CHOPN a astma, protože pouze zde byly známy údaje týkající se kouření.</w:t>
      </w:r>
    </w:p>
    <w:p w:rsidR="008F0C0F" w:rsidRPr="0062347D" w:rsidRDefault="008F0C0F" w:rsidP="00284F89">
      <w:pPr>
        <w:spacing w:after="0" w:line="360" w:lineRule="auto"/>
        <w:ind w:firstLine="709"/>
        <w:jc w:val="both"/>
        <w:rPr>
          <w:rFonts w:cstheme="minorHAnsi"/>
          <w:sz w:val="24"/>
          <w:szCs w:val="24"/>
        </w:rPr>
      </w:pPr>
      <w:r w:rsidRPr="0062347D">
        <w:rPr>
          <w:rFonts w:cstheme="minorHAnsi"/>
          <w:sz w:val="24"/>
          <w:szCs w:val="24"/>
        </w:rPr>
        <w:t>Kruskal-Wallisův test a Dunnův test mnohonásobného porovnávání byly využity pro analýzu exprese mRNA u všech pacientů ve studii a k následné subanalýze s ohledem na kouření u pacientů. Korelační analýzy byly hodnoceny pomocí Spearmanova koeficientu pořadové korelace (SPSS 12.0, SPSS, Chicago, IL, USA). Signifikantní hodnoty byly stanoveny parametrem (p</w:t>
      </w:r>
      <w:r>
        <w:rPr>
          <w:rFonts w:cstheme="minorHAnsi"/>
          <w:sz w:val="24"/>
          <w:szCs w:val="24"/>
        </w:rPr>
        <w:t xml:space="preserve"> </w:t>
      </w:r>
      <w:r w:rsidRPr="0062347D">
        <w:rPr>
          <w:rFonts w:cstheme="minorHAnsi"/>
          <w:sz w:val="24"/>
          <w:szCs w:val="24"/>
        </w:rPr>
        <w:t>&lt;</w:t>
      </w:r>
      <w:r>
        <w:rPr>
          <w:rFonts w:cstheme="minorHAnsi"/>
          <w:sz w:val="24"/>
          <w:szCs w:val="24"/>
        </w:rPr>
        <w:t xml:space="preserve"> </w:t>
      </w:r>
      <w:r w:rsidRPr="0062347D">
        <w:rPr>
          <w:rFonts w:cstheme="minorHAnsi"/>
          <w:sz w:val="24"/>
          <w:szCs w:val="24"/>
        </w:rPr>
        <w:t>0,05).</w:t>
      </w:r>
    </w:p>
    <w:p w:rsidR="008F0C0F" w:rsidRPr="0062347D" w:rsidRDefault="008F0C0F" w:rsidP="00284F89">
      <w:pPr>
        <w:pStyle w:val="Nadpis3"/>
        <w:spacing w:after="240"/>
        <w:ind w:left="765"/>
        <w:jc w:val="both"/>
        <w:rPr>
          <w:rFonts w:cstheme="minorHAnsi"/>
        </w:rPr>
      </w:pPr>
      <w:bookmarkStart w:id="38" w:name="_Toc69543029"/>
      <w:r w:rsidRPr="0062347D">
        <w:rPr>
          <w:rFonts w:cstheme="minorHAnsi"/>
        </w:rPr>
        <w:t>Analýza a statistické zpracování dat proteinové exprese RNA-vazebných proteinů AUF1 a HuR</w:t>
      </w:r>
      <w:bookmarkEnd w:id="38"/>
    </w:p>
    <w:p w:rsidR="008F0C0F" w:rsidRPr="0062347D" w:rsidRDefault="008F0C0F" w:rsidP="001019AF">
      <w:pPr>
        <w:spacing w:line="360" w:lineRule="auto"/>
        <w:ind w:firstLine="709"/>
        <w:jc w:val="both"/>
        <w:rPr>
          <w:rFonts w:cstheme="minorHAnsi"/>
        </w:rPr>
      </w:pPr>
      <w:r w:rsidRPr="0062347D">
        <w:rPr>
          <w:rFonts w:cstheme="minorHAnsi"/>
          <w:sz w:val="24"/>
          <w:szCs w:val="24"/>
        </w:rPr>
        <w:t>Data byla analyzována pomocí programu Flowjo 10 (Treestar, Ashland, Oregon, USA). Výsledky jsou uvedeny jako průměrná intenzita fluorescence (mean fluorescence intensity</w:t>
      </w:r>
      <w:r>
        <w:rPr>
          <w:rFonts w:cstheme="minorHAnsi"/>
          <w:sz w:val="24"/>
          <w:szCs w:val="24"/>
        </w:rPr>
        <w:t xml:space="preserve"> </w:t>
      </w:r>
      <w:r w:rsidRPr="0062347D">
        <w:rPr>
          <w:rFonts w:cstheme="minorHAnsi"/>
          <w:sz w:val="24"/>
          <w:szCs w:val="24"/>
        </w:rPr>
        <w:t>= MFI) buněk u kterých došlo k navázání protilátky v populaci. Hodnoty MFI mezi skupinami byly porovnány pomocí Mann-Whitney testu (SPSS 12.0, SPSS, Chicago, IL, USA). Hodnota signifikance byla nastavena na p</w:t>
      </w:r>
      <w:r>
        <w:rPr>
          <w:rFonts w:cstheme="minorHAnsi"/>
          <w:sz w:val="24"/>
          <w:szCs w:val="24"/>
        </w:rPr>
        <w:t xml:space="preserve"> </w:t>
      </w:r>
      <w:r w:rsidRPr="0062347D">
        <w:rPr>
          <w:rFonts w:cstheme="minorHAnsi"/>
          <w:sz w:val="24"/>
          <w:szCs w:val="24"/>
        </w:rPr>
        <w:t xml:space="preserve">&lt; 0.05. </w:t>
      </w:r>
    </w:p>
    <w:p w:rsidR="008F0C0F" w:rsidRPr="0062347D" w:rsidRDefault="000B097D" w:rsidP="00284F89">
      <w:pPr>
        <w:pStyle w:val="Nadpis2"/>
        <w:rPr>
          <w:rFonts w:cstheme="minorHAnsi"/>
          <w:szCs w:val="24"/>
        </w:rPr>
      </w:pPr>
      <w:bookmarkStart w:id="39" w:name="_Toc69543030"/>
      <w:r>
        <w:rPr>
          <w:rFonts w:cstheme="minorHAnsi"/>
          <w:szCs w:val="24"/>
        </w:rPr>
        <w:t>Materiál a metody</w:t>
      </w:r>
      <w:r w:rsidR="008F0C0F" w:rsidRPr="0062347D">
        <w:rPr>
          <w:rFonts w:cstheme="minorHAnsi"/>
          <w:szCs w:val="24"/>
        </w:rPr>
        <w:t xml:space="preserve"> pro studium relativní exprese miRNA v séru u pacientů s plicní sarkoidózou a u zdravých </w:t>
      </w:r>
      <w:r w:rsidR="004072B9">
        <w:rPr>
          <w:rFonts w:cstheme="minorHAnsi"/>
          <w:szCs w:val="24"/>
        </w:rPr>
        <w:t>kontrol</w:t>
      </w:r>
      <w:bookmarkEnd w:id="39"/>
    </w:p>
    <w:p w:rsidR="008F0C0F" w:rsidRPr="0062347D" w:rsidRDefault="008F0C0F" w:rsidP="00284F89">
      <w:pPr>
        <w:pStyle w:val="Nadpis3"/>
        <w:spacing w:after="240"/>
        <w:rPr>
          <w:rFonts w:cstheme="minorHAnsi"/>
          <w:szCs w:val="24"/>
        </w:rPr>
      </w:pPr>
      <w:bookmarkStart w:id="40" w:name="_Toc69543031"/>
      <w:r w:rsidRPr="0062347D">
        <w:rPr>
          <w:rFonts w:cstheme="minorHAnsi"/>
          <w:szCs w:val="24"/>
        </w:rPr>
        <w:t>Soubor pacientů s plicní sarkoidózou a zdravými kontrolami pro studium exprese miRNA v séru</w:t>
      </w:r>
      <w:bookmarkEnd w:id="40"/>
    </w:p>
    <w:p w:rsidR="008F0C0F" w:rsidRPr="0062347D" w:rsidRDefault="008F0C0F" w:rsidP="00284F89">
      <w:pPr>
        <w:spacing w:after="240" w:line="360" w:lineRule="auto"/>
        <w:ind w:firstLine="708"/>
        <w:jc w:val="both"/>
        <w:rPr>
          <w:rFonts w:cstheme="minorHAnsi"/>
          <w:b/>
          <w:sz w:val="24"/>
          <w:szCs w:val="24"/>
        </w:rPr>
      </w:pPr>
      <w:r w:rsidRPr="0062347D">
        <w:rPr>
          <w:rFonts w:cstheme="minorHAnsi"/>
          <w:sz w:val="24"/>
          <w:szCs w:val="24"/>
        </w:rPr>
        <w:t xml:space="preserve">Pro studium extracelulárních miRNA bylo získáno sérum od 13 zdravých kontrol a 24 pacientů s plicní sarkoidózou podle standardního protokolu </w:t>
      </w:r>
      <w:r w:rsidRPr="0062347D">
        <w:rPr>
          <w:rFonts w:cstheme="minorHAnsi"/>
          <w:noProof/>
          <w:sz w:val="24"/>
          <w:szCs w:val="24"/>
        </w:rPr>
        <w:t>(</w:t>
      </w:r>
      <w:r w:rsidRPr="00E663BF">
        <w:rPr>
          <w:rFonts w:cstheme="minorHAnsi"/>
          <w:noProof/>
          <w:sz w:val="24"/>
          <w:szCs w:val="24"/>
        </w:rPr>
        <w:t>Witwer, Buzás et al. 2013</w:t>
      </w:r>
      <w:r w:rsidRPr="0062347D">
        <w:rPr>
          <w:rFonts w:cstheme="minorHAnsi"/>
          <w:noProof/>
          <w:sz w:val="24"/>
          <w:szCs w:val="24"/>
        </w:rPr>
        <w:t>)</w:t>
      </w:r>
      <w:r w:rsidRPr="0062347D">
        <w:rPr>
          <w:rFonts w:cstheme="minorHAnsi"/>
          <w:sz w:val="24"/>
          <w:szCs w:val="24"/>
        </w:rPr>
        <w:t>. Pacienti s plicní sarkoidózou byli diagnostikováni podle kr</w:t>
      </w:r>
      <w:r w:rsidRPr="00E663BF">
        <w:rPr>
          <w:rFonts w:cstheme="minorHAnsi"/>
          <w:sz w:val="24"/>
          <w:szCs w:val="24"/>
        </w:rPr>
        <w:t>itérií Americké hrudní společnosti (ATS), Evropské respirační společnosti (ERS) a Světové organizace pro sarkoidózu a další granulomatózní onemocnění (</w:t>
      </w:r>
      <w:proofErr w:type="gramStart"/>
      <w:r w:rsidRPr="00E663BF">
        <w:rPr>
          <w:rFonts w:cstheme="minorHAnsi"/>
          <w:sz w:val="24"/>
          <w:szCs w:val="24"/>
        </w:rPr>
        <w:t xml:space="preserve">WASOG) </w:t>
      </w:r>
      <w:r w:rsidRPr="0062347D">
        <w:rPr>
          <w:rFonts w:cstheme="minorHAnsi"/>
          <w:noProof/>
          <w:sz w:val="24"/>
          <w:szCs w:val="24"/>
        </w:rPr>
        <w:t>(</w:t>
      </w:r>
      <w:r w:rsidRPr="00E663BF">
        <w:rPr>
          <w:rFonts w:cstheme="minorHAnsi"/>
          <w:noProof/>
          <w:sz w:val="24"/>
          <w:szCs w:val="24"/>
        </w:rPr>
        <w:t>Costabel</w:t>
      </w:r>
      <w:proofErr w:type="gramEnd"/>
      <w:r w:rsidRPr="00E663BF">
        <w:rPr>
          <w:rFonts w:cstheme="minorHAnsi"/>
          <w:noProof/>
          <w:sz w:val="24"/>
          <w:szCs w:val="24"/>
        </w:rPr>
        <w:t xml:space="preserve"> </w:t>
      </w:r>
      <w:r w:rsidR="00166BDD">
        <w:rPr>
          <w:rFonts w:cstheme="minorHAnsi"/>
          <w:noProof/>
          <w:sz w:val="24"/>
          <w:szCs w:val="24"/>
        </w:rPr>
        <w:t>a</w:t>
      </w:r>
      <w:r w:rsidRPr="00E663BF">
        <w:rPr>
          <w:rFonts w:cstheme="minorHAnsi"/>
          <w:noProof/>
          <w:sz w:val="24"/>
          <w:szCs w:val="24"/>
        </w:rPr>
        <w:t xml:space="preserve"> Hunninhake 1999</w:t>
      </w:r>
      <w:r w:rsidRPr="0062347D">
        <w:rPr>
          <w:rFonts w:cstheme="minorHAnsi"/>
          <w:noProof/>
          <w:sz w:val="24"/>
          <w:szCs w:val="24"/>
        </w:rPr>
        <w:t>)</w:t>
      </w:r>
      <w:r w:rsidRPr="0062347D">
        <w:rPr>
          <w:rFonts w:cstheme="minorHAnsi"/>
          <w:sz w:val="24"/>
          <w:szCs w:val="24"/>
        </w:rPr>
        <w:t>. Někteří pacienti měli příznaky Löfgrenova syndromu, který je charakterizovaný erythema no</w:t>
      </w:r>
      <w:r w:rsidRPr="00E663BF">
        <w:rPr>
          <w:rFonts w:cstheme="minorHAnsi"/>
          <w:sz w:val="24"/>
          <w:szCs w:val="24"/>
        </w:rPr>
        <w:t xml:space="preserve">dosum, bilaterální hilovou lymfadenopatií, zvýšenou teplotou a </w:t>
      </w:r>
      <w:r w:rsidR="0078548E">
        <w:rPr>
          <w:rFonts w:cstheme="minorHAnsi"/>
          <w:sz w:val="24"/>
          <w:szCs w:val="24"/>
        </w:rPr>
        <w:t>bolestí</w:t>
      </w:r>
      <w:r w:rsidRPr="00E663BF">
        <w:rPr>
          <w:rFonts w:cstheme="minorHAnsi"/>
          <w:sz w:val="24"/>
          <w:szCs w:val="24"/>
        </w:rPr>
        <w:t xml:space="preserve"> kloubů. Všichni pacienti s Löfgrenovým </w:t>
      </w:r>
      <w:r w:rsidRPr="00E663BF">
        <w:rPr>
          <w:rFonts w:cstheme="minorHAnsi"/>
          <w:sz w:val="24"/>
          <w:szCs w:val="24"/>
        </w:rPr>
        <w:lastRenderedPageBreak/>
        <w:t>syndromem měli rentgenologické (RTG) stádium ≤</w:t>
      </w:r>
      <w:r>
        <w:rPr>
          <w:rFonts w:cstheme="minorHAnsi"/>
          <w:sz w:val="24"/>
          <w:szCs w:val="24"/>
        </w:rPr>
        <w:t> </w:t>
      </w:r>
      <w:r w:rsidRPr="00E663BF">
        <w:rPr>
          <w:rFonts w:cstheme="minorHAnsi"/>
          <w:sz w:val="24"/>
          <w:szCs w:val="24"/>
        </w:rPr>
        <w:t xml:space="preserve">1 </w:t>
      </w:r>
      <w:r w:rsidRPr="004E5649">
        <w:rPr>
          <w:rFonts w:cstheme="minorHAnsi"/>
          <w:sz w:val="24"/>
          <w:szCs w:val="24"/>
        </w:rPr>
        <w:t>(n</w:t>
      </w:r>
      <w:r>
        <w:rPr>
          <w:rFonts w:cstheme="minorHAnsi"/>
          <w:sz w:val="24"/>
          <w:szCs w:val="24"/>
        </w:rPr>
        <w:t> </w:t>
      </w:r>
      <w:r w:rsidRPr="004E5649">
        <w:rPr>
          <w:rFonts w:cstheme="minorHAnsi"/>
          <w:sz w:val="24"/>
          <w:szCs w:val="24"/>
        </w:rPr>
        <w:t>=</w:t>
      </w:r>
      <w:r>
        <w:rPr>
          <w:rFonts w:cstheme="minorHAnsi"/>
          <w:sz w:val="24"/>
          <w:szCs w:val="24"/>
        </w:rPr>
        <w:t> </w:t>
      </w:r>
      <w:r w:rsidRPr="004E5649">
        <w:rPr>
          <w:rFonts w:cstheme="minorHAnsi"/>
          <w:sz w:val="24"/>
          <w:szCs w:val="24"/>
        </w:rPr>
        <w:t>12). Ostatní pacienti bez Löfgrenova syndromu měli RTG stádium ≥</w:t>
      </w:r>
      <w:r>
        <w:rPr>
          <w:rFonts w:cstheme="minorHAnsi"/>
          <w:sz w:val="24"/>
          <w:szCs w:val="24"/>
        </w:rPr>
        <w:t> </w:t>
      </w:r>
      <w:r w:rsidRPr="004E5649">
        <w:rPr>
          <w:rFonts w:cstheme="minorHAnsi"/>
          <w:sz w:val="24"/>
          <w:szCs w:val="24"/>
        </w:rPr>
        <w:t>3 (n</w:t>
      </w:r>
      <w:r>
        <w:rPr>
          <w:rFonts w:cstheme="minorHAnsi"/>
          <w:sz w:val="24"/>
          <w:szCs w:val="24"/>
        </w:rPr>
        <w:t> </w:t>
      </w:r>
      <w:r w:rsidRPr="004E5649">
        <w:rPr>
          <w:rFonts w:cstheme="minorHAnsi"/>
          <w:sz w:val="24"/>
          <w:szCs w:val="24"/>
        </w:rPr>
        <w:t>=</w:t>
      </w:r>
      <w:r>
        <w:rPr>
          <w:rFonts w:cstheme="minorHAnsi"/>
          <w:sz w:val="24"/>
          <w:szCs w:val="24"/>
        </w:rPr>
        <w:t> </w:t>
      </w:r>
      <w:r w:rsidRPr="004E5649">
        <w:rPr>
          <w:rFonts w:cstheme="minorHAnsi"/>
          <w:sz w:val="24"/>
          <w:szCs w:val="24"/>
        </w:rPr>
        <w:t>12). Klinické charakteristiky a</w:t>
      </w:r>
      <w:r>
        <w:rPr>
          <w:rFonts w:cstheme="minorHAnsi"/>
          <w:sz w:val="24"/>
          <w:szCs w:val="24"/>
        </w:rPr>
        <w:t> </w:t>
      </w:r>
      <w:r w:rsidRPr="004E5649">
        <w:rPr>
          <w:rFonts w:cstheme="minorHAnsi"/>
          <w:sz w:val="24"/>
          <w:szCs w:val="24"/>
        </w:rPr>
        <w:t>bronchoalveolární buněčný profil jsou uvedeny v </w:t>
      </w:r>
      <w:r w:rsidRPr="004E5649">
        <w:rPr>
          <w:rFonts w:cstheme="minorHAnsi"/>
          <w:b/>
          <w:sz w:val="24"/>
          <w:szCs w:val="24"/>
        </w:rPr>
        <w:t>Tabulce 5</w:t>
      </w:r>
      <w:r w:rsidRPr="00B24D8C">
        <w:rPr>
          <w:rFonts w:cstheme="minorHAnsi"/>
          <w:b/>
          <w:sz w:val="24"/>
          <w:szCs w:val="24"/>
        </w:rPr>
        <w:t xml:space="preserve"> a </w:t>
      </w:r>
      <w:r w:rsidRPr="0062347D">
        <w:rPr>
          <w:rFonts w:cstheme="minorHAnsi"/>
          <w:b/>
          <w:sz w:val="24"/>
          <w:szCs w:val="24"/>
        </w:rPr>
        <w:t>6.</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Vzorky od pacientů pocházejí z Oddělení plicních nemocí a tuberkulózy ve Fakultní nemocnici Olomouc. Studie byla provedena se souhlasem Etické komise Lékařské fakulty Univerzity Palackého v Olomouci a Fakultní nemocnice Olomouc. Informované souhlasy byly poskytnuty všemi subjekty ve studii.</w:t>
      </w:r>
    </w:p>
    <w:p w:rsidR="008F0C0F" w:rsidRPr="0062347D" w:rsidRDefault="008F0C0F" w:rsidP="00284F89">
      <w:pPr>
        <w:spacing w:line="360" w:lineRule="auto"/>
        <w:ind w:firstLine="708"/>
        <w:jc w:val="both"/>
        <w:rPr>
          <w:rFonts w:cstheme="minorHAnsi"/>
          <w:sz w:val="24"/>
          <w:szCs w:val="24"/>
        </w:rPr>
      </w:pPr>
      <w:r w:rsidRPr="0062347D">
        <w:rPr>
          <w:rFonts w:cstheme="minorHAnsi"/>
          <w:b/>
          <w:sz w:val="24"/>
          <w:szCs w:val="24"/>
        </w:rPr>
        <w:t xml:space="preserve">Tabulka 5: </w:t>
      </w:r>
      <w:r w:rsidRPr="0062347D">
        <w:rPr>
          <w:rFonts w:cstheme="minorHAnsi"/>
          <w:sz w:val="24"/>
          <w:szCs w:val="24"/>
        </w:rPr>
        <w:t>Klinické charakteristiky subjektů, u kterých byla studována exprese miRNA v séru.</w:t>
      </w:r>
    </w:p>
    <w:tbl>
      <w:tblPr>
        <w:tblStyle w:val="Mkatabulky"/>
        <w:tblW w:w="8755" w:type="dxa"/>
        <w:tblInd w:w="250" w:type="dxa"/>
        <w:tblLook w:val="04A0" w:firstRow="1" w:lastRow="0" w:firstColumn="1" w:lastColumn="0" w:noHBand="0" w:noVBand="1"/>
      </w:tblPr>
      <w:tblGrid>
        <w:gridCol w:w="2932"/>
        <w:gridCol w:w="1695"/>
        <w:gridCol w:w="2002"/>
        <w:gridCol w:w="2126"/>
      </w:tblGrid>
      <w:tr w:rsidR="008F0C0F" w:rsidRPr="0062347D" w:rsidTr="0078548E">
        <w:tc>
          <w:tcPr>
            <w:tcW w:w="2932" w:type="dxa"/>
          </w:tcPr>
          <w:p w:rsidR="008F0C0F" w:rsidRPr="0062347D" w:rsidRDefault="008F0C0F" w:rsidP="00284F89">
            <w:pPr>
              <w:jc w:val="both"/>
              <w:rPr>
                <w:rFonts w:cstheme="minorHAnsi"/>
                <w:sz w:val="24"/>
                <w:szCs w:val="24"/>
              </w:rPr>
            </w:pPr>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Zdravé kontroly</w:t>
            </w:r>
          </w:p>
          <w:p w:rsidR="008F0C0F" w:rsidRPr="0062347D" w:rsidRDefault="008F0C0F" w:rsidP="00284F89">
            <w:pPr>
              <w:jc w:val="center"/>
              <w:rPr>
                <w:rFonts w:cstheme="minorHAnsi"/>
                <w:sz w:val="24"/>
                <w:szCs w:val="24"/>
              </w:rPr>
            </w:pPr>
            <w:r w:rsidRPr="0062347D">
              <w:rPr>
                <w:rFonts w:cstheme="minorHAnsi"/>
                <w:sz w:val="24"/>
                <w:szCs w:val="24"/>
              </w:rPr>
              <w:t>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13</w:t>
            </w:r>
          </w:p>
        </w:tc>
        <w:tc>
          <w:tcPr>
            <w:tcW w:w="2002" w:type="dxa"/>
            <w:vAlign w:val="center"/>
          </w:tcPr>
          <w:p w:rsidR="008F0C0F" w:rsidRPr="0062347D" w:rsidRDefault="008F0C0F" w:rsidP="0078548E">
            <w:pPr>
              <w:jc w:val="center"/>
              <w:rPr>
                <w:rFonts w:cstheme="minorHAnsi"/>
                <w:sz w:val="24"/>
                <w:szCs w:val="24"/>
              </w:rPr>
            </w:pPr>
            <w:r w:rsidRPr="0062347D">
              <w:rPr>
                <w:rFonts w:cstheme="minorHAnsi"/>
                <w:sz w:val="24"/>
                <w:szCs w:val="24"/>
              </w:rPr>
              <w:t>S  s Löfgrenovým syndromem</w:t>
            </w:r>
          </w:p>
          <w:p w:rsidR="008F0C0F" w:rsidRPr="0062347D" w:rsidRDefault="008F0C0F" w:rsidP="0078548E">
            <w:pPr>
              <w:jc w:val="center"/>
              <w:rPr>
                <w:rFonts w:cstheme="minorHAnsi"/>
                <w:sz w:val="24"/>
                <w:szCs w:val="24"/>
              </w:rPr>
            </w:pPr>
            <w:r w:rsidRPr="0062347D">
              <w:rPr>
                <w:rFonts w:cstheme="minorHAnsi"/>
                <w:sz w:val="24"/>
                <w:szCs w:val="24"/>
              </w:rPr>
              <w:t>RTG s. ≤</w:t>
            </w:r>
            <w:r>
              <w:rPr>
                <w:rFonts w:cstheme="minorHAnsi"/>
                <w:sz w:val="24"/>
                <w:szCs w:val="24"/>
              </w:rPr>
              <w:t> </w:t>
            </w:r>
            <w:r w:rsidRPr="0062347D">
              <w:rPr>
                <w:rFonts w:cstheme="minorHAnsi"/>
                <w:sz w:val="24"/>
                <w:szCs w:val="24"/>
              </w:rPr>
              <w:t>1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12)</w:t>
            </w:r>
          </w:p>
        </w:tc>
        <w:tc>
          <w:tcPr>
            <w:tcW w:w="2126" w:type="dxa"/>
            <w:vAlign w:val="center"/>
          </w:tcPr>
          <w:p w:rsidR="008F0C0F" w:rsidRPr="0062347D" w:rsidRDefault="008F0C0F" w:rsidP="0078548E">
            <w:pPr>
              <w:jc w:val="center"/>
              <w:rPr>
                <w:rFonts w:cstheme="minorHAnsi"/>
                <w:sz w:val="24"/>
                <w:szCs w:val="24"/>
              </w:rPr>
            </w:pPr>
            <w:r w:rsidRPr="0062347D">
              <w:rPr>
                <w:rFonts w:cstheme="minorHAnsi"/>
                <w:sz w:val="24"/>
                <w:szCs w:val="24"/>
              </w:rPr>
              <w:t>S bez Löfgrenova syndromu</w:t>
            </w:r>
          </w:p>
          <w:p w:rsidR="008F0C0F" w:rsidRPr="0062347D" w:rsidRDefault="008F0C0F" w:rsidP="0078548E">
            <w:pPr>
              <w:jc w:val="center"/>
              <w:rPr>
                <w:rFonts w:cstheme="minorHAnsi"/>
                <w:sz w:val="24"/>
                <w:szCs w:val="24"/>
              </w:rPr>
            </w:pPr>
            <w:r w:rsidRPr="0062347D">
              <w:rPr>
                <w:rFonts w:cstheme="minorHAnsi"/>
                <w:sz w:val="24"/>
                <w:szCs w:val="24"/>
              </w:rPr>
              <w:t>RTG s. ≥</w:t>
            </w:r>
            <w:r>
              <w:rPr>
                <w:rFonts w:cstheme="minorHAnsi"/>
                <w:sz w:val="24"/>
                <w:szCs w:val="24"/>
              </w:rPr>
              <w:t> </w:t>
            </w:r>
            <w:r w:rsidRPr="0062347D">
              <w:rPr>
                <w:rFonts w:cstheme="minorHAnsi"/>
                <w:sz w:val="24"/>
                <w:szCs w:val="24"/>
              </w:rPr>
              <w:t>3 (n</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12)</w:t>
            </w:r>
          </w:p>
        </w:tc>
      </w:tr>
      <w:tr w:rsidR="008F0C0F" w:rsidRPr="0062347D" w:rsidTr="00284F89">
        <w:tc>
          <w:tcPr>
            <w:tcW w:w="2932" w:type="dxa"/>
          </w:tcPr>
          <w:p w:rsidR="008F0C0F" w:rsidRPr="0062347D" w:rsidRDefault="008F0C0F" w:rsidP="00284F89">
            <w:pPr>
              <w:jc w:val="both"/>
              <w:rPr>
                <w:rFonts w:cstheme="minorHAnsi"/>
                <w:sz w:val="24"/>
                <w:szCs w:val="24"/>
              </w:rPr>
            </w:pPr>
            <w:r w:rsidRPr="0062347D">
              <w:rPr>
                <w:rFonts w:cstheme="minorHAnsi"/>
                <w:sz w:val="24"/>
                <w:szCs w:val="24"/>
              </w:rPr>
              <w:t>Pohlaví: muži/ženy</w:t>
            </w:r>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2/11</w:t>
            </w:r>
          </w:p>
        </w:tc>
        <w:tc>
          <w:tcPr>
            <w:tcW w:w="2002" w:type="dxa"/>
          </w:tcPr>
          <w:p w:rsidR="008F0C0F" w:rsidRPr="0062347D" w:rsidRDefault="008F0C0F" w:rsidP="00284F89">
            <w:pPr>
              <w:jc w:val="center"/>
              <w:rPr>
                <w:rFonts w:cstheme="minorHAnsi"/>
                <w:sz w:val="24"/>
                <w:szCs w:val="24"/>
              </w:rPr>
            </w:pPr>
            <w:r w:rsidRPr="0062347D">
              <w:rPr>
                <w:rFonts w:cstheme="minorHAnsi"/>
                <w:sz w:val="24"/>
                <w:szCs w:val="24"/>
              </w:rPr>
              <w:t>8/4</w:t>
            </w:r>
          </w:p>
        </w:tc>
        <w:tc>
          <w:tcPr>
            <w:tcW w:w="2126" w:type="dxa"/>
          </w:tcPr>
          <w:p w:rsidR="008F0C0F" w:rsidRPr="0062347D" w:rsidRDefault="008F0C0F" w:rsidP="00284F89">
            <w:pPr>
              <w:jc w:val="center"/>
              <w:rPr>
                <w:rFonts w:cstheme="minorHAnsi"/>
                <w:sz w:val="24"/>
                <w:szCs w:val="24"/>
              </w:rPr>
            </w:pPr>
            <w:r w:rsidRPr="0062347D">
              <w:rPr>
                <w:rFonts w:cstheme="minorHAnsi"/>
                <w:sz w:val="24"/>
                <w:szCs w:val="24"/>
              </w:rPr>
              <w:t>6/6</w:t>
            </w:r>
          </w:p>
        </w:tc>
      </w:tr>
      <w:tr w:rsidR="008F0C0F" w:rsidRPr="0062347D" w:rsidTr="00284F89">
        <w:tc>
          <w:tcPr>
            <w:tcW w:w="2932" w:type="dxa"/>
          </w:tcPr>
          <w:p w:rsidR="008F0C0F" w:rsidRPr="0062347D" w:rsidRDefault="008F0C0F" w:rsidP="00284F89">
            <w:pPr>
              <w:jc w:val="both"/>
              <w:rPr>
                <w:rFonts w:cstheme="minorHAnsi"/>
                <w:sz w:val="24"/>
                <w:szCs w:val="24"/>
              </w:rPr>
            </w:pPr>
            <w:r w:rsidRPr="0062347D">
              <w:rPr>
                <w:rFonts w:cstheme="minorHAnsi"/>
                <w:sz w:val="24"/>
                <w:szCs w:val="24"/>
              </w:rPr>
              <w:t>Průměrný věk (</w:t>
            </w:r>
            <w:proofErr w:type="gramStart"/>
            <w:r w:rsidRPr="0062347D">
              <w:rPr>
                <w:rFonts w:cstheme="minorHAnsi"/>
                <w:sz w:val="24"/>
                <w:szCs w:val="24"/>
              </w:rPr>
              <w:t>min</w:t>
            </w:r>
            <w:proofErr w:type="gramEnd"/>
            <w:r w:rsidRPr="0062347D">
              <w:rPr>
                <w:rFonts w:cstheme="minorHAnsi"/>
                <w:sz w:val="24"/>
                <w:szCs w:val="24"/>
              </w:rPr>
              <w:t>–</w:t>
            </w:r>
            <w:proofErr w:type="gramStart"/>
            <w:r w:rsidRPr="0062347D">
              <w:rPr>
                <w:rFonts w:cstheme="minorHAnsi"/>
                <w:sz w:val="24"/>
                <w:szCs w:val="24"/>
              </w:rPr>
              <w:t>max</w:t>
            </w:r>
            <w:proofErr w:type="gramEnd"/>
            <w:r w:rsidRPr="0062347D">
              <w:rPr>
                <w:rFonts w:cstheme="minorHAnsi"/>
                <w:sz w:val="24"/>
                <w:szCs w:val="24"/>
              </w:rPr>
              <w:t>)</w:t>
            </w:r>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45,6 (23</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62)</w:t>
            </w:r>
          </w:p>
        </w:tc>
        <w:tc>
          <w:tcPr>
            <w:tcW w:w="2002" w:type="dxa"/>
          </w:tcPr>
          <w:p w:rsidR="008F0C0F" w:rsidRPr="0062347D" w:rsidRDefault="008F0C0F" w:rsidP="00284F89">
            <w:pPr>
              <w:jc w:val="center"/>
              <w:rPr>
                <w:rFonts w:cstheme="minorHAnsi"/>
                <w:sz w:val="24"/>
                <w:szCs w:val="24"/>
              </w:rPr>
            </w:pPr>
            <w:r w:rsidRPr="0062347D">
              <w:rPr>
                <w:rFonts w:cstheme="minorHAnsi"/>
                <w:sz w:val="24"/>
                <w:szCs w:val="24"/>
              </w:rPr>
              <w:t>45,5 (32</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62)</w:t>
            </w:r>
          </w:p>
        </w:tc>
        <w:tc>
          <w:tcPr>
            <w:tcW w:w="2126" w:type="dxa"/>
          </w:tcPr>
          <w:p w:rsidR="008F0C0F" w:rsidRPr="0062347D" w:rsidRDefault="008F0C0F" w:rsidP="00284F89">
            <w:pPr>
              <w:jc w:val="center"/>
              <w:rPr>
                <w:rFonts w:cstheme="minorHAnsi"/>
                <w:sz w:val="24"/>
                <w:szCs w:val="24"/>
              </w:rPr>
            </w:pPr>
            <w:r w:rsidRPr="0062347D">
              <w:rPr>
                <w:rFonts w:cstheme="minorHAnsi"/>
                <w:sz w:val="24"/>
                <w:szCs w:val="24"/>
              </w:rPr>
              <w:t>46,6 (26</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72)</w:t>
            </w:r>
          </w:p>
        </w:tc>
      </w:tr>
      <w:tr w:rsidR="008F0C0F" w:rsidRPr="0062347D" w:rsidTr="00A35E86">
        <w:tc>
          <w:tcPr>
            <w:tcW w:w="2932" w:type="dxa"/>
          </w:tcPr>
          <w:p w:rsidR="008F0C0F" w:rsidRPr="0062347D" w:rsidRDefault="008F0C0F" w:rsidP="00284F89">
            <w:pPr>
              <w:rPr>
                <w:rFonts w:cstheme="minorHAnsi"/>
                <w:sz w:val="24"/>
                <w:szCs w:val="24"/>
              </w:rPr>
            </w:pPr>
            <w:r w:rsidRPr="0062347D">
              <w:rPr>
                <w:rFonts w:cstheme="minorHAnsi"/>
                <w:sz w:val="24"/>
                <w:szCs w:val="24"/>
              </w:rPr>
              <w:t>Historie kouření (</w:t>
            </w:r>
            <w:proofErr w:type="gramStart"/>
            <w:r w:rsidRPr="0062347D">
              <w:rPr>
                <w:rFonts w:cstheme="minorHAnsi"/>
                <w:sz w:val="24"/>
                <w:szCs w:val="24"/>
              </w:rPr>
              <w:t>nekuřáci/ex</w:t>
            </w:r>
            <w:proofErr w:type="gramEnd"/>
            <w:r w:rsidRPr="0062347D">
              <w:rPr>
                <w:rFonts w:cstheme="minorHAnsi"/>
                <w:sz w:val="24"/>
                <w:szCs w:val="24"/>
              </w:rPr>
              <w:t>–</w:t>
            </w:r>
            <w:proofErr w:type="gramStart"/>
            <w:r w:rsidRPr="0062347D">
              <w:rPr>
                <w:rFonts w:cstheme="minorHAnsi"/>
                <w:sz w:val="24"/>
                <w:szCs w:val="24"/>
              </w:rPr>
              <w:t>kuřáci*/současní</w:t>
            </w:r>
            <w:proofErr w:type="gramEnd"/>
            <w:r w:rsidRPr="0062347D">
              <w:rPr>
                <w:rFonts w:cstheme="minorHAnsi"/>
                <w:sz w:val="24"/>
                <w:szCs w:val="24"/>
              </w:rPr>
              <w:t xml:space="preserve"> kuřáci/NH</w:t>
            </w:r>
          </w:p>
        </w:tc>
        <w:tc>
          <w:tcPr>
            <w:tcW w:w="1695" w:type="dxa"/>
            <w:vAlign w:val="center"/>
          </w:tcPr>
          <w:p w:rsidR="008F0C0F" w:rsidRPr="0062347D" w:rsidRDefault="008F0C0F" w:rsidP="00A35E86">
            <w:pPr>
              <w:jc w:val="center"/>
              <w:rPr>
                <w:rFonts w:cstheme="minorHAnsi"/>
                <w:sz w:val="24"/>
                <w:szCs w:val="24"/>
              </w:rPr>
            </w:pPr>
            <w:r w:rsidRPr="0062347D">
              <w:rPr>
                <w:rFonts w:cstheme="minorHAnsi"/>
                <w:sz w:val="24"/>
                <w:szCs w:val="24"/>
              </w:rPr>
              <w:t>13/0/0/0</w:t>
            </w:r>
          </w:p>
        </w:tc>
        <w:tc>
          <w:tcPr>
            <w:tcW w:w="2002" w:type="dxa"/>
            <w:vAlign w:val="center"/>
          </w:tcPr>
          <w:p w:rsidR="008F0C0F" w:rsidRPr="0062347D" w:rsidRDefault="008F0C0F" w:rsidP="00A35E86">
            <w:pPr>
              <w:jc w:val="center"/>
              <w:rPr>
                <w:rFonts w:cstheme="minorHAnsi"/>
                <w:sz w:val="24"/>
                <w:szCs w:val="24"/>
              </w:rPr>
            </w:pPr>
            <w:r w:rsidRPr="0062347D">
              <w:rPr>
                <w:rFonts w:cstheme="minorHAnsi"/>
                <w:sz w:val="24"/>
                <w:szCs w:val="24"/>
              </w:rPr>
              <w:t>9/1/1/1</w:t>
            </w:r>
          </w:p>
        </w:tc>
        <w:tc>
          <w:tcPr>
            <w:tcW w:w="2126" w:type="dxa"/>
            <w:vAlign w:val="center"/>
          </w:tcPr>
          <w:p w:rsidR="008F0C0F" w:rsidRPr="0062347D" w:rsidRDefault="008F0C0F" w:rsidP="00A35E86">
            <w:pPr>
              <w:jc w:val="center"/>
              <w:rPr>
                <w:rFonts w:cstheme="minorHAnsi"/>
                <w:sz w:val="24"/>
                <w:szCs w:val="24"/>
              </w:rPr>
            </w:pPr>
            <w:r w:rsidRPr="0062347D">
              <w:rPr>
                <w:rFonts w:cstheme="minorHAnsi"/>
                <w:sz w:val="24"/>
                <w:szCs w:val="24"/>
              </w:rPr>
              <w:t>9/2/1/0</w:t>
            </w:r>
          </w:p>
        </w:tc>
      </w:tr>
      <w:tr w:rsidR="008F0C0F" w:rsidRPr="0062347D" w:rsidTr="00284F89">
        <w:tc>
          <w:tcPr>
            <w:tcW w:w="2932" w:type="dxa"/>
          </w:tcPr>
          <w:p w:rsidR="008F0C0F" w:rsidRPr="0062347D" w:rsidRDefault="008F0C0F" w:rsidP="00284F89">
            <w:pPr>
              <w:jc w:val="both"/>
              <w:rPr>
                <w:rFonts w:cstheme="minorHAnsi"/>
                <w:sz w:val="24"/>
                <w:szCs w:val="24"/>
              </w:rPr>
            </w:pPr>
            <w:r w:rsidRPr="0062347D">
              <w:rPr>
                <w:rFonts w:cstheme="minorHAnsi"/>
                <w:sz w:val="24"/>
                <w:szCs w:val="24"/>
              </w:rPr>
              <w:t>RTG stádium 0/1</w:t>
            </w:r>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002" w:type="dxa"/>
          </w:tcPr>
          <w:p w:rsidR="008F0C0F" w:rsidRPr="0062347D" w:rsidRDefault="008F0C0F" w:rsidP="00284F89">
            <w:pPr>
              <w:jc w:val="center"/>
              <w:rPr>
                <w:rFonts w:cstheme="minorHAnsi"/>
                <w:sz w:val="24"/>
                <w:szCs w:val="24"/>
              </w:rPr>
            </w:pPr>
            <w:r w:rsidRPr="0062347D">
              <w:rPr>
                <w:rFonts w:cstheme="minorHAnsi"/>
                <w:sz w:val="24"/>
                <w:szCs w:val="24"/>
              </w:rPr>
              <w:t>12</w:t>
            </w:r>
          </w:p>
        </w:tc>
        <w:tc>
          <w:tcPr>
            <w:tcW w:w="2126" w:type="dxa"/>
          </w:tcPr>
          <w:p w:rsidR="008F0C0F" w:rsidRPr="0062347D" w:rsidRDefault="008F0C0F" w:rsidP="00284F89">
            <w:pPr>
              <w:jc w:val="center"/>
              <w:rPr>
                <w:rFonts w:cstheme="minorHAnsi"/>
                <w:sz w:val="24"/>
                <w:szCs w:val="24"/>
              </w:rPr>
            </w:pPr>
            <w:r w:rsidRPr="0062347D">
              <w:rPr>
                <w:rFonts w:cstheme="minorHAnsi"/>
                <w:sz w:val="24"/>
                <w:szCs w:val="24"/>
              </w:rPr>
              <w:t>-</w:t>
            </w:r>
          </w:p>
        </w:tc>
      </w:tr>
      <w:tr w:rsidR="008F0C0F" w:rsidRPr="0062347D" w:rsidTr="00284F89">
        <w:tc>
          <w:tcPr>
            <w:tcW w:w="2932" w:type="dxa"/>
          </w:tcPr>
          <w:p w:rsidR="008F0C0F" w:rsidRPr="0062347D" w:rsidRDefault="008F0C0F" w:rsidP="00284F89">
            <w:pPr>
              <w:jc w:val="both"/>
              <w:rPr>
                <w:rFonts w:cstheme="minorHAnsi"/>
                <w:sz w:val="24"/>
                <w:szCs w:val="24"/>
              </w:rPr>
            </w:pPr>
            <w:r w:rsidRPr="0062347D">
              <w:rPr>
                <w:rFonts w:cstheme="minorHAnsi"/>
                <w:sz w:val="24"/>
                <w:szCs w:val="24"/>
              </w:rPr>
              <w:t>RTG stádium 3/4</w:t>
            </w:r>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002"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126" w:type="dxa"/>
          </w:tcPr>
          <w:p w:rsidR="008F0C0F" w:rsidRPr="0062347D" w:rsidRDefault="008F0C0F" w:rsidP="00284F89">
            <w:pPr>
              <w:jc w:val="center"/>
              <w:rPr>
                <w:rFonts w:cstheme="minorHAnsi"/>
                <w:sz w:val="24"/>
                <w:szCs w:val="24"/>
              </w:rPr>
            </w:pPr>
            <w:r w:rsidRPr="0062347D">
              <w:rPr>
                <w:rFonts w:cstheme="minorHAnsi"/>
                <w:sz w:val="24"/>
                <w:szCs w:val="24"/>
              </w:rPr>
              <w:t>10/2</w:t>
            </w:r>
          </w:p>
        </w:tc>
      </w:tr>
      <w:tr w:rsidR="008F0C0F" w:rsidRPr="0062347D" w:rsidTr="00284F89">
        <w:tc>
          <w:tcPr>
            <w:tcW w:w="2932" w:type="dxa"/>
          </w:tcPr>
          <w:p w:rsidR="008F0C0F" w:rsidRPr="0062347D" w:rsidRDefault="008F0C0F" w:rsidP="00284F89">
            <w:pPr>
              <w:jc w:val="both"/>
              <w:rPr>
                <w:rFonts w:cstheme="minorHAnsi"/>
                <w:sz w:val="24"/>
                <w:szCs w:val="24"/>
              </w:rPr>
            </w:pPr>
            <w:r w:rsidRPr="0062347D">
              <w:rPr>
                <w:rFonts w:cstheme="minorHAnsi"/>
                <w:sz w:val="24"/>
                <w:szCs w:val="24"/>
              </w:rPr>
              <w:t>FEV1 (min</w:t>
            </w:r>
            <w:r>
              <w:rPr>
                <w:rFonts w:cstheme="minorHAnsi"/>
                <w:sz w:val="24"/>
                <w:szCs w:val="24"/>
              </w:rPr>
              <w:t> </w:t>
            </w:r>
            <w:r w:rsidRPr="0062347D">
              <w:rPr>
                <w:rFonts w:cstheme="minorHAnsi"/>
                <w:sz w:val="24"/>
                <w:szCs w:val="24"/>
              </w:rPr>
              <w:t>–</w:t>
            </w:r>
            <w:r>
              <w:rPr>
                <w:rFonts w:cstheme="minorHAnsi"/>
                <w:sz w:val="24"/>
                <w:szCs w:val="24"/>
              </w:rPr>
              <w:t> </w:t>
            </w:r>
            <w:proofErr w:type="gramStart"/>
            <w:r w:rsidRPr="0062347D">
              <w:rPr>
                <w:rFonts w:cstheme="minorHAnsi"/>
                <w:sz w:val="24"/>
                <w:szCs w:val="24"/>
              </w:rPr>
              <w:t>max) (%)</w:t>
            </w:r>
            <w:proofErr w:type="gramEnd"/>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002" w:type="dxa"/>
          </w:tcPr>
          <w:p w:rsidR="008F0C0F" w:rsidRPr="0062347D" w:rsidRDefault="008F0C0F" w:rsidP="00284F89">
            <w:pPr>
              <w:jc w:val="center"/>
              <w:rPr>
                <w:rFonts w:cstheme="minorHAnsi"/>
                <w:sz w:val="24"/>
                <w:szCs w:val="24"/>
              </w:rPr>
            </w:pPr>
            <w:r w:rsidRPr="0062347D">
              <w:rPr>
                <w:rFonts w:cstheme="minorHAnsi"/>
                <w:sz w:val="24"/>
                <w:szCs w:val="24"/>
              </w:rPr>
              <w:t>106 (99</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109)</w:t>
            </w:r>
          </w:p>
        </w:tc>
        <w:tc>
          <w:tcPr>
            <w:tcW w:w="2126" w:type="dxa"/>
          </w:tcPr>
          <w:p w:rsidR="008F0C0F" w:rsidRPr="0062347D" w:rsidRDefault="008F0C0F" w:rsidP="00284F89">
            <w:pPr>
              <w:jc w:val="center"/>
              <w:rPr>
                <w:rFonts w:cstheme="minorHAnsi"/>
                <w:sz w:val="24"/>
                <w:szCs w:val="24"/>
              </w:rPr>
            </w:pPr>
            <w:r w:rsidRPr="0062347D">
              <w:rPr>
                <w:rFonts w:cstheme="minorHAnsi"/>
                <w:sz w:val="24"/>
                <w:szCs w:val="24"/>
              </w:rPr>
              <w:t>90 (59</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113)</w:t>
            </w:r>
          </w:p>
        </w:tc>
      </w:tr>
      <w:tr w:rsidR="008F0C0F" w:rsidRPr="0062347D" w:rsidTr="00284F89">
        <w:tc>
          <w:tcPr>
            <w:tcW w:w="2932" w:type="dxa"/>
          </w:tcPr>
          <w:p w:rsidR="008F0C0F" w:rsidRPr="0062347D" w:rsidRDefault="008F0C0F" w:rsidP="00284F89">
            <w:pPr>
              <w:jc w:val="both"/>
              <w:rPr>
                <w:rFonts w:cstheme="minorHAnsi"/>
                <w:sz w:val="24"/>
                <w:szCs w:val="24"/>
              </w:rPr>
            </w:pPr>
            <w:r w:rsidRPr="0062347D">
              <w:rPr>
                <w:rFonts w:cstheme="minorHAnsi"/>
                <w:sz w:val="24"/>
                <w:szCs w:val="24"/>
              </w:rPr>
              <w:t>FEV1/VC (min</w:t>
            </w:r>
            <w:r>
              <w:rPr>
                <w:rFonts w:cstheme="minorHAnsi"/>
                <w:sz w:val="24"/>
                <w:szCs w:val="24"/>
              </w:rPr>
              <w:t> </w:t>
            </w:r>
            <w:r w:rsidRPr="0062347D">
              <w:rPr>
                <w:rFonts w:cstheme="minorHAnsi"/>
                <w:sz w:val="24"/>
                <w:szCs w:val="24"/>
              </w:rPr>
              <w:t>–</w:t>
            </w:r>
            <w:r>
              <w:rPr>
                <w:rFonts w:cstheme="minorHAnsi"/>
                <w:sz w:val="24"/>
                <w:szCs w:val="24"/>
              </w:rPr>
              <w:t> </w:t>
            </w:r>
            <w:proofErr w:type="gramStart"/>
            <w:r w:rsidRPr="0062347D">
              <w:rPr>
                <w:rFonts w:cstheme="minorHAnsi"/>
                <w:sz w:val="24"/>
                <w:szCs w:val="24"/>
              </w:rPr>
              <w:t>max) (%)</w:t>
            </w:r>
            <w:proofErr w:type="gramEnd"/>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002" w:type="dxa"/>
          </w:tcPr>
          <w:p w:rsidR="008F0C0F" w:rsidRPr="0062347D" w:rsidRDefault="008F0C0F" w:rsidP="00284F89">
            <w:pPr>
              <w:jc w:val="center"/>
              <w:rPr>
                <w:rFonts w:cstheme="minorHAnsi"/>
                <w:sz w:val="24"/>
                <w:szCs w:val="24"/>
              </w:rPr>
            </w:pPr>
            <w:r w:rsidRPr="0062347D">
              <w:rPr>
                <w:rFonts w:cstheme="minorHAnsi"/>
                <w:sz w:val="24"/>
                <w:szCs w:val="24"/>
              </w:rPr>
              <w:t>81 (69</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90)</w:t>
            </w:r>
          </w:p>
        </w:tc>
        <w:tc>
          <w:tcPr>
            <w:tcW w:w="2126" w:type="dxa"/>
          </w:tcPr>
          <w:p w:rsidR="008F0C0F" w:rsidRPr="0062347D" w:rsidRDefault="008F0C0F" w:rsidP="00284F89">
            <w:pPr>
              <w:jc w:val="center"/>
              <w:rPr>
                <w:rFonts w:cstheme="minorHAnsi"/>
                <w:sz w:val="24"/>
                <w:szCs w:val="24"/>
              </w:rPr>
            </w:pPr>
            <w:r w:rsidRPr="0062347D">
              <w:rPr>
                <w:rFonts w:cstheme="minorHAnsi"/>
                <w:sz w:val="24"/>
                <w:szCs w:val="24"/>
              </w:rPr>
              <w:t>76 (74</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80)</w:t>
            </w:r>
          </w:p>
        </w:tc>
      </w:tr>
      <w:tr w:rsidR="008F0C0F" w:rsidRPr="0062347D" w:rsidTr="001844AA">
        <w:tc>
          <w:tcPr>
            <w:tcW w:w="2932" w:type="dxa"/>
          </w:tcPr>
          <w:p w:rsidR="008F0C0F" w:rsidRPr="0062347D" w:rsidRDefault="008F0C0F" w:rsidP="00284F89">
            <w:pPr>
              <w:rPr>
                <w:rFonts w:cstheme="minorHAnsi"/>
                <w:sz w:val="24"/>
                <w:szCs w:val="24"/>
              </w:rPr>
            </w:pPr>
            <w:r w:rsidRPr="0062347D">
              <w:rPr>
                <w:rFonts w:cstheme="minorHAnsi"/>
                <w:sz w:val="24"/>
                <w:szCs w:val="24"/>
              </w:rPr>
              <w:t>Průměrná hodnota DLCO (min</w:t>
            </w:r>
            <w:r>
              <w:rPr>
                <w:rFonts w:cstheme="minorHAnsi"/>
                <w:sz w:val="24"/>
                <w:szCs w:val="24"/>
              </w:rPr>
              <w:t> </w:t>
            </w:r>
            <w:r w:rsidRPr="0062347D">
              <w:rPr>
                <w:rFonts w:cstheme="minorHAnsi"/>
                <w:sz w:val="24"/>
                <w:szCs w:val="24"/>
              </w:rPr>
              <w:t>–</w:t>
            </w:r>
            <w:r>
              <w:rPr>
                <w:rFonts w:cstheme="minorHAnsi"/>
                <w:sz w:val="24"/>
                <w:szCs w:val="24"/>
              </w:rPr>
              <w:t> </w:t>
            </w:r>
            <w:proofErr w:type="gramStart"/>
            <w:r w:rsidRPr="0062347D">
              <w:rPr>
                <w:rFonts w:cstheme="minorHAnsi"/>
                <w:sz w:val="24"/>
                <w:szCs w:val="24"/>
              </w:rPr>
              <w:t>max) (%)</w:t>
            </w:r>
            <w:proofErr w:type="gramEnd"/>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002" w:type="dxa"/>
            <w:vAlign w:val="center"/>
          </w:tcPr>
          <w:p w:rsidR="008F0C0F" w:rsidRPr="0062347D" w:rsidRDefault="008F0C0F" w:rsidP="001844AA">
            <w:pPr>
              <w:jc w:val="center"/>
              <w:rPr>
                <w:rFonts w:cstheme="minorHAnsi"/>
                <w:sz w:val="24"/>
                <w:szCs w:val="24"/>
              </w:rPr>
            </w:pPr>
            <w:r w:rsidRPr="0062347D">
              <w:rPr>
                <w:rFonts w:cstheme="minorHAnsi"/>
                <w:sz w:val="24"/>
                <w:szCs w:val="24"/>
              </w:rPr>
              <w:t>101 (82</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131)</w:t>
            </w:r>
          </w:p>
        </w:tc>
        <w:tc>
          <w:tcPr>
            <w:tcW w:w="2126" w:type="dxa"/>
            <w:vAlign w:val="center"/>
          </w:tcPr>
          <w:p w:rsidR="008F0C0F" w:rsidRPr="0062347D" w:rsidRDefault="008F0C0F" w:rsidP="001844AA">
            <w:pPr>
              <w:jc w:val="center"/>
              <w:rPr>
                <w:rFonts w:cstheme="minorHAnsi"/>
                <w:sz w:val="24"/>
                <w:szCs w:val="24"/>
              </w:rPr>
            </w:pPr>
            <w:r w:rsidRPr="0062347D">
              <w:rPr>
                <w:rFonts w:cstheme="minorHAnsi"/>
                <w:sz w:val="24"/>
                <w:szCs w:val="24"/>
              </w:rPr>
              <w:t>78 (46</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98)</w:t>
            </w:r>
          </w:p>
        </w:tc>
      </w:tr>
      <w:tr w:rsidR="008F0C0F" w:rsidRPr="0062347D" w:rsidTr="001844AA">
        <w:tc>
          <w:tcPr>
            <w:tcW w:w="2932" w:type="dxa"/>
          </w:tcPr>
          <w:p w:rsidR="008F0C0F" w:rsidRPr="0062347D" w:rsidRDefault="008F0C0F" w:rsidP="00284F89">
            <w:pPr>
              <w:rPr>
                <w:rFonts w:cstheme="minorHAnsi"/>
                <w:sz w:val="24"/>
                <w:szCs w:val="24"/>
              </w:rPr>
            </w:pPr>
            <w:r w:rsidRPr="0062347D">
              <w:rPr>
                <w:rFonts w:cstheme="minorHAnsi"/>
                <w:sz w:val="24"/>
                <w:szCs w:val="24"/>
              </w:rPr>
              <w:t>Průměrná hodnota DLCO/VA (min</w:t>
            </w:r>
            <w:r>
              <w:rPr>
                <w:rFonts w:cstheme="minorHAnsi"/>
                <w:sz w:val="24"/>
                <w:szCs w:val="24"/>
              </w:rPr>
              <w:t> </w:t>
            </w:r>
            <w:r w:rsidRPr="0062347D">
              <w:rPr>
                <w:rFonts w:cstheme="minorHAnsi"/>
                <w:sz w:val="24"/>
                <w:szCs w:val="24"/>
              </w:rPr>
              <w:t>–</w:t>
            </w:r>
            <w:r>
              <w:rPr>
                <w:rFonts w:cstheme="minorHAnsi"/>
                <w:sz w:val="24"/>
                <w:szCs w:val="24"/>
              </w:rPr>
              <w:t> </w:t>
            </w:r>
            <w:proofErr w:type="gramStart"/>
            <w:r w:rsidRPr="0062347D">
              <w:rPr>
                <w:rFonts w:cstheme="minorHAnsi"/>
                <w:sz w:val="24"/>
                <w:szCs w:val="24"/>
              </w:rPr>
              <w:t>max) (%)</w:t>
            </w:r>
            <w:proofErr w:type="gramEnd"/>
          </w:p>
        </w:tc>
        <w:tc>
          <w:tcPr>
            <w:tcW w:w="1695" w:type="dxa"/>
          </w:tcPr>
          <w:p w:rsidR="008F0C0F" w:rsidRPr="0062347D" w:rsidRDefault="008F0C0F" w:rsidP="00284F89">
            <w:pPr>
              <w:jc w:val="center"/>
              <w:rPr>
                <w:rFonts w:cstheme="minorHAnsi"/>
                <w:sz w:val="24"/>
                <w:szCs w:val="24"/>
              </w:rPr>
            </w:pPr>
            <w:r w:rsidRPr="0062347D">
              <w:rPr>
                <w:rFonts w:cstheme="minorHAnsi"/>
                <w:sz w:val="24"/>
                <w:szCs w:val="24"/>
              </w:rPr>
              <w:t>-</w:t>
            </w:r>
          </w:p>
        </w:tc>
        <w:tc>
          <w:tcPr>
            <w:tcW w:w="2002" w:type="dxa"/>
            <w:vAlign w:val="center"/>
          </w:tcPr>
          <w:p w:rsidR="008F0C0F" w:rsidRPr="0062347D" w:rsidRDefault="008F0C0F" w:rsidP="001844AA">
            <w:pPr>
              <w:jc w:val="center"/>
              <w:rPr>
                <w:rFonts w:cstheme="minorHAnsi"/>
                <w:sz w:val="24"/>
                <w:szCs w:val="24"/>
              </w:rPr>
            </w:pPr>
            <w:r w:rsidRPr="0062347D">
              <w:rPr>
                <w:rFonts w:cstheme="minorHAnsi"/>
                <w:sz w:val="24"/>
                <w:szCs w:val="24"/>
              </w:rPr>
              <w:t>90 (84</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94)</w:t>
            </w:r>
          </w:p>
        </w:tc>
        <w:tc>
          <w:tcPr>
            <w:tcW w:w="2126" w:type="dxa"/>
            <w:vAlign w:val="center"/>
          </w:tcPr>
          <w:p w:rsidR="008F0C0F" w:rsidRPr="0062347D" w:rsidRDefault="008F0C0F" w:rsidP="001844AA">
            <w:pPr>
              <w:jc w:val="center"/>
              <w:rPr>
                <w:rFonts w:cstheme="minorHAnsi"/>
                <w:sz w:val="24"/>
                <w:szCs w:val="24"/>
              </w:rPr>
            </w:pPr>
            <w:r w:rsidRPr="0062347D">
              <w:rPr>
                <w:rFonts w:cstheme="minorHAnsi"/>
                <w:sz w:val="24"/>
                <w:szCs w:val="24"/>
              </w:rPr>
              <w:t>103 (95</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115)</w:t>
            </w:r>
          </w:p>
        </w:tc>
      </w:tr>
    </w:tbl>
    <w:p w:rsidR="008F0C0F" w:rsidRPr="0062347D" w:rsidRDefault="008F0C0F" w:rsidP="00284F89">
      <w:pPr>
        <w:spacing w:before="240"/>
        <w:jc w:val="both"/>
        <w:rPr>
          <w:rFonts w:cstheme="minorHAnsi"/>
          <w:sz w:val="24"/>
          <w:szCs w:val="24"/>
        </w:rPr>
      </w:pPr>
      <w:r w:rsidRPr="0062347D">
        <w:rPr>
          <w:rFonts w:cstheme="minorHAnsi"/>
          <w:b/>
          <w:sz w:val="24"/>
          <w:szCs w:val="24"/>
        </w:rPr>
        <w:t>Legenda k Tabulce 5:</w:t>
      </w:r>
      <w:r w:rsidRPr="0062347D">
        <w:rPr>
          <w:rFonts w:cstheme="minorHAnsi"/>
          <w:sz w:val="24"/>
          <w:szCs w:val="24"/>
        </w:rPr>
        <w:t xml:space="preserve"> S</w:t>
      </w:r>
      <w:r>
        <w:rPr>
          <w:rFonts w:cstheme="minorHAnsi"/>
          <w:sz w:val="24"/>
          <w:szCs w:val="24"/>
        </w:rPr>
        <w:t xml:space="preserve"> </w:t>
      </w:r>
      <w:r w:rsidRPr="0062347D">
        <w:rPr>
          <w:rFonts w:cstheme="minorHAnsi"/>
          <w:sz w:val="24"/>
          <w:szCs w:val="24"/>
        </w:rPr>
        <w:t>= sarkoidóza; RTG s.</w:t>
      </w:r>
      <w:r>
        <w:rPr>
          <w:rFonts w:cstheme="minorHAnsi"/>
          <w:sz w:val="24"/>
          <w:szCs w:val="24"/>
        </w:rPr>
        <w:t xml:space="preserve"> </w:t>
      </w:r>
      <w:r w:rsidRPr="0062347D">
        <w:rPr>
          <w:rFonts w:cstheme="minorHAnsi"/>
          <w:sz w:val="24"/>
          <w:szCs w:val="24"/>
        </w:rPr>
        <w:t>= rentgenologické stádium; DLCO (</w:t>
      </w:r>
      <w:r w:rsidRPr="00C87449">
        <w:rPr>
          <w:rFonts w:cstheme="minorHAnsi"/>
          <w:sz w:val="24"/>
          <w:szCs w:val="24"/>
        </w:rPr>
        <w:t>diffusing capacity of the lungs for carbon mono-oxide</w:t>
      </w:r>
      <w:r w:rsidRPr="0062347D">
        <w:rPr>
          <w:rFonts w:cstheme="minorHAnsi"/>
          <w:sz w:val="24"/>
          <w:szCs w:val="24"/>
        </w:rPr>
        <w:t>)</w:t>
      </w:r>
      <w:r>
        <w:rPr>
          <w:rFonts w:cstheme="minorHAnsi"/>
          <w:sz w:val="24"/>
          <w:szCs w:val="24"/>
        </w:rPr>
        <w:t xml:space="preserve"> </w:t>
      </w:r>
      <w:r w:rsidRPr="0062347D">
        <w:rPr>
          <w:rFonts w:cstheme="minorHAnsi"/>
          <w:sz w:val="24"/>
          <w:szCs w:val="24"/>
        </w:rPr>
        <w:t>=</w:t>
      </w:r>
      <w:r w:rsidRPr="00E663BF">
        <w:rPr>
          <w:rFonts w:cstheme="minorHAnsi"/>
          <w:sz w:val="24"/>
          <w:szCs w:val="24"/>
        </w:rPr>
        <w:t xml:space="preserve"> difúzní kapacita plic pro oxid uhelnatý;</w:t>
      </w:r>
      <w:r w:rsidRPr="004E5649">
        <w:rPr>
          <w:rFonts w:cstheme="minorHAnsi"/>
          <w:sz w:val="24"/>
          <w:szCs w:val="24"/>
        </w:rPr>
        <w:t xml:space="preserve"> FEV1 (</w:t>
      </w:r>
      <w:r w:rsidRPr="00C87449">
        <w:rPr>
          <w:rFonts w:cstheme="minorHAnsi"/>
          <w:sz w:val="24"/>
          <w:szCs w:val="24"/>
        </w:rPr>
        <w:t>forced expiratory volume</w:t>
      </w:r>
      <w:r w:rsidRPr="0062347D">
        <w:rPr>
          <w:rFonts w:cstheme="minorHAnsi"/>
          <w:sz w:val="24"/>
          <w:szCs w:val="24"/>
        </w:rPr>
        <w:t xml:space="preserve"> in 1 second)</w:t>
      </w:r>
      <w:r>
        <w:rPr>
          <w:rFonts w:cstheme="minorHAnsi"/>
          <w:sz w:val="24"/>
          <w:szCs w:val="24"/>
        </w:rPr>
        <w:t xml:space="preserve"> </w:t>
      </w:r>
      <w:r w:rsidRPr="0062347D">
        <w:rPr>
          <w:rFonts w:cstheme="minorHAnsi"/>
          <w:sz w:val="24"/>
          <w:szCs w:val="24"/>
        </w:rPr>
        <w:t>=</w:t>
      </w:r>
      <w:r w:rsidRPr="00E663BF">
        <w:rPr>
          <w:rFonts w:cstheme="minorHAnsi"/>
          <w:sz w:val="24"/>
          <w:szCs w:val="24"/>
        </w:rPr>
        <w:t xml:space="preserve"> usilovně vydechnutý objem za jednu sekundu, VA (</w:t>
      </w:r>
      <w:r w:rsidRPr="00C87449">
        <w:rPr>
          <w:rFonts w:cstheme="minorHAnsi"/>
          <w:sz w:val="24"/>
          <w:szCs w:val="24"/>
        </w:rPr>
        <w:t>alveolar volume</w:t>
      </w:r>
      <w:r w:rsidRPr="0062347D">
        <w:rPr>
          <w:rFonts w:cstheme="minorHAnsi"/>
          <w:sz w:val="24"/>
          <w:szCs w:val="24"/>
        </w:rPr>
        <w:t>)</w:t>
      </w:r>
      <w:r>
        <w:rPr>
          <w:rFonts w:cstheme="minorHAnsi"/>
          <w:sz w:val="24"/>
          <w:szCs w:val="24"/>
        </w:rPr>
        <w:t xml:space="preserve"> </w:t>
      </w:r>
      <w:r w:rsidRPr="0062347D">
        <w:rPr>
          <w:rFonts w:cstheme="minorHAnsi"/>
          <w:sz w:val="24"/>
          <w:szCs w:val="24"/>
        </w:rPr>
        <w:t>= alveolární objem; VC</w:t>
      </w:r>
      <w:r w:rsidRPr="00E663BF">
        <w:rPr>
          <w:rFonts w:cstheme="minorHAnsi"/>
          <w:sz w:val="24"/>
          <w:szCs w:val="24"/>
        </w:rPr>
        <w:t xml:space="preserve"> (</w:t>
      </w:r>
      <w:r w:rsidRPr="00C87449">
        <w:rPr>
          <w:rFonts w:cstheme="minorHAnsi"/>
          <w:sz w:val="24"/>
          <w:szCs w:val="24"/>
        </w:rPr>
        <w:t>vital capacity</w:t>
      </w:r>
      <w:r w:rsidRPr="0062347D">
        <w:rPr>
          <w:rFonts w:cstheme="minorHAnsi"/>
          <w:sz w:val="24"/>
          <w:szCs w:val="24"/>
        </w:rPr>
        <w:t>)</w:t>
      </w:r>
      <w:r>
        <w:rPr>
          <w:rFonts w:cstheme="minorHAnsi"/>
          <w:sz w:val="24"/>
          <w:szCs w:val="24"/>
        </w:rPr>
        <w:t xml:space="preserve"> </w:t>
      </w:r>
      <w:r w:rsidRPr="0062347D">
        <w:rPr>
          <w:rFonts w:cstheme="minorHAnsi"/>
          <w:sz w:val="24"/>
          <w:szCs w:val="24"/>
        </w:rPr>
        <w:t>=</w:t>
      </w:r>
      <w:r w:rsidRPr="00E663BF">
        <w:rPr>
          <w:rFonts w:cstheme="minorHAnsi"/>
          <w:sz w:val="24"/>
          <w:szCs w:val="24"/>
        </w:rPr>
        <w:t xml:space="preserve"> vitální kapacita; *</w:t>
      </w:r>
      <w:proofErr w:type="gramStart"/>
      <w:r w:rsidRPr="00E663BF">
        <w:rPr>
          <w:rFonts w:cstheme="minorHAnsi"/>
          <w:sz w:val="24"/>
          <w:szCs w:val="24"/>
        </w:rPr>
        <w:t>ex</w:t>
      </w:r>
      <w:proofErr w:type="gramEnd"/>
      <w:r w:rsidRPr="0062347D">
        <w:rPr>
          <w:rFonts w:cstheme="minorHAnsi"/>
          <w:sz w:val="24"/>
          <w:szCs w:val="24"/>
        </w:rPr>
        <w:t>–</w:t>
      </w:r>
      <w:proofErr w:type="gramStart"/>
      <w:r w:rsidRPr="004E5649">
        <w:rPr>
          <w:rFonts w:cstheme="minorHAnsi"/>
          <w:sz w:val="24"/>
          <w:szCs w:val="24"/>
        </w:rPr>
        <w:t>kuřáci</w:t>
      </w:r>
      <w:proofErr w:type="gramEnd"/>
      <w:r w:rsidRPr="004E5649">
        <w:rPr>
          <w:rFonts w:cstheme="minorHAnsi"/>
          <w:sz w:val="24"/>
          <w:szCs w:val="24"/>
        </w:rPr>
        <w:t>, skupina pacientů, kteří nekouřili</w:t>
      </w:r>
      <w:r w:rsidRPr="00B24D8C">
        <w:rPr>
          <w:rFonts w:cstheme="minorHAnsi"/>
          <w:sz w:val="24"/>
          <w:szCs w:val="24"/>
        </w:rPr>
        <w:t xml:space="preserve"> </w:t>
      </w:r>
      <w:r w:rsidRPr="0062347D">
        <w:rPr>
          <w:rFonts w:cstheme="minorHAnsi"/>
          <w:sz w:val="24"/>
          <w:szCs w:val="24"/>
        </w:rPr>
        <w:t>nejméně 2 roky před odběrem séra; NH</w:t>
      </w:r>
      <w:r>
        <w:rPr>
          <w:rFonts w:cstheme="minorHAnsi"/>
          <w:sz w:val="24"/>
          <w:szCs w:val="24"/>
        </w:rPr>
        <w:t xml:space="preserve"> </w:t>
      </w:r>
      <w:r w:rsidRPr="0062347D">
        <w:rPr>
          <w:rFonts w:cstheme="minorHAnsi"/>
          <w:sz w:val="24"/>
          <w:szCs w:val="24"/>
        </w:rPr>
        <w:t>= neznámá historie kouření.</w:t>
      </w:r>
    </w:p>
    <w:p w:rsidR="008F0C0F" w:rsidRPr="0062347D" w:rsidRDefault="008F0C0F">
      <w:pPr>
        <w:rPr>
          <w:rFonts w:cstheme="minorHAnsi"/>
          <w:sz w:val="24"/>
          <w:szCs w:val="24"/>
        </w:rPr>
      </w:pPr>
      <w:r w:rsidRPr="0062347D">
        <w:rPr>
          <w:rFonts w:cstheme="minorHAnsi"/>
          <w:sz w:val="24"/>
          <w:szCs w:val="24"/>
        </w:rPr>
        <w:br w:type="page"/>
      </w:r>
    </w:p>
    <w:p w:rsidR="008F0C0F" w:rsidRPr="0062347D" w:rsidRDefault="008F0C0F" w:rsidP="00284F89">
      <w:pPr>
        <w:jc w:val="both"/>
        <w:rPr>
          <w:rFonts w:cstheme="minorHAnsi"/>
          <w:sz w:val="24"/>
          <w:szCs w:val="24"/>
        </w:rPr>
      </w:pPr>
      <w:r w:rsidRPr="0062347D">
        <w:rPr>
          <w:rFonts w:cstheme="minorHAnsi"/>
          <w:b/>
          <w:sz w:val="24"/>
          <w:szCs w:val="24"/>
        </w:rPr>
        <w:lastRenderedPageBreak/>
        <w:t>Tabulka 6:</w:t>
      </w:r>
      <w:r w:rsidRPr="0062347D">
        <w:rPr>
          <w:rFonts w:cstheme="minorHAnsi"/>
          <w:sz w:val="24"/>
          <w:szCs w:val="24"/>
        </w:rPr>
        <w:t xml:space="preserve"> Bronchoalveolární buněčný profil u pacientů s plicní sarkoidózou, u kterých byla měřena relativní exprese miRNA.</w:t>
      </w:r>
    </w:p>
    <w:tbl>
      <w:tblPr>
        <w:tblStyle w:val="Mkatabulky"/>
        <w:tblW w:w="9212" w:type="dxa"/>
        <w:tblInd w:w="108" w:type="dxa"/>
        <w:tblLook w:val="04A0" w:firstRow="1" w:lastRow="0" w:firstColumn="1" w:lastColumn="0" w:noHBand="0" w:noVBand="1"/>
      </w:tblPr>
      <w:tblGrid>
        <w:gridCol w:w="3227"/>
        <w:gridCol w:w="2914"/>
        <w:gridCol w:w="3071"/>
      </w:tblGrid>
      <w:tr w:rsidR="008F0C0F" w:rsidRPr="0062347D" w:rsidTr="0078548E">
        <w:tc>
          <w:tcPr>
            <w:tcW w:w="3227" w:type="dxa"/>
          </w:tcPr>
          <w:p w:rsidR="008F0C0F" w:rsidRPr="0062347D" w:rsidRDefault="008F0C0F" w:rsidP="00284F89">
            <w:pPr>
              <w:jc w:val="both"/>
              <w:rPr>
                <w:rFonts w:cstheme="minorHAnsi"/>
                <w:sz w:val="24"/>
                <w:szCs w:val="24"/>
              </w:rPr>
            </w:pPr>
          </w:p>
        </w:tc>
        <w:tc>
          <w:tcPr>
            <w:tcW w:w="2914" w:type="dxa"/>
            <w:vAlign w:val="center"/>
          </w:tcPr>
          <w:p w:rsidR="008F0C0F" w:rsidRPr="0062347D" w:rsidRDefault="008F0C0F" w:rsidP="0078548E">
            <w:pPr>
              <w:jc w:val="center"/>
              <w:rPr>
                <w:rFonts w:cstheme="minorHAnsi"/>
                <w:sz w:val="24"/>
                <w:szCs w:val="24"/>
              </w:rPr>
            </w:pPr>
            <w:r w:rsidRPr="0062347D">
              <w:rPr>
                <w:rFonts w:cstheme="minorHAnsi"/>
                <w:sz w:val="24"/>
                <w:szCs w:val="24"/>
              </w:rPr>
              <w:t xml:space="preserve">S s Löfgrenovým syndromem (RTG </w:t>
            </w:r>
            <w:proofErr w:type="gramStart"/>
            <w:r w:rsidRPr="0062347D">
              <w:rPr>
                <w:rFonts w:cstheme="minorHAnsi"/>
                <w:sz w:val="24"/>
                <w:szCs w:val="24"/>
              </w:rPr>
              <w:t>s. ≤</w:t>
            </w:r>
            <w:r w:rsidR="001019AF">
              <w:rPr>
                <w:rFonts w:cstheme="minorHAnsi"/>
                <w:sz w:val="24"/>
                <w:szCs w:val="24"/>
              </w:rPr>
              <w:t> </w:t>
            </w:r>
            <w:r w:rsidRPr="0062347D">
              <w:rPr>
                <w:rFonts w:cstheme="minorHAnsi"/>
                <w:sz w:val="24"/>
                <w:szCs w:val="24"/>
              </w:rPr>
              <w:t>1) (n</w:t>
            </w:r>
            <w:r w:rsidR="001019AF">
              <w:rPr>
                <w:rFonts w:cstheme="minorHAnsi"/>
                <w:sz w:val="24"/>
                <w:szCs w:val="24"/>
              </w:rPr>
              <w:t> </w:t>
            </w:r>
            <w:r w:rsidRPr="0062347D">
              <w:rPr>
                <w:rFonts w:cstheme="minorHAnsi"/>
                <w:sz w:val="24"/>
                <w:szCs w:val="24"/>
              </w:rPr>
              <w:t>=</w:t>
            </w:r>
            <w:r w:rsidR="001019AF">
              <w:rPr>
                <w:rFonts w:cstheme="minorHAnsi"/>
                <w:sz w:val="24"/>
                <w:szCs w:val="24"/>
              </w:rPr>
              <w:t> </w:t>
            </w:r>
            <w:r w:rsidRPr="0062347D">
              <w:rPr>
                <w:rFonts w:cstheme="minorHAnsi"/>
                <w:sz w:val="24"/>
                <w:szCs w:val="24"/>
              </w:rPr>
              <w:t>12</w:t>
            </w:r>
            <w:proofErr w:type="gramEnd"/>
            <w:r w:rsidRPr="0062347D">
              <w:rPr>
                <w:rFonts w:cstheme="minorHAnsi"/>
                <w:sz w:val="24"/>
                <w:szCs w:val="24"/>
              </w:rPr>
              <w:t>)</w:t>
            </w:r>
          </w:p>
        </w:tc>
        <w:tc>
          <w:tcPr>
            <w:tcW w:w="3071" w:type="dxa"/>
            <w:vAlign w:val="center"/>
          </w:tcPr>
          <w:p w:rsidR="008F0C0F" w:rsidRPr="0062347D" w:rsidRDefault="008F0C0F" w:rsidP="0078548E">
            <w:pPr>
              <w:jc w:val="center"/>
              <w:rPr>
                <w:rFonts w:cstheme="minorHAnsi"/>
                <w:sz w:val="24"/>
                <w:szCs w:val="24"/>
              </w:rPr>
            </w:pPr>
            <w:r w:rsidRPr="0062347D">
              <w:rPr>
                <w:rFonts w:cstheme="minorHAnsi"/>
                <w:sz w:val="24"/>
                <w:szCs w:val="24"/>
              </w:rPr>
              <w:t xml:space="preserve">S bez Löfgrenova syndromu (RTG </w:t>
            </w:r>
            <w:proofErr w:type="gramStart"/>
            <w:r w:rsidRPr="0062347D">
              <w:rPr>
                <w:rFonts w:cstheme="minorHAnsi"/>
                <w:sz w:val="24"/>
                <w:szCs w:val="24"/>
              </w:rPr>
              <w:t>s. ≥3) (n</w:t>
            </w:r>
            <w:r w:rsidR="001019AF">
              <w:rPr>
                <w:rFonts w:cstheme="minorHAnsi"/>
                <w:sz w:val="24"/>
                <w:szCs w:val="24"/>
              </w:rPr>
              <w:t> </w:t>
            </w:r>
            <w:r w:rsidRPr="0062347D">
              <w:rPr>
                <w:rFonts w:cstheme="minorHAnsi"/>
                <w:sz w:val="24"/>
                <w:szCs w:val="24"/>
              </w:rPr>
              <w:t>=</w:t>
            </w:r>
            <w:r w:rsidR="001019AF">
              <w:rPr>
                <w:rFonts w:cstheme="minorHAnsi"/>
                <w:sz w:val="24"/>
                <w:szCs w:val="24"/>
              </w:rPr>
              <w:t> </w:t>
            </w:r>
            <w:r w:rsidRPr="0062347D">
              <w:rPr>
                <w:rFonts w:cstheme="minorHAnsi"/>
                <w:sz w:val="24"/>
                <w:szCs w:val="24"/>
              </w:rPr>
              <w:t>12</w:t>
            </w:r>
            <w:proofErr w:type="gramEnd"/>
            <w:r w:rsidRPr="0062347D">
              <w:rPr>
                <w:rFonts w:cstheme="minorHAnsi"/>
                <w:sz w:val="24"/>
                <w:szCs w:val="24"/>
              </w:rPr>
              <w:t>)</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Buněčný profil</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Průměr (</w:t>
            </w:r>
            <w:proofErr w:type="gramStart"/>
            <w:r w:rsidRPr="0062347D">
              <w:rPr>
                <w:rFonts w:cstheme="minorHAnsi"/>
                <w:sz w:val="24"/>
                <w:szCs w:val="24"/>
              </w:rPr>
              <w:t>min</w:t>
            </w:r>
            <w:proofErr w:type="gramEnd"/>
            <w:r w:rsidRPr="0062347D">
              <w:rPr>
                <w:rFonts w:cstheme="minorHAnsi"/>
                <w:sz w:val="24"/>
                <w:szCs w:val="24"/>
              </w:rPr>
              <w:t>–</w:t>
            </w:r>
            <w:proofErr w:type="gramStart"/>
            <w:r w:rsidRPr="0062347D">
              <w:rPr>
                <w:rFonts w:cstheme="minorHAnsi"/>
                <w:sz w:val="24"/>
                <w:szCs w:val="24"/>
              </w:rPr>
              <w:t>max</w:t>
            </w:r>
            <w:proofErr w:type="gramEnd"/>
            <w:r w:rsidRPr="0062347D">
              <w:rPr>
                <w:rFonts w:cstheme="minorHAnsi"/>
                <w:sz w:val="24"/>
                <w:szCs w:val="24"/>
              </w:rPr>
              <w:t>)</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Průměr (</w:t>
            </w:r>
            <w:proofErr w:type="gramStart"/>
            <w:r w:rsidRPr="0062347D">
              <w:rPr>
                <w:rFonts w:cstheme="minorHAnsi"/>
                <w:sz w:val="24"/>
                <w:szCs w:val="24"/>
              </w:rPr>
              <w:t>min</w:t>
            </w:r>
            <w:proofErr w:type="gramEnd"/>
            <w:r w:rsidRPr="0062347D">
              <w:rPr>
                <w:rFonts w:cstheme="minorHAnsi"/>
                <w:sz w:val="24"/>
                <w:szCs w:val="24"/>
              </w:rPr>
              <w:t>–</w:t>
            </w:r>
            <w:proofErr w:type="gramStart"/>
            <w:r w:rsidRPr="0062347D">
              <w:rPr>
                <w:rFonts w:cstheme="minorHAnsi"/>
                <w:sz w:val="24"/>
                <w:szCs w:val="24"/>
              </w:rPr>
              <w:t>max</w:t>
            </w:r>
            <w:proofErr w:type="gramEnd"/>
            <w:r w:rsidRPr="0062347D">
              <w:rPr>
                <w:rFonts w:cstheme="minorHAnsi"/>
                <w:sz w:val="24"/>
                <w:szCs w:val="24"/>
              </w:rPr>
              <w:t>)</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Celkový počet buněk 10</w:t>
            </w:r>
            <w:r w:rsidRPr="0062347D">
              <w:rPr>
                <w:rFonts w:cstheme="minorHAnsi"/>
                <w:sz w:val="24"/>
                <w:szCs w:val="24"/>
                <w:vertAlign w:val="superscript"/>
              </w:rPr>
              <w:t>6</w:t>
            </w:r>
            <w:r w:rsidRPr="0062347D">
              <w:rPr>
                <w:rFonts w:cstheme="minorHAnsi"/>
                <w:sz w:val="24"/>
                <w:szCs w:val="24"/>
              </w:rPr>
              <w:t>/1ml</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0,85 (0,40–1,35)</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0,72 (0,10–1,40)</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Makrofágy absolutní počty (x10</w:t>
            </w:r>
            <w:r w:rsidRPr="0062347D">
              <w:rPr>
                <w:rFonts w:cstheme="minorHAnsi"/>
                <w:sz w:val="24"/>
                <w:szCs w:val="24"/>
                <w:vertAlign w:val="superscript"/>
              </w:rPr>
              <w:t>5</w:t>
            </w:r>
            <w:r w:rsidRPr="0062347D">
              <w:rPr>
                <w:rFonts w:cstheme="minorHAnsi"/>
                <w:sz w:val="24"/>
                <w:szCs w:val="24"/>
              </w:rPr>
              <w:t>)</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0,66 (0,28–1,02)</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0,58 (0,09–1,40)</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Makrofágy relativní počty (%)</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77,31 (57,00–91,10)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76,67 (43,00–90,70)</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Lymfocyty absolutní počty (x10</w:t>
            </w:r>
            <w:r w:rsidRPr="0062347D">
              <w:rPr>
                <w:rFonts w:cstheme="minorHAnsi"/>
                <w:sz w:val="24"/>
                <w:szCs w:val="24"/>
                <w:vertAlign w:val="superscript"/>
              </w:rPr>
              <w:t>5</w:t>
            </w:r>
            <w:r w:rsidRPr="0062347D">
              <w:rPr>
                <w:rFonts w:cstheme="minorHAnsi"/>
                <w:sz w:val="24"/>
                <w:szCs w:val="24"/>
              </w:rPr>
              <w:t>)</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0,18 (0,06–0,45)</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0,14 (0,01–0,33)</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Lymfocyty relativní počty (%)</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20,58 (8,60–41,00)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20,08 (8,00–46,00)</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Neutrofily absolutní počty (x10</w:t>
            </w:r>
            <w:r w:rsidRPr="0062347D">
              <w:rPr>
                <w:rFonts w:cstheme="minorHAnsi"/>
                <w:sz w:val="24"/>
                <w:szCs w:val="24"/>
                <w:vertAlign w:val="superscript"/>
              </w:rPr>
              <w:t>5</w:t>
            </w:r>
            <w:r w:rsidRPr="0062347D">
              <w:rPr>
                <w:rFonts w:cstheme="minorHAnsi"/>
                <w:sz w:val="24"/>
                <w:szCs w:val="24"/>
              </w:rPr>
              <w:t>)</w:t>
            </w:r>
          </w:p>
        </w:tc>
        <w:tc>
          <w:tcPr>
            <w:tcW w:w="2914" w:type="dxa"/>
          </w:tcPr>
          <w:p w:rsidR="008F0C0F" w:rsidRPr="0062347D" w:rsidRDefault="008F0C0F" w:rsidP="00284F89">
            <w:pPr>
              <w:tabs>
                <w:tab w:val="left" w:pos="902"/>
              </w:tabs>
              <w:jc w:val="center"/>
              <w:rPr>
                <w:rFonts w:cstheme="minorHAnsi"/>
                <w:sz w:val="24"/>
                <w:szCs w:val="24"/>
              </w:rPr>
            </w:pPr>
            <w:r w:rsidRPr="0062347D">
              <w:rPr>
                <w:rFonts w:cstheme="minorHAnsi"/>
                <w:sz w:val="24"/>
                <w:szCs w:val="24"/>
              </w:rPr>
              <w:t>0,01 (0,00–0,04)</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0,02 (0,00–0,05)</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Neutrofily relativní počty (%)</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1,68 (0,00–8,00)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2,27 (0,00–6,00)</w:t>
            </w:r>
          </w:p>
        </w:tc>
      </w:tr>
      <w:tr w:rsidR="008F0C0F" w:rsidRPr="0062347D" w:rsidTr="00284F89">
        <w:tc>
          <w:tcPr>
            <w:tcW w:w="3227" w:type="dxa"/>
          </w:tcPr>
          <w:p w:rsidR="008F0C0F" w:rsidRPr="0062347D" w:rsidRDefault="008F0C0F" w:rsidP="00284F89">
            <w:pPr>
              <w:rPr>
                <w:rFonts w:cstheme="minorHAnsi"/>
                <w:sz w:val="24"/>
                <w:szCs w:val="24"/>
              </w:rPr>
            </w:pPr>
            <w:r w:rsidRPr="0062347D">
              <w:rPr>
                <w:rFonts w:cstheme="minorHAnsi"/>
                <w:sz w:val="24"/>
                <w:szCs w:val="24"/>
              </w:rPr>
              <w:t>Eozinofily absolutní počty (x10</w:t>
            </w:r>
            <w:r w:rsidRPr="0062347D">
              <w:rPr>
                <w:rFonts w:cstheme="minorHAnsi"/>
                <w:sz w:val="24"/>
                <w:szCs w:val="24"/>
                <w:vertAlign w:val="superscript"/>
              </w:rPr>
              <w:t>5</w:t>
            </w:r>
            <w:r w:rsidRPr="0062347D">
              <w:rPr>
                <w:rFonts w:cstheme="minorHAnsi"/>
                <w:sz w:val="24"/>
                <w:szCs w:val="24"/>
              </w:rPr>
              <w:t>)</w:t>
            </w:r>
          </w:p>
        </w:tc>
        <w:tc>
          <w:tcPr>
            <w:tcW w:w="2914" w:type="dxa"/>
          </w:tcPr>
          <w:p w:rsidR="008F0C0F" w:rsidRPr="0062347D" w:rsidRDefault="008F0C0F" w:rsidP="00284F89">
            <w:pPr>
              <w:tabs>
                <w:tab w:val="left" w:pos="964"/>
              </w:tabs>
              <w:jc w:val="center"/>
              <w:rPr>
                <w:rFonts w:cstheme="minorHAnsi"/>
                <w:sz w:val="24"/>
                <w:szCs w:val="24"/>
              </w:rPr>
            </w:pPr>
            <w:r w:rsidRPr="0062347D">
              <w:rPr>
                <w:rFonts w:cstheme="minorHAnsi"/>
                <w:sz w:val="24"/>
                <w:szCs w:val="24"/>
              </w:rPr>
              <w:t>0,00 (0,00–0,01)</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0,00 (0,00–0,02)</w:t>
            </w:r>
          </w:p>
        </w:tc>
      </w:tr>
      <w:tr w:rsidR="008F0C0F" w:rsidRPr="0062347D" w:rsidTr="00284F89">
        <w:tc>
          <w:tcPr>
            <w:tcW w:w="3227" w:type="dxa"/>
          </w:tcPr>
          <w:p w:rsidR="008F0C0F" w:rsidRPr="0062347D" w:rsidRDefault="008F0C0F" w:rsidP="00284F89">
            <w:pPr>
              <w:jc w:val="both"/>
              <w:rPr>
                <w:rFonts w:cstheme="minorHAnsi"/>
                <w:sz w:val="24"/>
                <w:szCs w:val="24"/>
              </w:rPr>
            </w:pPr>
            <w:r w:rsidRPr="0062347D">
              <w:rPr>
                <w:rFonts w:cstheme="minorHAnsi"/>
                <w:sz w:val="24"/>
                <w:szCs w:val="24"/>
              </w:rPr>
              <w:t>Eozinofily relativní počty (%)</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0,43 (0,00–2,00)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0,99 (0,00–7,00)</w:t>
            </w:r>
          </w:p>
        </w:tc>
      </w:tr>
      <w:tr w:rsidR="008F0C0F" w:rsidRPr="0062347D" w:rsidTr="00284F89">
        <w:tc>
          <w:tcPr>
            <w:tcW w:w="3227" w:type="dxa"/>
          </w:tcPr>
          <w:p w:rsidR="008F0C0F" w:rsidRPr="0062347D" w:rsidRDefault="008F0C0F" w:rsidP="00284F89">
            <w:pPr>
              <w:jc w:val="both"/>
              <w:rPr>
                <w:rFonts w:cstheme="minorHAnsi"/>
                <w:sz w:val="24"/>
                <w:szCs w:val="24"/>
              </w:rPr>
            </w:pP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 xml:space="preserve"> relativní počty (%)</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84,62 (58,00–94,00)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75,00 (36,00–96,00)</w:t>
            </w:r>
          </w:p>
        </w:tc>
      </w:tr>
      <w:tr w:rsidR="008F0C0F" w:rsidRPr="0062347D" w:rsidTr="00284F89">
        <w:tc>
          <w:tcPr>
            <w:tcW w:w="3227" w:type="dxa"/>
          </w:tcPr>
          <w:p w:rsidR="008F0C0F" w:rsidRPr="0062347D" w:rsidRDefault="008F0C0F" w:rsidP="00284F89">
            <w:pPr>
              <w:jc w:val="both"/>
              <w:rPr>
                <w:rFonts w:cstheme="minorHAnsi"/>
                <w:sz w:val="24"/>
                <w:szCs w:val="24"/>
              </w:rPr>
            </w:pP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xml:space="preserve"> relativní počty (%)</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71,69 (35,00–90,00)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55,58 (29,00–89,00)</w:t>
            </w:r>
          </w:p>
        </w:tc>
      </w:tr>
      <w:tr w:rsidR="008F0C0F" w:rsidRPr="0062347D" w:rsidTr="00284F89">
        <w:tc>
          <w:tcPr>
            <w:tcW w:w="3227" w:type="dxa"/>
          </w:tcPr>
          <w:p w:rsidR="008F0C0F" w:rsidRPr="0062347D" w:rsidRDefault="008F0C0F" w:rsidP="00284F89">
            <w:pPr>
              <w:tabs>
                <w:tab w:val="right" w:pos="2854"/>
              </w:tabs>
              <w:jc w:val="both"/>
              <w:rPr>
                <w:rFonts w:cstheme="minorHAnsi"/>
                <w:sz w:val="24"/>
                <w:szCs w:val="24"/>
              </w:rPr>
            </w:pP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relativní počty (%)</w:t>
            </w:r>
            <w:r w:rsidRPr="0062347D">
              <w:rPr>
                <w:rFonts w:cstheme="minorHAnsi"/>
                <w:sz w:val="24"/>
                <w:szCs w:val="24"/>
              </w:rPr>
              <w:tab/>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13,08 (3,00–31,00)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21,00 (4,00–53,00)</w:t>
            </w:r>
          </w:p>
        </w:tc>
      </w:tr>
      <w:tr w:rsidR="008F0C0F" w:rsidRPr="0062347D" w:rsidTr="00284F89">
        <w:tc>
          <w:tcPr>
            <w:tcW w:w="3227" w:type="dxa"/>
          </w:tcPr>
          <w:p w:rsidR="008F0C0F" w:rsidRPr="0062347D" w:rsidRDefault="008F0C0F" w:rsidP="00284F89">
            <w:pPr>
              <w:jc w:val="both"/>
              <w:rPr>
                <w:rFonts w:cstheme="minorHAnsi"/>
                <w:sz w:val="24"/>
                <w:szCs w:val="24"/>
              </w:rPr>
            </w:pP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p>
        </w:tc>
        <w:tc>
          <w:tcPr>
            <w:tcW w:w="2914" w:type="dxa"/>
          </w:tcPr>
          <w:p w:rsidR="008F0C0F" w:rsidRPr="0062347D" w:rsidRDefault="008F0C0F" w:rsidP="00284F89">
            <w:pPr>
              <w:jc w:val="center"/>
              <w:rPr>
                <w:rFonts w:cstheme="minorHAnsi"/>
                <w:sz w:val="24"/>
                <w:szCs w:val="24"/>
              </w:rPr>
            </w:pPr>
            <w:r w:rsidRPr="0062347D">
              <w:rPr>
                <w:rFonts w:cstheme="minorHAnsi"/>
                <w:sz w:val="24"/>
                <w:szCs w:val="24"/>
              </w:rPr>
              <w:t>9,45 (1,13–30,00)</w:t>
            </w:r>
          </w:p>
        </w:tc>
        <w:tc>
          <w:tcPr>
            <w:tcW w:w="3071" w:type="dxa"/>
          </w:tcPr>
          <w:p w:rsidR="008F0C0F" w:rsidRPr="0062347D" w:rsidRDefault="008F0C0F" w:rsidP="00284F89">
            <w:pPr>
              <w:jc w:val="center"/>
              <w:rPr>
                <w:rFonts w:cstheme="minorHAnsi"/>
                <w:sz w:val="24"/>
                <w:szCs w:val="24"/>
              </w:rPr>
            </w:pPr>
            <w:r w:rsidRPr="0062347D">
              <w:rPr>
                <w:rFonts w:cstheme="minorHAnsi"/>
                <w:sz w:val="24"/>
                <w:szCs w:val="24"/>
              </w:rPr>
              <w:t>5,34 (0,55–22,25)</w:t>
            </w:r>
          </w:p>
        </w:tc>
      </w:tr>
    </w:tbl>
    <w:p w:rsidR="008F0C0F" w:rsidRPr="0062347D" w:rsidRDefault="008F0C0F" w:rsidP="00284F89">
      <w:pPr>
        <w:spacing w:before="240"/>
        <w:rPr>
          <w:rFonts w:cstheme="minorHAnsi"/>
          <w:sz w:val="24"/>
          <w:szCs w:val="24"/>
        </w:rPr>
      </w:pPr>
      <w:r w:rsidRPr="0062347D">
        <w:rPr>
          <w:rFonts w:cstheme="minorHAnsi"/>
          <w:b/>
          <w:sz w:val="24"/>
          <w:szCs w:val="24"/>
        </w:rPr>
        <w:t>Legenda k tabulce 6:</w:t>
      </w:r>
      <w:r w:rsidRPr="0062347D">
        <w:rPr>
          <w:rFonts w:cstheme="minorHAnsi"/>
          <w:sz w:val="24"/>
          <w:szCs w:val="24"/>
        </w:rPr>
        <w:t xml:space="preserve"> S</w:t>
      </w:r>
      <w:r>
        <w:rPr>
          <w:rFonts w:cstheme="minorHAnsi"/>
          <w:sz w:val="24"/>
          <w:szCs w:val="24"/>
        </w:rPr>
        <w:t xml:space="preserve"> </w:t>
      </w:r>
      <w:r w:rsidRPr="0062347D">
        <w:rPr>
          <w:rFonts w:cstheme="minorHAnsi"/>
          <w:sz w:val="24"/>
          <w:szCs w:val="24"/>
        </w:rPr>
        <w:t>= sarkoidóza; RTG s.</w:t>
      </w:r>
      <w:r>
        <w:rPr>
          <w:rFonts w:cstheme="minorHAnsi"/>
          <w:sz w:val="24"/>
          <w:szCs w:val="24"/>
        </w:rPr>
        <w:t xml:space="preserve"> </w:t>
      </w:r>
      <w:r w:rsidRPr="0062347D">
        <w:rPr>
          <w:rFonts w:cstheme="minorHAnsi"/>
          <w:sz w:val="24"/>
          <w:szCs w:val="24"/>
        </w:rPr>
        <w:t>= rentgenologické stádium</w:t>
      </w:r>
      <w:r>
        <w:rPr>
          <w:rFonts w:cstheme="minorHAnsi"/>
          <w:sz w:val="24"/>
          <w:szCs w:val="24"/>
        </w:rPr>
        <w:t>.</w:t>
      </w:r>
      <w:r w:rsidRPr="0062347D">
        <w:rPr>
          <w:rFonts w:cstheme="minorHAnsi"/>
          <w:sz w:val="24"/>
          <w:szCs w:val="24"/>
        </w:rPr>
        <w:t xml:space="preserve"> </w:t>
      </w:r>
    </w:p>
    <w:p w:rsidR="008F0C0F" w:rsidRPr="0062347D" w:rsidRDefault="008F0C0F" w:rsidP="00284F89">
      <w:pPr>
        <w:pStyle w:val="Nadpis3"/>
        <w:spacing w:after="240"/>
        <w:rPr>
          <w:rFonts w:cstheme="minorHAnsi"/>
          <w:szCs w:val="24"/>
        </w:rPr>
      </w:pPr>
      <w:bookmarkStart w:id="41" w:name="_Toc69543032"/>
      <w:r w:rsidRPr="0062347D">
        <w:rPr>
          <w:rFonts w:cstheme="minorHAnsi"/>
          <w:szCs w:val="24"/>
        </w:rPr>
        <w:t>Izolace extracelulárních miRNA ze séra a stanovení jejich exprese pomocí PCR v reálném čase</w:t>
      </w:r>
      <w:bookmarkEnd w:id="41"/>
    </w:p>
    <w:p w:rsidR="008F0C0F" w:rsidRPr="00E663BF" w:rsidRDefault="008F0C0F" w:rsidP="00284F89">
      <w:pPr>
        <w:spacing w:after="240" w:line="360" w:lineRule="auto"/>
        <w:ind w:firstLine="708"/>
        <w:jc w:val="both"/>
        <w:rPr>
          <w:rFonts w:cstheme="minorHAnsi"/>
          <w:sz w:val="24"/>
          <w:szCs w:val="24"/>
        </w:rPr>
      </w:pPr>
      <w:r w:rsidRPr="0062347D">
        <w:rPr>
          <w:rFonts w:cstheme="minorHAnsi"/>
          <w:sz w:val="24"/>
          <w:szCs w:val="24"/>
        </w:rPr>
        <w:t xml:space="preserve">Vzorky séra byly zkontrolovány, zdali nejsou kontaminovány erytrocytárními miRNA po hemolýze. Hemolýza byla kontrolována spektrofotometricky (NanoDrop 1000, USA) při vlnové délce 414 nm, při níž absorbance o hodnotě vyšší než 0,2 znamená hemolýzu </w:t>
      </w:r>
      <w:r w:rsidRPr="0062347D">
        <w:rPr>
          <w:rFonts w:cstheme="minorHAnsi"/>
          <w:noProof/>
          <w:sz w:val="24"/>
          <w:szCs w:val="24"/>
        </w:rPr>
        <w:t>(</w:t>
      </w:r>
      <w:r w:rsidRPr="00E663BF">
        <w:rPr>
          <w:rFonts w:cstheme="minorHAnsi"/>
          <w:noProof/>
          <w:sz w:val="24"/>
          <w:szCs w:val="24"/>
        </w:rPr>
        <w:t>Witwer, Buzás et al. 2013</w:t>
      </w:r>
      <w:r w:rsidRPr="0062347D">
        <w:rPr>
          <w:rFonts w:cstheme="minorHAnsi"/>
          <w:noProof/>
          <w:sz w:val="24"/>
          <w:szCs w:val="24"/>
        </w:rPr>
        <w:t>)</w:t>
      </w:r>
      <w:r w:rsidRPr="0062347D">
        <w:rPr>
          <w:rFonts w:cstheme="minorHAnsi"/>
          <w:sz w:val="24"/>
          <w:szCs w:val="24"/>
        </w:rPr>
        <w:t xml:space="preserve">. </w:t>
      </w:r>
      <w:r w:rsidRPr="00E663BF">
        <w:rPr>
          <w:rFonts w:cstheme="minorHAnsi"/>
          <w:sz w:val="24"/>
          <w:szCs w:val="24"/>
        </w:rPr>
        <w:t>Nevyhovující vzorky byly vyřazeny.</w:t>
      </w:r>
    </w:p>
    <w:p w:rsidR="008F0C0F" w:rsidRPr="0062347D" w:rsidRDefault="008F0C0F" w:rsidP="00284F89">
      <w:pPr>
        <w:spacing w:after="0" w:line="360" w:lineRule="auto"/>
        <w:ind w:firstLine="708"/>
        <w:jc w:val="both"/>
        <w:rPr>
          <w:rFonts w:cstheme="minorHAnsi"/>
          <w:sz w:val="24"/>
          <w:szCs w:val="24"/>
        </w:rPr>
      </w:pPr>
      <w:r w:rsidRPr="004E5649">
        <w:rPr>
          <w:rFonts w:cstheme="minorHAnsi"/>
          <w:sz w:val="24"/>
          <w:szCs w:val="24"/>
        </w:rPr>
        <w:t>Extracelulární miRNA byly izolovány z</w:t>
      </w:r>
      <w:r w:rsidRPr="00B24D8C">
        <w:rPr>
          <w:rFonts w:cstheme="minorHAnsi"/>
          <w:sz w:val="24"/>
          <w:szCs w:val="24"/>
        </w:rPr>
        <w:t> </w:t>
      </w:r>
      <w:r w:rsidRPr="0062347D">
        <w:rPr>
          <w:rFonts w:cstheme="minorHAnsi"/>
          <w:sz w:val="24"/>
          <w:szCs w:val="24"/>
        </w:rPr>
        <w:t>300 µl séra pomocí izolačního kitu miRCURY</w:t>
      </w:r>
      <w:r w:rsidRPr="0062347D">
        <w:rPr>
          <w:rFonts w:cstheme="minorHAnsi"/>
          <w:sz w:val="24"/>
          <w:szCs w:val="24"/>
          <w:vertAlign w:val="superscript"/>
        </w:rPr>
        <w:t xml:space="preserve">TM </w:t>
      </w:r>
      <w:r w:rsidRPr="0062347D">
        <w:rPr>
          <w:rFonts w:cstheme="minorHAnsi"/>
          <w:sz w:val="24"/>
          <w:szCs w:val="24"/>
        </w:rPr>
        <w:t xml:space="preserve">RNA (Exiqon, Dánsko). Podmínky pro reverzní transkripci, pre-amplifikaci a PCR reakci byly vytvořeny podle doporučení od Applied Biosystems s použitím kitů pro TaqMan® MicroRNA </w:t>
      </w:r>
      <w:r w:rsidRPr="00C87449">
        <w:rPr>
          <w:rFonts w:cstheme="minorHAnsi"/>
          <w:sz w:val="24"/>
          <w:szCs w:val="24"/>
        </w:rPr>
        <w:t>Assay</w:t>
      </w:r>
      <w:r w:rsidRPr="0062347D">
        <w:rPr>
          <w:rFonts w:cstheme="minorHAnsi"/>
          <w:sz w:val="24"/>
          <w:szCs w:val="24"/>
        </w:rPr>
        <w:t>.</w:t>
      </w:r>
    </w:p>
    <w:p w:rsidR="008F0C0F" w:rsidRPr="0062347D" w:rsidRDefault="008F0C0F" w:rsidP="002D3DE0">
      <w:pPr>
        <w:spacing w:line="360" w:lineRule="auto"/>
        <w:ind w:firstLine="708"/>
        <w:jc w:val="both"/>
        <w:rPr>
          <w:rFonts w:cstheme="minorHAnsi"/>
          <w:sz w:val="24"/>
          <w:szCs w:val="24"/>
        </w:rPr>
      </w:pPr>
      <w:r w:rsidRPr="00E663BF">
        <w:rPr>
          <w:rFonts w:cstheme="minorHAnsi"/>
          <w:sz w:val="24"/>
          <w:szCs w:val="24"/>
        </w:rPr>
        <w:t>Reverzní transkripce vybraných mi</w:t>
      </w:r>
      <w:r w:rsidRPr="004E5649">
        <w:rPr>
          <w:rFonts w:cstheme="minorHAnsi"/>
          <w:sz w:val="24"/>
          <w:szCs w:val="24"/>
        </w:rPr>
        <w:t>RNA byla provedena v multiplexu. V jedné reakci u</w:t>
      </w:r>
      <w:r>
        <w:rPr>
          <w:rFonts w:cstheme="minorHAnsi"/>
          <w:sz w:val="24"/>
          <w:szCs w:val="24"/>
        </w:rPr>
        <w:t> </w:t>
      </w:r>
      <w:r w:rsidRPr="004E5649">
        <w:rPr>
          <w:rFonts w:cstheme="minorHAnsi"/>
          <w:sz w:val="24"/>
          <w:szCs w:val="24"/>
        </w:rPr>
        <w:t>každého pacientského vzorku bylo současně přepsáno několik</w:t>
      </w:r>
      <w:r w:rsidRPr="00B24D8C">
        <w:rPr>
          <w:rFonts w:cstheme="minorHAnsi"/>
          <w:sz w:val="24"/>
          <w:szCs w:val="24"/>
        </w:rPr>
        <w:t xml:space="preserve"> </w:t>
      </w:r>
      <w:r w:rsidRPr="0062347D">
        <w:rPr>
          <w:rFonts w:cstheme="minorHAnsi"/>
          <w:sz w:val="24"/>
          <w:szCs w:val="24"/>
        </w:rPr>
        <w:t xml:space="preserve">miRNA pomocí TaqMan MicroRNA Reverse Transcription kit (Applied Biosystems, </w:t>
      </w:r>
      <w:r w:rsidR="00F603EE" w:rsidRPr="00F603EE">
        <w:rPr>
          <w:rFonts w:cstheme="minorHAnsi"/>
          <w:sz w:val="24"/>
          <w:szCs w:val="24"/>
        </w:rPr>
        <w:t>Thermofisher</w:t>
      </w:r>
      <w:r w:rsidRPr="0062347D">
        <w:rPr>
          <w:rFonts w:cstheme="minorHAnsi"/>
          <w:sz w:val="24"/>
          <w:szCs w:val="24"/>
        </w:rPr>
        <w:t>). Z primerů pro reverzní transkripci jednotlivých miRNA (</w:t>
      </w:r>
      <w:r w:rsidRPr="00C87449">
        <w:rPr>
          <w:rFonts w:cstheme="minorHAnsi"/>
          <w:sz w:val="24"/>
          <w:szCs w:val="24"/>
        </w:rPr>
        <w:t>TaqMan MicroRNa Assay; Applied Biosystems</w:t>
      </w:r>
      <w:r w:rsidR="00F603EE">
        <w:rPr>
          <w:rFonts w:cstheme="minorHAnsi"/>
          <w:sz w:val="24"/>
          <w:szCs w:val="24"/>
        </w:rPr>
        <w:t>,</w:t>
      </w:r>
      <w:r w:rsidR="00F603EE" w:rsidRPr="00F603EE">
        <w:rPr>
          <w:rFonts w:cstheme="minorHAnsi"/>
          <w:sz w:val="24"/>
          <w:szCs w:val="24"/>
        </w:rPr>
        <w:t xml:space="preserve"> </w:t>
      </w:r>
      <w:r w:rsidR="00F603EE" w:rsidRPr="00F603EE">
        <w:rPr>
          <w:rFonts w:cstheme="minorHAnsi"/>
          <w:sz w:val="24"/>
          <w:szCs w:val="24"/>
        </w:rPr>
        <w:lastRenderedPageBreak/>
        <w:t>Thermofisher</w:t>
      </w:r>
      <w:r w:rsidRPr="0062347D">
        <w:rPr>
          <w:rFonts w:cstheme="minorHAnsi"/>
          <w:sz w:val="24"/>
          <w:szCs w:val="24"/>
        </w:rPr>
        <w:t>) b</w:t>
      </w:r>
      <w:r w:rsidRPr="00E663BF">
        <w:rPr>
          <w:rFonts w:cstheme="minorHAnsi"/>
          <w:sz w:val="24"/>
          <w:szCs w:val="24"/>
        </w:rPr>
        <w:t>yl vytvořen směsný mix (</w:t>
      </w:r>
      <w:r w:rsidR="00E57D38">
        <w:rPr>
          <w:rFonts w:cstheme="minorHAnsi"/>
          <w:sz w:val="24"/>
          <w:szCs w:val="24"/>
        </w:rPr>
        <w:t>tzv.</w:t>
      </w:r>
      <w:r w:rsidR="00BD2C05">
        <w:rPr>
          <w:rFonts w:cstheme="minorHAnsi"/>
          <w:sz w:val="24"/>
          <w:szCs w:val="24"/>
        </w:rPr>
        <w:t xml:space="preserve"> RT</w:t>
      </w:r>
      <w:r w:rsidR="00E57D38">
        <w:rPr>
          <w:rFonts w:cstheme="minorHAnsi"/>
          <w:sz w:val="24"/>
          <w:szCs w:val="24"/>
        </w:rPr>
        <w:t xml:space="preserve"> Primer P</w:t>
      </w:r>
      <w:r w:rsidRPr="004E5649">
        <w:rPr>
          <w:rFonts w:cstheme="minorHAnsi"/>
          <w:sz w:val="24"/>
          <w:szCs w:val="24"/>
        </w:rPr>
        <w:t>ool), 5X naředěný pomocí Tris-</w:t>
      </w:r>
      <w:r w:rsidRPr="00B24D8C">
        <w:rPr>
          <w:rFonts w:cstheme="minorHAnsi"/>
          <w:sz w:val="24"/>
          <w:szCs w:val="24"/>
        </w:rPr>
        <w:t>E</w:t>
      </w:r>
      <w:r w:rsidRPr="0062347D">
        <w:rPr>
          <w:rFonts w:cstheme="minorHAnsi"/>
          <w:sz w:val="24"/>
          <w:szCs w:val="24"/>
        </w:rPr>
        <w:t xml:space="preserve">DTA (TE) pufru. Po reverzní transkripci </w:t>
      </w:r>
      <w:r w:rsidR="00E57D38">
        <w:rPr>
          <w:rFonts w:cstheme="minorHAnsi"/>
          <w:sz w:val="24"/>
          <w:szCs w:val="24"/>
        </w:rPr>
        <w:t xml:space="preserve">v multiplexu </w:t>
      </w:r>
      <w:r w:rsidRPr="0062347D">
        <w:rPr>
          <w:rFonts w:cstheme="minorHAnsi"/>
          <w:sz w:val="24"/>
          <w:szCs w:val="24"/>
        </w:rPr>
        <w:t xml:space="preserve">následovala pre-amplifikace několika studovaných miRNA současně v každém vzorku pacientů a kontrol. K tomu byl využit TaqMan PreAmp Master Mix s použitím směsného premixu primerů (tzv. PreAmp Primer Pool) </w:t>
      </w:r>
      <w:r w:rsidR="00E57D38" w:rsidRPr="0062347D">
        <w:rPr>
          <w:rFonts w:cstheme="minorHAnsi"/>
          <w:sz w:val="24"/>
          <w:szCs w:val="24"/>
        </w:rPr>
        <w:t>z TaqMan MicroRNA Assa</w:t>
      </w:r>
      <w:r w:rsidR="00E57D38">
        <w:rPr>
          <w:rFonts w:cstheme="minorHAnsi"/>
          <w:sz w:val="24"/>
          <w:szCs w:val="24"/>
        </w:rPr>
        <w:t xml:space="preserve">y (Applied Biosystems, </w:t>
      </w:r>
      <w:r w:rsidR="00F603EE" w:rsidRPr="00F603EE">
        <w:rPr>
          <w:rFonts w:cstheme="minorHAnsi"/>
          <w:sz w:val="24"/>
          <w:szCs w:val="24"/>
        </w:rPr>
        <w:t>Thermofisher</w:t>
      </w:r>
      <w:r w:rsidR="00E57D38">
        <w:rPr>
          <w:rFonts w:cstheme="minorHAnsi"/>
          <w:sz w:val="24"/>
          <w:szCs w:val="24"/>
        </w:rPr>
        <w:t xml:space="preserve">) </w:t>
      </w:r>
      <w:r w:rsidRPr="0062347D">
        <w:rPr>
          <w:rFonts w:cstheme="minorHAnsi"/>
          <w:sz w:val="24"/>
          <w:szCs w:val="24"/>
        </w:rPr>
        <w:t>připraveného ředěním 20X s 1X TE pufrem</w:t>
      </w:r>
      <w:r w:rsidR="00E57D38">
        <w:rPr>
          <w:rFonts w:cstheme="minorHAnsi"/>
          <w:sz w:val="24"/>
          <w:szCs w:val="24"/>
        </w:rPr>
        <w:t>.</w:t>
      </w:r>
      <w:r w:rsidRPr="0062347D">
        <w:rPr>
          <w:rFonts w:cstheme="minorHAnsi"/>
          <w:sz w:val="24"/>
          <w:szCs w:val="24"/>
        </w:rPr>
        <w:t xml:space="preserve"> </w:t>
      </w:r>
      <w:r>
        <w:rPr>
          <w:rFonts w:cstheme="minorHAnsi"/>
          <w:sz w:val="24"/>
          <w:szCs w:val="24"/>
        </w:rPr>
        <w:t xml:space="preserve">Pre-amplifikace umožňuje zvýšit koncentraci specifických cDNA, před jejich detekcí pomocí PCR reakce, a snižuje potřebné množství původní vstupní cDNA z reverzní transkripce do PCR rekce. </w:t>
      </w:r>
      <w:r w:rsidRPr="0062347D">
        <w:rPr>
          <w:rFonts w:cstheme="minorHAnsi"/>
          <w:sz w:val="24"/>
          <w:szCs w:val="24"/>
        </w:rPr>
        <w:t xml:space="preserve">Po reverzní transkripci a pre-amplifikaci byla exprese miRNA měřena pomocí PCR v reálném čase. K pre-amplifikované cDNA byl pipetován speciální premix qPCRBIO Probe Mix No-ROX (PCR Biosystems, United Kingdom) a specifické miRNA sondy </w:t>
      </w:r>
      <w:r w:rsidR="001441EC">
        <w:rPr>
          <w:rFonts w:cstheme="minorHAnsi"/>
          <w:sz w:val="24"/>
          <w:szCs w:val="24"/>
        </w:rPr>
        <w:t xml:space="preserve">(20X TaqMan MicroRNA Assay; </w:t>
      </w:r>
      <w:r w:rsidR="00F603EE">
        <w:rPr>
          <w:rFonts w:cstheme="minorHAnsi"/>
          <w:sz w:val="24"/>
          <w:szCs w:val="24"/>
        </w:rPr>
        <w:t>Applied Biosystems,</w:t>
      </w:r>
      <w:r w:rsidR="00F603EE" w:rsidRPr="00F603EE">
        <w:rPr>
          <w:rFonts w:cstheme="minorHAnsi"/>
          <w:sz w:val="24"/>
          <w:szCs w:val="24"/>
        </w:rPr>
        <w:t xml:space="preserve"> Thermofisher</w:t>
      </w:r>
      <w:r w:rsidRPr="0062347D">
        <w:rPr>
          <w:rFonts w:cstheme="minorHAnsi"/>
          <w:sz w:val="24"/>
          <w:szCs w:val="24"/>
        </w:rPr>
        <w:t>). Po počáteční denaturaci (94 °C, 15 min) byla provedena amplifikace cDNA ve 40 cyklech (94</w:t>
      </w:r>
      <w:r>
        <w:rPr>
          <w:rFonts w:cstheme="minorHAnsi"/>
          <w:sz w:val="24"/>
          <w:szCs w:val="24"/>
        </w:rPr>
        <w:t> </w:t>
      </w:r>
      <w:r w:rsidRPr="0062347D">
        <w:rPr>
          <w:rFonts w:cstheme="minorHAnsi"/>
          <w:sz w:val="24"/>
          <w:szCs w:val="24"/>
        </w:rPr>
        <w:t>°C, 45 s a 60</w:t>
      </w:r>
      <w:r>
        <w:rPr>
          <w:rFonts w:cstheme="minorHAnsi"/>
          <w:sz w:val="24"/>
          <w:szCs w:val="24"/>
        </w:rPr>
        <w:t> </w:t>
      </w:r>
      <w:r w:rsidRPr="0062347D">
        <w:rPr>
          <w:rFonts w:cstheme="minorHAnsi"/>
          <w:sz w:val="24"/>
          <w:szCs w:val="24"/>
        </w:rPr>
        <w:t xml:space="preserve">°C, 30 s) pomocí přístroje </w:t>
      </w:r>
      <w:r w:rsidRPr="0062347D">
        <w:rPr>
          <w:rFonts w:eastAsia="Calibri" w:cstheme="minorHAnsi"/>
          <w:sz w:val="24"/>
          <w:szCs w:val="24"/>
        </w:rPr>
        <w:t>RotorGene3000 (Corbett Research, Sydney, Austrálie). Relativní exprese byla vypočtena s</w:t>
      </w:r>
      <w:r>
        <w:rPr>
          <w:rFonts w:eastAsia="Calibri" w:cstheme="minorHAnsi"/>
          <w:sz w:val="24"/>
          <w:szCs w:val="24"/>
        </w:rPr>
        <w:t> </w:t>
      </w:r>
      <w:r w:rsidRPr="0062347D">
        <w:rPr>
          <w:rFonts w:eastAsia="Calibri" w:cstheme="minorHAnsi"/>
          <w:sz w:val="24"/>
          <w:szCs w:val="24"/>
        </w:rPr>
        <w:t xml:space="preserve">použitím metody druhé derivace (RotorGene Software </w:t>
      </w:r>
      <w:proofErr w:type="gramStart"/>
      <w:r w:rsidRPr="0062347D">
        <w:rPr>
          <w:rFonts w:eastAsia="Calibri" w:cstheme="minorHAnsi"/>
          <w:sz w:val="24"/>
          <w:szCs w:val="24"/>
        </w:rPr>
        <w:t>6.1.71</w:t>
      </w:r>
      <w:proofErr w:type="gramEnd"/>
      <w:r w:rsidRPr="0062347D">
        <w:rPr>
          <w:rFonts w:eastAsia="Calibri" w:cstheme="minorHAnsi"/>
          <w:sz w:val="24"/>
          <w:szCs w:val="24"/>
        </w:rPr>
        <w:t xml:space="preserve">, Corbett Research, Sydney, Austrálie). Jako kalibrátor sloužila cDNA, která byla přepsána z lidské univerzální referenční RNA (Stratagene, La Jolla, CA, USA) při vstupní koncentraci 1,25 ng/5μl RNA. </w:t>
      </w:r>
      <w:r w:rsidRPr="0062347D">
        <w:rPr>
          <w:rFonts w:cstheme="minorHAnsi"/>
          <w:sz w:val="24"/>
          <w:szCs w:val="24"/>
        </w:rPr>
        <w:t>Seznam vybraných miRNA sekvencí je uveden v </w:t>
      </w:r>
      <w:r w:rsidRPr="0062347D">
        <w:rPr>
          <w:rFonts w:cstheme="minorHAnsi"/>
          <w:b/>
          <w:sz w:val="24"/>
          <w:szCs w:val="24"/>
        </w:rPr>
        <w:t>Tabulce 7</w:t>
      </w:r>
      <w:r w:rsidRPr="0062347D">
        <w:rPr>
          <w:rFonts w:cstheme="minorHAnsi"/>
          <w:sz w:val="24"/>
          <w:szCs w:val="24"/>
        </w:rPr>
        <w:t>.</w:t>
      </w:r>
    </w:p>
    <w:p w:rsidR="008F0C0F" w:rsidRDefault="008F0C0F" w:rsidP="00284F89">
      <w:pPr>
        <w:spacing w:line="360" w:lineRule="auto"/>
        <w:ind w:firstLine="708"/>
        <w:jc w:val="both"/>
        <w:rPr>
          <w:rFonts w:cstheme="minorHAnsi"/>
          <w:sz w:val="24"/>
          <w:szCs w:val="24"/>
        </w:rPr>
      </w:pPr>
    </w:p>
    <w:p w:rsidR="00F603EE" w:rsidRPr="0062347D" w:rsidRDefault="00F603EE" w:rsidP="00284F89">
      <w:pPr>
        <w:spacing w:line="360" w:lineRule="auto"/>
        <w:ind w:firstLine="708"/>
        <w:jc w:val="both"/>
        <w:rPr>
          <w:rFonts w:cstheme="minorHAnsi"/>
          <w:sz w:val="24"/>
          <w:szCs w:val="24"/>
        </w:rPr>
        <w:sectPr w:rsidR="00F603EE" w:rsidRPr="0062347D" w:rsidSect="00226812">
          <w:pgSz w:w="11906" w:h="16838"/>
          <w:pgMar w:top="992" w:right="1418" w:bottom="1418" w:left="1418" w:header="709" w:footer="709" w:gutter="0"/>
          <w:cols w:space="708"/>
          <w:docGrid w:linePitch="360"/>
        </w:sectPr>
      </w:pPr>
    </w:p>
    <w:p w:rsidR="008F0C0F" w:rsidRPr="0062347D" w:rsidRDefault="008F0C0F" w:rsidP="00284F89">
      <w:pPr>
        <w:spacing w:line="360" w:lineRule="auto"/>
        <w:ind w:firstLine="708"/>
        <w:jc w:val="both"/>
        <w:rPr>
          <w:rFonts w:cstheme="minorHAnsi"/>
          <w:sz w:val="24"/>
          <w:szCs w:val="24"/>
        </w:rPr>
      </w:pPr>
      <w:r w:rsidRPr="0062347D">
        <w:rPr>
          <w:rFonts w:cstheme="minorHAnsi"/>
          <w:b/>
          <w:sz w:val="24"/>
          <w:szCs w:val="24"/>
        </w:rPr>
        <w:lastRenderedPageBreak/>
        <w:t>Tabulka 7:</w:t>
      </w:r>
      <w:r w:rsidRPr="0062347D">
        <w:rPr>
          <w:rFonts w:cstheme="minorHAnsi"/>
          <w:sz w:val="24"/>
          <w:szCs w:val="24"/>
        </w:rPr>
        <w:t xml:space="preserve"> Seznam studovaných miRNA v séru pacientů s plicní sarkoidózou s číslem TaqMan eseje (miRNA ID) a miRNA sekvencí.</w:t>
      </w:r>
    </w:p>
    <w:tbl>
      <w:tblPr>
        <w:tblW w:w="91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984"/>
        <w:gridCol w:w="4978"/>
      </w:tblGrid>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Název miRNA </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miRNA ID</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miRNA sekvence</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let-7a-5p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000377</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UGAGGUAGUAGGUUGUAUAGUU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002222</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UGGAAUGUAAAGAAGUAUGUAU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miR-16-5p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000391</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UAGCAGCACGUAAAUAUUGGCG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miR-17-5p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002308</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CAAAGUGCUUACAGUGCAGGUAG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miR-19a-3p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000395</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UGUGCAAAUCUAUGCAAAACUGA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miR-19b-3p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000396</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UGUGCAAAUCCAUGCAAAACUGA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miR-27a-5p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002445</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AGGGCUUAGCUGCUUGUGAGCA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miR-29b-3p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000413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UAGCACCAUUUGAAAUCAGUGUU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miR-30b-5p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000602</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UGUAAACAUCCUACACUCAGCU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miR-31-5p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002279</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AGGCAAGAUGCUGGCAUAGCU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miR-33b-3p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241007</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CAGUGCCUCGGCAGUGCAGCCC</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miR-92b-5p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002343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AGGGACGGGACGCGGUGCAGUG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miR-93-5p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001090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CAAAGUGCUGUUCGUGCAGGUAG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miR-122a-5p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002245</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UGGAGUGUGACAAUGGUGUUUG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miR-125a-5p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002198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UCCCUGAGACCCUUUAACCUGUGA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miR-142-5p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002248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CAUAAAGUAGAAAGCACUACU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miR-142-3p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000464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UGUAGUGUUUCCUACUUUAUGGA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miR-148a-3p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000470</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UCAGUGCACUACAGAACUUUGU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miR-155</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000479</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UUAAUGCUAAUCGUGAUAGGGG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miR-181b-1*-3p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462578</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CUCACUGAACAAUGAAUGCAA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miR-191-5p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002299</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CAACGGAAUCCCAAAAGCAGCUG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miR-193a-3p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002250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AACUGGCCUACAAAGUCCCAGU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miR-200b-5p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002274</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CAUCUUACUGGGCAGCAUUGGA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miR-204-5p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000508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UUCCCUUUGUCAUCCUAUGCCU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miR-206</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000510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UGGAAUGUAAGGAAGUGUGUGG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miR-212-3p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000515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UAACAGUCUCCAGUCACGGCC</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miR-214 -3p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002306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ACAGCAGGCACAGACAGGCAGU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miR-302c-3p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000533</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UAAGUGCUUCCAUGUUUCAGUGG</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miR-335-5p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000546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UCAAGAGCAAUAACGAAAAAUGU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miR-340-5p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2258</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UUAUAAAGCAAUGAGACUGAUU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miR-362-3p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002117</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AACACACCUAUUCAAGGAUUCA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miR-425-5p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001516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AAUGACACGAUCACUCCCGUUGA</w:t>
            </w:r>
          </w:p>
        </w:tc>
      </w:tr>
    </w:tbl>
    <w:p w:rsidR="008F0C0F" w:rsidRPr="0062347D" w:rsidRDefault="008F0C0F" w:rsidP="00284F89">
      <w:pPr>
        <w:spacing w:before="240" w:line="360" w:lineRule="auto"/>
        <w:ind w:firstLine="708"/>
        <w:jc w:val="both"/>
        <w:rPr>
          <w:rFonts w:cstheme="minorHAnsi"/>
          <w:sz w:val="24"/>
          <w:szCs w:val="24"/>
        </w:rPr>
      </w:pPr>
      <w:r w:rsidRPr="0062347D">
        <w:rPr>
          <w:rFonts w:cstheme="minorHAnsi"/>
          <w:sz w:val="24"/>
          <w:szCs w:val="24"/>
        </w:rPr>
        <w:t xml:space="preserve"> </w:t>
      </w:r>
      <w:r w:rsidRPr="0062347D">
        <w:rPr>
          <w:rFonts w:cstheme="minorHAnsi"/>
          <w:b/>
          <w:sz w:val="24"/>
          <w:szCs w:val="24"/>
        </w:rPr>
        <w:t>Legenda k tabulce 7</w:t>
      </w:r>
      <w:r w:rsidRPr="0062347D">
        <w:rPr>
          <w:rFonts w:cstheme="minorHAnsi"/>
          <w:sz w:val="24"/>
          <w:szCs w:val="24"/>
        </w:rPr>
        <w:t xml:space="preserve">: </w:t>
      </w:r>
      <w:r w:rsidRPr="0062347D">
        <w:rPr>
          <w:rFonts w:cstheme="minorHAnsi"/>
          <w:color w:val="000000"/>
          <w:sz w:val="24"/>
          <w:szCs w:val="24"/>
          <w:vertAlign w:val="superscript"/>
          <w:lang w:eastAsia="en-GB"/>
        </w:rPr>
        <w:t>●</w:t>
      </w:r>
      <w:r w:rsidRPr="0062347D">
        <w:rPr>
          <w:rFonts w:cstheme="minorHAnsi"/>
          <w:sz w:val="24"/>
          <w:szCs w:val="24"/>
        </w:rPr>
        <w:t xml:space="preserve"> Tyto miRNA nebyly analyzovány kvůli nízké účinnosti PCR.</w:t>
      </w:r>
    </w:p>
    <w:p w:rsidR="008F0C0F" w:rsidRPr="0062347D" w:rsidRDefault="008F0C0F" w:rsidP="00284F89">
      <w:pPr>
        <w:spacing w:before="240" w:line="360" w:lineRule="auto"/>
        <w:ind w:firstLine="708"/>
        <w:jc w:val="both"/>
        <w:rPr>
          <w:rFonts w:cstheme="minorHAnsi"/>
          <w:sz w:val="24"/>
          <w:szCs w:val="24"/>
        </w:rPr>
      </w:pPr>
    </w:p>
    <w:p w:rsidR="008F0C0F" w:rsidRPr="0062347D" w:rsidRDefault="008F0C0F" w:rsidP="00284F89">
      <w:pPr>
        <w:spacing w:line="360" w:lineRule="auto"/>
        <w:ind w:firstLine="708"/>
        <w:jc w:val="both"/>
        <w:rPr>
          <w:rFonts w:cstheme="minorHAnsi"/>
          <w:sz w:val="24"/>
          <w:szCs w:val="24"/>
        </w:rPr>
      </w:pPr>
      <w:r w:rsidRPr="0062347D">
        <w:rPr>
          <w:rFonts w:cstheme="minorHAnsi"/>
          <w:b/>
          <w:sz w:val="24"/>
          <w:szCs w:val="24"/>
        </w:rPr>
        <w:lastRenderedPageBreak/>
        <w:t>Tabulka 7 (pokračování):</w:t>
      </w:r>
      <w:r w:rsidRPr="0062347D">
        <w:rPr>
          <w:rFonts w:cstheme="minorHAnsi"/>
          <w:sz w:val="24"/>
          <w:szCs w:val="24"/>
        </w:rPr>
        <w:t xml:space="preserve"> Seznam studovaných miRNA v séru pacientů s plicní sarkoidózou s číslem TaqMan eseje (miRNA ID) a miRNA sekvencí.</w:t>
      </w:r>
    </w:p>
    <w:tbl>
      <w:tblPr>
        <w:tblW w:w="91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984"/>
        <w:gridCol w:w="4978"/>
      </w:tblGrid>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miR-451a</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001141</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AAACCGUUACCAUUACUGAGUU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miR-487b-3p</w:t>
            </w:r>
            <w:r w:rsidRPr="0062347D">
              <w:rPr>
                <w:rFonts w:cstheme="minorHAnsi"/>
                <w:color w:val="000000"/>
                <w:sz w:val="24"/>
                <w:szCs w:val="24"/>
                <w:vertAlign w:val="superscript"/>
                <w:lang w:eastAsia="en-GB"/>
              </w:rPr>
              <w:t>●</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1285</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AAUCGUACAGGGUCAUCCACUU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miR-502-5p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001109</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AUCCUUGCUAUCUGGGUGCUA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miR-505*-5p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002087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GGGAGCCAGGAAGUAUUGAUGU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miR-770-5p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 xml:space="preserve">ID 002002 </w:t>
            </w:r>
          </w:p>
        </w:tc>
        <w:tc>
          <w:tcPr>
            <w:tcW w:w="4978" w:type="dxa"/>
            <w:shd w:val="clear" w:color="auto" w:fill="auto"/>
            <w:noWrap/>
            <w:vAlign w:val="bottom"/>
            <w:hideMark/>
          </w:tcPr>
          <w:p w:rsidR="008F0C0F" w:rsidRPr="0062347D" w:rsidRDefault="008F0C0F" w:rsidP="00284F89">
            <w:pPr>
              <w:spacing w:after="0"/>
              <w:rPr>
                <w:rFonts w:cstheme="minorHAnsi"/>
                <w:sz w:val="24"/>
                <w:szCs w:val="24"/>
                <w:lang w:eastAsia="en-GB"/>
              </w:rPr>
            </w:pPr>
            <w:r w:rsidRPr="0062347D">
              <w:rPr>
                <w:rFonts w:cstheme="minorHAnsi"/>
                <w:sz w:val="24"/>
                <w:szCs w:val="24"/>
                <w:lang w:eastAsia="en-GB"/>
              </w:rPr>
              <w:t>UCCAGUACCACGUGUCAGGGCCA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miR-21-5p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000397</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UAGCUUAUCAGACUGAUGUUGA</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miR-26a-5p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000405</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UUCAAGUAAUCCAGGAUAGGCU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miR-146a-5p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000468</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UGAGAACUGAAUUCCAUGGGUU</w:t>
            </w:r>
          </w:p>
        </w:tc>
      </w:tr>
      <w:tr w:rsidR="008F0C0F" w:rsidRPr="0062347D" w:rsidTr="00284F89">
        <w:trPr>
          <w:trHeight w:val="315"/>
        </w:trPr>
        <w:tc>
          <w:tcPr>
            <w:tcW w:w="2142"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miR-150-5p</w:t>
            </w:r>
          </w:p>
        </w:tc>
        <w:tc>
          <w:tcPr>
            <w:tcW w:w="1984"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ID 000473</w:t>
            </w:r>
          </w:p>
        </w:tc>
        <w:tc>
          <w:tcPr>
            <w:tcW w:w="4978" w:type="dxa"/>
            <w:shd w:val="clear" w:color="auto" w:fill="auto"/>
            <w:noWrap/>
            <w:vAlign w:val="bottom"/>
            <w:hideMark/>
          </w:tcPr>
          <w:p w:rsidR="008F0C0F" w:rsidRPr="0062347D" w:rsidRDefault="008F0C0F" w:rsidP="00284F89">
            <w:pPr>
              <w:spacing w:after="0"/>
              <w:rPr>
                <w:rFonts w:cstheme="minorHAnsi"/>
                <w:color w:val="000000"/>
                <w:sz w:val="24"/>
                <w:szCs w:val="24"/>
                <w:lang w:eastAsia="en-GB"/>
              </w:rPr>
            </w:pPr>
            <w:r w:rsidRPr="0062347D">
              <w:rPr>
                <w:rFonts w:cstheme="minorHAnsi"/>
                <w:color w:val="000000"/>
                <w:sz w:val="24"/>
                <w:szCs w:val="24"/>
                <w:lang w:eastAsia="en-GB"/>
              </w:rPr>
              <w:t>UCUCCCAACCCUUGUACCAGUG</w:t>
            </w:r>
          </w:p>
        </w:tc>
      </w:tr>
    </w:tbl>
    <w:p w:rsidR="008F0C0F" w:rsidRPr="0062347D" w:rsidRDefault="008F0C0F" w:rsidP="00284F89">
      <w:pPr>
        <w:spacing w:line="360" w:lineRule="auto"/>
        <w:ind w:firstLine="708"/>
        <w:jc w:val="both"/>
        <w:rPr>
          <w:rFonts w:cstheme="minorHAnsi"/>
          <w:sz w:val="24"/>
          <w:szCs w:val="24"/>
        </w:rPr>
      </w:pPr>
    </w:p>
    <w:p w:rsidR="008F0C0F" w:rsidRPr="0062347D" w:rsidRDefault="008F0C0F" w:rsidP="00284F89">
      <w:pPr>
        <w:spacing w:line="360" w:lineRule="auto"/>
        <w:ind w:firstLine="708"/>
        <w:rPr>
          <w:rFonts w:cstheme="minorHAnsi"/>
          <w:sz w:val="24"/>
          <w:szCs w:val="24"/>
        </w:rPr>
      </w:pPr>
      <w:r w:rsidRPr="0062347D">
        <w:rPr>
          <w:rFonts w:cstheme="minorHAnsi"/>
          <w:b/>
          <w:sz w:val="24"/>
          <w:szCs w:val="24"/>
        </w:rPr>
        <w:t>Legenda k tabulce 7 (pokračování)</w:t>
      </w:r>
      <w:r w:rsidRPr="0062347D">
        <w:rPr>
          <w:rFonts w:cstheme="minorHAnsi"/>
          <w:sz w:val="24"/>
          <w:szCs w:val="24"/>
        </w:rPr>
        <w:t xml:space="preserve">: </w:t>
      </w:r>
      <w:r w:rsidRPr="0062347D">
        <w:rPr>
          <w:rFonts w:cstheme="minorHAnsi"/>
          <w:color w:val="000000"/>
          <w:sz w:val="24"/>
          <w:szCs w:val="24"/>
          <w:vertAlign w:val="superscript"/>
          <w:lang w:eastAsia="en-GB"/>
        </w:rPr>
        <w:t>●</w:t>
      </w:r>
      <w:r w:rsidRPr="0062347D">
        <w:rPr>
          <w:rFonts w:cstheme="minorHAnsi"/>
          <w:sz w:val="24"/>
          <w:szCs w:val="24"/>
        </w:rPr>
        <w:t xml:space="preserve"> Tyto miRNA nebyly analyzovány kvůli nízké účinnosti PCR.</w:t>
      </w:r>
    </w:p>
    <w:p w:rsidR="008F0C0F" w:rsidRPr="0062347D" w:rsidRDefault="008F0C0F" w:rsidP="00284F89">
      <w:pPr>
        <w:pStyle w:val="Nadpis3"/>
        <w:spacing w:after="240"/>
        <w:rPr>
          <w:rFonts w:cstheme="minorHAnsi"/>
          <w:szCs w:val="24"/>
        </w:rPr>
      </w:pPr>
      <w:bookmarkStart w:id="42" w:name="_Toc69543033"/>
      <w:r w:rsidRPr="0062347D">
        <w:rPr>
          <w:rFonts w:cstheme="minorHAnsi"/>
          <w:szCs w:val="24"/>
        </w:rPr>
        <w:t>Analýza exprese miRNA v séru a statistické zpracování dat</w:t>
      </w:r>
      <w:bookmarkEnd w:id="42"/>
    </w:p>
    <w:p w:rsidR="008F0C0F" w:rsidRPr="00E663BF" w:rsidRDefault="008F0C0F" w:rsidP="00284F89">
      <w:pPr>
        <w:spacing w:after="240" w:line="360" w:lineRule="auto"/>
        <w:ind w:firstLine="709"/>
        <w:jc w:val="both"/>
        <w:rPr>
          <w:rFonts w:cstheme="minorHAnsi"/>
          <w:sz w:val="24"/>
          <w:szCs w:val="24"/>
        </w:rPr>
      </w:pPr>
      <w:r w:rsidRPr="0062347D">
        <w:rPr>
          <w:rFonts w:cstheme="minorHAnsi"/>
          <w:sz w:val="24"/>
          <w:szCs w:val="24"/>
        </w:rPr>
        <w:t xml:space="preserve">Data z PCR v reálném čase byla analyzována metodou druhé derivace, jak již bylo popsáno dříve v literatuře </w:t>
      </w:r>
      <w:r w:rsidRPr="00E663BF">
        <w:rPr>
          <w:rFonts w:cstheme="minorHAnsi"/>
          <w:noProof/>
          <w:sz w:val="24"/>
          <w:szCs w:val="24"/>
        </w:rPr>
        <w:t>(Kriegova, Arakelya</w:t>
      </w:r>
      <w:r w:rsidRPr="004E5649">
        <w:rPr>
          <w:rFonts w:cstheme="minorHAnsi"/>
          <w:noProof/>
          <w:sz w:val="24"/>
          <w:szCs w:val="24"/>
        </w:rPr>
        <w:t>n et al. 2008</w:t>
      </w:r>
      <w:r w:rsidRPr="00E663BF">
        <w:rPr>
          <w:rFonts w:cstheme="minorHAnsi"/>
          <w:noProof/>
          <w:sz w:val="24"/>
          <w:szCs w:val="24"/>
        </w:rPr>
        <w:t>)</w:t>
      </w:r>
      <w:r w:rsidRPr="0062347D">
        <w:rPr>
          <w:rFonts w:cstheme="minorHAnsi"/>
          <w:sz w:val="24"/>
          <w:szCs w:val="24"/>
        </w:rPr>
        <w:t>. Byla stanoven</w:t>
      </w:r>
      <w:r w:rsidRPr="00E663BF">
        <w:rPr>
          <w:rFonts w:cstheme="minorHAnsi"/>
          <w:sz w:val="24"/>
          <w:szCs w:val="24"/>
        </w:rPr>
        <w:t>a hodnota Cq (prahová hodnota)</w:t>
      </w:r>
      <w:r w:rsidRPr="004E5649">
        <w:rPr>
          <w:rFonts w:cstheme="minorHAnsi"/>
          <w:sz w:val="24"/>
          <w:szCs w:val="24"/>
        </w:rPr>
        <w:t xml:space="preserve"> a účinnost PCR v reálném čase. Pouze miRNA s účinností PCR</w:t>
      </w:r>
      <w:r w:rsidRPr="00B24D8C">
        <w:rPr>
          <w:rFonts w:cstheme="minorHAnsi"/>
          <w:sz w:val="24"/>
          <w:szCs w:val="24"/>
        </w:rPr>
        <w:t xml:space="preserve"> 1,7</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 xml:space="preserve">2,0 (27 miRNA) byly použity pro další analýzu </w:t>
      </w:r>
      <w:r w:rsidRPr="00E663BF">
        <w:rPr>
          <w:rFonts w:cstheme="minorHAnsi"/>
          <w:noProof/>
          <w:sz w:val="24"/>
          <w:szCs w:val="24"/>
        </w:rPr>
        <w:t>(Forlenza, Kaiser et al. 2012)</w:t>
      </w:r>
      <w:r w:rsidR="001441EC">
        <w:rPr>
          <w:rFonts w:cstheme="minorHAnsi"/>
          <w:noProof/>
          <w:sz w:val="24"/>
          <w:szCs w:val="24"/>
        </w:rPr>
        <w:t>.</w:t>
      </w:r>
      <w:r w:rsidRPr="0062347D">
        <w:rPr>
          <w:rFonts w:cstheme="minorHAnsi"/>
          <w:sz w:val="24"/>
          <w:szCs w:val="24"/>
        </w:rPr>
        <w:t xml:space="preserve"> </w:t>
      </w:r>
      <w:r w:rsidR="00BD2C05">
        <w:rPr>
          <w:rFonts w:cstheme="minorHAnsi"/>
          <w:sz w:val="24"/>
          <w:szCs w:val="24"/>
        </w:rPr>
        <w:t>Celkově b</w:t>
      </w:r>
      <w:r w:rsidR="001441EC" w:rsidRPr="001441EC">
        <w:rPr>
          <w:rFonts w:cstheme="minorHAnsi"/>
          <w:sz w:val="24"/>
          <w:szCs w:val="24"/>
        </w:rPr>
        <w:t>yla studována exprese 41 miRNA, z nichž 8 nebylo analyzováno kvůli nízké účinnosti PCR reakce</w:t>
      </w:r>
      <w:r w:rsidR="001441EC" w:rsidRPr="00E663BF">
        <w:rPr>
          <w:rFonts w:cstheme="minorHAnsi"/>
          <w:noProof/>
          <w:sz w:val="24"/>
          <w:szCs w:val="24"/>
        </w:rPr>
        <w:t xml:space="preserve"> </w:t>
      </w:r>
      <w:r w:rsidRPr="0062347D">
        <w:rPr>
          <w:rFonts w:cstheme="minorHAnsi"/>
          <w:sz w:val="24"/>
          <w:szCs w:val="24"/>
        </w:rPr>
        <w:t>(</w:t>
      </w:r>
      <w:r w:rsidRPr="00E663BF">
        <w:rPr>
          <w:rFonts w:cstheme="minorHAnsi"/>
          <w:b/>
          <w:sz w:val="24"/>
          <w:szCs w:val="24"/>
        </w:rPr>
        <w:t>Tabulka 7</w:t>
      </w:r>
      <w:r w:rsidRPr="004E5649">
        <w:rPr>
          <w:rFonts w:cstheme="minorHAnsi"/>
          <w:sz w:val="24"/>
          <w:szCs w:val="24"/>
        </w:rPr>
        <w:t>).</w:t>
      </w:r>
      <w:r w:rsidR="001441EC">
        <w:rPr>
          <w:rFonts w:cstheme="minorHAnsi"/>
          <w:sz w:val="24"/>
          <w:szCs w:val="24"/>
        </w:rPr>
        <w:t xml:space="preserve"> </w:t>
      </w:r>
      <w:r w:rsidRPr="004E5649">
        <w:rPr>
          <w:rFonts w:cstheme="minorHAnsi"/>
          <w:sz w:val="24"/>
          <w:szCs w:val="24"/>
        </w:rPr>
        <w:t>Pro stanovení nejvhodnějšího normalizačního faktoru</w:t>
      </w:r>
      <w:r w:rsidRPr="00B24D8C">
        <w:rPr>
          <w:rFonts w:cstheme="minorHAnsi"/>
          <w:sz w:val="24"/>
          <w:szCs w:val="24"/>
        </w:rPr>
        <w:t xml:space="preserve"> pro analýzu relativní exprese</w:t>
      </w:r>
      <w:r w:rsidRPr="0062347D">
        <w:rPr>
          <w:rFonts w:cstheme="minorHAnsi"/>
          <w:sz w:val="24"/>
          <w:szCs w:val="24"/>
        </w:rPr>
        <w:t xml:space="preserve"> miRNA v séru bylo využito algoritmů GeNorm a NormFinder </w:t>
      </w:r>
      <w:r w:rsidRPr="00E663BF">
        <w:rPr>
          <w:rFonts w:cstheme="minorHAnsi"/>
          <w:noProof/>
          <w:sz w:val="24"/>
          <w:szCs w:val="24"/>
        </w:rPr>
        <w:t>(Vandesom</w:t>
      </w:r>
      <w:r w:rsidRPr="004E5649">
        <w:rPr>
          <w:rFonts w:cstheme="minorHAnsi"/>
          <w:noProof/>
          <w:sz w:val="24"/>
          <w:szCs w:val="24"/>
        </w:rPr>
        <w:t>pele, De Preter et al. 2002</w:t>
      </w:r>
      <w:r w:rsidR="00A35E86">
        <w:rPr>
          <w:rFonts w:cstheme="minorHAnsi"/>
          <w:noProof/>
          <w:sz w:val="24"/>
          <w:szCs w:val="24"/>
        </w:rPr>
        <w:t xml:space="preserve">; </w:t>
      </w:r>
      <w:r w:rsidRPr="00E663BF">
        <w:rPr>
          <w:rFonts w:cstheme="minorHAnsi"/>
          <w:noProof/>
          <w:sz w:val="24"/>
          <w:szCs w:val="24"/>
        </w:rPr>
        <w:t>Andersen, Jensen et al. 2004)</w:t>
      </w:r>
      <w:r w:rsidRPr="0062347D">
        <w:rPr>
          <w:rFonts w:cstheme="minorHAnsi"/>
          <w:sz w:val="24"/>
          <w:szCs w:val="24"/>
        </w:rPr>
        <w:t>.</w:t>
      </w:r>
      <w:r w:rsidR="004D15AF">
        <w:rPr>
          <w:rFonts w:cstheme="minorHAnsi"/>
          <w:sz w:val="24"/>
          <w:szCs w:val="24"/>
        </w:rPr>
        <w:t xml:space="preserve"> 23 miRNA bylo</w:t>
      </w:r>
      <w:r w:rsidR="004D15AF" w:rsidRPr="004D15AF">
        <w:rPr>
          <w:rFonts w:cstheme="minorHAnsi"/>
          <w:sz w:val="24"/>
          <w:szCs w:val="24"/>
        </w:rPr>
        <w:t xml:space="preserve"> exprimovány ve všech subjektech a</w:t>
      </w:r>
      <w:r w:rsidR="00BD2C05">
        <w:rPr>
          <w:rFonts w:cstheme="minorHAnsi"/>
          <w:sz w:val="24"/>
          <w:szCs w:val="24"/>
        </w:rPr>
        <w:t xml:space="preserve"> tyto miRNA</w:t>
      </w:r>
      <w:r w:rsidR="004D15AF" w:rsidRPr="004D15AF">
        <w:rPr>
          <w:rFonts w:cstheme="minorHAnsi"/>
          <w:sz w:val="24"/>
          <w:szCs w:val="24"/>
        </w:rPr>
        <w:t xml:space="preserve"> měly nejnižší variab</w:t>
      </w:r>
      <w:r w:rsidR="004D15AF">
        <w:rPr>
          <w:rFonts w:cstheme="minorHAnsi"/>
          <w:sz w:val="24"/>
          <w:szCs w:val="24"/>
        </w:rPr>
        <w:t>ilitu exprese ve všech vzorcích. Geometrický průměr těchto miRNA byl použit</w:t>
      </w:r>
      <w:r w:rsidR="004E70C9">
        <w:rPr>
          <w:rFonts w:cstheme="minorHAnsi"/>
          <w:sz w:val="24"/>
          <w:szCs w:val="24"/>
        </w:rPr>
        <w:t xml:space="preserve"> jako normalizační faktor pro výpočet relativní exprese miRNA.</w:t>
      </w:r>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Exprese jednotlivých miRNA mezi skupinami pacientů byla a</w:t>
      </w:r>
      <w:r w:rsidR="00C137AA">
        <w:rPr>
          <w:rFonts w:cstheme="minorHAnsi"/>
          <w:sz w:val="24"/>
          <w:szCs w:val="24"/>
        </w:rPr>
        <w:t>nalyzována pomocí Mann-Whitney</w:t>
      </w:r>
      <w:r w:rsidRPr="004E5649">
        <w:rPr>
          <w:rFonts w:cstheme="minorHAnsi"/>
          <w:sz w:val="24"/>
          <w:szCs w:val="24"/>
        </w:rPr>
        <w:t xml:space="preserve"> testu. Při mnohonásobném porovná</w:t>
      </w:r>
      <w:r w:rsidR="004A45C9">
        <w:rPr>
          <w:rFonts w:cstheme="minorHAnsi"/>
          <w:sz w:val="24"/>
          <w:szCs w:val="24"/>
        </w:rPr>
        <w:t>vá</w:t>
      </w:r>
      <w:r w:rsidRPr="004E5649">
        <w:rPr>
          <w:rFonts w:cstheme="minorHAnsi"/>
          <w:sz w:val="24"/>
          <w:szCs w:val="24"/>
        </w:rPr>
        <w:t xml:space="preserve">ní může docházet </w:t>
      </w:r>
      <w:r w:rsidRPr="00B24D8C">
        <w:rPr>
          <w:rFonts w:cstheme="minorHAnsi"/>
          <w:sz w:val="24"/>
          <w:szCs w:val="24"/>
        </w:rPr>
        <w:t>k falešně pozitivním výsledkům, proto byla provedena korekce p hodnoty pomocí FDR (False Discovery Rate) metody podle Benjamina a Hochberga</w:t>
      </w:r>
      <w:r w:rsidRPr="0062347D">
        <w:rPr>
          <w:rFonts w:cstheme="minorHAnsi"/>
          <w:sz w:val="24"/>
          <w:szCs w:val="24"/>
        </w:rPr>
        <w:t xml:space="preserve"> (</w:t>
      </w:r>
      <w:proofErr w:type="gramStart"/>
      <w:r w:rsidRPr="0062347D">
        <w:rPr>
          <w:rFonts w:cstheme="minorHAnsi"/>
          <w:sz w:val="24"/>
          <w:szCs w:val="24"/>
        </w:rPr>
        <w:t xml:space="preserve">1995) </w:t>
      </w:r>
      <w:r w:rsidRPr="00E663BF">
        <w:rPr>
          <w:rFonts w:cstheme="minorHAnsi"/>
          <w:noProof/>
          <w:sz w:val="24"/>
          <w:szCs w:val="24"/>
        </w:rPr>
        <w:t>(Benj</w:t>
      </w:r>
      <w:r w:rsidRPr="004E5649">
        <w:rPr>
          <w:rFonts w:cstheme="minorHAnsi"/>
          <w:noProof/>
          <w:sz w:val="24"/>
          <w:szCs w:val="24"/>
        </w:rPr>
        <w:t>amini</w:t>
      </w:r>
      <w:proofErr w:type="gramEnd"/>
      <w:r w:rsidRPr="004E5649">
        <w:rPr>
          <w:rFonts w:cstheme="minorHAnsi"/>
          <w:noProof/>
          <w:sz w:val="24"/>
          <w:szCs w:val="24"/>
        </w:rPr>
        <w:t xml:space="preserve"> </w:t>
      </w:r>
      <w:r w:rsidR="00166BDD">
        <w:rPr>
          <w:rFonts w:cstheme="minorHAnsi"/>
          <w:noProof/>
          <w:sz w:val="24"/>
          <w:szCs w:val="24"/>
        </w:rPr>
        <w:t>a</w:t>
      </w:r>
      <w:r w:rsidRPr="004E5649">
        <w:rPr>
          <w:rFonts w:cstheme="minorHAnsi"/>
          <w:noProof/>
          <w:sz w:val="24"/>
          <w:szCs w:val="24"/>
        </w:rPr>
        <w:t xml:space="preserve"> Hochberg 1995</w:t>
      </w:r>
      <w:r w:rsidRPr="00E663BF">
        <w:rPr>
          <w:rFonts w:cstheme="minorHAnsi"/>
          <w:noProof/>
          <w:sz w:val="24"/>
          <w:szCs w:val="24"/>
        </w:rPr>
        <w:t>)</w:t>
      </w:r>
      <w:r w:rsidRPr="0062347D">
        <w:rPr>
          <w:rFonts w:cstheme="minorHAnsi"/>
          <w:sz w:val="24"/>
          <w:szCs w:val="24"/>
        </w:rPr>
        <w:t xml:space="preserve">, kde </w:t>
      </w:r>
      <w:r w:rsidR="008A4F25">
        <w:rPr>
          <w:rFonts w:cstheme="minorHAnsi"/>
          <w:sz w:val="24"/>
          <w:szCs w:val="24"/>
        </w:rPr>
        <w:t xml:space="preserve">byla </w:t>
      </w:r>
      <w:r w:rsidRPr="004E5649">
        <w:rPr>
          <w:rFonts w:cstheme="minorHAnsi"/>
          <w:sz w:val="24"/>
          <w:szCs w:val="24"/>
        </w:rPr>
        <w:t xml:space="preserve">požadovaná </w:t>
      </w:r>
      <w:r w:rsidR="008A4F25">
        <w:rPr>
          <w:rFonts w:cstheme="minorHAnsi"/>
          <w:sz w:val="24"/>
          <w:szCs w:val="24"/>
        </w:rPr>
        <w:t>hladina významnosti</w:t>
      </w:r>
      <w:r w:rsidRPr="004E5649">
        <w:rPr>
          <w:rFonts w:cstheme="minorHAnsi"/>
          <w:sz w:val="24"/>
          <w:szCs w:val="24"/>
        </w:rPr>
        <w:t xml:space="preserve"> 5 %.</w:t>
      </w:r>
      <w:r w:rsidRPr="004E5649">
        <w:rPr>
          <w:rFonts w:cstheme="minorHAnsi"/>
          <w:sz w:val="24"/>
          <w:szCs w:val="24"/>
          <w:vertAlign w:val="superscript"/>
        </w:rPr>
        <w:t xml:space="preserve"> </w:t>
      </w:r>
      <w:r w:rsidRPr="004E5649">
        <w:rPr>
          <w:rFonts w:cstheme="minorHAnsi"/>
          <w:sz w:val="24"/>
          <w:szCs w:val="24"/>
        </w:rPr>
        <w:t>Pro naše výsledky jsme vybrali pouze miRNA</w:t>
      </w:r>
      <w:r>
        <w:rPr>
          <w:rFonts w:cstheme="minorHAnsi"/>
          <w:sz w:val="24"/>
          <w:szCs w:val="24"/>
        </w:rPr>
        <w:t>,</w:t>
      </w:r>
      <w:r w:rsidRPr="004E5649">
        <w:rPr>
          <w:rFonts w:cstheme="minorHAnsi"/>
          <w:sz w:val="24"/>
          <w:szCs w:val="24"/>
        </w:rPr>
        <w:t xml:space="preserve"> u nichž byly </w:t>
      </w:r>
      <w:r w:rsidRPr="00B24D8C">
        <w:rPr>
          <w:rFonts w:cstheme="minorHAnsi"/>
          <w:sz w:val="24"/>
          <w:szCs w:val="24"/>
        </w:rPr>
        <w:t>hodnoty</w:t>
      </w:r>
      <w:r w:rsidRPr="0062347D">
        <w:rPr>
          <w:rFonts w:cstheme="minorHAnsi"/>
          <w:sz w:val="24"/>
          <w:szCs w:val="24"/>
        </w:rPr>
        <w:t xml:space="preserve"> signifikance p</w:t>
      </w:r>
      <w:r>
        <w:rPr>
          <w:rFonts w:cstheme="minorHAnsi"/>
          <w:sz w:val="24"/>
          <w:szCs w:val="24"/>
        </w:rPr>
        <w:t> </w:t>
      </w:r>
      <w:r w:rsidRPr="0062347D">
        <w:rPr>
          <w:rFonts w:cstheme="minorHAnsi"/>
          <w:sz w:val="24"/>
          <w:szCs w:val="24"/>
        </w:rPr>
        <w:t>≤ 0,03.</w:t>
      </w:r>
    </w:p>
    <w:p w:rsidR="008F0C0F" w:rsidRPr="00E663BF" w:rsidRDefault="008F0C0F" w:rsidP="00284F89">
      <w:pPr>
        <w:spacing w:line="360" w:lineRule="auto"/>
        <w:ind w:firstLine="709"/>
        <w:jc w:val="both"/>
        <w:rPr>
          <w:rFonts w:cstheme="minorHAnsi"/>
          <w:color w:val="000000"/>
          <w:sz w:val="24"/>
          <w:szCs w:val="24"/>
        </w:rPr>
      </w:pPr>
      <w:r w:rsidRPr="0062347D">
        <w:rPr>
          <w:rFonts w:cstheme="minorHAnsi"/>
          <w:sz w:val="24"/>
          <w:szCs w:val="24"/>
        </w:rPr>
        <w:lastRenderedPageBreak/>
        <w:t>Dále jsme provedli multivariační analýzu s využitím programu SIMCA P verze 13.5.0 (Unimetrics, AB, Ume</w:t>
      </w:r>
      <w:r w:rsidRPr="0062347D">
        <w:rPr>
          <w:rFonts w:cstheme="minorHAnsi"/>
          <w:color w:val="000000"/>
          <w:sz w:val="24"/>
          <w:szCs w:val="24"/>
        </w:rPr>
        <w:t>å, Švédsko). Data jsme podrobili analýze hlavních komponent (PCA</w:t>
      </w:r>
      <w:r>
        <w:rPr>
          <w:rFonts w:cstheme="minorHAnsi"/>
          <w:color w:val="000000"/>
          <w:sz w:val="24"/>
          <w:szCs w:val="24"/>
        </w:rPr>
        <w:t xml:space="preserve"> </w:t>
      </w:r>
      <w:r w:rsidRPr="0062347D">
        <w:rPr>
          <w:rFonts w:cstheme="minorHAnsi"/>
          <w:color w:val="000000"/>
          <w:sz w:val="24"/>
          <w:szCs w:val="24"/>
        </w:rPr>
        <w:t xml:space="preserve">= </w:t>
      </w:r>
      <w:r w:rsidRPr="00C87449">
        <w:rPr>
          <w:rFonts w:cstheme="minorHAnsi"/>
          <w:color w:val="000000"/>
          <w:sz w:val="24"/>
          <w:szCs w:val="24"/>
        </w:rPr>
        <w:t>Principal Component Analysis)</w:t>
      </w:r>
      <w:r w:rsidRPr="0062347D">
        <w:rPr>
          <w:rFonts w:cstheme="minorHAnsi"/>
          <w:color w:val="000000"/>
          <w:sz w:val="24"/>
          <w:szCs w:val="24"/>
        </w:rPr>
        <w:t xml:space="preserve"> a ortogonální projekce do latentn</w:t>
      </w:r>
      <w:r w:rsidRPr="00E663BF">
        <w:rPr>
          <w:rFonts w:cstheme="minorHAnsi"/>
          <w:color w:val="000000"/>
          <w:sz w:val="24"/>
          <w:szCs w:val="24"/>
        </w:rPr>
        <w:t>ích struktur (OPLS</w:t>
      </w:r>
      <w:r>
        <w:rPr>
          <w:rFonts w:cstheme="minorHAnsi"/>
          <w:color w:val="000000"/>
          <w:sz w:val="24"/>
          <w:szCs w:val="24"/>
        </w:rPr>
        <w:t xml:space="preserve"> </w:t>
      </w:r>
      <w:r w:rsidRPr="00E663BF">
        <w:rPr>
          <w:rFonts w:cstheme="minorHAnsi"/>
          <w:color w:val="000000"/>
          <w:sz w:val="24"/>
          <w:szCs w:val="24"/>
        </w:rPr>
        <w:t xml:space="preserve">= </w:t>
      </w:r>
      <w:r w:rsidRPr="00C87449">
        <w:rPr>
          <w:rFonts w:cstheme="minorHAnsi"/>
          <w:color w:val="000000"/>
          <w:sz w:val="24"/>
          <w:szCs w:val="24"/>
        </w:rPr>
        <w:t xml:space="preserve">Orthogonal Projection to Latent </w:t>
      </w:r>
      <w:proofErr w:type="gramStart"/>
      <w:r w:rsidRPr="00C87449">
        <w:rPr>
          <w:rFonts w:cstheme="minorHAnsi"/>
          <w:color w:val="000000"/>
          <w:sz w:val="24"/>
          <w:szCs w:val="24"/>
        </w:rPr>
        <w:t>Structures</w:t>
      </w:r>
      <w:r w:rsidRPr="0062347D">
        <w:rPr>
          <w:rFonts w:cstheme="minorHAnsi"/>
          <w:color w:val="000000"/>
          <w:sz w:val="24"/>
          <w:szCs w:val="24"/>
        </w:rPr>
        <w:t xml:space="preserve">) </w:t>
      </w:r>
      <w:r w:rsidRPr="00E663BF">
        <w:rPr>
          <w:rFonts w:cstheme="minorHAnsi"/>
          <w:noProof/>
          <w:color w:val="000000"/>
          <w:sz w:val="24"/>
          <w:szCs w:val="24"/>
        </w:rPr>
        <w:t>(</w:t>
      </w:r>
      <w:r w:rsidRPr="004E5649">
        <w:rPr>
          <w:rFonts w:cstheme="minorHAnsi"/>
          <w:noProof/>
          <w:color w:val="000000"/>
          <w:sz w:val="24"/>
          <w:szCs w:val="24"/>
        </w:rPr>
        <w:t>Levänen</w:t>
      </w:r>
      <w:proofErr w:type="gramEnd"/>
      <w:r w:rsidRPr="004E5649">
        <w:rPr>
          <w:rFonts w:cstheme="minorHAnsi"/>
          <w:noProof/>
          <w:color w:val="000000"/>
          <w:sz w:val="24"/>
          <w:szCs w:val="24"/>
        </w:rPr>
        <w:t>, Bhakta et al. 2013</w:t>
      </w:r>
      <w:r w:rsidRPr="00E663BF">
        <w:rPr>
          <w:rFonts w:cstheme="minorHAnsi"/>
          <w:noProof/>
          <w:color w:val="000000"/>
          <w:sz w:val="24"/>
          <w:szCs w:val="24"/>
        </w:rPr>
        <w:t>)</w:t>
      </w:r>
      <w:r w:rsidRPr="0062347D">
        <w:rPr>
          <w:rFonts w:cstheme="minorHAnsi"/>
          <w:color w:val="000000"/>
          <w:sz w:val="24"/>
          <w:szCs w:val="24"/>
        </w:rPr>
        <w:t>.</w:t>
      </w:r>
    </w:p>
    <w:p w:rsidR="008F0C0F" w:rsidRPr="00E663BF" w:rsidRDefault="008F0C0F" w:rsidP="00284F89">
      <w:pPr>
        <w:spacing w:after="0" w:line="360" w:lineRule="auto"/>
        <w:ind w:firstLine="709"/>
        <w:jc w:val="both"/>
        <w:rPr>
          <w:rFonts w:cstheme="minorHAnsi"/>
          <w:sz w:val="24"/>
          <w:szCs w:val="24"/>
        </w:rPr>
      </w:pPr>
      <w:r w:rsidRPr="004E5649">
        <w:rPr>
          <w:rFonts w:cstheme="minorHAnsi"/>
          <w:sz w:val="24"/>
          <w:szCs w:val="24"/>
        </w:rPr>
        <w:t>Multivariační statistika pomáhá redukovat dimenzionalitu velkého množství dat a</w:t>
      </w:r>
      <w:r>
        <w:rPr>
          <w:rFonts w:cstheme="minorHAnsi"/>
          <w:sz w:val="24"/>
          <w:szCs w:val="24"/>
        </w:rPr>
        <w:t> </w:t>
      </w:r>
      <w:r w:rsidRPr="004E5649">
        <w:rPr>
          <w:rFonts w:cstheme="minorHAnsi"/>
          <w:sz w:val="24"/>
          <w:szCs w:val="24"/>
        </w:rPr>
        <w:t>nalézt vztah mezi studovanými subjekty a naměřenými daty. Může sloužit k identifikaci biomarkerů pro rozlišení například mezi zdravými a nemocnými jedinci. Převedení mnoha proměnných do jednoho bodu (tzv. komponenty) pomáhá lépe propojit data získaná u</w:t>
      </w:r>
      <w:r>
        <w:rPr>
          <w:rFonts w:cstheme="minorHAnsi"/>
          <w:sz w:val="24"/>
          <w:szCs w:val="24"/>
        </w:rPr>
        <w:t> </w:t>
      </w:r>
      <w:r w:rsidRPr="0062347D">
        <w:rPr>
          <w:rFonts w:cstheme="minorHAnsi"/>
          <w:sz w:val="24"/>
          <w:szCs w:val="24"/>
        </w:rPr>
        <w:t>různých proměnných (například proteinů či metabolitů). Pro počáteční analýzu dat se využívá analýza hlavních komponent (PCA), která identifikuje odlehlé hodnoty. Dále lze využít ortogonální projekce do latentních struktur (OPLS), což může být metoda vhodná pro výběr biomarkerů</w:t>
      </w:r>
      <w:r w:rsidR="004E70C9">
        <w:rPr>
          <w:rFonts w:cstheme="minorHAnsi"/>
          <w:sz w:val="24"/>
          <w:szCs w:val="24"/>
        </w:rPr>
        <w:t>, například</w:t>
      </w:r>
      <w:r w:rsidRPr="0062347D">
        <w:rPr>
          <w:rFonts w:cstheme="minorHAnsi"/>
          <w:sz w:val="24"/>
          <w:szCs w:val="24"/>
        </w:rPr>
        <w:t xml:space="preserve"> pro oddělení dvou skupin</w:t>
      </w:r>
      <w:r>
        <w:rPr>
          <w:rFonts w:cstheme="minorHAnsi"/>
          <w:sz w:val="24"/>
          <w:szCs w:val="24"/>
        </w:rPr>
        <w:t>, zdraví a nemocní,</w:t>
      </w:r>
      <w:r w:rsidRPr="0062347D">
        <w:rPr>
          <w:rFonts w:cstheme="minorHAnsi"/>
          <w:sz w:val="24"/>
          <w:szCs w:val="24"/>
        </w:rPr>
        <w:t xml:space="preserve"> od sebe </w:t>
      </w:r>
      <w:r w:rsidRPr="00E663BF">
        <w:rPr>
          <w:rFonts w:cstheme="minorHAnsi"/>
          <w:noProof/>
          <w:sz w:val="24"/>
          <w:szCs w:val="24"/>
        </w:rPr>
        <w:t>(</w:t>
      </w:r>
      <w:r w:rsidRPr="004E5649">
        <w:rPr>
          <w:rFonts w:cstheme="minorHAnsi"/>
          <w:noProof/>
          <w:sz w:val="24"/>
          <w:szCs w:val="24"/>
        </w:rPr>
        <w:t xml:space="preserve">Wheelock </w:t>
      </w:r>
      <w:r w:rsidR="00166BDD">
        <w:rPr>
          <w:rFonts w:cstheme="minorHAnsi"/>
          <w:noProof/>
          <w:sz w:val="24"/>
          <w:szCs w:val="24"/>
        </w:rPr>
        <w:t>a</w:t>
      </w:r>
      <w:r w:rsidRPr="004E5649">
        <w:rPr>
          <w:rFonts w:cstheme="minorHAnsi"/>
          <w:noProof/>
          <w:sz w:val="24"/>
          <w:szCs w:val="24"/>
        </w:rPr>
        <w:t xml:space="preserve"> Wheelock 2013</w:t>
      </w:r>
      <w:r w:rsidRPr="00E663BF">
        <w:rPr>
          <w:rFonts w:cstheme="minorHAnsi"/>
          <w:noProof/>
          <w:sz w:val="24"/>
          <w:szCs w:val="24"/>
        </w:rPr>
        <w:t>)</w:t>
      </w:r>
      <w:r w:rsidRPr="0062347D">
        <w:rPr>
          <w:rFonts w:cstheme="minorHAnsi"/>
          <w:sz w:val="24"/>
          <w:szCs w:val="24"/>
        </w:rPr>
        <w:t>.</w:t>
      </w:r>
    </w:p>
    <w:p w:rsidR="008F0C0F" w:rsidRPr="00E663BF" w:rsidRDefault="008F0C0F" w:rsidP="00284F89">
      <w:pPr>
        <w:spacing w:after="0" w:line="360" w:lineRule="auto"/>
        <w:ind w:firstLine="709"/>
        <w:jc w:val="both"/>
        <w:rPr>
          <w:rFonts w:cstheme="minorHAnsi"/>
          <w:color w:val="000000"/>
          <w:sz w:val="24"/>
          <w:szCs w:val="24"/>
        </w:rPr>
      </w:pPr>
      <w:r w:rsidRPr="004E5649">
        <w:rPr>
          <w:rFonts w:cstheme="minorHAnsi"/>
          <w:color w:val="000000"/>
          <w:sz w:val="24"/>
          <w:szCs w:val="24"/>
        </w:rPr>
        <w:t>Výkonnost OPLS modelu (z angl. model performance) je zaznamenána jako kumulativní korelační koeficient R</w:t>
      </w:r>
      <w:r w:rsidRPr="004E5649">
        <w:rPr>
          <w:rFonts w:cstheme="minorHAnsi"/>
          <w:color w:val="000000"/>
          <w:sz w:val="24"/>
          <w:szCs w:val="24"/>
          <w:vertAlign w:val="superscript"/>
        </w:rPr>
        <w:t>2</w:t>
      </w:r>
      <w:r w:rsidRPr="004E5649">
        <w:rPr>
          <w:rFonts w:cstheme="minorHAnsi"/>
          <w:color w:val="000000"/>
          <w:sz w:val="24"/>
          <w:szCs w:val="24"/>
        </w:rPr>
        <w:t xml:space="preserve"> a prediktivní výkonnost modelu je zaznamenána jako Q</w:t>
      </w:r>
      <w:r w:rsidRPr="004E5649">
        <w:rPr>
          <w:rFonts w:cstheme="minorHAnsi"/>
          <w:color w:val="000000"/>
          <w:sz w:val="24"/>
          <w:szCs w:val="24"/>
          <w:vertAlign w:val="superscript"/>
        </w:rPr>
        <w:t>2</w:t>
      </w:r>
      <w:r w:rsidRPr="0062347D">
        <w:rPr>
          <w:rFonts w:cstheme="minorHAnsi"/>
          <w:sz w:val="24"/>
          <w:szCs w:val="24"/>
        </w:rPr>
        <w:t>.</w:t>
      </w:r>
      <w:r>
        <w:rPr>
          <w:rFonts w:cstheme="minorHAnsi"/>
          <w:sz w:val="24"/>
          <w:szCs w:val="24"/>
        </w:rPr>
        <w:t xml:space="preserve"> </w:t>
      </w:r>
      <w:r w:rsidRPr="004E5649">
        <w:rPr>
          <w:rFonts w:cstheme="minorHAnsi"/>
          <w:color w:val="000000"/>
          <w:sz w:val="24"/>
          <w:szCs w:val="24"/>
        </w:rPr>
        <w:t>Prediktivní</w:t>
      </w:r>
      <w:r w:rsidRPr="004E5649">
        <w:rPr>
          <w:rFonts w:cstheme="minorHAnsi"/>
          <w:color w:val="000000"/>
          <w:sz w:val="24"/>
          <w:szCs w:val="24"/>
          <w:vertAlign w:val="superscript"/>
        </w:rPr>
        <w:t xml:space="preserve"> </w:t>
      </w:r>
      <w:r w:rsidRPr="004E5649">
        <w:rPr>
          <w:rFonts w:cstheme="minorHAnsi"/>
          <w:color w:val="000000"/>
          <w:sz w:val="24"/>
          <w:szCs w:val="24"/>
        </w:rPr>
        <w:t>výkonnost modelu Q</w:t>
      </w:r>
      <w:r w:rsidRPr="004E5649">
        <w:rPr>
          <w:rFonts w:cstheme="minorHAnsi"/>
          <w:color w:val="000000"/>
          <w:sz w:val="24"/>
          <w:szCs w:val="24"/>
          <w:vertAlign w:val="superscript"/>
        </w:rPr>
        <w:t xml:space="preserve">2 </w:t>
      </w:r>
      <w:r w:rsidRPr="004E5649">
        <w:rPr>
          <w:rFonts w:cstheme="minorHAnsi"/>
          <w:color w:val="000000"/>
          <w:sz w:val="24"/>
          <w:szCs w:val="24"/>
        </w:rPr>
        <w:t>je</w:t>
      </w:r>
      <w:r w:rsidRPr="004E5649">
        <w:rPr>
          <w:rFonts w:cstheme="minorHAnsi"/>
          <w:color w:val="000000"/>
          <w:sz w:val="24"/>
          <w:szCs w:val="24"/>
          <w:vertAlign w:val="superscript"/>
        </w:rPr>
        <w:t xml:space="preserve"> </w:t>
      </w:r>
      <w:r w:rsidRPr="004E5649">
        <w:rPr>
          <w:rFonts w:cstheme="minorHAnsi"/>
          <w:color w:val="000000"/>
          <w:sz w:val="24"/>
          <w:szCs w:val="24"/>
        </w:rPr>
        <w:t>založená na sedminásobném křížovém ověření (</w:t>
      </w:r>
      <w:proofErr w:type="gramStart"/>
      <w:r w:rsidRPr="004E5649">
        <w:rPr>
          <w:rFonts w:cstheme="minorHAnsi"/>
          <w:color w:val="000000"/>
          <w:sz w:val="24"/>
          <w:szCs w:val="24"/>
        </w:rPr>
        <w:t xml:space="preserve">cross-validation) </w:t>
      </w:r>
      <w:r w:rsidRPr="00E663BF">
        <w:rPr>
          <w:rFonts w:cstheme="minorHAnsi"/>
          <w:noProof/>
          <w:color w:val="000000"/>
          <w:sz w:val="24"/>
          <w:szCs w:val="24"/>
        </w:rPr>
        <w:t>(</w:t>
      </w:r>
      <w:r w:rsidRPr="004E5649">
        <w:rPr>
          <w:rFonts w:cstheme="minorHAnsi"/>
          <w:noProof/>
          <w:color w:val="000000"/>
          <w:sz w:val="24"/>
          <w:szCs w:val="24"/>
        </w:rPr>
        <w:t>Levänen</w:t>
      </w:r>
      <w:proofErr w:type="gramEnd"/>
      <w:r w:rsidRPr="004E5649">
        <w:rPr>
          <w:rFonts w:cstheme="minorHAnsi"/>
          <w:noProof/>
          <w:color w:val="000000"/>
          <w:sz w:val="24"/>
          <w:szCs w:val="24"/>
        </w:rPr>
        <w:t>, Bhakta et al. 2013</w:t>
      </w:r>
      <w:r w:rsidRPr="00E663BF">
        <w:rPr>
          <w:rFonts w:cstheme="minorHAnsi"/>
          <w:noProof/>
          <w:color w:val="000000"/>
          <w:sz w:val="24"/>
          <w:szCs w:val="24"/>
        </w:rPr>
        <w:t>)</w:t>
      </w:r>
      <w:r w:rsidRPr="0062347D">
        <w:rPr>
          <w:rFonts w:cstheme="minorHAnsi"/>
          <w:color w:val="000000"/>
          <w:sz w:val="24"/>
          <w:szCs w:val="24"/>
        </w:rPr>
        <w:t xml:space="preserve">. </w:t>
      </w:r>
      <w:r w:rsidRPr="00E663BF">
        <w:rPr>
          <w:rFonts w:cstheme="minorHAnsi"/>
          <w:color w:val="000000"/>
          <w:sz w:val="24"/>
          <w:szCs w:val="24"/>
        </w:rPr>
        <w:t>Q</w:t>
      </w:r>
      <w:r w:rsidRPr="004E5649">
        <w:rPr>
          <w:rFonts w:cstheme="minorHAnsi"/>
          <w:color w:val="000000"/>
          <w:sz w:val="24"/>
          <w:szCs w:val="24"/>
          <w:vertAlign w:val="superscript"/>
        </w:rPr>
        <w:t>2</w:t>
      </w:r>
      <w:r w:rsidRPr="004E5649">
        <w:rPr>
          <w:rFonts w:cstheme="minorHAnsi"/>
          <w:color w:val="000000"/>
          <w:sz w:val="24"/>
          <w:szCs w:val="24"/>
        </w:rPr>
        <w:t xml:space="preserve"> znázorňuje korelaci založenou na průměru výsledků opakovaných křížových ověření a reprezentuje míru prediktivní síly modelu </w:t>
      </w:r>
      <w:r w:rsidRPr="00E663BF">
        <w:rPr>
          <w:rFonts w:cstheme="minorHAnsi"/>
          <w:noProof/>
          <w:color w:val="000000"/>
          <w:sz w:val="24"/>
          <w:szCs w:val="24"/>
        </w:rPr>
        <w:t>(</w:t>
      </w:r>
      <w:r w:rsidRPr="004E5649">
        <w:rPr>
          <w:rFonts w:cstheme="minorHAnsi"/>
          <w:noProof/>
          <w:color w:val="000000"/>
          <w:sz w:val="24"/>
          <w:szCs w:val="24"/>
        </w:rPr>
        <w:t xml:space="preserve">Wheelock </w:t>
      </w:r>
      <w:r w:rsidR="00166BDD">
        <w:rPr>
          <w:rFonts w:cstheme="minorHAnsi"/>
          <w:noProof/>
          <w:color w:val="000000"/>
          <w:sz w:val="24"/>
          <w:szCs w:val="24"/>
        </w:rPr>
        <w:t>a</w:t>
      </w:r>
      <w:r w:rsidRPr="004E5649">
        <w:rPr>
          <w:rFonts w:cstheme="minorHAnsi"/>
          <w:noProof/>
          <w:color w:val="000000"/>
          <w:sz w:val="24"/>
          <w:szCs w:val="24"/>
        </w:rPr>
        <w:t xml:space="preserve"> Wheelock 2013</w:t>
      </w:r>
      <w:r w:rsidRPr="00E663BF">
        <w:rPr>
          <w:rFonts w:cstheme="minorHAnsi"/>
          <w:noProof/>
          <w:color w:val="000000"/>
          <w:sz w:val="24"/>
          <w:szCs w:val="24"/>
        </w:rPr>
        <w:t>)</w:t>
      </w:r>
      <w:r w:rsidRPr="0062347D">
        <w:rPr>
          <w:rFonts w:cstheme="minorHAnsi"/>
          <w:color w:val="000000"/>
          <w:sz w:val="24"/>
          <w:szCs w:val="24"/>
        </w:rPr>
        <w:t>.</w:t>
      </w:r>
      <w:r w:rsidRPr="00E663BF">
        <w:rPr>
          <w:rFonts w:cstheme="minorHAnsi"/>
          <w:color w:val="000000"/>
          <w:sz w:val="24"/>
          <w:szCs w:val="24"/>
        </w:rPr>
        <w:t xml:space="preserve"> </w:t>
      </w:r>
      <w:r w:rsidRPr="004E5649">
        <w:rPr>
          <w:rFonts w:cstheme="minorHAnsi"/>
          <w:color w:val="000000"/>
          <w:sz w:val="24"/>
          <w:szCs w:val="24"/>
        </w:rPr>
        <w:t>OPLS modely s R</w:t>
      </w:r>
      <w:r w:rsidRPr="004E5649">
        <w:rPr>
          <w:rFonts w:cstheme="minorHAnsi"/>
          <w:color w:val="000000"/>
          <w:sz w:val="24"/>
          <w:szCs w:val="24"/>
          <w:vertAlign w:val="superscript"/>
        </w:rPr>
        <w:t>2</w:t>
      </w:r>
      <w:r w:rsidR="000C3332">
        <w:rPr>
          <w:rFonts w:cstheme="minorHAnsi"/>
          <w:color w:val="000000"/>
          <w:sz w:val="24"/>
          <w:szCs w:val="24"/>
        </w:rPr>
        <w:t xml:space="preserve"> větší než 0,9 a</w:t>
      </w:r>
      <w:r w:rsidRPr="004E5649">
        <w:rPr>
          <w:rFonts w:cstheme="minorHAnsi"/>
          <w:color w:val="000000"/>
          <w:sz w:val="24"/>
          <w:szCs w:val="24"/>
        </w:rPr>
        <w:t xml:space="preserve"> Q</w:t>
      </w:r>
      <w:r w:rsidRPr="004E5649">
        <w:rPr>
          <w:rFonts w:cstheme="minorHAnsi"/>
          <w:color w:val="000000"/>
          <w:sz w:val="24"/>
          <w:szCs w:val="24"/>
          <w:vertAlign w:val="superscript"/>
        </w:rPr>
        <w:t>2</w:t>
      </w:r>
      <w:r w:rsidRPr="004E5649">
        <w:rPr>
          <w:rFonts w:cstheme="minorHAnsi"/>
          <w:color w:val="000000"/>
          <w:sz w:val="24"/>
          <w:szCs w:val="24"/>
        </w:rPr>
        <w:t xml:space="preserve"> větší než 0,5 mohou být hodnoceny jako dobré modely </w:t>
      </w:r>
      <w:r w:rsidRPr="00E663BF">
        <w:rPr>
          <w:rFonts w:cstheme="minorHAnsi"/>
          <w:noProof/>
          <w:color w:val="000000"/>
          <w:sz w:val="24"/>
          <w:szCs w:val="24"/>
        </w:rPr>
        <w:t>(</w:t>
      </w:r>
      <w:r w:rsidRPr="004E5649">
        <w:rPr>
          <w:rFonts w:cstheme="minorHAnsi"/>
          <w:noProof/>
          <w:color w:val="000000"/>
          <w:sz w:val="24"/>
          <w:szCs w:val="24"/>
        </w:rPr>
        <w:t>Eriksson, Jaworska et al. 2003</w:t>
      </w:r>
      <w:r w:rsidRPr="00E663BF">
        <w:rPr>
          <w:rFonts w:cstheme="minorHAnsi"/>
          <w:noProof/>
          <w:color w:val="000000"/>
          <w:sz w:val="24"/>
          <w:szCs w:val="24"/>
        </w:rPr>
        <w:t>)</w:t>
      </w:r>
      <w:r w:rsidRPr="0062347D">
        <w:rPr>
          <w:rFonts w:cstheme="minorHAnsi"/>
          <w:color w:val="000000"/>
          <w:sz w:val="24"/>
          <w:szCs w:val="24"/>
        </w:rPr>
        <w:t xml:space="preserve">. </w:t>
      </w:r>
      <w:r w:rsidR="00E4631D" w:rsidRPr="00E4631D">
        <w:rPr>
          <w:rFonts w:cstheme="minorHAnsi"/>
          <w:color w:val="000000"/>
          <w:sz w:val="24"/>
          <w:szCs w:val="24"/>
        </w:rPr>
        <w:t xml:space="preserve">Signifikantní rozdíly mezi skupinami jsou vyjádřeny jako p hodnota, která je vypočítána testem CV-ANOVA. Hodnota p menší než 0,05 je hodnocena jako signifikantní </w:t>
      </w:r>
      <w:r w:rsidRPr="00E663BF">
        <w:rPr>
          <w:rFonts w:cstheme="minorHAnsi"/>
          <w:noProof/>
          <w:color w:val="000000"/>
          <w:sz w:val="24"/>
          <w:szCs w:val="24"/>
        </w:rPr>
        <w:t>(</w:t>
      </w:r>
      <w:r w:rsidRPr="004E5649">
        <w:rPr>
          <w:rFonts w:cstheme="minorHAnsi"/>
          <w:noProof/>
          <w:color w:val="000000"/>
          <w:sz w:val="24"/>
          <w:szCs w:val="24"/>
        </w:rPr>
        <w:t>Yang, Kohler et al. 2018</w:t>
      </w:r>
      <w:r w:rsidRPr="00E663BF">
        <w:rPr>
          <w:rFonts w:cstheme="minorHAnsi"/>
          <w:noProof/>
          <w:color w:val="000000"/>
          <w:sz w:val="24"/>
          <w:szCs w:val="24"/>
        </w:rPr>
        <w:t>)</w:t>
      </w:r>
      <w:r w:rsidRPr="0062347D">
        <w:rPr>
          <w:rFonts w:cstheme="minorHAnsi"/>
          <w:color w:val="000000"/>
          <w:sz w:val="24"/>
          <w:szCs w:val="24"/>
        </w:rPr>
        <w:t>.</w:t>
      </w:r>
    </w:p>
    <w:p w:rsidR="008F0C0F" w:rsidRPr="004E5649" w:rsidRDefault="008F0C0F" w:rsidP="00284F89">
      <w:pPr>
        <w:pStyle w:val="Nadpis3"/>
        <w:rPr>
          <w:rFonts w:cstheme="minorHAnsi"/>
          <w:szCs w:val="24"/>
        </w:rPr>
      </w:pPr>
      <w:bookmarkStart w:id="43" w:name="_Toc69543034"/>
      <w:r w:rsidRPr="004E5649">
        <w:rPr>
          <w:rFonts w:cstheme="minorHAnsi"/>
          <w:szCs w:val="24"/>
        </w:rPr>
        <w:t>Analýza signálních drah u deregulovaných miRNA v séru</w:t>
      </w:r>
      <w:bookmarkEnd w:id="43"/>
    </w:p>
    <w:p w:rsidR="008F0C0F" w:rsidRPr="004E5649" w:rsidRDefault="008F0C0F" w:rsidP="00284F89">
      <w:pPr>
        <w:spacing w:before="240" w:after="0" w:line="360" w:lineRule="auto"/>
        <w:ind w:firstLine="709"/>
        <w:jc w:val="both"/>
        <w:rPr>
          <w:rFonts w:cstheme="minorHAnsi"/>
          <w:sz w:val="24"/>
          <w:szCs w:val="24"/>
        </w:rPr>
      </w:pPr>
      <w:r w:rsidRPr="004E5649">
        <w:rPr>
          <w:rFonts w:cstheme="minorHAnsi"/>
          <w:sz w:val="24"/>
          <w:szCs w:val="24"/>
        </w:rPr>
        <w:t>Exprese miRNA, které byly deregulovány mezi pacienty a kontrola</w:t>
      </w:r>
      <w:r w:rsidR="00DE5D3D">
        <w:rPr>
          <w:rFonts w:cstheme="minorHAnsi"/>
          <w:sz w:val="24"/>
          <w:szCs w:val="24"/>
        </w:rPr>
        <w:t>mi, byly testovány v databázi mi</w:t>
      </w:r>
      <w:r w:rsidRPr="004E5649">
        <w:rPr>
          <w:rFonts w:cstheme="minorHAnsi"/>
          <w:sz w:val="24"/>
          <w:szCs w:val="24"/>
        </w:rPr>
        <w:t xml:space="preserve">RSystem (verze 20150312). Tato databáze zobrazuje signální </w:t>
      </w:r>
      <w:r w:rsidRPr="00B24D8C">
        <w:rPr>
          <w:rFonts w:cstheme="minorHAnsi"/>
          <w:sz w:val="24"/>
          <w:szCs w:val="24"/>
        </w:rPr>
        <w:t>dráhy</w:t>
      </w:r>
      <w:r w:rsidRPr="0062347D">
        <w:rPr>
          <w:rFonts w:cstheme="minorHAnsi"/>
          <w:sz w:val="24"/>
          <w:szCs w:val="24"/>
        </w:rPr>
        <w:t xml:space="preserve"> v organismu a v nich geny, na které mohou miRNA působit </w:t>
      </w:r>
      <w:r w:rsidRPr="00E663BF">
        <w:rPr>
          <w:rFonts w:cstheme="minorHAnsi"/>
          <w:noProof/>
          <w:sz w:val="24"/>
          <w:szCs w:val="24"/>
        </w:rPr>
        <w:t>(</w:t>
      </w:r>
      <w:r w:rsidRPr="004E5649">
        <w:rPr>
          <w:rFonts w:cstheme="minorHAnsi"/>
          <w:noProof/>
          <w:sz w:val="24"/>
          <w:szCs w:val="24"/>
        </w:rPr>
        <w:t>Lu, Lee et al. 2012</w:t>
      </w:r>
      <w:r w:rsidRPr="00E663BF">
        <w:rPr>
          <w:rFonts w:cstheme="minorHAnsi"/>
          <w:noProof/>
          <w:sz w:val="24"/>
          <w:szCs w:val="24"/>
        </w:rPr>
        <w:t>)</w:t>
      </w:r>
      <w:r w:rsidRPr="0062347D">
        <w:rPr>
          <w:rFonts w:cstheme="minorHAnsi"/>
          <w:sz w:val="24"/>
          <w:szCs w:val="24"/>
        </w:rPr>
        <w:t>. Poměr hod</w:t>
      </w:r>
      <w:r w:rsidRPr="00E663BF">
        <w:rPr>
          <w:rFonts w:cstheme="minorHAnsi"/>
          <w:sz w:val="24"/>
          <w:szCs w:val="24"/>
        </w:rPr>
        <w:t>not expresí (pacienti/kontroly)</w:t>
      </w:r>
      <w:r w:rsidRPr="004E5649">
        <w:rPr>
          <w:rFonts w:cstheme="minorHAnsi"/>
          <w:sz w:val="24"/>
          <w:szCs w:val="24"/>
        </w:rPr>
        <w:t xml:space="preserve"> byl zadán do databáze Kyoto Encyclopedia of Genes and Genomes (KEGG) Pathway. V databázi jsme z výběru analýz zvolili analyzovat dráhy s více než 25 geny a</w:t>
      </w:r>
      <w:r>
        <w:rPr>
          <w:rFonts w:cstheme="minorHAnsi"/>
          <w:sz w:val="24"/>
          <w:szCs w:val="24"/>
        </w:rPr>
        <w:t> </w:t>
      </w:r>
      <w:r w:rsidRPr="004E5649">
        <w:rPr>
          <w:rFonts w:cstheme="minorHAnsi"/>
          <w:sz w:val="24"/>
          <w:szCs w:val="24"/>
        </w:rPr>
        <w:t>méně než 500 geny.</w:t>
      </w:r>
    </w:p>
    <w:p w:rsidR="008F0C0F" w:rsidRPr="004E5649" w:rsidRDefault="008F0C0F" w:rsidP="00284F89">
      <w:pPr>
        <w:rPr>
          <w:rFonts w:cstheme="minorHAnsi"/>
          <w:sz w:val="24"/>
          <w:szCs w:val="24"/>
        </w:rPr>
      </w:pPr>
    </w:p>
    <w:p w:rsidR="008F0C0F" w:rsidRPr="0062347D" w:rsidRDefault="008F0C0F" w:rsidP="00284F89">
      <w:pPr>
        <w:rPr>
          <w:rFonts w:cstheme="minorHAnsi"/>
          <w:sz w:val="24"/>
          <w:szCs w:val="24"/>
        </w:rPr>
        <w:sectPr w:rsidR="008F0C0F" w:rsidRPr="0062347D" w:rsidSect="00226812">
          <w:pgSz w:w="11906" w:h="16838"/>
          <w:pgMar w:top="992" w:right="1418" w:bottom="1418" w:left="1418" w:header="709" w:footer="709" w:gutter="0"/>
          <w:cols w:space="708"/>
          <w:docGrid w:linePitch="360"/>
        </w:sectPr>
      </w:pPr>
    </w:p>
    <w:p w:rsidR="008F0C0F" w:rsidRPr="004E5649" w:rsidRDefault="008F0C0F" w:rsidP="00284F89">
      <w:pPr>
        <w:pStyle w:val="Nadpis1"/>
      </w:pPr>
      <w:bookmarkStart w:id="44" w:name="_Toc69543035"/>
      <w:r w:rsidRPr="004E5649">
        <w:lastRenderedPageBreak/>
        <w:t>Výsledky</w:t>
      </w:r>
      <w:bookmarkEnd w:id="44"/>
    </w:p>
    <w:p w:rsidR="008F0C0F" w:rsidRPr="0062347D" w:rsidRDefault="008F0C0F" w:rsidP="00284F89">
      <w:pPr>
        <w:pStyle w:val="Nadpis2"/>
        <w:spacing w:after="240"/>
        <w:jc w:val="both"/>
        <w:rPr>
          <w:rFonts w:cstheme="minorHAnsi"/>
          <w:szCs w:val="24"/>
        </w:rPr>
      </w:pPr>
      <w:bookmarkStart w:id="45" w:name="_Toc69543036"/>
      <w:r w:rsidRPr="004E5649">
        <w:rPr>
          <w:rFonts w:cstheme="minorHAnsi"/>
          <w:szCs w:val="24"/>
        </w:rPr>
        <w:t>Výsledky analýzy porovnání relativních počtů bronchoalveolárních CD4</w:t>
      </w:r>
      <w:r w:rsidRPr="00B24D8C">
        <w:rPr>
          <w:rFonts w:cstheme="minorHAnsi"/>
          <w:szCs w:val="24"/>
          <w:vertAlign w:val="superscript"/>
        </w:rPr>
        <w:t>+</w:t>
      </w:r>
      <w:r w:rsidRPr="0062347D">
        <w:rPr>
          <w:rFonts w:cstheme="minorHAnsi"/>
          <w:szCs w:val="24"/>
        </w:rPr>
        <w:t xml:space="preserve"> a CD8</w:t>
      </w:r>
      <w:r w:rsidRPr="0062347D">
        <w:rPr>
          <w:rFonts w:cstheme="minorHAnsi"/>
          <w:szCs w:val="24"/>
          <w:vertAlign w:val="superscript"/>
        </w:rPr>
        <w:t>+</w:t>
      </w:r>
      <w:r w:rsidRPr="0062347D">
        <w:rPr>
          <w:rFonts w:cstheme="minorHAnsi"/>
          <w:szCs w:val="24"/>
        </w:rPr>
        <w:t xml:space="preserve"> T-lymfocytů a jejich poměru u pacientů se sarkoidózou a ostatními intersticiálními plicními nemocemi</w:t>
      </w:r>
      <w:bookmarkEnd w:id="45"/>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Porovnávali jsme T-lymfocytární subpopulace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a poměr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v bronchoalveolární laváži u čtyř stádií pacientů s plicní sarkoidózou s ostatními intersticiálními plicními nemocemi u pacientů nekuřáků. Po FDR korekci p</w:t>
      </w:r>
      <w:r>
        <w:rPr>
          <w:rFonts w:cstheme="minorHAnsi"/>
          <w:sz w:val="24"/>
          <w:szCs w:val="24"/>
        </w:rPr>
        <w:t> </w:t>
      </w:r>
      <w:r w:rsidRPr="0062347D">
        <w:rPr>
          <w:rFonts w:cstheme="minorHAnsi"/>
          <w:sz w:val="24"/>
          <w:szCs w:val="24"/>
        </w:rPr>
        <w:t>hodnot, jsme pozorovali rozdíly mezi pacienty s Löfgrenovým syndromem a pacienty v rentgenologickém (RTG) stádiu ≥</w:t>
      </w:r>
      <w:r>
        <w:rPr>
          <w:rFonts w:cstheme="minorHAnsi"/>
          <w:sz w:val="24"/>
          <w:szCs w:val="24"/>
        </w:rPr>
        <w:t> </w:t>
      </w:r>
      <w:r w:rsidRPr="0062347D">
        <w:rPr>
          <w:rFonts w:cstheme="minorHAnsi"/>
          <w:sz w:val="24"/>
          <w:szCs w:val="24"/>
        </w:rPr>
        <w:t>3. Pacienti s Löfgrenovým syndromem měli zvýšené relativní počty CD3</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 xml:space="preserve">+ </w:t>
      </w:r>
      <w:r w:rsidRPr="0062347D">
        <w:rPr>
          <w:rFonts w:cstheme="minorHAnsi"/>
          <w:sz w:val="24"/>
          <w:szCs w:val="24"/>
        </w:rPr>
        <w:t>buněk, a vyšší poměr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sz w:val="24"/>
          <w:szCs w:val="24"/>
        </w:rPr>
        <w:t>než pacienti s RTG stádiem ≥</w:t>
      </w:r>
      <w:r>
        <w:rPr>
          <w:rFonts w:cstheme="minorHAnsi"/>
          <w:sz w:val="24"/>
          <w:szCs w:val="24"/>
        </w:rPr>
        <w:t> </w:t>
      </w:r>
      <w:r w:rsidRPr="0062347D">
        <w:rPr>
          <w:rFonts w:cstheme="minorHAnsi"/>
          <w:sz w:val="24"/>
          <w:szCs w:val="24"/>
        </w:rPr>
        <w:t>3 (</w:t>
      </w:r>
      <w:r w:rsidRPr="0062347D">
        <w:rPr>
          <w:rFonts w:cstheme="minorHAnsi"/>
          <w:b/>
          <w:sz w:val="24"/>
          <w:szCs w:val="24"/>
        </w:rPr>
        <w:t>Obrázek 4a,</w:t>
      </w:r>
      <w:r>
        <w:rPr>
          <w:rFonts w:cstheme="minorHAnsi"/>
          <w:b/>
          <w:sz w:val="24"/>
          <w:szCs w:val="24"/>
        </w:rPr>
        <w:t xml:space="preserve"> </w:t>
      </w:r>
      <w:r w:rsidRPr="0062347D">
        <w:rPr>
          <w:rFonts w:cstheme="minorHAnsi"/>
          <w:b/>
          <w:sz w:val="24"/>
          <w:szCs w:val="24"/>
        </w:rPr>
        <w:t>4b,</w:t>
      </w:r>
      <w:r>
        <w:rPr>
          <w:rFonts w:cstheme="minorHAnsi"/>
          <w:b/>
          <w:sz w:val="24"/>
          <w:szCs w:val="24"/>
        </w:rPr>
        <w:t xml:space="preserve"> </w:t>
      </w:r>
      <w:r w:rsidRPr="0062347D">
        <w:rPr>
          <w:rFonts w:cstheme="minorHAnsi"/>
          <w:b/>
          <w:sz w:val="24"/>
          <w:szCs w:val="24"/>
        </w:rPr>
        <w:t>4d</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Rozdíly v relativních počtech CD3</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T-lymfocytů a poměru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sz w:val="24"/>
          <w:szCs w:val="24"/>
        </w:rPr>
        <w:t>byly zaznamenány u tří skupin pacientů se sarkoidózou s/bez Löfgrenova syndromu s RTG stádiem ≤</w:t>
      </w:r>
      <w:r>
        <w:rPr>
          <w:rFonts w:cstheme="minorHAnsi"/>
          <w:sz w:val="24"/>
          <w:szCs w:val="24"/>
        </w:rPr>
        <w:t> </w:t>
      </w:r>
      <w:r w:rsidRPr="0062347D">
        <w:rPr>
          <w:rFonts w:cstheme="minorHAnsi"/>
          <w:sz w:val="24"/>
          <w:szCs w:val="24"/>
        </w:rPr>
        <w:t>1 a pacienty se sarkoidózou s RTG stádiem 2 v porovnání se skupinami s idiopatickou plicní fibrózou (IPF), ostatními idiopatickými intersticiálními pneumoniemi (OIIP) a hypersenzitivní pneumonií (</w:t>
      </w:r>
      <w:proofErr w:type="gramStart"/>
      <w:r w:rsidRPr="0062347D">
        <w:rPr>
          <w:rFonts w:cstheme="minorHAnsi"/>
          <w:sz w:val="24"/>
          <w:szCs w:val="24"/>
        </w:rPr>
        <w:t>HP) (</w:t>
      </w:r>
      <w:r w:rsidRPr="0062347D">
        <w:rPr>
          <w:rFonts w:cstheme="minorHAnsi"/>
          <w:b/>
          <w:sz w:val="24"/>
          <w:szCs w:val="24"/>
        </w:rPr>
        <w:t>Obrázek</w:t>
      </w:r>
      <w:proofErr w:type="gramEnd"/>
      <w:r w:rsidRPr="0062347D">
        <w:rPr>
          <w:rFonts w:cstheme="minorHAnsi"/>
          <w:b/>
          <w:sz w:val="24"/>
          <w:szCs w:val="24"/>
        </w:rPr>
        <w:t xml:space="preserve"> 4a-d</w:t>
      </w:r>
      <w:r w:rsidRPr="0062347D">
        <w:rPr>
          <w:rFonts w:cstheme="minorHAnsi"/>
          <w:sz w:val="24"/>
          <w:szCs w:val="24"/>
        </w:rPr>
        <w:t>).</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Porovnání pacientů s pokročilým stádiem sarkoidózy, RTG stádium ≥</w:t>
      </w:r>
      <w:r>
        <w:rPr>
          <w:rFonts w:cstheme="minorHAnsi"/>
          <w:sz w:val="24"/>
          <w:szCs w:val="24"/>
        </w:rPr>
        <w:t> </w:t>
      </w:r>
      <w:r w:rsidRPr="0062347D">
        <w:rPr>
          <w:rFonts w:cstheme="minorHAnsi"/>
          <w:sz w:val="24"/>
          <w:szCs w:val="24"/>
        </w:rPr>
        <w:t>3 se skupinou s IPF neukázalo žádné rozdíly v relativních počtech CD3</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T-lymfocytů a</w:t>
      </w:r>
      <w:r>
        <w:rPr>
          <w:rFonts w:cstheme="minorHAnsi"/>
          <w:sz w:val="24"/>
          <w:szCs w:val="24"/>
        </w:rPr>
        <w:t> </w:t>
      </w:r>
      <w:r w:rsidRPr="0062347D">
        <w:rPr>
          <w:rFonts w:cstheme="minorHAnsi"/>
          <w:sz w:val="24"/>
          <w:szCs w:val="24"/>
        </w:rPr>
        <w:t>poměru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sz w:val="24"/>
          <w:szCs w:val="24"/>
        </w:rPr>
        <w:t>T-lymfocytů. Pokročilé stádium sarkoidózy ukázalo nárůst relativních počtů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 xml:space="preserve">+ </w:t>
      </w:r>
      <w:r w:rsidRPr="0062347D">
        <w:rPr>
          <w:rFonts w:cstheme="minorHAnsi"/>
          <w:sz w:val="24"/>
          <w:szCs w:val="24"/>
        </w:rPr>
        <w:t>T-lymfocytů a zvýšený poměr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v porovnání s OIIP skupinou (</w:t>
      </w:r>
      <w:r w:rsidRPr="0062347D">
        <w:rPr>
          <w:rFonts w:cstheme="minorHAnsi"/>
          <w:b/>
          <w:sz w:val="24"/>
          <w:szCs w:val="24"/>
        </w:rPr>
        <w:t>Obrázek 4b, 4d</w:t>
      </w:r>
      <w:r w:rsidRPr="0062347D">
        <w:rPr>
          <w:rFonts w:cstheme="minorHAnsi"/>
          <w:sz w:val="24"/>
          <w:szCs w:val="24"/>
        </w:rPr>
        <w:t>). U skupiny sarkoidózy s pokročilým stádiem RTG ≥</w:t>
      </w:r>
      <w:r w:rsidR="005F39D1">
        <w:rPr>
          <w:rFonts w:cstheme="minorHAnsi"/>
          <w:sz w:val="24"/>
          <w:szCs w:val="24"/>
        </w:rPr>
        <w:t> </w:t>
      </w:r>
      <w:r w:rsidRPr="0062347D">
        <w:rPr>
          <w:rFonts w:cstheme="minorHAnsi"/>
          <w:sz w:val="24"/>
          <w:szCs w:val="24"/>
        </w:rPr>
        <w:t>3 byly nalezeny zvýšené relativní počty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xml:space="preserve"> T-lymfocytů a poměr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sz w:val="24"/>
          <w:szCs w:val="24"/>
        </w:rPr>
        <w:t>T-lymfocytů v porovnání s pacienty s HP (</w:t>
      </w:r>
      <w:r w:rsidRPr="0062347D">
        <w:rPr>
          <w:rFonts w:cstheme="minorHAnsi"/>
          <w:b/>
          <w:sz w:val="24"/>
          <w:szCs w:val="24"/>
        </w:rPr>
        <w:t>Obrázek 4b, 4d</w:t>
      </w:r>
      <w:r w:rsidRPr="0062347D">
        <w:rPr>
          <w:rFonts w:cstheme="minorHAnsi"/>
          <w:sz w:val="24"/>
          <w:szCs w:val="24"/>
        </w:rPr>
        <w:t>). Dále pacienti s pokročilým stádiem plicní sarkoidózy měli snížené relativní počty 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sz w:val="24"/>
          <w:szCs w:val="24"/>
        </w:rPr>
        <w:t>T-lymfocytů v porovnání ke skupině s</w:t>
      </w:r>
      <w:r>
        <w:rPr>
          <w:rFonts w:cstheme="minorHAnsi"/>
          <w:sz w:val="24"/>
          <w:szCs w:val="24"/>
        </w:rPr>
        <w:t> </w:t>
      </w:r>
      <w:r w:rsidRPr="0062347D">
        <w:rPr>
          <w:rFonts w:cstheme="minorHAnsi"/>
          <w:sz w:val="24"/>
          <w:szCs w:val="24"/>
        </w:rPr>
        <w:t>HP (</w:t>
      </w:r>
      <w:r w:rsidRPr="0062347D">
        <w:rPr>
          <w:rFonts w:cstheme="minorHAnsi"/>
          <w:b/>
          <w:sz w:val="24"/>
          <w:szCs w:val="24"/>
        </w:rPr>
        <w:t>Obrázek 4c</w:t>
      </w:r>
      <w:r w:rsidRPr="0062347D">
        <w:rPr>
          <w:rFonts w:cstheme="minorHAnsi"/>
          <w:sz w:val="24"/>
          <w:szCs w:val="24"/>
        </w:rPr>
        <w:t>). Data jsou vyjádřena jako krabicový graf (boxplot), který vyznačuje 25. až 75. percentil. Medián je vyznačen jako vodorovná spojnice v grafu. Dále krabicový graf zobrazuje minimální a maximální hodnotu v souboru.</w:t>
      </w:r>
      <w:r w:rsidR="00226812">
        <w:rPr>
          <w:rFonts w:cstheme="minorHAnsi"/>
          <w:sz w:val="24"/>
          <w:szCs w:val="24"/>
        </w:rPr>
        <w:t xml:space="preserve"> </w:t>
      </w:r>
      <w:r w:rsidRPr="0062347D">
        <w:rPr>
          <w:rFonts w:cstheme="minorHAnsi"/>
          <w:sz w:val="24"/>
          <w:szCs w:val="24"/>
        </w:rPr>
        <w:t xml:space="preserve">Výsledky subanalýzy </w:t>
      </w:r>
      <w:r w:rsidR="005F39D1">
        <w:rPr>
          <w:rFonts w:cstheme="minorHAnsi"/>
          <w:sz w:val="24"/>
          <w:szCs w:val="24"/>
        </w:rPr>
        <w:t>BA</w:t>
      </w:r>
      <w:r w:rsidRPr="0062347D">
        <w:rPr>
          <w:rFonts w:cstheme="minorHAnsi"/>
          <w:sz w:val="24"/>
          <w:szCs w:val="24"/>
        </w:rPr>
        <w:t xml:space="preserve">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xml:space="preserve"> a 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T-lymfocytů a ostatních buněčných populací u pacientů kuřáků a nekuřáků jsou uvedeny v kapitole </w:t>
      </w:r>
      <w:proofErr w:type="gramStart"/>
      <w:r w:rsidRPr="0062347D">
        <w:rPr>
          <w:rFonts w:cstheme="minorHAnsi"/>
          <w:b/>
          <w:sz w:val="24"/>
          <w:szCs w:val="24"/>
        </w:rPr>
        <w:t>H.1.</w:t>
      </w:r>
      <w:proofErr w:type="gramEnd"/>
      <w:r w:rsidRPr="0062347D">
        <w:rPr>
          <w:rFonts w:cstheme="minorHAnsi"/>
          <w:b/>
          <w:sz w:val="24"/>
          <w:szCs w:val="24"/>
        </w:rPr>
        <w:t xml:space="preserve"> Příloha v Tabulkách 1 </w:t>
      </w:r>
      <w:r w:rsidR="00226812">
        <w:rPr>
          <w:rFonts w:cstheme="minorHAnsi"/>
          <w:b/>
          <w:sz w:val="24"/>
          <w:szCs w:val="24"/>
        </w:rPr>
        <w:t>a</w:t>
      </w:r>
      <w:r>
        <w:rPr>
          <w:rFonts w:cstheme="minorHAnsi"/>
          <w:b/>
          <w:sz w:val="24"/>
          <w:szCs w:val="24"/>
        </w:rPr>
        <w:t> </w:t>
      </w:r>
      <w:r w:rsidRPr="0062347D">
        <w:rPr>
          <w:rFonts w:cstheme="minorHAnsi"/>
          <w:b/>
          <w:sz w:val="24"/>
          <w:szCs w:val="24"/>
        </w:rPr>
        <w:t>2</w:t>
      </w:r>
      <w:r w:rsidRPr="0062347D">
        <w:rPr>
          <w:rFonts w:cstheme="minorHAnsi"/>
          <w:sz w:val="24"/>
          <w:szCs w:val="24"/>
        </w:rPr>
        <w:t>.</w:t>
      </w:r>
      <w:r w:rsidR="005F39D1">
        <w:rPr>
          <w:rFonts w:cstheme="minorHAnsi"/>
          <w:sz w:val="24"/>
          <w:szCs w:val="24"/>
        </w:rPr>
        <w:t xml:space="preserve"> Nebyly nalezeny rozdíly v </w:t>
      </w:r>
      <w:r w:rsidR="005F39D1" w:rsidRPr="0062347D">
        <w:rPr>
          <w:rFonts w:cstheme="minorHAnsi"/>
          <w:sz w:val="24"/>
          <w:szCs w:val="24"/>
        </w:rPr>
        <w:t>CD3</w:t>
      </w:r>
      <w:r w:rsidR="005F39D1" w:rsidRPr="0062347D">
        <w:rPr>
          <w:rFonts w:cstheme="minorHAnsi"/>
          <w:sz w:val="24"/>
          <w:szCs w:val="24"/>
          <w:vertAlign w:val="superscript"/>
        </w:rPr>
        <w:t>+</w:t>
      </w:r>
      <w:r w:rsidR="005F39D1" w:rsidRPr="0062347D">
        <w:rPr>
          <w:rFonts w:cstheme="minorHAnsi"/>
          <w:sz w:val="24"/>
          <w:szCs w:val="24"/>
        </w:rPr>
        <w:t>CD4</w:t>
      </w:r>
      <w:r w:rsidR="005F39D1" w:rsidRPr="0062347D">
        <w:rPr>
          <w:rFonts w:cstheme="minorHAnsi"/>
          <w:sz w:val="24"/>
          <w:szCs w:val="24"/>
          <w:vertAlign w:val="superscript"/>
        </w:rPr>
        <w:t>+</w:t>
      </w:r>
      <w:r w:rsidR="005F39D1" w:rsidRPr="0062347D">
        <w:rPr>
          <w:rFonts w:cstheme="minorHAnsi"/>
          <w:sz w:val="24"/>
          <w:szCs w:val="24"/>
        </w:rPr>
        <w:t xml:space="preserve"> a CD3</w:t>
      </w:r>
      <w:r w:rsidR="005F39D1" w:rsidRPr="0062347D">
        <w:rPr>
          <w:rFonts w:cstheme="minorHAnsi"/>
          <w:sz w:val="24"/>
          <w:szCs w:val="24"/>
          <w:vertAlign w:val="superscript"/>
        </w:rPr>
        <w:t>+</w:t>
      </w:r>
      <w:r w:rsidR="005F39D1" w:rsidRPr="0062347D">
        <w:rPr>
          <w:rFonts w:cstheme="minorHAnsi"/>
          <w:sz w:val="24"/>
          <w:szCs w:val="24"/>
        </w:rPr>
        <w:t>CD8</w:t>
      </w:r>
      <w:r w:rsidR="005F39D1" w:rsidRPr="0062347D">
        <w:rPr>
          <w:rFonts w:cstheme="minorHAnsi"/>
          <w:sz w:val="24"/>
          <w:szCs w:val="24"/>
          <w:vertAlign w:val="superscript"/>
        </w:rPr>
        <w:t>+</w:t>
      </w:r>
      <w:r w:rsidR="00226812">
        <w:rPr>
          <w:rFonts w:cstheme="minorHAnsi"/>
          <w:sz w:val="24"/>
          <w:szCs w:val="24"/>
        </w:rPr>
        <w:t xml:space="preserve"> T-lymfocytech a jejich poměr</w:t>
      </w:r>
      <w:r w:rsidR="005F39D1">
        <w:rPr>
          <w:rFonts w:cstheme="minorHAnsi"/>
          <w:sz w:val="24"/>
          <w:szCs w:val="24"/>
        </w:rPr>
        <w:t>u mezi kuřáky a nekuřáky.</w:t>
      </w:r>
    </w:p>
    <w:p w:rsidR="008F0C0F" w:rsidRPr="004E5649" w:rsidRDefault="008F0C0F" w:rsidP="00284F89">
      <w:pPr>
        <w:spacing w:line="360" w:lineRule="auto"/>
        <w:ind w:firstLine="709"/>
        <w:rPr>
          <w:rFonts w:cstheme="minorHAnsi"/>
          <w:b/>
          <w:sz w:val="24"/>
          <w:szCs w:val="24"/>
        </w:rPr>
      </w:pPr>
      <w:r w:rsidRPr="0062347D">
        <w:rPr>
          <w:rFonts w:cstheme="minorHAnsi"/>
          <w:noProof/>
          <w:sz w:val="24"/>
          <w:szCs w:val="24"/>
          <w:lang w:eastAsia="cs-CZ"/>
        </w:rPr>
        <w:lastRenderedPageBreak/>
        <w:drawing>
          <wp:anchor distT="0" distB="0" distL="114300" distR="114300" simplePos="0" relativeHeight="251662336" behindDoc="1" locked="0" layoutInCell="1" allowOverlap="1" wp14:anchorId="014221EA" wp14:editId="611BC394">
            <wp:simplePos x="0" y="0"/>
            <wp:positionH relativeFrom="column">
              <wp:posOffset>-11430</wp:posOffset>
            </wp:positionH>
            <wp:positionV relativeFrom="paragraph">
              <wp:posOffset>481330</wp:posOffset>
            </wp:positionV>
            <wp:extent cx="5760720" cy="7422515"/>
            <wp:effectExtent l="0" t="0" r="0" b="6985"/>
            <wp:wrapTight wrapText="bothSides">
              <wp:wrapPolygon edited="0">
                <wp:start x="0" y="0"/>
                <wp:lineTo x="0" y="21565"/>
                <wp:lineTo x="21500" y="21565"/>
                <wp:lineTo x="2150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y 1 český jaz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22515"/>
                    </a:xfrm>
                    <a:prstGeom prst="rect">
                      <a:avLst/>
                    </a:prstGeom>
                  </pic:spPr>
                </pic:pic>
              </a:graphicData>
            </a:graphic>
            <wp14:sizeRelH relativeFrom="page">
              <wp14:pctWidth>0</wp14:pctWidth>
            </wp14:sizeRelH>
            <wp14:sizeRelV relativeFrom="page">
              <wp14:pctHeight>0</wp14:pctHeight>
            </wp14:sizeRelV>
          </wp:anchor>
        </w:drawing>
      </w:r>
      <w:r w:rsidRPr="0062347D">
        <w:rPr>
          <w:rFonts w:cstheme="minorHAnsi"/>
          <w:b/>
          <w:sz w:val="24"/>
          <w:szCs w:val="24"/>
        </w:rPr>
        <w:t xml:space="preserve">Obrázek </w:t>
      </w:r>
      <w:r w:rsidRPr="00E663BF">
        <w:rPr>
          <w:rFonts w:cstheme="minorHAnsi"/>
          <w:b/>
          <w:sz w:val="24"/>
          <w:szCs w:val="24"/>
        </w:rPr>
        <w:t>4</w:t>
      </w:r>
      <w:r w:rsidRPr="004E5649">
        <w:rPr>
          <w:rFonts w:cstheme="minorHAnsi"/>
          <w:b/>
          <w:sz w:val="24"/>
          <w:szCs w:val="24"/>
        </w:rPr>
        <w:t xml:space="preserve">a-d: </w:t>
      </w:r>
      <w:r w:rsidRPr="004E5649">
        <w:rPr>
          <w:rFonts w:cstheme="minorHAnsi"/>
          <w:sz w:val="24"/>
          <w:szCs w:val="24"/>
        </w:rPr>
        <w:t>Porovnání relativních počtů subpopulací T-lymfocytů u</w:t>
      </w:r>
      <w:r w:rsidRPr="004E5649">
        <w:rPr>
          <w:rFonts w:cstheme="minorHAnsi"/>
          <w:b/>
          <w:sz w:val="24"/>
          <w:szCs w:val="24"/>
        </w:rPr>
        <w:t xml:space="preserve"> </w:t>
      </w:r>
      <w:r w:rsidRPr="004E5649">
        <w:rPr>
          <w:rFonts w:cstheme="minorHAnsi"/>
          <w:sz w:val="24"/>
          <w:szCs w:val="24"/>
        </w:rPr>
        <w:t>intersticiálních plicních onemocnění.</w:t>
      </w:r>
    </w:p>
    <w:p w:rsidR="008F0C0F" w:rsidRPr="0062347D" w:rsidRDefault="008F0C0F" w:rsidP="00284F89">
      <w:pPr>
        <w:spacing w:line="360" w:lineRule="auto"/>
        <w:ind w:firstLine="709"/>
        <w:jc w:val="both"/>
        <w:rPr>
          <w:rFonts w:cstheme="minorHAnsi"/>
          <w:sz w:val="24"/>
          <w:szCs w:val="24"/>
        </w:rPr>
      </w:pPr>
      <w:r w:rsidRPr="00B24D8C">
        <w:rPr>
          <w:rFonts w:cstheme="minorHAnsi"/>
          <w:b/>
          <w:sz w:val="24"/>
          <w:szCs w:val="24"/>
        </w:rPr>
        <w:t>Legenda k obr</w:t>
      </w:r>
      <w:r w:rsidRPr="0062347D">
        <w:rPr>
          <w:rFonts w:cstheme="minorHAnsi"/>
          <w:b/>
          <w:sz w:val="24"/>
          <w:szCs w:val="24"/>
        </w:rPr>
        <w:t>ázku 4a-d:</w:t>
      </w:r>
      <w:r w:rsidRPr="0062347D">
        <w:rPr>
          <w:rFonts w:cstheme="minorHAnsi"/>
          <w:sz w:val="24"/>
          <w:szCs w:val="24"/>
        </w:rPr>
        <w:t xml:space="preserve"> S</w:t>
      </w:r>
      <w:r>
        <w:rPr>
          <w:rFonts w:cstheme="minorHAnsi"/>
          <w:sz w:val="24"/>
          <w:szCs w:val="24"/>
        </w:rPr>
        <w:t xml:space="preserve"> </w:t>
      </w:r>
      <w:r w:rsidRPr="0062347D">
        <w:rPr>
          <w:rFonts w:cstheme="minorHAnsi"/>
          <w:sz w:val="24"/>
          <w:szCs w:val="24"/>
        </w:rPr>
        <w:t>= sarkoidóza; LS</w:t>
      </w:r>
      <w:r>
        <w:rPr>
          <w:rFonts w:cstheme="minorHAnsi"/>
          <w:sz w:val="24"/>
          <w:szCs w:val="24"/>
        </w:rPr>
        <w:t xml:space="preserve"> </w:t>
      </w:r>
      <w:r w:rsidRPr="0062347D">
        <w:rPr>
          <w:rFonts w:cstheme="minorHAnsi"/>
          <w:sz w:val="24"/>
          <w:szCs w:val="24"/>
        </w:rPr>
        <w:t>= Löfgrenův syndrom; RTG</w:t>
      </w:r>
      <w:r>
        <w:rPr>
          <w:rFonts w:cstheme="minorHAnsi"/>
          <w:sz w:val="24"/>
          <w:szCs w:val="24"/>
        </w:rPr>
        <w:t xml:space="preserve"> </w:t>
      </w:r>
      <w:r w:rsidRPr="0062347D">
        <w:rPr>
          <w:rFonts w:cstheme="minorHAnsi"/>
          <w:sz w:val="24"/>
          <w:szCs w:val="24"/>
        </w:rPr>
        <w:t>= rentgenologické stádium, IPF</w:t>
      </w:r>
      <w:r>
        <w:rPr>
          <w:rFonts w:cstheme="minorHAnsi"/>
          <w:sz w:val="24"/>
          <w:szCs w:val="24"/>
        </w:rPr>
        <w:t xml:space="preserve"> </w:t>
      </w:r>
      <w:r w:rsidRPr="0062347D">
        <w:rPr>
          <w:rFonts w:cstheme="minorHAnsi"/>
          <w:sz w:val="24"/>
          <w:szCs w:val="24"/>
        </w:rPr>
        <w:t>= Idiopatická Plicní Fibróza, OIIP</w:t>
      </w:r>
      <w:r>
        <w:rPr>
          <w:rFonts w:cstheme="minorHAnsi"/>
          <w:sz w:val="24"/>
          <w:szCs w:val="24"/>
        </w:rPr>
        <w:t xml:space="preserve"> </w:t>
      </w:r>
      <w:r w:rsidRPr="0062347D">
        <w:rPr>
          <w:rFonts w:cstheme="minorHAnsi"/>
          <w:sz w:val="24"/>
          <w:szCs w:val="24"/>
        </w:rPr>
        <w:t>= Ostatní Idiopatická Intersticiální Pneumonie; HP</w:t>
      </w:r>
      <w:r>
        <w:rPr>
          <w:rFonts w:cstheme="minorHAnsi"/>
          <w:sz w:val="24"/>
          <w:szCs w:val="24"/>
        </w:rPr>
        <w:t xml:space="preserve"> </w:t>
      </w:r>
      <w:r w:rsidRPr="0062347D">
        <w:rPr>
          <w:rFonts w:cstheme="minorHAnsi"/>
          <w:sz w:val="24"/>
          <w:szCs w:val="24"/>
        </w:rPr>
        <w:t>= Hypersenzitivní Pneumonie,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0,0001.</w:t>
      </w:r>
      <w:r w:rsidRPr="0062347D">
        <w:rPr>
          <w:rFonts w:cstheme="minorHAnsi"/>
          <w:sz w:val="24"/>
          <w:szCs w:val="24"/>
        </w:rPr>
        <w:br w:type="page"/>
      </w:r>
    </w:p>
    <w:p w:rsidR="008F0C0F" w:rsidRPr="0062347D" w:rsidRDefault="008F0C0F" w:rsidP="00284F89">
      <w:pPr>
        <w:pStyle w:val="Nadpis2"/>
        <w:jc w:val="both"/>
        <w:rPr>
          <w:rFonts w:cstheme="minorHAnsi"/>
          <w:szCs w:val="24"/>
        </w:rPr>
      </w:pPr>
      <w:bookmarkStart w:id="46" w:name="_Toc69543037"/>
      <w:r w:rsidRPr="0062347D">
        <w:rPr>
          <w:rFonts w:cstheme="minorHAnsi"/>
          <w:szCs w:val="24"/>
        </w:rPr>
        <w:lastRenderedPageBreak/>
        <w:t>Výsledky studia exprese RNA-vazebných proteinů a inhibitorů matrix metaloproteináz (MMP) u pacientů s plicní sarkoidózou</w:t>
      </w:r>
      <w:bookmarkEnd w:id="46"/>
    </w:p>
    <w:p w:rsidR="008F0C0F" w:rsidRPr="0062347D" w:rsidRDefault="008F0C0F" w:rsidP="00284F89">
      <w:pPr>
        <w:pStyle w:val="Nadpis3"/>
        <w:jc w:val="both"/>
        <w:rPr>
          <w:rFonts w:cstheme="minorHAnsi"/>
          <w:szCs w:val="24"/>
        </w:rPr>
      </w:pPr>
      <w:bookmarkStart w:id="47" w:name="_Toc69543038"/>
      <w:r w:rsidRPr="0062347D">
        <w:rPr>
          <w:rFonts w:cstheme="minorHAnsi"/>
          <w:szCs w:val="24"/>
        </w:rPr>
        <w:t>Výsledky porovnání bronchoalveolární mRNA exprese RNA-vazebných proteinů a</w:t>
      </w:r>
      <w:r>
        <w:rPr>
          <w:rFonts w:cstheme="minorHAnsi"/>
          <w:szCs w:val="24"/>
        </w:rPr>
        <w:t> </w:t>
      </w:r>
      <w:r w:rsidRPr="0062347D">
        <w:rPr>
          <w:rFonts w:cstheme="minorHAnsi"/>
          <w:szCs w:val="24"/>
        </w:rPr>
        <w:t>inhibitorů MMP u pacientů s plicní sarkoidózou v porovnání se zdravými kontrolami</w:t>
      </w:r>
      <w:bookmarkEnd w:id="47"/>
    </w:p>
    <w:p w:rsidR="008F0C0F" w:rsidRPr="0062347D" w:rsidRDefault="008F0C0F" w:rsidP="00284F89">
      <w:pPr>
        <w:spacing w:after="0"/>
        <w:jc w:val="both"/>
        <w:rPr>
          <w:rFonts w:cstheme="minorHAnsi"/>
          <w:sz w:val="24"/>
          <w:szCs w:val="24"/>
        </w:rPr>
      </w:pPr>
    </w:p>
    <w:p w:rsidR="008F0C0F" w:rsidRPr="0062347D" w:rsidRDefault="008F0C0F" w:rsidP="00284F89">
      <w:pPr>
        <w:spacing w:after="0" w:line="360" w:lineRule="auto"/>
        <w:ind w:firstLine="708"/>
        <w:jc w:val="both"/>
        <w:rPr>
          <w:rFonts w:cstheme="minorHAnsi"/>
          <w:sz w:val="24"/>
          <w:szCs w:val="24"/>
        </w:rPr>
      </w:pPr>
      <w:r w:rsidRPr="0062347D">
        <w:rPr>
          <w:rFonts w:cstheme="minorHAnsi"/>
          <w:sz w:val="24"/>
          <w:szCs w:val="24"/>
        </w:rPr>
        <w:t>Po Kruskal-Wallisově testu byly čtyři skupiny pacientů a skupina zdravých kontrol porovnány Dunnovým testem mnohonásobného porovnání. Analýza zahrnovala subjekty bez ohledu na kouření a ukázala signifikantní pokles relativní exprese AUF1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HuR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TIA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TIAR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 NCL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a inhibitoru MMP RECK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v</w:t>
      </w:r>
      <w:r>
        <w:rPr>
          <w:rFonts w:cstheme="minorHAnsi"/>
          <w:sz w:val="24"/>
          <w:szCs w:val="24"/>
        </w:rPr>
        <w:t> </w:t>
      </w:r>
      <w:proofErr w:type="gramStart"/>
      <w:r w:rsidRPr="0062347D">
        <w:rPr>
          <w:rFonts w:cstheme="minorHAnsi"/>
          <w:sz w:val="24"/>
          <w:szCs w:val="24"/>
        </w:rPr>
        <w:t>BAL</w:t>
      </w:r>
      <w:proofErr w:type="gramEnd"/>
      <w:r w:rsidRPr="0062347D">
        <w:rPr>
          <w:rFonts w:cstheme="minorHAnsi"/>
          <w:sz w:val="24"/>
          <w:szCs w:val="24"/>
        </w:rPr>
        <w:t xml:space="preserve"> buňkách u pacientů s plicní sarkoidózou v porovnání se zdravými kontrolami (</w:t>
      </w:r>
      <w:r w:rsidRPr="0062347D">
        <w:rPr>
          <w:rFonts w:cstheme="minorHAnsi"/>
          <w:b/>
          <w:sz w:val="24"/>
          <w:szCs w:val="24"/>
        </w:rPr>
        <w:t>Obrázek 5, Tabulka 8</w:t>
      </w:r>
      <w:r w:rsidRPr="0062347D">
        <w:rPr>
          <w:rFonts w:cstheme="minorHAnsi"/>
          <w:sz w:val="24"/>
          <w:szCs w:val="24"/>
        </w:rPr>
        <w:t>).</w:t>
      </w:r>
      <w:r w:rsidRPr="0062347D">
        <w:rPr>
          <w:rFonts w:cstheme="minorHAnsi"/>
          <w:b/>
          <w:sz w:val="24"/>
          <w:szCs w:val="24"/>
        </w:rPr>
        <w:t xml:space="preserve"> </w:t>
      </w:r>
      <w:r w:rsidRPr="0062347D">
        <w:rPr>
          <w:rFonts w:cstheme="minorHAnsi"/>
          <w:sz w:val="24"/>
          <w:szCs w:val="24"/>
        </w:rPr>
        <w:t>Relativní mRNA exprese genu PTEN se nelišila mezi pacienty s plicní sarkoidózou a zdravými kontrolami. Nebyl nalezen žádný rozdíl v expresi RNA-vazebných proteinů a ani u inhibitorů MMP (RECK, PTEN) mezi pacienty s plicní sarkoidózou v rentgenologickém stádiu 1 a stádiu 2 (p</w:t>
      </w:r>
      <w:r>
        <w:rPr>
          <w:rFonts w:cstheme="minorHAnsi"/>
          <w:sz w:val="24"/>
          <w:szCs w:val="24"/>
        </w:rPr>
        <w:t> </w:t>
      </w:r>
      <w:r w:rsidRPr="0062347D">
        <w:rPr>
          <w:rFonts w:cstheme="minorHAnsi"/>
          <w:sz w:val="24"/>
          <w:szCs w:val="24"/>
        </w:rPr>
        <w:t>&gt;</w:t>
      </w:r>
      <w:r>
        <w:rPr>
          <w:rFonts w:cstheme="minorHAnsi"/>
          <w:sz w:val="24"/>
          <w:szCs w:val="24"/>
        </w:rPr>
        <w:t> </w:t>
      </w:r>
      <w:r w:rsidRPr="0062347D">
        <w:rPr>
          <w:rFonts w:cstheme="minorHAnsi"/>
          <w:sz w:val="24"/>
          <w:szCs w:val="24"/>
        </w:rPr>
        <w:t>0,05). Subanalýza u subjektů, které nikdy nekouřily, ukázala, že relativní mRNA exprese genů AUF1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TIA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NCL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0,01) a RECK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 byla snížená u pacientů se sarkoidózou v</w:t>
      </w:r>
      <w:r>
        <w:rPr>
          <w:rFonts w:cstheme="minorHAnsi"/>
          <w:sz w:val="24"/>
          <w:szCs w:val="24"/>
        </w:rPr>
        <w:t> </w:t>
      </w:r>
      <w:r w:rsidRPr="0062347D">
        <w:rPr>
          <w:rFonts w:cstheme="minorHAnsi"/>
          <w:sz w:val="24"/>
          <w:szCs w:val="24"/>
        </w:rPr>
        <w:t>porovnání se zdravými kontrolami (</w:t>
      </w:r>
      <w:r w:rsidRPr="0062347D">
        <w:rPr>
          <w:rFonts w:cstheme="minorHAnsi"/>
          <w:b/>
          <w:sz w:val="24"/>
          <w:szCs w:val="24"/>
        </w:rPr>
        <w:t>Obrázek 5</w:t>
      </w:r>
      <w:r w:rsidRPr="0062347D">
        <w:rPr>
          <w:rFonts w:cstheme="minorHAnsi"/>
          <w:sz w:val="24"/>
          <w:szCs w:val="24"/>
        </w:rPr>
        <w:t xml:space="preserve">, </w:t>
      </w:r>
      <w:r w:rsidRPr="0062347D">
        <w:rPr>
          <w:rFonts w:cstheme="minorHAnsi"/>
          <w:b/>
          <w:sz w:val="24"/>
          <w:szCs w:val="24"/>
        </w:rPr>
        <w:t>Tabulka 8</w:t>
      </w:r>
      <w:r w:rsidRPr="0062347D">
        <w:rPr>
          <w:rFonts w:cstheme="minorHAnsi"/>
          <w:sz w:val="24"/>
          <w:szCs w:val="24"/>
        </w:rPr>
        <w:t>).</w:t>
      </w:r>
    </w:p>
    <w:p w:rsidR="008F0C0F" w:rsidRPr="0062347D" w:rsidRDefault="008F0C0F" w:rsidP="00284F89">
      <w:pPr>
        <w:pStyle w:val="Nadpis3"/>
        <w:spacing w:after="240"/>
        <w:jc w:val="both"/>
        <w:rPr>
          <w:rFonts w:cstheme="minorHAnsi"/>
          <w:szCs w:val="24"/>
        </w:rPr>
      </w:pPr>
      <w:bookmarkStart w:id="48" w:name="_Toc69543039"/>
      <w:r w:rsidRPr="0062347D">
        <w:rPr>
          <w:rFonts w:cstheme="minorHAnsi"/>
          <w:szCs w:val="24"/>
        </w:rPr>
        <w:t>Výsledky porovnání bronchoalveolární mRNA exprese RNA-vazebných proteinů a</w:t>
      </w:r>
      <w:r>
        <w:rPr>
          <w:rFonts w:cstheme="minorHAnsi"/>
          <w:szCs w:val="24"/>
        </w:rPr>
        <w:t> </w:t>
      </w:r>
      <w:r w:rsidRPr="0062347D">
        <w:rPr>
          <w:rFonts w:cstheme="minorHAnsi"/>
          <w:szCs w:val="24"/>
        </w:rPr>
        <w:t>inhibitorů MMP u pacientů s plicní sarkoidózou, CHOPN, astmatem a IIP</w:t>
      </w:r>
      <w:bookmarkEnd w:id="48"/>
    </w:p>
    <w:p w:rsidR="008F0C0F" w:rsidRPr="0062347D" w:rsidRDefault="008F0C0F" w:rsidP="00284F89">
      <w:pPr>
        <w:autoSpaceDE w:val="0"/>
        <w:autoSpaceDN w:val="0"/>
        <w:adjustRightInd w:val="0"/>
        <w:spacing w:after="0" w:line="360" w:lineRule="auto"/>
        <w:ind w:firstLine="709"/>
        <w:jc w:val="both"/>
        <w:rPr>
          <w:rFonts w:cstheme="minorHAnsi"/>
          <w:color w:val="000000"/>
          <w:sz w:val="24"/>
          <w:szCs w:val="24"/>
        </w:rPr>
      </w:pPr>
      <w:r w:rsidRPr="0062347D">
        <w:rPr>
          <w:rFonts w:cstheme="minorHAnsi"/>
          <w:sz w:val="24"/>
          <w:szCs w:val="24"/>
        </w:rPr>
        <w:t xml:space="preserve">Bez ohledu na kouření byla vyhodnocena snížená exprese </w:t>
      </w:r>
      <w:r w:rsidRPr="0062347D">
        <w:rPr>
          <w:rFonts w:cstheme="minorHAnsi"/>
          <w:color w:val="000000"/>
          <w:sz w:val="24"/>
          <w:szCs w:val="24"/>
        </w:rPr>
        <w:t>AUF1 (p</w:t>
      </w:r>
      <w:r w:rsidRPr="0062347D">
        <w:rPr>
          <w:rFonts w:cstheme="minorHAnsi"/>
          <w:color w:val="000000"/>
          <w:sz w:val="24"/>
          <w:szCs w:val="24"/>
          <w:vertAlign w:val="subscript"/>
        </w:rPr>
        <w:t>CHOPN</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p</w:t>
      </w:r>
      <w:r w:rsidRPr="0062347D">
        <w:rPr>
          <w:rFonts w:cstheme="minorHAnsi"/>
          <w:color w:val="000000"/>
          <w:sz w:val="24"/>
          <w:szCs w:val="24"/>
          <w:vertAlign w:val="subscript"/>
        </w:rPr>
        <w:t>astma</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0,01), TIA (p</w:t>
      </w:r>
      <w:r w:rsidRPr="0062347D">
        <w:rPr>
          <w:rFonts w:cstheme="minorHAnsi"/>
          <w:color w:val="000000"/>
          <w:sz w:val="24"/>
          <w:szCs w:val="24"/>
          <w:vertAlign w:val="subscript"/>
        </w:rPr>
        <w:t>CHOPN</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p</w:t>
      </w:r>
      <w:r w:rsidRPr="0062347D">
        <w:rPr>
          <w:rFonts w:cstheme="minorHAnsi"/>
          <w:color w:val="000000"/>
          <w:sz w:val="24"/>
          <w:szCs w:val="24"/>
          <w:vertAlign w:val="subscript"/>
        </w:rPr>
        <w:t>astma</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a NCL (p</w:t>
      </w:r>
      <w:r w:rsidRPr="0062347D">
        <w:rPr>
          <w:rFonts w:cstheme="minorHAnsi"/>
          <w:color w:val="000000"/>
          <w:sz w:val="24"/>
          <w:szCs w:val="24"/>
          <w:vertAlign w:val="subscript"/>
        </w:rPr>
        <w:t>CHOPN</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p</w:t>
      </w:r>
      <w:r w:rsidRPr="0062347D">
        <w:rPr>
          <w:rFonts w:cstheme="minorHAnsi"/>
          <w:color w:val="000000"/>
          <w:sz w:val="24"/>
          <w:szCs w:val="24"/>
          <w:vertAlign w:val="subscript"/>
        </w:rPr>
        <w:t>astma</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 xml:space="preserve">0,001) v bronchoalveolárních buňkách </w:t>
      </w:r>
      <w:r w:rsidRPr="0062347D">
        <w:rPr>
          <w:rFonts w:cstheme="minorHAnsi"/>
          <w:sz w:val="24"/>
          <w:szCs w:val="24"/>
        </w:rPr>
        <w:t xml:space="preserve">u pacientů se </w:t>
      </w:r>
      <w:r w:rsidRPr="0062347D">
        <w:rPr>
          <w:rFonts w:cstheme="minorHAnsi"/>
          <w:color w:val="000000"/>
          <w:sz w:val="24"/>
          <w:szCs w:val="24"/>
        </w:rPr>
        <w:t>sarkoidózou</w:t>
      </w:r>
      <w:r w:rsidRPr="0062347D">
        <w:rPr>
          <w:rFonts w:cstheme="minorHAnsi"/>
          <w:sz w:val="24"/>
          <w:szCs w:val="24"/>
        </w:rPr>
        <w:t xml:space="preserve"> </w:t>
      </w:r>
      <w:r w:rsidRPr="0062347D">
        <w:rPr>
          <w:rFonts w:cstheme="minorHAnsi"/>
          <w:color w:val="000000"/>
          <w:sz w:val="24"/>
          <w:szCs w:val="24"/>
        </w:rPr>
        <w:t>ve srovnání s obstrukčními nemocemi, CHOPN a astmatem (</w:t>
      </w:r>
      <w:r w:rsidRPr="0062347D">
        <w:rPr>
          <w:rFonts w:cstheme="minorHAnsi"/>
          <w:b/>
          <w:color w:val="000000"/>
          <w:sz w:val="24"/>
          <w:szCs w:val="24"/>
        </w:rPr>
        <w:t>Obrázek 5, Tabulka 8</w:t>
      </w:r>
      <w:r w:rsidRPr="0062347D">
        <w:rPr>
          <w:rFonts w:cstheme="minorHAnsi"/>
          <w:color w:val="000000"/>
          <w:sz w:val="24"/>
          <w:szCs w:val="24"/>
        </w:rPr>
        <w:t>). Subanalýza nekuřáků, pacientů, kteří nikdy nekouřili, ukázala pokles exprese TIA (p</w:t>
      </w:r>
      <w:r w:rsidRPr="0062347D">
        <w:rPr>
          <w:rFonts w:cstheme="minorHAnsi"/>
          <w:color w:val="000000"/>
          <w:sz w:val="24"/>
          <w:szCs w:val="24"/>
          <w:vertAlign w:val="subscript"/>
        </w:rPr>
        <w:t>CHOPN</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0,05; p</w:t>
      </w:r>
      <w:r w:rsidRPr="0062347D">
        <w:rPr>
          <w:rFonts w:cstheme="minorHAnsi"/>
          <w:color w:val="000000"/>
          <w:sz w:val="24"/>
          <w:szCs w:val="24"/>
          <w:vertAlign w:val="subscript"/>
        </w:rPr>
        <w:t>astma</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0,05) u pacientů  se sarkoidózou v porovnání s oběma obstrukčními nemocemi (CHOPN, astma) a dále NCL (p</w:t>
      </w:r>
      <w:r w:rsidRPr="0062347D">
        <w:rPr>
          <w:rFonts w:cstheme="minorHAnsi"/>
          <w:color w:val="000000"/>
          <w:sz w:val="24"/>
          <w:szCs w:val="24"/>
          <w:vertAlign w:val="subscript"/>
        </w:rPr>
        <w:t>CHOPN</w:t>
      </w:r>
      <w:r>
        <w:rPr>
          <w:rFonts w:cstheme="minorHAnsi"/>
          <w:color w:val="000000"/>
          <w:sz w:val="24"/>
          <w:szCs w:val="24"/>
          <w:vertAlign w:val="subscript"/>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0,05) ve srovnání s CHOPN (</w:t>
      </w:r>
      <w:r w:rsidRPr="0062347D">
        <w:rPr>
          <w:rFonts w:cstheme="minorHAnsi"/>
          <w:b/>
          <w:color w:val="000000"/>
          <w:sz w:val="24"/>
          <w:szCs w:val="24"/>
        </w:rPr>
        <w:t>Obrázek 5, Tabulka 8</w:t>
      </w:r>
      <w:r w:rsidRPr="0062347D">
        <w:rPr>
          <w:rFonts w:cstheme="minorHAnsi"/>
          <w:color w:val="000000"/>
          <w:sz w:val="24"/>
          <w:szCs w:val="24"/>
        </w:rPr>
        <w:t xml:space="preserve">). </w:t>
      </w:r>
      <w:r w:rsidRPr="0062347D">
        <w:rPr>
          <w:rFonts w:cstheme="minorHAnsi"/>
          <w:sz w:val="24"/>
          <w:szCs w:val="24"/>
        </w:rPr>
        <w:t>Data jsou vyjádřena jako krabicový graf (boxplot), který vyznačuje 25. a 75. percentil. Medián je vyznačen jako vodorovná spojnice v grafu. Dále krabicový graf zobrazuje minimální a maximální hodnotu v souboru.</w:t>
      </w:r>
    </w:p>
    <w:p w:rsidR="008F0C0F" w:rsidRPr="0062347D" w:rsidRDefault="008F0C0F" w:rsidP="00284F89">
      <w:pPr>
        <w:pStyle w:val="Nadpis3"/>
        <w:spacing w:after="240"/>
        <w:jc w:val="both"/>
        <w:rPr>
          <w:rFonts w:cstheme="minorHAnsi"/>
          <w:szCs w:val="24"/>
        </w:rPr>
      </w:pPr>
      <w:bookmarkStart w:id="49" w:name="_Toc69543040"/>
      <w:r w:rsidRPr="0062347D">
        <w:rPr>
          <w:rFonts w:cstheme="minorHAnsi"/>
          <w:szCs w:val="24"/>
        </w:rPr>
        <w:lastRenderedPageBreak/>
        <w:t>Výsledky porovnání bronchoalveolární mRNA exprese RNA-vazebných proteinů a inhibitorů MMP u zdravých kontrol s pacienty s CHOPN, astmatem a IIP</w:t>
      </w:r>
      <w:bookmarkEnd w:id="49"/>
    </w:p>
    <w:p w:rsidR="008F0C0F" w:rsidRPr="0062347D" w:rsidRDefault="008F0C0F" w:rsidP="00284F89">
      <w:pPr>
        <w:autoSpaceDE w:val="0"/>
        <w:autoSpaceDN w:val="0"/>
        <w:adjustRightInd w:val="0"/>
        <w:spacing w:after="0" w:line="360" w:lineRule="auto"/>
        <w:ind w:firstLine="709"/>
        <w:jc w:val="both"/>
        <w:rPr>
          <w:rFonts w:cstheme="minorHAnsi"/>
          <w:color w:val="000000"/>
          <w:sz w:val="24"/>
          <w:szCs w:val="24"/>
        </w:rPr>
      </w:pPr>
      <w:r w:rsidRPr="0062347D">
        <w:rPr>
          <w:rFonts w:cstheme="minorHAnsi"/>
          <w:sz w:val="24"/>
          <w:szCs w:val="24"/>
        </w:rPr>
        <w:t xml:space="preserve">Porovnání mezi zdravými kontrolami a kontrolními skupinami nemocí (CHOPN, astma a IIP) jsou shrnuty v kapitole </w:t>
      </w:r>
      <w:proofErr w:type="gramStart"/>
      <w:r w:rsidRPr="0062347D">
        <w:rPr>
          <w:rFonts w:cstheme="minorHAnsi"/>
          <w:b/>
          <w:sz w:val="24"/>
          <w:szCs w:val="24"/>
        </w:rPr>
        <w:t>H.2</w:t>
      </w:r>
      <w:r w:rsidRPr="0062347D">
        <w:rPr>
          <w:rFonts w:cstheme="minorHAnsi"/>
          <w:sz w:val="24"/>
          <w:szCs w:val="24"/>
        </w:rPr>
        <w:t>.</w:t>
      </w:r>
      <w:proofErr w:type="gramEnd"/>
      <w:r w:rsidRPr="0062347D">
        <w:rPr>
          <w:rFonts w:cstheme="minorHAnsi"/>
          <w:sz w:val="24"/>
          <w:szCs w:val="24"/>
        </w:rPr>
        <w:t xml:space="preserve"> </w:t>
      </w:r>
      <w:r w:rsidRPr="0062347D">
        <w:rPr>
          <w:rFonts w:cstheme="minorHAnsi"/>
          <w:b/>
          <w:sz w:val="24"/>
          <w:szCs w:val="24"/>
        </w:rPr>
        <w:t>Příloze Tabulka 1</w:t>
      </w:r>
      <w:r w:rsidRPr="0062347D">
        <w:rPr>
          <w:rFonts w:cstheme="minorHAnsi"/>
          <w:sz w:val="24"/>
          <w:szCs w:val="24"/>
        </w:rPr>
        <w:t xml:space="preserve">. Bylo nalezeno snížení relativní exprese </w:t>
      </w:r>
      <w:r w:rsidRPr="0062347D">
        <w:rPr>
          <w:rFonts w:cstheme="minorHAnsi"/>
          <w:color w:val="000000"/>
          <w:sz w:val="24"/>
          <w:szCs w:val="24"/>
        </w:rPr>
        <w:t>AUF1 (p</w:t>
      </w:r>
      <w:r>
        <w:rPr>
          <w:rFonts w:cstheme="minorHAnsi"/>
          <w:color w:val="000000"/>
          <w:sz w:val="24"/>
          <w:szCs w:val="24"/>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TIA (p</w:t>
      </w:r>
      <w:r>
        <w:rPr>
          <w:rFonts w:cstheme="minorHAnsi"/>
          <w:color w:val="000000"/>
          <w:sz w:val="24"/>
          <w:szCs w:val="24"/>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NCL (p</w:t>
      </w:r>
      <w:r>
        <w:rPr>
          <w:rFonts w:cstheme="minorHAnsi"/>
          <w:color w:val="000000"/>
          <w:sz w:val="24"/>
          <w:szCs w:val="24"/>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PCBP2 (p</w:t>
      </w:r>
      <w:r>
        <w:rPr>
          <w:rFonts w:cstheme="minorHAnsi"/>
          <w:color w:val="000000"/>
          <w:sz w:val="24"/>
          <w:szCs w:val="24"/>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a RECK (p</w:t>
      </w:r>
      <w:r>
        <w:rPr>
          <w:rFonts w:cstheme="minorHAnsi"/>
          <w:color w:val="000000"/>
          <w:sz w:val="24"/>
          <w:szCs w:val="24"/>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 xml:space="preserve">0,001) ve skupině IIP v porovnání se zdravými kontrolami. Vliv kouření na BAL buněčný profil je uveden v kapitole </w:t>
      </w:r>
      <w:proofErr w:type="gramStart"/>
      <w:r w:rsidRPr="0062347D">
        <w:rPr>
          <w:rFonts w:cstheme="minorHAnsi"/>
          <w:b/>
          <w:color w:val="000000"/>
          <w:sz w:val="24"/>
          <w:szCs w:val="24"/>
        </w:rPr>
        <w:t>H.2.</w:t>
      </w:r>
      <w:proofErr w:type="gramEnd"/>
      <w:r w:rsidRPr="0062347D">
        <w:rPr>
          <w:rFonts w:cstheme="minorHAnsi"/>
          <w:color w:val="000000"/>
          <w:sz w:val="24"/>
          <w:szCs w:val="24"/>
        </w:rPr>
        <w:t> </w:t>
      </w:r>
      <w:r w:rsidRPr="0062347D">
        <w:rPr>
          <w:rFonts w:cstheme="minorHAnsi"/>
          <w:b/>
          <w:sz w:val="24"/>
          <w:szCs w:val="24"/>
        </w:rPr>
        <w:t>Příloha Tabulka 1</w:t>
      </w:r>
      <w:r w:rsidRPr="0062347D">
        <w:rPr>
          <w:rFonts w:cstheme="minorHAnsi"/>
          <w:color w:val="000000"/>
          <w:sz w:val="24"/>
          <w:szCs w:val="24"/>
        </w:rPr>
        <w:t>.</w:t>
      </w:r>
    </w:p>
    <w:p w:rsidR="008F0C0F" w:rsidRPr="0062347D" w:rsidRDefault="008F0C0F" w:rsidP="00284F89">
      <w:pPr>
        <w:autoSpaceDE w:val="0"/>
        <w:autoSpaceDN w:val="0"/>
        <w:adjustRightInd w:val="0"/>
        <w:spacing w:after="0" w:line="360" w:lineRule="auto"/>
        <w:ind w:firstLine="576"/>
        <w:jc w:val="both"/>
        <w:rPr>
          <w:rFonts w:cstheme="minorHAnsi"/>
          <w:color w:val="000000"/>
          <w:sz w:val="24"/>
          <w:szCs w:val="24"/>
        </w:rPr>
        <w:sectPr w:rsidR="008F0C0F" w:rsidRPr="0062347D" w:rsidSect="00CA1D24">
          <w:pgSz w:w="11906" w:h="16838"/>
          <w:pgMar w:top="992" w:right="1418" w:bottom="1418" w:left="1418" w:header="709" w:footer="709" w:gutter="0"/>
          <w:cols w:space="708"/>
          <w:docGrid w:linePitch="360"/>
        </w:sectPr>
      </w:pPr>
    </w:p>
    <w:p w:rsidR="008F0C0F" w:rsidRPr="0062347D" w:rsidRDefault="008F0C0F" w:rsidP="00284F89">
      <w:pPr>
        <w:autoSpaceDE w:val="0"/>
        <w:autoSpaceDN w:val="0"/>
        <w:adjustRightInd w:val="0"/>
        <w:spacing w:after="0" w:line="360" w:lineRule="auto"/>
        <w:ind w:firstLine="709"/>
        <w:jc w:val="both"/>
        <w:rPr>
          <w:rFonts w:cstheme="minorHAnsi"/>
          <w:sz w:val="24"/>
          <w:szCs w:val="24"/>
        </w:rPr>
        <w:sectPr w:rsidR="008F0C0F" w:rsidRPr="0062347D" w:rsidSect="00CA1D24">
          <w:pgSz w:w="11906" w:h="16838"/>
          <w:pgMar w:top="992" w:right="1418" w:bottom="1418" w:left="1418" w:header="709" w:footer="709" w:gutter="0"/>
          <w:cols w:space="708"/>
          <w:docGrid w:linePitch="360"/>
        </w:sectPr>
      </w:pPr>
      <w:r w:rsidRPr="0062347D">
        <w:rPr>
          <w:rFonts w:cstheme="minorHAnsi"/>
          <w:b/>
          <w:color w:val="000000"/>
          <w:sz w:val="24"/>
          <w:szCs w:val="24"/>
        </w:rPr>
        <w:lastRenderedPageBreak/>
        <w:t xml:space="preserve">Obrázek </w:t>
      </w:r>
      <w:r w:rsidRPr="00E663BF">
        <w:rPr>
          <w:rFonts w:cstheme="minorHAnsi"/>
          <w:b/>
          <w:color w:val="000000"/>
          <w:sz w:val="24"/>
          <w:szCs w:val="24"/>
        </w:rPr>
        <w:t>5:</w:t>
      </w:r>
      <w:r w:rsidRPr="004E5649">
        <w:rPr>
          <w:rFonts w:cstheme="minorHAnsi"/>
          <w:color w:val="000000"/>
          <w:sz w:val="24"/>
          <w:szCs w:val="24"/>
        </w:rPr>
        <w:t xml:space="preserve"> Dunnův test mnohonásobného porovnání relativní exprese mRNA u</w:t>
      </w:r>
      <w:r>
        <w:rPr>
          <w:rFonts w:cstheme="minorHAnsi"/>
          <w:color w:val="000000"/>
          <w:sz w:val="24"/>
          <w:szCs w:val="24"/>
        </w:rPr>
        <w:t> </w:t>
      </w:r>
      <w:r w:rsidRPr="004E5649">
        <w:rPr>
          <w:rFonts w:cstheme="minorHAnsi"/>
          <w:color w:val="000000"/>
          <w:sz w:val="24"/>
          <w:szCs w:val="24"/>
        </w:rPr>
        <w:t>vybraných RNA-vazebných proteinů</w:t>
      </w:r>
      <w:r w:rsidR="0011408B">
        <w:rPr>
          <w:rFonts w:cstheme="minorHAnsi"/>
          <w:color w:val="000000"/>
          <w:sz w:val="24"/>
          <w:szCs w:val="24"/>
        </w:rPr>
        <w:t xml:space="preserve"> a inhibitoru MMP</w:t>
      </w:r>
      <w:r w:rsidRPr="00B24D8C">
        <w:rPr>
          <w:rFonts w:cstheme="minorHAnsi"/>
          <w:color w:val="000000"/>
          <w:sz w:val="24"/>
          <w:szCs w:val="24"/>
        </w:rPr>
        <w:t xml:space="preserve"> bez ohledu na kouření.</w:t>
      </w:r>
      <w:r w:rsidRPr="0062347D">
        <w:rPr>
          <w:rFonts w:cstheme="minorHAnsi"/>
          <w:noProof/>
          <w:sz w:val="24"/>
          <w:szCs w:val="24"/>
          <w:lang w:eastAsia="cs-CZ"/>
        </w:rPr>
        <mc:AlternateContent>
          <mc:Choice Requires="wps">
            <w:drawing>
              <wp:anchor distT="0" distB="0" distL="114300" distR="114300" simplePos="0" relativeHeight="251659264" behindDoc="0" locked="0" layoutInCell="1" allowOverlap="1" wp14:anchorId="012B001A" wp14:editId="69AFA3A2">
                <wp:simplePos x="0" y="0"/>
                <wp:positionH relativeFrom="column">
                  <wp:posOffset>2950268</wp:posOffset>
                </wp:positionH>
                <wp:positionV relativeFrom="paragraph">
                  <wp:posOffset>6987144</wp:posOffset>
                </wp:positionV>
                <wp:extent cx="2381693" cy="2369489"/>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2381693" cy="2369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D60" w:rsidRPr="00E74EF8" w:rsidRDefault="006F4D60" w:rsidP="00284F89">
                            <w:pPr>
                              <w:rPr>
                                <w:rFonts w:cs="Times New Roman"/>
                                <w:b/>
                                <w:sz w:val="24"/>
                              </w:rPr>
                            </w:pPr>
                            <w:r w:rsidRPr="00E74EF8">
                              <w:rPr>
                                <w:rFonts w:cs="Times New Roman"/>
                                <w:b/>
                                <w:sz w:val="24"/>
                              </w:rPr>
                              <w:t xml:space="preserve">Legenda k obrázku </w:t>
                            </w:r>
                            <w:r>
                              <w:rPr>
                                <w:rFonts w:cs="Times New Roman"/>
                                <w:b/>
                                <w:sz w:val="24"/>
                              </w:rPr>
                              <w:t>5</w:t>
                            </w:r>
                            <w:r w:rsidRPr="00E74EF8">
                              <w:rPr>
                                <w:rFonts w:cs="Times New Roman"/>
                                <w:b/>
                                <w:sz w:val="24"/>
                              </w:rPr>
                              <w:t xml:space="preserve">: </w:t>
                            </w:r>
                          </w:p>
                          <w:p w:rsidR="006F4D60" w:rsidRPr="00B5374D" w:rsidRDefault="006F4D60" w:rsidP="00284F89">
                            <w:pPr>
                              <w:jc w:val="both"/>
                            </w:pPr>
                            <w:r w:rsidRPr="00E74EF8">
                              <w:rPr>
                                <w:rFonts w:cs="Times New Roman"/>
                                <w:b/>
                                <w:sz w:val="24"/>
                              </w:rPr>
                              <w:t>S</w:t>
                            </w:r>
                            <w:r>
                              <w:rPr>
                                <w:rFonts w:cs="Times New Roman"/>
                                <w:b/>
                                <w:sz w:val="24"/>
                              </w:rPr>
                              <w:t xml:space="preserve"> </w:t>
                            </w:r>
                            <w:r>
                              <w:rPr>
                                <w:rFonts w:cs="Times New Roman"/>
                                <w:sz w:val="24"/>
                              </w:rPr>
                              <w:t xml:space="preserve">= sarkoidóza, </w:t>
                            </w:r>
                            <w:r w:rsidRPr="00E74EF8">
                              <w:rPr>
                                <w:rFonts w:cs="Times New Roman"/>
                                <w:b/>
                                <w:sz w:val="24"/>
                              </w:rPr>
                              <w:t>K</w:t>
                            </w:r>
                            <w:r>
                              <w:rPr>
                                <w:rFonts w:cs="Times New Roman"/>
                                <w:b/>
                                <w:sz w:val="24"/>
                              </w:rPr>
                              <w:t xml:space="preserve"> </w:t>
                            </w:r>
                            <w:r>
                              <w:rPr>
                                <w:rFonts w:cs="Times New Roman"/>
                                <w:sz w:val="24"/>
                              </w:rPr>
                              <w:t xml:space="preserve">= zdravé kontroly, CHOPN = chronická obstrukční plicní nemoc, IIP = Idiopatické plicní pneumonie, </w:t>
                            </w:r>
                            <w:r>
                              <w:rPr>
                                <w:rFonts w:cstheme="minorHAnsi"/>
                                <w:sz w:val="24"/>
                              </w:rPr>
                              <w:t>***p &lt; 0,001; **p &lt; 0,01; *p &lt; 0,5; výsledky pro subanalýzu mezi nekuřáky: ###p &lt; 0,001; ##p &lt; 0,01; #p &lt; 0,5.</w:t>
                            </w:r>
                          </w:p>
                          <w:p w:rsidR="006F4D60" w:rsidRDefault="006F4D60" w:rsidP="0028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8" o:spid="_x0000_s1026" type="#_x0000_t202" style="position:absolute;left:0;text-align:left;margin-left:232.3pt;margin-top:550.15pt;width:187.55pt;height:18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" fillcolor="white [3201]" stroked="f" strokeweight=".5pt">
                <v:textbox>
                  <w:txbxContent>
                    <w:p w:rsidR="006F4D60" w:rsidRPr="00E74EF8" w:rsidRDefault="006F4D60" w:rsidP="00284F89">
                      <w:pPr>
                        <w:rPr>
                          <w:rFonts w:cs="Times New Roman"/>
                          <w:b/>
                          <w:sz w:val="24"/>
                        </w:rPr>
                      </w:pPr>
                      <w:r w:rsidRPr="00E74EF8">
                        <w:rPr>
                          <w:rFonts w:cs="Times New Roman"/>
                          <w:b/>
                          <w:sz w:val="24"/>
                        </w:rPr>
                        <w:t xml:space="preserve">Legenda k obrázku </w:t>
                      </w:r>
                      <w:r>
                        <w:rPr>
                          <w:rFonts w:cs="Times New Roman"/>
                          <w:b/>
                          <w:sz w:val="24"/>
                        </w:rPr>
                        <w:t>5</w:t>
                      </w:r>
                      <w:r w:rsidRPr="00E74EF8">
                        <w:rPr>
                          <w:rFonts w:cs="Times New Roman"/>
                          <w:b/>
                          <w:sz w:val="24"/>
                        </w:rPr>
                        <w:t xml:space="preserve">: </w:t>
                      </w:r>
                    </w:p>
                    <w:p w:rsidR="006F4D60" w:rsidRPr="00B5374D" w:rsidRDefault="006F4D60" w:rsidP="00284F89">
                      <w:pPr>
                        <w:jc w:val="both"/>
                      </w:pPr>
                      <w:r w:rsidRPr="00E74EF8">
                        <w:rPr>
                          <w:rFonts w:cs="Times New Roman"/>
                          <w:b/>
                          <w:sz w:val="24"/>
                        </w:rPr>
                        <w:t>S</w:t>
                      </w:r>
                      <w:r>
                        <w:rPr>
                          <w:rFonts w:cs="Times New Roman"/>
                          <w:b/>
                          <w:sz w:val="24"/>
                        </w:rPr>
                        <w:t xml:space="preserve"> </w:t>
                      </w:r>
                      <w:r>
                        <w:rPr>
                          <w:rFonts w:cs="Times New Roman"/>
                          <w:sz w:val="24"/>
                        </w:rPr>
                        <w:t xml:space="preserve">= sarkoidóza, </w:t>
                      </w:r>
                      <w:r w:rsidRPr="00E74EF8">
                        <w:rPr>
                          <w:rFonts w:cs="Times New Roman"/>
                          <w:b/>
                          <w:sz w:val="24"/>
                        </w:rPr>
                        <w:t>K</w:t>
                      </w:r>
                      <w:r>
                        <w:rPr>
                          <w:rFonts w:cs="Times New Roman"/>
                          <w:b/>
                          <w:sz w:val="24"/>
                        </w:rPr>
                        <w:t xml:space="preserve"> </w:t>
                      </w:r>
                      <w:r>
                        <w:rPr>
                          <w:rFonts w:cs="Times New Roman"/>
                          <w:sz w:val="24"/>
                        </w:rPr>
                        <w:t xml:space="preserve">= zdravé kontroly, CHOPN = chronická obstrukční plicní nemoc, IIP = Idiopatické plicní pneumonie, </w:t>
                      </w:r>
                      <w:r>
                        <w:rPr>
                          <w:rFonts w:cstheme="minorHAnsi"/>
                          <w:sz w:val="24"/>
                        </w:rPr>
                        <w:t>***p &lt; 0,001; **p &lt; 0,01; *p &lt; 0,5; výsledky pro subanalýzu mezi nekuřáky: ###p &lt; 0,001; ##p &lt; 0,01; #p &lt; 0,5.</w:t>
                      </w:r>
                    </w:p>
                    <w:p w:rsidR="006F4D60" w:rsidRDefault="006F4D60" w:rsidP="00284F89"/>
                  </w:txbxContent>
                </v:textbox>
              </v:shape>
            </w:pict>
          </mc:Fallback>
        </mc:AlternateContent>
      </w:r>
      <w:r w:rsidRPr="00E663BF">
        <w:rPr>
          <w:rFonts w:cstheme="minorHAnsi"/>
          <w:noProof/>
          <w:sz w:val="24"/>
          <w:szCs w:val="24"/>
          <w:lang w:eastAsia="cs-CZ"/>
        </w:rPr>
        <w:drawing>
          <wp:inline distT="0" distB="0" distL="0" distR="0" wp14:anchorId="122574EB" wp14:editId="42030C00">
            <wp:extent cx="5354157" cy="855956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P 7.3. 2021.png"/>
                    <pic:cNvPicPr/>
                  </pic:nvPicPr>
                  <pic:blipFill>
                    <a:blip r:embed="rId16">
                      <a:extLst>
                        <a:ext uri="{28A0092B-C50C-407E-A947-70E740481C1C}">
                          <a14:useLocalDpi xmlns:a14="http://schemas.microsoft.com/office/drawing/2010/main" val="0"/>
                        </a:ext>
                      </a:extLst>
                    </a:blip>
                    <a:stretch>
                      <a:fillRect/>
                    </a:stretch>
                  </pic:blipFill>
                  <pic:spPr>
                    <a:xfrm>
                      <a:off x="0" y="0"/>
                      <a:ext cx="5358101" cy="8565872"/>
                    </a:xfrm>
                    <a:prstGeom prst="rect">
                      <a:avLst/>
                    </a:prstGeom>
                  </pic:spPr>
                </pic:pic>
              </a:graphicData>
            </a:graphic>
          </wp:inline>
        </w:drawing>
      </w:r>
    </w:p>
    <w:p w:rsidR="008F0C0F" w:rsidRPr="0062347D" w:rsidRDefault="008F0C0F" w:rsidP="00284F89">
      <w:pPr>
        <w:ind w:left="567"/>
        <w:jc w:val="both"/>
        <w:rPr>
          <w:rFonts w:cstheme="minorHAnsi"/>
          <w:sz w:val="24"/>
          <w:szCs w:val="24"/>
        </w:rPr>
      </w:pPr>
      <w:r w:rsidRPr="0062347D">
        <w:rPr>
          <w:rFonts w:cstheme="minorHAnsi"/>
          <w:b/>
          <w:sz w:val="24"/>
          <w:szCs w:val="24"/>
        </w:rPr>
        <w:lastRenderedPageBreak/>
        <w:t xml:space="preserve">Tabulka </w:t>
      </w:r>
      <w:r w:rsidRPr="00E663BF">
        <w:rPr>
          <w:rFonts w:cstheme="minorHAnsi"/>
          <w:b/>
          <w:sz w:val="24"/>
          <w:szCs w:val="24"/>
        </w:rPr>
        <w:t>8</w:t>
      </w:r>
      <w:r w:rsidRPr="004E5649">
        <w:rPr>
          <w:rFonts w:cstheme="minorHAnsi"/>
          <w:b/>
          <w:sz w:val="24"/>
          <w:szCs w:val="24"/>
        </w:rPr>
        <w:t>: Relativní</w:t>
      </w:r>
      <w:r w:rsidRPr="004E5649">
        <w:rPr>
          <w:rFonts w:cstheme="minorHAnsi"/>
          <w:sz w:val="24"/>
          <w:szCs w:val="24"/>
        </w:rPr>
        <w:t xml:space="preserve"> </w:t>
      </w:r>
      <w:r w:rsidRPr="004E5649">
        <w:rPr>
          <w:rFonts w:cstheme="minorHAnsi"/>
          <w:b/>
          <w:sz w:val="24"/>
          <w:szCs w:val="24"/>
        </w:rPr>
        <w:t>mRNA exprese RNA-vazebných proteinů a inhibitoru proteolytické aktivity MMP</w:t>
      </w:r>
      <w:r w:rsidRPr="00B24D8C">
        <w:rPr>
          <w:rFonts w:cstheme="minorHAnsi"/>
          <w:b/>
          <w:sz w:val="24"/>
          <w:szCs w:val="24"/>
        </w:rPr>
        <w:t xml:space="preserve"> (RECK</w:t>
      </w:r>
      <w:r w:rsidRPr="0062347D">
        <w:rPr>
          <w:rFonts w:cstheme="minorHAnsi"/>
          <w:b/>
          <w:sz w:val="24"/>
          <w:szCs w:val="24"/>
        </w:rPr>
        <w:t>) u pacientů s plicními onemocněními a</w:t>
      </w:r>
      <w:r>
        <w:rPr>
          <w:rFonts w:cstheme="minorHAnsi"/>
          <w:b/>
          <w:sz w:val="24"/>
          <w:szCs w:val="24"/>
        </w:rPr>
        <w:t> </w:t>
      </w:r>
      <w:r w:rsidRPr="0062347D">
        <w:rPr>
          <w:rFonts w:cstheme="minorHAnsi"/>
          <w:b/>
          <w:sz w:val="24"/>
          <w:szCs w:val="24"/>
        </w:rPr>
        <w:t>skupinou kontrol.</w:t>
      </w:r>
      <w:r w:rsidRPr="0062347D">
        <w:rPr>
          <w:rFonts w:cstheme="minorHAnsi"/>
          <w:sz w:val="24"/>
          <w:szCs w:val="24"/>
        </w:rPr>
        <w:t xml:space="preserve"> V tabulce jsou uvedeny výsledky Dunnova testu mnohonásobného porovnání mezi skupinou se sarkoidózou a kontrolami. Dále jsou v tabulce uvedeny výsledky porovnání mezi skupinou se sarkoidózou a třemi skupinami plicních onemocnění (CHOPN, astma, IIP).</w:t>
      </w:r>
    </w:p>
    <w:tbl>
      <w:tblPr>
        <w:tblpPr w:leftFromText="180" w:rightFromText="180" w:vertAnchor="page" w:horzAnchor="margin" w:tblpXSpec="center" w:tblpY="2798"/>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2552"/>
        <w:gridCol w:w="2569"/>
        <w:gridCol w:w="2392"/>
        <w:gridCol w:w="2268"/>
      </w:tblGrid>
      <w:tr w:rsidR="008F0C0F" w:rsidRPr="009F1142" w:rsidTr="00284F89">
        <w:tc>
          <w:tcPr>
            <w:tcW w:w="1668" w:type="dxa"/>
            <w:tcBorders>
              <w:top w:val="single" w:sz="4" w:space="0" w:color="auto"/>
              <w:left w:val="single" w:sz="4" w:space="0" w:color="auto"/>
              <w:bottom w:val="single" w:sz="4" w:space="0" w:color="auto"/>
              <w:right w:val="single" w:sz="4" w:space="0" w:color="auto"/>
            </w:tcBorders>
            <w:vAlign w:val="bottom"/>
            <w:hideMark/>
          </w:tcPr>
          <w:p w:rsidR="008F0C0F" w:rsidRPr="009F1142" w:rsidRDefault="008F0C0F" w:rsidP="00284F89">
            <w:pPr>
              <w:jc w:val="center"/>
              <w:rPr>
                <w:rFonts w:cstheme="minorHAnsi"/>
                <w:sz w:val="24"/>
                <w:szCs w:val="24"/>
                <w:lang w:eastAsia="ja-JP"/>
              </w:rPr>
            </w:pPr>
            <w:r w:rsidRPr="009F1142">
              <w:rPr>
                <w:rFonts w:cstheme="minorHAnsi"/>
                <w:sz w:val="24"/>
                <w:szCs w:val="24"/>
              </w:rPr>
              <w:t>Onemocnění (n)</w:t>
            </w:r>
          </w:p>
        </w:tc>
        <w:tc>
          <w:tcPr>
            <w:tcW w:w="1842" w:type="dxa"/>
            <w:vMerge w:val="restart"/>
            <w:tcBorders>
              <w:top w:val="single" w:sz="4" w:space="0" w:color="auto"/>
              <w:left w:val="single" w:sz="4" w:space="0" w:color="auto"/>
              <w:right w:val="single" w:sz="4" w:space="0" w:color="auto"/>
            </w:tcBorders>
            <w:vAlign w:val="center"/>
            <w:hideMark/>
          </w:tcPr>
          <w:p w:rsidR="008F0C0F" w:rsidRPr="009F1142" w:rsidRDefault="008F0C0F" w:rsidP="00284F89">
            <w:pPr>
              <w:jc w:val="center"/>
              <w:rPr>
                <w:rFonts w:cstheme="minorHAnsi"/>
                <w:sz w:val="24"/>
                <w:szCs w:val="24"/>
                <w:lang w:eastAsia="ja-JP"/>
              </w:rPr>
            </w:pPr>
            <w:r w:rsidRPr="009F1142">
              <w:rPr>
                <w:rFonts w:cstheme="minorHAnsi"/>
                <w:sz w:val="24"/>
                <w:szCs w:val="24"/>
              </w:rPr>
              <w:t>Plicní sarkoidóza (n = 50)</w:t>
            </w:r>
          </w:p>
        </w:tc>
        <w:tc>
          <w:tcPr>
            <w:tcW w:w="2552" w:type="dxa"/>
            <w:vMerge w:val="restart"/>
            <w:tcBorders>
              <w:top w:val="single" w:sz="4" w:space="0" w:color="auto"/>
              <w:left w:val="single" w:sz="4" w:space="0" w:color="auto"/>
              <w:right w:val="single" w:sz="4" w:space="0" w:color="auto"/>
            </w:tcBorders>
            <w:vAlign w:val="center"/>
            <w:hideMark/>
          </w:tcPr>
          <w:p w:rsidR="008F0C0F" w:rsidRPr="009F1142" w:rsidRDefault="008F0C0F" w:rsidP="00284F89">
            <w:pPr>
              <w:jc w:val="center"/>
              <w:rPr>
                <w:rFonts w:cstheme="minorHAnsi"/>
                <w:sz w:val="24"/>
                <w:szCs w:val="24"/>
                <w:lang w:eastAsia="ja-JP"/>
              </w:rPr>
            </w:pPr>
            <w:r w:rsidRPr="009F1142">
              <w:rPr>
                <w:rFonts w:cstheme="minorHAnsi"/>
                <w:sz w:val="24"/>
                <w:szCs w:val="24"/>
              </w:rPr>
              <w:t>Zdravé kontroly (n =23)</w:t>
            </w:r>
          </w:p>
        </w:tc>
        <w:tc>
          <w:tcPr>
            <w:tcW w:w="2569" w:type="dxa"/>
            <w:vMerge w:val="restart"/>
            <w:tcBorders>
              <w:top w:val="single" w:sz="4" w:space="0" w:color="auto"/>
              <w:left w:val="single" w:sz="4" w:space="0" w:color="auto"/>
              <w:right w:val="single" w:sz="4" w:space="0" w:color="auto"/>
            </w:tcBorders>
            <w:vAlign w:val="center"/>
            <w:hideMark/>
          </w:tcPr>
          <w:p w:rsidR="008F0C0F" w:rsidRPr="009F1142" w:rsidRDefault="008F0C0F" w:rsidP="00284F89">
            <w:pPr>
              <w:jc w:val="center"/>
              <w:rPr>
                <w:rFonts w:cstheme="minorHAnsi"/>
                <w:sz w:val="24"/>
                <w:szCs w:val="24"/>
                <w:lang w:eastAsia="ja-JP"/>
              </w:rPr>
            </w:pPr>
            <w:r w:rsidRPr="009F1142">
              <w:rPr>
                <w:rFonts w:cstheme="minorHAnsi"/>
                <w:sz w:val="24"/>
                <w:szCs w:val="24"/>
              </w:rPr>
              <w:t>CHOPN (n = 30)</w:t>
            </w:r>
          </w:p>
        </w:tc>
        <w:tc>
          <w:tcPr>
            <w:tcW w:w="2392" w:type="dxa"/>
            <w:vMerge w:val="restart"/>
            <w:tcBorders>
              <w:top w:val="single" w:sz="4" w:space="0" w:color="auto"/>
              <w:left w:val="single" w:sz="4" w:space="0" w:color="auto"/>
              <w:right w:val="single" w:sz="4" w:space="0" w:color="auto"/>
            </w:tcBorders>
            <w:vAlign w:val="center"/>
            <w:hideMark/>
          </w:tcPr>
          <w:p w:rsidR="008F0C0F" w:rsidRPr="009F1142" w:rsidRDefault="008F0C0F" w:rsidP="00284F89">
            <w:pPr>
              <w:jc w:val="center"/>
              <w:rPr>
                <w:rFonts w:cstheme="minorHAnsi"/>
                <w:sz w:val="24"/>
                <w:szCs w:val="24"/>
                <w:lang w:eastAsia="ja-JP"/>
              </w:rPr>
            </w:pPr>
            <w:r w:rsidRPr="009F1142">
              <w:rPr>
                <w:rFonts w:cstheme="minorHAnsi"/>
                <w:sz w:val="24"/>
                <w:szCs w:val="24"/>
              </w:rPr>
              <w:t>Astma (n = 19)</w:t>
            </w:r>
          </w:p>
        </w:tc>
        <w:tc>
          <w:tcPr>
            <w:tcW w:w="2268" w:type="dxa"/>
            <w:vMerge w:val="restart"/>
            <w:tcBorders>
              <w:top w:val="single" w:sz="4" w:space="0" w:color="auto"/>
              <w:left w:val="single" w:sz="4" w:space="0" w:color="auto"/>
              <w:right w:val="single" w:sz="4" w:space="0" w:color="auto"/>
            </w:tcBorders>
            <w:vAlign w:val="center"/>
            <w:hideMark/>
          </w:tcPr>
          <w:p w:rsidR="008F0C0F" w:rsidRPr="009F1142" w:rsidRDefault="008F0C0F" w:rsidP="00284F89">
            <w:pPr>
              <w:jc w:val="center"/>
              <w:rPr>
                <w:rFonts w:cstheme="minorHAnsi"/>
                <w:sz w:val="24"/>
                <w:szCs w:val="24"/>
                <w:lang w:eastAsia="ja-JP"/>
              </w:rPr>
            </w:pPr>
            <w:r w:rsidRPr="009F1142">
              <w:rPr>
                <w:rFonts w:cstheme="minorHAnsi"/>
                <w:sz w:val="24"/>
                <w:szCs w:val="24"/>
              </w:rPr>
              <w:t>IIP (n = 19)</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tcPr>
          <w:p w:rsidR="008F0C0F" w:rsidRPr="009F1142" w:rsidRDefault="008F0C0F" w:rsidP="00284F89">
            <w:pPr>
              <w:jc w:val="center"/>
              <w:rPr>
                <w:rFonts w:cstheme="minorHAnsi"/>
                <w:sz w:val="24"/>
                <w:szCs w:val="24"/>
              </w:rPr>
            </w:pPr>
            <w:r w:rsidRPr="009F1142">
              <w:rPr>
                <w:rFonts w:cstheme="minorHAnsi"/>
                <w:sz w:val="24"/>
                <w:szCs w:val="24"/>
              </w:rPr>
              <w:t>Název genu</w:t>
            </w:r>
          </w:p>
        </w:tc>
        <w:tc>
          <w:tcPr>
            <w:tcW w:w="1842" w:type="dxa"/>
            <w:vMerge/>
            <w:tcBorders>
              <w:left w:val="single" w:sz="4" w:space="0" w:color="auto"/>
              <w:bottom w:val="single" w:sz="4" w:space="0" w:color="auto"/>
              <w:right w:val="single" w:sz="4" w:space="0" w:color="auto"/>
            </w:tcBorders>
          </w:tcPr>
          <w:p w:rsidR="008F0C0F" w:rsidRPr="009F1142" w:rsidRDefault="008F0C0F" w:rsidP="00284F89">
            <w:pPr>
              <w:jc w:val="center"/>
              <w:rPr>
                <w:rFonts w:cstheme="minorHAnsi"/>
                <w:sz w:val="24"/>
                <w:szCs w:val="24"/>
              </w:rPr>
            </w:pPr>
          </w:p>
        </w:tc>
        <w:tc>
          <w:tcPr>
            <w:tcW w:w="2552" w:type="dxa"/>
            <w:vMerge/>
            <w:tcBorders>
              <w:left w:val="single" w:sz="4" w:space="0" w:color="auto"/>
              <w:bottom w:val="single" w:sz="4" w:space="0" w:color="auto"/>
              <w:right w:val="single" w:sz="4" w:space="0" w:color="auto"/>
            </w:tcBorders>
          </w:tcPr>
          <w:p w:rsidR="008F0C0F" w:rsidRPr="009F1142" w:rsidRDefault="008F0C0F" w:rsidP="00284F89">
            <w:pPr>
              <w:jc w:val="center"/>
              <w:rPr>
                <w:rFonts w:cstheme="minorHAnsi"/>
                <w:sz w:val="24"/>
                <w:szCs w:val="24"/>
              </w:rPr>
            </w:pPr>
          </w:p>
        </w:tc>
        <w:tc>
          <w:tcPr>
            <w:tcW w:w="2569" w:type="dxa"/>
            <w:vMerge/>
            <w:tcBorders>
              <w:left w:val="single" w:sz="4" w:space="0" w:color="auto"/>
              <w:bottom w:val="single" w:sz="4" w:space="0" w:color="auto"/>
              <w:right w:val="single" w:sz="4" w:space="0" w:color="auto"/>
            </w:tcBorders>
          </w:tcPr>
          <w:p w:rsidR="008F0C0F" w:rsidRPr="009F1142" w:rsidRDefault="008F0C0F" w:rsidP="00284F89">
            <w:pPr>
              <w:jc w:val="center"/>
              <w:rPr>
                <w:rFonts w:cstheme="minorHAnsi"/>
                <w:sz w:val="24"/>
                <w:szCs w:val="24"/>
              </w:rPr>
            </w:pPr>
          </w:p>
        </w:tc>
        <w:tc>
          <w:tcPr>
            <w:tcW w:w="2392" w:type="dxa"/>
            <w:vMerge/>
            <w:tcBorders>
              <w:left w:val="single" w:sz="4" w:space="0" w:color="auto"/>
              <w:bottom w:val="single" w:sz="4" w:space="0" w:color="auto"/>
              <w:right w:val="single" w:sz="4" w:space="0" w:color="auto"/>
            </w:tcBorders>
          </w:tcPr>
          <w:p w:rsidR="008F0C0F" w:rsidRPr="009F1142" w:rsidRDefault="008F0C0F" w:rsidP="00284F89">
            <w:pPr>
              <w:jc w:val="center"/>
              <w:rPr>
                <w:rFonts w:cstheme="minorHAnsi"/>
                <w:sz w:val="24"/>
                <w:szCs w:val="24"/>
              </w:rPr>
            </w:pPr>
          </w:p>
        </w:tc>
        <w:tc>
          <w:tcPr>
            <w:tcW w:w="2268" w:type="dxa"/>
            <w:vMerge/>
            <w:tcBorders>
              <w:left w:val="single" w:sz="4" w:space="0" w:color="auto"/>
              <w:bottom w:val="single" w:sz="4" w:space="0" w:color="auto"/>
              <w:right w:val="single" w:sz="4" w:space="0" w:color="auto"/>
            </w:tcBorders>
          </w:tcPr>
          <w:p w:rsidR="008F0C0F" w:rsidRPr="009F1142" w:rsidRDefault="008F0C0F" w:rsidP="00284F89">
            <w:pPr>
              <w:jc w:val="center"/>
              <w:rPr>
                <w:rFonts w:cstheme="minorHAnsi"/>
                <w:sz w:val="24"/>
                <w:szCs w:val="24"/>
              </w:rPr>
            </w:pP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AUF1</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0,34 (0,15; 0,58)</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1,89 (1,24; 2,13)***###</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1,16 (0,83; 1,92)***</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1,31 (0,38; 1,92)**</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0,15 (0,04; 0,29) ns</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HuR</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0,24 (0,02; 0,57)</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0,93 (0,6; 1,49)***</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0,46 (0,15; 1,06) ns</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0,76 (0,22; 1,01)*</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0,15 (0,02; 0,25) ns</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NCL</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0,33 (0,16; 0,66)</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2,24 (1,75; 2,94)***##</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1,71 (1,03; 2,39)***#</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2,36 (0,97; 3,47)***</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0,14 (0,02; 0,29) ns</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TIA</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0,14 (0,01; 0,31)</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0,83 (0,63; 1,04)***###</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0,62 (0,44; 0,93)***#</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0,81 (0,31; 1,16)***#</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0,06 (0,03; 0,14) ns</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TIAR</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0,92 (0,47; 1,20)</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1,24 (1,05; 1,54)*</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1,2 (0,92; 1,44) ns</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1,35 (0,98; 1,83) ns</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0,36 (0,19; 0,57)*</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PCBP2</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0,19 (0,01; 0,74)</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0,58 (0,36; 1,78) ns</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0,38 (0,18; 0,82) ns</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0,57 (0,01; 1,23) ns</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0,01 (0,01; 0,02)**#</w:t>
            </w:r>
          </w:p>
        </w:tc>
      </w:tr>
      <w:tr w:rsidR="008F0C0F" w:rsidRPr="009F1142" w:rsidTr="00284F89">
        <w:tc>
          <w:tcPr>
            <w:tcW w:w="16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RECK</w:t>
            </w:r>
          </w:p>
        </w:tc>
        <w:tc>
          <w:tcPr>
            <w:tcW w:w="184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0,02 (0,01; 0,09)</w:t>
            </w:r>
          </w:p>
        </w:tc>
        <w:tc>
          <w:tcPr>
            <w:tcW w:w="255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0,12 (0,10; 0,16)***#</w:t>
            </w:r>
          </w:p>
        </w:tc>
        <w:tc>
          <w:tcPr>
            <w:tcW w:w="2569"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0,07 (0,05; 0,13) ns</w:t>
            </w:r>
          </w:p>
        </w:tc>
        <w:tc>
          <w:tcPr>
            <w:tcW w:w="2392"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0,09 (0,05; 0,13)*</w:t>
            </w:r>
          </w:p>
        </w:tc>
        <w:tc>
          <w:tcPr>
            <w:tcW w:w="2268" w:type="dxa"/>
            <w:tcBorders>
              <w:top w:val="single" w:sz="4" w:space="0" w:color="auto"/>
              <w:left w:val="single" w:sz="4" w:space="0" w:color="auto"/>
              <w:bottom w:val="single" w:sz="4" w:space="0" w:color="auto"/>
              <w:right w:val="single" w:sz="4" w:space="0" w:color="auto"/>
            </w:tcBorders>
            <w:hideMark/>
          </w:tcPr>
          <w:p w:rsidR="008F0C0F" w:rsidRPr="009F1142" w:rsidRDefault="008F0C0F" w:rsidP="00284F89">
            <w:pPr>
              <w:rPr>
                <w:rFonts w:cstheme="minorHAnsi"/>
                <w:sz w:val="24"/>
                <w:szCs w:val="24"/>
                <w:lang w:eastAsia="ja-JP"/>
              </w:rPr>
            </w:pPr>
            <w:r w:rsidRPr="009F1142">
              <w:rPr>
                <w:rFonts w:cstheme="minorHAnsi"/>
                <w:sz w:val="24"/>
                <w:szCs w:val="24"/>
              </w:rPr>
              <w:t>0,01 (0,01; 0,02) ns</w:t>
            </w:r>
          </w:p>
        </w:tc>
      </w:tr>
    </w:tbl>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pPr>
    </w:p>
    <w:p w:rsidR="008F0C0F" w:rsidRPr="0062347D" w:rsidRDefault="008F0C0F" w:rsidP="00284F89">
      <w:pPr>
        <w:ind w:left="567"/>
        <w:rPr>
          <w:rFonts w:cstheme="minorHAnsi"/>
          <w:sz w:val="24"/>
          <w:szCs w:val="24"/>
        </w:rPr>
      </w:pPr>
      <w:r w:rsidRPr="0062347D">
        <w:rPr>
          <w:rFonts w:cstheme="minorHAnsi"/>
          <w:b/>
          <w:sz w:val="24"/>
          <w:szCs w:val="24"/>
        </w:rPr>
        <w:t>Legenda k Tabulce 8</w:t>
      </w:r>
      <w:r w:rsidRPr="0062347D">
        <w:rPr>
          <w:rFonts w:cstheme="minorHAnsi"/>
          <w:sz w:val="24"/>
          <w:szCs w:val="24"/>
        </w:rPr>
        <w:t>: Hodnota relativní exprese je uvedena jako medián. V závorkách je uveden 25. a 75. pe</w:t>
      </w:r>
      <w:r w:rsidR="00CA1D24">
        <w:rPr>
          <w:rFonts w:cstheme="minorHAnsi"/>
          <w:sz w:val="24"/>
          <w:szCs w:val="24"/>
        </w:rPr>
        <w:t xml:space="preserve">rcentil relativní mRNA exprese; </w:t>
      </w:r>
      <w:r w:rsidRPr="0062347D">
        <w:rPr>
          <w:rFonts w:cstheme="minorHAnsi"/>
          <w:sz w:val="24"/>
          <w:szCs w:val="24"/>
        </w:rPr>
        <w:t>CHOPN</w:t>
      </w:r>
      <w:r>
        <w:rPr>
          <w:rFonts w:cstheme="minorHAnsi"/>
          <w:sz w:val="24"/>
          <w:szCs w:val="24"/>
        </w:rPr>
        <w:t xml:space="preserve"> </w:t>
      </w:r>
      <w:r w:rsidRPr="0062347D">
        <w:rPr>
          <w:rFonts w:cstheme="minorHAnsi"/>
          <w:sz w:val="24"/>
          <w:szCs w:val="24"/>
        </w:rPr>
        <w:t>= chronická obstrukční plicní nemoc; IIP</w:t>
      </w:r>
      <w:r>
        <w:rPr>
          <w:rFonts w:cstheme="minorHAnsi"/>
          <w:sz w:val="24"/>
          <w:szCs w:val="24"/>
        </w:rPr>
        <w:t xml:space="preserve"> </w:t>
      </w:r>
      <w:r w:rsidRPr="0062347D">
        <w:rPr>
          <w:rFonts w:cstheme="minorHAnsi"/>
          <w:sz w:val="24"/>
          <w:szCs w:val="24"/>
        </w:rPr>
        <w:t>= Idiopatické intersticiální pneumonie; n</w:t>
      </w:r>
      <w:r>
        <w:rPr>
          <w:rFonts w:cstheme="minorHAnsi"/>
          <w:sz w:val="24"/>
          <w:szCs w:val="24"/>
        </w:rPr>
        <w:t xml:space="preserve"> </w:t>
      </w:r>
      <w:r w:rsidRPr="0062347D">
        <w:rPr>
          <w:rFonts w:cstheme="minorHAnsi"/>
          <w:sz w:val="24"/>
          <w:szCs w:val="24"/>
        </w:rPr>
        <w:t>= počet subjektů ve skupině; ns</w:t>
      </w:r>
      <w:r>
        <w:rPr>
          <w:rFonts w:cstheme="minorHAnsi"/>
          <w:sz w:val="24"/>
          <w:szCs w:val="24"/>
        </w:rPr>
        <w:t xml:space="preserve"> </w:t>
      </w:r>
      <w:r w:rsidRPr="0062347D">
        <w:rPr>
          <w:rFonts w:cstheme="minorHAnsi"/>
          <w:sz w:val="24"/>
          <w:szCs w:val="24"/>
        </w:rPr>
        <w:t>= není signifikantní.</w:t>
      </w:r>
    </w:p>
    <w:p w:rsidR="008F0C0F" w:rsidRPr="0062347D" w:rsidRDefault="008F0C0F" w:rsidP="00284F89">
      <w:pPr>
        <w:spacing w:after="0"/>
        <w:ind w:left="567"/>
        <w:rPr>
          <w:rFonts w:cstheme="minorHAnsi"/>
          <w:sz w:val="24"/>
          <w:szCs w:val="24"/>
        </w:rPr>
      </w:pPr>
      <w:r w:rsidRPr="0062347D">
        <w:rPr>
          <w:rFonts w:cstheme="minorHAnsi"/>
          <w:sz w:val="24"/>
          <w:szCs w:val="24"/>
        </w:rPr>
        <w:t>Dunnův test mnohonásobného porovnání:</w:t>
      </w:r>
    </w:p>
    <w:p w:rsidR="008F0C0F" w:rsidRPr="0062347D" w:rsidRDefault="008F0C0F" w:rsidP="00284F89">
      <w:pPr>
        <w:spacing w:after="0"/>
        <w:ind w:left="567"/>
        <w:rPr>
          <w:rFonts w:cstheme="minorHAnsi"/>
          <w:sz w:val="24"/>
          <w:szCs w:val="24"/>
        </w:rPr>
      </w:pPr>
      <w:r w:rsidRPr="0062347D">
        <w:rPr>
          <w:rFonts w:cstheme="minorHAnsi"/>
          <w:sz w:val="24"/>
          <w:szCs w:val="24"/>
        </w:rPr>
        <w:t>Mnohonásobné porovnání bez ohledu na kouření ***</w:t>
      </w:r>
      <w:r w:rsidRPr="0062347D">
        <w:rPr>
          <w:rFonts w:cstheme="minorHAnsi"/>
          <w:i/>
          <w:sz w:val="24"/>
          <w:szCs w:val="24"/>
        </w:rPr>
        <w:t>p</w:t>
      </w:r>
      <w:r>
        <w:rPr>
          <w:rFonts w:cstheme="minorHAnsi"/>
          <w: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w:t>
      </w:r>
      <w:r w:rsidRPr="0062347D">
        <w:rPr>
          <w:rFonts w:cstheme="minorHAnsi"/>
          <w:i/>
          <w:sz w:val="24"/>
          <w:szCs w:val="24"/>
        </w:rPr>
        <w:t>p</w:t>
      </w:r>
      <w:r>
        <w:rPr>
          <w:rFonts w:cstheme="minorHAnsi"/>
          <w: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0,01; *</w:t>
      </w:r>
      <w:r w:rsidRPr="0062347D">
        <w:rPr>
          <w:rFonts w:cstheme="minorHAnsi"/>
          <w:i/>
          <w:sz w:val="24"/>
          <w:szCs w:val="24"/>
        </w:rPr>
        <w:t>p</w:t>
      </w:r>
      <w:r>
        <w:rPr>
          <w:rFonts w:cstheme="minorHAnsi"/>
          <w: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w:t>
      </w:r>
    </w:p>
    <w:p w:rsidR="008F0C0F" w:rsidRPr="0062347D" w:rsidRDefault="008F0C0F" w:rsidP="00284F89">
      <w:pPr>
        <w:spacing w:after="0"/>
        <w:ind w:left="567"/>
        <w:rPr>
          <w:rFonts w:cstheme="minorHAnsi"/>
          <w:sz w:val="24"/>
          <w:szCs w:val="24"/>
        </w:rPr>
      </w:pPr>
      <w:r w:rsidRPr="0062347D">
        <w:rPr>
          <w:rFonts w:cstheme="minorHAnsi"/>
          <w:sz w:val="24"/>
          <w:szCs w:val="24"/>
        </w:rPr>
        <w:t>Mnohonásobné porovnání u nekuřáků ###</w:t>
      </w:r>
      <w:r w:rsidRPr="0062347D">
        <w:rPr>
          <w:rFonts w:cstheme="minorHAnsi"/>
          <w:i/>
          <w:sz w:val="24"/>
          <w:szCs w:val="24"/>
        </w:rPr>
        <w:t>p</w:t>
      </w:r>
      <w:r>
        <w:rPr>
          <w:rFonts w:cstheme="minorHAnsi"/>
          <w: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w:t>
      </w:r>
      <w:r w:rsidRPr="0062347D">
        <w:rPr>
          <w:rFonts w:cstheme="minorHAnsi"/>
          <w:i/>
          <w:sz w:val="24"/>
          <w:szCs w:val="24"/>
        </w:rPr>
        <w:t>p</w:t>
      </w:r>
      <w:r>
        <w:rPr>
          <w:rFonts w:cstheme="minorHAnsi"/>
          <w: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0,01; #</w:t>
      </w:r>
      <w:r w:rsidRPr="0062347D">
        <w:rPr>
          <w:rFonts w:cstheme="minorHAnsi"/>
          <w:i/>
          <w:sz w:val="24"/>
          <w:szCs w:val="24"/>
        </w:rPr>
        <w:t>p</w:t>
      </w:r>
      <w:r>
        <w:rPr>
          <w:rFonts w:cstheme="minorHAnsi"/>
          <w: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w:t>
      </w:r>
    </w:p>
    <w:p w:rsidR="008F0C0F" w:rsidRPr="0062347D" w:rsidRDefault="008F0C0F" w:rsidP="00284F89">
      <w:pPr>
        <w:jc w:val="both"/>
        <w:rPr>
          <w:rFonts w:cstheme="minorHAnsi"/>
          <w:sz w:val="24"/>
          <w:szCs w:val="24"/>
        </w:rPr>
        <w:sectPr w:rsidR="008F0C0F" w:rsidRPr="0062347D" w:rsidSect="00284F89">
          <w:pgSz w:w="16838" w:h="11906" w:orient="landscape"/>
          <w:pgMar w:top="1418" w:right="992" w:bottom="1418" w:left="720" w:header="709" w:footer="709" w:gutter="0"/>
          <w:cols w:space="708"/>
          <w:docGrid w:linePitch="360"/>
        </w:sectPr>
      </w:pPr>
    </w:p>
    <w:p w:rsidR="008F0C0F" w:rsidRPr="0062347D" w:rsidRDefault="008F0C0F" w:rsidP="00284F89">
      <w:pPr>
        <w:pStyle w:val="Nadpis3"/>
        <w:spacing w:after="240"/>
        <w:jc w:val="both"/>
        <w:rPr>
          <w:rFonts w:cstheme="minorHAnsi"/>
          <w:szCs w:val="24"/>
        </w:rPr>
      </w:pPr>
      <w:bookmarkStart w:id="50" w:name="_Toc69543041"/>
      <w:r w:rsidRPr="0062347D">
        <w:rPr>
          <w:rFonts w:cstheme="minorHAnsi"/>
          <w:szCs w:val="24"/>
        </w:rPr>
        <w:lastRenderedPageBreak/>
        <w:t>Výsledky korelační analýzy</w:t>
      </w:r>
      <w:r w:rsidRPr="00E663BF">
        <w:rPr>
          <w:rFonts w:cstheme="minorHAnsi"/>
          <w:szCs w:val="24"/>
        </w:rPr>
        <w:t xml:space="preserve"> </w:t>
      </w:r>
      <w:r w:rsidRPr="004E5649">
        <w:rPr>
          <w:rFonts w:cstheme="minorHAnsi"/>
          <w:szCs w:val="24"/>
        </w:rPr>
        <w:t xml:space="preserve">bronchoalveolární </w:t>
      </w:r>
      <w:r w:rsidRPr="004E5649">
        <w:rPr>
          <w:rFonts w:cstheme="minorHAnsi"/>
          <w:color w:val="auto"/>
          <w:szCs w:val="24"/>
        </w:rPr>
        <w:t xml:space="preserve">mRNA exprese RNA-vazebných proteinů, inhibitorů matrix </w:t>
      </w:r>
      <w:r w:rsidRPr="00B24D8C">
        <w:rPr>
          <w:rFonts w:cstheme="minorHAnsi"/>
          <w:color w:val="auto"/>
          <w:szCs w:val="24"/>
        </w:rPr>
        <w:t xml:space="preserve">metaloproteináz </w:t>
      </w:r>
      <w:r w:rsidRPr="0062347D">
        <w:rPr>
          <w:rFonts w:cstheme="minorHAnsi"/>
          <w:color w:val="auto"/>
          <w:szCs w:val="24"/>
        </w:rPr>
        <w:t>a bronchoalveolárních buněčných populací</w:t>
      </w:r>
      <w:bookmarkEnd w:id="50"/>
    </w:p>
    <w:p w:rsidR="008F0C0F" w:rsidRPr="0062347D" w:rsidRDefault="008F0C0F" w:rsidP="007305DC">
      <w:pPr>
        <w:autoSpaceDE w:val="0"/>
        <w:autoSpaceDN w:val="0"/>
        <w:adjustRightInd w:val="0"/>
        <w:spacing w:line="360" w:lineRule="auto"/>
        <w:ind w:firstLine="709"/>
        <w:jc w:val="both"/>
        <w:rPr>
          <w:rFonts w:cstheme="minorHAnsi"/>
          <w:color w:val="000000"/>
          <w:sz w:val="24"/>
          <w:szCs w:val="24"/>
        </w:rPr>
      </w:pPr>
      <w:r w:rsidRPr="0062347D">
        <w:rPr>
          <w:rFonts w:cstheme="minorHAnsi"/>
          <w:sz w:val="24"/>
          <w:szCs w:val="24"/>
        </w:rPr>
        <w:t>Korelační analýza byla provedena za účelem nalezení vztahu mezi RNA-vazebnými proteiny a inhibitory matrix metaloproteináz, jejichž mRNA</w:t>
      </w:r>
      <w:r>
        <w:rPr>
          <w:rFonts w:cstheme="minorHAnsi"/>
          <w:sz w:val="24"/>
          <w:szCs w:val="24"/>
        </w:rPr>
        <w:t xml:space="preserve"> sekvence</w:t>
      </w:r>
      <w:r w:rsidRPr="0062347D">
        <w:rPr>
          <w:rFonts w:cstheme="minorHAnsi"/>
          <w:sz w:val="24"/>
          <w:szCs w:val="24"/>
        </w:rPr>
        <w:t xml:space="preserve"> obsahují vazebná místa bohatá na adenosin (ARE</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Adenosine-Rich Elements</w:t>
      </w:r>
      <w:r w:rsidRPr="0062347D">
        <w:rPr>
          <w:rFonts w:cstheme="minorHAnsi"/>
          <w:sz w:val="24"/>
          <w:szCs w:val="24"/>
        </w:rPr>
        <w:t>)</w:t>
      </w:r>
      <w:r w:rsidRPr="004E5649">
        <w:rPr>
          <w:rFonts w:cstheme="minorHAnsi"/>
          <w:sz w:val="24"/>
          <w:szCs w:val="24"/>
        </w:rPr>
        <w:t>. Tyto mRNA se mohou stát cílem RNA-vazebných proteinů. U pacientů s plicní sarkoidózou byla</w:t>
      </w:r>
      <w:r w:rsidRPr="00B24D8C">
        <w:rPr>
          <w:rFonts w:cstheme="minorHAnsi"/>
          <w:sz w:val="24"/>
          <w:szCs w:val="24"/>
        </w:rPr>
        <w:t xml:space="preserve"> mRNA exprese inhibitoru</w:t>
      </w:r>
      <w:r w:rsidR="004A79EE">
        <w:rPr>
          <w:rFonts w:cstheme="minorHAnsi"/>
          <w:sz w:val="24"/>
          <w:szCs w:val="24"/>
        </w:rPr>
        <w:t xml:space="preserve"> MMP</w:t>
      </w:r>
      <w:r w:rsidRPr="00B24D8C">
        <w:rPr>
          <w:rFonts w:cstheme="minorHAnsi"/>
          <w:sz w:val="24"/>
          <w:szCs w:val="24"/>
        </w:rPr>
        <w:t xml:space="preserve"> RECK </w:t>
      </w:r>
      <w:r w:rsidRPr="0062347D">
        <w:rPr>
          <w:rFonts w:cstheme="minorHAnsi"/>
          <w:sz w:val="24"/>
          <w:szCs w:val="24"/>
        </w:rPr>
        <w:t>snížená současně se snižující se</w:t>
      </w:r>
      <w:r>
        <w:rPr>
          <w:rFonts w:cstheme="minorHAnsi"/>
          <w:sz w:val="24"/>
          <w:szCs w:val="24"/>
        </w:rPr>
        <w:t xml:space="preserve"> mRNA</w:t>
      </w:r>
      <w:r w:rsidRPr="0062347D">
        <w:rPr>
          <w:rFonts w:cstheme="minorHAnsi"/>
          <w:sz w:val="24"/>
          <w:szCs w:val="24"/>
        </w:rPr>
        <w:t xml:space="preserve"> expresí </w:t>
      </w:r>
      <w:r w:rsidR="00023C7F">
        <w:rPr>
          <w:rFonts w:cstheme="minorHAnsi"/>
          <w:sz w:val="24"/>
          <w:szCs w:val="24"/>
        </w:rPr>
        <w:t xml:space="preserve">genů </w:t>
      </w:r>
      <w:r w:rsidRPr="0062347D">
        <w:rPr>
          <w:rFonts w:cstheme="minorHAnsi"/>
          <w:color w:val="000000"/>
          <w:sz w:val="24"/>
          <w:szCs w:val="24"/>
        </w:rPr>
        <w:t>AUF1 (p</w:t>
      </w:r>
      <w:r>
        <w:rPr>
          <w:rFonts w:cstheme="minorHAnsi"/>
          <w:color w:val="000000"/>
          <w:sz w:val="24"/>
          <w:szCs w:val="24"/>
        </w:rPr>
        <w:t> </w:t>
      </w:r>
      <w:r w:rsidRPr="0062347D">
        <w:rPr>
          <w:rFonts w:cstheme="minorHAnsi"/>
          <w:color w:val="000000"/>
          <w:sz w:val="24"/>
          <w:szCs w:val="24"/>
        </w:rPr>
        <w:t>=</w:t>
      </w:r>
      <w:r>
        <w:rPr>
          <w:rFonts w:cstheme="minorHAnsi"/>
          <w:color w:val="000000"/>
          <w:sz w:val="24"/>
          <w:szCs w:val="24"/>
        </w:rPr>
        <w:t> </w:t>
      </w:r>
      <w:r w:rsidRPr="0062347D">
        <w:rPr>
          <w:rFonts w:cstheme="minorHAnsi"/>
          <w:color w:val="000000"/>
          <w:sz w:val="24"/>
          <w:szCs w:val="24"/>
        </w:rPr>
        <w:t>0,002), NCL (p</w:t>
      </w:r>
      <w:r>
        <w:rPr>
          <w:rFonts w:cstheme="minorHAnsi"/>
          <w:color w:val="000000"/>
          <w:sz w:val="24"/>
          <w:szCs w:val="24"/>
        </w:rPr>
        <w:t> </w:t>
      </w:r>
      <w:r w:rsidRPr="0062347D">
        <w:rPr>
          <w:rFonts w:cstheme="minorHAnsi"/>
          <w:color w:val="000000"/>
          <w:sz w:val="24"/>
          <w:szCs w:val="24"/>
        </w:rPr>
        <w:t>=</w:t>
      </w:r>
      <w:r>
        <w:rPr>
          <w:rFonts w:cstheme="minorHAnsi"/>
          <w:color w:val="000000"/>
          <w:sz w:val="24"/>
          <w:szCs w:val="24"/>
        </w:rPr>
        <w:t> </w:t>
      </w:r>
      <w:r w:rsidRPr="0062347D">
        <w:rPr>
          <w:rFonts w:cstheme="minorHAnsi"/>
          <w:color w:val="000000"/>
          <w:sz w:val="24"/>
          <w:szCs w:val="24"/>
        </w:rPr>
        <w:t>0,02), HuR (p</w:t>
      </w:r>
      <w:r>
        <w:rPr>
          <w:rFonts w:cstheme="minorHAnsi"/>
          <w:color w:val="000000"/>
          <w:sz w:val="24"/>
          <w:szCs w:val="24"/>
        </w:rPr>
        <w:t> </w:t>
      </w:r>
      <w:r w:rsidRPr="0062347D">
        <w:rPr>
          <w:rFonts w:cstheme="minorHAnsi"/>
          <w:color w:val="000000"/>
          <w:sz w:val="24"/>
          <w:szCs w:val="24"/>
        </w:rPr>
        <w:t>=</w:t>
      </w:r>
      <w:r>
        <w:rPr>
          <w:rFonts w:cstheme="minorHAnsi"/>
          <w:color w:val="000000"/>
          <w:sz w:val="24"/>
          <w:szCs w:val="24"/>
        </w:rPr>
        <w:t> </w:t>
      </w:r>
      <w:r w:rsidRPr="0062347D">
        <w:rPr>
          <w:rFonts w:cstheme="minorHAnsi"/>
          <w:color w:val="000000"/>
          <w:sz w:val="24"/>
          <w:szCs w:val="24"/>
        </w:rPr>
        <w:t>0,002), TIA (p</w:t>
      </w:r>
      <w:r>
        <w:rPr>
          <w:rFonts w:cstheme="minorHAnsi"/>
          <w:color w:val="000000"/>
          <w:sz w:val="24"/>
          <w:szCs w:val="24"/>
        </w:rPr>
        <w:t> </w:t>
      </w:r>
      <w:r w:rsidRPr="0062347D">
        <w:rPr>
          <w:rFonts w:cstheme="minorHAnsi"/>
          <w:color w:val="000000"/>
          <w:sz w:val="24"/>
          <w:szCs w:val="24"/>
        </w:rPr>
        <w:t>&lt;</w:t>
      </w:r>
      <w:r>
        <w:rPr>
          <w:rFonts w:cstheme="minorHAnsi"/>
          <w:color w:val="000000"/>
          <w:sz w:val="24"/>
          <w:szCs w:val="24"/>
        </w:rPr>
        <w:t> </w:t>
      </w:r>
      <w:r w:rsidRPr="0062347D">
        <w:rPr>
          <w:rFonts w:cstheme="minorHAnsi"/>
          <w:color w:val="000000"/>
          <w:sz w:val="24"/>
          <w:szCs w:val="24"/>
        </w:rPr>
        <w:t>0,001) a TIAR (p</w:t>
      </w:r>
      <w:r>
        <w:rPr>
          <w:rFonts w:cstheme="minorHAnsi"/>
          <w:color w:val="000000"/>
          <w:sz w:val="24"/>
          <w:szCs w:val="24"/>
        </w:rPr>
        <w:t> </w:t>
      </w:r>
      <w:r w:rsidRPr="0062347D">
        <w:rPr>
          <w:rFonts w:cstheme="minorHAnsi"/>
          <w:color w:val="000000"/>
          <w:sz w:val="24"/>
          <w:szCs w:val="24"/>
        </w:rPr>
        <w:t>=</w:t>
      </w:r>
      <w:r>
        <w:rPr>
          <w:rFonts w:cstheme="minorHAnsi"/>
          <w:color w:val="000000"/>
          <w:sz w:val="24"/>
          <w:szCs w:val="24"/>
        </w:rPr>
        <w:t> </w:t>
      </w:r>
      <w:r w:rsidRPr="0062347D">
        <w:rPr>
          <w:rFonts w:cstheme="minorHAnsi"/>
          <w:color w:val="000000"/>
          <w:sz w:val="24"/>
          <w:szCs w:val="24"/>
        </w:rPr>
        <w:t>0,007). Nebyl nalezen žádný vztah mezi PTEN a RNA-vazebnými proteiny u pacientů s plicní sarkoidózou.</w:t>
      </w:r>
    </w:p>
    <w:p w:rsidR="008F0C0F" w:rsidRPr="0062347D" w:rsidRDefault="008F0C0F" w:rsidP="00284F89">
      <w:pPr>
        <w:autoSpaceDE w:val="0"/>
        <w:autoSpaceDN w:val="0"/>
        <w:adjustRightInd w:val="0"/>
        <w:spacing w:after="0" w:line="360" w:lineRule="auto"/>
        <w:ind w:firstLine="708"/>
        <w:jc w:val="both"/>
        <w:rPr>
          <w:rFonts w:cstheme="minorHAnsi"/>
          <w:color w:val="000000"/>
          <w:sz w:val="24"/>
          <w:szCs w:val="24"/>
        </w:rPr>
      </w:pPr>
      <w:r w:rsidRPr="0062347D">
        <w:rPr>
          <w:rFonts w:cstheme="minorHAnsi"/>
          <w:color w:val="000000"/>
          <w:sz w:val="24"/>
          <w:szCs w:val="24"/>
        </w:rPr>
        <w:t>Korelace mRNA exprese RNA-vazebných proteinů s buněčným profilem bronchoalveolární laváže zjistila negativní korelaci mRNA exprese u genu PCBP2 s absolutními i relativními počty lymfocytů (p</w:t>
      </w:r>
      <w:r>
        <w:rPr>
          <w:rFonts w:cstheme="minorHAnsi"/>
          <w:color w:val="000000"/>
          <w:sz w:val="24"/>
          <w:szCs w:val="24"/>
        </w:rPr>
        <w:t> </w:t>
      </w:r>
      <w:r w:rsidRPr="0062347D">
        <w:rPr>
          <w:rFonts w:cstheme="minorHAnsi"/>
          <w:color w:val="000000"/>
          <w:sz w:val="24"/>
          <w:szCs w:val="24"/>
        </w:rPr>
        <w:t>=</w:t>
      </w:r>
      <w:r>
        <w:rPr>
          <w:rFonts w:cstheme="minorHAnsi"/>
          <w:color w:val="000000"/>
          <w:sz w:val="24"/>
          <w:szCs w:val="24"/>
        </w:rPr>
        <w:t> </w:t>
      </w:r>
      <w:r w:rsidRPr="0062347D">
        <w:rPr>
          <w:rFonts w:cstheme="minorHAnsi"/>
          <w:color w:val="000000"/>
          <w:sz w:val="24"/>
          <w:szCs w:val="24"/>
        </w:rPr>
        <w:t>0,003 a p</w:t>
      </w:r>
      <w:r>
        <w:rPr>
          <w:rFonts w:cstheme="minorHAnsi"/>
          <w:color w:val="000000"/>
          <w:sz w:val="24"/>
          <w:szCs w:val="24"/>
        </w:rPr>
        <w:t> </w:t>
      </w:r>
      <w:r w:rsidRPr="0062347D">
        <w:rPr>
          <w:rFonts w:cstheme="minorHAnsi"/>
          <w:color w:val="000000"/>
          <w:sz w:val="24"/>
          <w:szCs w:val="24"/>
        </w:rPr>
        <w:t>=</w:t>
      </w:r>
      <w:r>
        <w:rPr>
          <w:rFonts w:cstheme="minorHAnsi"/>
          <w:color w:val="000000"/>
          <w:sz w:val="24"/>
          <w:szCs w:val="24"/>
        </w:rPr>
        <w:t> </w:t>
      </w:r>
      <w:r w:rsidRPr="0062347D">
        <w:rPr>
          <w:rFonts w:cstheme="minorHAnsi"/>
          <w:color w:val="000000"/>
          <w:sz w:val="24"/>
          <w:szCs w:val="24"/>
        </w:rPr>
        <w:t xml:space="preserve">0,003) u pacientů s plicní sarkoidózou. Další informace o vztahu BAL buněčného profilu a mRNA exprese u dalších pacientských skupin jsou uvedeny online v naší publikaci o RNA-vazebných proteinech v doplňujícím dokumentu </w:t>
      </w:r>
      <w:r w:rsidRPr="0062347D">
        <w:rPr>
          <w:rFonts w:cstheme="minorHAnsi"/>
          <w:b/>
          <w:color w:val="000000"/>
          <w:sz w:val="24"/>
          <w:szCs w:val="24"/>
        </w:rPr>
        <w:t>S1 File</w:t>
      </w:r>
      <w:r w:rsidRPr="0062347D">
        <w:rPr>
          <w:rFonts w:cstheme="minorHAnsi"/>
          <w:color w:val="000000"/>
          <w:sz w:val="24"/>
          <w:szCs w:val="24"/>
        </w:rPr>
        <w:t xml:space="preserve"> (https://doi.org/10.1371/journal.pone.0161669).</w:t>
      </w:r>
    </w:p>
    <w:p w:rsidR="00284AFD" w:rsidRDefault="008F0C0F" w:rsidP="00284AFD">
      <w:pPr>
        <w:pStyle w:val="Nadpis3"/>
        <w:spacing w:after="240"/>
        <w:rPr>
          <w:rFonts w:cstheme="minorHAnsi"/>
          <w:szCs w:val="24"/>
        </w:rPr>
      </w:pPr>
      <w:bookmarkStart w:id="51" w:name="_Toc69543042"/>
      <w:r w:rsidRPr="0062347D">
        <w:rPr>
          <w:rFonts w:cstheme="minorHAnsi"/>
          <w:szCs w:val="24"/>
        </w:rPr>
        <w:t>Vliv kouření a věku na bronchoalveolární mRNA expresi RNA-vazebných proteinů u pacientů s plicní sarkoidózou</w:t>
      </w:r>
      <w:bookmarkEnd w:id="51"/>
      <w:r w:rsidRPr="0062347D">
        <w:rPr>
          <w:rFonts w:cstheme="minorHAnsi"/>
          <w:szCs w:val="24"/>
        </w:rPr>
        <w:t xml:space="preserve"> </w:t>
      </w:r>
    </w:p>
    <w:p w:rsidR="008F0C0F" w:rsidRPr="0062347D" w:rsidRDefault="008F0C0F" w:rsidP="00284F89">
      <w:pPr>
        <w:tabs>
          <w:tab w:val="left" w:pos="8789"/>
        </w:tabs>
        <w:spacing w:before="240" w:line="360" w:lineRule="auto"/>
        <w:ind w:left="142" w:firstLine="567"/>
        <w:jc w:val="both"/>
        <w:rPr>
          <w:rFonts w:cstheme="minorHAnsi"/>
          <w:sz w:val="24"/>
          <w:szCs w:val="24"/>
        </w:rPr>
      </w:pPr>
      <w:r w:rsidRPr="0062347D">
        <w:rPr>
          <w:rFonts w:cstheme="minorHAnsi"/>
          <w:sz w:val="24"/>
          <w:szCs w:val="24"/>
        </w:rPr>
        <w:t xml:space="preserve">Zdali má kouření vliv na expresi RNA-vazebných proteinů bylo analyzováno porovnáním mezi kuřáky a nekuřáky, viz </w:t>
      </w:r>
      <w:proofErr w:type="gramStart"/>
      <w:r w:rsidRPr="0062347D">
        <w:rPr>
          <w:rFonts w:cstheme="minorHAnsi"/>
          <w:b/>
          <w:sz w:val="24"/>
          <w:szCs w:val="24"/>
        </w:rPr>
        <w:t>H.2.</w:t>
      </w:r>
      <w:proofErr w:type="gramEnd"/>
      <w:r w:rsidRPr="0062347D">
        <w:rPr>
          <w:rFonts w:cstheme="minorHAnsi"/>
          <w:sz w:val="24"/>
          <w:szCs w:val="24"/>
        </w:rPr>
        <w:t xml:space="preserve"> </w:t>
      </w:r>
      <w:r w:rsidRPr="0062347D">
        <w:rPr>
          <w:rFonts w:cstheme="minorHAnsi"/>
          <w:b/>
          <w:sz w:val="24"/>
          <w:szCs w:val="24"/>
        </w:rPr>
        <w:t>Příloha Tabulka 1</w:t>
      </w:r>
      <w:r w:rsidRPr="0062347D">
        <w:rPr>
          <w:rFonts w:cstheme="minorHAnsi"/>
          <w:sz w:val="24"/>
          <w:szCs w:val="24"/>
        </w:rPr>
        <w:t>. U pacientů s plicní sarkoidózou se relativní mRNA exprese RNA-vazebných proteinů a inhibitoru proteolytických enzymů</w:t>
      </w:r>
      <w:r>
        <w:rPr>
          <w:rFonts w:cstheme="minorHAnsi"/>
          <w:sz w:val="24"/>
          <w:szCs w:val="24"/>
        </w:rPr>
        <w:t xml:space="preserve"> RECK</w:t>
      </w:r>
      <w:r w:rsidRPr="0062347D">
        <w:rPr>
          <w:rFonts w:cstheme="minorHAnsi"/>
          <w:sz w:val="24"/>
          <w:szCs w:val="24"/>
        </w:rPr>
        <w:t xml:space="preserve"> nelišila mezi nekuřáky a kuřáky. Skupina kuřáků zahrnovala ex-kuřáky (subjekty</w:t>
      </w:r>
      <w:r>
        <w:rPr>
          <w:rFonts w:cstheme="minorHAnsi"/>
          <w:sz w:val="24"/>
          <w:szCs w:val="24"/>
        </w:rPr>
        <w:t>,</w:t>
      </w:r>
      <w:r w:rsidRPr="0062347D">
        <w:rPr>
          <w:rFonts w:cstheme="minorHAnsi"/>
          <w:sz w:val="24"/>
          <w:szCs w:val="24"/>
        </w:rPr>
        <w:t xml:space="preserve"> které přestaly kouřit) se stále kouřícími pacienty </w:t>
      </w:r>
      <w:r w:rsidRPr="0062347D">
        <w:rPr>
          <w:rFonts w:cstheme="minorHAnsi"/>
          <w:color w:val="000000"/>
          <w:sz w:val="24"/>
          <w:szCs w:val="24"/>
        </w:rPr>
        <w:t>(p</w:t>
      </w:r>
      <w:r>
        <w:rPr>
          <w:rFonts w:cstheme="minorHAnsi"/>
          <w:color w:val="000000"/>
          <w:sz w:val="24"/>
          <w:szCs w:val="24"/>
        </w:rPr>
        <w:t> </w:t>
      </w:r>
      <w:bookmarkStart w:id="52" w:name="_Hlk67322490"/>
      <w:r w:rsidRPr="0062347D">
        <w:rPr>
          <w:rFonts w:cstheme="minorHAnsi"/>
          <w:color w:val="000000"/>
          <w:sz w:val="24"/>
          <w:szCs w:val="24"/>
        </w:rPr>
        <w:t>&gt;</w:t>
      </w:r>
      <w:bookmarkEnd w:id="52"/>
      <w:r>
        <w:rPr>
          <w:rFonts w:cstheme="minorHAnsi"/>
          <w:color w:val="000000"/>
          <w:sz w:val="24"/>
          <w:szCs w:val="24"/>
        </w:rPr>
        <w:t> </w:t>
      </w:r>
      <w:r w:rsidRPr="0062347D">
        <w:rPr>
          <w:rFonts w:cstheme="minorHAnsi"/>
          <w:color w:val="000000"/>
          <w:sz w:val="24"/>
          <w:szCs w:val="24"/>
        </w:rPr>
        <w:t>0,05).</w:t>
      </w:r>
    </w:p>
    <w:p w:rsidR="008F0C0F" w:rsidRPr="0062347D" w:rsidRDefault="008F0C0F" w:rsidP="00284F89">
      <w:pPr>
        <w:spacing w:line="360" w:lineRule="auto"/>
        <w:ind w:left="142" w:firstLine="567"/>
        <w:jc w:val="both"/>
        <w:rPr>
          <w:rFonts w:cstheme="minorHAnsi"/>
          <w:color w:val="000000"/>
          <w:sz w:val="24"/>
          <w:szCs w:val="24"/>
        </w:rPr>
      </w:pPr>
      <w:r w:rsidRPr="0062347D">
        <w:rPr>
          <w:rFonts w:cstheme="minorHAnsi"/>
          <w:sz w:val="24"/>
          <w:szCs w:val="24"/>
        </w:rPr>
        <w:t>Analýza provedená s ohledem na věk pacientů nenašla rozdíl mezi mladými (</w:t>
      </w:r>
      <w:r w:rsidRPr="0062347D">
        <w:rPr>
          <w:rFonts w:cstheme="minorHAnsi"/>
          <w:color w:val="000000"/>
          <w:sz w:val="24"/>
          <w:szCs w:val="24"/>
        </w:rPr>
        <w:t>≤ 45 let, n</w:t>
      </w:r>
      <w:r>
        <w:rPr>
          <w:rFonts w:cstheme="minorHAnsi"/>
          <w:color w:val="000000"/>
          <w:sz w:val="24"/>
          <w:szCs w:val="24"/>
        </w:rPr>
        <w:t xml:space="preserve"> </w:t>
      </w:r>
      <w:r w:rsidRPr="0062347D">
        <w:rPr>
          <w:rFonts w:cstheme="minorHAnsi"/>
          <w:color w:val="000000"/>
          <w:sz w:val="24"/>
          <w:szCs w:val="24"/>
        </w:rPr>
        <w:t>= 25) a staršími (&gt;</w:t>
      </w:r>
      <w:r>
        <w:rPr>
          <w:rFonts w:cstheme="minorHAnsi"/>
          <w:color w:val="000000"/>
          <w:sz w:val="24"/>
          <w:szCs w:val="24"/>
        </w:rPr>
        <w:t> </w:t>
      </w:r>
      <w:r w:rsidRPr="0062347D">
        <w:rPr>
          <w:rFonts w:cstheme="minorHAnsi"/>
          <w:color w:val="000000"/>
          <w:sz w:val="24"/>
          <w:szCs w:val="24"/>
        </w:rPr>
        <w:t>45 let, n</w:t>
      </w:r>
      <w:r>
        <w:rPr>
          <w:rFonts w:cstheme="minorHAnsi"/>
          <w:color w:val="000000"/>
          <w:sz w:val="24"/>
          <w:szCs w:val="24"/>
        </w:rPr>
        <w:t xml:space="preserve"> </w:t>
      </w:r>
      <w:r w:rsidRPr="0062347D">
        <w:rPr>
          <w:rFonts w:cstheme="minorHAnsi"/>
          <w:color w:val="000000"/>
          <w:sz w:val="24"/>
          <w:szCs w:val="24"/>
        </w:rPr>
        <w:t>= 25) pacienty s plicní sarkoidózou (p</w:t>
      </w:r>
      <w:r>
        <w:rPr>
          <w:rFonts w:cstheme="minorHAnsi"/>
          <w:color w:val="000000"/>
          <w:sz w:val="24"/>
          <w:szCs w:val="24"/>
        </w:rPr>
        <w:t> </w:t>
      </w:r>
      <w:r w:rsidRPr="0062347D">
        <w:rPr>
          <w:rFonts w:cstheme="minorHAnsi"/>
          <w:color w:val="000000"/>
          <w:sz w:val="24"/>
          <w:szCs w:val="24"/>
        </w:rPr>
        <w:t>&gt;</w:t>
      </w:r>
      <w:r>
        <w:rPr>
          <w:rFonts w:cstheme="minorHAnsi"/>
          <w:color w:val="000000"/>
          <w:sz w:val="24"/>
          <w:szCs w:val="24"/>
        </w:rPr>
        <w:t> </w:t>
      </w:r>
      <w:r w:rsidRPr="0062347D">
        <w:rPr>
          <w:rFonts w:cstheme="minorHAnsi"/>
          <w:color w:val="000000"/>
          <w:sz w:val="24"/>
          <w:szCs w:val="24"/>
        </w:rPr>
        <w:t>0,05).</w:t>
      </w:r>
    </w:p>
    <w:p w:rsidR="008F0C0F" w:rsidRPr="0062347D" w:rsidRDefault="008F0C0F" w:rsidP="00284F89">
      <w:pPr>
        <w:rPr>
          <w:rFonts w:cstheme="minorHAnsi"/>
          <w:color w:val="000000"/>
          <w:sz w:val="24"/>
          <w:szCs w:val="24"/>
        </w:rPr>
      </w:pPr>
      <w:r w:rsidRPr="0062347D">
        <w:rPr>
          <w:rFonts w:cstheme="minorHAnsi"/>
          <w:color w:val="000000"/>
          <w:sz w:val="24"/>
          <w:szCs w:val="24"/>
        </w:rPr>
        <w:br w:type="page"/>
      </w:r>
    </w:p>
    <w:p w:rsidR="008F0C0F" w:rsidRPr="0062347D" w:rsidRDefault="008F0C0F" w:rsidP="00284F89">
      <w:pPr>
        <w:pStyle w:val="Nadpis3"/>
        <w:jc w:val="both"/>
        <w:rPr>
          <w:rFonts w:cstheme="minorHAnsi"/>
          <w:szCs w:val="24"/>
        </w:rPr>
      </w:pPr>
      <w:bookmarkStart w:id="53" w:name="_Toc69543043"/>
      <w:r w:rsidRPr="0062347D">
        <w:rPr>
          <w:rFonts w:cstheme="minorHAnsi"/>
          <w:szCs w:val="24"/>
        </w:rPr>
        <w:lastRenderedPageBreak/>
        <w:t xml:space="preserve">Výsledky </w:t>
      </w:r>
      <w:r>
        <w:rPr>
          <w:rFonts w:cstheme="minorHAnsi"/>
          <w:szCs w:val="24"/>
        </w:rPr>
        <w:t>porovnání relativní</w:t>
      </w:r>
      <w:r w:rsidRPr="0062347D">
        <w:rPr>
          <w:rFonts w:cstheme="minorHAnsi"/>
          <w:szCs w:val="24"/>
        </w:rPr>
        <w:t xml:space="preserve"> proteinové exprese dvou RNA-vazebných proteinů v mononukleárních buňkách periferní krve u pacientů s plicní sarkoidózou</w:t>
      </w:r>
      <w:r>
        <w:rPr>
          <w:rFonts w:cstheme="minorHAnsi"/>
          <w:szCs w:val="24"/>
        </w:rPr>
        <w:t xml:space="preserve"> a</w:t>
      </w:r>
      <w:r w:rsidRPr="0062347D">
        <w:rPr>
          <w:rFonts w:cstheme="minorHAnsi"/>
          <w:szCs w:val="24"/>
        </w:rPr>
        <w:t xml:space="preserve"> zdravý</w:t>
      </w:r>
      <w:r>
        <w:rPr>
          <w:rFonts w:cstheme="minorHAnsi"/>
          <w:szCs w:val="24"/>
        </w:rPr>
        <w:t>ch</w:t>
      </w:r>
      <w:r w:rsidRPr="0062347D">
        <w:rPr>
          <w:rFonts w:cstheme="minorHAnsi"/>
          <w:szCs w:val="24"/>
        </w:rPr>
        <w:t xml:space="preserve"> kontrol</w:t>
      </w:r>
      <w:bookmarkEnd w:id="53"/>
    </w:p>
    <w:p w:rsidR="008F0C0F" w:rsidRPr="0062347D" w:rsidRDefault="008F0C0F" w:rsidP="00284F89">
      <w:pPr>
        <w:spacing w:before="240" w:after="240" w:line="360" w:lineRule="auto"/>
        <w:ind w:firstLine="709"/>
        <w:jc w:val="both"/>
        <w:rPr>
          <w:rFonts w:cstheme="minorHAnsi"/>
          <w:sz w:val="24"/>
          <w:szCs w:val="24"/>
        </w:rPr>
      </w:pPr>
      <w:r w:rsidRPr="0062347D">
        <w:rPr>
          <w:rFonts w:cstheme="minorHAnsi"/>
          <w:sz w:val="24"/>
          <w:szCs w:val="24"/>
        </w:rPr>
        <w:t>Na proteinové úrovni byly stanoveny dva z nejvíce studovaných RNA-vazebných proteinů, AUF1 a HuR. Jejich exprese byla stanovena na systémové úrovni v buňkách periferní krve. Nižší průměrná fluorescenční intenzita (MFI</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Mean</w:t>
      </w:r>
      <w:r w:rsidRPr="0062347D">
        <w:rPr>
          <w:rFonts w:cstheme="minorHAnsi"/>
          <w:sz w:val="24"/>
          <w:szCs w:val="24"/>
        </w:rPr>
        <w:t xml:space="preserve"> Fluorescence I</w:t>
      </w:r>
      <w:r w:rsidRPr="00E663BF">
        <w:rPr>
          <w:rFonts w:cstheme="minorHAnsi"/>
          <w:sz w:val="24"/>
          <w:szCs w:val="24"/>
        </w:rPr>
        <w:t>ntensity) u</w:t>
      </w:r>
      <w:r>
        <w:rPr>
          <w:rFonts w:cstheme="minorHAnsi"/>
          <w:sz w:val="24"/>
          <w:szCs w:val="24"/>
        </w:rPr>
        <w:t> </w:t>
      </w:r>
      <w:r w:rsidRPr="00E663BF">
        <w:rPr>
          <w:rFonts w:cstheme="minorHAnsi"/>
          <w:sz w:val="24"/>
          <w:szCs w:val="24"/>
        </w:rPr>
        <w:t>pr</w:t>
      </w:r>
      <w:r w:rsidRPr="004E5649">
        <w:rPr>
          <w:rFonts w:cstheme="minorHAnsi"/>
          <w:sz w:val="24"/>
          <w:szCs w:val="24"/>
        </w:rPr>
        <w:t>oteinu AUF1 (p</w:t>
      </w:r>
      <w:r>
        <w:rPr>
          <w:rFonts w:cstheme="minorHAnsi"/>
          <w:sz w:val="24"/>
          <w:szCs w:val="24"/>
        </w:rPr>
        <w:t> </w:t>
      </w:r>
      <w:r w:rsidRPr="004E5649">
        <w:rPr>
          <w:rFonts w:cstheme="minorHAnsi"/>
          <w:sz w:val="24"/>
          <w:szCs w:val="24"/>
        </w:rPr>
        <w:t>&lt;</w:t>
      </w:r>
      <w:r>
        <w:rPr>
          <w:rFonts w:cstheme="minorHAnsi"/>
          <w:sz w:val="24"/>
          <w:szCs w:val="24"/>
        </w:rPr>
        <w:t> </w:t>
      </w:r>
      <w:r w:rsidRPr="004E5649">
        <w:rPr>
          <w:rFonts w:cstheme="minorHAnsi"/>
          <w:sz w:val="24"/>
          <w:szCs w:val="24"/>
        </w:rPr>
        <w:t>0,02) a HuR (p</w:t>
      </w:r>
      <w:r>
        <w:rPr>
          <w:rFonts w:cstheme="minorHAnsi"/>
          <w:sz w:val="24"/>
          <w:szCs w:val="24"/>
        </w:rPr>
        <w:t> </w:t>
      </w:r>
      <w:r w:rsidRPr="004E5649">
        <w:rPr>
          <w:rFonts w:cstheme="minorHAnsi"/>
          <w:sz w:val="24"/>
          <w:szCs w:val="24"/>
        </w:rPr>
        <w:t>&lt;</w:t>
      </w:r>
      <w:r>
        <w:rPr>
          <w:rFonts w:cstheme="minorHAnsi"/>
          <w:sz w:val="24"/>
          <w:szCs w:val="24"/>
        </w:rPr>
        <w:t> </w:t>
      </w:r>
      <w:r w:rsidRPr="004E5649">
        <w:rPr>
          <w:rFonts w:cstheme="minorHAnsi"/>
          <w:sz w:val="24"/>
          <w:szCs w:val="24"/>
        </w:rPr>
        <w:t>0,03) byla stanovena v CD3</w:t>
      </w:r>
      <w:r w:rsidRPr="004E5649">
        <w:rPr>
          <w:rFonts w:cstheme="minorHAnsi"/>
          <w:sz w:val="24"/>
          <w:szCs w:val="24"/>
          <w:vertAlign w:val="superscript"/>
        </w:rPr>
        <w:t>+</w:t>
      </w:r>
      <w:r w:rsidRPr="004E5649">
        <w:rPr>
          <w:rFonts w:cstheme="minorHAnsi"/>
          <w:sz w:val="24"/>
          <w:szCs w:val="24"/>
        </w:rPr>
        <w:t>, CD4</w:t>
      </w:r>
      <w:r w:rsidRPr="004E5649">
        <w:rPr>
          <w:rFonts w:cstheme="minorHAnsi"/>
          <w:sz w:val="24"/>
          <w:szCs w:val="24"/>
          <w:vertAlign w:val="superscript"/>
        </w:rPr>
        <w:t>+</w:t>
      </w:r>
      <w:r w:rsidRPr="004E5649">
        <w:rPr>
          <w:rFonts w:cstheme="minorHAnsi"/>
          <w:sz w:val="24"/>
          <w:szCs w:val="24"/>
        </w:rPr>
        <w:t xml:space="preserve"> a CD8</w:t>
      </w:r>
      <w:r w:rsidRPr="00B24D8C">
        <w:rPr>
          <w:rFonts w:cstheme="minorHAnsi"/>
          <w:sz w:val="24"/>
          <w:szCs w:val="24"/>
          <w:vertAlign w:val="superscript"/>
        </w:rPr>
        <w:t>+</w:t>
      </w:r>
      <w:r w:rsidRPr="0062347D">
        <w:rPr>
          <w:rFonts w:cstheme="minorHAnsi"/>
          <w:sz w:val="24"/>
          <w:szCs w:val="24"/>
        </w:rPr>
        <w:t xml:space="preserve"> T-lymfocytech u</w:t>
      </w:r>
      <w:r>
        <w:rPr>
          <w:rFonts w:cstheme="minorHAnsi"/>
          <w:sz w:val="24"/>
          <w:szCs w:val="24"/>
        </w:rPr>
        <w:t> </w:t>
      </w:r>
      <w:r w:rsidRPr="0062347D">
        <w:rPr>
          <w:rFonts w:cstheme="minorHAnsi"/>
          <w:sz w:val="24"/>
          <w:szCs w:val="24"/>
        </w:rPr>
        <w:t xml:space="preserve">pacientů se sarkoidózou v porovnání se zdravými kontrolami </w:t>
      </w:r>
      <w:r w:rsidRPr="0062347D">
        <w:rPr>
          <w:rFonts w:cstheme="minorHAnsi"/>
          <w:b/>
          <w:sz w:val="24"/>
          <w:szCs w:val="24"/>
        </w:rPr>
        <w:t>(Obrázek 6).</w:t>
      </w:r>
      <w:r w:rsidRPr="0062347D">
        <w:rPr>
          <w:rFonts w:cstheme="minorHAnsi"/>
          <w:sz w:val="24"/>
          <w:szCs w:val="24"/>
        </w:rPr>
        <w:br w:type="page"/>
      </w:r>
    </w:p>
    <w:p w:rsidR="008F0C0F" w:rsidRPr="0062347D" w:rsidRDefault="008F0C0F" w:rsidP="00284F89">
      <w:pPr>
        <w:jc w:val="both"/>
        <w:rPr>
          <w:rFonts w:cstheme="minorHAnsi"/>
          <w:sz w:val="24"/>
          <w:szCs w:val="24"/>
        </w:rPr>
      </w:pPr>
      <w:bookmarkStart w:id="54" w:name="article1.body1.sec3.sec6.p1"/>
      <w:bookmarkEnd w:id="54"/>
      <w:r w:rsidRPr="0062347D">
        <w:rPr>
          <w:rFonts w:cstheme="minorHAnsi"/>
          <w:b/>
          <w:sz w:val="24"/>
          <w:szCs w:val="24"/>
        </w:rPr>
        <w:lastRenderedPageBreak/>
        <w:t xml:space="preserve">Obrázek 6: </w:t>
      </w:r>
      <w:r w:rsidRPr="0062347D">
        <w:rPr>
          <w:rFonts w:cstheme="minorHAnsi"/>
          <w:sz w:val="24"/>
          <w:szCs w:val="24"/>
        </w:rPr>
        <w:t>Porovnání průměrné fluorescenční intenzity (MFI</w:t>
      </w:r>
      <w:r>
        <w:rPr>
          <w:rFonts w:cstheme="minorHAnsi"/>
          <w:sz w:val="24"/>
          <w:szCs w:val="24"/>
        </w:rPr>
        <w:t xml:space="preserve"> </w:t>
      </w:r>
      <w:r w:rsidRPr="0062347D">
        <w:rPr>
          <w:rFonts w:cstheme="minorHAnsi"/>
          <w:sz w:val="24"/>
          <w:szCs w:val="24"/>
        </w:rPr>
        <w:t xml:space="preserve">= </w:t>
      </w:r>
      <w:r w:rsidRPr="00C87449">
        <w:rPr>
          <w:rFonts w:cstheme="minorHAnsi"/>
          <w:sz w:val="24"/>
          <w:szCs w:val="24"/>
        </w:rPr>
        <w:t>Mean</w:t>
      </w:r>
      <w:r w:rsidRPr="0062347D">
        <w:rPr>
          <w:rFonts w:cstheme="minorHAnsi"/>
          <w:sz w:val="24"/>
          <w:szCs w:val="24"/>
        </w:rPr>
        <w:t xml:space="preserve"> fluorescence intensity) protei</w:t>
      </w:r>
      <w:r w:rsidRPr="00E663BF">
        <w:rPr>
          <w:rFonts w:cstheme="minorHAnsi"/>
          <w:sz w:val="24"/>
          <w:szCs w:val="24"/>
        </w:rPr>
        <w:t>nů</w:t>
      </w:r>
      <w:r w:rsidRPr="004E5649">
        <w:rPr>
          <w:rFonts w:cstheme="minorHAnsi"/>
          <w:sz w:val="24"/>
          <w:szCs w:val="24"/>
        </w:rPr>
        <w:t xml:space="preserve"> AUF1 a HuR v CD3</w:t>
      </w:r>
      <w:r w:rsidRPr="004E5649">
        <w:rPr>
          <w:rFonts w:cstheme="minorHAnsi"/>
          <w:sz w:val="24"/>
          <w:szCs w:val="24"/>
          <w:vertAlign w:val="superscript"/>
        </w:rPr>
        <w:t>+</w:t>
      </w:r>
      <w:r w:rsidRPr="004E5649">
        <w:rPr>
          <w:rFonts w:cstheme="minorHAnsi"/>
          <w:sz w:val="24"/>
          <w:szCs w:val="24"/>
        </w:rPr>
        <w:t>, CD4</w:t>
      </w:r>
      <w:r w:rsidRPr="004E5649">
        <w:rPr>
          <w:rFonts w:cstheme="minorHAnsi"/>
          <w:sz w:val="24"/>
          <w:szCs w:val="24"/>
          <w:vertAlign w:val="superscript"/>
        </w:rPr>
        <w:t>+</w:t>
      </w:r>
      <w:r w:rsidRPr="00B24D8C">
        <w:rPr>
          <w:rFonts w:cstheme="minorHAnsi"/>
          <w:sz w:val="24"/>
          <w:szCs w:val="24"/>
        </w:rPr>
        <w:t xml:space="preserve"> a CD8</w:t>
      </w:r>
      <w:r w:rsidRPr="0062347D">
        <w:rPr>
          <w:rFonts w:cstheme="minorHAnsi"/>
          <w:sz w:val="24"/>
          <w:szCs w:val="24"/>
          <w:vertAlign w:val="superscript"/>
        </w:rPr>
        <w:t>+</w:t>
      </w:r>
      <w:r w:rsidRPr="0062347D">
        <w:rPr>
          <w:rFonts w:cstheme="minorHAnsi"/>
          <w:sz w:val="24"/>
          <w:szCs w:val="24"/>
        </w:rPr>
        <w:t xml:space="preserve"> pozitivních buněčných populacích v mononukleárních buňkách periferní krve.</w:t>
      </w:r>
    </w:p>
    <w:p w:rsidR="008F0C0F" w:rsidRPr="0062347D" w:rsidRDefault="008F0C0F" w:rsidP="00284F89">
      <w:pPr>
        <w:jc w:val="both"/>
        <w:rPr>
          <w:rFonts w:cstheme="minorHAnsi"/>
          <w:sz w:val="24"/>
          <w:szCs w:val="24"/>
        </w:rPr>
      </w:pPr>
      <w:r w:rsidRPr="0062347D">
        <w:rPr>
          <w:rFonts w:cstheme="minorHAnsi"/>
          <w:noProof/>
          <w:sz w:val="24"/>
          <w:szCs w:val="24"/>
          <w:lang w:eastAsia="cs-CZ"/>
        </w:rPr>
        <w:drawing>
          <wp:inline distT="0" distB="0" distL="0" distR="0" wp14:anchorId="09F0316C" wp14:editId="5EA4B268">
            <wp:extent cx="5759450" cy="6122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2021 opravený obrázek MF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6122035"/>
                    </a:xfrm>
                    <a:prstGeom prst="rect">
                      <a:avLst/>
                    </a:prstGeom>
                  </pic:spPr>
                </pic:pic>
              </a:graphicData>
            </a:graphic>
          </wp:inline>
        </w:drawing>
      </w:r>
    </w:p>
    <w:p w:rsidR="008F0C0F" w:rsidRPr="0062347D" w:rsidRDefault="008F0C0F" w:rsidP="00284F89">
      <w:pPr>
        <w:jc w:val="both"/>
        <w:rPr>
          <w:rFonts w:cstheme="minorHAnsi"/>
          <w:sz w:val="24"/>
          <w:szCs w:val="24"/>
        </w:rPr>
      </w:pPr>
      <w:r w:rsidRPr="00E663BF">
        <w:rPr>
          <w:rFonts w:cstheme="minorHAnsi"/>
          <w:b/>
          <w:sz w:val="24"/>
          <w:szCs w:val="24"/>
        </w:rPr>
        <w:t xml:space="preserve">Legenda k obrázku </w:t>
      </w:r>
      <w:r w:rsidRPr="004E5649">
        <w:rPr>
          <w:rFonts w:cstheme="minorHAnsi"/>
          <w:b/>
          <w:sz w:val="24"/>
          <w:szCs w:val="24"/>
        </w:rPr>
        <w:t>6:</w:t>
      </w:r>
      <w:r w:rsidRPr="004E5649">
        <w:rPr>
          <w:rFonts w:cstheme="minorHAnsi"/>
          <w:sz w:val="24"/>
          <w:szCs w:val="24"/>
        </w:rPr>
        <w:t xml:space="preserve"> K</w:t>
      </w:r>
      <w:r>
        <w:rPr>
          <w:rFonts w:cstheme="minorHAnsi"/>
          <w:sz w:val="24"/>
          <w:szCs w:val="24"/>
        </w:rPr>
        <w:t xml:space="preserve"> </w:t>
      </w:r>
      <w:r w:rsidRPr="004E5649">
        <w:rPr>
          <w:rFonts w:cstheme="minorHAnsi"/>
          <w:sz w:val="24"/>
          <w:szCs w:val="24"/>
        </w:rPr>
        <w:t>= zdravé kontroly, S</w:t>
      </w:r>
      <w:r>
        <w:rPr>
          <w:rFonts w:cstheme="minorHAnsi"/>
          <w:sz w:val="24"/>
          <w:szCs w:val="24"/>
        </w:rPr>
        <w:t xml:space="preserve"> </w:t>
      </w:r>
      <w:r w:rsidRPr="004E5649">
        <w:rPr>
          <w:rFonts w:cstheme="minorHAnsi"/>
          <w:sz w:val="24"/>
          <w:szCs w:val="24"/>
        </w:rPr>
        <w:t>= pacienti s plicní sarkoidózou, MFI</w:t>
      </w:r>
      <w:r w:rsidRPr="00B24D8C">
        <w:rPr>
          <w:rFonts w:cstheme="minorHAnsi"/>
          <w:sz w:val="24"/>
          <w:szCs w:val="24"/>
        </w:rPr>
        <w:t xml:space="preserve"> </w:t>
      </w:r>
      <w:r w:rsidRPr="0062347D">
        <w:rPr>
          <w:rFonts w:cstheme="minorHAnsi"/>
          <w:sz w:val="24"/>
          <w:szCs w:val="24"/>
        </w:rPr>
        <w:t>(</w:t>
      </w:r>
      <w:r w:rsidRPr="00C87449">
        <w:rPr>
          <w:rFonts w:cstheme="minorHAnsi"/>
          <w:sz w:val="24"/>
          <w:szCs w:val="24"/>
        </w:rPr>
        <w:t>Mean</w:t>
      </w:r>
      <w:r w:rsidRPr="0062347D">
        <w:rPr>
          <w:rFonts w:cstheme="minorHAnsi"/>
          <w:sz w:val="24"/>
          <w:szCs w:val="24"/>
        </w:rPr>
        <w:t xml:space="preserve"> Fluorescence Intensity</w:t>
      </w:r>
      <w:r w:rsidRPr="00E663BF">
        <w:rPr>
          <w:rFonts w:cstheme="minorHAnsi"/>
          <w:sz w:val="24"/>
          <w:szCs w:val="24"/>
        </w:rPr>
        <w:t>)</w:t>
      </w:r>
      <w:r>
        <w:rPr>
          <w:rFonts w:cstheme="minorHAnsi"/>
          <w:sz w:val="24"/>
          <w:szCs w:val="24"/>
        </w:rPr>
        <w:t xml:space="preserve"> </w:t>
      </w:r>
      <w:r w:rsidRPr="00E663BF">
        <w:rPr>
          <w:rFonts w:cstheme="minorHAnsi"/>
          <w:sz w:val="24"/>
          <w:szCs w:val="24"/>
        </w:rPr>
        <w:t>= průměrná fluorescenční intenzita</w:t>
      </w:r>
      <w:r w:rsidRPr="004E5649">
        <w:rPr>
          <w:rFonts w:cstheme="minorHAnsi"/>
          <w:sz w:val="24"/>
          <w:szCs w:val="24"/>
        </w:rPr>
        <w:t>. Data jsou vyjádřena jako krabicový</w:t>
      </w:r>
      <w:r w:rsidRPr="00B24D8C">
        <w:rPr>
          <w:rFonts w:cstheme="minorHAnsi"/>
          <w:sz w:val="24"/>
          <w:szCs w:val="24"/>
        </w:rPr>
        <w:t xml:space="preserve"> graf (boxplo</w:t>
      </w:r>
      <w:r w:rsidRPr="0062347D">
        <w:rPr>
          <w:rFonts w:cstheme="minorHAnsi"/>
          <w:sz w:val="24"/>
          <w:szCs w:val="24"/>
        </w:rPr>
        <w:t>t), který vyznačuje 25. až 75. percentil. Medián je vyznačen jako vodorovná spojnice v grafu. CD3</w:t>
      </w:r>
      <w:r>
        <w:rPr>
          <w:rFonts w:cstheme="minorHAnsi"/>
          <w:sz w:val="24"/>
          <w:szCs w:val="24"/>
        </w:rPr>
        <w:t xml:space="preserve"> </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 xml:space="preserve"> buňky; CD4</w:t>
      </w:r>
      <w:r>
        <w:rPr>
          <w:rFonts w:cstheme="minorHAnsi"/>
          <w:sz w:val="24"/>
          <w:szCs w:val="24"/>
        </w:rPr>
        <w:t xml:space="preserve"> </w:t>
      </w:r>
      <w:r w:rsidRPr="0062347D">
        <w:rPr>
          <w:rFonts w:cstheme="minorHAnsi"/>
          <w:sz w:val="24"/>
          <w:szCs w:val="24"/>
        </w:rPr>
        <w:t>= CD4</w:t>
      </w:r>
      <w:r w:rsidRPr="0062347D">
        <w:rPr>
          <w:rFonts w:cstheme="minorHAnsi"/>
          <w:sz w:val="24"/>
          <w:szCs w:val="24"/>
          <w:vertAlign w:val="superscript"/>
        </w:rPr>
        <w:t>+</w:t>
      </w:r>
      <w:r w:rsidRPr="0062347D">
        <w:rPr>
          <w:rFonts w:cstheme="minorHAnsi"/>
          <w:sz w:val="24"/>
          <w:szCs w:val="24"/>
        </w:rPr>
        <w:t xml:space="preserve"> buňky, CD8</w:t>
      </w:r>
      <w:r>
        <w:rPr>
          <w:rFonts w:cstheme="minorHAnsi"/>
          <w:sz w:val="24"/>
          <w:szCs w:val="24"/>
        </w:rPr>
        <w:t xml:space="preserve"> </w:t>
      </w:r>
      <w:r w:rsidRPr="0062347D">
        <w:rPr>
          <w:rFonts w:cstheme="minorHAnsi"/>
          <w:sz w:val="24"/>
          <w:szCs w:val="24"/>
        </w:rPr>
        <w:t>= CD8</w:t>
      </w:r>
      <w:r w:rsidRPr="0062347D">
        <w:rPr>
          <w:rFonts w:cstheme="minorHAnsi"/>
          <w:sz w:val="24"/>
          <w:szCs w:val="24"/>
          <w:vertAlign w:val="superscript"/>
        </w:rPr>
        <w:t>+</w:t>
      </w:r>
      <w:r w:rsidRPr="0062347D">
        <w:rPr>
          <w:rFonts w:cstheme="minorHAnsi"/>
          <w:sz w:val="24"/>
          <w:szCs w:val="24"/>
        </w:rPr>
        <w:t xml:space="preserve"> buňky </w:t>
      </w:r>
      <w:r w:rsidRPr="0062347D">
        <w:rPr>
          <w:rFonts w:cstheme="minorHAnsi"/>
          <w:sz w:val="24"/>
          <w:szCs w:val="24"/>
        </w:rPr>
        <w:br w:type="page"/>
      </w:r>
    </w:p>
    <w:p w:rsidR="008F0C0F" w:rsidRPr="0062347D" w:rsidRDefault="008F0C0F" w:rsidP="00284F89">
      <w:pPr>
        <w:pStyle w:val="Nadpis2"/>
        <w:jc w:val="both"/>
        <w:rPr>
          <w:rFonts w:cstheme="minorHAnsi"/>
          <w:szCs w:val="24"/>
        </w:rPr>
      </w:pPr>
      <w:bookmarkStart w:id="55" w:name="_Toc69543044"/>
      <w:r w:rsidRPr="0062347D">
        <w:rPr>
          <w:rFonts w:cstheme="minorHAnsi"/>
          <w:szCs w:val="24"/>
        </w:rPr>
        <w:lastRenderedPageBreak/>
        <w:t>Výsledky stanovení relativní exprese miRNA v séru u pacientů s plicní sarkoidózou a zdravými kontrolami</w:t>
      </w:r>
      <w:bookmarkEnd w:id="55"/>
    </w:p>
    <w:p w:rsidR="008F0C0F" w:rsidRPr="0062347D" w:rsidRDefault="008F0C0F" w:rsidP="00284F89">
      <w:pPr>
        <w:pStyle w:val="Nadpis3"/>
        <w:spacing w:after="240"/>
        <w:rPr>
          <w:rFonts w:cstheme="minorHAnsi"/>
          <w:szCs w:val="24"/>
        </w:rPr>
      </w:pPr>
      <w:bookmarkStart w:id="56" w:name="_Toc69543045"/>
      <w:r w:rsidRPr="0062347D">
        <w:rPr>
          <w:rFonts w:cstheme="minorHAnsi"/>
          <w:szCs w:val="24"/>
        </w:rPr>
        <w:t>Výsledky Mann-Whitney testu při porovnání exprese miRNA v séru</w:t>
      </w:r>
      <w:bookmarkEnd w:id="56"/>
      <w:r w:rsidRPr="0062347D">
        <w:rPr>
          <w:rFonts w:cstheme="minorHAnsi"/>
          <w:szCs w:val="24"/>
        </w:rPr>
        <w:t xml:space="preserve"> </w:t>
      </w:r>
    </w:p>
    <w:p w:rsidR="008F0C0F" w:rsidRPr="0062347D" w:rsidRDefault="008F0C0F" w:rsidP="00284F89">
      <w:pPr>
        <w:spacing w:after="240" w:line="360" w:lineRule="auto"/>
        <w:ind w:firstLine="708"/>
        <w:jc w:val="both"/>
        <w:rPr>
          <w:rFonts w:cstheme="minorHAnsi"/>
          <w:sz w:val="24"/>
          <w:szCs w:val="24"/>
        </w:rPr>
      </w:pPr>
      <w:r w:rsidRPr="0062347D">
        <w:rPr>
          <w:rFonts w:cstheme="minorHAnsi"/>
          <w:sz w:val="24"/>
          <w:szCs w:val="24"/>
        </w:rPr>
        <w:t>V porovnání se zdravými kontrolami byla pozorována zvýšená relativní sérová exprese miR-146a-5p a miR-16-5p a snížená exprese miR-425-5p a miR-93-5p v obou skupinách pacientů s plicní sarkoidózou s Löfgrenovým syndromem a bez Löfgrenova syndromu (</w:t>
      </w:r>
      <w:r w:rsidRPr="0062347D">
        <w:rPr>
          <w:rFonts w:cstheme="minorHAnsi"/>
          <w:b/>
          <w:sz w:val="24"/>
          <w:szCs w:val="24"/>
        </w:rPr>
        <w:t>Obrázek 7a-d</w:t>
      </w:r>
      <w:r w:rsidRPr="0062347D">
        <w:rPr>
          <w:rFonts w:cstheme="minorHAnsi"/>
          <w:sz w:val="24"/>
          <w:szCs w:val="24"/>
        </w:rPr>
        <w:t>). Exprese tří miRNA (miR-150-5p, miR-1 a miR-212-3p) byly sníženy u našich pacientů bez Löfgrenova syndromu v porovnání se zdravými kontrolami (</w:t>
      </w:r>
      <w:r w:rsidRPr="0062347D">
        <w:rPr>
          <w:rFonts w:cstheme="minorHAnsi"/>
          <w:b/>
          <w:sz w:val="24"/>
          <w:szCs w:val="24"/>
        </w:rPr>
        <w:t>Obrázek 8a-c</w:t>
      </w:r>
      <w:r w:rsidRPr="0062347D">
        <w:rPr>
          <w:rFonts w:cstheme="minorHAnsi"/>
          <w:sz w:val="24"/>
          <w:szCs w:val="24"/>
        </w:rPr>
        <w:t>). Exprese miR-21-5p byla zvýšená u našich pacientů s Löfgrenovým syndromem v porovnání se zdravými kontrolami (</w:t>
      </w:r>
      <w:r w:rsidRPr="0062347D">
        <w:rPr>
          <w:rFonts w:cstheme="minorHAnsi"/>
          <w:b/>
          <w:sz w:val="24"/>
          <w:szCs w:val="24"/>
        </w:rPr>
        <w:t>Obrázek 9a</w:t>
      </w:r>
      <w:r w:rsidRPr="0062347D">
        <w:rPr>
          <w:rFonts w:cstheme="minorHAnsi"/>
          <w:sz w:val="24"/>
          <w:szCs w:val="24"/>
        </w:rPr>
        <w:t>). Naopak miR-340-5p byla snížena u</w:t>
      </w:r>
      <w:r>
        <w:rPr>
          <w:rFonts w:cstheme="minorHAnsi"/>
          <w:sz w:val="24"/>
          <w:szCs w:val="24"/>
        </w:rPr>
        <w:t> </w:t>
      </w:r>
      <w:r w:rsidRPr="0062347D">
        <w:rPr>
          <w:rFonts w:cstheme="minorHAnsi"/>
          <w:sz w:val="24"/>
          <w:szCs w:val="24"/>
        </w:rPr>
        <w:t>pacientů s Löfgrenovým syndromem v porovnání se zdravými kontrolami (</w:t>
      </w:r>
      <w:r w:rsidRPr="0062347D">
        <w:rPr>
          <w:rFonts w:cstheme="minorHAnsi"/>
          <w:b/>
          <w:sz w:val="24"/>
          <w:szCs w:val="24"/>
        </w:rPr>
        <w:t>Obrázek 9b</w:t>
      </w:r>
      <w:r w:rsidRPr="0062347D">
        <w:rPr>
          <w:rFonts w:cstheme="minorHAnsi"/>
          <w:sz w:val="24"/>
          <w:szCs w:val="24"/>
        </w:rPr>
        <w:t>). Pacienti bez Löfgrenova syndromu měli sníženou expresi miR-212-3p a miR-21-5p a zvýšenou expresi miR-340-5p v porovnání s pacienty s Löfgrenovým syndromem (</w:t>
      </w:r>
      <w:r w:rsidRPr="0062347D">
        <w:rPr>
          <w:rFonts w:cstheme="minorHAnsi"/>
          <w:b/>
          <w:sz w:val="24"/>
          <w:szCs w:val="24"/>
        </w:rPr>
        <w:t>Obrázek 8c, 9a a 9b</w:t>
      </w:r>
      <w:r w:rsidRPr="0062347D">
        <w:rPr>
          <w:rFonts w:cstheme="minorHAnsi"/>
          <w:sz w:val="24"/>
          <w:szCs w:val="24"/>
        </w:rPr>
        <w:t>).</w:t>
      </w:r>
    </w:p>
    <w:p w:rsidR="008F0C0F" w:rsidRPr="0062347D" w:rsidRDefault="008F0C0F">
      <w:pPr>
        <w:rPr>
          <w:rFonts w:cstheme="minorHAnsi"/>
          <w:sz w:val="24"/>
          <w:szCs w:val="24"/>
        </w:rPr>
      </w:pPr>
      <w:r w:rsidRPr="0062347D">
        <w:rPr>
          <w:rFonts w:cstheme="minorHAnsi"/>
          <w:sz w:val="24"/>
          <w:szCs w:val="24"/>
        </w:rPr>
        <w:br w:type="page"/>
      </w:r>
    </w:p>
    <w:p w:rsidR="008F0C0F" w:rsidRPr="0062347D" w:rsidRDefault="008F0C0F" w:rsidP="00284F89">
      <w:pPr>
        <w:keepNext/>
        <w:spacing w:after="240" w:line="360" w:lineRule="auto"/>
        <w:ind w:firstLine="709"/>
        <w:rPr>
          <w:rFonts w:cstheme="minorHAnsi"/>
          <w:sz w:val="24"/>
          <w:szCs w:val="24"/>
        </w:rPr>
      </w:pPr>
      <w:r w:rsidRPr="0062347D">
        <w:rPr>
          <w:rFonts w:cstheme="minorHAnsi"/>
          <w:b/>
          <w:sz w:val="24"/>
          <w:szCs w:val="24"/>
        </w:rPr>
        <w:lastRenderedPageBreak/>
        <w:t>Obrázek 7:</w:t>
      </w:r>
      <w:r w:rsidRPr="0062347D">
        <w:rPr>
          <w:rFonts w:cstheme="minorHAnsi"/>
          <w:sz w:val="24"/>
          <w:szCs w:val="24"/>
        </w:rPr>
        <w:t xml:space="preserve"> Sérová relativní exprese miRNA deregulovaných v obou skupinách pacientů s plicní sarkoidózou s Löfgrenovým syndromem a bez Löfgrenova syndromu v porovnání se zdravými kontrolami.</w:t>
      </w:r>
      <w:r w:rsidRPr="0062347D">
        <w:rPr>
          <w:rFonts w:cstheme="minorHAnsi"/>
          <w:noProof/>
          <w:sz w:val="24"/>
          <w:szCs w:val="24"/>
          <w:lang w:eastAsia="cs-CZ"/>
        </w:rPr>
        <w:drawing>
          <wp:inline distT="0" distB="0" distL="0" distR="0" wp14:anchorId="6F5D2621" wp14:editId="638CC4D6">
            <wp:extent cx="5759450" cy="24053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 RNA obrázek číslo 7 a,b.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2405380"/>
                    </a:xfrm>
                    <a:prstGeom prst="rect">
                      <a:avLst/>
                    </a:prstGeom>
                  </pic:spPr>
                </pic:pic>
              </a:graphicData>
            </a:graphic>
          </wp:inline>
        </w:drawing>
      </w:r>
      <w:r w:rsidRPr="00E663BF">
        <w:rPr>
          <w:rFonts w:cstheme="minorHAnsi"/>
          <w:noProof/>
          <w:sz w:val="24"/>
          <w:szCs w:val="24"/>
          <w:lang w:eastAsia="cs-CZ"/>
        </w:rPr>
        <w:drawing>
          <wp:inline distT="0" distB="0" distL="0" distR="0" wp14:anchorId="2A682188" wp14:editId="77DB256F">
            <wp:extent cx="5759450" cy="248221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 obrázek 7 c d.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2482215"/>
                    </a:xfrm>
                    <a:prstGeom prst="rect">
                      <a:avLst/>
                    </a:prstGeom>
                  </pic:spPr>
                </pic:pic>
              </a:graphicData>
            </a:graphic>
          </wp:inline>
        </w:drawing>
      </w:r>
    </w:p>
    <w:p w:rsidR="008F0C0F" w:rsidRPr="0062347D" w:rsidRDefault="008F0C0F" w:rsidP="00284F89">
      <w:pPr>
        <w:jc w:val="both"/>
        <w:rPr>
          <w:rFonts w:cstheme="minorHAnsi"/>
          <w:sz w:val="24"/>
          <w:szCs w:val="24"/>
        </w:rPr>
      </w:pPr>
      <w:r w:rsidRPr="00E663BF">
        <w:rPr>
          <w:rFonts w:cstheme="minorHAnsi"/>
          <w:b/>
          <w:sz w:val="24"/>
          <w:szCs w:val="24"/>
        </w:rPr>
        <w:t xml:space="preserve">Legenda k obrázku </w:t>
      </w:r>
      <w:r w:rsidRPr="004E5649">
        <w:rPr>
          <w:rFonts w:cstheme="minorHAnsi"/>
          <w:b/>
          <w:sz w:val="24"/>
          <w:szCs w:val="24"/>
        </w:rPr>
        <w:t>7</w:t>
      </w:r>
      <w:r w:rsidRPr="004E5649">
        <w:rPr>
          <w:rFonts w:cstheme="minorHAnsi"/>
          <w:sz w:val="24"/>
          <w:szCs w:val="24"/>
        </w:rPr>
        <w:t>: LS</w:t>
      </w:r>
      <w:r>
        <w:rPr>
          <w:rFonts w:cstheme="minorHAnsi"/>
          <w:sz w:val="24"/>
          <w:szCs w:val="24"/>
        </w:rPr>
        <w:t xml:space="preserve"> </w:t>
      </w:r>
      <w:r w:rsidRPr="004E5649">
        <w:rPr>
          <w:rFonts w:cstheme="minorHAnsi"/>
          <w:sz w:val="24"/>
          <w:szCs w:val="24"/>
        </w:rPr>
        <w:t>= Löfgrenův syndrom; RTG</w:t>
      </w:r>
      <w:r>
        <w:rPr>
          <w:rFonts w:cstheme="minorHAnsi"/>
          <w:sz w:val="24"/>
          <w:szCs w:val="24"/>
        </w:rPr>
        <w:t xml:space="preserve"> </w:t>
      </w:r>
      <w:r w:rsidRPr="004E5649">
        <w:rPr>
          <w:rFonts w:cstheme="minorHAnsi"/>
          <w:sz w:val="24"/>
          <w:szCs w:val="24"/>
        </w:rPr>
        <w:t>= rentgenologické stádium</w:t>
      </w:r>
      <w:r w:rsidRPr="00B24D8C">
        <w:rPr>
          <w:rFonts w:cstheme="minorHAnsi"/>
          <w:sz w:val="24"/>
          <w:szCs w:val="24"/>
        </w:rPr>
        <w:t>.</w:t>
      </w:r>
      <w:r w:rsidRPr="0062347D">
        <w:rPr>
          <w:rFonts w:cstheme="minorHAnsi"/>
          <w:sz w:val="24"/>
          <w:szCs w:val="24"/>
        </w:rPr>
        <w:br w:type="page"/>
      </w:r>
    </w:p>
    <w:p w:rsidR="008F0C0F" w:rsidRPr="0062347D" w:rsidRDefault="008F0C0F" w:rsidP="00284F89">
      <w:pPr>
        <w:jc w:val="both"/>
        <w:rPr>
          <w:rFonts w:cstheme="minorHAnsi"/>
          <w:sz w:val="24"/>
          <w:szCs w:val="24"/>
        </w:rPr>
      </w:pPr>
      <w:r w:rsidRPr="0062347D">
        <w:rPr>
          <w:rFonts w:cstheme="minorHAnsi"/>
          <w:b/>
          <w:sz w:val="24"/>
          <w:szCs w:val="24"/>
        </w:rPr>
        <w:lastRenderedPageBreak/>
        <w:t>Obrázek 8:</w:t>
      </w:r>
      <w:r w:rsidRPr="0062347D">
        <w:rPr>
          <w:rFonts w:cstheme="minorHAnsi"/>
          <w:sz w:val="24"/>
          <w:szCs w:val="24"/>
        </w:rPr>
        <w:t xml:space="preserve"> Sérová relativní exprese miRNA deregulovaných u pacientů s plicní sarkoidózou s Löfgrenovým syndromem a bez Löfgrenova syndromu v porovnání se zdravými kontrolami.</w:t>
      </w:r>
    </w:p>
    <w:p w:rsidR="008F0C0F" w:rsidRPr="0062347D" w:rsidRDefault="008F0C0F" w:rsidP="00284F89">
      <w:pPr>
        <w:jc w:val="both"/>
        <w:rPr>
          <w:rFonts w:cstheme="minorHAnsi"/>
          <w:sz w:val="24"/>
          <w:szCs w:val="24"/>
        </w:rPr>
      </w:pPr>
      <w:r w:rsidRPr="0062347D">
        <w:rPr>
          <w:rFonts w:cstheme="minorHAnsi"/>
          <w:noProof/>
          <w:sz w:val="24"/>
          <w:szCs w:val="24"/>
          <w:lang w:eastAsia="cs-CZ"/>
        </w:rPr>
        <w:drawing>
          <wp:inline distT="0" distB="0" distL="0" distR="0" wp14:anchorId="2D381B05" wp14:editId="5C7166DB">
            <wp:extent cx="5759450" cy="451675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 obr 8.png"/>
                    <pic:cNvPicPr/>
                  </pic:nvPicPr>
                  <pic:blipFill>
                    <a:blip r:embed="rId20">
                      <a:extLst>
                        <a:ext uri="{28A0092B-C50C-407E-A947-70E740481C1C}">
                          <a14:useLocalDpi xmlns:a14="http://schemas.microsoft.com/office/drawing/2010/main" val="0"/>
                        </a:ext>
                      </a:extLst>
                    </a:blip>
                    <a:stretch>
                      <a:fillRect/>
                    </a:stretch>
                  </pic:blipFill>
                  <pic:spPr>
                    <a:xfrm>
                      <a:off x="0" y="0"/>
                      <a:ext cx="5759450" cy="4516755"/>
                    </a:xfrm>
                    <a:prstGeom prst="rect">
                      <a:avLst/>
                    </a:prstGeom>
                  </pic:spPr>
                </pic:pic>
              </a:graphicData>
            </a:graphic>
          </wp:inline>
        </w:drawing>
      </w:r>
    </w:p>
    <w:p w:rsidR="008F0C0F" w:rsidRPr="0062347D" w:rsidRDefault="008F0C0F" w:rsidP="00284F89">
      <w:pPr>
        <w:jc w:val="both"/>
        <w:rPr>
          <w:rFonts w:cstheme="minorHAnsi"/>
          <w:sz w:val="24"/>
          <w:szCs w:val="24"/>
        </w:rPr>
      </w:pPr>
      <w:r w:rsidRPr="00E663BF">
        <w:rPr>
          <w:rFonts w:cstheme="minorHAnsi"/>
          <w:b/>
          <w:sz w:val="24"/>
          <w:szCs w:val="24"/>
        </w:rPr>
        <w:t xml:space="preserve">Legenda k obrázku </w:t>
      </w:r>
      <w:r w:rsidRPr="004E5649">
        <w:rPr>
          <w:rFonts w:cstheme="minorHAnsi"/>
          <w:b/>
          <w:sz w:val="24"/>
          <w:szCs w:val="24"/>
        </w:rPr>
        <w:t>8:</w:t>
      </w:r>
      <w:r w:rsidRPr="004E5649">
        <w:rPr>
          <w:rFonts w:cstheme="minorHAnsi"/>
          <w:sz w:val="24"/>
          <w:szCs w:val="24"/>
        </w:rPr>
        <w:t xml:space="preserve"> LS</w:t>
      </w:r>
      <w:r>
        <w:rPr>
          <w:rFonts w:cstheme="minorHAnsi"/>
          <w:sz w:val="24"/>
          <w:szCs w:val="24"/>
        </w:rPr>
        <w:t xml:space="preserve"> </w:t>
      </w:r>
      <w:r w:rsidRPr="004E5649">
        <w:rPr>
          <w:rFonts w:cstheme="minorHAnsi"/>
          <w:sz w:val="24"/>
          <w:szCs w:val="24"/>
        </w:rPr>
        <w:t>= Löfgrenův syndrom; RTG</w:t>
      </w:r>
      <w:r>
        <w:rPr>
          <w:rFonts w:cstheme="minorHAnsi"/>
          <w:sz w:val="24"/>
          <w:szCs w:val="24"/>
        </w:rPr>
        <w:t xml:space="preserve"> </w:t>
      </w:r>
      <w:r w:rsidRPr="004E5649">
        <w:rPr>
          <w:rFonts w:cstheme="minorHAnsi"/>
          <w:sz w:val="24"/>
          <w:szCs w:val="24"/>
        </w:rPr>
        <w:t>= rentgenologické</w:t>
      </w:r>
      <w:r w:rsidRPr="00B24D8C">
        <w:rPr>
          <w:rFonts w:cstheme="minorHAnsi"/>
          <w:sz w:val="24"/>
          <w:szCs w:val="24"/>
        </w:rPr>
        <w:t xml:space="preserve"> stádium</w:t>
      </w:r>
      <w:r w:rsidRPr="0062347D">
        <w:rPr>
          <w:rFonts w:cstheme="minorHAnsi"/>
          <w:sz w:val="24"/>
          <w:szCs w:val="24"/>
        </w:rPr>
        <w:t>.</w:t>
      </w:r>
    </w:p>
    <w:p w:rsidR="008F0C0F" w:rsidRPr="0062347D" w:rsidRDefault="008F0C0F" w:rsidP="00284F89">
      <w:pPr>
        <w:jc w:val="both"/>
        <w:rPr>
          <w:rFonts w:cstheme="minorHAnsi"/>
          <w:sz w:val="24"/>
          <w:szCs w:val="24"/>
        </w:rPr>
      </w:pPr>
      <w:r w:rsidRPr="0062347D">
        <w:rPr>
          <w:rFonts w:cstheme="minorHAnsi"/>
          <w:b/>
          <w:sz w:val="24"/>
          <w:szCs w:val="24"/>
        </w:rPr>
        <w:t>Obrázek 9:</w:t>
      </w:r>
      <w:r w:rsidRPr="0062347D">
        <w:rPr>
          <w:rFonts w:cstheme="minorHAnsi"/>
          <w:sz w:val="24"/>
          <w:szCs w:val="24"/>
        </w:rPr>
        <w:t xml:space="preserve"> Sérová relativní exprese miRNA deregulovaných v obou skupinách pacientů s plicní sarkoidózou s Löfgrenovým syndromem a bez Löfgrenova syndromu v porovnání se zdravými kontrolami.</w:t>
      </w:r>
    </w:p>
    <w:p w:rsidR="008F0C0F" w:rsidRPr="0062347D" w:rsidRDefault="008F0C0F" w:rsidP="00284F89">
      <w:pPr>
        <w:jc w:val="both"/>
        <w:rPr>
          <w:rFonts w:cstheme="minorHAnsi"/>
          <w:sz w:val="24"/>
          <w:szCs w:val="24"/>
        </w:rPr>
      </w:pPr>
      <w:r w:rsidRPr="0062347D">
        <w:rPr>
          <w:rFonts w:cstheme="minorHAnsi"/>
          <w:noProof/>
          <w:sz w:val="24"/>
          <w:szCs w:val="24"/>
          <w:lang w:eastAsia="cs-CZ"/>
        </w:rPr>
        <w:drawing>
          <wp:inline distT="0" distB="0" distL="0" distR="0" wp14:anchorId="0583C9D0" wp14:editId="2BE1D368">
            <wp:extent cx="5759450" cy="231076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9 ab mirna.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2310765"/>
                    </a:xfrm>
                    <a:prstGeom prst="rect">
                      <a:avLst/>
                    </a:prstGeom>
                  </pic:spPr>
                </pic:pic>
              </a:graphicData>
            </a:graphic>
          </wp:inline>
        </w:drawing>
      </w:r>
    </w:p>
    <w:p w:rsidR="008F0C0F" w:rsidRPr="0062347D" w:rsidRDefault="008F0C0F" w:rsidP="00284F89">
      <w:pPr>
        <w:jc w:val="both"/>
        <w:rPr>
          <w:rFonts w:cstheme="minorHAnsi"/>
          <w:sz w:val="24"/>
          <w:szCs w:val="24"/>
        </w:rPr>
      </w:pPr>
      <w:r w:rsidRPr="00E663BF">
        <w:rPr>
          <w:rFonts w:cstheme="minorHAnsi"/>
          <w:b/>
          <w:sz w:val="24"/>
          <w:szCs w:val="24"/>
        </w:rPr>
        <w:t xml:space="preserve">Legenda k obrázku </w:t>
      </w:r>
      <w:r w:rsidRPr="004E5649">
        <w:rPr>
          <w:rFonts w:cstheme="minorHAnsi"/>
          <w:b/>
          <w:sz w:val="24"/>
          <w:szCs w:val="24"/>
        </w:rPr>
        <w:t>9:</w:t>
      </w:r>
      <w:r w:rsidRPr="004E5649">
        <w:rPr>
          <w:rFonts w:cstheme="minorHAnsi"/>
          <w:sz w:val="24"/>
          <w:szCs w:val="24"/>
        </w:rPr>
        <w:t xml:space="preserve"> LS</w:t>
      </w:r>
      <w:r>
        <w:rPr>
          <w:rFonts w:cstheme="minorHAnsi"/>
          <w:sz w:val="24"/>
          <w:szCs w:val="24"/>
        </w:rPr>
        <w:t xml:space="preserve"> </w:t>
      </w:r>
      <w:r w:rsidRPr="004E5649">
        <w:rPr>
          <w:rFonts w:cstheme="minorHAnsi"/>
          <w:sz w:val="24"/>
          <w:szCs w:val="24"/>
        </w:rPr>
        <w:t>= Löfgrenův syndrom; RTG</w:t>
      </w:r>
      <w:r>
        <w:rPr>
          <w:rFonts w:cstheme="minorHAnsi"/>
          <w:sz w:val="24"/>
          <w:szCs w:val="24"/>
        </w:rPr>
        <w:t xml:space="preserve"> </w:t>
      </w:r>
      <w:r w:rsidRPr="004E5649">
        <w:rPr>
          <w:rFonts w:cstheme="minorHAnsi"/>
          <w:sz w:val="24"/>
          <w:szCs w:val="24"/>
        </w:rPr>
        <w:t>= rentgenologické stádium</w:t>
      </w:r>
      <w:r w:rsidRPr="00B24D8C">
        <w:rPr>
          <w:rFonts w:cstheme="minorHAnsi"/>
          <w:sz w:val="24"/>
          <w:szCs w:val="24"/>
        </w:rPr>
        <w:t>.</w:t>
      </w:r>
      <w:r w:rsidRPr="00B24D8C">
        <w:rPr>
          <w:rFonts w:cstheme="minorHAnsi"/>
          <w:sz w:val="24"/>
          <w:szCs w:val="24"/>
        </w:rPr>
        <w:br w:type="page"/>
      </w:r>
    </w:p>
    <w:p w:rsidR="008F0C0F" w:rsidRPr="0062347D" w:rsidRDefault="008F0C0F" w:rsidP="00284F89">
      <w:pPr>
        <w:pStyle w:val="Nadpis3"/>
        <w:rPr>
          <w:rFonts w:cstheme="minorHAnsi"/>
          <w:szCs w:val="24"/>
        </w:rPr>
      </w:pPr>
      <w:bookmarkStart w:id="57" w:name="_Toc69543046"/>
      <w:r w:rsidRPr="0062347D">
        <w:rPr>
          <w:rFonts w:cstheme="minorHAnsi"/>
          <w:szCs w:val="24"/>
        </w:rPr>
        <w:lastRenderedPageBreak/>
        <w:t>Výsledky analýzy signálních drah miRNA deregulovaných v séru pacientů s plicní sarkoidózou</w:t>
      </w:r>
      <w:bookmarkEnd w:id="57"/>
    </w:p>
    <w:p w:rsidR="008F0C0F" w:rsidRPr="0062347D" w:rsidRDefault="008F0C0F" w:rsidP="00284F89">
      <w:pPr>
        <w:spacing w:before="240" w:after="0" w:line="360" w:lineRule="auto"/>
        <w:ind w:firstLine="708"/>
        <w:jc w:val="both"/>
        <w:rPr>
          <w:rFonts w:cstheme="minorHAnsi"/>
          <w:sz w:val="24"/>
          <w:szCs w:val="24"/>
        </w:rPr>
      </w:pPr>
      <w:r w:rsidRPr="0062347D">
        <w:rPr>
          <w:rFonts w:cstheme="minorHAnsi"/>
          <w:sz w:val="24"/>
          <w:szCs w:val="24"/>
        </w:rPr>
        <w:t>Data o expresi deregulovaných miRNA jsme podrobili analýze v databázi miRSystem, která zobrazuje signální dráhy a v nich geny, které jsou miRNA schopny ovlivňovat. Analýzou jsme zjistili, na které geny, v určitých signálních drahách mohou naše deregulované miRNA působit.</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Do databáze miRSystem jsou zadávány poměry průměrných expresí jednotlivých miRNA u porovnávaných skupin pacientů a zdravých kontrol. Expresní profily miRNA, které byly nalezeny deregulované u pacientů s LS a bez LS v porovnání s kontrolním souborem, ukázaly nejvyšší miRSystem skóre pro tzv. signální dráhu rakoviny (Pathway in Cancer) (p</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5,0</w:t>
      </w:r>
      <w:r>
        <w:rPr>
          <w:rFonts w:cstheme="minorHAnsi"/>
          <w:sz w:val="24"/>
          <w:szCs w:val="24"/>
        </w:rPr>
        <w:t> </w:t>
      </w:r>
      <w:r w:rsidRPr="0062347D">
        <w:rPr>
          <w:rFonts w:cstheme="minorHAnsi"/>
          <w:sz w:val="24"/>
          <w:szCs w:val="24"/>
        </w:rPr>
        <w:t>x</w:t>
      </w:r>
      <w:r>
        <w:rPr>
          <w:rFonts w:cstheme="minorHAnsi"/>
          <w:sz w:val="24"/>
          <w:szCs w:val="24"/>
        </w:rPr>
        <w:t> </w:t>
      </w:r>
      <w:r w:rsidRPr="0062347D">
        <w:rPr>
          <w:rFonts w:cstheme="minorHAnsi"/>
          <w:sz w:val="24"/>
          <w:szCs w:val="24"/>
        </w:rPr>
        <w:t>10</w:t>
      </w:r>
      <w:r w:rsidRPr="0062347D">
        <w:rPr>
          <w:rFonts w:cstheme="minorHAnsi"/>
          <w:sz w:val="24"/>
          <w:szCs w:val="24"/>
          <w:vertAlign w:val="superscript"/>
        </w:rPr>
        <w:t>-9</w:t>
      </w:r>
      <w:r w:rsidRPr="0062347D">
        <w:rPr>
          <w:rFonts w:cstheme="minorHAnsi"/>
          <w:sz w:val="24"/>
          <w:szCs w:val="24"/>
        </w:rPr>
        <w:t xml:space="preserve"> </w:t>
      </w:r>
      <w:r>
        <w:rPr>
          <w:rFonts w:cstheme="minorHAnsi"/>
          <w:sz w:val="24"/>
          <w:szCs w:val="24"/>
        </w:rPr>
        <w:t>a</w:t>
      </w:r>
      <w:r w:rsidRPr="0062347D">
        <w:rPr>
          <w:rFonts w:cstheme="minorHAnsi"/>
          <w:sz w:val="24"/>
          <w:szCs w:val="24"/>
        </w:rPr>
        <w:t xml:space="preserve"> p</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9</w:t>
      </w:r>
      <w:r>
        <w:rPr>
          <w:rFonts w:cstheme="minorHAnsi"/>
          <w:sz w:val="24"/>
          <w:szCs w:val="24"/>
        </w:rPr>
        <w:t> </w:t>
      </w:r>
      <w:bookmarkStart w:id="58" w:name="_Hlk67342355"/>
      <w:r w:rsidRPr="0062347D">
        <w:rPr>
          <w:rFonts w:cstheme="minorHAnsi"/>
          <w:sz w:val="24"/>
          <w:szCs w:val="24"/>
        </w:rPr>
        <w:t>x</w:t>
      </w:r>
      <w:bookmarkEnd w:id="58"/>
      <w:r>
        <w:rPr>
          <w:rFonts w:cstheme="minorHAnsi"/>
          <w:sz w:val="24"/>
          <w:szCs w:val="24"/>
        </w:rPr>
        <w:t> </w:t>
      </w:r>
      <w:r w:rsidRPr="0062347D">
        <w:rPr>
          <w:rFonts w:cstheme="minorHAnsi"/>
          <w:sz w:val="24"/>
          <w:szCs w:val="24"/>
        </w:rPr>
        <w:t>10</w:t>
      </w:r>
      <w:r w:rsidRPr="0062347D">
        <w:rPr>
          <w:rFonts w:cstheme="minorHAnsi"/>
          <w:sz w:val="24"/>
          <w:szCs w:val="24"/>
          <w:vertAlign w:val="superscript"/>
        </w:rPr>
        <w:t>-7</w:t>
      </w:r>
      <w:r w:rsidRPr="0062347D">
        <w:rPr>
          <w:rFonts w:cstheme="minorHAnsi"/>
          <w:sz w:val="24"/>
          <w:szCs w:val="24"/>
        </w:rPr>
        <w:t>). V této dráze všech 6 miRNA (miR-146a-5p, miR-16-5p, miR-425-5p, miR-93-5p, miR-21-5p a miR-340-5p), které byly deregulovány u pacientů s</w:t>
      </w:r>
      <w:r>
        <w:rPr>
          <w:rFonts w:cstheme="minorHAnsi"/>
          <w:sz w:val="24"/>
          <w:szCs w:val="24"/>
        </w:rPr>
        <w:t> </w:t>
      </w:r>
      <w:r w:rsidRPr="0062347D">
        <w:rPr>
          <w:rFonts w:cstheme="minorHAnsi"/>
          <w:sz w:val="24"/>
          <w:szCs w:val="24"/>
        </w:rPr>
        <w:t>Löfgrenovým syndromem</w:t>
      </w:r>
      <w:r>
        <w:rPr>
          <w:rFonts w:cstheme="minorHAnsi"/>
          <w:sz w:val="24"/>
          <w:szCs w:val="24"/>
        </w:rPr>
        <w:t xml:space="preserve"> v porovnání s kontrolami</w:t>
      </w:r>
      <w:r w:rsidRPr="0062347D">
        <w:rPr>
          <w:rFonts w:cstheme="minorHAnsi"/>
          <w:sz w:val="24"/>
          <w:szCs w:val="24"/>
        </w:rPr>
        <w:t>, pravděpodobně ovlivňují expresi 103 genů. Interakce genů s určitou miRNA byla podle databáze miRSystem experimentálně ověřena.</w:t>
      </w:r>
    </w:p>
    <w:p w:rsidR="008F0C0F" w:rsidRPr="0062347D" w:rsidRDefault="008F0C0F" w:rsidP="00284F89">
      <w:pPr>
        <w:spacing w:before="240" w:line="360" w:lineRule="auto"/>
        <w:ind w:firstLine="708"/>
        <w:jc w:val="both"/>
        <w:rPr>
          <w:rFonts w:cstheme="minorHAnsi"/>
          <w:sz w:val="24"/>
          <w:szCs w:val="24"/>
        </w:rPr>
      </w:pPr>
      <w:r w:rsidRPr="0062347D">
        <w:rPr>
          <w:rFonts w:cstheme="minorHAnsi"/>
          <w:sz w:val="24"/>
          <w:szCs w:val="24"/>
        </w:rPr>
        <w:t xml:space="preserve">Dále sedm miRNA (miR-146a-5p, miR-16-5p, miR-425-5p, miR-93-5p, miR-150-5p, miR-1 a miR-212-3p) deregulovaných u pacientů bez Löfgrenova syndromu pravděpodobně moduluje expresi 112 genů v tzv. </w:t>
      </w:r>
      <w:r>
        <w:rPr>
          <w:rFonts w:cstheme="minorHAnsi"/>
          <w:sz w:val="24"/>
          <w:szCs w:val="24"/>
        </w:rPr>
        <w:t xml:space="preserve">signální </w:t>
      </w:r>
      <w:r w:rsidRPr="0062347D">
        <w:rPr>
          <w:rFonts w:cstheme="minorHAnsi"/>
          <w:sz w:val="24"/>
          <w:szCs w:val="24"/>
        </w:rPr>
        <w:t>dráze rakoviny (Pathway in Cancer), u kterých je jejich interakce s miRNA podle miRSystem experimentálně ověřena.</w:t>
      </w:r>
    </w:p>
    <w:p w:rsidR="008F0C0F" w:rsidRPr="0062347D" w:rsidRDefault="008F0C0F" w:rsidP="00284F89">
      <w:pPr>
        <w:spacing w:line="360" w:lineRule="auto"/>
        <w:ind w:firstLine="708"/>
        <w:jc w:val="both"/>
        <w:rPr>
          <w:rFonts w:cstheme="minorHAnsi"/>
          <w:sz w:val="24"/>
          <w:szCs w:val="24"/>
        </w:rPr>
      </w:pPr>
      <w:r w:rsidRPr="0062347D">
        <w:rPr>
          <w:rFonts w:cstheme="minorHAnsi"/>
          <w:sz w:val="24"/>
          <w:szCs w:val="24"/>
        </w:rPr>
        <w:t>mRNA sekvence genů obsažených v</w:t>
      </w:r>
      <w:r>
        <w:rPr>
          <w:rFonts w:cstheme="minorHAnsi"/>
          <w:sz w:val="24"/>
          <w:szCs w:val="24"/>
        </w:rPr>
        <w:t>e</w:t>
      </w:r>
      <w:r w:rsidRPr="0062347D">
        <w:rPr>
          <w:rFonts w:cstheme="minorHAnsi"/>
          <w:sz w:val="24"/>
          <w:szCs w:val="24"/>
        </w:rPr>
        <w:t xml:space="preserve"> dráze transformujícího růstového faktoru (</w:t>
      </w:r>
      <w:r w:rsidRPr="00C87449">
        <w:rPr>
          <w:rFonts w:cstheme="minorHAnsi"/>
          <w:sz w:val="24"/>
          <w:szCs w:val="24"/>
        </w:rPr>
        <w:t>The Transforming Growth Factor (TGF)-beta signalling pathway</w:t>
      </w:r>
      <w:r w:rsidRPr="0062347D">
        <w:rPr>
          <w:rFonts w:cstheme="minorHAnsi"/>
          <w:sz w:val="24"/>
          <w:szCs w:val="24"/>
        </w:rPr>
        <w:t>)</w:t>
      </w:r>
      <w:r w:rsidRPr="00E663BF">
        <w:rPr>
          <w:rFonts w:cstheme="minorHAnsi"/>
          <w:sz w:val="24"/>
          <w:szCs w:val="24"/>
        </w:rPr>
        <w:t xml:space="preserve"> jsou cílem tří mi</w:t>
      </w:r>
      <w:r w:rsidRPr="004E5649">
        <w:rPr>
          <w:rFonts w:cstheme="minorHAnsi"/>
          <w:sz w:val="24"/>
          <w:szCs w:val="24"/>
        </w:rPr>
        <w:t>RNA (miR-340-5p, miR-212-3p a miR-21-5p) deregulova</w:t>
      </w:r>
      <w:r w:rsidRPr="00B24D8C">
        <w:rPr>
          <w:rFonts w:cstheme="minorHAnsi"/>
          <w:sz w:val="24"/>
          <w:szCs w:val="24"/>
        </w:rPr>
        <w:t>ných mezi skupinami pacientů s LS a bez L</w:t>
      </w:r>
      <w:r w:rsidRPr="0062347D">
        <w:rPr>
          <w:rFonts w:cstheme="minorHAnsi"/>
          <w:sz w:val="24"/>
          <w:szCs w:val="24"/>
        </w:rPr>
        <w:t>S. Podle miRSystem skóre je TGF-beta signální dráha signifikantně ovlivněna těmito třemi miRNA (p</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1,9x10</w:t>
      </w:r>
      <w:r w:rsidRPr="0062347D">
        <w:rPr>
          <w:rFonts w:cstheme="minorHAnsi"/>
          <w:sz w:val="24"/>
          <w:szCs w:val="24"/>
          <w:vertAlign w:val="superscript"/>
        </w:rPr>
        <w:t>-10</w:t>
      </w:r>
      <w:r w:rsidRPr="0062347D">
        <w:rPr>
          <w:rFonts w:cstheme="minorHAnsi"/>
          <w:sz w:val="24"/>
          <w:szCs w:val="24"/>
        </w:rPr>
        <w:t>).</w:t>
      </w:r>
    </w:p>
    <w:p w:rsidR="008F0C0F" w:rsidRPr="0062347D" w:rsidRDefault="008F0C0F" w:rsidP="008F0C0F">
      <w:pPr>
        <w:pStyle w:val="Nadpis3"/>
        <w:numPr>
          <w:ilvl w:val="2"/>
          <w:numId w:val="8"/>
        </w:numPr>
        <w:rPr>
          <w:rFonts w:cstheme="minorHAnsi"/>
          <w:color w:val="FF0000"/>
          <w:szCs w:val="24"/>
        </w:rPr>
      </w:pPr>
      <w:bookmarkStart w:id="59" w:name="_Toc69543047"/>
      <w:r w:rsidRPr="0062347D">
        <w:rPr>
          <w:rFonts w:cstheme="minorHAnsi"/>
          <w:szCs w:val="24"/>
        </w:rPr>
        <w:t>Výsledky multivariační analýzy exprese deregulovaných miRNA v séru pacientů se sarkoidózou</w:t>
      </w:r>
      <w:bookmarkEnd w:id="59"/>
    </w:p>
    <w:p w:rsidR="008F0C0F" w:rsidRPr="0062347D" w:rsidRDefault="008F0C0F" w:rsidP="00284F89">
      <w:pPr>
        <w:spacing w:before="240" w:after="0" w:line="360" w:lineRule="auto"/>
        <w:ind w:firstLine="708"/>
        <w:jc w:val="both"/>
        <w:rPr>
          <w:rFonts w:cstheme="minorHAnsi"/>
          <w:sz w:val="24"/>
          <w:szCs w:val="24"/>
        </w:rPr>
      </w:pPr>
      <w:r w:rsidRPr="0062347D">
        <w:rPr>
          <w:rFonts w:cstheme="minorHAnsi"/>
          <w:sz w:val="24"/>
          <w:szCs w:val="24"/>
        </w:rPr>
        <w:t>Jako doplňující analýzu jsme provedli multivariační modelování pro nalezení vztahu mezi exprim</w:t>
      </w:r>
      <w:r w:rsidR="000038AA">
        <w:rPr>
          <w:rFonts w:cstheme="minorHAnsi"/>
          <w:sz w:val="24"/>
          <w:szCs w:val="24"/>
        </w:rPr>
        <w:t>ovanými miRNA vzhledem k nemoci,</w:t>
      </w:r>
      <w:r w:rsidRPr="0062347D">
        <w:rPr>
          <w:rFonts w:cstheme="minorHAnsi"/>
          <w:sz w:val="24"/>
          <w:szCs w:val="24"/>
        </w:rPr>
        <w:t xml:space="preserve"> </w:t>
      </w:r>
      <w:r w:rsidR="000038AA" w:rsidRPr="000038AA">
        <w:rPr>
          <w:sz w:val="24"/>
          <w:szCs w:val="24"/>
        </w:rPr>
        <w:t>abychom zjistili</w:t>
      </w:r>
      <w:r w:rsidR="000038AA">
        <w:rPr>
          <w:sz w:val="24"/>
          <w:szCs w:val="24"/>
        </w:rPr>
        <w:t>,</w:t>
      </w:r>
      <w:r w:rsidR="000038AA" w:rsidRPr="000038AA">
        <w:rPr>
          <w:sz w:val="24"/>
          <w:szCs w:val="24"/>
        </w:rPr>
        <w:t xml:space="preserve"> zdali by deregulované miRNA mohly sloužit k rozlišení nemocných a zdravých.  </w:t>
      </w:r>
      <w:r w:rsidRPr="0062347D">
        <w:rPr>
          <w:rFonts w:cstheme="minorHAnsi"/>
          <w:sz w:val="24"/>
          <w:szCs w:val="24"/>
        </w:rPr>
        <w:t>Šest miRNA deregulovaných mezi pacienty s LS a zdravými kontrolami a mezi pacienty bez LS a zdravými kontrolami ukázalo, že OPLS modelování nalezlo statisticky významný rozdíl u těchto dvou porovnání s prediktivní hodnotou 72</w:t>
      </w:r>
      <w:r>
        <w:rPr>
          <w:rFonts w:cstheme="minorHAnsi"/>
          <w:sz w:val="24"/>
          <w:szCs w:val="24"/>
        </w:rPr>
        <w:t> </w:t>
      </w:r>
      <w:r w:rsidRPr="0062347D">
        <w:rPr>
          <w:rFonts w:cstheme="minorHAnsi"/>
          <w:sz w:val="24"/>
          <w:szCs w:val="24"/>
        </w:rPr>
        <w:t>% a 65</w:t>
      </w:r>
      <w:r>
        <w:rPr>
          <w:rFonts w:cstheme="minorHAnsi"/>
          <w:sz w:val="24"/>
          <w:szCs w:val="24"/>
        </w:rPr>
        <w:t> </w:t>
      </w:r>
      <w:r w:rsidRPr="0062347D">
        <w:rPr>
          <w:rFonts w:cstheme="minorHAnsi"/>
          <w:sz w:val="24"/>
          <w:szCs w:val="24"/>
        </w:rPr>
        <w:t>% (R</w:t>
      </w:r>
      <w:r w:rsidRPr="0062347D">
        <w:rPr>
          <w:rFonts w:cstheme="minorHAnsi"/>
          <w:sz w:val="24"/>
          <w:szCs w:val="24"/>
          <w:vertAlign w:val="superscript"/>
        </w:rPr>
        <w:t>2</w:t>
      </w:r>
      <w:r>
        <w:rPr>
          <w:rFonts w:cstheme="minorHAnsi"/>
          <w:sz w:val="24"/>
          <w:szCs w:val="24"/>
        </w:rPr>
        <w:t> = </w:t>
      </w:r>
      <w:r w:rsidRPr="0062347D">
        <w:rPr>
          <w:rFonts w:cstheme="minorHAnsi"/>
          <w:sz w:val="24"/>
          <w:szCs w:val="24"/>
        </w:rPr>
        <w:t>0,737, Q</w:t>
      </w:r>
      <w:r w:rsidRPr="0062347D">
        <w:rPr>
          <w:rFonts w:cstheme="minorHAnsi"/>
          <w:sz w:val="24"/>
          <w:szCs w:val="24"/>
          <w:vertAlign w:val="superscript"/>
        </w:rPr>
        <w:t>2</w:t>
      </w:r>
      <w:r>
        <w:rPr>
          <w:rFonts w:cstheme="minorHAnsi"/>
          <w:sz w:val="24"/>
          <w:szCs w:val="24"/>
        </w:rPr>
        <w:t> = </w:t>
      </w:r>
      <w:r w:rsidRPr="0062347D">
        <w:rPr>
          <w:rFonts w:cstheme="minorHAnsi"/>
          <w:sz w:val="24"/>
          <w:szCs w:val="24"/>
        </w:rPr>
        <w:t>0,717, p</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9.2</w:t>
      </w:r>
      <w:r>
        <w:rPr>
          <w:rFonts w:cstheme="minorHAnsi"/>
          <w:sz w:val="24"/>
          <w:szCs w:val="24"/>
        </w:rPr>
        <w:t> </w:t>
      </w:r>
      <w:r w:rsidRPr="0062347D">
        <w:rPr>
          <w:rFonts w:cstheme="minorHAnsi"/>
          <w:sz w:val="24"/>
          <w:szCs w:val="24"/>
        </w:rPr>
        <w:t>x</w:t>
      </w:r>
      <w:r>
        <w:rPr>
          <w:rFonts w:cstheme="minorHAnsi"/>
          <w:sz w:val="24"/>
          <w:szCs w:val="24"/>
        </w:rPr>
        <w:t> </w:t>
      </w:r>
      <w:r w:rsidRPr="0062347D">
        <w:rPr>
          <w:rFonts w:cstheme="minorHAnsi"/>
          <w:sz w:val="24"/>
          <w:szCs w:val="24"/>
        </w:rPr>
        <w:t>10</w:t>
      </w:r>
      <w:r w:rsidRPr="0062347D">
        <w:rPr>
          <w:rFonts w:cstheme="minorHAnsi"/>
          <w:sz w:val="24"/>
          <w:szCs w:val="24"/>
          <w:vertAlign w:val="superscript"/>
        </w:rPr>
        <w:t>-7</w:t>
      </w:r>
      <w:r w:rsidRPr="0062347D">
        <w:rPr>
          <w:rFonts w:cstheme="minorHAnsi"/>
          <w:sz w:val="24"/>
          <w:szCs w:val="24"/>
        </w:rPr>
        <w:t>; R</w:t>
      </w:r>
      <w:r w:rsidRPr="0062347D">
        <w:rPr>
          <w:rFonts w:cstheme="minorHAnsi"/>
          <w:sz w:val="24"/>
          <w:szCs w:val="24"/>
          <w:vertAlign w:val="superscript"/>
        </w:rPr>
        <w:t>2</w:t>
      </w:r>
      <w:r>
        <w:rPr>
          <w:rFonts w:cstheme="minorHAnsi"/>
          <w:sz w:val="24"/>
          <w:szCs w:val="24"/>
        </w:rPr>
        <w:t> = </w:t>
      </w:r>
      <w:r w:rsidRPr="0062347D">
        <w:rPr>
          <w:rFonts w:cstheme="minorHAnsi"/>
          <w:sz w:val="24"/>
          <w:szCs w:val="24"/>
        </w:rPr>
        <w:t>0,692, Q</w:t>
      </w:r>
      <w:r w:rsidRPr="0062347D">
        <w:rPr>
          <w:rFonts w:cstheme="minorHAnsi"/>
          <w:sz w:val="24"/>
          <w:szCs w:val="24"/>
          <w:vertAlign w:val="superscript"/>
        </w:rPr>
        <w:t>2</w:t>
      </w:r>
      <w:r>
        <w:rPr>
          <w:rFonts w:cstheme="minorHAnsi"/>
          <w:sz w:val="24"/>
          <w:szCs w:val="24"/>
        </w:rPr>
        <w:t> = </w:t>
      </w:r>
      <w:r w:rsidRPr="0062347D">
        <w:rPr>
          <w:rFonts w:cstheme="minorHAnsi"/>
          <w:sz w:val="24"/>
          <w:szCs w:val="24"/>
        </w:rPr>
        <w:t xml:space="preserve">0,652, </w:t>
      </w:r>
      <w:r w:rsidRPr="0062347D">
        <w:rPr>
          <w:rFonts w:cstheme="minorHAnsi"/>
          <w:sz w:val="24"/>
          <w:szCs w:val="24"/>
        </w:rPr>
        <w:lastRenderedPageBreak/>
        <w:t>p</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9.6</w:t>
      </w:r>
      <w:r>
        <w:rPr>
          <w:rFonts w:cstheme="minorHAnsi"/>
          <w:sz w:val="24"/>
          <w:szCs w:val="24"/>
        </w:rPr>
        <w:t> </w:t>
      </w:r>
      <w:r w:rsidRPr="0062347D">
        <w:rPr>
          <w:rFonts w:cstheme="minorHAnsi"/>
          <w:sz w:val="24"/>
          <w:szCs w:val="24"/>
        </w:rPr>
        <w:t>x</w:t>
      </w:r>
      <w:r>
        <w:rPr>
          <w:rFonts w:cstheme="minorHAnsi"/>
          <w:sz w:val="24"/>
          <w:szCs w:val="24"/>
        </w:rPr>
        <w:t> </w:t>
      </w:r>
      <w:r w:rsidRPr="0062347D">
        <w:rPr>
          <w:rFonts w:cstheme="minorHAnsi"/>
          <w:sz w:val="24"/>
          <w:szCs w:val="24"/>
        </w:rPr>
        <w:t>10</w:t>
      </w:r>
      <w:r w:rsidRPr="0062347D">
        <w:rPr>
          <w:rFonts w:cstheme="minorHAnsi"/>
          <w:sz w:val="24"/>
          <w:szCs w:val="24"/>
          <w:vertAlign w:val="superscript"/>
        </w:rPr>
        <w:t>-6</w:t>
      </w:r>
      <w:r w:rsidRPr="0062347D">
        <w:rPr>
          <w:rFonts w:cstheme="minorHAnsi"/>
          <w:sz w:val="24"/>
          <w:szCs w:val="24"/>
        </w:rPr>
        <w:t>). Multivariační analýza pro tři miRNA deregulované mezi dvěma stádii plicní sarkoidózy (s Ls a</w:t>
      </w:r>
      <w:r>
        <w:rPr>
          <w:rFonts w:cstheme="minorHAnsi"/>
          <w:sz w:val="24"/>
          <w:szCs w:val="24"/>
        </w:rPr>
        <w:t> </w:t>
      </w:r>
      <w:r w:rsidRPr="0062347D">
        <w:rPr>
          <w:rFonts w:cstheme="minorHAnsi"/>
          <w:sz w:val="24"/>
          <w:szCs w:val="24"/>
        </w:rPr>
        <w:t xml:space="preserve">bez Ls) ukázala signifikantní separaci </w:t>
      </w:r>
      <w:r w:rsidR="001242EF">
        <w:rPr>
          <w:rFonts w:cstheme="minorHAnsi"/>
          <w:sz w:val="24"/>
          <w:szCs w:val="24"/>
        </w:rPr>
        <w:t xml:space="preserve">obou souborů ale </w:t>
      </w:r>
      <w:r w:rsidRPr="0062347D">
        <w:rPr>
          <w:rFonts w:cstheme="minorHAnsi"/>
          <w:sz w:val="24"/>
          <w:szCs w:val="24"/>
        </w:rPr>
        <w:t>s velmi slabou prediktivní hodnotou pouze 44</w:t>
      </w:r>
      <w:r>
        <w:rPr>
          <w:rFonts w:cstheme="minorHAnsi"/>
          <w:sz w:val="24"/>
          <w:szCs w:val="24"/>
        </w:rPr>
        <w:t> </w:t>
      </w:r>
      <w:r w:rsidRPr="004E5649">
        <w:rPr>
          <w:rFonts w:cstheme="minorHAnsi"/>
          <w:sz w:val="24"/>
          <w:szCs w:val="24"/>
        </w:rPr>
        <w:t>% (R</w:t>
      </w:r>
      <w:r w:rsidRPr="00B24D8C">
        <w:rPr>
          <w:rFonts w:cstheme="minorHAnsi"/>
          <w:sz w:val="24"/>
          <w:szCs w:val="24"/>
          <w:vertAlign w:val="superscript"/>
        </w:rPr>
        <w:t>2</w:t>
      </w:r>
      <w:r>
        <w:rPr>
          <w:rFonts w:cstheme="minorHAnsi"/>
          <w:sz w:val="24"/>
          <w:szCs w:val="24"/>
        </w:rPr>
        <w:t> = </w:t>
      </w:r>
      <w:r w:rsidRPr="0062347D">
        <w:rPr>
          <w:rFonts w:cstheme="minorHAnsi"/>
          <w:sz w:val="24"/>
          <w:szCs w:val="24"/>
        </w:rPr>
        <w:t>0,536 a Q</w:t>
      </w:r>
      <w:r w:rsidRPr="0062347D">
        <w:rPr>
          <w:rFonts w:cstheme="minorHAnsi"/>
          <w:sz w:val="24"/>
          <w:szCs w:val="24"/>
          <w:vertAlign w:val="superscript"/>
        </w:rPr>
        <w:t>2</w:t>
      </w:r>
      <w:r>
        <w:rPr>
          <w:rFonts w:cstheme="minorHAnsi"/>
          <w:sz w:val="24"/>
          <w:szCs w:val="24"/>
        </w:rPr>
        <w:t> = </w:t>
      </w:r>
      <w:r w:rsidRPr="0062347D">
        <w:rPr>
          <w:rFonts w:cstheme="minorHAnsi"/>
          <w:sz w:val="24"/>
          <w:szCs w:val="24"/>
        </w:rPr>
        <w:t>0,443; p</w:t>
      </w:r>
      <w:r>
        <w:rPr>
          <w:rFonts w:cstheme="minorHAnsi"/>
          <w:sz w:val="24"/>
          <w:szCs w:val="24"/>
        </w:rPr>
        <w:t> </w:t>
      </w:r>
      <w:r w:rsidRPr="0062347D">
        <w:rPr>
          <w:rFonts w:cstheme="minorHAnsi"/>
          <w:sz w:val="24"/>
          <w:szCs w:val="24"/>
        </w:rPr>
        <w:t>=</w:t>
      </w:r>
      <w:r>
        <w:rPr>
          <w:rFonts w:cstheme="minorHAnsi"/>
          <w:sz w:val="24"/>
          <w:szCs w:val="24"/>
        </w:rPr>
        <w:t> </w:t>
      </w:r>
      <w:r w:rsidRPr="0062347D">
        <w:rPr>
          <w:rFonts w:cstheme="minorHAnsi"/>
          <w:sz w:val="24"/>
          <w:szCs w:val="24"/>
        </w:rPr>
        <w:t>2,2 x 10</w:t>
      </w:r>
      <w:r w:rsidRPr="0062347D">
        <w:rPr>
          <w:rFonts w:cstheme="minorHAnsi"/>
          <w:sz w:val="24"/>
          <w:szCs w:val="24"/>
          <w:vertAlign w:val="superscript"/>
        </w:rPr>
        <w:t>-9</w:t>
      </w:r>
      <w:r w:rsidRPr="0062347D">
        <w:rPr>
          <w:rFonts w:cstheme="minorHAnsi"/>
          <w:sz w:val="24"/>
          <w:szCs w:val="24"/>
        </w:rPr>
        <w:t>).</w:t>
      </w:r>
    </w:p>
    <w:p w:rsidR="008F0C0F" w:rsidRPr="0062347D" w:rsidRDefault="008F0C0F" w:rsidP="00284F89">
      <w:pPr>
        <w:spacing w:before="240" w:after="0" w:line="360" w:lineRule="auto"/>
        <w:ind w:firstLine="708"/>
        <w:jc w:val="both"/>
        <w:rPr>
          <w:rFonts w:cstheme="minorHAnsi"/>
          <w:sz w:val="24"/>
          <w:szCs w:val="24"/>
        </w:rPr>
        <w:sectPr w:rsidR="008F0C0F" w:rsidRPr="0062347D" w:rsidSect="007305DC">
          <w:pgSz w:w="11906" w:h="16838"/>
          <w:pgMar w:top="992" w:right="1418" w:bottom="1418" w:left="1418" w:header="709" w:footer="709" w:gutter="0"/>
          <w:cols w:space="708"/>
          <w:docGrid w:linePitch="360"/>
        </w:sectPr>
      </w:pPr>
    </w:p>
    <w:p w:rsidR="008F0C0F" w:rsidRPr="00E663BF" w:rsidRDefault="008F0C0F" w:rsidP="007305DC">
      <w:pPr>
        <w:pStyle w:val="Nadpis1"/>
        <w:spacing w:before="0" w:after="240"/>
      </w:pPr>
      <w:bookmarkStart w:id="60" w:name="_Toc69543048"/>
      <w:r w:rsidRPr="0062347D">
        <w:lastRenderedPageBreak/>
        <w:t>Disku</w:t>
      </w:r>
      <w:r>
        <w:t>s</w:t>
      </w:r>
      <w:r w:rsidRPr="0062347D">
        <w:t>e</w:t>
      </w:r>
      <w:bookmarkEnd w:id="60"/>
    </w:p>
    <w:p w:rsidR="008F0C0F" w:rsidRPr="0062347D" w:rsidRDefault="008F0C0F" w:rsidP="00284F89">
      <w:pPr>
        <w:spacing w:after="240" w:line="360" w:lineRule="auto"/>
        <w:ind w:firstLine="709"/>
        <w:jc w:val="both"/>
        <w:rPr>
          <w:rFonts w:cstheme="minorHAnsi"/>
          <w:sz w:val="24"/>
          <w:szCs w:val="24"/>
        </w:rPr>
      </w:pPr>
      <w:r w:rsidRPr="004E5649">
        <w:rPr>
          <w:rFonts w:cstheme="minorHAnsi"/>
          <w:sz w:val="24"/>
          <w:szCs w:val="24"/>
        </w:rPr>
        <w:t>Diagnostika a léčba intersticiálních plicních onemocnění je komplexní proces a snahy o jejich zlepšení jsou vkládány do studia molekul, jako jsou mikroRNA nebo</w:t>
      </w:r>
      <w:r w:rsidRPr="00B24D8C">
        <w:rPr>
          <w:rFonts w:cstheme="minorHAnsi"/>
          <w:sz w:val="24"/>
          <w:szCs w:val="24"/>
        </w:rPr>
        <w:t xml:space="preserve"> RNA-</w:t>
      </w:r>
      <w:r w:rsidRPr="0062347D">
        <w:rPr>
          <w:rFonts w:cstheme="minorHAnsi"/>
          <w:sz w:val="24"/>
          <w:szCs w:val="24"/>
        </w:rPr>
        <w:t>vazebné proteiny. Někteří autoři zpětně studují již známé aspekty sarkoidózy, například CD4</w:t>
      </w:r>
      <w:r w:rsidRPr="0062347D">
        <w:rPr>
          <w:rFonts w:cstheme="minorHAnsi"/>
          <w:sz w:val="24"/>
          <w:szCs w:val="24"/>
          <w:vertAlign w:val="superscript"/>
        </w:rPr>
        <w:t>+</w:t>
      </w:r>
      <w:r w:rsidRPr="0062347D">
        <w:rPr>
          <w:rFonts w:cstheme="minorHAnsi"/>
          <w:sz w:val="24"/>
          <w:szCs w:val="24"/>
        </w:rPr>
        <w:t xml:space="preserve"> T-lymfocyty, a snaží se nalézt jejich nový význam v návaznosti na možnou léčbu. Studium molekul jako jsou miRNA a RNA-vazebné proteiny, které jsou u sarkoidózy málo prozkoumány, by mohlo pomoci k rozvoji dalších diagnostických postupů, případně k rozvoji nové léčby. Avšak k tomu je potřeba prozkoumat plicní sarkoidózu u různých stádií.</w:t>
      </w:r>
    </w:p>
    <w:p w:rsidR="008F0C0F" w:rsidRPr="0062347D" w:rsidRDefault="008F0C0F" w:rsidP="00284F89">
      <w:pPr>
        <w:pStyle w:val="Nadpis2"/>
        <w:spacing w:after="240"/>
      </w:pPr>
      <w:bookmarkStart w:id="61" w:name="_Toc69543049"/>
      <w:r w:rsidRPr="0062347D">
        <w:t>Disku</w:t>
      </w:r>
      <w:r>
        <w:t>s</w:t>
      </w:r>
      <w:r w:rsidRPr="0062347D">
        <w:t xml:space="preserve">e: Porovnání </w:t>
      </w:r>
      <w:r w:rsidRPr="0062347D">
        <w:rPr>
          <w:rFonts w:cstheme="minorHAnsi"/>
          <w:szCs w:val="24"/>
        </w:rPr>
        <w:t xml:space="preserve">relativních počtů </w:t>
      </w:r>
      <w:r w:rsidRPr="0062347D">
        <w:t xml:space="preserve">bronchoalveolárních </w:t>
      </w:r>
      <w:r w:rsidRPr="0062347D">
        <w:rPr>
          <w:rFonts w:cstheme="minorHAnsi"/>
          <w:szCs w:val="24"/>
        </w:rPr>
        <w:t>CD4</w:t>
      </w:r>
      <w:r w:rsidRPr="0062347D">
        <w:rPr>
          <w:rFonts w:cstheme="minorHAnsi"/>
          <w:szCs w:val="24"/>
          <w:vertAlign w:val="superscript"/>
        </w:rPr>
        <w:t>+</w:t>
      </w:r>
      <w:r w:rsidRPr="0062347D">
        <w:rPr>
          <w:rFonts w:cstheme="minorHAnsi"/>
          <w:szCs w:val="24"/>
        </w:rPr>
        <w:t xml:space="preserve"> a CD8</w:t>
      </w:r>
      <w:r w:rsidRPr="0062347D">
        <w:rPr>
          <w:rFonts w:cstheme="minorHAnsi"/>
          <w:szCs w:val="24"/>
          <w:vertAlign w:val="superscript"/>
        </w:rPr>
        <w:t xml:space="preserve">+ </w:t>
      </w:r>
      <w:r w:rsidRPr="0062347D">
        <w:t>T-lymfocytů u plicní sarkoidózy a ostatních intersticiálních plicních onemocnění</w:t>
      </w:r>
      <w:bookmarkEnd w:id="61"/>
    </w:p>
    <w:p w:rsidR="008F0C0F" w:rsidRPr="004E5649" w:rsidRDefault="008F0C0F" w:rsidP="00284F89">
      <w:pPr>
        <w:spacing w:line="360" w:lineRule="auto"/>
        <w:ind w:firstLine="709"/>
        <w:jc w:val="both"/>
        <w:rPr>
          <w:rFonts w:cstheme="minorHAnsi"/>
          <w:sz w:val="24"/>
          <w:szCs w:val="24"/>
        </w:rPr>
      </w:pPr>
      <w:r w:rsidRPr="0062347D">
        <w:rPr>
          <w:rFonts w:cstheme="minorHAnsi"/>
          <w:sz w:val="24"/>
          <w:szCs w:val="24"/>
        </w:rPr>
        <w:t>Doposud je málo informací o porovnání bronchoalveolárních</w:t>
      </w:r>
      <w:r w:rsidR="00397F09">
        <w:rPr>
          <w:rFonts w:cstheme="minorHAnsi"/>
          <w:sz w:val="24"/>
          <w:szCs w:val="24"/>
        </w:rPr>
        <w:t xml:space="preserve"> (BA)</w:t>
      </w:r>
      <w:r w:rsidRPr="0062347D">
        <w:rPr>
          <w:rFonts w:cstheme="minorHAnsi"/>
          <w:sz w:val="24"/>
          <w:szCs w:val="24"/>
        </w:rPr>
        <w:t xml:space="preserve"> subpopulacích CD4</w:t>
      </w:r>
      <w:r w:rsidRPr="0062347D">
        <w:rPr>
          <w:rFonts w:cstheme="minorHAnsi"/>
          <w:sz w:val="24"/>
          <w:szCs w:val="24"/>
          <w:vertAlign w:val="superscript"/>
        </w:rPr>
        <w:t>+</w:t>
      </w:r>
      <w:r w:rsidRPr="0062347D">
        <w:rPr>
          <w:rFonts w:cstheme="minorHAnsi"/>
          <w:sz w:val="24"/>
          <w:szCs w:val="24"/>
        </w:rPr>
        <w:t xml:space="preserve"> a</w:t>
      </w:r>
      <w:r>
        <w:rPr>
          <w:rFonts w:cstheme="minorHAnsi"/>
          <w:sz w:val="24"/>
          <w:szCs w:val="24"/>
        </w:rPr>
        <w:t> </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T-lymfocytů a jejich poměru (CD4</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u jednotlivých stádií plicní sarkoidózy s</w:t>
      </w:r>
      <w:r>
        <w:rPr>
          <w:rFonts w:cstheme="minorHAnsi"/>
          <w:sz w:val="24"/>
          <w:szCs w:val="24"/>
        </w:rPr>
        <w:t> </w:t>
      </w:r>
      <w:r w:rsidRPr="0062347D">
        <w:rPr>
          <w:rFonts w:cstheme="minorHAnsi"/>
          <w:sz w:val="24"/>
          <w:szCs w:val="24"/>
        </w:rPr>
        <w:t>ostatními intersticiálními plicními nemocemi. Stanovení poměru CD4</w:t>
      </w:r>
      <w:r w:rsidRPr="0062347D">
        <w:rPr>
          <w:rFonts w:eastAsia="Times New Roman" w:cstheme="minorHAnsi"/>
          <w:color w:val="000000"/>
          <w:sz w:val="24"/>
          <w:szCs w:val="24"/>
          <w:vertAlign w:val="superscript"/>
          <w:lang w:eastAsia="en-GB"/>
        </w:rPr>
        <w:t>+</w:t>
      </w:r>
      <w:r w:rsidRPr="0062347D">
        <w:rPr>
          <w:rFonts w:cstheme="minorHAnsi"/>
          <w:sz w:val="24"/>
          <w:szCs w:val="24"/>
        </w:rPr>
        <w:t>/CD8</w:t>
      </w:r>
      <w:r w:rsidRPr="0062347D">
        <w:rPr>
          <w:rFonts w:eastAsia="Times New Roman" w:cstheme="minorHAnsi"/>
          <w:color w:val="000000"/>
          <w:sz w:val="24"/>
          <w:szCs w:val="24"/>
          <w:vertAlign w:val="superscript"/>
          <w:lang w:eastAsia="en-GB"/>
        </w:rPr>
        <w:t>+</w:t>
      </w:r>
      <w:r w:rsidR="00397F09">
        <w:rPr>
          <w:rFonts w:cstheme="minorHAnsi"/>
          <w:sz w:val="24"/>
          <w:szCs w:val="24"/>
        </w:rPr>
        <w:t xml:space="preserve"> v BA</w:t>
      </w:r>
      <w:r w:rsidRPr="0062347D">
        <w:rPr>
          <w:rFonts w:cstheme="minorHAnsi"/>
          <w:sz w:val="24"/>
          <w:szCs w:val="24"/>
        </w:rPr>
        <w:t xml:space="preserve"> je stále jedním z testů u komplexního procesu diagnostiky intersticiálních plicních onemocnění, i-když je v současnosti pouze pomocným diagnostickým kritériem </w:t>
      </w:r>
      <w:r w:rsidRPr="00E663BF">
        <w:rPr>
          <w:rFonts w:cstheme="minorHAnsi"/>
          <w:noProof/>
          <w:sz w:val="24"/>
          <w:szCs w:val="24"/>
        </w:rPr>
        <w:t>(</w:t>
      </w:r>
      <w:r w:rsidRPr="004E5649">
        <w:rPr>
          <w:rFonts w:cstheme="minorHAnsi"/>
          <w:noProof/>
          <w:sz w:val="24"/>
          <w:szCs w:val="24"/>
        </w:rPr>
        <w:t>Meyer, Raghu et al. 2012</w:t>
      </w:r>
      <w:r w:rsidRPr="00E663BF">
        <w:rPr>
          <w:rFonts w:cstheme="minorHAnsi"/>
          <w:noProof/>
          <w:sz w:val="24"/>
          <w:szCs w:val="24"/>
        </w:rPr>
        <w:t>)</w:t>
      </w:r>
      <w:r w:rsidRPr="0062347D">
        <w:rPr>
          <w:rFonts w:cstheme="minorHAnsi"/>
          <w:sz w:val="24"/>
          <w:szCs w:val="24"/>
        </w:rPr>
        <w:t>.</w:t>
      </w:r>
      <w:r w:rsidRPr="00E663BF">
        <w:rPr>
          <w:rFonts w:cstheme="minorHAnsi"/>
          <w:sz w:val="24"/>
          <w:szCs w:val="24"/>
        </w:rPr>
        <w:t xml:space="preserve"> </w:t>
      </w:r>
      <w:r w:rsidR="00397F09">
        <w:rPr>
          <w:rFonts w:cstheme="minorHAnsi"/>
          <w:sz w:val="24"/>
          <w:szCs w:val="24"/>
        </w:rPr>
        <w:t>Podrobnější charakterizace BA</w:t>
      </w:r>
      <w:r w:rsidRPr="004E5649">
        <w:rPr>
          <w:rFonts w:cstheme="minorHAnsi"/>
          <w:sz w:val="24"/>
          <w:szCs w:val="24"/>
        </w:rPr>
        <w:t xml:space="preserve"> buněčného profilu u jednotlivých stádií plicní sarkoidózy by mohla přispět k lepšímu </w:t>
      </w:r>
      <w:r w:rsidRPr="00B24D8C">
        <w:rPr>
          <w:rFonts w:cstheme="minorHAnsi"/>
          <w:sz w:val="24"/>
          <w:szCs w:val="24"/>
        </w:rPr>
        <w:t>popisu</w:t>
      </w:r>
      <w:r w:rsidRPr="0062347D">
        <w:rPr>
          <w:rFonts w:cstheme="minorHAnsi"/>
          <w:sz w:val="24"/>
          <w:szCs w:val="24"/>
        </w:rPr>
        <w:t xml:space="preserve"> jednotlivých fází nemoci a možné předpovědi dalšího vývoje onemocnění. Avšak takových studií, které by na větších souborech pacientů </w:t>
      </w:r>
      <w:r w:rsidR="00397F09">
        <w:rPr>
          <w:rFonts w:cstheme="minorHAnsi"/>
          <w:sz w:val="24"/>
          <w:szCs w:val="24"/>
        </w:rPr>
        <w:t xml:space="preserve">prozkoumaly BA buněčný profil, </w:t>
      </w:r>
      <w:r w:rsidRPr="0062347D">
        <w:rPr>
          <w:rFonts w:cstheme="minorHAnsi"/>
          <w:sz w:val="24"/>
          <w:szCs w:val="24"/>
        </w:rPr>
        <w:t xml:space="preserve">je prozatím málo. Studie zabývající se </w:t>
      </w:r>
      <w:r w:rsidR="00397F09">
        <w:rPr>
          <w:rFonts w:cstheme="minorHAnsi"/>
          <w:sz w:val="24"/>
          <w:szCs w:val="24"/>
        </w:rPr>
        <w:t>porovnáním BA</w:t>
      </w:r>
      <w:r w:rsidRPr="0062347D">
        <w:rPr>
          <w:rFonts w:cstheme="minorHAnsi"/>
          <w:sz w:val="24"/>
          <w:szCs w:val="24"/>
        </w:rPr>
        <w:t xml:space="preserve"> subpopulací T-lymfocytů mezi sarkoidózou a ostatními intersticiálními nemocemi obvykle nerozdělují pacienty s plicní sarkoidózou do jednotlivých stádií, například podle rentgenologických stádií hrudníku </w:t>
      </w:r>
      <w:r w:rsidRPr="00E663BF">
        <w:rPr>
          <w:rFonts w:cstheme="minorHAnsi"/>
          <w:noProof/>
          <w:sz w:val="24"/>
          <w:szCs w:val="24"/>
        </w:rPr>
        <w:t>(</w:t>
      </w:r>
      <w:r w:rsidRPr="004E5649">
        <w:rPr>
          <w:rFonts w:cstheme="minorHAnsi"/>
          <w:noProof/>
          <w:sz w:val="24"/>
          <w:szCs w:val="24"/>
        </w:rPr>
        <w:t>Jara-Palomares, Martín-Juan et al. 2009</w:t>
      </w:r>
      <w:r w:rsidR="0070179F">
        <w:rPr>
          <w:rFonts w:cstheme="minorHAnsi"/>
          <w:noProof/>
          <w:sz w:val="24"/>
          <w:szCs w:val="24"/>
        </w:rPr>
        <w:t xml:space="preserve">; </w:t>
      </w:r>
      <w:r w:rsidR="0070179F" w:rsidRPr="004E5649">
        <w:rPr>
          <w:rFonts w:cstheme="minorHAnsi"/>
          <w:noProof/>
          <w:sz w:val="24"/>
          <w:szCs w:val="24"/>
        </w:rPr>
        <w:t>Vasakova, Sterclova et al. 2009</w:t>
      </w:r>
      <w:r w:rsidR="0070179F">
        <w:rPr>
          <w:rFonts w:cstheme="minorHAnsi"/>
          <w:noProof/>
          <w:sz w:val="24"/>
          <w:szCs w:val="24"/>
        </w:rPr>
        <w:t xml:space="preserve">; </w:t>
      </w:r>
      <w:r w:rsidR="0070179F" w:rsidRPr="004E5649">
        <w:rPr>
          <w:rFonts w:cstheme="minorHAnsi"/>
          <w:noProof/>
          <w:sz w:val="24"/>
          <w:szCs w:val="24"/>
        </w:rPr>
        <w:t>Capelozzi, Faludi et al. 2013</w:t>
      </w:r>
      <w:r w:rsidR="0070179F">
        <w:rPr>
          <w:rFonts w:cstheme="minorHAnsi"/>
          <w:noProof/>
          <w:sz w:val="24"/>
          <w:szCs w:val="24"/>
        </w:rPr>
        <w:t xml:space="preserve">; </w:t>
      </w:r>
      <w:r w:rsidRPr="004E5649">
        <w:rPr>
          <w:rFonts w:cstheme="minorHAnsi"/>
          <w:noProof/>
          <w:sz w:val="24"/>
          <w:szCs w:val="24"/>
        </w:rPr>
        <w:t>Lee, Chung et al. 2015</w:t>
      </w:r>
      <w:r w:rsidRPr="00E663BF">
        <w:rPr>
          <w:rFonts w:cstheme="minorHAnsi"/>
          <w:noProof/>
          <w:sz w:val="24"/>
          <w:szCs w:val="24"/>
        </w:rPr>
        <w:t>)</w:t>
      </w:r>
      <w:r w:rsidR="0070179F">
        <w:rPr>
          <w:rFonts w:cstheme="minorHAnsi"/>
          <w:noProof/>
          <w:sz w:val="24"/>
          <w:szCs w:val="24"/>
        </w:rPr>
        <w:t>.</w:t>
      </w:r>
      <w:r w:rsidRPr="0062347D">
        <w:rPr>
          <w:rFonts w:cstheme="minorHAnsi"/>
          <w:sz w:val="24"/>
          <w:szCs w:val="24"/>
        </w:rPr>
        <w:t xml:space="preserve"> </w:t>
      </w:r>
    </w:p>
    <w:p w:rsidR="008F0C0F" w:rsidRPr="004E5649" w:rsidRDefault="008F0C0F" w:rsidP="00284F89">
      <w:pPr>
        <w:spacing w:line="360" w:lineRule="auto"/>
        <w:ind w:firstLine="709"/>
        <w:jc w:val="both"/>
        <w:rPr>
          <w:rFonts w:cstheme="minorHAnsi"/>
          <w:sz w:val="24"/>
          <w:szCs w:val="24"/>
        </w:rPr>
      </w:pPr>
      <w:r w:rsidRPr="004E5649">
        <w:rPr>
          <w:rFonts w:cstheme="minorHAnsi"/>
          <w:sz w:val="24"/>
          <w:szCs w:val="24"/>
        </w:rPr>
        <w:t xml:space="preserve">U našich pacientů s plicní sarkoidózou s a bez Löfgrenova syndromu </w:t>
      </w:r>
      <w:r w:rsidRPr="00B24D8C">
        <w:rPr>
          <w:rFonts w:cstheme="minorHAnsi"/>
          <w:sz w:val="24"/>
          <w:szCs w:val="24"/>
        </w:rPr>
        <w:t xml:space="preserve">(LS) </w:t>
      </w:r>
      <w:r w:rsidRPr="0062347D">
        <w:rPr>
          <w:rFonts w:cstheme="minorHAnsi"/>
          <w:sz w:val="24"/>
          <w:szCs w:val="24"/>
        </w:rPr>
        <w:t>s RTG stádiem ≤</w:t>
      </w:r>
      <w:r>
        <w:rPr>
          <w:rFonts w:cstheme="minorHAnsi"/>
          <w:sz w:val="24"/>
          <w:szCs w:val="24"/>
        </w:rPr>
        <w:t> </w:t>
      </w:r>
      <w:r w:rsidRPr="0062347D">
        <w:rPr>
          <w:rFonts w:cstheme="minorHAnsi"/>
          <w:sz w:val="24"/>
          <w:szCs w:val="24"/>
        </w:rPr>
        <w:t>1 a RTG stádiem 2 jsme pozorovali rozdíly v BA CD4</w:t>
      </w:r>
      <w:r w:rsidRPr="0062347D">
        <w:rPr>
          <w:rFonts w:cstheme="minorHAnsi"/>
          <w:sz w:val="24"/>
          <w:szCs w:val="24"/>
          <w:vertAlign w:val="superscript"/>
        </w:rPr>
        <w:t>+</w:t>
      </w:r>
      <w:r w:rsidRPr="0062347D">
        <w:rPr>
          <w:rFonts w:cstheme="minorHAnsi"/>
          <w:sz w:val="24"/>
          <w:szCs w:val="24"/>
        </w:rPr>
        <w:t>, CD8</w:t>
      </w:r>
      <w:r w:rsidRPr="0062347D">
        <w:rPr>
          <w:rFonts w:cstheme="minorHAnsi"/>
          <w:sz w:val="24"/>
          <w:szCs w:val="24"/>
          <w:vertAlign w:val="superscript"/>
        </w:rPr>
        <w:t>+</w:t>
      </w:r>
      <w:r w:rsidRPr="0062347D">
        <w:rPr>
          <w:rFonts w:cstheme="minorHAnsi"/>
          <w:sz w:val="24"/>
          <w:szCs w:val="24"/>
        </w:rPr>
        <w:t xml:space="preserve"> T-lymfocytech a</w:t>
      </w:r>
      <w:r>
        <w:rPr>
          <w:rFonts w:cstheme="minorHAnsi"/>
          <w:sz w:val="24"/>
          <w:szCs w:val="24"/>
        </w:rPr>
        <w:t> </w:t>
      </w:r>
      <w:r w:rsidRPr="0062347D">
        <w:rPr>
          <w:rFonts w:cstheme="minorHAnsi"/>
          <w:sz w:val="24"/>
          <w:szCs w:val="24"/>
        </w:rPr>
        <w:t>jejich poměru (CD4</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v porovnání s ostatními skupinami intersticiálních plicních nemocí. Zvýšení CD4</w:t>
      </w:r>
      <w:r w:rsidRPr="0062347D">
        <w:rPr>
          <w:rFonts w:cstheme="minorHAnsi"/>
          <w:sz w:val="24"/>
          <w:szCs w:val="24"/>
          <w:vertAlign w:val="superscript"/>
        </w:rPr>
        <w:t>+</w:t>
      </w:r>
      <w:r w:rsidRPr="0062347D">
        <w:rPr>
          <w:rFonts w:cstheme="minorHAnsi"/>
          <w:sz w:val="24"/>
          <w:szCs w:val="24"/>
        </w:rPr>
        <w:t xml:space="preserve"> buněk v BA </w:t>
      </w:r>
      <w:r w:rsidR="000C2284">
        <w:rPr>
          <w:rFonts w:cstheme="minorHAnsi"/>
          <w:sz w:val="24"/>
          <w:szCs w:val="24"/>
        </w:rPr>
        <w:t xml:space="preserve">laváži </w:t>
      </w:r>
      <w:r w:rsidRPr="0062347D">
        <w:rPr>
          <w:rFonts w:cstheme="minorHAnsi"/>
          <w:sz w:val="24"/>
          <w:szCs w:val="24"/>
        </w:rPr>
        <w:t xml:space="preserve">u pacientů se sarkoidózou s LS v porovnání s ostatními skupinami plicní sarkoidózy je v souladu s předchozími pozorováními </w:t>
      </w:r>
      <w:r w:rsidRPr="00E663BF">
        <w:rPr>
          <w:rFonts w:cstheme="minorHAnsi"/>
          <w:noProof/>
          <w:sz w:val="24"/>
          <w:szCs w:val="24"/>
        </w:rPr>
        <w:t>(</w:t>
      </w:r>
      <w:r w:rsidRPr="004E5649">
        <w:rPr>
          <w:rFonts w:cstheme="minorHAnsi"/>
          <w:noProof/>
          <w:sz w:val="24"/>
          <w:szCs w:val="24"/>
        </w:rPr>
        <w:t>Danila, Jurgauskiene et al. 2008</w:t>
      </w:r>
      <w:r w:rsidR="0070179F">
        <w:rPr>
          <w:rFonts w:cstheme="minorHAnsi"/>
          <w:noProof/>
          <w:sz w:val="24"/>
          <w:szCs w:val="24"/>
        </w:rPr>
        <w:t xml:space="preserve">; </w:t>
      </w:r>
      <w:r w:rsidRPr="004E5649">
        <w:rPr>
          <w:rFonts w:cstheme="minorHAnsi"/>
          <w:noProof/>
          <w:sz w:val="24"/>
          <w:szCs w:val="24"/>
        </w:rPr>
        <w:t>Danila, Jurgauskiene et al. 2009</w:t>
      </w:r>
      <w:r w:rsidR="0070179F">
        <w:rPr>
          <w:rFonts w:cstheme="minorHAnsi"/>
          <w:noProof/>
          <w:sz w:val="24"/>
          <w:szCs w:val="24"/>
        </w:rPr>
        <w:t xml:space="preserve">; </w:t>
      </w:r>
      <w:r w:rsidRPr="004E5649">
        <w:rPr>
          <w:rFonts w:cstheme="minorHAnsi"/>
          <w:noProof/>
          <w:sz w:val="24"/>
          <w:szCs w:val="24"/>
        </w:rPr>
        <w:t>Danila, Norkuniene et al. 2009</w:t>
      </w:r>
      <w:r w:rsidRPr="00E663BF">
        <w:rPr>
          <w:rFonts w:cstheme="minorHAnsi"/>
          <w:noProof/>
          <w:sz w:val="24"/>
          <w:szCs w:val="24"/>
        </w:rPr>
        <w:t>)</w:t>
      </w:r>
      <w:r w:rsidRPr="0062347D">
        <w:rPr>
          <w:rFonts w:cstheme="minorHAnsi"/>
          <w:sz w:val="24"/>
          <w:szCs w:val="24"/>
        </w:rPr>
        <w:t>.</w:t>
      </w:r>
      <w:r w:rsidRPr="00E663BF">
        <w:rPr>
          <w:rFonts w:cstheme="minorHAnsi"/>
          <w:sz w:val="24"/>
          <w:szCs w:val="24"/>
        </w:rPr>
        <w:t xml:space="preserve"> </w:t>
      </w:r>
      <w:r w:rsidRPr="004E5649">
        <w:rPr>
          <w:rFonts w:cstheme="minorHAnsi"/>
          <w:sz w:val="24"/>
          <w:szCs w:val="24"/>
        </w:rPr>
        <w:t xml:space="preserve">Avšak doposud nebyla uvedena studie, která by porovnala jednotlivá stádia plicní sarkoidózy s ostatními </w:t>
      </w:r>
      <w:r w:rsidRPr="004E5649">
        <w:rPr>
          <w:rFonts w:cstheme="minorHAnsi"/>
          <w:sz w:val="24"/>
          <w:szCs w:val="24"/>
        </w:rPr>
        <w:lastRenderedPageBreak/>
        <w:t>intersticiálními nemocemi, proto je složité porovnávat naše výsledky se současnou literaturou.</w:t>
      </w:r>
    </w:p>
    <w:p w:rsidR="008F0C0F" w:rsidRPr="0062347D" w:rsidRDefault="008F0C0F" w:rsidP="00284F89">
      <w:pPr>
        <w:spacing w:line="360" w:lineRule="auto"/>
        <w:ind w:firstLine="709"/>
        <w:jc w:val="both"/>
        <w:rPr>
          <w:rFonts w:cstheme="minorHAnsi"/>
          <w:sz w:val="24"/>
          <w:szCs w:val="24"/>
        </w:rPr>
      </w:pPr>
      <w:r w:rsidRPr="004E5649">
        <w:rPr>
          <w:rFonts w:cstheme="minorHAnsi"/>
          <w:sz w:val="24"/>
          <w:szCs w:val="24"/>
        </w:rPr>
        <w:t>Naše analýza neukázala signifikantní rozdíly u T-lymfocytárních subpopulací mezi pokročilým s</w:t>
      </w:r>
      <w:r w:rsidRPr="00B24D8C">
        <w:rPr>
          <w:rFonts w:cstheme="minorHAnsi"/>
          <w:sz w:val="24"/>
          <w:szCs w:val="24"/>
        </w:rPr>
        <w:t>tádiem plicní sarkoidózy a skupinou pacientů s idiopatickou plicní fibrózou (IPF). To může u</w:t>
      </w:r>
      <w:r w:rsidRPr="0062347D">
        <w:rPr>
          <w:rFonts w:cstheme="minorHAnsi"/>
          <w:sz w:val="24"/>
          <w:szCs w:val="24"/>
        </w:rPr>
        <w:t xml:space="preserve"> pacientů s plicní sarkoidózou poukazovat na změnu imunologické odpovědi směrem </w:t>
      </w:r>
      <w:r w:rsidR="0040308B">
        <w:rPr>
          <w:rFonts w:cstheme="minorHAnsi"/>
          <w:sz w:val="24"/>
          <w:szCs w:val="24"/>
        </w:rPr>
        <w:t>k fibróze, která je prvkem IPF</w:t>
      </w:r>
      <w:r w:rsidRPr="0062347D">
        <w:rPr>
          <w:rFonts w:cstheme="minorHAnsi"/>
          <w:sz w:val="24"/>
          <w:szCs w:val="24"/>
        </w:rPr>
        <w:t xml:space="preserve">. V současné době je málo poznatků o porovnání </w:t>
      </w:r>
      <w:r w:rsidR="00F706F3">
        <w:rPr>
          <w:rFonts w:cstheme="minorHAnsi"/>
          <w:sz w:val="24"/>
          <w:szCs w:val="24"/>
        </w:rPr>
        <w:t xml:space="preserve">relativních počtů </w:t>
      </w:r>
      <w:r w:rsidR="000C2284">
        <w:rPr>
          <w:rFonts w:cstheme="minorHAnsi"/>
          <w:sz w:val="24"/>
          <w:szCs w:val="24"/>
        </w:rPr>
        <w:t>BA</w:t>
      </w:r>
      <w:r w:rsidRPr="0062347D">
        <w:rPr>
          <w:rFonts w:cstheme="minorHAnsi"/>
          <w:sz w:val="24"/>
          <w:szCs w:val="24"/>
        </w:rPr>
        <w:t xml:space="preserve"> CD4</w:t>
      </w:r>
      <w:r w:rsidRPr="0062347D">
        <w:rPr>
          <w:rFonts w:cstheme="minorHAnsi"/>
          <w:sz w:val="24"/>
          <w:szCs w:val="24"/>
          <w:vertAlign w:val="superscript"/>
        </w:rPr>
        <w:t>+</w:t>
      </w:r>
      <w:r w:rsidRPr="0062347D">
        <w:rPr>
          <w:rFonts w:cstheme="minorHAnsi"/>
          <w:sz w:val="24"/>
          <w:szCs w:val="24"/>
        </w:rPr>
        <w:t xml:space="preserve"> a CD8</w:t>
      </w:r>
      <w:r w:rsidRPr="0062347D">
        <w:rPr>
          <w:rFonts w:cstheme="minorHAnsi"/>
          <w:sz w:val="24"/>
          <w:szCs w:val="24"/>
          <w:vertAlign w:val="superscript"/>
        </w:rPr>
        <w:t>+</w:t>
      </w:r>
      <w:r w:rsidRPr="0062347D">
        <w:rPr>
          <w:rFonts w:cstheme="minorHAnsi"/>
          <w:sz w:val="24"/>
          <w:szCs w:val="24"/>
        </w:rPr>
        <w:t xml:space="preserve"> </w:t>
      </w:r>
      <w:r w:rsidR="00F706F3">
        <w:rPr>
          <w:rFonts w:cstheme="minorHAnsi"/>
          <w:sz w:val="24"/>
          <w:szCs w:val="24"/>
        </w:rPr>
        <w:t>T-</w:t>
      </w:r>
      <w:r w:rsidRPr="0062347D">
        <w:rPr>
          <w:rFonts w:cstheme="minorHAnsi"/>
          <w:sz w:val="24"/>
          <w:szCs w:val="24"/>
        </w:rPr>
        <w:t xml:space="preserve">lymfocytů mezi pokročilým stádiem sarkoidózy a IPF. </w:t>
      </w:r>
      <w:r w:rsidR="00F706F3">
        <w:rPr>
          <w:rFonts w:cstheme="minorHAnsi"/>
          <w:sz w:val="24"/>
          <w:szCs w:val="24"/>
        </w:rPr>
        <w:t>J</w:t>
      </w:r>
      <w:r w:rsidRPr="0062347D">
        <w:rPr>
          <w:rFonts w:cstheme="minorHAnsi"/>
          <w:sz w:val="24"/>
          <w:szCs w:val="24"/>
        </w:rPr>
        <w:t xml:space="preserve">sou popsány histologické změny ukazující postup od granulomatózního zánětu směrem k fibrotizaci tkáně u pacientů s pokročilým stádiem sarkoidózy </w:t>
      </w:r>
      <w:r w:rsidRPr="00E663BF">
        <w:rPr>
          <w:rFonts w:cstheme="minorHAnsi"/>
          <w:noProof/>
          <w:sz w:val="24"/>
          <w:szCs w:val="24"/>
        </w:rPr>
        <w:t>(</w:t>
      </w:r>
      <w:r w:rsidRPr="004E5649">
        <w:rPr>
          <w:rFonts w:cstheme="minorHAnsi"/>
          <w:noProof/>
          <w:sz w:val="24"/>
          <w:szCs w:val="24"/>
        </w:rPr>
        <w:t xml:space="preserve">Shigemitsu </w:t>
      </w:r>
      <w:r w:rsidR="00166BDD">
        <w:rPr>
          <w:rFonts w:cstheme="minorHAnsi"/>
          <w:noProof/>
          <w:sz w:val="24"/>
          <w:szCs w:val="24"/>
        </w:rPr>
        <w:t>a</w:t>
      </w:r>
      <w:r w:rsidRPr="004E5649">
        <w:rPr>
          <w:rFonts w:cstheme="minorHAnsi"/>
          <w:noProof/>
          <w:sz w:val="24"/>
          <w:szCs w:val="24"/>
        </w:rPr>
        <w:t xml:space="preserve"> Azuma 2011</w:t>
      </w:r>
      <w:r w:rsidRPr="00E663BF">
        <w:rPr>
          <w:rFonts w:cstheme="minorHAnsi"/>
          <w:noProof/>
          <w:sz w:val="24"/>
          <w:szCs w:val="24"/>
        </w:rPr>
        <w:t>)</w:t>
      </w:r>
      <w:r w:rsidRPr="0062347D">
        <w:rPr>
          <w:rFonts w:cstheme="minorHAnsi"/>
          <w:sz w:val="24"/>
          <w:szCs w:val="24"/>
        </w:rPr>
        <w:t>. Podle současných poznatků se domníváme, že dochází k posunu od zánětl</w:t>
      </w:r>
      <w:r w:rsidRPr="00E663BF">
        <w:rPr>
          <w:rFonts w:cstheme="minorHAnsi"/>
          <w:sz w:val="24"/>
          <w:szCs w:val="24"/>
        </w:rPr>
        <w:t>ivé Th1 imunitní odpovědi k Th2 imunitní odpovědi, která rozvíjí hojící fibrotické procesy. Přitom dochází ke změně složení buněčných popu</w:t>
      </w:r>
      <w:r w:rsidRPr="004E5649">
        <w:rPr>
          <w:rFonts w:cstheme="minorHAnsi"/>
          <w:sz w:val="24"/>
          <w:szCs w:val="24"/>
        </w:rPr>
        <w:t xml:space="preserve">lací a mediátorů, které procesy řídí, jak bylo popsáno u pacientů v různých stádiích sarkoidózy a IPF </w:t>
      </w:r>
      <w:r w:rsidR="00CE202F" w:rsidRPr="00E663BF">
        <w:rPr>
          <w:rFonts w:cstheme="minorHAnsi"/>
          <w:noProof/>
          <w:sz w:val="24"/>
          <w:szCs w:val="24"/>
        </w:rPr>
        <w:t>(</w:t>
      </w:r>
      <w:r w:rsidR="00CE202F" w:rsidRPr="004E5649">
        <w:rPr>
          <w:rFonts w:cstheme="minorHAnsi"/>
          <w:noProof/>
          <w:sz w:val="24"/>
          <w:szCs w:val="24"/>
        </w:rPr>
        <w:t>Antoniou, Soufla et al. 2009</w:t>
      </w:r>
      <w:r w:rsidR="00CE202F">
        <w:rPr>
          <w:rFonts w:cstheme="minorHAnsi"/>
          <w:noProof/>
          <w:sz w:val="24"/>
          <w:szCs w:val="24"/>
        </w:rPr>
        <w:t xml:space="preserve">; </w:t>
      </w:r>
      <w:r w:rsidRPr="004E5649">
        <w:rPr>
          <w:rFonts w:cstheme="minorHAnsi"/>
          <w:noProof/>
          <w:sz w:val="24"/>
          <w:szCs w:val="24"/>
        </w:rPr>
        <w:t>Vasakova, Sterclova et al. 2009</w:t>
      </w:r>
      <w:r w:rsidRPr="00E663BF">
        <w:rPr>
          <w:rFonts w:cstheme="minorHAnsi"/>
          <w:noProof/>
          <w:sz w:val="24"/>
          <w:szCs w:val="24"/>
        </w:rPr>
        <w:t>)</w:t>
      </w:r>
      <w:r w:rsidR="00CE202F">
        <w:rPr>
          <w:rFonts w:cstheme="minorHAnsi"/>
          <w:noProof/>
          <w:sz w:val="24"/>
          <w:szCs w:val="24"/>
        </w:rPr>
        <w:t>.</w:t>
      </w:r>
      <w:r w:rsidRPr="0062347D">
        <w:rPr>
          <w:rFonts w:cstheme="minorHAnsi"/>
          <w:sz w:val="24"/>
          <w:szCs w:val="24"/>
        </w:rPr>
        <w:t xml:space="preserve"> </w:t>
      </w:r>
      <w:r w:rsidRPr="00E663BF">
        <w:rPr>
          <w:rFonts w:cstheme="minorHAnsi"/>
          <w:sz w:val="24"/>
          <w:szCs w:val="24"/>
        </w:rPr>
        <w:t>Dostatek nových poznatků o rozdílech</w:t>
      </w:r>
      <w:r w:rsidRPr="004E5649">
        <w:rPr>
          <w:rFonts w:cstheme="minorHAnsi"/>
          <w:sz w:val="24"/>
          <w:szCs w:val="24"/>
        </w:rPr>
        <w:t xml:space="preserve"> v relativních počtech bronchoalveolárních CD4</w:t>
      </w:r>
      <w:r w:rsidRPr="004E5649">
        <w:rPr>
          <w:rFonts w:cstheme="minorHAnsi"/>
          <w:sz w:val="24"/>
          <w:szCs w:val="24"/>
          <w:vertAlign w:val="superscript"/>
        </w:rPr>
        <w:t>+</w:t>
      </w:r>
      <w:r w:rsidRPr="004E5649">
        <w:rPr>
          <w:rFonts w:cstheme="minorHAnsi"/>
          <w:sz w:val="24"/>
          <w:szCs w:val="24"/>
        </w:rPr>
        <w:t xml:space="preserve"> a CD8</w:t>
      </w:r>
      <w:r w:rsidRPr="004E5649">
        <w:rPr>
          <w:rFonts w:cstheme="minorHAnsi"/>
          <w:sz w:val="24"/>
          <w:szCs w:val="24"/>
          <w:vertAlign w:val="superscript"/>
        </w:rPr>
        <w:t>+</w:t>
      </w:r>
      <w:r w:rsidRPr="004E5649">
        <w:rPr>
          <w:rFonts w:cstheme="minorHAnsi"/>
          <w:sz w:val="24"/>
          <w:szCs w:val="24"/>
        </w:rPr>
        <w:t xml:space="preserve"> T-lymfocytů u pokročilé sarkoidózy a IPF by mohl pomoci objasnit další podobnosti a rozdíly u</w:t>
      </w:r>
      <w:r>
        <w:rPr>
          <w:rFonts w:cstheme="minorHAnsi"/>
          <w:sz w:val="24"/>
          <w:szCs w:val="24"/>
        </w:rPr>
        <w:t> </w:t>
      </w:r>
      <w:r w:rsidRPr="0062347D">
        <w:rPr>
          <w:rFonts w:cstheme="minorHAnsi"/>
          <w:sz w:val="24"/>
          <w:szCs w:val="24"/>
        </w:rPr>
        <w:t>obou nemocí.</w:t>
      </w:r>
    </w:p>
    <w:p w:rsidR="008F0C0F" w:rsidRPr="004E5649" w:rsidRDefault="008F0C0F" w:rsidP="00284F89">
      <w:pPr>
        <w:spacing w:after="0" w:line="360" w:lineRule="auto"/>
        <w:ind w:firstLine="709"/>
        <w:jc w:val="both"/>
        <w:rPr>
          <w:rFonts w:cstheme="minorHAnsi"/>
          <w:sz w:val="24"/>
          <w:szCs w:val="24"/>
        </w:rPr>
      </w:pP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xml:space="preserve"> T-lymfocyty jsou potenciálním cílem pro nové terapie. Například steroidní léky potlačují expresi zánětlivých mediátorů produkovaných CD4</w:t>
      </w:r>
      <w:r w:rsidRPr="0062347D">
        <w:rPr>
          <w:rFonts w:cstheme="minorHAnsi"/>
          <w:sz w:val="24"/>
          <w:szCs w:val="24"/>
          <w:vertAlign w:val="superscript"/>
        </w:rPr>
        <w:t>+</w:t>
      </w:r>
      <w:r w:rsidRPr="0062347D">
        <w:rPr>
          <w:rFonts w:cstheme="minorHAnsi"/>
          <w:sz w:val="24"/>
          <w:szCs w:val="24"/>
        </w:rPr>
        <w:t xml:space="preserve"> T-lymfocyty. Mezi tyto mediátory patří například interleukin-2, tumor nekrotizující faktor-alfa a interferon-gama. Tato forma léčby je používána u různých stádií sarkoidózy, nicméně se ukázalo, že léčba steroidními přípravky má vedlejší účinky. Nesteroidní protizánětlivé léky na tom nejsou o</w:t>
      </w:r>
      <w:r>
        <w:rPr>
          <w:rFonts w:cstheme="minorHAnsi"/>
          <w:sz w:val="24"/>
          <w:szCs w:val="24"/>
        </w:rPr>
        <w:t> </w:t>
      </w:r>
      <w:r w:rsidRPr="0062347D">
        <w:rPr>
          <w:rFonts w:cstheme="minorHAnsi"/>
          <w:sz w:val="24"/>
          <w:szCs w:val="24"/>
        </w:rPr>
        <w:t xml:space="preserve">mnoho lépe </w:t>
      </w:r>
      <w:r w:rsidRPr="00E663BF">
        <w:rPr>
          <w:rFonts w:cstheme="minorHAnsi"/>
          <w:noProof/>
          <w:sz w:val="24"/>
          <w:szCs w:val="24"/>
        </w:rPr>
        <w:t>(</w:t>
      </w:r>
      <w:r w:rsidRPr="004E5649">
        <w:rPr>
          <w:rFonts w:cstheme="minorHAnsi"/>
          <w:noProof/>
          <w:sz w:val="24"/>
          <w:szCs w:val="24"/>
        </w:rPr>
        <w:t xml:space="preserve">Celada </w:t>
      </w:r>
      <w:r w:rsidR="00166BDD">
        <w:rPr>
          <w:rFonts w:cstheme="minorHAnsi"/>
          <w:noProof/>
          <w:sz w:val="24"/>
          <w:szCs w:val="24"/>
        </w:rPr>
        <w:t>a</w:t>
      </w:r>
      <w:r w:rsidRPr="004E5649">
        <w:rPr>
          <w:rFonts w:cstheme="minorHAnsi"/>
          <w:noProof/>
          <w:sz w:val="24"/>
          <w:szCs w:val="24"/>
        </w:rPr>
        <w:t xml:space="preserve"> Drake 2015</w:t>
      </w:r>
      <w:r w:rsidRPr="00E663BF">
        <w:rPr>
          <w:rFonts w:cstheme="minorHAnsi"/>
          <w:noProof/>
          <w:sz w:val="24"/>
          <w:szCs w:val="24"/>
        </w:rPr>
        <w:t>)</w:t>
      </w:r>
      <w:r w:rsidRPr="0062347D">
        <w:rPr>
          <w:rFonts w:cstheme="minorHAnsi"/>
          <w:sz w:val="24"/>
          <w:szCs w:val="24"/>
        </w:rPr>
        <w:t xml:space="preserve">. </w:t>
      </w:r>
      <w:r w:rsidRPr="004E5649">
        <w:rPr>
          <w:rFonts w:cstheme="minorHAnsi"/>
          <w:sz w:val="24"/>
          <w:szCs w:val="24"/>
        </w:rPr>
        <w:t>Oswald-Richter et al. (2013) předpokládají, že lokální a systémové CD4</w:t>
      </w:r>
      <w:r w:rsidRPr="004E5649">
        <w:rPr>
          <w:rFonts w:cstheme="minorHAnsi"/>
          <w:sz w:val="24"/>
          <w:szCs w:val="24"/>
          <w:vertAlign w:val="superscript"/>
        </w:rPr>
        <w:t>+</w:t>
      </w:r>
      <w:r w:rsidRPr="004E5649">
        <w:rPr>
          <w:rFonts w:cstheme="minorHAnsi"/>
          <w:sz w:val="24"/>
          <w:szCs w:val="24"/>
        </w:rPr>
        <w:t xml:space="preserve"> T-lymfocyty u sarkoidózy vykazují defekt v buněčné funkci. Zjistili, že klinické zlepšení pacientů korelovalo s </w:t>
      </w:r>
      <w:r w:rsidRPr="00B24D8C">
        <w:rPr>
          <w:rFonts w:cstheme="minorHAnsi"/>
          <w:sz w:val="24"/>
          <w:szCs w:val="24"/>
        </w:rPr>
        <w:t>obnovením správné funkce CD4</w:t>
      </w:r>
      <w:r w:rsidRPr="00B24D8C">
        <w:rPr>
          <w:rFonts w:cstheme="minorHAnsi"/>
          <w:sz w:val="24"/>
          <w:szCs w:val="24"/>
          <w:vertAlign w:val="superscript"/>
        </w:rPr>
        <w:t>+</w:t>
      </w:r>
      <w:r w:rsidRPr="0062347D">
        <w:rPr>
          <w:rFonts w:cstheme="minorHAnsi"/>
          <w:sz w:val="24"/>
          <w:szCs w:val="24"/>
        </w:rPr>
        <w:t xml:space="preserve"> T-lymfocytů</w:t>
      </w:r>
      <w:r>
        <w:rPr>
          <w:rFonts w:cstheme="minorHAnsi"/>
          <w:sz w:val="24"/>
          <w:szCs w:val="24"/>
        </w:rPr>
        <w:t>,</w:t>
      </w:r>
      <w:r w:rsidRPr="0062347D">
        <w:rPr>
          <w:rFonts w:cstheme="minorHAnsi"/>
          <w:sz w:val="24"/>
          <w:szCs w:val="24"/>
        </w:rPr>
        <w:t xml:space="preserve"> a to hlavně v expresi cytokinů a proliferaci </w:t>
      </w:r>
      <w:r w:rsidRPr="00E663BF">
        <w:rPr>
          <w:rFonts w:cstheme="minorHAnsi"/>
          <w:noProof/>
          <w:sz w:val="24"/>
          <w:szCs w:val="24"/>
        </w:rPr>
        <w:t>(</w:t>
      </w:r>
      <w:r w:rsidRPr="004E5649">
        <w:rPr>
          <w:rFonts w:cstheme="minorHAnsi"/>
          <w:noProof/>
          <w:sz w:val="24"/>
          <w:szCs w:val="24"/>
        </w:rPr>
        <w:t>Oswald-Richter, Richmond et al. 2013</w:t>
      </w:r>
      <w:r w:rsidRPr="00E663BF">
        <w:rPr>
          <w:rFonts w:cstheme="minorHAnsi"/>
          <w:noProof/>
          <w:sz w:val="24"/>
          <w:szCs w:val="24"/>
        </w:rPr>
        <w:t>)</w:t>
      </w:r>
      <w:r w:rsidRPr="0062347D">
        <w:rPr>
          <w:rFonts w:cstheme="minorHAnsi"/>
          <w:sz w:val="24"/>
          <w:szCs w:val="24"/>
        </w:rPr>
        <w:t>. Proto jsou T</w:t>
      </w:r>
      <w:r w:rsidRPr="00E663BF">
        <w:rPr>
          <w:rFonts w:cstheme="minorHAnsi"/>
          <w:sz w:val="24"/>
          <w:szCs w:val="24"/>
        </w:rPr>
        <w:t>-</w:t>
      </w:r>
      <w:r w:rsidRPr="004E5649">
        <w:rPr>
          <w:rFonts w:cstheme="minorHAnsi"/>
          <w:sz w:val="24"/>
          <w:szCs w:val="24"/>
        </w:rPr>
        <w:t>lymfocyty u</w:t>
      </w:r>
      <w:r>
        <w:rPr>
          <w:rFonts w:cstheme="minorHAnsi"/>
          <w:sz w:val="24"/>
          <w:szCs w:val="24"/>
        </w:rPr>
        <w:t> </w:t>
      </w:r>
      <w:r w:rsidRPr="004E5649">
        <w:rPr>
          <w:rFonts w:cstheme="minorHAnsi"/>
          <w:sz w:val="24"/>
          <w:szCs w:val="24"/>
        </w:rPr>
        <w:t xml:space="preserve">sarkoidózy stále potenciálním terapeutickým cílem pro specificky cílenou léčbu </w:t>
      </w:r>
      <w:r w:rsidRPr="00E663BF">
        <w:rPr>
          <w:rFonts w:cstheme="minorHAnsi"/>
          <w:noProof/>
          <w:sz w:val="24"/>
          <w:szCs w:val="24"/>
        </w:rPr>
        <w:t>(</w:t>
      </w:r>
      <w:r w:rsidRPr="004E5649">
        <w:rPr>
          <w:rFonts w:cstheme="minorHAnsi"/>
          <w:noProof/>
          <w:sz w:val="24"/>
          <w:szCs w:val="24"/>
        </w:rPr>
        <w:t xml:space="preserve">Patterson </w:t>
      </w:r>
      <w:r w:rsidR="00166BDD">
        <w:rPr>
          <w:rFonts w:cstheme="minorHAnsi"/>
          <w:noProof/>
          <w:sz w:val="24"/>
          <w:szCs w:val="24"/>
        </w:rPr>
        <w:t>a</w:t>
      </w:r>
      <w:r w:rsidRPr="004E5649">
        <w:rPr>
          <w:rFonts w:cstheme="minorHAnsi"/>
          <w:noProof/>
          <w:sz w:val="24"/>
          <w:szCs w:val="24"/>
        </w:rPr>
        <w:t xml:space="preserve"> Chen 2018</w:t>
      </w:r>
      <w:r w:rsidRPr="00E663BF">
        <w:rPr>
          <w:rFonts w:cstheme="minorHAnsi"/>
          <w:noProof/>
          <w:sz w:val="24"/>
          <w:szCs w:val="24"/>
        </w:rPr>
        <w:t>)</w:t>
      </w:r>
      <w:r w:rsidRPr="0062347D">
        <w:rPr>
          <w:rFonts w:cstheme="minorHAnsi"/>
          <w:sz w:val="24"/>
          <w:szCs w:val="24"/>
        </w:rPr>
        <w:t xml:space="preserve">. </w:t>
      </w:r>
      <w:r w:rsidRPr="00E663BF">
        <w:rPr>
          <w:rFonts w:cstheme="minorHAnsi"/>
          <w:sz w:val="24"/>
          <w:szCs w:val="24"/>
        </w:rPr>
        <w:t xml:space="preserve">Zkoumání BAL buněčného profilu by proto </w:t>
      </w:r>
      <w:r w:rsidRPr="004E5649">
        <w:rPr>
          <w:rFonts w:cstheme="minorHAnsi"/>
          <w:sz w:val="24"/>
          <w:szCs w:val="24"/>
        </w:rPr>
        <w:t>mělo přinést další poznatky o T-lymfocytech u intersticiálních plicních onemocnění, zejména u různých stádií sarkoidózy.</w:t>
      </w:r>
    </w:p>
    <w:p w:rsidR="008F0C0F" w:rsidRPr="0062347D" w:rsidRDefault="008F0C0F" w:rsidP="00284F89">
      <w:pPr>
        <w:pStyle w:val="Nadpis2"/>
        <w:spacing w:after="240"/>
      </w:pPr>
      <w:bookmarkStart w:id="62" w:name="_Toc69543050"/>
      <w:r w:rsidRPr="00B24D8C">
        <w:lastRenderedPageBreak/>
        <w:t>Diskuze:</w:t>
      </w:r>
      <w:r w:rsidRPr="0062347D">
        <w:t xml:space="preserve"> Exprese RNA-vazebných proteinů v bronchoalveolárních buňkách u plicní sarkoidózy</w:t>
      </w:r>
      <w:bookmarkEnd w:id="62"/>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 xml:space="preserve">Snahy o nalezení nových biomarkerů a způsobů léčby u sarkoidózy vedou k výzkumu doposud málo prozkoumaných molekul. Mezi ně patří například RNA-vazebné proteiny, které jsou prozatím prozkoumány hlavně u onkologických plicních onemocnění </w:t>
      </w:r>
      <w:r w:rsidRPr="00E663BF">
        <w:rPr>
          <w:rFonts w:cstheme="minorHAnsi"/>
          <w:noProof/>
          <w:sz w:val="24"/>
          <w:szCs w:val="24"/>
        </w:rPr>
        <w:t>(</w:t>
      </w:r>
      <w:r w:rsidRPr="004E5649">
        <w:rPr>
          <w:rFonts w:cstheme="minorHAnsi"/>
          <w:noProof/>
          <w:sz w:val="24"/>
          <w:szCs w:val="24"/>
        </w:rPr>
        <w:t xml:space="preserve">Kechavarzi </w:t>
      </w:r>
      <w:r w:rsidR="00166BDD">
        <w:rPr>
          <w:rFonts w:cstheme="minorHAnsi"/>
          <w:noProof/>
          <w:sz w:val="24"/>
          <w:szCs w:val="24"/>
        </w:rPr>
        <w:t>a</w:t>
      </w:r>
      <w:r w:rsidRPr="004E5649">
        <w:rPr>
          <w:rFonts w:cstheme="minorHAnsi"/>
          <w:noProof/>
          <w:sz w:val="24"/>
          <w:szCs w:val="24"/>
        </w:rPr>
        <w:t xml:space="preserve"> Janga 2014</w:t>
      </w:r>
      <w:r w:rsidR="001C5064">
        <w:rPr>
          <w:rFonts w:cstheme="minorHAnsi"/>
          <w:noProof/>
          <w:sz w:val="24"/>
          <w:szCs w:val="24"/>
        </w:rPr>
        <w:t xml:space="preserve">; </w:t>
      </w:r>
      <w:r w:rsidRPr="004E5649">
        <w:rPr>
          <w:rFonts w:cstheme="minorHAnsi"/>
          <w:noProof/>
          <w:sz w:val="24"/>
          <w:szCs w:val="24"/>
        </w:rPr>
        <w:t>Hong 2017</w:t>
      </w:r>
      <w:r w:rsidRPr="00E663BF">
        <w:rPr>
          <w:rFonts w:cstheme="minorHAnsi"/>
          <w:noProof/>
          <w:sz w:val="24"/>
          <w:szCs w:val="24"/>
        </w:rPr>
        <w:t>)</w:t>
      </w:r>
      <w:r w:rsidRPr="0062347D">
        <w:rPr>
          <w:rFonts w:cstheme="minorHAnsi"/>
          <w:sz w:val="24"/>
          <w:szCs w:val="24"/>
        </w:rPr>
        <w:t>.</w:t>
      </w:r>
      <w:r w:rsidRPr="00E663BF">
        <w:rPr>
          <w:rFonts w:cstheme="minorHAnsi"/>
          <w:sz w:val="24"/>
          <w:szCs w:val="24"/>
        </w:rPr>
        <w:t xml:space="preserve"> </w:t>
      </w:r>
      <w:r w:rsidRPr="004E5649">
        <w:rPr>
          <w:rFonts w:cstheme="minorHAnsi"/>
          <w:sz w:val="24"/>
          <w:szCs w:val="24"/>
        </w:rPr>
        <w:t>Co se týče exprese RNA-vazebných proteinů u plicní sarkoidózy</w:t>
      </w:r>
      <w:r w:rsidRPr="00B24D8C">
        <w:rPr>
          <w:rFonts w:cstheme="minorHAnsi"/>
          <w:sz w:val="24"/>
          <w:szCs w:val="24"/>
        </w:rPr>
        <w:t xml:space="preserve">, existuje o ní </w:t>
      </w:r>
      <w:r w:rsidRPr="0062347D">
        <w:rPr>
          <w:rFonts w:cstheme="minorHAnsi"/>
          <w:sz w:val="24"/>
          <w:szCs w:val="24"/>
        </w:rPr>
        <w:t>málo informací, téměř žádné.</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V naší studii jsme v bronchoalveolárních buňkách pacientů s plicní sarkoidózou stanovili sníženou relativní mRNA expresi vybraných RNA-vazebných proteinů v porovnání se skupinami obstrukčních plicních nemocí a skupinou idiopatických intersticiálních pneumonií. Dále jsme na proteinové úrovni stanovili sníženou relativní expresi dvou RNA-vazebných proteinů v CD4</w:t>
      </w:r>
      <w:r w:rsidRPr="0062347D">
        <w:rPr>
          <w:rFonts w:cstheme="minorHAnsi"/>
          <w:sz w:val="24"/>
          <w:szCs w:val="24"/>
          <w:vertAlign w:val="superscript"/>
        </w:rPr>
        <w:t xml:space="preserve">+ </w:t>
      </w:r>
      <w:r w:rsidRPr="0062347D">
        <w:rPr>
          <w:rFonts w:cstheme="minorHAnsi"/>
          <w:sz w:val="24"/>
          <w:szCs w:val="24"/>
        </w:rPr>
        <w:t>a CD8</w:t>
      </w:r>
      <w:r w:rsidRPr="0062347D">
        <w:rPr>
          <w:rFonts w:cstheme="minorHAnsi"/>
          <w:sz w:val="24"/>
          <w:szCs w:val="24"/>
          <w:vertAlign w:val="superscript"/>
        </w:rPr>
        <w:t>+</w:t>
      </w:r>
      <w:r w:rsidRPr="0062347D">
        <w:rPr>
          <w:rFonts w:cstheme="minorHAnsi"/>
          <w:sz w:val="24"/>
          <w:szCs w:val="24"/>
        </w:rPr>
        <w:t xml:space="preserve"> T-lymfocytech</w:t>
      </w:r>
      <w:r>
        <w:rPr>
          <w:rFonts w:cstheme="minorHAnsi"/>
          <w:sz w:val="24"/>
          <w:szCs w:val="24"/>
        </w:rPr>
        <w:t>,</w:t>
      </w:r>
      <w:r w:rsidRPr="0062347D">
        <w:rPr>
          <w:rFonts w:cstheme="minorHAnsi"/>
          <w:sz w:val="24"/>
          <w:szCs w:val="24"/>
        </w:rPr>
        <w:t xml:space="preserve"> a to na systémové úrovni v periferní krvi.</w:t>
      </w:r>
    </w:p>
    <w:p w:rsidR="008F0C0F" w:rsidRPr="00E663BF" w:rsidRDefault="008F0C0F" w:rsidP="00284F89">
      <w:pPr>
        <w:spacing w:line="360" w:lineRule="auto"/>
        <w:ind w:firstLine="709"/>
        <w:jc w:val="both"/>
        <w:rPr>
          <w:rFonts w:cstheme="minorHAnsi"/>
          <w:sz w:val="24"/>
          <w:szCs w:val="24"/>
        </w:rPr>
      </w:pPr>
      <w:r w:rsidRPr="0062347D">
        <w:rPr>
          <w:rFonts w:cstheme="minorHAnsi"/>
          <w:sz w:val="24"/>
          <w:szCs w:val="24"/>
        </w:rPr>
        <w:t xml:space="preserve">Obecně byl vyšší výskyt RNA-vazebných proteinů zaznamenán u nádorových plicních onemocnění </w:t>
      </w:r>
      <w:r w:rsidRPr="00E663BF">
        <w:rPr>
          <w:rFonts w:cstheme="minorHAnsi"/>
          <w:noProof/>
          <w:sz w:val="24"/>
          <w:szCs w:val="24"/>
        </w:rPr>
        <w:t>(</w:t>
      </w:r>
      <w:r w:rsidRPr="004E5649">
        <w:rPr>
          <w:rFonts w:cstheme="minorHAnsi"/>
          <w:noProof/>
          <w:sz w:val="24"/>
          <w:szCs w:val="24"/>
        </w:rPr>
        <w:t xml:space="preserve">Kechavarzi </w:t>
      </w:r>
      <w:r w:rsidR="00166BDD">
        <w:rPr>
          <w:rFonts w:cstheme="minorHAnsi"/>
          <w:noProof/>
          <w:sz w:val="24"/>
          <w:szCs w:val="24"/>
        </w:rPr>
        <w:t>a</w:t>
      </w:r>
      <w:r w:rsidRPr="004E5649">
        <w:rPr>
          <w:rFonts w:cstheme="minorHAnsi"/>
          <w:noProof/>
          <w:sz w:val="24"/>
          <w:szCs w:val="24"/>
        </w:rPr>
        <w:t xml:space="preserve"> Janga 2014</w:t>
      </w:r>
      <w:r w:rsidRPr="00E663BF">
        <w:rPr>
          <w:rFonts w:cstheme="minorHAnsi"/>
          <w:noProof/>
          <w:sz w:val="24"/>
          <w:szCs w:val="24"/>
        </w:rPr>
        <w:t>)</w:t>
      </w:r>
      <w:r w:rsidRPr="0062347D">
        <w:rPr>
          <w:rFonts w:cstheme="minorHAnsi"/>
          <w:sz w:val="24"/>
          <w:szCs w:val="24"/>
        </w:rPr>
        <w:t xml:space="preserve">. To je však v rozporu s naším pozorováním, kdy </w:t>
      </w:r>
      <w:r w:rsidRPr="00E663BF">
        <w:rPr>
          <w:rFonts w:cstheme="minorHAnsi"/>
          <w:sz w:val="24"/>
          <w:szCs w:val="24"/>
        </w:rPr>
        <w:t xml:space="preserve">jsme </w:t>
      </w:r>
      <w:r w:rsidRPr="004E5649">
        <w:rPr>
          <w:rFonts w:cstheme="minorHAnsi"/>
          <w:sz w:val="24"/>
          <w:szCs w:val="24"/>
        </w:rPr>
        <w:t>u našich pacientů s plicní sarkoidózou nalezli sníženou expresi AUF1, NCL a TIA na mRNA úrovni v bronchoalveolárních buňkách</w:t>
      </w:r>
      <w:r w:rsidRPr="00B24D8C">
        <w:rPr>
          <w:rFonts w:cstheme="minorHAnsi"/>
          <w:sz w:val="24"/>
          <w:szCs w:val="24"/>
        </w:rPr>
        <w:t xml:space="preserve">. Dále </w:t>
      </w:r>
      <w:r w:rsidRPr="0062347D">
        <w:rPr>
          <w:rFonts w:cstheme="minorHAnsi"/>
          <w:sz w:val="24"/>
          <w:szCs w:val="24"/>
        </w:rPr>
        <w:t xml:space="preserve">jsme nalezli sníženou proteinovou expresi AUF1 a HuR v T-lymfocytech z periferní krve. Ve zdravé plicní tkáni a leukocytech jsou RNA-vazebné proteiny vysoce exprimovány, více než miRNA a dokonce více než transkripční faktory. To ukazuje na významnou roli RNA-vazebných proteinů při regulaci zánětu v plicích </w:t>
      </w:r>
      <w:r w:rsidRPr="00E663BF">
        <w:rPr>
          <w:rFonts w:cstheme="minorHAnsi"/>
          <w:noProof/>
          <w:sz w:val="24"/>
          <w:szCs w:val="24"/>
        </w:rPr>
        <w:t>(</w:t>
      </w:r>
      <w:r w:rsidRPr="004E5649">
        <w:rPr>
          <w:rFonts w:cstheme="minorHAnsi"/>
          <w:noProof/>
          <w:sz w:val="24"/>
          <w:szCs w:val="24"/>
        </w:rPr>
        <w:t xml:space="preserve">Kechavarzi </w:t>
      </w:r>
      <w:r w:rsidR="00166BDD">
        <w:rPr>
          <w:rFonts w:cstheme="minorHAnsi"/>
          <w:noProof/>
          <w:sz w:val="24"/>
          <w:szCs w:val="24"/>
        </w:rPr>
        <w:t>a</w:t>
      </w:r>
      <w:r w:rsidRPr="004E5649">
        <w:rPr>
          <w:rFonts w:cstheme="minorHAnsi"/>
          <w:noProof/>
          <w:sz w:val="24"/>
          <w:szCs w:val="24"/>
        </w:rPr>
        <w:t xml:space="preserve"> Janga 2014</w:t>
      </w:r>
      <w:r w:rsidRPr="00E663BF">
        <w:rPr>
          <w:rFonts w:cstheme="minorHAnsi"/>
          <w:noProof/>
          <w:sz w:val="24"/>
          <w:szCs w:val="24"/>
        </w:rPr>
        <w:t>)</w:t>
      </w:r>
      <w:r w:rsidRPr="0062347D">
        <w:rPr>
          <w:rFonts w:cstheme="minorHAnsi"/>
          <w:sz w:val="24"/>
          <w:szCs w:val="24"/>
        </w:rPr>
        <w:t>.</w:t>
      </w:r>
    </w:p>
    <w:p w:rsidR="008F0C0F" w:rsidRPr="004E5649" w:rsidRDefault="008F0C0F" w:rsidP="00284F89">
      <w:pPr>
        <w:spacing w:line="360" w:lineRule="auto"/>
        <w:ind w:firstLine="709"/>
        <w:jc w:val="both"/>
        <w:rPr>
          <w:rFonts w:cstheme="minorHAnsi"/>
          <w:sz w:val="24"/>
          <w:szCs w:val="24"/>
        </w:rPr>
      </w:pPr>
      <w:r w:rsidRPr="004E5649">
        <w:rPr>
          <w:rFonts w:cstheme="minorHAnsi"/>
          <w:sz w:val="24"/>
          <w:szCs w:val="24"/>
        </w:rPr>
        <w:t>Můžeme se pouze domnívat, zdali snížená exprese RNA-vazebných proteinů u</w:t>
      </w:r>
      <w:r>
        <w:rPr>
          <w:rFonts w:cstheme="minorHAnsi"/>
          <w:sz w:val="24"/>
          <w:szCs w:val="24"/>
        </w:rPr>
        <w:t> </w:t>
      </w:r>
      <w:r w:rsidRPr="0062347D">
        <w:rPr>
          <w:rFonts w:cstheme="minorHAnsi"/>
          <w:sz w:val="24"/>
          <w:szCs w:val="24"/>
        </w:rPr>
        <w:t xml:space="preserve">sarkoidózy podporuje rozvoj nedostatečného mechanismu pro degradaci mRNA kódujících cytokiny (např. IL-6), chemokiny (např. IL-8) a proteolytické enzymy (např. MMP-9), které se na zánětu podílí </w:t>
      </w:r>
      <w:r w:rsidR="001C5064" w:rsidRPr="00E663BF">
        <w:rPr>
          <w:rFonts w:cstheme="minorHAnsi"/>
          <w:noProof/>
          <w:sz w:val="24"/>
          <w:szCs w:val="24"/>
        </w:rPr>
        <w:t>(</w:t>
      </w:r>
      <w:r w:rsidR="001C5064" w:rsidRPr="004E5649">
        <w:rPr>
          <w:rFonts w:cstheme="minorHAnsi"/>
          <w:noProof/>
          <w:sz w:val="24"/>
          <w:szCs w:val="24"/>
        </w:rPr>
        <w:t>Fireman, Kraiem et al. 2002</w:t>
      </w:r>
      <w:r w:rsidR="001C5064">
        <w:rPr>
          <w:rFonts w:cstheme="minorHAnsi"/>
          <w:noProof/>
          <w:sz w:val="24"/>
          <w:szCs w:val="24"/>
        </w:rPr>
        <w:t xml:space="preserve">; </w:t>
      </w:r>
      <w:r w:rsidRPr="004E5649">
        <w:rPr>
          <w:rFonts w:cstheme="minorHAnsi"/>
          <w:noProof/>
          <w:sz w:val="24"/>
          <w:szCs w:val="24"/>
        </w:rPr>
        <w:t>Henry, McMahon et al. 2002</w:t>
      </w:r>
      <w:r w:rsidR="001C5064">
        <w:rPr>
          <w:rFonts w:cstheme="minorHAnsi"/>
          <w:noProof/>
          <w:sz w:val="24"/>
          <w:szCs w:val="24"/>
        </w:rPr>
        <w:t xml:space="preserve">; </w:t>
      </w:r>
      <w:r w:rsidRPr="004E5649">
        <w:rPr>
          <w:rFonts w:cstheme="minorHAnsi"/>
          <w:noProof/>
          <w:sz w:val="24"/>
          <w:szCs w:val="24"/>
        </w:rPr>
        <w:t>Paschoud, Dogar et al. 2006</w:t>
      </w:r>
      <w:r w:rsidR="001C5064">
        <w:rPr>
          <w:rFonts w:cstheme="minorHAnsi"/>
          <w:noProof/>
          <w:sz w:val="24"/>
          <w:szCs w:val="24"/>
        </w:rPr>
        <w:t xml:space="preserve">; </w:t>
      </w:r>
      <w:r w:rsidRPr="004E5649">
        <w:rPr>
          <w:rFonts w:cstheme="minorHAnsi"/>
          <w:noProof/>
          <w:sz w:val="24"/>
          <w:szCs w:val="24"/>
        </w:rPr>
        <w:t>Liu, Rosenberg et al. 2006</w:t>
      </w:r>
      <w:r w:rsidR="001C5064">
        <w:rPr>
          <w:rFonts w:cstheme="minorHAnsi"/>
          <w:noProof/>
          <w:sz w:val="24"/>
          <w:szCs w:val="24"/>
        </w:rPr>
        <w:t xml:space="preserve">; </w:t>
      </w:r>
      <w:r w:rsidRPr="004E5649">
        <w:rPr>
          <w:rFonts w:cstheme="minorHAnsi"/>
          <w:noProof/>
          <w:sz w:val="24"/>
          <w:szCs w:val="24"/>
        </w:rPr>
        <w:t>Chowdhury, Dijkhuis et al. 2013</w:t>
      </w:r>
      <w:r w:rsidRPr="00E663BF">
        <w:rPr>
          <w:rFonts w:cstheme="minorHAnsi"/>
          <w:noProof/>
          <w:sz w:val="24"/>
          <w:szCs w:val="24"/>
        </w:rPr>
        <w:t>)</w:t>
      </w:r>
      <w:r w:rsidRPr="0062347D">
        <w:rPr>
          <w:rFonts w:cstheme="minorHAnsi"/>
          <w:sz w:val="24"/>
          <w:szCs w:val="24"/>
        </w:rPr>
        <w:t>.</w:t>
      </w:r>
      <w:r w:rsidRPr="00E663BF">
        <w:rPr>
          <w:rFonts w:cstheme="minorHAnsi"/>
          <w:sz w:val="24"/>
          <w:szCs w:val="24"/>
        </w:rPr>
        <w:t xml:space="preserve"> </w:t>
      </w:r>
      <w:r w:rsidRPr="004E5649">
        <w:rPr>
          <w:rFonts w:cstheme="minorHAnsi"/>
          <w:sz w:val="24"/>
          <w:szCs w:val="24"/>
        </w:rPr>
        <w:t xml:space="preserve">Terapie zaměřené na </w:t>
      </w:r>
      <w:r w:rsidRPr="00B24D8C">
        <w:rPr>
          <w:rFonts w:cstheme="minorHAnsi"/>
          <w:sz w:val="24"/>
          <w:szCs w:val="24"/>
        </w:rPr>
        <w:t>RNA-vazebné proteiny</w:t>
      </w:r>
      <w:r w:rsidRPr="0062347D">
        <w:rPr>
          <w:rFonts w:cstheme="minorHAnsi"/>
          <w:sz w:val="24"/>
          <w:szCs w:val="24"/>
        </w:rPr>
        <w:t xml:space="preserve"> převládají prozatím u maligních onemocnění. U RNA-vazebného proteinu HuR, který je spíše u maligních onemocnění zvýšený, jsou nové terapeutické přístupy zaměřeny na snížení exprese HuR. Lipidové nanočástice obsahující krátké interferující RNA proti HuR mRNA</w:t>
      </w:r>
      <w:r w:rsidR="000C2284">
        <w:rPr>
          <w:rFonts w:cstheme="minorHAnsi"/>
          <w:sz w:val="24"/>
          <w:szCs w:val="24"/>
        </w:rPr>
        <w:t>, které</w:t>
      </w:r>
      <w:r w:rsidRPr="0062347D">
        <w:rPr>
          <w:rFonts w:cstheme="minorHAnsi"/>
          <w:sz w:val="24"/>
          <w:szCs w:val="24"/>
        </w:rPr>
        <w:t xml:space="preserve"> účinně redukují invazi, migraci a viabilitu buněk karcinomu plic </w:t>
      </w:r>
      <w:r w:rsidR="001C5064" w:rsidRPr="00E663BF">
        <w:rPr>
          <w:rFonts w:cstheme="minorHAnsi"/>
          <w:noProof/>
          <w:sz w:val="24"/>
          <w:szCs w:val="24"/>
        </w:rPr>
        <w:t>(</w:t>
      </w:r>
      <w:r w:rsidR="001C5064" w:rsidRPr="004E5649">
        <w:rPr>
          <w:rFonts w:cstheme="minorHAnsi"/>
          <w:noProof/>
          <w:sz w:val="24"/>
          <w:szCs w:val="24"/>
        </w:rPr>
        <w:t>Muralidharan, Babu et al. 2016</w:t>
      </w:r>
      <w:r w:rsidR="001C5064">
        <w:rPr>
          <w:rFonts w:cstheme="minorHAnsi"/>
          <w:noProof/>
          <w:sz w:val="24"/>
          <w:szCs w:val="24"/>
        </w:rPr>
        <w:t xml:space="preserve">; </w:t>
      </w:r>
      <w:r w:rsidRPr="004E5649">
        <w:rPr>
          <w:rFonts w:cstheme="minorHAnsi"/>
          <w:noProof/>
          <w:sz w:val="24"/>
          <w:szCs w:val="24"/>
        </w:rPr>
        <w:t>Muralidharan, Babu et al. 2017</w:t>
      </w:r>
      <w:r w:rsidRPr="00E663BF">
        <w:rPr>
          <w:rFonts w:cstheme="minorHAnsi"/>
          <w:noProof/>
          <w:sz w:val="24"/>
          <w:szCs w:val="24"/>
        </w:rPr>
        <w:t>)</w:t>
      </w:r>
      <w:r w:rsidR="001C5064">
        <w:rPr>
          <w:rFonts w:cstheme="minorHAnsi"/>
          <w:noProof/>
          <w:sz w:val="24"/>
          <w:szCs w:val="24"/>
        </w:rPr>
        <w:t>.</w:t>
      </w:r>
      <w:r w:rsidRPr="0062347D">
        <w:rPr>
          <w:rFonts w:cstheme="minorHAnsi"/>
          <w:sz w:val="24"/>
          <w:szCs w:val="24"/>
        </w:rPr>
        <w:t xml:space="preserve"> Dále je možné v m</w:t>
      </w:r>
      <w:r w:rsidRPr="00E663BF">
        <w:rPr>
          <w:rFonts w:cstheme="minorHAnsi"/>
          <w:sz w:val="24"/>
          <w:szCs w:val="24"/>
        </w:rPr>
        <w:t xml:space="preserve">olekule proteinu HuR </w:t>
      </w:r>
      <w:r w:rsidRPr="004E5649">
        <w:rPr>
          <w:rFonts w:cstheme="minorHAnsi"/>
          <w:sz w:val="24"/>
          <w:szCs w:val="24"/>
        </w:rPr>
        <w:t xml:space="preserve">blokovat vazebné místo pro molekuly mRNA </w:t>
      </w:r>
      <w:r w:rsidRPr="00E663BF">
        <w:rPr>
          <w:rFonts w:cstheme="minorHAnsi"/>
          <w:noProof/>
          <w:sz w:val="24"/>
          <w:szCs w:val="24"/>
        </w:rPr>
        <w:t>(</w:t>
      </w:r>
      <w:r w:rsidRPr="004E5649">
        <w:rPr>
          <w:rFonts w:cstheme="minorHAnsi"/>
          <w:noProof/>
          <w:sz w:val="24"/>
          <w:szCs w:val="24"/>
        </w:rPr>
        <w:t xml:space="preserve">Wu, Lan et al. </w:t>
      </w:r>
      <w:r w:rsidRPr="004E5649">
        <w:rPr>
          <w:rFonts w:cstheme="minorHAnsi"/>
          <w:noProof/>
          <w:sz w:val="24"/>
          <w:szCs w:val="24"/>
        </w:rPr>
        <w:lastRenderedPageBreak/>
        <w:t>2015</w:t>
      </w:r>
      <w:r w:rsidRPr="0062347D">
        <w:rPr>
          <w:rFonts w:cstheme="minorHAnsi"/>
          <w:noProof/>
          <w:sz w:val="24"/>
          <w:szCs w:val="24"/>
        </w:rPr>
        <w:t>)</w:t>
      </w:r>
      <w:r w:rsidRPr="0062347D">
        <w:rPr>
          <w:rFonts w:cstheme="minorHAnsi"/>
          <w:sz w:val="24"/>
          <w:szCs w:val="24"/>
        </w:rPr>
        <w:t xml:space="preserve">. </w:t>
      </w:r>
      <w:r w:rsidR="00B04E25">
        <w:rPr>
          <w:rFonts w:cstheme="minorHAnsi"/>
          <w:sz w:val="24"/>
          <w:szCs w:val="24"/>
        </w:rPr>
        <w:t xml:space="preserve">U našich pacientů s plicní sarkoidózou jsme našli sníženou mRNA expresi </w:t>
      </w:r>
      <w:r w:rsidR="007305DC">
        <w:rPr>
          <w:rFonts w:cstheme="minorHAnsi"/>
          <w:sz w:val="24"/>
          <w:szCs w:val="24"/>
        </w:rPr>
        <w:t xml:space="preserve">RNA-vazebných proteinů </w:t>
      </w:r>
      <w:r w:rsidR="00B04E25">
        <w:rPr>
          <w:rFonts w:cstheme="minorHAnsi"/>
          <w:sz w:val="24"/>
          <w:szCs w:val="24"/>
        </w:rPr>
        <w:t xml:space="preserve">v bronchoalveolárních buňkách. </w:t>
      </w:r>
      <w:r w:rsidRPr="00E663BF">
        <w:rPr>
          <w:rFonts w:cstheme="minorHAnsi"/>
          <w:sz w:val="24"/>
          <w:szCs w:val="24"/>
        </w:rPr>
        <w:t>Nové</w:t>
      </w:r>
      <w:r w:rsidRPr="004E5649">
        <w:rPr>
          <w:rFonts w:cstheme="minorHAnsi"/>
          <w:sz w:val="24"/>
          <w:szCs w:val="24"/>
        </w:rPr>
        <w:t xml:space="preserve"> způsoby terapií u sarkoidózy by mohly mít </w:t>
      </w:r>
      <w:r w:rsidR="00B04E25">
        <w:rPr>
          <w:rFonts w:cstheme="minorHAnsi"/>
          <w:sz w:val="24"/>
          <w:szCs w:val="24"/>
        </w:rPr>
        <w:t xml:space="preserve">například </w:t>
      </w:r>
      <w:r w:rsidRPr="004E5649">
        <w:rPr>
          <w:rFonts w:cstheme="minorHAnsi"/>
          <w:sz w:val="24"/>
          <w:szCs w:val="24"/>
        </w:rPr>
        <w:t>základ v obnovení dostatečné koncentrace</w:t>
      </w:r>
      <w:r w:rsidR="00B04E25">
        <w:rPr>
          <w:rFonts w:cstheme="minorHAnsi"/>
          <w:sz w:val="24"/>
          <w:szCs w:val="24"/>
        </w:rPr>
        <w:t xml:space="preserve"> RNA-vazebných proteinů v buňce. </w:t>
      </w:r>
    </w:p>
    <w:p w:rsidR="008F0C0F" w:rsidRPr="00E663BF" w:rsidRDefault="008F0C0F" w:rsidP="00284F89">
      <w:pPr>
        <w:spacing w:line="360" w:lineRule="auto"/>
        <w:ind w:firstLine="709"/>
        <w:jc w:val="both"/>
        <w:rPr>
          <w:rFonts w:cstheme="minorHAnsi"/>
          <w:sz w:val="24"/>
          <w:szCs w:val="24"/>
        </w:rPr>
      </w:pPr>
      <w:r w:rsidRPr="004E5649">
        <w:rPr>
          <w:rFonts w:cstheme="minorHAnsi"/>
          <w:sz w:val="24"/>
          <w:szCs w:val="24"/>
        </w:rPr>
        <w:t>Inhibitor proteolytických enzymů RECK, který podléhá post-transkripční kontrole vedené RNA-vazebnými proteiny, měl nižší expresi v BA buňkách ve všech skupinách pacientů s plicním onemocněním v porovnání se zdravými kontrolami. Dále exprese několika RNA-vazebných proteinů korelovala s bronchoalveolární mRNA expresí proteinu RECK u</w:t>
      </w:r>
      <w:r>
        <w:rPr>
          <w:rFonts w:cstheme="minorHAnsi"/>
          <w:sz w:val="24"/>
          <w:szCs w:val="24"/>
        </w:rPr>
        <w:t> </w:t>
      </w:r>
      <w:r w:rsidRPr="0062347D">
        <w:rPr>
          <w:rFonts w:cstheme="minorHAnsi"/>
          <w:sz w:val="24"/>
          <w:szCs w:val="24"/>
        </w:rPr>
        <w:t>různých plicních onemocnění. Ačkoliv tyto korelace poskytují pouze nepřímý důkaz o</w:t>
      </w:r>
      <w:r>
        <w:rPr>
          <w:rFonts w:cstheme="minorHAnsi"/>
          <w:sz w:val="24"/>
          <w:szCs w:val="24"/>
        </w:rPr>
        <w:t> </w:t>
      </w:r>
      <w:r w:rsidRPr="0062347D">
        <w:rPr>
          <w:rFonts w:cstheme="minorHAnsi"/>
          <w:sz w:val="24"/>
          <w:szCs w:val="24"/>
        </w:rPr>
        <w:t xml:space="preserve">možné přímé interakci mezi RNA-vazebnými proteiny a proteinem RECK, jejich in vivo interakce jsou i tak pravděpodobné. Z tohoto drobného poznatku vyplývá, jak je regulace zánětu komplexní. Nízká mRNA exprese </w:t>
      </w:r>
      <w:r w:rsidR="00CB2C0E">
        <w:rPr>
          <w:rFonts w:cstheme="minorHAnsi"/>
          <w:sz w:val="24"/>
          <w:szCs w:val="24"/>
        </w:rPr>
        <w:t xml:space="preserve">genu </w:t>
      </w:r>
      <w:r w:rsidRPr="0062347D">
        <w:rPr>
          <w:rFonts w:cstheme="minorHAnsi"/>
          <w:sz w:val="24"/>
          <w:szCs w:val="24"/>
        </w:rPr>
        <w:t xml:space="preserve">RECK u našich pacientů </w:t>
      </w:r>
      <w:r w:rsidR="00CB2C0E">
        <w:rPr>
          <w:rFonts w:cstheme="minorHAnsi"/>
          <w:sz w:val="24"/>
          <w:szCs w:val="24"/>
        </w:rPr>
        <w:t xml:space="preserve">může být součástí procesu </w:t>
      </w:r>
      <w:r w:rsidR="00D46780">
        <w:rPr>
          <w:rFonts w:cstheme="minorHAnsi"/>
          <w:sz w:val="24"/>
          <w:szCs w:val="24"/>
        </w:rPr>
        <w:t xml:space="preserve">narušené </w:t>
      </w:r>
      <w:r w:rsidR="00CB2C0E">
        <w:rPr>
          <w:rFonts w:cstheme="minorHAnsi"/>
          <w:sz w:val="24"/>
          <w:szCs w:val="24"/>
        </w:rPr>
        <w:t>proteolytické degradace</w:t>
      </w:r>
      <w:r w:rsidRPr="0062347D">
        <w:rPr>
          <w:rFonts w:cstheme="minorHAnsi"/>
          <w:sz w:val="24"/>
          <w:szCs w:val="24"/>
        </w:rPr>
        <w:t xml:space="preserve"> pojivových tkání u </w:t>
      </w:r>
      <w:r w:rsidR="00D46780">
        <w:rPr>
          <w:rFonts w:cstheme="minorHAnsi"/>
          <w:sz w:val="24"/>
          <w:szCs w:val="24"/>
        </w:rPr>
        <w:t>zánětlivých plicních onemocnění</w:t>
      </w:r>
      <w:r w:rsidR="00CB2C0E">
        <w:rPr>
          <w:rFonts w:cstheme="minorHAnsi"/>
          <w:sz w:val="24"/>
          <w:szCs w:val="24"/>
        </w:rPr>
        <w:t xml:space="preserve"> </w:t>
      </w:r>
      <w:r w:rsidRPr="00E663BF">
        <w:rPr>
          <w:rFonts w:cstheme="minorHAnsi"/>
          <w:noProof/>
          <w:sz w:val="24"/>
          <w:szCs w:val="24"/>
        </w:rPr>
        <w:t>(</w:t>
      </w:r>
      <w:r w:rsidRPr="004E5649">
        <w:rPr>
          <w:rFonts w:cstheme="minorHAnsi"/>
          <w:noProof/>
          <w:sz w:val="24"/>
          <w:szCs w:val="24"/>
        </w:rPr>
        <w:t>Raghavan, Ogilvie et al. 2002</w:t>
      </w:r>
      <w:r w:rsidR="001C5064">
        <w:rPr>
          <w:rFonts w:cstheme="minorHAnsi"/>
          <w:noProof/>
          <w:sz w:val="24"/>
          <w:szCs w:val="24"/>
        </w:rPr>
        <w:t xml:space="preserve">; </w:t>
      </w:r>
      <w:r w:rsidRPr="004E5649">
        <w:rPr>
          <w:rFonts w:cstheme="minorHAnsi"/>
          <w:noProof/>
          <w:sz w:val="24"/>
          <w:szCs w:val="24"/>
        </w:rPr>
        <w:t>Skjøt-Arkil, Clausen et al. 2012</w:t>
      </w:r>
      <w:r w:rsidRPr="00E663BF">
        <w:rPr>
          <w:rFonts w:cstheme="minorHAnsi"/>
          <w:noProof/>
          <w:sz w:val="24"/>
          <w:szCs w:val="24"/>
        </w:rPr>
        <w:t>)</w:t>
      </w:r>
      <w:r w:rsidRPr="0062347D">
        <w:rPr>
          <w:rFonts w:cstheme="minorHAnsi"/>
          <w:sz w:val="24"/>
          <w:szCs w:val="24"/>
        </w:rPr>
        <w:t>.</w:t>
      </w:r>
    </w:p>
    <w:p w:rsidR="008F0C0F" w:rsidRPr="004E5649" w:rsidRDefault="008F0C0F" w:rsidP="00284F89">
      <w:pPr>
        <w:pStyle w:val="Nadpis2"/>
        <w:spacing w:after="240"/>
      </w:pPr>
      <w:bookmarkStart w:id="63" w:name="_Toc69543051"/>
      <w:r w:rsidRPr="004E5649">
        <w:t>Diskuze: Exprese miRNA v séru u pacientů s plicní sarkoidózou</w:t>
      </w:r>
      <w:bookmarkEnd w:id="63"/>
    </w:p>
    <w:p w:rsidR="008F0C0F" w:rsidRPr="00E663BF" w:rsidRDefault="008F0C0F" w:rsidP="00284F89">
      <w:pPr>
        <w:tabs>
          <w:tab w:val="left" w:pos="5529"/>
        </w:tabs>
        <w:spacing w:line="360" w:lineRule="auto"/>
        <w:ind w:firstLine="708"/>
        <w:jc w:val="both"/>
        <w:rPr>
          <w:rFonts w:cstheme="minorHAnsi"/>
          <w:sz w:val="24"/>
          <w:szCs w:val="24"/>
        </w:rPr>
      </w:pPr>
      <w:r w:rsidRPr="004E5649">
        <w:rPr>
          <w:rFonts w:cstheme="minorHAnsi"/>
          <w:sz w:val="24"/>
          <w:szCs w:val="24"/>
        </w:rPr>
        <w:t>Optimální stanovení diagnózy sarkoidózy se opírá o klinicko</w:t>
      </w:r>
      <w:r>
        <w:rPr>
          <w:rFonts w:cstheme="minorHAnsi"/>
          <w:sz w:val="24"/>
          <w:szCs w:val="24"/>
        </w:rPr>
        <w:t>-</w:t>
      </w:r>
      <w:r w:rsidRPr="004E5649">
        <w:rPr>
          <w:rFonts w:cstheme="minorHAnsi"/>
          <w:sz w:val="24"/>
          <w:szCs w:val="24"/>
        </w:rPr>
        <w:t>radiologický obraz a</w:t>
      </w:r>
      <w:r>
        <w:rPr>
          <w:rFonts w:cstheme="minorHAnsi"/>
          <w:sz w:val="24"/>
          <w:szCs w:val="24"/>
        </w:rPr>
        <w:t> </w:t>
      </w:r>
      <w:r w:rsidRPr="004E5649">
        <w:rPr>
          <w:rFonts w:cstheme="minorHAnsi"/>
          <w:sz w:val="24"/>
          <w:szCs w:val="24"/>
        </w:rPr>
        <w:t>morfologický průkaz granulomu. Bronch</w:t>
      </w:r>
      <w:r w:rsidR="00B83CCC">
        <w:rPr>
          <w:rFonts w:cstheme="minorHAnsi"/>
          <w:sz w:val="24"/>
          <w:szCs w:val="24"/>
        </w:rPr>
        <w:t>oskopie a s ní spojený odběr BA</w:t>
      </w:r>
      <w:r w:rsidRPr="004E5649">
        <w:rPr>
          <w:rFonts w:cstheme="minorHAnsi"/>
          <w:sz w:val="24"/>
          <w:szCs w:val="24"/>
        </w:rPr>
        <w:t xml:space="preserve"> tekutiny a tkáně s granulomem je považována za poměrně invazivní zákrok a je spojován</w:t>
      </w:r>
      <w:r>
        <w:rPr>
          <w:rFonts w:cstheme="minorHAnsi"/>
          <w:sz w:val="24"/>
          <w:szCs w:val="24"/>
        </w:rPr>
        <w:t>a</w:t>
      </w:r>
      <w:r w:rsidRPr="004E5649">
        <w:rPr>
          <w:rFonts w:cstheme="minorHAnsi"/>
          <w:sz w:val="24"/>
          <w:szCs w:val="24"/>
        </w:rPr>
        <w:t xml:space="preserve"> s následnými zdravotními riziky </w:t>
      </w:r>
      <w:r w:rsidRPr="00E663BF">
        <w:rPr>
          <w:rFonts w:cstheme="minorHAnsi"/>
          <w:noProof/>
          <w:sz w:val="24"/>
          <w:szCs w:val="24"/>
        </w:rPr>
        <w:t>(</w:t>
      </w:r>
      <w:r w:rsidRPr="004E5649">
        <w:rPr>
          <w:rFonts w:cstheme="minorHAnsi"/>
          <w:noProof/>
          <w:sz w:val="24"/>
          <w:szCs w:val="24"/>
        </w:rPr>
        <w:t>Kolek, Žůrková et al. 2019</w:t>
      </w:r>
      <w:r w:rsidRPr="00E663BF">
        <w:rPr>
          <w:rFonts w:cstheme="minorHAnsi"/>
          <w:noProof/>
          <w:sz w:val="24"/>
          <w:szCs w:val="24"/>
        </w:rPr>
        <w:t>)</w:t>
      </w:r>
      <w:r w:rsidRPr="0062347D">
        <w:rPr>
          <w:rFonts w:cstheme="minorHAnsi"/>
          <w:sz w:val="24"/>
          <w:szCs w:val="24"/>
        </w:rPr>
        <w:t>.</w:t>
      </w:r>
      <w:r w:rsidRPr="00E663BF">
        <w:rPr>
          <w:rFonts w:cstheme="minorHAnsi"/>
          <w:sz w:val="24"/>
          <w:szCs w:val="24"/>
        </w:rPr>
        <w:t xml:space="preserve"> V současné době se hl</w:t>
      </w:r>
      <w:r w:rsidRPr="004E5649">
        <w:rPr>
          <w:rFonts w:cstheme="minorHAnsi"/>
          <w:sz w:val="24"/>
          <w:szCs w:val="24"/>
        </w:rPr>
        <w:t>edají nové diagnostické a</w:t>
      </w:r>
      <w:r>
        <w:rPr>
          <w:rFonts w:cstheme="minorHAnsi"/>
          <w:sz w:val="24"/>
          <w:szCs w:val="24"/>
        </w:rPr>
        <w:t> </w:t>
      </w:r>
      <w:r w:rsidRPr="004E5649">
        <w:rPr>
          <w:rFonts w:cstheme="minorHAnsi"/>
          <w:sz w:val="24"/>
          <w:szCs w:val="24"/>
        </w:rPr>
        <w:t xml:space="preserve">prognostické markery v materiálu získaném od pacientů méně invazivními metodami, například z krve </w:t>
      </w:r>
      <w:r w:rsidRPr="00E663BF">
        <w:rPr>
          <w:rFonts w:cstheme="minorHAnsi"/>
          <w:noProof/>
          <w:sz w:val="24"/>
          <w:szCs w:val="24"/>
        </w:rPr>
        <w:t>(</w:t>
      </w:r>
      <w:r w:rsidRPr="004E5649">
        <w:rPr>
          <w:rFonts w:cstheme="minorHAnsi"/>
          <w:noProof/>
          <w:sz w:val="24"/>
          <w:szCs w:val="24"/>
        </w:rPr>
        <w:t>Brown, Rahman et al. 2014</w:t>
      </w:r>
      <w:r w:rsidRPr="00E663BF">
        <w:rPr>
          <w:rFonts w:cstheme="minorHAnsi"/>
          <w:noProof/>
          <w:sz w:val="24"/>
          <w:szCs w:val="24"/>
        </w:rPr>
        <w:t>)</w:t>
      </w:r>
      <w:r w:rsidRPr="0062347D">
        <w:rPr>
          <w:rFonts w:cstheme="minorHAnsi"/>
          <w:sz w:val="24"/>
          <w:szCs w:val="24"/>
        </w:rPr>
        <w:t xml:space="preserve">. miRNA by </w:t>
      </w:r>
      <w:r w:rsidRPr="00E663BF">
        <w:rPr>
          <w:rFonts w:cstheme="minorHAnsi"/>
          <w:sz w:val="24"/>
          <w:szCs w:val="24"/>
          <w:shd w:val="clear" w:color="auto" w:fill="FFFFFF" w:themeFill="background1"/>
        </w:rPr>
        <w:t xml:space="preserve">se díky své stabilitě v </w:t>
      </w:r>
      <w:r w:rsidRPr="004E5649">
        <w:rPr>
          <w:rFonts w:cstheme="minorHAnsi"/>
          <w:sz w:val="24"/>
          <w:szCs w:val="24"/>
        </w:rPr>
        <w:t>séru mohly stát novými diagnostickými markery onemocnění, případně by mohly sloužit k prognóze dalšího vývoje. K tomu je ale potřeba prozkoumat miRNA komplexně u zdravých jedinců a</w:t>
      </w:r>
      <w:r>
        <w:rPr>
          <w:rFonts w:cstheme="minorHAnsi"/>
          <w:sz w:val="24"/>
          <w:szCs w:val="24"/>
        </w:rPr>
        <w:t> </w:t>
      </w:r>
      <w:r w:rsidRPr="004E5649">
        <w:rPr>
          <w:rFonts w:cstheme="minorHAnsi"/>
          <w:sz w:val="24"/>
          <w:szCs w:val="24"/>
        </w:rPr>
        <w:t xml:space="preserve">následně u různých stádií sarkoidózy </w:t>
      </w:r>
      <w:r w:rsidRPr="00E663BF">
        <w:rPr>
          <w:rFonts w:cstheme="minorHAnsi"/>
          <w:noProof/>
          <w:sz w:val="24"/>
          <w:szCs w:val="24"/>
        </w:rPr>
        <w:t>(</w:t>
      </w:r>
      <w:r w:rsidRPr="004E5649">
        <w:rPr>
          <w:rFonts w:cstheme="minorHAnsi"/>
          <w:noProof/>
          <w:sz w:val="24"/>
          <w:szCs w:val="24"/>
        </w:rPr>
        <w:t>Jazva, Kasper et al. 2015</w:t>
      </w:r>
      <w:r w:rsidRPr="00E663BF">
        <w:rPr>
          <w:rFonts w:cstheme="minorHAnsi"/>
          <w:noProof/>
          <w:sz w:val="24"/>
          <w:szCs w:val="24"/>
        </w:rPr>
        <w:t>)</w:t>
      </w:r>
      <w:r w:rsidRPr="0062347D">
        <w:rPr>
          <w:rFonts w:cstheme="minorHAnsi"/>
          <w:sz w:val="24"/>
          <w:szCs w:val="24"/>
        </w:rPr>
        <w:t>.</w:t>
      </w:r>
    </w:p>
    <w:p w:rsidR="008F0C0F" w:rsidRPr="004E5649" w:rsidRDefault="008F0C0F" w:rsidP="00284F89">
      <w:pPr>
        <w:spacing w:line="360" w:lineRule="auto"/>
        <w:ind w:firstLine="709"/>
        <w:jc w:val="both"/>
        <w:rPr>
          <w:rFonts w:cstheme="minorHAnsi"/>
          <w:sz w:val="24"/>
          <w:szCs w:val="24"/>
        </w:rPr>
      </w:pPr>
      <w:r w:rsidRPr="004E5649">
        <w:rPr>
          <w:rFonts w:cstheme="minorHAnsi"/>
          <w:sz w:val="24"/>
          <w:szCs w:val="24"/>
        </w:rPr>
        <w:t>Naše studie poskytuje náhled na exprese miRNA, které jsou deregulovány u pacientů s plicní sarkoidózou. V současné době není dostatek informací o stabilních miRNA v séru u</w:t>
      </w:r>
      <w:r>
        <w:rPr>
          <w:rFonts w:cstheme="minorHAnsi"/>
          <w:sz w:val="24"/>
          <w:szCs w:val="24"/>
        </w:rPr>
        <w:t> </w:t>
      </w:r>
      <w:r w:rsidRPr="004E5649">
        <w:rPr>
          <w:rFonts w:cstheme="minorHAnsi"/>
          <w:sz w:val="24"/>
          <w:szCs w:val="24"/>
        </w:rPr>
        <w:t>pacientů s plicní sarkoidózou, které by bylo možné využít k normalizaci dat z real-time PCR. Již dříve byl nalezen přístup, který využívá geometrického průměru expresí genů k</w:t>
      </w:r>
      <w:r>
        <w:rPr>
          <w:rFonts w:cstheme="minorHAnsi"/>
          <w:sz w:val="24"/>
          <w:szCs w:val="24"/>
        </w:rPr>
        <w:t> </w:t>
      </w:r>
      <w:r w:rsidRPr="004E5649">
        <w:rPr>
          <w:rFonts w:cstheme="minorHAnsi"/>
          <w:sz w:val="24"/>
          <w:szCs w:val="24"/>
        </w:rPr>
        <w:t xml:space="preserve">normalizaci PCR dat </w:t>
      </w:r>
      <w:r w:rsidRPr="00E663BF">
        <w:rPr>
          <w:rFonts w:cstheme="minorHAnsi"/>
          <w:noProof/>
          <w:sz w:val="24"/>
          <w:szCs w:val="24"/>
        </w:rPr>
        <w:t>(</w:t>
      </w:r>
      <w:r w:rsidRPr="004E5649">
        <w:rPr>
          <w:rFonts w:cstheme="minorHAnsi"/>
          <w:noProof/>
          <w:sz w:val="24"/>
          <w:szCs w:val="24"/>
        </w:rPr>
        <w:t>Vandesompele, De Preter et al. 2002</w:t>
      </w:r>
      <w:r w:rsidRPr="00E663BF">
        <w:rPr>
          <w:rFonts w:cstheme="minorHAnsi"/>
          <w:noProof/>
          <w:sz w:val="24"/>
          <w:szCs w:val="24"/>
        </w:rPr>
        <w:t>)</w:t>
      </w:r>
      <w:r w:rsidRPr="0062347D">
        <w:rPr>
          <w:rFonts w:cstheme="minorHAnsi"/>
          <w:sz w:val="24"/>
          <w:szCs w:val="24"/>
        </w:rPr>
        <w:t>. Testovali jsme několik způsobů</w:t>
      </w:r>
      <w:r>
        <w:rPr>
          <w:rFonts w:cstheme="minorHAnsi"/>
          <w:sz w:val="24"/>
          <w:szCs w:val="24"/>
        </w:rPr>
        <w:t>,</w:t>
      </w:r>
      <w:r w:rsidRPr="0062347D">
        <w:rPr>
          <w:rFonts w:cstheme="minorHAnsi"/>
          <w:sz w:val="24"/>
          <w:szCs w:val="24"/>
        </w:rPr>
        <w:t xml:space="preserve"> jak naše </w:t>
      </w:r>
      <w:r w:rsidRPr="00E663BF">
        <w:rPr>
          <w:rFonts w:cstheme="minorHAnsi"/>
          <w:sz w:val="24"/>
          <w:szCs w:val="24"/>
        </w:rPr>
        <w:t>data normalizovat a geometrický</w:t>
      </w:r>
      <w:r w:rsidRPr="004E5649">
        <w:rPr>
          <w:rFonts w:cstheme="minorHAnsi"/>
          <w:sz w:val="24"/>
          <w:szCs w:val="24"/>
        </w:rPr>
        <w:t xml:space="preserve"> průměr se ukázal být nejvhodnější, jelikož byl nejstabilnější. Exprese miRNA normalizovaná geometrickým průměrem (23 exprimovaných </w:t>
      </w:r>
      <w:r w:rsidRPr="004E5649">
        <w:rPr>
          <w:rFonts w:cstheme="minorHAnsi"/>
          <w:sz w:val="24"/>
          <w:szCs w:val="24"/>
        </w:rPr>
        <w:lastRenderedPageBreak/>
        <w:t>miRNA) ukázala, že miR-146a-5p, miR-16-5p, miR-425-5p, a miR-93-5p jsou deregulovány u pacientů s plicní sarkoidózou bez ohledu na stádium (s LS /bez LS) v</w:t>
      </w:r>
      <w:r>
        <w:rPr>
          <w:rFonts w:cstheme="minorHAnsi"/>
          <w:sz w:val="24"/>
          <w:szCs w:val="24"/>
        </w:rPr>
        <w:t> </w:t>
      </w:r>
      <w:r w:rsidRPr="004E5649">
        <w:rPr>
          <w:rFonts w:cstheme="minorHAnsi"/>
          <w:sz w:val="24"/>
          <w:szCs w:val="24"/>
        </w:rPr>
        <w:t>porovnání s</w:t>
      </w:r>
      <w:r>
        <w:rPr>
          <w:rFonts w:cstheme="minorHAnsi"/>
          <w:sz w:val="24"/>
          <w:szCs w:val="24"/>
        </w:rPr>
        <w:t> </w:t>
      </w:r>
      <w:r w:rsidRPr="004E5649">
        <w:rPr>
          <w:rFonts w:cstheme="minorHAnsi"/>
          <w:sz w:val="24"/>
          <w:szCs w:val="24"/>
        </w:rPr>
        <w:t>kontrolami. Pacienti bez LS měli deregulovanou expresi miR-150-5p, miR-1, a</w:t>
      </w:r>
      <w:r>
        <w:rPr>
          <w:rFonts w:cstheme="minorHAnsi"/>
          <w:sz w:val="24"/>
          <w:szCs w:val="24"/>
        </w:rPr>
        <w:t> </w:t>
      </w:r>
      <w:r w:rsidRPr="004E5649">
        <w:rPr>
          <w:rFonts w:cstheme="minorHAnsi"/>
          <w:sz w:val="24"/>
          <w:szCs w:val="24"/>
        </w:rPr>
        <w:t>miR-212-3p v</w:t>
      </w:r>
      <w:r>
        <w:rPr>
          <w:rFonts w:cstheme="minorHAnsi"/>
          <w:sz w:val="24"/>
          <w:szCs w:val="24"/>
        </w:rPr>
        <w:t> </w:t>
      </w:r>
      <w:r w:rsidRPr="004E5649">
        <w:rPr>
          <w:rFonts w:cstheme="minorHAnsi"/>
          <w:sz w:val="24"/>
          <w:szCs w:val="24"/>
        </w:rPr>
        <w:t>porovnání se zdravými kontrolami. Pacienti s LS měli deregulovanou expresi miR-21-5p a</w:t>
      </w:r>
      <w:r>
        <w:rPr>
          <w:rFonts w:cstheme="minorHAnsi"/>
          <w:sz w:val="24"/>
          <w:szCs w:val="24"/>
        </w:rPr>
        <w:t> </w:t>
      </w:r>
      <w:r w:rsidRPr="004E5649">
        <w:rPr>
          <w:rFonts w:cstheme="minorHAnsi"/>
          <w:sz w:val="24"/>
          <w:szCs w:val="24"/>
        </w:rPr>
        <w:t>miR-340-5p ve srovnání se zdravými kontrolami.</w:t>
      </w:r>
    </w:p>
    <w:p w:rsidR="008F0C0F" w:rsidRPr="00E663BF" w:rsidRDefault="008F0C0F" w:rsidP="00284F89">
      <w:pPr>
        <w:spacing w:line="360" w:lineRule="auto"/>
        <w:ind w:firstLine="708"/>
        <w:jc w:val="both"/>
        <w:rPr>
          <w:rFonts w:cstheme="minorHAnsi"/>
          <w:sz w:val="24"/>
          <w:szCs w:val="24"/>
        </w:rPr>
      </w:pPr>
      <w:r w:rsidRPr="004E5649">
        <w:rPr>
          <w:rFonts w:cstheme="minorHAnsi"/>
          <w:sz w:val="24"/>
          <w:szCs w:val="24"/>
        </w:rPr>
        <w:t xml:space="preserve">Jazva et al. (2015) </w:t>
      </w:r>
      <w:r w:rsidRPr="00B24D8C">
        <w:rPr>
          <w:rFonts w:cstheme="minorHAnsi"/>
          <w:sz w:val="24"/>
          <w:szCs w:val="24"/>
        </w:rPr>
        <w:t>také studovali expresi miRN</w:t>
      </w:r>
      <w:r w:rsidRPr="0062347D">
        <w:rPr>
          <w:rFonts w:cstheme="minorHAnsi"/>
          <w:sz w:val="24"/>
          <w:szCs w:val="24"/>
        </w:rPr>
        <w:t>A miR-16-5p, miR-146a-5p a miR-150-5p, ale použili jiný přístup pro normalizaci exprese miRNA u pacientů s plicní sarkoidózou. U</w:t>
      </w:r>
      <w:r>
        <w:rPr>
          <w:rFonts w:cstheme="minorHAnsi"/>
          <w:sz w:val="24"/>
          <w:szCs w:val="24"/>
        </w:rPr>
        <w:t> </w:t>
      </w:r>
      <w:r w:rsidRPr="0062347D">
        <w:rPr>
          <w:rFonts w:cstheme="minorHAnsi"/>
          <w:sz w:val="24"/>
          <w:szCs w:val="24"/>
        </w:rPr>
        <w:t xml:space="preserve">žádné z těchto miRNA nenalezli deregulaci v expresi </w:t>
      </w:r>
      <w:r w:rsidRPr="00E663BF">
        <w:rPr>
          <w:rFonts w:cstheme="minorHAnsi"/>
          <w:noProof/>
          <w:sz w:val="24"/>
          <w:szCs w:val="24"/>
        </w:rPr>
        <w:t>(</w:t>
      </w:r>
      <w:r w:rsidRPr="004E5649">
        <w:rPr>
          <w:rFonts w:cstheme="minorHAnsi"/>
          <w:noProof/>
          <w:sz w:val="24"/>
          <w:szCs w:val="24"/>
        </w:rPr>
        <w:t>Jazva, Kasper et al. 2015</w:t>
      </w:r>
      <w:r w:rsidRPr="00E663BF">
        <w:rPr>
          <w:rFonts w:cstheme="minorHAnsi"/>
          <w:noProof/>
          <w:sz w:val="24"/>
          <w:szCs w:val="24"/>
        </w:rPr>
        <w:t>)</w:t>
      </w:r>
      <w:r w:rsidRPr="0062347D">
        <w:rPr>
          <w:rFonts w:cstheme="minorHAnsi"/>
          <w:sz w:val="24"/>
          <w:szCs w:val="24"/>
        </w:rPr>
        <w:t>. Tyto výsledky jsou sice</w:t>
      </w:r>
      <w:r w:rsidRPr="00E663BF">
        <w:rPr>
          <w:rFonts w:cstheme="minorHAnsi"/>
          <w:sz w:val="24"/>
          <w:szCs w:val="24"/>
        </w:rPr>
        <w:t xml:space="preserve"> v rozporu s naší studií, avšak my jsme použili jin</w:t>
      </w:r>
      <w:r w:rsidRPr="004E5649">
        <w:rPr>
          <w:rFonts w:cstheme="minorHAnsi"/>
          <w:sz w:val="24"/>
          <w:szCs w:val="24"/>
        </w:rPr>
        <w:t xml:space="preserve">ý normalizační přístup pro real-time PCR data. Jazva et al. (2015) mají také jiné složení souboru pacientů s plicní sarkoidózou </w:t>
      </w:r>
      <w:r w:rsidRPr="00E663BF">
        <w:rPr>
          <w:rFonts w:cstheme="minorHAnsi"/>
          <w:noProof/>
          <w:sz w:val="24"/>
          <w:szCs w:val="24"/>
        </w:rPr>
        <w:t>(</w:t>
      </w:r>
      <w:r w:rsidRPr="004E5649">
        <w:rPr>
          <w:rFonts w:cstheme="minorHAnsi"/>
          <w:noProof/>
          <w:sz w:val="24"/>
          <w:szCs w:val="24"/>
        </w:rPr>
        <w:t>Jazva, Kasper et al. 2015</w:t>
      </w:r>
      <w:r w:rsidRPr="00E663BF">
        <w:rPr>
          <w:rFonts w:cstheme="minorHAnsi"/>
          <w:noProof/>
          <w:sz w:val="24"/>
          <w:szCs w:val="24"/>
        </w:rPr>
        <w:t>)</w:t>
      </w:r>
      <w:r w:rsidRPr="0062347D">
        <w:rPr>
          <w:rFonts w:cstheme="minorHAnsi"/>
          <w:sz w:val="24"/>
          <w:szCs w:val="24"/>
        </w:rPr>
        <w:t>.</w:t>
      </w:r>
    </w:p>
    <w:p w:rsidR="008F0C0F" w:rsidRDefault="008F0C0F" w:rsidP="00284F89">
      <w:pPr>
        <w:spacing w:line="360" w:lineRule="auto"/>
        <w:ind w:firstLine="709"/>
        <w:jc w:val="both"/>
        <w:rPr>
          <w:rFonts w:cstheme="minorHAnsi"/>
          <w:sz w:val="24"/>
          <w:szCs w:val="24"/>
        </w:rPr>
      </w:pPr>
      <w:r w:rsidRPr="004E5649">
        <w:rPr>
          <w:rFonts w:cstheme="minorHAnsi"/>
          <w:sz w:val="24"/>
          <w:szCs w:val="24"/>
        </w:rPr>
        <w:t>Databáze miRSystem předpověděla, že nalezené deregulované miRNA jsou schopné ovlivňovat geny, které kódují molekuly patřící do tzv. signální dráhy rakoviny (z angl. Pathways in Cancer). Deregulace miRNA u pacientů se sarkoidózou může vést k rozvoji zánětlivých procesů, apoptóze a angiogenezi, které doprovází kancerogenezi</w:t>
      </w:r>
      <w:r w:rsidR="001C5064">
        <w:rPr>
          <w:rFonts w:cstheme="minorHAnsi"/>
          <w:sz w:val="24"/>
          <w:szCs w:val="24"/>
        </w:rPr>
        <w:t xml:space="preserve"> </w:t>
      </w:r>
      <w:r w:rsidR="001C5064" w:rsidRPr="00E663BF">
        <w:rPr>
          <w:rFonts w:cstheme="minorHAnsi"/>
          <w:noProof/>
          <w:sz w:val="24"/>
          <w:szCs w:val="24"/>
        </w:rPr>
        <w:t>(</w:t>
      </w:r>
      <w:r w:rsidR="001C5064" w:rsidRPr="004E5649">
        <w:rPr>
          <w:rFonts w:cstheme="minorHAnsi"/>
          <w:noProof/>
          <w:sz w:val="24"/>
          <w:szCs w:val="24"/>
        </w:rPr>
        <w:t>Landskron, De la Fuente et al. 2014</w:t>
      </w:r>
      <w:r w:rsidR="001C5064">
        <w:rPr>
          <w:rFonts w:cstheme="minorHAnsi"/>
          <w:noProof/>
          <w:sz w:val="24"/>
          <w:szCs w:val="24"/>
        </w:rPr>
        <w:t xml:space="preserve">; </w:t>
      </w:r>
      <w:r w:rsidRPr="004E5649">
        <w:rPr>
          <w:rFonts w:cstheme="minorHAnsi"/>
          <w:noProof/>
          <w:sz w:val="24"/>
          <w:szCs w:val="24"/>
        </w:rPr>
        <w:t xml:space="preserve">Khoury </w:t>
      </w:r>
      <w:r w:rsidR="00166BDD">
        <w:rPr>
          <w:rFonts w:cstheme="minorHAnsi"/>
          <w:noProof/>
          <w:sz w:val="24"/>
          <w:szCs w:val="24"/>
        </w:rPr>
        <w:t>a</w:t>
      </w:r>
      <w:r w:rsidRPr="004E5649">
        <w:rPr>
          <w:rFonts w:cstheme="minorHAnsi"/>
          <w:noProof/>
          <w:sz w:val="24"/>
          <w:szCs w:val="24"/>
        </w:rPr>
        <w:t xml:space="preserve"> Tran 2015</w:t>
      </w:r>
      <w:r w:rsidR="001C5064">
        <w:rPr>
          <w:rFonts w:cstheme="minorHAnsi"/>
          <w:noProof/>
          <w:sz w:val="24"/>
          <w:szCs w:val="24"/>
        </w:rPr>
        <w:t xml:space="preserve">; </w:t>
      </w:r>
      <w:r w:rsidRPr="004E5649">
        <w:rPr>
          <w:rFonts w:cstheme="minorHAnsi"/>
          <w:noProof/>
          <w:sz w:val="24"/>
          <w:szCs w:val="24"/>
        </w:rPr>
        <w:t>Kiess, Wang et al. 2015</w:t>
      </w:r>
      <w:r w:rsidRPr="00E663BF">
        <w:rPr>
          <w:rFonts w:cstheme="minorHAnsi"/>
          <w:noProof/>
          <w:sz w:val="24"/>
          <w:szCs w:val="24"/>
        </w:rPr>
        <w:t>)</w:t>
      </w:r>
      <w:r w:rsidRPr="0062347D">
        <w:rPr>
          <w:rFonts w:cstheme="minorHAnsi"/>
          <w:sz w:val="24"/>
          <w:szCs w:val="24"/>
        </w:rPr>
        <w:t xml:space="preserve">. </w:t>
      </w:r>
      <w:r w:rsidRPr="00E663BF">
        <w:rPr>
          <w:rFonts w:cstheme="minorHAnsi"/>
          <w:sz w:val="24"/>
          <w:szCs w:val="24"/>
        </w:rPr>
        <w:t>To</w:t>
      </w:r>
      <w:r>
        <w:rPr>
          <w:rFonts w:cstheme="minorHAnsi"/>
          <w:sz w:val="24"/>
          <w:szCs w:val="24"/>
        </w:rPr>
        <w:t>,</w:t>
      </w:r>
      <w:r w:rsidRPr="00E663BF">
        <w:rPr>
          <w:rFonts w:cstheme="minorHAnsi"/>
          <w:sz w:val="24"/>
          <w:szCs w:val="24"/>
        </w:rPr>
        <w:t xml:space="preserve"> ž</w:t>
      </w:r>
      <w:r w:rsidRPr="004E5649">
        <w:rPr>
          <w:rFonts w:cstheme="minorHAnsi"/>
          <w:sz w:val="24"/>
          <w:szCs w:val="24"/>
        </w:rPr>
        <w:t>e je tzv. dráha rakoviny (Pathways in Cancer) zapojena do patogeneze plicní sarkoidózy, zjistili i další autoři (</w:t>
      </w:r>
      <w:hyperlink w:anchor="_ENREF_91" w:tooltip="Singla, 2017 #62" w:history="1">
        <w:r w:rsidRPr="00E663BF">
          <w:rPr>
            <w:rFonts w:cstheme="minorHAnsi"/>
            <w:sz w:val="24"/>
            <w:szCs w:val="24"/>
          </w:rPr>
          <w:t>Singla, Zhou et al. 2017</w:t>
        </w:r>
      </w:hyperlink>
      <w:r w:rsidRPr="0062347D">
        <w:rPr>
          <w:rFonts w:cstheme="minorHAnsi"/>
          <w:sz w:val="24"/>
          <w:szCs w:val="24"/>
        </w:rPr>
        <w:t>)</w:t>
      </w:r>
      <w:r w:rsidRPr="00E663BF">
        <w:rPr>
          <w:rFonts w:cstheme="minorHAnsi"/>
          <w:sz w:val="24"/>
          <w:szCs w:val="24"/>
        </w:rPr>
        <w:t>.</w:t>
      </w:r>
      <w:r w:rsidRPr="004E5649">
        <w:rPr>
          <w:rFonts w:cstheme="minorHAnsi"/>
          <w:sz w:val="24"/>
          <w:szCs w:val="24"/>
        </w:rPr>
        <w:t xml:space="preserve"> Dále je exprese některých miRNA spojena se signální dráhou TGF-β, jež je asociována spíše s průběhem onemocnění. Pro-fibrotické vlastnosti TGF-β </w:t>
      </w:r>
      <w:r w:rsidRPr="00E663BF">
        <w:rPr>
          <w:rFonts w:cstheme="minorHAnsi"/>
          <w:sz w:val="24"/>
          <w:szCs w:val="24"/>
        </w:rPr>
        <w:t>mohou působit během</w:t>
      </w:r>
      <w:r w:rsidRPr="004E5649">
        <w:rPr>
          <w:rFonts w:cstheme="minorHAnsi"/>
          <w:sz w:val="24"/>
          <w:szCs w:val="24"/>
        </w:rPr>
        <w:t xml:space="preserve"> procesů, jež probíhají v pozdějších fázích plicní sarkoidózy </w:t>
      </w:r>
      <w:r w:rsidR="001C5064" w:rsidRPr="00E663BF">
        <w:rPr>
          <w:rFonts w:cstheme="minorHAnsi"/>
          <w:noProof/>
          <w:sz w:val="24"/>
          <w:szCs w:val="24"/>
        </w:rPr>
        <w:t>(</w:t>
      </w:r>
      <w:r w:rsidR="001C5064" w:rsidRPr="004E5649">
        <w:rPr>
          <w:rFonts w:cstheme="minorHAnsi"/>
          <w:noProof/>
          <w:sz w:val="24"/>
          <w:szCs w:val="24"/>
        </w:rPr>
        <w:t>Massague 2012</w:t>
      </w:r>
      <w:r w:rsidR="001C5064">
        <w:rPr>
          <w:rFonts w:cstheme="minorHAnsi"/>
          <w:noProof/>
          <w:sz w:val="24"/>
          <w:szCs w:val="24"/>
        </w:rPr>
        <w:t xml:space="preserve">; </w:t>
      </w:r>
      <w:r w:rsidRPr="004E5649">
        <w:rPr>
          <w:rFonts w:cstheme="minorHAnsi"/>
          <w:noProof/>
          <w:sz w:val="24"/>
          <w:szCs w:val="24"/>
        </w:rPr>
        <w:t>Loke, Herbert et al. 2013</w:t>
      </w:r>
      <w:r w:rsidRPr="00E663BF">
        <w:rPr>
          <w:rFonts w:cstheme="minorHAnsi"/>
          <w:noProof/>
          <w:sz w:val="24"/>
          <w:szCs w:val="24"/>
        </w:rPr>
        <w:t>)</w:t>
      </w:r>
      <w:r w:rsidRPr="0062347D">
        <w:rPr>
          <w:rFonts w:cstheme="minorHAnsi"/>
          <w:sz w:val="24"/>
          <w:szCs w:val="24"/>
        </w:rPr>
        <w:t>.</w:t>
      </w:r>
    </w:p>
    <w:p w:rsidR="008F0C0F" w:rsidRPr="00E663BF" w:rsidRDefault="008F0C0F" w:rsidP="00284F89">
      <w:pPr>
        <w:spacing w:line="360" w:lineRule="auto"/>
        <w:ind w:firstLine="709"/>
        <w:jc w:val="both"/>
        <w:rPr>
          <w:rFonts w:cstheme="minorHAnsi"/>
          <w:sz w:val="24"/>
          <w:szCs w:val="24"/>
        </w:rPr>
      </w:pPr>
      <w:r>
        <w:rPr>
          <w:rFonts w:cstheme="minorHAnsi"/>
          <w:sz w:val="24"/>
          <w:szCs w:val="24"/>
        </w:rPr>
        <w:t xml:space="preserve">Naše multivariační analýza ukázala signifikantní rozdíl mezi pacienty s plicní sarkoidózou a kontrolami. </w:t>
      </w:r>
      <w:r w:rsidR="00763BCC">
        <w:rPr>
          <w:rFonts w:cstheme="minorHAnsi"/>
          <w:sz w:val="24"/>
          <w:szCs w:val="24"/>
        </w:rPr>
        <w:t xml:space="preserve">Avšak </w:t>
      </w:r>
      <w:r>
        <w:rPr>
          <w:rFonts w:cstheme="minorHAnsi"/>
          <w:sz w:val="24"/>
          <w:szCs w:val="24"/>
        </w:rPr>
        <w:t>tři miRNA (miR-21-5p, miR-340-5p a miR-213-3p)</w:t>
      </w:r>
      <w:r w:rsidR="00763BCC">
        <w:rPr>
          <w:rFonts w:cstheme="minorHAnsi"/>
          <w:sz w:val="24"/>
          <w:szCs w:val="24"/>
        </w:rPr>
        <w:t>, které byly nalezeny deregulované</w:t>
      </w:r>
      <w:r>
        <w:rPr>
          <w:rFonts w:cstheme="minorHAnsi"/>
          <w:sz w:val="24"/>
          <w:szCs w:val="24"/>
        </w:rPr>
        <w:t xml:space="preserve"> </w:t>
      </w:r>
      <w:r w:rsidR="00763BCC">
        <w:rPr>
          <w:rFonts w:cstheme="minorHAnsi"/>
          <w:sz w:val="24"/>
          <w:szCs w:val="24"/>
        </w:rPr>
        <w:t xml:space="preserve">mezi pacienty se sarkoidózou </w:t>
      </w:r>
      <w:r w:rsidR="00763BCC">
        <w:rPr>
          <w:rFonts w:cstheme="minorHAnsi"/>
          <w:sz w:val="24"/>
          <w:szCs w:val="24"/>
        </w:rPr>
        <w:t>s Löfgrenovým syndromem a bez Löfgrenova syndromu</w:t>
      </w:r>
      <w:r w:rsidR="00763BCC">
        <w:rPr>
          <w:rFonts w:cstheme="minorHAnsi"/>
          <w:sz w:val="24"/>
          <w:szCs w:val="24"/>
        </w:rPr>
        <w:t xml:space="preserve"> </w:t>
      </w:r>
      <w:r>
        <w:rPr>
          <w:rFonts w:cstheme="minorHAnsi"/>
          <w:sz w:val="24"/>
          <w:szCs w:val="24"/>
        </w:rPr>
        <w:t xml:space="preserve">nejsou dostačujícími markery pro rozlišení pacientů. Prozkoumání exprese většího množství miRNA by mohlo dopomoci k odhalení miRNA profilů, dostatečně specifických a sensitivních pro určitá stádia sarkoidózy. </w:t>
      </w:r>
    </w:p>
    <w:p w:rsidR="008F0C0F" w:rsidRDefault="008F0C0F" w:rsidP="00284F89">
      <w:pPr>
        <w:spacing w:line="360" w:lineRule="auto"/>
        <w:ind w:firstLine="709"/>
        <w:jc w:val="both"/>
        <w:rPr>
          <w:rFonts w:cstheme="minorHAnsi"/>
          <w:sz w:val="24"/>
          <w:szCs w:val="24"/>
        </w:rPr>
      </w:pPr>
      <w:r>
        <w:rPr>
          <w:rFonts w:cstheme="minorHAnsi"/>
          <w:sz w:val="24"/>
          <w:szCs w:val="24"/>
        </w:rPr>
        <w:t xml:space="preserve">Metodou multiplexní PCR jsme prozkoumali expresi většího množství miRNA v séru pacientů s plicní sarkoidózou, než bylo doposud zkoumáno </w:t>
      </w:r>
      <w:r>
        <w:rPr>
          <w:rFonts w:cstheme="minorHAnsi"/>
          <w:noProof/>
          <w:sz w:val="24"/>
          <w:szCs w:val="24"/>
        </w:rPr>
        <w:t>(Jazva, Kasper et al. 2015)</w:t>
      </w:r>
      <w:r>
        <w:rPr>
          <w:rFonts w:cstheme="minorHAnsi"/>
          <w:sz w:val="24"/>
          <w:szCs w:val="24"/>
        </w:rPr>
        <w:t>. Ale i přesto multiplexní PCR nedovoluje high-throughput screening, který by mohl odhalit více miRNA s deregulovou expresí, které by se mohly stát biomarkery pro prognózu onemocnění.</w:t>
      </w:r>
    </w:p>
    <w:p w:rsidR="008F0C0F" w:rsidRPr="00E663BF" w:rsidRDefault="008F0C0F" w:rsidP="00284F89">
      <w:pPr>
        <w:spacing w:line="360" w:lineRule="auto"/>
        <w:ind w:firstLine="709"/>
        <w:jc w:val="both"/>
        <w:rPr>
          <w:rFonts w:cstheme="minorHAnsi"/>
          <w:sz w:val="24"/>
          <w:szCs w:val="24"/>
        </w:rPr>
      </w:pPr>
      <w:r w:rsidRPr="004E5649">
        <w:rPr>
          <w:rFonts w:cstheme="minorHAnsi"/>
          <w:sz w:val="24"/>
          <w:szCs w:val="24"/>
        </w:rPr>
        <w:lastRenderedPageBreak/>
        <w:t>Srovnání mezi všemi pěti rentgenologickými stádii by mohlo objasnit některé z</w:t>
      </w:r>
      <w:r>
        <w:rPr>
          <w:rFonts w:cstheme="minorHAnsi"/>
          <w:sz w:val="24"/>
          <w:szCs w:val="24"/>
        </w:rPr>
        <w:t> </w:t>
      </w:r>
      <w:r w:rsidRPr="004E5649">
        <w:rPr>
          <w:rFonts w:cstheme="minorHAnsi"/>
          <w:sz w:val="24"/>
          <w:szCs w:val="24"/>
        </w:rPr>
        <w:t xml:space="preserve">aspektů průběhu onemocnění, od abnormalit zahrnujících postižení lymfatických uzlin až po postižení plicního parenchymu a fibrózu plic patrnou v pokročilejších stadiích plicní sarkoidózy </w:t>
      </w:r>
      <w:r w:rsidRPr="00E663BF">
        <w:rPr>
          <w:rFonts w:cstheme="minorHAnsi"/>
          <w:noProof/>
          <w:sz w:val="24"/>
          <w:szCs w:val="24"/>
        </w:rPr>
        <w:t>(</w:t>
      </w:r>
      <w:r w:rsidRPr="004E5649">
        <w:rPr>
          <w:rFonts w:cstheme="minorHAnsi"/>
          <w:noProof/>
          <w:sz w:val="24"/>
          <w:szCs w:val="24"/>
        </w:rPr>
        <w:t>Valeyre, Prasse et al. 2014</w:t>
      </w:r>
      <w:r w:rsidRPr="00E663BF">
        <w:rPr>
          <w:rFonts w:cstheme="minorHAnsi"/>
          <w:noProof/>
          <w:sz w:val="24"/>
          <w:szCs w:val="24"/>
        </w:rPr>
        <w:t>)</w:t>
      </w:r>
      <w:r w:rsidRPr="0062347D">
        <w:rPr>
          <w:rFonts w:cstheme="minorHAnsi"/>
          <w:sz w:val="24"/>
          <w:szCs w:val="24"/>
        </w:rPr>
        <w:t>. I přes mnoho nových informací o miRNA,</w:t>
      </w:r>
      <w:r w:rsidRPr="00E663BF">
        <w:rPr>
          <w:rFonts w:cstheme="minorHAnsi"/>
          <w:sz w:val="24"/>
          <w:szCs w:val="24"/>
        </w:rPr>
        <w:t xml:space="preserve"> </w:t>
      </w:r>
      <w:r w:rsidRPr="004E5649">
        <w:rPr>
          <w:rFonts w:cstheme="minorHAnsi"/>
          <w:sz w:val="24"/>
          <w:szCs w:val="24"/>
        </w:rPr>
        <w:t xml:space="preserve">zůstávají naděje, že se miRNA stanou klinicky využitelnými biomarkery u sarkoidózy, prozatím nenaplněny </w:t>
      </w:r>
      <w:r w:rsidRPr="00E663BF">
        <w:rPr>
          <w:rFonts w:cstheme="minorHAnsi"/>
          <w:noProof/>
          <w:sz w:val="24"/>
          <w:szCs w:val="24"/>
        </w:rPr>
        <w:t>(</w:t>
      </w:r>
      <w:r w:rsidRPr="004E5649">
        <w:rPr>
          <w:rFonts w:cstheme="minorHAnsi"/>
          <w:noProof/>
          <w:sz w:val="24"/>
          <w:szCs w:val="24"/>
        </w:rPr>
        <w:t>Bonham 2018</w:t>
      </w:r>
      <w:r w:rsidRPr="00E663BF">
        <w:rPr>
          <w:rFonts w:cstheme="minorHAnsi"/>
          <w:noProof/>
          <w:sz w:val="24"/>
          <w:szCs w:val="24"/>
        </w:rPr>
        <w:t>)</w:t>
      </w:r>
      <w:r w:rsidRPr="0062347D">
        <w:rPr>
          <w:rFonts w:cstheme="minorHAnsi"/>
          <w:sz w:val="24"/>
          <w:szCs w:val="24"/>
        </w:rPr>
        <w:t>.</w:t>
      </w:r>
    </w:p>
    <w:p w:rsidR="008F0C0F" w:rsidRPr="0062347D" w:rsidRDefault="008F0C0F" w:rsidP="00284F89">
      <w:pPr>
        <w:spacing w:line="360" w:lineRule="auto"/>
        <w:jc w:val="both"/>
        <w:rPr>
          <w:rFonts w:cstheme="minorHAnsi"/>
          <w:sz w:val="24"/>
          <w:szCs w:val="24"/>
        </w:rPr>
        <w:sectPr w:rsidR="008F0C0F" w:rsidRPr="0062347D" w:rsidSect="007305DC">
          <w:pgSz w:w="11906" w:h="16838"/>
          <w:pgMar w:top="992" w:right="1418" w:bottom="1418" w:left="1418" w:header="709" w:footer="709" w:gutter="0"/>
          <w:cols w:space="708"/>
          <w:docGrid w:linePitch="360"/>
        </w:sectPr>
      </w:pPr>
    </w:p>
    <w:p w:rsidR="008F0C0F" w:rsidRPr="0062347D" w:rsidRDefault="008F0C0F" w:rsidP="007305DC">
      <w:pPr>
        <w:pStyle w:val="Nadpis1"/>
        <w:spacing w:before="0" w:after="240"/>
      </w:pPr>
      <w:bookmarkStart w:id="64" w:name="_Toc69543052"/>
      <w:r w:rsidRPr="004E5649">
        <w:lastRenderedPageBreak/>
        <w:t>Zá</w:t>
      </w:r>
      <w:r w:rsidRPr="00B24D8C">
        <w:t>věr</w:t>
      </w:r>
      <w:bookmarkEnd w:id="64"/>
    </w:p>
    <w:p w:rsidR="008F0C0F" w:rsidRPr="0062347D" w:rsidRDefault="008F0C0F" w:rsidP="00284F89">
      <w:pPr>
        <w:spacing w:after="240" w:line="360" w:lineRule="auto"/>
        <w:ind w:firstLine="709"/>
        <w:jc w:val="both"/>
        <w:rPr>
          <w:rFonts w:cstheme="minorHAnsi"/>
          <w:sz w:val="24"/>
          <w:szCs w:val="24"/>
        </w:rPr>
      </w:pPr>
      <w:r w:rsidRPr="0062347D">
        <w:rPr>
          <w:rFonts w:cstheme="minorHAnsi"/>
          <w:sz w:val="24"/>
          <w:szCs w:val="24"/>
        </w:rPr>
        <w:t>Dílčí výsledky výzkumu ukazují, že plicní sarkoidóza je onemocnění, jehož patofyziologie se odehrává na mnoha úrovních. V současné době je známo mnoho oblastí, od kterých by se moh</w:t>
      </w:r>
      <w:r w:rsidR="001C5064">
        <w:rPr>
          <w:rFonts w:cstheme="minorHAnsi"/>
          <w:sz w:val="24"/>
          <w:szCs w:val="24"/>
        </w:rPr>
        <w:t>l odrazit výzkum nových terapií, případně diagnostiky.</w:t>
      </w:r>
      <w:r w:rsidRPr="0062347D">
        <w:rPr>
          <w:rFonts w:cstheme="minorHAnsi"/>
          <w:sz w:val="24"/>
          <w:szCs w:val="24"/>
        </w:rPr>
        <w:t xml:space="preserve"> CD4</w:t>
      </w:r>
      <w:r w:rsidRPr="0062347D">
        <w:rPr>
          <w:rFonts w:cstheme="minorHAnsi"/>
          <w:sz w:val="24"/>
          <w:szCs w:val="24"/>
          <w:vertAlign w:val="superscript"/>
        </w:rPr>
        <w:t>+</w:t>
      </w:r>
      <w:r w:rsidRPr="0062347D">
        <w:rPr>
          <w:rFonts w:cstheme="minorHAnsi"/>
          <w:sz w:val="24"/>
          <w:szCs w:val="24"/>
        </w:rPr>
        <w:t xml:space="preserve"> T-lymfocyty, RNA-vazebné proteiny i miRNA se zdají být nadějnými cíli s ohledem na poznatky ostatních vědců, ať již pocházejí z výzkumu jiných onemocnění, než je sarkoidóza.</w:t>
      </w:r>
    </w:p>
    <w:p w:rsidR="008F0C0F" w:rsidRPr="0062347D" w:rsidRDefault="008F0C0F" w:rsidP="00284F89">
      <w:pPr>
        <w:spacing w:line="360" w:lineRule="auto"/>
        <w:ind w:firstLine="709"/>
        <w:jc w:val="both"/>
        <w:rPr>
          <w:rFonts w:cstheme="minorHAnsi"/>
          <w:color w:val="4F81BD" w:themeColor="accent1"/>
          <w:sz w:val="24"/>
          <w:szCs w:val="24"/>
        </w:rPr>
      </w:pPr>
      <w:r w:rsidRPr="0062347D">
        <w:rPr>
          <w:rFonts w:cstheme="minorHAnsi"/>
          <w:sz w:val="24"/>
          <w:szCs w:val="24"/>
        </w:rPr>
        <w:t>Změna imunologické odpovědi provází různé fáze onemocnění. U akutního stádia s Löfgrenovým syndromem může docházet k výraznému zvýšení CD4</w:t>
      </w:r>
      <w:r w:rsidRPr="0062347D">
        <w:rPr>
          <w:rFonts w:cstheme="minorHAnsi"/>
          <w:sz w:val="24"/>
          <w:szCs w:val="24"/>
          <w:vertAlign w:val="superscript"/>
        </w:rPr>
        <w:t>+</w:t>
      </w:r>
      <w:r w:rsidRPr="0062347D">
        <w:rPr>
          <w:rFonts w:cstheme="minorHAnsi"/>
          <w:sz w:val="24"/>
          <w:szCs w:val="24"/>
        </w:rPr>
        <w:t xml:space="preserve"> T-lymfocytů a naopak u pokročilého rentgenologického stádia ≥</w:t>
      </w:r>
      <w:r>
        <w:rPr>
          <w:rFonts w:cstheme="minorHAnsi"/>
          <w:sz w:val="24"/>
          <w:szCs w:val="24"/>
        </w:rPr>
        <w:t> </w:t>
      </w:r>
      <w:r w:rsidRPr="0062347D">
        <w:rPr>
          <w:rFonts w:cstheme="minorHAnsi"/>
          <w:sz w:val="24"/>
          <w:szCs w:val="24"/>
        </w:rPr>
        <w:t>3 dochází k poklesu CD4</w:t>
      </w:r>
      <w:r w:rsidRPr="0062347D">
        <w:rPr>
          <w:rFonts w:cstheme="minorHAnsi"/>
          <w:sz w:val="24"/>
          <w:szCs w:val="24"/>
          <w:vertAlign w:val="superscript"/>
        </w:rPr>
        <w:t>+</w:t>
      </w:r>
      <w:r w:rsidRPr="0062347D">
        <w:rPr>
          <w:rFonts w:cstheme="minorHAnsi"/>
          <w:sz w:val="24"/>
          <w:szCs w:val="24"/>
        </w:rPr>
        <w:t xml:space="preserve"> T-lymfocytů v porovnání k některým intersticiálním plicním nemocem. V některých studiích zabývajících se bronchoalveolárním buněčným profilem jsou porovnáváni pacienti s plicní sarkoidózou bez ohledu na stádium plicní sarkoidózy s ostatními intersticiálními plicními nemocemi. To může mít poté zkreslující vliv na získaná data týkající se celkového bronchoalveolárního buněčného profilu. Také kouření by mělo být bráno jako faktor ovlivňující buněčné populace v plicích. Avšak někdy je problematické získat pro studii přesně specifikovaný biologický materiál.</w:t>
      </w:r>
    </w:p>
    <w:p w:rsidR="008F0C0F" w:rsidRPr="0062347D" w:rsidRDefault="008F0C0F" w:rsidP="00284F89">
      <w:pPr>
        <w:spacing w:line="360" w:lineRule="auto"/>
        <w:ind w:firstLine="709"/>
        <w:jc w:val="both"/>
        <w:rPr>
          <w:rFonts w:cstheme="minorHAnsi"/>
          <w:sz w:val="24"/>
          <w:szCs w:val="24"/>
        </w:rPr>
      </w:pPr>
      <w:r w:rsidRPr="0062347D">
        <w:rPr>
          <w:rFonts w:cstheme="minorHAnsi"/>
          <w:color w:val="4F81BD" w:themeColor="accent1"/>
          <w:sz w:val="24"/>
          <w:szCs w:val="24"/>
        </w:rPr>
        <w:t xml:space="preserve"> </w:t>
      </w:r>
      <w:r w:rsidRPr="0062347D">
        <w:rPr>
          <w:rFonts w:cstheme="minorHAnsi"/>
          <w:sz w:val="24"/>
          <w:szCs w:val="24"/>
        </w:rPr>
        <w:t>Mezi pacienty s pokročilým stádiem plicní sarkoidózy a idiopatickou plicní fibrózou jsme nenalezli rozdíly v CD4</w:t>
      </w:r>
      <w:r w:rsidRPr="0062347D">
        <w:rPr>
          <w:rFonts w:cstheme="minorHAnsi"/>
          <w:sz w:val="24"/>
          <w:szCs w:val="24"/>
          <w:vertAlign w:val="superscript"/>
        </w:rPr>
        <w:t>+</w:t>
      </w:r>
      <w:r w:rsidRPr="0062347D">
        <w:rPr>
          <w:rFonts w:cstheme="minorHAnsi"/>
          <w:sz w:val="24"/>
          <w:szCs w:val="24"/>
        </w:rPr>
        <w:t xml:space="preserve"> T-lymfocytech a poměru CD4</w:t>
      </w:r>
      <w:r w:rsidRPr="0062347D">
        <w:rPr>
          <w:rFonts w:eastAsia="Times New Roman" w:cstheme="minorHAnsi"/>
          <w:color w:val="000000"/>
          <w:sz w:val="24"/>
          <w:szCs w:val="24"/>
          <w:vertAlign w:val="superscript"/>
          <w:lang w:eastAsia="en-GB"/>
        </w:rPr>
        <w:t>+</w:t>
      </w:r>
      <w:r w:rsidRPr="0062347D">
        <w:rPr>
          <w:rFonts w:cstheme="minorHAnsi"/>
          <w:sz w:val="24"/>
          <w:szCs w:val="24"/>
        </w:rPr>
        <w:t>/CD8</w:t>
      </w:r>
      <w:r w:rsidRPr="0062347D">
        <w:rPr>
          <w:rFonts w:eastAsia="Times New Roman" w:cstheme="minorHAnsi"/>
          <w:color w:val="000000"/>
          <w:sz w:val="24"/>
          <w:szCs w:val="24"/>
          <w:vertAlign w:val="superscript"/>
          <w:lang w:eastAsia="en-GB"/>
        </w:rPr>
        <w:t>+</w:t>
      </w:r>
      <w:r w:rsidRPr="0062347D">
        <w:rPr>
          <w:rFonts w:cstheme="minorHAnsi"/>
          <w:sz w:val="24"/>
          <w:szCs w:val="24"/>
        </w:rPr>
        <w:t>. U pokročilého stádia plicní sarkoidózy dochází k rozvoji fibrózních procesů, kvůli kterým plicní tkáň přestává plnit svoji funkci. S tím souvisí pokles bronchoalveolárních CD4</w:t>
      </w:r>
      <w:r w:rsidRPr="0062347D">
        <w:rPr>
          <w:rFonts w:cstheme="minorHAnsi"/>
          <w:sz w:val="24"/>
          <w:szCs w:val="24"/>
          <w:vertAlign w:val="superscript"/>
        </w:rPr>
        <w:t>+</w:t>
      </w:r>
      <w:r w:rsidRPr="0062347D">
        <w:rPr>
          <w:rFonts w:cstheme="minorHAnsi"/>
          <w:sz w:val="24"/>
          <w:szCs w:val="24"/>
        </w:rPr>
        <w:t xml:space="preserve"> T-lymfocytů, které byly snížené u</w:t>
      </w:r>
      <w:r>
        <w:rPr>
          <w:rFonts w:cstheme="minorHAnsi"/>
          <w:sz w:val="24"/>
          <w:szCs w:val="24"/>
        </w:rPr>
        <w:t> </w:t>
      </w:r>
      <w:r w:rsidRPr="0062347D">
        <w:rPr>
          <w:rFonts w:cstheme="minorHAnsi"/>
          <w:sz w:val="24"/>
          <w:szCs w:val="24"/>
        </w:rPr>
        <w:t>našich pacientů s rentgenologickým stádiem ≥</w:t>
      </w:r>
      <w:r>
        <w:rPr>
          <w:rFonts w:cstheme="minorHAnsi"/>
          <w:sz w:val="24"/>
          <w:szCs w:val="24"/>
        </w:rPr>
        <w:t> </w:t>
      </w:r>
      <w:r w:rsidRPr="0062347D">
        <w:rPr>
          <w:rFonts w:cstheme="minorHAnsi"/>
          <w:sz w:val="24"/>
          <w:szCs w:val="24"/>
        </w:rPr>
        <w:t xml:space="preserve">3. Obnovení správné exprese </w:t>
      </w:r>
      <w:r w:rsidR="004654C4">
        <w:rPr>
          <w:rFonts w:cstheme="minorHAnsi"/>
          <w:sz w:val="24"/>
          <w:szCs w:val="24"/>
        </w:rPr>
        <w:t xml:space="preserve">genů </w:t>
      </w:r>
      <w:r w:rsidRPr="0062347D">
        <w:rPr>
          <w:rFonts w:cstheme="minorHAnsi"/>
          <w:sz w:val="24"/>
          <w:szCs w:val="24"/>
        </w:rPr>
        <w:t>u CD4</w:t>
      </w:r>
      <w:r w:rsidRPr="0062347D">
        <w:rPr>
          <w:rFonts w:cstheme="minorHAnsi"/>
          <w:sz w:val="24"/>
          <w:szCs w:val="24"/>
          <w:vertAlign w:val="superscript"/>
        </w:rPr>
        <w:t>+</w:t>
      </w:r>
      <w:r w:rsidRPr="0062347D">
        <w:rPr>
          <w:rFonts w:cstheme="minorHAnsi"/>
          <w:sz w:val="24"/>
          <w:szCs w:val="24"/>
        </w:rPr>
        <w:t xml:space="preserve"> T-lymfocytů by mohlo vést ke zlepšení klinického stavu u pacientů.</w:t>
      </w:r>
    </w:p>
    <w:p w:rsidR="008F0C0F" w:rsidRPr="0062347D" w:rsidRDefault="008F0C0F" w:rsidP="00284F89">
      <w:pPr>
        <w:spacing w:line="360" w:lineRule="auto"/>
        <w:ind w:firstLine="709"/>
        <w:jc w:val="both"/>
        <w:rPr>
          <w:rFonts w:cstheme="minorHAnsi"/>
          <w:b/>
          <w:sz w:val="24"/>
          <w:szCs w:val="24"/>
        </w:rPr>
      </w:pPr>
      <w:r w:rsidRPr="0062347D">
        <w:rPr>
          <w:rFonts w:cstheme="minorHAnsi"/>
          <w:sz w:val="24"/>
          <w:szCs w:val="24"/>
        </w:rPr>
        <w:t>Snížená exprese některých RNA-vazebných proteinů pravděpodobně vede u plicní sarkoidózy ke stabilizaci sekvencí mRNA, jejichž translací vznikají zánětlivé mediátory podporující zánět v plicích. V současné době je málo informací o expr</w:t>
      </w:r>
      <w:r w:rsidR="00BE0831">
        <w:rPr>
          <w:rFonts w:cstheme="minorHAnsi"/>
          <w:sz w:val="24"/>
          <w:szCs w:val="24"/>
        </w:rPr>
        <w:t>esi RNA-vazebných proteinů v BA</w:t>
      </w:r>
      <w:r w:rsidRPr="0062347D">
        <w:rPr>
          <w:rFonts w:cstheme="minorHAnsi"/>
          <w:sz w:val="24"/>
          <w:szCs w:val="24"/>
        </w:rPr>
        <w:t xml:space="preserve"> buňkách a jejich využití při léčbě u plicní sarkoidózy. Přístupy využívající RNA-vazebné proteiny pro terapii byly prozatím zaznamenány u onkologických onemocnění.</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 xml:space="preserve">U sérových miRNA je patrné, že působí na geny v různých signálních drahách organismu, které jsou i podle ostatních autorů zapojeny do patofyziologie onemocnění. Avšak prozatím sérové miRNA není možné využít jako neinvazivní marker, či jako marker následného vývoje onemocnění. To bude možné, až budou prozkoumány větší </w:t>
      </w:r>
      <w:r w:rsidRPr="0062347D">
        <w:rPr>
          <w:rFonts w:cstheme="minorHAnsi"/>
          <w:sz w:val="24"/>
          <w:szCs w:val="24"/>
        </w:rPr>
        <w:lastRenderedPageBreak/>
        <w:t>soubory pacientů v různých stádiích a také v dlouhodobějš</w:t>
      </w:r>
      <w:r w:rsidR="00390B91">
        <w:rPr>
          <w:rFonts w:cstheme="minorHAnsi"/>
          <w:sz w:val="24"/>
          <w:szCs w:val="24"/>
        </w:rPr>
        <w:t>ích</w:t>
      </w:r>
      <w:r w:rsidRPr="0062347D">
        <w:rPr>
          <w:rFonts w:cstheme="minorHAnsi"/>
          <w:sz w:val="24"/>
          <w:szCs w:val="24"/>
        </w:rPr>
        <w:t xml:space="preserve"> časov</w:t>
      </w:r>
      <w:r w:rsidR="00390B91">
        <w:rPr>
          <w:rFonts w:cstheme="minorHAnsi"/>
          <w:sz w:val="24"/>
          <w:szCs w:val="24"/>
        </w:rPr>
        <w:t>ých úsecích</w:t>
      </w:r>
      <w:r w:rsidRPr="0062347D">
        <w:rPr>
          <w:rFonts w:cstheme="minorHAnsi"/>
          <w:sz w:val="24"/>
          <w:szCs w:val="24"/>
        </w:rPr>
        <w:t>. V současné době cirkulující miRNA poskytují náhled na klíčové regulační cesty, které by mohly odlišit sarkoidózu od ostatních plicních onemocnění a připravují tak prostředí pro budoucí studie biomarkerů.</w:t>
      </w:r>
    </w:p>
    <w:p w:rsidR="008F0C0F" w:rsidRPr="0062347D" w:rsidRDefault="008F0C0F" w:rsidP="00284F89">
      <w:pPr>
        <w:rPr>
          <w:rFonts w:cstheme="minorHAnsi"/>
          <w:sz w:val="24"/>
          <w:szCs w:val="24"/>
        </w:rPr>
      </w:pPr>
      <w:r w:rsidRPr="0062347D">
        <w:rPr>
          <w:rFonts w:cstheme="minorHAnsi"/>
          <w:sz w:val="24"/>
          <w:szCs w:val="24"/>
        </w:rPr>
        <w:br w:type="page"/>
      </w:r>
    </w:p>
    <w:p w:rsidR="008F0C0F" w:rsidRPr="0062347D" w:rsidRDefault="009E1F73" w:rsidP="00284F89">
      <w:pPr>
        <w:pStyle w:val="Nadpis1"/>
        <w:spacing w:after="240"/>
      </w:pPr>
      <w:bookmarkStart w:id="65" w:name="_Toc69543053"/>
      <w:r>
        <w:lastRenderedPageBreak/>
        <w:t>Seznam</w:t>
      </w:r>
      <w:r w:rsidR="008F0C0F" w:rsidRPr="0062347D">
        <w:t xml:space="preserve"> publikací a konferenčních příspěvků</w:t>
      </w:r>
      <w:bookmarkEnd w:id="65"/>
    </w:p>
    <w:p w:rsidR="008F0C0F" w:rsidRPr="0062347D" w:rsidRDefault="008F0C0F" w:rsidP="00284F89">
      <w:pPr>
        <w:rPr>
          <w:rFonts w:cstheme="minorHAnsi"/>
          <w:sz w:val="24"/>
          <w:szCs w:val="24"/>
          <w:u w:val="single"/>
        </w:rPr>
      </w:pPr>
      <w:r w:rsidRPr="0062347D">
        <w:rPr>
          <w:rFonts w:cstheme="minorHAnsi"/>
          <w:sz w:val="24"/>
          <w:szCs w:val="24"/>
          <w:u w:val="single"/>
        </w:rPr>
        <w:t>Publikace v časopisech s impakt faktorem (IF) související s disertační prací:</w:t>
      </w:r>
    </w:p>
    <w:p w:rsidR="008F0C0F" w:rsidRPr="0062347D" w:rsidRDefault="008F0C0F" w:rsidP="00284F89">
      <w:pPr>
        <w:jc w:val="both"/>
        <w:rPr>
          <w:rFonts w:cstheme="minorHAnsi"/>
          <w:sz w:val="24"/>
          <w:szCs w:val="24"/>
        </w:rPr>
      </w:pPr>
      <w:r w:rsidRPr="0062347D">
        <w:rPr>
          <w:rFonts w:cstheme="minorHAnsi"/>
          <w:b/>
          <w:sz w:val="24"/>
          <w:szCs w:val="24"/>
        </w:rPr>
        <w:t>Novosadova E</w:t>
      </w:r>
      <w:r w:rsidRPr="0062347D">
        <w:rPr>
          <w:rFonts w:cstheme="minorHAnsi"/>
          <w:sz w:val="24"/>
          <w:szCs w:val="24"/>
        </w:rPr>
        <w:t xml:space="preserve">, Chabronova A, Kolek V, Petrek M, Navratilova Z. The serum expression of selected miRNAs in pulmonary sarcoidosis with/without Löfgren’s syndrome. </w:t>
      </w:r>
      <w:r w:rsidRPr="0062347D">
        <w:rPr>
          <w:rFonts w:cstheme="minorHAnsi"/>
          <w:i/>
          <w:sz w:val="24"/>
          <w:szCs w:val="24"/>
        </w:rPr>
        <w:t xml:space="preserve">Mediators Inflamm. </w:t>
      </w:r>
      <w:r w:rsidRPr="0062347D">
        <w:rPr>
          <w:rFonts w:cstheme="minorHAnsi"/>
          <w:b/>
          <w:sz w:val="24"/>
          <w:szCs w:val="24"/>
        </w:rPr>
        <w:t>2016</w:t>
      </w:r>
      <w:r w:rsidRPr="0062347D">
        <w:rPr>
          <w:rFonts w:cstheme="minorHAnsi"/>
          <w:sz w:val="24"/>
          <w:szCs w:val="24"/>
        </w:rPr>
        <w:t>;2016, Article ID 1246129, 12 pages. http://dx.doi.org/10.1155/2016/1246129</w:t>
      </w:r>
    </w:p>
    <w:p w:rsidR="008F0C0F" w:rsidRPr="0062347D" w:rsidRDefault="008F0C0F" w:rsidP="00284F89">
      <w:pPr>
        <w:jc w:val="both"/>
        <w:rPr>
          <w:rFonts w:cstheme="minorHAnsi"/>
          <w:sz w:val="24"/>
          <w:szCs w:val="24"/>
        </w:rPr>
      </w:pPr>
      <w:r w:rsidRPr="0062347D">
        <w:rPr>
          <w:rFonts w:cstheme="minorHAnsi"/>
          <w:sz w:val="24"/>
          <w:szCs w:val="24"/>
        </w:rPr>
        <w:t>IF 2015: 3.418</w:t>
      </w:r>
    </w:p>
    <w:p w:rsidR="008F0C0F" w:rsidRPr="0062347D" w:rsidRDefault="008F0C0F" w:rsidP="00284F89">
      <w:pPr>
        <w:jc w:val="both"/>
        <w:rPr>
          <w:rFonts w:cstheme="minorHAnsi"/>
          <w:sz w:val="24"/>
          <w:szCs w:val="24"/>
        </w:rPr>
      </w:pPr>
      <w:r w:rsidRPr="0062347D">
        <w:rPr>
          <w:rFonts w:cstheme="minorHAnsi"/>
          <w:sz w:val="24"/>
          <w:szCs w:val="24"/>
        </w:rPr>
        <w:t xml:space="preserve">Navratilova Z, </w:t>
      </w:r>
      <w:r w:rsidRPr="0062347D">
        <w:rPr>
          <w:rFonts w:cstheme="minorHAnsi"/>
          <w:b/>
          <w:sz w:val="24"/>
          <w:szCs w:val="24"/>
        </w:rPr>
        <w:t>Novosadova E</w:t>
      </w:r>
      <w:r w:rsidRPr="0062347D">
        <w:rPr>
          <w:rFonts w:cstheme="minorHAnsi"/>
          <w:sz w:val="24"/>
          <w:szCs w:val="24"/>
        </w:rPr>
        <w:t xml:space="preserve">, Hagemann-Jensen M, Kullberg S, Kolek V, Grunewald J, Petrek M. Expression Profile of six RNA-binding proteins in Pulmonary Sarcoidosis. </w:t>
      </w:r>
      <w:r w:rsidRPr="0062347D">
        <w:rPr>
          <w:rFonts w:cstheme="minorHAnsi"/>
          <w:i/>
          <w:sz w:val="24"/>
          <w:szCs w:val="24"/>
        </w:rPr>
        <w:t>PLoS One</w:t>
      </w:r>
      <w:r w:rsidRPr="0062347D">
        <w:rPr>
          <w:rFonts w:cstheme="minorHAnsi"/>
          <w:sz w:val="24"/>
          <w:szCs w:val="24"/>
        </w:rPr>
        <w:t xml:space="preserve"> </w:t>
      </w:r>
      <w:r w:rsidRPr="00BE6F63">
        <w:rPr>
          <w:rFonts w:cstheme="minorHAnsi"/>
          <w:sz w:val="24"/>
          <w:szCs w:val="24"/>
        </w:rPr>
        <w:t>2016</w:t>
      </w:r>
      <w:r w:rsidRPr="0062347D">
        <w:rPr>
          <w:rFonts w:cstheme="minorHAnsi"/>
          <w:sz w:val="24"/>
          <w:szCs w:val="24"/>
        </w:rPr>
        <w:t>;</w:t>
      </w:r>
      <w:r w:rsidR="00BE6F63">
        <w:rPr>
          <w:rFonts w:cstheme="minorHAnsi"/>
          <w:sz w:val="24"/>
          <w:szCs w:val="24"/>
        </w:rPr>
        <w:t xml:space="preserve"> </w:t>
      </w:r>
      <w:r w:rsidRPr="00BE6F63">
        <w:rPr>
          <w:rFonts w:cstheme="minorHAnsi"/>
          <w:b/>
          <w:sz w:val="24"/>
          <w:szCs w:val="24"/>
        </w:rPr>
        <w:t>11</w:t>
      </w:r>
      <w:r w:rsidRPr="0062347D">
        <w:rPr>
          <w:rFonts w:cstheme="minorHAnsi"/>
          <w:sz w:val="24"/>
          <w:szCs w:val="24"/>
        </w:rPr>
        <w:t>(8): e0161669. doi: 10.1371/journal.pone.0161669</w:t>
      </w:r>
    </w:p>
    <w:p w:rsidR="008F0C0F" w:rsidRPr="0062347D" w:rsidRDefault="008F0C0F" w:rsidP="00284F89">
      <w:pPr>
        <w:rPr>
          <w:rFonts w:cstheme="minorHAnsi"/>
          <w:sz w:val="24"/>
          <w:szCs w:val="24"/>
        </w:rPr>
      </w:pPr>
      <w:r w:rsidRPr="0062347D">
        <w:rPr>
          <w:rFonts w:cstheme="minorHAnsi"/>
          <w:sz w:val="24"/>
          <w:szCs w:val="24"/>
        </w:rPr>
        <w:t>IF 2015: 3.057</w:t>
      </w:r>
    </w:p>
    <w:p w:rsidR="008F0C0F" w:rsidRPr="00C87449" w:rsidRDefault="008F0C0F" w:rsidP="00284F89">
      <w:pPr>
        <w:jc w:val="both"/>
        <w:rPr>
          <w:rFonts w:cstheme="minorHAnsi"/>
          <w:sz w:val="24"/>
          <w:szCs w:val="24"/>
        </w:rPr>
      </w:pPr>
      <w:r w:rsidRPr="0062347D">
        <w:rPr>
          <w:rFonts w:cstheme="minorHAnsi"/>
          <w:b/>
          <w:sz w:val="24"/>
          <w:szCs w:val="24"/>
        </w:rPr>
        <w:t>Novosadova E</w:t>
      </w:r>
      <w:r w:rsidRPr="0062347D">
        <w:rPr>
          <w:rFonts w:cstheme="minorHAnsi"/>
          <w:sz w:val="24"/>
          <w:szCs w:val="24"/>
        </w:rPr>
        <w:t xml:space="preserve">, Navratilova Z, Ordeltova M, Zurkova M, Zatloukal J, Kolek V, Petrek M. </w:t>
      </w:r>
      <w:r w:rsidRPr="00C87449">
        <w:rPr>
          <w:rFonts w:cstheme="minorHAnsi"/>
          <w:sz w:val="24"/>
          <w:szCs w:val="24"/>
        </w:rPr>
        <w:t>Comparison of lymphocyte immune phenotypes in bronchoalveolar lavage of non-smoking patients with sarcoidosis and other interstitial lung diseases. Journ</w:t>
      </w:r>
      <w:r w:rsidR="00BE6F63">
        <w:rPr>
          <w:rFonts w:cstheme="minorHAnsi"/>
          <w:sz w:val="24"/>
          <w:szCs w:val="24"/>
        </w:rPr>
        <w:t xml:space="preserve">al of Thoracic Disease 2019; </w:t>
      </w:r>
      <w:r w:rsidR="00BE6F63" w:rsidRPr="00BE6F63">
        <w:rPr>
          <w:rFonts w:cstheme="minorHAnsi"/>
          <w:b/>
          <w:sz w:val="24"/>
          <w:szCs w:val="24"/>
        </w:rPr>
        <w:t>11</w:t>
      </w:r>
      <w:r w:rsidRPr="00C87449">
        <w:rPr>
          <w:rFonts w:cstheme="minorHAnsi"/>
          <w:sz w:val="24"/>
          <w:szCs w:val="24"/>
        </w:rPr>
        <w:t>(6): 2287-2296. DOI: 10.21037/jtd.2019.06.05</w:t>
      </w:r>
    </w:p>
    <w:p w:rsidR="008F0C0F" w:rsidRPr="00C87449" w:rsidRDefault="008F0C0F" w:rsidP="00284F89">
      <w:pPr>
        <w:rPr>
          <w:rFonts w:cstheme="minorHAnsi"/>
          <w:sz w:val="24"/>
          <w:szCs w:val="24"/>
        </w:rPr>
      </w:pPr>
      <w:r w:rsidRPr="00C87449">
        <w:rPr>
          <w:rFonts w:cstheme="minorHAnsi"/>
          <w:sz w:val="24"/>
          <w:szCs w:val="24"/>
        </w:rPr>
        <w:t>IF 2018: 2.027</w:t>
      </w:r>
    </w:p>
    <w:p w:rsidR="008F0C0F" w:rsidRPr="00E663BF" w:rsidRDefault="008F0C0F" w:rsidP="00284F89">
      <w:pPr>
        <w:rPr>
          <w:rFonts w:cstheme="minorHAnsi"/>
          <w:sz w:val="24"/>
          <w:szCs w:val="24"/>
          <w:u w:val="single"/>
        </w:rPr>
      </w:pPr>
      <w:r w:rsidRPr="0062347D">
        <w:rPr>
          <w:rFonts w:cstheme="minorHAnsi"/>
          <w:sz w:val="24"/>
          <w:szCs w:val="24"/>
          <w:u w:val="single"/>
        </w:rPr>
        <w:t>Další publikace:</w:t>
      </w:r>
    </w:p>
    <w:p w:rsidR="008F0C0F" w:rsidRPr="00C87449" w:rsidRDefault="008F0C0F" w:rsidP="00284F89">
      <w:pPr>
        <w:jc w:val="both"/>
        <w:rPr>
          <w:rFonts w:cstheme="minorHAnsi"/>
          <w:color w:val="000000"/>
          <w:sz w:val="24"/>
          <w:szCs w:val="24"/>
          <w:shd w:val="clear" w:color="auto" w:fill="FFFFFF"/>
        </w:rPr>
      </w:pPr>
      <w:r w:rsidRPr="00C87449">
        <w:rPr>
          <w:rFonts w:cstheme="minorHAnsi"/>
          <w:sz w:val="24"/>
          <w:szCs w:val="24"/>
        </w:rPr>
        <w:t xml:space="preserve">Kishore A, Navratilova Z, Kolek V, </w:t>
      </w:r>
      <w:r w:rsidRPr="00C87449">
        <w:rPr>
          <w:rFonts w:cstheme="minorHAnsi"/>
          <w:b/>
          <w:sz w:val="24"/>
          <w:szCs w:val="24"/>
        </w:rPr>
        <w:t>Novosadova E</w:t>
      </w:r>
      <w:r w:rsidRPr="00C87449">
        <w:rPr>
          <w:rFonts w:cstheme="minorHAnsi"/>
          <w:sz w:val="24"/>
          <w:szCs w:val="24"/>
        </w:rPr>
        <w:t xml:space="preserve">, Čépe K, du Bois R M, Petrek M. Expression analysis of extracellular microRNA in bronchoalveolar lavage fluid from patients with pulmonary sarcoidosis. Respirology 2018; </w:t>
      </w:r>
      <w:r w:rsidRPr="00BE6F63">
        <w:rPr>
          <w:rFonts w:cstheme="minorHAnsi"/>
          <w:b/>
          <w:sz w:val="24"/>
          <w:szCs w:val="24"/>
        </w:rPr>
        <w:t>23</w:t>
      </w:r>
      <w:r w:rsidRPr="00C87449">
        <w:rPr>
          <w:rFonts w:cstheme="minorHAnsi"/>
          <w:sz w:val="24"/>
          <w:szCs w:val="24"/>
        </w:rPr>
        <w:t xml:space="preserve">: 1166-1172. </w:t>
      </w:r>
      <w:r w:rsidRPr="00C87449">
        <w:rPr>
          <w:rFonts w:cstheme="minorHAnsi"/>
          <w:color w:val="000000"/>
          <w:sz w:val="24"/>
          <w:szCs w:val="24"/>
          <w:shd w:val="clear" w:color="auto" w:fill="FFFFFF"/>
        </w:rPr>
        <w:t>doi:</w:t>
      </w:r>
      <w:r w:rsidRPr="00C87449">
        <w:rPr>
          <w:rStyle w:val="a"/>
          <w:rFonts w:cstheme="minorHAnsi"/>
          <w:sz w:val="24"/>
          <w:szCs w:val="24"/>
          <w:shd w:val="clear" w:color="auto" w:fill="FFFFFF"/>
        </w:rPr>
        <w:t xml:space="preserve"> </w:t>
      </w:r>
      <w:r w:rsidRPr="00C87449">
        <w:rPr>
          <w:rFonts w:cstheme="minorHAnsi"/>
          <w:color w:val="000000"/>
          <w:sz w:val="24"/>
          <w:szCs w:val="24"/>
          <w:shd w:val="clear" w:color="auto" w:fill="FFFFFF"/>
        </w:rPr>
        <w:t>10.1111/resp.13364</w:t>
      </w:r>
    </w:p>
    <w:p w:rsidR="008F0C0F" w:rsidRPr="00C87449" w:rsidRDefault="008F0C0F" w:rsidP="00284F89">
      <w:pPr>
        <w:rPr>
          <w:rFonts w:cstheme="minorHAnsi"/>
          <w:sz w:val="24"/>
          <w:szCs w:val="24"/>
        </w:rPr>
      </w:pPr>
      <w:r w:rsidRPr="00C87449">
        <w:rPr>
          <w:rFonts w:cstheme="minorHAnsi"/>
          <w:color w:val="000000"/>
          <w:sz w:val="24"/>
          <w:szCs w:val="24"/>
          <w:shd w:val="clear" w:color="auto" w:fill="FFFFFF"/>
        </w:rPr>
        <w:t xml:space="preserve">IF 2018: </w:t>
      </w:r>
      <w:r w:rsidRPr="00C87449">
        <w:rPr>
          <w:rFonts w:cstheme="minorHAnsi"/>
          <w:color w:val="1C1D1E"/>
          <w:sz w:val="24"/>
          <w:szCs w:val="24"/>
          <w:shd w:val="clear" w:color="auto" w:fill="FFFFFF"/>
        </w:rPr>
        <w:t>4.756</w:t>
      </w:r>
    </w:p>
    <w:p w:rsidR="008F0C0F" w:rsidRPr="0062347D" w:rsidRDefault="008F0C0F" w:rsidP="00284F89">
      <w:pPr>
        <w:jc w:val="both"/>
        <w:rPr>
          <w:rFonts w:cstheme="minorHAnsi"/>
          <w:sz w:val="24"/>
          <w:szCs w:val="24"/>
        </w:rPr>
      </w:pPr>
      <w:r w:rsidRPr="00C87449">
        <w:rPr>
          <w:rFonts w:cstheme="minorHAnsi"/>
          <w:sz w:val="24"/>
          <w:szCs w:val="24"/>
        </w:rPr>
        <w:t xml:space="preserve">Tokic S, Štefanic M, Glavaš-Obrovac L, Jaman S, </w:t>
      </w:r>
      <w:r w:rsidRPr="00C87449">
        <w:rPr>
          <w:rFonts w:cstheme="minorHAnsi"/>
          <w:b/>
          <w:sz w:val="24"/>
          <w:szCs w:val="24"/>
        </w:rPr>
        <w:t>Novosadová E</w:t>
      </w:r>
      <w:r w:rsidRPr="00C87449">
        <w:rPr>
          <w:rFonts w:cstheme="minorHAnsi"/>
          <w:sz w:val="24"/>
          <w:szCs w:val="24"/>
        </w:rPr>
        <w:t xml:space="preserve">, Petrkova J, Navratilova Z, Suver-Stevic M, Petrek M. The expression of T-cell FOXP3 and T-bet is upregulated in severe, but not euthyroid Hashimoto's thyroiditis. Mediators Inflamm. </w:t>
      </w:r>
      <w:r w:rsidRPr="00C87449">
        <w:rPr>
          <w:rFonts w:cstheme="minorHAnsi"/>
          <w:b/>
          <w:sz w:val="24"/>
          <w:szCs w:val="24"/>
        </w:rPr>
        <w:t>2016</w:t>
      </w:r>
      <w:r w:rsidRPr="00C87449">
        <w:rPr>
          <w:rFonts w:cstheme="minorHAnsi"/>
          <w:sz w:val="24"/>
          <w:szCs w:val="24"/>
        </w:rPr>
        <w:t>; 2016,</w:t>
      </w:r>
      <w:r>
        <w:rPr>
          <w:rFonts w:cstheme="minorHAnsi"/>
          <w:sz w:val="24"/>
          <w:szCs w:val="24"/>
        </w:rPr>
        <w:t xml:space="preserve"> </w:t>
      </w:r>
      <w:r w:rsidRPr="00C87449">
        <w:rPr>
          <w:rFonts w:cstheme="minorHAnsi"/>
          <w:sz w:val="24"/>
          <w:szCs w:val="24"/>
        </w:rPr>
        <w:t>Article ID 3687420, 9 pages. doi:10.1155/2016/3687420</w:t>
      </w:r>
    </w:p>
    <w:p w:rsidR="008F0C0F" w:rsidRPr="004E5649" w:rsidRDefault="008F0C0F" w:rsidP="00284F89">
      <w:pPr>
        <w:rPr>
          <w:rFonts w:cstheme="minorHAnsi"/>
          <w:sz w:val="24"/>
          <w:szCs w:val="24"/>
        </w:rPr>
      </w:pPr>
      <w:r w:rsidRPr="00E663BF">
        <w:rPr>
          <w:rFonts w:cstheme="minorHAnsi"/>
          <w:sz w:val="24"/>
          <w:szCs w:val="24"/>
        </w:rPr>
        <w:t>IF 2015: 3.418</w:t>
      </w:r>
    </w:p>
    <w:p w:rsidR="008F0C0F" w:rsidRPr="0062347D" w:rsidRDefault="008F0C0F" w:rsidP="00284F89">
      <w:pPr>
        <w:rPr>
          <w:rFonts w:cstheme="minorHAnsi"/>
          <w:sz w:val="24"/>
          <w:szCs w:val="24"/>
          <w:u w:val="single"/>
        </w:rPr>
      </w:pPr>
      <w:r w:rsidRPr="00B24D8C">
        <w:rPr>
          <w:rFonts w:cstheme="minorHAnsi"/>
          <w:sz w:val="24"/>
          <w:szCs w:val="24"/>
          <w:u w:val="single"/>
        </w:rPr>
        <w:t>Konferenční příspěvky souvi</w:t>
      </w:r>
      <w:r w:rsidRPr="0062347D">
        <w:rPr>
          <w:rFonts w:cstheme="minorHAnsi"/>
          <w:sz w:val="24"/>
          <w:szCs w:val="24"/>
          <w:u w:val="single"/>
        </w:rPr>
        <w:t>sející s disertační prací:</w:t>
      </w:r>
    </w:p>
    <w:p w:rsidR="008F0C0F" w:rsidRPr="00C87449" w:rsidRDefault="008F0C0F" w:rsidP="00284F89">
      <w:pPr>
        <w:jc w:val="both"/>
        <w:rPr>
          <w:rFonts w:cstheme="minorHAnsi"/>
          <w:sz w:val="24"/>
          <w:szCs w:val="24"/>
          <w:u w:val="single"/>
        </w:rPr>
      </w:pPr>
      <w:r w:rsidRPr="00C87449">
        <w:rPr>
          <w:rFonts w:cstheme="minorHAnsi"/>
          <w:b/>
          <w:sz w:val="24"/>
          <w:szCs w:val="24"/>
        </w:rPr>
        <w:t>Novosadova</w:t>
      </w:r>
      <w:r w:rsidRPr="00C87449">
        <w:rPr>
          <w:rFonts w:cstheme="minorHAnsi"/>
          <w:b/>
          <w:sz w:val="24"/>
          <w:szCs w:val="24"/>
          <w:vertAlign w:val="superscript"/>
        </w:rPr>
        <w:t xml:space="preserve"> </w:t>
      </w:r>
      <w:r w:rsidRPr="00C87449">
        <w:rPr>
          <w:rFonts w:cstheme="minorHAnsi"/>
          <w:b/>
          <w:sz w:val="24"/>
          <w:szCs w:val="24"/>
        </w:rPr>
        <w:t>E</w:t>
      </w:r>
      <w:r w:rsidRPr="00C87449">
        <w:rPr>
          <w:rFonts w:cstheme="minorHAnsi"/>
          <w:sz w:val="24"/>
          <w:szCs w:val="24"/>
        </w:rPr>
        <w:t xml:space="preserve">, Navratilova Z, Hagemann-Jensen M, Wahlström J, Kullberg S, Kolek V, Grunewald J, Petrek M. Selected microRNAs and RNA-binding proteins in patients with pulmonary sarcoidosis. </w:t>
      </w:r>
      <w:r w:rsidRPr="00C87449">
        <w:rPr>
          <w:rFonts w:cstheme="minorHAnsi"/>
          <w:i/>
          <w:sz w:val="24"/>
          <w:szCs w:val="24"/>
        </w:rPr>
        <w:t>Program and abstracts</w:t>
      </w:r>
      <w:r w:rsidRPr="00C87449">
        <w:rPr>
          <w:rFonts w:cstheme="minorHAnsi"/>
          <w:sz w:val="24"/>
          <w:szCs w:val="24"/>
        </w:rPr>
        <w:t xml:space="preserve">, str. 56. (MPLC 2015 - Munich Pittsburgh Lung Conference, October 2-3, </w:t>
      </w:r>
      <w:r w:rsidRPr="00C87449">
        <w:rPr>
          <w:rFonts w:cstheme="minorHAnsi"/>
          <w:b/>
          <w:sz w:val="24"/>
          <w:szCs w:val="24"/>
        </w:rPr>
        <w:t>2015</w:t>
      </w:r>
      <w:r w:rsidRPr="00C87449">
        <w:rPr>
          <w:rFonts w:cstheme="minorHAnsi"/>
          <w:sz w:val="24"/>
          <w:szCs w:val="24"/>
        </w:rPr>
        <w:t>, Munich)</w:t>
      </w:r>
      <w:r w:rsidRPr="00C87449">
        <w:rPr>
          <w:rFonts w:cstheme="minorHAnsi"/>
          <w:sz w:val="24"/>
          <w:szCs w:val="24"/>
          <w:u w:val="single"/>
        </w:rPr>
        <w:t>- Sdělení s posterem</w:t>
      </w:r>
    </w:p>
    <w:p w:rsidR="008F0C0F" w:rsidRPr="004E5649" w:rsidRDefault="008F0C0F" w:rsidP="00284F89">
      <w:pPr>
        <w:jc w:val="both"/>
        <w:rPr>
          <w:rFonts w:cstheme="minorHAnsi"/>
          <w:sz w:val="24"/>
          <w:szCs w:val="24"/>
          <w:u w:val="single"/>
        </w:rPr>
      </w:pPr>
      <w:r w:rsidRPr="0062347D">
        <w:rPr>
          <w:rFonts w:cstheme="minorHAnsi"/>
          <w:sz w:val="24"/>
          <w:szCs w:val="24"/>
          <w:u w:val="single"/>
        </w:rPr>
        <w:t>Poste</w:t>
      </w:r>
      <w:r w:rsidRPr="00E663BF">
        <w:rPr>
          <w:rFonts w:cstheme="minorHAnsi"/>
          <w:sz w:val="24"/>
          <w:szCs w:val="24"/>
          <w:u w:val="single"/>
        </w:rPr>
        <w:t>ry se spoluautorstvím:</w:t>
      </w:r>
    </w:p>
    <w:p w:rsidR="008F0C0F" w:rsidRPr="00C87449" w:rsidRDefault="008F0C0F" w:rsidP="00284F89">
      <w:pPr>
        <w:spacing w:before="20"/>
        <w:jc w:val="both"/>
        <w:rPr>
          <w:rFonts w:cstheme="minorHAnsi"/>
          <w:sz w:val="24"/>
          <w:szCs w:val="24"/>
        </w:rPr>
      </w:pPr>
      <w:r w:rsidRPr="00C87449">
        <w:rPr>
          <w:rFonts w:cstheme="minorHAnsi"/>
          <w:color w:val="000000"/>
          <w:sz w:val="24"/>
          <w:szCs w:val="24"/>
        </w:rPr>
        <w:t xml:space="preserve">Navratilova Z, </w:t>
      </w:r>
      <w:r w:rsidRPr="00C87449">
        <w:rPr>
          <w:rFonts w:cstheme="minorHAnsi"/>
          <w:b/>
          <w:color w:val="000000"/>
          <w:sz w:val="24"/>
          <w:szCs w:val="24"/>
        </w:rPr>
        <w:t>Novosadova E</w:t>
      </w:r>
      <w:r w:rsidRPr="00C87449">
        <w:rPr>
          <w:rFonts w:cstheme="minorHAnsi"/>
          <w:color w:val="000000"/>
          <w:sz w:val="24"/>
          <w:szCs w:val="24"/>
        </w:rPr>
        <w:t xml:space="preserve">, Smitalova D, Kishore A, Kolek V, Petrek M. Serum and bronchoalveolar exosomal miRNAs in pulmonary sarcoidosis. </w:t>
      </w:r>
      <w:r w:rsidRPr="00C87449">
        <w:rPr>
          <w:rFonts w:cstheme="minorHAnsi"/>
          <w:i/>
          <w:iCs/>
          <w:sz w:val="24"/>
          <w:szCs w:val="24"/>
        </w:rPr>
        <w:t>Eur Respir J.</w:t>
      </w:r>
      <w:r w:rsidRPr="00C87449">
        <w:rPr>
          <w:rFonts w:cstheme="minorHAnsi"/>
          <w:iCs/>
          <w:sz w:val="24"/>
          <w:szCs w:val="24"/>
        </w:rPr>
        <w:t xml:space="preserve"> </w:t>
      </w:r>
      <w:r w:rsidRPr="00C87449">
        <w:rPr>
          <w:rFonts w:cstheme="minorHAnsi"/>
          <w:b/>
          <w:iCs/>
          <w:sz w:val="24"/>
          <w:szCs w:val="24"/>
        </w:rPr>
        <w:t>2015</w:t>
      </w:r>
      <w:r w:rsidRPr="00C87449">
        <w:rPr>
          <w:rFonts w:cstheme="minorHAnsi"/>
          <w:iCs/>
          <w:sz w:val="24"/>
          <w:szCs w:val="24"/>
        </w:rPr>
        <w:t xml:space="preserve">; 46(Suppl. </w:t>
      </w:r>
      <w:r w:rsidRPr="00C87449">
        <w:rPr>
          <w:rFonts w:cstheme="minorHAnsi"/>
          <w:iCs/>
          <w:sz w:val="24"/>
          <w:szCs w:val="24"/>
        </w:rPr>
        <w:lastRenderedPageBreak/>
        <w:t xml:space="preserve">59):PA3319. </w:t>
      </w:r>
      <w:r w:rsidRPr="00C87449">
        <w:rPr>
          <w:rFonts w:cstheme="minorHAnsi"/>
          <w:i/>
          <w:iCs/>
          <w:sz w:val="24"/>
          <w:szCs w:val="24"/>
        </w:rPr>
        <w:t xml:space="preserve">Abstracts on USB Key. </w:t>
      </w:r>
      <w:r w:rsidRPr="00C87449">
        <w:rPr>
          <w:rStyle w:val="label"/>
          <w:rFonts w:cstheme="minorHAnsi"/>
          <w:bCs/>
          <w:color w:val="000000"/>
          <w:sz w:val="24"/>
          <w:szCs w:val="24"/>
          <w:bdr w:val="none" w:sz="0" w:space="0" w:color="auto" w:frame="1"/>
          <w:shd w:val="clear" w:color="auto" w:fill="FFFFFF"/>
        </w:rPr>
        <w:t>DOI</w:t>
      </w:r>
      <w:r w:rsidRPr="00C87449">
        <w:rPr>
          <w:rStyle w:val="label"/>
          <w:rFonts w:cstheme="minorHAnsi"/>
          <w:b/>
          <w:bCs/>
          <w:color w:val="000000"/>
          <w:sz w:val="24"/>
          <w:szCs w:val="24"/>
          <w:bdr w:val="none" w:sz="0" w:space="0" w:color="auto" w:frame="1"/>
          <w:shd w:val="clear" w:color="auto" w:fill="FFFFFF"/>
        </w:rPr>
        <w:t>:</w:t>
      </w:r>
      <w:r w:rsidRPr="00C87449">
        <w:rPr>
          <w:rStyle w:val="apple-converted-space"/>
          <w:rFonts w:cstheme="minorHAnsi"/>
          <w:color w:val="000000"/>
          <w:sz w:val="24"/>
          <w:szCs w:val="24"/>
          <w:bdr w:val="none" w:sz="0" w:space="0" w:color="auto" w:frame="1"/>
          <w:shd w:val="clear" w:color="auto" w:fill="FFFFFF"/>
        </w:rPr>
        <w:t> </w:t>
      </w:r>
      <w:r w:rsidRPr="00C87449">
        <w:rPr>
          <w:rStyle w:val="highwire-cite-metadata-doi"/>
          <w:rFonts w:eastAsiaTheme="majorEastAsia" w:cstheme="minorHAnsi"/>
          <w:color w:val="000000"/>
          <w:sz w:val="24"/>
          <w:szCs w:val="24"/>
          <w:bdr w:val="none" w:sz="0" w:space="0" w:color="auto" w:frame="1"/>
          <w:shd w:val="clear" w:color="auto" w:fill="FFFFFF"/>
        </w:rPr>
        <w:t>10.1183/13993003. congress-2015. PA3319</w:t>
      </w:r>
      <w:r w:rsidRPr="00C87449">
        <w:rPr>
          <w:rStyle w:val="highwire-cite-metadata-date"/>
          <w:rFonts w:cstheme="minorHAnsi"/>
          <w:color w:val="000000"/>
          <w:sz w:val="24"/>
          <w:szCs w:val="24"/>
          <w:bdr w:val="none" w:sz="0" w:space="0" w:color="auto" w:frame="1"/>
          <w:shd w:val="clear" w:color="auto" w:fill="FFFFFF"/>
        </w:rPr>
        <w:t>, (ERS International Congress, September 26-30, 2015, Amsterdam</w:t>
      </w:r>
      <w:r w:rsidRPr="00C87449">
        <w:rPr>
          <w:rFonts w:cstheme="minorHAnsi"/>
          <w:color w:val="000000"/>
          <w:sz w:val="24"/>
          <w:szCs w:val="24"/>
        </w:rPr>
        <w:t>)</w:t>
      </w:r>
    </w:p>
    <w:p w:rsidR="008F0C0F" w:rsidRPr="0062347D" w:rsidRDefault="008F0C0F" w:rsidP="00284F89">
      <w:pPr>
        <w:jc w:val="both"/>
        <w:rPr>
          <w:rFonts w:cstheme="minorHAnsi"/>
          <w:color w:val="000000"/>
          <w:sz w:val="24"/>
          <w:szCs w:val="24"/>
        </w:rPr>
      </w:pPr>
      <w:r w:rsidRPr="0062347D">
        <w:rPr>
          <w:rFonts w:cstheme="minorHAnsi"/>
          <w:color w:val="000000"/>
          <w:sz w:val="24"/>
          <w:szCs w:val="24"/>
        </w:rPr>
        <w:t>Navrátilová Z</w:t>
      </w:r>
      <w:r w:rsidRPr="00E663BF">
        <w:rPr>
          <w:rFonts w:cstheme="minorHAnsi"/>
          <w:color w:val="000000"/>
          <w:sz w:val="24"/>
          <w:szCs w:val="24"/>
        </w:rPr>
        <w:t xml:space="preserve">, </w:t>
      </w:r>
      <w:r w:rsidRPr="004E5649">
        <w:rPr>
          <w:rFonts w:cstheme="minorHAnsi"/>
          <w:b/>
          <w:color w:val="000000"/>
          <w:sz w:val="24"/>
          <w:szCs w:val="24"/>
        </w:rPr>
        <w:t>Novosadová E</w:t>
      </w:r>
      <w:r w:rsidRPr="004E5649">
        <w:rPr>
          <w:rFonts w:cstheme="minorHAnsi"/>
          <w:color w:val="000000"/>
          <w:sz w:val="24"/>
          <w:szCs w:val="24"/>
        </w:rPr>
        <w:t xml:space="preserve">, Smitalová D, Kishore A, Kolek V, Petřek M. </w:t>
      </w:r>
      <w:r w:rsidRPr="004E5649">
        <w:rPr>
          <w:rFonts w:cstheme="minorHAnsi"/>
          <w:sz w:val="24"/>
          <w:szCs w:val="24"/>
        </w:rPr>
        <w:t>Exprese bron</w:t>
      </w:r>
      <w:r w:rsidRPr="00B24D8C">
        <w:rPr>
          <w:rFonts w:cstheme="minorHAnsi"/>
          <w:sz w:val="24"/>
          <w:szCs w:val="24"/>
        </w:rPr>
        <w:t xml:space="preserve">choalveolárních a cirkulujících exozomálních miRNA u pacientů s plicní sarkoidózou. </w:t>
      </w:r>
      <w:r w:rsidRPr="00B24D8C">
        <w:rPr>
          <w:rFonts w:cstheme="minorHAnsi"/>
          <w:i/>
          <w:color w:val="000000"/>
          <w:sz w:val="24"/>
          <w:szCs w:val="24"/>
        </w:rPr>
        <w:t>Sborník abstrakt</w:t>
      </w:r>
      <w:r w:rsidRPr="0062347D">
        <w:rPr>
          <w:rFonts w:cstheme="minorHAnsi"/>
          <w:color w:val="000000"/>
          <w:sz w:val="24"/>
          <w:szCs w:val="24"/>
        </w:rPr>
        <w:t xml:space="preserve">, str. 60. (XIX. kongres České a Slovenské pneumologické a ftizeologické společnosti, 17.-19.6. </w:t>
      </w:r>
      <w:r w:rsidRPr="0062347D">
        <w:rPr>
          <w:rFonts w:cstheme="minorHAnsi"/>
          <w:b/>
          <w:color w:val="000000"/>
          <w:sz w:val="24"/>
          <w:szCs w:val="24"/>
        </w:rPr>
        <w:t>2015</w:t>
      </w:r>
      <w:r w:rsidRPr="0062347D">
        <w:rPr>
          <w:rFonts w:cstheme="minorHAnsi"/>
          <w:color w:val="000000"/>
          <w:sz w:val="24"/>
          <w:szCs w:val="24"/>
        </w:rPr>
        <w:t>, Brno)</w:t>
      </w:r>
    </w:p>
    <w:p w:rsidR="008F0C0F" w:rsidRPr="0062347D" w:rsidRDefault="008F0C0F" w:rsidP="00284F89">
      <w:pPr>
        <w:jc w:val="both"/>
        <w:rPr>
          <w:rFonts w:cstheme="minorHAnsi"/>
          <w:sz w:val="24"/>
          <w:szCs w:val="24"/>
          <w:u w:val="single"/>
        </w:rPr>
      </w:pPr>
      <w:r w:rsidRPr="0062347D">
        <w:rPr>
          <w:rFonts w:cstheme="minorHAnsi"/>
          <w:sz w:val="24"/>
          <w:szCs w:val="24"/>
          <w:u w:val="single"/>
        </w:rPr>
        <w:t>Odborná sdělení:</w:t>
      </w:r>
    </w:p>
    <w:p w:rsidR="008F0C0F" w:rsidRPr="0062347D" w:rsidRDefault="008F0C0F" w:rsidP="00284F89">
      <w:pPr>
        <w:jc w:val="both"/>
        <w:rPr>
          <w:rFonts w:cstheme="minorHAnsi"/>
          <w:sz w:val="24"/>
          <w:szCs w:val="24"/>
        </w:rPr>
      </w:pPr>
      <w:r w:rsidRPr="0062347D">
        <w:rPr>
          <w:rFonts w:cstheme="minorHAnsi"/>
          <w:sz w:val="24"/>
          <w:szCs w:val="24"/>
        </w:rPr>
        <w:t>Přednáškový večer spolku lékařů v Olomouci. Středa 1.11. 2017, Ústav Patologické fyziologie LF UP, Koordinátor: prof. MUDr. Martin Petřek, CSc. Název sdělení: RNA vazebné proteiny</w:t>
      </w:r>
    </w:p>
    <w:p w:rsidR="008F0C0F" w:rsidRPr="00E663BF" w:rsidRDefault="008F0C0F" w:rsidP="00284F89">
      <w:pPr>
        <w:jc w:val="both"/>
        <w:rPr>
          <w:rFonts w:cstheme="minorHAnsi"/>
          <w:sz w:val="24"/>
          <w:szCs w:val="24"/>
        </w:rPr>
      </w:pPr>
      <w:r w:rsidRPr="0062347D">
        <w:rPr>
          <w:rFonts w:cstheme="minorHAnsi"/>
          <w:sz w:val="24"/>
          <w:szCs w:val="24"/>
        </w:rPr>
        <w:t>Prezentace na soutěži o Cenu Alberta Schweitzera</w:t>
      </w:r>
      <w:r>
        <w:rPr>
          <w:rFonts w:cstheme="minorHAnsi"/>
          <w:sz w:val="24"/>
          <w:szCs w:val="24"/>
        </w:rPr>
        <w:t xml:space="preserve"> </w:t>
      </w:r>
      <w:r w:rsidRPr="009B58E5">
        <w:rPr>
          <w:rStyle w:val="Nadpis1Char"/>
        </w:rPr>
        <w:t xml:space="preserve"> </w:t>
      </w:r>
      <w:r w:rsidRPr="00C87449">
        <w:rPr>
          <w:rStyle w:val="Zvraznn"/>
          <w:i w:val="0"/>
          <w:iCs w:val="0"/>
        </w:rPr>
        <w:t>–</w:t>
      </w:r>
      <w:r w:rsidRPr="00C87449">
        <w:rPr>
          <w:rStyle w:val="Zvraznn"/>
          <w:rFonts w:ascii="Tahoma" w:hAnsi="Tahoma" w:cs="Tahoma"/>
          <w:i w:val="0"/>
          <w:iCs w:val="0"/>
        </w:rPr>
        <w:t>⁠</w:t>
      </w:r>
      <w:r w:rsidRPr="0062347D">
        <w:rPr>
          <w:rFonts w:cstheme="minorHAnsi"/>
          <w:sz w:val="24"/>
          <w:szCs w:val="24"/>
        </w:rPr>
        <w:t xml:space="preserve"> soutěž Francouzské ambasády. 19.4. 2018, Praha 2. Lékařská fakulta FN Motol, Název sdělení: </w:t>
      </w:r>
      <w:r w:rsidRPr="00C87449">
        <w:rPr>
          <w:rFonts w:cstheme="minorHAnsi"/>
          <w:sz w:val="24"/>
          <w:szCs w:val="24"/>
        </w:rPr>
        <w:t>The Serum Expression of selected miRNAs in pulmonary sarcoidosis with/without Löfgren's</w:t>
      </w:r>
      <w:r w:rsidRPr="0062347D">
        <w:rPr>
          <w:rFonts w:cstheme="minorHAnsi"/>
          <w:sz w:val="24"/>
          <w:szCs w:val="24"/>
        </w:rPr>
        <w:t xml:space="preserve"> syndrome.</w:t>
      </w:r>
    </w:p>
    <w:p w:rsidR="008F0C0F" w:rsidRPr="004E5649" w:rsidRDefault="008F0C0F" w:rsidP="00284F89">
      <w:pPr>
        <w:jc w:val="both"/>
        <w:rPr>
          <w:rFonts w:cstheme="minorHAnsi"/>
          <w:sz w:val="24"/>
          <w:szCs w:val="24"/>
        </w:rPr>
      </w:pPr>
    </w:p>
    <w:p w:rsidR="008F0C0F" w:rsidRPr="00B24D8C" w:rsidRDefault="008F0C0F" w:rsidP="00284F89">
      <w:pPr>
        <w:pStyle w:val="Nadpis1"/>
        <w:spacing w:after="240"/>
      </w:pPr>
      <w:bookmarkStart w:id="66" w:name="_Toc69543054"/>
      <w:r w:rsidRPr="00B24D8C">
        <w:t>Seznam zkratek</w:t>
      </w:r>
      <w:bookmarkEnd w:id="66"/>
    </w:p>
    <w:p w:rsidR="008F0C0F" w:rsidRPr="00B24D8C" w:rsidRDefault="008F0C0F" w:rsidP="00284F89">
      <w:pPr>
        <w:tabs>
          <w:tab w:val="left" w:pos="4253"/>
        </w:tabs>
        <w:spacing w:line="240" w:lineRule="auto"/>
        <w:rPr>
          <w:rFonts w:cstheme="minorHAnsi"/>
          <w:sz w:val="24"/>
          <w:szCs w:val="24"/>
        </w:rPr>
      </w:pPr>
      <w:r w:rsidRPr="00B24D8C">
        <w:rPr>
          <w:rFonts w:cstheme="minorHAnsi"/>
          <w:sz w:val="24"/>
          <w:szCs w:val="24"/>
        </w:rPr>
        <w:t>Ag</w:t>
      </w:r>
      <w:r w:rsidRPr="00B24D8C">
        <w:rPr>
          <w:rFonts w:cstheme="minorHAnsi"/>
          <w:sz w:val="24"/>
          <w:szCs w:val="24"/>
        </w:rPr>
        <w:tab/>
        <w:t>antigen</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APC</w:t>
      </w:r>
      <w:r w:rsidRPr="0062347D">
        <w:rPr>
          <w:rFonts w:cstheme="minorHAnsi"/>
          <w:sz w:val="24"/>
          <w:szCs w:val="24"/>
        </w:rPr>
        <w:tab/>
      </w:r>
      <w:r w:rsidRPr="00C87449">
        <w:rPr>
          <w:rFonts w:cstheme="minorHAnsi"/>
          <w:sz w:val="24"/>
          <w:szCs w:val="24"/>
        </w:rPr>
        <w:t>Allophycocyanin</w:t>
      </w:r>
    </w:p>
    <w:p w:rsidR="008F0C0F" w:rsidRPr="004E5649" w:rsidRDefault="008F0C0F" w:rsidP="00284F89">
      <w:pPr>
        <w:tabs>
          <w:tab w:val="left" w:pos="4253"/>
        </w:tabs>
        <w:spacing w:line="240" w:lineRule="auto"/>
        <w:rPr>
          <w:rFonts w:cstheme="minorHAnsi"/>
          <w:sz w:val="24"/>
          <w:szCs w:val="24"/>
        </w:rPr>
      </w:pPr>
      <w:r w:rsidRPr="00E663BF">
        <w:rPr>
          <w:rFonts w:cstheme="minorHAnsi"/>
          <w:sz w:val="24"/>
          <w:szCs w:val="24"/>
        </w:rPr>
        <w:t>APC-H7</w:t>
      </w:r>
      <w:r w:rsidRPr="004E5649">
        <w:rPr>
          <w:rFonts w:cstheme="minorHAnsi"/>
          <w:sz w:val="24"/>
          <w:szCs w:val="24"/>
        </w:rPr>
        <w:tab/>
        <w:t>Allophycocyanine‐Hilite®7‐BD</w:t>
      </w:r>
    </w:p>
    <w:p w:rsidR="008F0C0F" w:rsidRPr="00B24D8C" w:rsidRDefault="008F0C0F" w:rsidP="00284F89">
      <w:pPr>
        <w:tabs>
          <w:tab w:val="left" w:pos="4253"/>
        </w:tabs>
        <w:spacing w:line="240" w:lineRule="auto"/>
        <w:rPr>
          <w:rFonts w:cstheme="minorHAnsi"/>
          <w:sz w:val="24"/>
          <w:szCs w:val="24"/>
        </w:rPr>
      </w:pPr>
      <w:r w:rsidRPr="00B24D8C">
        <w:rPr>
          <w:rFonts w:cstheme="minorHAnsi"/>
          <w:sz w:val="24"/>
          <w:szCs w:val="24"/>
        </w:rPr>
        <w:t>BA</w:t>
      </w:r>
      <w:r w:rsidRPr="00B24D8C">
        <w:rPr>
          <w:rFonts w:cstheme="minorHAnsi"/>
          <w:sz w:val="24"/>
          <w:szCs w:val="24"/>
        </w:rPr>
        <w:tab/>
        <w:t>Bronchoalveolární</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 xml:space="preserve">BAL </w:t>
      </w:r>
      <w:r w:rsidRPr="0062347D">
        <w:rPr>
          <w:rFonts w:cstheme="minorHAnsi"/>
          <w:sz w:val="24"/>
          <w:szCs w:val="24"/>
        </w:rPr>
        <w:tab/>
        <w:t>Bronchoalveolární laváž</w:t>
      </w:r>
    </w:p>
    <w:p w:rsidR="008F0C0F" w:rsidRPr="00E663BF" w:rsidRDefault="008F0C0F" w:rsidP="00284F89">
      <w:pPr>
        <w:tabs>
          <w:tab w:val="left" w:pos="4253"/>
        </w:tabs>
        <w:spacing w:line="240" w:lineRule="auto"/>
        <w:rPr>
          <w:rFonts w:cstheme="minorHAnsi"/>
          <w:sz w:val="24"/>
          <w:szCs w:val="24"/>
        </w:rPr>
      </w:pPr>
      <w:r w:rsidRPr="0062347D">
        <w:rPr>
          <w:rFonts w:cstheme="minorHAnsi"/>
          <w:sz w:val="24"/>
          <w:szCs w:val="24"/>
        </w:rPr>
        <w:t>BSA</w:t>
      </w:r>
      <w:r w:rsidRPr="0062347D">
        <w:rPr>
          <w:rFonts w:cstheme="minorHAnsi"/>
          <w:sz w:val="24"/>
          <w:szCs w:val="24"/>
        </w:rPr>
        <w:tab/>
      </w:r>
      <w:r w:rsidRPr="00C87449">
        <w:rPr>
          <w:rFonts w:cstheme="minorHAnsi"/>
          <w:sz w:val="24"/>
          <w:szCs w:val="24"/>
        </w:rPr>
        <w:t>Bovine</w:t>
      </w:r>
      <w:r w:rsidRPr="0062347D">
        <w:rPr>
          <w:rFonts w:cstheme="minorHAnsi"/>
          <w:sz w:val="24"/>
          <w:szCs w:val="24"/>
        </w:rPr>
        <w:t xml:space="preserve"> </w:t>
      </w:r>
      <w:r w:rsidRPr="00C87449">
        <w:rPr>
          <w:rFonts w:cstheme="minorHAnsi"/>
          <w:sz w:val="24"/>
          <w:szCs w:val="24"/>
        </w:rPr>
        <w:t>serum</w:t>
      </w:r>
      <w:r w:rsidRPr="0062347D">
        <w:rPr>
          <w:rFonts w:cstheme="minorHAnsi"/>
          <w:sz w:val="24"/>
          <w:szCs w:val="24"/>
        </w:rPr>
        <w:t xml:space="preserve"> albumine; hovězí sérový albumin</w:t>
      </w:r>
    </w:p>
    <w:p w:rsidR="008F0C0F" w:rsidRPr="0062347D"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CCL</w:t>
      </w:r>
      <w:r w:rsidRPr="004E5649">
        <w:rPr>
          <w:rFonts w:cstheme="minorHAnsi"/>
          <w:sz w:val="24"/>
          <w:szCs w:val="24"/>
        </w:rPr>
        <w:tab/>
      </w:r>
      <w:r w:rsidRPr="0062347D">
        <w:rPr>
          <w:rFonts w:cstheme="minorHAnsi"/>
          <w:sz w:val="24"/>
          <w:szCs w:val="24"/>
        </w:rPr>
        <w:tab/>
        <w:t>Chemokinový (C-C motiv) ligand; cytokin patřící do skupiny C-C chemokinů</w:t>
      </w:r>
    </w:p>
    <w:p w:rsidR="008F0C0F" w:rsidRPr="00E663BF" w:rsidRDefault="008F0C0F" w:rsidP="00284F89">
      <w:pPr>
        <w:tabs>
          <w:tab w:val="left" w:pos="4253"/>
        </w:tabs>
        <w:spacing w:line="240" w:lineRule="auto"/>
        <w:rPr>
          <w:rFonts w:cstheme="minorHAnsi"/>
          <w:sz w:val="24"/>
          <w:szCs w:val="24"/>
        </w:rPr>
      </w:pPr>
      <w:r w:rsidRPr="0062347D">
        <w:rPr>
          <w:rFonts w:cstheme="minorHAnsi"/>
          <w:sz w:val="24"/>
          <w:szCs w:val="24"/>
        </w:rPr>
        <w:t>cDNA</w:t>
      </w:r>
      <w:r w:rsidRPr="0062347D">
        <w:rPr>
          <w:rFonts w:cstheme="minorHAnsi"/>
          <w:sz w:val="24"/>
          <w:szCs w:val="24"/>
        </w:rPr>
        <w:tab/>
      </w:r>
      <w:r w:rsidRPr="00C87449">
        <w:rPr>
          <w:rFonts w:cstheme="minorHAnsi"/>
          <w:sz w:val="24"/>
          <w:szCs w:val="24"/>
        </w:rPr>
        <w:t>complementary</w:t>
      </w:r>
      <w:r w:rsidRPr="0062347D">
        <w:rPr>
          <w:rFonts w:cstheme="minorHAnsi"/>
          <w:sz w:val="24"/>
          <w:szCs w:val="24"/>
        </w:rPr>
        <w:t xml:space="preserve"> DNA; komplementární DNA</w:t>
      </w:r>
    </w:p>
    <w:p w:rsidR="008F0C0F" w:rsidRPr="004E5649"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CCR</w:t>
      </w:r>
      <w:r w:rsidRPr="004E5649">
        <w:rPr>
          <w:rFonts w:cstheme="minorHAnsi"/>
          <w:sz w:val="24"/>
          <w:szCs w:val="24"/>
        </w:rPr>
        <w:tab/>
        <w:t>CC chemokinový receptor</w:t>
      </w:r>
    </w:p>
    <w:p w:rsidR="008F0C0F" w:rsidRPr="00B24D8C"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Ct value</w:t>
      </w:r>
      <w:r w:rsidRPr="004E5649">
        <w:rPr>
          <w:rFonts w:cstheme="minorHAnsi"/>
          <w:sz w:val="24"/>
          <w:szCs w:val="24"/>
        </w:rPr>
        <w:tab/>
      </w:r>
      <w:r w:rsidRPr="00C87449">
        <w:rPr>
          <w:rFonts w:cstheme="minorHAnsi"/>
          <w:sz w:val="24"/>
          <w:szCs w:val="24"/>
        </w:rPr>
        <w:tab/>
        <w:t>threshold cycle value</w:t>
      </w:r>
      <w:r w:rsidRPr="0062347D">
        <w:rPr>
          <w:rFonts w:cstheme="minorHAnsi"/>
          <w:sz w:val="24"/>
          <w:szCs w:val="24"/>
        </w:rPr>
        <w:t>; číslo cyklu</w:t>
      </w:r>
      <w:r w:rsidRPr="00E663BF">
        <w:rPr>
          <w:rFonts w:cstheme="minorHAnsi"/>
          <w:sz w:val="24"/>
          <w:szCs w:val="24"/>
        </w:rPr>
        <w:t>,</w:t>
      </w:r>
      <w:r w:rsidRPr="004E5649">
        <w:rPr>
          <w:rFonts w:cstheme="minorHAnsi"/>
          <w:sz w:val="24"/>
          <w:szCs w:val="24"/>
        </w:rPr>
        <w:t xml:space="preserve"> ve kterém fluorescence překročí prahovou hodnotu</w:t>
      </w:r>
      <w:r w:rsidRPr="00B24D8C">
        <w:rPr>
          <w:rFonts w:cstheme="minorHAnsi"/>
          <w:sz w:val="24"/>
          <w:szCs w:val="24"/>
        </w:rPr>
        <w:t xml:space="preserve"> </w:t>
      </w:r>
    </w:p>
    <w:p w:rsidR="008F0C0F" w:rsidRPr="0062347D" w:rsidRDefault="008F0C0F" w:rsidP="00284F89">
      <w:pPr>
        <w:tabs>
          <w:tab w:val="left" w:pos="4253"/>
        </w:tabs>
        <w:spacing w:line="240" w:lineRule="auto"/>
        <w:ind w:left="4253" w:hanging="4253"/>
        <w:rPr>
          <w:rFonts w:cstheme="minorHAnsi"/>
          <w:sz w:val="24"/>
          <w:szCs w:val="24"/>
        </w:rPr>
      </w:pPr>
      <w:r w:rsidRPr="00B24D8C">
        <w:rPr>
          <w:rFonts w:cstheme="minorHAnsi"/>
          <w:sz w:val="24"/>
          <w:szCs w:val="24"/>
        </w:rPr>
        <w:t>CXC</w:t>
      </w:r>
      <w:r w:rsidRPr="00B24D8C">
        <w:rPr>
          <w:rFonts w:cstheme="minorHAnsi"/>
          <w:sz w:val="24"/>
          <w:szCs w:val="24"/>
        </w:rPr>
        <w:tab/>
        <w:t>chemokin</w:t>
      </w:r>
      <w:r w:rsidRPr="0062347D">
        <w:rPr>
          <w:rFonts w:cstheme="minorHAnsi"/>
          <w:sz w:val="24"/>
          <w:szCs w:val="24"/>
        </w:rPr>
        <w:t xml:space="preserve"> patřící do skupiny C-X-C chemokinů</w:t>
      </w:r>
    </w:p>
    <w:p w:rsidR="008F0C0F" w:rsidRPr="0062347D" w:rsidRDefault="008F0C0F" w:rsidP="00284F89">
      <w:pPr>
        <w:tabs>
          <w:tab w:val="left" w:pos="4253"/>
        </w:tabs>
        <w:spacing w:line="240" w:lineRule="auto"/>
        <w:ind w:left="4253" w:hanging="4253"/>
        <w:rPr>
          <w:rFonts w:cstheme="minorHAnsi"/>
          <w:sz w:val="24"/>
          <w:szCs w:val="24"/>
        </w:rPr>
      </w:pPr>
      <w:r w:rsidRPr="0062347D">
        <w:rPr>
          <w:rFonts w:cstheme="minorHAnsi"/>
          <w:sz w:val="24"/>
          <w:szCs w:val="24"/>
        </w:rPr>
        <w:t>CXCR</w:t>
      </w:r>
      <w:r w:rsidRPr="0062347D">
        <w:rPr>
          <w:rFonts w:cstheme="minorHAnsi"/>
          <w:sz w:val="24"/>
          <w:szCs w:val="24"/>
        </w:rPr>
        <w:tab/>
        <w:t>CXC chemokinový receptor</w:t>
      </w:r>
    </w:p>
    <w:p w:rsidR="008F0C0F" w:rsidRPr="0062347D" w:rsidRDefault="008F0C0F" w:rsidP="00284F89">
      <w:pPr>
        <w:tabs>
          <w:tab w:val="left" w:pos="4253"/>
        </w:tabs>
        <w:spacing w:line="240" w:lineRule="auto"/>
        <w:ind w:left="4253" w:hanging="4253"/>
        <w:rPr>
          <w:rFonts w:cstheme="minorHAnsi"/>
          <w:sz w:val="24"/>
          <w:szCs w:val="24"/>
        </w:rPr>
      </w:pPr>
      <w:r w:rsidRPr="0062347D">
        <w:rPr>
          <w:rFonts w:cstheme="minorHAnsi"/>
          <w:sz w:val="24"/>
          <w:szCs w:val="24"/>
        </w:rPr>
        <w:t>DNA</w:t>
      </w:r>
      <w:r w:rsidRPr="0062347D">
        <w:rPr>
          <w:rFonts w:cstheme="minorHAnsi"/>
          <w:sz w:val="24"/>
          <w:szCs w:val="24"/>
        </w:rPr>
        <w:tab/>
      </w:r>
      <w:r w:rsidRPr="0062347D">
        <w:rPr>
          <w:rFonts w:cstheme="minorHAnsi"/>
          <w:sz w:val="24"/>
          <w:szCs w:val="24"/>
        </w:rPr>
        <w:tab/>
        <w:t>Deoxyribonucleic Acid; deoxyribonukleová kyselina</w:t>
      </w:r>
    </w:p>
    <w:p w:rsidR="008F0C0F" w:rsidRPr="0062347D" w:rsidRDefault="008F0C0F" w:rsidP="00284F89">
      <w:pPr>
        <w:tabs>
          <w:tab w:val="left" w:pos="4253"/>
        </w:tabs>
        <w:spacing w:line="240" w:lineRule="auto"/>
        <w:ind w:left="4253" w:hanging="4253"/>
        <w:rPr>
          <w:rFonts w:cstheme="minorHAnsi"/>
          <w:sz w:val="24"/>
          <w:szCs w:val="24"/>
        </w:rPr>
      </w:pPr>
      <w:r w:rsidRPr="0062347D">
        <w:rPr>
          <w:rFonts w:cstheme="minorHAnsi"/>
          <w:sz w:val="24"/>
          <w:szCs w:val="24"/>
        </w:rPr>
        <w:t>dNTP</w:t>
      </w:r>
      <w:r w:rsidRPr="0062347D">
        <w:rPr>
          <w:rFonts w:cstheme="minorHAnsi"/>
          <w:sz w:val="24"/>
          <w:szCs w:val="24"/>
        </w:rPr>
        <w:tab/>
        <w:t>2'-deoxynukleosid 5'-trifosfáty</w:t>
      </w:r>
    </w:p>
    <w:p w:rsidR="008F0C0F" w:rsidRPr="0062347D" w:rsidRDefault="008F0C0F" w:rsidP="00284F89">
      <w:pPr>
        <w:tabs>
          <w:tab w:val="left" w:pos="4253"/>
        </w:tabs>
        <w:spacing w:line="240" w:lineRule="auto"/>
        <w:ind w:left="4253" w:hanging="4253"/>
        <w:rPr>
          <w:rFonts w:cstheme="minorHAnsi"/>
          <w:sz w:val="24"/>
          <w:szCs w:val="24"/>
        </w:rPr>
      </w:pPr>
      <w:r w:rsidRPr="0062347D">
        <w:rPr>
          <w:rFonts w:cstheme="minorHAnsi"/>
          <w:sz w:val="24"/>
          <w:szCs w:val="24"/>
        </w:rPr>
        <w:lastRenderedPageBreak/>
        <w:t>FDR</w:t>
      </w:r>
      <w:r w:rsidRPr="0062347D">
        <w:rPr>
          <w:rFonts w:cstheme="minorHAnsi"/>
          <w:sz w:val="24"/>
          <w:szCs w:val="24"/>
        </w:rPr>
        <w:tab/>
        <w:t>False Discovery Rate; korekce podle Benjamina a</w:t>
      </w:r>
      <w:r>
        <w:rPr>
          <w:rFonts w:cstheme="minorHAnsi"/>
          <w:sz w:val="24"/>
          <w:szCs w:val="24"/>
        </w:rPr>
        <w:t> </w:t>
      </w:r>
      <w:r w:rsidRPr="0062347D">
        <w:rPr>
          <w:rFonts w:cstheme="minorHAnsi"/>
          <w:sz w:val="24"/>
          <w:szCs w:val="24"/>
        </w:rPr>
        <w:t>Hochberga pro odstranění falešně pozitivních výsledků</w:t>
      </w:r>
    </w:p>
    <w:p w:rsidR="008F0C0F" w:rsidRPr="004E5649" w:rsidRDefault="008F0C0F" w:rsidP="00284F89">
      <w:pPr>
        <w:tabs>
          <w:tab w:val="left" w:pos="4253"/>
        </w:tabs>
        <w:spacing w:line="240" w:lineRule="auto"/>
        <w:ind w:left="4253" w:hanging="4253"/>
        <w:rPr>
          <w:rFonts w:cstheme="minorHAnsi"/>
          <w:sz w:val="24"/>
          <w:szCs w:val="24"/>
        </w:rPr>
      </w:pPr>
      <w:r w:rsidRPr="0062347D">
        <w:rPr>
          <w:rFonts w:cstheme="minorHAnsi"/>
          <w:sz w:val="24"/>
          <w:szCs w:val="24"/>
        </w:rPr>
        <w:t>FEV1/FVC</w:t>
      </w:r>
      <w:r w:rsidRPr="0062347D">
        <w:rPr>
          <w:rFonts w:cstheme="minorHAnsi"/>
          <w:sz w:val="24"/>
          <w:szCs w:val="24"/>
        </w:rPr>
        <w:tab/>
      </w:r>
      <w:r w:rsidRPr="00C87449">
        <w:rPr>
          <w:rFonts w:cstheme="minorHAnsi"/>
          <w:sz w:val="24"/>
          <w:szCs w:val="24"/>
        </w:rPr>
        <w:t>Forced Expiratory volume in one second/ Forced Vital capacity</w:t>
      </w:r>
      <w:r w:rsidRPr="0062347D">
        <w:rPr>
          <w:rFonts w:cstheme="minorHAnsi"/>
          <w:sz w:val="24"/>
          <w:szCs w:val="24"/>
        </w:rPr>
        <w:t>; usilovně vydechnutý objem za jednu sekundu/usi</w:t>
      </w:r>
      <w:r w:rsidRPr="00E663BF">
        <w:rPr>
          <w:rFonts w:cstheme="minorHAnsi"/>
          <w:sz w:val="24"/>
          <w:szCs w:val="24"/>
        </w:rPr>
        <w:t>lovná vitální kapacita</w:t>
      </w:r>
    </w:p>
    <w:p w:rsidR="008F0C0F" w:rsidRPr="00E663BF" w:rsidRDefault="008F0C0F" w:rsidP="00284F89">
      <w:pPr>
        <w:tabs>
          <w:tab w:val="left" w:pos="4253"/>
        </w:tabs>
        <w:spacing w:after="0" w:line="240" w:lineRule="auto"/>
        <w:ind w:left="4253" w:hanging="4253"/>
        <w:rPr>
          <w:rFonts w:cstheme="minorHAnsi"/>
          <w:sz w:val="24"/>
          <w:szCs w:val="24"/>
        </w:rPr>
      </w:pPr>
      <w:r w:rsidRPr="004E5649">
        <w:rPr>
          <w:rFonts w:cstheme="minorHAnsi"/>
          <w:sz w:val="24"/>
          <w:szCs w:val="24"/>
        </w:rPr>
        <w:t>FEV1%</w:t>
      </w:r>
      <w:r w:rsidRPr="004E5649">
        <w:rPr>
          <w:rFonts w:cstheme="minorHAnsi"/>
          <w:sz w:val="24"/>
          <w:szCs w:val="24"/>
        </w:rPr>
        <w:tab/>
      </w:r>
      <w:r w:rsidRPr="00C87449">
        <w:rPr>
          <w:rFonts w:cstheme="minorHAnsi"/>
          <w:sz w:val="24"/>
          <w:szCs w:val="24"/>
        </w:rPr>
        <w:t>Forced Expiratory volume in one second %;</w:t>
      </w:r>
      <w:r w:rsidRPr="0062347D">
        <w:rPr>
          <w:rFonts w:cstheme="minorHAnsi"/>
          <w:sz w:val="24"/>
          <w:szCs w:val="24"/>
        </w:rPr>
        <w:t xml:space="preserve"> jednovteřinová vitální kapacita vyjádřená jako podíl z vitální kapacity </w:t>
      </w:r>
    </w:p>
    <w:p w:rsidR="008F0C0F" w:rsidRPr="00B24D8C"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ab/>
        <w:t>FEV1</w:t>
      </w:r>
      <w:r>
        <w:rPr>
          <w:rFonts w:cstheme="minorHAnsi"/>
          <w:sz w:val="24"/>
          <w:szCs w:val="24"/>
        </w:rPr>
        <w:t> </w:t>
      </w:r>
      <w:r w:rsidRPr="004E5649">
        <w:rPr>
          <w:rFonts w:cstheme="minorHAnsi"/>
          <w:sz w:val="24"/>
          <w:szCs w:val="24"/>
        </w:rPr>
        <w:t>% = (FEV1/VC) x 100</w:t>
      </w:r>
      <w:r>
        <w:rPr>
          <w:rFonts w:cstheme="minorHAnsi"/>
          <w:sz w:val="24"/>
          <w:szCs w:val="24"/>
        </w:rPr>
        <w:t> </w:t>
      </w:r>
      <w:r w:rsidRPr="004E5649">
        <w:rPr>
          <w:rFonts w:cstheme="minorHAnsi"/>
          <w:sz w:val="24"/>
          <w:szCs w:val="24"/>
        </w:rPr>
        <w:t xml:space="preserve">% </w:t>
      </w:r>
    </w:p>
    <w:p w:rsidR="008F0C0F" w:rsidRPr="00E663BF" w:rsidRDefault="008F0C0F" w:rsidP="00284F89">
      <w:pPr>
        <w:tabs>
          <w:tab w:val="left" w:pos="4253"/>
        </w:tabs>
        <w:spacing w:line="240" w:lineRule="auto"/>
        <w:ind w:left="4253" w:hanging="4253"/>
        <w:rPr>
          <w:rFonts w:cstheme="minorHAnsi"/>
          <w:sz w:val="24"/>
          <w:szCs w:val="24"/>
        </w:rPr>
      </w:pPr>
      <w:r w:rsidRPr="00B24D8C">
        <w:rPr>
          <w:rFonts w:cstheme="minorHAnsi"/>
          <w:sz w:val="24"/>
          <w:szCs w:val="24"/>
        </w:rPr>
        <w:t>FITC</w:t>
      </w:r>
      <w:r w:rsidRPr="00B24D8C">
        <w:rPr>
          <w:rFonts w:cstheme="minorHAnsi"/>
          <w:sz w:val="24"/>
          <w:szCs w:val="24"/>
        </w:rPr>
        <w:tab/>
      </w:r>
      <w:r w:rsidRPr="00C87449">
        <w:rPr>
          <w:rFonts w:cstheme="minorHAnsi"/>
          <w:sz w:val="24"/>
          <w:szCs w:val="24"/>
        </w:rPr>
        <w:t>Fluorescein isothiocyanate</w:t>
      </w:r>
      <w:r w:rsidRPr="0062347D">
        <w:rPr>
          <w:rFonts w:cstheme="minorHAnsi"/>
          <w:sz w:val="24"/>
          <w:szCs w:val="24"/>
        </w:rPr>
        <w:t>; fluorescein isothiokyanát</w:t>
      </w:r>
    </w:p>
    <w:p w:rsidR="008F0C0F" w:rsidRPr="00E663BF"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FSC</w:t>
      </w:r>
      <w:r w:rsidRPr="004E5649">
        <w:rPr>
          <w:rFonts w:cstheme="minorHAnsi"/>
          <w:sz w:val="24"/>
          <w:szCs w:val="24"/>
        </w:rPr>
        <w:tab/>
        <w:t>Forward-</w:t>
      </w:r>
      <w:r w:rsidRPr="00C87449">
        <w:rPr>
          <w:rFonts w:cstheme="minorHAnsi"/>
          <w:sz w:val="24"/>
          <w:szCs w:val="24"/>
        </w:rPr>
        <w:t>Scattered Light</w:t>
      </w:r>
      <w:r w:rsidRPr="0062347D">
        <w:rPr>
          <w:rFonts w:cstheme="minorHAnsi"/>
          <w:sz w:val="24"/>
          <w:szCs w:val="24"/>
        </w:rPr>
        <w:t>; přední rozptýlené světlo</w:t>
      </w:r>
    </w:p>
    <w:p w:rsidR="008F0C0F" w:rsidRPr="00E663BF"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GM-CSF</w:t>
      </w:r>
      <w:r w:rsidRPr="004E5649">
        <w:rPr>
          <w:rFonts w:cstheme="minorHAnsi"/>
          <w:sz w:val="24"/>
          <w:szCs w:val="24"/>
        </w:rPr>
        <w:tab/>
      </w:r>
      <w:r w:rsidRPr="004E5649">
        <w:rPr>
          <w:rFonts w:cstheme="minorHAnsi"/>
          <w:sz w:val="24"/>
          <w:szCs w:val="24"/>
        </w:rPr>
        <w:tab/>
        <w:t xml:space="preserve">Granulocyte </w:t>
      </w:r>
      <w:r w:rsidRPr="00C87449">
        <w:rPr>
          <w:rFonts w:cstheme="minorHAnsi"/>
          <w:sz w:val="24"/>
          <w:szCs w:val="24"/>
        </w:rPr>
        <w:t>Macrophage Colony Stimulating factor</w:t>
      </w:r>
      <w:r w:rsidRPr="0062347D">
        <w:rPr>
          <w:rFonts w:cstheme="minorHAnsi"/>
          <w:sz w:val="24"/>
          <w:szCs w:val="24"/>
        </w:rPr>
        <w:t>; faktor stimulující kolonie makrofágů a</w:t>
      </w:r>
      <w:r>
        <w:rPr>
          <w:rFonts w:cstheme="minorHAnsi"/>
          <w:sz w:val="24"/>
          <w:szCs w:val="24"/>
        </w:rPr>
        <w:t> </w:t>
      </w:r>
      <w:r w:rsidRPr="0062347D">
        <w:rPr>
          <w:rFonts w:cstheme="minorHAnsi"/>
          <w:sz w:val="24"/>
          <w:szCs w:val="24"/>
        </w:rPr>
        <w:t>granulocytů</w:t>
      </w:r>
    </w:p>
    <w:p w:rsidR="008F0C0F" w:rsidRPr="004E5649" w:rsidRDefault="008F0C0F" w:rsidP="00284F89">
      <w:pPr>
        <w:tabs>
          <w:tab w:val="left" w:pos="4253"/>
        </w:tabs>
        <w:spacing w:line="240" w:lineRule="auto"/>
        <w:ind w:left="4253" w:hanging="4253"/>
        <w:rPr>
          <w:rFonts w:cstheme="minorHAnsi"/>
          <w:sz w:val="24"/>
          <w:szCs w:val="24"/>
        </w:rPr>
      </w:pPr>
      <w:r w:rsidRPr="004E5649">
        <w:rPr>
          <w:rFonts w:cstheme="minorHAnsi"/>
          <w:sz w:val="24"/>
          <w:szCs w:val="24"/>
        </w:rPr>
        <w:t>HLA</w:t>
      </w:r>
      <w:r w:rsidRPr="004E5649">
        <w:rPr>
          <w:rFonts w:cstheme="minorHAnsi"/>
          <w:sz w:val="24"/>
          <w:szCs w:val="24"/>
        </w:rPr>
        <w:tab/>
      </w:r>
      <w:r w:rsidRPr="00C87449">
        <w:rPr>
          <w:rFonts w:cstheme="minorHAnsi"/>
          <w:sz w:val="24"/>
          <w:szCs w:val="24"/>
        </w:rPr>
        <w:t xml:space="preserve">Human </w:t>
      </w:r>
      <w:r w:rsidRPr="0062347D">
        <w:rPr>
          <w:rFonts w:cstheme="minorHAnsi"/>
          <w:sz w:val="24"/>
          <w:szCs w:val="24"/>
        </w:rPr>
        <w:t>Leukocyte Antig</w:t>
      </w:r>
      <w:r w:rsidRPr="00E663BF">
        <w:rPr>
          <w:rFonts w:cstheme="minorHAnsi"/>
          <w:sz w:val="24"/>
          <w:szCs w:val="24"/>
        </w:rPr>
        <w:t>en; lidský leukocytární antigen</w:t>
      </w:r>
    </w:p>
    <w:p w:rsidR="008F0C0F" w:rsidRPr="00B24D8C" w:rsidRDefault="008F0C0F" w:rsidP="00284F89">
      <w:pPr>
        <w:tabs>
          <w:tab w:val="left" w:pos="4253"/>
        </w:tabs>
        <w:spacing w:line="240" w:lineRule="auto"/>
        <w:ind w:left="4253" w:hanging="4253"/>
        <w:rPr>
          <w:rFonts w:cstheme="minorHAnsi"/>
          <w:sz w:val="24"/>
          <w:szCs w:val="24"/>
        </w:rPr>
      </w:pPr>
      <w:r w:rsidRPr="00B24D8C">
        <w:rPr>
          <w:rFonts w:cstheme="minorHAnsi"/>
          <w:sz w:val="24"/>
          <w:szCs w:val="24"/>
        </w:rPr>
        <w:t>HP</w:t>
      </w:r>
      <w:r w:rsidRPr="00B24D8C">
        <w:rPr>
          <w:rFonts w:cstheme="minorHAnsi"/>
          <w:sz w:val="24"/>
          <w:szCs w:val="24"/>
        </w:rPr>
        <w:tab/>
        <w:t>hypersenzitivní pneumonie</w:t>
      </w:r>
    </w:p>
    <w:p w:rsidR="008F0C0F" w:rsidRPr="00B24D8C" w:rsidRDefault="008F0C0F" w:rsidP="00284F89">
      <w:pPr>
        <w:tabs>
          <w:tab w:val="left" w:pos="4253"/>
        </w:tabs>
        <w:spacing w:line="240" w:lineRule="auto"/>
        <w:rPr>
          <w:rFonts w:cstheme="minorHAnsi"/>
          <w:sz w:val="24"/>
          <w:szCs w:val="24"/>
        </w:rPr>
      </w:pPr>
      <w:r w:rsidRPr="00B24D8C">
        <w:rPr>
          <w:rFonts w:cstheme="minorHAnsi"/>
          <w:sz w:val="24"/>
          <w:szCs w:val="24"/>
        </w:rPr>
        <w:t xml:space="preserve">CHOPN </w:t>
      </w:r>
      <w:r w:rsidRPr="00B24D8C">
        <w:rPr>
          <w:rFonts w:cstheme="minorHAnsi"/>
          <w:sz w:val="24"/>
          <w:szCs w:val="24"/>
        </w:rPr>
        <w:tab/>
        <w:t>Chronická obstrukční plicní nemoc</w:t>
      </w:r>
    </w:p>
    <w:p w:rsidR="008F0C0F" w:rsidRPr="0062347D" w:rsidRDefault="008F0C0F" w:rsidP="00284F89">
      <w:pPr>
        <w:tabs>
          <w:tab w:val="left" w:pos="4253"/>
        </w:tabs>
        <w:spacing w:line="240" w:lineRule="auto"/>
        <w:rPr>
          <w:rFonts w:cstheme="minorHAnsi"/>
          <w:sz w:val="24"/>
          <w:szCs w:val="24"/>
        </w:rPr>
      </w:pPr>
      <w:r w:rsidRPr="00B24D8C">
        <w:rPr>
          <w:rFonts w:cstheme="minorHAnsi"/>
          <w:sz w:val="24"/>
          <w:szCs w:val="24"/>
        </w:rPr>
        <w:t>IgG</w:t>
      </w:r>
      <w:r w:rsidRPr="00B24D8C">
        <w:rPr>
          <w:rFonts w:cstheme="minorHAnsi"/>
          <w:sz w:val="24"/>
          <w:szCs w:val="24"/>
        </w:rPr>
        <w:tab/>
        <w:t>imunoglobulin třídy G</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IPF</w:t>
      </w:r>
      <w:r w:rsidRPr="0062347D">
        <w:rPr>
          <w:rFonts w:cstheme="minorHAnsi"/>
          <w:sz w:val="24"/>
          <w:szCs w:val="24"/>
        </w:rPr>
        <w:tab/>
        <w:t>Idiopatická plicní fibróza</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IIP</w:t>
      </w:r>
      <w:r w:rsidRPr="0062347D">
        <w:rPr>
          <w:rFonts w:cstheme="minorHAnsi"/>
          <w:sz w:val="24"/>
          <w:szCs w:val="24"/>
        </w:rPr>
        <w:tab/>
        <w:t>Idiopatická intersticiální pneumonie</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IL</w:t>
      </w:r>
      <w:r w:rsidRPr="0062347D">
        <w:rPr>
          <w:rFonts w:cstheme="minorHAnsi"/>
          <w:sz w:val="24"/>
          <w:szCs w:val="24"/>
        </w:rPr>
        <w:tab/>
        <w:t>interleukin</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IFN-γ</w:t>
      </w:r>
      <w:r w:rsidRPr="0062347D">
        <w:rPr>
          <w:rFonts w:cstheme="minorHAnsi"/>
          <w:sz w:val="24"/>
          <w:szCs w:val="24"/>
        </w:rPr>
        <w:tab/>
        <w:t>interferon gamma</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K</w:t>
      </w:r>
      <w:r w:rsidRPr="0062347D">
        <w:rPr>
          <w:rFonts w:cstheme="minorHAnsi"/>
          <w:sz w:val="24"/>
          <w:szCs w:val="24"/>
        </w:rPr>
        <w:tab/>
        <w:t>kontroly</w:t>
      </w:r>
    </w:p>
    <w:p w:rsidR="008F0C0F" w:rsidRPr="00E663BF" w:rsidRDefault="008F0C0F" w:rsidP="00284F89">
      <w:pPr>
        <w:tabs>
          <w:tab w:val="left" w:pos="4253"/>
        </w:tabs>
        <w:spacing w:line="240" w:lineRule="auto"/>
        <w:rPr>
          <w:rFonts w:cstheme="minorHAnsi"/>
          <w:sz w:val="24"/>
          <w:szCs w:val="24"/>
        </w:rPr>
      </w:pPr>
      <w:r w:rsidRPr="0062347D">
        <w:rPr>
          <w:rFonts w:cstheme="minorHAnsi"/>
          <w:sz w:val="24"/>
          <w:szCs w:val="24"/>
        </w:rPr>
        <w:t>LNA</w:t>
      </w:r>
      <w:r w:rsidRPr="0062347D">
        <w:rPr>
          <w:rFonts w:cstheme="minorHAnsi"/>
          <w:sz w:val="24"/>
          <w:szCs w:val="24"/>
        </w:rPr>
        <w:tab/>
      </w:r>
      <w:r w:rsidRPr="00C87449">
        <w:rPr>
          <w:rFonts w:cstheme="minorHAnsi"/>
          <w:sz w:val="24"/>
          <w:szCs w:val="24"/>
        </w:rPr>
        <w:t>Lock Nucleic</w:t>
      </w:r>
      <w:r w:rsidRPr="0062347D">
        <w:rPr>
          <w:rFonts w:cstheme="minorHAnsi"/>
          <w:sz w:val="24"/>
          <w:szCs w:val="24"/>
        </w:rPr>
        <w:t xml:space="preserve"> Acid; uzamčená nukleová kyselina</w:t>
      </w:r>
    </w:p>
    <w:p w:rsidR="008F0C0F" w:rsidRPr="004E5649" w:rsidRDefault="008F0C0F" w:rsidP="00284F89">
      <w:pPr>
        <w:tabs>
          <w:tab w:val="left" w:pos="4253"/>
        </w:tabs>
        <w:spacing w:line="240" w:lineRule="auto"/>
        <w:rPr>
          <w:rFonts w:cstheme="minorHAnsi"/>
          <w:sz w:val="24"/>
          <w:szCs w:val="24"/>
        </w:rPr>
      </w:pPr>
      <w:r w:rsidRPr="004E5649">
        <w:rPr>
          <w:rFonts w:cstheme="minorHAnsi"/>
          <w:sz w:val="24"/>
          <w:szCs w:val="24"/>
        </w:rPr>
        <w:t>LS</w:t>
      </w:r>
      <w:r w:rsidRPr="004E5649">
        <w:rPr>
          <w:rFonts w:cstheme="minorHAnsi"/>
          <w:sz w:val="24"/>
          <w:szCs w:val="24"/>
        </w:rPr>
        <w:tab/>
        <w:t>Löfgrenův syndrom</w:t>
      </w:r>
    </w:p>
    <w:p w:rsidR="008F0C0F" w:rsidRPr="00B24D8C" w:rsidRDefault="008F0C0F" w:rsidP="00284F89">
      <w:pPr>
        <w:tabs>
          <w:tab w:val="left" w:pos="4253"/>
        </w:tabs>
        <w:spacing w:line="240" w:lineRule="auto"/>
        <w:ind w:left="4253" w:hanging="4253"/>
        <w:rPr>
          <w:rFonts w:cstheme="minorHAnsi"/>
          <w:sz w:val="24"/>
          <w:szCs w:val="24"/>
        </w:rPr>
      </w:pPr>
      <w:r w:rsidRPr="00B24D8C">
        <w:rPr>
          <w:rFonts w:cstheme="minorHAnsi"/>
          <w:sz w:val="24"/>
          <w:szCs w:val="24"/>
        </w:rPr>
        <w:t>miRISC</w:t>
      </w:r>
      <w:r w:rsidRPr="00B24D8C">
        <w:rPr>
          <w:rFonts w:cstheme="minorHAnsi"/>
          <w:sz w:val="24"/>
          <w:szCs w:val="24"/>
        </w:rPr>
        <w:tab/>
      </w:r>
      <w:r w:rsidRPr="00C87449">
        <w:rPr>
          <w:rFonts w:cstheme="minorHAnsi"/>
          <w:sz w:val="24"/>
          <w:szCs w:val="24"/>
        </w:rPr>
        <w:t xml:space="preserve">microRNA Induced Silencing Complex; </w:t>
      </w:r>
      <w:r w:rsidRPr="0062347D">
        <w:rPr>
          <w:rFonts w:cstheme="minorHAnsi"/>
          <w:sz w:val="24"/>
          <w:szCs w:val="24"/>
        </w:rPr>
        <w:t>ribonukleoproteinový complex</w:t>
      </w:r>
      <w:r w:rsidRPr="00E663BF">
        <w:rPr>
          <w:rFonts w:cstheme="minorHAnsi"/>
          <w:sz w:val="24"/>
          <w:szCs w:val="24"/>
        </w:rPr>
        <w:t xml:space="preserve"> s miRNA </w:t>
      </w:r>
      <w:r w:rsidRPr="004E5649">
        <w:rPr>
          <w:rFonts w:cstheme="minorHAnsi"/>
          <w:sz w:val="24"/>
          <w:szCs w:val="24"/>
        </w:rPr>
        <w:t>určený k</w:t>
      </w:r>
      <w:r>
        <w:rPr>
          <w:rFonts w:cstheme="minorHAnsi"/>
          <w:sz w:val="24"/>
          <w:szCs w:val="24"/>
        </w:rPr>
        <w:t> </w:t>
      </w:r>
      <w:r w:rsidRPr="00B24D8C">
        <w:rPr>
          <w:rFonts w:cstheme="minorHAnsi"/>
          <w:sz w:val="24"/>
          <w:szCs w:val="24"/>
        </w:rPr>
        <w:t>regulaci translace</w:t>
      </w:r>
    </w:p>
    <w:p w:rsidR="008F0C0F" w:rsidRPr="00B24D8C" w:rsidRDefault="008F0C0F" w:rsidP="00284F89">
      <w:pPr>
        <w:tabs>
          <w:tab w:val="left" w:pos="4253"/>
        </w:tabs>
        <w:spacing w:line="240" w:lineRule="auto"/>
        <w:rPr>
          <w:rFonts w:cstheme="minorHAnsi"/>
          <w:sz w:val="24"/>
          <w:szCs w:val="24"/>
        </w:rPr>
      </w:pPr>
      <w:r w:rsidRPr="00B24D8C">
        <w:rPr>
          <w:rFonts w:cstheme="minorHAnsi"/>
          <w:sz w:val="24"/>
          <w:szCs w:val="24"/>
        </w:rPr>
        <w:t>miRNA</w:t>
      </w:r>
      <w:r w:rsidRPr="00B24D8C">
        <w:rPr>
          <w:rFonts w:cstheme="minorHAnsi"/>
          <w:sz w:val="24"/>
          <w:szCs w:val="24"/>
        </w:rPr>
        <w:tab/>
        <w:t>microRNA</w:t>
      </w:r>
    </w:p>
    <w:p w:rsidR="008F0C0F" w:rsidRPr="0062347D" w:rsidRDefault="008F0C0F" w:rsidP="00284F89">
      <w:pPr>
        <w:tabs>
          <w:tab w:val="left" w:pos="4253"/>
        </w:tabs>
        <w:spacing w:line="240" w:lineRule="auto"/>
        <w:rPr>
          <w:rFonts w:cstheme="minorHAnsi"/>
          <w:sz w:val="24"/>
          <w:szCs w:val="24"/>
        </w:rPr>
      </w:pPr>
      <w:r w:rsidRPr="00B24D8C">
        <w:rPr>
          <w:rFonts w:cstheme="minorHAnsi"/>
          <w:sz w:val="24"/>
          <w:szCs w:val="24"/>
        </w:rPr>
        <w:t>MMP</w:t>
      </w:r>
      <w:r w:rsidRPr="0062347D">
        <w:rPr>
          <w:rFonts w:cstheme="minorHAnsi"/>
          <w:sz w:val="24"/>
          <w:szCs w:val="24"/>
        </w:rPr>
        <w:tab/>
        <w:t>matrix metaloproteináza</w:t>
      </w:r>
    </w:p>
    <w:p w:rsidR="008F0C0F" w:rsidRPr="0062347D" w:rsidRDefault="008F0C0F" w:rsidP="00284F89">
      <w:pPr>
        <w:tabs>
          <w:tab w:val="left" w:pos="4253"/>
        </w:tabs>
        <w:spacing w:line="240" w:lineRule="auto"/>
        <w:rPr>
          <w:rFonts w:cstheme="minorHAnsi"/>
          <w:sz w:val="24"/>
          <w:szCs w:val="24"/>
        </w:rPr>
      </w:pPr>
      <w:r w:rsidRPr="0062347D">
        <w:rPr>
          <w:rFonts w:cstheme="minorHAnsi"/>
          <w:sz w:val="24"/>
          <w:szCs w:val="24"/>
        </w:rPr>
        <w:t>mRNA</w:t>
      </w:r>
      <w:r w:rsidRPr="0062347D">
        <w:rPr>
          <w:rFonts w:cstheme="minorHAnsi"/>
          <w:sz w:val="24"/>
          <w:szCs w:val="24"/>
        </w:rPr>
        <w:tab/>
        <w:t>mediátorová RNA (messengerová RNA)</w:t>
      </w:r>
    </w:p>
    <w:p w:rsidR="008F0C0F" w:rsidRPr="0062347D" w:rsidRDefault="008F0C0F" w:rsidP="00284F89">
      <w:pPr>
        <w:tabs>
          <w:tab w:val="left" w:pos="555"/>
          <w:tab w:val="left" w:pos="4253"/>
        </w:tabs>
        <w:spacing w:line="240" w:lineRule="auto"/>
        <w:rPr>
          <w:rFonts w:cstheme="minorHAnsi"/>
          <w:sz w:val="24"/>
          <w:szCs w:val="24"/>
        </w:rPr>
      </w:pPr>
      <w:r w:rsidRPr="0062347D">
        <w:rPr>
          <w:rFonts w:cstheme="minorHAnsi"/>
          <w:sz w:val="24"/>
          <w:szCs w:val="24"/>
        </w:rPr>
        <w:lastRenderedPageBreak/>
        <w:t>NaN</w:t>
      </w:r>
      <w:r w:rsidRPr="0062347D">
        <w:rPr>
          <w:rFonts w:cstheme="minorHAnsi"/>
          <w:sz w:val="24"/>
          <w:szCs w:val="24"/>
          <w:vertAlign w:val="subscript"/>
        </w:rPr>
        <w:t>3</w:t>
      </w:r>
      <w:r w:rsidRPr="0062347D">
        <w:rPr>
          <w:rFonts w:cstheme="minorHAnsi"/>
          <w:sz w:val="24"/>
          <w:szCs w:val="24"/>
          <w:vertAlign w:val="subscript"/>
        </w:rPr>
        <w:tab/>
      </w:r>
      <w:r w:rsidRPr="0062347D">
        <w:rPr>
          <w:rFonts w:cstheme="minorHAnsi"/>
          <w:sz w:val="24"/>
          <w:szCs w:val="24"/>
          <w:vertAlign w:val="subscript"/>
        </w:rPr>
        <w:tab/>
      </w:r>
      <w:r w:rsidRPr="0062347D">
        <w:rPr>
          <w:rFonts w:cstheme="minorHAnsi"/>
          <w:sz w:val="24"/>
          <w:szCs w:val="24"/>
        </w:rPr>
        <w:t>azid sodný</w:t>
      </w:r>
    </w:p>
    <w:p w:rsidR="008F0C0F" w:rsidRPr="0062347D" w:rsidRDefault="008F0C0F" w:rsidP="00284F89">
      <w:pPr>
        <w:tabs>
          <w:tab w:val="left" w:pos="555"/>
          <w:tab w:val="left" w:pos="4253"/>
        </w:tabs>
        <w:spacing w:line="240" w:lineRule="auto"/>
        <w:rPr>
          <w:rFonts w:cstheme="minorHAnsi"/>
          <w:sz w:val="24"/>
          <w:szCs w:val="24"/>
        </w:rPr>
      </w:pPr>
      <w:r w:rsidRPr="0062347D">
        <w:rPr>
          <w:rFonts w:cstheme="minorHAnsi"/>
          <w:sz w:val="24"/>
          <w:szCs w:val="24"/>
        </w:rPr>
        <w:t xml:space="preserve">OIIP </w:t>
      </w:r>
      <w:r w:rsidRPr="0062347D">
        <w:rPr>
          <w:rFonts w:cstheme="minorHAnsi"/>
          <w:sz w:val="24"/>
          <w:szCs w:val="24"/>
        </w:rPr>
        <w:tab/>
      </w:r>
      <w:r w:rsidRPr="0062347D">
        <w:rPr>
          <w:rFonts w:cstheme="minorHAnsi"/>
          <w:sz w:val="24"/>
          <w:szCs w:val="24"/>
        </w:rPr>
        <w:tab/>
        <w:t>ostatní idiopatické intersticiální pneumonie</w:t>
      </w:r>
    </w:p>
    <w:p w:rsidR="008F0C0F" w:rsidRPr="004E5649" w:rsidRDefault="008F0C0F" w:rsidP="00284F89">
      <w:pPr>
        <w:tabs>
          <w:tab w:val="left" w:pos="555"/>
          <w:tab w:val="left" w:pos="4253"/>
        </w:tabs>
        <w:spacing w:line="240" w:lineRule="auto"/>
        <w:ind w:left="4253" w:hanging="4253"/>
        <w:rPr>
          <w:rFonts w:cstheme="minorHAnsi"/>
          <w:sz w:val="24"/>
          <w:szCs w:val="24"/>
        </w:rPr>
      </w:pPr>
      <w:r w:rsidRPr="0062347D">
        <w:rPr>
          <w:rFonts w:cstheme="minorHAnsi"/>
          <w:sz w:val="24"/>
          <w:szCs w:val="24"/>
        </w:rPr>
        <w:t>OPLS</w:t>
      </w:r>
      <w:r w:rsidRPr="0062347D">
        <w:rPr>
          <w:rFonts w:cstheme="minorHAnsi"/>
          <w:sz w:val="24"/>
          <w:szCs w:val="24"/>
        </w:rPr>
        <w:tab/>
      </w:r>
      <w:r w:rsidRPr="0062347D">
        <w:rPr>
          <w:rFonts w:cstheme="minorHAnsi"/>
          <w:sz w:val="24"/>
          <w:szCs w:val="24"/>
        </w:rPr>
        <w:tab/>
      </w:r>
      <w:r w:rsidRPr="00C87449">
        <w:rPr>
          <w:rFonts w:cstheme="minorHAnsi"/>
          <w:sz w:val="24"/>
          <w:szCs w:val="24"/>
        </w:rPr>
        <w:tab/>
        <w:t>Orthogonal Projection to Latent Structures;</w:t>
      </w:r>
      <w:r w:rsidRPr="0062347D">
        <w:rPr>
          <w:rFonts w:cstheme="minorHAnsi"/>
          <w:sz w:val="24"/>
          <w:szCs w:val="24"/>
        </w:rPr>
        <w:t xml:space="preserve"> o</w:t>
      </w:r>
      <w:r w:rsidRPr="00E663BF">
        <w:rPr>
          <w:rFonts w:cstheme="minorHAnsi"/>
          <w:sz w:val="24"/>
          <w:szCs w:val="24"/>
        </w:rPr>
        <w:t>rtogonální projekce do latentních struktur</w:t>
      </w:r>
    </w:p>
    <w:p w:rsidR="008F0C0F" w:rsidRPr="004E5649" w:rsidRDefault="008F0C0F" w:rsidP="00284F89">
      <w:pPr>
        <w:tabs>
          <w:tab w:val="left" w:pos="555"/>
          <w:tab w:val="left" w:pos="4253"/>
        </w:tabs>
        <w:spacing w:line="240" w:lineRule="auto"/>
        <w:ind w:left="4253" w:hanging="4253"/>
        <w:rPr>
          <w:rFonts w:cstheme="minorHAnsi"/>
          <w:sz w:val="24"/>
          <w:szCs w:val="24"/>
        </w:rPr>
      </w:pPr>
      <w:r w:rsidRPr="004E5649">
        <w:rPr>
          <w:rFonts w:cstheme="minorHAnsi"/>
          <w:sz w:val="24"/>
          <w:szCs w:val="24"/>
        </w:rPr>
        <w:t>PCA</w:t>
      </w:r>
      <w:r w:rsidRPr="004E5649">
        <w:rPr>
          <w:rFonts w:cstheme="minorHAnsi"/>
          <w:sz w:val="24"/>
          <w:szCs w:val="24"/>
        </w:rPr>
        <w:tab/>
      </w:r>
      <w:r w:rsidRPr="004E5649">
        <w:rPr>
          <w:rFonts w:cstheme="minorHAnsi"/>
          <w:sz w:val="24"/>
          <w:szCs w:val="24"/>
        </w:rPr>
        <w:tab/>
      </w:r>
      <w:r w:rsidRPr="004E5649">
        <w:rPr>
          <w:rFonts w:cstheme="minorHAnsi"/>
          <w:sz w:val="24"/>
          <w:szCs w:val="24"/>
        </w:rPr>
        <w:tab/>
      </w:r>
      <w:r w:rsidRPr="00C87449">
        <w:rPr>
          <w:rFonts w:cstheme="minorHAnsi"/>
          <w:sz w:val="24"/>
          <w:szCs w:val="24"/>
        </w:rPr>
        <w:t>Principal Component Analysis</w:t>
      </w:r>
      <w:r w:rsidRPr="0062347D">
        <w:rPr>
          <w:rFonts w:cstheme="minorHAnsi"/>
          <w:sz w:val="24"/>
          <w:szCs w:val="24"/>
        </w:rPr>
        <w:t>; a</w:t>
      </w:r>
      <w:r w:rsidRPr="00E663BF">
        <w:rPr>
          <w:rFonts w:cstheme="minorHAnsi"/>
          <w:sz w:val="24"/>
          <w:szCs w:val="24"/>
        </w:rPr>
        <w:t>nalýza hlavních komponent</w:t>
      </w:r>
    </w:p>
    <w:p w:rsidR="008F0C0F" w:rsidRPr="00E663BF" w:rsidRDefault="008F0C0F" w:rsidP="00284F89">
      <w:pPr>
        <w:tabs>
          <w:tab w:val="left" w:pos="555"/>
          <w:tab w:val="left" w:pos="4253"/>
        </w:tabs>
        <w:spacing w:line="240" w:lineRule="auto"/>
        <w:rPr>
          <w:rFonts w:cstheme="minorHAnsi"/>
          <w:sz w:val="24"/>
          <w:szCs w:val="24"/>
        </w:rPr>
      </w:pPr>
      <w:r w:rsidRPr="004E5649">
        <w:rPr>
          <w:rFonts w:cstheme="minorHAnsi"/>
          <w:sz w:val="24"/>
          <w:szCs w:val="24"/>
        </w:rPr>
        <w:t>PBS pufr</w:t>
      </w:r>
      <w:r w:rsidRPr="00B24D8C">
        <w:rPr>
          <w:rFonts w:cstheme="minorHAnsi"/>
          <w:sz w:val="24"/>
          <w:szCs w:val="24"/>
        </w:rPr>
        <w:tab/>
      </w:r>
      <w:r w:rsidRPr="00C87449">
        <w:rPr>
          <w:rFonts w:cstheme="minorHAnsi"/>
          <w:sz w:val="24"/>
          <w:szCs w:val="24"/>
        </w:rPr>
        <w:t>Phosphate buffered saline</w:t>
      </w:r>
      <w:r w:rsidRPr="0062347D">
        <w:rPr>
          <w:rFonts w:cstheme="minorHAnsi"/>
          <w:sz w:val="24"/>
          <w:szCs w:val="24"/>
        </w:rPr>
        <w:t xml:space="preserve">; fosfátový pufr </w:t>
      </w:r>
    </w:p>
    <w:p w:rsidR="008F0C0F" w:rsidRPr="004E5649" w:rsidRDefault="008F0C0F" w:rsidP="00284F89">
      <w:pPr>
        <w:tabs>
          <w:tab w:val="left" w:pos="555"/>
          <w:tab w:val="left" w:pos="4253"/>
        </w:tabs>
        <w:spacing w:line="240" w:lineRule="auto"/>
        <w:ind w:left="4253" w:hanging="4253"/>
        <w:rPr>
          <w:rFonts w:cstheme="minorHAnsi"/>
          <w:sz w:val="24"/>
          <w:szCs w:val="24"/>
        </w:rPr>
      </w:pPr>
      <w:r w:rsidRPr="004E5649">
        <w:rPr>
          <w:rFonts w:cstheme="minorHAnsi"/>
          <w:sz w:val="24"/>
          <w:szCs w:val="24"/>
        </w:rPr>
        <w:t>PCR</w:t>
      </w:r>
      <w:r w:rsidRPr="004E5649">
        <w:rPr>
          <w:rFonts w:cstheme="minorHAnsi"/>
          <w:sz w:val="24"/>
          <w:szCs w:val="24"/>
        </w:rPr>
        <w:tab/>
      </w:r>
      <w:r w:rsidRPr="004E5649">
        <w:rPr>
          <w:rFonts w:cstheme="minorHAnsi"/>
          <w:sz w:val="24"/>
          <w:szCs w:val="24"/>
        </w:rPr>
        <w:tab/>
      </w:r>
      <w:r w:rsidRPr="00C87449">
        <w:rPr>
          <w:rFonts w:cstheme="minorHAnsi"/>
          <w:sz w:val="24"/>
          <w:szCs w:val="24"/>
        </w:rPr>
        <w:tab/>
        <w:t>Polymerase chain reaction</w:t>
      </w:r>
      <w:r w:rsidRPr="0062347D">
        <w:rPr>
          <w:rFonts w:cstheme="minorHAnsi"/>
          <w:sz w:val="24"/>
          <w:szCs w:val="24"/>
        </w:rPr>
        <w:t>; pol</w:t>
      </w:r>
      <w:r w:rsidRPr="00E663BF">
        <w:rPr>
          <w:rFonts w:cstheme="minorHAnsi"/>
          <w:sz w:val="24"/>
          <w:szCs w:val="24"/>
        </w:rPr>
        <w:t>ymerázová řetězová reakce</w:t>
      </w:r>
    </w:p>
    <w:p w:rsidR="008F0C0F" w:rsidRPr="00E663BF" w:rsidRDefault="008F0C0F" w:rsidP="00284F89">
      <w:pPr>
        <w:tabs>
          <w:tab w:val="left" w:pos="555"/>
          <w:tab w:val="left" w:pos="4253"/>
        </w:tabs>
        <w:spacing w:line="240" w:lineRule="auto"/>
        <w:rPr>
          <w:rFonts w:cstheme="minorHAnsi"/>
          <w:sz w:val="24"/>
          <w:szCs w:val="24"/>
        </w:rPr>
      </w:pPr>
      <w:r w:rsidRPr="004E5649">
        <w:rPr>
          <w:rFonts w:cstheme="minorHAnsi"/>
          <w:sz w:val="24"/>
          <w:szCs w:val="24"/>
        </w:rPr>
        <w:t>PE</w:t>
      </w:r>
      <w:r w:rsidRPr="004E5649">
        <w:rPr>
          <w:rFonts w:cstheme="minorHAnsi"/>
          <w:sz w:val="24"/>
          <w:szCs w:val="24"/>
        </w:rPr>
        <w:tab/>
      </w:r>
      <w:r w:rsidRPr="004E5649">
        <w:rPr>
          <w:rFonts w:cstheme="minorHAnsi"/>
          <w:sz w:val="24"/>
          <w:szCs w:val="24"/>
        </w:rPr>
        <w:tab/>
      </w:r>
      <w:r w:rsidRPr="00C87449">
        <w:rPr>
          <w:rFonts w:cstheme="minorHAnsi"/>
          <w:sz w:val="24"/>
          <w:szCs w:val="24"/>
        </w:rPr>
        <w:t>Phycoerythrin</w:t>
      </w:r>
      <w:r w:rsidRPr="0062347D">
        <w:rPr>
          <w:rFonts w:cstheme="minorHAnsi"/>
          <w:sz w:val="24"/>
          <w:szCs w:val="24"/>
        </w:rPr>
        <w:t>; fykoerytrin</w:t>
      </w:r>
    </w:p>
    <w:p w:rsidR="008F0C0F" w:rsidRPr="00B24D8C" w:rsidRDefault="008F0C0F" w:rsidP="00284F89">
      <w:pPr>
        <w:tabs>
          <w:tab w:val="left" w:pos="555"/>
          <w:tab w:val="left" w:pos="4253"/>
        </w:tabs>
        <w:spacing w:line="240" w:lineRule="auto"/>
        <w:ind w:left="4253" w:hanging="4253"/>
        <w:rPr>
          <w:rFonts w:cstheme="minorHAnsi"/>
          <w:sz w:val="24"/>
          <w:szCs w:val="24"/>
        </w:rPr>
      </w:pPr>
      <w:r w:rsidRPr="004E5649">
        <w:rPr>
          <w:rFonts w:cstheme="minorHAnsi"/>
          <w:sz w:val="24"/>
          <w:szCs w:val="24"/>
        </w:rPr>
        <w:t>Q</w:t>
      </w:r>
      <w:r w:rsidRPr="004E5649">
        <w:rPr>
          <w:rFonts w:cstheme="minorHAnsi"/>
          <w:sz w:val="24"/>
          <w:szCs w:val="24"/>
          <w:vertAlign w:val="superscript"/>
        </w:rPr>
        <w:t>2</w:t>
      </w:r>
      <w:r w:rsidRPr="004E5649">
        <w:rPr>
          <w:rFonts w:cstheme="minorHAnsi"/>
          <w:sz w:val="24"/>
          <w:szCs w:val="24"/>
          <w:vertAlign w:val="superscript"/>
        </w:rPr>
        <w:tab/>
      </w:r>
      <w:r w:rsidRPr="004E5649">
        <w:rPr>
          <w:rFonts w:cstheme="minorHAnsi"/>
          <w:sz w:val="24"/>
          <w:szCs w:val="24"/>
          <w:vertAlign w:val="superscript"/>
        </w:rPr>
        <w:tab/>
      </w:r>
      <w:r w:rsidRPr="004E5649">
        <w:rPr>
          <w:rFonts w:cstheme="minorHAnsi"/>
          <w:sz w:val="24"/>
          <w:szCs w:val="24"/>
        </w:rPr>
        <w:t>prediktivní výkonnost modelu (u OPLS modelu)</w:t>
      </w:r>
    </w:p>
    <w:p w:rsidR="008F0C0F" w:rsidRPr="0062347D" w:rsidRDefault="008F0C0F" w:rsidP="00284F89">
      <w:pPr>
        <w:tabs>
          <w:tab w:val="left" w:pos="555"/>
          <w:tab w:val="left" w:pos="4253"/>
        </w:tabs>
        <w:spacing w:line="240" w:lineRule="auto"/>
        <w:ind w:left="4253" w:hanging="4253"/>
        <w:rPr>
          <w:rFonts w:cstheme="minorHAnsi"/>
          <w:sz w:val="24"/>
          <w:szCs w:val="24"/>
        </w:rPr>
      </w:pPr>
      <w:r w:rsidRPr="0062347D">
        <w:rPr>
          <w:rFonts w:cstheme="minorHAnsi"/>
          <w:sz w:val="24"/>
          <w:szCs w:val="24"/>
        </w:rPr>
        <w:t>R</w:t>
      </w:r>
      <w:r w:rsidRPr="0062347D">
        <w:rPr>
          <w:rFonts w:cstheme="minorHAnsi"/>
          <w:sz w:val="24"/>
          <w:szCs w:val="24"/>
          <w:vertAlign w:val="superscript"/>
        </w:rPr>
        <w:t>2</w:t>
      </w:r>
      <w:r w:rsidRPr="0062347D">
        <w:rPr>
          <w:rFonts w:cstheme="minorHAnsi"/>
          <w:sz w:val="24"/>
          <w:szCs w:val="24"/>
        </w:rPr>
        <w:tab/>
      </w:r>
      <w:r w:rsidRPr="0062347D">
        <w:rPr>
          <w:rFonts w:cstheme="minorHAnsi"/>
          <w:sz w:val="24"/>
          <w:szCs w:val="24"/>
        </w:rPr>
        <w:tab/>
        <w:t>kumulativní korelační koeficient (u OPLS modelu)</w:t>
      </w:r>
    </w:p>
    <w:p w:rsidR="008F0C0F" w:rsidRPr="004E5649" w:rsidRDefault="008F0C0F" w:rsidP="00284F89">
      <w:pPr>
        <w:tabs>
          <w:tab w:val="left" w:pos="555"/>
          <w:tab w:val="left" w:pos="4253"/>
        </w:tabs>
        <w:spacing w:line="240" w:lineRule="auto"/>
        <w:rPr>
          <w:rFonts w:cstheme="minorHAnsi"/>
          <w:sz w:val="24"/>
          <w:szCs w:val="24"/>
        </w:rPr>
      </w:pPr>
      <w:r w:rsidRPr="0062347D">
        <w:rPr>
          <w:rFonts w:cstheme="minorHAnsi"/>
          <w:sz w:val="24"/>
          <w:szCs w:val="24"/>
        </w:rPr>
        <w:t>RBP</w:t>
      </w:r>
      <w:r w:rsidRPr="0062347D">
        <w:rPr>
          <w:rFonts w:cstheme="minorHAnsi"/>
          <w:sz w:val="24"/>
          <w:szCs w:val="24"/>
        </w:rPr>
        <w:tab/>
      </w:r>
      <w:r w:rsidRPr="0062347D">
        <w:rPr>
          <w:rFonts w:cstheme="minorHAnsi"/>
          <w:sz w:val="24"/>
          <w:szCs w:val="24"/>
        </w:rPr>
        <w:tab/>
        <w:t>RNA-</w:t>
      </w:r>
      <w:r w:rsidRPr="00C87449">
        <w:rPr>
          <w:rFonts w:cstheme="minorHAnsi"/>
          <w:sz w:val="24"/>
          <w:szCs w:val="24"/>
        </w:rPr>
        <w:t>binding</w:t>
      </w:r>
      <w:r w:rsidRPr="0062347D">
        <w:rPr>
          <w:rFonts w:cstheme="minorHAnsi"/>
          <w:sz w:val="24"/>
          <w:szCs w:val="24"/>
        </w:rPr>
        <w:t xml:space="preserve"> protein; RNA-</w:t>
      </w:r>
      <w:r w:rsidRPr="00E663BF">
        <w:rPr>
          <w:rFonts w:cstheme="minorHAnsi"/>
          <w:sz w:val="24"/>
          <w:szCs w:val="24"/>
        </w:rPr>
        <w:t>vazebný p</w:t>
      </w:r>
      <w:r w:rsidRPr="004E5649">
        <w:rPr>
          <w:rFonts w:cstheme="minorHAnsi"/>
          <w:sz w:val="24"/>
          <w:szCs w:val="24"/>
        </w:rPr>
        <w:t>rotein</w:t>
      </w:r>
    </w:p>
    <w:p w:rsidR="008F0C0F" w:rsidRPr="00B24D8C" w:rsidRDefault="008F0C0F" w:rsidP="00284F89">
      <w:pPr>
        <w:tabs>
          <w:tab w:val="left" w:pos="555"/>
          <w:tab w:val="left" w:pos="4253"/>
        </w:tabs>
        <w:spacing w:line="240" w:lineRule="auto"/>
        <w:ind w:left="4253" w:hanging="4253"/>
        <w:rPr>
          <w:rFonts w:cstheme="minorHAnsi"/>
          <w:sz w:val="24"/>
          <w:szCs w:val="24"/>
        </w:rPr>
      </w:pPr>
      <w:r w:rsidRPr="004E5649">
        <w:rPr>
          <w:rFonts w:cstheme="minorHAnsi"/>
          <w:sz w:val="24"/>
          <w:szCs w:val="24"/>
        </w:rPr>
        <w:t>RISC</w:t>
      </w:r>
      <w:r w:rsidRPr="004E5649">
        <w:rPr>
          <w:rFonts w:cstheme="minorHAnsi"/>
          <w:sz w:val="24"/>
          <w:szCs w:val="24"/>
        </w:rPr>
        <w:tab/>
      </w:r>
      <w:r w:rsidRPr="004E5649">
        <w:rPr>
          <w:rFonts w:cstheme="minorHAnsi"/>
          <w:sz w:val="24"/>
          <w:szCs w:val="24"/>
        </w:rPr>
        <w:tab/>
      </w:r>
      <w:r w:rsidRPr="00C87449">
        <w:rPr>
          <w:rFonts w:cstheme="minorHAnsi"/>
          <w:sz w:val="24"/>
          <w:szCs w:val="24"/>
        </w:rPr>
        <w:t>RNA Induced Silencing Complex</w:t>
      </w:r>
      <w:r w:rsidRPr="0062347D">
        <w:rPr>
          <w:rFonts w:cstheme="minorHAnsi"/>
          <w:sz w:val="24"/>
          <w:szCs w:val="24"/>
        </w:rPr>
        <w:t xml:space="preserve">; </w:t>
      </w:r>
      <w:r w:rsidRPr="00E663BF">
        <w:rPr>
          <w:rFonts w:cstheme="minorHAnsi"/>
          <w:sz w:val="24"/>
          <w:szCs w:val="24"/>
        </w:rPr>
        <w:t xml:space="preserve">ribonukleoproteinový </w:t>
      </w:r>
      <w:r w:rsidRPr="004E5649">
        <w:rPr>
          <w:rFonts w:cstheme="minorHAnsi"/>
          <w:sz w:val="24"/>
          <w:szCs w:val="24"/>
        </w:rPr>
        <w:t>komplex s miRNA určený k</w:t>
      </w:r>
      <w:r>
        <w:rPr>
          <w:rFonts w:cstheme="minorHAnsi"/>
          <w:sz w:val="24"/>
          <w:szCs w:val="24"/>
        </w:rPr>
        <w:t> </w:t>
      </w:r>
      <w:r w:rsidRPr="004E5649">
        <w:rPr>
          <w:rFonts w:cstheme="minorHAnsi"/>
          <w:sz w:val="24"/>
          <w:szCs w:val="24"/>
        </w:rPr>
        <w:t>regulaci translace</w:t>
      </w:r>
    </w:p>
    <w:p w:rsidR="008F0C0F" w:rsidRPr="00E663BF" w:rsidRDefault="008F0C0F" w:rsidP="00284F89">
      <w:pPr>
        <w:tabs>
          <w:tab w:val="left" w:pos="555"/>
          <w:tab w:val="left" w:pos="4253"/>
        </w:tabs>
        <w:spacing w:line="240" w:lineRule="auto"/>
        <w:rPr>
          <w:rFonts w:cstheme="minorHAnsi"/>
          <w:sz w:val="24"/>
          <w:szCs w:val="24"/>
        </w:rPr>
      </w:pPr>
      <w:r w:rsidRPr="00B24D8C">
        <w:rPr>
          <w:rFonts w:cstheme="minorHAnsi"/>
          <w:sz w:val="24"/>
          <w:szCs w:val="24"/>
        </w:rPr>
        <w:t>RNA</w:t>
      </w:r>
      <w:r w:rsidRPr="00B24D8C">
        <w:rPr>
          <w:rFonts w:cstheme="minorHAnsi"/>
          <w:sz w:val="24"/>
          <w:szCs w:val="24"/>
        </w:rPr>
        <w:tab/>
      </w:r>
      <w:r w:rsidRPr="00B24D8C">
        <w:rPr>
          <w:rFonts w:cstheme="minorHAnsi"/>
          <w:sz w:val="24"/>
          <w:szCs w:val="24"/>
        </w:rPr>
        <w:tab/>
      </w:r>
      <w:r w:rsidRPr="00C87449">
        <w:rPr>
          <w:rFonts w:cstheme="minorHAnsi"/>
          <w:sz w:val="24"/>
          <w:szCs w:val="24"/>
        </w:rPr>
        <w:t>Ribonucleic</w:t>
      </w:r>
      <w:r w:rsidRPr="0062347D">
        <w:rPr>
          <w:rFonts w:cstheme="minorHAnsi"/>
          <w:sz w:val="24"/>
          <w:szCs w:val="24"/>
        </w:rPr>
        <w:t xml:space="preserve"> acid; ribonukleová kyselina</w:t>
      </w:r>
    </w:p>
    <w:p w:rsidR="008F0C0F" w:rsidRPr="00B24D8C" w:rsidRDefault="008F0C0F" w:rsidP="00284F89">
      <w:pPr>
        <w:tabs>
          <w:tab w:val="left" w:pos="555"/>
          <w:tab w:val="left" w:pos="4253"/>
        </w:tabs>
        <w:spacing w:line="240" w:lineRule="auto"/>
        <w:rPr>
          <w:rFonts w:cstheme="minorHAnsi"/>
          <w:sz w:val="24"/>
          <w:szCs w:val="24"/>
        </w:rPr>
      </w:pPr>
      <w:r w:rsidRPr="004E5649">
        <w:rPr>
          <w:rFonts w:cstheme="minorHAnsi"/>
          <w:sz w:val="24"/>
          <w:szCs w:val="24"/>
        </w:rPr>
        <w:t>RTG stádium</w:t>
      </w:r>
      <w:r w:rsidRPr="004E5649">
        <w:rPr>
          <w:rFonts w:cstheme="minorHAnsi"/>
          <w:sz w:val="24"/>
          <w:szCs w:val="24"/>
        </w:rPr>
        <w:tab/>
        <w:t>rentgenologické stádium</w:t>
      </w:r>
    </w:p>
    <w:p w:rsidR="008F0C0F" w:rsidRPr="0062347D" w:rsidRDefault="008F0C0F" w:rsidP="00284F89">
      <w:pPr>
        <w:tabs>
          <w:tab w:val="left" w:pos="555"/>
          <w:tab w:val="left" w:pos="4253"/>
        </w:tabs>
        <w:spacing w:line="240" w:lineRule="auto"/>
        <w:rPr>
          <w:rFonts w:cstheme="minorHAnsi"/>
          <w:sz w:val="24"/>
          <w:szCs w:val="24"/>
        </w:rPr>
      </w:pPr>
      <w:r w:rsidRPr="0062347D">
        <w:rPr>
          <w:rFonts w:cstheme="minorHAnsi"/>
          <w:sz w:val="24"/>
          <w:szCs w:val="24"/>
        </w:rPr>
        <w:t xml:space="preserve">S </w:t>
      </w:r>
      <w:r w:rsidRPr="0062347D">
        <w:rPr>
          <w:rFonts w:cstheme="minorHAnsi"/>
          <w:sz w:val="24"/>
          <w:szCs w:val="24"/>
        </w:rPr>
        <w:tab/>
      </w:r>
      <w:r w:rsidRPr="0062347D">
        <w:rPr>
          <w:rFonts w:cstheme="minorHAnsi"/>
          <w:sz w:val="24"/>
          <w:szCs w:val="24"/>
        </w:rPr>
        <w:tab/>
        <w:t>sarkoidóza</w:t>
      </w:r>
    </w:p>
    <w:p w:rsidR="008F0C0F" w:rsidRPr="004E5649" w:rsidRDefault="008F0C0F" w:rsidP="00284F89">
      <w:pPr>
        <w:tabs>
          <w:tab w:val="left" w:pos="555"/>
          <w:tab w:val="left" w:pos="4253"/>
        </w:tabs>
        <w:spacing w:line="240" w:lineRule="auto"/>
        <w:rPr>
          <w:rFonts w:cstheme="minorHAnsi"/>
          <w:sz w:val="24"/>
          <w:szCs w:val="24"/>
        </w:rPr>
      </w:pPr>
      <w:r w:rsidRPr="0062347D">
        <w:rPr>
          <w:rFonts w:cstheme="minorHAnsi"/>
          <w:sz w:val="24"/>
          <w:szCs w:val="24"/>
        </w:rPr>
        <w:t xml:space="preserve">SSC </w:t>
      </w:r>
      <w:r w:rsidRPr="00C87449">
        <w:rPr>
          <w:rFonts w:cstheme="minorHAnsi"/>
          <w:sz w:val="24"/>
          <w:szCs w:val="24"/>
        </w:rPr>
        <w:t>light</w:t>
      </w:r>
      <w:r w:rsidRPr="0062347D">
        <w:rPr>
          <w:rFonts w:cstheme="minorHAnsi"/>
          <w:sz w:val="24"/>
          <w:szCs w:val="24"/>
        </w:rPr>
        <w:tab/>
      </w:r>
      <w:r w:rsidRPr="00C87449">
        <w:rPr>
          <w:rFonts w:cstheme="minorHAnsi"/>
          <w:sz w:val="24"/>
          <w:szCs w:val="24"/>
        </w:rPr>
        <w:t>Side-scattered light</w:t>
      </w:r>
      <w:r w:rsidRPr="0062347D">
        <w:rPr>
          <w:rFonts w:cstheme="minorHAnsi"/>
          <w:sz w:val="24"/>
          <w:szCs w:val="24"/>
        </w:rPr>
        <w:t>; boční rozptýlené sv</w:t>
      </w:r>
      <w:r w:rsidRPr="00E663BF">
        <w:rPr>
          <w:rFonts w:cstheme="minorHAnsi"/>
          <w:sz w:val="24"/>
          <w:szCs w:val="24"/>
        </w:rPr>
        <w:t>ětlo</w:t>
      </w:r>
    </w:p>
    <w:p w:rsidR="008F0C0F" w:rsidRPr="00B24D8C" w:rsidRDefault="008F0C0F" w:rsidP="00284F89">
      <w:pPr>
        <w:tabs>
          <w:tab w:val="left" w:pos="555"/>
          <w:tab w:val="left" w:pos="4253"/>
        </w:tabs>
        <w:spacing w:line="240" w:lineRule="auto"/>
        <w:rPr>
          <w:rFonts w:cstheme="minorHAnsi"/>
          <w:sz w:val="24"/>
          <w:szCs w:val="24"/>
        </w:rPr>
      </w:pPr>
      <w:r w:rsidRPr="00B24D8C">
        <w:rPr>
          <w:rFonts w:cstheme="minorHAnsi"/>
          <w:sz w:val="24"/>
          <w:szCs w:val="24"/>
        </w:rPr>
        <w:t>TAE pufr</w:t>
      </w:r>
      <w:r w:rsidRPr="00B24D8C">
        <w:rPr>
          <w:rFonts w:cstheme="minorHAnsi"/>
          <w:sz w:val="24"/>
          <w:szCs w:val="24"/>
        </w:rPr>
        <w:tab/>
        <w:t>Tris-acetát-EDTA pufr</w:t>
      </w:r>
    </w:p>
    <w:p w:rsidR="008F0C0F" w:rsidRPr="0062347D" w:rsidRDefault="008F0C0F" w:rsidP="00284F89">
      <w:pPr>
        <w:tabs>
          <w:tab w:val="left" w:pos="555"/>
          <w:tab w:val="left" w:pos="4253"/>
        </w:tabs>
        <w:spacing w:line="240" w:lineRule="auto"/>
        <w:rPr>
          <w:rFonts w:cstheme="minorHAnsi"/>
          <w:sz w:val="24"/>
          <w:szCs w:val="24"/>
        </w:rPr>
      </w:pPr>
      <w:r w:rsidRPr="0062347D">
        <w:rPr>
          <w:rFonts w:cstheme="minorHAnsi"/>
          <w:sz w:val="24"/>
          <w:szCs w:val="24"/>
        </w:rPr>
        <w:t>TCR</w:t>
      </w:r>
      <w:r w:rsidRPr="0062347D">
        <w:rPr>
          <w:rFonts w:cstheme="minorHAnsi"/>
          <w:sz w:val="24"/>
          <w:szCs w:val="24"/>
        </w:rPr>
        <w:tab/>
      </w:r>
      <w:r w:rsidRPr="0062347D">
        <w:rPr>
          <w:rFonts w:cstheme="minorHAnsi"/>
          <w:sz w:val="24"/>
          <w:szCs w:val="24"/>
        </w:rPr>
        <w:tab/>
        <w:t>T-cell Receptor; T-buněčný receptor</w:t>
      </w:r>
    </w:p>
    <w:p w:rsidR="008F0C0F" w:rsidRPr="00E663BF" w:rsidRDefault="008F0C0F" w:rsidP="00284F89">
      <w:pPr>
        <w:tabs>
          <w:tab w:val="left" w:pos="555"/>
          <w:tab w:val="left" w:pos="4253"/>
        </w:tabs>
        <w:spacing w:line="240" w:lineRule="auto"/>
        <w:ind w:left="4253" w:hanging="4253"/>
        <w:rPr>
          <w:rFonts w:cstheme="minorHAnsi"/>
          <w:sz w:val="24"/>
          <w:szCs w:val="24"/>
        </w:rPr>
      </w:pPr>
      <w:r w:rsidRPr="0062347D">
        <w:rPr>
          <w:rFonts w:cstheme="minorHAnsi"/>
          <w:sz w:val="24"/>
          <w:szCs w:val="24"/>
        </w:rPr>
        <w:t>TGF-β</w:t>
      </w:r>
      <w:r w:rsidRPr="0062347D">
        <w:rPr>
          <w:rFonts w:cstheme="minorHAnsi"/>
          <w:sz w:val="24"/>
          <w:szCs w:val="24"/>
        </w:rPr>
        <w:tab/>
      </w:r>
      <w:r w:rsidRPr="00C87449">
        <w:rPr>
          <w:rFonts w:cstheme="minorHAnsi"/>
          <w:sz w:val="24"/>
          <w:szCs w:val="24"/>
        </w:rPr>
        <w:t>Transforming Growth factor-β</w:t>
      </w:r>
      <w:r w:rsidRPr="0062347D">
        <w:rPr>
          <w:rFonts w:cstheme="minorHAnsi"/>
          <w:sz w:val="24"/>
          <w:szCs w:val="24"/>
        </w:rPr>
        <w:t>; transformující růstový faktor-β</w:t>
      </w:r>
    </w:p>
    <w:p w:rsidR="008F0C0F" w:rsidRPr="00B24D8C" w:rsidRDefault="008F0C0F" w:rsidP="00284F89">
      <w:pPr>
        <w:tabs>
          <w:tab w:val="left" w:pos="555"/>
          <w:tab w:val="left" w:pos="4253"/>
        </w:tabs>
        <w:spacing w:line="240" w:lineRule="auto"/>
        <w:ind w:left="4253" w:hanging="4253"/>
        <w:rPr>
          <w:rFonts w:cstheme="minorHAnsi"/>
          <w:sz w:val="24"/>
          <w:szCs w:val="24"/>
        </w:rPr>
      </w:pPr>
      <w:r w:rsidRPr="004E5649">
        <w:rPr>
          <w:rFonts w:cstheme="minorHAnsi"/>
          <w:sz w:val="24"/>
          <w:szCs w:val="24"/>
        </w:rPr>
        <w:t>Th</w:t>
      </w:r>
      <w:r w:rsidR="00A527C2">
        <w:rPr>
          <w:rFonts w:cstheme="minorHAnsi"/>
          <w:sz w:val="24"/>
          <w:szCs w:val="24"/>
        </w:rPr>
        <w:t>1 response, Th2 response</w:t>
      </w:r>
      <w:r w:rsidR="00A527C2">
        <w:rPr>
          <w:rFonts w:cstheme="minorHAnsi"/>
          <w:sz w:val="24"/>
          <w:szCs w:val="24"/>
        </w:rPr>
        <w:tab/>
      </w:r>
      <w:r w:rsidRPr="004E5649">
        <w:rPr>
          <w:rFonts w:cstheme="minorHAnsi"/>
          <w:sz w:val="24"/>
          <w:szCs w:val="24"/>
        </w:rPr>
        <w:t xml:space="preserve">T </w:t>
      </w:r>
      <w:r w:rsidRPr="00C87449">
        <w:rPr>
          <w:rFonts w:cstheme="minorHAnsi"/>
          <w:sz w:val="24"/>
          <w:szCs w:val="24"/>
        </w:rPr>
        <w:t>helper</w:t>
      </w:r>
      <w:r w:rsidRPr="0062347D">
        <w:rPr>
          <w:rFonts w:cstheme="minorHAnsi"/>
          <w:sz w:val="24"/>
          <w:szCs w:val="24"/>
        </w:rPr>
        <w:t xml:space="preserve"> 1 response, T </w:t>
      </w:r>
      <w:r w:rsidRPr="00C87449">
        <w:rPr>
          <w:rFonts w:cstheme="minorHAnsi"/>
          <w:sz w:val="24"/>
          <w:szCs w:val="24"/>
        </w:rPr>
        <w:t>helper</w:t>
      </w:r>
      <w:r w:rsidRPr="0062347D">
        <w:rPr>
          <w:rFonts w:cstheme="minorHAnsi"/>
          <w:sz w:val="24"/>
          <w:szCs w:val="24"/>
        </w:rPr>
        <w:t xml:space="preserve"> </w:t>
      </w:r>
      <w:r w:rsidRPr="00E663BF">
        <w:rPr>
          <w:rFonts w:cstheme="minorHAnsi"/>
          <w:sz w:val="24"/>
          <w:szCs w:val="24"/>
        </w:rPr>
        <w:t xml:space="preserve">2 </w:t>
      </w:r>
      <w:r w:rsidRPr="004E5649">
        <w:rPr>
          <w:rFonts w:cstheme="minorHAnsi"/>
          <w:sz w:val="24"/>
          <w:szCs w:val="24"/>
        </w:rPr>
        <w:t>response; T pomocná imunitní odpověď</w:t>
      </w:r>
      <w:r w:rsidRPr="00B24D8C">
        <w:rPr>
          <w:rFonts w:cstheme="minorHAnsi"/>
          <w:sz w:val="24"/>
          <w:szCs w:val="24"/>
        </w:rPr>
        <w:t xml:space="preserve"> typu 1 nebo 2</w:t>
      </w:r>
    </w:p>
    <w:p w:rsidR="008F0C0F" w:rsidRPr="0062347D" w:rsidRDefault="008F0C0F" w:rsidP="00284F89">
      <w:pPr>
        <w:tabs>
          <w:tab w:val="left" w:pos="555"/>
          <w:tab w:val="left" w:pos="4253"/>
        </w:tabs>
        <w:spacing w:line="240" w:lineRule="auto"/>
        <w:ind w:left="4253" w:hanging="4253"/>
        <w:rPr>
          <w:rFonts w:cstheme="minorHAnsi"/>
          <w:sz w:val="24"/>
          <w:szCs w:val="24"/>
        </w:rPr>
      </w:pPr>
      <w:r w:rsidRPr="0062347D">
        <w:rPr>
          <w:rFonts w:cstheme="minorHAnsi"/>
          <w:sz w:val="24"/>
          <w:szCs w:val="24"/>
        </w:rPr>
        <w:t>TNF-α</w:t>
      </w:r>
      <w:r w:rsidRPr="0062347D">
        <w:rPr>
          <w:rFonts w:cstheme="minorHAnsi"/>
          <w:sz w:val="24"/>
          <w:szCs w:val="24"/>
        </w:rPr>
        <w:tab/>
        <w:t>tumor nekrotizující faktor-alfa</w:t>
      </w:r>
    </w:p>
    <w:p w:rsidR="008F0C0F" w:rsidRPr="00E663BF" w:rsidRDefault="008F0C0F" w:rsidP="00284F89">
      <w:pPr>
        <w:tabs>
          <w:tab w:val="left" w:pos="555"/>
          <w:tab w:val="left" w:pos="4253"/>
        </w:tabs>
        <w:spacing w:line="240" w:lineRule="auto"/>
        <w:ind w:left="4253" w:hanging="4253"/>
        <w:rPr>
          <w:rFonts w:cstheme="minorHAnsi"/>
          <w:sz w:val="24"/>
          <w:szCs w:val="24"/>
        </w:rPr>
      </w:pPr>
      <w:r w:rsidRPr="0062347D">
        <w:rPr>
          <w:rFonts w:cstheme="minorHAnsi"/>
          <w:sz w:val="24"/>
          <w:szCs w:val="24"/>
        </w:rPr>
        <w:t>VC</w:t>
      </w:r>
      <w:r w:rsidRPr="0062347D">
        <w:rPr>
          <w:rFonts w:cstheme="minorHAnsi"/>
          <w:sz w:val="24"/>
          <w:szCs w:val="24"/>
        </w:rPr>
        <w:tab/>
      </w:r>
      <w:r w:rsidRPr="0062347D">
        <w:rPr>
          <w:rFonts w:cstheme="minorHAnsi"/>
          <w:sz w:val="24"/>
          <w:szCs w:val="24"/>
        </w:rPr>
        <w:tab/>
      </w:r>
      <w:r w:rsidRPr="00C87449">
        <w:rPr>
          <w:rFonts w:cstheme="minorHAnsi"/>
          <w:sz w:val="24"/>
          <w:szCs w:val="24"/>
        </w:rPr>
        <w:t>Vital Capacity</w:t>
      </w:r>
      <w:r w:rsidRPr="0062347D">
        <w:rPr>
          <w:rFonts w:cstheme="minorHAnsi"/>
          <w:sz w:val="24"/>
          <w:szCs w:val="24"/>
        </w:rPr>
        <w:t>; vitální kapacita</w:t>
      </w:r>
    </w:p>
    <w:p w:rsidR="008F0C0F" w:rsidRPr="00E663BF" w:rsidRDefault="00A527C2" w:rsidP="00284F89">
      <w:pPr>
        <w:tabs>
          <w:tab w:val="left" w:pos="4253"/>
        </w:tabs>
        <w:spacing w:line="240" w:lineRule="auto"/>
        <w:ind w:left="4253" w:hanging="4253"/>
        <w:rPr>
          <w:rFonts w:cstheme="minorHAnsi"/>
          <w:sz w:val="24"/>
          <w:szCs w:val="24"/>
        </w:rPr>
      </w:pPr>
      <w:r>
        <w:rPr>
          <w:rFonts w:cstheme="minorHAnsi"/>
          <w:sz w:val="24"/>
          <w:szCs w:val="24"/>
        </w:rPr>
        <w:t>VEGF</w:t>
      </w:r>
      <w:r>
        <w:rPr>
          <w:rFonts w:cstheme="minorHAnsi"/>
          <w:sz w:val="24"/>
          <w:szCs w:val="24"/>
        </w:rPr>
        <w:tab/>
      </w:r>
      <w:r w:rsidR="008F0C0F" w:rsidRPr="00C87449">
        <w:rPr>
          <w:rFonts w:cstheme="minorHAnsi"/>
          <w:sz w:val="24"/>
          <w:szCs w:val="24"/>
        </w:rPr>
        <w:t>Vascular Endothelial Growth Factor</w:t>
      </w:r>
      <w:r w:rsidR="008F0C0F" w:rsidRPr="0062347D">
        <w:rPr>
          <w:rFonts w:cstheme="minorHAnsi"/>
          <w:sz w:val="24"/>
          <w:szCs w:val="24"/>
        </w:rPr>
        <w:t>; vaskulární endoteliální růstový faktor</w:t>
      </w:r>
    </w:p>
    <w:p w:rsidR="008F0C0F" w:rsidRPr="004E5649" w:rsidRDefault="008F0C0F" w:rsidP="00284F89">
      <w:pPr>
        <w:tabs>
          <w:tab w:val="left" w:pos="555"/>
          <w:tab w:val="left" w:pos="4253"/>
        </w:tabs>
        <w:rPr>
          <w:rFonts w:cstheme="minorHAnsi"/>
          <w:sz w:val="24"/>
          <w:szCs w:val="24"/>
        </w:rPr>
      </w:pPr>
    </w:p>
    <w:p w:rsidR="008F0C0F" w:rsidRPr="0062347D" w:rsidRDefault="008F0C0F" w:rsidP="00284F89">
      <w:pPr>
        <w:tabs>
          <w:tab w:val="left" w:pos="555"/>
          <w:tab w:val="left" w:pos="4253"/>
        </w:tabs>
        <w:rPr>
          <w:rFonts w:cstheme="minorHAnsi"/>
          <w:sz w:val="24"/>
          <w:szCs w:val="24"/>
        </w:rPr>
        <w:sectPr w:rsidR="008F0C0F" w:rsidRPr="0062347D" w:rsidSect="007305DC">
          <w:pgSz w:w="11906" w:h="16838"/>
          <w:pgMar w:top="992" w:right="1418" w:bottom="1418" w:left="1418" w:header="709" w:footer="709" w:gutter="0"/>
          <w:cols w:space="708"/>
          <w:docGrid w:linePitch="360"/>
        </w:sectPr>
      </w:pPr>
    </w:p>
    <w:p w:rsidR="008F0C0F" w:rsidRPr="00B24D8C" w:rsidRDefault="008F0C0F" w:rsidP="00710C05">
      <w:pPr>
        <w:pStyle w:val="Nadpis1"/>
        <w:spacing w:before="0"/>
      </w:pPr>
      <w:bookmarkStart w:id="67" w:name="_Toc69543055"/>
      <w:r w:rsidRPr="004E5649">
        <w:lastRenderedPageBreak/>
        <w:t>Příl</w:t>
      </w:r>
      <w:r w:rsidRPr="00B24D8C">
        <w:t>ohy</w:t>
      </w:r>
      <w:bookmarkEnd w:id="67"/>
    </w:p>
    <w:p w:rsidR="008F0C0F" w:rsidRPr="0062347D" w:rsidRDefault="008F0C0F" w:rsidP="00284F89">
      <w:pPr>
        <w:pStyle w:val="Nadpis2"/>
        <w:spacing w:after="240"/>
        <w:rPr>
          <w:rFonts w:cstheme="minorHAnsi"/>
          <w:szCs w:val="24"/>
        </w:rPr>
      </w:pPr>
      <w:bookmarkStart w:id="68" w:name="_Toc69543056"/>
      <w:r w:rsidRPr="00B24D8C">
        <w:rPr>
          <w:rFonts w:cstheme="minorHAnsi"/>
          <w:szCs w:val="24"/>
        </w:rPr>
        <w:t>Příloha: Výsledky sub</w:t>
      </w:r>
      <w:r w:rsidRPr="0062347D">
        <w:rPr>
          <w:rFonts w:cstheme="minorHAnsi"/>
          <w:szCs w:val="24"/>
        </w:rPr>
        <w:t>analýzy porovnání BAL buněčného profilu u pacientů kuřáků a nekuřáků v různých stádiích sarkoidózy s intersticiálními plicními nemocemi</w:t>
      </w:r>
      <w:bookmarkEnd w:id="68"/>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Zařadili jsme analýzu srovnávající BAL buněčný profil u kuřáků (pacienti, kteří v době studie kouřili a ti</w:t>
      </w:r>
      <w:r>
        <w:rPr>
          <w:rFonts w:cstheme="minorHAnsi"/>
          <w:sz w:val="24"/>
          <w:szCs w:val="24"/>
        </w:rPr>
        <w:t>,</w:t>
      </w:r>
      <w:r w:rsidR="00523779">
        <w:rPr>
          <w:rFonts w:cstheme="minorHAnsi"/>
          <w:sz w:val="24"/>
          <w:szCs w:val="24"/>
        </w:rPr>
        <w:t xml:space="preserve"> co přestali kouřit (ex-kuřáky))</w:t>
      </w:r>
      <w:r w:rsidRPr="0062347D">
        <w:rPr>
          <w:rFonts w:cstheme="minorHAnsi"/>
          <w:sz w:val="24"/>
          <w:szCs w:val="24"/>
        </w:rPr>
        <w:t xml:space="preserve"> a nekuřáků. Avšak pro tuto analýzu je limitující nízký počet pacientů ve skupině kuřáků. Po FDR korekci většina těchto výsledků nedosáhla statistické významnosti.</w:t>
      </w:r>
    </w:p>
    <w:p w:rsidR="008F0C0F" w:rsidRPr="0062347D" w:rsidRDefault="008F0C0F" w:rsidP="00284F89">
      <w:pPr>
        <w:spacing w:line="360" w:lineRule="auto"/>
        <w:ind w:firstLine="709"/>
        <w:jc w:val="both"/>
        <w:rPr>
          <w:rFonts w:cstheme="minorHAnsi"/>
          <w:sz w:val="24"/>
          <w:szCs w:val="24"/>
        </w:rPr>
      </w:pPr>
      <w:r w:rsidRPr="0062347D">
        <w:rPr>
          <w:rFonts w:cstheme="minorHAnsi"/>
          <w:sz w:val="24"/>
          <w:szCs w:val="24"/>
        </w:rPr>
        <w:t>U některých skupin kouřících pacientů s intersticiálními plicními nemocemi byl nalezen nárůst celkového počtu BAL buněk (x</w:t>
      </w:r>
      <w:r>
        <w:rPr>
          <w:rFonts w:cstheme="minorHAnsi"/>
          <w:sz w:val="24"/>
          <w:szCs w:val="24"/>
        </w:rPr>
        <w:t> </w:t>
      </w:r>
      <w:r w:rsidRPr="0062347D">
        <w:rPr>
          <w:rFonts w:cstheme="minorHAnsi"/>
          <w:sz w:val="24"/>
          <w:szCs w:val="24"/>
        </w:rPr>
        <w:t>10</w:t>
      </w:r>
      <w:r w:rsidRPr="0062347D">
        <w:rPr>
          <w:rFonts w:cstheme="minorHAnsi"/>
          <w:sz w:val="24"/>
          <w:szCs w:val="24"/>
          <w:vertAlign w:val="superscript"/>
        </w:rPr>
        <w:t>5</w:t>
      </w:r>
      <w:r w:rsidRPr="0062347D">
        <w:rPr>
          <w:rFonts w:cstheme="minorHAnsi"/>
          <w:sz w:val="24"/>
          <w:szCs w:val="24"/>
        </w:rPr>
        <w:t>), relativních a absolutních počtů makrofágů v porovnání k nekuřákům. Relativní a absolutní počty lymfocytů byly sníženy u</w:t>
      </w:r>
      <w:r>
        <w:rPr>
          <w:rFonts w:cstheme="minorHAnsi"/>
          <w:sz w:val="24"/>
          <w:szCs w:val="24"/>
        </w:rPr>
        <w:t> </w:t>
      </w:r>
      <w:r w:rsidRPr="0062347D">
        <w:rPr>
          <w:rFonts w:cstheme="minorHAnsi"/>
          <w:sz w:val="24"/>
          <w:szCs w:val="24"/>
        </w:rPr>
        <w:t>kuřáků v porovnání s nekuřáky. Analýza mezi kuřáky a nekuřáky neukázala rozdíly u CD3</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 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w:t>
      </w:r>
      <w:r w:rsidRPr="0062347D">
        <w:rPr>
          <w:rFonts w:cstheme="minorHAnsi"/>
          <w:sz w:val="24"/>
          <w:szCs w:val="24"/>
        </w:rPr>
        <w:t xml:space="preserve"> T-lymfocyty a u poměru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w:t>
      </w:r>
      <w:r w:rsidRPr="0062347D">
        <w:rPr>
          <w:rFonts w:cstheme="minorHAnsi"/>
          <w:sz w:val="24"/>
          <w:szCs w:val="24"/>
        </w:rPr>
        <w:t>/CD3</w:t>
      </w:r>
      <w:r w:rsidRPr="0062347D">
        <w:rPr>
          <w:rFonts w:cstheme="minorHAnsi"/>
          <w:sz w:val="24"/>
          <w:szCs w:val="24"/>
          <w:vertAlign w:val="superscript"/>
        </w:rPr>
        <w:t>+</w:t>
      </w:r>
      <w:r w:rsidRPr="0062347D">
        <w:rPr>
          <w:rFonts w:cstheme="minorHAnsi"/>
          <w:sz w:val="24"/>
          <w:szCs w:val="24"/>
        </w:rPr>
        <w:t>CD8</w:t>
      </w:r>
      <w:r w:rsidRPr="0062347D">
        <w:rPr>
          <w:rFonts w:cstheme="minorHAnsi"/>
          <w:sz w:val="24"/>
          <w:szCs w:val="24"/>
          <w:vertAlign w:val="superscript"/>
        </w:rPr>
        <w:t xml:space="preserve">+ </w:t>
      </w:r>
      <w:r w:rsidRPr="0062347D">
        <w:rPr>
          <w:rFonts w:cstheme="minorHAnsi"/>
          <w:b/>
          <w:sz w:val="24"/>
          <w:szCs w:val="24"/>
        </w:rPr>
        <w:t>(H.1. Příloha Tabulka 1)</w:t>
      </w:r>
      <w:r w:rsidRPr="0062347D">
        <w:rPr>
          <w:rFonts w:cstheme="minorHAnsi"/>
          <w:sz w:val="24"/>
          <w:szCs w:val="24"/>
        </w:rPr>
        <w:t>.</w:t>
      </w:r>
    </w:p>
    <w:p w:rsidR="008F0C0F" w:rsidRPr="0062347D" w:rsidRDefault="008F0C0F" w:rsidP="00284F89">
      <w:pPr>
        <w:spacing w:after="0" w:line="360" w:lineRule="auto"/>
        <w:ind w:firstLine="709"/>
        <w:jc w:val="both"/>
        <w:rPr>
          <w:rFonts w:cstheme="minorHAnsi"/>
          <w:sz w:val="24"/>
          <w:szCs w:val="24"/>
        </w:rPr>
      </w:pPr>
      <w:r w:rsidRPr="0062347D">
        <w:rPr>
          <w:rFonts w:cstheme="minorHAnsi"/>
          <w:sz w:val="24"/>
          <w:szCs w:val="24"/>
        </w:rPr>
        <w:t>Analýza diferenciálních buněčných počtů nalezla méně rozdílů mezi ex-kuřáky a</w:t>
      </w:r>
      <w:r>
        <w:rPr>
          <w:rFonts w:cstheme="minorHAnsi"/>
          <w:sz w:val="24"/>
          <w:szCs w:val="24"/>
        </w:rPr>
        <w:t> </w:t>
      </w:r>
      <w:r w:rsidRPr="0062347D">
        <w:rPr>
          <w:rFonts w:cstheme="minorHAnsi"/>
          <w:sz w:val="24"/>
          <w:szCs w:val="24"/>
        </w:rPr>
        <w:t>nekuřáky. Nicméně relativní počty CD3</w:t>
      </w:r>
      <w:r w:rsidRPr="0062347D">
        <w:rPr>
          <w:rFonts w:cstheme="minorHAnsi"/>
          <w:sz w:val="24"/>
          <w:szCs w:val="24"/>
          <w:vertAlign w:val="superscript"/>
        </w:rPr>
        <w:t>+</w:t>
      </w:r>
      <w:r w:rsidRPr="0062347D">
        <w:rPr>
          <w:rFonts w:cstheme="minorHAnsi"/>
          <w:sz w:val="24"/>
          <w:szCs w:val="24"/>
        </w:rPr>
        <w:t>CD4</w:t>
      </w:r>
      <w:r w:rsidRPr="0062347D">
        <w:rPr>
          <w:rFonts w:cstheme="minorHAnsi"/>
          <w:sz w:val="24"/>
          <w:szCs w:val="24"/>
          <w:vertAlign w:val="superscript"/>
        </w:rPr>
        <w:t xml:space="preserve">+ </w:t>
      </w:r>
      <w:r w:rsidRPr="0062347D">
        <w:rPr>
          <w:rFonts w:cstheme="minorHAnsi"/>
          <w:sz w:val="24"/>
          <w:szCs w:val="24"/>
        </w:rPr>
        <w:t>buněk byly sníženy u kuřáků a ex-kuřáků v porovnání s</w:t>
      </w:r>
      <w:r>
        <w:rPr>
          <w:rFonts w:cstheme="minorHAnsi"/>
          <w:sz w:val="24"/>
          <w:szCs w:val="24"/>
        </w:rPr>
        <w:t> </w:t>
      </w:r>
      <w:r w:rsidRPr="0062347D">
        <w:rPr>
          <w:rFonts w:cstheme="minorHAnsi"/>
          <w:sz w:val="24"/>
          <w:szCs w:val="24"/>
        </w:rPr>
        <w:t>nekuřáky</w:t>
      </w:r>
      <w:r>
        <w:rPr>
          <w:rFonts w:cstheme="minorHAnsi"/>
          <w:sz w:val="24"/>
          <w:szCs w:val="24"/>
        </w:rPr>
        <w:t>,</w:t>
      </w:r>
      <w:r w:rsidRPr="0062347D">
        <w:rPr>
          <w:rFonts w:cstheme="minorHAnsi"/>
          <w:sz w:val="24"/>
          <w:szCs w:val="24"/>
        </w:rPr>
        <w:t xml:space="preserve"> a to u skupiny pacientů bez Löfgrenova syndromu s RTG stádiem ≤</w:t>
      </w:r>
      <w:r>
        <w:rPr>
          <w:rFonts w:cstheme="minorHAnsi"/>
          <w:sz w:val="24"/>
          <w:szCs w:val="24"/>
        </w:rPr>
        <w:t> </w:t>
      </w:r>
      <w:r w:rsidRPr="0062347D">
        <w:rPr>
          <w:rFonts w:cstheme="minorHAnsi"/>
          <w:sz w:val="24"/>
          <w:szCs w:val="24"/>
        </w:rPr>
        <w:t>1 a</w:t>
      </w:r>
      <w:r>
        <w:rPr>
          <w:rFonts w:cstheme="minorHAnsi"/>
          <w:sz w:val="24"/>
          <w:szCs w:val="24"/>
        </w:rPr>
        <w:t> </w:t>
      </w:r>
      <w:r w:rsidRPr="0062347D">
        <w:rPr>
          <w:rFonts w:cstheme="minorHAnsi"/>
          <w:sz w:val="24"/>
          <w:szCs w:val="24"/>
        </w:rPr>
        <w:t xml:space="preserve">u OIIP skupiny </w:t>
      </w:r>
      <w:r w:rsidRPr="0062347D">
        <w:rPr>
          <w:rFonts w:cstheme="minorHAnsi"/>
          <w:b/>
          <w:sz w:val="24"/>
          <w:szCs w:val="24"/>
        </w:rPr>
        <w:t>(H.1. Příloha Tabulka 2).</w:t>
      </w:r>
    </w:p>
    <w:p w:rsidR="008F0C0F" w:rsidRPr="0062347D" w:rsidRDefault="008F0C0F" w:rsidP="00284F89">
      <w:pPr>
        <w:rPr>
          <w:rFonts w:cstheme="minorHAnsi"/>
          <w:sz w:val="24"/>
          <w:szCs w:val="24"/>
        </w:rPr>
      </w:pPr>
    </w:p>
    <w:p w:rsidR="008F0C0F" w:rsidRPr="0062347D" w:rsidRDefault="008F0C0F" w:rsidP="00284F89">
      <w:pPr>
        <w:rPr>
          <w:rFonts w:cstheme="minorHAnsi"/>
          <w:sz w:val="24"/>
          <w:szCs w:val="24"/>
        </w:rPr>
        <w:sectPr w:rsidR="008F0C0F" w:rsidRPr="0062347D" w:rsidSect="00710C05">
          <w:pgSz w:w="11906" w:h="16838"/>
          <w:pgMar w:top="992" w:right="1418" w:bottom="1418" w:left="1418" w:header="709" w:footer="709" w:gutter="0"/>
          <w:cols w:space="708"/>
          <w:docGrid w:linePitch="360"/>
        </w:sectPr>
      </w:pPr>
    </w:p>
    <w:p w:rsidR="008F0C0F" w:rsidRPr="0062347D" w:rsidRDefault="008F0C0F" w:rsidP="00284F89">
      <w:pPr>
        <w:spacing w:before="170" w:after="45"/>
        <w:ind w:left="220"/>
        <w:rPr>
          <w:rFonts w:cstheme="minorHAnsi"/>
          <w:sz w:val="20"/>
          <w:szCs w:val="20"/>
        </w:rPr>
      </w:pPr>
      <w:r w:rsidRPr="0062347D">
        <w:rPr>
          <w:rFonts w:cstheme="minorHAnsi"/>
          <w:b/>
          <w:color w:val="231F20"/>
          <w:sz w:val="20"/>
          <w:szCs w:val="20"/>
        </w:rPr>
        <w:lastRenderedPageBreak/>
        <w:t>H</w:t>
      </w:r>
      <w:r w:rsidRPr="00E663BF">
        <w:rPr>
          <w:rFonts w:cstheme="minorHAnsi"/>
          <w:b/>
          <w:color w:val="231F20"/>
          <w:sz w:val="20"/>
          <w:szCs w:val="20"/>
        </w:rPr>
        <w:t xml:space="preserve">.1. </w:t>
      </w:r>
      <w:r w:rsidRPr="004E5649">
        <w:rPr>
          <w:rFonts w:cstheme="minorHAnsi"/>
          <w:b/>
          <w:color w:val="231F20"/>
          <w:sz w:val="20"/>
          <w:szCs w:val="20"/>
        </w:rPr>
        <w:t xml:space="preserve">Příloha Tabulka 1a: </w:t>
      </w:r>
      <w:r w:rsidRPr="00B24D8C">
        <w:rPr>
          <w:rFonts w:cstheme="minorHAnsi"/>
          <w:color w:val="231F20"/>
          <w:sz w:val="20"/>
          <w:szCs w:val="20"/>
        </w:rPr>
        <w:t>Mann-Whitney test porovnávající BAL buněčný profil kuřáků a nekuřáků v jednotlivých skupinách intersticiálních plicních nemocí (IPN).</w:t>
      </w:r>
    </w:p>
    <w:tbl>
      <w:tblPr>
        <w:tblStyle w:val="TableNormal"/>
        <w:tblW w:w="14544" w:type="dxa"/>
        <w:tblInd w:w="114" w:type="dxa"/>
        <w:tblLayout w:type="fixed"/>
        <w:tblLook w:val="01E0" w:firstRow="1" w:lastRow="1" w:firstColumn="1" w:lastColumn="1" w:noHBand="0" w:noVBand="0"/>
      </w:tblPr>
      <w:tblGrid>
        <w:gridCol w:w="1162"/>
        <w:gridCol w:w="1134"/>
        <w:gridCol w:w="1134"/>
        <w:gridCol w:w="1298"/>
        <w:gridCol w:w="1263"/>
        <w:gridCol w:w="1274"/>
        <w:gridCol w:w="1255"/>
        <w:gridCol w:w="1215"/>
        <w:gridCol w:w="1229"/>
        <w:gridCol w:w="1238"/>
        <w:gridCol w:w="1187"/>
        <w:gridCol w:w="1155"/>
      </w:tblGrid>
      <w:tr w:rsidR="008F0C0F" w:rsidRPr="0062347D" w:rsidTr="0075421C">
        <w:trPr>
          <w:trHeight w:val="760"/>
        </w:trPr>
        <w:tc>
          <w:tcPr>
            <w:tcW w:w="1162"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11" w:after="200" w:line="276" w:lineRule="auto"/>
              <w:rPr>
                <w:rFonts w:eastAsia="Arial" w:cstheme="minorHAnsi"/>
                <w:sz w:val="20"/>
                <w:szCs w:val="20"/>
                <w:lang w:val="cs-CZ"/>
              </w:rPr>
            </w:pPr>
          </w:p>
          <w:p w:rsidR="008F0C0F" w:rsidRPr="0062347D" w:rsidRDefault="008F0C0F" w:rsidP="00284F89">
            <w:pPr>
              <w:widowControl/>
              <w:autoSpaceDE/>
              <w:autoSpaceDN/>
              <w:spacing w:after="200" w:line="276" w:lineRule="auto"/>
              <w:ind w:left="113"/>
              <w:rPr>
                <w:rFonts w:eastAsia="Arial" w:cstheme="minorHAnsi"/>
                <w:sz w:val="20"/>
                <w:szCs w:val="20"/>
                <w:lang w:val="cs-CZ"/>
              </w:rPr>
            </w:pPr>
            <w:r w:rsidRPr="0062347D">
              <w:rPr>
                <w:rFonts w:eastAsia="Arial" w:cstheme="minorHAnsi"/>
                <w:color w:val="231F20"/>
                <w:sz w:val="20"/>
                <w:szCs w:val="20"/>
              </w:rPr>
              <w:t>IPN</w:t>
            </w:r>
          </w:p>
        </w:tc>
        <w:tc>
          <w:tcPr>
            <w:tcW w:w="1134" w:type="dxa"/>
            <w:tcBorders>
              <w:top w:val="single" w:sz="4" w:space="0" w:color="231F20"/>
              <w:left w:val="nil"/>
              <w:bottom w:val="single" w:sz="4" w:space="0" w:color="231F20"/>
              <w:right w:val="nil"/>
            </w:tcBorders>
            <w:hideMark/>
          </w:tcPr>
          <w:p w:rsidR="008F0C0F" w:rsidRPr="0062347D" w:rsidRDefault="008F0C0F" w:rsidP="00284F89">
            <w:pPr>
              <w:widowControl/>
              <w:autoSpaceDE/>
              <w:autoSpaceDN/>
              <w:spacing w:before="67" w:after="200" w:line="288" w:lineRule="auto"/>
              <w:ind w:left="153" w:right="184"/>
              <w:jc w:val="center"/>
              <w:rPr>
                <w:rFonts w:eastAsia="Arial" w:cstheme="minorHAnsi"/>
                <w:sz w:val="20"/>
                <w:szCs w:val="20"/>
                <w:lang w:val="cs-CZ"/>
              </w:rPr>
            </w:pPr>
            <w:r w:rsidRPr="0062347D">
              <w:rPr>
                <w:rFonts w:eastAsia="Arial" w:cstheme="minorHAnsi"/>
                <w:color w:val="231F20"/>
                <w:sz w:val="20"/>
                <w:szCs w:val="20"/>
              </w:rPr>
              <w:t xml:space="preserve">Počet kuřáků </w:t>
            </w:r>
            <w:r w:rsidRPr="0062347D">
              <w:rPr>
                <w:rFonts w:eastAsia="Arial" w:cstheme="minorHAnsi"/>
                <w:i/>
                <w:color w:val="231F20"/>
                <w:sz w:val="20"/>
                <w:szCs w:val="20"/>
              </w:rPr>
              <w:t xml:space="preserve">vs. </w:t>
            </w:r>
            <w:r w:rsidRPr="0062347D">
              <w:rPr>
                <w:rFonts w:eastAsia="Arial" w:cstheme="minorHAnsi"/>
                <w:color w:val="231F20"/>
                <w:sz w:val="20"/>
                <w:szCs w:val="20"/>
              </w:rPr>
              <w:t>nekuřáci</w:t>
            </w:r>
          </w:p>
        </w:tc>
        <w:tc>
          <w:tcPr>
            <w:tcW w:w="1134" w:type="dxa"/>
            <w:tcBorders>
              <w:top w:val="single" w:sz="4" w:space="0" w:color="231F20"/>
              <w:left w:val="nil"/>
              <w:bottom w:val="single" w:sz="4" w:space="0" w:color="231F20"/>
              <w:right w:val="nil"/>
            </w:tcBorders>
            <w:vAlign w:val="center"/>
          </w:tcPr>
          <w:p w:rsidR="008F0C0F" w:rsidRPr="0062347D" w:rsidRDefault="008F0C0F" w:rsidP="0075421C">
            <w:pPr>
              <w:widowControl/>
              <w:autoSpaceDE/>
              <w:autoSpaceDN/>
              <w:spacing w:after="200" w:line="288" w:lineRule="auto"/>
              <w:ind w:left="187" w:right="116"/>
              <w:jc w:val="center"/>
              <w:rPr>
                <w:rFonts w:eastAsia="Arial" w:cstheme="minorHAnsi"/>
                <w:sz w:val="20"/>
                <w:szCs w:val="20"/>
                <w:lang w:val="cs-CZ"/>
              </w:rPr>
            </w:pPr>
            <w:r w:rsidRPr="0062347D">
              <w:rPr>
                <w:rFonts w:eastAsia="Arial" w:cstheme="minorHAnsi"/>
                <w:color w:val="231F20"/>
                <w:sz w:val="20"/>
                <w:szCs w:val="20"/>
              </w:rPr>
              <w:t>Návratnost laváže (%)</w:t>
            </w:r>
          </w:p>
        </w:tc>
        <w:tc>
          <w:tcPr>
            <w:tcW w:w="1298"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177" w:after="200" w:line="288" w:lineRule="auto"/>
              <w:ind w:left="138"/>
              <w:jc w:val="center"/>
              <w:rPr>
                <w:rFonts w:eastAsia="Arial" w:cstheme="minorHAnsi"/>
                <w:sz w:val="20"/>
                <w:szCs w:val="20"/>
                <w:lang w:val="cs-CZ"/>
              </w:rPr>
            </w:pPr>
            <w:r w:rsidRPr="0062347D">
              <w:rPr>
                <w:rFonts w:eastAsia="Arial" w:cstheme="minorHAnsi"/>
                <w:color w:val="231F20"/>
                <w:sz w:val="20"/>
                <w:szCs w:val="20"/>
              </w:rPr>
              <w:t>Celkový počet buněk (</w:t>
            </w:r>
            <w:r w:rsidRPr="0062347D">
              <w:rPr>
                <w:rFonts w:eastAsia="Arial" w:cstheme="minorHAnsi"/>
                <w:sz w:val="20"/>
                <w:szCs w:val="20"/>
              </w:rPr>
              <w:t>×</w:t>
            </w:r>
            <w:r w:rsidRPr="0062347D">
              <w:rPr>
                <w:rFonts w:eastAsia="Arial" w:cstheme="minorHAnsi"/>
                <w:color w:val="231F20"/>
                <w:sz w:val="20"/>
                <w:szCs w:val="20"/>
              </w:rPr>
              <w:t>10</w:t>
            </w:r>
            <w:r w:rsidRPr="0062347D">
              <w:rPr>
                <w:rFonts w:eastAsia="Arial" w:cstheme="minorHAnsi"/>
                <w:color w:val="231F20"/>
                <w:sz w:val="20"/>
                <w:szCs w:val="20"/>
                <w:vertAlign w:val="superscript"/>
              </w:rPr>
              <w:t>5</w:t>
            </w:r>
            <w:r w:rsidRPr="0062347D">
              <w:rPr>
                <w:rFonts w:eastAsia="Arial" w:cstheme="minorHAnsi"/>
                <w:color w:val="231F20"/>
                <w:sz w:val="20"/>
                <w:szCs w:val="20"/>
              </w:rPr>
              <w:t>)</w:t>
            </w:r>
          </w:p>
        </w:tc>
        <w:tc>
          <w:tcPr>
            <w:tcW w:w="1263"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133" w:right="146"/>
              <w:jc w:val="center"/>
              <w:rPr>
                <w:rFonts w:eastAsia="Arial" w:cstheme="minorHAnsi"/>
                <w:sz w:val="20"/>
                <w:szCs w:val="20"/>
                <w:lang w:val="cs-CZ"/>
              </w:rPr>
            </w:pPr>
            <w:r w:rsidRPr="0062347D">
              <w:rPr>
                <w:rFonts w:eastAsia="Arial" w:cstheme="minorHAnsi"/>
                <w:color w:val="231F20"/>
                <w:sz w:val="20"/>
                <w:szCs w:val="20"/>
              </w:rPr>
              <w:t>Makrofágy relativní počty (%)</w:t>
            </w:r>
          </w:p>
        </w:tc>
        <w:tc>
          <w:tcPr>
            <w:tcW w:w="1274"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151" w:right="162"/>
              <w:jc w:val="center"/>
              <w:rPr>
                <w:rFonts w:eastAsia="Arial" w:cstheme="minorHAnsi"/>
                <w:sz w:val="20"/>
                <w:szCs w:val="20"/>
                <w:lang w:val="cs-CZ"/>
              </w:rPr>
            </w:pPr>
            <w:r w:rsidRPr="0062347D">
              <w:rPr>
                <w:rFonts w:eastAsia="Arial" w:cstheme="minorHAnsi"/>
                <w:color w:val="231F20"/>
                <w:sz w:val="20"/>
                <w:szCs w:val="20"/>
              </w:rPr>
              <w:t>Lymfocyty relativní počty (%)</w:t>
            </w:r>
          </w:p>
        </w:tc>
        <w:tc>
          <w:tcPr>
            <w:tcW w:w="1255"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168" w:right="171"/>
              <w:jc w:val="center"/>
              <w:rPr>
                <w:rFonts w:eastAsia="Arial" w:cstheme="minorHAnsi"/>
                <w:sz w:val="20"/>
                <w:szCs w:val="20"/>
                <w:lang w:val="cs-CZ"/>
              </w:rPr>
            </w:pPr>
            <w:r w:rsidRPr="0062347D">
              <w:rPr>
                <w:rFonts w:eastAsia="Arial" w:cstheme="minorHAnsi"/>
                <w:color w:val="231F20"/>
                <w:sz w:val="20"/>
                <w:szCs w:val="20"/>
              </w:rPr>
              <w:t>Neutrofily relativní počty (%)</w:t>
            </w:r>
          </w:p>
        </w:tc>
        <w:tc>
          <w:tcPr>
            <w:tcW w:w="1215"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177" w:right="122"/>
              <w:jc w:val="center"/>
              <w:rPr>
                <w:rFonts w:eastAsia="Arial" w:cstheme="minorHAnsi"/>
                <w:sz w:val="20"/>
                <w:szCs w:val="20"/>
                <w:lang w:val="cs-CZ"/>
              </w:rPr>
            </w:pPr>
            <w:r w:rsidRPr="0062347D">
              <w:rPr>
                <w:rFonts w:eastAsia="Arial" w:cstheme="minorHAnsi"/>
                <w:color w:val="231F20"/>
                <w:sz w:val="20"/>
                <w:szCs w:val="20"/>
              </w:rPr>
              <w:t>Eozinofily relativní počty (%)</w:t>
            </w:r>
          </w:p>
        </w:tc>
        <w:tc>
          <w:tcPr>
            <w:tcW w:w="1229"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98" w:right="111"/>
              <w:jc w:val="center"/>
              <w:rPr>
                <w:rFonts w:eastAsia="Arial" w:cstheme="minorHAnsi"/>
                <w:sz w:val="20"/>
                <w:szCs w:val="20"/>
                <w:lang w:val="cs-CZ"/>
              </w:rPr>
            </w:pPr>
            <w:r w:rsidRPr="0062347D">
              <w:rPr>
                <w:rFonts w:eastAsia="Arial" w:cstheme="minorHAnsi"/>
                <w:color w:val="231F20"/>
                <w:sz w:val="20"/>
                <w:szCs w:val="20"/>
              </w:rPr>
              <w:t>Makrofágy absolutní počty (</w:t>
            </w:r>
            <w:r w:rsidRPr="0062347D">
              <w:rPr>
                <w:rFonts w:eastAsia="Arial" w:cstheme="minorHAnsi"/>
                <w:sz w:val="20"/>
                <w:szCs w:val="20"/>
              </w:rPr>
              <w:t>×</w:t>
            </w:r>
            <w:r w:rsidRPr="0062347D">
              <w:rPr>
                <w:rFonts w:eastAsia="Arial" w:cstheme="minorHAnsi"/>
                <w:color w:val="231F20"/>
                <w:sz w:val="20"/>
                <w:szCs w:val="20"/>
              </w:rPr>
              <w:t>10</w:t>
            </w:r>
            <w:r w:rsidRPr="0062347D">
              <w:rPr>
                <w:rFonts w:eastAsia="Arial" w:cstheme="minorHAnsi"/>
                <w:color w:val="231F20"/>
                <w:sz w:val="20"/>
                <w:szCs w:val="20"/>
                <w:vertAlign w:val="superscript"/>
              </w:rPr>
              <w:t>5</w:t>
            </w:r>
            <w:r w:rsidRPr="0062347D">
              <w:rPr>
                <w:rFonts w:eastAsia="Arial" w:cstheme="minorHAnsi"/>
                <w:color w:val="231F20"/>
                <w:sz w:val="20"/>
                <w:szCs w:val="20"/>
              </w:rPr>
              <w:t>)</w:t>
            </w:r>
          </w:p>
        </w:tc>
        <w:tc>
          <w:tcPr>
            <w:tcW w:w="1238"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131" w:right="88"/>
              <w:jc w:val="center"/>
              <w:rPr>
                <w:rFonts w:eastAsia="Arial" w:cstheme="minorHAnsi"/>
                <w:sz w:val="20"/>
                <w:szCs w:val="20"/>
                <w:lang w:val="cs-CZ"/>
              </w:rPr>
            </w:pPr>
            <w:r w:rsidRPr="0062347D">
              <w:rPr>
                <w:rFonts w:eastAsia="Arial" w:cstheme="minorHAnsi"/>
                <w:color w:val="231F20"/>
                <w:sz w:val="20"/>
                <w:szCs w:val="20"/>
              </w:rPr>
              <w:t>Lymfocyty absolutní počty (</w:t>
            </w:r>
            <w:r w:rsidRPr="0062347D">
              <w:rPr>
                <w:rFonts w:eastAsia="Arial" w:cstheme="minorHAnsi"/>
                <w:sz w:val="20"/>
                <w:szCs w:val="20"/>
              </w:rPr>
              <w:t>×</w:t>
            </w:r>
            <w:r w:rsidRPr="0062347D">
              <w:rPr>
                <w:rFonts w:eastAsia="Arial" w:cstheme="minorHAnsi"/>
                <w:color w:val="231F20"/>
                <w:sz w:val="20"/>
                <w:szCs w:val="20"/>
              </w:rPr>
              <w:t>10</w:t>
            </w:r>
            <w:r w:rsidRPr="0062347D">
              <w:rPr>
                <w:rFonts w:eastAsia="Arial" w:cstheme="minorHAnsi"/>
                <w:color w:val="231F20"/>
                <w:sz w:val="20"/>
                <w:szCs w:val="20"/>
                <w:vertAlign w:val="superscript"/>
              </w:rPr>
              <w:t>5</w:t>
            </w:r>
            <w:r w:rsidRPr="0062347D">
              <w:rPr>
                <w:rFonts w:eastAsia="Arial" w:cstheme="minorHAnsi"/>
                <w:color w:val="231F20"/>
                <w:sz w:val="20"/>
                <w:szCs w:val="20"/>
              </w:rPr>
              <w:t>)</w:t>
            </w:r>
          </w:p>
        </w:tc>
        <w:tc>
          <w:tcPr>
            <w:tcW w:w="1187"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82" w:right="27"/>
              <w:jc w:val="center"/>
              <w:rPr>
                <w:rFonts w:eastAsia="Arial" w:cstheme="minorHAnsi"/>
                <w:sz w:val="20"/>
                <w:szCs w:val="20"/>
                <w:lang w:val="cs-CZ"/>
              </w:rPr>
            </w:pPr>
            <w:r w:rsidRPr="0062347D">
              <w:rPr>
                <w:rFonts w:eastAsia="Arial" w:cstheme="minorHAnsi"/>
                <w:color w:val="231F20"/>
                <w:sz w:val="20"/>
                <w:szCs w:val="20"/>
              </w:rPr>
              <w:t>Neutrofily absolutní počty. (</w:t>
            </w:r>
            <w:r w:rsidRPr="0062347D">
              <w:rPr>
                <w:rFonts w:eastAsia="Arial" w:cstheme="minorHAnsi"/>
                <w:sz w:val="20"/>
                <w:szCs w:val="20"/>
              </w:rPr>
              <w:t>×</w:t>
            </w:r>
            <w:r w:rsidRPr="0062347D">
              <w:rPr>
                <w:rFonts w:eastAsia="Arial" w:cstheme="minorHAnsi"/>
                <w:color w:val="231F20"/>
                <w:sz w:val="20"/>
                <w:szCs w:val="20"/>
              </w:rPr>
              <w:t>10</w:t>
            </w:r>
            <w:r w:rsidRPr="0062347D">
              <w:rPr>
                <w:rFonts w:eastAsia="Arial" w:cstheme="minorHAnsi"/>
                <w:color w:val="231F20"/>
                <w:sz w:val="20"/>
                <w:szCs w:val="20"/>
                <w:vertAlign w:val="superscript"/>
              </w:rPr>
              <w:t>5</w:t>
            </w:r>
            <w:r w:rsidRPr="0062347D">
              <w:rPr>
                <w:rFonts w:eastAsia="Arial" w:cstheme="minorHAnsi"/>
                <w:color w:val="231F20"/>
                <w:sz w:val="20"/>
                <w:szCs w:val="20"/>
              </w:rPr>
              <w:t>)</w:t>
            </w:r>
          </w:p>
        </w:tc>
        <w:tc>
          <w:tcPr>
            <w:tcW w:w="1155" w:type="dxa"/>
            <w:tcBorders>
              <w:top w:val="single" w:sz="4" w:space="0" w:color="231F20"/>
              <w:left w:val="nil"/>
              <w:bottom w:val="single" w:sz="4" w:space="0" w:color="231F20"/>
              <w:right w:val="nil"/>
            </w:tcBorders>
            <w:vAlign w:val="center"/>
            <w:hideMark/>
          </w:tcPr>
          <w:p w:rsidR="008F0C0F" w:rsidRPr="0062347D" w:rsidRDefault="008F0C0F" w:rsidP="0075421C">
            <w:pPr>
              <w:widowControl/>
              <w:autoSpaceDE/>
              <w:autoSpaceDN/>
              <w:spacing w:before="67" w:after="200" w:line="288" w:lineRule="auto"/>
              <w:ind w:left="83" w:right="52"/>
              <w:jc w:val="center"/>
              <w:rPr>
                <w:rFonts w:eastAsia="Arial" w:cstheme="minorHAnsi"/>
                <w:sz w:val="20"/>
                <w:szCs w:val="20"/>
                <w:lang w:val="cs-CZ"/>
              </w:rPr>
            </w:pPr>
            <w:r w:rsidRPr="0062347D">
              <w:rPr>
                <w:rFonts w:eastAsia="Arial" w:cstheme="minorHAnsi"/>
                <w:color w:val="231F20"/>
                <w:sz w:val="20"/>
                <w:szCs w:val="20"/>
              </w:rPr>
              <w:t>Eozinofily absolutní počty (</w:t>
            </w:r>
            <w:r w:rsidRPr="0062347D">
              <w:rPr>
                <w:rFonts w:eastAsia="Arial" w:cstheme="minorHAnsi"/>
                <w:sz w:val="20"/>
                <w:szCs w:val="20"/>
              </w:rPr>
              <w:t>×</w:t>
            </w:r>
            <w:r w:rsidRPr="0062347D">
              <w:rPr>
                <w:rFonts w:eastAsia="Arial" w:cstheme="minorHAnsi"/>
                <w:color w:val="231F20"/>
                <w:sz w:val="20"/>
                <w:szCs w:val="20"/>
              </w:rPr>
              <w:t>10</w:t>
            </w:r>
            <w:r w:rsidRPr="0062347D">
              <w:rPr>
                <w:rFonts w:eastAsia="Arial" w:cstheme="minorHAnsi"/>
                <w:color w:val="231F20"/>
                <w:sz w:val="20"/>
                <w:szCs w:val="20"/>
                <w:vertAlign w:val="superscript"/>
              </w:rPr>
              <w:t>5</w:t>
            </w:r>
            <w:r w:rsidRPr="0062347D">
              <w:rPr>
                <w:rFonts w:eastAsia="Arial" w:cstheme="minorHAnsi"/>
                <w:color w:val="231F20"/>
                <w:sz w:val="20"/>
                <w:szCs w:val="20"/>
              </w:rPr>
              <w:t>)</w:t>
            </w:r>
          </w:p>
        </w:tc>
      </w:tr>
      <w:tr w:rsidR="008F0C0F" w:rsidRPr="0062347D" w:rsidTr="00284F89">
        <w:trPr>
          <w:trHeight w:val="321"/>
        </w:trPr>
        <w:tc>
          <w:tcPr>
            <w:tcW w:w="1162"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113"/>
              <w:rPr>
                <w:rFonts w:eastAsia="Arial" w:cstheme="minorHAnsi"/>
                <w:color w:val="231F20"/>
                <w:sz w:val="20"/>
                <w:szCs w:val="20"/>
                <w:lang w:val="cs-CZ"/>
              </w:rPr>
            </w:pPr>
            <w:r w:rsidRPr="0062347D">
              <w:rPr>
                <w:rFonts w:eastAsia="Arial" w:cstheme="minorHAnsi"/>
                <w:color w:val="231F20"/>
                <w:sz w:val="20"/>
                <w:szCs w:val="20"/>
              </w:rPr>
              <w:t xml:space="preserve">S s LS </w:t>
            </w:r>
          </w:p>
          <w:p w:rsidR="008F0C0F" w:rsidRPr="0062347D" w:rsidRDefault="0075421C" w:rsidP="00F75533">
            <w:pPr>
              <w:widowControl/>
              <w:autoSpaceDE/>
              <w:autoSpaceDN/>
              <w:spacing w:before="67" w:line="276" w:lineRule="auto"/>
              <w:ind w:left="113"/>
              <w:rPr>
                <w:rFonts w:eastAsia="Arial" w:cstheme="minorHAnsi"/>
                <w:sz w:val="20"/>
                <w:szCs w:val="20"/>
                <w:lang w:val="cs-CZ"/>
              </w:rPr>
            </w:pPr>
            <w:r>
              <w:rPr>
                <w:rFonts w:eastAsia="Arial" w:cstheme="minorHAnsi"/>
                <w:color w:val="231F20"/>
                <w:sz w:val="20"/>
                <w:szCs w:val="20"/>
              </w:rPr>
              <w:t>(RTG</w:t>
            </w:r>
            <w:r w:rsidR="008F0C0F" w:rsidRPr="0062347D">
              <w:rPr>
                <w:rFonts w:eastAsia="Arial" w:cstheme="minorHAnsi"/>
                <w:color w:val="231F20"/>
                <w:sz w:val="20"/>
                <w:szCs w:val="20"/>
              </w:rPr>
              <w:t xml:space="preserve"> ≤</w:t>
            </w:r>
            <w:r>
              <w:rPr>
                <w:rFonts w:eastAsia="Arial" w:cstheme="minorHAnsi"/>
                <w:color w:val="231F20"/>
                <w:sz w:val="20"/>
                <w:szCs w:val="20"/>
              </w:rPr>
              <w:t> </w:t>
            </w:r>
            <w:r w:rsidR="008F0C0F" w:rsidRPr="0062347D">
              <w:rPr>
                <w:rFonts w:eastAsia="Arial" w:cstheme="minorHAnsi"/>
                <w:color w:val="231F20"/>
                <w:sz w:val="20"/>
                <w:szCs w:val="20"/>
              </w:rPr>
              <w:t>1)</w:t>
            </w:r>
          </w:p>
        </w:tc>
        <w:tc>
          <w:tcPr>
            <w:tcW w:w="1134" w:type="dxa"/>
            <w:tcBorders>
              <w:top w:val="single" w:sz="4" w:space="0" w:color="231F20"/>
              <w:left w:val="nil"/>
              <w:bottom w:val="nil"/>
              <w:right w:val="nil"/>
            </w:tcBorders>
            <w:hideMark/>
          </w:tcPr>
          <w:p w:rsidR="008F0C0F" w:rsidRPr="0062347D" w:rsidRDefault="0075421C" w:rsidP="00F75533">
            <w:pPr>
              <w:widowControl/>
              <w:autoSpaceDE/>
              <w:autoSpaceDN/>
              <w:spacing w:before="67" w:line="276" w:lineRule="auto"/>
              <w:ind w:left="356"/>
              <w:rPr>
                <w:rFonts w:eastAsia="Arial" w:cstheme="minorHAnsi"/>
                <w:sz w:val="20"/>
                <w:szCs w:val="20"/>
                <w:lang w:val="cs-CZ"/>
              </w:rPr>
            </w:pPr>
            <w:r>
              <w:rPr>
                <w:rFonts w:eastAsia="Arial" w:cstheme="minorHAnsi"/>
                <w:color w:val="231F20"/>
                <w:sz w:val="20"/>
                <w:szCs w:val="20"/>
              </w:rPr>
              <w:t>10</w:t>
            </w:r>
            <w:r w:rsidR="008F0C0F" w:rsidRPr="0062347D">
              <w:rPr>
                <w:rFonts w:eastAsia="Arial" w:cstheme="minorHAnsi"/>
                <w:color w:val="231F20"/>
                <w:sz w:val="20"/>
                <w:szCs w:val="20"/>
              </w:rPr>
              <w:t>/18</w:t>
            </w:r>
          </w:p>
        </w:tc>
        <w:tc>
          <w:tcPr>
            <w:tcW w:w="1134"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right="414"/>
              <w:jc w:val="right"/>
              <w:rPr>
                <w:rFonts w:eastAsia="Arial" w:cstheme="minorHAnsi"/>
                <w:sz w:val="20"/>
                <w:szCs w:val="20"/>
                <w:lang w:val="cs-CZ"/>
              </w:rPr>
            </w:pPr>
            <w:r w:rsidRPr="0062347D">
              <w:rPr>
                <w:rFonts w:eastAsia="Arial" w:cstheme="minorHAnsi"/>
                <w:color w:val="231F20"/>
                <w:w w:val="95"/>
                <w:sz w:val="20"/>
                <w:szCs w:val="20"/>
              </w:rPr>
              <w:t>0,737</w:t>
            </w:r>
          </w:p>
        </w:tc>
        <w:tc>
          <w:tcPr>
            <w:tcW w:w="1298"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right="443"/>
              <w:jc w:val="right"/>
              <w:rPr>
                <w:rFonts w:eastAsia="Arial" w:cstheme="minorHAnsi"/>
                <w:sz w:val="20"/>
                <w:szCs w:val="20"/>
                <w:lang w:val="cs-CZ"/>
              </w:rPr>
            </w:pPr>
            <w:r w:rsidRPr="0062347D">
              <w:rPr>
                <w:rFonts w:eastAsia="Arial" w:cstheme="minorHAnsi"/>
                <w:color w:val="231F20"/>
                <w:w w:val="95"/>
                <w:sz w:val="20"/>
                <w:szCs w:val="20"/>
              </w:rPr>
              <w:t>0,178</w:t>
            </w:r>
          </w:p>
        </w:tc>
        <w:tc>
          <w:tcPr>
            <w:tcW w:w="1263"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right="436"/>
              <w:jc w:val="right"/>
              <w:rPr>
                <w:rFonts w:eastAsia="Arial" w:cstheme="minorHAnsi"/>
                <w:sz w:val="20"/>
                <w:szCs w:val="20"/>
                <w:lang w:val="cs-CZ"/>
              </w:rPr>
            </w:pPr>
            <w:r w:rsidRPr="0062347D">
              <w:rPr>
                <w:rFonts w:eastAsia="Arial" w:cstheme="minorHAnsi"/>
                <w:color w:val="231F20"/>
                <w:w w:val="95"/>
                <w:sz w:val="20"/>
                <w:szCs w:val="20"/>
              </w:rPr>
              <w:t>0,332</w:t>
            </w:r>
          </w:p>
        </w:tc>
        <w:tc>
          <w:tcPr>
            <w:tcW w:w="1274"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430"/>
              <w:rPr>
                <w:rFonts w:eastAsia="Arial" w:cstheme="minorHAnsi"/>
                <w:sz w:val="20"/>
                <w:szCs w:val="20"/>
                <w:lang w:val="cs-CZ"/>
              </w:rPr>
            </w:pPr>
            <w:r w:rsidRPr="0062347D">
              <w:rPr>
                <w:rFonts w:eastAsia="Arial" w:cstheme="minorHAnsi"/>
                <w:color w:val="231F20"/>
                <w:sz w:val="20"/>
                <w:szCs w:val="20"/>
              </w:rPr>
              <w:t>0,279</w:t>
            </w:r>
          </w:p>
        </w:tc>
        <w:tc>
          <w:tcPr>
            <w:tcW w:w="1255"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425"/>
              <w:rPr>
                <w:rFonts w:eastAsia="Arial" w:cstheme="minorHAnsi"/>
                <w:sz w:val="20"/>
                <w:szCs w:val="20"/>
                <w:lang w:val="cs-CZ"/>
              </w:rPr>
            </w:pPr>
            <w:r w:rsidRPr="0062347D">
              <w:rPr>
                <w:rFonts w:eastAsia="Arial" w:cstheme="minorHAnsi"/>
                <w:color w:val="231F20"/>
                <w:sz w:val="20"/>
                <w:szCs w:val="20"/>
              </w:rPr>
              <w:t>0,940</w:t>
            </w:r>
          </w:p>
        </w:tc>
        <w:tc>
          <w:tcPr>
            <w:tcW w:w="1215"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175" w:right="122"/>
              <w:jc w:val="center"/>
              <w:rPr>
                <w:rFonts w:eastAsia="Arial" w:cstheme="minorHAnsi"/>
                <w:sz w:val="20"/>
                <w:szCs w:val="20"/>
                <w:lang w:val="cs-CZ"/>
              </w:rPr>
            </w:pPr>
            <w:r w:rsidRPr="0062347D">
              <w:rPr>
                <w:rFonts w:eastAsia="Arial" w:cstheme="minorHAnsi"/>
                <w:color w:val="231F20"/>
                <w:sz w:val="20"/>
                <w:szCs w:val="20"/>
              </w:rPr>
              <w:t>0,139</w:t>
            </w:r>
          </w:p>
        </w:tc>
        <w:tc>
          <w:tcPr>
            <w:tcW w:w="1229"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407"/>
              <w:rPr>
                <w:rFonts w:eastAsia="Arial" w:cstheme="minorHAnsi"/>
                <w:sz w:val="20"/>
                <w:szCs w:val="20"/>
                <w:lang w:val="cs-CZ"/>
              </w:rPr>
            </w:pPr>
            <w:r w:rsidRPr="0062347D">
              <w:rPr>
                <w:rFonts w:eastAsia="Arial" w:cstheme="minorHAnsi"/>
                <w:color w:val="231F20"/>
                <w:sz w:val="20"/>
                <w:szCs w:val="20"/>
              </w:rPr>
              <w:t>0,157</w:t>
            </w:r>
          </w:p>
        </w:tc>
        <w:tc>
          <w:tcPr>
            <w:tcW w:w="1238" w:type="dxa"/>
            <w:tcBorders>
              <w:top w:val="single" w:sz="4" w:space="0" w:color="231F20"/>
              <w:left w:val="nil"/>
              <w:bottom w:val="nil"/>
              <w:right w:val="nil"/>
            </w:tcBorders>
            <w:hideMark/>
          </w:tcPr>
          <w:p w:rsidR="008F0C0F" w:rsidRPr="00E95779" w:rsidRDefault="008F0C0F" w:rsidP="00F75533">
            <w:pPr>
              <w:widowControl/>
              <w:autoSpaceDE/>
              <w:autoSpaceDN/>
              <w:spacing w:before="67" w:line="276" w:lineRule="auto"/>
              <w:ind w:left="129" w:right="88"/>
              <w:jc w:val="center"/>
              <w:rPr>
                <w:rFonts w:eastAsia="Arial" w:cstheme="minorHAnsi"/>
                <w:b/>
                <w:i/>
                <w:sz w:val="20"/>
                <w:szCs w:val="20"/>
                <w:lang w:val="cs-CZ"/>
              </w:rPr>
            </w:pPr>
            <w:r w:rsidRPr="00E95779">
              <w:rPr>
                <w:rFonts w:eastAsia="Arial" w:cstheme="minorHAnsi"/>
                <w:b/>
                <w:i/>
                <w:color w:val="231F20"/>
                <w:sz w:val="20"/>
                <w:szCs w:val="20"/>
              </w:rPr>
              <w:t>0,044</w:t>
            </w:r>
          </w:p>
        </w:tc>
        <w:tc>
          <w:tcPr>
            <w:tcW w:w="1187"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82" w:right="30"/>
              <w:jc w:val="center"/>
              <w:rPr>
                <w:rFonts w:eastAsia="Arial" w:cstheme="minorHAnsi"/>
                <w:sz w:val="20"/>
                <w:szCs w:val="20"/>
                <w:lang w:val="cs-CZ"/>
              </w:rPr>
            </w:pPr>
            <w:r w:rsidRPr="0062347D">
              <w:rPr>
                <w:rFonts w:eastAsia="Arial" w:cstheme="minorHAnsi"/>
                <w:color w:val="231F20"/>
                <w:sz w:val="20"/>
                <w:szCs w:val="20"/>
              </w:rPr>
              <w:t>0,681</w:t>
            </w:r>
          </w:p>
        </w:tc>
        <w:tc>
          <w:tcPr>
            <w:tcW w:w="1155" w:type="dxa"/>
            <w:tcBorders>
              <w:top w:val="single" w:sz="4" w:space="0" w:color="231F20"/>
              <w:left w:val="nil"/>
              <w:bottom w:val="nil"/>
              <w:right w:val="nil"/>
            </w:tcBorders>
            <w:hideMark/>
          </w:tcPr>
          <w:p w:rsidR="008F0C0F" w:rsidRPr="0062347D" w:rsidRDefault="008F0C0F" w:rsidP="00F75533">
            <w:pPr>
              <w:widowControl/>
              <w:autoSpaceDE/>
              <w:autoSpaceDN/>
              <w:spacing w:before="67" w:line="276" w:lineRule="auto"/>
              <w:ind w:left="81" w:right="52"/>
              <w:jc w:val="center"/>
              <w:rPr>
                <w:rFonts w:eastAsia="Arial" w:cstheme="minorHAnsi"/>
                <w:sz w:val="20"/>
                <w:szCs w:val="20"/>
                <w:lang w:val="cs-CZ"/>
              </w:rPr>
            </w:pPr>
            <w:r w:rsidRPr="0062347D">
              <w:rPr>
                <w:rFonts w:eastAsia="Arial" w:cstheme="minorHAnsi"/>
                <w:color w:val="231F20"/>
                <w:sz w:val="20"/>
                <w:szCs w:val="20"/>
              </w:rPr>
              <w:t>0,133</w:t>
            </w:r>
          </w:p>
        </w:tc>
      </w:tr>
      <w:tr w:rsidR="008F0C0F" w:rsidRPr="0062347D" w:rsidTr="00284F89">
        <w:trPr>
          <w:trHeight w:val="330"/>
        </w:trPr>
        <w:tc>
          <w:tcPr>
            <w:tcW w:w="1162" w:type="dxa"/>
            <w:hideMark/>
          </w:tcPr>
          <w:p w:rsidR="008F0C0F" w:rsidRPr="0062347D" w:rsidRDefault="0075421C" w:rsidP="00284F89">
            <w:pPr>
              <w:widowControl/>
              <w:autoSpaceDE/>
              <w:autoSpaceDN/>
              <w:spacing w:before="75" w:after="200" w:line="276" w:lineRule="auto"/>
              <w:ind w:left="113"/>
              <w:rPr>
                <w:rFonts w:eastAsia="Arial" w:cstheme="minorHAnsi"/>
                <w:sz w:val="20"/>
                <w:szCs w:val="20"/>
                <w:lang w:val="cs-CZ"/>
              </w:rPr>
            </w:pPr>
            <w:r>
              <w:rPr>
                <w:rFonts w:eastAsia="Arial" w:cstheme="minorHAnsi"/>
                <w:color w:val="231F20"/>
                <w:sz w:val="20"/>
                <w:szCs w:val="20"/>
              </w:rPr>
              <w:t>S bez LS (RTG</w:t>
            </w:r>
            <w:r w:rsidR="008F0C0F" w:rsidRPr="0062347D">
              <w:rPr>
                <w:rFonts w:eastAsia="Arial" w:cstheme="minorHAnsi"/>
                <w:color w:val="231F20"/>
                <w:sz w:val="20"/>
                <w:szCs w:val="20"/>
              </w:rPr>
              <w:t xml:space="preserve"> ≤</w:t>
            </w:r>
            <w:r>
              <w:rPr>
                <w:rFonts w:eastAsia="Arial" w:cstheme="minorHAnsi"/>
                <w:color w:val="231F20"/>
                <w:sz w:val="20"/>
                <w:szCs w:val="20"/>
              </w:rPr>
              <w:t> </w:t>
            </w:r>
            <w:r w:rsidR="008F0C0F" w:rsidRPr="0062347D">
              <w:rPr>
                <w:rFonts w:eastAsia="Arial" w:cstheme="minorHAnsi"/>
                <w:color w:val="231F20"/>
                <w:sz w:val="20"/>
                <w:szCs w:val="20"/>
              </w:rPr>
              <w:t>1)</w:t>
            </w:r>
          </w:p>
        </w:tc>
        <w:tc>
          <w:tcPr>
            <w:tcW w:w="1134" w:type="dxa"/>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6/64</w:t>
            </w:r>
          </w:p>
        </w:tc>
        <w:tc>
          <w:tcPr>
            <w:tcW w:w="1134" w:type="dxa"/>
            <w:hideMark/>
          </w:tcPr>
          <w:p w:rsidR="008F0C0F" w:rsidRPr="0062347D" w:rsidRDefault="008F0C0F" w:rsidP="00284F89">
            <w:pPr>
              <w:widowControl/>
              <w:autoSpaceDE/>
              <w:autoSpaceDN/>
              <w:spacing w:before="75" w:after="200" w:line="276" w:lineRule="auto"/>
              <w:ind w:right="414"/>
              <w:jc w:val="right"/>
              <w:rPr>
                <w:rFonts w:eastAsia="Arial" w:cstheme="minorHAnsi"/>
                <w:sz w:val="20"/>
                <w:szCs w:val="20"/>
                <w:lang w:val="cs-CZ"/>
              </w:rPr>
            </w:pPr>
            <w:r w:rsidRPr="0062347D">
              <w:rPr>
                <w:rFonts w:eastAsia="Arial" w:cstheme="minorHAnsi"/>
                <w:color w:val="231F20"/>
                <w:w w:val="95"/>
                <w:sz w:val="20"/>
                <w:szCs w:val="20"/>
              </w:rPr>
              <w:t>0,406</w:t>
            </w:r>
          </w:p>
        </w:tc>
        <w:tc>
          <w:tcPr>
            <w:tcW w:w="1298" w:type="dxa"/>
            <w:hideMark/>
          </w:tcPr>
          <w:p w:rsidR="008F0C0F" w:rsidRPr="00E95779" w:rsidRDefault="008F0C0F" w:rsidP="00284F89">
            <w:pPr>
              <w:widowControl/>
              <w:autoSpaceDE/>
              <w:autoSpaceDN/>
              <w:spacing w:before="75" w:after="200" w:line="276" w:lineRule="auto"/>
              <w:ind w:right="443"/>
              <w:jc w:val="right"/>
              <w:rPr>
                <w:rFonts w:eastAsia="Arial" w:cstheme="minorHAnsi"/>
                <w:b/>
                <w:i/>
                <w:sz w:val="20"/>
                <w:szCs w:val="20"/>
                <w:lang w:val="cs-CZ"/>
              </w:rPr>
            </w:pPr>
            <w:r w:rsidRPr="00E95779">
              <w:rPr>
                <w:rFonts w:eastAsia="Arial" w:cstheme="minorHAnsi"/>
                <w:b/>
                <w:i/>
                <w:color w:val="231F20"/>
                <w:w w:val="95"/>
                <w:sz w:val="20"/>
                <w:szCs w:val="20"/>
              </w:rPr>
              <w:t>0,000</w:t>
            </w:r>
            <w:r w:rsidR="00523779" w:rsidRPr="00E95779">
              <w:rPr>
                <w:rFonts w:eastAsia="Arial" w:cstheme="minorHAnsi"/>
                <w:b/>
                <w:i/>
                <w:color w:val="231F20"/>
                <w:w w:val="95"/>
                <w:sz w:val="20"/>
                <w:szCs w:val="20"/>
              </w:rPr>
              <w:t>1</w:t>
            </w:r>
          </w:p>
        </w:tc>
        <w:tc>
          <w:tcPr>
            <w:tcW w:w="1263" w:type="dxa"/>
            <w:hideMark/>
          </w:tcPr>
          <w:p w:rsidR="008F0C0F" w:rsidRPr="00E95779" w:rsidRDefault="008F0C0F" w:rsidP="00284F89">
            <w:pPr>
              <w:widowControl/>
              <w:autoSpaceDE/>
              <w:autoSpaceDN/>
              <w:spacing w:before="75" w:after="200" w:line="276" w:lineRule="auto"/>
              <w:ind w:right="436"/>
              <w:jc w:val="right"/>
              <w:rPr>
                <w:rFonts w:eastAsia="Arial" w:cstheme="minorHAnsi"/>
                <w:b/>
                <w:i/>
                <w:sz w:val="20"/>
                <w:szCs w:val="20"/>
                <w:lang w:val="cs-CZ"/>
              </w:rPr>
            </w:pPr>
            <w:r w:rsidRPr="00E95779">
              <w:rPr>
                <w:rFonts w:eastAsia="Arial" w:cstheme="minorHAnsi"/>
                <w:b/>
                <w:i/>
                <w:color w:val="231F20"/>
                <w:w w:val="95"/>
                <w:sz w:val="20"/>
                <w:szCs w:val="20"/>
              </w:rPr>
              <w:t>0,007</w:t>
            </w:r>
          </w:p>
        </w:tc>
        <w:tc>
          <w:tcPr>
            <w:tcW w:w="1274" w:type="dxa"/>
            <w:hideMark/>
          </w:tcPr>
          <w:p w:rsidR="008F0C0F" w:rsidRPr="00E95779" w:rsidRDefault="008F0C0F" w:rsidP="00284F89">
            <w:pPr>
              <w:widowControl/>
              <w:autoSpaceDE/>
              <w:autoSpaceDN/>
              <w:spacing w:before="75" w:after="200" w:line="276" w:lineRule="auto"/>
              <w:ind w:left="430"/>
              <w:rPr>
                <w:rFonts w:eastAsia="Arial" w:cstheme="minorHAnsi"/>
                <w:b/>
                <w:i/>
                <w:sz w:val="20"/>
                <w:szCs w:val="20"/>
                <w:lang w:val="cs-CZ"/>
              </w:rPr>
            </w:pPr>
            <w:r w:rsidRPr="00E95779">
              <w:rPr>
                <w:rFonts w:eastAsia="Arial" w:cstheme="minorHAnsi"/>
                <w:b/>
                <w:i/>
                <w:color w:val="231F20"/>
                <w:sz w:val="20"/>
                <w:szCs w:val="20"/>
              </w:rPr>
              <w:t>0,006</w:t>
            </w:r>
          </w:p>
        </w:tc>
        <w:tc>
          <w:tcPr>
            <w:tcW w:w="1255" w:type="dxa"/>
            <w:hideMark/>
          </w:tcPr>
          <w:p w:rsidR="008F0C0F" w:rsidRPr="0062347D" w:rsidRDefault="008F0C0F" w:rsidP="00284F89">
            <w:pPr>
              <w:widowControl/>
              <w:autoSpaceDE/>
              <w:autoSpaceDN/>
              <w:spacing w:before="75" w:after="200" w:line="276" w:lineRule="auto"/>
              <w:ind w:left="425"/>
              <w:rPr>
                <w:rFonts w:eastAsia="Arial" w:cstheme="minorHAnsi"/>
                <w:sz w:val="20"/>
                <w:szCs w:val="20"/>
                <w:lang w:val="cs-CZ"/>
              </w:rPr>
            </w:pPr>
            <w:r w:rsidRPr="0062347D">
              <w:rPr>
                <w:rFonts w:eastAsia="Arial" w:cstheme="minorHAnsi"/>
                <w:color w:val="231F20"/>
                <w:sz w:val="20"/>
                <w:szCs w:val="20"/>
              </w:rPr>
              <w:t>0,741</w:t>
            </w:r>
          </w:p>
        </w:tc>
        <w:tc>
          <w:tcPr>
            <w:tcW w:w="1215" w:type="dxa"/>
            <w:hideMark/>
          </w:tcPr>
          <w:p w:rsidR="008F0C0F" w:rsidRPr="0062347D" w:rsidRDefault="008F0C0F" w:rsidP="00284F89">
            <w:pPr>
              <w:widowControl/>
              <w:autoSpaceDE/>
              <w:autoSpaceDN/>
              <w:spacing w:before="75" w:after="200" w:line="276" w:lineRule="auto"/>
              <w:ind w:left="175" w:right="122"/>
              <w:jc w:val="center"/>
              <w:rPr>
                <w:rFonts w:eastAsia="Arial" w:cstheme="minorHAnsi"/>
                <w:sz w:val="20"/>
                <w:szCs w:val="20"/>
                <w:lang w:val="cs-CZ"/>
              </w:rPr>
            </w:pPr>
            <w:r w:rsidRPr="0062347D">
              <w:rPr>
                <w:rFonts w:eastAsia="Arial" w:cstheme="minorHAnsi"/>
                <w:color w:val="231F20"/>
                <w:sz w:val="20"/>
                <w:szCs w:val="20"/>
              </w:rPr>
              <w:t>0,129</w:t>
            </w:r>
          </w:p>
        </w:tc>
        <w:tc>
          <w:tcPr>
            <w:tcW w:w="1229" w:type="dxa"/>
            <w:hideMark/>
          </w:tcPr>
          <w:p w:rsidR="008F0C0F" w:rsidRPr="00E95779" w:rsidRDefault="008F0C0F" w:rsidP="00284F89">
            <w:pPr>
              <w:widowControl/>
              <w:autoSpaceDE/>
              <w:autoSpaceDN/>
              <w:spacing w:before="75" w:after="200" w:line="276" w:lineRule="auto"/>
              <w:ind w:left="407"/>
              <w:rPr>
                <w:rFonts w:eastAsia="Arial" w:cstheme="minorHAnsi"/>
                <w:b/>
                <w:i/>
                <w:sz w:val="20"/>
                <w:szCs w:val="20"/>
                <w:lang w:val="cs-CZ"/>
              </w:rPr>
            </w:pPr>
            <w:r w:rsidRPr="00E95779">
              <w:rPr>
                <w:rFonts w:eastAsia="Arial" w:cstheme="minorHAnsi"/>
                <w:b/>
                <w:i/>
                <w:color w:val="231F20"/>
                <w:sz w:val="20"/>
                <w:szCs w:val="20"/>
              </w:rPr>
              <w:t>0,000</w:t>
            </w:r>
            <w:r w:rsidR="00523779" w:rsidRPr="00E95779">
              <w:rPr>
                <w:rFonts w:eastAsia="Arial" w:cstheme="minorHAnsi"/>
                <w:b/>
                <w:i/>
                <w:color w:val="231F20"/>
                <w:sz w:val="20"/>
                <w:szCs w:val="20"/>
              </w:rPr>
              <w:t>1</w:t>
            </w:r>
          </w:p>
        </w:tc>
        <w:tc>
          <w:tcPr>
            <w:tcW w:w="1238" w:type="dxa"/>
            <w:hideMark/>
          </w:tcPr>
          <w:p w:rsidR="008F0C0F" w:rsidRPr="0062347D" w:rsidRDefault="008F0C0F" w:rsidP="00284F89">
            <w:pPr>
              <w:widowControl/>
              <w:autoSpaceDE/>
              <w:autoSpaceDN/>
              <w:spacing w:before="75" w:after="200" w:line="276" w:lineRule="auto"/>
              <w:ind w:left="129" w:right="88"/>
              <w:jc w:val="center"/>
              <w:rPr>
                <w:rFonts w:eastAsia="Arial" w:cstheme="minorHAnsi"/>
                <w:i/>
                <w:sz w:val="20"/>
                <w:szCs w:val="20"/>
                <w:lang w:val="cs-CZ"/>
              </w:rPr>
            </w:pPr>
            <w:r w:rsidRPr="0062347D">
              <w:rPr>
                <w:rFonts w:eastAsia="Arial" w:cstheme="minorHAnsi"/>
                <w:i/>
                <w:color w:val="231F20"/>
                <w:sz w:val="20"/>
                <w:szCs w:val="20"/>
              </w:rPr>
              <w:t>0,054</w:t>
            </w:r>
          </w:p>
        </w:tc>
        <w:tc>
          <w:tcPr>
            <w:tcW w:w="1187" w:type="dxa"/>
            <w:hideMark/>
          </w:tcPr>
          <w:p w:rsidR="008F0C0F" w:rsidRPr="00E95779" w:rsidRDefault="008F0C0F" w:rsidP="00284F89">
            <w:pPr>
              <w:widowControl/>
              <w:autoSpaceDE/>
              <w:autoSpaceDN/>
              <w:spacing w:before="75" w:after="200" w:line="276" w:lineRule="auto"/>
              <w:ind w:left="82" w:right="30"/>
              <w:jc w:val="center"/>
              <w:rPr>
                <w:rFonts w:eastAsia="Arial" w:cstheme="minorHAnsi"/>
                <w:b/>
                <w:i/>
                <w:sz w:val="20"/>
                <w:szCs w:val="20"/>
                <w:lang w:val="cs-CZ"/>
              </w:rPr>
            </w:pPr>
            <w:r w:rsidRPr="00E95779">
              <w:rPr>
                <w:rFonts w:eastAsia="Arial" w:cstheme="minorHAnsi"/>
                <w:b/>
                <w:i/>
                <w:color w:val="231F20"/>
                <w:sz w:val="20"/>
                <w:szCs w:val="20"/>
              </w:rPr>
              <w:t>0,022</w:t>
            </w:r>
          </w:p>
        </w:tc>
        <w:tc>
          <w:tcPr>
            <w:tcW w:w="1155" w:type="dxa"/>
            <w:hideMark/>
          </w:tcPr>
          <w:p w:rsidR="008F0C0F" w:rsidRPr="00E95779" w:rsidRDefault="008F0C0F" w:rsidP="00284F89">
            <w:pPr>
              <w:widowControl/>
              <w:autoSpaceDE/>
              <w:autoSpaceDN/>
              <w:spacing w:before="75" w:after="200" w:line="276" w:lineRule="auto"/>
              <w:ind w:left="81" w:right="52"/>
              <w:jc w:val="center"/>
              <w:rPr>
                <w:rFonts w:eastAsia="Arial" w:cstheme="minorHAnsi"/>
                <w:b/>
                <w:i/>
                <w:sz w:val="20"/>
                <w:szCs w:val="20"/>
                <w:lang w:val="cs-CZ"/>
              </w:rPr>
            </w:pPr>
            <w:r w:rsidRPr="00E95779">
              <w:rPr>
                <w:rFonts w:eastAsia="Arial" w:cstheme="minorHAnsi"/>
                <w:b/>
                <w:i/>
                <w:color w:val="231F20"/>
                <w:sz w:val="20"/>
                <w:szCs w:val="20"/>
              </w:rPr>
              <w:t>0,047</w:t>
            </w:r>
          </w:p>
        </w:tc>
      </w:tr>
      <w:tr w:rsidR="008F0C0F" w:rsidRPr="0062347D" w:rsidTr="00284F89">
        <w:trPr>
          <w:trHeight w:val="330"/>
        </w:trPr>
        <w:tc>
          <w:tcPr>
            <w:tcW w:w="1162" w:type="dxa"/>
            <w:hideMark/>
          </w:tcPr>
          <w:p w:rsidR="008F0C0F" w:rsidRPr="0062347D" w:rsidRDefault="0075421C" w:rsidP="0075421C">
            <w:pPr>
              <w:widowControl/>
              <w:autoSpaceDE/>
              <w:autoSpaceDN/>
              <w:spacing w:before="75" w:after="200" w:line="276" w:lineRule="auto"/>
              <w:ind w:left="113"/>
              <w:rPr>
                <w:rFonts w:eastAsia="Arial" w:cstheme="minorHAnsi"/>
                <w:sz w:val="20"/>
                <w:szCs w:val="20"/>
                <w:lang w:val="cs-CZ"/>
              </w:rPr>
            </w:pPr>
            <w:r>
              <w:rPr>
                <w:rFonts w:eastAsia="Arial" w:cstheme="minorHAnsi"/>
                <w:color w:val="231F20"/>
                <w:sz w:val="20"/>
                <w:szCs w:val="20"/>
              </w:rPr>
              <w:t>S RTG</w:t>
            </w:r>
            <w:r w:rsidR="008F0C0F" w:rsidRPr="0062347D">
              <w:rPr>
                <w:rFonts w:eastAsia="Arial" w:cstheme="minorHAnsi"/>
                <w:color w:val="231F20"/>
                <w:sz w:val="20"/>
                <w:szCs w:val="20"/>
              </w:rPr>
              <w:t xml:space="preserve"> =</w:t>
            </w:r>
            <w:r>
              <w:rPr>
                <w:rFonts w:eastAsia="Arial" w:cstheme="minorHAnsi"/>
                <w:color w:val="231F20"/>
                <w:sz w:val="20"/>
                <w:szCs w:val="20"/>
              </w:rPr>
              <w:t> </w:t>
            </w:r>
            <w:r w:rsidR="008F0C0F" w:rsidRPr="0062347D">
              <w:rPr>
                <w:rFonts w:eastAsia="Arial" w:cstheme="minorHAnsi"/>
                <w:color w:val="231F20"/>
                <w:sz w:val="20"/>
                <w:szCs w:val="20"/>
              </w:rPr>
              <w:t>2</w:t>
            </w:r>
          </w:p>
        </w:tc>
        <w:tc>
          <w:tcPr>
            <w:tcW w:w="1134" w:type="dxa"/>
            <w:hideMark/>
          </w:tcPr>
          <w:p w:rsidR="008F0C0F" w:rsidRPr="0062347D" w:rsidRDefault="008F0C0F" w:rsidP="00284F89">
            <w:pPr>
              <w:widowControl/>
              <w:autoSpaceDE/>
              <w:autoSpaceDN/>
              <w:spacing w:before="75" w:after="200" w:line="276" w:lineRule="auto"/>
              <w:ind w:left="356"/>
              <w:rPr>
                <w:rFonts w:eastAsia="Arial" w:cstheme="minorHAnsi"/>
                <w:sz w:val="20"/>
                <w:szCs w:val="20"/>
                <w:lang w:val="cs-CZ"/>
              </w:rPr>
            </w:pPr>
            <w:r w:rsidRPr="0062347D">
              <w:rPr>
                <w:rFonts w:eastAsia="Arial" w:cstheme="minorHAnsi"/>
                <w:color w:val="231F20"/>
                <w:sz w:val="20"/>
                <w:szCs w:val="20"/>
              </w:rPr>
              <w:t>14/113</w:t>
            </w:r>
          </w:p>
        </w:tc>
        <w:tc>
          <w:tcPr>
            <w:tcW w:w="1134" w:type="dxa"/>
            <w:hideMark/>
          </w:tcPr>
          <w:p w:rsidR="008F0C0F" w:rsidRPr="0062347D" w:rsidRDefault="008F0C0F" w:rsidP="00284F89">
            <w:pPr>
              <w:widowControl/>
              <w:autoSpaceDE/>
              <w:autoSpaceDN/>
              <w:spacing w:before="75" w:after="200" w:line="276" w:lineRule="auto"/>
              <w:ind w:right="414"/>
              <w:jc w:val="right"/>
              <w:rPr>
                <w:rFonts w:eastAsia="Arial" w:cstheme="minorHAnsi"/>
                <w:sz w:val="20"/>
                <w:szCs w:val="20"/>
                <w:lang w:val="cs-CZ"/>
              </w:rPr>
            </w:pPr>
            <w:r w:rsidRPr="0062347D">
              <w:rPr>
                <w:rFonts w:eastAsia="Arial" w:cstheme="minorHAnsi"/>
                <w:color w:val="231F20"/>
                <w:w w:val="95"/>
                <w:sz w:val="20"/>
                <w:szCs w:val="20"/>
              </w:rPr>
              <w:t>0,568</w:t>
            </w:r>
          </w:p>
        </w:tc>
        <w:tc>
          <w:tcPr>
            <w:tcW w:w="1298" w:type="dxa"/>
            <w:hideMark/>
          </w:tcPr>
          <w:p w:rsidR="008F0C0F" w:rsidRPr="00E95779" w:rsidRDefault="008F0C0F" w:rsidP="00284F89">
            <w:pPr>
              <w:widowControl/>
              <w:autoSpaceDE/>
              <w:autoSpaceDN/>
              <w:spacing w:before="75" w:after="200" w:line="276" w:lineRule="auto"/>
              <w:ind w:right="443"/>
              <w:jc w:val="right"/>
              <w:rPr>
                <w:rFonts w:eastAsia="Arial" w:cstheme="minorHAnsi"/>
                <w:b/>
                <w:i/>
                <w:sz w:val="20"/>
                <w:szCs w:val="20"/>
                <w:lang w:val="cs-CZ"/>
              </w:rPr>
            </w:pPr>
            <w:r w:rsidRPr="00E95779">
              <w:rPr>
                <w:rFonts w:eastAsia="Arial" w:cstheme="minorHAnsi"/>
                <w:b/>
                <w:i/>
                <w:color w:val="231F20"/>
                <w:w w:val="95"/>
                <w:sz w:val="20"/>
                <w:szCs w:val="20"/>
              </w:rPr>
              <w:t>0,017</w:t>
            </w:r>
          </w:p>
        </w:tc>
        <w:tc>
          <w:tcPr>
            <w:tcW w:w="1263" w:type="dxa"/>
            <w:hideMark/>
          </w:tcPr>
          <w:p w:rsidR="008F0C0F" w:rsidRPr="00E95779" w:rsidRDefault="008F0C0F" w:rsidP="00284F89">
            <w:pPr>
              <w:widowControl/>
              <w:autoSpaceDE/>
              <w:autoSpaceDN/>
              <w:spacing w:before="75" w:after="200" w:line="276" w:lineRule="auto"/>
              <w:ind w:right="436"/>
              <w:jc w:val="right"/>
              <w:rPr>
                <w:rFonts w:eastAsia="Arial" w:cstheme="minorHAnsi"/>
                <w:b/>
                <w:i/>
                <w:sz w:val="20"/>
                <w:szCs w:val="20"/>
                <w:lang w:val="cs-CZ"/>
              </w:rPr>
            </w:pPr>
            <w:r w:rsidRPr="00E95779">
              <w:rPr>
                <w:rFonts w:eastAsia="Arial" w:cstheme="minorHAnsi"/>
                <w:b/>
                <w:i/>
                <w:color w:val="231F20"/>
                <w:w w:val="95"/>
                <w:sz w:val="20"/>
                <w:szCs w:val="20"/>
              </w:rPr>
              <w:t>0,047</w:t>
            </w:r>
          </w:p>
        </w:tc>
        <w:tc>
          <w:tcPr>
            <w:tcW w:w="1274" w:type="dxa"/>
            <w:hideMark/>
          </w:tcPr>
          <w:p w:rsidR="008F0C0F" w:rsidRPr="00E95779" w:rsidRDefault="008F0C0F" w:rsidP="00284F89">
            <w:pPr>
              <w:widowControl/>
              <w:autoSpaceDE/>
              <w:autoSpaceDN/>
              <w:spacing w:before="75" w:after="200" w:line="276" w:lineRule="auto"/>
              <w:ind w:left="430"/>
              <w:rPr>
                <w:rFonts w:eastAsia="Arial" w:cstheme="minorHAnsi"/>
                <w:b/>
                <w:i/>
                <w:sz w:val="20"/>
                <w:szCs w:val="20"/>
                <w:lang w:val="cs-CZ"/>
              </w:rPr>
            </w:pPr>
            <w:r w:rsidRPr="00E95779">
              <w:rPr>
                <w:rFonts w:eastAsia="Arial" w:cstheme="minorHAnsi"/>
                <w:b/>
                <w:i/>
                <w:color w:val="231F20"/>
                <w:sz w:val="20"/>
                <w:szCs w:val="20"/>
              </w:rPr>
              <w:t>0,037</w:t>
            </w:r>
          </w:p>
        </w:tc>
        <w:tc>
          <w:tcPr>
            <w:tcW w:w="1255" w:type="dxa"/>
            <w:hideMark/>
          </w:tcPr>
          <w:p w:rsidR="008F0C0F" w:rsidRPr="0062347D" w:rsidRDefault="008F0C0F" w:rsidP="00284F89">
            <w:pPr>
              <w:widowControl/>
              <w:autoSpaceDE/>
              <w:autoSpaceDN/>
              <w:spacing w:before="75" w:after="200" w:line="276" w:lineRule="auto"/>
              <w:ind w:left="425"/>
              <w:rPr>
                <w:rFonts w:eastAsia="Arial" w:cstheme="minorHAnsi"/>
                <w:sz w:val="20"/>
                <w:szCs w:val="20"/>
                <w:lang w:val="cs-CZ"/>
              </w:rPr>
            </w:pPr>
            <w:r w:rsidRPr="0062347D">
              <w:rPr>
                <w:rFonts w:eastAsia="Arial" w:cstheme="minorHAnsi"/>
                <w:color w:val="231F20"/>
                <w:sz w:val="20"/>
                <w:szCs w:val="20"/>
              </w:rPr>
              <w:t>0,212</w:t>
            </w:r>
          </w:p>
        </w:tc>
        <w:tc>
          <w:tcPr>
            <w:tcW w:w="1215" w:type="dxa"/>
            <w:hideMark/>
          </w:tcPr>
          <w:p w:rsidR="008F0C0F" w:rsidRPr="0062347D" w:rsidRDefault="008F0C0F" w:rsidP="00284F89">
            <w:pPr>
              <w:widowControl/>
              <w:autoSpaceDE/>
              <w:autoSpaceDN/>
              <w:spacing w:before="75" w:after="200" w:line="276" w:lineRule="auto"/>
              <w:ind w:left="175" w:right="122"/>
              <w:jc w:val="center"/>
              <w:rPr>
                <w:rFonts w:eastAsia="Arial" w:cstheme="minorHAnsi"/>
                <w:sz w:val="20"/>
                <w:szCs w:val="20"/>
                <w:lang w:val="cs-CZ"/>
              </w:rPr>
            </w:pPr>
            <w:r w:rsidRPr="0062347D">
              <w:rPr>
                <w:rFonts w:eastAsia="Arial" w:cstheme="minorHAnsi"/>
                <w:color w:val="231F20"/>
                <w:sz w:val="20"/>
                <w:szCs w:val="20"/>
              </w:rPr>
              <w:t>0,443</w:t>
            </w:r>
          </w:p>
        </w:tc>
        <w:tc>
          <w:tcPr>
            <w:tcW w:w="1229" w:type="dxa"/>
            <w:hideMark/>
          </w:tcPr>
          <w:p w:rsidR="008F0C0F" w:rsidRPr="00E95779" w:rsidRDefault="008F0C0F" w:rsidP="00284F89">
            <w:pPr>
              <w:widowControl/>
              <w:autoSpaceDE/>
              <w:autoSpaceDN/>
              <w:spacing w:before="75" w:after="200" w:line="276" w:lineRule="auto"/>
              <w:ind w:left="407"/>
              <w:rPr>
                <w:rFonts w:eastAsia="Arial" w:cstheme="minorHAnsi"/>
                <w:b/>
                <w:i/>
                <w:sz w:val="20"/>
                <w:szCs w:val="20"/>
                <w:lang w:val="cs-CZ"/>
              </w:rPr>
            </w:pPr>
            <w:r w:rsidRPr="00E95779">
              <w:rPr>
                <w:rFonts w:eastAsia="Arial" w:cstheme="minorHAnsi"/>
                <w:b/>
                <w:i/>
                <w:color w:val="231F20"/>
                <w:sz w:val="20"/>
                <w:szCs w:val="20"/>
              </w:rPr>
              <w:t>0,020</w:t>
            </w:r>
          </w:p>
        </w:tc>
        <w:tc>
          <w:tcPr>
            <w:tcW w:w="1238" w:type="dxa"/>
            <w:hideMark/>
          </w:tcPr>
          <w:p w:rsidR="008F0C0F" w:rsidRPr="0062347D" w:rsidRDefault="008F0C0F" w:rsidP="00284F89">
            <w:pPr>
              <w:widowControl/>
              <w:autoSpaceDE/>
              <w:autoSpaceDN/>
              <w:spacing w:before="75" w:after="200" w:line="276" w:lineRule="auto"/>
              <w:ind w:left="129" w:right="88"/>
              <w:jc w:val="center"/>
              <w:rPr>
                <w:rFonts w:eastAsia="Arial" w:cstheme="minorHAnsi"/>
                <w:sz w:val="20"/>
                <w:szCs w:val="20"/>
                <w:lang w:val="cs-CZ"/>
              </w:rPr>
            </w:pPr>
            <w:r w:rsidRPr="0062347D">
              <w:rPr>
                <w:rFonts w:eastAsia="Arial" w:cstheme="minorHAnsi"/>
                <w:color w:val="231F20"/>
                <w:sz w:val="20"/>
                <w:szCs w:val="20"/>
              </w:rPr>
              <w:t>0,652</w:t>
            </w:r>
          </w:p>
        </w:tc>
        <w:tc>
          <w:tcPr>
            <w:tcW w:w="1187" w:type="dxa"/>
            <w:hideMark/>
          </w:tcPr>
          <w:p w:rsidR="008F0C0F" w:rsidRPr="0062347D" w:rsidRDefault="008F0C0F" w:rsidP="00284F89">
            <w:pPr>
              <w:widowControl/>
              <w:autoSpaceDE/>
              <w:autoSpaceDN/>
              <w:spacing w:before="75" w:after="200" w:line="276" w:lineRule="auto"/>
              <w:ind w:left="82" w:right="30"/>
              <w:jc w:val="center"/>
              <w:rPr>
                <w:rFonts w:eastAsia="Arial" w:cstheme="minorHAnsi"/>
                <w:sz w:val="20"/>
                <w:szCs w:val="20"/>
                <w:lang w:val="cs-CZ"/>
              </w:rPr>
            </w:pPr>
            <w:r w:rsidRPr="0062347D">
              <w:rPr>
                <w:rFonts w:eastAsia="Arial" w:cstheme="minorHAnsi"/>
                <w:color w:val="231F20"/>
                <w:sz w:val="20"/>
                <w:szCs w:val="20"/>
              </w:rPr>
              <w:t>0,926</w:t>
            </w:r>
          </w:p>
        </w:tc>
        <w:tc>
          <w:tcPr>
            <w:tcW w:w="1155" w:type="dxa"/>
            <w:hideMark/>
          </w:tcPr>
          <w:p w:rsidR="008F0C0F" w:rsidRPr="0062347D" w:rsidRDefault="008F0C0F" w:rsidP="00284F89">
            <w:pPr>
              <w:widowControl/>
              <w:autoSpaceDE/>
              <w:autoSpaceDN/>
              <w:spacing w:before="75" w:after="200" w:line="276" w:lineRule="auto"/>
              <w:ind w:left="81" w:right="52"/>
              <w:jc w:val="center"/>
              <w:rPr>
                <w:rFonts w:eastAsia="Arial" w:cstheme="minorHAnsi"/>
                <w:sz w:val="20"/>
                <w:szCs w:val="20"/>
                <w:lang w:val="cs-CZ"/>
              </w:rPr>
            </w:pPr>
            <w:r w:rsidRPr="0062347D">
              <w:rPr>
                <w:rFonts w:eastAsia="Arial" w:cstheme="minorHAnsi"/>
                <w:color w:val="231F20"/>
                <w:sz w:val="20"/>
                <w:szCs w:val="20"/>
              </w:rPr>
              <w:t>0,223</w:t>
            </w:r>
          </w:p>
        </w:tc>
      </w:tr>
      <w:tr w:rsidR="008F0C0F" w:rsidRPr="0062347D" w:rsidTr="00284F89">
        <w:trPr>
          <w:trHeight w:val="330"/>
        </w:trPr>
        <w:tc>
          <w:tcPr>
            <w:tcW w:w="1162" w:type="dxa"/>
            <w:hideMark/>
          </w:tcPr>
          <w:p w:rsidR="008F0C0F" w:rsidRPr="0062347D" w:rsidRDefault="0075421C" w:rsidP="0075421C">
            <w:pPr>
              <w:widowControl/>
              <w:autoSpaceDE/>
              <w:autoSpaceDN/>
              <w:spacing w:before="75" w:after="200" w:line="276" w:lineRule="auto"/>
              <w:ind w:left="113"/>
              <w:rPr>
                <w:rFonts w:eastAsia="Arial" w:cstheme="minorHAnsi"/>
                <w:sz w:val="20"/>
                <w:szCs w:val="20"/>
                <w:lang w:val="cs-CZ"/>
              </w:rPr>
            </w:pPr>
            <w:r>
              <w:rPr>
                <w:rFonts w:eastAsia="Arial" w:cstheme="minorHAnsi"/>
                <w:color w:val="231F20"/>
                <w:sz w:val="20"/>
                <w:szCs w:val="20"/>
              </w:rPr>
              <w:t>S RTG</w:t>
            </w:r>
            <w:r w:rsidR="008F0C0F" w:rsidRPr="0062347D">
              <w:rPr>
                <w:rFonts w:eastAsia="Arial" w:cstheme="minorHAnsi"/>
                <w:color w:val="231F20"/>
                <w:sz w:val="20"/>
                <w:szCs w:val="20"/>
              </w:rPr>
              <w:t xml:space="preserve"> ≥</w:t>
            </w:r>
            <w:r>
              <w:rPr>
                <w:rFonts w:eastAsia="Arial" w:cstheme="minorHAnsi"/>
                <w:color w:val="231F20"/>
                <w:sz w:val="20"/>
                <w:szCs w:val="20"/>
              </w:rPr>
              <w:t> </w:t>
            </w:r>
            <w:r w:rsidR="008F0C0F" w:rsidRPr="0062347D">
              <w:rPr>
                <w:rFonts w:eastAsia="Arial" w:cstheme="minorHAnsi"/>
                <w:color w:val="231F20"/>
                <w:sz w:val="20"/>
                <w:szCs w:val="20"/>
              </w:rPr>
              <w:t>3</w:t>
            </w:r>
          </w:p>
        </w:tc>
        <w:tc>
          <w:tcPr>
            <w:tcW w:w="1134" w:type="dxa"/>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1/26</w:t>
            </w:r>
          </w:p>
        </w:tc>
        <w:tc>
          <w:tcPr>
            <w:tcW w:w="1134" w:type="dxa"/>
            <w:hideMark/>
          </w:tcPr>
          <w:p w:rsidR="008F0C0F" w:rsidRPr="0062347D" w:rsidRDefault="008F0C0F" w:rsidP="00284F89">
            <w:pPr>
              <w:widowControl/>
              <w:autoSpaceDE/>
              <w:autoSpaceDN/>
              <w:spacing w:before="75" w:after="200" w:line="276" w:lineRule="auto"/>
              <w:ind w:right="414"/>
              <w:jc w:val="right"/>
              <w:rPr>
                <w:rFonts w:eastAsia="Arial" w:cstheme="minorHAnsi"/>
                <w:sz w:val="20"/>
                <w:szCs w:val="20"/>
                <w:lang w:val="cs-CZ"/>
              </w:rPr>
            </w:pPr>
            <w:r w:rsidRPr="0062347D">
              <w:rPr>
                <w:rFonts w:eastAsia="Arial" w:cstheme="minorHAnsi"/>
                <w:color w:val="231F20"/>
                <w:w w:val="95"/>
                <w:sz w:val="20"/>
                <w:szCs w:val="20"/>
              </w:rPr>
              <w:t>0,274</w:t>
            </w:r>
          </w:p>
        </w:tc>
        <w:tc>
          <w:tcPr>
            <w:tcW w:w="1298" w:type="dxa"/>
            <w:hideMark/>
          </w:tcPr>
          <w:p w:rsidR="008F0C0F" w:rsidRPr="0062347D" w:rsidRDefault="008F0C0F" w:rsidP="00284F89">
            <w:pPr>
              <w:widowControl/>
              <w:autoSpaceDE/>
              <w:autoSpaceDN/>
              <w:spacing w:before="75" w:after="200" w:line="276" w:lineRule="auto"/>
              <w:ind w:right="443"/>
              <w:jc w:val="right"/>
              <w:rPr>
                <w:rFonts w:eastAsia="Arial" w:cstheme="minorHAnsi"/>
                <w:sz w:val="20"/>
                <w:szCs w:val="20"/>
                <w:lang w:val="cs-CZ"/>
              </w:rPr>
            </w:pPr>
            <w:r w:rsidRPr="0062347D">
              <w:rPr>
                <w:rFonts w:eastAsia="Arial" w:cstheme="minorHAnsi"/>
                <w:color w:val="231F20"/>
                <w:w w:val="95"/>
                <w:sz w:val="20"/>
                <w:szCs w:val="20"/>
              </w:rPr>
              <w:t>0,898</w:t>
            </w:r>
          </w:p>
        </w:tc>
        <w:tc>
          <w:tcPr>
            <w:tcW w:w="1263" w:type="dxa"/>
            <w:hideMark/>
          </w:tcPr>
          <w:p w:rsidR="008F0C0F" w:rsidRPr="0062347D" w:rsidRDefault="008F0C0F" w:rsidP="00284F89">
            <w:pPr>
              <w:widowControl/>
              <w:autoSpaceDE/>
              <w:autoSpaceDN/>
              <w:spacing w:before="75" w:after="200" w:line="276" w:lineRule="auto"/>
              <w:ind w:right="436"/>
              <w:jc w:val="right"/>
              <w:rPr>
                <w:rFonts w:eastAsia="Arial" w:cstheme="minorHAnsi"/>
                <w:sz w:val="20"/>
                <w:szCs w:val="20"/>
                <w:lang w:val="cs-CZ"/>
              </w:rPr>
            </w:pPr>
            <w:r w:rsidRPr="0062347D">
              <w:rPr>
                <w:rFonts w:eastAsia="Arial" w:cstheme="minorHAnsi"/>
                <w:color w:val="231F20"/>
                <w:w w:val="95"/>
                <w:sz w:val="20"/>
                <w:szCs w:val="20"/>
              </w:rPr>
              <w:t>0,441</w:t>
            </w:r>
          </w:p>
        </w:tc>
        <w:tc>
          <w:tcPr>
            <w:tcW w:w="1274" w:type="dxa"/>
            <w:hideMark/>
          </w:tcPr>
          <w:p w:rsidR="008F0C0F" w:rsidRPr="0062347D" w:rsidRDefault="008F0C0F" w:rsidP="00284F89">
            <w:pPr>
              <w:widowControl/>
              <w:autoSpaceDE/>
              <w:autoSpaceDN/>
              <w:spacing w:before="75" w:after="200" w:line="276" w:lineRule="auto"/>
              <w:ind w:left="430"/>
              <w:rPr>
                <w:rFonts w:eastAsia="Arial" w:cstheme="minorHAnsi"/>
                <w:sz w:val="20"/>
                <w:szCs w:val="20"/>
                <w:lang w:val="cs-CZ"/>
              </w:rPr>
            </w:pPr>
            <w:r w:rsidRPr="0062347D">
              <w:rPr>
                <w:rFonts w:eastAsia="Arial" w:cstheme="minorHAnsi"/>
                <w:color w:val="231F20"/>
                <w:sz w:val="20"/>
                <w:szCs w:val="20"/>
              </w:rPr>
              <w:t>0,563</w:t>
            </w:r>
          </w:p>
        </w:tc>
        <w:tc>
          <w:tcPr>
            <w:tcW w:w="1255" w:type="dxa"/>
            <w:hideMark/>
          </w:tcPr>
          <w:p w:rsidR="008F0C0F" w:rsidRPr="0062347D" w:rsidRDefault="008F0C0F" w:rsidP="00284F89">
            <w:pPr>
              <w:widowControl/>
              <w:autoSpaceDE/>
              <w:autoSpaceDN/>
              <w:spacing w:before="75" w:after="200" w:line="276" w:lineRule="auto"/>
              <w:ind w:left="425"/>
              <w:rPr>
                <w:rFonts w:eastAsia="Arial" w:cstheme="minorHAnsi"/>
                <w:sz w:val="20"/>
                <w:szCs w:val="20"/>
                <w:lang w:val="cs-CZ"/>
              </w:rPr>
            </w:pPr>
            <w:r w:rsidRPr="0062347D">
              <w:rPr>
                <w:rFonts w:eastAsia="Arial" w:cstheme="minorHAnsi"/>
                <w:color w:val="231F20"/>
                <w:sz w:val="20"/>
                <w:szCs w:val="20"/>
              </w:rPr>
              <w:t>0,847</w:t>
            </w:r>
          </w:p>
        </w:tc>
        <w:tc>
          <w:tcPr>
            <w:tcW w:w="1215" w:type="dxa"/>
            <w:hideMark/>
          </w:tcPr>
          <w:p w:rsidR="008F0C0F" w:rsidRPr="0062347D" w:rsidRDefault="008F0C0F" w:rsidP="00284F89">
            <w:pPr>
              <w:widowControl/>
              <w:autoSpaceDE/>
              <w:autoSpaceDN/>
              <w:spacing w:before="75" w:after="200" w:line="276" w:lineRule="auto"/>
              <w:ind w:left="175" w:right="122"/>
              <w:jc w:val="center"/>
              <w:rPr>
                <w:rFonts w:eastAsia="Arial" w:cstheme="minorHAnsi"/>
                <w:sz w:val="20"/>
                <w:szCs w:val="20"/>
                <w:lang w:val="cs-CZ"/>
              </w:rPr>
            </w:pPr>
            <w:r w:rsidRPr="0062347D">
              <w:rPr>
                <w:rFonts w:eastAsia="Arial" w:cstheme="minorHAnsi"/>
                <w:color w:val="231F20"/>
                <w:sz w:val="20"/>
                <w:szCs w:val="20"/>
              </w:rPr>
              <w:t>0,456</w:t>
            </w:r>
          </w:p>
        </w:tc>
        <w:tc>
          <w:tcPr>
            <w:tcW w:w="1229" w:type="dxa"/>
            <w:hideMark/>
          </w:tcPr>
          <w:p w:rsidR="008F0C0F" w:rsidRPr="0062347D" w:rsidRDefault="008F0C0F" w:rsidP="00284F89">
            <w:pPr>
              <w:widowControl/>
              <w:autoSpaceDE/>
              <w:autoSpaceDN/>
              <w:spacing w:before="75" w:after="200" w:line="276" w:lineRule="auto"/>
              <w:ind w:left="407"/>
              <w:rPr>
                <w:rFonts w:eastAsia="Arial" w:cstheme="minorHAnsi"/>
                <w:sz w:val="20"/>
                <w:szCs w:val="20"/>
                <w:lang w:val="cs-CZ"/>
              </w:rPr>
            </w:pPr>
            <w:r w:rsidRPr="0062347D">
              <w:rPr>
                <w:rFonts w:eastAsia="Arial" w:cstheme="minorHAnsi"/>
                <w:color w:val="231F20"/>
                <w:sz w:val="20"/>
                <w:szCs w:val="20"/>
              </w:rPr>
              <w:t>0,898</w:t>
            </w:r>
          </w:p>
        </w:tc>
        <w:tc>
          <w:tcPr>
            <w:tcW w:w="1238" w:type="dxa"/>
            <w:hideMark/>
          </w:tcPr>
          <w:p w:rsidR="008F0C0F" w:rsidRPr="0062347D" w:rsidRDefault="008F0C0F" w:rsidP="00284F89">
            <w:pPr>
              <w:widowControl/>
              <w:autoSpaceDE/>
              <w:autoSpaceDN/>
              <w:spacing w:before="75" w:after="200" w:line="276" w:lineRule="auto"/>
              <w:ind w:left="129" w:right="88"/>
              <w:jc w:val="center"/>
              <w:rPr>
                <w:rFonts w:eastAsia="Arial" w:cstheme="minorHAnsi"/>
                <w:sz w:val="20"/>
                <w:szCs w:val="20"/>
                <w:lang w:val="cs-CZ"/>
              </w:rPr>
            </w:pPr>
            <w:r w:rsidRPr="0062347D">
              <w:rPr>
                <w:rFonts w:eastAsia="Arial" w:cstheme="minorHAnsi"/>
                <w:color w:val="231F20"/>
                <w:sz w:val="20"/>
                <w:szCs w:val="20"/>
              </w:rPr>
              <w:t>0,700</w:t>
            </w:r>
          </w:p>
        </w:tc>
        <w:tc>
          <w:tcPr>
            <w:tcW w:w="1187" w:type="dxa"/>
            <w:hideMark/>
          </w:tcPr>
          <w:p w:rsidR="008F0C0F" w:rsidRPr="0062347D" w:rsidRDefault="008F0C0F" w:rsidP="00284F89">
            <w:pPr>
              <w:widowControl/>
              <w:autoSpaceDE/>
              <w:autoSpaceDN/>
              <w:spacing w:before="75" w:after="200" w:line="276" w:lineRule="auto"/>
              <w:ind w:left="82" w:right="30"/>
              <w:jc w:val="center"/>
              <w:rPr>
                <w:rFonts w:eastAsia="Arial" w:cstheme="minorHAnsi"/>
                <w:sz w:val="20"/>
                <w:szCs w:val="20"/>
                <w:lang w:val="cs-CZ"/>
              </w:rPr>
            </w:pPr>
            <w:r w:rsidRPr="0062347D">
              <w:rPr>
                <w:rFonts w:eastAsia="Arial" w:cstheme="minorHAnsi"/>
                <w:color w:val="231F20"/>
                <w:sz w:val="20"/>
                <w:szCs w:val="20"/>
              </w:rPr>
              <w:t>0,898</w:t>
            </w:r>
          </w:p>
        </w:tc>
        <w:tc>
          <w:tcPr>
            <w:tcW w:w="1155" w:type="dxa"/>
            <w:hideMark/>
          </w:tcPr>
          <w:p w:rsidR="008F0C0F" w:rsidRPr="0062347D" w:rsidRDefault="008F0C0F" w:rsidP="00284F89">
            <w:pPr>
              <w:widowControl/>
              <w:autoSpaceDE/>
              <w:autoSpaceDN/>
              <w:spacing w:before="75" w:after="200" w:line="276" w:lineRule="auto"/>
              <w:ind w:left="81" w:right="52"/>
              <w:jc w:val="center"/>
              <w:rPr>
                <w:rFonts w:eastAsia="Arial" w:cstheme="minorHAnsi"/>
                <w:sz w:val="20"/>
                <w:szCs w:val="20"/>
                <w:lang w:val="cs-CZ"/>
              </w:rPr>
            </w:pPr>
            <w:r w:rsidRPr="0062347D">
              <w:rPr>
                <w:rFonts w:eastAsia="Arial" w:cstheme="minorHAnsi"/>
                <w:color w:val="231F20"/>
                <w:sz w:val="20"/>
                <w:szCs w:val="20"/>
              </w:rPr>
              <w:t>0,459</w:t>
            </w:r>
          </w:p>
        </w:tc>
      </w:tr>
      <w:tr w:rsidR="008F0C0F" w:rsidRPr="0062347D" w:rsidTr="00284F89">
        <w:trPr>
          <w:trHeight w:val="330"/>
        </w:trPr>
        <w:tc>
          <w:tcPr>
            <w:tcW w:w="1162" w:type="dxa"/>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IPF</w:t>
            </w:r>
          </w:p>
        </w:tc>
        <w:tc>
          <w:tcPr>
            <w:tcW w:w="1134" w:type="dxa"/>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4/22</w:t>
            </w:r>
          </w:p>
        </w:tc>
        <w:tc>
          <w:tcPr>
            <w:tcW w:w="1134" w:type="dxa"/>
            <w:hideMark/>
          </w:tcPr>
          <w:p w:rsidR="008F0C0F" w:rsidRPr="0062347D" w:rsidRDefault="008F0C0F" w:rsidP="00284F89">
            <w:pPr>
              <w:widowControl/>
              <w:autoSpaceDE/>
              <w:autoSpaceDN/>
              <w:spacing w:before="75" w:after="200" w:line="276" w:lineRule="auto"/>
              <w:ind w:right="414"/>
              <w:jc w:val="right"/>
              <w:rPr>
                <w:rFonts w:eastAsia="Arial" w:cstheme="minorHAnsi"/>
                <w:sz w:val="20"/>
                <w:szCs w:val="20"/>
                <w:lang w:val="cs-CZ"/>
              </w:rPr>
            </w:pPr>
            <w:r w:rsidRPr="0062347D">
              <w:rPr>
                <w:rFonts w:eastAsia="Arial" w:cstheme="minorHAnsi"/>
                <w:color w:val="231F20"/>
                <w:w w:val="95"/>
                <w:sz w:val="20"/>
                <w:szCs w:val="20"/>
              </w:rPr>
              <w:t>0,726</w:t>
            </w:r>
          </w:p>
        </w:tc>
        <w:tc>
          <w:tcPr>
            <w:tcW w:w="1298" w:type="dxa"/>
            <w:hideMark/>
          </w:tcPr>
          <w:p w:rsidR="008F0C0F" w:rsidRPr="0062347D" w:rsidRDefault="008F0C0F" w:rsidP="00284F89">
            <w:pPr>
              <w:widowControl/>
              <w:autoSpaceDE/>
              <w:autoSpaceDN/>
              <w:spacing w:before="75" w:after="200" w:line="276" w:lineRule="auto"/>
              <w:ind w:right="443"/>
              <w:jc w:val="right"/>
              <w:rPr>
                <w:rFonts w:eastAsia="Arial" w:cstheme="minorHAnsi"/>
                <w:sz w:val="20"/>
                <w:szCs w:val="20"/>
                <w:lang w:val="cs-CZ"/>
              </w:rPr>
            </w:pPr>
            <w:r w:rsidRPr="0062347D">
              <w:rPr>
                <w:rFonts w:eastAsia="Arial" w:cstheme="minorHAnsi"/>
                <w:color w:val="231F20"/>
                <w:w w:val="95"/>
                <w:sz w:val="20"/>
                <w:szCs w:val="20"/>
              </w:rPr>
              <w:t>0,056</w:t>
            </w:r>
          </w:p>
        </w:tc>
        <w:tc>
          <w:tcPr>
            <w:tcW w:w="1263" w:type="dxa"/>
            <w:hideMark/>
          </w:tcPr>
          <w:p w:rsidR="008F0C0F" w:rsidRPr="0062347D" w:rsidRDefault="008F0C0F" w:rsidP="00284F89">
            <w:pPr>
              <w:widowControl/>
              <w:autoSpaceDE/>
              <w:autoSpaceDN/>
              <w:spacing w:before="75" w:after="200" w:line="276" w:lineRule="auto"/>
              <w:ind w:right="436"/>
              <w:jc w:val="right"/>
              <w:rPr>
                <w:rFonts w:eastAsia="Arial" w:cstheme="minorHAnsi"/>
                <w:sz w:val="20"/>
                <w:szCs w:val="20"/>
                <w:lang w:val="cs-CZ"/>
              </w:rPr>
            </w:pPr>
            <w:r w:rsidRPr="0062347D">
              <w:rPr>
                <w:rFonts w:eastAsia="Arial" w:cstheme="minorHAnsi"/>
                <w:color w:val="231F20"/>
                <w:w w:val="95"/>
                <w:sz w:val="20"/>
                <w:szCs w:val="20"/>
              </w:rPr>
              <w:t>0,252</w:t>
            </w:r>
          </w:p>
        </w:tc>
        <w:tc>
          <w:tcPr>
            <w:tcW w:w="1274" w:type="dxa"/>
            <w:hideMark/>
          </w:tcPr>
          <w:p w:rsidR="008F0C0F" w:rsidRPr="00E95779" w:rsidRDefault="008F0C0F" w:rsidP="00284F89">
            <w:pPr>
              <w:widowControl/>
              <w:autoSpaceDE/>
              <w:autoSpaceDN/>
              <w:spacing w:before="75" w:after="200" w:line="276" w:lineRule="auto"/>
              <w:ind w:left="430"/>
              <w:rPr>
                <w:rFonts w:eastAsia="Arial" w:cstheme="minorHAnsi"/>
                <w:b/>
                <w:i/>
                <w:sz w:val="20"/>
                <w:szCs w:val="20"/>
                <w:lang w:val="cs-CZ"/>
              </w:rPr>
            </w:pPr>
            <w:r w:rsidRPr="00E95779">
              <w:rPr>
                <w:rFonts w:eastAsia="Arial" w:cstheme="minorHAnsi"/>
                <w:b/>
                <w:i/>
                <w:color w:val="231F20"/>
                <w:sz w:val="20"/>
                <w:szCs w:val="20"/>
              </w:rPr>
              <w:t>0,052</w:t>
            </w:r>
          </w:p>
        </w:tc>
        <w:tc>
          <w:tcPr>
            <w:tcW w:w="1255" w:type="dxa"/>
            <w:hideMark/>
          </w:tcPr>
          <w:p w:rsidR="008F0C0F" w:rsidRPr="0062347D" w:rsidRDefault="008F0C0F" w:rsidP="00284F89">
            <w:pPr>
              <w:widowControl/>
              <w:autoSpaceDE/>
              <w:autoSpaceDN/>
              <w:spacing w:before="75" w:after="200" w:line="276" w:lineRule="auto"/>
              <w:ind w:left="425"/>
              <w:rPr>
                <w:rFonts w:eastAsia="Arial" w:cstheme="minorHAnsi"/>
                <w:sz w:val="20"/>
                <w:szCs w:val="20"/>
                <w:lang w:val="cs-CZ"/>
              </w:rPr>
            </w:pPr>
            <w:r w:rsidRPr="0062347D">
              <w:rPr>
                <w:rFonts w:eastAsia="Arial" w:cstheme="minorHAnsi"/>
                <w:color w:val="231F20"/>
                <w:sz w:val="20"/>
                <w:szCs w:val="20"/>
              </w:rPr>
              <w:t>0,799</w:t>
            </w:r>
          </w:p>
        </w:tc>
        <w:tc>
          <w:tcPr>
            <w:tcW w:w="1215" w:type="dxa"/>
            <w:hideMark/>
          </w:tcPr>
          <w:p w:rsidR="008F0C0F" w:rsidRPr="0062347D" w:rsidRDefault="008F0C0F" w:rsidP="00284F89">
            <w:pPr>
              <w:widowControl/>
              <w:autoSpaceDE/>
              <w:autoSpaceDN/>
              <w:spacing w:before="75" w:after="200" w:line="276" w:lineRule="auto"/>
              <w:ind w:left="175" w:right="122"/>
              <w:jc w:val="center"/>
              <w:rPr>
                <w:rFonts w:eastAsia="Arial" w:cstheme="minorHAnsi"/>
                <w:sz w:val="20"/>
                <w:szCs w:val="20"/>
                <w:lang w:val="cs-CZ"/>
              </w:rPr>
            </w:pPr>
            <w:r w:rsidRPr="0062347D">
              <w:rPr>
                <w:rFonts w:eastAsia="Arial" w:cstheme="minorHAnsi"/>
                <w:color w:val="231F20"/>
                <w:sz w:val="20"/>
                <w:szCs w:val="20"/>
              </w:rPr>
              <w:t>0,947</w:t>
            </w:r>
          </w:p>
        </w:tc>
        <w:tc>
          <w:tcPr>
            <w:tcW w:w="1229" w:type="dxa"/>
            <w:hideMark/>
          </w:tcPr>
          <w:p w:rsidR="008F0C0F" w:rsidRPr="00E95779" w:rsidRDefault="008F0C0F" w:rsidP="00284F89">
            <w:pPr>
              <w:widowControl/>
              <w:autoSpaceDE/>
              <w:autoSpaceDN/>
              <w:spacing w:before="75" w:after="200" w:line="276" w:lineRule="auto"/>
              <w:ind w:left="407"/>
              <w:rPr>
                <w:rFonts w:eastAsia="Arial" w:cstheme="minorHAnsi"/>
                <w:b/>
                <w:i/>
                <w:sz w:val="20"/>
                <w:szCs w:val="20"/>
                <w:lang w:val="cs-CZ"/>
              </w:rPr>
            </w:pPr>
            <w:r w:rsidRPr="00E95779">
              <w:rPr>
                <w:rFonts w:eastAsia="Arial" w:cstheme="minorHAnsi"/>
                <w:b/>
                <w:i/>
                <w:color w:val="231F20"/>
                <w:sz w:val="20"/>
                <w:szCs w:val="20"/>
              </w:rPr>
              <w:t>0,042</w:t>
            </w:r>
          </w:p>
        </w:tc>
        <w:tc>
          <w:tcPr>
            <w:tcW w:w="1238" w:type="dxa"/>
            <w:hideMark/>
          </w:tcPr>
          <w:p w:rsidR="008F0C0F" w:rsidRPr="0062347D" w:rsidRDefault="008F0C0F" w:rsidP="00284F89">
            <w:pPr>
              <w:widowControl/>
              <w:autoSpaceDE/>
              <w:autoSpaceDN/>
              <w:spacing w:before="75" w:after="200" w:line="276" w:lineRule="auto"/>
              <w:ind w:left="129" w:right="88"/>
              <w:jc w:val="center"/>
              <w:rPr>
                <w:rFonts w:eastAsia="Arial" w:cstheme="minorHAnsi"/>
                <w:sz w:val="20"/>
                <w:szCs w:val="20"/>
                <w:lang w:val="cs-CZ"/>
              </w:rPr>
            </w:pPr>
            <w:r w:rsidRPr="0062347D">
              <w:rPr>
                <w:rFonts w:eastAsia="Arial" w:cstheme="minorHAnsi"/>
                <w:color w:val="231F20"/>
                <w:sz w:val="20"/>
                <w:szCs w:val="20"/>
              </w:rPr>
              <w:t>0,161</w:t>
            </w:r>
          </w:p>
        </w:tc>
        <w:tc>
          <w:tcPr>
            <w:tcW w:w="1187" w:type="dxa"/>
            <w:hideMark/>
          </w:tcPr>
          <w:p w:rsidR="008F0C0F" w:rsidRPr="0062347D" w:rsidRDefault="008F0C0F" w:rsidP="00284F89">
            <w:pPr>
              <w:widowControl/>
              <w:autoSpaceDE/>
              <w:autoSpaceDN/>
              <w:spacing w:before="75" w:after="200" w:line="276" w:lineRule="auto"/>
              <w:ind w:left="82" w:right="30"/>
              <w:jc w:val="center"/>
              <w:rPr>
                <w:rFonts w:eastAsia="Arial" w:cstheme="minorHAnsi"/>
                <w:sz w:val="20"/>
                <w:szCs w:val="20"/>
                <w:lang w:val="cs-CZ"/>
              </w:rPr>
            </w:pPr>
            <w:r w:rsidRPr="0062347D">
              <w:rPr>
                <w:rFonts w:eastAsia="Arial" w:cstheme="minorHAnsi"/>
                <w:color w:val="231F20"/>
                <w:sz w:val="20"/>
                <w:szCs w:val="20"/>
              </w:rPr>
              <w:t>0,105</w:t>
            </w:r>
          </w:p>
        </w:tc>
        <w:tc>
          <w:tcPr>
            <w:tcW w:w="1155" w:type="dxa"/>
            <w:hideMark/>
          </w:tcPr>
          <w:p w:rsidR="008F0C0F" w:rsidRPr="0062347D" w:rsidRDefault="008F0C0F" w:rsidP="00284F89">
            <w:pPr>
              <w:widowControl/>
              <w:autoSpaceDE/>
              <w:autoSpaceDN/>
              <w:spacing w:before="75" w:after="200" w:line="276" w:lineRule="auto"/>
              <w:ind w:left="81" w:right="52"/>
              <w:jc w:val="center"/>
              <w:rPr>
                <w:rFonts w:eastAsia="Arial" w:cstheme="minorHAnsi"/>
                <w:sz w:val="20"/>
                <w:szCs w:val="20"/>
                <w:lang w:val="cs-CZ"/>
              </w:rPr>
            </w:pPr>
            <w:r w:rsidRPr="0062347D">
              <w:rPr>
                <w:rFonts w:eastAsia="Arial" w:cstheme="minorHAnsi"/>
                <w:color w:val="231F20"/>
                <w:sz w:val="20"/>
                <w:szCs w:val="20"/>
              </w:rPr>
              <w:t>1,000</w:t>
            </w:r>
          </w:p>
        </w:tc>
      </w:tr>
      <w:tr w:rsidR="008F0C0F" w:rsidRPr="0062347D" w:rsidTr="00284F89">
        <w:trPr>
          <w:trHeight w:val="330"/>
        </w:trPr>
        <w:tc>
          <w:tcPr>
            <w:tcW w:w="1162" w:type="dxa"/>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OIIP</w:t>
            </w:r>
          </w:p>
        </w:tc>
        <w:tc>
          <w:tcPr>
            <w:tcW w:w="1134" w:type="dxa"/>
            <w:hideMark/>
          </w:tcPr>
          <w:p w:rsidR="008F0C0F" w:rsidRPr="0062347D" w:rsidRDefault="008F0C0F" w:rsidP="00284F89">
            <w:pPr>
              <w:widowControl/>
              <w:autoSpaceDE/>
              <w:autoSpaceDN/>
              <w:spacing w:before="75" w:after="200" w:line="276" w:lineRule="auto"/>
              <w:ind w:left="356"/>
              <w:rPr>
                <w:rFonts w:eastAsia="Arial" w:cstheme="minorHAnsi"/>
                <w:sz w:val="20"/>
                <w:szCs w:val="20"/>
                <w:lang w:val="cs-CZ"/>
              </w:rPr>
            </w:pPr>
            <w:r w:rsidRPr="0062347D">
              <w:rPr>
                <w:rFonts w:eastAsia="Arial" w:cstheme="minorHAnsi"/>
                <w:color w:val="231F20"/>
                <w:sz w:val="20"/>
                <w:szCs w:val="20"/>
              </w:rPr>
              <w:t>15/39</w:t>
            </w:r>
          </w:p>
        </w:tc>
        <w:tc>
          <w:tcPr>
            <w:tcW w:w="1134" w:type="dxa"/>
            <w:hideMark/>
          </w:tcPr>
          <w:p w:rsidR="008F0C0F" w:rsidRPr="0062347D" w:rsidRDefault="008F0C0F" w:rsidP="00284F89">
            <w:pPr>
              <w:widowControl/>
              <w:autoSpaceDE/>
              <w:autoSpaceDN/>
              <w:spacing w:before="75" w:after="200" w:line="276" w:lineRule="auto"/>
              <w:ind w:right="414"/>
              <w:jc w:val="right"/>
              <w:rPr>
                <w:rFonts w:eastAsia="Arial" w:cstheme="minorHAnsi"/>
                <w:sz w:val="20"/>
                <w:szCs w:val="20"/>
                <w:lang w:val="cs-CZ"/>
              </w:rPr>
            </w:pPr>
            <w:r w:rsidRPr="0062347D">
              <w:rPr>
                <w:rFonts w:eastAsia="Arial" w:cstheme="minorHAnsi"/>
                <w:color w:val="231F20"/>
                <w:w w:val="95"/>
                <w:sz w:val="20"/>
                <w:szCs w:val="20"/>
              </w:rPr>
              <w:t>0,757</w:t>
            </w:r>
          </w:p>
        </w:tc>
        <w:tc>
          <w:tcPr>
            <w:tcW w:w="1298" w:type="dxa"/>
            <w:hideMark/>
          </w:tcPr>
          <w:p w:rsidR="008F0C0F" w:rsidRPr="0062347D" w:rsidRDefault="008F0C0F" w:rsidP="00284F89">
            <w:pPr>
              <w:widowControl/>
              <w:autoSpaceDE/>
              <w:autoSpaceDN/>
              <w:spacing w:before="75" w:after="200" w:line="276" w:lineRule="auto"/>
              <w:ind w:right="443"/>
              <w:jc w:val="right"/>
              <w:rPr>
                <w:rFonts w:eastAsia="Arial" w:cstheme="minorHAnsi"/>
                <w:sz w:val="20"/>
                <w:szCs w:val="20"/>
                <w:lang w:val="cs-CZ"/>
              </w:rPr>
            </w:pPr>
            <w:r w:rsidRPr="0062347D">
              <w:rPr>
                <w:rFonts w:eastAsia="Arial" w:cstheme="minorHAnsi"/>
                <w:color w:val="231F20"/>
                <w:w w:val="95"/>
                <w:sz w:val="20"/>
                <w:szCs w:val="20"/>
              </w:rPr>
              <w:t>0,072</w:t>
            </w:r>
          </w:p>
        </w:tc>
        <w:tc>
          <w:tcPr>
            <w:tcW w:w="1263" w:type="dxa"/>
            <w:hideMark/>
          </w:tcPr>
          <w:p w:rsidR="008F0C0F" w:rsidRPr="00E95779" w:rsidRDefault="008F0C0F" w:rsidP="00284F89">
            <w:pPr>
              <w:widowControl/>
              <w:autoSpaceDE/>
              <w:autoSpaceDN/>
              <w:spacing w:before="75" w:after="200" w:line="276" w:lineRule="auto"/>
              <w:ind w:right="436"/>
              <w:jc w:val="right"/>
              <w:rPr>
                <w:rFonts w:eastAsia="Arial" w:cstheme="minorHAnsi"/>
                <w:b/>
                <w:i/>
                <w:sz w:val="20"/>
                <w:szCs w:val="20"/>
                <w:lang w:val="cs-CZ"/>
              </w:rPr>
            </w:pPr>
            <w:r w:rsidRPr="00E95779">
              <w:rPr>
                <w:rFonts w:eastAsia="Arial" w:cstheme="minorHAnsi"/>
                <w:b/>
                <w:i/>
                <w:color w:val="231F20"/>
                <w:w w:val="95"/>
                <w:sz w:val="20"/>
                <w:szCs w:val="20"/>
              </w:rPr>
              <w:t>0,002</w:t>
            </w:r>
          </w:p>
        </w:tc>
        <w:tc>
          <w:tcPr>
            <w:tcW w:w="1274" w:type="dxa"/>
            <w:hideMark/>
          </w:tcPr>
          <w:p w:rsidR="008F0C0F" w:rsidRPr="00E95779" w:rsidRDefault="008F0C0F" w:rsidP="00284F89">
            <w:pPr>
              <w:widowControl/>
              <w:autoSpaceDE/>
              <w:autoSpaceDN/>
              <w:spacing w:before="75" w:after="200" w:line="276" w:lineRule="auto"/>
              <w:ind w:left="430"/>
              <w:rPr>
                <w:rFonts w:eastAsia="Arial" w:cstheme="minorHAnsi"/>
                <w:b/>
                <w:i/>
                <w:sz w:val="20"/>
                <w:szCs w:val="20"/>
                <w:lang w:val="cs-CZ"/>
              </w:rPr>
            </w:pPr>
            <w:r w:rsidRPr="00E95779">
              <w:rPr>
                <w:rFonts w:eastAsia="Arial" w:cstheme="minorHAnsi"/>
                <w:b/>
                <w:i/>
                <w:color w:val="231F20"/>
                <w:sz w:val="20"/>
                <w:szCs w:val="20"/>
              </w:rPr>
              <w:t>0,004</w:t>
            </w:r>
          </w:p>
        </w:tc>
        <w:tc>
          <w:tcPr>
            <w:tcW w:w="1255" w:type="dxa"/>
            <w:hideMark/>
          </w:tcPr>
          <w:p w:rsidR="008F0C0F" w:rsidRPr="0062347D" w:rsidRDefault="008F0C0F" w:rsidP="00284F89">
            <w:pPr>
              <w:widowControl/>
              <w:autoSpaceDE/>
              <w:autoSpaceDN/>
              <w:spacing w:before="75" w:after="200" w:line="276" w:lineRule="auto"/>
              <w:ind w:left="425"/>
              <w:rPr>
                <w:rFonts w:eastAsia="Arial" w:cstheme="minorHAnsi"/>
                <w:sz w:val="20"/>
                <w:szCs w:val="20"/>
                <w:lang w:val="cs-CZ"/>
              </w:rPr>
            </w:pPr>
            <w:r w:rsidRPr="0062347D">
              <w:rPr>
                <w:rFonts w:eastAsia="Arial" w:cstheme="minorHAnsi"/>
                <w:color w:val="231F20"/>
                <w:sz w:val="20"/>
                <w:szCs w:val="20"/>
              </w:rPr>
              <w:t>0,134</w:t>
            </w:r>
          </w:p>
        </w:tc>
        <w:tc>
          <w:tcPr>
            <w:tcW w:w="1215" w:type="dxa"/>
            <w:hideMark/>
          </w:tcPr>
          <w:p w:rsidR="008F0C0F" w:rsidRPr="0062347D" w:rsidRDefault="008F0C0F" w:rsidP="00284F89">
            <w:pPr>
              <w:widowControl/>
              <w:autoSpaceDE/>
              <w:autoSpaceDN/>
              <w:spacing w:before="75" w:after="200" w:line="276" w:lineRule="auto"/>
              <w:ind w:left="175" w:right="122"/>
              <w:jc w:val="center"/>
              <w:rPr>
                <w:rFonts w:eastAsia="Arial" w:cstheme="minorHAnsi"/>
                <w:sz w:val="20"/>
                <w:szCs w:val="20"/>
                <w:lang w:val="cs-CZ"/>
              </w:rPr>
            </w:pPr>
            <w:r w:rsidRPr="0062347D">
              <w:rPr>
                <w:rFonts w:eastAsia="Arial" w:cstheme="minorHAnsi"/>
                <w:color w:val="231F20"/>
                <w:sz w:val="20"/>
                <w:szCs w:val="20"/>
              </w:rPr>
              <w:t>0,928</w:t>
            </w:r>
          </w:p>
        </w:tc>
        <w:tc>
          <w:tcPr>
            <w:tcW w:w="1229" w:type="dxa"/>
            <w:hideMark/>
          </w:tcPr>
          <w:p w:rsidR="008F0C0F" w:rsidRPr="00E95779" w:rsidRDefault="008F0C0F" w:rsidP="00284F89">
            <w:pPr>
              <w:widowControl/>
              <w:autoSpaceDE/>
              <w:autoSpaceDN/>
              <w:spacing w:before="75" w:after="200" w:line="276" w:lineRule="auto"/>
              <w:ind w:left="407"/>
              <w:rPr>
                <w:rFonts w:eastAsia="Arial" w:cstheme="minorHAnsi"/>
                <w:b/>
                <w:i/>
                <w:sz w:val="20"/>
                <w:szCs w:val="20"/>
                <w:lang w:val="cs-CZ"/>
              </w:rPr>
            </w:pPr>
            <w:r w:rsidRPr="00E95779">
              <w:rPr>
                <w:rFonts w:eastAsia="Arial" w:cstheme="minorHAnsi"/>
                <w:b/>
                <w:i/>
                <w:color w:val="231F20"/>
                <w:sz w:val="20"/>
                <w:szCs w:val="20"/>
              </w:rPr>
              <w:t>0,021</w:t>
            </w:r>
          </w:p>
        </w:tc>
        <w:tc>
          <w:tcPr>
            <w:tcW w:w="1238" w:type="dxa"/>
            <w:hideMark/>
          </w:tcPr>
          <w:p w:rsidR="008F0C0F" w:rsidRPr="0062347D" w:rsidRDefault="008F0C0F" w:rsidP="00284F89">
            <w:pPr>
              <w:widowControl/>
              <w:autoSpaceDE/>
              <w:autoSpaceDN/>
              <w:spacing w:before="75" w:after="200" w:line="276" w:lineRule="auto"/>
              <w:ind w:left="129" w:right="88"/>
              <w:jc w:val="center"/>
              <w:rPr>
                <w:rFonts w:eastAsia="Arial" w:cstheme="minorHAnsi"/>
                <w:sz w:val="20"/>
                <w:szCs w:val="20"/>
                <w:lang w:val="cs-CZ"/>
              </w:rPr>
            </w:pPr>
            <w:r w:rsidRPr="0062347D">
              <w:rPr>
                <w:rFonts w:eastAsia="Arial" w:cstheme="minorHAnsi"/>
                <w:color w:val="231F20"/>
                <w:sz w:val="20"/>
                <w:szCs w:val="20"/>
              </w:rPr>
              <w:t>0,258</w:t>
            </w:r>
          </w:p>
        </w:tc>
        <w:tc>
          <w:tcPr>
            <w:tcW w:w="1187" w:type="dxa"/>
            <w:hideMark/>
          </w:tcPr>
          <w:p w:rsidR="008F0C0F" w:rsidRPr="0062347D" w:rsidRDefault="008F0C0F" w:rsidP="00284F89">
            <w:pPr>
              <w:widowControl/>
              <w:autoSpaceDE/>
              <w:autoSpaceDN/>
              <w:spacing w:before="75" w:after="200" w:line="276" w:lineRule="auto"/>
              <w:ind w:left="82" w:right="30"/>
              <w:jc w:val="center"/>
              <w:rPr>
                <w:rFonts w:eastAsia="Arial" w:cstheme="minorHAnsi"/>
                <w:sz w:val="20"/>
                <w:szCs w:val="20"/>
                <w:lang w:val="cs-CZ"/>
              </w:rPr>
            </w:pPr>
            <w:r w:rsidRPr="0062347D">
              <w:rPr>
                <w:rFonts w:eastAsia="Arial" w:cstheme="minorHAnsi"/>
                <w:color w:val="231F20"/>
                <w:sz w:val="20"/>
                <w:szCs w:val="20"/>
              </w:rPr>
              <w:t>0,568</w:t>
            </w:r>
          </w:p>
        </w:tc>
        <w:tc>
          <w:tcPr>
            <w:tcW w:w="1155" w:type="dxa"/>
            <w:hideMark/>
          </w:tcPr>
          <w:p w:rsidR="008F0C0F" w:rsidRPr="0062347D" w:rsidRDefault="008F0C0F" w:rsidP="00284F89">
            <w:pPr>
              <w:widowControl/>
              <w:autoSpaceDE/>
              <w:autoSpaceDN/>
              <w:spacing w:before="75" w:after="200" w:line="276" w:lineRule="auto"/>
              <w:ind w:left="81" w:right="52"/>
              <w:jc w:val="center"/>
              <w:rPr>
                <w:rFonts w:eastAsia="Arial" w:cstheme="minorHAnsi"/>
                <w:sz w:val="20"/>
                <w:szCs w:val="20"/>
                <w:lang w:val="cs-CZ"/>
              </w:rPr>
            </w:pPr>
            <w:r w:rsidRPr="0062347D">
              <w:rPr>
                <w:rFonts w:eastAsia="Arial" w:cstheme="minorHAnsi"/>
                <w:color w:val="231F20"/>
                <w:sz w:val="20"/>
                <w:szCs w:val="20"/>
              </w:rPr>
              <w:t>0,492</w:t>
            </w:r>
          </w:p>
        </w:tc>
      </w:tr>
      <w:tr w:rsidR="008F0C0F" w:rsidRPr="0062347D" w:rsidTr="00284F89">
        <w:trPr>
          <w:trHeight w:val="328"/>
        </w:trPr>
        <w:tc>
          <w:tcPr>
            <w:tcW w:w="1162"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HP</w:t>
            </w:r>
          </w:p>
        </w:tc>
        <w:tc>
          <w:tcPr>
            <w:tcW w:w="1134"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3/15</w:t>
            </w:r>
          </w:p>
        </w:tc>
        <w:tc>
          <w:tcPr>
            <w:tcW w:w="1134"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right="414"/>
              <w:jc w:val="right"/>
              <w:rPr>
                <w:rFonts w:eastAsia="Arial" w:cstheme="minorHAnsi"/>
                <w:sz w:val="20"/>
                <w:szCs w:val="20"/>
                <w:lang w:val="cs-CZ"/>
              </w:rPr>
            </w:pPr>
            <w:r w:rsidRPr="0062347D">
              <w:rPr>
                <w:rFonts w:eastAsia="Arial" w:cstheme="minorHAnsi"/>
                <w:color w:val="231F20"/>
                <w:w w:val="95"/>
                <w:sz w:val="20"/>
                <w:szCs w:val="20"/>
              </w:rPr>
              <w:t>0,097</w:t>
            </w:r>
          </w:p>
        </w:tc>
        <w:tc>
          <w:tcPr>
            <w:tcW w:w="1298"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right="443"/>
              <w:jc w:val="right"/>
              <w:rPr>
                <w:rFonts w:eastAsia="Arial" w:cstheme="minorHAnsi"/>
                <w:sz w:val="20"/>
                <w:szCs w:val="20"/>
                <w:lang w:val="cs-CZ"/>
              </w:rPr>
            </w:pPr>
            <w:r w:rsidRPr="0062347D">
              <w:rPr>
                <w:rFonts w:eastAsia="Arial" w:cstheme="minorHAnsi"/>
                <w:color w:val="231F20"/>
                <w:w w:val="95"/>
                <w:sz w:val="20"/>
                <w:szCs w:val="20"/>
              </w:rPr>
              <w:t>0,405</w:t>
            </w:r>
          </w:p>
        </w:tc>
        <w:tc>
          <w:tcPr>
            <w:tcW w:w="1263" w:type="dxa"/>
            <w:tcBorders>
              <w:top w:val="nil"/>
              <w:left w:val="nil"/>
              <w:bottom w:val="single" w:sz="4" w:space="0" w:color="231F20"/>
              <w:right w:val="nil"/>
            </w:tcBorders>
            <w:hideMark/>
          </w:tcPr>
          <w:p w:rsidR="008F0C0F" w:rsidRPr="00E95779" w:rsidRDefault="008F0C0F" w:rsidP="00284F89">
            <w:pPr>
              <w:widowControl/>
              <w:autoSpaceDE/>
              <w:autoSpaceDN/>
              <w:spacing w:before="75" w:after="200" w:line="276" w:lineRule="auto"/>
              <w:ind w:right="436"/>
              <w:jc w:val="right"/>
              <w:rPr>
                <w:rFonts w:eastAsia="Arial" w:cstheme="minorHAnsi"/>
                <w:b/>
                <w:i/>
                <w:sz w:val="20"/>
                <w:szCs w:val="20"/>
                <w:lang w:val="cs-CZ"/>
              </w:rPr>
            </w:pPr>
            <w:r w:rsidRPr="00E95779">
              <w:rPr>
                <w:rFonts w:eastAsia="Arial" w:cstheme="minorHAnsi"/>
                <w:b/>
                <w:i/>
                <w:color w:val="231F20"/>
                <w:w w:val="95"/>
                <w:sz w:val="20"/>
                <w:szCs w:val="20"/>
              </w:rPr>
              <w:t>0,028</w:t>
            </w:r>
          </w:p>
        </w:tc>
        <w:tc>
          <w:tcPr>
            <w:tcW w:w="1274" w:type="dxa"/>
            <w:tcBorders>
              <w:top w:val="nil"/>
              <w:left w:val="nil"/>
              <w:bottom w:val="single" w:sz="4" w:space="0" w:color="231F20"/>
              <w:right w:val="nil"/>
            </w:tcBorders>
            <w:hideMark/>
          </w:tcPr>
          <w:p w:rsidR="008F0C0F" w:rsidRPr="00E95779" w:rsidRDefault="008F0C0F" w:rsidP="00284F89">
            <w:pPr>
              <w:widowControl/>
              <w:autoSpaceDE/>
              <w:autoSpaceDN/>
              <w:spacing w:before="75" w:after="200" w:line="276" w:lineRule="auto"/>
              <w:ind w:left="430"/>
              <w:rPr>
                <w:rFonts w:eastAsia="Arial" w:cstheme="minorHAnsi"/>
                <w:b/>
                <w:i/>
                <w:sz w:val="20"/>
                <w:szCs w:val="20"/>
                <w:lang w:val="cs-CZ"/>
              </w:rPr>
            </w:pPr>
            <w:r w:rsidRPr="00E95779">
              <w:rPr>
                <w:rFonts w:eastAsia="Arial" w:cstheme="minorHAnsi"/>
                <w:b/>
                <w:i/>
                <w:color w:val="231F20"/>
                <w:sz w:val="20"/>
                <w:szCs w:val="20"/>
              </w:rPr>
              <w:t>0,018</w:t>
            </w:r>
          </w:p>
        </w:tc>
        <w:tc>
          <w:tcPr>
            <w:tcW w:w="1255"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425"/>
              <w:rPr>
                <w:rFonts w:eastAsia="Arial" w:cstheme="minorHAnsi"/>
                <w:sz w:val="20"/>
                <w:szCs w:val="20"/>
                <w:lang w:val="cs-CZ"/>
              </w:rPr>
            </w:pPr>
            <w:r w:rsidRPr="0062347D">
              <w:rPr>
                <w:rFonts w:eastAsia="Arial" w:cstheme="minorHAnsi"/>
                <w:color w:val="231F20"/>
                <w:sz w:val="20"/>
                <w:szCs w:val="20"/>
              </w:rPr>
              <w:t>0,441</w:t>
            </w:r>
          </w:p>
        </w:tc>
        <w:tc>
          <w:tcPr>
            <w:tcW w:w="1215"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175" w:right="122"/>
              <w:jc w:val="center"/>
              <w:rPr>
                <w:rFonts w:eastAsia="Arial" w:cstheme="minorHAnsi"/>
                <w:sz w:val="20"/>
                <w:szCs w:val="20"/>
                <w:lang w:val="cs-CZ"/>
              </w:rPr>
            </w:pPr>
            <w:r w:rsidRPr="0062347D">
              <w:rPr>
                <w:rFonts w:eastAsia="Arial" w:cstheme="minorHAnsi"/>
                <w:color w:val="231F20"/>
                <w:sz w:val="20"/>
                <w:szCs w:val="20"/>
              </w:rPr>
              <w:t>0,432</w:t>
            </w:r>
          </w:p>
        </w:tc>
        <w:tc>
          <w:tcPr>
            <w:tcW w:w="1229"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407"/>
              <w:rPr>
                <w:rFonts w:eastAsia="Arial" w:cstheme="minorHAnsi"/>
                <w:sz w:val="20"/>
                <w:szCs w:val="20"/>
                <w:lang w:val="cs-CZ"/>
              </w:rPr>
            </w:pPr>
            <w:r w:rsidRPr="0062347D">
              <w:rPr>
                <w:rFonts w:eastAsia="Arial" w:cstheme="minorHAnsi"/>
                <w:color w:val="231F20"/>
                <w:sz w:val="20"/>
                <w:szCs w:val="20"/>
              </w:rPr>
              <w:t>0,110</w:t>
            </w:r>
          </w:p>
        </w:tc>
        <w:tc>
          <w:tcPr>
            <w:tcW w:w="1238"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129" w:right="88"/>
              <w:jc w:val="center"/>
              <w:rPr>
                <w:rFonts w:eastAsia="Arial" w:cstheme="minorHAnsi"/>
                <w:sz w:val="20"/>
                <w:szCs w:val="20"/>
                <w:lang w:val="cs-CZ"/>
              </w:rPr>
            </w:pPr>
            <w:r w:rsidRPr="0062347D">
              <w:rPr>
                <w:rFonts w:eastAsia="Arial" w:cstheme="minorHAnsi"/>
                <w:color w:val="231F20"/>
                <w:sz w:val="20"/>
                <w:szCs w:val="20"/>
              </w:rPr>
              <w:t>0,173</w:t>
            </w:r>
          </w:p>
        </w:tc>
        <w:tc>
          <w:tcPr>
            <w:tcW w:w="1187"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82" w:right="30"/>
              <w:jc w:val="center"/>
              <w:rPr>
                <w:rFonts w:eastAsia="Arial" w:cstheme="minorHAnsi"/>
                <w:sz w:val="20"/>
                <w:szCs w:val="20"/>
                <w:lang w:val="cs-CZ"/>
              </w:rPr>
            </w:pPr>
            <w:r w:rsidRPr="0062347D">
              <w:rPr>
                <w:rFonts w:eastAsia="Arial" w:cstheme="minorHAnsi"/>
                <w:color w:val="231F20"/>
                <w:sz w:val="20"/>
                <w:szCs w:val="20"/>
              </w:rPr>
              <w:t>0,553</w:t>
            </w:r>
          </w:p>
        </w:tc>
        <w:tc>
          <w:tcPr>
            <w:tcW w:w="1155"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81" w:right="52"/>
              <w:jc w:val="center"/>
              <w:rPr>
                <w:rFonts w:eastAsia="Arial" w:cstheme="minorHAnsi"/>
                <w:sz w:val="20"/>
                <w:szCs w:val="20"/>
                <w:lang w:val="cs-CZ"/>
              </w:rPr>
            </w:pPr>
            <w:r w:rsidRPr="0062347D">
              <w:rPr>
                <w:rFonts w:eastAsia="Arial" w:cstheme="minorHAnsi"/>
                <w:color w:val="231F20"/>
                <w:sz w:val="20"/>
                <w:szCs w:val="20"/>
              </w:rPr>
              <w:t>0,314</w:t>
            </w:r>
          </w:p>
        </w:tc>
      </w:tr>
    </w:tbl>
    <w:p w:rsidR="008F0C0F" w:rsidRPr="0062347D" w:rsidRDefault="008F0C0F" w:rsidP="00284F89">
      <w:pPr>
        <w:spacing w:before="83"/>
        <w:ind w:left="220"/>
        <w:rPr>
          <w:rFonts w:cstheme="minorHAnsi"/>
          <w:color w:val="231F20"/>
          <w:spacing w:val="-4"/>
          <w:sz w:val="20"/>
          <w:szCs w:val="20"/>
        </w:rPr>
        <w:sectPr w:rsidR="008F0C0F" w:rsidRPr="0062347D" w:rsidSect="00710C05">
          <w:pgSz w:w="16838" w:h="11906" w:orient="landscape"/>
          <w:pgMar w:top="1276" w:right="1418" w:bottom="1418" w:left="992" w:header="709" w:footer="709" w:gutter="0"/>
          <w:cols w:space="708"/>
          <w:docGrid w:linePitch="360"/>
        </w:sectPr>
      </w:pPr>
      <w:r w:rsidRPr="0062347D">
        <w:rPr>
          <w:rFonts w:cstheme="minorHAnsi"/>
          <w:color w:val="231F20"/>
          <w:spacing w:val="-4"/>
          <w:sz w:val="20"/>
          <w:szCs w:val="20"/>
        </w:rPr>
        <w:t>Výsledky jsou uvedeny jako</w:t>
      </w:r>
      <w:r w:rsidRPr="0062347D">
        <w:rPr>
          <w:rFonts w:cstheme="minorHAnsi"/>
          <w:color w:val="231F20"/>
          <w:sz w:val="20"/>
          <w:szCs w:val="20"/>
        </w:rPr>
        <w:t xml:space="preserve"> P </w:t>
      </w:r>
      <w:r w:rsidRPr="0062347D">
        <w:rPr>
          <w:rFonts w:cstheme="minorHAnsi"/>
          <w:color w:val="231F20"/>
          <w:spacing w:val="-4"/>
          <w:sz w:val="20"/>
          <w:szCs w:val="20"/>
        </w:rPr>
        <w:t>hodnota. Úroveň signifikance je nastavena na hodnotu</w:t>
      </w:r>
      <w:r w:rsidRPr="0062347D">
        <w:rPr>
          <w:rFonts w:cstheme="minorHAnsi"/>
          <w:color w:val="231F20"/>
          <w:sz w:val="20"/>
          <w:szCs w:val="20"/>
        </w:rPr>
        <w:t xml:space="preserve"> </w:t>
      </w:r>
      <w:r w:rsidRPr="0062347D">
        <w:rPr>
          <w:rFonts w:cstheme="minorHAnsi"/>
          <w:color w:val="231F20"/>
          <w:spacing w:val="-4"/>
          <w:sz w:val="20"/>
          <w:szCs w:val="20"/>
        </w:rPr>
        <w:t>P</w:t>
      </w:r>
      <w:r>
        <w:rPr>
          <w:rFonts w:cstheme="minorHAnsi"/>
          <w:color w:val="231F20"/>
          <w:spacing w:val="-4"/>
          <w:sz w:val="20"/>
          <w:szCs w:val="20"/>
        </w:rPr>
        <w:t> </w:t>
      </w:r>
      <w:r w:rsidRPr="0062347D">
        <w:rPr>
          <w:rFonts w:cstheme="minorHAnsi"/>
          <w:color w:val="231F20"/>
          <w:spacing w:val="-4"/>
          <w:sz w:val="20"/>
          <w:szCs w:val="20"/>
        </w:rPr>
        <w:t>&lt;</w:t>
      </w:r>
      <w:r>
        <w:rPr>
          <w:rFonts w:cstheme="minorHAnsi"/>
          <w:color w:val="231F20"/>
          <w:spacing w:val="-4"/>
          <w:sz w:val="20"/>
          <w:szCs w:val="20"/>
        </w:rPr>
        <w:t> </w:t>
      </w:r>
      <w:r w:rsidRPr="0062347D">
        <w:rPr>
          <w:rFonts w:cstheme="minorHAnsi"/>
          <w:color w:val="231F20"/>
          <w:spacing w:val="-4"/>
          <w:sz w:val="20"/>
          <w:szCs w:val="20"/>
        </w:rPr>
        <w:t xml:space="preserve">0,05. </w:t>
      </w:r>
      <w:r w:rsidRPr="0062347D">
        <w:rPr>
          <w:rFonts w:cstheme="minorHAnsi"/>
          <w:color w:val="231F20"/>
          <w:sz w:val="20"/>
          <w:szCs w:val="20"/>
        </w:rPr>
        <w:t xml:space="preserve">P </w:t>
      </w:r>
      <w:r w:rsidRPr="0062347D">
        <w:rPr>
          <w:rFonts w:cstheme="minorHAnsi"/>
          <w:color w:val="231F20"/>
          <w:spacing w:val="-4"/>
          <w:sz w:val="20"/>
          <w:szCs w:val="20"/>
        </w:rPr>
        <w:t>hodnoty</w:t>
      </w:r>
      <w:r>
        <w:rPr>
          <w:rFonts w:cstheme="minorHAnsi"/>
          <w:color w:val="231F20"/>
          <w:spacing w:val="-4"/>
          <w:sz w:val="20"/>
          <w:szCs w:val="20"/>
        </w:rPr>
        <w:t> </w:t>
      </w:r>
      <w:r w:rsidRPr="0062347D">
        <w:rPr>
          <w:rFonts w:cstheme="minorHAnsi"/>
          <w:color w:val="231F20"/>
          <w:spacing w:val="-4"/>
          <w:sz w:val="20"/>
          <w:szCs w:val="20"/>
        </w:rPr>
        <w:t>&lt;</w:t>
      </w:r>
      <w:r>
        <w:rPr>
          <w:rFonts w:cstheme="minorHAnsi"/>
          <w:color w:val="231F20"/>
          <w:spacing w:val="-4"/>
          <w:sz w:val="20"/>
          <w:szCs w:val="20"/>
        </w:rPr>
        <w:t> </w:t>
      </w:r>
      <w:r w:rsidRPr="0062347D">
        <w:rPr>
          <w:rFonts w:cstheme="minorHAnsi"/>
          <w:color w:val="231F20"/>
          <w:spacing w:val="-4"/>
          <w:sz w:val="20"/>
          <w:szCs w:val="20"/>
        </w:rPr>
        <w:t xml:space="preserve">0,05 jsou napsány kurzívou. </w:t>
      </w:r>
      <w:r w:rsidRPr="0062347D">
        <w:rPr>
          <w:rFonts w:cstheme="minorHAnsi"/>
          <w:color w:val="231F20"/>
          <w:spacing w:val="-3"/>
          <w:sz w:val="20"/>
          <w:szCs w:val="20"/>
        </w:rPr>
        <w:t xml:space="preserve">IPN, </w:t>
      </w:r>
      <w:r w:rsidRPr="0062347D">
        <w:rPr>
          <w:rFonts w:cstheme="minorHAnsi"/>
          <w:color w:val="231F20"/>
          <w:spacing w:val="-4"/>
          <w:sz w:val="20"/>
          <w:szCs w:val="20"/>
        </w:rPr>
        <w:t xml:space="preserve">intersticiální </w:t>
      </w:r>
      <w:r w:rsidRPr="0062347D">
        <w:rPr>
          <w:rFonts w:cstheme="minorHAnsi"/>
          <w:color w:val="231F20"/>
          <w:spacing w:val="-3"/>
          <w:sz w:val="20"/>
          <w:szCs w:val="20"/>
        </w:rPr>
        <w:t xml:space="preserve">plicní </w:t>
      </w:r>
      <w:r w:rsidRPr="0062347D">
        <w:rPr>
          <w:rFonts w:cstheme="minorHAnsi"/>
          <w:color w:val="231F20"/>
          <w:spacing w:val="-4"/>
          <w:sz w:val="20"/>
          <w:szCs w:val="20"/>
        </w:rPr>
        <w:t xml:space="preserve">nemoci; </w:t>
      </w:r>
      <w:r w:rsidRPr="0062347D">
        <w:rPr>
          <w:rFonts w:cstheme="minorHAnsi"/>
          <w:color w:val="231F20"/>
          <w:sz w:val="20"/>
          <w:szCs w:val="20"/>
        </w:rPr>
        <w:t xml:space="preserve">S, </w:t>
      </w:r>
      <w:r w:rsidRPr="0062347D">
        <w:rPr>
          <w:rFonts w:cstheme="minorHAnsi"/>
          <w:color w:val="231F20"/>
          <w:spacing w:val="-4"/>
          <w:sz w:val="20"/>
          <w:szCs w:val="20"/>
        </w:rPr>
        <w:t xml:space="preserve">sarkoidóza; </w:t>
      </w:r>
      <w:r w:rsidRPr="0062347D">
        <w:rPr>
          <w:rFonts w:cstheme="minorHAnsi"/>
          <w:color w:val="231F20"/>
          <w:spacing w:val="-3"/>
          <w:sz w:val="20"/>
          <w:szCs w:val="20"/>
        </w:rPr>
        <w:t xml:space="preserve">LS, </w:t>
      </w:r>
      <w:r w:rsidRPr="0062347D">
        <w:rPr>
          <w:rFonts w:cstheme="minorHAnsi"/>
          <w:color w:val="231F20"/>
          <w:spacing w:val="-6"/>
          <w:sz w:val="20"/>
          <w:szCs w:val="20"/>
        </w:rPr>
        <w:t xml:space="preserve">Löfgrenův </w:t>
      </w:r>
      <w:r w:rsidRPr="0062347D">
        <w:rPr>
          <w:rFonts w:cstheme="minorHAnsi"/>
          <w:color w:val="231F20"/>
          <w:spacing w:val="-4"/>
          <w:sz w:val="20"/>
          <w:szCs w:val="20"/>
        </w:rPr>
        <w:t xml:space="preserve">syndrom; </w:t>
      </w:r>
      <w:r w:rsidRPr="0062347D">
        <w:rPr>
          <w:rFonts w:cstheme="minorHAnsi"/>
          <w:color w:val="231F20"/>
          <w:spacing w:val="-3"/>
          <w:sz w:val="20"/>
          <w:szCs w:val="20"/>
        </w:rPr>
        <w:t>RTG</w:t>
      </w:r>
      <w:r w:rsidR="0075421C">
        <w:rPr>
          <w:rFonts w:cstheme="minorHAnsi"/>
          <w:color w:val="231F20"/>
          <w:spacing w:val="-3"/>
          <w:sz w:val="20"/>
          <w:szCs w:val="20"/>
        </w:rPr>
        <w:t xml:space="preserve"> s.</w:t>
      </w:r>
      <w:r w:rsidRPr="0062347D">
        <w:rPr>
          <w:rFonts w:cstheme="minorHAnsi"/>
          <w:color w:val="231F20"/>
          <w:spacing w:val="-3"/>
          <w:sz w:val="20"/>
          <w:szCs w:val="20"/>
        </w:rPr>
        <w:t xml:space="preserve">, </w:t>
      </w:r>
      <w:r w:rsidRPr="0062347D">
        <w:rPr>
          <w:rFonts w:cstheme="minorHAnsi"/>
          <w:color w:val="231F20"/>
          <w:spacing w:val="-4"/>
          <w:sz w:val="20"/>
          <w:szCs w:val="20"/>
        </w:rPr>
        <w:t xml:space="preserve">rentgenologické stádium; </w:t>
      </w:r>
      <w:r w:rsidRPr="0062347D">
        <w:rPr>
          <w:rFonts w:cstheme="minorHAnsi"/>
          <w:color w:val="231F20"/>
          <w:spacing w:val="-10"/>
          <w:sz w:val="20"/>
          <w:szCs w:val="20"/>
        </w:rPr>
        <w:t xml:space="preserve">IPF, </w:t>
      </w:r>
      <w:r w:rsidRPr="0062347D">
        <w:rPr>
          <w:rFonts w:cstheme="minorHAnsi"/>
          <w:color w:val="231F20"/>
          <w:spacing w:val="-4"/>
          <w:sz w:val="20"/>
          <w:szCs w:val="20"/>
        </w:rPr>
        <w:t xml:space="preserve">idiopatická plicní fibróza; OIIP, ostatní idiopatické intersticiální pneumonie; </w:t>
      </w:r>
      <w:r w:rsidRPr="0062347D">
        <w:rPr>
          <w:rFonts w:cstheme="minorHAnsi"/>
          <w:color w:val="231F20"/>
          <w:spacing w:val="-12"/>
          <w:sz w:val="20"/>
          <w:szCs w:val="20"/>
        </w:rPr>
        <w:t xml:space="preserve">HP, </w:t>
      </w:r>
      <w:r w:rsidRPr="0062347D">
        <w:rPr>
          <w:rFonts w:cstheme="minorHAnsi"/>
          <w:color w:val="231F20"/>
          <w:spacing w:val="-4"/>
          <w:sz w:val="20"/>
          <w:szCs w:val="20"/>
        </w:rPr>
        <w:t>hypersensitivní pneumonie.</w:t>
      </w:r>
    </w:p>
    <w:p w:rsidR="008F0C0F" w:rsidRPr="0062347D" w:rsidRDefault="008F0C0F" w:rsidP="00284F89">
      <w:pPr>
        <w:spacing w:before="170" w:after="45"/>
        <w:ind w:left="220"/>
        <w:rPr>
          <w:rFonts w:cstheme="minorHAnsi"/>
          <w:sz w:val="20"/>
          <w:szCs w:val="20"/>
        </w:rPr>
      </w:pPr>
      <w:proofErr w:type="gramStart"/>
      <w:r w:rsidRPr="00E663BF">
        <w:rPr>
          <w:rFonts w:cstheme="minorHAnsi"/>
          <w:b/>
          <w:color w:val="231F20"/>
          <w:sz w:val="20"/>
          <w:szCs w:val="20"/>
        </w:rPr>
        <w:lastRenderedPageBreak/>
        <w:t>H</w:t>
      </w:r>
      <w:r w:rsidRPr="004E5649">
        <w:rPr>
          <w:rFonts w:cstheme="minorHAnsi"/>
          <w:b/>
          <w:color w:val="231F20"/>
          <w:sz w:val="20"/>
          <w:szCs w:val="20"/>
        </w:rPr>
        <w:t>.1.</w:t>
      </w:r>
      <w:proofErr w:type="gramEnd"/>
      <w:r w:rsidRPr="004E5649">
        <w:rPr>
          <w:rFonts w:cstheme="minorHAnsi"/>
          <w:b/>
          <w:color w:val="231F20"/>
          <w:sz w:val="20"/>
          <w:szCs w:val="20"/>
        </w:rPr>
        <w:t xml:space="preserve"> Příloha Tabulka </w:t>
      </w:r>
      <w:r w:rsidRPr="00B24D8C">
        <w:rPr>
          <w:rFonts w:cstheme="minorHAnsi"/>
          <w:b/>
          <w:color w:val="231F20"/>
          <w:sz w:val="20"/>
          <w:szCs w:val="20"/>
        </w:rPr>
        <w:t xml:space="preserve">1b: </w:t>
      </w:r>
      <w:r w:rsidRPr="0062347D">
        <w:rPr>
          <w:rFonts w:cstheme="minorHAnsi"/>
          <w:color w:val="231F20"/>
          <w:sz w:val="20"/>
          <w:szCs w:val="20"/>
        </w:rPr>
        <w:t>Mann-Whitney test porovnávající BAL buněčný profil kuřáků a nekuřáků v jednotlivých skupinách intersticiálních plicních nemocí (IPN).</w:t>
      </w:r>
    </w:p>
    <w:tbl>
      <w:tblPr>
        <w:tblStyle w:val="TableNormal"/>
        <w:tblW w:w="9100" w:type="dxa"/>
        <w:tblInd w:w="114" w:type="dxa"/>
        <w:tblLayout w:type="fixed"/>
        <w:tblLook w:val="01E0" w:firstRow="1" w:lastRow="1" w:firstColumn="1" w:lastColumn="1" w:noHBand="0" w:noVBand="0"/>
      </w:tblPr>
      <w:tblGrid>
        <w:gridCol w:w="1587"/>
        <w:gridCol w:w="1134"/>
        <w:gridCol w:w="1276"/>
        <w:gridCol w:w="1418"/>
        <w:gridCol w:w="1275"/>
        <w:gridCol w:w="1418"/>
        <w:gridCol w:w="992"/>
      </w:tblGrid>
      <w:tr w:rsidR="008F0C0F" w:rsidRPr="0062347D" w:rsidTr="00E671BE">
        <w:trPr>
          <w:trHeight w:val="760"/>
        </w:trPr>
        <w:tc>
          <w:tcPr>
            <w:tcW w:w="1587"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11" w:after="200" w:line="276" w:lineRule="auto"/>
              <w:rPr>
                <w:rFonts w:eastAsia="Arial" w:cstheme="minorHAnsi"/>
                <w:sz w:val="20"/>
                <w:szCs w:val="20"/>
                <w:lang w:val="cs-CZ"/>
              </w:rPr>
            </w:pPr>
          </w:p>
          <w:p w:rsidR="008F0C0F" w:rsidRPr="0062347D" w:rsidRDefault="008F0C0F" w:rsidP="00284F89">
            <w:pPr>
              <w:widowControl/>
              <w:autoSpaceDE/>
              <w:autoSpaceDN/>
              <w:spacing w:after="200" w:line="276" w:lineRule="auto"/>
              <w:ind w:left="113"/>
              <w:rPr>
                <w:rFonts w:eastAsia="Arial" w:cstheme="minorHAnsi"/>
                <w:sz w:val="20"/>
                <w:szCs w:val="20"/>
                <w:lang w:val="cs-CZ"/>
              </w:rPr>
            </w:pPr>
            <w:r w:rsidRPr="0062347D">
              <w:rPr>
                <w:rFonts w:eastAsia="Arial" w:cstheme="minorHAnsi"/>
                <w:color w:val="231F20"/>
                <w:sz w:val="20"/>
                <w:szCs w:val="20"/>
              </w:rPr>
              <w:t>IPN</w:t>
            </w:r>
          </w:p>
        </w:tc>
        <w:tc>
          <w:tcPr>
            <w:tcW w:w="1134" w:type="dxa"/>
            <w:tcBorders>
              <w:top w:val="single" w:sz="4" w:space="0" w:color="231F20"/>
              <w:left w:val="nil"/>
              <w:bottom w:val="single" w:sz="4" w:space="0" w:color="231F20"/>
              <w:right w:val="nil"/>
            </w:tcBorders>
            <w:hideMark/>
          </w:tcPr>
          <w:p w:rsidR="008F0C0F" w:rsidRPr="0062347D" w:rsidRDefault="008F0C0F" w:rsidP="00284F89">
            <w:pPr>
              <w:widowControl/>
              <w:autoSpaceDE/>
              <w:autoSpaceDN/>
              <w:spacing w:before="67" w:after="200" w:line="288" w:lineRule="auto"/>
              <w:ind w:left="153" w:right="184"/>
              <w:jc w:val="center"/>
              <w:rPr>
                <w:rFonts w:eastAsia="Arial" w:cstheme="minorHAnsi"/>
                <w:sz w:val="20"/>
                <w:szCs w:val="20"/>
                <w:lang w:val="cs-CZ"/>
              </w:rPr>
            </w:pPr>
            <w:r w:rsidRPr="0062347D">
              <w:rPr>
                <w:rFonts w:eastAsia="Arial" w:cstheme="minorHAnsi"/>
                <w:color w:val="231F20"/>
                <w:sz w:val="20"/>
                <w:szCs w:val="20"/>
              </w:rPr>
              <w:t xml:space="preserve">Počet kuřáků </w:t>
            </w:r>
            <w:r w:rsidRPr="0062347D">
              <w:rPr>
                <w:rFonts w:eastAsia="Arial" w:cstheme="minorHAnsi"/>
                <w:i/>
                <w:color w:val="231F20"/>
                <w:sz w:val="20"/>
                <w:szCs w:val="20"/>
              </w:rPr>
              <w:t xml:space="preserve">vs. </w:t>
            </w:r>
            <w:r w:rsidRPr="0062347D">
              <w:rPr>
                <w:rFonts w:eastAsia="Arial" w:cstheme="minorHAnsi"/>
                <w:color w:val="231F20"/>
                <w:sz w:val="20"/>
                <w:szCs w:val="20"/>
              </w:rPr>
              <w:t>nekuřáci</w:t>
            </w:r>
          </w:p>
        </w:tc>
        <w:tc>
          <w:tcPr>
            <w:tcW w:w="1276"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4" w:after="200" w:line="276" w:lineRule="auto"/>
              <w:rPr>
                <w:rFonts w:eastAsia="Arial" w:cstheme="minorHAnsi"/>
                <w:sz w:val="20"/>
                <w:szCs w:val="20"/>
                <w:lang w:val="cs-CZ"/>
              </w:rPr>
            </w:pPr>
          </w:p>
          <w:p w:rsidR="008F0C0F" w:rsidRPr="0062347D" w:rsidRDefault="008F0C0F" w:rsidP="00284F89">
            <w:pPr>
              <w:widowControl/>
              <w:autoSpaceDE/>
              <w:autoSpaceDN/>
              <w:spacing w:after="200" w:line="288" w:lineRule="auto"/>
              <w:ind w:left="128"/>
              <w:rPr>
                <w:rFonts w:eastAsia="Arial" w:cstheme="minorHAnsi"/>
                <w:sz w:val="20"/>
                <w:szCs w:val="20"/>
                <w:lang w:val="cs-CZ"/>
              </w:rPr>
            </w:pPr>
            <w:r w:rsidRPr="0062347D">
              <w:rPr>
                <w:rFonts w:eastAsia="Arial" w:cstheme="minorHAnsi"/>
                <w:color w:val="231F20"/>
                <w:sz w:val="20"/>
                <w:szCs w:val="20"/>
              </w:rPr>
              <w:t>CD3</w:t>
            </w:r>
            <w:r w:rsidRPr="0062347D">
              <w:rPr>
                <w:rFonts w:eastAsia="Arial" w:cstheme="minorHAnsi"/>
                <w:color w:val="231F20"/>
                <w:sz w:val="20"/>
                <w:szCs w:val="20"/>
                <w:vertAlign w:val="superscript"/>
              </w:rPr>
              <w:t>+</w:t>
            </w:r>
            <w:r w:rsidRPr="0062347D">
              <w:rPr>
                <w:rFonts w:eastAsia="Arial" w:cstheme="minorHAnsi"/>
                <w:color w:val="231F20"/>
                <w:sz w:val="20"/>
                <w:szCs w:val="20"/>
              </w:rPr>
              <w:t xml:space="preserve"> relativní počty (%)</w:t>
            </w:r>
          </w:p>
        </w:tc>
        <w:tc>
          <w:tcPr>
            <w:tcW w:w="1418"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4" w:after="200" w:line="276" w:lineRule="auto"/>
              <w:rPr>
                <w:rFonts w:eastAsia="Arial" w:cstheme="minorHAnsi"/>
                <w:sz w:val="20"/>
                <w:szCs w:val="20"/>
                <w:lang w:val="cs-CZ"/>
              </w:rPr>
            </w:pPr>
          </w:p>
          <w:p w:rsidR="008F0C0F" w:rsidRPr="0062347D" w:rsidRDefault="008F0C0F" w:rsidP="00284F89">
            <w:pPr>
              <w:widowControl/>
              <w:autoSpaceDE/>
              <w:autoSpaceDN/>
              <w:spacing w:after="200" w:line="288" w:lineRule="auto"/>
              <w:ind w:left="71"/>
              <w:rPr>
                <w:rFonts w:eastAsia="Arial" w:cstheme="minorHAnsi"/>
                <w:sz w:val="20"/>
                <w:szCs w:val="20"/>
                <w:lang w:val="cs-CZ"/>
              </w:rPr>
            </w:pPr>
            <w:r w:rsidRPr="0062347D">
              <w:rPr>
                <w:rFonts w:eastAsia="Arial" w:cstheme="minorHAnsi"/>
                <w:color w:val="231F20"/>
                <w:sz w:val="20"/>
                <w:szCs w:val="20"/>
              </w:rPr>
              <w:t>CD4</w:t>
            </w:r>
            <w:r w:rsidRPr="0062347D">
              <w:rPr>
                <w:rFonts w:eastAsia="Arial" w:cstheme="minorHAnsi"/>
                <w:color w:val="231F20"/>
                <w:sz w:val="20"/>
                <w:szCs w:val="20"/>
                <w:vertAlign w:val="superscript"/>
              </w:rPr>
              <w:t>+</w:t>
            </w:r>
            <w:r w:rsidRPr="0062347D">
              <w:rPr>
                <w:rFonts w:eastAsia="Arial" w:cstheme="minorHAnsi"/>
                <w:color w:val="231F20"/>
                <w:sz w:val="20"/>
                <w:szCs w:val="20"/>
              </w:rPr>
              <w:t xml:space="preserve"> relativní počty (%)</w:t>
            </w:r>
          </w:p>
        </w:tc>
        <w:tc>
          <w:tcPr>
            <w:tcW w:w="1275"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4" w:after="200" w:line="276" w:lineRule="auto"/>
              <w:rPr>
                <w:rFonts w:eastAsia="Arial" w:cstheme="minorHAnsi"/>
                <w:sz w:val="20"/>
                <w:szCs w:val="20"/>
                <w:lang w:val="cs-CZ"/>
              </w:rPr>
            </w:pPr>
          </w:p>
          <w:p w:rsidR="008F0C0F" w:rsidRPr="0062347D" w:rsidRDefault="008F0C0F" w:rsidP="00284F89">
            <w:pPr>
              <w:widowControl/>
              <w:autoSpaceDE/>
              <w:autoSpaceDN/>
              <w:spacing w:after="200" w:line="288" w:lineRule="auto"/>
              <w:ind w:left="81"/>
              <w:rPr>
                <w:rFonts w:eastAsia="Arial" w:cstheme="minorHAnsi"/>
                <w:sz w:val="20"/>
                <w:szCs w:val="20"/>
                <w:lang w:val="cs-CZ"/>
              </w:rPr>
            </w:pPr>
            <w:r w:rsidRPr="0062347D">
              <w:rPr>
                <w:rFonts w:eastAsia="Arial" w:cstheme="minorHAnsi"/>
                <w:color w:val="231F20"/>
                <w:sz w:val="20"/>
                <w:szCs w:val="20"/>
              </w:rPr>
              <w:t>CD8</w:t>
            </w:r>
            <w:r w:rsidRPr="0062347D">
              <w:rPr>
                <w:rFonts w:eastAsia="Arial" w:cstheme="minorHAnsi"/>
                <w:color w:val="231F20"/>
                <w:sz w:val="20"/>
                <w:szCs w:val="20"/>
                <w:vertAlign w:val="superscript"/>
              </w:rPr>
              <w:t>+</w:t>
            </w:r>
            <w:r w:rsidRPr="0062347D">
              <w:rPr>
                <w:rFonts w:eastAsia="Arial" w:cstheme="minorHAnsi"/>
                <w:color w:val="231F20"/>
                <w:sz w:val="20"/>
                <w:szCs w:val="20"/>
              </w:rPr>
              <w:t xml:space="preserve"> relativní počty (%)</w:t>
            </w:r>
          </w:p>
        </w:tc>
        <w:tc>
          <w:tcPr>
            <w:tcW w:w="1418"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4" w:after="200" w:line="276" w:lineRule="auto"/>
              <w:rPr>
                <w:rFonts w:eastAsia="Arial" w:cstheme="minorHAnsi"/>
                <w:sz w:val="20"/>
                <w:szCs w:val="20"/>
                <w:lang w:val="cs-CZ"/>
              </w:rPr>
            </w:pPr>
          </w:p>
          <w:p w:rsidR="008F0C0F" w:rsidRPr="0062347D" w:rsidRDefault="008F0C0F" w:rsidP="00284F89">
            <w:pPr>
              <w:widowControl/>
              <w:autoSpaceDE/>
              <w:autoSpaceDN/>
              <w:spacing w:after="200" w:line="288" w:lineRule="auto"/>
              <w:ind w:left="83"/>
              <w:rPr>
                <w:rFonts w:eastAsia="Arial" w:cstheme="minorHAnsi"/>
                <w:sz w:val="20"/>
                <w:szCs w:val="20"/>
                <w:lang w:val="cs-CZ"/>
              </w:rPr>
            </w:pPr>
            <w:r w:rsidRPr="0062347D">
              <w:rPr>
                <w:rFonts w:eastAsia="Arial" w:cstheme="minorHAnsi"/>
                <w:color w:val="231F20"/>
                <w:sz w:val="20"/>
                <w:szCs w:val="20"/>
              </w:rPr>
              <w:t>CD19</w:t>
            </w:r>
            <w:r w:rsidRPr="0062347D">
              <w:rPr>
                <w:rFonts w:eastAsia="Arial" w:cstheme="minorHAnsi"/>
                <w:color w:val="231F20"/>
                <w:sz w:val="20"/>
                <w:szCs w:val="20"/>
                <w:vertAlign w:val="superscript"/>
              </w:rPr>
              <w:t>+</w:t>
            </w:r>
            <w:r w:rsidRPr="0062347D">
              <w:rPr>
                <w:rFonts w:eastAsia="Arial" w:cstheme="minorHAnsi"/>
                <w:color w:val="231F20"/>
                <w:sz w:val="20"/>
                <w:szCs w:val="20"/>
              </w:rPr>
              <w:t xml:space="preserve"> relativní počty (%)</w:t>
            </w:r>
          </w:p>
        </w:tc>
        <w:tc>
          <w:tcPr>
            <w:tcW w:w="992" w:type="dxa"/>
            <w:tcBorders>
              <w:top w:val="single" w:sz="4" w:space="0" w:color="231F20"/>
              <w:left w:val="nil"/>
              <w:bottom w:val="single" w:sz="4" w:space="0" w:color="231F20"/>
              <w:right w:val="nil"/>
            </w:tcBorders>
          </w:tcPr>
          <w:p w:rsidR="008F0C0F" w:rsidRPr="0062347D" w:rsidRDefault="008F0C0F" w:rsidP="00284F89">
            <w:pPr>
              <w:widowControl/>
              <w:autoSpaceDE/>
              <w:autoSpaceDN/>
              <w:spacing w:before="4" w:after="200" w:line="276" w:lineRule="auto"/>
              <w:rPr>
                <w:rFonts w:eastAsia="Arial" w:cstheme="minorHAnsi"/>
                <w:sz w:val="20"/>
                <w:szCs w:val="20"/>
                <w:lang w:val="cs-CZ"/>
              </w:rPr>
            </w:pPr>
          </w:p>
          <w:p w:rsidR="008F0C0F" w:rsidRPr="0062347D" w:rsidRDefault="008F0C0F" w:rsidP="00E671BE">
            <w:pPr>
              <w:widowControl/>
              <w:autoSpaceDE/>
              <w:autoSpaceDN/>
              <w:spacing w:after="200" w:line="276" w:lineRule="auto"/>
              <w:ind w:left="64" w:right="43"/>
              <w:jc w:val="center"/>
              <w:rPr>
                <w:rFonts w:eastAsia="Arial" w:cstheme="minorHAnsi"/>
                <w:sz w:val="20"/>
                <w:szCs w:val="20"/>
                <w:lang w:val="cs-CZ"/>
              </w:rPr>
            </w:pPr>
            <w:r w:rsidRPr="0062347D">
              <w:rPr>
                <w:rFonts w:eastAsia="Arial" w:cstheme="minorHAnsi"/>
                <w:color w:val="231F20"/>
                <w:sz w:val="20"/>
                <w:szCs w:val="20"/>
              </w:rPr>
              <w:t>CD4/CD8</w:t>
            </w:r>
            <w:r w:rsidR="00E671BE">
              <w:rPr>
                <w:rFonts w:eastAsia="Arial" w:cstheme="minorHAnsi"/>
                <w:color w:val="231F20"/>
                <w:sz w:val="20"/>
                <w:szCs w:val="20"/>
              </w:rPr>
              <w:t xml:space="preserve"> </w:t>
            </w:r>
            <w:r w:rsidRPr="0062347D">
              <w:rPr>
                <w:rFonts w:eastAsia="Arial" w:cstheme="minorHAnsi"/>
                <w:color w:val="231F20"/>
                <w:sz w:val="20"/>
                <w:szCs w:val="20"/>
              </w:rPr>
              <w:t>poměr</w:t>
            </w:r>
          </w:p>
        </w:tc>
      </w:tr>
      <w:tr w:rsidR="008F0C0F" w:rsidRPr="0062347D" w:rsidTr="00E671BE">
        <w:trPr>
          <w:trHeight w:val="321"/>
        </w:trPr>
        <w:tc>
          <w:tcPr>
            <w:tcW w:w="1587" w:type="dxa"/>
            <w:tcBorders>
              <w:top w:val="single" w:sz="4" w:space="0" w:color="231F20"/>
              <w:left w:val="nil"/>
              <w:bottom w:val="nil"/>
              <w:right w:val="nil"/>
            </w:tcBorders>
            <w:hideMark/>
          </w:tcPr>
          <w:p w:rsidR="008F0C0F" w:rsidRPr="0062347D" w:rsidRDefault="008F0C0F" w:rsidP="00284F89">
            <w:pPr>
              <w:widowControl/>
              <w:autoSpaceDE/>
              <w:autoSpaceDN/>
              <w:spacing w:before="67" w:after="200" w:line="276" w:lineRule="auto"/>
              <w:ind w:left="113"/>
              <w:rPr>
                <w:rFonts w:eastAsia="Arial" w:cstheme="minorHAnsi"/>
                <w:sz w:val="20"/>
                <w:szCs w:val="20"/>
                <w:lang w:val="cs-CZ"/>
              </w:rPr>
            </w:pPr>
            <w:r w:rsidRPr="0062347D">
              <w:rPr>
                <w:rFonts w:eastAsia="Arial" w:cstheme="minorHAnsi"/>
                <w:color w:val="231F20"/>
                <w:sz w:val="20"/>
                <w:szCs w:val="20"/>
              </w:rPr>
              <w:t>S s LS (RTG ≤</w:t>
            </w:r>
            <w:r w:rsidR="00E671BE">
              <w:rPr>
                <w:rFonts w:eastAsia="Arial" w:cstheme="minorHAnsi"/>
                <w:color w:val="231F20"/>
                <w:sz w:val="20"/>
                <w:szCs w:val="20"/>
              </w:rPr>
              <w:t> </w:t>
            </w:r>
            <w:r w:rsidRPr="0062347D">
              <w:rPr>
                <w:rFonts w:eastAsia="Arial" w:cstheme="minorHAnsi"/>
                <w:color w:val="231F20"/>
                <w:sz w:val="20"/>
                <w:szCs w:val="20"/>
              </w:rPr>
              <w:t>1)</w:t>
            </w:r>
          </w:p>
        </w:tc>
        <w:tc>
          <w:tcPr>
            <w:tcW w:w="1134" w:type="dxa"/>
            <w:tcBorders>
              <w:top w:val="single" w:sz="4" w:space="0" w:color="231F20"/>
              <w:left w:val="nil"/>
              <w:bottom w:val="nil"/>
              <w:right w:val="nil"/>
            </w:tcBorders>
            <w:hideMark/>
          </w:tcPr>
          <w:p w:rsidR="008F0C0F" w:rsidRPr="0062347D" w:rsidRDefault="0075421C" w:rsidP="00284F89">
            <w:pPr>
              <w:widowControl/>
              <w:autoSpaceDE/>
              <w:autoSpaceDN/>
              <w:spacing w:before="67" w:after="200" w:line="276" w:lineRule="auto"/>
              <w:ind w:left="356"/>
              <w:rPr>
                <w:rFonts w:eastAsia="Arial" w:cstheme="minorHAnsi"/>
                <w:sz w:val="20"/>
                <w:szCs w:val="20"/>
                <w:lang w:val="cs-CZ"/>
              </w:rPr>
            </w:pPr>
            <w:r>
              <w:rPr>
                <w:rFonts w:eastAsia="Arial" w:cstheme="minorHAnsi"/>
                <w:color w:val="231F20"/>
                <w:sz w:val="20"/>
                <w:szCs w:val="20"/>
              </w:rPr>
              <w:t>10</w:t>
            </w:r>
            <w:r w:rsidR="008F0C0F" w:rsidRPr="0062347D">
              <w:rPr>
                <w:rFonts w:eastAsia="Arial" w:cstheme="minorHAnsi"/>
                <w:color w:val="231F20"/>
                <w:sz w:val="20"/>
                <w:szCs w:val="20"/>
              </w:rPr>
              <w:t>/18</w:t>
            </w:r>
          </w:p>
        </w:tc>
        <w:tc>
          <w:tcPr>
            <w:tcW w:w="1276" w:type="dxa"/>
            <w:tcBorders>
              <w:top w:val="single" w:sz="4" w:space="0" w:color="231F20"/>
              <w:left w:val="nil"/>
              <w:bottom w:val="nil"/>
              <w:right w:val="nil"/>
            </w:tcBorders>
            <w:hideMark/>
          </w:tcPr>
          <w:p w:rsidR="008F0C0F" w:rsidRPr="00E671BE" w:rsidRDefault="008F0C0F" w:rsidP="00284F89">
            <w:pPr>
              <w:widowControl/>
              <w:autoSpaceDE/>
              <w:autoSpaceDN/>
              <w:spacing w:before="67"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0,970</w:t>
            </w:r>
          </w:p>
        </w:tc>
        <w:tc>
          <w:tcPr>
            <w:tcW w:w="1418" w:type="dxa"/>
            <w:tcBorders>
              <w:top w:val="single" w:sz="4" w:space="0" w:color="231F20"/>
              <w:left w:val="nil"/>
              <w:bottom w:val="nil"/>
              <w:right w:val="nil"/>
            </w:tcBorders>
            <w:hideMark/>
          </w:tcPr>
          <w:p w:rsidR="008F0C0F" w:rsidRPr="00E671BE" w:rsidRDefault="008F0C0F" w:rsidP="00284F89">
            <w:pPr>
              <w:widowControl/>
              <w:autoSpaceDE/>
              <w:autoSpaceDN/>
              <w:spacing w:before="67"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0,941</w:t>
            </w:r>
          </w:p>
        </w:tc>
        <w:tc>
          <w:tcPr>
            <w:tcW w:w="1275" w:type="dxa"/>
            <w:tcBorders>
              <w:top w:val="single" w:sz="4" w:space="0" w:color="231F20"/>
              <w:left w:val="nil"/>
              <w:bottom w:val="nil"/>
              <w:right w:val="nil"/>
            </w:tcBorders>
            <w:hideMark/>
          </w:tcPr>
          <w:p w:rsidR="008F0C0F" w:rsidRPr="00E671BE" w:rsidRDefault="008F0C0F" w:rsidP="00284F89">
            <w:pPr>
              <w:widowControl/>
              <w:autoSpaceDE/>
              <w:autoSpaceDN/>
              <w:spacing w:before="67"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0,525</w:t>
            </w:r>
          </w:p>
        </w:tc>
        <w:tc>
          <w:tcPr>
            <w:tcW w:w="1418" w:type="dxa"/>
            <w:tcBorders>
              <w:top w:val="single" w:sz="4" w:space="0" w:color="231F20"/>
              <w:left w:val="nil"/>
              <w:bottom w:val="nil"/>
              <w:right w:val="nil"/>
            </w:tcBorders>
            <w:hideMark/>
          </w:tcPr>
          <w:p w:rsidR="008F0C0F" w:rsidRPr="00E671BE" w:rsidRDefault="008F0C0F" w:rsidP="00284F89">
            <w:pPr>
              <w:widowControl/>
              <w:autoSpaceDE/>
              <w:autoSpaceDN/>
              <w:spacing w:before="67" w:after="200" w:line="276" w:lineRule="auto"/>
              <w:ind w:right="383"/>
              <w:jc w:val="right"/>
              <w:rPr>
                <w:rFonts w:eastAsia="Arial" w:cstheme="minorHAnsi"/>
                <w:sz w:val="20"/>
                <w:szCs w:val="20"/>
                <w:lang w:val="cs-CZ"/>
              </w:rPr>
            </w:pPr>
            <w:r w:rsidRPr="00E671BE">
              <w:rPr>
                <w:rFonts w:eastAsia="Arial" w:cstheme="minorHAnsi"/>
                <w:color w:val="231F20"/>
                <w:w w:val="95"/>
                <w:sz w:val="20"/>
                <w:szCs w:val="20"/>
              </w:rPr>
              <w:t>0,492</w:t>
            </w:r>
          </w:p>
        </w:tc>
        <w:tc>
          <w:tcPr>
            <w:tcW w:w="992" w:type="dxa"/>
            <w:tcBorders>
              <w:top w:val="single" w:sz="4" w:space="0" w:color="231F20"/>
              <w:left w:val="nil"/>
              <w:bottom w:val="nil"/>
              <w:right w:val="nil"/>
            </w:tcBorders>
            <w:hideMark/>
          </w:tcPr>
          <w:p w:rsidR="008F0C0F" w:rsidRPr="00E671BE" w:rsidRDefault="008F0C0F" w:rsidP="00284F89">
            <w:pPr>
              <w:widowControl/>
              <w:autoSpaceDE/>
              <w:autoSpaceDN/>
              <w:spacing w:before="67" w:after="200" w:line="276" w:lineRule="auto"/>
              <w:ind w:left="227"/>
              <w:rPr>
                <w:rFonts w:eastAsia="Arial" w:cstheme="minorHAnsi"/>
                <w:sz w:val="20"/>
                <w:szCs w:val="20"/>
                <w:lang w:val="cs-CZ"/>
              </w:rPr>
            </w:pPr>
            <w:r w:rsidRPr="00E671BE">
              <w:rPr>
                <w:rFonts w:eastAsia="Arial" w:cstheme="minorHAnsi"/>
                <w:color w:val="231F20"/>
                <w:sz w:val="20"/>
                <w:szCs w:val="20"/>
              </w:rPr>
              <w:t>0,766</w:t>
            </w:r>
          </w:p>
        </w:tc>
      </w:tr>
      <w:tr w:rsidR="008F0C0F" w:rsidRPr="0062347D" w:rsidTr="00E671BE">
        <w:trPr>
          <w:trHeight w:val="330"/>
        </w:trPr>
        <w:tc>
          <w:tcPr>
            <w:tcW w:w="1587" w:type="dxa"/>
            <w:hideMark/>
          </w:tcPr>
          <w:p w:rsidR="008F0C0F" w:rsidRPr="0062347D" w:rsidRDefault="008F0C0F" w:rsidP="0075421C">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S bez LS (RTG</w:t>
            </w:r>
            <w:r w:rsidR="0075421C">
              <w:rPr>
                <w:rFonts w:eastAsia="Arial" w:cstheme="minorHAnsi"/>
                <w:color w:val="231F20"/>
                <w:sz w:val="20"/>
                <w:szCs w:val="20"/>
              </w:rPr>
              <w:t xml:space="preserve"> </w:t>
            </w:r>
            <w:r w:rsidRPr="0062347D">
              <w:rPr>
                <w:rFonts w:eastAsia="Arial" w:cstheme="minorHAnsi"/>
                <w:color w:val="231F20"/>
                <w:sz w:val="20"/>
                <w:szCs w:val="20"/>
              </w:rPr>
              <w:t>≤</w:t>
            </w:r>
            <w:r w:rsidR="00E671BE">
              <w:rPr>
                <w:rFonts w:eastAsia="Arial" w:cstheme="minorHAnsi"/>
                <w:color w:val="231F20"/>
                <w:sz w:val="20"/>
                <w:szCs w:val="20"/>
              </w:rPr>
              <w:t> </w:t>
            </w:r>
            <w:r w:rsidRPr="0062347D">
              <w:rPr>
                <w:rFonts w:eastAsia="Arial" w:cstheme="minorHAnsi"/>
                <w:color w:val="231F20"/>
                <w:sz w:val="20"/>
                <w:szCs w:val="20"/>
              </w:rPr>
              <w:t>1)</w:t>
            </w:r>
          </w:p>
        </w:tc>
        <w:tc>
          <w:tcPr>
            <w:tcW w:w="1134" w:type="dxa"/>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6/64</w:t>
            </w:r>
          </w:p>
        </w:tc>
        <w:tc>
          <w:tcPr>
            <w:tcW w:w="1276" w:type="dxa"/>
            <w:hideMark/>
          </w:tcPr>
          <w:p w:rsidR="008F0C0F" w:rsidRPr="00E671BE" w:rsidRDefault="008F0C0F" w:rsidP="00284F89">
            <w:pPr>
              <w:widowControl/>
              <w:autoSpaceDE/>
              <w:autoSpaceDN/>
              <w:spacing w:before="75"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0,437</w:t>
            </w:r>
          </w:p>
        </w:tc>
        <w:tc>
          <w:tcPr>
            <w:tcW w:w="1418" w:type="dxa"/>
            <w:hideMark/>
          </w:tcPr>
          <w:p w:rsidR="008F0C0F" w:rsidRPr="00E671BE" w:rsidRDefault="008F0C0F" w:rsidP="00284F89">
            <w:pPr>
              <w:widowControl/>
              <w:autoSpaceDE/>
              <w:autoSpaceDN/>
              <w:spacing w:before="75"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0,257</w:t>
            </w:r>
          </w:p>
        </w:tc>
        <w:tc>
          <w:tcPr>
            <w:tcW w:w="1275" w:type="dxa"/>
            <w:hideMark/>
          </w:tcPr>
          <w:p w:rsidR="008F0C0F" w:rsidRPr="00E671BE" w:rsidRDefault="008F0C0F" w:rsidP="00284F89">
            <w:pPr>
              <w:widowControl/>
              <w:autoSpaceDE/>
              <w:autoSpaceDN/>
              <w:spacing w:before="75"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0,550</w:t>
            </w:r>
          </w:p>
        </w:tc>
        <w:tc>
          <w:tcPr>
            <w:tcW w:w="1418" w:type="dxa"/>
            <w:hideMark/>
          </w:tcPr>
          <w:p w:rsidR="008F0C0F" w:rsidRPr="00E671BE" w:rsidRDefault="008F0C0F" w:rsidP="00284F89">
            <w:pPr>
              <w:widowControl/>
              <w:autoSpaceDE/>
              <w:autoSpaceDN/>
              <w:spacing w:before="75" w:after="200" w:line="276" w:lineRule="auto"/>
              <w:ind w:right="383"/>
              <w:jc w:val="right"/>
              <w:rPr>
                <w:rFonts w:eastAsia="Arial" w:cstheme="minorHAnsi"/>
                <w:i/>
                <w:sz w:val="20"/>
                <w:szCs w:val="20"/>
                <w:lang w:val="cs-CZ"/>
              </w:rPr>
            </w:pPr>
            <w:r w:rsidRPr="00E671BE">
              <w:rPr>
                <w:rFonts w:eastAsia="Arial" w:cstheme="minorHAnsi"/>
                <w:i/>
                <w:color w:val="231F20"/>
                <w:w w:val="95"/>
                <w:sz w:val="20"/>
                <w:szCs w:val="20"/>
              </w:rPr>
              <w:t>0,030</w:t>
            </w:r>
          </w:p>
        </w:tc>
        <w:tc>
          <w:tcPr>
            <w:tcW w:w="992" w:type="dxa"/>
            <w:hideMark/>
          </w:tcPr>
          <w:p w:rsidR="008F0C0F" w:rsidRPr="00E671BE" w:rsidRDefault="008F0C0F" w:rsidP="00284F89">
            <w:pPr>
              <w:widowControl/>
              <w:autoSpaceDE/>
              <w:autoSpaceDN/>
              <w:spacing w:before="75" w:after="200" w:line="276" w:lineRule="auto"/>
              <w:ind w:left="227"/>
              <w:rPr>
                <w:rFonts w:eastAsia="Arial" w:cstheme="minorHAnsi"/>
                <w:sz w:val="20"/>
                <w:szCs w:val="20"/>
                <w:lang w:val="cs-CZ"/>
              </w:rPr>
            </w:pPr>
            <w:r w:rsidRPr="00E671BE">
              <w:rPr>
                <w:rFonts w:eastAsia="Arial" w:cstheme="minorHAnsi"/>
                <w:color w:val="231F20"/>
                <w:sz w:val="20"/>
                <w:szCs w:val="20"/>
              </w:rPr>
              <w:t>0,502</w:t>
            </w:r>
          </w:p>
        </w:tc>
      </w:tr>
      <w:tr w:rsidR="008F0C0F" w:rsidRPr="0062347D" w:rsidTr="00E671BE">
        <w:trPr>
          <w:trHeight w:val="330"/>
        </w:trPr>
        <w:tc>
          <w:tcPr>
            <w:tcW w:w="1587" w:type="dxa"/>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S RTG</w:t>
            </w:r>
            <w:r w:rsidR="00E671BE">
              <w:rPr>
                <w:rFonts w:eastAsia="Arial" w:cstheme="minorHAnsi"/>
                <w:color w:val="231F20"/>
                <w:sz w:val="20"/>
                <w:szCs w:val="20"/>
              </w:rPr>
              <w:t> </w:t>
            </w:r>
            <w:r w:rsidRPr="0062347D">
              <w:rPr>
                <w:rFonts w:eastAsia="Arial" w:cstheme="minorHAnsi"/>
                <w:color w:val="231F20"/>
                <w:sz w:val="20"/>
                <w:szCs w:val="20"/>
              </w:rPr>
              <w:t>= 2</w:t>
            </w:r>
          </w:p>
        </w:tc>
        <w:tc>
          <w:tcPr>
            <w:tcW w:w="1134" w:type="dxa"/>
            <w:hideMark/>
          </w:tcPr>
          <w:p w:rsidR="008F0C0F" w:rsidRPr="0062347D" w:rsidRDefault="008F0C0F" w:rsidP="00284F89">
            <w:pPr>
              <w:widowControl/>
              <w:autoSpaceDE/>
              <w:autoSpaceDN/>
              <w:spacing w:before="75" w:after="200" w:line="276" w:lineRule="auto"/>
              <w:ind w:left="356"/>
              <w:rPr>
                <w:rFonts w:eastAsia="Arial" w:cstheme="minorHAnsi"/>
                <w:sz w:val="20"/>
                <w:szCs w:val="20"/>
                <w:lang w:val="cs-CZ"/>
              </w:rPr>
            </w:pPr>
            <w:r w:rsidRPr="0062347D">
              <w:rPr>
                <w:rFonts w:eastAsia="Arial" w:cstheme="minorHAnsi"/>
                <w:color w:val="231F20"/>
                <w:sz w:val="20"/>
                <w:szCs w:val="20"/>
              </w:rPr>
              <w:t>14/113</w:t>
            </w:r>
          </w:p>
        </w:tc>
        <w:tc>
          <w:tcPr>
            <w:tcW w:w="1276" w:type="dxa"/>
            <w:hideMark/>
          </w:tcPr>
          <w:p w:rsidR="008F0C0F" w:rsidRPr="00E671BE" w:rsidRDefault="008F0C0F" w:rsidP="00284F89">
            <w:pPr>
              <w:widowControl/>
              <w:autoSpaceDE/>
              <w:autoSpaceDN/>
              <w:spacing w:before="75"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0,256</w:t>
            </w:r>
          </w:p>
        </w:tc>
        <w:tc>
          <w:tcPr>
            <w:tcW w:w="1418" w:type="dxa"/>
            <w:hideMark/>
          </w:tcPr>
          <w:p w:rsidR="008F0C0F" w:rsidRPr="00E671BE" w:rsidRDefault="008F0C0F" w:rsidP="00284F89">
            <w:pPr>
              <w:widowControl/>
              <w:autoSpaceDE/>
              <w:autoSpaceDN/>
              <w:spacing w:before="75"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0,723</w:t>
            </w:r>
          </w:p>
        </w:tc>
        <w:tc>
          <w:tcPr>
            <w:tcW w:w="1275" w:type="dxa"/>
            <w:hideMark/>
          </w:tcPr>
          <w:p w:rsidR="008F0C0F" w:rsidRPr="00E671BE" w:rsidRDefault="008F0C0F" w:rsidP="00284F89">
            <w:pPr>
              <w:widowControl/>
              <w:autoSpaceDE/>
              <w:autoSpaceDN/>
              <w:spacing w:before="75"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0,476</w:t>
            </w:r>
          </w:p>
        </w:tc>
        <w:tc>
          <w:tcPr>
            <w:tcW w:w="1418" w:type="dxa"/>
            <w:hideMark/>
          </w:tcPr>
          <w:p w:rsidR="008F0C0F" w:rsidRPr="00E671BE" w:rsidRDefault="008F0C0F" w:rsidP="00284F89">
            <w:pPr>
              <w:widowControl/>
              <w:autoSpaceDE/>
              <w:autoSpaceDN/>
              <w:spacing w:before="75" w:after="200" w:line="276" w:lineRule="auto"/>
              <w:ind w:right="383"/>
              <w:jc w:val="right"/>
              <w:rPr>
                <w:rFonts w:eastAsia="Arial" w:cstheme="minorHAnsi"/>
                <w:sz w:val="20"/>
                <w:szCs w:val="20"/>
                <w:lang w:val="cs-CZ"/>
              </w:rPr>
            </w:pPr>
            <w:r w:rsidRPr="00E671BE">
              <w:rPr>
                <w:rFonts w:eastAsia="Arial" w:cstheme="minorHAnsi"/>
                <w:color w:val="231F20"/>
                <w:w w:val="95"/>
                <w:sz w:val="20"/>
                <w:szCs w:val="20"/>
              </w:rPr>
              <w:t>0,112</w:t>
            </w:r>
          </w:p>
        </w:tc>
        <w:tc>
          <w:tcPr>
            <w:tcW w:w="992" w:type="dxa"/>
            <w:hideMark/>
          </w:tcPr>
          <w:p w:rsidR="008F0C0F" w:rsidRPr="00E671BE" w:rsidRDefault="008F0C0F" w:rsidP="00284F89">
            <w:pPr>
              <w:widowControl/>
              <w:autoSpaceDE/>
              <w:autoSpaceDN/>
              <w:spacing w:before="75" w:after="200" w:line="276" w:lineRule="auto"/>
              <w:ind w:left="227"/>
              <w:rPr>
                <w:rFonts w:eastAsia="Arial" w:cstheme="minorHAnsi"/>
                <w:sz w:val="20"/>
                <w:szCs w:val="20"/>
                <w:lang w:val="cs-CZ"/>
              </w:rPr>
            </w:pPr>
            <w:r w:rsidRPr="00E671BE">
              <w:rPr>
                <w:rFonts w:eastAsia="Arial" w:cstheme="minorHAnsi"/>
                <w:color w:val="231F20"/>
                <w:sz w:val="20"/>
                <w:szCs w:val="20"/>
              </w:rPr>
              <w:t>0,755</w:t>
            </w:r>
          </w:p>
        </w:tc>
      </w:tr>
      <w:tr w:rsidR="008F0C0F" w:rsidRPr="0062347D" w:rsidTr="00E671BE">
        <w:trPr>
          <w:trHeight w:val="330"/>
        </w:trPr>
        <w:tc>
          <w:tcPr>
            <w:tcW w:w="1587" w:type="dxa"/>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S RTG</w:t>
            </w:r>
            <w:r w:rsidR="00E671BE">
              <w:rPr>
                <w:rFonts w:eastAsia="Arial" w:cstheme="minorHAnsi"/>
                <w:color w:val="231F20"/>
                <w:sz w:val="20"/>
                <w:szCs w:val="20"/>
              </w:rPr>
              <w:t> </w:t>
            </w:r>
            <w:r w:rsidRPr="0062347D">
              <w:rPr>
                <w:rFonts w:eastAsia="Arial" w:cstheme="minorHAnsi"/>
                <w:color w:val="231F20"/>
                <w:sz w:val="20"/>
                <w:szCs w:val="20"/>
              </w:rPr>
              <w:t>≥ 3</w:t>
            </w:r>
          </w:p>
        </w:tc>
        <w:tc>
          <w:tcPr>
            <w:tcW w:w="1134" w:type="dxa"/>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1/26</w:t>
            </w:r>
          </w:p>
        </w:tc>
        <w:tc>
          <w:tcPr>
            <w:tcW w:w="1276" w:type="dxa"/>
            <w:hideMark/>
          </w:tcPr>
          <w:p w:rsidR="008F0C0F" w:rsidRPr="00E671BE" w:rsidRDefault="008F0C0F" w:rsidP="00284F89">
            <w:pPr>
              <w:widowControl/>
              <w:autoSpaceDE/>
              <w:autoSpaceDN/>
              <w:spacing w:before="75"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0,898</w:t>
            </w:r>
          </w:p>
        </w:tc>
        <w:tc>
          <w:tcPr>
            <w:tcW w:w="1418" w:type="dxa"/>
            <w:hideMark/>
          </w:tcPr>
          <w:p w:rsidR="008F0C0F" w:rsidRPr="00E671BE" w:rsidRDefault="008F0C0F" w:rsidP="00284F89">
            <w:pPr>
              <w:widowControl/>
              <w:autoSpaceDE/>
              <w:autoSpaceDN/>
              <w:spacing w:before="75"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0,653</w:t>
            </w:r>
          </w:p>
        </w:tc>
        <w:tc>
          <w:tcPr>
            <w:tcW w:w="1275" w:type="dxa"/>
            <w:hideMark/>
          </w:tcPr>
          <w:p w:rsidR="008F0C0F" w:rsidRPr="00E671BE" w:rsidRDefault="008F0C0F" w:rsidP="00284F89">
            <w:pPr>
              <w:widowControl/>
              <w:autoSpaceDE/>
              <w:autoSpaceDN/>
              <w:spacing w:before="75"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0,652</w:t>
            </w:r>
          </w:p>
        </w:tc>
        <w:tc>
          <w:tcPr>
            <w:tcW w:w="1418" w:type="dxa"/>
            <w:hideMark/>
          </w:tcPr>
          <w:p w:rsidR="008F0C0F" w:rsidRPr="00E671BE" w:rsidRDefault="008F0C0F" w:rsidP="00284F89">
            <w:pPr>
              <w:widowControl/>
              <w:autoSpaceDE/>
              <w:autoSpaceDN/>
              <w:spacing w:before="75" w:after="200" w:line="276" w:lineRule="auto"/>
              <w:ind w:right="383"/>
              <w:jc w:val="right"/>
              <w:rPr>
                <w:rFonts w:eastAsia="Arial" w:cstheme="minorHAnsi"/>
                <w:sz w:val="20"/>
                <w:szCs w:val="20"/>
                <w:lang w:val="cs-CZ"/>
              </w:rPr>
            </w:pPr>
            <w:r w:rsidRPr="00E671BE">
              <w:rPr>
                <w:rFonts w:eastAsia="Arial" w:cstheme="minorHAnsi"/>
                <w:color w:val="231F20"/>
                <w:w w:val="95"/>
                <w:sz w:val="20"/>
                <w:szCs w:val="20"/>
              </w:rPr>
              <w:t>0,424</w:t>
            </w:r>
          </w:p>
        </w:tc>
        <w:tc>
          <w:tcPr>
            <w:tcW w:w="992" w:type="dxa"/>
            <w:hideMark/>
          </w:tcPr>
          <w:p w:rsidR="008F0C0F" w:rsidRPr="00E671BE" w:rsidRDefault="008F0C0F" w:rsidP="00284F89">
            <w:pPr>
              <w:widowControl/>
              <w:autoSpaceDE/>
              <w:autoSpaceDN/>
              <w:spacing w:before="75" w:after="200" w:line="276" w:lineRule="auto"/>
              <w:ind w:left="227"/>
              <w:rPr>
                <w:rFonts w:eastAsia="Arial" w:cstheme="minorHAnsi"/>
                <w:sz w:val="20"/>
                <w:szCs w:val="20"/>
                <w:lang w:val="cs-CZ"/>
              </w:rPr>
            </w:pPr>
            <w:r w:rsidRPr="00E671BE">
              <w:rPr>
                <w:rFonts w:eastAsia="Arial" w:cstheme="minorHAnsi"/>
                <w:color w:val="231F20"/>
                <w:sz w:val="20"/>
                <w:szCs w:val="20"/>
              </w:rPr>
              <w:t>1,000</w:t>
            </w:r>
          </w:p>
        </w:tc>
      </w:tr>
      <w:tr w:rsidR="008F0C0F" w:rsidRPr="0062347D" w:rsidTr="00E671BE">
        <w:trPr>
          <w:trHeight w:val="330"/>
        </w:trPr>
        <w:tc>
          <w:tcPr>
            <w:tcW w:w="1587" w:type="dxa"/>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IPF</w:t>
            </w:r>
          </w:p>
        </w:tc>
        <w:tc>
          <w:tcPr>
            <w:tcW w:w="1134" w:type="dxa"/>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4/22</w:t>
            </w:r>
          </w:p>
        </w:tc>
        <w:tc>
          <w:tcPr>
            <w:tcW w:w="1276" w:type="dxa"/>
            <w:hideMark/>
          </w:tcPr>
          <w:p w:rsidR="008F0C0F" w:rsidRPr="00E671BE" w:rsidRDefault="008F0C0F" w:rsidP="00284F89">
            <w:pPr>
              <w:widowControl/>
              <w:autoSpaceDE/>
              <w:autoSpaceDN/>
              <w:spacing w:before="75"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0,823</w:t>
            </w:r>
          </w:p>
        </w:tc>
        <w:tc>
          <w:tcPr>
            <w:tcW w:w="1418" w:type="dxa"/>
            <w:hideMark/>
          </w:tcPr>
          <w:p w:rsidR="008F0C0F" w:rsidRPr="00E671BE" w:rsidRDefault="008F0C0F" w:rsidP="00284F89">
            <w:pPr>
              <w:widowControl/>
              <w:autoSpaceDE/>
              <w:autoSpaceDN/>
              <w:spacing w:before="75"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0,702</w:t>
            </w:r>
          </w:p>
        </w:tc>
        <w:tc>
          <w:tcPr>
            <w:tcW w:w="1275" w:type="dxa"/>
            <w:hideMark/>
          </w:tcPr>
          <w:p w:rsidR="008F0C0F" w:rsidRPr="00E671BE" w:rsidRDefault="008F0C0F" w:rsidP="00284F89">
            <w:pPr>
              <w:widowControl/>
              <w:autoSpaceDE/>
              <w:autoSpaceDN/>
              <w:spacing w:before="75"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0,849</w:t>
            </w:r>
          </w:p>
        </w:tc>
        <w:tc>
          <w:tcPr>
            <w:tcW w:w="1418" w:type="dxa"/>
            <w:hideMark/>
          </w:tcPr>
          <w:p w:rsidR="008F0C0F" w:rsidRPr="00E671BE" w:rsidRDefault="008F0C0F" w:rsidP="00284F89">
            <w:pPr>
              <w:widowControl/>
              <w:autoSpaceDE/>
              <w:autoSpaceDN/>
              <w:spacing w:before="75" w:after="200" w:line="276" w:lineRule="auto"/>
              <w:ind w:right="383"/>
              <w:jc w:val="right"/>
              <w:rPr>
                <w:rFonts w:eastAsia="Arial" w:cstheme="minorHAnsi"/>
                <w:sz w:val="20"/>
                <w:szCs w:val="20"/>
                <w:lang w:val="cs-CZ"/>
              </w:rPr>
            </w:pPr>
            <w:r w:rsidRPr="00E671BE">
              <w:rPr>
                <w:rFonts w:eastAsia="Arial" w:cstheme="minorHAnsi"/>
                <w:color w:val="231F20"/>
                <w:w w:val="95"/>
                <w:sz w:val="20"/>
                <w:szCs w:val="20"/>
              </w:rPr>
              <w:t>0,452</w:t>
            </w:r>
          </w:p>
        </w:tc>
        <w:tc>
          <w:tcPr>
            <w:tcW w:w="992" w:type="dxa"/>
            <w:hideMark/>
          </w:tcPr>
          <w:p w:rsidR="008F0C0F" w:rsidRPr="00E671BE" w:rsidRDefault="008F0C0F" w:rsidP="00284F89">
            <w:pPr>
              <w:widowControl/>
              <w:autoSpaceDE/>
              <w:autoSpaceDN/>
              <w:spacing w:before="75" w:after="200" w:line="276" w:lineRule="auto"/>
              <w:ind w:left="227"/>
              <w:rPr>
                <w:rFonts w:eastAsia="Arial" w:cstheme="minorHAnsi"/>
                <w:sz w:val="20"/>
                <w:szCs w:val="20"/>
                <w:lang w:val="cs-CZ"/>
              </w:rPr>
            </w:pPr>
            <w:r w:rsidRPr="00E671BE">
              <w:rPr>
                <w:rFonts w:eastAsia="Arial" w:cstheme="minorHAnsi"/>
                <w:color w:val="231F20"/>
                <w:sz w:val="20"/>
                <w:szCs w:val="20"/>
              </w:rPr>
              <w:t>0,611</w:t>
            </w:r>
          </w:p>
        </w:tc>
      </w:tr>
      <w:tr w:rsidR="008F0C0F" w:rsidRPr="0062347D" w:rsidTr="00E671BE">
        <w:trPr>
          <w:trHeight w:val="330"/>
        </w:trPr>
        <w:tc>
          <w:tcPr>
            <w:tcW w:w="1587" w:type="dxa"/>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OIIP</w:t>
            </w:r>
          </w:p>
        </w:tc>
        <w:tc>
          <w:tcPr>
            <w:tcW w:w="1134" w:type="dxa"/>
            <w:hideMark/>
          </w:tcPr>
          <w:p w:rsidR="008F0C0F" w:rsidRPr="0062347D" w:rsidRDefault="008F0C0F" w:rsidP="00284F89">
            <w:pPr>
              <w:widowControl/>
              <w:autoSpaceDE/>
              <w:autoSpaceDN/>
              <w:spacing w:before="75" w:after="200" w:line="276" w:lineRule="auto"/>
              <w:ind w:left="356"/>
              <w:rPr>
                <w:rFonts w:eastAsia="Arial" w:cstheme="minorHAnsi"/>
                <w:sz w:val="20"/>
                <w:szCs w:val="20"/>
                <w:lang w:val="cs-CZ"/>
              </w:rPr>
            </w:pPr>
            <w:r w:rsidRPr="0062347D">
              <w:rPr>
                <w:rFonts w:eastAsia="Arial" w:cstheme="minorHAnsi"/>
                <w:color w:val="231F20"/>
                <w:sz w:val="20"/>
                <w:szCs w:val="20"/>
              </w:rPr>
              <w:t>15/39</w:t>
            </w:r>
          </w:p>
        </w:tc>
        <w:tc>
          <w:tcPr>
            <w:tcW w:w="1276" w:type="dxa"/>
            <w:hideMark/>
          </w:tcPr>
          <w:p w:rsidR="008F0C0F" w:rsidRPr="00E671BE" w:rsidRDefault="008F0C0F" w:rsidP="00284F89">
            <w:pPr>
              <w:widowControl/>
              <w:autoSpaceDE/>
              <w:autoSpaceDN/>
              <w:spacing w:before="75"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0,250</w:t>
            </w:r>
          </w:p>
        </w:tc>
        <w:tc>
          <w:tcPr>
            <w:tcW w:w="1418" w:type="dxa"/>
            <w:hideMark/>
          </w:tcPr>
          <w:p w:rsidR="008F0C0F" w:rsidRPr="00E671BE" w:rsidRDefault="008F0C0F" w:rsidP="00284F89">
            <w:pPr>
              <w:widowControl/>
              <w:autoSpaceDE/>
              <w:autoSpaceDN/>
              <w:spacing w:before="75"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0,122</w:t>
            </w:r>
          </w:p>
        </w:tc>
        <w:tc>
          <w:tcPr>
            <w:tcW w:w="1275" w:type="dxa"/>
            <w:hideMark/>
          </w:tcPr>
          <w:p w:rsidR="008F0C0F" w:rsidRPr="00E671BE" w:rsidRDefault="008F0C0F" w:rsidP="00284F89">
            <w:pPr>
              <w:widowControl/>
              <w:autoSpaceDE/>
              <w:autoSpaceDN/>
              <w:spacing w:before="75"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0,549</w:t>
            </w:r>
          </w:p>
        </w:tc>
        <w:tc>
          <w:tcPr>
            <w:tcW w:w="1418" w:type="dxa"/>
            <w:hideMark/>
          </w:tcPr>
          <w:p w:rsidR="008F0C0F" w:rsidRPr="00E671BE" w:rsidRDefault="008F0C0F" w:rsidP="00284F89">
            <w:pPr>
              <w:widowControl/>
              <w:autoSpaceDE/>
              <w:autoSpaceDN/>
              <w:spacing w:before="75" w:after="200" w:line="276" w:lineRule="auto"/>
              <w:ind w:right="383"/>
              <w:jc w:val="right"/>
              <w:rPr>
                <w:rFonts w:eastAsia="Arial" w:cstheme="minorHAnsi"/>
                <w:sz w:val="20"/>
                <w:szCs w:val="20"/>
                <w:lang w:val="cs-CZ"/>
              </w:rPr>
            </w:pPr>
            <w:r w:rsidRPr="00E671BE">
              <w:rPr>
                <w:rFonts w:eastAsia="Arial" w:cstheme="minorHAnsi"/>
                <w:color w:val="231F20"/>
                <w:w w:val="95"/>
                <w:sz w:val="20"/>
                <w:szCs w:val="20"/>
              </w:rPr>
              <w:t>0,391</w:t>
            </w:r>
          </w:p>
        </w:tc>
        <w:tc>
          <w:tcPr>
            <w:tcW w:w="992" w:type="dxa"/>
            <w:hideMark/>
          </w:tcPr>
          <w:p w:rsidR="008F0C0F" w:rsidRPr="00E671BE" w:rsidRDefault="008F0C0F" w:rsidP="00284F89">
            <w:pPr>
              <w:widowControl/>
              <w:autoSpaceDE/>
              <w:autoSpaceDN/>
              <w:spacing w:before="75" w:after="200" w:line="276" w:lineRule="auto"/>
              <w:ind w:left="227"/>
              <w:rPr>
                <w:rFonts w:eastAsia="Arial" w:cstheme="minorHAnsi"/>
                <w:sz w:val="20"/>
                <w:szCs w:val="20"/>
                <w:lang w:val="cs-CZ"/>
              </w:rPr>
            </w:pPr>
            <w:r w:rsidRPr="00E671BE">
              <w:rPr>
                <w:rFonts w:eastAsia="Arial" w:cstheme="minorHAnsi"/>
                <w:color w:val="231F20"/>
                <w:sz w:val="20"/>
                <w:szCs w:val="20"/>
              </w:rPr>
              <w:t>0,235</w:t>
            </w:r>
          </w:p>
        </w:tc>
      </w:tr>
      <w:tr w:rsidR="008F0C0F" w:rsidRPr="0062347D" w:rsidTr="00E671BE">
        <w:trPr>
          <w:trHeight w:val="328"/>
        </w:trPr>
        <w:tc>
          <w:tcPr>
            <w:tcW w:w="1587"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113"/>
              <w:rPr>
                <w:rFonts w:eastAsia="Arial" w:cstheme="minorHAnsi"/>
                <w:sz w:val="20"/>
                <w:szCs w:val="20"/>
                <w:lang w:val="cs-CZ"/>
              </w:rPr>
            </w:pPr>
            <w:r w:rsidRPr="0062347D">
              <w:rPr>
                <w:rFonts w:eastAsia="Arial" w:cstheme="minorHAnsi"/>
                <w:color w:val="231F20"/>
                <w:sz w:val="20"/>
                <w:szCs w:val="20"/>
              </w:rPr>
              <w:t>HP</w:t>
            </w:r>
          </w:p>
        </w:tc>
        <w:tc>
          <w:tcPr>
            <w:tcW w:w="1134" w:type="dxa"/>
            <w:tcBorders>
              <w:top w:val="nil"/>
              <w:left w:val="nil"/>
              <w:bottom w:val="single" w:sz="4" w:space="0" w:color="231F20"/>
              <w:right w:val="nil"/>
            </w:tcBorders>
            <w:hideMark/>
          </w:tcPr>
          <w:p w:rsidR="008F0C0F" w:rsidRPr="0062347D" w:rsidRDefault="008F0C0F" w:rsidP="00284F89">
            <w:pPr>
              <w:widowControl/>
              <w:autoSpaceDE/>
              <w:autoSpaceDN/>
              <w:spacing w:before="75" w:after="200" w:line="276" w:lineRule="auto"/>
              <w:ind w:left="114" w:right="184"/>
              <w:jc w:val="center"/>
              <w:rPr>
                <w:rFonts w:eastAsia="Arial" w:cstheme="minorHAnsi"/>
                <w:sz w:val="20"/>
                <w:szCs w:val="20"/>
                <w:lang w:val="cs-CZ"/>
              </w:rPr>
            </w:pPr>
            <w:r w:rsidRPr="0062347D">
              <w:rPr>
                <w:rFonts w:eastAsia="Arial" w:cstheme="minorHAnsi"/>
                <w:color w:val="231F20"/>
                <w:w w:val="105"/>
                <w:sz w:val="20"/>
                <w:szCs w:val="20"/>
              </w:rPr>
              <w:t>3/15</w:t>
            </w:r>
          </w:p>
        </w:tc>
        <w:tc>
          <w:tcPr>
            <w:tcW w:w="1276" w:type="dxa"/>
            <w:tcBorders>
              <w:top w:val="nil"/>
              <w:left w:val="nil"/>
              <w:bottom w:val="single" w:sz="4" w:space="0" w:color="231F20"/>
              <w:right w:val="nil"/>
            </w:tcBorders>
            <w:hideMark/>
          </w:tcPr>
          <w:p w:rsidR="008F0C0F" w:rsidRPr="00E671BE" w:rsidRDefault="008F0C0F" w:rsidP="00284F89">
            <w:pPr>
              <w:widowControl/>
              <w:autoSpaceDE/>
              <w:autoSpaceDN/>
              <w:spacing w:before="75" w:after="200" w:line="276" w:lineRule="auto"/>
              <w:ind w:right="326"/>
              <w:jc w:val="right"/>
              <w:rPr>
                <w:rFonts w:eastAsia="Arial" w:cstheme="minorHAnsi"/>
                <w:sz w:val="20"/>
                <w:szCs w:val="20"/>
                <w:lang w:val="cs-CZ"/>
              </w:rPr>
            </w:pPr>
            <w:r w:rsidRPr="00E671BE">
              <w:rPr>
                <w:rFonts w:eastAsia="Arial" w:cstheme="minorHAnsi"/>
                <w:color w:val="231F20"/>
                <w:w w:val="95"/>
                <w:sz w:val="20"/>
                <w:szCs w:val="20"/>
              </w:rPr>
              <w:t>0,477</w:t>
            </w:r>
          </w:p>
        </w:tc>
        <w:tc>
          <w:tcPr>
            <w:tcW w:w="1418" w:type="dxa"/>
            <w:tcBorders>
              <w:top w:val="nil"/>
              <w:left w:val="nil"/>
              <w:bottom w:val="single" w:sz="4" w:space="0" w:color="231F20"/>
              <w:right w:val="nil"/>
            </w:tcBorders>
            <w:hideMark/>
          </w:tcPr>
          <w:p w:rsidR="008F0C0F" w:rsidRPr="00E671BE" w:rsidRDefault="008F0C0F" w:rsidP="00284F89">
            <w:pPr>
              <w:widowControl/>
              <w:autoSpaceDE/>
              <w:autoSpaceDN/>
              <w:spacing w:before="75" w:after="200" w:line="276" w:lineRule="auto"/>
              <w:ind w:left="312" w:right="313"/>
              <w:jc w:val="center"/>
              <w:rPr>
                <w:rFonts w:eastAsia="Arial" w:cstheme="minorHAnsi"/>
                <w:sz w:val="20"/>
                <w:szCs w:val="20"/>
                <w:lang w:val="cs-CZ"/>
              </w:rPr>
            </w:pPr>
            <w:r w:rsidRPr="00E671BE">
              <w:rPr>
                <w:rFonts w:eastAsia="Arial" w:cstheme="minorHAnsi"/>
                <w:color w:val="231F20"/>
                <w:sz w:val="20"/>
                <w:szCs w:val="20"/>
              </w:rPr>
              <w:t>0,767</w:t>
            </w:r>
          </w:p>
        </w:tc>
        <w:tc>
          <w:tcPr>
            <w:tcW w:w="1275" w:type="dxa"/>
            <w:tcBorders>
              <w:top w:val="nil"/>
              <w:left w:val="nil"/>
              <w:bottom w:val="single" w:sz="4" w:space="0" w:color="231F20"/>
              <w:right w:val="nil"/>
            </w:tcBorders>
            <w:hideMark/>
          </w:tcPr>
          <w:p w:rsidR="008F0C0F" w:rsidRPr="00E671BE" w:rsidRDefault="008F0C0F" w:rsidP="00284F89">
            <w:pPr>
              <w:widowControl/>
              <w:autoSpaceDE/>
              <w:autoSpaceDN/>
              <w:spacing w:before="75" w:after="200" w:line="276" w:lineRule="auto"/>
              <w:ind w:right="333"/>
              <w:jc w:val="right"/>
              <w:rPr>
                <w:rFonts w:eastAsia="Arial" w:cstheme="minorHAnsi"/>
                <w:sz w:val="20"/>
                <w:szCs w:val="20"/>
                <w:lang w:val="cs-CZ"/>
              </w:rPr>
            </w:pPr>
            <w:r w:rsidRPr="00E671BE">
              <w:rPr>
                <w:rFonts w:eastAsia="Arial" w:cstheme="minorHAnsi"/>
                <w:color w:val="231F20"/>
                <w:w w:val="95"/>
                <w:sz w:val="20"/>
                <w:szCs w:val="20"/>
              </w:rPr>
              <w:t>0,906</w:t>
            </w:r>
          </w:p>
        </w:tc>
        <w:tc>
          <w:tcPr>
            <w:tcW w:w="1418" w:type="dxa"/>
            <w:tcBorders>
              <w:top w:val="nil"/>
              <w:left w:val="nil"/>
              <w:bottom w:val="single" w:sz="4" w:space="0" w:color="231F20"/>
              <w:right w:val="nil"/>
            </w:tcBorders>
            <w:hideMark/>
          </w:tcPr>
          <w:p w:rsidR="008F0C0F" w:rsidRPr="00E671BE" w:rsidRDefault="008F0C0F" w:rsidP="00284F89">
            <w:pPr>
              <w:widowControl/>
              <w:autoSpaceDE/>
              <w:autoSpaceDN/>
              <w:spacing w:before="75" w:after="200" w:line="276" w:lineRule="auto"/>
              <w:ind w:right="383"/>
              <w:jc w:val="right"/>
              <w:rPr>
                <w:rFonts w:eastAsia="Arial" w:cstheme="minorHAnsi"/>
                <w:sz w:val="20"/>
                <w:szCs w:val="20"/>
                <w:lang w:val="cs-CZ"/>
              </w:rPr>
            </w:pPr>
            <w:r w:rsidRPr="00E671BE">
              <w:rPr>
                <w:rFonts w:eastAsia="Arial" w:cstheme="minorHAnsi"/>
                <w:color w:val="231F20"/>
                <w:w w:val="95"/>
                <w:sz w:val="20"/>
                <w:szCs w:val="20"/>
              </w:rPr>
              <w:t>0,106</w:t>
            </w:r>
          </w:p>
        </w:tc>
        <w:tc>
          <w:tcPr>
            <w:tcW w:w="992" w:type="dxa"/>
            <w:tcBorders>
              <w:top w:val="nil"/>
              <w:left w:val="nil"/>
              <w:bottom w:val="single" w:sz="4" w:space="0" w:color="231F20"/>
              <w:right w:val="nil"/>
            </w:tcBorders>
            <w:hideMark/>
          </w:tcPr>
          <w:p w:rsidR="008F0C0F" w:rsidRPr="00E671BE" w:rsidRDefault="008F0C0F" w:rsidP="00284F89">
            <w:pPr>
              <w:widowControl/>
              <w:autoSpaceDE/>
              <w:autoSpaceDN/>
              <w:spacing w:before="75" w:after="200" w:line="276" w:lineRule="auto"/>
              <w:ind w:left="227"/>
              <w:rPr>
                <w:rFonts w:eastAsia="Arial" w:cstheme="minorHAnsi"/>
                <w:sz w:val="20"/>
                <w:szCs w:val="20"/>
                <w:lang w:val="cs-CZ"/>
              </w:rPr>
            </w:pPr>
            <w:r w:rsidRPr="00E671BE">
              <w:rPr>
                <w:rFonts w:eastAsia="Arial" w:cstheme="minorHAnsi"/>
                <w:color w:val="231F20"/>
                <w:sz w:val="20"/>
                <w:szCs w:val="20"/>
              </w:rPr>
              <w:t>0,953</w:t>
            </w:r>
          </w:p>
        </w:tc>
      </w:tr>
    </w:tbl>
    <w:p w:rsidR="008F0C0F" w:rsidRPr="0062347D" w:rsidRDefault="008F0C0F" w:rsidP="00F21752">
      <w:pPr>
        <w:spacing w:before="83"/>
        <w:ind w:left="220"/>
        <w:rPr>
          <w:rFonts w:cstheme="minorHAnsi"/>
          <w:b/>
          <w:color w:val="231F20"/>
          <w:sz w:val="20"/>
          <w:szCs w:val="20"/>
        </w:rPr>
      </w:pPr>
      <w:r w:rsidRPr="0062347D">
        <w:rPr>
          <w:rFonts w:cstheme="minorHAnsi"/>
          <w:color w:val="231F20"/>
          <w:spacing w:val="-4"/>
          <w:sz w:val="20"/>
          <w:szCs w:val="20"/>
        </w:rPr>
        <w:t>Výsledky jsou uvedeny jako</w:t>
      </w:r>
      <w:r w:rsidRPr="0062347D">
        <w:rPr>
          <w:rFonts w:cstheme="minorHAnsi"/>
          <w:color w:val="231F20"/>
          <w:sz w:val="20"/>
          <w:szCs w:val="20"/>
        </w:rPr>
        <w:t xml:space="preserve"> P </w:t>
      </w:r>
      <w:r w:rsidRPr="0062347D">
        <w:rPr>
          <w:rFonts w:cstheme="minorHAnsi"/>
          <w:color w:val="231F20"/>
          <w:spacing w:val="-4"/>
          <w:sz w:val="20"/>
          <w:szCs w:val="20"/>
        </w:rPr>
        <w:t>hodnota. Úroveň signifikance je nastavena na hodnotu</w:t>
      </w:r>
      <w:r w:rsidRPr="0062347D">
        <w:rPr>
          <w:rFonts w:cstheme="minorHAnsi"/>
          <w:color w:val="231F20"/>
          <w:sz w:val="20"/>
          <w:szCs w:val="20"/>
        </w:rPr>
        <w:t xml:space="preserve"> </w:t>
      </w:r>
      <w:r w:rsidRPr="0062347D">
        <w:rPr>
          <w:rFonts w:cstheme="minorHAnsi"/>
          <w:color w:val="231F20"/>
          <w:spacing w:val="-4"/>
          <w:sz w:val="20"/>
          <w:szCs w:val="20"/>
        </w:rPr>
        <w:t>P</w:t>
      </w:r>
      <w:r>
        <w:rPr>
          <w:rFonts w:cstheme="minorHAnsi"/>
          <w:color w:val="231F20"/>
          <w:spacing w:val="-4"/>
          <w:sz w:val="20"/>
          <w:szCs w:val="20"/>
        </w:rPr>
        <w:t> </w:t>
      </w:r>
      <w:r w:rsidRPr="0062347D">
        <w:rPr>
          <w:rFonts w:cstheme="minorHAnsi"/>
          <w:color w:val="231F20"/>
          <w:spacing w:val="-4"/>
          <w:sz w:val="20"/>
          <w:szCs w:val="20"/>
        </w:rPr>
        <w:t>&lt;</w:t>
      </w:r>
      <w:r>
        <w:rPr>
          <w:rFonts w:cstheme="minorHAnsi"/>
          <w:color w:val="231F20"/>
          <w:spacing w:val="-4"/>
          <w:sz w:val="20"/>
          <w:szCs w:val="20"/>
        </w:rPr>
        <w:t> </w:t>
      </w:r>
      <w:r w:rsidRPr="0062347D">
        <w:rPr>
          <w:rFonts w:cstheme="minorHAnsi"/>
          <w:color w:val="231F20"/>
          <w:spacing w:val="-4"/>
          <w:sz w:val="20"/>
          <w:szCs w:val="20"/>
        </w:rPr>
        <w:t xml:space="preserve">0,05. </w:t>
      </w:r>
      <w:r w:rsidRPr="0062347D">
        <w:rPr>
          <w:rFonts w:cstheme="minorHAnsi"/>
          <w:color w:val="231F20"/>
          <w:sz w:val="20"/>
          <w:szCs w:val="20"/>
        </w:rPr>
        <w:t xml:space="preserve">P </w:t>
      </w:r>
      <w:r w:rsidRPr="0062347D">
        <w:rPr>
          <w:rFonts w:cstheme="minorHAnsi"/>
          <w:color w:val="231F20"/>
          <w:spacing w:val="-4"/>
          <w:sz w:val="20"/>
          <w:szCs w:val="20"/>
        </w:rPr>
        <w:t>hodnoty &lt;</w:t>
      </w:r>
      <w:r>
        <w:rPr>
          <w:rFonts w:cstheme="minorHAnsi"/>
          <w:color w:val="231F20"/>
          <w:spacing w:val="-4"/>
          <w:sz w:val="20"/>
          <w:szCs w:val="20"/>
        </w:rPr>
        <w:t> </w:t>
      </w:r>
      <w:r w:rsidRPr="0062347D">
        <w:rPr>
          <w:rFonts w:cstheme="minorHAnsi"/>
          <w:color w:val="231F20"/>
          <w:spacing w:val="-4"/>
          <w:sz w:val="20"/>
          <w:szCs w:val="20"/>
        </w:rPr>
        <w:t xml:space="preserve">0,05 jsou napsány kurzívou. </w:t>
      </w:r>
      <w:r w:rsidRPr="0062347D">
        <w:rPr>
          <w:rFonts w:cstheme="minorHAnsi"/>
          <w:color w:val="231F20"/>
          <w:spacing w:val="-3"/>
          <w:sz w:val="20"/>
          <w:szCs w:val="20"/>
        </w:rPr>
        <w:t xml:space="preserve">IPN, </w:t>
      </w:r>
      <w:r w:rsidRPr="0062347D">
        <w:rPr>
          <w:rFonts w:cstheme="minorHAnsi"/>
          <w:color w:val="231F20"/>
          <w:spacing w:val="-4"/>
          <w:sz w:val="20"/>
          <w:szCs w:val="20"/>
        </w:rPr>
        <w:t xml:space="preserve">intersticiální </w:t>
      </w:r>
      <w:r w:rsidRPr="0062347D">
        <w:rPr>
          <w:rFonts w:cstheme="minorHAnsi"/>
          <w:color w:val="231F20"/>
          <w:spacing w:val="-3"/>
          <w:sz w:val="20"/>
          <w:szCs w:val="20"/>
        </w:rPr>
        <w:t xml:space="preserve">plicní </w:t>
      </w:r>
      <w:r w:rsidRPr="0062347D">
        <w:rPr>
          <w:rFonts w:cstheme="minorHAnsi"/>
          <w:color w:val="231F20"/>
          <w:spacing w:val="-4"/>
          <w:sz w:val="20"/>
          <w:szCs w:val="20"/>
        </w:rPr>
        <w:t xml:space="preserve">nemoci; </w:t>
      </w:r>
      <w:r w:rsidRPr="0062347D">
        <w:rPr>
          <w:rFonts w:cstheme="minorHAnsi"/>
          <w:color w:val="231F20"/>
          <w:sz w:val="20"/>
          <w:szCs w:val="20"/>
        </w:rPr>
        <w:t xml:space="preserve">S, </w:t>
      </w:r>
      <w:r w:rsidRPr="0062347D">
        <w:rPr>
          <w:rFonts w:cstheme="minorHAnsi"/>
          <w:color w:val="231F20"/>
          <w:spacing w:val="-4"/>
          <w:sz w:val="20"/>
          <w:szCs w:val="20"/>
        </w:rPr>
        <w:t xml:space="preserve">sarkoidóza; </w:t>
      </w:r>
      <w:r w:rsidRPr="0062347D">
        <w:rPr>
          <w:rFonts w:cstheme="minorHAnsi"/>
          <w:color w:val="231F20"/>
          <w:spacing w:val="-3"/>
          <w:sz w:val="20"/>
          <w:szCs w:val="20"/>
        </w:rPr>
        <w:t xml:space="preserve">LS, </w:t>
      </w:r>
      <w:r w:rsidRPr="0062347D">
        <w:rPr>
          <w:rFonts w:cstheme="minorHAnsi"/>
          <w:color w:val="231F20"/>
          <w:spacing w:val="-6"/>
          <w:sz w:val="20"/>
          <w:szCs w:val="20"/>
        </w:rPr>
        <w:t xml:space="preserve">Löfgrenův </w:t>
      </w:r>
      <w:r w:rsidRPr="0062347D">
        <w:rPr>
          <w:rFonts w:cstheme="minorHAnsi"/>
          <w:color w:val="231F20"/>
          <w:spacing w:val="-4"/>
          <w:sz w:val="20"/>
          <w:szCs w:val="20"/>
        </w:rPr>
        <w:t xml:space="preserve">syndrom; </w:t>
      </w:r>
      <w:r w:rsidRPr="0062347D">
        <w:rPr>
          <w:rFonts w:cstheme="minorHAnsi"/>
          <w:color w:val="231F20"/>
          <w:spacing w:val="-3"/>
          <w:sz w:val="20"/>
          <w:szCs w:val="20"/>
        </w:rPr>
        <w:t xml:space="preserve">RTG, </w:t>
      </w:r>
      <w:r w:rsidRPr="0062347D">
        <w:rPr>
          <w:rFonts w:cstheme="minorHAnsi"/>
          <w:color w:val="231F20"/>
          <w:spacing w:val="-4"/>
          <w:sz w:val="20"/>
          <w:szCs w:val="20"/>
        </w:rPr>
        <w:t xml:space="preserve">rentgenologické stádium; </w:t>
      </w:r>
      <w:r w:rsidRPr="0062347D">
        <w:rPr>
          <w:rFonts w:cstheme="minorHAnsi"/>
          <w:color w:val="231F20"/>
          <w:spacing w:val="-10"/>
          <w:sz w:val="20"/>
          <w:szCs w:val="20"/>
        </w:rPr>
        <w:t xml:space="preserve">IPF, </w:t>
      </w:r>
      <w:r w:rsidRPr="0062347D">
        <w:rPr>
          <w:rFonts w:cstheme="minorHAnsi"/>
          <w:color w:val="231F20"/>
          <w:spacing w:val="-4"/>
          <w:sz w:val="20"/>
          <w:szCs w:val="20"/>
        </w:rPr>
        <w:t xml:space="preserve">idiopatická plicní fibróza; OIIP, ostatní idiopatické intersticiální pneumonie; </w:t>
      </w:r>
      <w:r w:rsidRPr="0062347D">
        <w:rPr>
          <w:rFonts w:cstheme="minorHAnsi"/>
          <w:color w:val="231F20"/>
          <w:spacing w:val="-12"/>
          <w:sz w:val="20"/>
          <w:szCs w:val="20"/>
        </w:rPr>
        <w:t xml:space="preserve">HP, </w:t>
      </w:r>
      <w:r w:rsidRPr="0062347D">
        <w:rPr>
          <w:rFonts w:cstheme="minorHAnsi"/>
          <w:color w:val="231F20"/>
          <w:spacing w:val="-4"/>
          <w:sz w:val="20"/>
          <w:szCs w:val="20"/>
        </w:rPr>
        <w:t>hypersensitivní pneumonie.</w:t>
      </w:r>
    </w:p>
    <w:p w:rsidR="008F0C0F" w:rsidRPr="0062347D" w:rsidRDefault="008F0C0F" w:rsidP="00284F89">
      <w:pPr>
        <w:spacing w:after="46"/>
        <w:ind w:left="220"/>
        <w:rPr>
          <w:rFonts w:cstheme="minorHAnsi"/>
          <w:b/>
          <w:color w:val="231F20"/>
          <w:sz w:val="20"/>
          <w:szCs w:val="20"/>
        </w:rPr>
        <w:sectPr w:rsidR="008F0C0F" w:rsidRPr="0062347D" w:rsidSect="00284F89">
          <w:pgSz w:w="16838" w:h="11906" w:orient="landscape"/>
          <w:pgMar w:top="1276" w:right="1417" w:bottom="1417" w:left="851" w:header="708" w:footer="708" w:gutter="0"/>
          <w:cols w:space="708"/>
          <w:docGrid w:linePitch="360"/>
        </w:sectPr>
      </w:pPr>
    </w:p>
    <w:p w:rsidR="008F0C0F" w:rsidRPr="0062347D" w:rsidRDefault="008F0C0F" w:rsidP="00284F89">
      <w:pPr>
        <w:spacing w:after="46"/>
        <w:ind w:left="220"/>
        <w:rPr>
          <w:rFonts w:cstheme="minorHAnsi"/>
          <w:sz w:val="20"/>
          <w:szCs w:val="20"/>
        </w:rPr>
      </w:pPr>
      <w:r w:rsidRPr="00E663BF">
        <w:rPr>
          <w:rFonts w:cstheme="minorHAnsi"/>
          <w:b/>
          <w:color w:val="231F20"/>
          <w:sz w:val="20"/>
          <w:szCs w:val="20"/>
        </w:rPr>
        <w:lastRenderedPageBreak/>
        <w:t>H</w:t>
      </w:r>
      <w:r w:rsidRPr="004E5649">
        <w:rPr>
          <w:rFonts w:cstheme="minorHAnsi"/>
          <w:b/>
          <w:color w:val="231F20"/>
          <w:sz w:val="20"/>
          <w:szCs w:val="20"/>
        </w:rPr>
        <w:t>.1. Příloha T</w:t>
      </w:r>
      <w:r w:rsidRPr="00B24D8C">
        <w:rPr>
          <w:rFonts w:cstheme="minorHAnsi"/>
          <w:b/>
          <w:color w:val="231F20"/>
          <w:sz w:val="20"/>
          <w:szCs w:val="20"/>
        </w:rPr>
        <w:t xml:space="preserve">abulka 2a </w:t>
      </w:r>
      <w:r w:rsidRPr="00B24D8C">
        <w:rPr>
          <w:rFonts w:cstheme="minorHAnsi"/>
          <w:color w:val="231F20"/>
          <w:sz w:val="20"/>
          <w:szCs w:val="20"/>
        </w:rPr>
        <w:t>Mann-Wh</w:t>
      </w:r>
      <w:r w:rsidRPr="0062347D">
        <w:rPr>
          <w:rFonts w:cstheme="minorHAnsi"/>
          <w:color w:val="231F20"/>
          <w:sz w:val="20"/>
          <w:szCs w:val="20"/>
        </w:rPr>
        <w:t>itney test porovnávající BAL buněčný profil u kuřáků plus ex-kuřá</w:t>
      </w:r>
      <w:r>
        <w:rPr>
          <w:rFonts w:cstheme="minorHAnsi"/>
          <w:color w:val="231F20"/>
          <w:sz w:val="20"/>
          <w:szCs w:val="20"/>
        </w:rPr>
        <w:t>k</w:t>
      </w:r>
      <w:r w:rsidRPr="0062347D">
        <w:rPr>
          <w:rFonts w:cstheme="minorHAnsi"/>
          <w:color w:val="231F20"/>
          <w:sz w:val="20"/>
          <w:szCs w:val="20"/>
        </w:rPr>
        <w:t>ů a nekuřáků v jednotlivých IPN skupinách.</w:t>
      </w:r>
    </w:p>
    <w:tbl>
      <w:tblPr>
        <w:tblStyle w:val="TableNormal"/>
        <w:tblW w:w="14664" w:type="dxa"/>
        <w:tblInd w:w="114" w:type="dxa"/>
        <w:tblLayout w:type="fixed"/>
        <w:tblLook w:val="01E0" w:firstRow="1" w:lastRow="1" w:firstColumn="1" w:lastColumn="1" w:noHBand="0" w:noVBand="0"/>
      </w:tblPr>
      <w:tblGrid>
        <w:gridCol w:w="1587"/>
        <w:gridCol w:w="1418"/>
        <w:gridCol w:w="1145"/>
        <w:gridCol w:w="1123"/>
        <w:gridCol w:w="1291"/>
        <w:gridCol w:w="1088"/>
        <w:gridCol w:w="1073"/>
        <w:gridCol w:w="1124"/>
        <w:gridCol w:w="1177"/>
        <w:gridCol w:w="1187"/>
        <w:gridCol w:w="1221"/>
        <w:gridCol w:w="1230"/>
      </w:tblGrid>
      <w:tr w:rsidR="008F0C0F" w:rsidRPr="00F21752" w:rsidTr="00E95779">
        <w:trPr>
          <w:trHeight w:val="760"/>
        </w:trPr>
        <w:tc>
          <w:tcPr>
            <w:tcW w:w="1587" w:type="dxa"/>
            <w:tcBorders>
              <w:top w:val="single" w:sz="4" w:space="0" w:color="000000"/>
              <w:left w:val="nil"/>
              <w:bottom w:val="single" w:sz="4" w:space="0" w:color="000000"/>
              <w:right w:val="nil"/>
            </w:tcBorders>
          </w:tcPr>
          <w:p w:rsidR="008F0C0F" w:rsidRPr="00F21752" w:rsidRDefault="008F0C0F" w:rsidP="00284F89">
            <w:pPr>
              <w:widowControl/>
              <w:autoSpaceDE/>
              <w:autoSpaceDN/>
              <w:spacing w:before="11" w:after="200" w:line="276" w:lineRule="auto"/>
              <w:rPr>
                <w:rFonts w:eastAsia="Arial" w:cstheme="minorHAnsi"/>
                <w:sz w:val="20"/>
                <w:szCs w:val="20"/>
                <w:lang w:val="cs-CZ"/>
              </w:rPr>
            </w:pPr>
          </w:p>
          <w:p w:rsidR="008F0C0F" w:rsidRPr="00F21752" w:rsidRDefault="008F0C0F" w:rsidP="00284F89">
            <w:pPr>
              <w:widowControl/>
              <w:autoSpaceDE/>
              <w:autoSpaceDN/>
              <w:spacing w:after="200" w:line="276" w:lineRule="auto"/>
              <w:ind w:left="113"/>
              <w:rPr>
                <w:rFonts w:eastAsia="Arial" w:cstheme="minorHAnsi"/>
                <w:sz w:val="20"/>
                <w:szCs w:val="20"/>
                <w:lang w:val="cs-CZ"/>
              </w:rPr>
            </w:pPr>
            <w:r w:rsidRPr="00F21752">
              <w:rPr>
                <w:rFonts w:eastAsia="Arial" w:cstheme="minorHAnsi"/>
                <w:sz w:val="20"/>
                <w:szCs w:val="20"/>
                <w:lang w:val="cs-CZ"/>
              </w:rPr>
              <w:t>IPN</w:t>
            </w:r>
          </w:p>
        </w:tc>
        <w:tc>
          <w:tcPr>
            <w:tcW w:w="1418"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line="276" w:lineRule="auto"/>
              <w:ind w:left="102" w:right="69"/>
              <w:jc w:val="center"/>
              <w:rPr>
                <w:rFonts w:eastAsia="Arial" w:cstheme="minorHAnsi"/>
                <w:sz w:val="20"/>
                <w:szCs w:val="20"/>
                <w:lang w:val="cs-CZ"/>
              </w:rPr>
            </w:pPr>
            <w:r w:rsidRPr="00F21752">
              <w:rPr>
                <w:rFonts w:eastAsia="Arial" w:cstheme="minorHAnsi"/>
                <w:color w:val="231F20"/>
                <w:sz w:val="20"/>
                <w:szCs w:val="20"/>
                <w:lang w:val="cs-CZ"/>
              </w:rPr>
              <w:t>Počet kuřáků</w:t>
            </w:r>
          </w:p>
          <w:p w:rsidR="008F0C0F" w:rsidRPr="00F21752" w:rsidRDefault="008F0C0F" w:rsidP="00E95779">
            <w:pPr>
              <w:widowControl/>
              <w:autoSpaceDE/>
              <w:autoSpaceDN/>
              <w:spacing w:before="36" w:line="276" w:lineRule="auto"/>
              <w:ind w:left="102" w:right="69"/>
              <w:jc w:val="center"/>
              <w:rPr>
                <w:rFonts w:eastAsia="Arial" w:cstheme="minorHAnsi"/>
                <w:i/>
                <w:sz w:val="20"/>
                <w:szCs w:val="20"/>
                <w:lang w:val="cs-CZ"/>
              </w:rPr>
            </w:pPr>
            <w:r w:rsidRPr="00F21752">
              <w:rPr>
                <w:rFonts w:eastAsia="Arial" w:cstheme="minorHAnsi"/>
                <w:color w:val="231F20"/>
                <w:sz w:val="20"/>
                <w:szCs w:val="20"/>
                <w:lang w:val="cs-CZ"/>
              </w:rPr>
              <w:t xml:space="preserve">+ ex-kuřáků </w:t>
            </w:r>
            <w:r w:rsidRPr="00F21752">
              <w:rPr>
                <w:rFonts w:eastAsia="Arial" w:cstheme="minorHAnsi"/>
                <w:i/>
                <w:color w:val="231F20"/>
                <w:sz w:val="20"/>
                <w:szCs w:val="20"/>
                <w:lang w:val="cs-CZ"/>
              </w:rPr>
              <w:t>vs</w:t>
            </w:r>
          </w:p>
          <w:p w:rsidR="008F0C0F" w:rsidRPr="00F21752" w:rsidRDefault="008F0C0F" w:rsidP="00E95779">
            <w:pPr>
              <w:widowControl/>
              <w:autoSpaceDE/>
              <w:autoSpaceDN/>
              <w:spacing w:before="36" w:line="276" w:lineRule="auto"/>
              <w:ind w:left="102" w:right="69"/>
              <w:jc w:val="center"/>
              <w:rPr>
                <w:rFonts w:eastAsia="Arial" w:cstheme="minorHAnsi"/>
                <w:sz w:val="20"/>
                <w:szCs w:val="20"/>
                <w:lang w:val="cs-CZ"/>
              </w:rPr>
            </w:pPr>
            <w:r w:rsidRPr="00F21752">
              <w:rPr>
                <w:rFonts w:eastAsia="Arial" w:cstheme="minorHAnsi"/>
                <w:color w:val="231F20"/>
                <w:sz w:val="20"/>
                <w:szCs w:val="20"/>
                <w:lang w:val="cs-CZ"/>
              </w:rPr>
              <w:t>nekuřáci</w:t>
            </w:r>
          </w:p>
        </w:tc>
        <w:tc>
          <w:tcPr>
            <w:tcW w:w="1145" w:type="dxa"/>
            <w:tcBorders>
              <w:top w:val="single" w:sz="4" w:space="0" w:color="000000"/>
              <w:left w:val="nil"/>
              <w:bottom w:val="single" w:sz="4" w:space="0" w:color="000000"/>
              <w:right w:val="nil"/>
            </w:tcBorders>
            <w:vAlign w:val="center"/>
          </w:tcPr>
          <w:p w:rsidR="008F0C0F" w:rsidRPr="00F21752" w:rsidRDefault="008F0C0F" w:rsidP="00E95779">
            <w:pPr>
              <w:widowControl/>
              <w:autoSpaceDE/>
              <w:autoSpaceDN/>
              <w:spacing w:before="4" w:after="200" w:line="276" w:lineRule="auto"/>
              <w:jc w:val="center"/>
              <w:rPr>
                <w:rFonts w:eastAsia="Arial" w:cstheme="minorHAnsi"/>
                <w:sz w:val="20"/>
                <w:szCs w:val="20"/>
                <w:lang w:val="cs-CZ"/>
              </w:rPr>
            </w:pPr>
          </w:p>
          <w:p w:rsidR="008F0C0F" w:rsidRPr="00F21752" w:rsidRDefault="008F0C0F" w:rsidP="00E95779">
            <w:pPr>
              <w:widowControl/>
              <w:autoSpaceDE/>
              <w:autoSpaceDN/>
              <w:spacing w:after="200" w:line="288" w:lineRule="auto"/>
              <w:ind w:left="78" w:right="86"/>
              <w:jc w:val="center"/>
              <w:rPr>
                <w:rFonts w:eastAsia="Arial" w:cstheme="minorHAnsi"/>
                <w:sz w:val="20"/>
                <w:szCs w:val="20"/>
                <w:lang w:val="cs-CZ"/>
              </w:rPr>
            </w:pPr>
            <w:r w:rsidRPr="00F21752">
              <w:rPr>
                <w:rFonts w:eastAsia="Arial" w:cstheme="minorHAnsi"/>
                <w:color w:val="231F20"/>
                <w:sz w:val="20"/>
                <w:szCs w:val="20"/>
                <w:lang w:val="cs-CZ"/>
              </w:rPr>
              <w:t>Návratnost laváže (%)</w:t>
            </w:r>
          </w:p>
        </w:tc>
        <w:tc>
          <w:tcPr>
            <w:tcW w:w="1123"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177" w:after="200" w:line="288" w:lineRule="auto"/>
              <w:ind w:left="104"/>
              <w:jc w:val="center"/>
              <w:rPr>
                <w:rFonts w:eastAsia="Arial" w:cstheme="minorHAnsi"/>
                <w:sz w:val="20"/>
                <w:szCs w:val="20"/>
                <w:lang w:val="cs-CZ"/>
              </w:rPr>
            </w:pPr>
            <w:r w:rsidRPr="00F21752">
              <w:rPr>
                <w:rFonts w:eastAsia="Arial" w:cstheme="minorHAnsi"/>
                <w:color w:val="231F20"/>
                <w:sz w:val="20"/>
                <w:szCs w:val="20"/>
                <w:lang w:val="cs-CZ"/>
              </w:rPr>
              <w:t>Celkový počet buněk (</w:t>
            </w:r>
            <w:r w:rsidRPr="00F21752">
              <w:rPr>
                <w:rFonts w:eastAsia="Arial" w:cstheme="minorHAnsi"/>
                <w:sz w:val="20"/>
                <w:szCs w:val="20"/>
                <w:lang w:val="cs-CZ"/>
              </w:rPr>
              <w:t>×</w:t>
            </w:r>
            <w:r w:rsidRPr="00F21752">
              <w:rPr>
                <w:rFonts w:eastAsia="Arial" w:cstheme="minorHAnsi"/>
                <w:color w:val="231F20"/>
                <w:sz w:val="20"/>
                <w:szCs w:val="20"/>
                <w:lang w:val="cs-CZ"/>
              </w:rPr>
              <w:t>10</w:t>
            </w:r>
            <w:r w:rsidRPr="00F21752">
              <w:rPr>
                <w:rFonts w:eastAsia="Arial" w:cstheme="minorHAnsi"/>
                <w:color w:val="231F20"/>
                <w:sz w:val="20"/>
                <w:szCs w:val="20"/>
                <w:vertAlign w:val="superscript"/>
                <w:lang w:val="cs-CZ"/>
              </w:rPr>
              <w:t>5</w:t>
            </w:r>
            <w:r w:rsidRPr="00F21752">
              <w:rPr>
                <w:rFonts w:eastAsia="Arial" w:cstheme="minorHAnsi"/>
                <w:color w:val="231F20"/>
                <w:sz w:val="20"/>
                <w:szCs w:val="20"/>
                <w:lang w:val="cs-CZ"/>
              </w:rPr>
              <w:t>)</w:t>
            </w:r>
          </w:p>
        </w:tc>
        <w:tc>
          <w:tcPr>
            <w:tcW w:w="1291" w:type="dxa"/>
            <w:tcBorders>
              <w:top w:val="single" w:sz="4" w:space="0" w:color="000000"/>
              <w:left w:val="nil"/>
              <w:bottom w:val="single" w:sz="4" w:space="0" w:color="000000"/>
              <w:right w:val="nil"/>
            </w:tcBorders>
          </w:tcPr>
          <w:p w:rsidR="008F0C0F" w:rsidRPr="00F21752" w:rsidRDefault="008F0C0F" w:rsidP="0075421C">
            <w:pPr>
              <w:widowControl/>
              <w:autoSpaceDE/>
              <w:autoSpaceDN/>
              <w:spacing w:before="240" w:after="200" w:line="288" w:lineRule="auto"/>
              <w:ind w:left="158" w:right="7"/>
              <w:jc w:val="center"/>
              <w:rPr>
                <w:rFonts w:eastAsia="Arial" w:cstheme="minorHAnsi"/>
                <w:sz w:val="20"/>
                <w:szCs w:val="20"/>
                <w:lang w:val="cs-CZ"/>
              </w:rPr>
            </w:pPr>
            <w:r w:rsidRPr="00F21752">
              <w:rPr>
                <w:rFonts w:eastAsia="Arial" w:cstheme="minorHAnsi"/>
                <w:color w:val="231F20"/>
                <w:sz w:val="20"/>
                <w:szCs w:val="20"/>
                <w:lang w:val="cs-CZ"/>
              </w:rPr>
              <w:t>Makrofágy relativní počty (%)</w:t>
            </w:r>
          </w:p>
        </w:tc>
        <w:tc>
          <w:tcPr>
            <w:tcW w:w="1088"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48" w:right="80"/>
              <w:jc w:val="center"/>
              <w:rPr>
                <w:rFonts w:eastAsia="Arial" w:cstheme="minorHAnsi"/>
                <w:sz w:val="20"/>
                <w:szCs w:val="20"/>
                <w:lang w:val="cs-CZ"/>
              </w:rPr>
            </w:pPr>
            <w:r w:rsidRPr="00F21752">
              <w:rPr>
                <w:rFonts w:eastAsia="Arial" w:cstheme="minorHAnsi"/>
                <w:color w:val="231F20"/>
                <w:sz w:val="20"/>
                <w:szCs w:val="20"/>
                <w:lang w:val="cs-CZ"/>
              </w:rPr>
              <w:t>Lymfocyty relativní počty (%)</w:t>
            </w:r>
          </w:p>
        </w:tc>
        <w:tc>
          <w:tcPr>
            <w:tcW w:w="1073"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85" w:right="72"/>
              <w:jc w:val="center"/>
              <w:rPr>
                <w:rFonts w:eastAsia="Arial" w:cstheme="minorHAnsi"/>
                <w:sz w:val="20"/>
                <w:szCs w:val="20"/>
                <w:lang w:val="cs-CZ"/>
              </w:rPr>
            </w:pPr>
            <w:r w:rsidRPr="00F21752">
              <w:rPr>
                <w:rFonts w:eastAsia="Arial" w:cstheme="minorHAnsi"/>
                <w:color w:val="231F20"/>
                <w:sz w:val="20"/>
                <w:szCs w:val="20"/>
                <w:lang w:val="cs-CZ"/>
              </w:rPr>
              <w:t>Neutrofily relativní počty (%)</w:t>
            </w:r>
          </w:p>
        </w:tc>
        <w:tc>
          <w:tcPr>
            <w:tcW w:w="1124"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Eozinofily relativní počty (%)</w:t>
            </w:r>
          </w:p>
        </w:tc>
        <w:tc>
          <w:tcPr>
            <w:tcW w:w="1177"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87" w:right="70"/>
              <w:jc w:val="center"/>
              <w:rPr>
                <w:rFonts w:eastAsia="Arial" w:cstheme="minorHAnsi"/>
                <w:sz w:val="20"/>
                <w:szCs w:val="20"/>
                <w:lang w:val="cs-CZ"/>
              </w:rPr>
            </w:pPr>
            <w:r w:rsidRPr="00F21752">
              <w:rPr>
                <w:rFonts w:eastAsia="Arial" w:cstheme="minorHAnsi"/>
                <w:color w:val="231F20"/>
                <w:sz w:val="20"/>
                <w:szCs w:val="20"/>
                <w:lang w:val="cs-CZ"/>
              </w:rPr>
              <w:t>Makrofágy absolutní počty (</w:t>
            </w:r>
            <w:r w:rsidRPr="00F21752">
              <w:rPr>
                <w:rFonts w:eastAsia="Arial" w:cstheme="minorHAnsi"/>
                <w:sz w:val="20"/>
                <w:szCs w:val="20"/>
                <w:lang w:val="cs-CZ"/>
              </w:rPr>
              <w:t>×</w:t>
            </w:r>
            <w:r w:rsidRPr="00F21752">
              <w:rPr>
                <w:rFonts w:eastAsia="Arial" w:cstheme="minorHAnsi"/>
                <w:color w:val="231F20"/>
                <w:sz w:val="20"/>
                <w:szCs w:val="20"/>
                <w:lang w:val="cs-CZ"/>
              </w:rPr>
              <w:t>10</w:t>
            </w:r>
            <w:r w:rsidRPr="00F21752">
              <w:rPr>
                <w:rFonts w:eastAsia="Arial" w:cstheme="minorHAnsi"/>
                <w:color w:val="231F20"/>
                <w:sz w:val="20"/>
                <w:szCs w:val="20"/>
                <w:vertAlign w:val="superscript"/>
                <w:lang w:val="cs-CZ"/>
              </w:rPr>
              <w:t>5</w:t>
            </w:r>
            <w:r w:rsidRPr="00F21752">
              <w:rPr>
                <w:rFonts w:eastAsia="Arial" w:cstheme="minorHAnsi"/>
                <w:color w:val="231F20"/>
                <w:sz w:val="20"/>
                <w:szCs w:val="20"/>
                <w:lang w:val="cs-CZ"/>
              </w:rPr>
              <w:t>)</w:t>
            </w:r>
          </w:p>
        </w:tc>
        <w:tc>
          <w:tcPr>
            <w:tcW w:w="1187"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53" w:right="56"/>
              <w:jc w:val="center"/>
              <w:rPr>
                <w:rFonts w:eastAsia="Arial" w:cstheme="minorHAnsi"/>
                <w:sz w:val="20"/>
                <w:szCs w:val="20"/>
                <w:lang w:val="cs-CZ"/>
              </w:rPr>
            </w:pPr>
            <w:r w:rsidRPr="00F21752">
              <w:rPr>
                <w:rFonts w:eastAsia="Arial" w:cstheme="minorHAnsi"/>
                <w:color w:val="231F20"/>
                <w:sz w:val="20"/>
                <w:szCs w:val="20"/>
                <w:lang w:val="cs-CZ"/>
              </w:rPr>
              <w:t>Lymfocyty absolutní počty (</w:t>
            </w:r>
            <w:r w:rsidRPr="00F21752">
              <w:rPr>
                <w:rFonts w:eastAsia="Arial" w:cstheme="minorHAnsi"/>
                <w:sz w:val="20"/>
                <w:szCs w:val="20"/>
                <w:lang w:val="cs-CZ"/>
              </w:rPr>
              <w:t>×</w:t>
            </w:r>
            <w:r w:rsidRPr="00F21752">
              <w:rPr>
                <w:rFonts w:eastAsia="Arial" w:cstheme="minorHAnsi"/>
                <w:color w:val="231F20"/>
                <w:sz w:val="20"/>
                <w:szCs w:val="20"/>
                <w:lang w:val="cs-CZ"/>
              </w:rPr>
              <w:t>10</w:t>
            </w:r>
            <w:r w:rsidRPr="00F21752">
              <w:rPr>
                <w:rFonts w:eastAsia="Arial" w:cstheme="minorHAnsi"/>
                <w:color w:val="231F20"/>
                <w:sz w:val="20"/>
                <w:szCs w:val="20"/>
                <w:vertAlign w:val="superscript"/>
                <w:lang w:val="cs-CZ"/>
              </w:rPr>
              <w:t>5</w:t>
            </w:r>
            <w:r w:rsidRPr="00F21752">
              <w:rPr>
                <w:rFonts w:eastAsia="Arial" w:cstheme="minorHAnsi"/>
                <w:color w:val="231F20"/>
                <w:sz w:val="20"/>
                <w:szCs w:val="20"/>
                <w:lang w:val="cs-CZ"/>
              </w:rPr>
              <w:t>)</w:t>
            </w:r>
          </w:p>
        </w:tc>
        <w:tc>
          <w:tcPr>
            <w:tcW w:w="1221"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99" w:right="102"/>
              <w:jc w:val="center"/>
              <w:rPr>
                <w:rFonts w:eastAsia="Arial" w:cstheme="minorHAnsi"/>
                <w:sz w:val="20"/>
                <w:szCs w:val="20"/>
                <w:lang w:val="cs-CZ"/>
              </w:rPr>
            </w:pPr>
            <w:r w:rsidRPr="00F21752">
              <w:rPr>
                <w:rFonts w:eastAsia="Arial" w:cstheme="minorHAnsi"/>
                <w:color w:val="231F20"/>
                <w:sz w:val="20"/>
                <w:szCs w:val="20"/>
                <w:lang w:val="cs-CZ"/>
              </w:rPr>
              <w:t>Neutrofily absolutní počty (</w:t>
            </w:r>
            <w:r w:rsidRPr="00F21752">
              <w:rPr>
                <w:rFonts w:eastAsia="Arial" w:cstheme="minorHAnsi"/>
                <w:sz w:val="20"/>
                <w:szCs w:val="20"/>
                <w:lang w:val="cs-CZ"/>
              </w:rPr>
              <w:t>×</w:t>
            </w:r>
            <w:r w:rsidRPr="00F21752">
              <w:rPr>
                <w:rFonts w:eastAsia="Arial" w:cstheme="minorHAnsi"/>
                <w:color w:val="231F20"/>
                <w:sz w:val="20"/>
                <w:szCs w:val="20"/>
                <w:lang w:val="cs-CZ"/>
              </w:rPr>
              <w:t>10</w:t>
            </w:r>
            <w:r w:rsidRPr="00F21752">
              <w:rPr>
                <w:rFonts w:eastAsia="Arial" w:cstheme="minorHAnsi"/>
                <w:color w:val="231F20"/>
                <w:sz w:val="20"/>
                <w:szCs w:val="20"/>
                <w:vertAlign w:val="superscript"/>
                <w:lang w:val="cs-CZ"/>
              </w:rPr>
              <w:t>5</w:t>
            </w:r>
            <w:r w:rsidRPr="00F21752">
              <w:rPr>
                <w:rFonts w:eastAsia="Arial" w:cstheme="minorHAnsi"/>
                <w:color w:val="231F20"/>
                <w:sz w:val="20"/>
                <w:szCs w:val="20"/>
                <w:lang w:val="cs-CZ"/>
              </w:rPr>
              <w:t>)</w:t>
            </w:r>
          </w:p>
        </w:tc>
        <w:tc>
          <w:tcPr>
            <w:tcW w:w="1230"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spacing w:before="67" w:after="200" w:line="288" w:lineRule="auto"/>
              <w:ind w:left="118" w:right="92"/>
              <w:jc w:val="center"/>
              <w:rPr>
                <w:rFonts w:eastAsia="Arial" w:cstheme="minorHAnsi"/>
                <w:sz w:val="20"/>
                <w:szCs w:val="20"/>
                <w:lang w:val="cs-CZ"/>
              </w:rPr>
            </w:pPr>
            <w:r w:rsidRPr="00F21752">
              <w:rPr>
                <w:rFonts w:eastAsia="Arial" w:cstheme="minorHAnsi"/>
                <w:color w:val="231F20"/>
                <w:sz w:val="20"/>
                <w:szCs w:val="20"/>
                <w:lang w:val="cs-CZ"/>
              </w:rPr>
              <w:t>Eozinofily absolutní počty (</w:t>
            </w:r>
            <w:r w:rsidRPr="00F21752">
              <w:rPr>
                <w:rFonts w:eastAsia="Arial" w:cstheme="minorHAnsi"/>
                <w:sz w:val="20"/>
                <w:szCs w:val="20"/>
                <w:lang w:val="cs-CZ"/>
              </w:rPr>
              <w:t>×</w:t>
            </w:r>
            <w:r w:rsidRPr="00F21752">
              <w:rPr>
                <w:rFonts w:eastAsia="Arial" w:cstheme="minorHAnsi"/>
                <w:color w:val="231F20"/>
                <w:sz w:val="20"/>
                <w:szCs w:val="20"/>
                <w:lang w:val="cs-CZ"/>
              </w:rPr>
              <w:t>10</w:t>
            </w:r>
            <w:r w:rsidRPr="00F21752">
              <w:rPr>
                <w:rFonts w:eastAsia="Arial" w:cstheme="minorHAnsi"/>
                <w:color w:val="231F20"/>
                <w:sz w:val="20"/>
                <w:szCs w:val="20"/>
                <w:vertAlign w:val="superscript"/>
                <w:lang w:val="cs-CZ"/>
              </w:rPr>
              <w:t>5</w:t>
            </w:r>
            <w:r w:rsidRPr="00F21752">
              <w:rPr>
                <w:rFonts w:eastAsia="Arial" w:cstheme="minorHAnsi"/>
                <w:color w:val="231F20"/>
                <w:sz w:val="20"/>
                <w:szCs w:val="20"/>
                <w:lang w:val="cs-CZ"/>
              </w:rPr>
              <w:t>)</w:t>
            </w:r>
          </w:p>
        </w:tc>
      </w:tr>
      <w:tr w:rsidR="008F0C0F" w:rsidRPr="00F21752" w:rsidTr="00F21752">
        <w:trPr>
          <w:trHeight w:val="321"/>
        </w:trPr>
        <w:tc>
          <w:tcPr>
            <w:tcW w:w="1587" w:type="dxa"/>
            <w:tcBorders>
              <w:top w:val="single" w:sz="4" w:space="0" w:color="000000"/>
              <w:left w:val="nil"/>
              <w:bottom w:val="nil"/>
              <w:right w:val="nil"/>
            </w:tcBorders>
            <w:hideMark/>
          </w:tcPr>
          <w:p w:rsidR="008F0C0F" w:rsidRPr="00F21752" w:rsidRDefault="00F75533" w:rsidP="00284F89">
            <w:pPr>
              <w:widowControl/>
              <w:autoSpaceDE/>
              <w:autoSpaceDN/>
              <w:spacing w:before="67" w:after="200" w:line="276" w:lineRule="auto"/>
              <w:ind w:left="113"/>
              <w:rPr>
                <w:rFonts w:eastAsia="Arial" w:cstheme="minorHAnsi"/>
                <w:sz w:val="20"/>
                <w:szCs w:val="20"/>
                <w:lang w:val="cs-CZ"/>
              </w:rPr>
            </w:pPr>
            <w:r>
              <w:rPr>
                <w:rFonts w:eastAsia="Arial" w:cstheme="minorHAnsi"/>
                <w:color w:val="231F20"/>
                <w:sz w:val="20"/>
                <w:szCs w:val="20"/>
                <w:lang w:val="cs-CZ"/>
              </w:rPr>
              <w:t>S s LS (RTG</w:t>
            </w:r>
            <w:r w:rsidR="008F0C0F" w:rsidRPr="00F21752">
              <w:rPr>
                <w:rFonts w:eastAsia="Arial" w:cstheme="minorHAnsi"/>
                <w:color w:val="231F20"/>
                <w:sz w:val="20"/>
                <w:szCs w:val="20"/>
                <w:lang w:val="cs-CZ"/>
              </w:rPr>
              <w:t xml:space="preserve"> ≤</w:t>
            </w:r>
            <w:r w:rsidR="0075421C">
              <w:rPr>
                <w:rFonts w:eastAsia="Arial" w:cstheme="minorHAnsi"/>
                <w:color w:val="231F20"/>
                <w:sz w:val="20"/>
                <w:szCs w:val="20"/>
                <w:lang w:val="cs-CZ"/>
              </w:rPr>
              <w:t> </w:t>
            </w:r>
            <w:r w:rsidR="008F0C0F" w:rsidRPr="00F21752">
              <w:rPr>
                <w:rFonts w:eastAsia="Arial" w:cstheme="minorHAnsi"/>
                <w:color w:val="231F20"/>
                <w:sz w:val="20"/>
                <w:szCs w:val="20"/>
                <w:lang w:val="cs-CZ"/>
              </w:rPr>
              <w:t>1)</w:t>
            </w:r>
          </w:p>
        </w:tc>
        <w:tc>
          <w:tcPr>
            <w:tcW w:w="1418" w:type="dxa"/>
            <w:tcBorders>
              <w:top w:val="single" w:sz="4" w:space="0" w:color="000000"/>
              <w:left w:val="nil"/>
              <w:bottom w:val="nil"/>
              <w:right w:val="nil"/>
            </w:tcBorders>
            <w:hideMark/>
          </w:tcPr>
          <w:p w:rsidR="008F0C0F" w:rsidRPr="00F21752" w:rsidRDefault="0075421C" w:rsidP="00284F89">
            <w:pPr>
              <w:widowControl/>
              <w:autoSpaceDE/>
              <w:autoSpaceDN/>
              <w:spacing w:before="67" w:after="200" w:line="276" w:lineRule="auto"/>
              <w:ind w:left="26" w:right="69"/>
              <w:jc w:val="center"/>
              <w:rPr>
                <w:rFonts w:eastAsia="Arial" w:cstheme="minorHAnsi"/>
                <w:sz w:val="20"/>
                <w:szCs w:val="20"/>
                <w:lang w:val="cs-CZ"/>
              </w:rPr>
            </w:pPr>
            <w:r>
              <w:rPr>
                <w:rFonts w:eastAsia="Arial" w:cstheme="minorHAnsi"/>
                <w:sz w:val="20"/>
                <w:szCs w:val="20"/>
                <w:lang w:val="cs-CZ"/>
              </w:rPr>
              <w:t>15</w:t>
            </w:r>
            <w:r w:rsidR="008F0C0F" w:rsidRPr="00F21752">
              <w:rPr>
                <w:rFonts w:eastAsia="Arial" w:cstheme="minorHAnsi"/>
                <w:sz w:val="20"/>
                <w:szCs w:val="20"/>
                <w:lang w:val="cs-CZ"/>
              </w:rPr>
              <w:t>/18</w:t>
            </w:r>
          </w:p>
        </w:tc>
        <w:tc>
          <w:tcPr>
            <w:tcW w:w="1145"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right="383"/>
              <w:jc w:val="right"/>
              <w:rPr>
                <w:rFonts w:eastAsia="Arial" w:cstheme="minorHAnsi"/>
                <w:sz w:val="20"/>
                <w:szCs w:val="20"/>
                <w:lang w:val="cs-CZ"/>
              </w:rPr>
            </w:pPr>
            <w:r w:rsidRPr="00F21752">
              <w:rPr>
                <w:rFonts w:eastAsia="Arial" w:cstheme="minorHAnsi"/>
                <w:color w:val="231F20"/>
                <w:w w:val="95"/>
                <w:sz w:val="20"/>
                <w:szCs w:val="20"/>
                <w:lang w:val="cs-CZ"/>
              </w:rPr>
              <w:t>0,349</w:t>
            </w:r>
          </w:p>
        </w:tc>
        <w:tc>
          <w:tcPr>
            <w:tcW w:w="1123"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0,442</w:t>
            </w:r>
          </w:p>
        </w:tc>
        <w:tc>
          <w:tcPr>
            <w:tcW w:w="1291"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right="439"/>
              <w:jc w:val="right"/>
              <w:rPr>
                <w:rFonts w:eastAsia="Arial" w:cstheme="minorHAnsi"/>
                <w:sz w:val="20"/>
                <w:szCs w:val="20"/>
                <w:lang w:val="cs-CZ"/>
              </w:rPr>
            </w:pPr>
            <w:r w:rsidRPr="00F21752">
              <w:rPr>
                <w:rFonts w:eastAsia="Arial" w:cstheme="minorHAnsi"/>
                <w:color w:val="231F20"/>
                <w:w w:val="95"/>
                <w:sz w:val="20"/>
                <w:szCs w:val="20"/>
                <w:lang w:val="cs-CZ"/>
              </w:rPr>
              <w:t>0,212</w:t>
            </w:r>
          </w:p>
        </w:tc>
        <w:tc>
          <w:tcPr>
            <w:tcW w:w="1088"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right="358"/>
              <w:jc w:val="right"/>
              <w:rPr>
                <w:rFonts w:eastAsia="Arial" w:cstheme="minorHAnsi"/>
                <w:sz w:val="20"/>
                <w:szCs w:val="20"/>
                <w:lang w:val="cs-CZ"/>
              </w:rPr>
            </w:pPr>
            <w:r w:rsidRPr="00F21752">
              <w:rPr>
                <w:rFonts w:eastAsia="Arial" w:cstheme="minorHAnsi"/>
                <w:color w:val="231F20"/>
                <w:w w:val="95"/>
                <w:sz w:val="20"/>
                <w:szCs w:val="20"/>
                <w:lang w:val="cs-CZ"/>
              </w:rPr>
              <w:t>0,280</w:t>
            </w:r>
          </w:p>
        </w:tc>
        <w:tc>
          <w:tcPr>
            <w:tcW w:w="1073"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0,383</w:t>
            </w:r>
          </w:p>
        </w:tc>
        <w:tc>
          <w:tcPr>
            <w:tcW w:w="1124"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0,087</w:t>
            </w:r>
          </w:p>
        </w:tc>
        <w:tc>
          <w:tcPr>
            <w:tcW w:w="1177"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left="84" w:right="70"/>
              <w:jc w:val="center"/>
              <w:rPr>
                <w:rFonts w:eastAsia="Arial" w:cstheme="minorHAnsi"/>
                <w:sz w:val="20"/>
                <w:szCs w:val="20"/>
                <w:lang w:val="cs-CZ"/>
              </w:rPr>
            </w:pPr>
            <w:r w:rsidRPr="00F21752">
              <w:rPr>
                <w:rFonts w:eastAsia="Arial" w:cstheme="minorHAnsi"/>
                <w:color w:val="231F20"/>
                <w:sz w:val="20"/>
                <w:szCs w:val="20"/>
                <w:lang w:val="cs-CZ"/>
              </w:rPr>
              <w:t>0,415</w:t>
            </w:r>
          </w:p>
        </w:tc>
        <w:tc>
          <w:tcPr>
            <w:tcW w:w="1187"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left="390"/>
              <w:rPr>
                <w:rFonts w:eastAsia="Arial" w:cstheme="minorHAnsi"/>
                <w:sz w:val="20"/>
                <w:szCs w:val="20"/>
                <w:lang w:val="cs-CZ"/>
              </w:rPr>
            </w:pPr>
            <w:r w:rsidRPr="00F21752">
              <w:rPr>
                <w:rFonts w:eastAsia="Arial" w:cstheme="minorHAnsi"/>
                <w:color w:val="231F20"/>
                <w:sz w:val="20"/>
                <w:szCs w:val="20"/>
                <w:lang w:val="cs-CZ"/>
              </w:rPr>
              <w:t>0,114</w:t>
            </w:r>
          </w:p>
        </w:tc>
        <w:tc>
          <w:tcPr>
            <w:tcW w:w="1221"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left="407"/>
              <w:rPr>
                <w:rFonts w:eastAsia="Arial" w:cstheme="minorHAnsi"/>
                <w:sz w:val="20"/>
                <w:szCs w:val="20"/>
                <w:lang w:val="cs-CZ"/>
              </w:rPr>
            </w:pPr>
            <w:r w:rsidRPr="00F21752">
              <w:rPr>
                <w:rFonts w:eastAsia="Arial" w:cstheme="minorHAnsi"/>
                <w:color w:val="231F20"/>
                <w:sz w:val="20"/>
                <w:szCs w:val="20"/>
                <w:lang w:val="cs-CZ"/>
              </w:rPr>
              <w:t>0,143</w:t>
            </w:r>
          </w:p>
        </w:tc>
        <w:tc>
          <w:tcPr>
            <w:tcW w:w="1230" w:type="dxa"/>
            <w:tcBorders>
              <w:top w:val="single" w:sz="4" w:space="0" w:color="000000"/>
              <w:left w:val="nil"/>
              <w:bottom w:val="nil"/>
              <w:right w:val="nil"/>
            </w:tcBorders>
            <w:hideMark/>
          </w:tcPr>
          <w:p w:rsidR="008F0C0F" w:rsidRPr="00F21752" w:rsidRDefault="008F0C0F" w:rsidP="00284F89">
            <w:pPr>
              <w:widowControl/>
              <w:autoSpaceDE/>
              <w:autoSpaceDN/>
              <w:spacing w:before="67"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0,121</w:t>
            </w:r>
          </w:p>
        </w:tc>
      </w:tr>
      <w:tr w:rsidR="008F0C0F" w:rsidRPr="00F21752" w:rsidTr="00F21752">
        <w:trPr>
          <w:trHeight w:val="330"/>
        </w:trPr>
        <w:tc>
          <w:tcPr>
            <w:tcW w:w="1587" w:type="dxa"/>
            <w:hideMark/>
          </w:tcPr>
          <w:p w:rsidR="008F0C0F" w:rsidRPr="00F21752" w:rsidRDefault="00F75533" w:rsidP="00284F89">
            <w:pPr>
              <w:widowControl/>
              <w:autoSpaceDE/>
              <w:autoSpaceDN/>
              <w:spacing w:before="75" w:after="200" w:line="276" w:lineRule="auto"/>
              <w:ind w:left="113"/>
              <w:rPr>
                <w:rFonts w:eastAsia="Arial" w:cstheme="minorHAnsi"/>
                <w:sz w:val="20"/>
                <w:szCs w:val="20"/>
                <w:lang w:val="cs-CZ"/>
              </w:rPr>
            </w:pPr>
            <w:r>
              <w:rPr>
                <w:rFonts w:eastAsia="Arial" w:cstheme="minorHAnsi"/>
                <w:color w:val="231F20"/>
                <w:sz w:val="20"/>
                <w:szCs w:val="20"/>
                <w:lang w:val="cs-CZ"/>
              </w:rPr>
              <w:t>S bez LS (RTG</w:t>
            </w:r>
            <w:r w:rsidR="008F0C0F" w:rsidRPr="00F21752">
              <w:rPr>
                <w:rFonts w:eastAsia="Arial" w:cstheme="minorHAnsi"/>
                <w:color w:val="231F20"/>
                <w:sz w:val="20"/>
                <w:szCs w:val="20"/>
                <w:lang w:val="cs-CZ"/>
              </w:rPr>
              <w:t xml:space="preserve"> ≤</w:t>
            </w:r>
            <w:r w:rsidR="0075421C">
              <w:rPr>
                <w:rFonts w:eastAsia="Arial" w:cstheme="minorHAnsi"/>
                <w:color w:val="231F20"/>
                <w:sz w:val="20"/>
                <w:szCs w:val="20"/>
                <w:lang w:val="cs-CZ"/>
              </w:rPr>
              <w:t> </w:t>
            </w:r>
            <w:r w:rsidR="008F0C0F" w:rsidRPr="00F21752">
              <w:rPr>
                <w:rFonts w:eastAsia="Arial" w:cstheme="minorHAnsi"/>
                <w:color w:val="231F20"/>
                <w:sz w:val="20"/>
                <w:szCs w:val="20"/>
                <w:lang w:val="cs-CZ"/>
              </w:rPr>
              <w:t>1)</w:t>
            </w:r>
          </w:p>
        </w:tc>
        <w:tc>
          <w:tcPr>
            <w:tcW w:w="1418" w:type="dxa"/>
            <w:hideMark/>
          </w:tcPr>
          <w:p w:rsidR="008F0C0F" w:rsidRPr="00F21752" w:rsidRDefault="008F0C0F" w:rsidP="00284F89">
            <w:pPr>
              <w:widowControl/>
              <w:autoSpaceDE/>
              <w:autoSpaceDN/>
              <w:spacing w:before="75" w:after="200" w:line="276" w:lineRule="auto"/>
              <w:ind w:left="26" w:right="69"/>
              <w:jc w:val="center"/>
              <w:rPr>
                <w:rFonts w:eastAsia="Arial" w:cstheme="minorHAnsi"/>
                <w:sz w:val="20"/>
                <w:szCs w:val="20"/>
                <w:lang w:val="cs-CZ"/>
              </w:rPr>
            </w:pPr>
            <w:r w:rsidRPr="00F21752">
              <w:rPr>
                <w:rFonts w:eastAsia="Arial" w:cstheme="minorHAnsi"/>
                <w:sz w:val="20"/>
                <w:szCs w:val="20"/>
                <w:lang w:val="cs-CZ"/>
              </w:rPr>
              <w:t>16/64</w:t>
            </w:r>
          </w:p>
        </w:tc>
        <w:tc>
          <w:tcPr>
            <w:tcW w:w="1145" w:type="dxa"/>
            <w:hideMark/>
          </w:tcPr>
          <w:p w:rsidR="008F0C0F" w:rsidRPr="00F21752" w:rsidRDefault="008F0C0F" w:rsidP="00284F89">
            <w:pPr>
              <w:widowControl/>
              <w:autoSpaceDE/>
              <w:autoSpaceDN/>
              <w:spacing w:before="75" w:after="200" w:line="276" w:lineRule="auto"/>
              <w:ind w:right="383"/>
              <w:jc w:val="right"/>
              <w:rPr>
                <w:rFonts w:eastAsia="Arial" w:cstheme="minorHAnsi"/>
                <w:sz w:val="20"/>
                <w:szCs w:val="20"/>
                <w:lang w:val="cs-CZ"/>
              </w:rPr>
            </w:pPr>
            <w:r w:rsidRPr="00F21752">
              <w:rPr>
                <w:rFonts w:eastAsia="Arial" w:cstheme="minorHAnsi"/>
                <w:color w:val="231F20"/>
                <w:w w:val="95"/>
                <w:sz w:val="20"/>
                <w:szCs w:val="20"/>
                <w:lang w:val="cs-CZ"/>
              </w:rPr>
              <w:t>0,749</w:t>
            </w:r>
          </w:p>
        </w:tc>
        <w:tc>
          <w:tcPr>
            <w:tcW w:w="1123" w:type="dxa"/>
            <w:hideMark/>
          </w:tcPr>
          <w:p w:rsidR="008F0C0F" w:rsidRPr="00F21752" w:rsidRDefault="008F0C0F" w:rsidP="00284F89">
            <w:pPr>
              <w:widowControl/>
              <w:autoSpaceDE/>
              <w:autoSpaceDN/>
              <w:spacing w:before="75"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0,248</w:t>
            </w:r>
          </w:p>
        </w:tc>
        <w:tc>
          <w:tcPr>
            <w:tcW w:w="1291" w:type="dxa"/>
            <w:hideMark/>
          </w:tcPr>
          <w:p w:rsidR="008F0C0F" w:rsidRPr="00F21752" w:rsidRDefault="008F0C0F" w:rsidP="00284F89">
            <w:pPr>
              <w:widowControl/>
              <w:autoSpaceDE/>
              <w:autoSpaceDN/>
              <w:spacing w:before="75" w:after="200" w:line="276" w:lineRule="auto"/>
              <w:ind w:right="439"/>
              <w:jc w:val="right"/>
              <w:rPr>
                <w:rFonts w:eastAsia="Arial" w:cstheme="minorHAnsi"/>
                <w:sz w:val="20"/>
                <w:szCs w:val="20"/>
                <w:lang w:val="cs-CZ"/>
              </w:rPr>
            </w:pPr>
            <w:r w:rsidRPr="00F21752">
              <w:rPr>
                <w:rFonts w:eastAsia="Arial" w:cstheme="minorHAnsi"/>
                <w:color w:val="231F20"/>
                <w:w w:val="95"/>
                <w:sz w:val="20"/>
                <w:szCs w:val="20"/>
                <w:lang w:val="cs-CZ"/>
              </w:rPr>
              <w:t>0,174</w:t>
            </w:r>
          </w:p>
        </w:tc>
        <w:tc>
          <w:tcPr>
            <w:tcW w:w="1088" w:type="dxa"/>
            <w:hideMark/>
          </w:tcPr>
          <w:p w:rsidR="008F0C0F" w:rsidRPr="00F21752" w:rsidRDefault="008F0C0F" w:rsidP="00284F89">
            <w:pPr>
              <w:widowControl/>
              <w:autoSpaceDE/>
              <w:autoSpaceDN/>
              <w:spacing w:before="75" w:after="200" w:line="276" w:lineRule="auto"/>
              <w:ind w:right="358"/>
              <w:jc w:val="right"/>
              <w:rPr>
                <w:rFonts w:eastAsia="Arial" w:cstheme="minorHAnsi"/>
                <w:sz w:val="20"/>
                <w:szCs w:val="20"/>
                <w:lang w:val="cs-CZ"/>
              </w:rPr>
            </w:pPr>
            <w:r w:rsidRPr="00F21752">
              <w:rPr>
                <w:rFonts w:eastAsia="Arial" w:cstheme="minorHAnsi"/>
                <w:color w:val="231F20"/>
                <w:w w:val="95"/>
                <w:sz w:val="20"/>
                <w:szCs w:val="20"/>
                <w:lang w:val="cs-CZ"/>
              </w:rPr>
              <w:t>0,224</w:t>
            </w:r>
          </w:p>
        </w:tc>
        <w:tc>
          <w:tcPr>
            <w:tcW w:w="1073" w:type="dxa"/>
            <w:hideMark/>
          </w:tcPr>
          <w:p w:rsidR="008F0C0F" w:rsidRPr="00F21752" w:rsidRDefault="008F0C0F" w:rsidP="00284F89">
            <w:pPr>
              <w:widowControl/>
              <w:autoSpaceDE/>
              <w:autoSpaceDN/>
              <w:spacing w:before="75"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0,971</w:t>
            </w:r>
          </w:p>
        </w:tc>
        <w:tc>
          <w:tcPr>
            <w:tcW w:w="1124" w:type="dxa"/>
            <w:hideMark/>
          </w:tcPr>
          <w:p w:rsidR="008F0C0F" w:rsidRPr="00F21752" w:rsidRDefault="008F0C0F" w:rsidP="00284F89">
            <w:pPr>
              <w:widowControl/>
              <w:autoSpaceDE/>
              <w:autoSpaceDN/>
              <w:spacing w:before="75"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0,266</w:t>
            </w:r>
          </w:p>
        </w:tc>
        <w:tc>
          <w:tcPr>
            <w:tcW w:w="1177" w:type="dxa"/>
            <w:hideMark/>
          </w:tcPr>
          <w:p w:rsidR="008F0C0F" w:rsidRPr="00F21752" w:rsidRDefault="008F0C0F" w:rsidP="00284F89">
            <w:pPr>
              <w:widowControl/>
              <w:autoSpaceDE/>
              <w:autoSpaceDN/>
              <w:spacing w:before="75" w:after="200" w:line="276" w:lineRule="auto"/>
              <w:ind w:left="84" w:right="70"/>
              <w:jc w:val="center"/>
              <w:rPr>
                <w:rFonts w:eastAsia="Arial" w:cstheme="minorHAnsi"/>
                <w:sz w:val="20"/>
                <w:szCs w:val="20"/>
                <w:lang w:val="cs-CZ"/>
              </w:rPr>
            </w:pPr>
            <w:r w:rsidRPr="00F21752">
              <w:rPr>
                <w:rFonts w:eastAsia="Arial" w:cstheme="minorHAnsi"/>
                <w:color w:val="231F20"/>
                <w:sz w:val="20"/>
                <w:szCs w:val="20"/>
                <w:lang w:val="cs-CZ"/>
              </w:rPr>
              <w:t>0,243</w:t>
            </w:r>
          </w:p>
        </w:tc>
        <w:tc>
          <w:tcPr>
            <w:tcW w:w="1187" w:type="dxa"/>
            <w:hideMark/>
          </w:tcPr>
          <w:p w:rsidR="008F0C0F" w:rsidRPr="00F21752" w:rsidRDefault="008F0C0F" w:rsidP="00284F89">
            <w:pPr>
              <w:widowControl/>
              <w:autoSpaceDE/>
              <w:autoSpaceDN/>
              <w:spacing w:before="75" w:after="200" w:line="276" w:lineRule="auto"/>
              <w:ind w:left="390"/>
              <w:rPr>
                <w:rFonts w:eastAsia="Arial" w:cstheme="minorHAnsi"/>
                <w:sz w:val="20"/>
                <w:szCs w:val="20"/>
                <w:lang w:val="cs-CZ"/>
              </w:rPr>
            </w:pPr>
            <w:r w:rsidRPr="00F21752">
              <w:rPr>
                <w:rFonts w:eastAsia="Arial" w:cstheme="minorHAnsi"/>
                <w:color w:val="231F20"/>
                <w:sz w:val="20"/>
                <w:szCs w:val="20"/>
                <w:lang w:val="cs-CZ"/>
              </w:rPr>
              <w:t>0,605</w:t>
            </w:r>
          </w:p>
        </w:tc>
        <w:tc>
          <w:tcPr>
            <w:tcW w:w="1221" w:type="dxa"/>
            <w:hideMark/>
          </w:tcPr>
          <w:p w:rsidR="008F0C0F" w:rsidRPr="00F21752" w:rsidRDefault="008F0C0F" w:rsidP="00284F89">
            <w:pPr>
              <w:widowControl/>
              <w:autoSpaceDE/>
              <w:autoSpaceDN/>
              <w:spacing w:before="75" w:after="200" w:line="276" w:lineRule="auto"/>
              <w:ind w:left="407"/>
              <w:rPr>
                <w:rFonts w:eastAsia="Arial" w:cstheme="minorHAnsi"/>
                <w:sz w:val="20"/>
                <w:szCs w:val="20"/>
                <w:lang w:val="cs-CZ"/>
              </w:rPr>
            </w:pPr>
            <w:r w:rsidRPr="00F21752">
              <w:rPr>
                <w:rFonts w:eastAsia="Arial" w:cstheme="minorHAnsi"/>
                <w:color w:val="231F20"/>
                <w:sz w:val="20"/>
                <w:szCs w:val="20"/>
                <w:lang w:val="cs-CZ"/>
              </w:rPr>
              <w:t>0,430</w:t>
            </w:r>
          </w:p>
        </w:tc>
        <w:tc>
          <w:tcPr>
            <w:tcW w:w="1230" w:type="dxa"/>
            <w:hideMark/>
          </w:tcPr>
          <w:p w:rsidR="008F0C0F" w:rsidRPr="00F21752" w:rsidRDefault="008F0C0F" w:rsidP="00284F89">
            <w:pPr>
              <w:widowControl/>
              <w:autoSpaceDE/>
              <w:autoSpaceDN/>
              <w:spacing w:before="75"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0,216</w:t>
            </w:r>
          </w:p>
        </w:tc>
      </w:tr>
      <w:tr w:rsidR="008F0C0F" w:rsidRPr="00F21752" w:rsidTr="00F21752">
        <w:trPr>
          <w:trHeight w:val="330"/>
        </w:trPr>
        <w:tc>
          <w:tcPr>
            <w:tcW w:w="1587" w:type="dxa"/>
            <w:hideMark/>
          </w:tcPr>
          <w:p w:rsidR="008F0C0F" w:rsidRPr="00F21752" w:rsidRDefault="00F13E42" w:rsidP="00F13E42">
            <w:pPr>
              <w:widowControl/>
              <w:autoSpaceDE/>
              <w:autoSpaceDN/>
              <w:spacing w:before="75" w:after="200" w:line="276" w:lineRule="auto"/>
              <w:ind w:left="113"/>
              <w:rPr>
                <w:rFonts w:eastAsia="Arial" w:cstheme="minorHAnsi"/>
                <w:sz w:val="20"/>
                <w:szCs w:val="20"/>
                <w:lang w:val="cs-CZ"/>
              </w:rPr>
            </w:pPr>
            <w:r>
              <w:rPr>
                <w:rFonts w:eastAsia="Arial" w:cstheme="minorHAnsi"/>
                <w:color w:val="231F20"/>
                <w:sz w:val="20"/>
                <w:szCs w:val="20"/>
                <w:lang w:val="cs-CZ"/>
              </w:rPr>
              <w:t>S RTG</w:t>
            </w:r>
            <w:r w:rsidR="008F0C0F" w:rsidRPr="00F21752">
              <w:rPr>
                <w:rFonts w:eastAsia="Arial" w:cstheme="minorHAnsi"/>
                <w:color w:val="231F20"/>
                <w:sz w:val="20"/>
                <w:szCs w:val="20"/>
                <w:lang w:val="cs-CZ"/>
              </w:rPr>
              <w:t xml:space="preserve"> =</w:t>
            </w:r>
            <w:r w:rsidR="0075421C">
              <w:rPr>
                <w:rFonts w:eastAsia="Arial" w:cstheme="minorHAnsi"/>
                <w:color w:val="231F20"/>
                <w:sz w:val="20"/>
                <w:szCs w:val="20"/>
                <w:lang w:val="cs-CZ"/>
              </w:rPr>
              <w:t> </w:t>
            </w:r>
            <w:r w:rsidR="008F0C0F" w:rsidRPr="00F21752">
              <w:rPr>
                <w:rFonts w:eastAsia="Arial" w:cstheme="minorHAnsi"/>
                <w:color w:val="231F20"/>
                <w:sz w:val="20"/>
                <w:szCs w:val="20"/>
                <w:lang w:val="cs-CZ"/>
              </w:rPr>
              <w:t>2</w:t>
            </w:r>
          </w:p>
        </w:tc>
        <w:tc>
          <w:tcPr>
            <w:tcW w:w="1418" w:type="dxa"/>
            <w:hideMark/>
          </w:tcPr>
          <w:p w:rsidR="008F0C0F" w:rsidRPr="00F21752" w:rsidRDefault="008F0C0F" w:rsidP="00284F89">
            <w:pPr>
              <w:widowControl/>
              <w:autoSpaceDE/>
              <w:autoSpaceDN/>
              <w:spacing w:before="75" w:after="200" w:line="276" w:lineRule="auto"/>
              <w:ind w:left="102" w:right="59"/>
              <w:jc w:val="center"/>
              <w:rPr>
                <w:rFonts w:eastAsia="Arial" w:cstheme="minorHAnsi"/>
                <w:sz w:val="20"/>
                <w:szCs w:val="20"/>
                <w:lang w:val="cs-CZ"/>
              </w:rPr>
            </w:pPr>
            <w:r w:rsidRPr="00F21752">
              <w:rPr>
                <w:rFonts w:eastAsia="Arial" w:cstheme="minorHAnsi"/>
                <w:sz w:val="20"/>
                <w:szCs w:val="20"/>
                <w:lang w:val="cs-CZ"/>
              </w:rPr>
              <w:t>48/113</w:t>
            </w:r>
          </w:p>
        </w:tc>
        <w:tc>
          <w:tcPr>
            <w:tcW w:w="1145" w:type="dxa"/>
            <w:hideMark/>
          </w:tcPr>
          <w:p w:rsidR="008F0C0F" w:rsidRPr="00F21752" w:rsidRDefault="008F0C0F" w:rsidP="00284F89">
            <w:pPr>
              <w:widowControl/>
              <w:autoSpaceDE/>
              <w:autoSpaceDN/>
              <w:spacing w:before="75" w:after="200" w:line="276" w:lineRule="auto"/>
              <w:ind w:right="383"/>
              <w:jc w:val="right"/>
              <w:rPr>
                <w:rFonts w:eastAsia="Arial" w:cstheme="minorHAnsi"/>
                <w:sz w:val="20"/>
                <w:szCs w:val="20"/>
                <w:lang w:val="cs-CZ"/>
              </w:rPr>
            </w:pPr>
            <w:r w:rsidRPr="00F21752">
              <w:rPr>
                <w:rFonts w:eastAsia="Arial" w:cstheme="minorHAnsi"/>
                <w:color w:val="231F20"/>
                <w:w w:val="95"/>
                <w:sz w:val="20"/>
                <w:szCs w:val="20"/>
                <w:lang w:val="cs-CZ"/>
              </w:rPr>
              <w:t>0,706</w:t>
            </w:r>
          </w:p>
        </w:tc>
        <w:tc>
          <w:tcPr>
            <w:tcW w:w="1123" w:type="dxa"/>
            <w:hideMark/>
          </w:tcPr>
          <w:p w:rsidR="008F0C0F" w:rsidRPr="00F21752" w:rsidRDefault="008F0C0F" w:rsidP="00284F89">
            <w:pPr>
              <w:widowControl/>
              <w:autoSpaceDE/>
              <w:autoSpaceDN/>
              <w:spacing w:before="75"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0,101</w:t>
            </w:r>
          </w:p>
        </w:tc>
        <w:tc>
          <w:tcPr>
            <w:tcW w:w="1291" w:type="dxa"/>
            <w:hideMark/>
          </w:tcPr>
          <w:p w:rsidR="008F0C0F" w:rsidRPr="00F21752" w:rsidRDefault="008F0C0F" w:rsidP="00284F89">
            <w:pPr>
              <w:widowControl/>
              <w:autoSpaceDE/>
              <w:autoSpaceDN/>
              <w:spacing w:before="75" w:after="200" w:line="276" w:lineRule="auto"/>
              <w:ind w:right="439"/>
              <w:jc w:val="right"/>
              <w:rPr>
                <w:rFonts w:eastAsia="Arial" w:cstheme="minorHAnsi"/>
                <w:sz w:val="20"/>
                <w:szCs w:val="20"/>
                <w:lang w:val="cs-CZ"/>
              </w:rPr>
            </w:pPr>
            <w:r w:rsidRPr="00F21752">
              <w:rPr>
                <w:rFonts w:eastAsia="Arial" w:cstheme="minorHAnsi"/>
                <w:color w:val="231F20"/>
                <w:w w:val="95"/>
                <w:sz w:val="20"/>
                <w:szCs w:val="20"/>
                <w:lang w:val="cs-CZ"/>
              </w:rPr>
              <w:t>0,147</w:t>
            </w:r>
          </w:p>
        </w:tc>
        <w:tc>
          <w:tcPr>
            <w:tcW w:w="1088" w:type="dxa"/>
            <w:hideMark/>
          </w:tcPr>
          <w:p w:rsidR="008F0C0F" w:rsidRPr="00F21752" w:rsidRDefault="008F0C0F" w:rsidP="00284F89">
            <w:pPr>
              <w:widowControl/>
              <w:autoSpaceDE/>
              <w:autoSpaceDN/>
              <w:spacing w:before="75" w:after="200" w:line="276" w:lineRule="auto"/>
              <w:ind w:right="358"/>
              <w:jc w:val="right"/>
              <w:rPr>
                <w:rFonts w:eastAsia="Arial" w:cstheme="minorHAnsi"/>
                <w:sz w:val="20"/>
                <w:szCs w:val="20"/>
                <w:lang w:val="cs-CZ"/>
              </w:rPr>
            </w:pPr>
            <w:r w:rsidRPr="00F21752">
              <w:rPr>
                <w:rFonts w:eastAsia="Arial" w:cstheme="minorHAnsi"/>
                <w:color w:val="231F20"/>
                <w:w w:val="95"/>
                <w:sz w:val="20"/>
                <w:szCs w:val="20"/>
                <w:lang w:val="cs-CZ"/>
              </w:rPr>
              <w:t>0,306</w:t>
            </w:r>
          </w:p>
        </w:tc>
        <w:tc>
          <w:tcPr>
            <w:tcW w:w="1073" w:type="dxa"/>
            <w:hideMark/>
          </w:tcPr>
          <w:p w:rsidR="008F0C0F" w:rsidRPr="00F21752" w:rsidRDefault="008F0C0F" w:rsidP="00284F89">
            <w:pPr>
              <w:widowControl/>
              <w:autoSpaceDE/>
              <w:autoSpaceDN/>
              <w:spacing w:before="75"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0,349</w:t>
            </w:r>
          </w:p>
        </w:tc>
        <w:tc>
          <w:tcPr>
            <w:tcW w:w="1124" w:type="dxa"/>
            <w:hideMark/>
          </w:tcPr>
          <w:p w:rsidR="008F0C0F" w:rsidRPr="00F21752" w:rsidRDefault="008F0C0F" w:rsidP="00284F89">
            <w:pPr>
              <w:widowControl/>
              <w:autoSpaceDE/>
              <w:autoSpaceDN/>
              <w:spacing w:before="75"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0,263</w:t>
            </w:r>
          </w:p>
        </w:tc>
        <w:tc>
          <w:tcPr>
            <w:tcW w:w="1177" w:type="dxa"/>
            <w:hideMark/>
          </w:tcPr>
          <w:p w:rsidR="008F0C0F" w:rsidRPr="00F21752" w:rsidRDefault="008F0C0F" w:rsidP="00284F89">
            <w:pPr>
              <w:widowControl/>
              <w:autoSpaceDE/>
              <w:autoSpaceDN/>
              <w:spacing w:before="75" w:after="200" w:line="276" w:lineRule="auto"/>
              <w:ind w:left="84" w:right="70"/>
              <w:jc w:val="center"/>
              <w:rPr>
                <w:rFonts w:eastAsia="Arial" w:cstheme="minorHAnsi"/>
                <w:sz w:val="20"/>
                <w:szCs w:val="20"/>
                <w:lang w:val="cs-CZ"/>
              </w:rPr>
            </w:pPr>
            <w:r w:rsidRPr="00F21752">
              <w:rPr>
                <w:rFonts w:eastAsia="Arial" w:cstheme="minorHAnsi"/>
                <w:color w:val="231F20"/>
                <w:sz w:val="20"/>
                <w:szCs w:val="20"/>
                <w:lang w:val="cs-CZ"/>
              </w:rPr>
              <w:t>0,097</w:t>
            </w:r>
          </w:p>
        </w:tc>
        <w:tc>
          <w:tcPr>
            <w:tcW w:w="1187" w:type="dxa"/>
            <w:hideMark/>
          </w:tcPr>
          <w:p w:rsidR="008F0C0F" w:rsidRPr="00F21752" w:rsidRDefault="008F0C0F" w:rsidP="00284F89">
            <w:pPr>
              <w:widowControl/>
              <w:autoSpaceDE/>
              <w:autoSpaceDN/>
              <w:spacing w:before="75" w:after="200" w:line="276" w:lineRule="auto"/>
              <w:ind w:left="390"/>
              <w:rPr>
                <w:rFonts w:eastAsia="Arial" w:cstheme="minorHAnsi"/>
                <w:sz w:val="20"/>
                <w:szCs w:val="20"/>
                <w:lang w:val="cs-CZ"/>
              </w:rPr>
            </w:pPr>
            <w:r w:rsidRPr="00F21752">
              <w:rPr>
                <w:rFonts w:eastAsia="Arial" w:cstheme="minorHAnsi"/>
                <w:color w:val="231F20"/>
                <w:sz w:val="20"/>
                <w:szCs w:val="20"/>
                <w:lang w:val="cs-CZ"/>
              </w:rPr>
              <w:t>0,965</w:t>
            </w:r>
          </w:p>
        </w:tc>
        <w:tc>
          <w:tcPr>
            <w:tcW w:w="1221" w:type="dxa"/>
            <w:hideMark/>
          </w:tcPr>
          <w:p w:rsidR="008F0C0F" w:rsidRPr="00F21752" w:rsidRDefault="008F0C0F" w:rsidP="00284F89">
            <w:pPr>
              <w:widowControl/>
              <w:autoSpaceDE/>
              <w:autoSpaceDN/>
              <w:spacing w:before="75" w:after="200" w:line="276" w:lineRule="auto"/>
              <w:ind w:left="407"/>
              <w:rPr>
                <w:rFonts w:eastAsia="Arial" w:cstheme="minorHAnsi"/>
                <w:sz w:val="20"/>
                <w:szCs w:val="20"/>
                <w:lang w:val="cs-CZ"/>
              </w:rPr>
            </w:pPr>
            <w:r w:rsidRPr="00F21752">
              <w:rPr>
                <w:rFonts w:eastAsia="Arial" w:cstheme="minorHAnsi"/>
                <w:color w:val="231F20"/>
                <w:sz w:val="20"/>
                <w:szCs w:val="20"/>
                <w:lang w:val="cs-CZ"/>
              </w:rPr>
              <w:t>0,642</w:t>
            </w:r>
          </w:p>
        </w:tc>
        <w:tc>
          <w:tcPr>
            <w:tcW w:w="1230" w:type="dxa"/>
            <w:hideMark/>
          </w:tcPr>
          <w:p w:rsidR="008F0C0F" w:rsidRPr="00F21752" w:rsidRDefault="008F0C0F" w:rsidP="00284F89">
            <w:pPr>
              <w:widowControl/>
              <w:autoSpaceDE/>
              <w:autoSpaceDN/>
              <w:spacing w:before="75"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0,139</w:t>
            </w:r>
          </w:p>
        </w:tc>
      </w:tr>
      <w:tr w:rsidR="008F0C0F" w:rsidRPr="00F21752" w:rsidTr="00F21752">
        <w:trPr>
          <w:trHeight w:val="330"/>
        </w:trPr>
        <w:tc>
          <w:tcPr>
            <w:tcW w:w="1587" w:type="dxa"/>
            <w:hideMark/>
          </w:tcPr>
          <w:p w:rsidR="008F0C0F" w:rsidRPr="00F21752" w:rsidRDefault="0075421C" w:rsidP="0075421C">
            <w:pPr>
              <w:widowControl/>
              <w:autoSpaceDE/>
              <w:autoSpaceDN/>
              <w:spacing w:before="75" w:after="200" w:line="276" w:lineRule="auto"/>
              <w:ind w:left="113"/>
              <w:rPr>
                <w:rFonts w:eastAsia="Arial" w:cstheme="minorHAnsi"/>
                <w:sz w:val="20"/>
                <w:szCs w:val="20"/>
                <w:lang w:val="cs-CZ"/>
              </w:rPr>
            </w:pPr>
            <w:r>
              <w:rPr>
                <w:rFonts w:eastAsia="Arial" w:cstheme="minorHAnsi"/>
                <w:color w:val="231F20"/>
                <w:sz w:val="20"/>
                <w:szCs w:val="20"/>
                <w:lang w:val="cs-CZ"/>
              </w:rPr>
              <w:t>S RTG </w:t>
            </w:r>
            <w:r w:rsidR="008F0C0F" w:rsidRPr="00F21752">
              <w:rPr>
                <w:rFonts w:eastAsia="Arial" w:cstheme="minorHAnsi"/>
                <w:color w:val="231F20"/>
                <w:sz w:val="20"/>
                <w:szCs w:val="20"/>
                <w:lang w:val="cs-CZ"/>
              </w:rPr>
              <w:t>≥</w:t>
            </w:r>
            <w:r>
              <w:rPr>
                <w:rFonts w:eastAsia="Arial" w:cstheme="minorHAnsi"/>
                <w:color w:val="231F20"/>
                <w:sz w:val="20"/>
                <w:szCs w:val="20"/>
                <w:lang w:val="cs-CZ"/>
              </w:rPr>
              <w:t> </w:t>
            </w:r>
            <w:r w:rsidR="008F0C0F" w:rsidRPr="00F21752">
              <w:rPr>
                <w:rFonts w:eastAsia="Arial" w:cstheme="minorHAnsi"/>
                <w:color w:val="231F20"/>
                <w:sz w:val="20"/>
                <w:szCs w:val="20"/>
                <w:lang w:val="cs-CZ"/>
              </w:rPr>
              <w:t>3</w:t>
            </w:r>
          </w:p>
        </w:tc>
        <w:tc>
          <w:tcPr>
            <w:tcW w:w="1418" w:type="dxa"/>
            <w:hideMark/>
          </w:tcPr>
          <w:p w:rsidR="008F0C0F" w:rsidRPr="00F21752" w:rsidRDefault="008F0C0F" w:rsidP="00284F89">
            <w:pPr>
              <w:widowControl/>
              <w:autoSpaceDE/>
              <w:autoSpaceDN/>
              <w:spacing w:before="75" w:after="200" w:line="276" w:lineRule="auto"/>
              <w:ind w:left="102" w:right="59"/>
              <w:jc w:val="center"/>
              <w:rPr>
                <w:rFonts w:eastAsia="Arial" w:cstheme="minorHAnsi"/>
                <w:sz w:val="20"/>
                <w:szCs w:val="20"/>
                <w:lang w:val="cs-CZ"/>
              </w:rPr>
            </w:pPr>
            <w:r w:rsidRPr="00F21752">
              <w:rPr>
                <w:rFonts w:eastAsia="Arial" w:cstheme="minorHAnsi"/>
                <w:w w:val="105"/>
                <w:sz w:val="20"/>
                <w:szCs w:val="20"/>
                <w:lang w:val="cs-CZ"/>
              </w:rPr>
              <w:t>6/26</w:t>
            </w:r>
          </w:p>
        </w:tc>
        <w:tc>
          <w:tcPr>
            <w:tcW w:w="1145" w:type="dxa"/>
            <w:hideMark/>
          </w:tcPr>
          <w:p w:rsidR="008F0C0F" w:rsidRPr="00F21752" w:rsidRDefault="008F0C0F" w:rsidP="00284F89">
            <w:pPr>
              <w:widowControl/>
              <w:autoSpaceDE/>
              <w:autoSpaceDN/>
              <w:spacing w:before="75" w:after="200" w:line="276" w:lineRule="auto"/>
              <w:ind w:right="383"/>
              <w:jc w:val="right"/>
              <w:rPr>
                <w:rFonts w:eastAsia="Arial" w:cstheme="minorHAnsi"/>
                <w:sz w:val="20"/>
                <w:szCs w:val="20"/>
                <w:lang w:val="cs-CZ"/>
              </w:rPr>
            </w:pPr>
            <w:r w:rsidRPr="00F21752">
              <w:rPr>
                <w:rFonts w:eastAsia="Arial" w:cstheme="minorHAnsi"/>
                <w:color w:val="231F20"/>
                <w:w w:val="95"/>
                <w:sz w:val="20"/>
                <w:szCs w:val="20"/>
                <w:lang w:val="cs-CZ"/>
              </w:rPr>
              <w:t>0,923</w:t>
            </w:r>
          </w:p>
        </w:tc>
        <w:tc>
          <w:tcPr>
            <w:tcW w:w="1123" w:type="dxa"/>
            <w:hideMark/>
          </w:tcPr>
          <w:p w:rsidR="008F0C0F" w:rsidRPr="00F21752" w:rsidRDefault="008F0C0F" w:rsidP="00284F89">
            <w:pPr>
              <w:widowControl/>
              <w:autoSpaceDE/>
              <w:autoSpaceDN/>
              <w:spacing w:before="75"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0,961</w:t>
            </w:r>
          </w:p>
        </w:tc>
        <w:tc>
          <w:tcPr>
            <w:tcW w:w="1291" w:type="dxa"/>
            <w:hideMark/>
          </w:tcPr>
          <w:p w:rsidR="008F0C0F" w:rsidRPr="00F21752" w:rsidRDefault="008F0C0F" w:rsidP="00284F89">
            <w:pPr>
              <w:widowControl/>
              <w:autoSpaceDE/>
              <w:autoSpaceDN/>
              <w:spacing w:before="75" w:after="200" w:line="276" w:lineRule="auto"/>
              <w:ind w:right="439"/>
              <w:jc w:val="right"/>
              <w:rPr>
                <w:rFonts w:eastAsia="Arial" w:cstheme="minorHAnsi"/>
                <w:sz w:val="20"/>
                <w:szCs w:val="20"/>
                <w:lang w:val="cs-CZ"/>
              </w:rPr>
            </w:pPr>
            <w:r w:rsidRPr="00F21752">
              <w:rPr>
                <w:rFonts w:eastAsia="Arial" w:cstheme="minorHAnsi"/>
                <w:color w:val="231F20"/>
                <w:w w:val="95"/>
                <w:sz w:val="20"/>
                <w:szCs w:val="20"/>
                <w:lang w:val="cs-CZ"/>
              </w:rPr>
              <w:t>0,809</w:t>
            </w:r>
          </w:p>
        </w:tc>
        <w:tc>
          <w:tcPr>
            <w:tcW w:w="1088" w:type="dxa"/>
            <w:hideMark/>
          </w:tcPr>
          <w:p w:rsidR="008F0C0F" w:rsidRPr="00F21752" w:rsidRDefault="008F0C0F" w:rsidP="00284F89">
            <w:pPr>
              <w:widowControl/>
              <w:autoSpaceDE/>
              <w:autoSpaceDN/>
              <w:spacing w:before="75" w:after="200" w:line="276" w:lineRule="auto"/>
              <w:ind w:right="358"/>
              <w:jc w:val="right"/>
              <w:rPr>
                <w:rFonts w:eastAsia="Arial" w:cstheme="minorHAnsi"/>
                <w:sz w:val="20"/>
                <w:szCs w:val="20"/>
                <w:lang w:val="cs-CZ"/>
              </w:rPr>
            </w:pPr>
            <w:r w:rsidRPr="00F21752">
              <w:rPr>
                <w:rFonts w:eastAsia="Arial" w:cstheme="minorHAnsi"/>
                <w:color w:val="231F20"/>
                <w:w w:val="95"/>
                <w:sz w:val="20"/>
                <w:szCs w:val="20"/>
                <w:lang w:val="cs-CZ"/>
              </w:rPr>
              <w:t>0,923</w:t>
            </w:r>
          </w:p>
        </w:tc>
        <w:tc>
          <w:tcPr>
            <w:tcW w:w="1073" w:type="dxa"/>
            <w:hideMark/>
          </w:tcPr>
          <w:p w:rsidR="008F0C0F" w:rsidRPr="00F21752" w:rsidRDefault="008F0C0F" w:rsidP="00284F89">
            <w:pPr>
              <w:widowControl/>
              <w:autoSpaceDE/>
              <w:autoSpaceDN/>
              <w:spacing w:before="75"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0,716</w:t>
            </w:r>
          </w:p>
        </w:tc>
        <w:tc>
          <w:tcPr>
            <w:tcW w:w="1124" w:type="dxa"/>
            <w:hideMark/>
          </w:tcPr>
          <w:p w:rsidR="008F0C0F" w:rsidRPr="00F21752" w:rsidRDefault="008F0C0F" w:rsidP="00284F89">
            <w:pPr>
              <w:widowControl/>
              <w:autoSpaceDE/>
              <w:autoSpaceDN/>
              <w:spacing w:before="75"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0,120</w:t>
            </w:r>
          </w:p>
        </w:tc>
        <w:tc>
          <w:tcPr>
            <w:tcW w:w="1177" w:type="dxa"/>
            <w:hideMark/>
          </w:tcPr>
          <w:p w:rsidR="008F0C0F" w:rsidRPr="00F21752" w:rsidRDefault="008F0C0F" w:rsidP="00284F89">
            <w:pPr>
              <w:widowControl/>
              <w:autoSpaceDE/>
              <w:autoSpaceDN/>
              <w:spacing w:before="75" w:after="200" w:line="276" w:lineRule="auto"/>
              <w:ind w:left="84" w:right="70"/>
              <w:jc w:val="center"/>
              <w:rPr>
                <w:rFonts w:eastAsia="Arial" w:cstheme="minorHAnsi"/>
                <w:sz w:val="20"/>
                <w:szCs w:val="20"/>
                <w:lang w:val="cs-CZ"/>
              </w:rPr>
            </w:pPr>
            <w:r w:rsidRPr="00F21752">
              <w:rPr>
                <w:rFonts w:eastAsia="Arial" w:cstheme="minorHAnsi"/>
                <w:color w:val="231F20"/>
                <w:sz w:val="20"/>
                <w:szCs w:val="20"/>
                <w:lang w:val="cs-CZ"/>
              </w:rPr>
              <w:t>0,961</w:t>
            </w:r>
          </w:p>
        </w:tc>
        <w:tc>
          <w:tcPr>
            <w:tcW w:w="1187" w:type="dxa"/>
            <w:hideMark/>
          </w:tcPr>
          <w:p w:rsidR="008F0C0F" w:rsidRPr="00F21752" w:rsidRDefault="008F0C0F" w:rsidP="00284F89">
            <w:pPr>
              <w:widowControl/>
              <w:autoSpaceDE/>
              <w:autoSpaceDN/>
              <w:spacing w:before="75" w:after="200" w:line="276" w:lineRule="auto"/>
              <w:ind w:left="390"/>
              <w:rPr>
                <w:rFonts w:eastAsia="Arial" w:cstheme="minorHAnsi"/>
                <w:sz w:val="20"/>
                <w:szCs w:val="20"/>
                <w:lang w:val="cs-CZ"/>
              </w:rPr>
            </w:pPr>
            <w:r w:rsidRPr="00F21752">
              <w:rPr>
                <w:rFonts w:eastAsia="Arial" w:cstheme="minorHAnsi"/>
                <w:color w:val="231F20"/>
                <w:sz w:val="20"/>
                <w:szCs w:val="20"/>
                <w:lang w:val="cs-CZ"/>
              </w:rPr>
              <w:t>0,772</w:t>
            </w:r>
          </w:p>
        </w:tc>
        <w:tc>
          <w:tcPr>
            <w:tcW w:w="1221" w:type="dxa"/>
            <w:hideMark/>
          </w:tcPr>
          <w:p w:rsidR="008F0C0F" w:rsidRPr="00F21752" w:rsidRDefault="008F0C0F" w:rsidP="00284F89">
            <w:pPr>
              <w:widowControl/>
              <w:autoSpaceDE/>
              <w:autoSpaceDN/>
              <w:spacing w:before="75" w:after="200" w:line="276" w:lineRule="auto"/>
              <w:ind w:left="407"/>
              <w:rPr>
                <w:rFonts w:eastAsia="Arial" w:cstheme="minorHAnsi"/>
                <w:sz w:val="20"/>
                <w:szCs w:val="20"/>
                <w:lang w:val="cs-CZ"/>
              </w:rPr>
            </w:pPr>
            <w:r w:rsidRPr="00F21752">
              <w:rPr>
                <w:rFonts w:eastAsia="Arial" w:cstheme="minorHAnsi"/>
                <w:color w:val="231F20"/>
                <w:sz w:val="20"/>
                <w:szCs w:val="20"/>
                <w:lang w:val="cs-CZ"/>
              </w:rPr>
              <w:t>0,790</w:t>
            </w:r>
          </w:p>
        </w:tc>
        <w:tc>
          <w:tcPr>
            <w:tcW w:w="1230" w:type="dxa"/>
            <w:hideMark/>
          </w:tcPr>
          <w:p w:rsidR="008F0C0F" w:rsidRPr="00F21752" w:rsidRDefault="008F0C0F" w:rsidP="00284F89">
            <w:pPr>
              <w:widowControl/>
              <w:autoSpaceDE/>
              <w:autoSpaceDN/>
              <w:spacing w:before="75"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0,066</w:t>
            </w:r>
          </w:p>
        </w:tc>
      </w:tr>
      <w:tr w:rsidR="008F0C0F" w:rsidRPr="00F21752" w:rsidTr="00F21752">
        <w:trPr>
          <w:trHeight w:val="330"/>
        </w:trPr>
        <w:tc>
          <w:tcPr>
            <w:tcW w:w="1587" w:type="dxa"/>
            <w:hideMark/>
          </w:tcPr>
          <w:p w:rsidR="008F0C0F" w:rsidRPr="00F21752" w:rsidRDefault="008F0C0F" w:rsidP="00284F89">
            <w:pPr>
              <w:widowControl/>
              <w:autoSpaceDE/>
              <w:autoSpaceDN/>
              <w:spacing w:before="75" w:after="200" w:line="276" w:lineRule="auto"/>
              <w:ind w:left="113"/>
              <w:rPr>
                <w:rFonts w:eastAsia="Arial" w:cstheme="minorHAnsi"/>
                <w:sz w:val="20"/>
                <w:szCs w:val="20"/>
                <w:lang w:val="cs-CZ"/>
              </w:rPr>
            </w:pPr>
            <w:r w:rsidRPr="00F21752">
              <w:rPr>
                <w:rFonts w:eastAsia="Arial" w:cstheme="minorHAnsi"/>
                <w:color w:val="231F20"/>
                <w:sz w:val="20"/>
                <w:szCs w:val="20"/>
                <w:lang w:val="cs-CZ"/>
              </w:rPr>
              <w:t>IPF</w:t>
            </w:r>
          </w:p>
        </w:tc>
        <w:tc>
          <w:tcPr>
            <w:tcW w:w="1418" w:type="dxa"/>
            <w:hideMark/>
          </w:tcPr>
          <w:p w:rsidR="008F0C0F" w:rsidRPr="00F21752" w:rsidRDefault="008F0C0F" w:rsidP="00284F89">
            <w:pPr>
              <w:widowControl/>
              <w:autoSpaceDE/>
              <w:autoSpaceDN/>
              <w:spacing w:before="75" w:after="200" w:line="276" w:lineRule="auto"/>
              <w:ind w:left="26" w:right="69"/>
              <w:jc w:val="center"/>
              <w:rPr>
                <w:rFonts w:eastAsia="Arial" w:cstheme="minorHAnsi"/>
                <w:sz w:val="20"/>
                <w:szCs w:val="20"/>
                <w:lang w:val="cs-CZ"/>
              </w:rPr>
            </w:pPr>
            <w:r w:rsidRPr="00F21752">
              <w:rPr>
                <w:rFonts w:eastAsia="Arial" w:cstheme="minorHAnsi"/>
                <w:sz w:val="20"/>
                <w:szCs w:val="20"/>
                <w:lang w:val="cs-CZ"/>
              </w:rPr>
              <w:t>19/22</w:t>
            </w:r>
          </w:p>
        </w:tc>
        <w:tc>
          <w:tcPr>
            <w:tcW w:w="1145" w:type="dxa"/>
            <w:hideMark/>
          </w:tcPr>
          <w:p w:rsidR="008F0C0F" w:rsidRPr="0075421C" w:rsidRDefault="008F0C0F" w:rsidP="00284F89">
            <w:pPr>
              <w:widowControl/>
              <w:autoSpaceDE/>
              <w:autoSpaceDN/>
              <w:spacing w:before="75" w:after="200" w:line="276" w:lineRule="auto"/>
              <w:ind w:right="383"/>
              <w:jc w:val="right"/>
              <w:rPr>
                <w:rFonts w:eastAsia="Arial" w:cstheme="minorHAnsi"/>
                <w:b/>
                <w:i/>
                <w:sz w:val="20"/>
                <w:szCs w:val="20"/>
                <w:lang w:val="cs-CZ"/>
              </w:rPr>
            </w:pPr>
            <w:r w:rsidRPr="0075421C">
              <w:rPr>
                <w:rFonts w:eastAsia="Arial" w:cstheme="minorHAnsi"/>
                <w:b/>
                <w:i/>
                <w:color w:val="231F20"/>
                <w:w w:val="95"/>
                <w:sz w:val="20"/>
                <w:szCs w:val="20"/>
                <w:lang w:val="cs-CZ"/>
              </w:rPr>
              <w:t>0,011</w:t>
            </w:r>
          </w:p>
        </w:tc>
        <w:tc>
          <w:tcPr>
            <w:tcW w:w="1123" w:type="dxa"/>
            <w:hideMark/>
          </w:tcPr>
          <w:p w:rsidR="008F0C0F" w:rsidRPr="00F21752" w:rsidRDefault="008F0C0F" w:rsidP="00284F89">
            <w:pPr>
              <w:widowControl/>
              <w:autoSpaceDE/>
              <w:autoSpaceDN/>
              <w:spacing w:before="75"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0,235</w:t>
            </w:r>
          </w:p>
        </w:tc>
        <w:tc>
          <w:tcPr>
            <w:tcW w:w="1291" w:type="dxa"/>
            <w:hideMark/>
          </w:tcPr>
          <w:p w:rsidR="008F0C0F" w:rsidRPr="00F21752" w:rsidRDefault="008F0C0F" w:rsidP="00284F89">
            <w:pPr>
              <w:widowControl/>
              <w:autoSpaceDE/>
              <w:autoSpaceDN/>
              <w:spacing w:before="75" w:after="200" w:line="276" w:lineRule="auto"/>
              <w:ind w:right="439"/>
              <w:jc w:val="right"/>
              <w:rPr>
                <w:rFonts w:eastAsia="Arial" w:cstheme="minorHAnsi"/>
                <w:sz w:val="20"/>
                <w:szCs w:val="20"/>
                <w:lang w:val="cs-CZ"/>
              </w:rPr>
            </w:pPr>
            <w:r w:rsidRPr="00F21752">
              <w:rPr>
                <w:rFonts w:eastAsia="Arial" w:cstheme="minorHAnsi"/>
                <w:color w:val="231F20"/>
                <w:w w:val="95"/>
                <w:sz w:val="20"/>
                <w:szCs w:val="20"/>
                <w:lang w:val="cs-CZ"/>
              </w:rPr>
              <w:t>0,604</w:t>
            </w:r>
          </w:p>
        </w:tc>
        <w:tc>
          <w:tcPr>
            <w:tcW w:w="1088" w:type="dxa"/>
            <w:hideMark/>
          </w:tcPr>
          <w:p w:rsidR="008F0C0F" w:rsidRPr="00F21752" w:rsidRDefault="008F0C0F" w:rsidP="00284F89">
            <w:pPr>
              <w:widowControl/>
              <w:autoSpaceDE/>
              <w:autoSpaceDN/>
              <w:spacing w:before="75" w:after="200" w:line="276" w:lineRule="auto"/>
              <w:ind w:right="358"/>
              <w:jc w:val="right"/>
              <w:rPr>
                <w:rFonts w:eastAsia="Arial" w:cstheme="minorHAnsi"/>
                <w:sz w:val="20"/>
                <w:szCs w:val="20"/>
                <w:lang w:val="cs-CZ"/>
              </w:rPr>
            </w:pPr>
            <w:r w:rsidRPr="00F21752">
              <w:rPr>
                <w:rFonts w:eastAsia="Arial" w:cstheme="minorHAnsi"/>
                <w:color w:val="231F20"/>
                <w:w w:val="95"/>
                <w:sz w:val="20"/>
                <w:szCs w:val="20"/>
                <w:lang w:val="cs-CZ"/>
              </w:rPr>
              <w:t>0,164</w:t>
            </w:r>
          </w:p>
        </w:tc>
        <w:tc>
          <w:tcPr>
            <w:tcW w:w="1073" w:type="dxa"/>
            <w:hideMark/>
          </w:tcPr>
          <w:p w:rsidR="008F0C0F" w:rsidRPr="00F21752" w:rsidRDefault="008F0C0F" w:rsidP="00284F89">
            <w:pPr>
              <w:widowControl/>
              <w:autoSpaceDE/>
              <w:autoSpaceDN/>
              <w:spacing w:before="75"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0,658</w:t>
            </w:r>
          </w:p>
        </w:tc>
        <w:tc>
          <w:tcPr>
            <w:tcW w:w="1124" w:type="dxa"/>
            <w:hideMark/>
          </w:tcPr>
          <w:p w:rsidR="008F0C0F" w:rsidRPr="00F21752" w:rsidRDefault="008F0C0F" w:rsidP="00284F89">
            <w:pPr>
              <w:widowControl/>
              <w:autoSpaceDE/>
              <w:autoSpaceDN/>
              <w:spacing w:before="75"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0,550</w:t>
            </w:r>
          </w:p>
        </w:tc>
        <w:tc>
          <w:tcPr>
            <w:tcW w:w="1177" w:type="dxa"/>
            <w:hideMark/>
          </w:tcPr>
          <w:p w:rsidR="008F0C0F" w:rsidRPr="00F21752" w:rsidRDefault="008F0C0F" w:rsidP="00284F89">
            <w:pPr>
              <w:widowControl/>
              <w:autoSpaceDE/>
              <w:autoSpaceDN/>
              <w:spacing w:before="75" w:after="200" w:line="276" w:lineRule="auto"/>
              <w:ind w:left="84" w:right="70"/>
              <w:jc w:val="center"/>
              <w:rPr>
                <w:rFonts w:eastAsia="Arial" w:cstheme="minorHAnsi"/>
                <w:sz w:val="20"/>
                <w:szCs w:val="20"/>
                <w:lang w:val="cs-CZ"/>
              </w:rPr>
            </w:pPr>
            <w:r w:rsidRPr="00F21752">
              <w:rPr>
                <w:rFonts w:eastAsia="Arial" w:cstheme="minorHAnsi"/>
                <w:color w:val="231F20"/>
                <w:sz w:val="20"/>
                <w:szCs w:val="20"/>
                <w:lang w:val="cs-CZ"/>
              </w:rPr>
              <w:t>0,487</w:t>
            </w:r>
          </w:p>
        </w:tc>
        <w:tc>
          <w:tcPr>
            <w:tcW w:w="1187" w:type="dxa"/>
            <w:hideMark/>
          </w:tcPr>
          <w:p w:rsidR="008F0C0F" w:rsidRPr="00F21752" w:rsidRDefault="008F0C0F" w:rsidP="00284F89">
            <w:pPr>
              <w:widowControl/>
              <w:autoSpaceDE/>
              <w:autoSpaceDN/>
              <w:spacing w:before="75" w:after="200" w:line="276" w:lineRule="auto"/>
              <w:ind w:left="390"/>
              <w:rPr>
                <w:rFonts w:eastAsia="Arial" w:cstheme="minorHAnsi"/>
                <w:sz w:val="20"/>
                <w:szCs w:val="20"/>
                <w:lang w:val="cs-CZ"/>
              </w:rPr>
            </w:pPr>
            <w:r w:rsidRPr="00F21752">
              <w:rPr>
                <w:rFonts w:eastAsia="Arial" w:cstheme="minorHAnsi"/>
                <w:color w:val="231F20"/>
                <w:sz w:val="20"/>
                <w:szCs w:val="20"/>
                <w:lang w:val="cs-CZ"/>
              </w:rPr>
              <w:t>0,168</w:t>
            </w:r>
          </w:p>
        </w:tc>
        <w:tc>
          <w:tcPr>
            <w:tcW w:w="1221" w:type="dxa"/>
            <w:hideMark/>
          </w:tcPr>
          <w:p w:rsidR="008F0C0F" w:rsidRPr="00F21752" w:rsidRDefault="008F0C0F" w:rsidP="00284F89">
            <w:pPr>
              <w:widowControl/>
              <w:autoSpaceDE/>
              <w:autoSpaceDN/>
              <w:spacing w:before="75" w:after="200" w:line="276" w:lineRule="auto"/>
              <w:ind w:left="407"/>
              <w:rPr>
                <w:rFonts w:eastAsia="Arial" w:cstheme="minorHAnsi"/>
                <w:sz w:val="20"/>
                <w:szCs w:val="20"/>
                <w:lang w:val="cs-CZ"/>
              </w:rPr>
            </w:pPr>
            <w:r w:rsidRPr="00F21752">
              <w:rPr>
                <w:rFonts w:eastAsia="Arial" w:cstheme="minorHAnsi"/>
                <w:color w:val="231F20"/>
                <w:sz w:val="20"/>
                <w:szCs w:val="20"/>
                <w:lang w:val="cs-CZ"/>
              </w:rPr>
              <w:t>0,261</w:t>
            </w:r>
          </w:p>
        </w:tc>
        <w:tc>
          <w:tcPr>
            <w:tcW w:w="1230" w:type="dxa"/>
            <w:hideMark/>
          </w:tcPr>
          <w:p w:rsidR="008F0C0F" w:rsidRPr="00F21752" w:rsidRDefault="008F0C0F" w:rsidP="00284F89">
            <w:pPr>
              <w:widowControl/>
              <w:autoSpaceDE/>
              <w:autoSpaceDN/>
              <w:spacing w:before="75"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0,712</w:t>
            </w:r>
          </w:p>
        </w:tc>
      </w:tr>
      <w:tr w:rsidR="008F0C0F" w:rsidRPr="00F21752" w:rsidTr="00F21752">
        <w:trPr>
          <w:trHeight w:val="330"/>
        </w:trPr>
        <w:tc>
          <w:tcPr>
            <w:tcW w:w="1587" w:type="dxa"/>
            <w:hideMark/>
          </w:tcPr>
          <w:p w:rsidR="008F0C0F" w:rsidRPr="00F21752" w:rsidRDefault="008F0C0F" w:rsidP="00284F89">
            <w:pPr>
              <w:widowControl/>
              <w:autoSpaceDE/>
              <w:autoSpaceDN/>
              <w:spacing w:before="75" w:after="200" w:line="276" w:lineRule="auto"/>
              <w:ind w:left="113"/>
              <w:rPr>
                <w:rFonts w:eastAsia="Arial" w:cstheme="minorHAnsi"/>
                <w:sz w:val="20"/>
                <w:szCs w:val="20"/>
                <w:lang w:val="cs-CZ"/>
              </w:rPr>
            </w:pPr>
            <w:r w:rsidRPr="00F21752">
              <w:rPr>
                <w:rFonts w:eastAsia="Arial" w:cstheme="minorHAnsi"/>
                <w:color w:val="231F20"/>
                <w:sz w:val="20"/>
                <w:szCs w:val="20"/>
                <w:lang w:val="cs-CZ"/>
              </w:rPr>
              <w:t>OIIPs</w:t>
            </w:r>
          </w:p>
        </w:tc>
        <w:tc>
          <w:tcPr>
            <w:tcW w:w="1418" w:type="dxa"/>
            <w:hideMark/>
          </w:tcPr>
          <w:p w:rsidR="008F0C0F" w:rsidRPr="00F21752" w:rsidRDefault="008F0C0F" w:rsidP="00284F89">
            <w:pPr>
              <w:widowControl/>
              <w:autoSpaceDE/>
              <w:autoSpaceDN/>
              <w:spacing w:before="75" w:after="200" w:line="276" w:lineRule="auto"/>
              <w:ind w:left="26" w:right="69"/>
              <w:jc w:val="center"/>
              <w:rPr>
                <w:rFonts w:eastAsia="Arial" w:cstheme="minorHAnsi"/>
                <w:sz w:val="20"/>
                <w:szCs w:val="20"/>
                <w:lang w:val="cs-CZ"/>
              </w:rPr>
            </w:pPr>
            <w:r w:rsidRPr="00F21752">
              <w:rPr>
                <w:rFonts w:eastAsia="Arial" w:cstheme="minorHAnsi"/>
                <w:sz w:val="20"/>
                <w:szCs w:val="20"/>
                <w:lang w:val="cs-CZ"/>
              </w:rPr>
              <w:t>32/39</w:t>
            </w:r>
          </w:p>
        </w:tc>
        <w:tc>
          <w:tcPr>
            <w:tcW w:w="1145" w:type="dxa"/>
            <w:hideMark/>
          </w:tcPr>
          <w:p w:rsidR="008F0C0F" w:rsidRPr="00F21752" w:rsidRDefault="008F0C0F" w:rsidP="00284F89">
            <w:pPr>
              <w:widowControl/>
              <w:autoSpaceDE/>
              <w:autoSpaceDN/>
              <w:spacing w:before="75" w:after="200" w:line="276" w:lineRule="auto"/>
              <w:ind w:right="383"/>
              <w:jc w:val="right"/>
              <w:rPr>
                <w:rFonts w:eastAsia="Arial" w:cstheme="minorHAnsi"/>
                <w:sz w:val="20"/>
                <w:szCs w:val="20"/>
                <w:lang w:val="cs-CZ"/>
              </w:rPr>
            </w:pPr>
            <w:r w:rsidRPr="00F21752">
              <w:rPr>
                <w:rFonts w:eastAsia="Arial" w:cstheme="minorHAnsi"/>
                <w:color w:val="231F20"/>
                <w:w w:val="95"/>
                <w:sz w:val="20"/>
                <w:szCs w:val="20"/>
                <w:lang w:val="cs-CZ"/>
              </w:rPr>
              <w:t>0,894</w:t>
            </w:r>
          </w:p>
        </w:tc>
        <w:tc>
          <w:tcPr>
            <w:tcW w:w="1123" w:type="dxa"/>
            <w:hideMark/>
          </w:tcPr>
          <w:p w:rsidR="008F0C0F" w:rsidRPr="00F21752" w:rsidRDefault="008F0C0F" w:rsidP="00284F89">
            <w:pPr>
              <w:widowControl/>
              <w:autoSpaceDE/>
              <w:autoSpaceDN/>
              <w:spacing w:before="75"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0,063</w:t>
            </w:r>
          </w:p>
        </w:tc>
        <w:tc>
          <w:tcPr>
            <w:tcW w:w="1291" w:type="dxa"/>
            <w:hideMark/>
          </w:tcPr>
          <w:p w:rsidR="008F0C0F" w:rsidRPr="0075421C" w:rsidRDefault="008F0C0F" w:rsidP="00284F89">
            <w:pPr>
              <w:widowControl/>
              <w:autoSpaceDE/>
              <w:autoSpaceDN/>
              <w:spacing w:before="75" w:after="200" w:line="276" w:lineRule="auto"/>
              <w:ind w:right="439"/>
              <w:jc w:val="right"/>
              <w:rPr>
                <w:rFonts w:eastAsia="Arial" w:cstheme="minorHAnsi"/>
                <w:b/>
                <w:i/>
                <w:sz w:val="20"/>
                <w:szCs w:val="20"/>
                <w:lang w:val="cs-CZ"/>
              </w:rPr>
            </w:pPr>
            <w:r w:rsidRPr="0075421C">
              <w:rPr>
                <w:rFonts w:eastAsia="Arial" w:cstheme="minorHAnsi"/>
                <w:b/>
                <w:i/>
                <w:color w:val="231F20"/>
                <w:w w:val="95"/>
                <w:sz w:val="20"/>
                <w:szCs w:val="20"/>
                <w:lang w:val="cs-CZ"/>
              </w:rPr>
              <w:t>0,014</w:t>
            </w:r>
          </w:p>
        </w:tc>
        <w:tc>
          <w:tcPr>
            <w:tcW w:w="1088" w:type="dxa"/>
            <w:hideMark/>
          </w:tcPr>
          <w:p w:rsidR="008F0C0F" w:rsidRPr="0075421C" w:rsidRDefault="008F0C0F" w:rsidP="00284F89">
            <w:pPr>
              <w:widowControl/>
              <w:autoSpaceDE/>
              <w:autoSpaceDN/>
              <w:spacing w:before="75" w:after="200" w:line="276" w:lineRule="auto"/>
              <w:ind w:right="358"/>
              <w:jc w:val="right"/>
              <w:rPr>
                <w:rFonts w:eastAsia="Arial" w:cstheme="minorHAnsi"/>
                <w:b/>
                <w:i/>
                <w:sz w:val="20"/>
                <w:szCs w:val="20"/>
                <w:lang w:val="cs-CZ"/>
              </w:rPr>
            </w:pPr>
            <w:r w:rsidRPr="0075421C">
              <w:rPr>
                <w:rFonts w:eastAsia="Arial" w:cstheme="minorHAnsi"/>
                <w:b/>
                <w:i/>
                <w:color w:val="231F20"/>
                <w:w w:val="95"/>
                <w:sz w:val="20"/>
                <w:szCs w:val="20"/>
                <w:lang w:val="cs-CZ"/>
              </w:rPr>
              <w:t>0,014</w:t>
            </w:r>
          </w:p>
        </w:tc>
        <w:tc>
          <w:tcPr>
            <w:tcW w:w="1073" w:type="dxa"/>
            <w:hideMark/>
          </w:tcPr>
          <w:p w:rsidR="008F0C0F" w:rsidRPr="00F21752" w:rsidRDefault="008F0C0F" w:rsidP="00284F89">
            <w:pPr>
              <w:widowControl/>
              <w:autoSpaceDE/>
              <w:autoSpaceDN/>
              <w:spacing w:before="75"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0,114</w:t>
            </w:r>
          </w:p>
        </w:tc>
        <w:tc>
          <w:tcPr>
            <w:tcW w:w="1124" w:type="dxa"/>
            <w:hideMark/>
          </w:tcPr>
          <w:p w:rsidR="008F0C0F" w:rsidRPr="00F21752" w:rsidRDefault="008F0C0F" w:rsidP="00284F89">
            <w:pPr>
              <w:widowControl/>
              <w:autoSpaceDE/>
              <w:autoSpaceDN/>
              <w:spacing w:before="75"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0,429</w:t>
            </w:r>
          </w:p>
        </w:tc>
        <w:tc>
          <w:tcPr>
            <w:tcW w:w="1177" w:type="dxa"/>
            <w:hideMark/>
          </w:tcPr>
          <w:p w:rsidR="008F0C0F" w:rsidRPr="0075421C" w:rsidRDefault="008F0C0F" w:rsidP="00284F89">
            <w:pPr>
              <w:widowControl/>
              <w:autoSpaceDE/>
              <w:autoSpaceDN/>
              <w:spacing w:before="75" w:after="200" w:line="276" w:lineRule="auto"/>
              <w:ind w:left="84" w:right="70"/>
              <w:jc w:val="center"/>
              <w:rPr>
                <w:rFonts w:eastAsia="Arial" w:cstheme="minorHAnsi"/>
                <w:b/>
                <w:i/>
                <w:sz w:val="20"/>
                <w:szCs w:val="20"/>
                <w:lang w:val="cs-CZ"/>
              </w:rPr>
            </w:pPr>
            <w:r w:rsidRPr="0075421C">
              <w:rPr>
                <w:rFonts w:eastAsia="Arial" w:cstheme="minorHAnsi"/>
                <w:b/>
                <w:i/>
                <w:color w:val="231F20"/>
                <w:sz w:val="20"/>
                <w:szCs w:val="20"/>
                <w:lang w:val="cs-CZ"/>
              </w:rPr>
              <w:t>0,024</w:t>
            </w:r>
          </w:p>
        </w:tc>
        <w:tc>
          <w:tcPr>
            <w:tcW w:w="1187" w:type="dxa"/>
            <w:hideMark/>
          </w:tcPr>
          <w:p w:rsidR="008F0C0F" w:rsidRPr="00F21752" w:rsidRDefault="008F0C0F" w:rsidP="00284F89">
            <w:pPr>
              <w:widowControl/>
              <w:autoSpaceDE/>
              <w:autoSpaceDN/>
              <w:spacing w:before="75" w:after="200" w:line="276" w:lineRule="auto"/>
              <w:ind w:left="390"/>
              <w:rPr>
                <w:rFonts w:eastAsia="Arial" w:cstheme="minorHAnsi"/>
                <w:sz w:val="20"/>
                <w:szCs w:val="20"/>
                <w:lang w:val="cs-CZ"/>
              </w:rPr>
            </w:pPr>
            <w:r w:rsidRPr="00F21752">
              <w:rPr>
                <w:rFonts w:eastAsia="Arial" w:cstheme="minorHAnsi"/>
                <w:color w:val="231F20"/>
                <w:sz w:val="20"/>
                <w:szCs w:val="20"/>
                <w:lang w:val="cs-CZ"/>
              </w:rPr>
              <w:t>0,412</w:t>
            </w:r>
          </w:p>
        </w:tc>
        <w:tc>
          <w:tcPr>
            <w:tcW w:w="1221" w:type="dxa"/>
            <w:hideMark/>
          </w:tcPr>
          <w:p w:rsidR="008F0C0F" w:rsidRPr="00F21752" w:rsidRDefault="008F0C0F" w:rsidP="00284F89">
            <w:pPr>
              <w:widowControl/>
              <w:autoSpaceDE/>
              <w:autoSpaceDN/>
              <w:spacing w:before="75" w:after="200" w:line="276" w:lineRule="auto"/>
              <w:ind w:left="407"/>
              <w:rPr>
                <w:rFonts w:eastAsia="Arial" w:cstheme="minorHAnsi"/>
                <w:sz w:val="20"/>
                <w:szCs w:val="20"/>
                <w:lang w:val="cs-CZ"/>
              </w:rPr>
            </w:pPr>
            <w:r w:rsidRPr="00F21752">
              <w:rPr>
                <w:rFonts w:eastAsia="Arial" w:cstheme="minorHAnsi"/>
                <w:color w:val="231F20"/>
                <w:sz w:val="20"/>
                <w:szCs w:val="20"/>
                <w:lang w:val="cs-CZ"/>
              </w:rPr>
              <w:t>0,563</w:t>
            </w:r>
          </w:p>
        </w:tc>
        <w:tc>
          <w:tcPr>
            <w:tcW w:w="1230" w:type="dxa"/>
            <w:hideMark/>
          </w:tcPr>
          <w:p w:rsidR="008F0C0F" w:rsidRPr="00F21752" w:rsidRDefault="008F0C0F" w:rsidP="00284F89">
            <w:pPr>
              <w:widowControl/>
              <w:autoSpaceDE/>
              <w:autoSpaceDN/>
              <w:spacing w:before="75"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0,173</w:t>
            </w:r>
          </w:p>
        </w:tc>
      </w:tr>
      <w:tr w:rsidR="008F0C0F" w:rsidRPr="00F21752" w:rsidTr="00F21752">
        <w:trPr>
          <w:trHeight w:val="328"/>
        </w:trPr>
        <w:tc>
          <w:tcPr>
            <w:tcW w:w="1587"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113"/>
              <w:rPr>
                <w:rFonts w:eastAsia="Arial" w:cstheme="minorHAnsi"/>
                <w:sz w:val="20"/>
                <w:szCs w:val="20"/>
                <w:lang w:val="cs-CZ"/>
              </w:rPr>
            </w:pPr>
            <w:r w:rsidRPr="00F21752">
              <w:rPr>
                <w:rFonts w:eastAsia="Arial" w:cstheme="minorHAnsi"/>
                <w:color w:val="231F20"/>
                <w:sz w:val="20"/>
                <w:szCs w:val="20"/>
                <w:lang w:val="cs-CZ"/>
              </w:rPr>
              <w:t>HP</w:t>
            </w:r>
          </w:p>
        </w:tc>
        <w:tc>
          <w:tcPr>
            <w:tcW w:w="1418"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26" w:right="69"/>
              <w:jc w:val="center"/>
              <w:rPr>
                <w:rFonts w:eastAsia="Arial" w:cstheme="minorHAnsi"/>
                <w:sz w:val="20"/>
                <w:szCs w:val="20"/>
                <w:lang w:val="cs-CZ"/>
              </w:rPr>
            </w:pPr>
            <w:r w:rsidRPr="00F21752">
              <w:rPr>
                <w:rFonts w:eastAsia="Arial" w:cstheme="minorHAnsi"/>
                <w:sz w:val="20"/>
                <w:szCs w:val="20"/>
                <w:lang w:val="cs-CZ"/>
              </w:rPr>
              <w:t>14/15</w:t>
            </w:r>
          </w:p>
        </w:tc>
        <w:tc>
          <w:tcPr>
            <w:tcW w:w="1145"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right="383"/>
              <w:jc w:val="right"/>
              <w:rPr>
                <w:rFonts w:eastAsia="Arial" w:cstheme="minorHAnsi"/>
                <w:sz w:val="20"/>
                <w:szCs w:val="20"/>
                <w:lang w:val="cs-CZ"/>
              </w:rPr>
            </w:pPr>
            <w:r w:rsidRPr="00F21752">
              <w:rPr>
                <w:rFonts w:eastAsia="Arial" w:cstheme="minorHAnsi"/>
                <w:color w:val="231F20"/>
                <w:w w:val="95"/>
                <w:sz w:val="20"/>
                <w:szCs w:val="20"/>
                <w:lang w:val="cs-CZ"/>
              </w:rPr>
              <w:t>0,275</w:t>
            </w:r>
          </w:p>
        </w:tc>
        <w:tc>
          <w:tcPr>
            <w:tcW w:w="1123"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right="367"/>
              <w:jc w:val="right"/>
              <w:rPr>
                <w:rFonts w:eastAsia="Arial" w:cstheme="minorHAnsi"/>
                <w:sz w:val="20"/>
                <w:szCs w:val="20"/>
                <w:lang w:val="cs-CZ"/>
              </w:rPr>
            </w:pPr>
            <w:r w:rsidRPr="00F21752">
              <w:rPr>
                <w:rFonts w:eastAsia="Arial" w:cstheme="minorHAnsi"/>
                <w:color w:val="231F20"/>
                <w:w w:val="95"/>
                <w:sz w:val="20"/>
                <w:szCs w:val="20"/>
                <w:lang w:val="cs-CZ"/>
              </w:rPr>
              <w:t>0,484</w:t>
            </w:r>
          </w:p>
        </w:tc>
        <w:tc>
          <w:tcPr>
            <w:tcW w:w="1291"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right="439"/>
              <w:jc w:val="right"/>
              <w:rPr>
                <w:rFonts w:eastAsia="Arial" w:cstheme="minorHAnsi"/>
                <w:sz w:val="20"/>
                <w:szCs w:val="20"/>
                <w:lang w:val="cs-CZ"/>
              </w:rPr>
            </w:pPr>
            <w:r w:rsidRPr="00F21752">
              <w:rPr>
                <w:rFonts w:eastAsia="Arial" w:cstheme="minorHAnsi"/>
                <w:color w:val="231F20"/>
                <w:w w:val="95"/>
                <w:sz w:val="20"/>
                <w:szCs w:val="20"/>
                <w:lang w:val="cs-CZ"/>
              </w:rPr>
              <w:t>0,067</w:t>
            </w:r>
          </w:p>
        </w:tc>
        <w:tc>
          <w:tcPr>
            <w:tcW w:w="1088" w:type="dxa"/>
            <w:tcBorders>
              <w:top w:val="nil"/>
              <w:left w:val="nil"/>
              <w:bottom w:val="single" w:sz="4" w:space="0" w:color="000000"/>
              <w:right w:val="nil"/>
            </w:tcBorders>
            <w:hideMark/>
          </w:tcPr>
          <w:p w:rsidR="008F0C0F" w:rsidRPr="00E95779" w:rsidRDefault="008F0C0F" w:rsidP="00284F89">
            <w:pPr>
              <w:widowControl/>
              <w:autoSpaceDE/>
              <w:autoSpaceDN/>
              <w:spacing w:before="75" w:after="200" w:line="276" w:lineRule="auto"/>
              <w:ind w:right="358"/>
              <w:jc w:val="right"/>
              <w:rPr>
                <w:rFonts w:eastAsia="Arial" w:cstheme="minorHAnsi"/>
                <w:b/>
                <w:i/>
                <w:sz w:val="20"/>
                <w:szCs w:val="20"/>
                <w:lang w:val="cs-CZ"/>
              </w:rPr>
            </w:pPr>
            <w:r w:rsidRPr="00E95779">
              <w:rPr>
                <w:rFonts w:eastAsia="Arial" w:cstheme="minorHAnsi"/>
                <w:b/>
                <w:i/>
                <w:color w:val="231F20"/>
                <w:w w:val="95"/>
                <w:sz w:val="20"/>
                <w:szCs w:val="20"/>
                <w:lang w:val="cs-CZ"/>
              </w:rPr>
              <w:t>0,036</w:t>
            </w:r>
          </w:p>
        </w:tc>
        <w:tc>
          <w:tcPr>
            <w:tcW w:w="1073"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82" w:right="72"/>
              <w:jc w:val="center"/>
              <w:rPr>
                <w:rFonts w:eastAsia="Arial" w:cstheme="minorHAnsi"/>
                <w:sz w:val="20"/>
                <w:szCs w:val="20"/>
                <w:lang w:val="cs-CZ"/>
              </w:rPr>
            </w:pPr>
            <w:r w:rsidRPr="00F21752">
              <w:rPr>
                <w:rFonts w:eastAsia="Arial" w:cstheme="minorHAnsi"/>
                <w:color w:val="231F20"/>
                <w:sz w:val="20"/>
                <w:szCs w:val="20"/>
                <w:lang w:val="cs-CZ"/>
              </w:rPr>
              <w:t>0,444</w:t>
            </w:r>
          </w:p>
        </w:tc>
        <w:tc>
          <w:tcPr>
            <w:tcW w:w="1124"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58" w:right="109"/>
              <w:jc w:val="center"/>
              <w:rPr>
                <w:rFonts w:eastAsia="Arial" w:cstheme="minorHAnsi"/>
                <w:sz w:val="20"/>
                <w:szCs w:val="20"/>
                <w:lang w:val="cs-CZ"/>
              </w:rPr>
            </w:pPr>
            <w:r w:rsidRPr="00F21752">
              <w:rPr>
                <w:rFonts w:eastAsia="Arial" w:cstheme="minorHAnsi"/>
                <w:color w:val="231F20"/>
                <w:sz w:val="20"/>
                <w:szCs w:val="20"/>
                <w:lang w:val="cs-CZ"/>
              </w:rPr>
              <w:t>0,164</w:t>
            </w:r>
          </w:p>
        </w:tc>
        <w:tc>
          <w:tcPr>
            <w:tcW w:w="1177"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84" w:right="70"/>
              <w:jc w:val="center"/>
              <w:rPr>
                <w:rFonts w:eastAsia="Arial" w:cstheme="minorHAnsi"/>
                <w:sz w:val="20"/>
                <w:szCs w:val="20"/>
                <w:lang w:val="cs-CZ"/>
              </w:rPr>
            </w:pPr>
            <w:r w:rsidRPr="00F21752">
              <w:rPr>
                <w:rFonts w:eastAsia="Arial" w:cstheme="minorHAnsi"/>
                <w:color w:val="231F20"/>
                <w:sz w:val="20"/>
                <w:szCs w:val="20"/>
                <w:lang w:val="cs-CZ"/>
              </w:rPr>
              <w:t>0,138</w:t>
            </w:r>
          </w:p>
        </w:tc>
        <w:tc>
          <w:tcPr>
            <w:tcW w:w="1187"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390"/>
              <w:rPr>
                <w:rFonts w:eastAsia="Arial" w:cstheme="minorHAnsi"/>
                <w:sz w:val="20"/>
                <w:szCs w:val="20"/>
                <w:lang w:val="cs-CZ"/>
              </w:rPr>
            </w:pPr>
            <w:r w:rsidRPr="00F21752">
              <w:rPr>
                <w:rFonts w:eastAsia="Arial" w:cstheme="minorHAnsi"/>
                <w:color w:val="231F20"/>
                <w:sz w:val="20"/>
                <w:szCs w:val="20"/>
                <w:lang w:val="cs-CZ"/>
              </w:rPr>
              <w:t>0,138</w:t>
            </w:r>
          </w:p>
        </w:tc>
        <w:tc>
          <w:tcPr>
            <w:tcW w:w="1221"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407"/>
              <w:rPr>
                <w:rFonts w:eastAsia="Arial" w:cstheme="minorHAnsi"/>
                <w:sz w:val="20"/>
                <w:szCs w:val="20"/>
                <w:lang w:val="cs-CZ"/>
              </w:rPr>
            </w:pPr>
            <w:r w:rsidRPr="00F21752">
              <w:rPr>
                <w:rFonts w:eastAsia="Arial" w:cstheme="minorHAnsi"/>
                <w:color w:val="231F20"/>
                <w:sz w:val="20"/>
                <w:szCs w:val="20"/>
                <w:lang w:val="cs-CZ"/>
              </w:rPr>
              <w:t>0,777</w:t>
            </w:r>
          </w:p>
        </w:tc>
        <w:tc>
          <w:tcPr>
            <w:tcW w:w="1230" w:type="dxa"/>
            <w:tcBorders>
              <w:top w:val="nil"/>
              <w:left w:val="nil"/>
              <w:bottom w:val="single" w:sz="4" w:space="0" w:color="000000"/>
              <w:right w:val="nil"/>
            </w:tcBorders>
            <w:hideMark/>
          </w:tcPr>
          <w:p w:rsidR="008F0C0F" w:rsidRPr="00F21752" w:rsidRDefault="008F0C0F" w:rsidP="00284F89">
            <w:pPr>
              <w:widowControl/>
              <w:autoSpaceDE/>
              <w:autoSpaceDN/>
              <w:spacing w:before="75" w:after="200" w:line="276" w:lineRule="auto"/>
              <w:ind w:left="115" w:right="92"/>
              <w:jc w:val="center"/>
              <w:rPr>
                <w:rFonts w:eastAsia="Arial" w:cstheme="minorHAnsi"/>
                <w:sz w:val="20"/>
                <w:szCs w:val="20"/>
                <w:lang w:val="cs-CZ"/>
              </w:rPr>
            </w:pPr>
            <w:r w:rsidRPr="00F21752">
              <w:rPr>
                <w:rFonts w:eastAsia="Arial" w:cstheme="minorHAnsi"/>
                <w:color w:val="231F20"/>
                <w:sz w:val="20"/>
                <w:szCs w:val="20"/>
                <w:lang w:val="cs-CZ"/>
              </w:rPr>
              <w:t>0,265</w:t>
            </w:r>
          </w:p>
        </w:tc>
      </w:tr>
    </w:tbl>
    <w:p w:rsidR="008F0C0F" w:rsidRPr="0062347D" w:rsidRDefault="008F0C0F" w:rsidP="00284F89">
      <w:pPr>
        <w:spacing w:before="83"/>
        <w:ind w:left="220"/>
        <w:rPr>
          <w:rFonts w:cstheme="minorHAnsi"/>
          <w:color w:val="231F20"/>
          <w:spacing w:val="-4"/>
          <w:sz w:val="20"/>
          <w:szCs w:val="20"/>
        </w:rPr>
        <w:sectPr w:rsidR="008F0C0F" w:rsidRPr="0062347D" w:rsidSect="00284F89">
          <w:pgSz w:w="16838" w:h="11906" w:orient="landscape"/>
          <w:pgMar w:top="1276" w:right="1417" w:bottom="1417" w:left="851" w:header="708" w:footer="708" w:gutter="0"/>
          <w:cols w:space="708"/>
          <w:docGrid w:linePitch="360"/>
        </w:sectPr>
      </w:pPr>
      <w:r w:rsidRPr="0062347D">
        <w:rPr>
          <w:rFonts w:cstheme="minorHAnsi"/>
          <w:color w:val="231F20"/>
          <w:spacing w:val="-4"/>
          <w:sz w:val="20"/>
          <w:szCs w:val="20"/>
        </w:rPr>
        <w:t>Výsledky jsou uvedeny jako</w:t>
      </w:r>
      <w:r w:rsidRPr="0062347D">
        <w:rPr>
          <w:rFonts w:cstheme="minorHAnsi"/>
          <w:color w:val="231F20"/>
          <w:sz w:val="20"/>
          <w:szCs w:val="20"/>
        </w:rPr>
        <w:t xml:space="preserve"> P </w:t>
      </w:r>
      <w:r w:rsidRPr="0062347D">
        <w:rPr>
          <w:rFonts w:cstheme="minorHAnsi"/>
          <w:color w:val="231F20"/>
          <w:spacing w:val="-4"/>
          <w:sz w:val="20"/>
          <w:szCs w:val="20"/>
        </w:rPr>
        <w:t>hodnota. Úroveň signifikance je nastavena na hodnotu</w:t>
      </w:r>
      <w:r w:rsidRPr="0062347D">
        <w:rPr>
          <w:rFonts w:cstheme="minorHAnsi"/>
          <w:color w:val="231F20"/>
          <w:sz w:val="20"/>
          <w:szCs w:val="20"/>
        </w:rPr>
        <w:t xml:space="preserve"> </w:t>
      </w:r>
      <w:r w:rsidRPr="0062347D">
        <w:rPr>
          <w:rFonts w:cstheme="minorHAnsi"/>
          <w:color w:val="231F20"/>
          <w:spacing w:val="-4"/>
          <w:sz w:val="20"/>
          <w:szCs w:val="20"/>
        </w:rPr>
        <w:t>P</w:t>
      </w:r>
      <w:r>
        <w:rPr>
          <w:rFonts w:cstheme="minorHAnsi"/>
          <w:color w:val="231F20"/>
          <w:spacing w:val="-4"/>
          <w:sz w:val="20"/>
          <w:szCs w:val="20"/>
        </w:rPr>
        <w:t> </w:t>
      </w:r>
      <w:r w:rsidRPr="0062347D">
        <w:rPr>
          <w:rFonts w:cstheme="minorHAnsi"/>
          <w:color w:val="231F20"/>
          <w:spacing w:val="-4"/>
          <w:sz w:val="20"/>
          <w:szCs w:val="20"/>
        </w:rPr>
        <w:t>&lt;</w:t>
      </w:r>
      <w:r>
        <w:rPr>
          <w:rFonts w:cstheme="minorHAnsi"/>
          <w:color w:val="231F20"/>
          <w:spacing w:val="-4"/>
          <w:sz w:val="20"/>
          <w:szCs w:val="20"/>
        </w:rPr>
        <w:t> </w:t>
      </w:r>
      <w:r w:rsidRPr="0062347D">
        <w:rPr>
          <w:rFonts w:cstheme="minorHAnsi"/>
          <w:color w:val="231F20"/>
          <w:spacing w:val="-4"/>
          <w:sz w:val="20"/>
          <w:szCs w:val="20"/>
        </w:rPr>
        <w:t xml:space="preserve">0,05. </w:t>
      </w:r>
      <w:r w:rsidRPr="0062347D">
        <w:rPr>
          <w:rFonts w:cstheme="minorHAnsi"/>
          <w:color w:val="231F20"/>
          <w:sz w:val="20"/>
          <w:szCs w:val="20"/>
        </w:rPr>
        <w:t xml:space="preserve">P </w:t>
      </w:r>
      <w:r w:rsidRPr="0062347D">
        <w:rPr>
          <w:rFonts w:cstheme="minorHAnsi"/>
          <w:color w:val="231F20"/>
          <w:spacing w:val="-4"/>
          <w:sz w:val="20"/>
          <w:szCs w:val="20"/>
        </w:rPr>
        <w:t>hodnoty &lt;</w:t>
      </w:r>
      <w:r>
        <w:rPr>
          <w:rFonts w:cstheme="minorHAnsi"/>
          <w:color w:val="231F20"/>
          <w:spacing w:val="-4"/>
          <w:sz w:val="20"/>
          <w:szCs w:val="20"/>
        </w:rPr>
        <w:t> </w:t>
      </w:r>
      <w:r w:rsidRPr="0062347D">
        <w:rPr>
          <w:rFonts w:cstheme="minorHAnsi"/>
          <w:color w:val="231F20"/>
          <w:spacing w:val="-4"/>
          <w:sz w:val="20"/>
          <w:szCs w:val="20"/>
        </w:rPr>
        <w:t xml:space="preserve">0,05 jsou napsány kurzívou. </w:t>
      </w:r>
      <w:r w:rsidRPr="0062347D">
        <w:rPr>
          <w:rFonts w:cstheme="minorHAnsi"/>
          <w:color w:val="231F20"/>
          <w:spacing w:val="-3"/>
          <w:sz w:val="20"/>
          <w:szCs w:val="20"/>
        </w:rPr>
        <w:t xml:space="preserve">IPN, </w:t>
      </w:r>
      <w:r w:rsidRPr="0062347D">
        <w:rPr>
          <w:rFonts w:cstheme="minorHAnsi"/>
          <w:color w:val="231F20"/>
          <w:spacing w:val="-4"/>
          <w:sz w:val="20"/>
          <w:szCs w:val="20"/>
        </w:rPr>
        <w:t xml:space="preserve">intersticiální </w:t>
      </w:r>
      <w:r w:rsidRPr="0062347D">
        <w:rPr>
          <w:rFonts w:cstheme="minorHAnsi"/>
          <w:color w:val="231F20"/>
          <w:spacing w:val="-3"/>
          <w:sz w:val="20"/>
          <w:szCs w:val="20"/>
        </w:rPr>
        <w:t xml:space="preserve">plicní </w:t>
      </w:r>
      <w:r w:rsidRPr="0062347D">
        <w:rPr>
          <w:rFonts w:cstheme="minorHAnsi"/>
          <w:color w:val="231F20"/>
          <w:spacing w:val="-4"/>
          <w:sz w:val="20"/>
          <w:szCs w:val="20"/>
        </w:rPr>
        <w:t xml:space="preserve">nemoci; </w:t>
      </w:r>
      <w:r w:rsidRPr="0062347D">
        <w:rPr>
          <w:rFonts w:cstheme="minorHAnsi"/>
          <w:color w:val="231F20"/>
          <w:sz w:val="20"/>
          <w:szCs w:val="20"/>
        </w:rPr>
        <w:t xml:space="preserve">S, </w:t>
      </w:r>
      <w:r w:rsidRPr="0062347D">
        <w:rPr>
          <w:rFonts w:cstheme="minorHAnsi"/>
          <w:color w:val="231F20"/>
          <w:spacing w:val="-4"/>
          <w:sz w:val="20"/>
          <w:szCs w:val="20"/>
        </w:rPr>
        <w:t xml:space="preserve">sarkoidóza; </w:t>
      </w:r>
      <w:r w:rsidRPr="0062347D">
        <w:rPr>
          <w:rFonts w:cstheme="minorHAnsi"/>
          <w:color w:val="231F20"/>
          <w:spacing w:val="-3"/>
          <w:sz w:val="20"/>
          <w:szCs w:val="20"/>
        </w:rPr>
        <w:t xml:space="preserve">LS, </w:t>
      </w:r>
      <w:r w:rsidRPr="0062347D">
        <w:rPr>
          <w:rFonts w:cstheme="minorHAnsi"/>
          <w:color w:val="231F20"/>
          <w:spacing w:val="-6"/>
          <w:sz w:val="20"/>
          <w:szCs w:val="20"/>
        </w:rPr>
        <w:t xml:space="preserve">Löfgrenův </w:t>
      </w:r>
      <w:r w:rsidRPr="0062347D">
        <w:rPr>
          <w:rFonts w:cstheme="minorHAnsi"/>
          <w:color w:val="231F20"/>
          <w:spacing w:val="-4"/>
          <w:sz w:val="20"/>
          <w:szCs w:val="20"/>
        </w:rPr>
        <w:t xml:space="preserve">syndrom; </w:t>
      </w:r>
      <w:r w:rsidRPr="0062347D">
        <w:rPr>
          <w:rFonts w:cstheme="minorHAnsi"/>
          <w:color w:val="231F20"/>
          <w:spacing w:val="-3"/>
          <w:sz w:val="20"/>
          <w:szCs w:val="20"/>
        </w:rPr>
        <w:t xml:space="preserve">RTG, </w:t>
      </w:r>
      <w:r w:rsidRPr="0062347D">
        <w:rPr>
          <w:rFonts w:cstheme="minorHAnsi"/>
          <w:color w:val="231F20"/>
          <w:spacing w:val="-4"/>
          <w:sz w:val="20"/>
          <w:szCs w:val="20"/>
        </w:rPr>
        <w:t xml:space="preserve">rentgenologické stádium; </w:t>
      </w:r>
      <w:r w:rsidRPr="0062347D">
        <w:rPr>
          <w:rFonts w:cstheme="minorHAnsi"/>
          <w:color w:val="231F20"/>
          <w:spacing w:val="-10"/>
          <w:sz w:val="20"/>
          <w:szCs w:val="20"/>
        </w:rPr>
        <w:t xml:space="preserve">IPF, </w:t>
      </w:r>
      <w:r w:rsidRPr="0062347D">
        <w:rPr>
          <w:rFonts w:cstheme="minorHAnsi"/>
          <w:color w:val="231F20"/>
          <w:spacing w:val="-4"/>
          <w:sz w:val="20"/>
          <w:szCs w:val="20"/>
        </w:rPr>
        <w:t xml:space="preserve">idiopatická plicní fibróza; OIIP, ostatní idiopatické intersticiální pneumonie; </w:t>
      </w:r>
      <w:r w:rsidRPr="0062347D">
        <w:rPr>
          <w:rFonts w:cstheme="minorHAnsi"/>
          <w:color w:val="231F20"/>
          <w:spacing w:val="-12"/>
          <w:sz w:val="20"/>
          <w:szCs w:val="20"/>
        </w:rPr>
        <w:t xml:space="preserve">HP, </w:t>
      </w:r>
      <w:r w:rsidRPr="0062347D">
        <w:rPr>
          <w:rFonts w:cstheme="minorHAnsi"/>
          <w:color w:val="231F20"/>
          <w:spacing w:val="-4"/>
          <w:sz w:val="20"/>
          <w:szCs w:val="20"/>
        </w:rPr>
        <w:t>hypersensitivní pneumonie.</w:t>
      </w:r>
    </w:p>
    <w:p w:rsidR="008F0C0F" w:rsidRPr="0062347D" w:rsidRDefault="008F0C0F" w:rsidP="00284F89">
      <w:pPr>
        <w:spacing w:after="46"/>
        <w:ind w:left="220"/>
        <w:rPr>
          <w:rFonts w:cstheme="minorHAnsi"/>
          <w:sz w:val="20"/>
          <w:szCs w:val="20"/>
        </w:rPr>
      </w:pPr>
      <w:proofErr w:type="gramStart"/>
      <w:r w:rsidRPr="00E663BF">
        <w:rPr>
          <w:rFonts w:cstheme="minorHAnsi"/>
          <w:b/>
          <w:color w:val="231F20"/>
          <w:sz w:val="20"/>
          <w:szCs w:val="20"/>
        </w:rPr>
        <w:lastRenderedPageBreak/>
        <w:t>H</w:t>
      </w:r>
      <w:r w:rsidRPr="004E5649">
        <w:rPr>
          <w:rFonts w:cstheme="minorHAnsi"/>
          <w:b/>
          <w:color w:val="231F20"/>
          <w:sz w:val="20"/>
          <w:szCs w:val="20"/>
        </w:rPr>
        <w:t>.1.</w:t>
      </w:r>
      <w:proofErr w:type="gramEnd"/>
      <w:r w:rsidRPr="004E5649">
        <w:rPr>
          <w:rFonts w:cstheme="minorHAnsi"/>
          <w:b/>
          <w:color w:val="231F20"/>
          <w:sz w:val="20"/>
          <w:szCs w:val="20"/>
        </w:rPr>
        <w:t xml:space="preserve"> Příloha Tabulka 2</w:t>
      </w:r>
      <w:r w:rsidRPr="00B24D8C">
        <w:rPr>
          <w:rFonts w:cstheme="minorHAnsi"/>
          <w:b/>
          <w:color w:val="231F20"/>
          <w:sz w:val="20"/>
          <w:szCs w:val="20"/>
        </w:rPr>
        <w:t xml:space="preserve">b </w:t>
      </w:r>
      <w:r w:rsidRPr="00B24D8C">
        <w:rPr>
          <w:rFonts w:cstheme="minorHAnsi"/>
          <w:color w:val="231F20"/>
          <w:sz w:val="20"/>
          <w:szCs w:val="20"/>
        </w:rPr>
        <w:t xml:space="preserve">Mann-Whitney test porovnávající </w:t>
      </w:r>
      <w:r w:rsidRPr="0062347D">
        <w:rPr>
          <w:rFonts w:cstheme="minorHAnsi"/>
          <w:color w:val="231F20"/>
          <w:sz w:val="20"/>
          <w:szCs w:val="20"/>
        </w:rPr>
        <w:t>BAL buněčný profil u kuřáků plus ex-kuřáků a nekuřáků v jednotlivých IPN skupinách.</w:t>
      </w:r>
    </w:p>
    <w:tbl>
      <w:tblPr>
        <w:tblStyle w:val="TableNormal"/>
        <w:tblW w:w="9809" w:type="dxa"/>
        <w:tblInd w:w="114" w:type="dxa"/>
        <w:tblLayout w:type="fixed"/>
        <w:tblLook w:val="01E0" w:firstRow="1" w:lastRow="1" w:firstColumn="1" w:lastColumn="1" w:noHBand="0" w:noVBand="0"/>
      </w:tblPr>
      <w:tblGrid>
        <w:gridCol w:w="1896"/>
        <w:gridCol w:w="1608"/>
        <w:gridCol w:w="1215"/>
        <w:gridCol w:w="1404"/>
        <w:gridCol w:w="1140"/>
        <w:gridCol w:w="1412"/>
        <w:gridCol w:w="1134"/>
      </w:tblGrid>
      <w:tr w:rsidR="008F0C0F" w:rsidRPr="00F21752" w:rsidTr="00E95779">
        <w:trPr>
          <w:trHeight w:val="760"/>
        </w:trPr>
        <w:tc>
          <w:tcPr>
            <w:tcW w:w="1896" w:type="dxa"/>
            <w:tcBorders>
              <w:top w:val="single" w:sz="4" w:space="0" w:color="000000"/>
              <w:left w:val="nil"/>
              <w:bottom w:val="single" w:sz="4" w:space="0" w:color="000000"/>
              <w:right w:val="nil"/>
            </w:tcBorders>
            <w:vAlign w:val="center"/>
          </w:tcPr>
          <w:p w:rsidR="008F0C0F" w:rsidRPr="00F21752" w:rsidRDefault="008F0C0F" w:rsidP="00F21752">
            <w:pPr>
              <w:widowControl/>
              <w:autoSpaceDE/>
              <w:autoSpaceDN/>
              <w:spacing w:after="200" w:line="276" w:lineRule="auto"/>
              <w:jc w:val="center"/>
              <w:rPr>
                <w:rFonts w:eastAsia="Arial" w:cstheme="minorHAnsi"/>
                <w:sz w:val="20"/>
                <w:szCs w:val="20"/>
                <w:lang w:val="cs-CZ"/>
              </w:rPr>
            </w:pPr>
          </w:p>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sz w:val="20"/>
                <w:szCs w:val="20"/>
                <w:lang w:val="cs-CZ"/>
              </w:rPr>
              <w:t>IPN</w:t>
            </w:r>
          </w:p>
        </w:tc>
        <w:tc>
          <w:tcPr>
            <w:tcW w:w="1608" w:type="dxa"/>
            <w:tcBorders>
              <w:top w:val="single" w:sz="4" w:space="0" w:color="000000"/>
              <w:left w:val="nil"/>
              <w:bottom w:val="single" w:sz="4" w:space="0" w:color="000000"/>
              <w:right w:val="nil"/>
            </w:tcBorders>
            <w:vAlign w:val="center"/>
            <w:hideMark/>
          </w:tcPr>
          <w:p w:rsidR="008F0C0F" w:rsidRPr="00F21752" w:rsidRDefault="008F0C0F" w:rsidP="00E95779">
            <w:pPr>
              <w:widowControl/>
              <w:autoSpaceDE/>
              <w:autoSpaceDN/>
              <w:ind w:right="69"/>
              <w:jc w:val="center"/>
              <w:rPr>
                <w:rFonts w:eastAsia="Arial" w:cstheme="minorHAnsi"/>
                <w:sz w:val="20"/>
                <w:szCs w:val="20"/>
                <w:lang w:val="cs-CZ"/>
              </w:rPr>
            </w:pPr>
            <w:r w:rsidRPr="00F21752">
              <w:rPr>
                <w:rFonts w:eastAsia="Arial" w:cstheme="minorHAnsi"/>
                <w:color w:val="231F20"/>
                <w:sz w:val="20"/>
                <w:szCs w:val="20"/>
                <w:lang w:val="cs-CZ"/>
              </w:rPr>
              <w:t>Počet kuřáků</w:t>
            </w:r>
          </w:p>
          <w:p w:rsidR="008F0C0F" w:rsidRPr="00F21752" w:rsidRDefault="008F0C0F" w:rsidP="00E95779">
            <w:pPr>
              <w:widowControl/>
              <w:autoSpaceDE/>
              <w:autoSpaceDN/>
              <w:ind w:right="69"/>
              <w:jc w:val="center"/>
              <w:rPr>
                <w:rFonts w:eastAsia="Arial" w:cstheme="minorHAnsi"/>
                <w:i/>
                <w:sz w:val="20"/>
                <w:szCs w:val="20"/>
                <w:lang w:val="cs-CZ"/>
              </w:rPr>
            </w:pPr>
            <w:r w:rsidRPr="00F21752">
              <w:rPr>
                <w:rFonts w:eastAsia="Arial" w:cstheme="minorHAnsi"/>
                <w:color w:val="231F20"/>
                <w:sz w:val="20"/>
                <w:szCs w:val="20"/>
                <w:lang w:val="cs-CZ"/>
              </w:rPr>
              <w:t xml:space="preserve">+ ex-kuřáků </w:t>
            </w:r>
            <w:r w:rsidRPr="00F21752">
              <w:rPr>
                <w:rFonts w:eastAsia="Arial" w:cstheme="minorHAnsi"/>
                <w:i/>
                <w:color w:val="231F20"/>
                <w:sz w:val="20"/>
                <w:szCs w:val="20"/>
                <w:lang w:val="cs-CZ"/>
              </w:rPr>
              <w:t>vs.</w:t>
            </w:r>
          </w:p>
          <w:p w:rsidR="008F0C0F" w:rsidRPr="00F21752" w:rsidRDefault="008F0C0F" w:rsidP="00E95779">
            <w:pPr>
              <w:widowControl/>
              <w:autoSpaceDE/>
              <w:autoSpaceDN/>
              <w:ind w:right="69"/>
              <w:jc w:val="center"/>
              <w:rPr>
                <w:rFonts w:eastAsia="Arial" w:cstheme="minorHAnsi"/>
                <w:sz w:val="20"/>
                <w:szCs w:val="20"/>
                <w:lang w:val="cs-CZ"/>
              </w:rPr>
            </w:pPr>
            <w:r w:rsidRPr="00F21752">
              <w:rPr>
                <w:rFonts w:eastAsia="Arial" w:cstheme="minorHAnsi"/>
                <w:color w:val="231F20"/>
                <w:sz w:val="20"/>
                <w:szCs w:val="20"/>
                <w:lang w:val="cs-CZ"/>
              </w:rPr>
              <w:t>nekuřáci</w:t>
            </w:r>
          </w:p>
        </w:tc>
        <w:tc>
          <w:tcPr>
            <w:tcW w:w="1215" w:type="dxa"/>
            <w:tcBorders>
              <w:top w:val="single" w:sz="4" w:space="0" w:color="000000"/>
              <w:left w:val="nil"/>
              <w:bottom w:val="single" w:sz="4" w:space="0" w:color="000000"/>
              <w:right w:val="nil"/>
            </w:tcBorders>
            <w:vAlign w:val="center"/>
          </w:tcPr>
          <w:p w:rsidR="008F0C0F" w:rsidRPr="00F21752" w:rsidRDefault="008F0C0F" w:rsidP="00F21752">
            <w:pPr>
              <w:widowControl/>
              <w:autoSpaceDE/>
              <w:autoSpaceDN/>
              <w:spacing w:after="200" w:line="288" w:lineRule="auto"/>
              <w:jc w:val="center"/>
              <w:rPr>
                <w:rFonts w:eastAsia="Arial" w:cstheme="minorHAnsi"/>
                <w:sz w:val="20"/>
                <w:szCs w:val="20"/>
                <w:lang w:val="cs-CZ"/>
              </w:rPr>
            </w:pPr>
            <w:r w:rsidRPr="00F21752">
              <w:rPr>
                <w:rFonts w:eastAsia="Arial" w:cstheme="minorHAnsi"/>
                <w:color w:val="231F20"/>
                <w:sz w:val="20"/>
                <w:szCs w:val="20"/>
                <w:lang w:val="cs-CZ"/>
              </w:rPr>
              <w:t>CD3</w:t>
            </w:r>
            <w:r w:rsidRPr="00F21752">
              <w:rPr>
                <w:rFonts w:eastAsia="Arial" w:cstheme="minorHAnsi"/>
                <w:color w:val="231F20"/>
                <w:sz w:val="20"/>
                <w:szCs w:val="20"/>
                <w:vertAlign w:val="superscript"/>
                <w:lang w:val="cs-CZ"/>
              </w:rPr>
              <w:t>+</w:t>
            </w:r>
            <w:r w:rsidRPr="00F21752">
              <w:rPr>
                <w:rFonts w:eastAsia="Arial" w:cstheme="minorHAnsi"/>
                <w:color w:val="231F20"/>
                <w:sz w:val="20"/>
                <w:szCs w:val="20"/>
                <w:lang w:val="cs-CZ"/>
              </w:rPr>
              <w:t xml:space="preserve"> relativní počty (%)</w:t>
            </w:r>
          </w:p>
        </w:tc>
        <w:tc>
          <w:tcPr>
            <w:tcW w:w="1404" w:type="dxa"/>
            <w:tcBorders>
              <w:top w:val="single" w:sz="4" w:space="0" w:color="000000"/>
              <w:left w:val="nil"/>
              <w:bottom w:val="single" w:sz="4" w:space="0" w:color="000000"/>
              <w:right w:val="nil"/>
            </w:tcBorders>
            <w:vAlign w:val="center"/>
          </w:tcPr>
          <w:p w:rsidR="008F0C0F" w:rsidRPr="00F21752" w:rsidRDefault="008F0C0F" w:rsidP="00F21752">
            <w:pPr>
              <w:widowControl/>
              <w:autoSpaceDE/>
              <w:autoSpaceDN/>
              <w:spacing w:after="200" w:line="288" w:lineRule="auto"/>
              <w:jc w:val="center"/>
              <w:rPr>
                <w:rFonts w:eastAsia="Arial" w:cstheme="minorHAnsi"/>
                <w:sz w:val="20"/>
                <w:szCs w:val="20"/>
                <w:lang w:val="cs-CZ"/>
              </w:rPr>
            </w:pPr>
            <w:r w:rsidRPr="00F21752">
              <w:rPr>
                <w:rFonts w:eastAsia="Arial" w:cstheme="minorHAnsi"/>
                <w:color w:val="231F20"/>
                <w:sz w:val="20"/>
                <w:szCs w:val="20"/>
                <w:lang w:val="cs-CZ"/>
              </w:rPr>
              <w:t>CD4</w:t>
            </w:r>
            <w:r w:rsidRPr="00F21752">
              <w:rPr>
                <w:rFonts w:eastAsia="Arial" w:cstheme="minorHAnsi"/>
                <w:color w:val="231F20"/>
                <w:sz w:val="20"/>
                <w:szCs w:val="20"/>
                <w:vertAlign w:val="superscript"/>
                <w:lang w:val="cs-CZ"/>
              </w:rPr>
              <w:t>+</w:t>
            </w:r>
            <w:r w:rsidRPr="00F21752">
              <w:rPr>
                <w:rFonts w:eastAsia="Arial" w:cstheme="minorHAnsi"/>
                <w:color w:val="231F20"/>
                <w:sz w:val="20"/>
                <w:szCs w:val="20"/>
                <w:lang w:val="cs-CZ"/>
              </w:rPr>
              <w:t xml:space="preserve"> relativní počty (%)</w:t>
            </w:r>
          </w:p>
        </w:tc>
        <w:tc>
          <w:tcPr>
            <w:tcW w:w="1140" w:type="dxa"/>
            <w:tcBorders>
              <w:top w:val="single" w:sz="4" w:space="0" w:color="000000"/>
              <w:left w:val="nil"/>
              <w:bottom w:val="single" w:sz="4" w:space="0" w:color="000000"/>
              <w:right w:val="nil"/>
            </w:tcBorders>
            <w:vAlign w:val="center"/>
          </w:tcPr>
          <w:p w:rsidR="008F0C0F" w:rsidRPr="00F21752" w:rsidRDefault="008F0C0F" w:rsidP="00F21752">
            <w:pPr>
              <w:widowControl/>
              <w:autoSpaceDE/>
              <w:autoSpaceDN/>
              <w:spacing w:after="200" w:line="288" w:lineRule="auto"/>
              <w:jc w:val="center"/>
              <w:rPr>
                <w:rFonts w:eastAsia="Arial" w:cstheme="minorHAnsi"/>
                <w:sz w:val="20"/>
                <w:szCs w:val="20"/>
                <w:lang w:val="cs-CZ"/>
              </w:rPr>
            </w:pPr>
            <w:r w:rsidRPr="00F21752">
              <w:rPr>
                <w:rFonts w:eastAsia="Arial" w:cstheme="minorHAnsi"/>
                <w:color w:val="231F20"/>
                <w:sz w:val="20"/>
                <w:szCs w:val="20"/>
                <w:lang w:val="cs-CZ"/>
              </w:rPr>
              <w:t>CD8</w:t>
            </w:r>
            <w:r w:rsidRPr="00F21752">
              <w:rPr>
                <w:rFonts w:eastAsia="Arial" w:cstheme="minorHAnsi"/>
                <w:color w:val="231F20"/>
                <w:sz w:val="20"/>
                <w:szCs w:val="20"/>
                <w:vertAlign w:val="superscript"/>
                <w:lang w:val="cs-CZ"/>
              </w:rPr>
              <w:t>+</w:t>
            </w:r>
            <w:r w:rsidRPr="00F21752">
              <w:rPr>
                <w:rFonts w:eastAsia="Arial" w:cstheme="minorHAnsi"/>
                <w:color w:val="231F20"/>
                <w:sz w:val="20"/>
                <w:szCs w:val="20"/>
                <w:lang w:val="cs-CZ"/>
              </w:rPr>
              <w:t xml:space="preserve"> relativní počty (%)</w:t>
            </w:r>
          </w:p>
        </w:tc>
        <w:tc>
          <w:tcPr>
            <w:tcW w:w="1412" w:type="dxa"/>
            <w:tcBorders>
              <w:top w:val="single" w:sz="4" w:space="0" w:color="000000"/>
              <w:left w:val="nil"/>
              <w:bottom w:val="single" w:sz="4" w:space="0" w:color="000000"/>
              <w:right w:val="nil"/>
            </w:tcBorders>
            <w:vAlign w:val="center"/>
          </w:tcPr>
          <w:p w:rsidR="008F0C0F" w:rsidRPr="00F21752" w:rsidRDefault="008F0C0F" w:rsidP="00F21752">
            <w:pPr>
              <w:widowControl/>
              <w:autoSpaceDE/>
              <w:autoSpaceDN/>
              <w:spacing w:after="200" w:line="288" w:lineRule="auto"/>
              <w:jc w:val="center"/>
              <w:rPr>
                <w:rFonts w:eastAsia="Arial" w:cstheme="minorHAnsi"/>
                <w:sz w:val="20"/>
                <w:szCs w:val="20"/>
                <w:lang w:val="cs-CZ"/>
              </w:rPr>
            </w:pPr>
            <w:r w:rsidRPr="00F21752">
              <w:rPr>
                <w:rFonts w:eastAsia="Arial" w:cstheme="minorHAnsi"/>
                <w:color w:val="231F20"/>
                <w:sz w:val="20"/>
                <w:szCs w:val="20"/>
                <w:lang w:val="cs-CZ"/>
              </w:rPr>
              <w:t>CD19</w:t>
            </w:r>
            <w:r w:rsidRPr="00F21752">
              <w:rPr>
                <w:rFonts w:eastAsia="Arial" w:cstheme="minorHAnsi"/>
                <w:color w:val="231F20"/>
                <w:sz w:val="20"/>
                <w:szCs w:val="20"/>
                <w:vertAlign w:val="superscript"/>
                <w:lang w:val="cs-CZ"/>
              </w:rPr>
              <w:t>+</w:t>
            </w:r>
            <w:r w:rsidRPr="00F21752">
              <w:rPr>
                <w:rFonts w:eastAsia="Arial" w:cstheme="minorHAnsi"/>
                <w:color w:val="231F20"/>
                <w:sz w:val="20"/>
                <w:szCs w:val="20"/>
                <w:lang w:val="cs-CZ"/>
              </w:rPr>
              <w:t xml:space="preserve"> relativní počty (%)</w:t>
            </w:r>
          </w:p>
        </w:tc>
        <w:tc>
          <w:tcPr>
            <w:tcW w:w="1134" w:type="dxa"/>
            <w:tcBorders>
              <w:top w:val="single" w:sz="4" w:space="0" w:color="000000"/>
              <w:left w:val="nil"/>
              <w:bottom w:val="single" w:sz="4" w:space="0" w:color="000000"/>
              <w:right w:val="nil"/>
            </w:tcBorders>
            <w:vAlign w:val="center"/>
          </w:tcPr>
          <w:p w:rsidR="00F21752" w:rsidRDefault="00F21752" w:rsidP="00E95779">
            <w:pPr>
              <w:widowControl/>
              <w:autoSpaceDE/>
              <w:autoSpaceDN/>
              <w:spacing w:after="200"/>
              <w:ind w:right="62"/>
              <w:jc w:val="center"/>
              <w:rPr>
                <w:rFonts w:eastAsia="Arial" w:cstheme="minorHAnsi"/>
                <w:color w:val="231F20"/>
                <w:sz w:val="20"/>
                <w:szCs w:val="20"/>
                <w:lang w:val="cs-CZ"/>
              </w:rPr>
            </w:pPr>
            <w:r>
              <w:rPr>
                <w:rFonts w:eastAsia="Arial" w:cstheme="minorHAnsi"/>
                <w:color w:val="231F20"/>
                <w:sz w:val="20"/>
                <w:szCs w:val="20"/>
                <w:lang w:val="cs-CZ"/>
              </w:rPr>
              <w:t>Poměr</w:t>
            </w:r>
          </w:p>
          <w:p w:rsidR="008F0C0F" w:rsidRPr="00F21752" w:rsidRDefault="008F0C0F" w:rsidP="00E95779">
            <w:pPr>
              <w:widowControl/>
              <w:autoSpaceDE/>
              <w:autoSpaceDN/>
              <w:spacing w:after="200"/>
              <w:ind w:right="62"/>
              <w:jc w:val="center"/>
              <w:rPr>
                <w:rFonts w:eastAsia="Arial" w:cstheme="minorHAnsi"/>
                <w:sz w:val="20"/>
                <w:szCs w:val="20"/>
                <w:lang w:val="cs-CZ"/>
              </w:rPr>
            </w:pPr>
            <w:r w:rsidRPr="00F21752">
              <w:rPr>
                <w:rFonts w:eastAsia="Arial" w:cstheme="minorHAnsi"/>
                <w:color w:val="231F20"/>
                <w:sz w:val="20"/>
                <w:szCs w:val="20"/>
                <w:lang w:val="cs-CZ"/>
              </w:rPr>
              <w:t>CD4</w:t>
            </w:r>
            <w:r w:rsidR="00F21752" w:rsidRPr="00F21752">
              <w:rPr>
                <w:rFonts w:eastAsia="Arial" w:cstheme="minorHAnsi"/>
                <w:color w:val="231F20"/>
                <w:sz w:val="20"/>
                <w:szCs w:val="20"/>
                <w:vertAlign w:val="superscript"/>
                <w:lang w:val="cs-CZ"/>
              </w:rPr>
              <w:t>+</w:t>
            </w:r>
            <w:r w:rsidR="00F21752" w:rsidRPr="00F21752">
              <w:rPr>
                <w:rFonts w:eastAsia="Arial" w:cstheme="minorHAnsi"/>
                <w:color w:val="231F20"/>
                <w:sz w:val="20"/>
                <w:szCs w:val="20"/>
                <w:lang w:val="cs-CZ"/>
              </w:rPr>
              <w:t xml:space="preserve"> </w:t>
            </w:r>
            <w:r w:rsidRPr="00F21752">
              <w:rPr>
                <w:rFonts w:eastAsia="Arial" w:cstheme="minorHAnsi"/>
                <w:color w:val="231F20"/>
                <w:sz w:val="20"/>
                <w:szCs w:val="20"/>
                <w:lang w:val="cs-CZ"/>
              </w:rPr>
              <w:t>/CD8</w:t>
            </w:r>
            <w:r w:rsidR="00F21752" w:rsidRPr="00F21752">
              <w:rPr>
                <w:rFonts w:eastAsia="Arial" w:cstheme="minorHAnsi"/>
                <w:color w:val="231F20"/>
                <w:sz w:val="20"/>
                <w:szCs w:val="20"/>
                <w:vertAlign w:val="superscript"/>
                <w:lang w:val="cs-CZ"/>
              </w:rPr>
              <w:t>+</w:t>
            </w:r>
          </w:p>
        </w:tc>
      </w:tr>
      <w:tr w:rsidR="008F0C0F" w:rsidRPr="00F21752" w:rsidTr="00F21752">
        <w:trPr>
          <w:trHeight w:val="321"/>
        </w:trPr>
        <w:tc>
          <w:tcPr>
            <w:tcW w:w="1896" w:type="dxa"/>
            <w:tcBorders>
              <w:top w:val="single" w:sz="4" w:space="0" w:color="000000"/>
              <w:left w:val="nil"/>
              <w:bottom w:val="nil"/>
              <w:right w:val="nil"/>
            </w:tcBorders>
            <w:vAlign w:val="center"/>
            <w:hideMark/>
          </w:tcPr>
          <w:p w:rsidR="008F0C0F" w:rsidRPr="00F21752" w:rsidRDefault="0075421C" w:rsidP="00F21752">
            <w:pPr>
              <w:widowControl/>
              <w:autoSpaceDE/>
              <w:autoSpaceDN/>
              <w:spacing w:after="200" w:line="276" w:lineRule="auto"/>
              <w:jc w:val="center"/>
              <w:rPr>
                <w:rFonts w:eastAsia="Arial" w:cstheme="minorHAnsi"/>
                <w:sz w:val="20"/>
                <w:szCs w:val="20"/>
                <w:lang w:val="cs-CZ"/>
              </w:rPr>
            </w:pPr>
            <w:r>
              <w:rPr>
                <w:rFonts w:eastAsia="Arial" w:cstheme="minorHAnsi"/>
                <w:color w:val="231F20"/>
                <w:sz w:val="20"/>
                <w:szCs w:val="20"/>
                <w:lang w:val="cs-CZ"/>
              </w:rPr>
              <w:t>S s LS (RTG</w:t>
            </w:r>
            <w:r w:rsidR="008F0C0F" w:rsidRPr="00F21752">
              <w:rPr>
                <w:rFonts w:eastAsia="Arial" w:cstheme="minorHAnsi"/>
                <w:color w:val="231F20"/>
                <w:sz w:val="20"/>
                <w:szCs w:val="20"/>
                <w:lang w:val="cs-CZ"/>
              </w:rPr>
              <w:t xml:space="preserve"> ≤</w:t>
            </w:r>
            <w:r w:rsidR="00E95779">
              <w:rPr>
                <w:rFonts w:eastAsia="Arial" w:cstheme="minorHAnsi"/>
                <w:color w:val="231F20"/>
                <w:sz w:val="20"/>
                <w:szCs w:val="20"/>
                <w:lang w:val="cs-CZ"/>
              </w:rPr>
              <w:t> </w:t>
            </w:r>
            <w:r w:rsidR="008F0C0F" w:rsidRPr="00F21752">
              <w:rPr>
                <w:rFonts w:eastAsia="Arial" w:cstheme="minorHAnsi"/>
                <w:color w:val="231F20"/>
                <w:sz w:val="20"/>
                <w:szCs w:val="20"/>
                <w:lang w:val="cs-CZ"/>
              </w:rPr>
              <w:t>1)</w:t>
            </w:r>
          </w:p>
        </w:tc>
        <w:tc>
          <w:tcPr>
            <w:tcW w:w="1608" w:type="dxa"/>
            <w:tcBorders>
              <w:top w:val="single" w:sz="4" w:space="0" w:color="000000"/>
              <w:left w:val="nil"/>
              <w:bottom w:val="nil"/>
              <w:right w:val="nil"/>
            </w:tcBorders>
            <w:vAlign w:val="center"/>
            <w:hideMark/>
          </w:tcPr>
          <w:p w:rsidR="008F0C0F" w:rsidRPr="00F21752" w:rsidRDefault="0075421C" w:rsidP="00F21752">
            <w:pPr>
              <w:widowControl/>
              <w:autoSpaceDE/>
              <w:autoSpaceDN/>
              <w:spacing w:after="200" w:line="276" w:lineRule="auto"/>
              <w:ind w:right="69"/>
              <w:jc w:val="center"/>
              <w:rPr>
                <w:rFonts w:eastAsia="Arial" w:cstheme="minorHAnsi"/>
                <w:sz w:val="20"/>
                <w:szCs w:val="20"/>
                <w:lang w:val="cs-CZ"/>
              </w:rPr>
            </w:pPr>
            <w:r>
              <w:rPr>
                <w:rFonts w:eastAsia="Arial" w:cstheme="minorHAnsi"/>
                <w:sz w:val="20"/>
                <w:szCs w:val="20"/>
                <w:lang w:val="cs-CZ"/>
              </w:rPr>
              <w:t>15</w:t>
            </w:r>
            <w:r w:rsidR="008F0C0F" w:rsidRPr="00F21752">
              <w:rPr>
                <w:rFonts w:eastAsia="Arial" w:cstheme="minorHAnsi"/>
                <w:sz w:val="20"/>
                <w:szCs w:val="20"/>
                <w:lang w:val="cs-CZ"/>
              </w:rPr>
              <w:t>/18</w:t>
            </w:r>
          </w:p>
        </w:tc>
        <w:tc>
          <w:tcPr>
            <w:tcW w:w="1215" w:type="dxa"/>
            <w:tcBorders>
              <w:top w:val="single" w:sz="4" w:space="0" w:color="000000"/>
              <w:left w:val="nil"/>
              <w:bottom w:val="nil"/>
              <w:right w:val="nil"/>
            </w:tcBorders>
            <w:vAlign w:val="center"/>
            <w:hideMark/>
          </w:tcPr>
          <w:p w:rsidR="008F0C0F" w:rsidRPr="00F21752" w:rsidRDefault="008F0C0F" w:rsidP="00F21752">
            <w:pPr>
              <w:widowControl/>
              <w:autoSpaceDE/>
              <w:autoSpaceDN/>
              <w:spacing w:after="200" w:line="276" w:lineRule="auto"/>
              <w:ind w:right="122"/>
              <w:jc w:val="center"/>
              <w:rPr>
                <w:rFonts w:eastAsia="Arial" w:cstheme="minorHAnsi"/>
                <w:sz w:val="20"/>
                <w:szCs w:val="20"/>
                <w:lang w:val="cs-CZ"/>
              </w:rPr>
            </w:pPr>
            <w:r w:rsidRPr="00F21752">
              <w:rPr>
                <w:rFonts w:eastAsia="Arial" w:cstheme="minorHAnsi"/>
                <w:color w:val="231F20"/>
                <w:sz w:val="20"/>
                <w:szCs w:val="20"/>
                <w:lang w:val="cs-CZ"/>
              </w:rPr>
              <w:t>0,614</w:t>
            </w:r>
          </w:p>
        </w:tc>
        <w:tc>
          <w:tcPr>
            <w:tcW w:w="1404" w:type="dxa"/>
            <w:tcBorders>
              <w:top w:val="single" w:sz="4" w:space="0" w:color="000000"/>
              <w:left w:val="nil"/>
              <w:bottom w:val="nil"/>
              <w:right w:val="nil"/>
            </w:tcBorders>
            <w:vAlign w:val="center"/>
            <w:hideMark/>
          </w:tcPr>
          <w:p w:rsidR="008F0C0F" w:rsidRPr="00F21752" w:rsidRDefault="008F0C0F" w:rsidP="00F21752">
            <w:pPr>
              <w:widowControl/>
              <w:autoSpaceDE/>
              <w:autoSpaceDN/>
              <w:spacing w:after="200" w:line="276" w:lineRule="auto"/>
              <w:ind w:right="352"/>
              <w:jc w:val="center"/>
              <w:rPr>
                <w:rFonts w:eastAsia="Arial" w:cstheme="minorHAnsi"/>
                <w:sz w:val="20"/>
                <w:szCs w:val="20"/>
                <w:lang w:val="cs-CZ"/>
              </w:rPr>
            </w:pPr>
            <w:r w:rsidRPr="00F21752">
              <w:rPr>
                <w:rFonts w:eastAsia="Arial" w:cstheme="minorHAnsi"/>
                <w:color w:val="231F20"/>
                <w:sz w:val="20"/>
                <w:szCs w:val="20"/>
                <w:lang w:val="cs-CZ"/>
              </w:rPr>
              <w:t>0,867</w:t>
            </w:r>
          </w:p>
        </w:tc>
        <w:tc>
          <w:tcPr>
            <w:tcW w:w="1140" w:type="dxa"/>
            <w:tcBorders>
              <w:top w:val="single" w:sz="4" w:space="0" w:color="000000"/>
              <w:left w:val="nil"/>
              <w:bottom w:val="nil"/>
              <w:right w:val="nil"/>
            </w:tcBorders>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0,580</w:t>
            </w:r>
          </w:p>
        </w:tc>
        <w:tc>
          <w:tcPr>
            <w:tcW w:w="1412" w:type="dxa"/>
            <w:tcBorders>
              <w:top w:val="single" w:sz="4" w:space="0" w:color="000000"/>
              <w:left w:val="nil"/>
              <w:bottom w:val="nil"/>
              <w:right w:val="nil"/>
            </w:tcBorders>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0,856</w:t>
            </w:r>
          </w:p>
        </w:tc>
        <w:tc>
          <w:tcPr>
            <w:tcW w:w="1134" w:type="dxa"/>
            <w:tcBorders>
              <w:top w:val="single" w:sz="4" w:space="0" w:color="000000"/>
              <w:left w:val="nil"/>
              <w:bottom w:val="nil"/>
              <w:right w:val="nil"/>
            </w:tcBorders>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0,666</w:t>
            </w:r>
          </w:p>
        </w:tc>
      </w:tr>
      <w:tr w:rsidR="008F0C0F" w:rsidRPr="00F21752" w:rsidTr="00F21752">
        <w:trPr>
          <w:trHeight w:val="330"/>
        </w:trPr>
        <w:tc>
          <w:tcPr>
            <w:tcW w:w="1896" w:type="dxa"/>
            <w:vAlign w:val="center"/>
            <w:hideMark/>
          </w:tcPr>
          <w:p w:rsidR="008F0C0F" w:rsidRPr="00F21752" w:rsidRDefault="0075421C" w:rsidP="00F21752">
            <w:pPr>
              <w:widowControl/>
              <w:autoSpaceDE/>
              <w:autoSpaceDN/>
              <w:spacing w:after="200" w:line="276" w:lineRule="auto"/>
              <w:jc w:val="center"/>
              <w:rPr>
                <w:rFonts w:eastAsia="Arial" w:cstheme="minorHAnsi"/>
                <w:sz w:val="20"/>
                <w:szCs w:val="20"/>
                <w:lang w:val="cs-CZ"/>
              </w:rPr>
            </w:pPr>
            <w:r>
              <w:rPr>
                <w:rFonts w:eastAsia="Arial" w:cstheme="minorHAnsi"/>
                <w:color w:val="231F20"/>
                <w:sz w:val="20"/>
                <w:szCs w:val="20"/>
                <w:lang w:val="cs-CZ"/>
              </w:rPr>
              <w:t>S bez LS (RTG</w:t>
            </w:r>
            <w:r w:rsidR="008F0C0F" w:rsidRPr="00F21752">
              <w:rPr>
                <w:rFonts w:eastAsia="Arial" w:cstheme="minorHAnsi"/>
                <w:color w:val="231F20"/>
                <w:sz w:val="20"/>
                <w:szCs w:val="20"/>
                <w:lang w:val="cs-CZ"/>
              </w:rPr>
              <w:t xml:space="preserve"> ≤</w:t>
            </w:r>
            <w:r w:rsidR="00E95779">
              <w:rPr>
                <w:rFonts w:eastAsia="Arial" w:cstheme="minorHAnsi"/>
                <w:color w:val="231F20"/>
                <w:sz w:val="20"/>
                <w:szCs w:val="20"/>
                <w:lang w:val="cs-CZ"/>
              </w:rPr>
              <w:t> </w:t>
            </w:r>
            <w:r w:rsidR="008F0C0F" w:rsidRPr="00F21752">
              <w:rPr>
                <w:rFonts w:eastAsia="Arial" w:cstheme="minorHAnsi"/>
                <w:color w:val="231F20"/>
                <w:sz w:val="20"/>
                <w:szCs w:val="20"/>
                <w:lang w:val="cs-CZ"/>
              </w:rPr>
              <w:t>1)</w:t>
            </w:r>
          </w:p>
        </w:tc>
        <w:tc>
          <w:tcPr>
            <w:tcW w:w="1608" w:type="dxa"/>
            <w:vAlign w:val="center"/>
            <w:hideMark/>
          </w:tcPr>
          <w:p w:rsidR="008F0C0F" w:rsidRPr="00F21752" w:rsidRDefault="008F0C0F" w:rsidP="00F21752">
            <w:pPr>
              <w:widowControl/>
              <w:autoSpaceDE/>
              <w:autoSpaceDN/>
              <w:spacing w:after="200" w:line="276" w:lineRule="auto"/>
              <w:ind w:right="69"/>
              <w:jc w:val="center"/>
              <w:rPr>
                <w:rFonts w:eastAsia="Arial" w:cstheme="minorHAnsi"/>
                <w:sz w:val="20"/>
                <w:szCs w:val="20"/>
                <w:lang w:val="cs-CZ"/>
              </w:rPr>
            </w:pPr>
            <w:r w:rsidRPr="00F21752">
              <w:rPr>
                <w:rFonts w:eastAsia="Arial" w:cstheme="minorHAnsi"/>
                <w:sz w:val="20"/>
                <w:szCs w:val="20"/>
                <w:lang w:val="cs-CZ"/>
              </w:rPr>
              <w:t>16/64</w:t>
            </w:r>
          </w:p>
        </w:tc>
        <w:tc>
          <w:tcPr>
            <w:tcW w:w="1215" w:type="dxa"/>
            <w:vAlign w:val="center"/>
            <w:hideMark/>
          </w:tcPr>
          <w:p w:rsidR="008F0C0F" w:rsidRPr="00F21752" w:rsidRDefault="008F0C0F" w:rsidP="00F21752">
            <w:pPr>
              <w:widowControl/>
              <w:autoSpaceDE/>
              <w:autoSpaceDN/>
              <w:spacing w:after="200" w:line="276" w:lineRule="auto"/>
              <w:ind w:right="122"/>
              <w:jc w:val="center"/>
              <w:rPr>
                <w:rFonts w:eastAsia="Arial" w:cstheme="minorHAnsi"/>
                <w:sz w:val="20"/>
                <w:szCs w:val="20"/>
                <w:lang w:val="cs-CZ"/>
              </w:rPr>
            </w:pPr>
            <w:r w:rsidRPr="00F21752">
              <w:rPr>
                <w:rFonts w:eastAsia="Arial" w:cstheme="minorHAnsi"/>
                <w:color w:val="231F20"/>
                <w:sz w:val="20"/>
                <w:szCs w:val="20"/>
                <w:lang w:val="cs-CZ"/>
              </w:rPr>
              <w:t>0,123</w:t>
            </w:r>
          </w:p>
        </w:tc>
        <w:tc>
          <w:tcPr>
            <w:tcW w:w="1404" w:type="dxa"/>
            <w:vAlign w:val="center"/>
            <w:hideMark/>
          </w:tcPr>
          <w:p w:rsidR="008F0C0F" w:rsidRPr="00F21752" w:rsidRDefault="008F0C0F" w:rsidP="00F21752">
            <w:pPr>
              <w:widowControl/>
              <w:autoSpaceDE/>
              <w:autoSpaceDN/>
              <w:spacing w:after="200" w:line="276" w:lineRule="auto"/>
              <w:ind w:right="352"/>
              <w:jc w:val="center"/>
              <w:rPr>
                <w:rFonts w:eastAsia="Arial" w:cstheme="minorHAnsi"/>
                <w:i/>
                <w:sz w:val="20"/>
                <w:szCs w:val="20"/>
                <w:lang w:val="cs-CZ"/>
              </w:rPr>
            </w:pPr>
            <w:r w:rsidRPr="00F21752">
              <w:rPr>
                <w:rFonts w:eastAsia="Arial" w:cstheme="minorHAnsi"/>
                <w:i/>
                <w:color w:val="231F20"/>
                <w:sz w:val="20"/>
                <w:szCs w:val="20"/>
                <w:lang w:val="cs-CZ"/>
              </w:rPr>
              <w:t>0,029</w:t>
            </w:r>
          </w:p>
        </w:tc>
        <w:tc>
          <w:tcPr>
            <w:tcW w:w="1140"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0,455</w:t>
            </w:r>
          </w:p>
        </w:tc>
        <w:tc>
          <w:tcPr>
            <w:tcW w:w="1412" w:type="dxa"/>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0,204</w:t>
            </w:r>
          </w:p>
        </w:tc>
        <w:tc>
          <w:tcPr>
            <w:tcW w:w="1134" w:type="dxa"/>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0,188</w:t>
            </w:r>
          </w:p>
        </w:tc>
      </w:tr>
      <w:tr w:rsidR="008F0C0F" w:rsidRPr="00F21752" w:rsidTr="00F21752">
        <w:trPr>
          <w:trHeight w:val="330"/>
        </w:trPr>
        <w:tc>
          <w:tcPr>
            <w:tcW w:w="1896" w:type="dxa"/>
            <w:vAlign w:val="center"/>
            <w:hideMark/>
          </w:tcPr>
          <w:p w:rsidR="008F0C0F" w:rsidRPr="00F21752" w:rsidRDefault="0075421C" w:rsidP="00F21752">
            <w:pPr>
              <w:widowControl/>
              <w:autoSpaceDE/>
              <w:autoSpaceDN/>
              <w:spacing w:after="200" w:line="276" w:lineRule="auto"/>
              <w:jc w:val="center"/>
              <w:rPr>
                <w:rFonts w:eastAsia="Arial" w:cstheme="minorHAnsi"/>
                <w:sz w:val="20"/>
                <w:szCs w:val="20"/>
                <w:lang w:val="cs-CZ"/>
              </w:rPr>
            </w:pPr>
            <w:r>
              <w:rPr>
                <w:rFonts w:eastAsia="Arial" w:cstheme="minorHAnsi"/>
                <w:color w:val="231F20"/>
                <w:sz w:val="20"/>
                <w:szCs w:val="20"/>
                <w:lang w:val="cs-CZ"/>
              </w:rPr>
              <w:t>S RTG</w:t>
            </w:r>
            <w:r w:rsidR="008F0C0F" w:rsidRPr="00F21752">
              <w:rPr>
                <w:rFonts w:eastAsia="Arial" w:cstheme="minorHAnsi"/>
                <w:color w:val="231F20"/>
                <w:sz w:val="20"/>
                <w:szCs w:val="20"/>
                <w:lang w:val="cs-CZ"/>
              </w:rPr>
              <w:t xml:space="preserve"> =</w:t>
            </w:r>
            <w:r w:rsidR="00E95779">
              <w:rPr>
                <w:rFonts w:eastAsia="Arial" w:cstheme="minorHAnsi"/>
                <w:color w:val="231F20"/>
                <w:sz w:val="20"/>
                <w:szCs w:val="20"/>
                <w:lang w:val="cs-CZ"/>
              </w:rPr>
              <w:t> </w:t>
            </w:r>
            <w:r w:rsidR="008F0C0F" w:rsidRPr="00F21752">
              <w:rPr>
                <w:rFonts w:eastAsia="Arial" w:cstheme="minorHAnsi"/>
                <w:color w:val="231F20"/>
                <w:sz w:val="20"/>
                <w:szCs w:val="20"/>
                <w:lang w:val="cs-CZ"/>
              </w:rPr>
              <w:t>2</w:t>
            </w:r>
          </w:p>
        </w:tc>
        <w:tc>
          <w:tcPr>
            <w:tcW w:w="1608" w:type="dxa"/>
            <w:vAlign w:val="center"/>
            <w:hideMark/>
          </w:tcPr>
          <w:p w:rsidR="008F0C0F" w:rsidRPr="00F21752" w:rsidRDefault="008F0C0F" w:rsidP="00F21752">
            <w:pPr>
              <w:widowControl/>
              <w:autoSpaceDE/>
              <w:autoSpaceDN/>
              <w:spacing w:after="200" w:line="276" w:lineRule="auto"/>
              <w:ind w:right="59"/>
              <w:jc w:val="center"/>
              <w:rPr>
                <w:rFonts w:eastAsia="Arial" w:cstheme="minorHAnsi"/>
                <w:sz w:val="20"/>
                <w:szCs w:val="20"/>
                <w:lang w:val="cs-CZ"/>
              </w:rPr>
            </w:pPr>
            <w:r w:rsidRPr="00F21752">
              <w:rPr>
                <w:rFonts w:eastAsia="Arial" w:cstheme="minorHAnsi"/>
                <w:sz w:val="20"/>
                <w:szCs w:val="20"/>
                <w:lang w:val="cs-CZ"/>
              </w:rPr>
              <w:t>48/113</w:t>
            </w:r>
          </w:p>
        </w:tc>
        <w:tc>
          <w:tcPr>
            <w:tcW w:w="1215" w:type="dxa"/>
            <w:vAlign w:val="center"/>
            <w:hideMark/>
          </w:tcPr>
          <w:p w:rsidR="008F0C0F" w:rsidRPr="0075421C" w:rsidRDefault="008F0C0F" w:rsidP="00F21752">
            <w:pPr>
              <w:widowControl/>
              <w:autoSpaceDE/>
              <w:autoSpaceDN/>
              <w:spacing w:after="200" w:line="276" w:lineRule="auto"/>
              <w:ind w:right="122"/>
              <w:jc w:val="center"/>
              <w:rPr>
                <w:rFonts w:eastAsia="Arial" w:cstheme="minorHAnsi"/>
                <w:b/>
                <w:i/>
                <w:sz w:val="20"/>
                <w:szCs w:val="20"/>
                <w:lang w:val="cs-CZ"/>
              </w:rPr>
            </w:pPr>
            <w:r w:rsidRPr="0075421C">
              <w:rPr>
                <w:rFonts w:eastAsia="Arial" w:cstheme="minorHAnsi"/>
                <w:b/>
                <w:i/>
                <w:color w:val="231F20"/>
                <w:sz w:val="20"/>
                <w:szCs w:val="20"/>
                <w:lang w:val="cs-CZ"/>
              </w:rPr>
              <w:t>0,041</w:t>
            </w:r>
          </w:p>
        </w:tc>
        <w:tc>
          <w:tcPr>
            <w:tcW w:w="1404" w:type="dxa"/>
            <w:vAlign w:val="center"/>
            <w:hideMark/>
          </w:tcPr>
          <w:p w:rsidR="008F0C0F" w:rsidRPr="00F21752" w:rsidRDefault="008F0C0F" w:rsidP="00F21752">
            <w:pPr>
              <w:widowControl/>
              <w:autoSpaceDE/>
              <w:autoSpaceDN/>
              <w:spacing w:after="200" w:line="276" w:lineRule="auto"/>
              <w:ind w:right="352"/>
              <w:jc w:val="center"/>
              <w:rPr>
                <w:rFonts w:eastAsia="Arial" w:cstheme="minorHAnsi"/>
                <w:sz w:val="20"/>
                <w:szCs w:val="20"/>
                <w:lang w:val="cs-CZ"/>
              </w:rPr>
            </w:pPr>
            <w:r w:rsidRPr="00F21752">
              <w:rPr>
                <w:rFonts w:eastAsia="Arial" w:cstheme="minorHAnsi"/>
                <w:color w:val="231F20"/>
                <w:sz w:val="20"/>
                <w:szCs w:val="20"/>
                <w:lang w:val="cs-CZ"/>
              </w:rPr>
              <w:t>0,077</w:t>
            </w:r>
          </w:p>
        </w:tc>
        <w:tc>
          <w:tcPr>
            <w:tcW w:w="1140"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0,769</w:t>
            </w:r>
          </w:p>
        </w:tc>
        <w:tc>
          <w:tcPr>
            <w:tcW w:w="1412" w:type="dxa"/>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0,255</w:t>
            </w:r>
          </w:p>
        </w:tc>
        <w:tc>
          <w:tcPr>
            <w:tcW w:w="1134" w:type="dxa"/>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0,365</w:t>
            </w:r>
          </w:p>
        </w:tc>
      </w:tr>
      <w:tr w:rsidR="008F0C0F" w:rsidRPr="00F21752" w:rsidTr="00F21752">
        <w:trPr>
          <w:trHeight w:val="330"/>
        </w:trPr>
        <w:tc>
          <w:tcPr>
            <w:tcW w:w="1896" w:type="dxa"/>
            <w:vAlign w:val="center"/>
            <w:hideMark/>
          </w:tcPr>
          <w:p w:rsidR="008F0C0F" w:rsidRPr="00F21752" w:rsidRDefault="0075421C" w:rsidP="00F21752">
            <w:pPr>
              <w:widowControl/>
              <w:autoSpaceDE/>
              <w:autoSpaceDN/>
              <w:spacing w:after="200" w:line="276" w:lineRule="auto"/>
              <w:jc w:val="center"/>
              <w:rPr>
                <w:rFonts w:eastAsia="Arial" w:cstheme="minorHAnsi"/>
                <w:sz w:val="20"/>
                <w:szCs w:val="20"/>
                <w:lang w:val="cs-CZ"/>
              </w:rPr>
            </w:pPr>
            <w:r>
              <w:rPr>
                <w:rFonts w:eastAsia="Arial" w:cstheme="minorHAnsi"/>
                <w:color w:val="231F20"/>
                <w:sz w:val="20"/>
                <w:szCs w:val="20"/>
                <w:lang w:val="cs-CZ"/>
              </w:rPr>
              <w:t xml:space="preserve">S RTG </w:t>
            </w:r>
            <w:r w:rsidR="008F0C0F" w:rsidRPr="00F21752">
              <w:rPr>
                <w:rFonts w:eastAsia="Arial" w:cstheme="minorHAnsi"/>
                <w:color w:val="231F20"/>
                <w:sz w:val="20"/>
                <w:szCs w:val="20"/>
                <w:lang w:val="cs-CZ"/>
              </w:rPr>
              <w:t>≥</w:t>
            </w:r>
            <w:r w:rsidR="00E95779">
              <w:rPr>
                <w:rFonts w:eastAsia="Arial" w:cstheme="minorHAnsi"/>
                <w:color w:val="231F20"/>
                <w:sz w:val="20"/>
                <w:szCs w:val="20"/>
                <w:lang w:val="cs-CZ"/>
              </w:rPr>
              <w:t> </w:t>
            </w:r>
            <w:r w:rsidR="008F0C0F" w:rsidRPr="00F21752">
              <w:rPr>
                <w:rFonts w:eastAsia="Arial" w:cstheme="minorHAnsi"/>
                <w:color w:val="231F20"/>
                <w:sz w:val="20"/>
                <w:szCs w:val="20"/>
                <w:lang w:val="cs-CZ"/>
              </w:rPr>
              <w:t>3</w:t>
            </w:r>
          </w:p>
        </w:tc>
        <w:tc>
          <w:tcPr>
            <w:tcW w:w="1608" w:type="dxa"/>
            <w:vAlign w:val="center"/>
            <w:hideMark/>
          </w:tcPr>
          <w:p w:rsidR="008F0C0F" w:rsidRPr="00F21752" w:rsidRDefault="008F0C0F" w:rsidP="00F21752">
            <w:pPr>
              <w:widowControl/>
              <w:autoSpaceDE/>
              <w:autoSpaceDN/>
              <w:spacing w:after="200" w:line="276" w:lineRule="auto"/>
              <w:ind w:right="59"/>
              <w:jc w:val="center"/>
              <w:rPr>
                <w:rFonts w:eastAsia="Arial" w:cstheme="minorHAnsi"/>
                <w:sz w:val="20"/>
                <w:szCs w:val="20"/>
                <w:lang w:val="cs-CZ"/>
              </w:rPr>
            </w:pPr>
            <w:r w:rsidRPr="00F21752">
              <w:rPr>
                <w:rFonts w:eastAsia="Arial" w:cstheme="minorHAnsi"/>
                <w:w w:val="105"/>
                <w:sz w:val="20"/>
                <w:szCs w:val="20"/>
                <w:lang w:val="cs-CZ"/>
              </w:rPr>
              <w:t>6/26</w:t>
            </w:r>
          </w:p>
        </w:tc>
        <w:tc>
          <w:tcPr>
            <w:tcW w:w="1215" w:type="dxa"/>
            <w:vAlign w:val="center"/>
            <w:hideMark/>
          </w:tcPr>
          <w:p w:rsidR="008F0C0F" w:rsidRPr="00F21752" w:rsidRDefault="008F0C0F" w:rsidP="00F21752">
            <w:pPr>
              <w:widowControl/>
              <w:autoSpaceDE/>
              <w:autoSpaceDN/>
              <w:spacing w:after="200" w:line="276" w:lineRule="auto"/>
              <w:ind w:right="122"/>
              <w:jc w:val="center"/>
              <w:rPr>
                <w:rFonts w:eastAsia="Arial" w:cstheme="minorHAnsi"/>
                <w:sz w:val="20"/>
                <w:szCs w:val="20"/>
                <w:lang w:val="cs-CZ"/>
              </w:rPr>
            </w:pPr>
            <w:r w:rsidRPr="00F21752">
              <w:rPr>
                <w:rFonts w:eastAsia="Arial" w:cstheme="minorHAnsi"/>
                <w:color w:val="231F20"/>
                <w:sz w:val="20"/>
                <w:szCs w:val="20"/>
                <w:lang w:val="cs-CZ"/>
              </w:rPr>
              <w:t>0,809</w:t>
            </w:r>
          </w:p>
        </w:tc>
        <w:tc>
          <w:tcPr>
            <w:tcW w:w="1404" w:type="dxa"/>
            <w:vAlign w:val="center"/>
            <w:hideMark/>
          </w:tcPr>
          <w:p w:rsidR="008F0C0F" w:rsidRPr="00F21752" w:rsidRDefault="008F0C0F" w:rsidP="00F21752">
            <w:pPr>
              <w:widowControl/>
              <w:autoSpaceDE/>
              <w:autoSpaceDN/>
              <w:spacing w:after="200" w:line="276" w:lineRule="auto"/>
              <w:ind w:right="352"/>
              <w:jc w:val="center"/>
              <w:rPr>
                <w:rFonts w:eastAsia="Arial" w:cstheme="minorHAnsi"/>
                <w:sz w:val="20"/>
                <w:szCs w:val="20"/>
                <w:lang w:val="cs-CZ"/>
              </w:rPr>
            </w:pPr>
            <w:r w:rsidRPr="00F21752">
              <w:rPr>
                <w:rFonts w:eastAsia="Arial" w:cstheme="minorHAnsi"/>
                <w:color w:val="231F20"/>
                <w:sz w:val="20"/>
                <w:szCs w:val="20"/>
                <w:lang w:val="cs-CZ"/>
              </w:rPr>
              <w:t>0,681</w:t>
            </w:r>
          </w:p>
        </w:tc>
        <w:tc>
          <w:tcPr>
            <w:tcW w:w="1140"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0,346</w:t>
            </w:r>
          </w:p>
        </w:tc>
        <w:tc>
          <w:tcPr>
            <w:tcW w:w="1412" w:type="dxa"/>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0,653</w:t>
            </w:r>
          </w:p>
        </w:tc>
        <w:tc>
          <w:tcPr>
            <w:tcW w:w="1134" w:type="dxa"/>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0,809</w:t>
            </w:r>
          </w:p>
        </w:tc>
      </w:tr>
      <w:tr w:rsidR="008F0C0F" w:rsidRPr="00F21752" w:rsidTr="00F21752">
        <w:trPr>
          <w:trHeight w:val="330"/>
        </w:trPr>
        <w:tc>
          <w:tcPr>
            <w:tcW w:w="1896"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IPF</w:t>
            </w:r>
          </w:p>
        </w:tc>
        <w:tc>
          <w:tcPr>
            <w:tcW w:w="1608" w:type="dxa"/>
            <w:vAlign w:val="center"/>
            <w:hideMark/>
          </w:tcPr>
          <w:p w:rsidR="008F0C0F" w:rsidRPr="00F21752" w:rsidRDefault="008F0C0F" w:rsidP="00F21752">
            <w:pPr>
              <w:widowControl/>
              <w:autoSpaceDE/>
              <w:autoSpaceDN/>
              <w:spacing w:after="200" w:line="276" w:lineRule="auto"/>
              <w:ind w:right="69"/>
              <w:jc w:val="center"/>
              <w:rPr>
                <w:rFonts w:eastAsia="Arial" w:cstheme="minorHAnsi"/>
                <w:sz w:val="20"/>
                <w:szCs w:val="20"/>
                <w:lang w:val="cs-CZ"/>
              </w:rPr>
            </w:pPr>
            <w:r w:rsidRPr="00F21752">
              <w:rPr>
                <w:rFonts w:eastAsia="Arial" w:cstheme="minorHAnsi"/>
                <w:sz w:val="20"/>
                <w:szCs w:val="20"/>
                <w:lang w:val="cs-CZ"/>
              </w:rPr>
              <w:t>19/22</w:t>
            </w:r>
          </w:p>
        </w:tc>
        <w:tc>
          <w:tcPr>
            <w:tcW w:w="1215" w:type="dxa"/>
            <w:vAlign w:val="center"/>
            <w:hideMark/>
          </w:tcPr>
          <w:p w:rsidR="008F0C0F" w:rsidRPr="00F21752" w:rsidRDefault="008F0C0F" w:rsidP="00F21752">
            <w:pPr>
              <w:widowControl/>
              <w:autoSpaceDE/>
              <w:autoSpaceDN/>
              <w:spacing w:after="200" w:line="276" w:lineRule="auto"/>
              <w:ind w:right="122"/>
              <w:jc w:val="center"/>
              <w:rPr>
                <w:rFonts w:eastAsia="Arial" w:cstheme="minorHAnsi"/>
                <w:sz w:val="20"/>
                <w:szCs w:val="20"/>
                <w:lang w:val="cs-CZ"/>
              </w:rPr>
            </w:pPr>
            <w:r w:rsidRPr="00F21752">
              <w:rPr>
                <w:rFonts w:eastAsia="Arial" w:cstheme="minorHAnsi"/>
                <w:color w:val="231F20"/>
                <w:sz w:val="20"/>
                <w:szCs w:val="20"/>
                <w:lang w:val="cs-CZ"/>
              </w:rPr>
              <w:t>0,850</w:t>
            </w:r>
          </w:p>
        </w:tc>
        <w:tc>
          <w:tcPr>
            <w:tcW w:w="1404" w:type="dxa"/>
            <w:vAlign w:val="center"/>
            <w:hideMark/>
          </w:tcPr>
          <w:p w:rsidR="008F0C0F" w:rsidRPr="00F21752" w:rsidRDefault="008F0C0F" w:rsidP="00F21752">
            <w:pPr>
              <w:widowControl/>
              <w:autoSpaceDE/>
              <w:autoSpaceDN/>
              <w:spacing w:after="200" w:line="276" w:lineRule="auto"/>
              <w:ind w:right="352"/>
              <w:jc w:val="center"/>
              <w:rPr>
                <w:rFonts w:eastAsia="Arial" w:cstheme="minorHAnsi"/>
                <w:sz w:val="20"/>
                <w:szCs w:val="20"/>
                <w:lang w:val="cs-CZ"/>
              </w:rPr>
            </w:pPr>
            <w:r w:rsidRPr="00F21752">
              <w:rPr>
                <w:rFonts w:eastAsia="Arial" w:cstheme="minorHAnsi"/>
                <w:color w:val="231F20"/>
                <w:sz w:val="20"/>
                <w:szCs w:val="20"/>
                <w:lang w:val="cs-CZ"/>
              </w:rPr>
              <w:t>0,383</w:t>
            </w:r>
          </w:p>
        </w:tc>
        <w:tc>
          <w:tcPr>
            <w:tcW w:w="1140"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0,791</w:t>
            </w:r>
          </w:p>
        </w:tc>
        <w:tc>
          <w:tcPr>
            <w:tcW w:w="1412" w:type="dxa"/>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0,079</w:t>
            </w:r>
          </w:p>
        </w:tc>
        <w:tc>
          <w:tcPr>
            <w:tcW w:w="1134" w:type="dxa"/>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0,397</w:t>
            </w:r>
          </w:p>
        </w:tc>
      </w:tr>
      <w:tr w:rsidR="008F0C0F" w:rsidRPr="00F21752" w:rsidTr="00F21752">
        <w:trPr>
          <w:trHeight w:val="330"/>
        </w:trPr>
        <w:tc>
          <w:tcPr>
            <w:tcW w:w="1896"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OIIPs</w:t>
            </w:r>
          </w:p>
        </w:tc>
        <w:tc>
          <w:tcPr>
            <w:tcW w:w="1608" w:type="dxa"/>
            <w:vAlign w:val="center"/>
            <w:hideMark/>
          </w:tcPr>
          <w:p w:rsidR="008F0C0F" w:rsidRPr="00F21752" w:rsidRDefault="008F0C0F" w:rsidP="00F21752">
            <w:pPr>
              <w:widowControl/>
              <w:autoSpaceDE/>
              <w:autoSpaceDN/>
              <w:spacing w:after="200" w:line="276" w:lineRule="auto"/>
              <w:ind w:right="69"/>
              <w:jc w:val="center"/>
              <w:rPr>
                <w:rFonts w:eastAsia="Arial" w:cstheme="minorHAnsi"/>
                <w:sz w:val="20"/>
                <w:szCs w:val="20"/>
                <w:lang w:val="cs-CZ"/>
              </w:rPr>
            </w:pPr>
            <w:r w:rsidRPr="00F21752">
              <w:rPr>
                <w:rFonts w:eastAsia="Arial" w:cstheme="minorHAnsi"/>
                <w:sz w:val="20"/>
                <w:szCs w:val="20"/>
                <w:lang w:val="cs-CZ"/>
              </w:rPr>
              <w:t>32/39</w:t>
            </w:r>
          </w:p>
        </w:tc>
        <w:tc>
          <w:tcPr>
            <w:tcW w:w="1215" w:type="dxa"/>
            <w:vAlign w:val="center"/>
            <w:hideMark/>
          </w:tcPr>
          <w:p w:rsidR="008F0C0F" w:rsidRPr="00F21752" w:rsidRDefault="008F0C0F" w:rsidP="00F21752">
            <w:pPr>
              <w:widowControl/>
              <w:autoSpaceDE/>
              <w:autoSpaceDN/>
              <w:spacing w:after="200" w:line="276" w:lineRule="auto"/>
              <w:ind w:right="122"/>
              <w:jc w:val="center"/>
              <w:rPr>
                <w:rFonts w:eastAsia="Arial" w:cstheme="minorHAnsi"/>
                <w:sz w:val="20"/>
                <w:szCs w:val="20"/>
                <w:lang w:val="cs-CZ"/>
              </w:rPr>
            </w:pPr>
            <w:r w:rsidRPr="00F21752">
              <w:rPr>
                <w:rFonts w:eastAsia="Arial" w:cstheme="minorHAnsi"/>
                <w:color w:val="231F20"/>
                <w:sz w:val="20"/>
                <w:szCs w:val="20"/>
                <w:lang w:val="cs-CZ"/>
              </w:rPr>
              <w:t>0,367</w:t>
            </w:r>
          </w:p>
        </w:tc>
        <w:tc>
          <w:tcPr>
            <w:tcW w:w="1404" w:type="dxa"/>
            <w:vAlign w:val="center"/>
            <w:hideMark/>
          </w:tcPr>
          <w:p w:rsidR="008F0C0F" w:rsidRPr="0075421C" w:rsidRDefault="008F0C0F" w:rsidP="00F21752">
            <w:pPr>
              <w:widowControl/>
              <w:autoSpaceDE/>
              <w:autoSpaceDN/>
              <w:spacing w:after="200" w:line="276" w:lineRule="auto"/>
              <w:ind w:right="352"/>
              <w:jc w:val="center"/>
              <w:rPr>
                <w:rFonts w:eastAsia="Arial" w:cstheme="minorHAnsi"/>
                <w:b/>
                <w:i/>
                <w:sz w:val="20"/>
                <w:szCs w:val="20"/>
                <w:lang w:val="cs-CZ"/>
              </w:rPr>
            </w:pPr>
            <w:r w:rsidRPr="0075421C">
              <w:rPr>
                <w:rFonts w:eastAsia="Arial" w:cstheme="minorHAnsi"/>
                <w:b/>
                <w:i/>
                <w:color w:val="231F20"/>
                <w:sz w:val="20"/>
                <w:szCs w:val="20"/>
                <w:lang w:val="cs-CZ"/>
              </w:rPr>
              <w:t>0,034</w:t>
            </w:r>
          </w:p>
        </w:tc>
        <w:tc>
          <w:tcPr>
            <w:tcW w:w="1140" w:type="dxa"/>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0,367</w:t>
            </w:r>
          </w:p>
        </w:tc>
        <w:tc>
          <w:tcPr>
            <w:tcW w:w="1412" w:type="dxa"/>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0,840</w:t>
            </w:r>
          </w:p>
        </w:tc>
        <w:tc>
          <w:tcPr>
            <w:tcW w:w="1134" w:type="dxa"/>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0,095</w:t>
            </w:r>
          </w:p>
        </w:tc>
      </w:tr>
      <w:tr w:rsidR="008F0C0F" w:rsidRPr="00F21752" w:rsidTr="00F21752">
        <w:trPr>
          <w:trHeight w:val="328"/>
        </w:trPr>
        <w:tc>
          <w:tcPr>
            <w:tcW w:w="1896"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HP</w:t>
            </w:r>
          </w:p>
        </w:tc>
        <w:tc>
          <w:tcPr>
            <w:tcW w:w="1608"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ind w:right="69"/>
              <w:jc w:val="center"/>
              <w:rPr>
                <w:rFonts w:eastAsia="Arial" w:cstheme="minorHAnsi"/>
                <w:sz w:val="20"/>
                <w:szCs w:val="20"/>
                <w:lang w:val="cs-CZ"/>
              </w:rPr>
            </w:pPr>
            <w:r w:rsidRPr="00F21752">
              <w:rPr>
                <w:rFonts w:eastAsia="Arial" w:cstheme="minorHAnsi"/>
                <w:sz w:val="20"/>
                <w:szCs w:val="20"/>
                <w:lang w:val="cs-CZ"/>
              </w:rPr>
              <w:t>14/15</w:t>
            </w:r>
          </w:p>
        </w:tc>
        <w:tc>
          <w:tcPr>
            <w:tcW w:w="1215"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ind w:right="122"/>
              <w:jc w:val="center"/>
              <w:rPr>
                <w:rFonts w:eastAsia="Arial" w:cstheme="minorHAnsi"/>
                <w:sz w:val="20"/>
                <w:szCs w:val="20"/>
                <w:lang w:val="cs-CZ"/>
              </w:rPr>
            </w:pPr>
            <w:r w:rsidRPr="00F21752">
              <w:rPr>
                <w:rFonts w:eastAsia="Arial" w:cstheme="minorHAnsi"/>
                <w:color w:val="231F20"/>
                <w:sz w:val="20"/>
                <w:szCs w:val="20"/>
                <w:lang w:val="cs-CZ"/>
              </w:rPr>
              <w:t>0,445</w:t>
            </w:r>
          </w:p>
        </w:tc>
        <w:tc>
          <w:tcPr>
            <w:tcW w:w="1404"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ind w:right="352"/>
              <w:jc w:val="center"/>
              <w:rPr>
                <w:rFonts w:eastAsia="Arial" w:cstheme="minorHAnsi"/>
                <w:sz w:val="20"/>
                <w:szCs w:val="20"/>
                <w:lang w:val="cs-CZ"/>
              </w:rPr>
            </w:pPr>
            <w:r w:rsidRPr="00F21752">
              <w:rPr>
                <w:rFonts w:eastAsia="Arial" w:cstheme="minorHAnsi"/>
                <w:color w:val="231F20"/>
                <w:sz w:val="20"/>
                <w:szCs w:val="20"/>
                <w:lang w:val="cs-CZ"/>
              </w:rPr>
              <w:t>0,793</w:t>
            </w:r>
          </w:p>
        </w:tc>
        <w:tc>
          <w:tcPr>
            <w:tcW w:w="1140"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jc w:val="center"/>
              <w:rPr>
                <w:rFonts w:eastAsia="Arial" w:cstheme="minorHAnsi"/>
                <w:sz w:val="20"/>
                <w:szCs w:val="20"/>
                <w:lang w:val="cs-CZ"/>
              </w:rPr>
            </w:pPr>
            <w:r w:rsidRPr="00F21752">
              <w:rPr>
                <w:rFonts w:eastAsia="Arial" w:cstheme="minorHAnsi"/>
                <w:color w:val="231F20"/>
                <w:sz w:val="20"/>
                <w:szCs w:val="20"/>
                <w:lang w:val="cs-CZ"/>
              </w:rPr>
              <w:t>0,132</w:t>
            </w:r>
          </w:p>
        </w:tc>
        <w:tc>
          <w:tcPr>
            <w:tcW w:w="1412"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ind w:right="366"/>
              <w:jc w:val="center"/>
              <w:rPr>
                <w:rFonts w:eastAsia="Arial" w:cstheme="minorHAnsi"/>
                <w:sz w:val="20"/>
                <w:szCs w:val="20"/>
                <w:lang w:val="cs-CZ"/>
              </w:rPr>
            </w:pPr>
            <w:r w:rsidRPr="00F21752">
              <w:rPr>
                <w:rFonts w:eastAsia="Arial" w:cstheme="minorHAnsi"/>
                <w:color w:val="231F20"/>
                <w:sz w:val="20"/>
                <w:szCs w:val="20"/>
                <w:lang w:val="cs-CZ"/>
              </w:rPr>
              <w:t>0,414</w:t>
            </w:r>
          </w:p>
        </w:tc>
        <w:tc>
          <w:tcPr>
            <w:tcW w:w="1134" w:type="dxa"/>
            <w:tcBorders>
              <w:top w:val="nil"/>
              <w:left w:val="nil"/>
              <w:bottom w:val="single" w:sz="4" w:space="0" w:color="000000"/>
              <w:right w:val="nil"/>
            </w:tcBorders>
            <w:vAlign w:val="center"/>
            <w:hideMark/>
          </w:tcPr>
          <w:p w:rsidR="008F0C0F" w:rsidRPr="00F21752" w:rsidRDefault="008F0C0F" w:rsidP="00F21752">
            <w:pPr>
              <w:widowControl/>
              <w:autoSpaceDE/>
              <w:autoSpaceDN/>
              <w:spacing w:after="200" w:line="276" w:lineRule="auto"/>
              <w:ind w:right="62"/>
              <w:jc w:val="center"/>
              <w:rPr>
                <w:rFonts w:eastAsia="Arial" w:cstheme="minorHAnsi"/>
                <w:sz w:val="20"/>
                <w:szCs w:val="20"/>
                <w:lang w:val="cs-CZ"/>
              </w:rPr>
            </w:pPr>
            <w:r w:rsidRPr="00F21752">
              <w:rPr>
                <w:rFonts w:eastAsia="Arial" w:cstheme="minorHAnsi"/>
                <w:color w:val="231F20"/>
                <w:sz w:val="20"/>
                <w:szCs w:val="20"/>
                <w:lang w:val="cs-CZ"/>
              </w:rPr>
              <w:t>0,315</w:t>
            </w:r>
          </w:p>
        </w:tc>
      </w:tr>
    </w:tbl>
    <w:p w:rsidR="008F0C0F" w:rsidRPr="0062347D" w:rsidRDefault="008F0C0F" w:rsidP="00284F89">
      <w:pPr>
        <w:rPr>
          <w:rFonts w:cstheme="minorHAnsi"/>
          <w:sz w:val="20"/>
          <w:szCs w:val="20"/>
        </w:rPr>
        <w:sectPr w:rsidR="008F0C0F" w:rsidRPr="0062347D" w:rsidSect="00284F89">
          <w:pgSz w:w="16838" w:h="11906" w:orient="landscape"/>
          <w:pgMar w:top="1276" w:right="1417" w:bottom="1417" w:left="851" w:header="708" w:footer="708" w:gutter="0"/>
          <w:cols w:space="708"/>
          <w:docGrid w:linePitch="360"/>
        </w:sectPr>
      </w:pPr>
      <w:r w:rsidRPr="0062347D">
        <w:rPr>
          <w:rFonts w:cstheme="minorHAnsi"/>
          <w:color w:val="231F20"/>
          <w:spacing w:val="-4"/>
          <w:sz w:val="20"/>
          <w:szCs w:val="20"/>
        </w:rPr>
        <w:t>Výsledky jsou uvedeny jako</w:t>
      </w:r>
      <w:r w:rsidRPr="0062347D">
        <w:rPr>
          <w:rFonts w:cstheme="minorHAnsi"/>
          <w:color w:val="231F20"/>
          <w:sz w:val="20"/>
          <w:szCs w:val="20"/>
        </w:rPr>
        <w:t xml:space="preserve"> P </w:t>
      </w:r>
      <w:r w:rsidRPr="0062347D">
        <w:rPr>
          <w:rFonts w:cstheme="minorHAnsi"/>
          <w:color w:val="231F20"/>
          <w:spacing w:val="-4"/>
          <w:sz w:val="20"/>
          <w:szCs w:val="20"/>
        </w:rPr>
        <w:t>hodnota. Úroveň signifikance je nastavena na hodnotu</w:t>
      </w:r>
      <w:r w:rsidRPr="0062347D">
        <w:rPr>
          <w:rFonts w:cstheme="minorHAnsi"/>
          <w:color w:val="231F20"/>
          <w:sz w:val="20"/>
          <w:szCs w:val="20"/>
        </w:rPr>
        <w:t xml:space="preserve"> </w:t>
      </w:r>
      <w:r w:rsidRPr="0062347D">
        <w:rPr>
          <w:rFonts w:cstheme="minorHAnsi"/>
          <w:color w:val="231F20"/>
          <w:spacing w:val="-4"/>
          <w:sz w:val="20"/>
          <w:szCs w:val="20"/>
        </w:rPr>
        <w:t>P</w:t>
      </w:r>
      <w:r>
        <w:rPr>
          <w:rFonts w:cstheme="minorHAnsi"/>
          <w:color w:val="231F20"/>
          <w:spacing w:val="-4"/>
          <w:sz w:val="20"/>
          <w:szCs w:val="20"/>
        </w:rPr>
        <w:t> </w:t>
      </w:r>
      <w:r w:rsidRPr="0062347D">
        <w:rPr>
          <w:rFonts w:cstheme="minorHAnsi"/>
          <w:color w:val="231F20"/>
          <w:spacing w:val="-4"/>
          <w:sz w:val="20"/>
          <w:szCs w:val="20"/>
        </w:rPr>
        <w:t>&lt;</w:t>
      </w:r>
      <w:r>
        <w:rPr>
          <w:rFonts w:cstheme="minorHAnsi"/>
          <w:color w:val="231F20"/>
          <w:spacing w:val="-4"/>
          <w:sz w:val="20"/>
          <w:szCs w:val="20"/>
        </w:rPr>
        <w:t> </w:t>
      </w:r>
      <w:r w:rsidRPr="0062347D">
        <w:rPr>
          <w:rFonts w:cstheme="minorHAnsi"/>
          <w:color w:val="231F20"/>
          <w:spacing w:val="-4"/>
          <w:sz w:val="20"/>
          <w:szCs w:val="20"/>
        </w:rPr>
        <w:t xml:space="preserve">0,05. </w:t>
      </w:r>
      <w:r w:rsidRPr="0062347D">
        <w:rPr>
          <w:rFonts w:cstheme="minorHAnsi"/>
          <w:color w:val="231F20"/>
          <w:sz w:val="20"/>
          <w:szCs w:val="20"/>
        </w:rPr>
        <w:t xml:space="preserve">P </w:t>
      </w:r>
      <w:r w:rsidRPr="0062347D">
        <w:rPr>
          <w:rFonts w:cstheme="minorHAnsi"/>
          <w:color w:val="231F20"/>
          <w:spacing w:val="-4"/>
          <w:sz w:val="20"/>
          <w:szCs w:val="20"/>
        </w:rPr>
        <w:t>hodnoty &lt;</w:t>
      </w:r>
      <w:r>
        <w:rPr>
          <w:rFonts w:cstheme="minorHAnsi"/>
          <w:color w:val="231F20"/>
          <w:spacing w:val="-4"/>
          <w:sz w:val="20"/>
          <w:szCs w:val="20"/>
        </w:rPr>
        <w:t> </w:t>
      </w:r>
      <w:r w:rsidRPr="0062347D">
        <w:rPr>
          <w:rFonts w:cstheme="minorHAnsi"/>
          <w:color w:val="231F20"/>
          <w:spacing w:val="-4"/>
          <w:sz w:val="20"/>
          <w:szCs w:val="20"/>
        </w:rPr>
        <w:t xml:space="preserve">0,05 jsou napsány kurzívou. </w:t>
      </w:r>
      <w:r w:rsidRPr="0062347D">
        <w:rPr>
          <w:rFonts w:cstheme="minorHAnsi"/>
          <w:color w:val="231F20"/>
          <w:spacing w:val="-3"/>
          <w:sz w:val="20"/>
          <w:szCs w:val="20"/>
        </w:rPr>
        <w:t xml:space="preserve">IPN, </w:t>
      </w:r>
      <w:r w:rsidRPr="0062347D">
        <w:rPr>
          <w:rFonts w:cstheme="minorHAnsi"/>
          <w:color w:val="231F20"/>
          <w:spacing w:val="-4"/>
          <w:sz w:val="20"/>
          <w:szCs w:val="20"/>
        </w:rPr>
        <w:t xml:space="preserve">intersticiální </w:t>
      </w:r>
      <w:r w:rsidRPr="0062347D">
        <w:rPr>
          <w:rFonts w:cstheme="minorHAnsi"/>
          <w:color w:val="231F20"/>
          <w:spacing w:val="-3"/>
          <w:sz w:val="20"/>
          <w:szCs w:val="20"/>
        </w:rPr>
        <w:t xml:space="preserve">plicní </w:t>
      </w:r>
      <w:r w:rsidRPr="0062347D">
        <w:rPr>
          <w:rFonts w:cstheme="minorHAnsi"/>
          <w:color w:val="231F20"/>
          <w:spacing w:val="-4"/>
          <w:sz w:val="20"/>
          <w:szCs w:val="20"/>
        </w:rPr>
        <w:t xml:space="preserve">nemoci; </w:t>
      </w:r>
      <w:r w:rsidRPr="0062347D">
        <w:rPr>
          <w:rFonts w:cstheme="minorHAnsi"/>
          <w:color w:val="231F20"/>
          <w:sz w:val="20"/>
          <w:szCs w:val="20"/>
        </w:rPr>
        <w:t xml:space="preserve">S, </w:t>
      </w:r>
      <w:r w:rsidRPr="0062347D">
        <w:rPr>
          <w:rFonts w:cstheme="minorHAnsi"/>
          <w:color w:val="231F20"/>
          <w:spacing w:val="-4"/>
          <w:sz w:val="20"/>
          <w:szCs w:val="20"/>
        </w:rPr>
        <w:t xml:space="preserve">sarkoidóza; </w:t>
      </w:r>
      <w:r w:rsidRPr="0062347D">
        <w:rPr>
          <w:rFonts w:cstheme="minorHAnsi"/>
          <w:color w:val="231F20"/>
          <w:spacing w:val="-3"/>
          <w:sz w:val="20"/>
          <w:szCs w:val="20"/>
        </w:rPr>
        <w:t xml:space="preserve">LS, </w:t>
      </w:r>
      <w:r w:rsidRPr="0062347D">
        <w:rPr>
          <w:rFonts w:cstheme="minorHAnsi"/>
          <w:color w:val="231F20"/>
          <w:spacing w:val="-6"/>
          <w:sz w:val="20"/>
          <w:szCs w:val="20"/>
        </w:rPr>
        <w:t xml:space="preserve">Löfgrenův </w:t>
      </w:r>
      <w:r w:rsidRPr="0062347D">
        <w:rPr>
          <w:rFonts w:cstheme="minorHAnsi"/>
          <w:color w:val="231F20"/>
          <w:spacing w:val="-4"/>
          <w:sz w:val="20"/>
          <w:szCs w:val="20"/>
        </w:rPr>
        <w:t xml:space="preserve">syndrom; </w:t>
      </w:r>
      <w:r w:rsidRPr="0062347D">
        <w:rPr>
          <w:rFonts w:cstheme="minorHAnsi"/>
          <w:color w:val="231F20"/>
          <w:spacing w:val="-3"/>
          <w:sz w:val="20"/>
          <w:szCs w:val="20"/>
        </w:rPr>
        <w:t xml:space="preserve">RTG, </w:t>
      </w:r>
      <w:r w:rsidRPr="0062347D">
        <w:rPr>
          <w:rFonts w:cstheme="minorHAnsi"/>
          <w:color w:val="231F20"/>
          <w:spacing w:val="-4"/>
          <w:sz w:val="20"/>
          <w:szCs w:val="20"/>
        </w:rPr>
        <w:t xml:space="preserve">rentgenologické stádium; </w:t>
      </w:r>
      <w:r w:rsidRPr="0062347D">
        <w:rPr>
          <w:rFonts w:cstheme="minorHAnsi"/>
          <w:color w:val="231F20"/>
          <w:spacing w:val="-10"/>
          <w:sz w:val="20"/>
          <w:szCs w:val="20"/>
        </w:rPr>
        <w:t xml:space="preserve">IPF, </w:t>
      </w:r>
      <w:r w:rsidRPr="0062347D">
        <w:rPr>
          <w:rFonts w:cstheme="minorHAnsi"/>
          <w:color w:val="231F20"/>
          <w:spacing w:val="-4"/>
          <w:sz w:val="20"/>
          <w:szCs w:val="20"/>
        </w:rPr>
        <w:t xml:space="preserve">idiopatická plicní fibróza; OIIP, ostatní idiopatické intersticiální pneumonie; </w:t>
      </w:r>
      <w:r w:rsidRPr="0062347D">
        <w:rPr>
          <w:rFonts w:cstheme="minorHAnsi"/>
          <w:color w:val="231F20"/>
          <w:spacing w:val="-12"/>
          <w:sz w:val="20"/>
          <w:szCs w:val="20"/>
        </w:rPr>
        <w:t xml:space="preserve">HP, </w:t>
      </w:r>
      <w:r w:rsidRPr="0062347D">
        <w:rPr>
          <w:rFonts w:cstheme="minorHAnsi"/>
          <w:color w:val="231F20"/>
          <w:spacing w:val="-4"/>
          <w:sz w:val="20"/>
          <w:szCs w:val="20"/>
        </w:rPr>
        <w:t>hypersensitivní pneumonie.</w:t>
      </w:r>
    </w:p>
    <w:p w:rsidR="008F0C0F" w:rsidRPr="0062347D" w:rsidRDefault="008F0C0F" w:rsidP="00284F89">
      <w:pPr>
        <w:pStyle w:val="Nadpis2"/>
        <w:rPr>
          <w:rFonts w:cstheme="minorHAnsi"/>
          <w:szCs w:val="24"/>
        </w:rPr>
      </w:pPr>
      <w:bookmarkStart w:id="69" w:name="_Toc69543057"/>
      <w:r w:rsidRPr="0062347D">
        <w:rPr>
          <w:rFonts w:cstheme="minorHAnsi"/>
          <w:szCs w:val="24"/>
        </w:rPr>
        <w:lastRenderedPageBreak/>
        <w:t>Příloha</w:t>
      </w:r>
      <w:r w:rsidRPr="00E663BF">
        <w:rPr>
          <w:rFonts w:cstheme="minorHAnsi"/>
          <w:szCs w:val="24"/>
        </w:rPr>
        <w:t>:</w:t>
      </w:r>
      <w:r w:rsidRPr="004E5649">
        <w:rPr>
          <w:rFonts w:cstheme="minorHAnsi"/>
          <w:szCs w:val="24"/>
        </w:rPr>
        <w:t xml:space="preserve"> Výsledky </w:t>
      </w:r>
      <w:r w:rsidRPr="00B24D8C">
        <w:rPr>
          <w:rFonts w:cstheme="minorHAnsi"/>
          <w:szCs w:val="24"/>
        </w:rPr>
        <w:t xml:space="preserve">studia bronchoalveolární mRNA </w:t>
      </w:r>
      <w:r w:rsidRPr="0062347D">
        <w:rPr>
          <w:rFonts w:cstheme="minorHAnsi"/>
          <w:szCs w:val="24"/>
        </w:rPr>
        <w:t>exprese RNA-vazebných proteinů:</w:t>
      </w:r>
      <w:bookmarkEnd w:id="69"/>
    </w:p>
    <w:p w:rsidR="008F0C0F" w:rsidRPr="0062347D" w:rsidRDefault="008F0C0F" w:rsidP="00284F89">
      <w:pPr>
        <w:ind w:left="-284"/>
        <w:rPr>
          <w:rFonts w:cstheme="minorHAnsi"/>
          <w:b/>
          <w:sz w:val="24"/>
          <w:szCs w:val="24"/>
        </w:rPr>
      </w:pPr>
    </w:p>
    <w:p w:rsidR="008F0C0F" w:rsidRPr="0062347D" w:rsidRDefault="008F0C0F" w:rsidP="00310ED8">
      <w:pPr>
        <w:ind w:left="-284"/>
        <w:jc w:val="both"/>
        <w:rPr>
          <w:rFonts w:cstheme="minorHAnsi"/>
          <w:sz w:val="24"/>
          <w:szCs w:val="24"/>
        </w:rPr>
      </w:pPr>
      <w:r w:rsidRPr="0062347D">
        <w:rPr>
          <w:rFonts w:cstheme="minorHAnsi"/>
          <w:b/>
          <w:sz w:val="24"/>
          <w:szCs w:val="24"/>
        </w:rPr>
        <w:t>H.2. Příloha Tabulka 1</w:t>
      </w:r>
      <w:r w:rsidRPr="0062347D">
        <w:rPr>
          <w:rFonts w:cstheme="minorHAnsi"/>
          <w:sz w:val="24"/>
          <w:szCs w:val="24"/>
        </w:rPr>
        <w:t>: Porovnání mRNA exprese u RNA-vazebných proteinů a jednoho inhibitoru proteolytické aktivity (RECK) mezi čtyřmi kontrolními skupinami zahrnujícími zdravé jedince a pacienty s chronickou plicní obstrukční nemocí (CHOPN), astmatem a idiopatickými intersticiálními pneumoniemi (IIP).</w:t>
      </w:r>
    </w:p>
    <w:tbl>
      <w:tblPr>
        <w:tblpPr w:leftFromText="141" w:rightFromText="141" w:vertAnchor="page" w:horzAnchor="margin" w:tblpY="3751"/>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2409"/>
        <w:gridCol w:w="1630"/>
        <w:gridCol w:w="1492"/>
        <w:gridCol w:w="2457"/>
        <w:gridCol w:w="1553"/>
        <w:gridCol w:w="3219"/>
      </w:tblGrid>
      <w:tr w:rsidR="008F0C0F" w:rsidRPr="0062347D" w:rsidTr="00284F89">
        <w:trPr>
          <w:trHeight w:val="267"/>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p>
        </w:tc>
        <w:tc>
          <w:tcPr>
            <w:tcW w:w="5531" w:type="dxa"/>
            <w:gridSpan w:val="3"/>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CHOPN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30) vs</w:t>
            </w:r>
          </w:p>
        </w:tc>
        <w:tc>
          <w:tcPr>
            <w:tcW w:w="4010" w:type="dxa"/>
            <w:gridSpan w:val="2"/>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Astma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19) vs</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IIP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19) vs</w:t>
            </w:r>
          </w:p>
        </w:tc>
      </w:tr>
      <w:tr w:rsidR="008F0C0F" w:rsidRPr="0062347D" w:rsidTr="00310ED8">
        <w:trPr>
          <w:trHeight w:val="295"/>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8F0C0F" w:rsidRPr="00C87449" w:rsidRDefault="008F0C0F" w:rsidP="00310ED8">
            <w:pPr>
              <w:autoSpaceDE w:val="0"/>
              <w:autoSpaceDN w:val="0"/>
              <w:adjustRightInd w:val="0"/>
              <w:spacing w:after="0"/>
              <w:jc w:val="center"/>
              <w:rPr>
                <w:rFonts w:cstheme="minorHAnsi"/>
                <w:sz w:val="24"/>
                <w:szCs w:val="24"/>
                <w:lang w:eastAsia="ja-JP"/>
              </w:rPr>
            </w:pPr>
            <w:r w:rsidRPr="0062347D">
              <w:rPr>
                <w:rFonts w:cstheme="minorHAnsi"/>
                <w:sz w:val="24"/>
                <w:szCs w:val="24"/>
              </w:rPr>
              <w:t>Zdravé kontroly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23)</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0C0F" w:rsidRPr="00C87449" w:rsidRDefault="008F0C0F" w:rsidP="00310ED8">
            <w:pPr>
              <w:spacing w:after="0"/>
              <w:jc w:val="center"/>
              <w:rPr>
                <w:rFonts w:cstheme="minorHAnsi"/>
                <w:sz w:val="24"/>
                <w:szCs w:val="24"/>
                <w:lang w:eastAsia="ja-JP"/>
              </w:rPr>
            </w:pPr>
            <w:r w:rsidRPr="0062347D">
              <w:rPr>
                <w:rFonts w:cstheme="minorHAnsi"/>
                <w:sz w:val="24"/>
                <w:szCs w:val="24"/>
              </w:rPr>
              <w:t>Astma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19)</w:t>
            </w:r>
          </w:p>
        </w:tc>
        <w:tc>
          <w:tcPr>
            <w:tcW w:w="1492" w:type="dxa"/>
            <w:tcBorders>
              <w:top w:val="single" w:sz="4" w:space="0" w:color="auto"/>
              <w:left w:val="single" w:sz="4" w:space="0" w:color="auto"/>
              <w:bottom w:val="single" w:sz="4" w:space="0" w:color="auto"/>
              <w:right w:val="single" w:sz="4" w:space="0" w:color="auto"/>
            </w:tcBorders>
            <w:vAlign w:val="center"/>
            <w:hideMark/>
          </w:tcPr>
          <w:p w:rsidR="008F0C0F" w:rsidRPr="00C87449" w:rsidRDefault="008F0C0F" w:rsidP="00310ED8">
            <w:pPr>
              <w:autoSpaceDE w:val="0"/>
              <w:autoSpaceDN w:val="0"/>
              <w:adjustRightInd w:val="0"/>
              <w:spacing w:after="0"/>
              <w:jc w:val="center"/>
              <w:rPr>
                <w:rFonts w:cstheme="minorHAnsi"/>
                <w:sz w:val="24"/>
                <w:szCs w:val="24"/>
                <w:lang w:eastAsia="ja-JP"/>
              </w:rPr>
            </w:pPr>
            <w:r w:rsidRPr="0062347D">
              <w:rPr>
                <w:rFonts w:cstheme="minorHAnsi"/>
                <w:sz w:val="24"/>
                <w:szCs w:val="24"/>
              </w:rPr>
              <w:t>IIP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19)</w:t>
            </w:r>
          </w:p>
        </w:tc>
        <w:tc>
          <w:tcPr>
            <w:tcW w:w="2457" w:type="dxa"/>
            <w:tcBorders>
              <w:top w:val="single" w:sz="4" w:space="0" w:color="auto"/>
              <w:left w:val="single" w:sz="4" w:space="0" w:color="auto"/>
              <w:bottom w:val="single" w:sz="4" w:space="0" w:color="auto"/>
              <w:right w:val="single" w:sz="4" w:space="0" w:color="auto"/>
            </w:tcBorders>
            <w:vAlign w:val="center"/>
            <w:hideMark/>
          </w:tcPr>
          <w:p w:rsidR="008F0C0F" w:rsidRPr="00C87449" w:rsidRDefault="008F0C0F" w:rsidP="00310ED8">
            <w:pPr>
              <w:spacing w:after="0"/>
              <w:jc w:val="center"/>
              <w:rPr>
                <w:rFonts w:cstheme="minorHAnsi"/>
                <w:sz w:val="24"/>
                <w:szCs w:val="24"/>
                <w:lang w:eastAsia="ja-JP"/>
              </w:rPr>
            </w:pPr>
            <w:r w:rsidRPr="0062347D">
              <w:rPr>
                <w:rFonts w:cstheme="minorHAnsi"/>
                <w:sz w:val="24"/>
                <w:szCs w:val="24"/>
              </w:rPr>
              <w:t>Zdravé kontroly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23)</w:t>
            </w:r>
          </w:p>
        </w:tc>
        <w:tc>
          <w:tcPr>
            <w:tcW w:w="1553" w:type="dxa"/>
            <w:tcBorders>
              <w:top w:val="single" w:sz="4" w:space="0" w:color="auto"/>
              <w:left w:val="single" w:sz="4" w:space="0" w:color="auto"/>
              <w:bottom w:val="single" w:sz="4" w:space="0" w:color="auto"/>
              <w:right w:val="single" w:sz="4" w:space="0" w:color="auto"/>
            </w:tcBorders>
            <w:vAlign w:val="center"/>
            <w:hideMark/>
          </w:tcPr>
          <w:p w:rsidR="008F0C0F" w:rsidRPr="00C87449" w:rsidRDefault="008F0C0F" w:rsidP="00310ED8">
            <w:pPr>
              <w:spacing w:after="0"/>
              <w:jc w:val="center"/>
              <w:rPr>
                <w:rFonts w:cstheme="minorHAnsi"/>
                <w:sz w:val="24"/>
                <w:szCs w:val="24"/>
                <w:lang w:eastAsia="ja-JP"/>
              </w:rPr>
            </w:pPr>
            <w:r w:rsidRPr="0062347D">
              <w:rPr>
                <w:rFonts w:cstheme="minorHAnsi"/>
                <w:sz w:val="24"/>
                <w:szCs w:val="24"/>
              </w:rPr>
              <w:t>IIP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19)</w:t>
            </w:r>
          </w:p>
        </w:tc>
        <w:tc>
          <w:tcPr>
            <w:tcW w:w="3219" w:type="dxa"/>
            <w:tcBorders>
              <w:top w:val="single" w:sz="4" w:space="0" w:color="auto"/>
              <w:left w:val="single" w:sz="4" w:space="0" w:color="auto"/>
              <w:bottom w:val="single" w:sz="4" w:space="0" w:color="auto"/>
              <w:right w:val="single" w:sz="4" w:space="0" w:color="auto"/>
            </w:tcBorders>
            <w:vAlign w:val="center"/>
            <w:hideMark/>
          </w:tcPr>
          <w:p w:rsidR="008F0C0F" w:rsidRPr="00C87449" w:rsidRDefault="008F0C0F" w:rsidP="00310ED8">
            <w:pPr>
              <w:spacing w:after="0"/>
              <w:jc w:val="center"/>
              <w:rPr>
                <w:rFonts w:cstheme="minorHAnsi"/>
                <w:sz w:val="24"/>
                <w:szCs w:val="24"/>
                <w:lang w:eastAsia="ja-JP"/>
              </w:rPr>
            </w:pPr>
            <w:r w:rsidRPr="0062347D">
              <w:rPr>
                <w:rFonts w:cstheme="minorHAnsi"/>
                <w:sz w:val="24"/>
                <w:szCs w:val="24"/>
              </w:rPr>
              <w:t>Zdravé kontroly (n</w:t>
            </w:r>
            <w:r w:rsidR="00310ED8">
              <w:rPr>
                <w:rFonts w:cstheme="minorHAnsi"/>
                <w:sz w:val="24"/>
                <w:szCs w:val="24"/>
              </w:rPr>
              <w:t> </w:t>
            </w:r>
            <w:r w:rsidRPr="0062347D">
              <w:rPr>
                <w:rFonts w:cstheme="minorHAnsi"/>
                <w:sz w:val="24"/>
                <w:szCs w:val="24"/>
              </w:rPr>
              <w:t>=</w:t>
            </w:r>
            <w:r w:rsidR="00310ED8">
              <w:rPr>
                <w:rFonts w:cstheme="minorHAnsi"/>
                <w:sz w:val="24"/>
                <w:szCs w:val="24"/>
              </w:rPr>
              <w:t> </w:t>
            </w:r>
            <w:r w:rsidRPr="0062347D">
              <w:rPr>
                <w:rFonts w:cstheme="minorHAnsi"/>
                <w:sz w:val="24"/>
                <w:szCs w:val="24"/>
              </w:rPr>
              <w:t>23)</w:t>
            </w:r>
          </w:p>
        </w:tc>
      </w:tr>
      <w:tr w:rsidR="008F0C0F" w:rsidRPr="0062347D" w:rsidTr="00284F89">
        <w:trPr>
          <w:trHeight w:val="307"/>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AUF1</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r w:rsidRPr="004E5649">
              <w:rPr>
                <w:rFonts w:ascii="Arial" w:hAnsi="Arial" w:cs="Arial"/>
                <w:sz w:val="24"/>
                <w:szCs w:val="24"/>
                <w:lang w:eastAsia="cs-CZ"/>
              </w:rPr>
              <w:t>♦</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r w:rsidR="008F0C0F" w:rsidRPr="0062347D" w:rsidTr="00284F89">
        <w:trPr>
          <w:trHeight w:val="267"/>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HuR</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r w:rsidRPr="004E5649">
              <w:rPr>
                <w:rFonts w:ascii="Arial" w:hAnsi="Arial" w:cs="Arial"/>
                <w:sz w:val="24"/>
                <w:szCs w:val="24"/>
                <w:lang w:eastAsia="cs-CZ"/>
              </w:rPr>
              <w:t>♦♦</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 xml:space="preserve"> ns</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r w:rsidR="008F0C0F" w:rsidRPr="0062347D" w:rsidTr="00284F89">
        <w:trPr>
          <w:trHeight w:val="252"/>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NCL</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r w:rsidRPr="004E5649">
              <w:rPr>
                <w:rFonts w:ascii="Arial" w:hAnsi="Arial" w:cs="Arial"/>
                <w:sz w:val="24"/>
                <w:szCs w:val="24"/>
                <w:lang w:eastAsia="cs-CZ"/>
              </w:rPr>
              <w:t>♦♦</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r w:rsidR="008F0C0F" w:rsidRPr="0062347D" w:rsidTr="00284F89">
        <w:trPr>
          <w:trHeight w:val="267"/>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TIA</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ascii="Arial" w:hAnsi="Arial" w:cs="Arial"/>
                <w:sz w:val="24"/>
                <w:szCs w:val="24"/>
                <w:lang w:eastAsia="cs-CZ"/>
              </w:rPr>
              <w:t>♦</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r w:rsidR="008F0C0F" w:rsidRPr="0062347D" w:rsidTr="00284F89">
        <w:trPr>
          <w:trHeight w:val="162"/>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TIAR</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r w:rsidR="008F0C0F" w:rsidRPr="0062347D" w:rsidTr="00284F89">
        <w:trPr>
          <w:trHeight w:val="252"/>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PCBP2</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r w:rsidR="008F0C0F" w:rsidRPr="0062347D" w:rsidTr="00284F89">
        <w:trPr>
          <w:trHeight w:val="283"/>
        </w:trPr>
        <w:tc>
          <w:tcPr>
            <w:tcW w:w="110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RECK</w:t>
            </w:r>
          </w:p>
        </w:tc>
        <w:tc>
          <w:tcPr>
            <w:tcW w:w="240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autoSpaceDE w:val="0"/>
              <w:autoSpaceDN w:val="0"/>
              <w:adjustRightInd w:val="0"/>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r w:rsidRPr="004E5649">
              <w:rPr>
                <w:rFonts w:ascii="Arial" w:hAnsi="Arial" w:cs="Arial"/>
                <w:sz w:val="24"/>
                <w:szCs w:val="24"/>
                <w:lang w:eastAsia="cs-CZ"/>
              </w:rPr>
              <w:t>♦</w:t>
            </w:r>
          </w:p>
        </w:tc>
        <w:tc>
          <w:tcPr>
            <w:tcW w:w="1630"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rPr>
              <w:t>ns</w:t>
            </w:r>
          </w:p>
        </w:tc>
        <w:tc>
          <w:tcPr>
            <w:tcW w:w="1492"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2457"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1553"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c>
          <w:tcPr>
            <w:tcW w:w="3219" w:type="dxa"/>
            <w:tcBorders>
              <w:top w:val="single" w:sz="4" w:space="0" w:color="auto"/>
              <w:left w:val="single" w:sz="4" w:space="0" w:color="auto"/>
              <w:bottom w:val="single" w:sz="4" w:space="0" w:color="auto"/>
              <w:right w:val="single" w:sz="4" w:space="0" w:color="auto"/>
            </w:tcBorders>
            <w:hideMark/>
          </w:tcPr>
          <w:p w:rsidR="008F0C0F" w:rsidRPr="00C87449" w:rsidRDefault="008F0C0F" w:rsidP="00284F89">
            <w:pPr>
              <w:spacing w:after="0"/>
              <w:jc w:val="center"/>
              <w:rPr>
                <w:rFonts w:cstheme="minorHAnsi"/>
                <w:sz w:val="24"/>
                <w:szCs w:val="24"/>
                <w:lang w:eastAsia="ja-JP"/>
              </w:rPr>
            </w:pPr>
            <w:r w:rsidRPr="0062347D">
              <w:rPr>
                <w:rFonts w:cstheme="minorHAnsi"/>
                <w:sz w:val="24"/>
                <w:szCs w:val="24"/>
                <w:lang w:eastAsia="cs-CZ"/>
              </w:rPr>
              <w:t>↑</w:t>
            </w:r>
            <w:r w:rsidRPr="00E663BF">
              <w:rPr>
                <w:rFonts w:cstheme="minorHAnsi"/>
                <w:sz w:val="24"/>
                <w:szCs w:val="24"/>
              </w:rPr>
              <w:t>***###</w:t>
            </w:r>
          </w:p>
        </w:tc>
      </w:tr>
    </w:tbl>
    <w:p w:rsidR="008F0C0F" w:rsidRPr="0062347D" w:rsidRDefault="008F0C0F" w:rsidP="00284F89">
      <w:pPr>
        <w:rPr>
          <w:rFonts w:cstheme="minorHAnsi"/>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7263E7" w:rsidRDefault="007263E7" w:rsidP="00284F89">
      <w:pPr>
        <w:autoSpaceDE w:val="0"/>
        <w:autoSpaceDN w:val="0"/>
        <w:adjustRightInd w:val="0"/>
        <w:spacing w:after="0"/>
        <w:ind w:left="-284"/>
        <w:rPr>
          <w:rFonts w:cstheme="minorHAnsi"/>
          <w:b/>
          <w:sz w:val="24"/>
          <w:szCs w:val="24"/>
        </w:rPr>
      </w:pPr>
    </w:p>
    <w:p w:rsidR="008F0C0F" w:rsidRPr="0062347D" w:rsidRDefault="00B33C4A" w:rsidP="00284F89">
      <w:pPr>
        <w:autoSpaceDE w:val="0"/>
        <w:autoSpaceDN w:val="0"/>
        <w:adjustRightInd w:val="0"/>
        <w:spacing w:after="0"/>
        <w:ind w:left="-284"/>
        <w:rPr>
          <w:rFonts w:cstheme="minorHAnsi"/>
          <w:sz w:val="24"/>
          <w:szCs w:val="24"/>
        </w:rPr>
      </w:pPr>
      <w:r>
        <w:rPr>
          <w:rFonts w:cstheme="minorHAnsi"/>
          <w:b/>
          <w:sz w:val="24"/>
          <w:szCs w:val="24"/>
        </w:rPr>
        <w:t>Legenda k </w:t>
      </w:r>
      <w:proofErr w:type="gramStart"/>
      <w:r>
        <w:rPr>
          <w:rFonts w:cstheme="minorHAnsi"/>
          <w:b/>
          <w:sz w:val="24"/>
          <w:szCs w:val="24"/>
        </w:rPr>
        <w:t>H.2.</w:t>
      </w:r>
      <w:proofErr w:type="gramEnd"/>
      <w:r>
        <w:rPr>
          <w:rFonts w:cstheme="minorHAnsi"/>
          <w:b/>
          <w:sz w:val="24"/>
          <w:szCs w:val="24"/>
        </w:rPr>
        <w:t xml:space="preserve"> Příloha</w:t>
      </w:r>
      <w:r w:rsidR="008F0C0F" w:rsidRPr="0062347D">
        <w:rPr>
          <w:rFonts w:cstheme="minorHAnsi"/>
          <w:b/>
          <w:sz w:val="24"/>
          <w:szCs w:val="24"/>
        </w:rPr>
        <w:t xml:space="preserve"> Tabulka 1</w:t>
      </w:r>
      <w:r w:rsidR="008F0C0F" w:rsidRPr="0062347D">
        <w:rPr>
          <w:rFonts w:cstheme="minorHAnsi"/>
          <w:sz w:val="24"/>
          <w:szCs w:val="24"/>
        </w:rPr>
        <w:t xml:space="preserve">: </w:t>
      </w:r>
      <w:r w:rsidR="008F0C0F" w:rsidRPr="0062347D">
        <w:rPr>
          <w:rFonts w:cstheme="minorHAnsi"/>
          <w:sz w:val="24"/>
          <w:szCs w:val="24"/>
          <w:lang w:eastAsia="cs-CZ"/>
        </w:rPr>
        <w:t>↑</w:t>
      </w:r>
      <w:r w:rsidR="008F0C0F">
        <w:rPr>
          <w:rFonts w:cstheme="minorHAnsi"/>
          <w:sz w:val="24"/>
          <w:szCs w:val="24"/>
          <w:lang w:eastAsia="cs-CZ"/>
        </w:rPr>
        <w:t> </w:t>
      </w:r>
      <w:r w:rsidR="008F0C0F" w:rsidRPr="0062347D">
        <w:rPr>
          <w:rFonts w:cstheme="minorHAnsi"/>
          <w:sz w:val="24"/>
          <w:szCs w:val="24"/>
          <w:lang w:eastAsia="en-GB"/>
        </w:rPr>
        <w:t>zvýšená</w:t>
      </w:r>
      <w:r w:rsidR="008F0C0F" w:rsidRPr="0062347D">
        <w:rPr>
          <w:rFonts w:cstheme="minorHAnsi"/>
          <w:sz w:val="24"/>
          <w:szCs w:val="24"/>
        </w:rPr>
        <w:t xml:space="preserve"> mRNA exprese; </w:t>
      </w:r>
      <w:r w:rsidR="008F0C0F" w:rsidRPr="0062347D">
        <w:rPr>
          <w:rFonts w:cstheme="minorHAnsi"/>
          <w:sz w:val="24"/>
          <w:szCs w:val="24"/>
          <w:lang w:eastAsia="cs-CZ"/>
        </w:rPr>
        <w:t>↓</w:t>
      </w:r>
      <w:r w:rsidR="008F0C0F">
        <w:rPr>
          <w:rFonts w:cstheme="minorHAnsi"/>
          <w:sz w:val="24"/>
          <w:szCs w:val="24"/>
          <w:lang w:eastAsia="cs-CZ"/>
        </w:rPr>
        <w:t> </w:t>
      </w:r>
      <w:r w:rsidR="008F0C0F" w:rsidRPr="0062347D">
        <w:rPr>
          <w:rFonts w:cstheme="minorHAnsi"/>
          <w:sz w:val="24"/>
          <w:szCs w:val="24"/>
          <w:lang w:eastAsia="en-GB"/>
        </w:rPr>
        <w:t xml:space="preserve">snížená </w:t>
      </w:r>
      <w:r w:rsidR="008F0C0F" w:rsidRPr="0062347D">
        <w:rPr>
          <w:rFonts w:cstheme="minorHAnsi"/>
          <w:sz w:val="24"/>
          <w:szCs w:val="24"/>
        </w:rPr>
        <w:t xml:space="preserve">mRNA exprese; CHOPN, chronická obstrukční plicní nemoc; IIP, </w:t>
      </w:r>
      <w:r w:rsidR="008F0C0F" w:rsidRPr="0062347D">
        <w:rPr>
          <w:rFonts w:cstheme="minorHAnsi"/>
          <w:noProof/>
          <w:sz w:val="24"/>
          <w:szCs w:val="24"/>
        </w:rPr>
        <w:t xml:space="preserve">idiopatická </w:t>
      </w:r>
      <w:r w:rsidR="008F0C0F" w:rsidRPr="0062347D">
        <w:rPr>
          <w:rFonts w:cstheme="minorHAnsi"/>
          <w:sz w:val="24"/>
          <w:szCs w:val="24"/>
        </w:rPr>
        <w:t>intersticiální pneumonie; ns, není signifikantní.</w:t>
      </w:r>
    </w:p>
    <w:p w:rsidR="008F0C0F" w:rsidRPr="0062347D" w:rsidRDefault="008F0C0F" w:rsidP="00284F89">
      <w:pPr>
        <w:spacing w:after="0"/>
        <w:ind w:left="-284"/>
        <w:rPr>
          <w:rFonts w:cstheme="minorHAnsi"/>
          <w:sz w:val="24"/>
          <w:szCs w:val="24"/>
          <w:u w:val="single"/>
        </w:rPr>
      </w:pPr>
      <w:r w:rsidRPr="0062347D">
        <w:rPr>
          <w:rFonts w:cstheme="minorHAnsi"/>
          <w:sz w:val="24"/>
          <w:szCs w:val="24"/>
          <w:u w:val="single"/>
        </w:rPr>
        <w:t>Výsledky Mann-Whitney U testu:</w:t>
      </w:r>
    </w:p>
    <w:p w:rsidR="008F0C0F" w:rsidRPr="0062347D" w:rsidRDefault="008F0C0F" w:rsidP="00284F89">
      <w:pPr>
        <w:spacing w:after="0"/>
        <w:ind w:left="-284"/>
        <w:rPr>
          <w:rFonts w:cstheme="minorHAnsi"/>
          <w:sz w:val="24"/>
          <w:szCs w:val="24"/>
        </w:rPr>
      </w:pPr>
      <w:r w:rsidRPr="0062347D">
        <w:rPr>
          <w:rFonts w:cstheme="minorHAnsi"/>
          <w:sz w:val="24"/>
          <w:szCs w:val="24"/>
        </w:rPr>
        <w:t>Analýza provedená bez ohledu na kouření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w:t>
      </w:r>
    </w:p>
    <w:p w:rsidR="008F0C0F" w:rsidRPr="0062347D" w:rsidRDefault="008F0C0F" w:rsidP="00284F89">
      <w:pPr>
        <w:autoSpaceDE w:val="0"/>
        <w:autoSpaceDN w:val="0"/>
        <w:adjustRightInd w:val="0"/>
        <w:spacing w:after="0"/>
        <w:ind w:left="-284"/>
        <w:rPr>
          <w:rFonts w:cstheme="minorHAnsi"/>
          <w:sz w:val="24"/>
          <w:szCs w:val="24"/>
        </w:rPr>
      </w:pPr>
      <w:r w:rsidRPr="0062347D">
        <w:rPr>
          <w:rFonts w:cstheme="minorHAnsi"/>
          <w:sz w:val="24"/>
          <w:szCs w:val="24"/>
        </w:rPr>
        <w:t xml:space="preserve">Současní kuřáci a ex-kuřáci </w:t>
      </w:r>
      <w:r w:rsidRPr="0062347D">
        <w:rPr>
          <w:rFonts w:ascii="Arial" w:hAnsi="Arial" w:cs="Arial"/>
          <w:sz w:val="24"/>
          <w:szCs w:val="24"/>
          <w:lang w:eastAsia="cs-CZ"/>
        </w:rPr>
        <w:t>♦♦</w:t>
      </w:r>
      <w:r w:rsidRPr="0062347D">
        <w:rPr>
          <w:rFonts w:cstheme="minorHAnsi"/>
          <w:sz w:val="24"/>
          <w:szCs w:val="24"/>
        </w:rPr>
        <w:t>p</w:t>
      </w:r>
      <w:r>
        <w:rPr>
          <w:rFonts w:cstheme="minorHAnsi"/>
          <w:sz w:val="24"/>
          <w:szCs w:val="24"/>
        </w:rPr>
        <w:t> </w:t>
      </w:r>
      <w:r w:rsidRPr="0062347D">
        <w:rPr>
          <w:rFonts w:cstheme="minorHAnsi"/>
          <w:sz w:val="24"/>
          <w:szCs w:val="24"/>
        </w:rPr>
        <w:t>&lt;</w:t>
      </w:r>
      <w:r>
        <w:rPr>
          <w:rFonts w:cstheme="minorHAnsi"/>
          <w:sz w:val="24"/>
          <w:szCs w:val="24"/>
        </w:rPr>
        <w:t> </w:t>
      </w:r>
      <w:r w:rsidR="00310ED8">
        <w:rPr>
          <w:rFonts w:cstheme="minorHAnsi"/>
          <w:sz w:val="24"/>
          <w:szCs w:val="24"/>
        </w:rPr>
        <w:t>0,01;</w:t>
      </w:r>
      <w:r w:rsidRPr="0062347D">
        <w:rPr>
          <w:rFonts w:cstheme="minorHAnsi"/>
          <w:sz w:val="24"/>
          <w:szCs w:val="24"/>
        </w:rPr>
        <w:t xml:space="preserve"> </w:t>
      </w:r>
      <w:r w:rsidRPr="0062347D">
        <w:rPr>
          <w:rFonts w:ascii="Arial" w:hAnsi="Arial" w:cs="Arial"/>
          <w:sz w:val="24"/>
          <w:szCs w:val="24"/>
          <w:lang w:eastAsia="cs-CZ"/>
        </w:rPr>
        <w:t>♦</w:t>
      </w:r>
      <w:r w:rsidRPr="0062347D">
        <w:rPr>
          <w:rFonts w:cstheme="minorHAnsi"/>
          <w:sz w:val="24"/>
          <w:szCs w:val="24"/>
        </w:rPr>
        <w:t>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w:t>
      </w:r>
    </w:p>
    <w:p w:rsidR="008F0C0F" w:rsidRPr="0062347D" w:rsidRDefault="008F0C0F" w:rsidP="00284F89">
      <w:pPr>
        <w:spacing w:after="0"/>
        <w:ind w:left="-284"/>
        <w:rPr>
          <w:rFonts w:cstheme="minorHAnsi"/>
          <w:sz w:val="24"/>
          <w:szCs w:val="24"/>
          <w:u w:val="single"/>
        </w:rPr>
      </w:pPr>
      <w:r w:rsidRPr="0062347D">
        <w:rPr>
          <w:rFonts w:cstheme="minorHAnsi"/>
          <w:sz w:val="24"/>
          <w:szCs w:val="24"/>
          <w:u w:val="single"/>
        </w:rPr>
        <w:t xml:space="preserve">Výsledky Dunnova testu mnohonásobného porovnání: </w:t>
      </w:r>
    </w:p>
    <w:p w:rsidR="008F0C0F" w:rsidRPr="0062347D" w:rsidRDefault="008F0C0F" w:rsidP="00284F89">
      <w:pPr>
        <w:spacing w:after="0"/>
        <w:ind w:left="-284"/>
        <w:rPr>
          <w:rFonts w:cstheme="minorHAnsi"/>
          <w:sz w:val="24"/>
          <w:szCs w:val="24"/>
        </w:rPr>
      </w:pPr>
      <w:r w:rsidRPr="0062347D">
        <w:rPr>
          <w:rFonts w:cstheme="minorHAnsi"/>
          <w:sz w:val="24"/>
          <w:szCs w:val="24"/>
        </w:rPr>
        <w:t>Mnohonásobné porovnání bez ohledu na kouření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0,01;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w:t>
      </w:r>
    </w:p>
    <w:p w:rsidR="008F0C0F" w:rsidRPr="0062347D" w:rsidRDefault="008F0C0F" w:rsidP="00284F89">
      <w:pPr>
        <w:spacing w:after="0"/>
        <w:ind w:left="-284"/>
        <w:rPr>
          <w:rFonts w:cstheme="minorHAnsi"/>
          <w:sz w:val="24"/>
          <w:szCs w:val="24"/>
        </w:rPr>
      </w:pPr>
      <w:r w:rsidRPr="0062347D">
        <w:rPr>
          <w:rFonts w:cstheme="minorHAnsi"/>
          <w:sz w:val="24"/>
          <w:szCs w:val="24"/>
        </w:rPr>
        <w:t>Mnohonásobné porovnání u nekuřáků: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0,001; ##p</w:t>
      </w:r>
      <w:r>
        <w:rPr>
          <w:rFonts w:cstheme="minorHAnsi"/>
          <w:sz w:val="24"/>
          <w:szCs w:val="24"/>
        </w:rPr>
        <w:t> </w:t>
      </w:r>
      <w:r w:rsidRPr="0062347D">
        <w:rPr>
          <w:rFonts w:cstheme="minorHAnsi"/>
          <w:sz w:val="24"/>
          <w:szCs w:val="24"/>
        </w:rPr>
        <w:t>&lt;</w:t>
      </w:r>
      <w:r>
        <w:rPr>
          <w:rFonts w:cstheme="minorHAnsi"/>
          <w:sz w:val="24"/>
          <w:szCs w:val="24"/>
        </w:rPr>
        <w:t> </w:t>
      </w:r>
      <w:r w:rsidR="00310ED8">
        <w:rPr>
          <w:rFonts w:cstheme="minorHAnsi"/>
          <w:sz w:val="24"/>
          <w:szCs w:val="24"/>
        </w:rPr>
        <w:t>0,01;</w:t>
      </w:r>
      <w:r w:rsidRPr="0062347D">
        <w:rPr>
          <w:rFonts w:cstheme="minorHAnsi"/>
          <w:sz w:val="24"/>
          <w:szCs w:val="24"/>
        </w:rPr>
        <w:t xml:space="preserve"> #p</w:t>
      </w:r>
      <w:r>
        <w:rPr>
          <w:rFonts w:cstheme="minorHAnsi"/>
          <w:sz w:val="24"/>
          <w:szCs w:val="24"/>
        </w:rPr>
        <w:t> </w:t>
      </w:r>
      <w:r w:rsidRPr="0062347D">
        <w:rPr>
          <w:rFonts w:cstheme="minorHAnsi"/>
          <w:sz w:val="24"/>
          <w:szCs w:val="24"/>
        </w:rPr>
        <w:t>&lt;</w:t>
      </w:r>
      <w:r>
        <w:rPr>
          <w:rFonts w:cstheme="minorHAnsi"/>
          <w:sz w:val="24"/>
          <w:szCs w:val="24"/>
        </w:rPr>
        <w:t> </w:t>
      </w:r>
      <w:r w:rsidRPr="0062347D">
        <w:rPr>
          <w:rFonts w:cstheme="minorHAnsi"/>
          <w:sz w:val="24"/>
          <w:szCs w:val="24"/>
        </w:rPr>
        <w:t>0,05</w:t>
      </w:r>
    </w:p>
    <w:p w:rsidR="008F0C0F" w:rsidRPr="0062347D" w:rsidRDefault="008F0C0F" w:rsidP="00284F89">
      <w:pPr>
        <w:rPr>
          <w:rFonts w:cstheme="minorHAnsi"/>
          <w:sz w:val="24"/>
          <w:szCs w:val="24"/>
        </w:rPr>
        <w:sectPr w:rsidR="008F0C0F" w:rsidRPr="0062347D" w:rsidSect="007263E7">
          <w:pgSz w:w="16838" w:h="11906" w:orient="landscape"/>
          <w:pgMar w:top="1418" w:right="992" w:bottom="1418" w:left="1418" w:header="709" w:footer="709" w:gutter="0"/>
          <w:cols w:space="708"/>
          <w:docGrid w:linePitch="360"/>
        </w:sectPr>
      </w:pPr>
    </w:p>
    <w:p w:rsidR="008F0C0F" w:rsidRPr="00E663BF" w:rsidRDefault="008F0C0F" w:rsidP="00284F89">
      <w:pPr>
        <w:pStyle w:val="Nadpis1"/>
        <w:rPr>
          <w:rFonts w:cstheme="minorHAnsi"/>
          <w:sz w:val="24"/>
          <w:szCs w:val="24"/>
        </w:rPr>
      </w:pPr>
      <w:bookmarkStart w:id="70" w:name="_Toc69543058"/>
      <w:r w:rsidRPr="0062347D">
        <w:rPr>
          <w:rFonts w:cstheme="minorHAnsi"/>
          <w:sz w:val="24"/>
          <w:szCs w:val="24"/>
        </w:rPr>
        <w:lastRenderedPageBreak/>
        <w:t>Seznam literatury</w:t>
      </w:r>
      <w:bookmarkEnd w:id="70"/>
    </w:p>
    <w:p w:rsidR="008F0C0F" w:rsidRPr="002D3DE0" w:rsidRDefault="00AF0D6F" w:rsidP="002D3DE0">
      <w:pPr>
        <w:spacing w:before="240" w:after="0"/>
        <w:jc w:val="both"/>
        <w:rPr>
          <w:rFonts w:cstheme="minorHAnsi"/>
          <w:noProof/>
          <w:sz w:val="24"/>
          <w:szCs w:val="24"/>
        </w:rPr>
      </w:pPr>
      <w:bookmarkStart w:id="71" w:name="_ENREF_1"/>
      <w:r>
        <w:rPr>
          <w:rFonts w:cstheme="minorHAnsi"/>
          <w:noProof/>
          <w:sz w:val="24"/>
          <w:szCs w:val="24"/>
        </w:rPr>
        <w:t>Abdelmohsen, K. a</w:t>
      </w:r>
      <w:r w:rsidR="008F0C0F" w:rsidRPr="002D3DE0">
        <w:rPr>
          <w:rFonts w:cstheme="minorHAnsi"/>
          <w:noProof/>
          <w:sz w:val="24"/>
          <w:szCs w:val="24"/>
        </w:rPr>
        <w:t xml:space="preserve"> M. Gorospe. "RNA-binding protein nucleolin in disease." </w:t>
      </w:r>
      <w:r w:rsidR="008F0C0F" w:rsidRPr="002D3DE0">
        <w:rPr>
          <w:rFonts w:cstheme="minorHAnsi"/>
          <w:noProof/>
          <w:sz w:val="24"/>
          <w:szCs w:val="24"/>
          <w:u w:val="single"/>
        </w:rPr>
        <w:t>RNA biology</w:t>
      </w:r>
      <w:r w:rsidR="008F0C0F" w:rsidRPr="002D3DE0">
        <w:rPr>
          <w:rFonts w:cstheme="minorHAnsi"/>
          <w:noProof/>
          <w:sz w:val="24"/>
          <w:szCs w:val="24"/>
        </w:rPr>
        <w:t xml:space="preserve"> </w:t>
      </w:r>
      <w:r w:rsidR="003749B7" w:rsidRPr="003349B8">
        <w:rPr>
          <w:rFonts w:cstheme="minorHAnsi"/>
          <w:noProof/>
          <w:sz w:val="24"/>
          <w:szCs w:val="24"/>
        </w:rPr>
        <w:t>2012</w:t>
      </w:r>
      <w:r w:rsidR="003749B7">
        <w:rPr>
          <w:rFonts w:cstheme="minorHAnsi"/>
          <w:noProof/>
          <w:sz w:val="24"/>
          <w:szCs w:val="24"/>
        </w:rPr>
        <w:t xml:space="preserve">; </w:t>
      </w:r>
      <w:r w:rsidR="008F0C0F" w:rsidRPr="002D3DE0">
        <w:rPr>
          <w:rFonts w:cstheme="minorHAnsi"/>
          <w:b/>
          <w:noProof/>
          <w:sz w:val="24"/>
          <w:szCs w:val="24"/>
        </w:rPr>
        <w:t>9</w:t>
      </w:r>
      <w:r w:rsidR="008F0C0F" w:rsidRPr="002D3DE0">
        <w:rPr>
          <w:rFonts w:cstheme="minorHAnsi"/>
          <w:noProof/>
          <w:sz w:val="24"/>
          <w:szCs w:val="24"/>
        </w:rPr>
        <w:t>(6): 799-808.</w:t>
      </w:r>
      <w:bookmarkEnd w:id="71"/>
    </w:p>
    <w:p w:rsidR="008F0C0F" w:rsidRPr="002D3DE0" w:rsidRDefault="008F0C0F" w:rsidP="002D3DE0">
      <w:pPr>
        <w:spacing w:before="240" w:after="0"/>
        <w:jc w:val="both"/>
        <w:rPr>
          <w:rFonts w:cstheme="minorHAnsi"/>
          <w:noProof/>
          <w:sz w:val="24"/>
          <w:szCs w:val="24"/>
        </w:rPr>
      </w:pPr>
      <w:bookmarkStart w:id="72" w:name="_ENREF_2"/>
      <w:r w:rsidRPr="002D3DE0">
        <w:rPr>
          <w:rFonts w:cstheme="minorHAnsi"/>
          <w:noProof/>
          <w:sz w:val="24"/>
          <w:szCs w:val="24"/>
        </w:rPr>
        <w:t>Andersen, C. L., J. L.</w:t>
      </w:r>
      <w:r w:rsidR="00AF0D6F">
        <w:rPr>
          <w:rFonts w:cstheme="minorHAnsi"/>
          <w:noProof/>
          <w:sz w:val="24"/>
          <w:szCs w:val="24"/>
        </w:rPr>
        <w:t xml:space="preserve"> Jensen a</w:t>
      </w:r>
      <w:r w:rsidR="004B549B">
        <w:rPr>
          <w:rFonts w:cstheme="minorHAnsi"/>
          <w:noProof/>
          <w:sz w:val="24"/>
          <w:szCs w:val="24"/>
        </w:rPr>
        <w:t xml:space="preserve"> T. F. Ørntoft.</w:t>
      </w:r>
      <w:r w:rsidRPr="002D3DE0">
        <w:rPr>
          <w:rFonts w:cstheme="minorHAnsi"/>
          <w:noProof/>
          <w:sz w:val="24"/>
          <w:szCs w:val="24"/>
        </w:rPr>
        <w:t xml:space="preserve"> "Normalization of Real-Time Quantitative Reverse Transcription-PCR Data: A Model-Based Variance Estimation Approach to Identify Genes Suited for Normalization, Applied to Bladder and Colon Cancer Data Sets." </w:t>
      </w:r>
      <w:r w:rsidRPr="002D3DE0">
        <w:rPr>
          <w:rFonts w:cstheme="minorHAnsi"/>
          <w:noProof/>
          <w:sz w:val="24"/>
          <w:szCs w:val="24"/>
          <w:u w:val="single"/>
        </w:rPr>
        <w:t>Cancer Research</w:t>
      </w:r>
      <w:r w:rsidR="003749B7">
        <w:rPr>
          <w:rFonts w:cstheme="minorHAnsi"/>
          <w:noProof/>
          <w:sz w:val="24"/>
          <w:szCs w:val="24"/>
        </w:rPr>
        <w:t xml:space="preserve"> 2004;</w:t>
      </w:r>
      <w:r w:rsidR="00304D0B">
        <w:rPr>
          <w:rFonts w:cstheme="minorHAnsi"/>
          <w:noProof/>
          <w:sz w:val="24"/>
          <w:szCs w:val="24"/>
        </w:rPr>
        <w:t xml:space="preserve"> </w:t>
      </w:r>
      <w:r w:rsidR="00304D0B" w:rsidRPr="002D3DE0">
        <w:rPr>
          <w:rFonts w:cstheme="minorHAnsi"/>
          <w:b/>
          <w:noProof/>
          <w:sz w:val="24"/>
          <w:szCs w:val="24"/>
        </w:rPr>
        <w:t>64</w:t>
      </w:r>
      <w:r w:rsidR="00304D0B">
        <w:rPr>
          <w:rFonts w:cstheme="minorHAnsi"/>
          <w:noProof/>
          <w:sz w:val="24"/>
          <w:szCs w:val="24"/>
        </w:rPr>
        <w:t>(15):</w:t>
      </w:r>
      <w:r w:rsidRPr="002D3DE0">
        <w:rPr>
          <w:rFonts w:cstheme="minorHAnsi"/>
          <w:noProof/>
          <w:sz w:val="24"/>
          <w:szCs w:val="24"/>
        </w:rPr>
        <w:t xml:space="preserve"> 5245-5250.</w:t>
      </w:r>
      <w:bookmarkEnd w:id="72"/>
    </w:p>
    <w:p w:rsidR="008F0C0F" w:rsidRPr="002D3DE0" w:rsidRDefault="008F0C0F" w:rsidP="002D3766">
      <w:pPr>
        <w:spacing w:before="240" w:after="0"/>
        <w:jc w:val="both"/>
        <w:rPr>
          <w:rFonts w:cstheme="minorHAnsi"/>
          <w:noProof/>
          <w:sz w:val="24"/>
          <w:szCs w:val="24"/>
        </w:rPr>
      </w:pPr>
      <w:bookmarkStart w:id="73" w:name="_ENREF_3"/>
      <w:r w:rsidRPr="002D3DE0">
        <w:rPr>
          <w:rFonts w:cstheme="minorHAnsi"/>
          <w:noProof/>
          <w:sz w:val="24"/>
          <w:szCs w:val="24"/>
        </w:rPr>
        <w:t xml:space="preserve">Anderson, P. "Post-transcriptional regulons coordinate the initiation and resolution of inflammation." </w:t>
      </w:r>
      <w:r w:rsidRPr="002D3DE0">
        <w:rPr>
          <w:rFonts w:cstheme="minorHAnsi"/>
          <w:noProof/>
          <w:sz w:val="24"/>
          <w:szCs w:val="24"/>
          <w:u w:val="single"/>
        </w:rPr>
        <w:t>Nature Reviews Immunology</w:t>
      </w:r>
      <w:r w:rsidR="00304D0B" w:rsidRPr="002D3DE0">
        <w:rPr>
          <w:rFonts w:cstheme="minorHAnsi"/>
          <w:noProof/>
          <w:sz w:val="24"/>
          <w:szCs w:val="24"/>
        </w:rPr>
        <w:t xml:space="preserve"> 2010</w:t>
      </w:r>
      <w:r w:rsidR="00304D0B" w:rsidRPr="002D3766">
        <w:rPr>
          <w:rFonts w:cstheme="minorHAnsi"/>
          <w:noProof/>
          <w:sz w:val="24"/>
          <w:szCs w:val="24"/>
        </w:rPr>
        <w:t>;</w:t>
      </w:r>
      <w:r w:rsidRPr="002D3DE0">
        <w:rPr>
          <w:rFonts w:cstheme="minorHAnsi"/>
          <w:noProof/>
          <w:sz w:val="24"/>
          <w:szCs w:val="24"/>
        </w:rPr>
        <w:t xml:space="preserve"> </w:t>
      </w:r>
      <w:r w:rsidRPr="002D3DE0">
        <w:rPr>
          <w:rFonts w:cstheme="minorHAnsi"/>
          <w:b/>
          <w:noProof/>
          <w:sz w:val="24"/>
          <w:szCs w:val="24"/>
        </w:rPr>
        <w:t>10</w:t>
      </w:r>
      <w:r w:rsidRPr="002D3DE0">
        <w:rPr>
          <w:rFonts w:cstheme="minorHAnsi"/>
          <w:noProof/>
          <w:sz w:val="24"/>
          <w:szCs w:val="24"/>
        </w:rPr>
        <w:t>(1): 24-35.</w:t>
      </w:r>
      <w:bookmarkEnd w:id="73"/>
    </w:p>
    <w:p w:rsidR="008F0C0F" w:rsidRPr="002D3DE0" w:rsidRDefault="008F0C0F" w:rsidP="002D3DE0">
      <w:pPr>
        <w:spacing w:before="240" w:after="0"/>
        <w:jc w:val="both"/>
        <w:rPr>
          <w:rFonts w:cstheme="minorHAnsi"/>
          <w:noProof/>
          <w:sz w:val="24"/>
          <w:szCs w:val="24"/>
        </w:rPr>
      </w:pPr>
      <w:bookmarkStart w:id="74" w:name="_ENREF_5"/>
      <w:r w:rsidRPr="002D3DE0">
        <w:rPr>
          <w:rFonts w:cstheme="minorHAnsi"/>
          <w:noProof/>
          <w:sz w:val="24"/>
          <w:szCs w:val="24"/>
        </w:rPr>
        <w:t>And</w:t>
      </w:r>
      <w:r w:rsidR="00AF0D6F">
        <w:rPr>
          <w:rFonts w:cstheme="minorHAnsi"/>
          <w:noProof/>
          <w:sz w:val="24"/>
          <w:szCs w:val="24"/>
        </w:rPr>
        <w:t>o, M., K. Konishi, R. Yoneda a</w:t>
      </w:r>
      <w:r w:rsidRPr="002D3DE0">
        <w:rPr>
          <w:rFonts w:cstheme="minorHAnsi"/>
          <w:noProof/>
          <w:sz w:val="24"/>
          <w:szCs w:val="24"/>
        </w:rPr>
        <w:t xml:space="preserve"> M. Tamura. "Difference in the phenotypes of bronchoalveolar lavage lymphocytes in patients with summer-type hypersensitivity pneumonitis, farmer's lung, ventilation pneumonitis, and bird fancier's lung: report of a nationwide epidemiologic study in Japan." </w:t>
      </w:r>
      <w:r w:rsidRPr="002D3DE0">
        <w:rPr>
          <w:rFonts w:cstheme="minorHAnsi"/>
          <w:noProof/>
          <w:sz w:val="24"/>
          <w:szCs w:val="24"/>
          <w:u w:val="single"/>
        </w:rPr>
        <w:t>The Journal of Allergy and Clinical immunology</w:t>
      </w:r>
      <w:r w:rsidRPr="002D3DE0">
        <w:rPr>
          <w:rFonts w:cstheme="minorHAnsi"/>
          <w:noProof/>
          <w:sz w:val="24"/>
          <w:szCs w:val="24"/>
        </w:rPr>
        <w:t xml:space="preserve"> </w:t>
      </w:r>
      <w:r w:rsidR="002D3766" w:rsidRPr="002D3DE0">
        <w:rPr>
          <w:rFonts w:cstheme="minorHAnsi"/>
          <w:noProof/>
          <w:sz w:val="24"/>
          <w:szCs w:val="24"/>
        </w:rPr>
        <w:t>1991</w:t>
      </w:r>
      <w:r w:rsidR="002D3766">
        <w:rPr>
          <w:rFonts w:cstheme="minorHAnsi"/>
          <w:noProof/>
          <w:sz w:val="24"/>
          <w:szCs w:val="24"/>
        </w:rPr>
        <w:t xml:space="preserve">; </w:t>
      </w:r>
      <w:r w:rsidRPr="002D3DE0">
        <w:rPr>
          <w:rFonts w:cstheme="minorHAnsi"/>
          <w:b/>
          <w:noProof/>
          <w:sz w:val="24"/>
          <w:szCs w:val="24"/>
        </w:rPr>
        <w:t>87</w:t>
      </w:r>
      <w:r w:rsidRPr="002D3DE0">
        <w:rPr>
          <w:rFonts w:cstheme="minorHAnsi"/>
          <w:noProof/>
          <w:sz w:val="24"/>
          <w:szCs w:val="24"/>
        </w:rPr>
        <w:t>(5): 1002-1009.</w:t>
      </w:r>
      <w:bookmarkEnd w:id="74"/>
    </w:p>
    <w:p w:rsidR="008F0C0F" w:rsidRPr="002D3DE0" w:rsidRDefault="008F0C0F" w:rsidP="002D3DE0">
      <w:pPr>
        <w:spacing w:before="240" w:after="0"/>
        <w:jc w:val="both"/>
        <w:rPr>
          <w:rFonts w:cstheme="minorHAnsi"/>
          <w:noProof/>
          <w:sz w:val="24"/>
          <w:szCs w:val="24"/>
        </w:rPr>
      </w:pPr>
      <w:bookmarkStart w:id="75" w:name="_ENREF_6"/>
      <w:r w:rsidRPr="002D3DE0">
        <w:rPr>
          <w:rFonts w:cstheme="minorHAnsi"/>
          <w:noProof/>
          <w:sz w:val="24"/>
          <w:szCs w:val="24"/>
        </w:rPr>
        <w:t>Antoniou, K. M., G. A. Margaritopoulos, S. Tomassetti, F. Bonella, U</w:t>
      </w:r>
      <w:r w:rsidR="00AF0D6F">
        <w:rPr>
          <w:rFonts w:cstheme="minorHAnsi"/>
          <w:noProof/>
          <w:sz w:val="24"/>
          <w:szCs w:val="24"/>
        </w:rPr>
        <w:t>. Costabel a</w:t>
      </w:r>
      <w:r w:rsidR="00555E41">
        <w:rPr>
          <w:rFonts w:cstheme="minorHAnsi"/>
          <w:noProof/>
          <w:sz w:val="24"/>
          <w:szCs w:val="24"/>
        </w:rPr>
        <w:t xml:space="preserve"> V. Poletti</w:t>
      </w:r>
      <w:r w:rsidRPr="002D3DE0">
        <w:rPr>
          <w:rFonts w:cstheme="minorHAnsi"/>
          <w:noProof/>
          <w:sz w:val="24"/>
          <w:szCs w:val="24"/>
        </w:rPr>
        <w:t xml:space="preserve">. "Interstitial lung disease." </w:t>
      </w:r>
      <w:r w:rsidRPr="002D3DE0">
        <w:rPr>
          <w:rFonts w:cstheme="minorHAnsi"/>
          <w:noProof/>
          <w:sz w:val="24"/>
          <w:szCs w:val="24"/>
          <w:u w:val="single"/>
        </w:rPr>
        <w:t>European Respiratory Review</w:t>
      </w:r>
      <w:r w:rsidRPr="002D3DE0">
        <w:rPr>
          <w:rFonts w:cstheme="minorHAnsi"/>
          <w:noProof/>
          <w:sz w:val="24"/>
          <w:szCs w:val="24"/>
        </w:rPr>
        <w:t xml:space="preserve"> </w:t>
      </w:r>
      <w:r w:rsidR="00555E41">
        <w:rPr>
          <w:rFonts w:cstheme="minorHAnsi"/>
          <w:noProof/>
          <w:sz w:val="24"/>
          <w:szCs w:val="24"/>
        </w:rPr>
        <w:t xml:space="preserve">2014; </w:t>
      </w:r>
      <w:r w:rsidRPr="002D3DE0">
        <w:rPr>
          <w:rFonts w:cstheme="minorHAnsi"/>
          <w:b/>
          <w:noProof/>
          <w:sz w:val="24"/>
          <w:szCs w:val="24"/>
        </w:rPr>
        <w:t>23</w:t>
      </w:r>
      <w:r w:rsidRPr="002D3DE0">
        <w:rPr>
          <w:rFonts w:cstheme="minorHAnsi"/>
          <w:noProof/>
          <w:sz w:val="24"/>
          <w:szCs w:val="24"/>
        </w:rPr>
        <w:t>(131): 40-54.</w:t>
      </w:r>
      <w:bookmarkEnd w:id="75"/>
    </w:p>
    <w:p w:rsidR="008F0C0F" w:rsidRPr="002D3DE0" w:rsidRDefault="008F0C0F" w:rsidP="002D3DE0">
      <w:pPr>
        <w:spacing w:before="240" w:after="0"/>
        <w:jc w:val="both"/>
        <w:rPr>
          <w:rFonts w:cstheme="minorHAnsi"/>
          <w:noProof/>
          <w:sz w:val="24"/>
          <w:szCs w:val="24"/>
        </w:rPr>
      </w:pPr>
      <w:bookmarkStart w:id="76" w:name="_ENREF_7"/>
      <w:r w:rsidRPr="002D3DE0">
        <w:rPr>
          <w:rFonts w:cstheme="minorHAnsi"/>
          <w:noProof/>
          <w:sz w:val="24"/>
          <w:szCs w:val="24"/>
        </w:rPr>
        <w:t>Antoniou, K. M., G. Soufla, A. Proklou, G. Margaritopoulos, C. Choulaki, R. Lymbouridou, K. D. Samara, D. A. Spa</w:t>
      </w:r>
      <w:r w:rsidR="00AF0D6F">
        <w:rPr>
          <w:rFonts w:cstheme="minorHAnsi"/>
          <w:noProof/>
          <w:sz w:val="24"/>
          <w:szCs w:val="24"/>
        </w:rPr>
        <w:t>ndidos a</w:t>
      </w:r>
      <w:r w:rsidR="00555E41">
        <w:rPr>
          <w:rFonts w:cstheme="minorHAnsi"/>
          <w:noProof/>
          <w:sz w:val="24"/>
          <w:szCs w:val="24"/>
        </w:rPr>
        <w:t xml:space="preserve"> N. M. Siafakas</w:t>
      </w:r>
      <w:r w:rsidRPr="002D3DE0">
        <w:rPr>
          <w:rFonts w:cstheme="minorHAnsi"/>
          <w:noProof/>
          <w:sz w:val="24"/>
          <w:szCs w:val="24"/>
        </w:rPr>
        <w:t xml:space="preserve">. "Different activity of the biological axis VEGF-Flt-1 (fms-like tyrosine kinase 1) and CXC chemokines between pulmonary sarcoidosis and idiopathic pulmonary fibrosis: a bronchoalveolar lavage study." </w:t>
      </w:r>
      <w:r w:rsidR="00555E41">
        <w:rPr>
          <w:rFonts w:cstheme="minorHAnsi"/>
          <w:noProof/>
          <w:sz w:val="24"/>
          <w:szCs w:val="24"/>
          <w:u w:val="single"/>
        </w:rPr>
        <w:t>Clinical &amp; Developmental I</w:t>
      </w:r>
      <w:r w:rsidRPr="002D3DE0">
        <w:rPr>
          <w:rFonts w:cstheme="minorHAnsi"/>
          <w:noProof/>
          <w:sz w:val="24"/>
          <w:szCs w:val="24"/>
          <w:u w:val="single"/>
        </w:rPr>
        <w:t>mmunology</w:t>
      </w:r>
      <w:r w:rsidRPr="002D3DE0">
        <w:rPr>
          <w:rFonts w:cstheme="minorHAnsi"/>
          <w:noProof/>
          <w:sz w:val="24"/>
          <w:szCs w:val="24"/>
        </w:rPr>
        <w:t xml:space="preserve"> 2009: 1-8.</w:t>
      </w:r>
      <w:bookmarkEnd w:id="76"/>
    </w:p>
    <w:p w:rsidR="008F0C0F" w:rsidRPr="002D3DE0" w:rsidRDefault="008F0C0F" w:rsidP="002D3DE0">
      <w:pPr>
        <w:spacing w:before="240" w:after="0"/>
        <w:jc w:val="both"/>
        <w:rPr>
          <w:rFonts w:cstheme="minorHAnsi"/>
          <w:noProof/>
          <w:sz w:val="24"/>
          <w:szCs w:val="24"/>
        </w:rPr>
      </w:pPr>
      <w:bookmarkStart w:id="77" w:name="_ENREF_8"/>
      <w:r w:rsidRPr="002D3DE0">
        <w:rPr>
          <w:rFonts w:cstheme="minorHAnsi"/>
          <w:noProof/>
          <w:sz w:val="24"/>
          <w:szCs w:val="24"/>
        </w:rPr>
        <w:t xml:space="preserve">ATS a ERS (2002). "American Thoracic Society/European Respiratory Society International Multidisciplinary Consensus Classification of the Idiopathic Interstitial Pneumonias. This joint statement of the American Thoracic Society (ATS), and the European Respiratory Society (ERS) was adopted by the ATS board of directors, June 2001 and by the ERS Executive Committee, June 2001." </w:t>
      </w:r>
      <w:r w:rsidRPr="002D3DE0">
        <w:rPr>
          <w:rFonts w:cstheme="minorHAnsi"/>
          <w:noProof/>
          <w:sz w:val="24"/>
          <w:szCs w:val="24"/>
          <w:u w:val="single"/>
        </w:rPr>
        <w:t>American Journal of Respiratory and Critical Care Medicine</w:t>
      </w:r>
      <w:r w:rsidRPr="002D3DE0">
        <w:rPr>
          <w:rFonts w:cstheme="minorHAnsi"/>
          <w:noProof/>
          <w:sz w:val="24"/>
          <w:szCs w:val="24"/>
        </w:rPr>
        <w:t xml:space="preserve"> </w:t>
      </w:r>
      <w:r w:rsidR="004B549B">
        <w:rPr>
          <w:rFonts w:cstheme="minorHAnsi"/>
          <w:noProof/>
          <w:sz w:val="24"/>
          <w:szCs w:val="24"/>
        </w:rPr>
        <w:t xml:space="preserve">2002; </w:t>
      </w:r>
      <w:r w:rsidRPr="002D3DE0">
        <w:rPr>
          <w:rFonts w:cstheme="minorHAnsi"/>
          <w:b/>
          <w:noProof/>
          <w:sz w:val="24"/>
          <w:szCs w:val="24"/>
        </w:rPr>
        <w:t>165</w:t>
      </w:r>
      <w:r w:rsidRPr="002D3DE0">
        <w:rPr>
          <w:rFonts w:cstheme="minorHAnsi"/>
          <w:noProof/>
          <w:sz w:val="24"/>
          <w:szCs w:val="24"/>
        </w:rPr>
        <w:t>(2): 277-304.</w:t>
      </w:r>
      <w:bookmarkEnd w:id="77"/>
    </w:p>
    <w:p w:rsidR="008F0C0F" w:rsidRPr="002D3DE0" w:rsidRDefault="008F0C0F" w:rsidP="002D3DE0">
      <w:pPr>
        <w:spacing w:before="240" w:after="0"/>
        <w:jc w:val="both"/>
        <w:rPr>
          <w:rFonts w:cstheme="minorHAnsi"/>
          <w:noProof/>
          <w:sz w:val="24"/>
          <w:szCs w:val="24"/>
        </w:rPr>
      </w:pPr>
      <w:bookmarkStart w:id="78" w:name="_ENREF_9"/>
      <w:r w:rsidRPr="002D3DE0">
        <w:rPr>
          <w:rFonts w:cstheme="minorHAnsi"/>
          <w:noProof/>
          <w:sz w:val="24"/>
          <w:szCs w:val="24"/>
        </w:rPr>
        <w:t>Augusti, A., R. Beasley, B. R. Celli, R. Chen, G. Crine</w:t>
      </w:r>
      <w:r w:rsidR="00AF0D6F">
        <w:rPr>
          <w:rFonts w:cstheme="minorHAnsi"/>
          <w:noProof/>
          <w:sz w:val="24"/>
          <w:szCs w:val="24"/>
        </w:rPr>
        <w:t xml:space="preserve">r, P. Frith a </w:t>
      </w:r>
      <w:r w:rsidR="004B549B">
        <w:rPr>
          <w:rFonts w:cstheme="minorHAnsi"/>
          <w:noProof/>
          <w:sz w:val="24"/>
          <w:szCs w:val="24"/>
        </w:rPr>
        <w:t>D. Halpin</w:t>
      </w:r>
      <w:r w:rsidRPr="002D3DE0">
        <w:rPr>
          <w:rFonts w:cstheme="minorHAnsi"/>
          <w:noProof/>
          <w:sz w:val="24"/>
          <w:szCs w:val="24"/>
        </w:rPr>
        <w:t>. Global Initiative for Chronic Obstructive Lung Disease</w:t>
      </w:r>
      <w:r w:rsidR="004B549B">
        <w:rPr>
          <w:rFonts w:cstheme="minorHAnsi"/>
          <w:noProof/>
          <w:sz w:val="24"/>
          <w:szCs w:val="24"/>
        </w:rPr>
        <w:t xml:space="preserve">. 2020; </w:t>
      </w:r>
      <w:r w:rsidRPr="002D3DE0">
        <w:rPr>
          <w:rFonts w:cstheme="minorHAnsi"/>
          <w:b/>
          <w:noProof/>
          <w:sz w:val="24"/>
          <w:szCs w:val="24"/>
        </w:rPr>
        <w:t xml:space="preserve">: </w:t>
      </w:r>
      <w:r w:rsidRPr="002D3DE0">
        <w:rPr>
          <w:rFonts w:cstheme="minorHAnsi"/>
          <w:noProof/>
          <w:sz w:val="24"/>
          <w:szCs w:val="24"/>
        </w:rPr>
        <w:t>1-62.</w:t>
      </w:r>
      <w:bookmarkEnd w:id="78"/>
    </w:p>
    <w:p w:rsidR="008F0C0F" w:rsidRPr="002D3DE0" w:rsidRDefault="0036389A" w:rsidP="002D3DE0">
      <w:pPr>
        <w:spacing w:before="240" w:after="0"/>
        <w:jc w:val="both"/>
        <w:rPr>
          <w:rFonts w:cstheme="minorHAnsi"/>
          <w:noProof/>
          <w:sz w:val="24"/>
          <w:szCs w:val="24"/>
        </w:rPr>
      </w:pPr>
      <w:bookmarkStart w:id="79" w:name="_ENREF_10"/>
      <w:r>
        <w:rPr>
          <w:rFonts w:cstheme="minorHAnsi"/>
          <w:noProof/>
          <w:sz w:val="24"/>
          <w:szCs w:val="24"/>
        </w:rPr>
        <w:t>Barnes, P. J.</w:t>
      </w:r>
      <w:r w:rsidR="008F0C0F" w:rsidRPr="002D3DE0">
        <w:rPr>
          <w:rFonts w:cstheme="minorHAnsi"/>
          <w:noProof/>
          <w:sz w:val="24"/>
          <w:szCs w:val="24"/>
        </w:rPr>
        <w:t xml:space="preserve"> "Immunology of asthma and chronic obstructive pulmonary disease." </w:t>
      </w:r>
      <w:r w:rsidR="008F0C0F" w:rsidRPr="002D3DE0">
        <w:rPr>
          <w:rFonts w:cstheme="minorHAnsi"/>
          <w:noProof/>
          <w:sz w:val="24"/>
          <w:szCs w:val="24"/>
          <w:u w:val="single"/>
        </w:rPr>
        <w:t>Nature Reviews Immunology</w:t>
      </w:r>
      <w:r w:rsidR="008F0C0F" w:rsidRPr="002D3DE0">
        <w:rPr>
          <w:rFonts w:cstheme="minorHAnsi"/>
          <w:noProof/>
          <w:sz w:val="24"/>
          <w:szCs w:val="24"/>
        </w:rPr>
        <w:t xml:space="preserve"> </w:t>
      </w:r>
      <w:r>
        <w:rPr>
          <w:rFonts w:cstheme="minorHAnsi"/>
          <w:noProof/>
          <w:sz w:val="24"/>
          <w:szCs w:val="24"/>
        </w:rPr>
        <w:t xml:space="preserve">2008; </w:t>
      </w:r>
      <w:r w:rsidR="008F0C0F" w:rsidRPr="002D3DE0">
        <w:rPr>
          <w:rFonts w:cstheme="minorHAnsi"/>
          <w:b/>
          <w:noProof/>
          <w:sz w:val="24"/>
          <w:szCs w:val="24"/>
        </w:rPr>
        <w:t>8</w:t>
      </w:r>
      <w:r w:rsidR="008F0C0F" w:rsidRPr="002D3DE0">
        <w:rPr>
          <w:rFonts w:cstheme="minorHAnsi"/>
          <w:noProof/>
          <w:sz w:val="24"/>
          <w:szCs w:val="24"/>
        </w:rPr>
        <w:t>, 183-192.</w:t>
      </w:r>
      <w:bookmarkEnd w:id="79"/>
    </w:p>
    <w:p w:rsidR="008F0C0F" w:rsidRPr="002D3DE0" w:rsidRDefault="008F0C0F" w:rsidP="002D3DE0">
      <w:pPr>
        <w:spacing w:before="240" w:after="0"/>
        <w:jc w:val="both"/>
        <w:rPr>
          <w:rFonts w:cstheme="minorHAnsi"/>
          <w:noProof/>
          <w:sz w:val="24"/>
          <w:szCs w:val="24"/>
        </w:rPr>
      </w:pPr>
      <w:bookmarkStart w:id="80" w:name="_ENREF_12"/>
      <w:r w:rsidRPr="002D3DE0">
        <w:rPr>
          <w:rFonts w:cstheme="minorHAnsi"/>
          <w:noProof/>
          <w:sz w:val="24"/>
          <w:szCs w:val="24"/>
        </w:rPr>
        <w:t>Barratt, S., A. Creamer, C</w:t>
      </w:r>
      <w:r w:rsidR="0036389A">
        <w:rPr>
          <w:rFonts w:cstheme="minorHAnsi"/>
          <w:noProof/>
          <w:sz w:val="24"/>
          <w:szCs w:val="24"/>
        </w:rPr>
        <w:t xml:space="preserve">. Hayton </w:t>
      </w:r>
      <w:r w:rsidR="00AF0D6F">
        <w:rPr>
          <w:rFonts w:cstheme="minorHAnsi"/>
          <w:noProof/>
          <w:sz w:val="24"/>
          <w:szCs w:val="24"/>
        </w:rPr>
        <w:t>a</w:t>
      </w:r>
      <w:r w:rsidR="0036389A">
        <w:rPr>
          <w:rFonts w:cstheme="minorHAnsi"/>
          <w:noProof/>
          <w:sz w:val="24"/>
          <w:szCs w:val="24"/>
        </w:rPr>
        <w:t xml:space="preserve"> N. Chaudhuri</w:t>
      </w:r>
      <w:r w:rsidRPr="002D3DE0">
        <w:rPr>
          <w:rFonts w:cstheme="minorHAnsi"/>
          <w:noProof/>
          <w:sz w:val="24"/>
          <w:szCs w:val="24"/>
        </w:rPr>
        <w:t xml:space="preserve">. "Idiopathic Pulmonary Fibrosis (IPF): An Overview." </w:t>
      </w:r>
      <w:r w:rsidRPr="002D3DE0">
        <w:rPr>
          <w:rFonts w:cstheme="minorHAnsi"/>
          <w:noProof/>
          <w:sz w:val="24"/>
          <w:szCs w:val="24"/>
          <w:u w:val="single"/>
        </w:rPr>
        <w:t>Journal of Clinical Medicine</w:t>
      </w:r>
      <w:r w:rsidR="0036389A" w:rsidRPr="0036389A">
        <w:rPr>
          <w:rFonts w:cstheme="minorHAnsi"/>
          <w:noProof/>
          <w:sz w:val="24"/>
          <w:szCs w:val="24"/>
        </w:rPr>
        <w:t xml:space="preserve"> 2018</w:t>
      </w:r>
      <w:r w:rsidR="00AF0D6F">
        <w:rPr>
          <w:rFonts w:cstheme="minorHAnsi"/>
          <w:noProof/>
          <w:sz w:val="24"/>
          <w:szCs w:val="24"/>
        </w:rPr>
        <w:t>;</w:t>
      </w:r>
      <w:r w:rsidRPr="002D3DE0">
        <w:rPr>
          <w:rFonts w:cstheme="minorHAnsi"/>
          <w:noProof/>
          <w:sz w:val="24"/>
          <w:szCs w:val="24"/>
        </w:rPr>
        <w:t xml:space="preserve"> </w:t>
      </w:r>
      <w:r w:rsidRPr="002D3DE0">
        <w:rPr>
          <w:rFonts w:cstheme="minorHAnsi"/>
          <w:b/>
          <w:noProof/>
          <w:sz w:val="24"/>
          <w:szCs w:val="24"/>
        </w:rPr>
        <w:t>7</w:t>
      </w:r>
      <w:r w:rsidRPr="002D3DE0">
        <w:rPr>
          <w:rFonts w:cstheme="minorHAnsi"/>
          <w:noProof/>
          <w:sz w:val="24"/>
          <w:szCs w:val="24"/>
        </w:rPr>
        <w:t>(8): 1-21.</w:t>
      </w:r>
      <w:bookmarkEnd w:id="80"/>
    </w:p>
    <w:p w:rsidR="008F0C0F" w:rsidRPr="002D3DE0" w:rsidRDefault="008F0C0F" w:rsidP="002D3DE0">
      <w:pPr>
        <w:spacing w:before="240" w:after="0"/>
        <w:jc w:val="both"/>
        <w:rPr>
          <w:rFonts w:cstheme="minorHAnsi"/>
          <w:noProof/>
          <w:sz w:val="24"/>
          <w:szCs w:val="24"/>
        </w:rPr>
      </w:pPr>
      <w:bookmarkStart w:id="81" w:name="_ENREF_13"/>
      <w:r w:rsidRPr="002D3DE0">
        <w:rPr>
          <w:rFonts w:cstheme="minorHAnsi"/>
          <w:noProof/>
          <w:sz w:val="24"/>
          <w:szCs w:val="24"/>
        </w:rPr>
        <w:lastRenderedPageBreak/>
        <w:t>B</w:t>
      </w:r>
      <w:r w:rsidR="00AF0D6F">
        <w:rPr>
          <w:rFonts w:cstheme="minorHAnsi"/>
          <w:noProof/>
          <w:sz w:val="24"/>
          <w:szCs w:val="24"/>
        </w:rPr>
        <w:t>aughman, R. P., D. A. Culver a M. A. Judson</w:t>
      </w:r>
      <w:r w:rsidRPr="002D3DE0">
        <w:rPr>
          <w:rFonts w:cstheme="minorHAnsi"/>
          <w:noProof/>
          <w:sz w:val="24"/>
          <w:szCs w:val="24"/>
        </w:rPr>
        <w:t xml:space="preserve">. "A Concise Review of Pulmonary Sarcoidosis." </w:t>
      </w:r>
      <w:r w:rsidRPr="002D3DE0">
        <w:rPr>
          <w:rFonts w:cstheme="minorHAnsi"/>
          <w:noProof/>
          <w:sz w:val="24"/>
          <w:szCs w:val="24"/>
          <w:u w:val="single"/>
        </w:rPr>
        <w:t>American Journal of Respiratory and Critical Care Medicine: Concise Clinical Review</w:t>
      </w:r>
      <w:r w:rsidRPr="002D3DE0">
        <w:rPr>
          <w:rFonts w:cstheme="minorHAnsi"/>
          <w:noProof/>
          <w:sz w:val="24"/>
          <w:szCs w:val="24"/>
        </w:rPr>
        <w:t xml:space="preserve"> </w:t>
      </w:r>
      <w:r w:rsidR="00AF0D6F">
        <w:rPr>
          <w:rFonts w:cstheme="minorHAnsi"/>
          <w:noProof/>
          <w:sz w:val="24"/>
          <w:szCs w:val="24"/>
        </w:rPr>
        <w:t xml:space="preserve">2011; </w:t>
      </w:r>
      <w:r w:rsidRPr="002D3DE0">
        <w:rPr>
          <w:rFonts w:cstheme="minorHAnsi"/>
          <w:b/>
          <w:noProof/>
          <w:sz w:val="24"/>
          <w:szCs w:val="24"/>
        </w:rPr>
        <w:t>183</w:t>
      </w:r>
      <w:r w:rsidRPr="002D3DE0">
        <w:rPr>
          <w:rFonts w:cstheme="minorHAnsi"/>
          <w:noProof/>
          <w:sz w:val="24"/>
          <w:szCs w:val="24"/>
        </w:rPr>
        <w:t>: 573–581.</w:t>
      </w:r>
      <w:bookmarkEnd w:id="81"/>
    </w:p>
    <w:p w:rsidR="008F0C0F" w:rsidRPr="002D3DE0" w:rsidRDefault="008F0C0F" w:rsidP="002D3DE0">
      <w:pPr>
        <w:spacing w:before="240" w:after="0"/>
        <w:jc w:val="both"/>
        <w:rPr>
          <w:rFonts w:cstheme="minorHAnsi"/>
          <w:noProof/>
          <w:sz w:val="24"/>
          <w:szCs w:val="24"/>
        </w:rPr>
      </w:pPr>
      <w:bookmarkStart w:id="82" w:name="_ENREF_14"/>
      <w:r w:rsidRPr="002D3DE0">
        <w:rPr>
          <w:rFonts w:cstheme="minorHAnsi"/>
          <w:noProof/>
          <w:sz w:val="24"/>
          <w:szCs w:val="24"/>
        </w:rPr>
        <w:t>Baughman, R. P., S. Field, U. Costabel, R. G. Crystal, D. A. Cul</w:t>
      </w:r>
      <w:r w:rsidR="00734759">
        <w:rPr>
          <w:rFonts w:cstheme="minorHAnsi"/>
          <w:noProof/>
          <w:sz w:val="24"/>
          <w:szCs w:val="24"/>
        </w:rPr>
        <w:t>ver, M. Drent, M. A. Judson a G. Wolff</w:t>
      </w:r>
      <w:r w:rsidRPr="002D3DE0">
        <w:rPr>
          <w:rFonts w:cstheme="minorHAnsi"/>
          <w:noProof/>
          <w:sz w:val="24"/>
          <w:szCs w:val="24"/>
        </w:rPr>
        <w:t xml:space="preserve">. "Sarcoidosis in America. Analysis Based on Health Care Use." </w:t>
      </w:r>
      <w:r w:rsidRPr="002D3DE0">
        <w:rPr>
          <w:rFonts w:cstheme="minorHAnsi"/>
          <w:noProof/>
          <w:sz w:val="24"/>
          <w:szCs w:val="24"/>
          <w:u w:val="single"/>
        </w:rPr>
        <w:t>Annals of the American Thoracic Society</w:t>
      </w:r>
      <w:r w:rsidRPr="002D3DE0">
        <w:rPr>
          <w:rFonts w:cstheme="minorHAnsi"/>
          <w:noProof/>
          <w:sz w:val="24"/>
          <w:szCs w:val="24"/>
        </w:rPr>
        <w:t xml:space="preserve"> </w:t>
      </w:r>
      <w:r w:rsidR="00734759">
        <w:rPr>
          <w:rFonts w:cstheme="minorHAnsi"/>
          <w:noProof/>
          <w:sz w:val="24"/>
          <w:szCs w:val="24"/>
        </w:rPr>
        <w:t xml:space="preserve">2016; </w:t>
      </w:r>
      <w:r w:rsidRPr="002D3DE0">
        <w:rPr>
          <w:rFonts w:cstheme="minorHAnsi"/>
          <w:b/>
          <w:noProof/>
          <w:sz w:val="24"/>
          <w:szCs w:val="24"/>
        </w:rPr>
        <w:t>13</w:t>
      </w:r>
      <w:r w:rsidRPr="002D3DE0">
        <w:rPr>
          <w:rFonts w:cstheme="minorHAnsi"/>
          <w:noProof/>
          <w:sz w:val="24"/>
          <w:szCs w:val="24"/>
        </w:rPr>
        <w:t>(8): 1244-1252.</w:t>
      </w:r>
      <w:bookmarkEnd w:id="82"/>
    </w:p>
    <w:p w:rsidR="008F0C0F" w:rsidRPr="002D3DE0" w:rsidRDefault="00734759" w:rsidP="002D3DE0">
      <w:pPr>
        <w:spacing w:before="240" w:after="0"/>
        <w:jc w:val="both"/>
        <w:rPr>
          <w:rFonts w:cstheme="minorHAnsi"/>
          <w:noProof/>
          <w:sz w:val="24"/>
          <w:szCs w:val="24"/>
        </w:rPr>
      </w:pPr>
      <w:bookmarkStart w:id="83" w:name="_ENREF_15"/>
      <w:r>
        <w:rPr>
          <w:rFonts w:cstheme="minorHAnsi"/>
          <w:noProof/>
          <w:sz w:val="24"/>
          <w:szCs w:val="24"/>
        </w:rPr>
        <w:t>Benjamini, Y. a Y. Hochberg</w:t>
      </w:r>
      <w:r w:rsidR="008F0C0F" w:rsidRPr="002D3DE0">
        <w:rPr>
          <w:rFonts w:cstheme="minorHAnsi"/>
          <w:noProof/>
          <w:sz w:val="24"/>
          <w:szCs w:val="24"/>
        </w:rPr>
        <w:t xml:space="preserve">. "Controlling the False Discovery Rate: A Practical and Powerful Approach to Multiple Testing." </w:t>
      </w:r>
      <w:r w:rsidR="008F0C0F" w:rsidRPr="002D3DE0">
        <w:rPr>
          <w:rFonts w:cstheme="minorHAnsi"/>
          <w:noProof/>
          <w:sz w:val="24"/>
          <w:szCs w:val="24"/>
          <w:u w:val="single"/>
        </w:rPr>
        <w:t>Journal of the Royal Statistical Society. Series B (Methodological)</w:t>
      </w:r>
      <w:r w:rsidR="008F0C0F" w:rsidRPr="002D3DE0">
        <w:rPr>
          <w:rFonts w:cstheme="minorHAnsi"/>
          <w:noProof/>
          <w:sz w:val="24"/>
          <w:szCs w:val="24"/>
        </w:rPr>
        <w:t xml:space="preserve"> </w:t>
      </w:r>
      <w:r>
        <w:rPr>
          <w:rFonts w:cstheme="minorHAnsi"/>
          <w:noProof/>
          <w:sz w:val="24"/>
          <w:szCs w:val="24"/>
        </w:rPr>
        <w:t xml:space="preserve">1995; </w:t>
      </w:r>
      <w:r w:rsidR="008F0C0F" w:rsidRPr="002D3DE0">
        <w:rPr>
          <w:rFonts w:cstheme="minorHAnsi"/>
          <w:b/>
          <w:noProof/>
          <w:sz w:val="24"/>
          <w:szCs w:val="24"/>
        </w:rPr>
        <w:t>57</w:t>
      </w:r>
      <w:r w:rsidR="008F0C0F" w:rsidRPr="002D3DE0">
        <w:rPr>
          <w:rFonts w:cstheme="minorHAnsi"/>
          <w:noProof/>
          <w:sz w:val="24"/>
          <w:szCs w:val="24"/>
        </w:rPr>
        <w:t>(1): 289-300.</w:t>
      </w:r>
      <w:bookmarkEnd w:id="83"/>
    </w:p>
    <w:p w:rsidR="008F0C0F" w:rsidRPr="002D3DE0" w:rsidRDefault="008F0C0F" w:rsidP="002D3DE0">
      <w:pPr>
        <w:spacing w:before="240" w:after="0"/>
        <w:jc w:val="both"/>
        <w:rPr>
          <w:rFonts w:cstheme="minorHAnsi"/>
          <w:noProof/>
          <w:sz w:val="24"/>
          <w:szCs w:val="24"/>
        </w:rPr>
      </w:pPr>
      <w:bookmarkStart w:id="84" w:name="_ENREF_16"/>
      <w:r w:rsidRPr="002D3DE0">
        <w:rPr>
          <w:rFonts w:cstheme="minorHAnsi"/>
          <w:noProof/>
          <w:sz w:val="24"/>
          <w:szCs w:val="24"/>
        </w:rPr>
        <w:t>Blondal, T., S. Jensby Nielsen, A. Baker, D. Andreasen, P</w:t>
      </w:r>
      <w:r w:rsidR="00734759">
        <w:rPr>
          <w:rFonts w:cstheme="minorHAnsi"/>
          <w:noProof/>
          <w:sz w:val="24"/>
          <w:szCs w:val="24"/>
        </w:rPr>
        <w:t>. Mouritzen, M. Wrang Teilum a I. K. Dahlsveen</w:t>
      </w:r>
      <w:r w:rsidRPr="002D3DE0">
        <w:rPr>
          <w:rFonts w:cstheme="minorHAnsi"/>
          <w:noProof/>
          <w:sz w:val="24"/>
          <w:szCs w:val="24"/>
        </w:rPr>
        <w:t xml:space="preserve">. "Assessing sample and miRNA profile quality in serum and plasma or other biofluids." </w:t>
      </w:r>
      <w:r w:rsidRPr="002D3DE0">
        <w:rPr>
          <w:rFonts w:cstheme="minorHAnsi"/>
          <w:noProof/>
          <w:sz w:val="24"/>
          <w:szCs w:val="24"/>
          <w:u w:val="single"/>
        </w:rPr>
        <w:t>Methods</w:t>
      </w:r>
      <w:r w:rsidR="00734759">
        <w:rPr>
          <w:rFonts w:cstheme="minorHAnsi"/>
          <w:noProof/>
          <w:sz w:val="24"/>
          <w:szCs w:val="24"/>
          <w:u w:val="single"/>
        </w:rPr>
        <w:t xml:space="preserve"> </w:t>
      </w:r>
      <w:r w:rsidR="00734759" w:rsidRPr="00734759">
        <w:rPr>
          <w:rFonts w:cstheme="minorHAnsi"/>
          <w:noProof/>
          <w:sz w:val="24"/>
          <w:szCs w:val="24"/>
        </w:rPr>
        <w:t>2013</w:t>
      </w:r>
      <w:r w:rsidR="00734759">
        <w:rPr>
          <w:rFonts w:cstheme="minorHAnsi"/>
          <w:b/>
          <w:noProof/>
          <w:sz w:val="24"/>
          <w:szCs w:val="24"/>
        </w:rPr>
        <w:t>;</w:t>
      </w:r>
      <w:r w:rsidRPr="002D3DE0">
        <w:rPr>
          <w:rFonts w:cstheme="minorHAnsi"/>
          <w:b/>
          <w:noProof/>
          <w:sz w:val="24"/>
          <w:szCs w:val="24"/>
        </w:rPr>
        <w:t xml:space="preserve"> 59</w:t>
      </w:r>
      <w:r w:rsidRPr="002D3DE0">
        <w:rPr>
          <w:rFonts w:cstheme="minorHAnsi"/>
          <w:noProof/>
          <w:sz w:val="24"/>
          <w:szCs w:val="24"/>
        </w:rPr>
        <w:t>(1): S1-6.</w:t>
      </w:r>
      <w:bookmarkEnd w:id="84"/>
    </w:p>
    <w:p w:rsidR="008F0C0F" w:rsidRPr="002D3DE0" w:rsidRDefault="00734759" w:rsidP="002D3DE0">
      <w:pPr>
        <w:spacing w:before="240" w:after="0"/>
        <w:jc w:val="both"/>
        <w:rPr>
          <w:rFonts w:cstheme="minorHAnsi"/>
          <w:noProof/>
          <w:sz w:val="24"/>
          <w:szCs w:val="24"/>
        </w:rPr>
      </w:pPr>
      <w:bookmarkStart w:id="85" w:name="_ENREF_17"/>
      <w:r>
        <w:rPr>
          <w:rFonts w:cstheme="minorHAnsi"/>
          <w:noProof/>
          <w:sz w:val="24"/>
          <w:szCs w:val="24"/>
        </w:rPr>
        <w:t>Bonetta, L.</w:t>
      </w:r>
      <w:r w:rsidR="008F0C0F" w:rsidRPr="002D3DE0">
        <w:rPr>
          <w:rFonts w:cstheme="minorHAnsi"/>
          <w:noProof/>
          <w:sz w:val="24"/>
          <w:szCs w:val="24"/>
        </w:rPr>
        <w:t xml:space="preserve"> "Prime time for real-time PCR." </w:t>
      </w:r>
      <w:r w:rsidR="008F0C0F" w:rsidRPr="002D3DE0">
        <w:rPr>
          <w:rFonts w:cstheme="minorHAnsi"/>
          <w:noProof/>
          <w:sz w:val="24"/>
          <w:szCs w:val="24"/>
          <w:u w:val="single"/>
        </w:rPr>
        <w:t>Nature Methods</w:t>
      </w:r>
      <w:r w:rsidR="008F0C0F" w:rsidRPr="002D3DE0">
        <w:rPr>
          <w:rFonts w:cstheme="minorHAnsi"/>
          <w:noProof/>
          <w:sz w:val="24"/>
          <w:szCs w:val="24"/>
        </w:rPr>
        <w:t xml:space="preserve"> </w:t>
      </w:r>
      <w:r>
        <w:rPr>
          <w:rFonts w:cstheme="minorHAnsi"/>
          <w:noProof/>
          <w:sz w:val="24"/>
          <w:szCs w:val="24"/>
        </w:rPr>
        <w:t xml:space="preserve">2005; </w:t>
      </w:r>
      <w:r w:rsidR="008F0C0F" w:rsidRPr="002D3DE0">
        <w:rPr>
          <w:rFonts w:cstheme="minorHAnsi"/>
          <w:b/>
          <w:noProof/>
          <w:sz w:val="24"/>
          <w:szCs w:val="24"/>
        </w:rPr>
        <w:t>2</w:t>
      </w:r>
      <w:r w:rsidR="008F0C0F" w:rsidRPr="002D3DE0">
        <w:rPr>
          <w:rFonts w:cstheme="minorHAnsi"/>
          <w:noProof/>
          <w:sz w:val="24"/>
          <w:szCs w:val="24"/>
        </w:rPr>
        <w:t>(4): 305-312.</w:t>
      </w:r>
      <w:bookmarkEnd w:id="85"/>
    </w:p>
    <w:p w:rsidR="008F0C0F" w:rsidRPr="002D3DE0" w:rsidRDefault="00734759" w:rsidP="002D3DE0">
      <w:pPr>
        <w:spacing w:before="240" w:after="0"/>
        <w:jc w:val="both"/>
        <w:rPr>
          <w:rFonts w:cstheme="minorHAnsi"/>
          <w:noProof/>
          <w:sz w:val="24"/>
          <w:szCs w:val="24"/>
        </w:rPr>
      </w:pPr>
      <w:bookmarkStart w:id="86" w:name="_ENREF_18"/>
      <w:r>
        <w:rPr>
          <w:rFonts w:cstheme="minorHAnsi"/>
          <w:noProof/>
          <w:sz w:val="24"/>
          <w:szCs w:val="24"/>
        </w:rPr>
        <w:t>Bonham, C. A.</w:t>
      </w:r>
      <w:r w:rsidR="008F0C0F" w:rsidRPr="002D3DE0">
        <w:rPr>
          <w:rFonts w:cstheme="minorHAnsi"/>
          <w:noProof/>
          <w:sz w:val="24"/>
          <w:szCs w:val="24"/>
        </w:rPr>
        <w:t xml:space="preserve"> "Biomarkers in Sarcoidosis: Can microRNAs Fill the Gap?" </w:t>
      </w:r>
      <w:r w:rsidR="008F0C0F" w:rsidRPr="002D3DE0">
        <w:rPr>
          <w:rFonts w:cstheme="minorHAnsi"/>
          <w:noProof/>
          <w:sz w:val="24"/>
          <w:szCs w:val="24"/>
          <w:u w:val="single"/>
        </w:rPr>
        <w:t>American Lournal of Respiratory Cell and Molecular Biology</w:t>
      </w:r>
      <w:r w:rsidR="008F0C0F" w:rsidRPr="002D3DE0">
        <w:rPr>
          <w:rFonts w:cstheme="minorHAnsi"/>
          <w:noProof/>
          <w:sz w:val="24"/>
          <w:szCs w:val="24"/>
        </w:rPr>
        <w:t xml:space="preserve"> </w:t>
      </w:r>
      <w:r>
        <w:rPr>
          <w:rFonts w:cstheme="minorHAnsi"/>
          <w:noProof/>
          <w:sz w:val="24"/>
          <w:szCs w:val="24"/>
        </w:rPr>
        <w:t xml:space="preserve">2018; </w:t>
      </w:r>
      <w:r w:rsidR="008F0C0F" w:rsidRPr="002D3DE0">
        <w:rPr>
          <w:rFonts w:cstheme="minorHAnsi"/>
          <w:b/>
          <w:noProof/>
          <w:sz w:val="24"/>
          <w:szCs w:val="24"/>
        </w:rPr>
        <w:t>58</w:t>
      </w:r>
      <w:r w:rsidR="008F0C0F" w:rsidRPr="002D3DE0">
        <w:rPr>
          <w:rFonts w:cstheme="minorHAnsi"/>
          <w:noProof/>
          <w:sz w:val="24"/>
          <w:szCs w:val="24"/>
        </w:rPr>
        <w:t>(1): 1-2.</w:t>
      </w:r>
      <w:bookmarkEnd w:id="86"/>
    </w:p>
    <w:p w:rsidR="008F0C0F" w:rsidRPr="002D3DE0" w:rsidRDefault="008F0C0F" w:rsidP="002D3DE0">
      <w:pPr>
        <w:spacing w:before="240" w:after="0"/>
        <w:jc w:val="both"/>
        <w:rPr>
          <w:rFonts w:cstheme="minorHAnsi"/>
          <w:noProof/>
          <w:sz w:val="24"/>
          <w:szCs w:val="24"/>
        </w:rPr>
      </w:pPr>
      <w:bookmarkStart w:id="87" w:name="_ENREF_19"/>
      <w:r w:rsidRPr="002D3DE0">
        <w:rPr>
          <w:rFonts w:cstheme="minorHAnsi"/>
          <w:noProof/>
          <w:sz w:val="24"/>
          <w:szCs w:val="24"/>
        </w:rPr>
        <w:t>Bourdin, A., P. R. Burgel, P.</w:t>
      </w:r>
      <w:r w:rsidR="002A47A4">
        <w:rPr>
          <w:rFonts w:cstheme="minorHAnsi"/>
          <w:noProof/>
          <w:sz w:val="24"/>
          <w:szCs w:val="24"/>
        </w:rPr>
        <w:t xml:space="preserve"> Chanez, G. Garcia, T. Perez a</w:t>
      </w:r>
      <w:r w:rsidRPr="002D3DE0">
        <w:rPr>
          <w:rFonts w:cstheme="minorHAnsi"/>
          <w:noProof/>
          <w:sz w:val="24"/>
          <w:szCs w:val="24"/>
        </w:rPr>
        <w:t xml:space="preserve"> N. Roche. "Recent advances in COPD: pathophysiology, respiratory physiology and clinical aspects, including comorbidities." </w:t>
      </w:r>
      <w:r w:rsidRPr="002D3DE0">
        <w:rPr>
          <w:rFonts w:cstheme="minorHAnsi"/>
          <w:noProof/>
          <w:sz w:val="24"/>
          <w:szCs w:val="24"/>
          <w:u w:val="single"/>
        </w:rPr>
        <w:t>European Respiratory Review</w:t>
      </w:r>
      <w:r w:rsidRPr="002D3DE0">
        <w:rPr>
          <w:rFonts w:cstheme="minorHAnsi"/>
          <w:noProof/>
          <w:sz w:val="24"/>
          <w:szCs w:val="24"/>
        </w:rPr>
        <w:t xml:space="preserve"> </w:t>
      </w:r>
      <w:r w:rsidR="002A47A4">
        <w:rPr>
          <w:rFonts w:cstheme="minorHAnsi"/>
          <w:noProof/>
          <w:sz w:val="24"/>
          <w:szCs w:val="24"/>
        </w:rPr>
        <w:t xml:space="preserve">2009; </w:t>
      </w:r>
      <w:r w:rsidRPr="002D3DE0">
        <w:rPr>
          <w:rFonts w:cstheme="minorHAnsi"/>
          <w:b/>
          <w:noProof/>
          <w:sz w:val="24"/>
          <w:szCs w:val="24"/>
        </w:rPr>
        <w:t>18</w:t>
      </w:r>
      <w:r w:rsidRPr="002D3DE0">
        <w:rPr>
          <w:rFonts w:cstheme="minorHAnsi"/>
          <w:noProof/>
          <w:sz w:val="24"/>
          <w:szCs w:val="24"/>
        </w:rPr>
        <w:t>: 198-212.</w:t>
      </w:r>
      <w:bookmarkEnd w:id="87"/>
    </w:p>
    <w:p w:rsidR="008F0C0F" w:rsidRPr="002D3DE0" w:rsidRDefault="008F0C0F" w:rsidP="002D3DE0">
      <w:pPr>
        <w:spacing w:before="240"/>
        <w:jc w:val="both"/>
        <w:rPr>
          <w:rFonts w:cstheme="minorHAnsi"/>
          <w:noProof/>
          <w:sz w:val="24"/>
          <w:szCs w:val="24"/>
        </w:rPr>
      </w:pPr>
      <w:bookmarkStart w:id="88" w:name="_ENREF_20"/>
      <w:r w:rsidRPr="002D3DE0">
        <w:rPr>
          <w:rFonts w:cstheme="minorHAnsi"/>
          <w:noProof/>
          <w:sz w:val="24"/>
          <w:szCs w:val="24"/>
        </w:rPr>
        <w:t>Bourke, S. J., J. C. Dalphin, G. Boyd</w:t>
      </w:r>
      <w:r w:rsidR="00495FF5">
        <w:rPr>
          <w:rFonts w:cstheme="minorHAnsi"/>
          <w:noProof/>
          <w:sz w:val="24"/>
          <w:szCs w:val="24"/>
        </w:rPr>
        <w:t>, C. McSharry, C. I. Baldwin a</w:t>
      </w:r>
      <w:r w:rsidR="00A90AA8">
        <w:rPr>
          <w:rFonts w:cstheme="minorHAnsi"/>
          <w:noProof/>
          <w:sz w:val="24"/>
          <w:szCs w:val="24"/>
        </w:rPr>
        <w:t xml:space="preserve"> J. E. Calvert</w:t>
      </w:r>
      <w:r w:rsidRPr="002D3DE0">
        <w:rPr>
          <w:rFonts w:cstheme="minorHAnsi"/>
          <w:noProof/>
          <w:sz w:val="24"/>
          <w:szCs w:val="24"/>
        </w:rPr>
        <w:t xml:space="preserve">. "Hypersensitivity pneumonitis: current concepts." </w:t>
      </w:r>
      <w:r w:rsidRPr="002D3DE0">
        <w:rPr>
          <w:rFonts w:cstheme="minorHAnsi"/>
          <w:noProof/>
          <w:sz w:val="24"/>
          <w:szCs w:val="24"/>
          <w:u w:val="single"/>
        </w:rPr>
        <w:t>The European Respiratory Journal. Supplement</w:t>
      </w:r>
      <w:r w:rsidR="00A90AA8" w:rsidRPr="00A90AA8">
        <w:rPr>
          <w:rFonts w:cstheme="minorHAnsi"/>
          <w:noProof/>
          <w:sz w:val="24"/>
          <w:szCs w:val="24"/>
        </w:rPr>
        <w:t xml:space="preserve"> 2001;</w:t>
      </w:r>
      <w:r w:rsidRPr="002D3DE0">
        <w:rPr>
          <w:rFonts w:cstheme="minorHAnsi"/>
          <w:noProof/>
          <w:sz w:val="24"/>
          <w:szCs w:val="24"/>
        </w:rPr>
        <w:t xml:space="preserve"> </w:t>
      </w:r>
      <w:r w:rsidRPr="002D3DE0">
        <w:rPr>
          <w:rFonts w:cstheme="minorHAnsi"/>
          <w:b/>
          <w:noProof/>
          <w:sz w:val="24"/>
          <w:szCs w:val="24"/>
        </w:rPr>
        <w:t>18</w:t>
      </w:r>
      <w:r w:rsidRPr="002D3DE0">
        <w:rPr>
          <w:rFonts w:cstheme="minorHAnsi"/>
          <w:noProof/>
          <w:sz w:val="24"/>
          <w:szCs w:val="24"/>
        </w:rPr>
        <w:t>(32): 81-92.</w:t>
      </w:r>
      <w:bookmarkEnd w:id="88"/>
    </w:p>
    <w:p w:rsidR="008F0C0F" w:rsidRPr="002D3DE0" w:rsidRDefault="00E40B1B" w:rsidP="002D3DE0">
      <w:pPr>
        <w:spacing w:before="240" w:after="0"/>
        <w:jc w:val="both"/>
        <w:rPr>
          <w:rFonts w:cstheme="minorHAnsi"/>
          <w:noProof/>
          <w:sz w:val="24"/>
          <w:szCs w:val="24"/>
        </w:rPr>
      </w:pPr>
      <w:bookmarkStart w:id="89" w:name="_ENREF_21"/>
      <w:r>
        <w:rPr>
          <w:rFonts w:cstheme="minorHAnsi"/>
          <w:noProof/>
          <w:sz w:val="24"/>
          <w:szCs w:val="24"/>
        </w:rPr>
        <w:t>Brown, D., M. Rahman a S. P. Nana-Sinkam</w:t>
      </w:r>
      <w:r w:rsidR="008F0C0F" w:rsidRPr="002D3DE0">
        <w:rPr>
          <w:rFonts w:cstheme="minorHAnsi"/>
          <w:noProof/>
          <w:sz w:val="24"/>
          <w:szCs w:val="24"/>
        </w:rPr>
        <w:t xml:space="preserve">. "MicroRNAs in respiratory disease. A clinician's overview." </w:t>
      </w:r>
      <w:r w:rsidR="008F0C0F" w:rsidRPr="002D3DE0">
        <w:rPr>
          <w:rFonts w:cstheme="minorHAnsi"/>
          <w:noProof/>
          <w:sz w:val="24"/>
          <w:szCs w:val="24"/>
          <w:u w:val="single"/>
        </w:rPr>
        <w:t>Annals of the American Thoracic Society</w:t>
      </w:r>
      <w:r w:rsidR="008F0C0F" w:rsidRPr="002D3DE0">
        <w:rPr>
          <w:rFonts w:cstheme="minorHAnsi"/>
          <w:noProof/>
          <w:sz w:val="24"/>
          <w:szCs w:val="24"/>
        </w:rPr>
        <w:t xml:space="preserve"> </w:t>
      </w:r>
      <w:r>
        <w:rPr>
          <w:rFonts w:cstheme="minorHAnsi"/>
          <w:noProof/>
          <w:sz w:val="24"/>
          <w:szCs w:val="24"/>
        </w:rPr>
        <w:t xml:space="preserve">2014; </w:t>
      </w:r>
      <w:r w:rsidR="008F0C0F" w:rsidRPr="002D3DE0">
        <w:rPr>
          <w:rFonts w:cstheme="minorHAnsi"/>
          <w:b/>
          <w:noProof/>
          <w:sz w:val="24"/>
          <w:szCs w:val="24"/>
        </w:rPr>
        <w:t>11</w:t>
      </w:r>
      <w:r w:rsidR="008F0C0F" w:rsidRPr="002D3DE0">
        <w:rPr>
          <w:rFonts w:cstheme="minorHAnsi"/>
          <w:noProof/>
          <w:sz w:val="24"/>
          <w:szCs w:val="24"/>
        </w:rPr>
        <w:t>(8): 1277-1285.</w:t>
      </w:r>
      <w:bookmarkEnd w:id="89"/>
    </w:p>
    <w:p w:rsidR="008F0C0F" w:rsidRPr="002D3DE0" w:rsidRDefault="008F0C0F" w:rsidP="002D3DE0">
      <w:pPr>
        <w:spacing w:before="240" w:after="0"/>
        <w:jc w:val="both"/>
        <w:rPr>
          <w:rFonts w:cstheme="minorHAnsi"/>
          <w:noProof/>
          <w:sz w:val="24"/>
          <w:szCs w:val="24"/>
        </w:rPr>
      </w:pPr>
      <w:bookmarkStart w:id="90" w:name="_ENREF_22"/>
      <w:r w:rsidRPr="002D3DE0">
        <w:rPr>
          <w:rFonts w:cstheme="minorHAnsi"/>
          <w:noProof/>
          <w:sz w:val="24"/>
          <w:szCs w:val="24"/>
        </w:rPr>
        <w:t xml:space="preserve">Capelozzi, V. L., E. P. Faludi, A. B. Balthazar, S. d. M. Fernezlian, J. V. </w:t>
      </w:r>
      <w:r w:rsidR="00E40B1B">
        <w:rPr>
          <w:rFonts w:cstheme="minorHAnsi"/>
          <w:noProof/>
          <w:sz w:val="24"/>
          <w:szCs w:val="24"/>
        </w:rPr>
        <w:t xml:space="preserve">B. Filho a E. R. Parra </w:t>
      </w:r>
      <w:r w:rsidRPr="002D3DE0">
        <w:rPr>
          <w:rFonts w:cstheme="minorHAnsi"/>
          <w:noProof/>
          <w:sz w:val="24"/>
          <w:szCs w:val="24"/>
        </w:rPr>
        <w:t xml:space="preserve">"Bronchoalveolar lavage improves diagnostic accuracy in patients with diffuse lung disease." </w:t>
      </w:r>
      <w:r w:rsidRPr="002D3DE0">
        <w:rPr>
          <w:rFonts w:cstheme="minorHAnsi"/>
          <w:noProof/>
          <w:sz w:val="24"/>
          <w:szCs w:val="24"/>
          <w:u w:val="single"/>
        </w:rPr>
        <w:t>Diagnostic Cytopathology</w:t>
      </w:r>
      <w:r w:rsidRPr="002D3DE0">
        <w:rPr>
          <w:rFonts w:cstheme="minorHAnsi"/>
          <w:noProof/>
          <w:sz w:val="24"/>
          <w:szCs w:val="24"/>
        </w:rPr>
        <w:t xml:space="preserve"> </w:t>
      </w:r>
      <w:r w:rsidR="00E40B1B">
        <w:rPr>
          <w:rFonts w:cstheme="minorHAnsi"/>
          <w:noProof/>
          <w:sz w:val="24"/>
          <w:szCs w:val="24"/>
        </w:rPr>
        <w:t xml:space="preserve">2013; </w:t>
      </w:r>
      <w:r w:rsidRPr="002D3DE0">
        <w:rPr>
          <w:rFonts w:cstheme="minorHAnsi"/>
          <w:b/>
          <w:noProof/>
          <w:sz w:val="24"/>
          <w:szCs w:val="24"/>
        </w:rPr>
        <w:t>41</w:t>
      </w:r>
      <w:r w:rsidRPr="002D3DE0">
        <w:rPr>
          <w:rFonts w:cstheme="minorHAnsi"/>
          <w:noProof/>
          <w:sz w:val="24"/>
          <w:szCs w:val="24"/>
        </w:rPr>
        <w:t>, 1-8.</w:t>
      </w:r>
      <w:bookmarkEnd w:id="90"/>
    </w:p>
    <w:p w:rsidR="008F0C0F" w:rsidRPr="002D3DE0" w:rsidRDefault="008F0C0F" w:rsidP="002D3DE0">
      <w:pPr>
        <w:spacing w:before="240" w:after="0"/>
        <w:jc w:val="both"/>
        <w:rPr>
          <w:rFonts w:cstheme="minorHAnsi"/>
          <w:noProof/>
          <w:sz w:val="24"/>
          <w:szCs w:val="24"/>
        </w:rPr>
      </w:pPr>
      <w:bookmarkStart w:id="91" w:name="_ENREF_23"/>
      <w:r w:rsidRPr="002D3DE0">
        <w:rPr>
          <w:rFonts w:cstheme="minorHAnsi"/>
          <w:noProof/>
          <w:sz w:val="24"/>
          <w:szCs w:val="24"/>
        </w:rPr>
        <w:t>Celada,</w:t>
      </w:r>
      <w:r w:rsidR="00E40B1B">
        <w:rPr>
          <w:rFonts w:cstheme="minorHAnsi"/>
          <w:noProof/>
          <w:sz w:val="24"/>
          <w:szCs w:val="24"/>
        </w:rPr>
        <w:t xml:space="preserve"> L. J. a W. P. Drake. "Targeting CD4</w:t>
      </w:r>
      <w:r w:rsidRPr="002D3DE0">
        <w:rPr>
          <w:rFonts w:cstheme="minorHAnsi"/>
          <w:noProof/>
          <w:sz w:val="24"/>
          <w:szCs w:val="24"/>
          <w:vertAlign w:val="superscript"/>
        </w:rPr>
        <w:t>+</w:t>
      </w:r>
      <w:r w:rsidRPr="002D3DE0">
        <w:rPr>
          <w:rFonts w:cstheme="minorHAnsi"/>
          <w:noProof/>
          <w:sz w:val="24"/>
          <w:szCs w:val="24"/>
        </w:rPr>
        <w:t xml:space="preserve"> T cells for the treatment of sarcoidosis: a promising strategy?" </w:t>
      </w:r>
      <w:r w:rsidRPr="002D3DE0">
        <w:rPr>
          <w:rFonts w:cstheme="minorHAnsi"/>
          <w:noProof/>
          <w:sz w:val="24"/>
          <w:szCs w:val="24"/>
          <w:u w:val="single"/>
        </w:rPr>
        <w:t>Immunotherapy</w:t>
      </w:r>
      <w:r w:rsidRPr="002D3DE0">
        <w:rPr>
          <w:rFonts w:cstheme="minorHAnsi"/>
          <w:noProof/>
          <w:sz w:val="24"/>
          <w:szCs w:val="24"/>
        </w:rPr>
        <w:t xml:space="preserve"> </w:t>
      </w:r>
      <w:r w:rsidR="00E40B1B">
        <w:rPr>
          <w:rFonts w:cstheme="minorHAnsi"/>
          <w:noProof/>
          <w:sz w:val="24"/>
          <w:szCs w:val="24"/>
        </w:rPr>
        <w:t xml:space="preserve">2015; </w:t>
      </w:r>
      <w:r w:rsidRPr="002D3DE0">
        <w:rPr>
          <w:rFonts w:cstheme="minorHAnsi"/>
          <w:b/>
          <w:noProof/>
          <w:sz w:val="24"/>
          <w:szCs w:val="24"/>
        </w:rPr>
        <w:t>7</w:t>
      </w:r>
      <w:r w:rsidRPr="002D3DE0">
        <w:rPr>
          <w:rFonts w:cstheme="minorHAnsi"/>
          <w:noProof/>
          <w:sz w:val="24"/>
          <w:szCs w:val="24"/>
        </w:rPr>
        <w:t>(1): 57-66.</w:t>
      </w:r>
      <w:bookmarkEnd w:id="91"/>
    </w:p>
    <w:p w:rsidR="008F0C0F" w:rsidRPr="002D3DE0" w:rsidRDefault="008F0C0F" w:rsidP="002D3DE0">
      <w:pPr>
        <w:spacing w:before="240" w:after="0"/>
        <w:jc w:val="both"/>
        <w:rPr>
          <w:rFonts w:cstheme="minorHAnsi"/>
          <w:noProof/>
          <w:sz w:val="24"/>
          <w:szCs w:val="24"/>
        </w:rPr>
      </w:pPr>
      <w:bookmarkStart w:id="92" w:name="_ENREF_24"/>
      <w:r w:rsidRPr="002D3DE0">
        <w:rPr>
          <w:rFonts w:cstheme="minorHAnsi"/>
          <w:noProof/>
          <w:sz w:val="24"/>
          <w:szCs w:val="24"/>
        </w:rPr>
        <w:t>Cost</w:t>
      </w:r>
      <w:r w:rsidR="00E40B1B">
        <w:rPr>
          <w:rFonts w:cstheme="minorHAnsi"/>
          <w:noProof/>
          <w:sz w:val="24"/>
          <w:szCs w:val="24"/>
        </w:rPr>
        <w:t>a e Silva, M. a R. Rolo.</w:t>
      </w:r>
      <w:r w:rsidRPr="002D3DE0">
        <w:rPr>
          <w:rFonts w:cstheme="minorHAnsi"/>
          <w:noProof/>
          <w:sz w:val="24"/>
          <w:szCs w:val="24"/>
        </w:rPr>
        <w:t xml:space="preserve"> "The role of Bronchoalveolar lavage in Interstitial Lung Diseases." </w:t>
      </w:r>
      <w:r w:rsidRPr="002D3DE0">
        <w:rPr>
          <w:rFonts w:cstheme="minorHAnsi"/>
          <w:noProof/>
          <w:sz w:val="24"/>
          <w:szCs w:val="24"/>
          <w:u w:val="single"/>
        </w:rPr>
        <w:t>Revista Portuguesa de Pneumologia (English Edition)</w:t>
      </w:r>
      <w:r w:rsidRPr="002D3DE0">
        <w:rPr>
          <w:rFonts w:cstheme="minorHAnsi"/>
          <w:noProof/>
          <w:sz w:val="24"/>
          <w:szCs w:val="24"/>
        </w:rPr>
        <w:t xml:space="preserve"> </w:t>
      </w:r>
      <w:r w:rsidR="00E40B1B">
        <w:rPr>
          <w:rFonts w:cstheme="minorHAnsi"/>
          <w:noProof/>
          <w:sz w:val="24"/>
          <w:szCs w:val="24"/>
        </w:rPr>
        <w:t xml:space="preserve">2017; </w:t>
      </w:r>
      <w:r w:rsidRPr="002D3DE0">
        <w:rPr>
          <w:rFonts w:cstheme="minorHAnsi"/>
          <w:b/>
          <w:noProof/>
          <w:sz w:val="24"/>
          <w:szCs w:val="24"/>
        </w:rPr>
        <w:t>23</w:t>
      </w:r>
      <w:r w:rsidRPr="002D3DE0">
        <w:rPr>
          <w:rFonts w:cstheme="minorHAnsi"/>
          <w:noProof/>
          <w:sz w:val="24"/>
          <w:szCs w:val="24"/>
        </w:rPr>
        <w:t>, 360-362.</w:t>
      </w:r>
      <w:bookmarkEnd w:id="92"/>
    </w:p>
    <w:p w:rsidR="008F0C0F" w:rsidRPr="002D3DE0" w:rsidRDefault="00E40B1B" w:rsidP="002D3DE0">
      <w:pPr>
        <w:spacing w:before="240" w:after="0"/>
        <w:jc w:val="both"/>
        <w:rPr>
          <w:rFonts w:cstheme="minorHAnsi"/>
          <w:noProof/>
          <w:sz w:val="24"/>
          <w:szCs w:val="24"/>
        </w:rPr>
      </w:pPr>
      <w:bookmarkStart w:id="93" w:name="_ENREF_25"/>
      <w:r>
        <w:rPr>
          <w:rFonts w:cstheme="minorHAnsi"/>
          <w:noProof/>
          <w:sz w:val="24"/>
          <w:szCs w:val="24"/>
        </w:rPr>
        <w:t>Costabel, U. a G. W. Hunninhake</w:t>
      </w:r>
      <w:r w:rsidR="008F0C0F" w:rsidRPr="002D3DE0">
        <w:rPr>
          <w:rFonts w:cstheme="minorHAnsi"/>
          <w:noProof/>
          <w:sz w:val="24"/>
          <w:szCs w:val="24"/>
        </w:rPr>
        <w:t xml:space="preserve">. "ATS/ERS/WASOG statement on sarcoidosis. Sarcoidosis Statement Committee. American Thoracic Society. European Respiratory Society. World Association for Sarcoidosis and Other Granulomatous Disorders." </w:t>
      </w:r>
      <w:r w:rsidR="008F0C0F" w:rsidRPr="002D3DE0">
        <w:rPr>
          <w:rFonts w:cstheme="minorHAnsi"/>
          <w:noProof/>
          <w:sz w:val="24"/>
          <w:szCs w:val="24"/>
          <w:u w:val="single"/>
        </w:rPr>
        <w:t>European Respiratory Journal</w:t>
      </w:r>
      <w:r w:rsidR="008F0C0F" w:rsidRPr="002D3DE0">
        <w:rPr>
          <w:rFonts w:cstheme="minorHAnsi"/>
          <w:noProof/>
          <w:sz w:val="24"/>
          <w:szCs w:val="24"/>
        </w:rPr>
        <w:t xml:space="preserve"> </w:t>
      </w:r>
      <w:r>
        <w:rPr>
          <w:rFonts w:cstheme="minorHAnsi"/>
          <w:noProof/>
          <w:sz w:val="24"/>
          <w:szCs w:val="24"/>
        </w:rPr>
        <w:t xml:space="preserve">1999; </w:t>
      </w:r>
      <w:r w:rsidR="008F0C0F" w:rsidRPr="002D3DE0">
        <w:rPr>
          <w:rFonts w:cstheme="minorHAnsi"/>
          <w:b/>
          <w:noProof/>
          <w:sz w:val="24"/>
          <w:szCs w:val="24"/>
        </w:rPr>
        <w:t>14</w:t>
      </w:r>
      <w:r w:rsidR="008F0C0F" w:rsidRPr="002D3DE0">
        <w:rPr>
          <w:rFonts w:cstheme="minorHAnsi"/>
          <w:noProof/>
          <w:sz w:val="24"/>
          <w:szCs w:val="24"/>
        </w:rPr>
        <w:t>: 735-737.</w:t>
      </w:r>
      <w:bookmarkEnd w:id="93"/>
    </w:p>
    <w:p w:rsidR="008F0C0F" w:rsidRPr="002D3DE0" w:rsidRDefault="008F0C0F" w:rsidP="002D3DE0">
      <w:pPr>
        <w:spacing w:before="240" w:after="0"/>
        <w:jc w:val="both"/>
        <w:rPr>
          <w:rFonts w:cstheme="minorHAnsi"/>
          <w:noProof/>
          <w:sz w:val="24"/>
          <w:szCs w:val="24"/>
        </w:rPr>
      </w:pPr>
      <w:bookmarkStart w:id="94" w:name="_ENREF_26"/>
      <w:r w:rsidRPr="002D3DE0">
        <w:rPr>
          <w:rFonts w:cstheme="minorHAnsi"/>
          <w:noProof/>
          <w:sz w:val="24"/>
          <w:szCs w:val="24"/>
        </w:rPr>
        <w:lastRenderedPageBreak/>
        <w:t>Craig, V</w:t>
      </w:r>
      <w:r w:rsidR="00E40B1B">
        <w:rPr>
          <w:rFonts w:cstheme="minorHAnsi"/>
          <w:noProof/>
          <w:sz w:val="24"/>
          <w:szCs w:val="24"/>
        </w:rPr>
        <w:t>. J., L. Zhang, J. S. Hagood a</w:t>
      </w:r>
      <w:r w:rsidRPr="002D3DE0">
        <w:rPr>
          <w:rFonts w:cstheme="minorHAnsi"/>
          <w:noProof/>
          <w:sz w:val="24"/>
          <w:szCs w:val="24"/>
        </w:rPr>
        <w:t xml:space="preserve"> C. A. Owen. "Matrix Metalloproteinases as Therapeutic Targets for Idiopathic Pulmonary Fibrosis." </w:t>
      </w:r>
      <w:r w:rsidRPr="002D3DE0">
        <w:rPr>
          <w:rFonts w:cstheme="minorHAnsi"/>
          <w:noProof/>
          <w:sz w:val="24"/>
          <w:szCs w:val="24"/>
          <w:u w:val="single"/>
        </w:rPr>
        <w:t>American Journal of Respiratory Cell and Molecular Biology</w:t>
      </w:r>
      <w:r w:rsidRPr="002D3DE0">
        <w:rPr>
          <w:rFonts w:cstheme="minorHAnsi"/>
          <w:noProof/>
          <w:sz w:val="24"/>
          <w:szCs w:val="24"/>
        </w:rPr>
        <w:t xml:space="preserve"> </w:t>
      </w:r>
      <w:r w:rsidR="008D4826">
        <w:rPr>
          <w:rFonts w:cstheme="minorHAnsi"/>
          <w:noProof/>
          <w:sz w:val="24"/>
          <w:szCs w:val="24"/>
        </w:rPr>
        <w:t xml:space="preserve">2015; </w:t>
      </w:r>
      <w:r w:rsidRPr="002D3DE0">
        <w:rPr>
          <w:rFonts w:cstheme="minorHAnsi"/>
          <w:b/>
          <w:noProof/>
          <w:sz w:val="24"/>
          <w:szCs w:val="24"/>
        </w:rPr>
        <w:t>53</w:t>
      </w:r>
      <w:r w:rsidRPr="002D3DE0">
        <w:rPr>
          <w:rFonts w:cstheme="minorHAnsi"/>
          <w:noProof/>
          <w:sz w:val="24"/>
          <w:szCs w:val="24"/>
        </w:rPr>
        <w:t>(5): 585-600.</w:t>
      </w:r>
      <w:bookmarkEnd w:id="94"/>
    </w:p>
    <w:p w:rsidR="008F0C0F" w:rsidRPr="002D3DE0" w:rsidRDefault="005D2146" w:rsidP="002D3DE0">
      <w:pPr>
        <w:spacing w:before="240" w:after="0"/>
        <w:jc w:val="both"/>
        <w:rPr>
          <w:rFonts w:cstheme="minorHAnsi"/>
          <w:noProof/>
          <w:sz w:val="24"/>
          <w:szCs w:val="24"/>
        </w:rPr>
      </w:pPr>
      <w:bookmarkStart w:id="95" w:name="_ENREF_27"/>
      <w:r>
        <w:rPr>
          <w:rFonts w:cstheme="minorHAnsi"/>
          <w:noProof/>
          <w:sz w:val="24"/>
          <w:szCs w:val="24"/>
        </w:rPr>
        <w:t>Danila, E., L. Jurgauskiene a</w:t>
      </w:r>
      <w:r w:rsidR="008F0C0F" w:rsidRPr="002D3DE0">
        <w:rPr>
          <w:rFonts w:cstheme="minorHAnsi"/>
          <w:noProof/>
          <w:sz w:val="24"/>
          <w:szCs w:val="24"/>
        </w:rPr>
        <w:t xml:space="preserve"> R. Malickaite. "BAL fluid cells and pulmonary function in different radiographic stages of newly diagnosed sarcoidosis." </w:t>
      </w:r>
      <w:r w:rsidR="008F0C0F" w:rsidRPr="002D3DE0">
        <w:rPr>
          <w:rFonts w:cstheme="minorHAnsi"/>
          <w:noProof/>
          <w:sz w:val="24"/>
          <w:szCs w:val="24"/>
          <w:u w:val="single"/>
        </w:rPr>
        <w:t>Advances in Medical Sciences</w:t>
      </w:r>
      <w:r w:rsidRPr="005D2146">
        <w:rPr>
          <w:rFonts w:cstheme="minorHAnsi"/>
          <w:noProof/>
          <w:sz w:val="24"/>
          <w:szCs w:val="24"/>
        </w:rPr>
        <w:t xml:space="preserve"> 2008</w:t>
      </w:r>
      <w:r>
        <w:rPr>
          <w:rFonts w:cstheme="minorHAnsi"/>
          <w:b/>
          <w:noProof/>
          <w:sz w:val="24"/>
          <w:szCs w:val="24"/>
        </w:rPr>
        <w:t>;</w:t>
      </w:r>
      <w:r w:rsidR="008F0C0F" w:rsidRPr="002D3DE0">
        <w:rPr>
          <w:rFonts w:cstheme="minorHAnsi"/>
          <w:b/>
          <w:noProof/>
          <w:sz w:val="24"/>
          <w:szCs w:val="24"/>
        </w:rPr>
        <w:t xml:space="preserve"> 53</w:t>
      </w:r>
      <w:r w:rsidR="008F0C0F" w:rsidRPr="002D3DE0">
        <w:rPr>
          <w:rFonts w:cstheme="minorHAnsi"/>
          <w:noProof/>
          <w:sz w:val="24"/>
          <w:szCs w:val="24"/>
        </w:rPr>
        <w:t>(2): 228-233.</w:t>
      </w:r>
      <w:bookmarkEnd w:id="95"/>
    </w:p>
    <w:p w:rsidR="008F0C0F" w:rsidRPr="002D3DE0" w:rsidRDefault="008F0C0F" w:rsidP="002D3DE0">
      <w:pPr>
        <w:spacing w:before="240" w:after="0"/>
        <w:jc w:val="both"/>
        <w:rPr>
          <w:rFonts w:cstheme="minorHAnsi"/>
          <w:noProof/>
          <w:sz w:val="24"/>
          <w:szCs w:val="24"/>
        </w:rPr>
      </w:pPr>
      <w:bookmarkStart w:id="96" w:name="_ENREF_28"/>
      <w:r w:rsidRPr="002D3DE0">
        <w:rPr>
          <w:rFonts w:cstheme="minorHAnsi"/>
          <w:noProof/>
          <w:sz w:val="24"/>
          <w:szCs w:val="24"/>
        </w:rPr>
        <w:t>Danila, E., L.</w:t>
      </w:r>
      <w:r w:rsidR="005D2146">
        <w:rPr>
          <w:rFonts w:cstheme="minorHAnsi"/>
          <w:noProof/>
          <w:sz w:val="24"/>
          <w:szCs w:val="24"/>
        </w:rPr>
        <w:t xml:space="preserve"> Jurgauskiene, J. Norkuniene a</w:t>
      </w:r>
      <w:r w:rsidRPr="002D3DE0">
        <w:rPr>
          <w:rFonts w:cstheme="minorHAnsi"/>
          <w:noProof/>
          <w:sz w:val="24"/>
          <w:szCs w:val="24"/>
        </w:rPr>
        <w:t xml:space="preserve"> R. Malickaite. "BAL fluid cells in newly diagnosed pulmonary sarcoidosis with different clinical activity." </w:t>
      </w:r>
      <w:r w:rsidRPr="002D3DE0">
        <w:rPr>
          <w:rFonts w:cstheme="minorHAnsi"/>
          <w:noProof/>
          <w:sz w:val="24"/>
          <w:szCs w:val="24"/>
          <w:u w:val="single"/>
        </w:rPr>
        <w:t>Upsala Journal of Medical Sciences</w:t>
      </w:r>
      <w:r w:rsidRPr="002D3DE0">
        <w:rPr>
          <w:rFonts w:cstheme="minorHAnsi"/>
          <w:noProof/>
          <w:sz w:val="24"/>
          <w:szCs w:val="24"/>
        </w:rPr>
        <w:t xml:space="preserve"> </w:t>
      </w:r>
      <w:r w:rsidR="005D2146">
        <w:rPr>
          <w:rFonts w:cstheme="minorHAnsi"/>
          <w:noProof/>
          <w:sz w:val="24"/>
          <w:szCs w:val="24"/>
        </w:rPr>
        <w:t xml:space="preserve">2009; </w:t>
      </w:r>
      <w:r w:rsidRPr="002D3DE0">
        <w:rPr>
          <w:rFonts w:cstheme="minorHAnsi"/>
          <w:b/>
          <w:noProof/>
          <w:sz w:val="24"/>
          <w:szCs w:val="24"/>
        </w:rPr>
        <w:t>114</w:t>
      </w:r>
      <w:r w:rsidRPr="002D3DE0">
        <w:rPr>
          <w:rFonts w:cstheme="minorHAnsi"/>
          <w:noProof/>
          <w:sz w:val="24"/>
          <w:szCs w:val="24"/>
        </w:rPr>
        <w:t>(1): 26-31.</w:t>
      </w:r>
      <w:bookmarkEnd w:id="96"/>
    </w:p>
    <w:p w:rsidR="008F0C0F" w:rsidRPr="002D3DE0" w:rsidRDefault="008F0C0F" w:rsidP="002D3DE0">
      <w:pPr>
        <w:spacing w:before="240" w:after="0"/>
        <w:jc w:val="both"/>
        <w:rPr>
          <w:rFonts w:cstheme="minorHAnsi"/>
          <w:noProof/>
          <w:sz w:val="24"/>
          <w:szCs w:val="24"/>
        </w:rPr>
      </w:pPr>
      <w:bookmarkStart w:id="97" w:name="_ENREF_29"/>
      <w:r w:rsidRPr="002D3DE0">
        <w:rPr>
          <w:rFonts w:cstheme="minorHAnsi"/>
          <w:noProof/>
          <w:sz w:val="24"/>
          <w:szCs w:val="24"/>
        </w:rPr>
        <w:t>Danila, E., J.</w:t>
      </w:r>
      <w:r w:rsidR="00C82A64">
        <w:rPr>
          <w:rFonts w:cstheme="minorHAnsi"/>
          <w:noProof/>
          <w:sz w:val="24"/>
          <w:szCs w:val="24"/>
        </w:rPr>
        <w:t xml:space="preserve"> Norkuniene, L. Jurgauskiene a R. Malickaite</w:t>
      </w:r>
      <w:r w:rsidRPr="002D3DE0">
        <w:rPr>
          <w:rFonts w:cstheme="minorHAnsi"/>
          <w:noProof/>
          <w:sz w:val="24"/>
          <w:szCs w:val="24"/>
        </w:rPr>
        <w:t xml:space="preserve">. "Diagnostic role of BAL fluid CD4/CD8 ratio in different radiographic and clinical forms of pulmonary sarcoidosis." </w:t>
      </w:r>
      <w:r w:rsidRPr="002D3DE0">
        <w:rPr>
          <w:rFonts w:cstheme="minorHAnsi"/>
          <w:noProof/>
          <w:sz w:val="24"/>
          <w:szCs w:val="24"/>
          <w:u w:val="single"/>
        </w:rPr>
        <w:t>The Clinical Respiratory Journal</w:t>
      </w:r>
      <w:r w:rsidRPr="002D3DE0">
        <w:rPr>
          <w:rFonts w:cstheme="minorHAnsi"/>
          <w:noProof/>
          <w:sz w:val="24"/>
          <w:szCs w:val="24"/>
        </w:rPr>
        <w:t xml:space="preserve"> </w:t>
      </w:r>
      <w:r w:rsidR="00C82A64">
        <w:rPr>
          <w:rFonts w:cstheme="minorHAnsi"/>
          <w:noProof/>
          <w:sz w:val="24"/>
          <w:szCs w:val="24"/>
        </w:rPr>
        <w:t xml:space="preserve">2009; </w:t>
      </w:r>
      <w:r w:rsidRPr="002D3DE0">
        <w:rPr>
          <w:rFonts w:cstheme="minorHAnsi"/>
          <w:b/>
          <w:noProof/>
          <w:sz w:val="24"/>
          <w:szCs w:val="24"/>
        </w:rPr>
        <w:t>3</w:t>
      </w:r>
      <w:r w:rsidRPr="002D3DE0">
        <w:rPr>
          <w:rFonts w:cstheme="minorHAnsi"/>
          <w:noProof/>
          <w:sz w:val="24"/>
          <w:szCs w:val="24"/>
        </w:rPr>
        <w:t>(4): 214-221.</w:t>
      </w:r>
      <w:bookmarkEnd w:id="97"/>
    </w:p>
    <w:p w:rsidR="008F0C0F" w:rsidRPr="002D3DE0" w:rsidRDefault="008F0C0F" w:rsidP="002D3DE0">
      <w:pPr>
        <w:spacing w:before="240" w:after="0"/>
        <w:jc w:val="both"/>
        <w:rPr>
          <w:rFonts w:cstheme="minorHAnsi"/>
          <w:noProof/>
          <w:sz w:val="24"/>
          <w:szCs w:val="24"/>
        </w:rPr>
      </w:pPr>
      <w:bookmarkStart w:id="98" w:name="_ENREF_30"/>
      <w:r w:rsidRPr="002D3DE0">
        <w:rPr>
          <w:rFonts w:cstheme="minorHAnsi"/>
          <w:noProof/>
          <w:sz w:val="24"/>
          <w:szCs w:val="24"/>
        </w:rPr>
        <w:t>Denli, A. M., B. B. J. Tops, R. H</w:t>
      </w:r>
      <w:r w:rsidR="00C82A64">
        <w:rPr>
          <w:rFonts w:cstheme="minorHAnsi"/>
          <w:noProof/>
          <w:sz w:val="24"/>
          <w:szCs w:val="24"/>
        </w:rPr>
        <w:t>. A. Plasterk, R. F. Ketting a</w:t>
      </w:r>
      <w:r w:rsidRPr="002D3DE0">
        <w:rPr>
          <w:rFonts w:cstheme="minorHAnsi"/>
          <w:noProof/>
          <w:sz w:val="24"/>
          <w:szCs w:val="24"/>
        </w:rPr>
        <w:t xml:space="preserve"> G. </w:t>
      </w:r>
      <w:r w:rsidR="00C82A64">
        <w:rPr>
          <w:rFonts w:cstheme="minorHAnsi"/>
          <w:noProof/>
          <w:sz w:val="24"/>
          <w:szCs w:val="24"/>
        </w:rPr>
        <w:t>J. Hannon</w:t>
      </w:r>
      <w:r w:rsidRPr="002D3DE0">
        <w:rPr>
          <w:rFonts w:cstheme="minorHAnsi"/>
          <w:noProof/>
          <w:sz w:val="24"/>
          <w:szCs w:val="24"/>
        </w:rPr>
        <w:t xml:space="preserve">. "Processing of primary microRNAs by the Microprocessor complex." </w:t>
      </w:r>
      <w:r w:rsidRPr="002D3DE0">
        <w:rPr>
          <w:rFonts w:cstheme="minorHAnsi"/>
          <w:noProof/>
          <w:sz w:val="24"/>
          <w:szCs w:val="24"/>
          <w:u w:val="single"/>
        </w:rPr>
        <w:t>Nature</w:t>
      </w:r>
      <w:r w:rsidRPr="002D3DE0">
        <w:rPr>
          <w:rFonts w:cstheme="minorHAnsi"/>
          <w:noProof/>
          <w:sz w:val="24"/>
          <w:szCs w:val="24"/>
        </w:rPr>
        <w:t xml:space="preserve"> </w:t>
      </w:r>
      <w:r w:rsidR="00C82A64">
        <w:rPr>
          <w:rFonts w:cstheme="minorHAnsi"/>
          <w:noProof/>
          <w:sz w:val="24"/>
          <w:szCs w:val="24"/>
        </w:rPr>
        <w:t xml:space="preserve">2004; </w:t>
      </w:r>
      <w:r w:rsidRPr="002D3DE0">
        <w:rPr>
          <w:rFonts w:cstheme="minorHAnsi"/>
          <w:b/>
          <w:noProof/>
          <w:sz w:val="24"/>
          <w:szCs w:val="24"/>
        </w:rPr>
        <w:t>432</w:t>
      </w:r>
      <w:r w:rsidRPr="002D3DE0">
        <w:rPr>
          <w:rFonts w:cstheme="minorHAnsi"/>
          <w:noProof/>
          <w:sz w:val="24"/>
          <w:szCs w:val="24"/>
        </w:rPr>
        <w:t>(7014): 231-235.</w:t>
      </w:r>
      <w:bookmarkEnd w:id="98"/>
    </w:p>
    <w:p w:rsidR="008F0C0F" w:rsidRPr="002D3DE0" w:rsidRDefault="00C82A64" w:rsidP="002D3DE0">
      <w:pPr>
        <w:spacing w:before="240" w:after="0"/>
        <w:jc w:val="both"/>
        <w:rPr>
          <w:rFonts w:cstheme="minorHAnsi"/>
          <w:noProof/>
          <w:sz w:val="24"/>
          <w:szCs w:val="24"/>
        </w:rPr>
      </w:pPr>
      <w:bookmarkStart w:id="99" w:name="_ENREF_31"/>
      <w:r>
        <w:rPr>
          <w:rFonts w:cstheme="minorHAnsi"/>
          <w:noProof/>
          <w:sz w:val="24"/>
          <w:szCs w:val="24"/>
        </w:rPr>
        <w:t>Drent, M., K. Mansour a</w:t>
      </w:r>
      <w:r w:rsidR="008F0C0F" w:rsidRPr="002D3DE0">
        <w:rPr>
          <w:rFonts w:cstheme="minorHAnsi"/>
          <w:noProof/>
          <w:sz w:val="24"/>
          <w:szCs w:val="24"/>
        </w:rPr>
        <w:t xml:space="preserve"> C. Linssen</w:t>
      </w:r>
      <w:r w:rsidR="00166BDD">
        <w:rPr>
          <w:rFonts w:cstheme="minorHAnsi"/>
          <w:noProof/>
          <w:sz w:val="24"/>
          <w:szCs w:val="24"/>
        </w:rPr>
        <w:t>.</w:t>
      </w:r>
      <w:r w:rsidR="008F0C0F" w:rsidRPr="002D3DE0">
        <w:rPr>
          <w:rFonts w:cstheme="minorHAnsi"/>
          <w:noProof/>
          <w:sz w:val="24"/>
          <w:szCs w:val="24"/>
        </w:rPr>
        <w:t xml:space="preserve"> "Bronchoalveolar Lavage in Sarcoidosis." </w:t>
      </w:r>
      <w:r w:rsidR="008F0C0F" w:rsidRPr="002D3DE0">
        <w:rPr>
          <w:rFonts w:cstheme="minorHAnsi"/>
          <w:noProof/>
          <w:sz w:val="24"/>
          <w:szCs w:val="24"/>
          <w:u w:val="single"/>
        </w:rPr>
        <w:t>Seminars in Respiratory and Critical Care Medicine</w:t>
      </w:r>
      <w:r w:rsidR="008F0C0F" w:rsidRPr="002D3DE0">
        <w:rPr>
          <w:rFonts w:cstheme="minorHAnsi"/>
          <w:noProof/>
          <w:sz w:val="24"/>
          <w:szCs w:val="24"/>
        </w:rPr>
        <w:t xml:space="preserve"> </w:t>
      </w:r>
      <w:r>
        <w:rPr>
          <w:rFonts w:cstheme="minorHAnsi"/>
          <w:noProof/>
          <w:sz w:val="24"/>
          <w:szCs w:val="24"/>
        </w:rPr>
        <w:t xml:space="preserve">(2007) </w:t>
      </w:r>
      <w:r w:rsidR="008F0C0F" w:rsidRPr="002D3DE0">
        <w:rPr>
          <w:rFonts w:cstheme="minorHAnsi"/>
          <w:b/>
          <w:noProof/>
          <w:sz w:val="24"/>
          <w:szCs w:val="24"/>
        </w:rPr>
        <w:t>28</w:t>
      </w:r>
      <w:r w:rsidR="008F0C0F" w:rsidRPr="002D3DE0">
        <w:rPr>
          <w:rFonts w:cstheme="minorHAnsi"/>
          <w:noProof/>
          <w:sz w:val="24"/>
          <w:szCs w:val="24"/>
        </w:rPr>
        <w:t>, 486-495.</w:t>
      </w:r>
      <w:bookmarkEnd w:id="99"/>
    </w:p>
    <w:p w:rsidR="008F0C0F" w:rsidRPr="002D3DE0" w:rsidRDefault="008F0C0F" w:rsidP="002D3DE0">
      <w:pPr>
        <w:spacing w:before="240" w:after="0"/>
        <w:jc w:val="both"/>
        <w:rPr>
          <w:rFonts w:cstheme="minorHAnsi"/>
          <w:noProof/>
          <w:sz w:val="24"/>
          <w:szCs w:val="24"/>
        </w:rPr>
      </w:pPr>
      <w:bookmarkStart w:id="100" w:name="_ENREF_32"/>
      <w:r w:rsidRPr="002D3DE0">
        <w:rPr>
          <w:rFonts w:cstheme="minorHAnsi"/>
          <w:noProof/>
          <w:sz w:val="24"/>
          <w:szCs w:val="24"/>
        </w:rPr>
        <w:t>Drent, M., H. van Velzen-Blad, M. Diamant, S. S</w:t>
      </w:r>
      <w:r w:rsidR="00C82A64">
        <w:rPr>
          <w:rFonts w:cstheme="minorHAnsi"/>
          <w:noProof/>
          <w:sz w:val="24"/>
          <w:szCs w:val="24"/>
        </w:rPr>
        <w:t>. Wagenaar, H. C. Hoogsteden a J. M. van den Bosch</w:t>
      </w:r>
      <w:r w:rsidRPr="002D3DE0">
        <w:rPr>
          <w:rFonts w:cstheme="minorHAnsi"/>
          <w:noProof/>
          <w:sz w:val="24"/>
          <w:szCs w:val="24"/>
        </w:rPr>
        <w:t xml:space="preserve">. "Bronchoalveolar lavage in extrinsic allergic alveolitis: effect of time elapsed since antigen exposure." </w:t>
      </w:r>
      <w:r w:rsidRPr="002D3DE0">
        <w:rPr>
          <w:rFonts w:cstheme="minorHAnsi"/>
          <w:noProof/>
          <w:sz w:val="24"/>
          <w:szCs w:val="24"/>
          <w:u w:val="single"/>
        </w:rPr>
        <w:t>The European Respiratory Journal</w:t>
      </w:r>
      <w:r w:rsidRPr="002D3DE0">
        <w:rPr>
          <w:rFonts w:cstheme="minorHAnsi"/>
          <w:noProof/>
          <w:sz w:val="24"/>
          <w:szCs w:val="24"/>
        </w:rPr>
        <w:t xml:space="preserve"> </w:t>
      </w:r>
      <w:r w:rsidR="00C82A64">
        <w:rPr>
          <w:rFonts w:cstheme="minorHAnsi"/>
          <w:noProof/>
          <w:sz w:val="24"/>
          <w:szCs w:val="24"/>
        </w:rPr>
        <w:t xml:space="preserve">1993; </w:t>
      </w:r>
      <w:r w:rsidRPr="002D3DE0">
        <w:rPr>
          <w:rFonts w:cstheme="minorHAnsi"/>
          <w:b/>
          <w:noProof/>
          <w:sz w:val="24"/>
          <w:szCs w:val="24"/>
        </w:rPr>
        <w:t>6</w:t>
      </w:r>
      <w:r w:rsidRPr="002D3DE0">
        <w:rPr>
          <w:rFonts w:cstheme="minorHAnsi"/>
          <w:noProof/>
          <w:sz w:val="24"/>
          <w:szCs w:val="24"/>
        </w:rPr>
        <w:t>(9): 1276-1281.</w:t>
      </w:r>
      <w:bookmarkEnd w:id="100"/>
    </w:p>
    <w:p w:rsidR="008F0C0F" w:rsidRPr="002D3DE0" w:rsidRDefault="00F930F8" w:rsidP="002D3DE0">
      <w:pPr>
        <w:spacing w:before="240" w:after="0"/>
        <w:jc w:val="both"/>
        <w:rPr>
          <w:rFonts w:cstheme="minorHAnsi"/>
          <w:noProof/>
          <w:sz w:val="24"/>
          <w:szCs w:val="24"/>
        </w:rPr>
      </w:pPr>
      <w:bookmarkStart w:id="101" w:name="_ENREF_33"/>
      <w:r>
        <w:rPr>
          <w:rFonts w:cstheme="minorHAnsi"/>
          <w:noProof/>
          <w:sz w:val="24"/>
          <w:szCs w:val="24"/>
        </w:rPr>
        <w:t>Elkington, P. T. G. a</w:t>
      </w:r>
      <w:r w:rsidR="008F0C0F" w:rsidRPr="002D3DE0">
        <w:rPr>
          <w:rFonts w:cstheme="minorHAnsi"/>
          <w:noProof/>
          <w:sz w:val="24"/>
          <w:szCs w:val="24"/>
        </w:rPr>
        <w:t xml:space="preserve"> J. S. Friedland. "Matrix metalloproteinases in destructive pulmonary pathology." </w:t>
      </w:r>
      <w:r w:rsidR="008F0C0F" w:rsidRPr="002D3DE0">
        <w:rPr>
          <w:rFonts w:cstheme="minorHAnsi"/>
          <w:noProof/>
          <w:sz w:val="24"/>
          <w:szCs w:val="24"/>
          <w:u w:val="single"/>
        </w:rPr>
        <w:t>Thorax</w:t>
      </w:r>
      <w:r w:rsidR="008F0C0F" w:rsidRPr="002D3DE0">
        <w:rPr>
          <w:rFonts w:cstheme="minorHAnsi"/>
          <w:noProof/>
          <w:sz w:val="24"/>
          <w:szCs w:val="24"/>
        </w:rPr>
        <w:t xml:space="preserve"> </w:t>
      </w:r>
      <w:r w:rsidR="00C82A64">
        <w:rPr>
          <w:rFonts w:cstheme="minorHAnsi"/>
          <w:noProof/>
          <w:sz w:val="24"/>
          <w:szCs w:val="24"/>
        </w:rPr>
        <w:t xml:space="preserve">2006; </w:t>
      </w:r>
      <w:r w:rsidR="008F0C0F" w:rsidRPr="002D3DE0">
        <w:rPr>
          <w:rFonts w:cstheme="minorHAnsi"/>
          <w:b/>
          <w:noProof/>
          <w:sz w:val="24"/>
          <w:szCs w:val="24"/>
        </w:rPr>
        <w:t>61</w:t>
      </w:r>
      <w:r w:rsidR="008F0C0F" w:rsidRPr="002D3DE0">
        <w:rPr>
          <w:rFonts w:cstheme="minorHAnsi"/>
          <w:noProof/>
          <w:sz w:val="24"/>
          <w:szCs w:val="24"/>
        </w:rPr>
        <w:t>(3): 259-266.</w:t>
      </w:r>
      <w:bookmarkEnd w:id="101"/>
    </w:p>
    <w:p w:rsidR="008F0C0F" w:rsidRPr="002D3DE0" w:rsidRDefault="008F0C0F" w:rsidP="002D3DE0">
      <w:pPr>
        <w:spacing w:before="240" w:after="0"/>
        <w:jc w:val="both"/>
        <w:rPr>
          <w:rFonts w:cstheme="minorHAnsi"/>
          <w:noProof/>
          <w:sz w:val="24"/>
          <w:szCs w:val="24"/>
        </w:rPr>
      </w:pPr>
      <w:bookmarkStart w:id="102" w:name="_ENREF_34"/>
      <w:r w:rsidRPr="002D3DE0">
        <w:rPr>
          <w:rFonts w:cstheme="minorHAnsi"/>
          <w:noProof/>
          <w:sz w:val="24"/>
          <w:szCs w:val="24"/>
        </w:rPr>
        <w:t xml:space="preserve">Eriksson, L., J. Jaworska, A. P. Worth, M. T. D. Cronin, R. M. </w:t>
      </w:r>
      <w:r w:rsidR="00C82A64">
        <w:rPr>
          <w:rFonts w:cstheme="minorHAnsi"/>
          <w:noProof/>
          <w:sz w:val="24"/>
          <w:szCs w:val="24"/>
        </w:rPr>
        <w:t>McDowell a P. Gramatica</w:t>
      </w:r>
      <w:r w:rsidRPr="002D3DE0">
        <w:rPr>
          <w:rFonts w:cstheme="minorHAnsi"/>
          <w:noProof/>
          <w:sz w:val="24"/>
          <w:szCs w:val="24"/>
        </w:rPr>
        <w:t xml:space="preserve">. "Methods for reliability and uncertainty assessment and for applicability evaluations of classification- and regression-based QSARs." </w:t>
      </w:r>
      <w:r w:rsidRPr="002D3DE0">
        <w:rPr>
          <w:rFonts w:cstheme="minorHAnsi"/>
          <w:noProof/>
          <w:sz w:val="24"/>
          <w:szCs w:val="24"/>
          <w:u w:val="single"/>
        </w:rPr>
        <w:t>Environmental Health Perspectives</w:t>
      </w:r>
      <w:r w:rsidRPr="002D3DE0">
        <w:rPr>
          <w:rFonts w:cstheme="minorHAnsi"/>
          <w:noProof/>
          <w:sz w:val="24"/>
          <w:szCs w:val="24"/>
        </w:rPr>
        <w:t xml:space="preserve"> </w:t>
      </w:r>
      <w:r w:rsidR="00C82A64">
        <w:rPr>
          <w:rFonts w:cstheme="minorHAnsi"/>
          <w:noProof/>
          <w:sz w:val="24"/>
          <w:szCs w:val="24"/>
        </w:rPr>
        <w:t xml:space="preserve">2003; </w:t>
      </w:r>
      <w:r w:rsidRPr="002D3DE0">
        <w:rPr>
          <w:rFonts w:cstheme="minorHAnsi"/>
          <w:b/>
          <w:noProof/>
          <w:sz w:val="24"/>
          <w:szCs w:val="24"/>
        </w:rPr>
        <w:t>111</w:t>
      </w:r>
      <w:r w:rsidRPr="002D3DE0">
        <w:rPr>
          <w:rFonts w:cstheme="minorHAnsi"/>
          <w:noProof/>
          <w:sz w:val="24"/>
          <w:szCs w:val="24"/>
        </w:rPr>
        <w:t>(10): 1361-1375.</w:t>
      </w:r>
      <w:bookmarkEnd w:id="102"/>
    </w:p>
    <w:p w:rsidR="008F0C0F" w:rsidRPr="002D3DE0" w:rsidRDefault="008F0C0F" w:rsidP="002D3DE0">
      <w:pPr>
        <w:spacing w:before="240" w:after="0"/>
        <w:jc w:val="both"/>
        <w:rPr>
          <w:rFonts w:cstheme="minorHAnsi"/>
          <w:noProof/>
          <w:sz w:val="24"/>
          <w:szCs w:val="24"/>
        </w:rPr>
      </w:pPr>
      <w:bookmarkStart w:id="103" w:name="_ENREF_35"/>
      <w:r w:rsidRPr="002D3DE0">
        <w:rPr>
          <w:rFonts w:cstheme="minorHAnsi"/>
          <w:noProof/>
          <w:sz w:val="24"/>
          <w:szCs w:val="24"/>
        </w:rPr>
        <w:t>Eze</w:t>
      </w:r>
      <w:r w:rsidR="00F930F8">
        <w:rPr>
          <w:rFonts w:cstheme="minorHAnsi"/>
          <w:noProof/>
          <w:sz w:val="24"/>
          <w:szCs w:val="24"/>
        </w:rPr>
        <w:t>gbunam, W. a</w:t>
      </w:r>
      <w:r w:rsidR="00C82A64">
        <w:rPr>
          <w:rFonts w:cstheme="minorHAnsi"/>
          <w:noProof/>
          <w:sz w:val="24"/>
          <w:szCs w:val="24"/>
        </w:rPr>
        <w:t xml:space="preserve"> R. Foronjy</w:t>
      </w:r>
      <w:r w:rsidRPr="002D3DE0">
        <w:rPr>
          <w:rFonts w:cstheme="minorHAnsi"/>
          <w:noProof/>
          <w:sz w:val="24"/>
          <w:szCs w:val="24"/>
        </w:rPr>
        <w:t xml:space="preserve">. "Posttranscriptional control of airway inflammation." </w:t>
      </w:r>
      <w:r w:rsidRPr="002D3DE0">
        <w:rPr>
          <w:rFonts w:cstheme="minorHAnsi"/>
          <w:noProof/>
          <w:sz w:val="24"/>
          <w:szCs w:val="24"/>
          <w:u w:val="single"/>
        </w:rPr>
        <w:t>Wiley Interdisciplinary Reviews: RNA</w:t>
      </w:r>
      <w:r w:rsidRPr="002D3DE0">
        <w:rPr>
          <w:rFonts w:cstheme="minorHAnsi"/>
          <w:noProof/>
          <w:sz w:val="24"/>
          <w:szCs w:val="24"/>
        </w:rPr>
        <w:t xml:space="preserve"> </w:t>
      </w:r>
      <w:r w:rsidR="00C82A64">
        <w:rPr>
          <w:rFonts w:cstheme="minorHAnsi"/>
          <w:noProof/>
          <w:sz w:val="24"/>
          <w:szCs w:val="24"/>
        </w:rPr>
        <w:t xml:space="preserve">2018; </w:t>
      </w:r>
      <w:r w:rsidRPr="002D3DE0">
        <w:rPr>
          <w:rFonts w:cstheme="minorHAnsi"/>
          <w:b/>
          <w:noProof/>
          <w:sz w:val="24"/>
          <w:szCs w:val="24"/>
        </w:rPr>
        <w:t>9</w:t>
      </w:r>
      <w:r w:rsidRPr="002D3DE0">
        <w:rPr>
          <w:rFonts w:cstheme="minorHAnsi"/>
          <w:noProof/>
          <w:sz w:val="24"/>
          <w:szCs w:val="24"/>
        </w:rPr>
        <w:t>(1): 1-17.</w:t>
      </w:r>
      <w:bookmarkEnd w:id="103"/>
    </w:p>
    <w:p w:rsidR="008F0C0F" w:rsidRPr="002D3DE0" w:rsidRDefault="008F0C0F" w:rsidP="002D3DE0">
      <w:pPr>
        <w:spacing w:before="240" w:after="0"/>
        <w:jc w:val="both"/>
        <w:rPr>
          <w:rFonts w:cstheme="minorHAnsi"/>
          <w:noProof/>
          <w:sz w:val="24"/>
          <w:szCs w:val="24"/>
        </w:rPr>
      </w:pPr>
      <w:bookmarkStart w:id="104" w:name="_ENREF_36"/>
      <w:r w:rsidRPr="002D3DE0">
        <w:rPr>
          <w:rFonts w:cstheme="minorHAnsi"/>
          <w:noProof/>
          <w:sz w:val="24"/>
          <w:szCs w:val="24"/>
        </w:rPr>
        <w:t>Fata, J. E., S.</w:t>
      </w:r>
      <w:r w:rsidR="00FB43BF">
        <w:rPr>
          <w:rFonts w:cstheme="minorHAnsi"/>
          <w:noProof/>
          <w:sz w:val="24"/>
          <w:szCs w:val="24"/>
        </w:rPr>
        <w:t xml:space="preserve"> Debnath, E. C. Jenkins, Jr. a M. V. Fournier</w:t>
      </w:r>
      <w:r w:rsidRPr="002D3DE0">
        <w:rPr>
          <w:rFonts w:cstheme="minorHAnsi"/>
          <w:noProof/>
          <w:sz w:val="24"/>
          <w:szCs w:val="24"/>
        </w:rPr>
        <w:t xml:space="preserve">. "Nongenomic Mechanisms of PTEN Regulation." </w:t>
      </w:r>
      <w:r w:rsidRPr="002D3DE0">
        <w:rPr>
          <w:rFonts w:cstheme="minorHAnsi"/>
          <w:noProof/>
          <w:sz w:val="24"/>
          <w:szCs w:val="24"/>
          <w:u w:val="single"/>
        </w:rPr>
        <w:t>International Journal of Cell Biology</w:t>
      </w:r>
      <w:r w:rsidRPr="002D3DE0">
        <w:rPr>
          <w:rFonts w:cstheme="minorHAnsi"/>
          <w:noProof/>
          <w:sz w:val="24"/>
          <w:szCs w:val="24"/>
        </w:rPr>
        <w:t xml:space="preserve"> </w:t>
      </w:r>
      <w:r w:rsidRPr="002D3DE0">
        <w:rPr>
          <w:rFonts w:cstheme="minorHAnsi"/>
          <w:b/>
          <w:noProof/>
          <w:sz w:val="24"/>
          <w:szCs w:val="24"/>
        </w:rPr>
        <w:t>2012</w:t>
      </w:r>
      <w:r w:rsidRPr="002D3DE0">
        <w:rPr>
          <w:rFonts w:cstheme="minorHAnsi"/>
          <w:noProof/>
          <w:sz w:val="24"/>
          <w:szCs w:val="24"/>
        </w:rPr>
        <w:t>: 1-11.</w:t>
      </w:r>
      <w:bookmarkEnd w:id="104"/>
    </w:p>
    <w:p w:rsidR="008F0C0F" w:rsidRPr="002D3DE0" w:rsidRDefault="008F0C0F" w:rsidP="002D3DE0">
      <w:pPr>
        <w:spacing w:before="240" w:after="0"/>
        <w:jc w:val="both"/>
        <w:rPr>
          <w:rFonts w:cstheme="minorHAnsi"/>
          <w:noProof/>
          <w:sz w:val="24"/>
          <w:szCs w:val="24"/>
        </w:rPr>
      </w:pPr>
      <w:bookmarkStart w:id="105" w:name="_ENREF_37"/>
      <w:r w:rsidRPr="002D3DE0">
        <w:rPr>
          <w:rFonts w:cstheme="minorHAnsi"/>
          <w:noProof/>
          <w:sz w:val="24"/>
          <w:szCs w:val="24"/>
        </w:rPr>
        <w:t>Fireman, E., Z. Kraiem, O. Sade,</w:t>
      </w:r>
      <w:r w:rsidR="00F930F8">
        <w:rPr>
          <w:rFonts w:cstheme="minorHAnsi"/>
          <w:noProof/>
          <w:sz w:val="24"/>
          <w:szCs w:val="24"/>
        </w:rPr>
        <w:t xml:space="preserve"> J. Greif a</w:t>
      </w:r>
      <w:r w:rsidRPr="002D3DE0">
        <w:rPr>
          <w:rFonts w:cstheme="minorHAnsi"/>
          <w:noProof/>
          <w:sz w:val="24"/>
          <w:szCs w:val="24"/>
        </w:rPr>
        <w:t xml:space="preserve"> Z. Fireman</w:t>
      </w:r>
      <w:r w:rsidR="00FB43BF">
        <w:rPr>
          <w:rFonts w:cstheme="minorHAnsi"/>
          <w:noProof/>
          <w:sz w:val="24"/>
          <w:szCs w:val="24"/>
        </w:rPr>
        <w:t>.</w:t>
      </w:r>
      <w:r w:rsidRPr="002D3DE0">
        <w:rPr>
          <w:rFonts w:cstheme="minorHAnsi"/>
          <w:noProof/>
          <w:sz w:val="24"/>
          <w:szCs w:val="24"/>
        </w:rPr>
        <w:t xml:space="preserve"> "Induced sputum-retrieved matrix metalloproteinase 9 and tissue metalloproteinase inhibitor 1 in granulomatous diseases." </w:t>
      </w:r>
      <w:r w:rsidRPr="002D3DE0">
        <w:rPr>
          <w:rFonts w:cstheme="minorHAnsi"/>
          <w:noProof/>
          <w:sz w:val="24"/>
          <w:szCs w:val="24"/>
          <w:u w:val="single"/>
        </w:rPr>
        <w:t>Clinical and Experimental Immunology</w:t>
      </w:r>
      <w:r w:rsidRPr="002D3DE0">
        <w:rPr>
          <w:rFonts w:cstheme="minorHAnsi"/>
          <w:noProof/>
          <w:sz w:val="24"/>
          <w:szCs w:val="24"/>
        </w:rPr>
        <w:t xml:space="preserve"> </w:t>
      </w:r>
      <w:r w:rsidR="00FB43BF">
        <w:rPr>
          <w:rFonts w:cstheme="minorHAnsi"/>
          <w:noProof/>
          <w:sz w:val="24"/>
          <w:szCs w:val="24"/>
        </w:rPr>
        <w:t xml:space="preserve">2002; </w:t>
      </w:r>
      <w:r w:rsidRPr="002D3DE0">
        <w:rPr>
          <w:rFonts w:cstheme="minorHAnsi"/>
          <w:b/>
          <w:noProof/>
          <w:sz w:val="24"/>
          <w:szCs w:val="24"/>
        </w:rPr>
        <w:t>130</w:t>
      </w:r>
      <w:r w:rsidR="00F930F8" w:rsidRPr="00F930F8">
        <w:rPr>
          <w:rFonts w:cstheme="minorHAnsi"/>
          <w:noProof/>
          <w:sz w:val="24"/>
          <w:szCs w:val="24"/>
        </w:rPr>
        <w:t>:</w:t>
      </w:r>
      <w:r w:rsidRPr="002D3DE0">
        <w:rPr>
          <w:rFonts w:cstheme="minorHAnsi"/>
          <w:noProof/>
          <w:sz w:val="24"/>
          <w:szCs w:val="24"/>
        </w:rPr>
        <w:t xml:space="preserve"> 331-337.</w:t>
      </w:r>
      <w:bookmarkEnd w:id="105"/>
    </w:p>
    <w:p w:rsidR="008F0C0F" w:rsidRPr="002D3DE0" w:rsidRDefault="008F0C0F" w:rsidP="002D3DE0">
      <w:pPr>
        <w:spacing w:before="240" w:after="0"/>
        <w:jc w:val="both"/>
        <w:rPr>
          <w:rFonts w:cstheme="minorHAnsi"/>
          <w:noProof/>
          <w:sz w:val="24"/>
          <w:szCs w:val="24"/>
        </w:rPr>
      </w:pPr>
      <w:bookmarkStart w:id="106" w:name="_ENREF_38"/>
      <w:r w:rsidRPr="002D3DE0">
        <w:rPr>
          <w:rFonts w:cstheme="minorHAnsi"/>
          <w:noProof/>
          <w:sz w:val="24"/>
          <w:szCs w:val="24"/>
        </w:rPr>
        <w:t>Forlenza, M., T</w:t>
      </w:r>
      <w:r w:rsidR="00F930F8">
        <w:rPr>
          <w:rFonts w:cstheme="minorHAnsi"/>
          <w:noProof/>
          <w:sz w:val="24"/>
          <w:szCs w:val="24"/>
        </w:rPr>
        <w:t>. Kaiser, H. F. J. Savelkoul a</w:t>
      </w:r>
      <w:r w:rsidRPr="002D3DE0">
        <w:rPr>
          <w:rFonts w:cstheme="minorHAnsi"/>
          <w:noProof/>
          <w:sz w:val="24"/>
          <w:szCs w:val="24"/>
        </w:rPr>
        <w:t xml:space="preserve"> G. F. Wiegertjes. "The use of real-time quantitative PCR for the analysis of cytokine mRNA levels." </w:t>
      </w:r>
      <w:r w:rsidRPr="002D3DE0">
        <w:rPr>
          <w:rFonts w:cstheme="minorHAnsi"/>
          <w:noProof/>
          <w:sz w:val="24"/>
          <w:szCs w:val="24"/>
          <w:u w:val="single"/>
        </w:rPr>
        <w:t>Methods in Molecular Biology</w:t>
      </w:r>
      <w:r w:rsidRPr="002D3DE0">
        <w:rPr>
          <w:rFonts w:cstheme="minorHAnsi"/>
          <w:noProof/>
          <w:sz w:val="24"/>
          <w:szCs w:val="24"/>
        </w:rPr>
        <w:t xml:space="preserve"> </w:t>
      </w:r>
      <w:r w:rsidR="00F930F8">
        <w:rPr>
          <w:rFonts w:cstheme="minorHAnsi"/>
          <w:noProof/>
          <w:sz w:val="24"/>
          <w:szCs w:val="24"/>
        </w:rPr>
        <w:t xml:space="preserve">2012; </w:t>
      </w:r>
      <w:r w:rsidRPr="002D3DE0">
        <w:rPr>
          <w:rFonts w:cstheme="minorHAnsi"/>
          <w:b/>
          <w:noProof/>
          <w:sz w:val="24"/>
          <w:szCs w:val="24"/>
        </w:rPr>
        <w:t>820</w:t>
      </w:r>
      <w:r w:rsidRPr="002D3DE0">
        <w:rPr>
          <w:rFonts w:cstheme="minorHAnsi"/>
          <w:noProof/>
          <w:sz w:val="24"/>
          <w:szCs w:val="24"/>
        </w:rPr>
        <w:t>: 7-23.</w:t>
      </w:r>
      <w:bookmarkEnd w:id="106"/>
    </w:p>
    <w:p w:rsidR="008F0C0F" w:rsidRPr="002D3DE0" w:rsidRDefault="008F0C0F" w:rsidP="002D3DE0">
      <w:pPr>
        <w:spacing w:before="240" w:after="0"/>
        <w:jc w:val="both"/>
        <w:rPr>
          <w:rFonts w:cstheme="minorHAnsi"/>
          <w:noProof/>
          <w:sz w:val="24"/>
          <w:szCs w:val="24"/>
        </w:rPr>
      </w:pPr>
      <w:bookmarkStart w:id="107" w:name="_ENREF_39"/>
      <w:r w:rsidRPr="002D3DE0">
        <w:rPr>
          <w:rFonts w:cstheme="minorHAnsi"/>
          <w:noProof/>
          <w:sz w:val="24"/>
          <w:szCs w:val="24"/>
        </w:rPr>
        <w:lastRenderedPageBreak/>
        <w:t xml:space="preserve">Gerke, A. K., M. A. Judston, Y. C. Cozier, D. A. Culver a L. L. Koth . "Disease Burden and Variability in Sarcoidosis." </w:t>
      </w:r>
      <w:r w:rsidRPr="002D3DE0">
        <w:rPr>
          <w:rFonts w:cstheme="minorHAnsi"/>
          <w:noProof/>
          <w:sz w:val="24"/>
          <w:szCs w:val="24"/>
          <w:u w:val="single"/>
        </w:rPr>
        <w:t>Annals of the American Thoracic Society</w:t>
      </w:r>
      <w:r w:rsidR="00D51D35">
        <w:rPr>
          <w:rFonts w:cstheme="minorHAnsi"/>
          <w:noProof/>
          <w:sz w:val="24"/>
          <w:szCs w:val="24"/>
          <w:u w:val="single"/>
        </w:rPr>
        <w:t xml:space="preserve"> </w:t>
      </w:r>
      <w:r w:rsidR="00D51D35" w:rsidRPr="002D3DE0">
        <w:rPr>
          <w:rFonts w:cstheme="minorHAnsi"/>
          <w:noProof/>
          <w:sz w:val="24"/>
          <w:szCs w:val="24"/>
        </w:rPr>
        <w:t>2017;</w:t>
      </w:r>
      <w:r w:rsidRPr="002D3DE0">
        <w:rPr>
          <w:rFonts w:cstheme="minorHAnsi"/>
          <w:noProof/>
          <w:sz w:val="24"/>
          <w:szCs w:val="24"/>
        </w:rPr>
        <w:t xml:space="preserve"> </w:t>
      </w:r>
      <w:r w:rsidRPr="002D3DE0">
        <w:rPr>
          <w:rFonts w:cstheme="minorHAnsi"/>
          <w:b/>
          <w:noProof/>
          <w:sz w:val="24"/>
          <w:szCs w:val="24"/>
        </w:rPr>
        <w:t>14</w:t>
      </w:r>
      <w:r w:rsidRPr="002D3DE0">
        <w:rPr>
          <w:rFonts w:cstheme="minorHAnsi"/>
          <w:noProof/>
          <w:sz w:val="24"/>
          <w:szCs w:val="24"/>
        </w:rPr>
        <w:t>(6): 421-428.</w:t>
      </w:r>
      <w:bookmarkEnd w:id="107"/>
    </w:p>
    <w:p w:rsidR="008F0C0F" w:rsidRPr="002D3DE0" w:rsidRDefault="008F0C0F" w:rsidP="002D3DE0">
      <w:pPr>
        <w:spacing w:before="240" w:after="0"/>
        <w:jc w:val="both"/>
        <w:rPr>
          <w:rFonts w:cstheme="minorHAnsi"/>
          <w:noProof/>
          <w:sz w:val="24"/>
          <w:szCs w:val="24"/>
        </w:rPr>
      </w:pPr>
      <w:bookmarkStart w:id="108" w:name="_ENREF_40"/>
      <w:r w:rsidRPr="002D3DE0">
        <w:rPr>
          <w:rFonts w:cstheme="minorHAnsi"/>
          <w:noProof/>
          <w:sz w:val="24"/>
          <w:szCs w:val="24"/>
        </w:rPr>
        <w:t xml:space="preserve">Gherzi, R., K.-Y. Lee, P. Briata, D. Wegmüller, C. Moroni, M. Karin a C. Y. Chen. "A KH Domain RNA Binding Protein, KSRP, Promotes ARE-Directed mRNA Turnover by Recruiting the Degradation Machinery." </w:t>
      </w:r>
      <w:r w:rsidRPr="002D3DE0">
        <w:rPr>
          <w:rFonts w:cstheme="minorHAnsi"/>
          <w:noProof/>
          <w:sz w:val="24"/>
          <w:szCs w:val="24"/>
          <w:u w:val="single"/>
        </w:rPr>
        <w:t>Molecular Cell</w:t>
      </w:r>
      <w:r w:rsidRPr="002D3DE0">
        <w:rPr>
          <w:rFonts w:cstheme="minorHAnsi"/>
          <w:noProof/>
          <w:sz w:val="24"/>
          <w:szCs w:val="24"/>
        </w:rPr>
        <w:t xml:space="preserve"> </w:t>
      </w:r>
      <w:r w:rsidR="00D51D35">
        <w:rPr>
          <w:rFonts w:cstheme="minorHAnsi"/>
          <w:noProof/>
          <w:sz w:val="24"/>
          <w:szCs w:val="24"/>
        </w:rPr>
        <w:t xml:space="preserve">2004; </w:t>
      </w:r>
      <w:r w:rsidRPr="002D3DE0">
        <w:rPr>
          <w:rFonts w:cstheme="minorHAnsi"/>
          <w:b/>
          <w:noProof/>
          <w:sz w:val="24"/>
          <w:szCs w:val="24"/>
        </w:rPr>
        <w:t>14</w:t>
      </w:r>
      <w:r w:rsidRPr="002D3DE0">
        <w:rPr>
          <w:rFonts w:cstheme="minorHAnsi"/>
          <w:noProof/>
          <w:sz w:val="24"/>
          <w:szCs w:val="24"/>
        </w:rPr>
        <w:t>(5): 571-583.</w:t>
      </w:r>
      <w:bookmarkEnd w:id="108"/>
    </w:p>
    <w:p w:rsidR="008F0C0F" w:rsidRPr="002D3DE0" w:rsidRDefault="008F0C0F" w:rsidP="002D3DE0">
      <w:pPr>
        <w:spacing w:before="240" w:after="0"/>
        <w:jc w:val="both"/>
        <w:rPr>
          <w:rFonts w:cstheme="minorHAnsi"/>
          <w:noProof/>
          <w:sz w:val="24"/>
          <w:szCs w:val="24"/>
        </w:rPr>
      </w:pPr>
      <w:bookmarkStart w:id="109" w:name="_ENREF_41"/>
      <w:r w:rsidRPr="002D3DE0">
        <w:rPr>
          <w:rFonts w:cstheme="minorHAnsi"/>
          <w:noProof/>
          <w:sz w:val="24"/>
          <w:szCs w:val="24"/>
        </w:rPr>
        <w:t xml:space="preserve">GINA. "Global Initiative for Asthma. Global strategy for asthma management and prevention.: WHO/NHLBI workshop report." </w:t>
      </w:r>
      <w:r w:rsidRPr="002D3DE0">
        <w:rPr>
          <w:rFonts w:cstheme="minorHAnsi"/>
          <w:noProof/>
          <w:sz w:val="24"/>
          <w:szCs w:val="24"/>
          <w:u w:val="single"/>
        </w:rPr>
        <w:t>Global Initiative for Asthma</w:t>
      </w:r>
      <w:r w:rsidR="00D51D35">
        <w:rPr>
          <w:rFonts w:cstheme="minorHAnsi"/>
          <w:noProof/>
          <w:sz w:val="24"/>
          <w:szCs w:val="24"/>
          <w:u w:val="single"/>
        </w:rPr>
        <w:t xml:space="preserve"> </w:t>
      </w:r>
      <w:r w:rsidR="00D51D35" w:rsidRPr="002D3DE0">
        <w:rPr>
          <w:rFonts w:cstheme="minorHAnsi"/>
          <w:noProof/>
          <w:sz w:val="24"/>
          <w:szCs w:val="24"/>
        </w:rPr>
        <w:t>2014</w:t>
      </w:r>
      <w:r w:rsidRPr="002D3DE0">
        <w:rPr>
          <w:rFonts w:cstheme="minorHAnsi"/>
          <w:noProof/>
          <w:sz w:val="24"/>
          <w:szCs w:val="24"/>
        </w:rPr>
        <w:t>: 1-113.</w:t>
      </w:r>
      <w:bookmarkEnd w:id="109"/>
    </w:p>
    <w:p w:rsidR="008F0C0F" w:rsidRPr="002D3DE0" w:rsidRDefault="008F0C0F" w:rsidP="002D3DE0">
      <w:pPr>
        <w:spacing w:before="240" w:after="0"/>
        <w:jc w:val="both"/>
        <w:rPr>
          <w:rFonts w:cstheme="minorHAnsi"/>
          <w:noProof/>
          <w:sz w:val="24"/>
          <w:szCs w:val="24"/>
        </w:rPr>
      </w:pPr>
      <w:bookmarkStart w:id="110" w:name="_ENREF_42"/>
      <w:r w:rsidRPr="002D3DE0">
        <w:rPr>
          <w:rFonts w:cstheme="minorHAnsi"/>
          <w:noProof/>
          <w:sz w:val="24"/>
          <w:szCs w:val="24"/>
        </w:rPr>
        <w:t xml:space="preserve">Greenlee, K. J., Z. Werb </w:t>
      </w:r>
      <w:r w:rsidR="00D51D35">
        <w:rPr>
          <w:rFonts w:cstheme="minorHAnsi"/>
          <w:noProof/>
          <w:sz w:val="24"/>
          <w:szCs w:val="24"/>
        </w:rPr>
        <w:t>a</w:t>
      </w:r>
      <w:r w:rsidRPr="002D3DE0">
        <w:rPr>
          <w:rFonts w:cstheme="minorHAnsi"/>
          <w:noProof/>
          <w:sz w:val="24"/>
          <w:szCs w:val="24"/>
        </w:rPr>
        <w:t xml:space="preserve"> F. Kheradmand. "Matrix metalloproteinases in lung: multiple, multifarious, and multifaceted." </w:t>
      </w:r>
      <w:r w:rsidRPr="002D3DE0">
        <w:rPr>
          <w:rFonts w:cstheme="minorHAnsi"/>
          <w:noProof/>
          <w:sz w:val="24"/>
          <w:szCs w:val="24"/>
          <w:u w:val="single"/>
        </w:rPr>
        <w:t>Physiological Reviews</w:t>
      </w:r>
      <w:r w:rsidRPr="002D3DE0">
        <w:rPr>
          <w:rFonts w:cstheme="minorHAnsi"/>
          <w:noProof/>
          <w:sz w:val="24"/>
          <w:szCs w:val="24"/>
        </w:rPr>
        <w:t xml:space="preserve"> </w:t>
      </w:r>
      <w:r w:rsidR="00D51D35">
        <w:rPr>
          <w:rFonts w:cstheme="minorHAnsi"/>
          <w:noProof/>
          <w:sz w:val="24"/>
          <w:szCs w:val="24"/>
        </w:rPr>
        <w:t xml:space="preserve">2007; </w:t>
      </w:r>
      <w:r w:rsidRPr="002D3DE0">
        <w:rPr>
          <w:rFonts w:cstheme="minorHAnsi"/>
          <w:b/>
          <w:noProof/>
          <w:sz w:val="24"/>
          <w:szCs w:val="24"/>
        </w:rPr>
        <w:t>87</w:t>
      </w:r>
      <w:r w:rsidRPr="002D3DE0">
        <w:rPr>
          <w:rFonts w:cstheme="minorHAnsi"/>
          <w:noProof/>
          <w:sz w:val="24"/>
          <w:szCs w:val="24"/>
        </w:rPr>
        <w:t>(1): 69-98.</w:t>
      </w:r>
      <w:bookmarkEnd w:id="110"/>
    </w:p>
    <w:p w:rsidR="008F0C0F" w:rsidRPr="002D3DE0" w:rsidRDefault="008F0C0F" w:rsidP="002D3DE0">
      <w:pPr>
        <w:spacing w:before="240" w:after="0"/>
        <w:jc w:val="both"/>
        <w:rPr>
          <w:rFonts w:cstheme="minorHAnsi"/>
          <w:noProof/>
          <w:sz w:val="24"/>
          <w:szCs w:val="24"/>
        </w:rPr>
      </w:pPr>
      <w:bookmarkStart w:id="111" w:name="_ENREF_43"/>
      <w:r w:rsidRPr="002D3DE0">
        <w:rPr>
          <w:rFonts w:cstheme="minorHAnsi"/>
          <w:noProof/>
          <w:sz w:val="24"/>
          <w:szCs w:val="24"/>
        </w:rPr>
        <w:t xml:space="preserve">Grunewald, J. a A. Eklund. "Löfgren’s Syndrome Human Leukocyte Antigen Strongly Influences the Disease Course." </w:t>
      </w:r>
      <w:r w:rsidRPr="002D3DE0">
        <w:rPr>
          <w:rFonts w:cstheme="minorHAnsi"/>
          <w:noProof/>
          <w:sz w:val="24"/>
          <w:szCs w:val="24"/>
          <w:u w:val="single"/>
        </w:rPr>
        <w:t>Ammerican Journal of Respiratory and Critical Care Medicine</w:t>
      </w:r>
      <w:r w:rsidRPr="002D3DE0">
        <w:rPr>
          <w:rFonts w:cstheme="minorHAnsi"/>
          <w:noProof/>
          <w:sz w:val="24"/>
          <w:szCs w:val="24"/>
        </w:rPr>
        <w:t xml:space="preserve"> </w:t>
      </w:r>
      <w:r w:rsidR="00D51D35">
        <w:rPr>
          <w:rFonts w:cstheme="minorHAnsi"/>
          <w:noProof/>
          <w:sz w:val="24"/>
          <w:szCs w:val="24"/>
        </w:rPr>
        <w:t xml:space="preserve">2009; </w:t>
      </w:r>
      <w:r w:rsidRPr="002D3DE0">
        <w:rPr>
          <w:rFonts w:cstheme="minorHAnsi"/>
          <w:b/>
          <w:noProof/>
          <w:sz w:val="24"/>
          <w:szCs w:val="24"/>
        </w:rPr>
        <w:t>179</w:t>
      </w:r>
      <w:r w:rsidRPr="002D3DE0">
        <w:rPr>
          <w:rFonts w:cstheme="minorHAnsi"/>
          <w:noProof/>
          <w:sz w:val="24"/>
          <w:szCs w:val="24"/>
        </w:rPr>
        <w:t>: 307-312.</w:t>
      </w:r>
      <w:bookmarkEnd w:id="111"/>
    </w:p>
    <w:p w:rsidR="008F0C0F" w:rsidRPr="002D3DE0" w:rsidRDefault="008F0C0F" w:rsidP="002D3DE0">
      <w:pPr>
        <w:spacing w:before="240" w:after="0"/>
        <w:jc w:val="both"/>
        <w:rPr>
          <w:rFonts w:cstheme="minorHAnsi"/>
          <w:noProof/>
          <w:sz w:val="24"/>
          <w:szCs w:val="24"/>
        </w:rPr>
      </w:pPr>
      <w:bookmarkStart w:id="112" w:name="_ENREF_44"/>
      <w:r w:rsidRPr="002D3DE0">
        <w:rPr>
          <w:rFonts w:cstheme="minorHAnsi"/>
          <w:noProof/>
          <w:sz w:val="24"/>
          <w:szCs w:val="24"/>
        </w:rPr>
        <w:t xml:space="preserve">Han, J., Y. Lee, K. H. Yeom, Y. K. Kim, H. Jin a V. N. Kim. "The Drosha-DGCR8 complex in primary microRNA processing." </w:t>
      </w:r>
      <w:r w:rsidRPr="002D3DE0">
        <w:rPr>
          <w:rFonts w:cstheme="minorHAnsi"/>
          <w:noProof/>
          <w:sz w:val="24"/>
          <w:szCs w:val="24"/>
          <w:u w:val="single"/>
        </w:rPr>
        <w:t>Genes &amp; Development</w:t>
      </w:r>
      <w:r w:rsidRPr="002D3DE0">
        <w:rPr>
          <w:rFonts w:cstheme="minorHAnsi"/>
          <w:noProof/>
          <w:sz w:val="24"/>
          <w:szCs w:val="24"/>
        </w:rPr>
        <w:t xml:space="preserve"> </w:t>
      </w:r>
      <w:r w:rsidR="00284F89">
        <w:rPr>
          <w:rFonts w:cstheme="minorHAnsi"/>
          <w:noProof/>
          <w:sz w:val="24"/>
          <w:szCs w:val="24"/>
        </w:rPr>
        <w:t xml:space="preserve">2004; </w:t>
      </w:r>
      <w:r w:rsidRPr="002D3DE0">
        <w:rPr>
          <w:rFonts w:cstheme="minorHAnsi"/>
          <w:b/>
          <w:noProof/>
          <w:sz w:val="24"/>
          <w:szCs w:val="24"/>
        </w:rPr>
        <w:t>18</w:t>
      </w:r>
      <w:r w:rsidRPr="002D3DE0">
        <w:rPr>
          <w:rFonts w:cstheme="minorHAnsi"/>
          <w:noProof/>
          <w:sz w:val="24"/>
          <w:szCs w:val="24"/>
        </w:rPr>
        <w:t>(24): 3016-3027.</w:t>
      </w:r>
      <w:bookmarkEnd w:id="112"/>
    </w:p>
    <w:p w:rsidR="008F0C0F" w:rsidRPr="002D3DE0" w:rsidRDefault="008F0C0F" w:rsidP="002D3DE0">
      <w:pPr>
        <w:spacing w:before="240" w:after="0"/>
        <w:jc w:val="both"/>
        <w:rPr>
          <w:rFonts w:cstheme="minorHAnsi"/>
          <w:noProof/>
          <w:sz w:val="24"/>
          <w:szCs w:val="24"/>
        </w:rPr>
      </w:pPr>
      <w:bookmarkStart w:id="113" w:name="_ENREF_45"/>
      <w:r w:rsidRPr="002D3DE0">
        <w:rPr>
          <w:rFonts w:cstheme="minorHAnsi"/>
          <w:noProof/>
          <w:sz w:val="24"/>
          <w:szCs w:val="24"/>
        </w:rPr>
        <w:t xml:space="preserve">Henry, M. T., K. McMahon, A. J. Mackarel, K. Prikk, T. Sorsa, P. Maisi, R. Sepper, M. X. FitzGerald a C. M. Connor. "Matrix metalloproteinases and tissue inhibitor of metalloproteinase-1 in sarcoidosis and IPF." </w:t>
      </w:r>
      <w:r w:rsidRPr="002D3DE0">
        <w:rPr>
          <w:rFonts w:cstheme="minorHAnsi"/>
          <w:noProof/>
          <w:sz w:val="24"/>
          <w:szCs w:val="24"/>
          <w:u w:val="single"/>
        </w:rPr>
        <w:t>European Respiratory Journal</w:t>
      </w:r>
      <w:r w:rsidRPr="002D3DE0">
        <w:rPr>
          <w:rFonts w:cstheme="minorHAnsi"/>
          <w:noProof/>
          <w:sz w:val="24"/>
          <w:szCs w:val="24"/>
        </w:rPr>
        <w:t xml:space="preserve"> </w:t>
      </w:r>
      <w:r w:rsidR="00724EC8">
        <w:rPr>
          <w:rFonts w:cstheme="minorHAnsi"/>
          <w:noProof/>
          <w:sz w:val="24"/>
          <w:szCs w:val="24"/>
        </w:rPr>
        <w:t xml:space="preserve">2002; </w:t>
      </w:r>
      <w:r w:rsidRPr="002D3DE0">
        <w:rPr>
          <w:rFonts w:cstheme="minorHAnsi"/>
          <w:b/>
          <w:noProof/>
          <w:sz w:val="24"/>
          <w:szCs w:val="24"/>
        </w:rPr>
        <w:t>20</w:t>
      </w:r>
      <w:r w:rsidRPr="002D3DE0">
        <w:rPr>
          <w:rFonts w:cstheme="minorHAnsi"/>
          <w:noProof/>
          <w:sz w:val="24"/>
          <w:szCs w:val="24"/>
        </w:rPr>
        <w:t>(5): 1220.</w:t>
      </w:r>
      <w:bookmarkEnd w:id="113"/>
    </w:p>
    <w:p w:rsidR="008F0C0F" w:rsidRPr="002D3DE0" w:rsidRDefault="008F0C0F" w:rsidP="002D3DE0">
      <w:pPr>
        <w:spacing w:before="240" w:after="0"/>
        <w:jc w:val="both"/>
        <w:rPr>
          <w:rFonts w:cstheme="minorHAnsi"/>
          <w:noProof/>
          <w:sz w:val="24"/>
          <w:szCs w:val="24"/>
        </w:rPr>
      </w:pPr>
      <w:bookmarkStart w:id="114" w:name="_ENREF_46"/>
      <w:r w:rsidRPr="002D3DE0">
        <w:rPr>
          <w:rFonts w:cstheme="minorHAnsi"/>
          <w:noProof/>
          <w:sz w:val="24"/>
          <w:szCs w:val="24"/>
        </w:rPr>
        <w:t xml:space="preserve">Hong, S. "RNA Binding Protein as an Emerging Therapeutic Target for Cancer Prevention and Treatment." </w:t>
      </w:r>
      <w:r w:rsidRPr="002D3DE0">
        <w:rPr>
          <w:rFonts w:cstheme="minorHAnsi"/>
          <w:noProof/>
          <w:sz w:val="24"/>
          <w:szCs w:val="24"/>
          <w:u w:val="single"/>
        </w:rPr>
        <w:t>Journal of Cancer Prevention</w:t>
      </w:r>
      <w:r w:rsidRPr="002D3DE0">
        <w:rPr>
          <w:rFonts w:cstheme="minorHAnsi"/>
          <w:noProof/>
          <w:sz w:val="24"/>
          <w:szCs w:val="24"/>
        </w:rPr>
        <w:t xml:space="preserve"> </w:t>
      </w:r>
      <w:r w:rsidR="004B244A">
        <w:rPr>
          <w:rFonts w:cstheme="minorHAnsi"/>
          <w:noProof/>
          <w:sz w:val="24"/>
          <w:szCs w:val="24"/>
        </w:rPr>
        <w:t xml:space="preserve">2017; </w:t>
      </w:r>
      <w:r w:rsidRPr="002D3DE0">
        <w:rPr>
          <w:rFonts w:cstheme="minorHAnsi"/>
          <w:b/>
          <w:noProof/>
          <w:sz w:val="24"/>
          <w:szCs w:val="24"/>
        </w:rPr>
        <w:t>22</w:t>
      </w:r>
      <w:r w:rsidRPr="002D3DE0">
        <w:rPr>
          <w:rFonts w:cstheme="minorHAnsi"/>
          <w:noProof/>
          <w:sz w:val="24"/>
          <w:szCs w:val="24"/>
        </w:rPr>
        <w:t>(4): 203-210.</w:t>
      </w:r>
      <w:bookmarkEnd w:id="114"/>
    </w:p>
    <w:p w:rsidR="008F0C0F" w:rsidRPr="002D3DE0" w:rsidRDefault="008F0C0F" w:rsidP="002D3DE0">
      <w:pPr>
        <w:spacing w:before="240" w:after="0"/>
        <w:jc w:val="both"/>
        <w:rPr>
          <w:rFonts w:cstheme="minorHAnsi"/>
          <w:noProof/>
          <w:sz w:val="24"/>
          <w:szCs w:val="24"/>
        </w:rPr>
      </w:pPr>
      <w:bookmarkStart w:id="115" w:name="_ENREF_47"/>
      <w:r w:rsidRPr="002D3DE0">
        <w:rPr>
          <w:rFonts w:cstheme="minorHAnsi"/>
          <w:noProof/>
          <w:sz w:val="24"/>
          <w:szCs w:val="24"/>
        </w:rPr>
        <w:t>Hunninghake, G. W., U. Costabel, M. Ando, R. P. Baughman, J. F. Cordier, R. M. Du Bois, A. Eklund, M. Kitaichi, J. Lynch, R. G., C. Rose, O. Selroos</w:t>
      </w:r>
      <w:r w:rsidR="00CC7E9A">
        <w:rPr>
          <w:rFonts w:cstheme="minorHAnsi"/>
          <w:noProof/>
          <w:sz w:val="24"/>
          <w:szCs w:val="24"/>
        </w:rPr>
        <w:t xml:space="preserve"> a</w:t>
      </w:r>
      <w:r w:rsidRPr="002D3DE0">
        <w:rPr>
          <w:rFonts w:cstheme="minorHAnsi"/>
          <w:noProof/>
          <w:sz w:val="24"/>
          <w:szCs w:val="24"/>
        </w:rPr>
        <w:t xml:space="preserve"> G. Semenzato</w:t>
      </w:r>
      <w:r w:rsidR="00CC7E9A">
        <w:rPr>
          <w:rFonts w:cstheme="minorHAnsi"/>
          <w:noProof/>
          <w:sz w:val="24"/>
          <w:szCs w:val="24"/>
        </w:rPr>
        <w:t>.</w:t>
      </w:r>
      <w:r w:rsidRPr="002D3DE0">
        <w:rPr>
          <w:rFonts w:cstheme="minorHAnsi"/>
          <w:noProof/>
          <w:sz w:val="24"/>
          <w:szCs w:val="24"/>
        </w:rPr>
        <w:t xml:space="preserve">  "Statement on sarcoidosis. Joint Statement of the American Thoracic Society (ATS), the European Respiratory Society (ERS) and the World Association of Sarcoidosis and Other Granulomatous Disorders (WASOG) adopted by the ATS Board of Directors and by the ERS Executive Committee, February 1999." </w:t>
      </w:r>
      <w:r w:rsidRPr="002D3DE0">
        <w:rPr>
          <w:rFonts w:cstheme="minorHAnsi"/>
          <w:noProof/>
          <w:sz w:val="24"/>
          <w:szCs w:val="24"/>
          <w:u w:val="single"/>
        </w:rPr>
        <w:t>American journal of respiratory and critical care medicine</w:t>
      </w:r>
      <w:r w:rsidRPr="002D3DE0">
        <w:rPr>
          <w:rFonts w:cstheme="minorHAnsi"/>
          <w:noProof/>
          <w:sz w:val="24"/>
          <w:szCs w:val="24"/>
        </w:rPr>
        <w:t xml:space="preserve"> </w:t>
      </w:r>
      <w:r w:rsidR="00CC7E9A">
        <w:rPr>
          <w:rFonts w:cstheme="minorHAnsi"/>
          <w:noProof/>
          <w:sz w:val="24"/>
          <w:szCs w:val="24"/>
        </w:rPr>
        <w:t xml:space="preserve">1999; </w:t>
      </w:r>
      <w:r w:rsidRPr="002D3DE0">
        <w:rPr>
          <w:rFonts w:cstheme="minorHAnsi"/>
          <w:b/>
          <w:noProof/>
          <w:sz w:val="24"/>
          <w:szCs w:val="24"/>
        </w:rPr>
        <w:t>160</w:t>
      </w:r>
      <w:r w:rsidRPr="002D3DE0">
        <w:rPr>
          <w:rFonts w:cstheme="minorHAnsi"/>
          <w:noProof/>
          <w:sz w:val="24"/>
          <w:szCs w:val="24"/>
        </w:rPr>
        <w:t>(2): 736-755.</w:t>
      </w:r>
      <w:bookmarkEnd w:id="115"/>
    </w:p>
    <w:p w:rsidR="008F0C0F" w:rsidRPr="002D3DE0" w:rsidRDefault="008F0C0F" w:rsidP="002D3DE0">
      <w:pPr>
        <w:spacing w:before="240" w:after="0"/>
        <w:jc w:val="both"/>
        <w:rPr>
          <w:rFonts w:cstheme="minorHAnsi"/>
          <w:noProof/>
          <w:sz w:val="24"/>
          <w:szCs w:val="24"/>
        </w:rPr>
      </w:pPr>
      <w:bookmarkStart w:id="116" w:name="_ENREF_48"/>
      <w:r w:rsidRPr="002D3DE0">
        <w:rPr>
          <w:rFonts w:cstheme="minorHAnsi"/>
          <w:noProof/>
          <w:sz w:val="24"/>
          <w:szCs w:val="24"/>
        </w:rPr>
        <w:t xml:space="preserve">Chowdhury, S., A. Dijkhuis, S. Steiert, R. Lutter a P. Holvoet (2013) "IL-17 Attenuates Degradation of ARE-mRNAs by Changing the Cooperation between AU-Binding Proteins and microRNA16." </w:t>
      </w:r>
      <w:r w:rsidRPr="002D3DE0">
        <w:rPr>
          <w:rFonts w:cstheme="minorHAnsi"/>
          <w:noProof/>
          <w:sz w:val="24"/>
          <w:szCs w:val="24"/>
          <w:u w:val="single"/>
        </w:rPr>
        <w:t>PLoS Genetics</w:t>
      </w:r>
      <w:r w:rsidRPr="002D3DE0">
        <w:rPr>
          <w:rFonts w:cstheme="minorHAnsi"/>
          <w:noProof/>
          <w:sz w:val="24"/>
          <w:szCs w:val="24"/>
        </w:rPr>
        <w:t xml:space="preserve"> </w:t>
      </w:r>
      <w:r w:rsidR="00E8054F">
        <w:rPr>
          <w:rFonts w:cstheme="minorHAnsi"/>
          <w:noProof/>
          <w:sz w:val="24"/>
          <w:szCs w:val="24"/>
        </w:rPr>
        <w:t xml:space="preserve">2013; </w:t>
      </w:r>
      <w:r w:rsidRPr="002D3DE0">
        <w:rPr>
          <w:rFonts w:cstheme="minorHAnsi"/>
          <w:b/>
          <w:noProof/>
          <w:sz w:val="24"/>
          <w:szCs w:val="24"/>
        </w:rPr>
        <w:t>9</w:t>
      </w:r>
      <w:r w:rsidR="00E8054F">
        <w:rPr>
          <w:rFonts w:cstheme="minorHAnsi"/>
          <w:noProof/>
          <w:sz w:val="24"/>
          <w:szCs w:val="24"/>
        </w:rPr>
        <w:t>:</w:t>
      </w:r>
      <w:r w:rsidRPr="002D3DE0">
        <w:rPr>
          <w:rFonts w:cstheme="minorHAnsi"/>
          <w:noProof/>
          <w:sz w:val="24"/>
          <w:szCs w:val="24"/>
        </w:rPr>
        <w:t xml:space="preserve"> 1-11.</w:t>
      </w:r>
      <w:bookmarkEnd w:id="116"/>
    </w:p>
    <w:p w:rsidR="008F0C0F" w:rsidRPr="002D3DE0" w:rsidRDefault="008F0C0F" w:rsidP="002D3DE0">
      <w:pPr>
        <w:spacing w:before="240" w:after="0"/>
        <w:jc w:val="both"/>
        <w:rPr>
          <w:rFonts w:cstheme="minorHAnsi"/>
          <w:noProof/>
          <w:sz w:val="24"/>
          <w:szCs w:val="24"/>
        </w:rPr>
      </w:pPr>
      <w:bookmarkStart w:id="117" w:name="_ENREF_49"/>
      <w:r w:rsidRPr="002D3DE0">
        <w:rPr>
          <w:rFonts w:cstheme="minorHAnsi"/>
          <w:noProof/>
          <w:sz w:val="24"/>
          <w:szCs w:val="24"/>
        </w:rPr>
        <w:t>Ivanov, P. a P. Anderson</w:t>
      </w:r>
      <w:r w:rsidR="00E8054F">
        <w:rPr>
          <w:rFonts w:cstheme="minorHAnsi"/>
          <w:noProof/>
          <w:sz w:val="24"/>
          <w:szCs w:val="24"/>
        </w:rPr>
        <w:t>.</w:t>
      </w:r>
      <w:r w:rsidRPr="002D3DE0">
        <w:rPr>
          <w:rFonts w:cstheme="minorHAnsi"/>
          <w:noProof/>
          <w:sz w:val="24"/>
          <w:szCs w:val="24"/>
        </w:rPr>
        <w:t xml:space="preserve"> "Post-transcriptional regulatory networks in immunity." </w:t>
      </w:r>
      <w:r w:rsidRPr="002D3DE0">
        <w:rPr>
          <w:rFonts w:cstheme="minorHAnsi"/>
          <w:noProof/>
          <w:sz w:val="24"/>
          <w:szCs w:val="24"/>
          <w:u w:val="single"/>
        </w:rPr>
        <w:t>Immunological Reviews</w:t>
      </w:r>
      <w:r w:rsidRPr="002D3DE0">
        <w:rPr>
          <w:rFonts w:cstheme="minorHAnsi"/>
          <w:noProof/>
          <w:sz w:val="24"/>
          <w:szCs w:val="24"/>
        </w:rPr>
        <w:t xml:space="preserve"> </w:t>
      </w:r>
      <w:r w:rsidR="00E8054F">
        <w:rPr>
          <w:rFonts w:cstheme="minorHAnsi"/>
          <w:noProof/>
          <w:sz w:val="24"/>
          <w:szCs w:val="24"/>
        </w:rPr>
        <w:t xml:space="preserve">2013; </w:t>
      </w:r>
      <w:r w:rsidRPr="002D3DE0">
        <w:rPr>
          <w:rFonts w:cstheme="minorHAnsi"/>
          <w:b/>
          <w:noProof/>
          <w:sz w:val="24"/>
          <w:szCs w:val="24"/>
        </w:rPr>
        <w:t>253</w:t>
      </w:r>
      <w:r w:rsidR="00E8054F">
        <w:rPr>
          <w:rFonts w:cstheme="minorHAnsi"/>
          <w:noProof/>
          <w:sz w:val="24"/>
          <w:szCs w:val="24"/>
        </w:rPr>
        <w:t>:</w:t>
      </w:r>
      <w:r w:rsidRPr="002D3DE0">
        <w:rPr>
          <w:rFonts w:cstheme="minorHAnsi"/>
          <w:noProof/>
          <w:sz w:val="24"/>
          <w:szCs w:val="24"/>
        </w:rPr>
        <w:t xml:space="preserve"> 253-272.</w:t>
      </w:r>
      <w:bookmarkEnd w:id="117"/>
    </w:p>
    <w:p w:rsidR="008F0C0F" w:rsidRPr="002D3DE0" w:rsidRDefault="008F0C0F" w:rsidP="002D3DE0">
      <w:pPr>
        <w:spacing w:before="240" w:after="0"/>
        <w:jc w:val="both"/>
        <w:rPr>
          <w:rFonts w:cstheme="minorHAnsi"/>
          <w:noProof/>
          <w:sz w:val="24"/>
          <w:szCs w:val="24"/>
        </w:rPr>
      </w:pPr>
      <w:bookmarkStart w:id="118" w:name="_ENREF_50"/>
      <w:r w:rsidRPr="002D3DE0">
        <w:rPr>
          <w:rFonts w:cstheme="minorHAnsi"/>
          <w:noProof/>
          <w:sz w:val="24"/>
          <w:szCs w:val="24"/>
        </w:rPr>
        <w:t xml:space="preserve">Jara-Palomares, L., J. Martín-Juan, L. Gómez-Izquierdo, A. Cayuela-Domínguez, E. Rodríguez-Becerra a F. Rodríguez-Panadero. "Bronchoalveolar lavage findings in patients with diffuse interstitial lung disease: prospective study of a cohort of 562 patients." </w:t>
      </w:r>
      <w:r w:rsidRPr="002D3DE0">
        <w:rPr>
          <w:rFonts w:cstheme="minorHAnsi"/>
          <w:noProof/>
          <w:sz w:val="24"/>
          <w:szCs w:val="24"/>
          <w:u w:val="single"/>
        </w:rPr>
        <w:t>Archivos de bronconeumologia</w:t>
      </w:r>
      <w:r w:rsidRPr="002D3DE0">
        <w:rPr>
          <w:rFonts w:cstheme="minorHAnsi"/>
          <w:noProof/>
          <w:sz w:val="24"/>
          <w:szCs w:val="24"/>
        </w:rPr>
        <w:t xml:space="preserve"> </w:t>
      </w:r>
      <w:r w:rsidR="003902BE">
        <w:rPr>
          <w:rFonts w:cstheme="minorHAnsi"/>
          <w:noProof/>
          <w:sz w:val="24"/>
          <w:szCs w:val="24"/>
        </w:rPr>
        <w:t xml:space="preserve">2009; </w:t>
      </w:r>
      <w:r w:rsidRPr="002D3DE0">
        <w:rPr>
          <w:rFonts w:cstheme="minorHAnsi"/>
          <w:b/>
          <w:noProof/>
          <w:sz w:val="24"/>
          <w:szCs w:val="24"/>
        </w:rPr>
        <w:t>45</w:t>
      </w:r>
      <w:r w:rsidRPr="002D3DE0">
        <w:rPr>
          <w:rFonts w:cstheme="minorHAnsi"/>
          <w:noProof/>
          <w:sz w:val="24"/>
          <w:szCs w:val="24"/>
        </w:rPr>
        <w:t>(3): 111-117.</w:t>
      </w:r>
      <w:bookmarkEnd w:id="118"/>
    </w:p>
    <w:p w:rsidR="008F0C0F" w:rsidRPr="002D3DE0" w:rsidRDefault="008F0C0F" w:rsidP="002D3DE0">
      <w:pPr>
        <w:spacing w:before="240" w:after="0"/>
        <w:jc w:val="both"/>
        <w:rPr>
          <w:rFonts w:cstheme="minorHAnsi"/>
          <w:noProof/>
          <w:sz w:val="24"/>
          <w:szCs w:val="24"/>
        </w:rPr>
      </w:pPr>
      <w:bookmarkStart w:id="119" w:name="_ENREF_51"/>
      <w:r w:rsidRPr="002D3DE0">
        <w:rPr>
          <w:rFonts w:cstheme="minorHAnsi"/>
          <w:noProof/>
          <w:sz w:val="24"/>
          <w:szCs w:val="24"/>
        </w:rPr>
        <w:lastRenderedPageBreak/>
        <w:t xml:space="preserve">Jazva, A., L. Kasper, M. Bak, M. Sobczak, K. Szade, A. Jozkowicz, K. Sladek a J. Dulak  "Differential inflammatory microRNA and cytokine expression in pulmonary sarcoidosis." </w:t>
      </w:r>
      <w:r w:rsidRPr="002D3DE0">
        <w:rPr>
          <w:rFonts w:cstheme="minorHAnsi"/>
          <w:noProof/>
          <w:sz w:val="24"/>
          <w:szCs w:val="24"/>
          <w:u w:val="single"/>
        </w:rPr>
        <w:t>Archivum Immunologiae et Therapiae Experimentalis</w:t>
      </w:r>
      <w:r w:rsidRPr="002D3DE0">
        <w:rPr>
          <w:rFonts w:cstheme="minorHAnsi"/>
          <w:noProof/>
          <w:sz w:val="24"/>
          <w:szCs w:val="24"/>
        </w:rPr>
        <w:t xml:space="preserve"> </w:t>
      </w:r>
      <w:r w:rsidR="0047212B">
        <w:rPr>
          <w:rFonts w:cstheme="minorHAnsi"/>
          <w:noProof/>
          <w:sz w:val="24"/>
          <w:szCs w:val="24"/>
        </w:rPr>
        <w:t xml:space="preserve">2015; </w:t>
      </w:r>
      <w:r w:rsidRPr="002D3DE0">
        <w:rPr>
          <w:rFonts w:cstheme="minorHAnsi"/>
          <w:b/>
          <w:noProof/>
          <w:sz w:val="24"/>
          <w:szCs w:val="24"/>
        </w:rPr>
        <w:t>63</w:t>
      </w:r>
      <w:r w:rsidR="0047212B">
        <w:rPr>
          <w:rFonts w:cstheme="minorHAnsi"/>
          <w:noProof/>
          <w:sz w:val="24"/>
          <w:szCs w:val="24"/>
        </w:rPr>
        <w:t>:</w:t>
      </w:r>
      <w:r w:rsidRPr="002D3DE0">
        <w:rPr>
          <w:rFonts w:cstheme="minorHAnsi"/>
          <w:noProof/>
          <w:sz w:val="24"/>
          <w:szCs w:val="24"/>
        </w:rPr>
        <w:t xml:space="preserve"> 139–146.</w:t>
      </w:r>
      <w:bookmarkEnd w:id="119"/>
    </w:p>
    <w:p w:rsidR="008F0C0F" w:rsidRPr="002D3DE0" w:rsidRDefault="008F0C0F" w:rsidP="002D3DE0">
      <w:pPr>
        <w:spacing w:before="240" w:after="0"/>
        <w:jc w:val="both"/>
        <w:rPr>
          <w:rFonts w:cstheme="minorHAnsi"/>
          <w:noProof/>
          <w:sz w:val="24"/>
          <w:szCs w:val="24"/>
        </w:rPr>
      </w:pPr>
      <w:bookmarkStart w:id="120" w:name="_ENREF_52"/>
      <w:r w:rsidRPr="002D3DE0">
        <w:rPr>
          <w:rFonts w:cstheme="minorHAnsi"/>
          <w:noProof/>
          <w:sz w:val="24"/>
          <w:szCs w:val="24"/>
        </w:rPr>
        <w:t xml:space="preserve">Kalchiem-Dekel, O., J. R. Galvin, A. P. Burke, S. P. Atamas a N. W. Todd "Interstitial Lung Disease and Pulmonary Fibrosis: A Practical Approach for General Medicine Physicians with Focus on the Medical History: A Practical Approach for General Medicine Physicians with Focus on the Medical History." </w:t>
      </w:r>
      <w:r w:rsidRPr="002D3DE0">
        <w:rPr>
          <w:rFonts w:cstheme="minorHAnsi"/>
          <w:noProof/>
          <w:sz w:val="24"/>
          <w:szCs w:val="24"/>
          <w:u w:val="single"/>
        </w:rPr>
        <w:t>Journal of Clinical Medicine</w:t>
      </w:r>
      <w:r w:rsidRPr="002D3DE0">
        <w:rPr>
          <w:rFonts w:cstheme="minorHAnsi"/>
          <w:noProof/>
          <w:sz w:val="24"/>
          <w:szCs w:val="24"/>
        </w:rPr>
        <w:t xml:space="preserve"> </w:t>
      </w:r>
      <w:r w:rsidR="0047212B">
        <w:rPr>
          <w:rFonts w:cstheme="minorHAnsi"/>
          <w:noProof/>
          <w:sz w:val="24"/>
          <w:szCs w:val="24"/>
        </w:rPr>
        <w:t xml:space="preserve">2018; </w:t>
      </w:r>
      <w:r w:rsidRPr="002D3DE0">
        <w:rPr>
          <w:rFonts w:cstheme="minorHAnsi"/>
          <w:b/>
          <w:noProof/>
          <w:sz w:val="24"/>
          <w:szCs w:val="24"/>
        </w:rPr>
        <w:t>7</w:t>
      </w:r>
      <w:r w:rsidRPr="002D3DE0">
        <w:rPr>
          <w:rFonts w:cstheme="minorHAnsi"/>
          <w:noProof/>
          <w:sz w:val="24"/>
          <w:szCs w:val="24"/>
        </w:rPr>
        <w:t>(12): 1-27.</w:t>
      </w:r>
      <w:bookmarkEnd w:id="120"/>
    </w:p>
    <w:p w:rsidR="008F0C0F" w:rsidRPr="002D3DE0" w:rsidRDefault="008F0C0F" w:rsidP="002D3DE0">
      <w:pPr>
        <w:spacing w:before="240" w:after="0"/>
        <w:jc w:val="both"/>
        <w:rPr>
          <w:rFonts w:cstheme="minorHAnsi"/>
          <w:noProof/>
          <w:sz w:val="24"/>
          <w:szCs w:val="24"/>
        </w:rPr>
      </w:pPr>
      <w:bookmarkStart w:id="121" w:name="_ENREF_53"/>
      <w:r w:rsidRPr="002D3DE0">
        <w:rPr>
          <w:rFonts w:cstheme="minorHAnsi"/>
          <w:noProof/>
          <w:sz w:val="24"/>
          <w:szCs w:val="24"/>
        </w:rPr>
        <w:t xml:space="preserve">Karakatsani, A., D. Papakosta, A. Rapti, K. M. Antoniou, M. Dimadi, A. Markopoulou, P. Latsi, V. Polychronopoulos, G. Birba, L. Ch a D. Bouros "Epidemiology of interstitial lung diseases in Greece." </w:t>
      </w:r>
      <w:r w:rsidRPr="002D3DE0">
        <w:rPr>
          <w:rFonts w:cstheme="minorHAnsi"/>
          <w:noProof/>
          <w:sz w:val="24"/>
          <w:szCs w:val="24"/>
          <w:u w:val="single"/>
        </w:rPr>
        <w:t>Respiratory Medicine</w:t>
      </w:r>
      <w:r w:rsidRPr="002D3DE0">
        <w:rPr>
          <w:rFonts w:cstheme="minorHAnsi"/>
          <w:noProof/>
          <w:sz w:val="24"/>
          <w:szCs w:val="24"/>
        </w:rPr>
        <w:t xml:space="preserve"> </w:t>
      </w:r>
      <w:r w:rsidR="0047212B">
        <w:rPr>
          <w:rFonts w:cstheme="minorHAnsi"/>
          <w:noProof/>
          <w:sz w:val="24"/>
          <w:szCs w:val="24"/>
        </w:rPr>
        <w:t xml:space="preserve">2009; </w:t>
      </w:r>
      <w:r w:rsidRPr="002D3DE0">
        <w:rPr>
          <w:rFonts w:cstheme="minorHAnsi"/>
          <w:b/>
          <w:noProof/>
          <w:sz w:val="24"/>
          <w:szCs w:val="24"/>
        </w:rPr>
        <w:t>103</w:t>
      </w:r>
      <w:r w:rsidRPr="002D3DE0">
        <w:rPr>
          <w:rFonts w:cstheme="minorHAnsi"/>
          <w:noProof/>
          <w:sz w:val="24"/>
          <w:szCs w:val="24"/>
        </w:rPr>
        <w:t>(8): 1122-1129.</w:t>
      </w:r>
      <w:bookmarkEnd w:id="121"/>
    </w:p>
    <w:p w:rsidR="008F0C0F" w:rsidRPr="002D3DE0" w:rsidRDefault="008F0C0F" w:rsidP="002D3DE0">
      <w:pPr>
        <w:spacing w:before="240" w:after="0"/>
        <w:jc w:val="both"/>
        <w:rPr>
          <w:rFonts w:cstheme="minorHAnsi"/>
          <w:noProof/>
          <w:sz w:val="24"/>
          <w:szCs w:val="24"/>
        </w:rPr>
      </w:pPr>
      <w:bookmarkStart w:id="122" w:name="_ENREF_54"/>
      <w:r w:rsidRPr="002D3DE0">
        <w:rPr>
          <w:rFonts w:cstheme="minorHAnsi"/>
          <w:noProof/>
          <w:sz w:val="24"/>
          <w:szCs w:val="24"/>
        </w:rPr>
        <w:t xml:space="preserve">Katzenstein, A. L. a J. L. Myers "Nonspecific interstitial pneumonia and the other idiopathic interstitial pneumonias: classification and diagnostic criteria." </w:t>
      </w:r>
      <w:r w:rsidRPr="002D3DE0">
        <w:rPr>
          <w:rFonts w:cstheme="minorHAnsi"/>
          <w:noProof/>
          <w:sz w:val="24"/>
          <w:szCs w:val="24"/>
          <w:u w:val="single"/>
        </w:rPr>
        <w:t>The American Journal of Surgical Pathology</w:t>
      </w:r>
      <w:r w:rsidRPr="002D3DE0">
        <w:rPr>
          <w:rFonts w:cstheme="minorHAnsi"/>
          <w:noProof/>
          <w:sz w:val="24"/>
          <w:szCs w:val="24"/>
        </w:rPr>
        <w:t xml:space="preserve"> </w:t>
      </w:r>
      <w:r w:rsidR="0047212B">
        <w:rPr>
          <w:rFonts w:cstheme="minorHAnsi"/>
          <w:noProof/>
          <w:sz w:val="24"/>
          <w:szCs w:val="24"/>
        </w:rPr>
        <w:t xml:space="preserve">2000; </w:t>
      </w:r>
      <w:r w:rsidRPr="002D3DE0">
        <w:rPr>
          <w:rFonts w:cstheme="minorHAnsi"/>
          <w:b/>
          <w:noProof/>
          <w:sz w:val="24"/>
          <w:szCs w:val="24"/>
        </w:rPr>
        <w:t>24</w:t>
      </w:r>
      <w:r w:rsidRPr="002D3DE0">
        <w:rPr>
          <w:rFonts w:cstheme="minorHAnsi"/>
          <w:noProof/>
          <w:sz w:val="24"/>
          <w:szCs w:val="24"/>
        </w:rPr>
        <w:t>(1): 1-3.</w:t>
      </w:r>
      <w:bookmarkEnd w:id="122"/>
    </w:p>
    <w:p w:rsidR="008F0C0F" w:rsidRPr="002D3DE0" w:rsidRDefault="008F0C0F" w:rsidP="002D3DE0">
      <w:pPr>
        <w:spacing w:before="240" w:after="0"/>
        <w:jc w:val="both"/>
        <w:rPr>
          <w:rFonts w:cstheme="minorHAnsi"/>
          <w:noProof/>
          <w:sz w:val="24"/>
          <w:szCs w:val="24"/>
        </w:rPr>
      </w:pPr>
      <w:bookmarkStart w:id="123" w:name="_ENREF_55"/>
      <w:r w:rsidRPr="002D3DE0">
        <w:rPr>
          <w:rFonts w:cstheme="minorHAnsi"/>
          <w:noProof/>
          <w:sz w:val="24"/>
          <w:szCs w:val="24"/>
        </w:rPr>
        <w:t xml:space="preserve">Kechavarzi, B. a S. C. Janga "Dissecting the expression landscape of RNA-binding proteins in human cancers." </w:t>
      </w:r>
      <w:r w:rsidRPr="002D3DE0">
        <w:rPr>
          <w:rFonts w:cstheme="minorHAnsi"/>
          <w:noProof/>
          <w:sz w:val="24"/>
          <w:szCs w:val="24"/>
          <w:u w:val="single"/>
        </w:rPr>
        <w:t>Genome Biology</w:t>
      </w:r>
      <w:r w:rsidRPr="002D3DE0">
        <w:rPr>
          <w:rFonts w:cstheme="minorHAnsi"/>
          <w:noProof/>
          <w:sz w:val="24"/>
          <w:szCs w:val="24"/>
        </w:rPr>
        <w:t xml:space="preserve"> </w:t>
      </w:r>
      <w:r w:rsidR="00791F43">
        <w:rPr>
          <w:rFonts w:cstheme="minorHAnsi"/>
          <w:noProof/>
          <w:sz w:val="24"/>
          <w:szCs w:val="24"/>
        </w:rPr>
        <w:t xml:space="preserve">2014; </w:t>
      </w:r>
      <w:r w:rsidRPr="002D3DE0">
        <w:rPr>
          <w:rFonts w:cstheme="minorHAnsi"/>
          <w:b/>
          <w:noProof/>
          <w:sz w:val="24"/>
          <w:szCs w:val="24"/>
        </w:rPr>
        <w:t>15</w:t>
      </w:r>
      <w:r w:rsidR="00791F43">
        <w:rPr>
          <w:rFonts w:cstheme="minorHAnsi"/>
          <w:noProof/>
          <w:sz w:val="24"/>
          <w:szCs w:val="24"/>
        </w:rPr>
        <w:t>:</w:t>
      </w:r>
      <w:r w:rsidRPr="002D3DE0">
        <w:rPr>
          <w:rFonts w:cstheme="minorHAnsi"/>
          <w:noProof/>
          <w:sz w:val="24"/>
          <w:szCs w:val="24"/>
        </w:rPr>
        <w:t xml:space="preserve"> 1-16.</w:t>
      </w:r>
      <w:bookmarkEnd w:id="123"/>
    </w:p>
    <w:p w:rsidR="008F0C0F" w:rsidRPr="002D3DE0" w:rsidRDefault="008F0C0F" w:rsidP="002D3DE0">
      <w:pPr>
        <w:spacing w:before="240" w:after="0"/>
        <w:jc w:val="both"/>
        <w:rPr>
          <w:rFonts w:cstheme="minorHAnsi"/>
          <w:noProof/>
          <w:sz w:val="24"/>
          <w:szCs w:val="24"/>
        </w:rPr>
      </w:pPr>
      <w:bookmarkStart w:id="124" w:name="_ENREF_56"/>
      <w:r w:rsidRPr="002D3DE0">
        <w:rPr>
          <w:rFonts w:cstheme="minorHAnsi"/>
          <w:noProof/>
          <w:sz w:val="24"/>
          <w:szCs w:val="24"/>
        </w:rPr>
        <w:t xml:space="preserve">Khoury, S. a N. Tran "Circulating microRNAs." </w:t>
      </w:r>
      <w:r w:rsidRPr="002D3DE0">
        <w:rPr>
          <w:rFonts w:cstheme="minorHAnsi"/>
          <w:noProof/>
          <w:sz w:val="24"/>
          <w:szCs w:val="24"/>
          <w:u w:val="single"/>
        </w:rPr>
        <w:t>Biomarkers in Medicine</w:t>
      </w:r>
      <w:r w:rsidRPr="002D3DE0">
        <w:rPr>
          <w:rFonts w:cstheme="minorHAnsi"/>
          <w:noProof/>
          <w:sz w:val="24"/>
          <w:szCs w:val="24"/>
        </w:rPr>
        <w:t xml:space="preserve"> </w:t>
      </w:r>
      <w:r w:rsidR="00791F43">
        <w:rPr>
          <w:rFonts w:cstheme="minorHAnsi"/>
          <w:noProof/>
          <w:sz w:val="24"/>
          <w:szCs w:val="24"/>
        </w:rPr>
        <w:t xml:space="preserve">2015; </w:t>
      </w:r>
      <w:r w:rsidRPr="002D3DE0">
        <w:rPr>
          <w:rFonts w:cstheme="minorHAnsi"/>
          <w:b/>
          <w:noProof/>
          <w:sz w:val="24"/>
          <w:szCs w:val="24"/>
        </w:rPr>
        <w:t>9</w:t>
      </w:r>
      <w:r w:rsidR="00791F43">
        <w:rPr>
          <w:rFonts w:cstheme="minorHAnsi"/>
          <w:noProof/>
          <w:sz w:val="24"/>
          <w:szCs w:val="24"/>
        </w:rPr>
        <w:t>:</w:t>
      </w:r>
      <w:r w:rsidRPr="002D3DE0">
        <w:rPr>
          <w:rFonts w:cstheme="minorHAnsi"/>
          <w:noProof/>
          <w:sz w:val="24"/>
          <w:szCs w:val="24"/>
        </w:rPr>
        <w:t xml:space="preserve"> 131-151.</w:t>
      </w:r>
      <w:bookmarkEnd w:id="124"/>
    </w:p>
    <w:p w:rsidR="008F0C0F" w:rsidRPr="002D3DE0" w:rsidRDefault="008F0C0F" w:rsidP="002D3DE0">
      <w:pPr>
        <w:spacing w:before="240" w:after="0"/>
        <w:jc w:val="both"/>
        <w:rPr>
          <w:rFonts w:cstheme="minorHAnsi"/>
          <w:noProof/>
          <w:sz w:val="24"/>
          <w:szCs w:val="24"/>
        </w:rPr>
      </w:pPr>
      <w:bookmarkStart w:id="125" w:name="_ENREF_57"/>
      <w:r w:rsidRPr="002D3DE0">
        <w:rPr>
          <w:rFonts w:cstheme="minorHAnsi"/>
          <w:noProof/>
          <w:sz w:val="24"/>
          <w:szCs w:val="24"/>
        </w:rPr>
        <w:t xml:space="preserve">Kiess, A. P., H. Wang, W. D. Travis a J. Yahalom "Sarcoid in cancer patients: clinical characteristics and associated disease status." </w:t>
      </w:r>
      <w:r w:rsidRPr="002D3DE0">
        <w:rPr>
          <w:rFonts w:cstheme="minorHAnsi"/>
          <w:noProof/>
          <w:sz w:val="24"/>
          <w:szCs w:val="24"/>
          <w:u w:val="single"/>
        </w:rPr>
        <w:t>Sarcoidosis, Vasculitis and Diffuse lung Diseases</w:t>
      </w:r>
      <w:r w:rsidRPr="002D3DE0">
        <w:rPr>
          <w:rFonts w:cstheme="minorHAnsi"/>
          <w:noProof/>
          <w:sz w:val="24"/>
          <w:szCs w:val="24"/>
        </w:rPr>
        <w:t xml:space="preserve"> </w:t>
      </w:r>
      <w:r w:rsidR="00791F43">
        <w:rPr>
          <w:rFonts w:cstheme="minorHAnsi"/>
          <w:noProof/>
          <w:sz w:val="24"/>
          <w:szCs w:val="24"/>
        </w:rPr>
        <w:t xml:space="preserve">2015; </w:t>
      </w:r>
      <w:r w:rsidRPr="002D3DE0">
        <w:rPr>
          <w:rFonts w:cstheme="minorHAnsi"/>
          <w:b/>
          <w:noProof/>
          <w:sz w:val="24"/>
          <w:szCs w:val="24"/>
        </w:rPr>
        <w:t>14</w:t>
      </w:r>
      <w:r w:rsidR="00791F43">
        <w:rPr>
          <w:rFonts w:cstheme="minorHAnsi"/>
          <w:noProof/>
          <w:sz w:val="24"/>
          <w:szCs w:val="24"/>
        </w:rPr>
        <w:t>:</w:t>
      </w:r>
      <w:r w:rsidRPr="002D3DE0">
        <w:rPr>
          <w:rFonts w:cstheme="minorHAnsi"/>
          <w:noProof/>
          <w:sz w:val="24"/>
          <w:szCs w:val="24"/>
        </w:rPr>
        <w:t xml:space="preserve"> 200-207.</w:t>
      </w:r>
      <w:bookmarkEnd w:id="125"/>
    </w:p>
    <w:p w:rsidR="008F0C0F" w:rsidRPr="002D3DE0" w:rsidRDefault="008F0C0F" w:rsidP="002D3DE0">
      <w:pPr>
        <w:spacing w:before="240" w:after="0"/>
        <w:jc w:val="both"/>
        <w:rPr>
          <w:rFonts w:cstheme="minorHAnsi"/>
          <w:noProof/>
          <w:sz w:val="24"/>
          <w:szCs w:val="24"/>
        </w:rPr>
      </w:pPr>
      <w:bookmarkStart w:id="126" w:name="_ENREF_58"/>
      <w:r w:rsidRPr="002D3DE0">
        <w:rPr>
          <w:rFonts w:cstheme="minorHAnsi"/>
          <w:noProof/>
          <w:sz w:val="24"/>
          <w:szCs w:val="24"/>
        </w:rPr>
        <w:t xml:space="preserve">Kinder, B. W., K. K. Brown, M. I. Schwarz, J. H. Ix, A. Kervitsky a T. E. King  "Baseline BAL neutrophilia predicts early mortality in idiopathic pulmonary fibrosis." </w:t>
      </w:r>
      <w:r w:rsidRPr="002D3DE0">
        <w:rPr>
          <w:rFonts w:cstheme="minorHAnsi"/>
          <w:noProof/>
          <w:sz w:val="24"/>
          <w:szCs w:val="24"/>
          <w:u w:val="single"/>
        </w:rPr>
        <w:t>Chest</w:t>
      </w:r>
      <w:r w:rsidRPr="002D3DE0">
        <w:rPr>
          <w:rFonts w:cstheme="minorHAnsi"/>
          <w:noProof/>
          <w:sz w:val="24"/>
          <w:szCs w:val="24"/>
        </w:rPr>
        <w:t xml:space="preserve"> </w:t>
      </w:r>
      <w:r w:rsidR="00A11E32">
        <w:rPr>
          <w:rFonts w:cstheme="minorHAnsi"/>
          <w:noProof/>
          <w:sz w:val="24"/>
          <w:szCs w:val="24"/>
        </w:rPr>
        <w:t xml:space="preserve">2008; </w:t>
      </w:r>
      <w:r w:rsidRPr="002D3DE0">
        <w:rPr>
          <w:rFonts w:cstheme="minorHAnsi"/>
          <w:b/>
          <w:noProof/>
          <w:sz w:val="24"/>
          <w:szCs w:val="24"/>
        </w:rPr>
        <w:t>133</w:t>
      </w:r>
      <w:r w:rsidRPr="002D3DE0">
        <w:rPr>
          <w:rFonts w:cstheme="minorHAnsi"/>
          <w:noProof/>
          <w:sz w:val="24"/>
          <w:szCs w:val="24"/>
        </w:rPr>
        <w:t>(1): 226-232.</w:t>
      </w:r>
      <w:bookmarkEnd w:id="126"/>
    </w:p>
    <w:p w:rsidR="008F0C0F" w:rsidRPr="002D3DE0" w:rsidRDefault="008F0C0F" w:rsidP="002D3DE0">
      <w:pPr>
        <w:spacing w:before="240" w:after="0"/>
        <w:jc w:val="both"/>
        <w:rPr>
          <w:rFonts w:cstheme="minorHAnsi"/>
          <w:noProof/>
          <w:sz w:val="24"/>
          <w:szCs w:val="24"/>
        </w:rPr>
      </w:pPr>
      <w:bookmarkStart w:id="127" w:name="_ENREF_59"/>
      <w:r w:rsidRPr="002D3DE0">
        <w:rPr>
          <w:rFonts w:cstheme="minorHAnsi"/>
          <w:noProof/>
          <w:sz w:val="24"/>
          <w:szCs w:val="24"/>
        </w:rPr>
        <w:t xml:space="preserve">Kishore, A., J. Borucka, J. Petrkova and M. Petrek "Novel insights into miRNA in lung and heart inflammatory diseases." </w:t>
      </w:r>
      <w:r w:rsidRPr="002D3DE0">
        <w:rPr>
          <w:rFonts w:cstheme="minorHAnsi"/>
          <w:noProof/>
          <w:sz w:val="24"/>
          <w:szCs w:val="24"/>
          <w:u w:val="single"/>
        </w:rPr>
        <w:t>Mediators of Inflammation</w:t>
      </w:r>
      <w:r w:rsidRPr="002D3DE0">
        <w:rPr>
          <w:rFonts w:cstheme="minorHAnsi"/>
          <w:noProof/>
          <w:sz w:val="24"/>
          <w:szCs w:val="24"/>
        </w:rPr>
        <w:t xml:space="preserve"> </w:t>
      </w:r>
      <w:r w:rsidRPr="002D3DE0">
        <w:rPr>
          <w:rFonts w:cstheme="minorHAnsi"/>
          <w:b/>
          <w:noProof/>
          <w:sz w:val="24"/>
          <w:szCs w:val="24"/>
        </w:rPr>
        <w:t>2014</w:t>
      </w:r>
      <w:r w:rsidRPr="002D3DE0">
        <w:rPr>
          <w:rFonts w:cstheme="minorHAnsi"/>
          <w:noProof/>
          <w:sz w:val="24"/>
          <w:szCs w:val="24"/>
        </w:rPr>
        <w:t>: 259131.</w:t>
      </w:r>
      <w:bookmarkEnd w:id="127"/>
    </w:p>
    <w:p w:rsidR="008F0C0F" w:rsidRPr="002D3DE0" w:rsidRDefault="008F0C0F" w:rsidP="002D3DE0">
      <w:pPr>
        <w:spacing w:before="240" w:after="0"/>
        <w:jc w:val="both"/>
        <w:rPr>
          <w:rFonts w:cstheme="minorHAnsi"/>
          <w:noProof/>
          <w:sz w:val="24"/>
          <w:szCs w:val="24"/>
        </w:rPr>
      </w:pPr>
      <w:bookmarkStart w:id="128" w:name="_ENREF_60"/>
      <w:r w:rsidRPr="002D3DE0">
        <w:rPr>
          <w:rFonts w:cstheme="minorHAnsi"/>
          <w:noProof/>
          <w:sz w:val="24"/>
          <w:szCs w:val="24"/>
        </w:rPr>
        <w:t>Kishore, A. a M. Petrek</w:t>
      </w:r>
      <w:r w:rsidR="00AF26F4">
        <w:rPr>
          <w:rFonts w:cstheme="minorHAnsi"/>
          <w:noProof/>
          <w:sz w:val="24"/>
          <w:szCs w:val="24"/>
        </w:rPr>
        <w:t xml:space="preserve"> </w:t>
      </w:r>
      <w:r w:rsidRPr="002D3DE0">
        <w:rPr>
          <w:rFonts w:cstheme="minorHAnsi"/>
          <w:noProof/>
          <w:sz w:val="24"/>
          <w:szCs w:val="24"/>
        </w:rPr>
        <w:t xml:space="preserve">"Immunogenetics of sarcoidosis." </w:t>
      </w:r>
      <w:r w:rsidRPr="002D3DE0">
        <w:rPr>
          <w:rFonts w:cstheme="minorHAnsi"/>
          <w:noProof/>
          <w:sz w:val="24"/>
          <w:szCs w:val="24"/>
          <w:u w:val="single"/>
        </w:rPr>
        <w:t>International Trends in Immunity</w:t>
      </w:r>
      <w:r w:rsidRPr="002D3DE0">
        <w:rPr>
          <w:rFonts w:cstheme="minorHAnsi"/>
          <w:noProof/>
          <w:sz w:val="24"/>
          <w:szCs w:val="24"/>
        </w:rPr>
        <w:t xml:space="preserve"> </w:t>
      </w:r>
      <w:r w:rsidR="00AF26F4">
        <w:rPr>
          <w:rFonts w:cstheme="minorHAnsi"/>
          <w:noProof/>
          <w:sz w:val="24"/>
          <w:szCs w:val="24"/>
        </w:rPr>
        <w:t xml:space="preserve">2013; </w:t>
      </w:r>
      <w:r w:rsidRPr="002D3DE0">
        <w:rPr>
          <w:rFonts w:cstheme="minorHAnsi"/>
          <w:b/>
          <w:noProof/>
          <w:sz w:val="24"/>
          <w:szCs w:val="24"/>
        </w:rPr>
        <w:t>1</w:t>
      </w:r>
      <w:r w:rsidRPr="002D3DE0">
        <w:rPr>
          <w:rFonts w:cstheme="minorHAnsi"/>
          <w:noProof/>
          <w:sz w:val="24"/>
          <w:szCs w:val="24"/>
        </w:rPr>
        <w:t>(4): 43-53.</w:t>
      </w:r>
      <w:bookmarkEnd w:id="128"/>
    </w:p>
    <w:p w:rsidR="008F0C0F" w:rsidRPr="002D3DE0" w:rsidRDefault="008F0C0F" w:rsidP="002D3DE0">
      <w:pPr>
        <w:spacing w:before="240" w:after="0"/>
        <w:jc w:val="both"/>
        <w:rPr>
          <w:rFonts w:cstheme="minorHAnsi"/>
          <w:noProof/>
          <w:sz w:val="24"/>
          <w:szCs w:val="24"/>
        </w:rPr>
      </w:pPr>
      <w:bookmarkStart w:id="129" w:name="_ENREF_61"/>
      <w:r w:rsidRPr="002D3DE0">
        <w:rPr>
          <w:rFonts w:cstheme="minorHAnsi"/>
          <w:noProof/>
          <w:sz w:val="24"/>
          <w:szCs w:val="24"/>
        </w:rPr>
        <w:t xml:space="preserve">Koblížek, V. a J. Zatloukal </w:t>
      </w:r>
      <w:r w:rsidRPr="002D3DE0">
        <w:rPr>
          <w:rFonts w:cstheme="minorHAnsi"/>
          <w:noProof/>
          <w:sz w:val="24"/>
          <w:szCs w:val="24"/>
          <w:u w:val="single"/>
        </w:rPr>
        <w:t>Chronická obstrukční plicní nemoc</w:t>
      </w:r>
      <w:r w:rsidRPr="002D3DE0">
        <w:rPr>
          <w:rFonts w:cstheme="minorHAnsi"/>
          <w:noProof/>
          <w:sz w:val="24"/>
          <w:szCs w:val="24"/>
        </w:rPr>
        <w:t>.</w:t>
      </w:r>
      <w:r w:rsidR="00AF26F4">
        <w:rPr>
          <w:rFonts w:cstheme="minorHAnsi"/>
          <w:noProof/>
          <w:sz w:val="24"/>
          <w:szCs w:val="24"/>
        </w:rPr>
        <w:t xml:space="preserve"> 2019;</w:t>
      </w:r>
      <w:r w:rsidRPr="002D3DE0">
        <w:rPr>
          <w:rFonts w:cstheme="minorHAnsi"/>
          <w:noProof/>
          <w:sz w:val="24"/>
          <w:szCs w:val="24"/>
        </w:rPr>
        <w:t xml:space="preserve"> Praha 2, Společnost všeobecného lékařství ČLS JEP.</w:t>
      </w:r>
      <w:bookmarkEnd w:id="129"/>
    </w:p>
    <w:p w:rsidR="008F0C0F" w:rsidRPr="002D3DE0" w:rsidRDefault="008F0C0F" w:rsidP="002D3DE0">
      <w:pPr>
        <w:spacing w:before="240" w:after="0"/>
        <w:jc w:val="both"/>
        <w:rPr>
          <w:rFonts w:cstheme="minorHAnsi"/>
          <w:noProof/>
          <w:sz w:val="24"/>
          <w:szCs w:val="24"/>
        </w:rPr>
      </w:pPr>
      <w:bookmarkStart w:id="130" w:name="_ENREF_62"/>
      <w:r w:rsidRPr="002D3DE0">
        <w:rPr>
          <w:rFonts w:cstheme="minorHAnsi"/>
          <w:noProof/>
          <w:sz w:val="24"/>
          <w:szCs w:val="24"/>
        </w:rPr>
        <w:t xml:space="preserve">Kolek, V. "Epidemiological study on sarcoidosis in Moravia and Silesia." </w:t>
      </w:r>
      <w:r w:rsidRPr="002D3DE0">
        <w:rPr>
          <w:rFonts w:cstheme="minorHAnsi"/>
          <w:noProof/>
          <w:sz w:val="24"/>
          <w:szCs w:val="24"/>
          <w:u w:val="single"/>
        </w:rPr>
        <w:t>Sarcoidosis</w:t>
      </w:r>
      <w:r w:rsidRPr="002D3DE0">
        <w:rPr>
          <w:rFonts w:cstheme="minorHAnsi"/>
          <w:noProof/>
          <w:sz w:val="24"/>
          <w:szCs w:val="24"/>
        </w:rPr>
        <w:t xml:space="preserve"> </w:t>
      </w:r>
      <w:r w:rsidR="0056257B">
        <w:rPr>
          <w:rFonts w:cstheme="minorHAnsi"/>
          <w:noProof/>
          <w:sz w:val="24"/>
          <w:szCs w:val="24"/>
        </w:rPr>
        <w:t xml:space="preserve">1994; </w:t>
      </w:r>
      <w:r w:rsidRPr="002D3DE0">
        <w:rPr>
          <w:rFonts w:cstheme="minorHAnsi"/>
          <w:b/>
          <w:noProof/>
          <w:sz w:val="24"/>
          <w:szCs w:val="24"/>
        </w:rPr>
        <w:t>11</w:t>
      </w:r>
      <w:r w:rsidRPr="002D3DE0">
        <w:rPr>
          <w:rFonts w:cstheme="minorHAnsi"/>
          <w:noProof/>
          <w:sz w:val="24"/>
          <w:szCs w:val="24"/>
        </w:rPr>
        <w:t>(2): 110-112.</w:t>
      </w:r>
      <w:bookmarkEnd w:id="130"/>
    </w:p>
    <w:p w:rsidR="008F0C0F" w:rsidRPr="002D3DE0" w:rsidRDefault="008F0C0F" w:rsidP="002D3DE0">
      <w:pPr>
        <w:spacing w:before="240" w:after="0"/>
        <w:jc w:val="both"/>
        <w:rPr>
          <w:rFonts w:cstheme="minorHAnsi"/>
          <w:noProof/>
          <w:sz w:val="24"/>
          <w:szCs w:val="24"/>
        </w:rPr>
      </w:pPr>
      <w:bookmarkStart w:id="131" w:name="_ENREF_63"/>
      <w:r w:rsidRPr="002D3DE0">
        <w:rPr>
          <w:rFonts w:cstheme="minorHAnsi"/>
          <w:noProof/>
          <w:sz w:val="24"/>
          <w:szCs w:val="24"/>
        </w:rPr>
        <w:t xml:space="preserve">Kolek, V., M. Žůrková, R. Aiglová, J. Anton, B. Bábková, K. Balihar, R. Bittenglová, M. Doubková, M. Heřman, P. Horák, J. Hrdý, L. Hubáčková, A. Kishore, P. Koranda, E. Kriegová, K. Lenhart, V. Lošťáková a J. Müller-Quernheim </w:t>
      </w:r>
      <w:r w:rsidRPr="002D3DE0">
        <w:rPr>
          <w:rFonts w:cstheme="minorHAnsi"/>
          <w:noProof/>
          <w:sz w:val="24"/>
          <w:szCs w:val="24"/>
          <w:u w:val="single"/>
        </w:rPr>
        <w:t>Sarkoidóza: nemoc mnoha tváří</w:t>
      </w:r>
      <w:r w:rsidRPr="002D3DE0">
        <w:rPr>
          <w:rFonts w:cstheme="minorHAnsi"/>
          <w:noProof/>
          <w:sz w:val="24"/>
          <w:szCs w:val="24"/>
        </w:rPr>
        <w:t xml:space="preserve">. </w:t>
      </w:r>
      <w:r w:rsidR="003F269C">
        <w:rPr>
          <w:rFonts w:cstheme="minorHAnsi"/>
          <w:noProof/>
          <w:sz w:val="24"/>
          <w:szCs w:val="24"/>
        </w:rPr>
        <w:t xml:space="preserve">2019; </w:t>
      </w:r>
      <w:r w:rsidRPr="002D3DE0">
        <w:rPr>
          <w:rFonts w:cstheme="minorHAnsi"/>
          <w:noProof/>
          <w:sz w:val="24"/>
          <w:szCs w:val="24"/>
        </w:rPr>
        <w:t>Praha 4, Maxdorf.</w:t>
      </w:r>
      <w:bookmarkEnd w:id="131"/>
    </w:p>
    <w:p w:rsidR="008F0C0F" w:rsidRPr="002D3DE0" w:rsidRDefault="008F0C0F" w:rsidP="002D3DE0">
      <w:pPr>
        <w:spacing w:before="240" w:after="0"/>
        <w:jc w:val="both"/>
        <w:rPr>
          <w:rFonts w:cstheme="minorHAnsi"/>
          <w:noProof/>
          <w:sz w:val="24"/>
          <w:szCs w:val="24"/>
        </w:rPr>
      </w:pPr>
      <w:bookmarkStart w:id="132" w:name="_ENREF_64"/>
      <w:r w:rsidRPr="002D3DE0">
        <w:rPr>
          <w:rFonts w:cstheme="minorHAnsi"/>
          <w:noProof/>
          <w:sz w:val="24"/>
          <w:szCs w:val="24"/>
        </w:rPr>
        <w:lastRenderedPageBreak/>
        <w:t xml:space="preserve">Krčmová, I. a J. Novosad "Bronchiální astma – praktické aspekty." </w:t>
      </w:r>
      <w:r w:rsidRPr="002D3DE0">
        <w:rPr>
          <w:rFonts w:cstheme="minorHAnsi"/>
          <w:noProof/>
          <w:sz w:val="24"/>
          <w:szCs w:val="24"/>
          <w:u w:val="single"/>
        </w:rPr>
        <w:t>Interní medicína pro praxi</w:t>
      </w:r>
      <w:r w:rsidRPr="002D3DE0">
        <w:rPr>
          <w:rFonts w:cstheme="minorHAnsi"/>
          <w:noProof/>
          <w:sz w:val="24"/>
          <w:szCs w:val="24"/>
        </w:rPr>
        <w:t xml:space="preserve"> </w:t>
      </w:r>
      <w:r w:rsidR="003F269C">
        <w:rPr>
          <w:rFonts w:cstheme="minorHAnsi"/>
          <w:noProof/>
          <w:sz w:val="24"/>
          <w:szCs w:val="24"/>
        </w:rPr>
        <w:t xml:space="preserve">2010; </w:t>
      </w:r>
      <w:r w:rsidRPr="002D3DE0">
        <w:rPr>
          <w:rFonts w:cstheme="minorHAnsi"/>
          <w:b/>
          <w:noProof/>
          <w:sz w:val="24"/>
          <w:szCs w:val="24"/>
        </w:rPr>
        <w:t>12</w:t>
      </w:r>
      <w:r w:rsidRPr="002D3DE0">
        <w:rPr>
          <w:rFonts w:cstheme="minorHAnsi"/>
          <w:noProof/>
          <w:sz w:val="24"/>
          <w:szCs w:val="24"/>
        </w:rPr>
        <w:t>(4): 196–199.</w:t>
      </w:r>
      <w:bookmarkEnd w:id="132"/>
    </w:p>
    <w:p w:rsidR="008F0C0F" w:rsidRPr="002D3DE0" w:rsidRDefault="008F0C0F" w:rsidP="002D3DE0">
      <w:pPr>
        <w:spacing w:before="240" w:after="0"/>
        <w:jc w:val="both"/>
        <w:rPr>
          <w:rFonts w:cstheme="minorHAnsi"/>
          <w:noProof/>
          <w:sz w:val="24"/>
          <w:szCs w:val="24"/>
        </w:rPr>
      </w:pPr>
      <w:bookmarkStart w:id="133" w:name="_ENREF_65"/>
      <w:r w:rsidRPr="002D3DE0">
        <w:rPr>
          <w:rFonts w:cstheme="minorHAnsi"/>
          <w:noProof/>
          <w:sz w:val="24"/>
          <w:szCs w:val="24"/>
        </w:rPr>
        <w:t xml:space="preserve">Kriegova, E., A. Arakelyan, R. Fillerova, J. Zatloukal, F. Mrazek, Z. Navrastilova, V. Kolek, R. du Bois a M. Petrek "PSMB2 and RPL32 are suitable denominators to normalize gene expression profiles in bronchoalveolar cells." </w:t>
      </w:r>
      <w:r w:rsidRPr="002D3DE0">
        <w:rPr>
          <w:rFonts w:cstheme="minorHAnsi"/>
          <w:noProof/>
          <w:sz w:val="24"/>
          <w:szCs w:val="24"/>
          <w:u w:val="single"/>
        </w:rPr>
        <w:t>BMC Molecular Biology</w:t>
      </w:r>
      <w:r w:rsidRPr="002D3DE0">
        <w:rPr>
          <w:rFonts w:cstheme="minorHAnsi"/>
          <w:noProof/>
          <w:sz w:val="24"/>
          <w:szCs w:val="24"/>
        </w:rPr>
        <w:t xml:space="preserve"> </w:t>
      </w:r>
      <w:r w:rsidR="00FD1EF3">
        <w:rPr>
          <w:rFonts w:cstheme="minorHAnsi"/>
          <w:noProof/>
          <w:sz w:val="24"/>
          <w:szCs w:val="24"/>
        </w:rPr>
        <w:t xml:space="preserve">2008; </w:t>
      </w:r>
      <w:r w:rsidRPr="002D3DE0">
        <w:rPr>
          <w:rFonts w:cstheme="minorHAnsi"/>
          <w:b/>
          <w:noProof/>
          <w:sz w:val="24"/>
          <w:szCs w:val="24"/>
        </w:rPr>
        <w:t>9</w:t>
      </w:r>
      <w:r w:rsidRPr="002D3DE0">
        <w:rPr>
          <w:rFonts w:cstheme="minorHAnsi"/>
          <w:noProof/>
          <w:sz w:val="24"/>
          <w:szCs w:val="24"/>
        </w:rPr>
        <w:t>(69): 1-14.</w:t>
      </w:r>
      <w:bookmarkEnd w:id="133"/>
    </w:p>
    <w:p w:rsidR="008F0C0F" w:rsidRPr="002D3DE0" w:rsidRDefault="008F0C0F" w:rsidP="002D3DE0">
      <w:pPr>
        <w:spacing w:before="240" w:after="0"/>
        <w:jc w:val="both"/>
        <w:rPr>
          <w:rFonts w:cstheme="minorHAnsi"/>
          <w:noProof/>
          <w:sz w:val="24"/>
          <w:szCs w:val="24"/>
        </w:rPr>
      </w:pPr>
      <w:bookmarkStart w:id="134" w:name="_ENREF_66"/>
      <w:r w:rsidRPr="002D3DE0">
        <w:rPr>
          <w:rFonts w:cstheme="minorHAnsi"/>
          <w:noProof/>
          <w:sz w:val="24"/>
          <w:szCs w:val="24"/>
        </w:rPr>
        <w:t xml:space="preserve">Kudo, M., Y. Ishigatsubo a I. Aoki "Pathology of asthma." </w:t>
      </w:r>
      <w:r w:rsidRPr="002D3DE0">
        <w:rPr>
          <w:rFonts w:cstheme="minorHAnsi"/>
          <w:noProof/>
          <w:sz w:val="24"/>
          <w:szCs w:val="24"/>
          <w:u w:val="single"/>
        </w:rPr>
        <w:t>Frontiers in Microbiology</w:t>
      </w:r>
      <w:r w:rsidRPr="002D3DE0">
        <w:rPr>
          <w:rFonts w:cstheme="minorHAnsi"/>
          <w:noProof/>
          <w:sz w:val="24"/>
          <w:szCs w:val="24"/>
        </w:rPr>
        <w:t xml:space="preserve"> </w:t>
      </w:r>
      <w:r w:rsidR="00FD1EF3">
        <w:rPr>
          <w:rFonts w:cstheme="minorHAnsi"/>
          <w:noProof/>
          <w:sz w:val="24"/>
          <w:szCs w:val="24"/>
        </w:rPr>
        <w:t xml:space="preserve">2013; </w:t>
      </w:r>
      <w:r w:rsidRPr="002D3DE0">
        <w:rPr>
          <w:rFonts w:cstheme="minorHAnsi"/>
          <w:b/>
          <w:noProof/>
          <w:sz w:val="24"/>
          <w:szCs w:val="24"/>
        </w:rPr>
        <w:t>4</w:t>
      </w:r>
      <w:r w:rsidRPr="002D3DE0">
        <w:rPr>
          <w:rFonts w:cstheme="minorHAnsi"/>
          <w:noProof/>
          <w:sz w:val="24"/>
          <w:szCs w:val="24"/>
        </w:rPr>
        <w:t>: 1-16.</w:t>
      </w:r>
      <w:bookmarkEnd w:id="134"/>
    </w:p>
    <w:p w:rsidR="008F0C0F" w:rsidRPr="002D3DE0" w:rsidRDefault="008F0C0F" w:rsidP="002D3DE0">
      <w:pPr>
        <w:spacing w:before="240" w:after="0"/>
        <w:jc w:val="both"/>
        <w:rPr>
          <w:rFonts w:cstheme="minorHAnsi"/>
          <w:noProof/>
          <w:sz w:val="24"/>
          <w:szCs w:val="24"/>
        </w:rPr>
      </w:pPr>
      <w:bookmarkStart w:id="135" w:name="_ENREF_67"/>
      <w:r w:rsidRPr="002D3DE0">
        <w:rPr>
          <w:rFonts w:cstheme="minorHAnsi"/>
          <w:noProof/>
          <w:sz w:val="24"/>
          <w:szCs w:val="24"/>
        </w:rPr>
        <w:t xml:space="preserve">Lai, W. S., E. A. Kennington a P. J. Blackshear "Tristetraprolin and its family members can promote the cell-free deadenylation of AU-rich element-containing mRNAs by poly(A) ribonuclease." </w:t>
      </w:r>
      <w:r w:rsidRPr="002D3DE0">
        <w:rPr>
          <w:rFonts w:cstheme="minorHAnsi"/>
          <w:noProof/>
          <w:sz w:val="24"/>
          <w:szCs w:val="24"/>
          <w:u w:val="single"/>
        </w:rPr>
        <w:t>Molecular and Cellular Biology</w:t>
      </w:r>
      <w:r w:rsidRPr="002D3DE0">
        <w:rPr>
          <w:rFonts w:cstheme="minorHAnsi"/>
          <w:noProof/>
          <w:sz w:val="24"/>
          <w:szCs w:val="24"/>
        </w:rPr>
        <w:t xml:space="preserve"> </w:t>
      </w:r>
      <w:r w:rsidR="00472F14">
        <w:rPr>
          <w:rFonts w:cstheme="minorHAnsi"/>
          <w:noProof/>
          <w:sz w:val="24"/>
          <w:szCs w:val="24"/>
        </w:rPr>
        <w:t xml:space="preserve">2003; </w:t>
      </w:r>
      <w:r w:rsidRPr="002D3DE0">
        <w:rPr>
          <w:rFonts w:cstheme="minorHAnsi"/>
          <w:b/>
          <w:noProof/>
          <w:sz w:val="24"/>
          <w:szCs w:val="24"/>
        </w:rPr>
        <w:t>23</w:t>
      </w:r>
      <w:r w:rsidRPr="002D3DE0">
        <w:rPr>
          <w:rFonts w:cstheme="minorHAnsi"/>
          <w:noProof/>
          <w:sz w:val="24"/>
          <w:szCs w:val="24"/>
        </w:rPr>
        <w:t>(11): 3798-3812.</w:t>
      </w:r>
      <w:bookmarkEnd w:id="135"/>
    </w:p>
    <w:p w:rsidR="008F0C0F" w:rsidRPr="002D3DE0" w:rsidRDefault="008F0C0F" w:rsidP="002D3DE0">
      <w:pPr>
        <w:spacing w:before="240" w:after="0"/>
        <w:jc w:val="both"/>
        <w:rPr>
          <w:rFonts w:cstheme="minorHAnsi"/>
          <w:noProof/>
          <w:sz w:val="24"/>
          <w:szCs w:val="24"/>
        </w:rPr>
      </w:pPr>
      <w:bookmarkStart w:id="136" w:name="_ENREF_68"/>
      <w:r w:rsidRPr="002D3DE0">
        <w:rPr>
          <w:rFonts w:cstheme="minorHAnsi"/>
          <w:noProof/>
          <w:sz w:val="24"/>
          <w:szCs w:val="24"/>
        </w:rPr>
        <w:t xml:space="preserve">Landskron, G., M. De la Fuente, P. Thuwajit, C. Thuwajit a M. A. Hermoso "Chronic Inflammation and Cytokines in the Tumor Microenvironment." </w:t>
      </w:r>
      <w:r w:rsidRPr="002D3DE0">
        <w:rPr>
          <w:rFonts w:cstheme="minorHAnsi"/>
          <w:noProof/>
          <w:sz w:val="24"/>
          <w:szCs w:val="24"/>
          <w:u w:val="single"/>
        </w:rPr>
        <w:t>Journal of Immunology Research</w:t>
      </w:r>
      <w:r w:rsidRPr="002D3DE0">
        <w:rPr>
          <w:rFonts w:cstheme="minorHAnsi"/>
          <w:b/>
          <w:noProof/>
          <w:sz w:val="24"/>
          <w:szCs w:val="24"/>
        </w:rPr>
        <w:t xml:space="preserve"> 2014</w:t>
      </w:r>
      <w:r w:rsidR="00CE304F">
        <w:rPr>
          <w:rFonts w:cstheme="minorHAnsi"/>
          <w:noProof/>
          <w:sz w:val="24"/>
          <w:szCs w:val="24"/>
        </w:rPr>
        <w:t>;</w:t>
      </w:r>
      <w:r w:rsidRPr="002D3DE0">
        <w:rPr>
          <w:rFonts w:cstheme="minorHAnsi"/>
          <w:noProof/>
          <w:sz w:val="24"/>
          <w:szCs w:val="24"/>
        </w:rPr>
        <w:t xml:space="preserve"> 1-19.</w:t>
      </w:r>
      <w:bookmarkEnd w:id="136"/>
    </w:p>
    <w:p w:rsidR="008F0C0F" w:rsidRPr="002D3DE0" w:rsidRDefault="008F0C0F" w:rsidP="002D3DE0">
      <w:pPr>
        <w:spacing w:before="240" w:after="0"/>
        <w:jc w:val="both"/>
        <w:rPr>
          <w:rFonts w:cstheme="minorHAnsi"/>
          <w:noProof/>
          <w:sz w:val="24"/>
          <w:szCs w:val="24"/>
        </w:rPr>
      </w:pPr>
      <w:bookmarkStart w:id="137" w:name="_ENREF_69"/>
      <w:r w:rsidRPr="002D3DE0">
        <w:rPr>
          <w:rFonts w:cstheme="minorHAnsi"/>
          <w:noProof/>
          <w:sz w:val="24"/>
          <w:szCs w:val="24"/>
        </w:rPr>
        <w:t xml:space="preserve">Lee, W., W. S. Chung, K.-S. Hong a J. Huh (2015). "Clinical usefulness of bronchoalveolar lavage cellular analysis and lymphocyte subsets in diffuse interstitial lung diseases." </w:t>
      </w:r>
      <w:r w:rsidRPr="002D3DE0">
        <w:rPr>
          <w:rFonts w:cstheme="minorHAnsi"/>
          <w:noProof/>
          <w:sz w:val="24"/>
          <w:szCs w:val="24"/>
          <w:u w:val="single"/>
        </w:rPr>
        <w:t>Annals of Laboratory Medicine</w:t>
      </w:r>
      <w:r w:rsidRPr="002D3DE0">
        <w:rPr>
          <w:rFonts w:cstheme="minorHAnsi"/>
          <w:noProof/>
          <w:sz w:val="24"/>
          <w:szCs w:val="24"/>
        </w:rPr>
        <w:t xml:space="preserve"> </w:t>
      </w:r>
      <w:r w:rsidR="00CE304F">
        <w:rPr>
          <w:rFonts w:cstheme="minorHAnsi"/>
          <w:noProof/>
          <w:sz w:val="24"/>
          <w:szCs w:val="24"/>
        </w:rPr>
        <w:t xml:space="preserve">2015; </w:t>
      </w:r>
      <w:r w:rsidRPr="002D3DE0">
        <w:rPr>
          <w:rFonts w:cstheme="minorHAnsi"/>
          <w:b/>
          <w:noProof/>
          <w:sz w:val="24"/>
          <w:szCs w:val="24"/>
        </w:rPr>
        <w:t>35</w:t>
      </w:r>
      <w:r w:rsidRPr="002D3DE0">
        <w:rPr>
          <w:rFonts w:cstheme="minorHAnsi"/>
          <w:noProof/>
          <w:sz w:val="24"/>
          <w:szCs w:val="24"/>
        </w:rPr>
        <w:t>(2): 220-225.</w:t>
      </w:r>
      <w:bookmarkEnd w:id="137"/>
    </w:p>
    <w:p w:rsidR="008F0C0F" w:rsidRPr="002D3DE0" w:rsidRDefault="008F0C0F" w:rsidP="002D3DE0">
      <w:pPr>
        <w:spacing w:before="240" w:after="0"/>
        <w:jc w:val="both"/>
        <w:rPr>
          <w:rFonts w:cstheme="minorHAnsi"/>
          <w:noProof/>
          <w:sz w:val="24"/>
          <w:szCs w:val="24"/>
        </w:rPr>
      </w:pPr>
      <w:bookmarkStart w:id="138" w:name="_ENREF_70"/>
      <w:r w:rsidRPr="002D3DE0">
        <w:rPr>
          <w:rFonts w:cstheme="minorHAnsi"/>
          <w:noProof/>
          <w:sz w:val="24"/>
          <w:szCs w:val="24"/>
        </w:rPr>
        <w:t xml:space="preserve">Levänen, B., N. R. Bhakta, P. Torregrosa Paredes, R. Barbeau, S. Hiltbrunner, J. L. Pollack, C. M. Sköld, M. Svartergren, J. Grunewald, S. Gabrielsson, A. Eklund, B. M. Larsson, P. G. Woodruff, D. J. Erle a Å. M. Wheelock "Altered microRNA profiles in bronchoalveolar lavage fluid exosomes in asthmatic patients." </w:t>
      </w:r>
      <w:r w:rsidRPr="002D3DE0">
        <w:rPr>
          <w:rFonts w:cstheme="minorHAnsi"/>
          <w:noProof/>
          <w:sz w:val="24"/>
          <w:szCs w:val="24"/>
          <w:u w:val="single"/>
        </w:rPr>
        <w:t>The Journal of Allergy and Clinnical Immunology</w:t>
      </w:r>
      <w:r w:rsidRPr="002D3DE0">
        <w:rPr>
          <w:rFonts w:cstheme="minorHAnsi"/>
          <w:noProof/>
          <w:sz w:val="24"/>
          <w:szCs w:val="24"/>
        </w:rPr>
        <w:t xml:space="preserve"> </w:t>
      </w:r>
      <w:r w:rsidR="00CE304F">
        <w:rPr>
          <w:rFonts w:cstheme="minorHAnsi"/>
          <w:noProof/>
          <w:sz w:val="24"/>
          <w:szCs w:val="24"/>
        </w:rPr>
        <w:t xml:space="preserve">2013; </w:t>
      </w:r>
      <w:r w:rsidRPr="002D3DE0">
        <w:rPr>
          <w:rFonts w:cstheme="minorHAnsi"/>
          <w:b/>
          <w:noProof/>
          <w:sz w:val="24"/>
          <w:szCs w:val="24"/>
        </w:rPr>
        <w:t>131</w:t>
      </w:r>
      <w:r w:rsidRPr="002D3DE0">
        <w:rPr>
          <w:rFonts w:cstheme="minorHAnsi"/>
          <w:noProof/>
          <w:sz w:val="24"/>
          <w:szCs w:val="24"/>
        </w:rPr>
        <w:t>(3): 894-903.</w:t>
      </w:r>
      <w:bookmarkEnd w:id="138"/>
    </w:p>
    <w:p w:rsidR="008F0C0F" w:rsidRPr="002D3DE0" w:rsidRDefault="008F0C0F" w:rsidP="002D3DE0">
      <w:pPr>
        <w:spacing w:before="240" w:after="0"/>
        <w:jc w:val="both"/>
        <w:rPr>
          <w:rFonts w:cstheme="minorHAnsi"/>
          <w:noProof/>
          <w:sz w:val="24"/>
          <w:szCs w:val="24"/>
        </w:rPr>
      </w:pPr>
      <w:bookmarkStart w:id="139" w:name="_ENREF_71"/>
      <w:r w:rsidRPr="002D3DE0">
        <w:rPr>
          <w:rFonts w:cstheme="minorHAnsi"/>
          <w:noProof/>
          <w:sz w:val="24"/>
          <w:szCs w:val="24"/>
        </w:rPr>
        <w:t xml:space="preserve">Liu, W., G. A. Rosenberg a K. J. Liu 2006 "AUF-1 mediates inhibition by nitric oxide of lipopolysaccharide-induced matrix metalloproteinase-9 expression in cultured astrocytes." </w:t>
      </w:r>
      <w:r w:rsidRPr="002D3DE0">
        <w:rPr>
          <w:rFonts w:cstheme="minorHAnsi"/>
          <w:noProof/>
          <w:sz w:val="24"/>
          <w:szCs w:val="24"/>
          <w:u w:val="single"/>
        </w:rPr>
        <w:t>Journal of Neuroscience Research</w:t>
      </w:r>
      <w:r w:rsidRPr="002D3DE0">
        <w:rPr>
          <w:rFonts w:cstheme="minorHAnsi"/>
          <w:noProof/>
          <w:sz w:val="24"/>
          <w:szCs w:val="24"/>
        </w:rPr>
        <w:t xml:space="preserve"> </w:t>
      </w:r>
      <w:r w:rsidR="002F3CB6">
        <w:rPr>
          <w:rFonts w:cstheme="minorHAnsi"/>
          <w:noProof/>
          <w:sz w:val="24"/>
          <w:szCs w:val="24"/>
        </w:rPr>
        <w:t xml:space="preserve">2006; </w:t>
      </w:r>
      <w:r w:rsidRPr="002D3DE0">
        <w:rPr>
          <w:rFonts w:cstheme="minorHAnsi"/>
          <w:b/>
          <w:noProof/>
          <w:sz w:val="24"/>
          <w:szCs w:val="24"/>
        </w:rPr>
        <w:t>84</w:t>
      </w:r>
      <w:r w:rsidR="002F3CB6">
        <w:rPr>
          <w:rFonts w:cstheme="minorHAnsi"/>
          <w:noProof/>
          <w:sz w:val="24"/>
          <w:szCs w:val="24"/>
        </w:rPr>
        <w:t>:</w:t>
      </w:r>
      <w:r w:rsidRPr="002D3DE0">
        <w:rPr>
          <w:rFonts w:cstheme="minorHAnsi"/>
          <w:noProof/>
          <w:sz w:val="24"/>
          <w:szCs w:val="24"/>
        </w:rPr>
        <w:t xml:space="preserve"> 360-369.</w:t>
      </w:r>
      <w:bookmarkEnd w:id="139"/>
    </w:p>
    <w:p w:rsidR="008F0C0F" w:rsidRPr="002D3DE0" w:rsidRDefault="008F0C0F" w:rsidP="002D3DE0">
      <w:pPr>
        <w:spacing w:before="240" w:after="0"/>
        <w:jc w:val="both"/>
        <w:rPr>
          <w:rFonts w:cstheme="minorHAnsi"/>
          <w:noProof/>
          <w:sz w:val="24"/>
          <w:szCs w:val="24"/>
        </w:rPr>
      </w:pPr>
      <w:bookmarkStart w:id="140" w:name="_ENREF_72"/>
      <w:r w:rsidRPr="002D3DE0">
        <w:rPr>
          <w:rFonts w:cstheme="minorHAnsi"/>
          <w:noProof/>
          <w:sz w:val="24"/>
          <w:szCs w:val="24"/>
        </w:rPr>
        <w:t xml:space="preserve">Livak, K. J. a T. D. Schmittgen "Analysis of relative gene expression data using real-time quantitative PCR and the 2(-Delta Delta C(T)) Method." </w:t>
      </w:r>
      <w:r w:rsidRPr="002D3DE0">
        <w:rPr>
          <w:rFonts w:cstheme="minorHAnsi"/>
          <w:noProof/>
          <w:sz w:val="24"/>
          <w:szCs w:val="24"/>
          <w:u w:val="single"/>
        </w:rPr>
        <w:t>Methods</w:t>
      </w:r>
      <w:r w:rsidRPr="002D3DE0">
        <w:rPr>
          <w:rFonts w:cstheme="minorHAnsi"/>
          <w:noProof/>
          <w:sz w:val="24"/>
          <w:szCs w:val="24"/>
        </w:rPr>
        <w:t xml:space="preserve"> </w:t>
      </w:r>
      <w:r w:rsidR="002F3CB6">
        <w:rPr>
          <w:rFonts w:cstheme="minorHAnsi"/>
          <w:noProof/>
          <w:sz w:val="24"/>
          <w:szCs w:val="24"/>
        </w:rPr>
        <w:t xml:space="preserve">2001; </w:t>
      </w:r>
      <w:r w:rsidRPr="002D3DE0">
        <w:rPr>
          <w:rFonts w:cstheme="minorHAnsi"/>
          <w:b/>
          <w:noProof/>
          <w:sz w:val="24"/>
          <w:szCs w:val="24"/>
        </w:rPr>
        <w:t>25</w:t>
      </w:r>
      <w:r w:rsidRPr="002D3DE0">
        <w:rPr>
          <w:rFonts w:cstheme="minorHAnsi"/>
          <w:noProof/>
          <w:sz w:val="24"/>
          <w:szCs w:val="24"/>
        </w:rPr>
        <w:t>(4): 402-408.</w:t>
      </w:r>
      <w:bookmarkEnd w:id="140"/>
    </w:p>
    <w:p w:rsidR="008F0C0F" w:rsidRPr="002D3DE0" w:rsidRDefault="008F0C0F" w:rsidP="002D3DE0">
      <w:pPr>
        <w:spacing w:before="240" w:after="0"/>
        <w:jc w:val="both"/>
        <w:rPr>
          <w:rFonts w:cstheme="minorHAnsi"/>
          <w:noProof/>
          <w:sz w:val="24"/>
          <w:szCs w:val="24"/>
        </w:rPr>
      </w:pPr>
      <w:bookmarkStart w:id="141" w:name="_ENREF_73"/>
      <w:r w:rsidRPr="002D3DE0">
        <w:rPr>
          <w:rFonts w:cstheme="minorHAnsi"/>
          <w:noProof/>
          <w:sz w:val="24"/>
          <w:szCs w:val="24"/>
        </w:rPr>
        <w:t xml:space="preserve">Loke, W. S. J., C. Herbert a P. S. Thomas (2013). "Sarcoidosis: Immunopathogenesis and Immunological Markers." </w:t>
      </w:r>
      <w:r w:rsidRPr="002D3DE0">
        <w:rPr>
          <w:rFonts w:cstheme="minorHAnsi"/>
          <w:noProof/>
          <w:sz w:val="24"/>
          <w:szCs w:val="24"/>
          <w:u w:val="single"/>
        </w:rPr>
        <w:t>International Journal of Chronic Diseases</w:t>
      </w:r>
      <w:r w:rsidRPr="002D3DE0">
        <w:rPr>
          <w:rFonts w:cstheme="minorHAnsi"/>
          <w:noProof/>
          <w:sz w:val="24"/>
          <w:szCs w:val="24"/>
        </w:rPr>
        <w:t xml:space="preserve"> </w:t>
      </w:r>
      <w:r w:rsidRPr="002D3DE0">
        <w:rPr>
          <w:rFonts w:cstheme="minorHAnsi"/>
          <w:b/>
          <w:noProof/>
          <w:sz w:val="24"/>
          <w:szCs w:val="24"/>
        </w:rPr>
        <w:t>2013</w:t>
      </w:r>
      <w:r w:rsidRPr="002D3DE0">
        <w:rPr>
          <w:rFonts w:cstheme="minorHAnsi"/>
          <w:noProof/>
          <w:sz w:val="24"/>
          <w:szCs w:val="24"/>
        </w:rPr>
        <w:t>: 1-13.</w:t>
      </w:r>
      <w:bookmarkEnd w:id="141"/>
    </w:p>
    <w:p w:rsidR="008F0C0F" w:rsidRPr="002D3DE0" w:rsidRDefault="008F0C0F" w:rsidP="002D3DE0">
      <w:pPr>
        <w:spacing w:before="240" w:after="0"/>
        <w:jc w:val="both"/>
        <w:rPr>
          <w:rFonts w:cstheme="minorHAnsi"/>
          <w:noProof/>
          <w:sz w:val="24"/>
          <w:szCs w:val="24"/>
        </w:rPr>
      </w:pPr>
      <w:bookmarkStart w:id="142" w:name="_ENREF_74"/>
      <w:r w:rsidRPr="002D3DE0">
        <w:rPr>
          <w:rFonts w:cstheme="minorHAnsi"/>
          <w:noProof/>
          <w:sz w:val="24"/>
          <w:szCs w:val="24"/>
        </w:rPr>
        <w:t xml:space="preserve">López de Silanes, I., S. Galbán, J. L. Martindale, X. Yang, K. Mazan-Mamczarz, F. E. Indig, G. Falco, M. Zhan a M. Gorospe "Identification and functional outcome of mRNAs associated with RNA-binding protein TIA-1." </w:t>
      </w:r>
      <w:r w:rsidRPr="002D3DE0">
        <w:rPr>
          <w:rFonts w:cstheme="minorHAnsi"/>
          <w:noProof/>
          <w:sz w:val="24"/>
          <w:szCs w:val="24"/>
          <w:u w:val="single"/>
        </w:rPr>
        <w:t>Molecular and Cellular Biology</w:t>
      </w:r>
      <w:r w:rsidRPr="002D3DE0">
        <w:rPr>
          <w:rFonts w:cstheme="minorHAnsi"/>
          <w:noProof/>
          <w:sz w:val="24"/>
          <w:szCs w:val="24"/>
        </w:rPr>
        <w:t xml:space="preserve"> </w:t>
      </w:r>
      <w:r w:rsidR="002F3CB6">
        <w:rPr>
          <w:rFonts w:cstheme="minorHAnsi"/>
          <w:noProof/>
          <w:sz w:val="24"/>
          <w:szCs w:val="24"/>
        </w:rPr>
        <w:t xml:space="preserve">2005; </w:t>
      </w:r>
      <w:r w:rsidRPr="002D3DE0">
        <w:rPr>
          <w:rFonts w:cstheme="minorHAnsi"/>
          <w:b/>
          <w:noProof/>
          <w:sz w:val="24"/>
          <w:szCs w:val="24"/>
        </w:rPr>
        <w:t>25</w:t>
      </w:r>
      <w:r w:rsidRPr="002D3DE0">
        <w:rPr>
          <w:rFonts w:cstheme="minorHAnsi"/>
          <w:noProof/>
          <w:sz w:val="24"/>
          <w:szCs w:val="24"/>
        </w:rPr>
        <w:t>(21): 9520-9531.</w:t>
      </w:r>
      <w:bookmarkEnd w:id="142"/>
    </w:p>
    <w:p w:rsidR="008F0C0F" w:rsidRPr="002D3DE0" w:rsidRDefault="008F0C0F" w:rsidP="002D3DE0">
      <w:pPr>
        <w:spacing w:before="240" w:after="0"/>
        <w:jc w:val="both"/>
        <w:rPr>
          <w:rFonts w:cstheme="minorHAnsi"/>
          <w:noProof/>
          <w:sz w:val="24"/>
          <w:szCs w:val="24"/>
        </w:rPr>
      </w:pPr>
      <w:bookmarkStart w:id="143" w:name="_ENREF_75"/>
      <w:r w:rsidRPr="002D3DE0">
        <w:rPr>
          <w:rFonts w:cstheme="minorHAnsi"/>
          <w:noProof/>
          <w:sz w:val="24"/>
          <w:szCs w:val="24"/>
        </w:rPr>
        <w:t xml:space="preserve">Lu, T. P., C. Y. Lee, M. H. Tsai, Y. C. Chiu, C. K. Hsiao, L. C. Hsiao a E. Y. Chuang  "miRSystem: an integrated system for characterizing enriched functions and pathways of microRNA targets." </w:t>
      </w:r>
      <w:r w:rsidRPr="002D3DE0">
        <w:rPr>
          <w:rFonts w:cstheme="minorHAnsi"/>
          <w:noProof/>
          <w:sz w:val="24"/>
          <w:szCs w:val="24"/>
          <w:u w:val="single"/>
        </w:rPr>
        <w:t>PLoS One</w:t>
      </w:r>
      <w:r w:rsidRPr="002D3DE0">
        <w:rPr>
          <w:rFonts w:cstheme="minorHAnsi"/>
          <w:noProof/>
          <w:sz w:val="24"/>
          <w:szCs w:val="24"/>
        </w:rPr>
        <w:t xml:space="preserve"> </w:t>
      </w:r>
      <w:r w:rsidR="002F3CB6">
        <w:rPr>
          <w:rFonts w:cstheme="minorHAnsi"/>
          <w:noProof/>
          <w:sz w:val="24"/>
          <w:szCs w:val="24"/>
        </w:rPr>
        <w:t xml:space="preserve">2012; </w:t>
      </w:r>
      <w:r w:rsidRPr="002D3DE0">
        <w:rPr>
          <w:rFonts w:cstheme="minorHAnsi"/>
          <w:b/>
          <w:noProof/>
          <w:sz w:val="24"/>
          <w:szCs w:val="24"/>
        </w:rPr>
        <w:t>7</w:t>
      </w:r>
      <w:r w:rsidRPr="002D3DE0">
        <w:rPr>
          <w:rFonts w:cstheme="minorHAnsi"/>
          <w:noProof/>
          <w:sz w:val="24"/>
          <w:szCs w:val="24"/>
        </w:rPr>
        <w:t>, 1-10.</w:t>
      </w:r>
      <w:bookmarkEnd w:id="143"/>
    </w:p>
    <w:p w:rsidR="008F0C0F" w:rsidRPr="002D3DE0" w:rsidRDefault="008F0C0F" w:rsidP="002D3DE0">
      <w:pPr>
        <w:spacing w:before="240" w:after="0"/>
        <w:jc w:val="both"/>
        <w:rPr>
          <w:rFonts w:cstheme="minorHAnsi"/>
          <w:noProof/>
          <w:sz w:val="24"/>
          <w:szCs w:val="24"/>
        </w:rPr>
      </w:pPr>
      <w:bookmarkStart w:id="144" w:name="_ENREF_76"/>
      <w:r w:rsidRPr="002D3DE0">
        <w:rPr>
          <w:rFonts w:cstheme="minorHAnsi"/>
          <w:noProof/>
          <w:sz w:val="24"/>
          <w:szCs w:val="24"/>
        </w:rPr>
        <w:lastRenderedPageBreak/>
        <w:t xml:space="preserve">Massague, J. "TGFβ signalling in context." </w:t>
      </w:r>
      <w:r w:rsidRPr="002D3DE0">
        <w:rPr>
          <w:rFonts w:cstheme="minorHAnsi"/>
          <w:noProof/>
          <w:sz w:val="24"/>
          <w:szCs w:val="24"/>
          <w:u w:val="single"/>
        </w:rPr>
        <w:t>Nature Reviews. Molecular Cell Biology</w:t>
      </w:r>
      <w:r w:rsidRPr="002D3DE0">
        <w:rPr>
          <w:rFonts w:cstheme="minorHAnsi"/>
          <w:noProof/>
          <w:sz w:val="24"/>
          <w:szCs w:val="24"/>
        </w:rPr>
        <w:t xml:space="preserve"> </w:t>
      </w:r>
      <w:r w:rsidR="00A64C8A">
        <w:rPr>
          <w:rFonts w:cstheme="minorHAnsi"/>
          <w:noProof/>
          <w:sz w:val="24"/>
          <w:szCs w:val="24"/>
        </w:rPr>
        <w:t xml:space="preserve">2012: </w:t>
      </w:r>
      <w:r w:rsidRPr="002D3DE0">
        <w:rPr>
          <w:rFonts w:cstheme="minorHAnsi"/>
          <w:b/>
          <w:noProof/>
          <w:sz w:val="24"/>
          <w:szCs w:val="24"/>
        </w:rPr>
        <w:t>13</w:t>
      </w:r>
      <w:r w:rsidRPr="002D3DE0">
        <w:rPr>
          <w:rFonts w:cstheme="minorHAnsi"/>
          <w:noProof/>
          <w:sz w:val="24"/>
          <w:szCs w:val="24"/>
        </w:rPr>
        <w:t>(10): 616-630.</w:t>
      </w:r>
      <w:bookmarkEnd w:id="144"/>
    </w:p>
    <w:p w:rsidR="008F0C0F" w:rsidRPr="002D3DE0" w:rsidRDefault="008F0C0F" w:rsidP="002D3DE0">
      <w:pPr>
        <w:spacing w:before="240" w:after="0"/>
        <w:jc w:val="both"/>
        <w:rPr>
          <w:rFonts w:cstheme="minorHAnsi"/>
          <w:noProof/>
          <w:sz w:val="24"/>
          <w:szCs w:val="24"/>
        </w:rPr>
      </w:pPr>
      <w:bookmarkStart w:id="145" w:name="_ENREF_77"/>
      <w:r w:rsidRPr="002D3DE0">
        <w:rPr>
          <w:rFonts w:cstheme="minorHAnsi"/>
          <w:noProof/>
          <w:sz w:val="24"/>
          <w:szCs w:val="24"/>
        </w:rPr>
        <w:t xml:space="preserve">Mazan-Mamczarz, K., A. Lal, J. L. Martindale, T. Kawai and M. Gorospe "Translational repression by RNA-binding protein TIAR." </w:t>
      </w:r>
      <w:r w:rsidRPr="002D3DE0">
        <w:rPr>
          <w:rFonts w:cstheme="minorHAnsi"/>
          <w:noProof/>
          <w:sz w:val="24"/>
          <w:szCs w:val="24"/>
          <w:u w:val="single"/>
        </w:rPr>
        <w:t>Molecular and Cellular Biology</w:t>
      </w:r>
      <w:r w:rsidRPr="002D3DE0">
        <w:rPr>
          <w:rFonts w:cstheme="minorHAnsi"/>
          <w:noProof/>
          <w:sz w:val="24"/>
          <w:szCs w:val="24"/>
        </w:rPr>
        <w:t xml:space="preserve"> </w:t>
      </w:r>
      <w:r w:rsidR="00AE5FD3">
        <w:rPr>
          <w:rFonts w:cstheme="minorHAnsi"/>
          <w:noProof/>
          <w:sz w:val="24"/>
          <w:szCs w:val="24"/>
        </w:rPr>
        <w:t xml:space="preserve">2006; </w:t>
      </w:r>
      <w:r w:rsidRPr="002D3DE0">
        <w:rPr>
          <w:rFonts w:cstheme="minorHAnsi"/>
          <w:b/>
          <w:noProof/>
          <w:sz w:val="24"/>
          <w:szCs w:val="24"/>
        </w:rPr>
        <w:t>26</w:t>
      </w:r>
      <w:r w:rsidRPr="002D3DE0">
        <w:rPr>
          <w:rFonts w:cstheme="minorHAnsi"/>
          <w:noProof/>
          <w:sz w:val="24"/>
          <w:szCs w:val="24"/>
        </w:rPr>
        <w:t>(7): 2716-2727.</w:t>
      </w:r>
      <w:bookmarkEnd w:id="145"/>
    </w:p>
    <w:p w:rsidR="008F0C0F" w:rsidRPr="002D3DE0" w:rsidRDefault="008F0C0F" w:rsidP="002D3DE0">
      <w:pPr>
        <w:spacing w:before="240" w:after="0"/>
        <w:jc w:val="both"/>
        <w:rPr>
          <w:rFonts w:cstheme="minorHAnsi"/>
          <w:noProof/>
          <w:sz w:val="24"/>
          <w:szCs w:val="24"/>
        </w:rPr>
      </w:pPr>
      <w:bookmarkStart w:id="146" w:name="_ENREF_78"/>
      <w:r w:rsidRPr="002D3DE0">
        <w:rPr>
          <w:rFonts w:cstheme="minorHAnsi"/>
          <w:noProof/>
          <w:sz w:val="24"/>
          <w:szCs w:val="24"/>
        </w:rPr>
        <w:t xml:space="preserve">Meyer, K. "Bronchoalveolar Lavage as a Diagnostic Tool." </w:t>
      </w:r>
      <w:r w:rsidRPr="002D3DE0">
        <w:rPr>
          <w:rFonts w:cstheme="minorHAnsi"/>
          <w:noProof/>
          <w:sz w:val="24"/>
          <w:szCs w:val="24"/>
          <w:u w:val="single"/>
        </w:rPr>
        <w:t>Seminars in Respiratory and Critical Care Medicine</w:t>
      </w:r>
      <w:r w:rsidRPr="002D3DE0">
        <w:rPr>
          <w:rFonts w:cstheme="minorHAnsi"/>
          <w:noProof/>
          <w:sz w:val="24"/>
          <w:szCs w:val="24"/>
        </w:rPr>
        <w:t xml:space="preserve"> </w:t>
      </w:r>
      <w:r w:rsidR="00AE5FD3">
        <w:rPr>
          <w:rFonts w:cstheme="minorHAnsi"/>
          <w:noProof/>
          <w:sz w:val="24"/>
          <w:szCs w:val="24"/>
        </w:rPr>
        <w:t xml:space="preserve">2007; </w:t>
      </w:r>
      <w:r w:rsidRPr="002D3DE0">
        <w:rPr>
          <w:rFonts w:cstheme="minorHAnsi"/>
          <w:b/>
          <w:noProof/>
          <w:sz w:val="24"/>
          <w:szCs w:val="24"/>
        </w:rPr>
        <w:t>28</w:t>
      </w:r>
      <w:r w:rsidRPr="002D3DE0">
        <w:rPr>
          <w:rFonts w:cstheme="minorHAnsi"/>
          <w:noProof/>
          <w:sz w:val="24"/>
          <w:szCs w:val="24"/>
        </w:rPr>
        <w:t>(5): 546-560.</w:t>
      </w:r>
      <w:bookmarkEnd w:id="146"/>
    </w:p>
    <w:p w:rsidR="008F0C0F" w:rsidRPr="002D3DE0" w:rsidRDefault="008F0C0F" w:rsidP="002D3DE0">
      <w:pPr>
        <w:spacing w:before="240" w:after="0"/>
        <w:jc w:val="both"/>
        <w:rPr>
          <w:rFonts w:cstheme="minorHAnsi"/>
          <w:noProof/>
          <w:sz w:val="24"/>
          <w:szCs w:val="24"/>
        </w:rPr>
      </w:pPr>
      <w:bookmarkStart w:id="147" w:name="_ENREF_79"/>
      <w:r w:rsidRPr="002D3DE0">
        <w:rPr>
          <w:rFonts w:cstheme="minorHAnsi"/>
          <w:noProof/>
          <w:sz w:val="24"/>
          <w:szCs w:val="24"/>
        </w:rPr>
        <w:t xml:space="preserve">Meyer, K. C. and G. Raghu "Bronchoalveolar lavage for the evaluation of interstitial lung disease: is it clinically useful?" </w:t>
      </w:r>
      <w:r w:rsidRPr="002D3DE0">
        <w:rPr>
          <w:rFonts w:cstheme="minorHAnsi"/>
          <w:noProof/>
          <w:sz w:val="24"/>
          <w:szCs w:val="24"/>
          <w:u w:val="single"/>
        </w:rPr>
        <w:t>European Respiratory Journal</w:t>
      </w:r>
      <w:r w:rsidRPr="002D3DE0">
        <w:rPr>
          <w:rFonts w:cstheme="minorHAnsi"/>
          <w:noProof/>
          <w:sz w:val="24"/>
          <w:szCs w:val="24"/>
        </w:rPr>
        <w:t xml:space="preserve"> </w:t>
      </w:r>
      <w:r w:rsidR="00AE5FD3">
        <w:rPr>
          <w:rFonts w:cstheme="minorHAnsi"/>
          <w:noProof/>
          <w:sz w:val="24"/>
          <w:szCs w:val="24"/>
        </w:rPr>
        <w:t xml:space="preserve">2011; </w:t>
      </w:r>
      <w:r w:rsidRPr="002D3DE0">
        <w:rPr>
          <w:rFonts w:cstheme="minorHAnsi"/>
          <w:b/>
          <w:noProof/>
          <w:sz w:val="24"/>
          <w:szCs w:val="24"/>
        </w:rPr>
        <w:t>38</w:t>
      </w:r>
      <w:r w:rsidRPr="002D3DE0">
        <w:rPr>
          <w:rFonts w:cstheme="minorHAnsi"/>
          <w:noProof/>
          <w:sz w:val="24"/>
          <w:szCs w:val="24"/>
        </w:rPr>
        <w:t>(4): 761-769.</w:t>
      </w:r>
      <w:bookmarkEnd w:id="147"/>
    </w:p>
    <w:p w:rsidR="008F0C0F" w:rsidRPr="002D3DE0" w:rsidRDefault="008F0C0F" w:rsidP="002D3DE0">
      <w:pPr>
        <w:spacing w:before="240" w:after="0"/>
        <w:jc w:val="both"/>
        <w:rPr>
          <w:rFonts w:cstheme="minorHAnsi"/>
          <w:noProof/>
          <w:sz w:val="24"/>
          <w:szCs w:val="24"/>
        </w:rPr>
      </w:pPr>
      <w:bookmarkStart w:id="148" w:name="_ENREF_80"/>
      <w:r w:rsidRPr="002D3DE0">
        <w:rPr>
          <w:rFonts w:cstheme="minorHAnsi"/>
          <w:noProof/>
          <w:sz w:val="24"/>
          <w:szCs w:val="24"/>
        </w:rPr>
        <w:t xml:space="preserve">Meyer, K. C., G. Raghu, R. P. Baughman, K. K. Brown, U. Costabel, R. M. du Bois, M. Drent, P. L. Haslam, D. S. Kim, S. Nagai, P. Rottoli, C. Saltini, M. Selman, C. Strange and B. Wood "An official American Thoracic Society clinical practice guideline: the clinical utility of bronchoalveolar lavage cellular analysis in interstitial lung disease." </w:t>
      </w:r>
      <w:r w:rsidRPr="002D3DE0">
        <w:rPr>
          <w:rFonts w:cstheme="minorHAnsi"/>
          <w:noProof/>
          <w:sz w:val="24"/>
          <w:szCs w:val="24"/>
          <w:u w:val="single"/>
        </w:rPr>
        <w:t>American Journal of Respiratory and Critical Care Medicine</w:t>
      </w:r>
      <w:r w:rsidRPr="002D3DE0">
        <w:rPr>
          <w:rFonts w:cstheme="minorHAnsi"/>
          <w:noProof/>
          <w:sz w:val="24"/>
          <w:szCs w:val="24"/>
        </w:rPr>
        <w:t xml:space="preserve"> </w:t>
      </w:r>
      <w:r w:rsidR="00AE5FD3">
        <w:rPr>
          <w:rFonts w:cstheme="minorHAnsi"/>
          <w:noProof/>
          <w:sz w:val="24"/>
          <w:szCs w:val="24"/>
        </w:rPr>
        <w:t xml:space="preserve">2012; </w:t>
      </w:r>
      <w:r w:rsidRPr="002D3DE0">
        <w:rPr>
          <w:rFonts w:cstheme="minorHAnsi"/>
          <w:b/>
          <w:noProof/>
          <w:sz w:val="24"/>
          <w:szCs w:val="24"/>
        </w:rPr>
        <w:t>185</w:t>
      </w:r>
      <w:r w:rsidRPr="002D3DE0">
        <w:rPr>
          <w:rFonts w:cstheme="minorHAnsi"/>
          <w:noProof/>
          <w:sz w:val="24"/>
          <w:szCs w:val="24"/>
        </w:rPr>
        <w:t>(9): 1004-1014.</w:t>
      </w:r>
      <w:bookmarkEnd w:id="148"/>
    </w:p>
    <w:p w:rsidR="008F0C0F" w:rsidRPr="002D3DE0" w:rsidRDefault="008F0C0F" w:rsidP="002D3DE0">
      <w:pPr>
        <w:spacing w:before="240" w:after="0"/>
        <w:jc w:val="both"/>
        <w:rPr>
          <w:rFonts w:cstheme="minorHAnsi"/>
          <w:noProof/>
          <w:sz w:val="24"/>
          <w:szCs w:val="24"/>
        </w:rPr>
      </w:pPr>
      <w:bookmarkStart w:id="149" w:name="_ENREF_81"/>
      <w:r w:rsidRPr="002D3DE0">
        <w:rPr>
          <w:rFonts w:cstheme="minorHAnsi"/>
          <w:noProof/>
          <w:sz w:val="24"/>
          <w:szCs w:val="24"/>
        </w:rPr>
        <w:t xml:space="preserve">Milman, N. a O. Selroos "Pulmonary sarcoidosis in the Nordic countries 1950-1982. Epidemiology and clinical picture." </w:t>
      </w:r>
      <w:r w:rsidRPr="002D3DE0">
        <w:rPr>
          <w:rFonts w:cstheme="minorHAnsi"/>
          <w:noProof/>
          <w:sz w:val="24"/>
          <w:szCs w:val="24"/>
          <w:u w:val="single"/>
        </w:rPr>
        <w:t>Sarcoidosis</w:t>
      </w:r>
      <w:r w:rsidRPr="002D3DE0">
        <w:rPr>
          <w:rFonts w:cstheme="minorHAnsi"/>
          <w:noProof/>
          <w:sz w:val="24"/>
          <w:szCs w:val="24"/>
        </w:rPr>
        <w:t xml:space="preserve"> </w:t>
      </w:r>
      <w:r w:rsidR="00414D4F">
        <w:rPr>
          <w:rFonts w:cstheme="minorHAnsi"/>
          <w:noProof/>
          <w:sz w:val="24"/>
          <w:szCs w:val="24"/>
        </w:rPr>
        <w:t xml:space="preserve">1990; </w:t>
      </w:r>
      <w:r w:rsidRPr="002D3DE0">
        <w:rPr>
          <w:rFonts w:cstheme="minorHAnsi"/>
          <w:b/>
          <w:noProof/>
          <w:sz w:val="24"/>
          <w:szCs w:val="24"/>
        </w:rPr>
        <w:t>7</w:t>
      </w:r>
      <w:r w:rsidRPr="002D3DE0">
        <w:rPr>
          <w:rFonts w:cstheme="minorHAnsi"/>
          <w:noProof/>
          <w:sz w:val="24"/>
          <w:szCs w:val="24"/>
        </w:rPr>
        <w:t>(1): 50-57.</w:t>
      </w:r>
      <w:bookmarkEnd w:id="149"/>
    </w:p>
    <w:p w:rsidR="008F0C0F" w:rsidRPr="002D3DE0" w:rsidRDefault="008F0C0F" w:rsidP="002D3DE0">
      <w:pPr>
        <w:spacing w:before="240" w:after="0"/>
        <w:jc w:val="both"/>
        <w:rPr>
          <w:rFonts w:cstheme="minorHAnsi"/>
          <w:noProof/>
          <w:sz w:val="24"/>
          <w:szCs w:val="24"/>
        </w:rPr>
      </w:pPr>
      <w:bookmarkStart w:id="150" w:name="_ENREF_82"/>
      <w:r w:rsidRPr="002D3DE0">
        <w:rPr>
          <w:rFonts w:cstheme="minorHAnsi"/>
          <w:noProof/>
          <w:sz w:val="24"/>
          <w:szCs w:val="24"/>
        </w:rPr>
        <w:t xml:space="preserve">Mims, J. W. "Asthma: definitions and pathophysiology." </w:t>
      </w:r>
      <w:r w:rsidRPr="002D3DE0">
        <w:rPr>
          <w:rFonts w:cstheme="minorHAnsi"/>
          <w:noProof/>
          <w:sz w:val="24"/>
          <w:szCs w:val="24"/>
          <w:u w:val="single"/>
        </w:rPr>
        <w:t>International Forum of Allergy &amp; Rhinology</w:t>
      </w:r>
      <w:r w:rsidRPr="002D3DE0">
        <w:rPr>
          <w:rFonts w:cstheme="minorHAnsi"/>
          <w:noProof/>
          <w:sz w:val="24"/>
          <w:szCs w:val="24"/>
        </w:rPr>
        <w:t xml:space="preserve"> </w:t>
      </w:r>
      <w:r w:rsidR="00414D4F">
        <w:rPr>
          <w:rFonts w:cstheme="minorHAnsi"/>
          <w:noProof/>
          <w:sz w:val="24"/>
          <w:szCs w:val="24"/>
        </w:rPr>
        <w:t xml:space="preserve">2015; </w:t>
      </w:r>
      <w:r w:rsidRPr="002D3DE0">
        <w:rPr>
          <w:rFonts w:cstheme="minorHAnsi"/>
          <w:b/>
          <w:noProof/>
          <w:sz w:val="24"/>
          <w:szCs w:val="24"/>
        </w:rPr>
        <w:t>5</w:t>
      </w:r>
      <w:r w:rsidRPr="002D3DE0">
        <w:rPr>
          <w:rFonts w:cstheme="minorHAnsi"/>
          <w:noProof/>
          <w:sz w:val="24"/>
          <w:szCs w:val="24"/>
        </w:rPr>
        <w:t>: 1-5.</w:t>
      </w:r>
      <w:bookmarkEnd w:id="150"/>
    </w:p>
    <w:p w:rsidR="008F0C0F" w:rsidRPr="002D3DE0" w:rsidRDefault="008F0C0F" w:rsidP="002D3DE0">
      <w:pPr>
        <w:spacing w:before="240" w:after="0"/>
        <w:jc w:val="both"/>
        <w:rPr>
          <w:rFonts w:cstheme="minorHAnsi"/>
          <w:noProof/>
          <w:sz w:val="24"/>
          <w:szCs w:val="24"/>
        </w:rPr>
      </w:pPr>
      <w:bookmarkStart w:id="151" w:name="_ENREF_83"/>
      <w:r w:rsidRPr="002D3DE0">
        <w:rPr>
          <w:rFonts w:cstheme="minorHAnsi"/>
          <w:noProof/>
          <w:sz w:val="24"/>
          <w:szCs w:val="24"/>
        </w:rPr>
        <w:t xml:space="preserve">Moore, A. E., D. M. Chenette, L. C. Larkin a R. J. Schneider "Physiological networks and disease functions of RNA-binding protein AUF1." </w:t>
      </w:r>
      <w:r w:rsidRPr="002D3DE0">
        <w:rPr>
          <w:rFonts w:cstheme="minorHAnsi"/>
          <w:noProof/>
          <w:sz w:val="24"/>
          <w:szCs w:val="24"/>
          <w:u w:val="single"/>
        </w:rPr>
        <w:t>Wiley interdisciplinary reviews. RNA</w:t>
      </w:r>
      <w:r w:rsidRPr="002D3DE0">
        <w:rPr>
          <w:rFonts w:cstheme="minorHAnsi"/>
          <w:noProof/>
          <w:sz w:val="24"/>
          <w:szCs w:val="24"/>
        </w:rPr>
        <w:t xml:space="preserve"> </w:t>
      </w:r>
      <w:r w:rsidR="000E3ACF">
        <w:rPr>
          <w:rFonts w:cstheme="minorHAnsi"/>
          <w:noProof/>
          <w:sz w:val="24"/>
          <w:szCs w:val="24"/>
        </w:rPr>
        <w:t xml:space="preserve">2014; </w:t>
      </w:r>
      <w:r w:rsidRPr="002D3DE0">
        <w:rPr>
          <w:rFonts w:cstheme="minorHAnsi"/>
          <w:b/>
          <w:noProof/>
          <w:sz w:val="24"/>
          <w:szCs w:val="24"/>
        </w:rPr>
        <w:t>5</w:t>
      </w:r>
      <w:r w:rsidRPr="002D3DE0">
        <w:rPr>
          <w:rFonts w:cstheme="minorHAnsi"/>
          <w:noProof/>
          <w:sz w:val="24"/>
          <w:szCs w:val="24"/>
        </w:rPr>
        <w:t>(4): 549-564.</w:t>
      </w:r>
      <w:bookmarkEnd w:id="151"/>
    </w:p>
    <w:p w:rsidR="008F0C0F" w:rsidRPr="002D3DE0" w:rsidRDefault="008F0C0F" w:rsidP="002D3DE0">
      <w:pPr>
        <w:spacing w:before="240" w:after="0"/>
        <w:jc w:val="both"/>
        <w:rPr>
          <w:rFonts w:cstheme="minorHAnsi"/>
          <w:noProof/>
          <w:sz w:val="24"/>
          <w:szCs w:val="24"/>
        </w:rPr>
      </w:pPr>
      <w:bookmarkStart w:id="152" w:name="_ENREF_84"/>
      <w:r w:rsidRPr="002D3DE0">
        <w:rPr>
          <w:rFonts w:cstheme="minorHAnsi"/>
          <w:noProof/>
          <w:sz w:val="24"/>
          <w:szCs w:val="24"/>
        </w:rPr>
        <w:t xml:space="preserve">Muralidharan, R., A. Babu, N. Amreddy, K. Basalingappa, M. Mehta, A. Chen, Y. D. Zhao, U. B. Kompella, A. Munshi a R. Ramesh "Folate receptor-targeted nanoparticle delivery of HuR-RNAi suppresses lung cancer cell proliferation and migration." </w:t>
      </w:r>
      <w:r w:rsidRPr="002D3DE0">
        <w:rPr>
          <w:rFonts w:cstheme="minorHAnsi"/>
          <w:noProof/>
          <w:sz w:val="24"/>
          <w:szCs w:val="24"/>
          <w:u w:val="single"/>
        </w:rPr>
        <w:t>Journal of Nanobiotechnology</w:t>
      </w:r>
      <w:r w:rsidRPr="002D3DE0">
        <w:rPr>
          <w:rFonts w:cstheme="minorHAnsi"/>
          <w:noProof/>
          <w:sz w:val="24"/>
          <w:szCs w:val="24"/>
        </w:rPr>
        <w:t xml:space="preserve"> </w:t>
      </w:r>
      <w:r w:rsidR="000E3ACF">
        <w:rPr>
          <w:rFonts w:cstheme="minorHAnsi"/>
          <w:noProof/>
          <w:sz w:val="24"/>
          <w:szCs w:val="24"/>
        </w:rPr>
        <w:t xml:space="preserve">2016; </w:t>
      </w:r>
      <w:r w:rsidRPr="002D3DE0">
        <w:rPr>
          <w:rFonts w:cstheme="minorHAnsi"/>
          <w:b/>
          <w:noProof/>
          <w:sz w:val="24"/>
          <w:szCs w:val="24"/>
        </w:rPr>
        <w:t>14</w:t>
      </w:r>
      <w:r w:rsidRPr="002D3DE0">
        <w:rPr>
          <w:rFonts w:cstheme="minorHAnsi"/>
          <w:noProof/>
          <w:sz w:val="24"/>
          <w:szCs w:val="24"/>
        </w:rPr>
        <w:t>(47): 1-17.</w:t>
      </w:r>
      <w:bookmarkEnd w:id="152"/>
    </w:p>
    <w:p w:rsidR="008F0C0F" w:rsidRPr="002D3DE0" w:rsidRDefault="008F0C0F" w:rsidP="002D3DE0">
      <w:pPr>
        <w:spacing w:before="240" w:after="0"/>
        <w:jc w:val="both"/>
        <w:rPr>
          <w:rFonts w:cstheme="minorHAnsi"/>
          <w:noProof/>
          <w:sz w:val="24"/>
          <w:szCs w:val="24"/>
        </w:rPr>
      </w:pPr>
      <w:bookmarkStart w:id="153" w:name="_ENREF_85"/>
      <w:r w:rsidRPr="002D3DE0">
        <w:rPr>
          <w:rFonts w:cstheme="minorHAnsi"/>
          <w:noProof/>
          <w:sz w:val="24"/>
          <w:szCs w:val="24"/>
        </w:rPr>
        <w:t>Muralidharan, R., A. Babu, N. Amreddy, A. Srivastava, A. Chen, Y. D. Zhao, U. B. Kompella, A. Munshi and R. Ramesh</w:t>
      </w:r>
      <w:r w:rsidR="000E3ACF">
        <w:rPr>
          <w:rFonts w:cstheme="minorHAnsi"/>
          <w:noProof/>
          <w:sz w:val="24"/>
          <w:szCs w:val="24"/>
        </w:rPr>
        <w:t xml:space="preserve"> </w:t>
      </w:r>
      <w:r w:rsidRPr="002D3DE0">
        <w:rPr>
          <w:rFonts w:cstheme="minorHAnsi"/>
          <w:noProof/>
          <w:sz w:val="24"/>
          <w:szCs w:val="24"/>
        </w:rPr>
        <w:t xml:space="preserve">"Tumor-targeted Nanoparticle Delivery of HuR siRNA Inhibits Lung Tumor Growth In Vitro and In Vivo By Disrupting the Oncogenic Activity of the RNA-binding Protein HuR." </w:t>
      </w:r>
      <w:r w:rsidRPr="002D3DE0">
        <w:rPr>
          <w:rFonts w:cstheme="minorHAnsi"/>
          <w:noProof/>
          <w:sz w:val="24"/>
          <w:szCs w:val="24"/>
          <w:u w:val="single"/>
        </w:rPr>
        <w:t>Molecular Cancer Therapeutics</w:t>
      </w:r>
      <w:r w:rsidRPr="002D3DE0">
        <w:rPr>
          <w:rFonts w:cstheme="minorHAnsi"/>
          <w:noProof/>
          <w:sz w:val="24"/>
          <w:szCs w:val="24"/>
        </w:rPr>
        <w:t xml:space="preserve"> </w:t>
      </w:r>
      <w:r w:rsidR="000E3ACF">
        <w:rPr>
          <w:rFonts w:cstheme="minorHAnsi"/>
          <w:noProof/>
          <w:sz w:val="24"/>
          <w:szCs w:val="24"/>
        </w:rPr>
        <w:t xml:space="preserve">2017; </w:t>
      </w:r>
      <w:r w:rsidRPr="002D3DE0">
        <w:rPr>
          <w:rFonts w:cstheme="minorHAnsi"/>
          <w:b/>
          <w:noProof/>
          <w:sz w:val="24"/>
          <w:szCs w:val="24"/>
        </w:rPr>
        <w:t>16</w:t>
      </w:r>
      <w:r w:rsidRPr="002D3DE0">
        <w:rPr>
          <w:rFonts w:cstheme="minorHAnsi"/>
          <w:noProof/>
          <w:sz w:val="24"/>
          <w:szCs w:val="24"/>
        </w:rPr>
        <w:t>(8): 1470-1486.</w:t>
      </w:r>
      <w:bookmarkEnd w:id="153"/>
    </w:p>
    <w:p w:rsidR="008F0C0F" w:rsidRPr="002D3DE0" w:rsidRDefault="008F0C0F" w:rsidP="002D3DE0">
      <w:pPr>
        <w:spacing w:before="240" w:after="0"/>
        <w:jc w:val="both"/>
        <w:rPr>
          <w:rFonts w:cstheme="minorHAnsi"/>
          <w:noProof/>
          <w:sz w:val="24"/>
          <w:szCs w:val="24"/>
        </w:rPr>
      </w:pPr>
      <w:bookmarkStart w:id="154" w:name="_ENREF_86"/>
      <w:r w:rsidRPr="002D3DE0">
        <w:rPr>
          <w:rFonts w:cstheme="minorHAnsi"/>
          <w:noProof/>
          <w:sz w:val="24"/>
          <w:szCs w:val="24"/>
        </w:rPr>
        <w:t xml:space="preserve">Nalysnyk, L., J. Cid-Ruzafa, P. Rotella and D. Esser "Incidence and prevalence of idiopathic pulmonary fibrosis: review of the literature." </w:t>
      </w:r>
      <w:r w:rsidRPr="002D3DE0">
        <w:rPr>
          <w:rFonts w:cstheme="minorHAnsi"/>
          <w:noProof/>
          <w:sz w:val="24"/>
          <w:szCs w:val="24"/>
          <w:u w:val="single"/>
        </w:rPr>
        <w:t>European Respiratory Review</w:t>
      </w:r>
      <w:r w:rsidRPr="002D3DE0">
        <w:rPr>
          <w:rFonts w:cstheme="minorHAnsi"/>
          <w:noProof/>
          <w:sz w:val="24"/>
          <w:szCs w:val="24"/>
        </w:rPr>
        <w:t xml:space="preserve"> </w:t>
      </w:r>
      <w:r w:rsidR="000E3ACF">
        <w:rPr>
          <w:rFonts w:cstheme="minorHAnsi"/>
          <w:noProof/>
          <w:sz w:val="24"/>
          <w:szCs w:val="24"/>
        </w:rPr>
        <w:t xml:space="preserve">2012; </w:t>
      </w:r>
      <w:r w:rsidRPr="002D3DE0">
        <w:rPr>
          <w:rFonts w:cstheme="minorHAnsi"/>
          <w:b/>
          <w:noProof/>
          <w:sz w:val="24"/>
          <w:szCs w:val="24"/>
        </w:rPr>
        <w:t>21</w:t>
      </w:r>
      <w:r w:rsidRPr="002D3DE0">
        <w:rPr>
          <w:rFonts w:cstheme="minorHAnsi"/>
          <w:noProof/>
          <w:sz w:val="24"/>
          <w:szCs w:val="24"/>
        </w:rPr>
        <w:t>(126): 355-361.</w:t>
      </w:r>
      <w:bookmarkEnd w:id="154"/>
    </w:p>
    <w:p w:rsidR="008F0C0F" w:rsidRPr="002D3DE0" w:rsidRDefault="008F0C0F" w:rsidP="002D3DE0">
      <w:pPr>
        <w:spacing w:before="240" w:after="0"/>
        <w:jc w:val="both"/>
        <w:rPr>
          <w:rFonts w:cstheme="minorHAnsi"/>
          <w:noProof/>
          <w:sz w:val="24"/>
          <w:szCs w:val="24"/>
        </w:rPr>
      </w:pPr>
      <w:bookmarkStart w:id="155" w:name="_ENREF_87"/>
      <w:r w:rsidRPr="002D3DE0">
        <w:rPr>
          <w:rFonts w:cstheme="minorHAnsi"/>
          <w:noProof/>
          <w:sz w:val="24"/>
          <w:szCs w:val="24"/>
        </w:rPr>
        <w:t xml:space="preserve">Navratilova, Z., M. Petrek a V. Kolek "Matrix Metalloproteinases and Their Inhibitors in Chronic Obstructive Pulmonary Disease." </w:t>
      </w:r>
      <w:r w:rsidRPr="002D3DE0">
        <w:rPr>
          <w:rFonts w:cstheme="minorHAnsi"/>
          <w:noProof/>
          <w:sz w:val="24"/>
          <w:szCs w:val="24"/>
          <w:u w:val="single"/>
        </w:rPr>
        <w:t>Archivum Immunologiae et Therapiae Experimentalis</w:t>
      </w:r>
      <w:r w:rsidRPr="002D3DE0">
        <w:rPr>
          <w:rFonts w:cstheme="minorHAnsi"/>
          <w:noProof/>
          <w:sz w:val="24"/>
          <w:szCs w:val="24"/>
        </w:rPr>
        <w:t xml:space="preserve"> </w:t>
      </w:r>
      <w:r w:rsidR="000E3ACF">
        <w:rPr>
          <w:rFonts w:cstheme="minorHAnsi"/>
          <w:noProof/>
          <w:sz w:val="24"/>
          <w:szCs w:val="24"/>
        </w:rPr>
        <w:t xml:space="preserve">2016; </w:t>
      </w:r>
      <w:r w:rsidRPr="002D3DE0">
        <w:rPr>
          <w:rFonts w:cstheme="minorHAnsi"/>
          <w:b/>
          <w:noProof/>
          <w:sz w:val="24"/>
          <w:szCs w:val="24"/>
        </w:rPr>
        <w:t>64</w:t>
      </w:r>
      <w:r w:rsidRPr="002D3DE0">
        <w:rPr>
          <w:rFonts w:cstheme="minorHAnsi"/>
          <w:noProof/>
          <w:sz w:val="24"/>
          <w:szCs w:val="24"/>
        </w:rPr>
        <w:t>: 177–193.</w:t>
      </w:r>
      <w:bookmarkEnd w:id="155"/>
    </w:p>
    <w:p w:rsidR="008F0C0F" w:rsidRPr="002D3DE0" w:rsidRDefault="008F0C0F" w:rsidP="002D3DE0">
      <w:pPr>
        <w:spacing w:before="240" w:after="0"/>
        <w:jc w:val="both"/>
        <w:rPr>
          <w:rFonts w:cstheme="minorHAnsi"/>
          <w:noProof/>
          <w:sz w:val="24"/>
          <w:szCs w:val="24"/>
        </w:rPr>
      </w:pPr>
      <w:bookmarkStart w:id="156" w:name="_ENREF_88"/>
      <w:r w:rsidRPr="002D3DE0">
        <w:rPr>
          <w:rFonts w:cstheme="minorHAnsi"/>
          <w:noProof/>
          <w:sz w:val="24"/>
          <w:szCs w:val="24"/>
        </w:rPr>
        <w:lastRenderedPageBreak/>
        <w:t xml:space="preserve">Navratilova, Z., J. Zatloukal, E. Kriegova, V. Kolek and M. Petrek  "Simultaneous up-regulation of matrix metalloproteinases 1, 2, 3, 7, 8, 9 and tissue inhibitors of metalloproteinases 1, 4 in serum of patients with chronic obstructive pulmonary disease." </w:t>
      </w:r>
      <w:r w:rsidRPr="002D3DE0">
        <w:rPr>
          <w:rFonts w:cstheme="minorHAnsi"/>
          <w:noProof/>
          <w:sz w:val="24"/>
          <w:szCs w:val="24"/>
          <w:u w:val="single"/>
        </w:rPr>
        <w:t>Respirology</w:t>
      </w:r>
      <w:r w:rsidRPr="002D3DE0">
        <w:rPr>
          <w:rFonts w:cstheme="minorHAnsi"/>
          <w:noProof/>
          <w:sz w:val="24"/>
          <w:szCs w:val="24"/>
        </w:rPr>
        <w:t xml:space="preserve"> </w:t>
      </w:r>
      <w:r w:rsidR="00A5158C">
        <w:rPr>
          <w:rFonts w:cstheme="minorHAnsi"/>
          <w:noProof/>
          <w:sz w:val="24"/>
          <w:szCs w:val="24"/>
        </w:rPr>
        <w:t xml:space="preserve">2012; </w:t>
      </w:r>
      <w:r w:rsidRPr="002D3DE0">
        <w:rPr>
          <w:rFonts w:cstheme="minorHAnsi"/>
          <w:b/>
          <w:noProof/>
          <w:sz w:val="24"/>
          <w:szCs w:val="24"/>
        </w:rPr>
        <w:t>17</w:t>
      </w:r>
      <w:r w:rsidRPr="002D3DE0">
        <w:rPr>
          <w:rFonts w:cstheme="minorHAnsi"/>
          <w:noProof/>
          <w:sz w:val="24"/>
          <w:szCs w:val="24"/>
        </w:rPr>
        <w:t>(6): 1006-1012.</w:t>
      </w:r>
      <w:bookmarkEnd w:id="156"/>
    </w:p>
    <w:p w:rsidR="008F0C0F" w:rsidRPr="002D3DE0" w:rsidRDefault="008F0C0F" w:rsidP="002D3DE0">
      <w:pPr>
        <w:spacing w:before="240" w:after="0"/>
        <w:jc w:val="both"/>
        <w:rPr>
          <w:rFonts w:cstheme="minorHAnsi"/>
          <w:noProof/>
          <w:sz w:val="24"/>
          <w:szCs w:val="24"/>
        </w:rPr>
      </w:pPr>
      <w:bookmarkStart w:id="157" w:name="_ENREF_89"/>
      <w:r w:rsidRPr="002D3DE0">
        <w:rPr>
          <w:rFonts w:cstheme="minorHAnsi"/>
          <w:noProof/>
          <w:sz w:val="24"/>
          <w:szCs w:val="24"/>
        </w:rPr>
        <w:t xml:space="preserve">Oglesby, I. K., N. G. McElvaney a C. M. Greene "MicroRNAs in inflammatory lung disease - master regulators or target practice?" </w:t>
      </w:r>
      <w:r w:rsidRPr="002D3DE0">
        <w:rPr>
          <w:rFonts w:cstheme="minorHAnsi"/>
          <w:noProof/>
          <w:sz w:val="24"/>
          <w:szCs w:val="24"/>
          <w:u w:val="single"/>
        </w:rPr>
        <w:t>Respiratory Research</w:t>
      </w:r>
      <w:r w:rsidRPr="002D3DE0">
        <w:rPr>
          <w:rFonts w:cstheme="minorHAnsi"/>
          <w:noProof/>
          <w:sz w:val="24"/>
          <w:szCs w:val="24"/>
        </w:rPr>
        <w:t xml:space="preserve"> </w:t>
      </w:r>
      <w:r w:rsidR="00D2266F">
        <w:rPr>
          <w:rFonts w:cstheme="minorHAnsi"/>
          <w:noProof/>
          <w:sz w:val="24"/>
          <w:szCs w:val="24"/>
        </w:rPr>
        <w:t xml:space="preserve">2010; </w:t>
      </w:r>
      <w:r w:rsidRPr="002D3DE0">
        <w:rPr>
          <w:rFonts w:cstheme="minorHAnsi"/>
          <w:b/>
          <w:noProof/>
          <w:sz w:val="24"/>
          <w:szCs w:val="24"/>
        </w:rPr>
        <w:t>11</w:t>
      </w:r>
      <w:r w:rsidRPr="002D3DE0">
        <w:rPr>
          <w:rFonts w:cstheme="minorHAnsi"/>
          <w:noProof/>
          <w:sz w:val="24"/>
          <w:szCs w:val="24"/>
        </w:rPr>
        <w:t>(1): 1-13.</w:t>
      </w:r>
      <w:bookmarkEnd w:id="157"/>
    </w:p>
    <w:p w:rsidR="008F0C0F" w:rsidRPr="002D3DE0" w:rsidRDefault="008F0C0F" w:rsidP="002D3DE0">
      <w:pPr>
        <w:spacing w:before="240" w:after="0"/>
        <w:jc w:val="both"/>
        <w:rPr>
          <w:rFonts w:cstheme="minorHAnsi"/>
          <w:noProof/>
          <w:sz w:val="24"/>
          <w:szCs w:val="24"/>
        </w:rPr>
      </w:pPr>
      <w:bookmarkStart w:id="158" w:name="_ENREF_90"/>
      <w:r w:rsidRPr="002D3DE0">
        <w:rPr>
          <w:rFonts w:cstheme="minorHAnsi"/>
          <w:noProof/>
          <w:sz w:val="24"/>
          <w:szCs w:val="24"/>
        </w:rPr>
        <w:t xml:space="preserve">Oh, J., R. Takahashi, S. Kondo, A. Mizoguchi, E. Adachi, R. M. Sasahara, S. Nishimura, Y. Imamura, H. Kitayama, D. B. Alexander, C. Ide, T. P. Horan, T. Arakawa, H. Yoshida, S.-I. Nishikawa, Y. Itoh, M. Seiki, S. Itohara, C. Takahashi a M. Noda "The Membrane-Anchored MMP Inhibitor RECK Is a Key Regulator of Extracellular Matrix Integrity and Angiogenesis." </w:t>
      </w:r>
      <w:r w:rsidRPr="002D3DE0">
        <w:rPr>
          <w:rFonts w:cstheme="minorHAnsi"/>
          <w:noProof/>
          <w:sz w:val="24"/>
          <w:szCs w:val="24"/>
          <w:u w:val="single"/>
        </w:rPr>
        <w:t>Cell</w:t>
      </w:r>
      <w:r w:rsidRPr="002D3DE0">
        <w:rPr>
          <w:rFonts w:cstheme="minorHAnsi"/>
          <w:noProof/>
          <w:sz w:val="24"/>
          <w:szCs w:val="24"/>
        </w:rPr>
        <w:t xml:space="preserve"> </w:t>
      </w:r>
      <w:r w:rsidR="005D2D8B">
        <w:rPr>
          <w:rFonts w:cstheme="minorHAnsi"/>
          <w:noProof/>
          <w:sz w:val="24"/>
          <w:szCs w:val="24"/>
        </w:rPr>
        <w:t xml:space="preserve">2001; </w:t>
      </w:r>
      <w:r w:rsidRPr="002D3DE0">
        <w:rPr>
          <w:rFonts w:cstheme="minorHAnsi"/>
          <w:b/>
          <w:noProof/>
          <w:sz w:val="24"/>
          <w:szCs w:val="24"/>
        </w:rPr>
        <w:t>107</w:t>
      </w:r>
      <w:r w:rsidRPr="002D3DE0">
        <w:rPr>
          <w:rFonts w:cstheme="minorHAnsi"/>
          <w:noProof/>
          <w:sz w:val="24"/>
          <w:szCs w:val="24"/>
        </w:rPr>
        <w:t>(6): 789-800.</w:t>
      </w:r>
      <w:bookmarkEnd w:id="158"/>
    </w:p>
    <w:p w:rsidR="008F0C0F" w:rsidRPr="002D3DE0" w:rsidRDefault="008F0C0F" w:rsidP="002D3DE0">
      <w:pPr>
        <w:spacing w:before="240" w:after="0"/>
        <w:jc w:val="both"/>
        <w:rPr>
          <w:rFonts w:cstheme="minorHAnsi"/>
          <w:noProof/>
          <w:sz w:val="24"/>
          <w:szCs w:val="24"/>
        </w:rPr>
      </w:pPr>
      <w:bookmarkStart w:id="159" w:name="_ENREF_91"/>
      <w:r w:rsidRPr="002D3DE0">
        <w:rPr>
          <w:rFonts w:cstheme="minorHAnsi"/>
          <w:noProof/>
          <w:sz w:val="24"/>
          <w:szCs w:val="24"/>
        </w:rPr>
        <w:t xml:space="preserve">Ortiz-Quintero, B. "Cell-free microRNAs in blood and other body fluids, as cancer biomarkers." </w:t>
      </w:r>
      <w:r w:rsidRPr="002D3DE0">
        <w:rPr>
          <w:rFonts w:cstheme="minorHAnsi"/>
          <w:noProof/>
          <w:sz w:val="24"/>
          <w:szCs w:val="24"/>
          <w:u w:val="single"/>
        </w:rPr>
        <w:t>Cell proliferation</w:t>
      </w:r>
      <w:r w:rsidRPr="002D3DE0">
        <w:rPr>
          <w:rFonts w:cstheme="minorHAnsi"/>
          <w:noProof/>
          <w:sz w:val="24"/>
          <w:szCs w:val="24"/>
        </w:rPr>
        <w:t xml:space="preserve"> </w:t>
      </w:r>
      <w:r w:rsidR="005D2D8B">
        <w:rPr>
          <w:rFonts w:cstheme="minorHAnsi"/>
          <w:noProof/>
          <w:sz w:val="24"/>
          <w:szCs w:val="24"/>
        </w:rPr>
        <w:t xml:space="preserve">2016: </w:t>
      </w:r>
      <w:r w:rsidRPr="002D3DE0">
        <w:rPr>
          <w:rFonts w:cstheme="minorHAnsi"/>
          <w:b/>
          <w:noProof/>
          <w:sz w:val="24"/>
          <w:szCs w:val="24"/>
        </w:rPr>
        <w:t>49</w:t>
      </w:r>
      <w:r w:rsidRPr="002D3DE0">
        <w:rPr>
          <w:rFonts w:cstheme="minorHAnsi"/>
          <w:noProof/>
          <w:sz w:val="24"/>
          <w:szCs w:val="24"/>
        </w:rPr>
        <w:t>(3): 281-303.</w:t>
      </w:r>
      <w:bookmarkEnd w:id="159"/>
    </w:p>
    <w:p w:rsidR="008F0C0F" w:rsidRPr="002D3DE0" w:rsidRDefault="008F0C0F" w:rsidP="002D3DE0">
      <w:pPr>
        <w:spacing w:before="240" w:after="0"/>
        <w:jc w:val="both"/>
        <w:rPr>
          <w:rFonts w:cstheme="minorHAnsi"/>
          <w:noProof/>
          <w:sz w:val="24"/>
          <w:szCs w:val="24"/>
        </w:rPr>
      </w:pPr>
      <w:bookmarkStart w:id="160" w:name="_ENREF_92"/>
      <w:r w:rsidRPr="002D3DE0">
        <w:rPr>
          <w:rFonts w:cstheme="minorHAnsi"/>
          <w:noProof/>
          <w:sz w:val="24"/>
          <w:szCs w:val="24"/>
        </w:rPr>
        <w:t xml:space="preserve">Oswald-Richter, K. A., B. W. Richmond, N. A. Braun, J. Isom, S. Abraham, T. R. Taylor, J. M. Drake, D. A. Culver, D. S. Wilkes and W. P. Drake "Reversal of global CD4+ subset dysfunction is associated with spontaneous clinical resolution of pulmonary sarcoidosis." </w:t>
      </w:r>
      <w:r w:rsidRPr="002D3DE0">
        <w:rPr>
          <w:rFonts w:cstheme="minorHAnsi"/>
          <w:noProof/>
          <w:sz w:val="24"/>
          <w:szCs w:val="24"/>
          <w:u w:val="single"/>
        </w:rPr>
        <w:t>Journal of Immunology</w:t>
      </w:r>
      <w:r w:rsidRPr="002D3DE0">
        <w:rPr>
          <w:rFonts w:cstheme="minorHAnsi"/>
          <w:noProof/>
          <w:sz w:val="24"/>
          <w:szCs w:val="24"/>
        </w:rPr>
        <w:t xml:space="preserve"> </w:t>
      </w:r>
      <w:r w:rsidR="005D2D8B">
        <w:rPr>
          <w:rFonts w:cstheme="minorHAnsi"/>
          <w:noProof/>
          <w:sz w:val="24"/>
          <w:szCs w:val="24"/>
        </w:rPr>
        <w:t xml:space="preserve">2013; </w:t>
      </w:r>
      <w:r w:rsidRPr="002D3DE0">
        <w:rPr>
          <w:rFonts w:cstheme="minorHAnsi"/>
          <w:b/>
          <w:noProof/>
          <w:sz w:val="24"/>
          <w:szCs w:val="24"/>
        </w:rPr>
        <w:t>190</w:t>
      </w:r>
      <w:r w:rsidRPr="002D3DE0">
        <w:rPr>
          <w:rFonts w:cstheme="minorHAnsi"/>
          <w:noProof/>
          <w:sz w:val="24"/>
          <w:szCs w:val="24"/>
        </w:rPr>
        <w:t>(11): 5446-5453.</w:t>
      </w:r>
      <w:bookmarkEnd w:id="160"/>
    </w:p>
    <w:p w:rsidR="008F0C0F" w:rsidRPr="002D3DE0" w:rsidRDefault="008F0C0F" w:rsidP="002D3DE0">
      <w:pPr>
        <w:spacing w:before="240" w:after="0"/>
        <w:jc w:val="both"/>
        <w:rPr>
          <w:rFonts w:cstheme="minorHAnsi"/>
          <w:noProof/>
          <w:sz w:val="24"/>
          <w:szCs w:val="24"/>
        </w:rPr>
      </w:pPr>
      <w:bookmarkStart w:id="161" w:name="_ENREF_93"/>
      <w:r w:rsidRPr="002D3DE0">
        <w:rPr>
          <w:rFonts w:cstheme="minorHAnsi"/>
          <w:noProof/>
          <w:sz w:val="24"/>
          <w:szCs w:val="24"/>
        </w:rPr>
        <w:t xml:space="preserve">Palanisamy, V., A. Jakymiw, E. A. Van Tubergen, N. J. D’Silva and K. L. Kirkwood (2012). "Control of Cytokine mRNA Expression by RNA-binding Proteins and microRNAs." </w:t>
      </w:r>
      <w:r w:rsidRPr="002D3DE0">
        <w:rPr>
          <w:rFonts w:cstheme="minorHAnsi"/>
          <w:noProof/>
          <w:sz w:val="24"/>
          <w:szCs w:val="24"/>
          <w:u w:val="single"/>
        </w:rPr>
        <w:t>Journal of Dental Research</w:t>
      </w:r>
      <w:r w:rsidRPr="002D3DE0">
        <w:rPr>
          <w:rFonts w:cstheme="minorHAnsi"/>
          <w:noProof/>
          <w:sz w:val="24"/>
          <w:szCs w:val="24"/>
        </w:rPr>
        <w:t xml:space="preserve"> </w:t>
      </w:r>
      <w:r w:rsidRPr="002D3DE0">
        <w:rPr>
          <w:rFonts w:cstheme="minorHAnsi"/>
          <w:b/>
          <w:noProof/>
          <w:sz w:val="24"/>
          <w:szCs w:val="24"/>
        </w:rPr>
        <w:t>91</w:t>
      </w:r>
      <w:r w:rsidRPr="002D3DE0">
        <w:rPr>
          <w:rFonts w:cstheme="minorHAnsi"/>
          <w:noProof/>
          <w:sz w:val="24"/>
          <w:szCs w:val="24"/>
        </w:rPr>
        <w:t>(7): 651-658.</w:t>
      </w:r>
      <w:bookmarkEnd w:id="161"/>
    </w:p>
    <w:p w:rsidR="008F0C0F" w:rsidRPr="002D3DE0" w:rsidRDefault="008F0C0F" w:rsidP="002D3DE0">
      <w:pPr>
        <w:spacing w:before="240" w:after="0"/>
        <w:jc w:val="both"/>
        <w:rPr>
          <w:rFonts w:cstheme="minorHAnsi"/>
          <w:noProof/>
          <w:sz w:val="24"/>
          <w:szCs w:val="24"/>
        </w:rPr>
      </w:pPr>
      <w:bookmarkStart w:id="162" w:name="_ENREF_94"/>
      <w:r w:rsidRPr="002D3DE0">
        <w:rPr>
          <w:rFonts w:cstheme="minorHAnsi"/>
          <w:noProof/>
          <w:sz w:val="24"/>
          <w:szCs w:val="24"/>
        </w:rPr>
        <w:t xml:space="preserve">Park, M. J., M. S. Kim, I. C. Park, H. S. Kang, H. Yoo, S. H. Park, C. H. Rhee, S. I. Hong and S. H. Lee "PTEN suppresses hyaluronic acid-induced matrix metalloproteinase-9 expression in U87MG glioblastoma cells through focal adhesion kinase dephosphorylation." </w:t>
      </w:r>
      <w:r w:rsidRPr="002D3DE0">
        <w:rPr>
          <w:rFonts w:cstheme="minorHAnsi"/>
          <w:noProof/>
          <w:sz w:val="24"/>
          <w:szCs w:val="24"/>
          <w:u w:val="single"/>
        </w:rPr>
        <w:t>Cancer Research</w:t>
      </w:r>
      <w:r w:rsidRPr="002D3DE0">
        <w:rPr>
          <w:rFonts w:cstheme="minorHAnsi"/>
          <w:noProof/>
          <w:sz w:val="24"/>
          <w:szCs w:val="24"/>
        </w:rPr>
        <w:t xml:space="preserve"> </w:t>
      </w:r>
      <w:r w:rsidR="003142CF">
        <w:rPr>
          <w:rFonts w:cstheme="minorHAnsi"/>
          <w:noProof/>
          <w:sz w:val="24"/>
          <w:szCs w:val="24"/>
        </w:rPr>
        <w:t xml:space="preserve">2002; </w:t>
      </w:r>
      <w:r w:rsidRPr="002D3DE0">
        <w:rPr>
          <w:rFonts w:cstheme="minorHAnsi"/>
          <w:b/>
          <w:noProof/>
          <w:sz w:val="24"/>
          <w:szCs w:val="24"/>
        </w:rPr>
        <w:t>62</w:t>
      </w:r>
      <w:r w:rsidRPr="002D3DE0">
        <w:rPr>
          <w:rFonts w:cstheme="minorHAnsi"/>
          <w:noProof/>
          <w:sz w:val="24"/>
          <w:szCs w:val="24"/>
        </w:rPr>
        <w:t>(21): 6318-6322.</w:t>
      </w:r>
      <w:bookmarkEnd w:id="162"/>
    </w:p>
    <w:p w:rsidR="008F0C0F" w:rsidRPr="002D3DE0" w:rsidRDefault="008F0C0F" w:rsidP="002D3DE0">
      <w:pPr>
        <w:spacing w:before="240" w:after="0"/>
        <w:jc w:val="both"/>
        <w:rPr>
          <w:rFonts w:cstheme="minorHAnsi"/>
          <w:noProof/>
          <w:sz w:val="24"/>
          <w:szCs w:val="24"/>
        </w:rPr>
      </w:pPr>
      <w:bookmarkStart w:id="163" w:name="_ENREF_95"/>
      <w:r w:rsidRPr="002D3DE0">
        <w:rPr>
          <w:rFonts w:cstheme="minorHAnsi"/>
          <w:noProof/>
          <w:sz w:val="24"/>
          <w:szCs w:val="24"/>
        </w:rPr>
        <w:t xml:space="preserve">Paschoud, S., A. M. Dogar, C. Kuntz, B. Grisoni-Neupert, L. Richman a L. C. Kuhn "Destabilization of Interleukin-6 mRNA Requires a Putative RNA Stem-Loop Structure, an AU-Rich Element, and the RNA-Binding Protein AUF1." </w:t>
      </w:r>
      <w:r w:rsidRPr="002D3DE0">
        <w:rPr>
          <w:rFonts w:cstheme="minorHAnsi"/>
          <w:noProof/>
          <w:sz w:val="24"/>
          <w:szCs w:val="24"/>
          <w:u w:val="single"/>
        </w:rPr>
        <w:t>Molecular and Cellular Biology</w:t>
      </w:r>
      <w:r w:rsidRPr="002D3DE0">
        <w:rPr>
          <w:rFonts w:cstheme="minorHAnsi"/>
          <w:noProof/>
          <w:sz w:val="24"/>
          <w:szCs w:val="24"/>
        </w:rPr>
        <w:t xml:space="preserve"> </w:t>
      </w:r>
      <w:r w:rsidR="003142CF">
        <w:rPr>
          <w:rFonts w:cstheme="minorHAnsi"/>
          <w:noProof/>
          <w:sz w:val="24"/>
          <w:szCs w:val="24"/>
        </w:rPr>
        <w:t xml:space="preserve">2006; </w:t>
      </w:r>
      <w:r w:rsidRPr="002D3DE0">
        <w:rPr>
          <w:rFonts w:cstheme="minorHAnsi"/>
          <w:b/>
          <w:noProof/>
          <w:sz w:val="24"/>
          <w:szCs w:val="24"/>
        </w:rPr>
        <w:t>26</w:t>
      </w:r>
      <w:r w:rsidR="003142CF">
        <w:rPr>
          <w:rFonts w:cstheme="minorHAnsi"/>
          <w:noProof/>
          <w:sz w:val="24"/>
          <w:szCs w:val="24"/>
        </w:rPr>
        <w:t>:</w:t>
      </w:r>
      <w:r w:rsidRPr="002D3DE0">
        <w:rPr>
          <w:rFonts w:cstheme="minorHAnsi"/>
          <w:noProof/>
          <w:sz w:val="24"/>
          <w:szCs w:val="24"/>
        </w:rPr>
        <w:t xml:space="preserve"> 8228-8241.</w:t>
      </w:r>
      <w:bookmarkEnd w:id="163"/>
    </w:p>
    <w:p w:rsidR="008F0C0F" w:rsidRPr="002D3DE0" w:rsidRDefault="008F0C0F" w:rsidP="002D3DE0">
      <w:pPr>
        <w:spacing w:before="240" w:after="0"/>
        <w:jc w:val="both"/>
        <w:rPr>
          <w:rFonts w:cstheme="minorHAnsi"/>
          <w:noProof/>
          <w:sz w:val="24"/>
          <w:szCs w:val="24"/>
        </w:rPr>
      </w:pPr>
      <w:bookmarkStart w:id="164" w:name="_ENREF_96"/>
      <w:r w:rsidRPr="002D3DE0">
        <w:rPr>
          <w:rFonts w:cstheme="minorHAnsi"/>
          <w:noProof/>
          <w:sz w:val="24"/>
          <w:szCs w:val="24"/>
        </w:rPr>
        <w:t xml:space="preserve">Patterson, K. C. a E. S. Chen "The Pathogenesis of Pulmonary Sarcoidosis and Implications for Treatment." </w:t>
      </w:r>
      <w:r w:rsidRPr="002D3DE0">
        <w:rPr>
          <w:rFonts w:cstheme="minorHAnsi"/>
          <w:noProof/>
          <w:sz w:val="24"/>
          <w:szCs w:val="24"/>
          <w:u w:val="single"/>
        </w:rPr>
        <w:t>Chest</w:t>
      </w:r>
      <w:r w:rsidRPr="002D3DE0">
        <w:rPr>
          <w:rFonts w:cstheme="minorHAnsi"/>
          <w:noProof/>
          <w:sz w:val="24"/>
          <w:szCs w:val="24"/>
        </w:rPr>
        <w:t xml:space="preserve"> </w:t>
      </w:r>
      <w:r w:rsidR="003142CF">
        <w:rPr>
          <w:rFonts w:cstheme="minorHAnsi"/>
          <w:noProof/>
          <w:sz w:val="24"/>
          <w:szCs w:val="24"/>
        </w:rPr>
        <w:t xml:space="preserve">2018; </w:t>
      </w:r>
      <w:r w:rsidRPr="002D3DE0">
        <w:rPr>
          <w:rFonts w:cstheme="minorHAnsi"/>
          <w:b/>
          <w:noProof/>
          <w:sz w:val="24"/>
          <w:szCs w:val="24"/>
        </w:rPr>
        <w:t>153</w:t>
      </w:r>
      <w:r w:rsidRPr="002D3DE0">
        <w:rPr>
          <w:rFonts w:cstheme="minorHAnsi"/>
          <w:noProof/>
          <w:sz w:val="24"/>
          <w:szCs w:val="24"/>
        </w:rPr>
        <w:t>(6): 1432-1442.</w:t>
      </w:r>
      <w:bookmarkEnd w:id="164"/>
    </w:p>
    <w:p w:rsidR="008F0C0F" w:rsidRPr="002D3DE0" w:rsidRDefault="008F0C0F" w:rsidP="002D3DE0">
      <w:pPr>
        <w:spacing w:before="240" w:after="0"/>
        <w:jc w:val="both"/>
        <w:rPr>
          <w:rFonts w:cstheme="minorHAnsi"/>
          <w:noProof/>
          <w:sz w:val="24"/>
          <w:szCs w:val="24"/>
        </w:rPr>
      </w:pPr>
      <w:bookmarkStart w:id="165" w:name="_ENREF_97"/>
      <w:r w:rsidRPr="002D3DE0">
        <w:rPr>
          <w:rFonts w:cstheme="minorHAnsi"/>
          <w:noProof/>
          <w:sz w:val="24"/>
          <w:szCs w:val="24"/>
        </w:rPr>
        <w:t xml:space="preserve">Petrek, M., A. Gibejova, J. Drabek, F. Mrazek, V. Kolek, E. Weigl a R. M. du Bois "CC chemokine receptor 5 (CCR5) mRNA expression in pulmonary sarcoidosis." </w:t>
      </w:r>
      <w:r w:rsidRPr="002D3DE0">
        <w:rPr>
          <w:rFonts w:cstheme="minorHAnsi"/>
          <w:noProof/>
          <w:sz w:val="24"/>
          <w:szCs w:val="24"/>
          <w:u w:val="single"/>
        </w:rPr>
        <w:t>Immunology Letters</w:t>
      </w:r>
      <w:r w:rsidRPr="002D3DE0">
        <w:rPr>
          <w:rFonts w:cstheme="minorHAnsi"/>
          <w:noProof/>
          <w:sz w:val="24"/>
          <w:szCs w:val="24"/>
        </w:rPr>
        <w:t xml:space="preserve"> </w:t>
      </w:r>
      <w:r w:rsidR="003142CF">
        <w:rPr>
          <w:rFonts w:cstheme="minorHAnsi"/>
          <w:noProof/>
          <w:sz w:val="24"/>
          <w:szCs w:val="24"/>
        </w:rPr>
        <w:t xml:space="preserve">2002; </w:t>
      </w:r>
      <w:r w:rsidRPr="002D3DE0">
        <w:rPr>
          <w:rFonts w:cstheme="minorHAnsi"/>
          <w:b/>
          <w:noProof/>
          <w:sz w:val="24"/>
          <w:szCs w:val="24"/>
        </w:rPr>
        <w:t>80</w:t>
      </w:r>
      <w:r w:rsidRPr="002D3DE0">
        <w:rPr>
          <w:rFonts w:cstheme="minorHAnsi"/>
          <w:noProof/>
          <w:sz w:val="24"/>
          <w:szCs w:val="24"/>
        </w:rPr>
        <w:t>(3): 189-193.</w:t>
      </w:r>
      <w:bookmarkEnd w:id="165"/>
    </w:p>
    <w:p w:rsidR="008F0C0F" w:rsidRPr="002D3DE0" w:rsidRDefault="008F0C0F" w:rsidP="002D3DE0">
      <w:pPr>
        <w:spacing w:before="240" w:after="0"/>
        <w:jc w:val="both"/>
        <w:rPr>
          <w:rFonts w:cstheme="minorHAnsi"/>
          <w:noProof/>
          <w:sz w:val="24"/>
          <w:szCs w:val="24"/>
        </w:rPr>
      </w:pPr>
      <w:bookmarkStart w:id="166" w:name="_ENREF_98"/>
      <w:r w:rsidRPr="002D3DE0">
        <w:rPr>
          <w:rFonts w:cstheme="minorHAnsi"/>
          <w:noProof/>
          <w:sz w:val="24"/>
          <w:szCs w:val="24"/>
        </w:rPr>
        <w:t xml:space="preserve">Petrek, M. a V. Kolek "T-lymfocytární subpopulace v bronchoalveolární laváži u plicní sarkoidózy a ostatních onemocnění plicního intersticia." </w:t>
      </w:r>
      <w:r w:rsidRPr="002D3DE0">
        <w:rPr>
          <w:rFonts w:cstheme="minorHAnsi"/>
          <w:noProof/>
          <w:sz w:val="24"/>
          <w:szCs w:val="24"/>
          <w:u w:val="single"/>
        </w:rPr>
        <w:t>Časopis lékařství českého</w:t>
      </w:r>
      <w:r w:rsidR="003142CF" w:rsidRPr="002D3DE0">
        <w:rPr>
          <w:rFonts w:cstheme="minorHAnsi"/>
          <w:noProof/>
          <w:sz w:val="24"/>
          <w:szCs w:val="24"/>
        </w:rPr>
        <w:t xml:space="preserve"> 1993;</w:t>
      </w:r>
      <w:r w:rsidRPr="002D3DE0">
        <w:rPr>
          <w:rFonts w:cstheme="minorHAnsi"/>
          <w:noProof/>
          <w:sz w:val="24"/>
          <w:szCs w:val="24"/>
        </w:rPr>
        <w:t xml:space="preserve"> </w:t>
      </w:r>
      <w:r w:rsidRPr="002D3DE0">
        <w:rPr>
          <w:rFonts w:cstheme="minorHAnsi"/>
          <w:b/>
          <w:noProof/>
          <w:sz w:val="24"/>
          <w:szCs w:val="24"/>
        </w:rPr>
        <w:t>132</w:t>
      </w:r>
      <w:r w:rsidRPr="002D3DE0">
        <w:rPr>
          <w:rFonts w:cstheme="minorHAnsi"/>
          <w:noProof/>
          <w:sz w:val="24"/>
          <w:szCs w:val="24"/>
        </w:rPr>
        <w:t>(3): 365-368.</w:t>
      </w:r>
      <w:bookmarkEnd w:id="166"/>
    </w:p>
    <w:p w:rsidR="008F0C0F" w:rsidRPr="002D3DE0" w:rsidRDefault="008F0C0F" w:rsidP="002D3DE0">
      <w:pPr>
        <w:spacing w:before="240" w:after="0"/>
        <w:jc w:val="both"/>
        <w:rPr>
          <w:rFonts w:cstheme="minorHAnsi"/>
          <w:noProof/>
          <w:sz w:val="24"/>
          <w:szCs w:val="24"/>
        </w:rPr>
      </w:pPr>
      <w:bookmarkStart w:id="167" w:name="_ENREF_99"/>
      <w:r w:rsidRPr="002D3DE0">
        <w:rPr>
          <w:rFonts w:cstheme="minorHAnsi"/>
          <w:noProof/>
          <w:sz w:val="24"/>
          <w:szCs w:val="24"/>
        </w:rPr>
        <w:lastRenderedPageBreak/>
        <w:t xml:space="preserve">Pietinalho, A., Y. Hiraga, Y. Hosoda, A. B. Löfroos, M. Yamaguchi and O. Selroos (1995). "The frequency of sarcoidosis in Finland and Hokkaido, Japan. A comparative epidemiological study." </w:t>
      </w:r>
      <w:r w:rsidRPr="002D3DE0">
        <w:rPr>
          <w:rFonts w:cstheme="minorHAnsi"/>
          <w:noProof/>
          <w:sz w:val="24"/>
          <w:szCs w:val="24"/>
          <w:u w:val="single"/>
        </w:rPr>
        <w:t>Sarcoidosis</w:t>
      </w:r>
      <w:r w:rsidRPr="002D3DE0">
        <w:rPr>
          <w:rFonts w:cstheme="minorHAnsi"/>
          <w:noProof/>
          <w:sz w:val="24"/>
          <w:szCs w:val="24"/>
        </w:rPr>
        <w:t xml:space="preserve"> </w:t>
      </w:r>
      <w:r w:rsidRPr="002D3DE0">
        <w:rPr>
          <w:rFonts w:cstheme="minorHAnsi"/>
          <w:b/>
          <w:noProof/>
          <w:sz w:val="24"/>
          <w:szCs w:val="24"/>
        </w:rPr>
        <w:t>12</w:t>
      </w:r>
      <w:r w:rsidRPr="002D3DE0">
        <w:rPr>
          <w:rFonts w:cstheme="minorHAnsi"/>
          <w:noProof/>
          <w:sz w:val="24"/>
          <w:szCs w:val="24"/>
        </w:rPr>
        <w:t>(1): 61-67.</w:t>
      </w:r>
      <w:bookmarkEnd w:id="167"/>
    </w:p>
    <w:p w:rsidR="008F0C0F" w:rsidRPr="002D3DE0" w:rsidRDefault="008F0C0F" w:rsidP="002D3DE0">
      <w:pPr>
        <w:spacing w:before="240" w:after="0"/>
        <w:jc w:val="both"/>
        <w:rPr>
          <w:rFonts w:cstheme="minorHAnsi"/>
          <w:noProof/>
          <w:sz w:val="24"/>
          <w:szCs w:val="24"/>
        </w:rPr>
      </w:pPr>
      <w:bookmarkStart w:id="168" w:name="_ENREF_100"/>
      <w:r w:rsidRPr="002D3DE0">
        <w:rPr>
          <w:rFonts w:cstheme="minorHAnsi"/>
          <w:noProof/>
          <w:sz w:val="24"/>
          <w:szCs w:val="24"/>
        </w:rPr>
        <w:t xml:space="preserve">Rabe, K., S. Hurd, A. Anzueto, P. Barnes, S. Buist and C. P "Global Strategy for the Diagnosis, Management, and Prevention of Chronic Obstructive Pulmonary Disease: GOLD Executive Summary." </w:t>
      </w:r>
      <w:r w:rsidRPr="002D3DE0">
        <w:rPr>
          <w:rFonts w:cstheme="minorHAnsi"/>
          <w:noProof/>
          <w:sz w:val="24"/>
          <w:szCs w:val="24"/>
          <w:u w:val="single"/>
        </w:rPr>
        <w:t>American Journal of Respiratory and Critical Care Medicine</w:t>
      </w:r>
      <w:r w:rsidRPr="002D3DE0">
        <w:rPr>
          <w:rFonts w:cstheme="minorHAnsi"/>
          <w:noProof/>
          <w:sz w:val="24"/>
          <w:szCs w:val="24"/>
        </w:rPr>
        <w:t xml:space="preserve"> </w:t>
      </w:r>
      <w:r w:rsidR="00737BB0">
        <w:rPr>
          <w:rFonts w:cstheme="minorHAnsi"/>
          <w:noProof/>
          <w:sz w:val="24"/>
          <w:szCs w:val="24"/>
        </w:rPr>
        <w:t xml:space="preserve">2007; </w:t>
      </w:r>
      <w:r w:rsidRPr="002D3DE0">
        <w:rPr>
          <w:rFonts w:cstheme="minorHAnsi"/>
          <w:b/>
          <w:noProof/>
          <w:sz w:val="24"/>
          <w:szCs w:val="24"/>
        </w:rPr>
        <w:t>176</w:t>
      </w:r>
      <w:r w:rsidRPr="002D3DE0">
        <w:rPr>
          <w:rFonts w:cstheme="minorHAnsi"/>
          <w:noProof/>
          <w:sz w:val="24"/>
          <w:szCs w:val="24"/>
        </w:rPr>
        <w:t>(6): 532-555.</w:t>
      </w:r>
      <w:bookmarkEnd w:id="168"/>
    </w:p>
    <w:p w:rsidR="008F0C0F" w:rsidRPr="002D3DE0" w:rsidRDefault="008F0C0F" w:rsidP="002D3DE0">
      <w:pPr>
        <w:spacing w:before="240" w:after="0"/>
        <w:jc w:val="both"/>
        <w:rPr>
          <w:rFonts w:cstheme="minorHAnsi"/>
          <w:noProof/>
          <w:sz w:val="24"/>
          <w:szCs w:val="24"/>
        </w:rPr>
      </w:pPr>
      <w:bookmarkStart w:id="169" w:name="_ENREF_101"/>
      <w:r w:rsidRPr="002D3DE0">
        <w:rPr>
          <w:rFonts w:cstheme="minorHAnsi"/>
          <w:noProof/>
          <w:sz w:val="24"/>
          <w:szCs w:val="24"/>
        </w:rPr>
        <w:t xml:space="preserve">Raghavan, A., R. L. Ogilvie, C. Reilly, M. L. Abelson, S. Raghavan, J. Vasdewani, M. Krathwohl and P. R. Bohjanen "Genome‐wide analysis of mRNA decay in resting and activated primary human T lymphocytes." </w:t>
      </w:r>
      <w:r w:rsidRPr="002D3DE0">
        <w:rPr>
          <w:rFonts w:cstheme="minorHAnsi"/>
          <w:noProof/>
          <w:sz w:val="24"/>
          <w:szCs w:val="24"/>
          <w:u w:val="single"/>
        </w:rPr>
        <w:t>Nucleic Acids Research</w:t>
      </w:r>
      <w:r w:rsidRPr="002D3DE0">
        <w:rPr>
          <w:rFonts w:cstheme="minorHAnsi"/>
          <w:noProof/>
          <w:sz w:val="24"/>
          <w:szCs w:val="24"/>
        </w:rPr>
        <w:t xml:space="preserve"> </w:t>
      </w:r>
      <w:r w:rsidR="00737BB0">
        <w:rPr>
          <w:rFonts w:cstheme="minorHAnsi"/>
          <w:noProof/>
          <w:sz w:val="24"/>
          <w:szCs w:val="24"/>
        </w:rPr>
        <w:t xml:space="preserve">2020; </w:t>
      </w:r>
      <w:r w:rsidRPr="002D3DE0">
        <w:rPr>
          <w:rFonts w:cstheme="minorHAnsi"/>
          <w:b/>
          <w:noProof/>
          <w:sz w:val="24"/>
          <w:szCs w:val="24"/>
        </w:rPr>
        <w:t>30</w:t>
      </w:r>
      <w:r w:rsidRPr="002D3DE0">
        <w:rPr>
          <w:rFonts w:cstheme="minorHAnsi"/>
          <w:noProof/>
          <w:sz w:val="24"/>
          <w:szCs w:val="24"/>
        </w:rPr>
        <w:t>(24): 5529-5538.</w:t>
      </w:r>
      <w:bookmarkEnd w:id="169"/>
    </w:p>
    <w:p w:rsidR="008F0C0F" w:rsidRPr="002D3DE0" w:rsidRDefault="008F0C0F" w:rsidP="002D3DE0">
      <w:pPr>
        <w:spacing w:before="240" w:after="0"/>
        <w:jc w:val="both"/>
        <w:rPr>
          <w:rFonts w:cstheme="minorHAnsi"/>
          <w:noProof/>
          <w:sz w:val="24"/>
          <w:szCs w:val="24"/>
        </w:rPr>
      </w:pPr>
      <w:bookmarkStart w:id="170" w:name="_ENREF_102"/>
      <w:r w:rsidRPr="002D3DE0">
        <w:rPr>
          <w:rFonts w:cstheme="minorHAnsi"/>
          <w:noProof/>
          <w:sz w:val="24"/>
          <w:szCs w:val="24"/>
        </w:rPr>
        <w:t xml:space="preserve">Raherison, C. and P. O. Girodet "Epidemiology of COPD." </w:t>
      </w:r>
      <w:r w:rsidRPr="002D3DE0">
        <w:rPr>
          <w:rFonts w:cstheme="minorHAnsi"/>
          <w:noProof/>
          <w:sz w:val="24"/>
          <w:szCs w:val="24"/>
          <w:u w:val="single"/>
        </w:rPr>
        <w:t>European Respiratory Review</w:t>
      </w:r>
      <w:r w:rsidRPr="002D3DE0">
        <w:rPr>
          <w:rFonts w:cstheme="minorHAnsi"/>
          <w:noProof/>
          <w:sz w:val="24"/>
          <w:szCs w:val="24"/>
        </w:rPr>
        <w:t xml:space="preserve"> </w:t>
      </w:r>
      <w:r w:rsidR="00F93D6D">
        <w:rPr>
          <w:rFonts w:cstheme="minorHAnsi"/>
          <w:noProof/>
          <w:sz w:val="24"/>
          <w:szCs w:val="24"/>
        </w:rPr>
        <w:t xml:space="preserve">2009; </w:t>
      </w:r>
      <w:r w:rsidRPr="002D3DE0">
        <w:rPr>
          <w:rFonts w:cstheme="minorHAnsi"/>
          <w:b/>
          <w:noProof/>
          <w:sz w:val="24"/>
          <w:szCs w:val="24"/>
        </w:rPr>
        <w:t>18</w:t>
      </w:r>
      <w:r w:rsidRPr="002D3DE0">
        <w:rPr>
          <w:rFonts w:cstheme="minorHAnsi"/>
          <w:noProof/>
          <w:sz w:val="24"/>
          <w:szCs w:val="24"/>
        </w:rPr>
        <w:t>(114): 213-221.</w:t>
      </w:r>
      <w:bookmarkEnd w:id="170"/>
    </w:p>
    <w:p w:rsidR="008F0C0F" w:rsidRPr="002D3DE0" w:rsidRDefault="008F0C0F" w:rsidP="002D3DE0">
      <w:pPr>
        <w:spacing w:before="240" w:after="0"/>
        <w:jc w:val="both"/>
        <w:rPr>
          <w:rFonts w:cstheme="minorHAnsi"/>
          <w:noProof/>
          <w:sz w:val="24"/>
          <w:szCs w:val="24"/>
        </w:rPr>
      </w:pPr>
      <w:bookmarkStart w:id="171" w:name="_ENREF_103"/>
      <w:r w:rsidRPr="002D3DE0">
        <w:rPr>
          <w:rFonts w:cstheme="minorHAnsi"/>
          <w:noProof/>
          <w:sz w:val="24"/>
          <w:szCs w:val="24"/>
        </w:rPr>
        <w:t xml:space="preserve">Shigemitsu, H. and A. Azuma "Sarcoidosis and interstitial pulmonary fibrosis; two distinct disorders or two ends of the same spectrum." </w:t>
      </w:r>
      <w:r w:rsidRPr="002D3DE0">
        <w:rPr>
          <w:rFonts w:cstheme="minorHAnsi"/>
          <w:noProof/>
          <w:sz w:val="24"/>
          <w:szCs w:val="24"/>
          <w:u w:val="single"/>
        </w:rPr>
        <w:t>Current Opinion in Pulmonary Medicine</w:t>
      </w:r>
      <w:r w:rsidRPr="002D3DE0">
        <w:rPr>
          <w:rFonts w:cstheme="minorHAnsi"/>
          <w:noProof/>
          <w:sz w:val="24"/>
          <w:szCs w:val="24"/>
        </w:rPr>
        <w:t xml:space="preserve"> </w:t>
      </w:r>
      <w:r w:rsidR="00F93D6D">
        <w:rPr>
          <w:rFonts w:cstheme="minorHAnsi"/>
          <w:noProof/>
          <w:sz w:val="24"/>
          <w:szCs w:val="24"/>
        </w:rPr>
        <w:t xml:space="preserve">2011; </w:t>
      </w:r>
      <w:r w:rsidRPr="002D3DE0">
        <w:rPr>
          <w:rFonts w:cstheme="minorHAnsi"/>
          <w:b/>
          <w:noProof/>
          <w:sz w:val="24"/>
          <w:szCs w:val="24"/>
        </w:rPr>
        <w:t>17</w:t>
      </w:r>
      <w:r w:rsidRPr="002D3DE0">
        <w:rPr>
          <w:rFonts w:cstheme="minorHAnsi"/>
          <w:noProof/>
          <w:sz w:val="24"/>
          <w:szCs w:val="24"/>
        </w:rPr>
        <w:t>(5): 303-307.</w:t>
      </w:r>
      <w:bookmarkEnd w:id="171"/>
    </w:p>
    <w:p w:rsidR="008F0C0F" w:rsidRPr="002D3DE0" w:rsidRDefault="008F0C0F" w:rsidP="002D3DE0">
      <w:pPr>
        <w:spacing w:before="240" w:after="0"/>
        <w:jc w:val="both"/>
        <w:rPr>
          <w:rFonts w:cstheme="minorHAnsi"/>
          <w:noProof/>
          <w:sz w:val="24"/>
          <w:szCs w:val="24"/>
        </w:rPr>
      </w:pPr>
      <w:bookmarkStart w:id="172" w:name="_ENREF_104"/>
      <w:r w:rsidRPr="002D3DE0">
        <w:rPr>
          <w:rFonts w:cstheme="minorHAnsi"/>
          <w:noProof/>
          <w:sz w:val="24"/>
          <w:szCs w:val="24"/>
        </w:rPr>
        <w:t>Skjøt-Arkil, H., R. E. Clausen, Q. H. T. Nguyen, Y. Wang, Q. Zheng, F. J. Martinez, C. M. Hogaboam, M. Han, L. B. Klickstein, M. R. Larsen, A. Nawrocki, D. J. Leeming a M. A. Karsdal</w:t>
      </w:r>
      <w:r w:rsidR="00491976">
        <w:rPr>
          <w:rFonts w:cstheme="minorHAnsi"/>
          <w:noProof/>
          <w:sz w:val="24"/>
          <w:szCs w:val="24"/>
        </w:rPr>
        <w:t xml:space="preserve"> </w:t>
      </w:r>
      <w:r w:rsidRPr="002D3DE0">
        <w:rPr>
          <w:rFonts w:cstheme="minorHAnsi"/>
          <w:noProof/>
          <w:sz w:val="24"/>
          <w:szCs w:val="24"/>
        </w:rPr>
        <w:t xml:space="preserve">"Measurement of MMP-9 and -12 degraded elastin (ELM) provides unique information on lung tissue degradation." </w:t>
      </w:r>
      <w:r w:rsidRPr="002D3DE0">
        <w:rPr>
          <w:rFonts w:cstheme="minorHAnsi"/>
          <w:noProof/>
          <w:sz w:val="24"/>
          <w:szCs w:val="24"/>
          <w:u w:val="single"/>
        </w:rPr>
        <w:t>BMC Pulmonary Medicine</w:t>
      </w:r>
      <w:r w:rsidRPr="002D3DE0">
        <w:rPr>
          <w:rFonts w:cstheme="minorHAnsi"/>
          <w:noProof/>
          <w:sz w:val="24"/>
          <w:szCs w:val="24"/>
        </w:rPr>
        <w:t xml:space="preserve"> </w:t>
      </w:r>
      <w:r w:rsidR="00491976">
        <w:rPr>
          <w:rFonts w:cstheme="minorHAnsi"/>
          <w:noProof/>
          <w:sz w:val="24"/>
          <w:szCs w:val="24"/>
        </w:rPr>
        <w:t xml:space="preserve">2012; </w:t>
      </w:r>
      <w:r w:rsidRPr="002D3DE0">
        <w:rPr>
          <w:rFonts w:cstheme="minorHAnsi"/>
          <w:b/>
          <w:noProof/>
          <w:sz w:val="24"/>
          <w:szCs w:val="24"/>
        </w:rPr>
        <w:t>12</w:t>
      </w:r>
      <w:r w:rsidRPr="002D3DE0">
        <w:rPr>
          <w:rFonts w:cstheme="minorHAnsi"/>
          <w:noProof/>
          <w:sz w:val="24"/>
          <w:szCs w:val="24"/>
        </w:rPr>
        <w:t>(1): 34.</w:t>
      </w:r>
      <w:bookmarkEnd w:id="172"/>
    </w:p>
    <w:p w:rsidR="008F0C0F" w:rsidRPr="002D3DE0" w:rsidRDefault="008F0C0F" w:rsidP="002D3DE0">
      <w:pPr>
        <w:spacing w:before="240" w:after="0"/>
        <w:jc w:val="both"/>
        <w:rPr>
          <w:rFonts w:cstheme="minorHAnsi"/>
          <w:noProof/>
          <w:sz w:val="24"/>
          <w:szCs w:val="24"/>
        </w:rPr>
      </w:pPr>
      <w:bookmarkStart w:id="173" w:name="_ENREF_105"/>
      <w:r w:rsidRPr="002D3DE0">
        <w:rPr>
          <w:rFonts w:cstheme="minorHAnsi"/>
          <w:noProof/>
          <w:sz w:val="24"/>
          <w:szCs w:val="24"/>
        </w:rPr>
        <w:t xml:space="preserve">Skolnik, K. a C. J. Ryerson "Unclassifiable interstitial lung disease: A review." </w:t>
      </w:r>
      <w:r w:rsidRPr="002D3DE0">
        <w:rPr>
          <w:rFonts w:cstheme="minorHAnsi"/>
          <w:noProof/>
          <w:sz w:val="24"/>
          <w:szCs w:val="24"/>
          <w:u w:val="single"/>
        </w:rPr>
        <w:t>Respirology</w:t>
      </w:r>
      <w:r w:rsidRPr="002D3DE0">
        <w:rPr>
          <w:rFonts w:cstheme="minorHAnsi"/>
          <w:noProof/>
          <w:sz w:val="24"/>
          <w:szCs w:val="24"/>
        </w:rPr>
        <w:t xml:space="preserve"> </w:t>
      </w:r>
      <w:r w:rsidR="00023EA0">
        <w:rPr>
          <w:rFonts w:cstheme="minorHAnsi"/>
          <w:noProof/>
          <w:sz w:val="24"/>
          <w:szCs w:val="24"/>
        </w:rPr>
        <w:t xml:space="preserve">2016; </w:t>
      </w:r>
      <w:r w:rsidRPr="002D3DE0">
        <w:rPr>
          <w:rFonts w:cstheme="minorHAnsi"/>
          <w:b/>
          <w:noProof/>
          <w:sz w:val="24"/>
          <w:szCs w:val="24"/>
        </w:rPr>
        <w:t>21</w:t>
      </w:r>
      <w:r w:rsidRPr="002D3DE0">
        <w:rPr>
          <w:rFonts w:cstheme="minorHAnsi"/>
          <w:noProof/>
          <w:sz w:val="24"/>
          <w:szCs w:val="24"/>
        </w:rPr>
        <w:t>(1): 51-56.</w:t>
      </w:r>
      <w:bookmarkEnd w:id="173"/>
    </w:p>
    <w:p w:rsidR="008F0C0F" w:rsidRPr="002D3DE0" w:rsidRDefault="008F0C0F" w:rsidP="002D3DE0">
      <w:pPr>
        <w:spacing w:before="240" w:after="0"/>
        <w:jc w:val="both"/>
        <w:rPr>
          <w:rFonts w:cstheme="minorHAnsi"/>
          <w:noProof/>
          <w:sz w:val="24"/>
          <w:szCs w:val="24"/>
        </w:rPr>
      </w:pPr>
      <w:bookmarkStart w:id="174" w:name="_ENREF_106"/>
      <w:r w:rsidRPr="002D3DE0">
        <w:rPr>
          <w:rFonts w:cstheme="minorHAnsi"/>
          <w:noProof/>
          <w:sz w:val="24"/>
          <w:szCs w:val="24"/>
        </w:rPr>
        <w:t xml:space="preserve">Sonkoly, E. a A. Pivarcsi "microRNAs in Inflammation." </w:t>
      </w:r>
      <w:r w:rsidRPr="002D3DE0">
        <w:rPr>
          <w:rFonts w:cstheme="minorHAnsi"/>
          <w:noProof/>
          <w:sz w:val="24"/>
          <w:szCs w:val="24"/>
          <w:u w:val="single"/>
        </w:rPr>
        <w:t>International Reviews of Immunology</w:t>
      </w:r>
      <w:r w:rsidRPr="002D3DE0">
        <w:rPr>
          <w:rFonts w:cstheme="minorHAnsi"/>
          <w:noProof/>
          <w:sz w:val="24"/>
          <w:szCs w:val="24"/>
        </w:rPr>
        <w:t xml:space="preserve"> </w:t>
      </w:r>
      <w:r w:rsidR="00023EA0">
        <w:rPr>
          <w:rFonts w:cstheme="minorHAnsi"/>
          <w:noProof/>
          <w:sz w:val="24"/>
          <w:szCs w:val="24"/>
        </w:rPr>
        <w:t xml:space="preserve">2009; </w:t>
      </w:r>
      <w:r w:rsidRPr="002D3DE0">
        <w:rPr>
          <w:rFonts w:cstheme="minorHAnsi"/>
          <w:b/>
          <w:noProof/>
          <w:sz w:val="24"/>
          <w:szCs w:val="24"/>
        </w:rPr>
        <w:t>28</w:t>
      </w:r>
      <w:r w:rsidRPr="002D3DE0">
        <w:rPr>
          <w:rFonts w:cstheme="minorHAnsi"/>
          <w:noProof/>
          <w:sz w:val="24"/>
          <w:szCs w:val="24"/>
        </w:rPr>
        <w:t>(6): 535-561.</w:t>
      </w:r>
      <w:bookmarkEnd w:id="174"/>
    </w:p>
    <w:p w:rsidR="008F0C0F" w:rsidRPr="002D3DE0" w:rsidRDefault="008F0C0F" w:rsidP="002D3DE0">
      <w:pPr>
        <w:spacing w:before="240" w:after="0"/>
        <w:jc w:val="both"/>
        <w:rPr>
          <w:rFonts w:cstheme="minorHAnsi"/>
          <w:noProof/>
          <w:sz w:val="24"/>
          <w:szCs w:val="24"/>
        </w:rPr>
      </w:pPr>
      <w:bookmarkStart w:id="175" w:name="_ENREF_107"/>
      <w:r w:rsidRPr="002D3DE0">
        <w:rPr>
          <w:rFonts w:cstheme="minorHAnsi"/>
          <w:noProof/>
          <w:sz w:val="24"/>
          <w:szCs w:val="24"/>
        </w:rPr>
        <w:t>Spagnolo, P., G. Rossi, A. Cavazza, M. Bonifazi, I. Paladini, F. Bonella, N. Sverzellati a U. Costabel</w:t>
      </w:r>
      <w:r w:rsidR="00E03F73">
        <w:rPr>
          <w:rFonts w:cstheme="minorHAnsi"/>
          <w:noProof/>
          <w:sz w:val="24"/>
          <w:szCs w:val="24"/>
        </w:rPr>
        <w:t xml:space="preserve"> </w:t>
      </w:r>
      <w:r w:rsidRPr="002D3DE0">
        <w:rPr>
          <w:rFonts w:cstheme="minorHAnsi"/>
          <w:noProof/>
          <w:sz w:val="24"/>
          <w:szCs w:val="24"/>
        </w:rPr>
        <w:t xml:space="preserve">"Hypersensitivity Pneumonitis: A Comprehensive Review." </w:t>
      </w:r>
      <w:r w:rsidRPr="002D3DE0">
        <w:rPr>
          <w:rFonts w:cstheme="minorHAnsi"/>
          <w:noProof/>
          <w:sz w:val="24"/>
          <w:szCs w:val="24"/>
          <w:u w:val="single"/>
        </w:rPr>
        <w:t>Journal of investigational allergology &amp; clinical immunology</w:t>
      </w:r>
      <w:r w:rsidRPr="002D3DE0">
        <w:rPr>
          <w:rFonts w:cstheme="minorHAnsi"/>
          <w:noProof/>
          <w:sz w:val="24"/>
          <w:szCs w:val="24"/>
        </w:rPr>
        <w:t xml:space="preserve"> </w:t>
      </w:r>
      <w:r w:rsidR="00E03F73">
        <w:rPr>
          <w:rFonts w:cstheme="minorHAnsi"/>
          <w:noProof/>
          <w:sz w:val="24"/>
          <w:szCs w:val="24"/>
        </w:rPr>
        <w:t xml:space="preserve">2015; </w:t>
      </w:r>
      <w:r w:rsidRPr="002D3DE0">
        <w:rPr>
          <w:rFonts w:cstheme="minorHAnsi"/>
          <w:b/>
          <w:noProof/>
          <w:sz w:val="24"/>
          <w:szCs w:val="24"/>
        </w:rPr>
        <w:t>25</w:t>
      </w:r>
      <w:r w:rsidRPr="002D3DE0">
        <w:rPr>
          <w:rFonts w:cstheme="minorHAnsi"/>
          <w:noProof/>
          <w:sz w:val="24"/>
          <w:szCs w:val="24"/>
        </w:rPr>
        <w:t>(4): 237-250.</w:t>
      </w:r>
      <w:bookmarkEnd w:id="175"/>
    </w:p>
    <w:p w:rsidR="008F0C0F" w:rsidRPr="002D3DE0" w:rsidRDefault="008F0C0F" w:rsidP="002D3DE0">
      <w:pPr>
        <w:spacing w:before="240" w:after="0"/>
        <w:jc w:val="both"/>
        <w:rPr>
          <w:rFonts w:cstheme="minorHAnsi"/>
          <w:noProof/>
          <w:sz w:val="24"/>
          <w:szCs w:val="24"/>
        </w:rPr>
      </w:pPr>
      <w:bookmarkStart w:id="176" w:name="_ENREF_108"/>
      <w:r w:rsidRPr="002D3DE0">
        <w:rPr>
          <w:rFonts w:cstheme="minorHAnsi"/>
          <w:noProof/>
          <w:sz w:val="24"/>
          <w:szCs w:val="24"/>
        </w:rPr>
        <w:t xml:space="preserve">Spurzem, J. R. a S. I. Rennard "Pathogenesis of COPD." </w:t>
      </w:r>
      <w:r w:rsidRPr="002D3DE0">
        <w:rPr>
          <w:rFonts w:cstheme="minorHAnsi"/>
          <w:noProof/>
          <w:sz w:val="24"/>
          <w:szCs w:val="24"/>
          <w:u w:val="single"/>
        </w:rPr>
        <w:t>Seminars in Respiratory and Critical Care Medicine</w:t>
      </w:r>
      <w:r w:rsidRPr="002D3DE0">
        <w:rPr>
          <w:rFonts w:cstheme="minorHAnsi"/>
          <w:noProof/>
          <w:sz w:val="24"/>
          <w:szCs w:val="24"/>
        </w:rPr>
        <w:t xml:space="preserve"> </w:t>
      </w:r>
      <w:r w:rsidR="005D5B58">
        <w:rPr>
          <w:rFonts w:cstheme="minorHAnsi"/>
          <w:noProof/>
          <w:sz w:val="24"/>
          <w:szCs w:val="24"/>
        </w:rPr>
        <w:t xml:space="preserve">2005; </w:t>
      </w:r>
      <w:r w:rsidRPr="002D3DE0">
        <w:rPr>
          <w:rFonts w:cstheme="minorHAnsi"/>
          <w:b/>
          <w:noProof/>
          <w:sz w:val="24"/>
          <w:szCs w:val="24"/>
        </w:rPr>
        <w:t>26</w:t>
      </w:r>
      <w:r w:rsidRPr="002D3DE0">
        <w:rPr>
          <w:rFonts w:cstheme="minorHAnsi"/>
          <w:noProof/>
          <w:sz w:val="24"/>
          <w:szCs w:val="24"/>
        </w:rPr>
        <w:t>(2): 142-153.</w:t>
      </w:r>
      <w:bookmarkEnd w:id="176"/>
    </w:p>
    <w:p w:rsidR="008F0C0F" w:rsidRPr="002D3DE0" w:rsidRDefault="008F0C0F" w:rsidP="002D3DE0">
      <w:pPr>
        <w:spacing w:before="240" w:after="0"/>
        <w:jc w:val="both"/>
        <w:rPr>
          <w:rFonts w:cstheme="minorHAnsi"/>
          <w:noProof/>
          <w:sz w:val="24"/>
          <w:szCs w:val="24"/>
        </w:rPr>
      </w:pPr>
      <w:bookmarkStart w:id="177" w:name="_ENREF_109"/>
      <w:r w:rsidRPr="002D3DE0">
        <w:rPr>
          <w:rFonts w:cstheme="minorHAnsi"/>
          <w:noProof/>
          <w:sz w:val="24"/>
          <w:szCs w:val="24"/>
        </w:rPr>
        <w:t xml:space="preserve">Srikantan, S., K. Tominaga a M. Gorospe "Functional interplay between RNA-binding protein HuR and microRNAs." </w:t>
      </w:r>
      <w:r w:rsidRPr="002D3DE0">
        <w:rPr>
          <w:rFonts w:cstheme="minorHAnsi"/>
          <w:noProof/>
          <w:sz w:val="24"/>
          <w:szCs w:val="24"/>
          <w:u w:val="single"/>
        </w:rPr>
        <w:t>Current Protein &amp; Peptide Science</w:t>
      </w:r>
      <w:r w:rsidRPr="002D3DE0">
        <w:rPr>
          <w:rFonts w:cstheme="minorHAnsi"/>
          <w:noProof/>
          <w:sz w:val="24"/>
          <w:szCs w:val="24"/>
        </w:rPr>
        <w:t xml:space="preserve"> </w:t>
      </w:r>
      <w:r w:rsidR="005D5B58">
        <w:rPr>
          <w:rFonts w:cstheme="minorHAnsi"/>
          <w:noProof/>
          <w:sz w:val="24"/>
          <w:szCs w:val="24"/>
        </w:rPr>
        <w:t xml:space="preserve">2012; </w:t>
      </w:r>
      <w:r w:rsidRPr="002D3DE0">
        <w:rPr>
          <w:rFonts w:cstheme="minorHAnsi"/>
          <w:b/>
          <w:noProof/>
          <w:sz w:val="24"/>
          <w:szCs w:val="24"/>
        </w:rPr>
        <w:t>13</w:t>
      </w:r>
      <w:r w:rsidRPr="002D3DE0">
        <w:rPr>
          <w:rFonts w:cstheme="minorHAnsi"/>
          <w:noProof/>
          <w:sz w:val="24"/>
          <w:szCs w:val="24"/>
        </w:rPr>
        <w:t>(4): 372-379.</w:t>
      </w:r>
      <w:bookmarkEnd w:id="177"/>
    </w:p>
    <w:p w:rsidR="008F0C0F" w:rsidRPr="002D3DE0" w:rsidRDefault="008F0C0F" w:rsidP="002D3DE0">
      <w:pPr>
        <w:spacing w:before="240" w:after="0"/>
        <w:jc w:val="both"/>
        <w:rPr>
          <w:rFonts w:cstheme="minorHAnsi"/>
          <w:noProof/>
          <w:sz w:val="24"/>
          <w:szCs w:val="24"/>
        </w:rPr>
      </w:pPr>
      <w:bookmarkStart w:id="178" w:name="_ENREF_110"/>
      <w:r w:rsidRPr="002D3DE0">
        <w:rPr>
          <w:rFonts w:cstheme="minorHAnsi"/>
          <w:noProof/>
          <w:sz w:val="24"/>
          <w:szCs w:val="24"/>
        </w:rPr>
        <w:t xml:space="preserve">Takahashi, C., Z. Sheng, T. P. Horan, H. Kitayama, M. Maki, K. Hitomi, Y. Kitaura, S. Takai, R. M. Sasahara, A. Horimoto, Y. Ikawa, B. J. Ratzkin, T. Arakawa a M. Noda "Regulation of matrix metalloproteinase-9 and inhibition of tumor invasion by the membrane-anchored glycoprotein RECK." </w:t>
      </w:r>
      <w:r w:rsidRPr="002D3DE0">
        <w:rPr>
          <w:rFonts w:cstheme="minorHAnsi"/>
          <w:noProof/>
          <w:sz w:val="24"/>
          <w:szCs w:val="24"/>
          <w:u w:val="single"/>
        </w:rPr>
        <w:t>Proceedings of the National Academy of Sciences of the United States of America</w:t>
      </w:r>
      <w:r w:rsidRPr="002D3DE0">
        <w:rPr>
          <w:rFonts w:cstheme="minorHAnsi"/>
          <w:noProof/>
          <w:sz w:val="24"/>
          <w:szCs w:val="24"/>
        </w:rPr>
        <w:t xml:space="preserve"> </w:t>
      </w:r>
      <w:r w:rsidR="00A73F45">
        <w:rPr>
          <w:rFonts w:cstheme="minorHAnsi"/>
          <w:noProof/>
          <w:sz w:val="24"/>
          <w:szCs w:val="24"/>
        </w:rPr>
        <w:t xml:space="preserve">1998; </w:t>
      </w:r>
      <w:r w:rsidRPr="002D3DE0">
        <w:rPr>
          <w:rFonts w:cstheme="minorHAnsi"/>
          <w:b/>
          <w:noProof/>
          <w:sz w:val="24"/>
          <w:szCs w:val="24"/>
        </w:rPr>
        <w:t>95</w:t>
      </w:r>
      <w:r w:rsidRPr="002D3DE0">
        <w:rPr>
          <w:rFonts w:cstheme="minorHAnsi"/>
          <w:noProof/>
          <w:sz w:val="24"/>
          <w:szCs w:val="24"/>
        </w:rPr>
        <w:t>(22): 13221-13226.</w:t>
      </w:r>
      <w:bookmarkEnd w:id="178"/>
    </w:p>
    <w:p w:rsidR="008F0C0F" w:rsidRPr="002D3DE0" w:rsidRDefault="008F0C0F" w:rsidP="002D3DE0">
      <w:pPr>
        <w:spacing w:before="240" w:after="0"/>
        <w:jc w:val="both"/>
        <w:rPr>
          <w:rFonts w:cstheme="minorHAnsi"/>
          <w:noProof/>
          <w:sz w:val="24"/>
          <w:szCs w:val="24"/>
        </w:rPr>
      </w:pPr>
      <w:bookmarkStart w:id="179" w:name="_ENREF_111"/>
      <w:r w:rsidRPr="002D3DE0">
        <w:rPr>
          <w:rFonts w:cstheme="minorHAnsi"/>
          <w:noProof/>
          <w:sz w:val="24"/>
          <w:szCs w:val="24"/>
        </w:rPr>
        <w:lastRenderedPageBreak/>
        <w:t xml:space="preserve">Travis, W. D., T. E. King, E. D. Bateman, D. A. Lynch, F. Capron, D. Center, T. V. Colby, J.-F. Cordier, R. M. duBois, J. Galvin, P. Grenier, D. M. Hansell, G. W. Hunninghake, M. Kitaichi, N. L. Müller, J. L. Myers, S. Nagai, A. Nicholson, G. Raghu a B. Wallaert "American Thoracic Society/European Respiratory Society International Multidisciplinary Consensus Classification of the Idiopathic Interstitial Pneumonias." </w:t>
      </w:r>
      <w:r w:rsidRPr="002D3DE0">
        <w:rPr>
          <w:rFonts w:cstheme="minorHAnsi"/>
          <w:noProof/>
          <w:sz w:val="24"/>
          <w:szCs w:val="24"/>
          <w:u w:val="single"/>
        </w:rPr>
        <w:t>American Journal of Respiratory and Critical Care Medicine</w:t>
      </w:r>
      <w:r w:rsidRPr="002D3DE0">
        <w:rPr>
          <w:rFonts w:cstheme="minorHAnsi"/>
          <w:noProof/>
          <w:sz w:val="24"/>
          <w:szCs w:val="24"/>
        </w:rPr>
        <w:t xml:space="preserve"> </w:t>
      </w:r>
      <w:r w:rsidR="00D87CEF">
        <w:rPr>
          <w:rFonts w:cstheme="minorHAnsi"/>
          <w:noProof/>
          <w:sz w:val="24"/>
          <w:szCs w:val="24"/>
        </w:rPr>
        <w:t xml:space="preserve">2002; </w:t>
      </w:r>
      <w:r w:rsidRPr="002D3DE0">
        <w:rPr>
          <w:rFonts w:cstheme="minorHAnsi"/>
          <w:b/>
          <w:noProof/>
          <w:sz w:val="24"/>
          <w:szCs w:val="24"/>
        </w:rPr>
        <w:t>165</w:t>
      </w:r>
      <w:r w:rsidRPr="002D3DE0">
        <w:rPr>
          <w:rFonts w:cstheme="minorHAnsi"/>
          <w:noProof/>
          <w:sz w:val="24"/>
          <w:szCs w:val="24"/>
        </w:rPr>
        <w:t>, 277-304.</w:t>
      </w:r>
      <w:bookmarkEnd w:id="179"/>
    </w:p>
    <w:p w:rsidR="008F0C0F" w:rsidRPr="002D3DE0" w:rsidRDefault="008F0C0F" w:rsidP="002D3DE0">
      <w:pPr>
        <w:spacing w:before="240" w:after="0"/>
        <w:jc w:val="both"/>
        <w:rPr>
          <w:rFonts w:cstheme="minorHAnsi"/>
          <w:noProof/>
          <w:sz w:val="24"/>
          <w:szCs w:val="24"/>
        </w:rPr>
      </w:pPr>
      <w:bookmarkStart w:id="180" w:name="_ENREF_112"/>
      <w:r w:rsidRPr="002D3DE0">
        <w:rPr>
          <w:rFonts w:cstheme="minorHAnsi"/>
          <w:noProof/>
          <w:sz w:val="24"/>
          <w:szCs w:val="24"/>
        </w:rPr>
        <w:t xml:space="preserve">Trentin, L., G. Marcer, M. Chilosi, R. Zambello, C. Agostini, M. Masciarelli, R. Bizzotto, C. Gemignani, A. Cipriani, G. Di Vittorio et al. "Longitudinal study of alveolitis in hypersensitivity pneumonitis patients: an immunologic evaluation." </w:t>
      </w:r>
      <w:r w:rsidRPr="002D3DE0">
        <w:rPr>
          <w:rFonts w:cstheme="minorHAnsi"/>
          <w:noProof/>
          <w:sz w:val="24"/>
          <w:szCs w:val="24"/>
          <w:u w:val="single"/>
        </w:rPr>
        <w:t>J Allergy Clin Immunol</w:t>
      </w:r>
      <w:r w:rsidRPr="002D3DE0">
        <w:rPr>
          <w:rFonts w:cstheme="minorHAnsi"/>
          <w:noProof/>
          <w:sz w:val="24"/>
          <w:szCs w:val="24"/>
        </w:rPr>
        <w:t xml:space="preserve"> </w:t>
      </w:r>
      <w:r w:rsidR="00D87CEF">
        <w:rPr>
          <w:rFonts w:cstheme="minorHAnsi"/>
          <w:noProof/>
          <w:sz w:val="24"/>
          <w:szCs w:val="24"/>
        </w:rPr>
        <w:t xml:space="preserve">1998; </w:t>
      </w:r>
      <w:r w:rsidRPr="002D3DE0">
        <w:rPr>
          <w:rFonts w:cstheme="minorHAnsi"/>
          <w:b/>
          <w:noProof/>
          <w:sz w:val="24"/>
          <w:szCs w:val="24"/>
        </w:rPr>
        <w:t>82</w:t>
      </w:r>
      <w:r w:rsidRPr="002D3DE0">
        <w:rPr>
          <w:rFonts w:cstheme="minorHAnsi"/>
          <w:noProof/>
          <w:sz w:val="24"/>
          <w:szCs w:val="24"/>
        </w:rPr>
        <w:t>(4): 577-585.</w:t>
      </w:r>
      <w:bookmarkEnd w:id="180"/>
    </w:p>
    <w:p w:rsidR="008F0C0F" w:rsidRPr="002D3DE0" w:rsidRDefault="008F0C0F" w:rsidP="002D3DE0">
      <w:pPr>
        <w:spacing w:before="240" w:after="0"/>
        <w:jc w:val="both"/>
        <w:rPr>
          <w:rFonts w:cstheme="minorHAnsi"/>
          <w:noProof/>
          <w:sz w:val="24"/>
          <w:szCs w:val="24"/>
        </w:rPr>
      </w:pPr>
      <w:bookmarkStart w:id="181" w:name="_ENREF_113"/>
      <w:r w:rsidRPr="002D3DE0">
        <w:rPr>
          <w:rFonts w:cstheme="minorHAnsi"/>
          <w:noProof/>
          <w:sz w:val="24"/>
          <w:szCs w:val="24"/>
        </w:rPr>
        <w:t xml:space="preserve">Valeyre, D., A. Prasse, H. Nunes, Y. Uzunhan, P. Y. Brillet a J. Muller-Quernheim  "Sarcoidosis." </w:t>
      </w:r>
      <w:r w:rsidRPr="002D3DE0">
        <w:rPr>
          <w:rFonts w:cstheme="minorHAnsi"/>
          <w:noProof/>
          <w:sz w:val="24"/>
          <w:szCs w:val="24"/>
          <w:u w:val="single"/>
        </w:rPr>
        <w:t>Lancet</w:t>
      </w:r>
      <w:r w:rsidRPr="002D3DE0">
        <w:rPr>
          <w:rFonts w:cstheme="minorHAnsi"/>
          <w:noProof/>
          <w:sz w:val="24"/>
          <w:szCs w:val="24"/>
        </w:rPr>
        <w:t xml:space="preserve"> </w:t>
      </w:r>
      <w:r w:rsidR="006649F3">
        <w:rPr>
          <w:rFonts w:cstheme="minorHAnsi"/>
          <w:noProof/>
          <w:sz w:val="24"/>
          <w:szCs w:val="24"/>
        </w:rPr>
        <w:t xml:space="preserve">2014; </w:t>
      </w:r>
      <w:r w:rsidRPr="002D3DE0">
        <w:rPr>
          <w:rFonts w:cstheme="minorHAnsi"/>
          <w:b/>
          <w:noProof/>
          <w:sz w:val="24"/>
          <w:szCs w:val="24"/>
        </w:rPr>
        <w:t>383</w:t>
      </w:r>
      <w:r w:rsidRPr="002D3DE0">
        <w:rPr>
          <w:rFonts w:cstheme="minorHAnsi"/>
          <w:noProof/>
          <w:sz w:val="24"/>
          <w:szCs w:val="24"/>
        </w:rPr>
        <w:t>(9923): 1155-1167.</w:t>
      </w:r>
      <w:bookmarkEnd w:id="181"/>
    </w:p>
    <w:p w:rsidR="008F0C0F" w:rsidRPr="002D3DE0" w:rsidRDefault="008F0C0F" w:rsidP="002D3DE0">
      <w:pPr>
        <w:spacing w:before="240" w:after="0"/>
        <w:jc w:val="both"/>
        <w:rPr>
          <w:rFonts w:cstheme="minorHAnsi"/>
          <w:noProof/>
          <w:sz w:val="24"/>
          <w:szCs w:val="24"/>
        </w:rPr>
      </w:pPr>
      <w:bookmarkStart w:id="182" w:name="_ENREF_114"/>
      <w:r w:rsidRPr="002D3DE0">
        <w:rPr>
          <w:rFonts w:cstheme="minorHAnsi"/>
          <w:noProof/>
          <w:sz w:val="24"/>
          <w:szCs w:val="24"/>
        </w:rPr>
        <w:t xml:space="preserve">Vandesompele, J., K. De Preter, F. Pattyn, B. Poppe, N. Van Roy, A. De Paepe a F. Speleman "Accurate normalization of real-time quantitative RT-PCR data by geometric averaging of multiple internal control genes." </w:t>
      </w:r>
      <w:r w:rsidRPr="002D3DE0">
        <w:rPr>
          <w:rFonts w:cstheme="minorHAnsi"/>
          <w:noProof/>
          <w:sz w:val="24"/>
          <w:szCs w:val="24"/>
          <w:u w:val="single"/>
        </w:rPr>
        <w:t>Genome Biology</w:t>
      </w:r>
      <w:r w:rsidRPr="002D3DE0">
        <w:rPr>
          <w:rFonts w:cstheme="minorHAnsi"/>
          <w:noProof/>
          <w:sz w:val="24"/>
          <w:szCs w:val="24"/>
        </w:rPr>
        <w:t xml:space="preserve"> </w:t>
      </w:r>
      <w:r w:rsidR="006649F3">
        <w:rPr>
          <w:rFonts w:cstheme="minorHAnsi"/>
          <w:noProof/>
          <w:sz w:val="24"/>
          <w:szCs w:val="24"/>
        </w:rPr>
        <w:t xml:space="preserve">2002; </w:t>
      </w:r>
      <w:r w:rsidRPr="002D3DE0">
        <w:rPr>
          <w:rFonts w:cstheme="minorHAnsi"/>
          <w:b/>
          <w:noProof/>
          <w:sz w:val="24"/>
          <w:szCs w:val="24"/>
        </w:rPr>
        <w:t>3</w:t>
      </w:r>
      <w:r w:rsidRPr="002D3DE0">
        <w:rPr>
          <w:rFonts w:cstheme="minorHAnsi"/>
          <w:noProof/>
          <w:sz w:val="24"/>
          <w:szCs w:val="24"/>
        </w:rPr>
        <w:t>(7): 1-12.</w:t>
      </w:r>
      <w:bookmarkEnd w:id="182"/>
    </w:p>
    <w:p w:rsidR="008F0C0F" w:rsidRPr="002D3DE0" w:rsidRDefault="008F0C0F" w:rsidP="002D3DE0">
      <w:pPr>
        <w:spacing w:before="240" w:after="0"/>
        <w:jc w:val="both"/>
        <w:rPr>
          <w:rFonts w:cstheme="minorHAnsi"/>
          <w:noProof/>
          <w:sz w:val="24"/>
          <w:szCs w:val="24"/>
        </w:rPr>
      </w:pPr>
      <w:bookmarkStart w:id="183" w:name="_ENREF_115"/>
      <w:r w:rsidRPr="002D3DE0">
        <w:rPr>
          <w:rFonts w:cstheme="minorHAnsi"/>
          <w:noProof/>
          <w:sz w:val="24"/>
          <w:szCs w:val="24"/>
        </w:rPr>
        <w:t xml:space="preserve">Vandesompele, J., K. De Preter, F. Pattyn, B. Poppe, N. Van Roy, A. De Paepe a F. Speleman "Accurate normalization of real-time quantitative RT-PCR data by geometric averaging of multiple internal control genes." </w:t>
      </w:r>
      <w:r w:rsidRPr="002D3DE0">
        <w:rPr>
          <w:rFonts w:cstheme="minorHAnsi"/>
          <w:noProof/>
          <w:sz w:val="24"/>
          <w:szCs w:val="24"/>
          <w:u w:val="single"/>
        </w:rPr>
        <w:t>Genome Biology</w:t>
      </w:r>
      <w:r w:rsidRPr="002D3DE0">
        <w:rPr>
          <w:rFonts w:cstheme="minorHAnsi"/>
          <w:noProof/>
          <w:sz w:val="24"/>
          <w:szCs w:val="24"/>
        </w:rPr>
        <w:t xml:space="preserve"> </w:t>
      </w:r>
      <w:r w:rsidR="006649F3">
        <w:rPr>
          <w:rFonts w:cstheme="minorHAnsi"/>
          <w:noProof/>
          <w:sz w:val="24"/>
          <w:szCs w:val="24"/>
        </w:rPr>
        <w:t xml:space="preserve">2002; </w:t>
      </w:r>
      <w:r w:rsidRPr="002D3DE0">
        <w:rPr>
          <w:rFonts w:cstheme="minorHAnsi"/>
          <w:b/>
          <w:noProof/>
          <w:sz w:val="24"/>
          <w:szCs w:val="24"/>
        </w:rPr>
        <w:t>3</w:t>
      </w:r>
      <w:r w:rsidRPr="002D3DE0">
        <w:rPr>
          <w:rFonts w:cstheme="minorHAnsi"/>
          <w:noProof/>
          <w:sz w:val="24"/>
          <w:szCs w:val="24"/>
        </w:rPr>
        <w:t>, 1-12.</w:t>
      </w:r>
      <w:bookmarkEnd w:id="183"/>
    </w:p>
    <w:p w:rsidR="008F0C0F" w:rsidRPr="002D3DE0" w:rsidRDefault="008F0C0F" w:rsidP="002D3DE0">
      <w:pPr>
        <w:spacing w:before="240" w:after="0"/>
        <w:jc w:val="both"/>
        <w:rPr>
          <w:rFonts w:cstheme="minorHAnsi"/>
          <w:noProof/>
          <w:sz w:val="24"/>
          <w:szCs w:val="24"/>
        </w:rPr>
      </w:pPr>
      <w:bookmarkStart w:id="184" w:name="_ENREF_116"/>
      <w:r w:rsidRPr="002D3DE0">
        <w:rPr>
          <w:rFonts w:cstheme="minorHAnsi"/>
          <w:noProof/>
          <w:sz w:val="24"/>
          <w:szCs w:val="24"/>
        </w:rPr>
        <w:t xml:space="preserve">Vasakova, M., M. Sterclova, L. Kolesar, A. Slavcev, P. Pohunek, J. Sulc, J. Skibova aI. Striz "Bronchoalveolar Lavage Fluid Cellular Characteristics, Functional Parameters and Cytokine a Chemokine Levels in Interstitial Lung Diseases." </w:t>
      </w:r>
      <w:r w:rsidRPr="002D3DE0">
        <w:rPr>
          <w:rFonts w:cstheme="minorHAnsi"/>
          <w:noProof/>
          <w:sz w:val="24"/>
          <w:szCs w:val="24"/>
          <w:u w:val="single"/>
        </w:rPr>
        <w:t>Scandinavian Journal of Immunology</w:t>
      </w:r>
      <w:r w:rsidRPr="002D3DE0">
        <w:rPr>
          <w:rFonts w:cstheme="minorHAnsi"/>
          <w:noProof/>
          <w:sz w:val="24"/>
          <w:szCs w:val="24"/>
        </w:rPr>
        <w:t xml:space="preserve"> </w:t>
      </w:r>
      <w:r w:rsidR="0030127D">
        <w:rPr>
          <w:rFonts w:cstheme="minorHAnsi"/>
          <w:noProof/>
          <w:sz w:val="24"/>
          <w:szCs w:val="24"/>
        </w:rPr>
        <w:t xml:space="preserve">2009; </w:t>
      </w:r>
      <w:r w:rsidRPr="002D3DE0">
        <w:rPr>
          <w:rFonts w:cstheme="minorHAnsi"/>
          <w:b/>
          <w:noProof/>
          <w:sz w:val="24"/>
          <w:szCs w:val="24"/>
        </w:rPr>
        <w:t>69</w:t>
      </w:r>
      <w:r w:rsidRPr="002D3DE0">
        <w:rPr>
          <w:rFonts w:cstheme="minorHAnsi"/>
          <w:noProof/>
          <w:sz w:val="24"/>
          <w:szCs w:val="24"/>
        </w:rPr>
        <w:t>, 268-274.</w:t>
      </w:r>
      <w:bookmarkEnd w:id="184"/>
    </w:p>
    <w:p w:rsidR="008F0C0F" w:rsidRPr="002D3DE0" w:rsidRDefault="008F0C0F" w:rsidP="002D3DE0">
      <w:pPr>
        <w:spacing w:before="240" w:after="0"/>
        <w:jc w:val="both"/>
        <w:rPr>
          <w:rFonts w:cstheme="minorHAnsi"/>
          <w:noProof/>
          <w:sz w:val="24"/>
          <w:szCs w:val="24"/>
        </w:rPr>
      </w:pPr>
      <w:bookmarkStart w:id="185" w:name="_ENREF_117"/>
      <w:r w:rsidRPr="002D3DE0">
        <w:rPr>
          <w:rFonts w:cstheme="minorHAnsi"/>
          <w:noProof/>
          <w:sz w:val="24"/>
          <w:szCs w:val="24"/>
        </w:rPr>
        <w:t xml:space="preserve">Vašáková, M. </w:t>
      </w:r>
      <w:r w:rsidRPr="002D3DE0">
        <w:rPr>
          <w:rFonts w:cstheme="minorHAnsi"/>
          <w:noProof/>
          <w:sz w:val="24"/>
          <w:szCs w:val="24"/>
          <w:u w:val="single"/>
        </w:rPr>
        <w:t>Plicní fibróza: Jak léčit plicní fibrózu?</w:t>
      </w:r>
      <w:r w:rsidRPr="002D3DE0">
        <w:rPr>
          <w:rFonts w:cstheme="minorHAnsi"/>
          <w:noProof/>
          <w:sz w:val="24"/>
          <w:szCs w:val="24"/>
        </w:rPr>
        <w:t xml:space="preserve"> </w:t>
      </w:r>
      <w:r w:rsidR="0030127D">
        <w:rPr>
          <w:rFonts w:cstheme="minorHAnsi"/>
          <w:noProof/>
          <w:sz w:val="24"/>
          <w:szCs w:val="24"/>
        </w:rPr>
        <w:t xml:space="preserve">2010; </w:t>
      </w:r>
      <w:r w:rsidRPr="002D3DE0">
        <w:rPr>
          <w:rFonts w:cstheme="minorHAnsi"/>
          <w:noProof/>
          <w:sz w:val="24"/>
          <w:szCs w:val="24"/>
        </w:rPr>
        <w:t>Olomouc, SOLEN, s.r.o.</w:t>
      </w:r>
      <w:bookmarkEnd w:id="185"/>
    </w:p>
    <w:p w:rsidR="008F0C0F" w:rsidRPr="002D3DE0" w:rsidRDefault="008F0C0F" w:rsidP="002D3DE0">
      <w:pPr>
        <w:spacing w:before="240" w:after="0"/>
        <w:jc w:val="both"/>
        <w:rPr>
          <w:rFonts w:cstheme="minorHAnsi"/>
          <w:noProof/>
          <w:sz w:val="24"/>
          <w:szCs w:val="24"/>
        </w:rPr>
      </w:pPr>
      <w:bookmarkStart w:id="186" w:name="_ENREF_118"/>
      <w:r w:rsidRPr="002D3DE0">
        <w:rPr>
          <w:rFonts w:cstheme="minorHAnsi"/>
          <w:noProof/>
          <w:sz w:val="24"/>
          <w:szCs w:val="24"/>
        </w:rPr>
        <w:t xml:space="preserve">Vašáková, M. "Léčba idiopatické plicní fibrózy v České republice v roce 2015." </w:t>
      </w:r>
      <w:r w:rsidRPr="002D3DE0">
        <w:rPr>
          <w:rFonts w:cstheme="minorHAnsi"/>
          <w:noProof/>
          <w:sz w:val="24"/>
          <w:szCs w:val="24"/>
          <w:u w:val="single"/>
        </w:rPr>
        <w:t>Interní medicína pro praxi</w:t>
      </w:r>
      <w:r w:rsidRPr="002D3DE0">
        <w:rPr>
          <w:rFonts w:cstheme="minorHAnsi"/>
          <w:noProof/>
          <w:sz w:val="24"/>
          <w:szCs w:val="24"/>
        </w:rPr>
        <w:t xml:space="preserve"> </w:t>
      </w:r>
      <w:r w:rsidR="0030127D">
        <w:rPr>
          <w:rFonts w:cstheme="minorHAnsi"/>
          <w:noProof/>
          <w:sz w:val="24"/>
          <w:szCs w:val="24"/>
        </w:rPr>
        <w:t xml:space="preserve">2015; </w:t>
      </w:r>
      <w:r w:rsidRPr="002D3DE0">
        <w:rPr>
          <w:rFonts w:cstheme="minorHAnsi"/>
          <w:b/>
          <w:noProof/>
          <w:sz w:val="24"/>
          <w:szCs w:val="24"/>
        </w:rPr>
        <w:t>17</w:t>
      </w:r>
      <w:r w:rsidRPr="002D3DE0">
        <w:rPr>
          <w:rFonts w:cstheme="minorHAnsi"/>
          <w:noProof/>
          <w:sz w:val="24"/>
          <w:szCs w:val="24"/>
        </w:rPr>
        <w:t>(3): 128-132.</w:t>
      </w:r>
      <w:bookmarkEnd w:id="186"/>
    </w:p>
    <w:p w:rsidR="008F0C0F" w:rsidRPr="002D3DE0" w:rsidRDefault="008F0C0F" w:rsidP="002D3DE0">
      <w:pPr>
        <w:spacing w:before="240" w:after="0"/>
        <w:jc w:val="both"/>
        <w:rPr>
          <w:rFonts w:cstheme="minorHAnsi"/>
          <w:noProof/>
          <w:sz w:val="24"/>
          <w:szCs w:val="24"/>
        </w:rPr>
      </w:pPr>
      <w:bookmarkStart w:id="187" w:name="_ENREF_119"/>
      <w:r w:rsidRPr="002D3DE0">
        <w:rPr>
          <w:rFonts w:cstheme="minorHAnsi"/>
          <w:noProof/>
          <w:sz w:val="24"/>
          <w:szCs w:val="24"/>
        </w:rPr>
        <w:t xml:space="preserve">Wallis, A. a K. Spinks "The diagnosis and management of interstitial lung diseases." </w:t>
      </w:r>
      <w:r w:rsidRPr="002D3DE0">
        <w:rPr>
          <w:rFonts w:cstheme="minorHAnsi"/>
          <w:noProof/>
          <w:sz w:val="24"/>
          <w:szCs w:val="24"/>
          <w:u w:val="single"/>
        </w:rPr>
        <w:t>BMJ</w:t>
      </w:r>
      <w:r w:rsidRPr="002D3DE0">
        <w:rPr>
          <w:rFonts w:cstheme="minorHAnsi"/>
          <w:noProof/>
          <w:sz w:val="24"/>
          <w:szCs w:val="24"/>
        </w:rPr>
        <w:t xml:space="preserve"> </w:t>
      </w:r>
      <w:r w:rsidR="009B3C53">
        <w:rPr>
          <w:rFonts w:cstheme="minorHAnsi"/>
          <w:noProof/>
          <w:sz w:val="24"/>
          <w:szCs w:val="24"/>
        </w:rPr>
        <w:t xml:space="preserve">2015; </w:t>
      </w:r>
      <w:r w:rsidRPr="002D3DE0">
        <w:rPr>
          <w:rFonts w:cstheme="minorHAnsi"/>
          <w:b/>
          <w:noProof/>
          <w:sz w:val="24"/>
          <w:szCs w:val="24"/>
        </w:rPr>
        <w:t>350</w:t>
      </w:r>
      <w:r w:rsidRPr="002D3DE0">
        <w:rPr>
          <w:rFonts w:cstheme="minorHAnsi"/>
          <w:noProof/>
          <w:sz w:val="24"/>
          <w:szCs w:val="24"/>
        </w:rPr>
        <w:t>(17): h2072-h2072.</w:t>
      </w:r>
      <w:bookmarkEnd w:id="187"/>
    </w:p>
    <w:p w:rsidR="008F0C0F" w:rsidRPr="002D3DE0" w:rsidRDefault="008F0C0F" w:rsidP="002D3DE0">
      <w:pPr>
        <w:spacing w:before="240" w:after="0"/>
        <w:jc w:val="both"/>
        <w:rPr>
          <w:rFonts w:cstheme="minorHAnsi"/>
          <w:noProof/>
          <w:sz w:val="24"/>
          <w:szCs w:val="24"/>
        </w:rPr>
      </w:pPr>
      <w:bookmarkStart w:id="188" w:name="_ENREF_120"/>
      <w:r w:rsidRPr="002D3DE0">
        <w:rPr>
          <w:rFonts w:cstheme="minorHAnsi"/>
          <w:noProof/>
          <w:sz w:val="24"/>
          <w:szCs w:val="24"/>
        </w:rPr>
        <w:t xml:space="preserve">Wheelock, Å. M. a C. E. Wheelock "Trials and tribulations of ‘omics data analysis: assessing quality of SIMCA-based multivariate models using examples from pulmonary medicine." </w:t>
      </w:r>
      <w:r w:rsidRPr="002D3DE0">
        <w:rPr>
          <w:rFonts w:cstheme="minorHAnsi"/>
          <w:noProof/>
          <w:sz w:val="24"/>
          <w:szCs w:val="24"/>
          <w:u w:val="single"/>
        </w:rPr>
        <w:t>Molecular BioSystems</w:t>
      </w:r>
      <w:r w:rsidRPr="002D3DE0">
        <w:rPr>
          <w:rFonts w:cstheme="minorHAnsi"/>
          <w:noProof/>
          <w:sz w:val="24"/>
          <w:szCs w:val="24"/>
        </w:rPr>
        <w:t xml:space="preserve"> </w:t>
      </w:r>
      <w:r w:rsidR="009B3C53">
        <w:rPr>
          <w:rFonts w:cstheme="minorHAnsi"/>
          <w:noProof/>
          <w:sz w:val="24"/>
          <w:szCs w:val="24"/>
        </w:rPr>
        <w:t xml:space="preserve">2013; </w:t>
      </w:r>
      <w:r w:rsidRPr="002D3DE0">
        <w:rPr>
          <w:rFonts w:cstheme="minorHAnsi"/>
          <w:b/>
          <w:noProof/>
          <w:sz w:val="24"/>
          <w:szCs w:val="24"/>
        </w:rPr>
        <w:t>9</w:t>
      </w:r>
      <w:r w:rsidRPr="002D3DE0">
        <w:rPr>
          <w:rFonts w:cstheme="minorHAnsi"/>
          <w:noProof/>
          <w:sz w:val="24"/>
          <w:szCs w:val="24"/>
        </w:rPr>
        <w:t>(11): 2589-2596.</w:t>
      </w:r>
      <w:bookmarkEnd w:id="188"/>
    </w:p>
    <w:p w:rsidR="008F0C0F" w:rsidRPr="002D3DE0" w:rsidRDefault="008F0C0F" w:rsidP="002D3DE0">
      <w:pPr>
        <w:spacing w:before="240" w:after="0"/>
        <w:jc w:val="both"/>
        <w:rPr>
          <w:rFonts w:cstheme="minorHAnsi"/>
          <w:noProof/>
          <w:sz w:val="24"/>
          <w:szCs w:val="24"/>
        </w:rPr>
      </w:pPr>
      <w:bookmarkStart w:id="189" w:name="_ENREF_121"/>
      <w:r w:rsidRPr="002D3DE0">
        <w:rPr>
          <w:rFonts w:cstheme="minorHAnsi"/>
          <w:noProof/>
          <w:sz w:val="24"/>
          <w:szCs w:val="24"/>
        </w:rPr>
        <w:t xml:space="preserve">Witwer, K. W., E. I. Buzás, L. T. Bemis, A. Bora, C. Lässer, J. Lötvall, E. N. Nolte-´t Hoen, M. G. Piper, S. Sivaraman, J. Skog, C. Théry, M. H. Wauben and F. Hochberg "Standardization of sample collection, isolation and analysis methods in extracellular vesicle research." </w:t>
      </w:r>
      <w:r w:rsidRPr="002D3DE0">
        <w:rPr>
          <w:rFonts w:cstheme="minorHAnsi"/>
          <w:noProof/>
          <w:sz w:val="24"/>
          <w:szCs w:val="24"/>
          <w:u w:val="single"/>
        </w:rPr>
        <w:t>Journal of Extracellular Vesicles</w:t>
      </w:r>
      <w:r w:rsidR="007D34AF" w:rsidRPr="002D3DE0">
        <w:rPr>
          <w:rFonts w:cstheme="minorHAnsi"/>
          <w:noProof/>
          <w:sz w:val="24"/>
          <w:szCs w:val="24"/>
        </w:rPr>
        <w:t xml:space="preserve"> 2013; </w:t>
      </w:r>
      <w:r w:rsidRPr="002D3DE0">
        <w:rPr>
          <w:rFonts w:cstheme="minorHAnsi"/>
          <w:noProof/>
          <w:sz w:val="24"/>
          <w:szCs w:val="24"/>
        </w:rPr>
        <w:t>(2): 1-25.</w:t>
      </w:r>
      <w:bookmarkEnd w:id="189"/>
    </w:p>
    <w:p w:rsidR="008F0C0F" w:rsidRPr="002D3DE0" w:rsidRDefault="008F0C0F" w:rsidP="002D3DE0">
      <w:pPr>
        <w:spacing w:before="240" w:after="0"/>
        <w:jc w:val="both"/>
        <w:rPr>
          <w:rFonts w:cstheme="minorHAnsi"/>
          <w:noProof/>
          <w:sz w:val="24"/>
          <w:szCs w:val="24"/>
        </w:rPr>
      </w:pPr>
      <w:bookmarkStart w:id="190" w:name="_ENREF_122"/>
      <w:r w:rsidRPr="002D3DE0">
        <w:rPr>
          <w:rFonts w:cstheme="minorHAnsi"/>
          <w:noProof/>
          <w:sz w:val="24"/>
          <w:szCs w:val="24"/>
        </w:rPr>
        <w:t xml:space="preserve">Wong, M. L. and J. F. Medrano  "Real-time PCR for mRNA quantitation." </w:t>
      </w:r>
      <w:r w:rsidRPr="002D3DE0">
        <w:rPr>
          <w:rFonts w:cstheme="minorHAnsi"/>
          <w:noProof/>
          <w:sz w:val="24"/>
          <w:szCs w:val="24"/>
          <w:u w:val="single"/>
        </w:rPr>
        <w:t>BioTechniques</w:t>
      </w:r>
      <w:r w:rsidRPr="002D3DE0">
        <w:rPr>
          <w:rFonts w:cstheme="minorHAnsi"/>
          <w:noProof/>
          <w:sz w:val="24"/>
          <w:szCs w:val="24"/>
        </w:rPr>
        <w:t xml:space="preserve"> </w:t>
      </w:r>
      <w:r w:rsidR="007D34AF">
        <w:rPr>
          <w:rFonts w:cstheme="minorHAnsi"/>
          <w:noProof/>
          <w:sz w:val="24"/>
          <w:szCs w:val="24"/>
        </w:rPr>
        <w:t xml:space="preserve">2005; </w:t>
      </w:r>
      <w:r w:rsidRPr="002D3DE0">
        <w:rPr>
          <w:rFonts w:cstheme="minorHAnsi"/>
          <w:b/>
          <w:noProof/>
          <w:sz w:val="24"/>
          <w:szCs w:val="24"/>
        </w:rPr>
        <w:t>39</w:t>
      </w:r>
      <w:r w:rsidRPr="002D3DE0">
        <w:rPr>
          <w:rFonts w:cstheme="minorHAnsi"/>
          <w:noProof/>
          <w:sz w:val="24"/>
          <w:szCs w:val="24"/>
        </w:rPr>
        <w:t>(1): 75-85.</w:t>
      </w:r>
      <w:bookmarkEnd w:id="190"/>
    </w:p>
    <w:p w:rsidR="008F0C0F" w:rsidRPr="002D3DE0" w:rsidRDefault="008F0C0F" w:rsidP="002D3DE0">
      <w:pPr>
        <w:spacing w:before="240" w:after="0"/>
        <w:jc w:val="both"/>
        <w:rPr>
          <w:rFonts w:cstheme="minorHAnsi"/>
          <w:noProof/>
          <w:sz w:val="24"/>
          <w:szCs w:val="24"/>
        </w:rPr>
      </w:pPr>
      <w:bookmarkStart w:id="191" w:name="_ENREF_123"/>
      <w:r w:rsidRPr="002D3DE0">
        <w:rPr>
          <w:rFonts w:cstheme="minorHAnsi"/>
          <w:noProof/>
          <w:sz w:val="24"/>
          <w:szCs w:val="24"/>
        </w:rPr>
        <w:lastRenderedPageBreak/>
        <w:t xml:space="preserve">Wu, X., L. Lan, D. M. Wilson, R. T. Marquez, W. C. Tsao, P. Gao, A. Roy, B. A. Turner, P. McDonald, J. A. Tunge, S. A. Rogers, D. A. Dixon, J. Aubé and L. Xu "Identification and validation of novel small molecule disruptors of HuR-mRNA interaction." </w:t>
      </w:r>
      <w:r w:rsidRPr="002D3DE0">
        <w:rPr>
          <w:rFonts w:cstheme="minorHAnsi"/>
          <w:noProof/>
          <w:sz w:val="24"/>
          <w:szCs w:val="24"/>
          <w:u w:val="single"/>
        </w:rPr>
        <w:t>ACS Chemical Biology</w:t>
      </w:r>
      <w:r w:rsidRPr="002D3DE0">
        <w:rPr>
          <w:rFonts w:cstheme="minorHAnsi"/>
          <w:noProof/>
          <w:sz w:val="24"/>
          <w:szCs w:val="24"/>
        </w:rPr>
        <w:t xml:space="preserve"> </w:t>
      </w:r>
      <w:r w:rsidR="00E373D7">
        <w:rPr>
          <w:rFonts w:cstheme="minorHAnsi"/>
          <w:noProof/>
          <w:sz w:val="24"/>
          <w:szCs w:val="24"/>
        </w:rPr>
        <w:t xml:space="preserve">2015; </w:t>
      </w:r>
      <w:r w:rsidRPr="002D3DE0">
        <w:rPr>
          <w:rFonts w:cstheme="minorHAnsi"/>
          <w:b/>
          <w:noProof/>
          <w:sz w:val="24"/>
          <w:szCs w:val="24"/>
        </w:rPr>
        <w:t>10</w:t>
      </w:r>
      <w:r w:rsidRPr="002D3DE0">
        <w:rPr>
          <w:rFonts w:cstheme="minorHAnsi"/>
          <w:noProof/>
          <w:sz w:val="24"/>
          <w:szCs w:val="24"/>
        </w:rPr>
        <w:t>(6): 1476-1484.</w:t>
      </w:r>
      <w:bookmarkEnd w:id="191"/>
    </w:p>
    <w:p w:rsidR="008F0C0F" w:rsidRPr="00A61ED0" w:rsidRDefault="008F0C0F" w:rsidP="002D3DE0">
      <w:pPr>
        <w:spacing w:before="240"/>
        <w:jc w:val="both"/>
        <w:rPr>
          <w:rFonts w:ascii="Calibri" w:hAnsi="Calibri" w:cs="Calibri"/>
          <w:noProof/>
          <w:szCs w:val="24"/>
        </w:rPr>
      </w:pPr>
      <w:bookmarkStart w:id="192" w:name="_ENREF_124"/>
      <w:r w:rsidRPr="002D3DE0">
        <w:rPr>
          <w:rFonts w:cstheme="minorHAnsi"/>
          <w:noProof/>
          <w:sz w:val="24"/>
          <w:szCs w:val="24"/>
        </w:rPr>
        <w:t xml:space="preserve">Yang, M., M. Kohler, T. Heyder, H. Forsslund, H. K. Garberg, R. Karimi, J. Grunewald, F. S. Berven, S. Nyrén, M. S. C. and Å. M. Wheelock "Proteomic profiling of lung immune cells reveals dysregulation of phagocytotic pathways in female-dominated molecular COPD phenotype." </w:t>
      </w:r>
      <w:r w:rsidRPr="002D3DE0">
        <w:rPr>
          <w:rFonts w:cstheme="minorHAnsi"/>
          <w:noProof/>
          <w:sz w:val="24"/>
          <w:szCs w:val="24"/>
          <w:u w:val="single"/>
        </w:rPr>
        <w:t>Respiratory Research</w:t>
      </w:r>
      <w:r w:rsidRPr="002D3DE0">
        <w:rPr>
          <w:rFonts w:cstheme="minorHAnsi"/>
          <w:noProof/>
          <w:sz w:val="24"/>
          <w:szCs w:val="24"/>
        </w:rPr>
        <w:t xml:space="preserve"> </w:t>
      </w:r>
      <w:r w:rsidR="00E373D7">
        <w:rPr>
          <w:rFonts w:cstheme="minorHAnsi"/>
          <w:noProof/>
          <w:sz w:val="24"/>
          <w:szCs w:val="24"/>
        </w:rPr>
        <w:t xml:space="preserve">2018; </w:t>
      </w:r>
      <w:r w:rsidRPr="002D3DE0">
        <w:rPr>
          <w:rFonts w:cstheme="minorHAnsi"/>
          <w:b/>
          <w:noProof/>
          <w:sz w:val="24"/>
          <w:szCs w:val="24"/>
        </w:rPr>
        <w:t>19</w:t>
      </w:r>
      <w:r w:rsidRPr="002D3DE0">
        <w:rPr>
          <w:rFonts w:cstheme="minorHAnsi"/>
          <w:noProof/>
          <w:sz w:val="24"/>
          <w:szCs w:val="24"/>
        </w:rPr>
        <w:t>(1): 1-11.</w:t>
      </w:r>
      <w:bookmarkEnd w:id="192"/>
    </w:p>
    <w:p w:rsidR="00631A60" w:rsidRDefault="00631A60" w:rsidP="00284F89">
      <w:pPr>
        <w:spacing w:line="240" w:lineRule="auto"/>
        <w:jc w:val="both"/>
        <w:rPr>
          <w:rFonts w:ascii="Calibri" w:hAnsi="Calibri" w:cs="Calibri"/>
          <w:noProof/>
          <w:szCs w:val="24"/>
        </w:rPr>
      </w:pPr>
    </w:p>
    <w:p w:rsidR="008F0C0F" w:rsidRPr="00946903" w:rsidRDefault="00E63A59" w:rsidP="00284F89">
      <w:pPr>
        <w:spacing w:line="240" w:lineRule="auto"/>
        <w:jc w:val="both"/>
        <w:rPr>
          <w:rFonts w:ascii="Calibri" w:hAnsi="Calibri" w:cs="Calibri"/>
          <w:b/>
          <w:noProof/>
          <w:sz w:val="24"/>
          <w:szCs w:val="24"/>
        </w:rPr>
      </w:pPr>
      <w:r w:rsidRPr="00946903">
        <w:rPr>
          <w:rFonts w:ascii="Calibri" w:hAnsi="Calibri" w:cs="Calibri"/>
          <w:b/>
          <w:noProof/>
          <w:sz w:val="24"/>
          <w:szCs w:val="24"/>
        </w:rPr>
        <w:t>Internetové odkazy k laboratorním návodům</w:t>
      </w:r>
      <w:r w:rsidR="000A2E91">
        <w:rPr>
          <w:rFonts w:ascii="Calibri" w:hAnsi="Calibri" w:cs="Calibri"/>
          <w:b/>
          <w:noProof/>
          <w:sz w:val="24"/>
          <w:szCs w:val="24"/>
        </w:rPr>
        <w:t xml:space="preserve"> a databázím</w:t>
      </w:r>
      <w:bookmarkStart w:id="193" w:name="_GoBack"/>
      <w:bookmarkEnd w:id="193"/>
      <w:r w:rsidRPr="00946903">
        <w:rPr>
          <w:rFonts w:ascii="Calibri" w:hAnsi="Calibri" w:cs="Calibri"/>
          <w:b/>
          <w:noProof/>
          <w:sz w:val="24"/>
          <w:szCs w:val="24"/>
        </w:rPr>
        <w:t>:</w:t>
      </w:r>
    </w:p>
    <w:p w:rsidR="00854FE8" w:rsidRDefault="00854FE8" w:rsidP="00854FE8">
      <w:pPr>
        <w:rPr>
          <w:sz w:val="24"/>
          <w:szCs w:val="24"/>
        </w:rPr>
      </w:pPr>
      <w:r>
        <w:rPr>
          <w:sz w:val="24"/>
          <w:szCs w:val="24"/>
        </w:rPr>
        <w:t xml:space="preserve">Databáze miRSystem dostupná z: </w:t>
      </w:r>
      <w:r w:rsidRPr="00854FE8">
        <w:rPr>
          <w:sz w:val="24"/>
          <w:szCs w:val="24"/>
        </w:rPr>
        <w:t>http://mirsystem.cgm.ntu.edu.tw/</w:t>
      </w:r>
    </w:p>
    <w:p w:rsidR="00823872" w:rsidRDefault="00631A60" w:rsidP="00E63A59">
      <w:pPr>
        <w:jc w:val="both"/>
        <w:rPr>
          <w:rFonts w:cstheme="minorHAnsi"/>
          <w:sz w:val="24"/>
          <w:szCs w:val="24"/>
        </w:rPr>
      </w:pPr>
      <w:r w:rsidRPr="00C87449">
        <w:rPr>
          <w:rFonts w:cstheme="minorHAnsi"/>
          <w:sz w:val="24"/>
          <w:szCs w:val="24"/>
        </w:rPr>
        <w:t>Introduction to flow cytometry: A Learning guide, © 2002</w:t>
      </w:r>
      <w:r>
        <w:rPr>
          <w:rFonts w:cstheme="minorHAnsi"/>
          <w:sz w:val="24"/>
          <w:szCs w:val="24"/>
        </w:rPr>
        <w:t xml:space="preserve"> </w:t>
      </w:r>
      <w:r w:rsidRPr="00C87449">
        <w:rPr>
          <w:rFonts w:cstheme="minorHAnsi"/>
          <w:sz w:val="24"/>
          <w:szCs w:val="24"/>
        </w:rPr>
        <w:t>Becton, Dicinson Company</w:t>
      </w:r>
      <w:r>
        <w:rPr>
          <w:rFonts w:cstheme="minorHAnsi"/>
          <w:sz w:val="24"/>
          <w:szCs w:val="24"/>
        </w:rPr>
        <w:t xml:space="preserve"> dostupné z: </w:t>
      </w:r>
      <w:r w:rsidR="00823872" w:rsidRPr="00823872">
        <w:rPr>
          <w:rFonts w:cstheme="minorHAnsi"/>
          <w:sz w:val="24"/>
          <w:szCs w:val="24"/>
        </w:rPr>
        <w:t>https://</w:t>
      </w:r>
      <w:proofErr w:type="gramStart"/>
      <w:r w:rsidR="00823872" w:rsidRPr="00823872">
        <w:rPr>
          <w:rFonts w:cstheme="minorHAnsi"/>
          <w:sz w:val="24"/>
          <w:szCs w:val="24"/>
        </w:rPr>
        <w:t>www</w:t>
      </w:r>
      <w:proofErr w:type="gramEnd"/>
      <w:r w:rsidR="00823872" w:rsidRPr="00823872">
        <w:rPr>
          <w:rFonts w:cstheme="minorHAnsi"/>
          <w:sz w:val="24"/>
          <w:szCs w:val="24"/>
        </w:rPr>
        <w:t>.</w:t>
      </w:r>
      <w:proofErr w:type="gramStart"/>
      <w:r w:rsidR="00823872" w:rsidRPr="00823872">
        <w:rPr>
          <w:rFonts w:cstheme="minorHAnsi"/>
          <w:sz w:val="24"/>
          <w:szCs w:val="24"/>
        </w:rPr>
        <w:t>bu</w:t>
      </w:r>
      <w:proofErr w:type="gramEnd"/>
      <w:r w:rsidR="00823872" w:rsidRPr="00823872">
        <w:rPr>
          <w:rFonts w:cstheme="minorHAnsi"/>
          <w:sz w:val="24"/>
          <w:szCs w:val="24"/>
        </w:rPr>
        <w:t>.edu/flow-cytometry/files/2010/10/BD-Flow-Cytom-Learning-Guide.pdf</w:t>
      </w:r>
      <w:r w:rsidRPr="00631A60">
        <w:rPr>
          <w:rFonts w:cstheme="minorHAnsi"/>
          <w:sz w:val="24"/>
          <w:szCs w:val="24"/>
        </w:rPr>
        <w:t xml:space="preserve"> </w:t>
      </w:r>
    </w:p>
    <w:p w:rsidR="00854FE8" w:rsidRDefault="00854FE8" w:rsidP="00854FE8">
      <w:pPr>
        <w:jc w:val="both"/>
        <w:rPr>
          <w:rFonts w:cstheme="minorHAnsi"/>
          <w:sz w:val="24"/>
          <w:szCs w:val="24"/>
        </w:rPr>
      </w:pPr>
      <w:r w:rsidRPr="00631A60">
        <w:rPr>
          <w:rFonts w:cstheme="minorHAnsi"/>
          <w:sz w:val="24"/>
          <w:szCs w:val="24"/>
        </w:rPr>
        <w:t>Rotor-Gene® Q MDx User Manual, 2010</w:t>
      </w:r>
      <w:r>
        <w:rPr>
          <w:rFonts w:cstheme="minorHAnsi"/>
          <w:sz w:val="24"/>
          <w:szCs w:val="24"/>
        </w:rPr>
        <w:t xml:space="preserve">, Hilden dostupné z: </w:t>
      </w:r>
      <w:r w:rsidRPr="00631A60">
        <w:rPr>
          <w:rFonts w:cstheme="minorHAnsi"/>
          <w:sz w:val="24"/>
          <w:szCs w:val="24"/>
        </w:rPr>
        <w:t>https://www.qiagen.com/kr/resources/download.aspx?id=3a8376b5-a48d-4f29-8c0a-d116cd06f10d&amp;lang=en</w:t>
      </w:r>
    </w:p>
    <w:p w:rsidR="009D79EE" w:rsidRDefault="00823872" w:rsidP="00E63A59">
      <w:pPr>
        <w:jc w:val="both"/>
        <w:rPr>
          <w:rFonts w:cstheme="minorHAnsi"/>
          <w:sz w:val="24"/>
          <w:szCs w:val="24"/>
        </w:rPr>
      </w:pPr>
      <w:r w:rsidRPr="00E663BF">
        <w:rPr>
          <w:rFonts w:cstheme="minorHAnsi"/>
          <w:sz w:val="24"/>
          <w:szCs w:val="24"/>
        </w:rPr>
        <w:t>Universal Probe</w:t>
      </w:r>
      <w:r>
        <w:rPr>
          <w:rFonts w:cstheme="minorHAnsi"/>
          <w:sz w:val="24"/>
          <w:szCs w:val="24"/>
        </w:rPr>
        <w:t xml:space="preserve"> </w:t>
      </w:r>
      <w:r w:rsidRPr="00E663BF">
        <w:rPr>
          <w:rFonts w:cstheme="minorHAnsi"/>
          <w:sz w:val="24"/>
          <w:szCs w:val="24"/>
        </w:rPr>
        <w:t>Library; Roche Applied Science, Indianapolis, USA</w:t>
      </w:r>
      <w:r w:rsidRPr="00C87449">
        <w:rPr>
          <w:rFonts w:cstheme="minorHAnsi"/>
          <w:sz w:val="24"/>
          <w:szCs w:val="24"/>
        </w:rPr>
        <w:t xml:space="preserve"> </w:t>
      </w:r>
      <w:r>
        <w:rPr>
          <w:rFonts w:cstheme="minorHAnsi"/>
          <w:sz w:val="24"/>
          <w:szCs w:val="24"/>
        </w:rPr>
        <w:t xml:space="preserve">dostupné z: </w:t>
      </w:r>
      <w:r w:rsidRPr="00823872">
        <w:rPr>
          <w:rFonts w:cstheme="minorHAnsi"/>
          <w:sz w:val="24"/>
          <w:szCs w:val="24"/>
        </w:rPr>
        <w:t xml:space="preserve">https://lifescience.roche.com/en_cz/brands/universal-probe-library.html </w:t>
      </w:r>
    </w:p>
    <w:p w:rsidR="008F0C0F" w:rsidRPr="0062347D" w:rsidRDefault="009D79EE" w:rsidP="00E63A59">
      <w:pPr>
        <w:jc w:val="both"/>
        <w:rPr>
          <w:rFonts w:cstheme="minorHAnsi"/>
          <w:sz w:val="24"/>
          <w:szCs w:val="24"/>
        </w:rPr>
      </w:pPr>
      <w:r w:rsidRPr="009D79EE">
        <w:rPr>
          <w:rFonts w:cstheme="minorHAnsi"/>
          <w:sz w:val="24"/>
          <w:szCs w:val="24"/>
        </w:rPr>
        <w:t>TaqMan microRNA Assay</w:t>
      </w:r>
      <w:r>
        <w:rPr>
          <w:rFonts w:cstheme="minorHAnsi"/>
          <w:sz w:val="24"/>
          <w:szCs w:val="24"/>
        </w:rPr>
        <w:t>,</w:t>
      </w:r>
      <w:r w:rsidRPr="009D79EE">
        <w:rPr>
          <w:rFonts w:cstheme="minorHAnsi"/>
          <w:sz w:val="24"/>
          <w:szCs w:val="24"/>
        </w:rPr>
        <w:t xml:space="preserve"> Applied Biosystem, Thermofisher</w:t>
      </w:r>
      <w:r>
        <w:rPr>
          <w:rFonts w:cstheme="minorHAnsi"/>
          <w:sz w:val="24"/>
          <w:szCs w:val="24"/>
        </w:rPr>
        <w:t xml:space="preserve"> dostupné z: </w:t>
      </w:r>
      <w:r w:rsidRPr="009D79EE">
        <w:rPr>
          <w:rFonts w:cstheme="minorHAnsi"/>
          <w:sz w:val="24"/>
          <w:szCs w:val="24"/>
        </w:rPr>
        <w:t xml:space="preserve">https://assets.thermofisher.com/TFS-Assets/LSG/manuals/4465407_CustomRT-preamp_UG.pdf </w:t>
      </w:r>
      <w:r w:rsidR="008F0C0F" w:rsidRPr="00C87449">
        <w:rPr>
          <w:rFonts w:cstheme="minorHAnsi"/>
          <w:sz w:val="24"/>
          <w:szCs w:val="24"/>
        </w:rPr>
        <w:fldChar w:fldCharType="begin"/>
      </w:r>
      <w:r w:rsidR="008F0C0F" w:rsidRPr="0062347D">
        <w:rPr>
          <w:rFonts w:cstheme="minorHAnsi"/>
          <w:sz w:val="24"/>
          <w:szCs w:val="24"/>
        </w:rPr>
        <w:instrText xml:space="preserve"> ADDIN </w:instrText>
      </w:r>
      <w:r w:rsidR="008F0C0F" w:rsidRPr="00C87449">
        <w:rPr>
          <w:rFonts w:cstheme="minorHAnsi"/>
          <w:sz w:val="24"/>
          <w:szCs w:val="24"/>
        </w:rPr>
        <w:fldChar w:fldCharType="end"/>
      </w:r>
      <w:r w:rsidR="008F0C0F" w:rsidRPr="00C87449">
        <w:rPr>
          <w:rFonts w:cstheme="minorHAnsi"/>
          <w:sz w:val="24"/>
          <w:szCs w:val="24"/>
        </w:rPr>
        <w:fldChar w:fldCharType="begin"/>
      </w:r>
      <w:r w:rsidR="008F0C0F" w:rsidRPr="0062347D">
        <w:rPr>
          <w:rFonts w:cstheme="minorHAnsi"/>
          <w:sz w:val="24"/>
          <w:szCs w:val="24"/>
        </w:rPr>
        <w:instrText xml:space="preserve"> ADDIN </w:instrText>
      </w:r>
      <w:r w:rsidR="008F0C0F" w:rsidRPr="00C87449">
        <w:rPr>
          <w:rFonts w:cstheme="minorHAnsi"/>
          <w:sz w:val="24"/>
          <w:szCs w:val="24"/>
        </w:rPr>
        <w:fldChar w:fldCharType="end"/>
      </w:r>
    </w:p>
    <w:p w:rsidR="00D579F8" w:rsidRDefault="00A40FD3" w:rsidP="00E63A59">
      <w:pPr>
        <w:rPr>
          <w:sz w:val="24"/>
          <w:szCs w:val="24"/>
        </w:rPr>
      </w:pPr>
      <w:r w:rsidRPr="00F603EE">
        <w:rPr>
          <w:sz w:val="24"/>
          <w:szCs w:val="24"/>
        </w:rPr>
        <w:t xml:space="preserve">Transcriptor First Strand cDNA Synthesis Kit, LifeScience, Roche dostupné z: </w:t>
      </w:r>
      <w:r w:rsidR="00854FE8" w:rsidRPr="00854FE8">
        <w:rPr>
          <w:sz w:val="24"/>
          <w:szCs w:val="24"/>
        </w:rPr>
        <w:t>https://lifescience.roche.com/en_cz/products/transcriptor-first-strand-cdna-synthesis-kit.html</w:t>
      </w:r>
    </w:p>
    <w:p w:rsidR="00854FE8" w:rsidRPr="00F603EE" w:rsidRDefault="00854FE8" w:rsidP="00E63A59">
      <w:pPr>
        <w:rPr>
          <w:sz w:val="24"/>
          <w:szCs w:val="24"/>
        </w:rPr>
      </w:pPr>
    </w:p>
    <w:p w:rsidR="00F603EE" w:rsidRDefault="00F603EE" w:rsidP="00E63A59"/>
    <w:sectPr w:rsidR="00F603EE" w:rsidSect="00284F89">
      <w:pgSz w:w="11906" w:h="16838"/>
      <w:pgMar w:top="851"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7C9" w:rsidRDefault="000147C9">
      <w:pPr>
        <w:spacing w:after="0" w:line="240" w:lineRule="auto"/>
      </w:pPr>
      <w:r>
        <w:separator/>
      </w:r>
    </w:p>
  </w:endnote>
  <w:endnote w:type="continuationSeparator" w:id="0">
    <w:p w:rsidR="000147C9" w:rsidRDefault="00014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D60" w:rsidRDefault="006F4D60">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435382"/>
      <w:docPartObj>
        <w:docPartGallery w:val="Page Numbers (Bottom of Page)"/>
        <w:docPartUnique/>
      </w:docPartObj>
    </w:sdtPr>
    <w:sdtContent>
      <w:p w:rsidR="006762FC" w:rsidRDefault="006762FC">
        <w:pPr>
          <w:pStyle w:val="Zpat"/>
          <w:jc w:val="center"/>
        </w:pPr>
      </w:p>
      <w:p w:rsidR="006F4D60" w:rsidRDefault="006F4D60">
        <w:pPr>
          <w:pStyle w:val="Zpat"/>
          <w:jc w:val="center"/>
        </w:pPr>
        <w:r>
          <w:fldChar w:fldCharType="begin"/>
        </w:r>
        <w:r>
          <w:instrText>PAGE   \* MERGEFORMAT</w:instrText>
        </w:r>
        <w:r>
          <w:fldChar w:fldCharType="separate"/>
        </w:r>
        <w:r w:rsidR="000A2E91">
          <w:rPr>
            <w:noProof/>
          </w:rPr>
          <w:t>86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076761"/>
      <w:docPartObj>
        <w:docPartGallery w:val="Page Numbers (Bottom of Page)"/>
        <w:docPartUnique/>
      </w:docPartObj>
    </w:sdtPr>
    <w:sdtContent>
      <w:p w:rsidR="006F4D60" w:rsidRDefault="006F4D60">
        <w:pPr>
          <w:pStyle w:val="Zpat"/>
          <w:jc w:val="center"/>
        </w:pPr>
        <w:r>
          <w:t>13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7C9" w:rsidRDefault="000147C9">
      <w:pPr>
        <w:spacing w:after="0" w:line="240" w:lineRule="auto"/>
      </w:pPr>
      <w:r>
        <w:separator/>
      </w:r>
    </w:p>
  </w:footnote>
  <w:footnote w:type="continuationSeparator" w:id="0">
    <w:p w:rsidR="000147C9" w:rsidRDefault="000147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578"/>
    <w:multiLevelType w:val="multilevel"/>
    <w:tmpl w:val="8C2C0790"/>
    <w:lvl w:ilvl="0">
      <w:start w:val="1"/>
      <w:numFmt w:val="upperLetter"/>
      <w:pStyle w:val="Nadpis1"/>
      <w:suff w:val="space"/>
      <w:lvlText w:val="%1."/>
      <w:lvlJc w:val="left"/>
      <w:pPr>
        <w:ind w:left="680" w:hanging="34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suff w:val="space"/>
      <w:lvlText w:val="%1.%2."/>
      <w:lvlJc w:val="left"/>
      <w:pPr>
        <w:ind w:left="680" w:hanging="34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suff w:val="space"/>
      <w:lvlText w:val="%1.%2.%3."/>
      <w:lvlJc w:val="left"/>
      <w:pPr>
        <w:ind w:left="765" w:hanging="340"/>
      </w:pPr>
      <w:rPr>
        <w:rFonts w:hint="default"/>
        <w:color w:val="auto"/>
      </w:rPr>
    </w:lvl>
    <w:lvl w:ilvl="3">
      <w:start w:val="1"/>
      <w:numFmt w:val="decimal"/>
      <w:pStyle w:val="Nadpis4"/>
      <w:suff w:val="space"/>
      <w:lvlText w:val="%1.%2.%3.%4."/>
      <w:lvlJc w:val="left"/>
      <w:pPr>
        <w:ind w:left="680" w:hanging="340"/>
      </w:pPr>
      <w:rPr>
        <w:rFonts w:hint="default"/>
      </w:rPr>
    </w:lvl>
    <w:lvl w:ilvl="4">
      <w:start w:val="1"/>
      <w:numFmt w:val="lowerLetter"/>
      <w:lvlText w:val="%5."/>
      <w:lvlJc w:val="left"/>
      <w:pPr>
        <w:ind w:left="680" w:hanging="340"/>
      </w:pPr>
      <w:rPr>
        <w:rFonts w:hint="default"/>
      </w:rPr>
    </w:lvl>
    <w:lvl w:ilvl="5">
      <w:start w:val="1"/>
      <w:numFmt w:val="lowerRoman"/>
      <w:lvlText w:val="%6."/>
      <w:lvlJc w:val="right"/>
      <w:pPr>
        <w:ind w:left="680" w:hanging="340"/>
      </w:pPr>
      <w:rPr>
        <w:rFonts w:hint="default"/>
      </w:rPr>
    </w:lvl>
    <w:lvl w:ilvl="6">
      <w:start w:val="1"/>
      <w:numFmt w:val="decimal"/>
      <w:lvlText w:val="%7."/>
      <w:lvlJc w:val="left"/>
      <w:pPr>
        <w:ind w:left="680" w:hanging="340"/>
      </w:pPr>
      <w:rPr>
        <w:rFonts w:hint="default"/>
      </w:rPr>
    </w:lvl>
    <w:lvl w:ilvl="7">
      <w:start w:val="1"/>
      <w:numFmt w:val="lowerLetter"/>
      <w:lvlText w:val="%8."/>
      <w:lvlJc w:val="left"/>
      <w:pPr>
        <w:ind w:left="680" w:hanging="340"/>
      </w:pPr>
      <w:rPr>
        <w:rFonts w:hint="default"/>
      </w:rPr>
    </w:lvl>
    <w:lvl w:ilvl="8">
      <w:start w:val="1"/>
      <w:numFmt w:val="lowerRoman"/>
      <w:lvlText w:val="%9."/>
      <w:lvlJc w:val="right"/>
      <w:pPr>
        <w:ind w:left="680" w:hanging="340"/>
      </w:pPr>
      <w:rPr>
        <w:rFonts w:hint="default"/>
      </w:rPr>
    </w:lvl>
  </w:abstractNum>
  <w:abstractNum w:abstractNumId="1">
    <w:nsid w:val="0FFA207A"/>
    <w:multiLevelType w:val="multilevel"/>
    <w:tmpl w:val="D3F293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503B97"/>
    <w:multiLevelType w:val="hybridMultilevel"/>
    <w:tmpl w:val="EC06272A"/>
    <w:lvl w:ilvl="0" w:tplc="4BC05A98">
      <w:start w:val="1"/>
      <w:numFmt w:val="upperRoman"/>
      <w:pStyle w:val="TableParagraph"/>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CB8546B"/>
    <w:multiLevelType w:val="multilevel"/>
    <w:tmpl w:val="421EFB40"/>
    <w:lvl w:ilvl="0">
      <w:start w:val="1"/>
      <w:numFmt w:val="upperLetter"/>
      <w:lvlText w:val="%1."/>
      <w:lvlJc w:val="right"/>
      <w:pPr>
        <w:ind w:left="432" w:hanging="432"/>
      </w:pPr>
      <w:rPr>
        <w:rFonts w:hint="default"/>
      </w:rPr>
    </w:lvl>
    <w:lvl w:ilvl="1">
      <w:start w:val="1"/>
      <w:numFmt w:val="decimal"/>
      <w:lvlText w:val="%1.%2"/>
      <w:lvlJc w:val="left"/>
      <w:pPr>
        <w:ind w:left="718"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nsid w:val="2E8F6B9A"/>
    <w:multiLevelType w:val="hybridMultilevel"/>
    <w:tmpl w:val="8E8E7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3"/>
    </w:lvlOverride>
  </w:num>
  <w:num w:numId="8">
    <w:abstractNumId w:val="0"/>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F0C0F"/>
    <w:rsid w:val="000038AA"/>
    <w:rsid w:val="000147C9"/>
    <w:rsid w:val="00023C7F"/>
    <w:rsid w:val="00023EA0"/>
    <w:rsid w:val="000315FF"/>
    <w:rsid w:val="00074A91"/>
    <w:rsid w:val="000A2E91"/>
    <w:rsid w:val="000B097D"/>
    <w:rsid w:val="000C2284"/>
    <w:rsid w:val="000C3332"/>
    <w:rsid w:val="000C5873"/>
    <w:rsid w:val="000C67C2"/>
    <w:rsid w:val="000E3ACF"/>
    <w:rsid w:val="000E54F5"/>
    <w:rsid w:val="001019AF"/>
    <w:rsid w:val="0011408B"/>
    <w:rsid w:val="001242EF"/>
    <w:rsid w:val="001441EC"/>
    <w:rsid w:val="001511A4"/>
    <w:rsid w:val="00166BDD"/>
    <w:rsid w:val="00167B85"/>
    <w:rsid w:val="00182227"/>
    <w:rsid w:val="00182784"/>
    <w:rsid w:val="001844AA"/>
    <w:rsid w:val="00186228"/>
    <w:rsid w:val="001C5064"/>
    <w:rsid w:val="001D0370"/>
    <w:rsid w:val="001D42B2"/>
    <w:rsid w:val="00225265"/>
    <w:rsid w:val="00226812"/>
    <w:rsid w:val="00241F3F"/>
    <w:rsid w:val="00284AFD"/>
    <w:rsid w:val="00284F89"/>
    <w:rsid w:val="002A47A4"/>
    <w:rsid w:val="002B4AE8"/>
    <w:rsid w:val="002B6C61"/>
    <w:rsid w:val="002D0A62"/>
    <w:rsid w:val="002D3766"/>
    <w:rsid w:val="002D3DE0"/>
    <w:rsid w:val="002F3CB6"/>
    <w:rsid w:val="0030127D"/>
    <w:rsid w:val="00304D0B"/>
    <w:rsid w:val="00310ED8"/>
    <w:rsid w:val="003142CF"/>
    <w:rsid w:val="00340B65"/>
    <w:rsid w:val="0036389A"/>
    <w:rsid w:val="003749B7"/>
    <w:rsid w:val="003902BE"/>
    <w:rsid w:val="00390B91"/>
    <w:rsid w:val="00392B63"/>
    <w:rsid w:val="00393F26"/>
    <w:rsid w:val="00397F09"/>
    <w:rsid w:val="003C758C"/>
    <w:rsid w:val="003F269C"/>
    <w:rsid w:val="0040308B"/>
    <w:rsid w:val="004030CC"/>
    <w:rsid w:val="004072B9"/>
    <w:rsid w:val="00414D4F"/>
    <w:rsid w:val="00415F8D"/>
    <w:rsid w:val="00436494"/>
    <w:rsid w:val="004654C4"/>
    <w:rsid w:val="0047212B"/>
    <w:rsid w:val="00472F14"/>
    <w:rsid w:val="00481D0B"/>
    <w:rsid w:val="00491976"/>
    <w:rsid w:val="00495FF5"/>
    <w:rsid w:val="004A45C9"/>
    <w:rsid w:val="004A79EE"/>
    <w:rsid w:val="004B244A"/>
    <w:rsid w:val="004B549B"/>
    <w:rsid w:val="004D15AF"/>
    <w:rsid w:val="004D4C8F"/>
    <w:rsid w:val="004E70C9"/>
    <w:rsid w:val="00513663"/>
    <w:rsid w:val="005156A3"/>
    <w:rsid w:val="00520164"/>
    <w:rsid w:val="00523779"/>
    <w:rsid w:val="00555E41"/>
    <w:rsid w:val="0056257B"/>
    <w:rsid w:val="005A3AE1"/>
    <w:rsid w:val="005D2146"/>
    <w:rsid w:val="005D2D8B"/>
    <w:rsid w:val="005D5B58"/>
    <w:rsid w:val="005E77D9"/>
    <w:rsid w:val="005F39D1"/>
    <w:rsid w:val="00631A60"/>
    <w:rsid w:val="006649F3"/>
    <w:rsid w:val="006762FC"/>
    <w:rsid w:val="0068754F"/>
    <w:rsid w:val="006E1304"/>
    <w:rsid w:val="006F4D60"/>
    <w:rsid w:val="006F6E97"/>
    <w:rsid w:val="0070179F"/>
    <w:rsid w:val="00710C05"/>
    <w:rsid w:val="00714A54"/>
    <w:rsid w:val="00714BB7"/>
    <w:rsid w:val="00724EC8"/>
    <w:rsid w:val="007263E7"/>
    <w:rsid w:val="007305DC"/>
    <w:rsid w:val="00734759"/>
    <w:rsid w:val="00735E2A"/>
    <w:rsid w:val="00737BB0"/>
    <w:rsid w:val="0075421C"/>
    <w:rsid w:val="00755C0B"/>
    <w:rsid w:val="00763BCC"/>
    <w:rsid w:val="00764117"/>
    <w:rsid w:val="0078548E"/>
    <w:rsid w:val="00791F43"/>
    <w:rsid w:val="007D34AF"/>
    <w:rsid w:val="008101E3"/>
    <w:rsid w:val="00823872"/>
    <w:rsid w:val="0085129A"/>
    <w:rsid w:val="00854FE8"/>
    <w:rsid w:val="00864363"/>
    <w:rsid w:val="0087309B"/>
    <w:rsid w:val="008773ED"/>
    <w:rsid w:val="008A4F25"/>
    <w:rsid w:val="008D4826"/>
    <w:rsid w:val="008F0C0F"/>
    <w:rsid w:val="008F5B04"/>
    <w:rsid w:val="008F7EBD"/>
    <w:rsid w:val="00907314"/>
    <w:rsid w:val="00914625"/>
    <w:rsid w:val="00927720"/>
    <w:rsid w:val="00946903"/>
    <w:rsid w:val="00946F2D"/>
    <w:rsid w:val="00952F15"/>
    <w:rsid w:val="0096776A"/>
    <w:rsid w:val="00984D03"/>
    <w:rsid w:val="00991EA8"/>
    <w:rsid w:val="009B3C53"/>
    <w:rsid w:val="009C0861"/>
    <w:rsid w:val="009D79EE"/>
    <w:rsid w:val="009E1F73"/>
    <w:rsid w:val="009F1142"/>
    <w:rsid w:val="00A006A4"/>
    <w:rsid w:val="00A11E32"/>
    <w:rsid w:val="00A3572A"/>
    <w:rsid w:val="00A35E86"/>
    <w:rsid w:val="00A40FD3"/>
    <w:rsid w:val="00A5158C"/>
    <w:rsid w:val="00A527C2"/>
    <w:rsid w:val="00A64C8A"/>
    <w:rsid w:val="00A65D5B"/>
    <w:rsid w:val="00A73F45"/>
    <w:rsid w:val="00A75278"/>
    <w:rsid w:val="00A90AA8"/>
    <w:rsid w:val="00AC2433"/>
    <w:rsid w:val="00AC5220"/>
    <w:rsid w:val="00AE5FD3"/>
    <w:rsid w:val="00AF0D6F"/>
    <w:rsid w:val="00AF26F4"/>
    <w:rsid w:val="00AF351A"/>
    <w:rsid w:val="00AF4869"/>
    <w:rsid w:val="00B04E25"/>
    <w:rsid w:val="00B17BB9"/>
    <w:rsid w:val="00B33C4A"/>
    <w:rsid w:val="00B42EDF"/>
    <w:rsid w:val="00B47E75"/>
    <w:rsid w:val="00B83CCC"/>
    <w:rsid w:val="00BD2C05"/>
    <w:rsid w:val="00BE0831"/>
    <w:rsid w:val="00BE6F63"/>
    <w:rsid w:val="00C137AA"/>
    <w:rsid w:val="00C82A64"/>
    <w:rsid w:val="00C93444"/>
    <w:rsid w:val="00CA050B"/>
    <w:rsid w:val="00CA1D24"/>
    <w:rsid w:val="00CB2C0E"/>
    <w:rsid w:val="00CC7E9A"/>
    <w:rsid w:val="00CD76F9"/>
    <w:rsid w:val="00CE202F"/>
    <w:rsid w:val="00CE304F"/>
    <w:rsid w:val="00CF06AF"/>
    <w:rsid w:val="00D04785"/>
    <w:rsid w:val="00D2266F"/>
    <w:rsid w:val="00D378BA"/>
    <w:rsid w:val="00D46780"/>
    <w:rsid w:val="00D47ADA"/>
    <w:rsid w:val="00D51D35"/>
    <w:rsid w:val="00D579F8"/>
    <w:rsid w:val="00D60E1B"/>
    <w:rsid w:val="00D87CEF"/>
    <w:rsid w:val="00DB60C7"/>
    <w:rsid w:val="00DE5D3D"/>
    <w:rsid w:val="00E03F73"/>
    <w:rsid w:val="00E26385"/>
    <w:rsid w:val="00E373D7"/>
    <w:rsid w:val="00E40B14"/>
    <w:rsid w:val="00E40B1B"/>
    <w:rsid w:val="00E4631D"/>
    <w:rsid w:val="00E57D38"/>
    <w:rsid w:val="00E63A59"/>
    <w:rsid w:val="00E671BE"/>
    <w:rsid w:val="00E8054F"/>
    <w:rsid w:val="00E95779"/>
    <w:rsid w:val="00EE2B42"/>
    <w:rsid w:val="00EF6B47"/>
    <w:rsid w:val="00F13E42"/>
    <w:rsid w:val="00F21752"/>
    <w:rsid w:val="00F443E4"/>
    <w:rsid w:val="00F603EE"/>
    <w:rsid w:val="00F61FA2"/>
    <w:rsid w:val="00F706F3"/>
    <w:rsid w:val="00F7098A"/>
    <w:rsid w:val="00F74735"/>
    <w:rsid w:val="00F75533"/>
    <w:rsid w:val="00F85822"/>
    <w:rsid w:val="00F85BBA"/>
    <w:rsid w:val="00F930F8"/>
    <w:rsid w:val="00F93D6D"/>
    <w:rsid w:val="00FB3FC2"/>
    <w:rsid w:val="00FB43BF"/>
    <w:rsid w:val="00FC6ECE"/>
    <w:rsid w:val="00FD1EF3"/>
    <w:rsid w:val="00FF1F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0C0F"/>
  </w:style>
  <w:style w:type="paragraph" w:styleId="Nadpis1">
    <w:name w:val="heading 1"/>
    <w:basedOn w:val="Normln"/>
    <w:next w:val="Normln"/>
    <w:link w:val="Nadpis1Char"/>
    <w:uiPriority w:val="9"/>
    <w:qFormat/>
    <w:rsid w:val="008F0C0F"/>
    <w:pPr>
      <w:keepNext/>
      <w:keepLines/>
      <w:numPr>
        <w:numId w:val="4"/>
      </w:numPr>
      <w:spacing w:before="480" w:after="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8F0C0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dpis3">
    <w:name w:val="heading 3"/>
    <w:basedOn w:val="Normln"/>
    <w:next w:val="Normln"/>
    <w:link w:val="Nadpis3Char"/>
    <w:uiPriority w:val="9"/>
    <w:unhideWhenUsed/>
    <w:qFormat/>
    <w:rsid w:val="008F0C0F"/>
    <w:pPr>
      <w:keepNext/>
      <w:keepLines/>
      <w:numPr>
        <w:ilvl w:val="2"/>
        <w:numId w:val="4"/>
      </w:numPr>
      <w:spacing w:before="200" w:after="0"/>
      <w:ind w:left="680"/>
      <w:outlineLvl w:val="2"/>
    </w:pPr>
    <w:rPr>
      <w:rFonts w:eastAsiaTheme="majorEastAsia" w:cstheme="majorBidi"/>
      <w:b/>
      <w:bCs/>
      <w:color w:val="000000" w:themeColor="text1"/>
      <w:sz w:val="24"/>
    </w:rPr>
  </w:style>
  <w:style w:type="paragraph" w:styleId="Nadpis4">
    <w:name w:val="heading 4"/>
    <w:basedOn w:val="Normln"/>
    <w:next w:val="Normln"/>
    <w:link w:val="Nadpis4Char"/>
    <w:uiPriority w:val="9"/>
    <w:unhideWhenUsed/>
    <w:qFormat/>
    <w:rsid w:val="008F0C0F"/>
    <w:pPr>
      <w:keepNext/>
      <w:keepLines/>
      <w:numPr>
        <w:ilvl w:val="3"/>
        <w:numId w:val="4"/>
      </w:numPr>
      <w:spacing w:before="200" w:after="0"/>
      <w:outlineLvl w:val="3"/>
    </w:pPr>
    <w:rPr>
      <w:rFonts w:eastAsiaTheme="majorEastAsia" w:cstheme="majorBidi"/>
      <w:b/>
      <w:bCs/>
      <w:iCs/>
      <w:sz w:val="24"/>
    </w:rPr>
  </w:style>
  <w:style w:type="paragraph" w:styleId="Nadpis5">
    <w:name w:val="heading 5"/>
    <w:basedOn w:val="Normln"/>
    <w:next w:val="Normln"/>
    <w:link w:val="Nadpis5Char"/>
    <w:uiPriority w:val="9"/>
    <w:semiHidden/>
    <w:unhideWhenUsed/>
    <w:qFormat/>
    <w:rsid w:val="008F0C0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F0C0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F0C0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F0C0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F0C0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0C0F"/>
    <w:rPr>
      <w:rFonts w:eastAsiaTheme="majorEastAsia" w:cstheme="majorBidi"/>
      <w:b/>
      <w:bCs/>
      <w:sz w:val="32"/>
      <w:szCs w:val="28"/>
    </w:rPr>
  </w:style>
  <w:style w:type="character" w:customStyle="1" w:styleId="Nadpis2Char">
    <w:name w:val="Nadpis 2 Char"/>
    <w:basedOn w:val="Standardnpsmoodstavce"/>
    <w:link w:val="Nadpis2"/>
    <w:uiPriority w:val="9"/>
    <w:rsid w:val="008F0C0F"/>
    <w:rPr>
      <w:rFonts w:eastAsiaTheme="majorEastAsia" w:cstheme="majorBidi"/>
      <w:b/>
      <w:bCs/>
      <w:color w:val="000000" w:themeColor="text1"/>
      <w:sz w:val="24"/>
      <w:szCs w:val="26"/>
    </w:rPr>
  </w:style>
  <w:style w:type="character" w:customStyle="1" w:styleId="Nadpis3Char">
    <w:name w:val="Nadpis 3 Char"/>
    <w:basedOn w:val="Standardnpsmoodstavce"/>
    <w:link w:val="Nadpis3"/>
    <w:uiPriority w:val="9"/>
    <w:rsid w:val="008F0C0F"/>
    <w:rPr>
      <w:rFonts w:eastAsiaTheme="majorEastAsia" w:cstheme="majorBidi"/>
      <w:b/>
      <w:bCs/>
      <w:color w:val="000000" w:themeColor="text1"/>
      <w:sz w:val="24"/>
    </w:rPr>
  </w:style>
  <w:style w:type="character" w:customStyle="1" w:styleId="Nadpis4Char">
    <w:name w:val="Nadpis 4 Char"/>
    <w:basedOn w:val="Standardnpsmoodstavce"/>
    <w:link w:val="Nadpis4"/>
    <w:uiPriority w:val="9"/>
    <w:rsid w:val="008F0C0F"/>
    <w:rPr>
      <w:rFonts w:eastAsiaTheme="majorEastAsia" w:cstheme="majorBidi"/>
      <w:b/>
      <w:bCs/>
      <w:iCs/>
      <w:sz w:val="24"/>
    </w:rPr>
  </w:style>
  <w:style w:type="character" w:customStyle="1" w:styleId="Nadpis5Char">
    <w:name w:val="Nadpis 5 Char"/>
    <w:basedOn w:val="Standardnpsmoodstavce"/>
    <w:link w:val="Nadpis5"/>
    <w:uiPriority w:val="9"/>
    <w:semiHidden/>
    <w:rsid w:val="008F0C0F"/>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F0C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F0C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F0C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F0C0F"/>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8F0C0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F0C0F"/>
    <w:rPr>
      <w:rFonts w:ascii="Tahoma" w:hAnsi="Tahoma" w:cs="Tahoma"/>
      <w:sz w:val="16"/>
      <w:szCs w:val="16"/>
    </w:rPr>
  </w:style>
  <w:style w:type="paragraph" w:styleId="Nadpisobsahu">
    <w:name w:val="TOC Heading"/>
    <w:basedOn w:val="Nadpis1"/>
    <w:next w:val="Normln"/>
    <w:uiPriority w:val="39"/>
    <w:semiHidden/>
    <w:unhideWhenUsed/>
    <w:qFormat/>
    <w:rsid w:val="008F0C0F"/>
    <w:pPr>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qFormat/>
    <w:rsid w:val="008F0C0F"/>
    <w:pPr>
      <w:spacing w:after="100"/>
    </w:pPr>
  </w:style>
  <w:style w:type="character" w:styleId="Hypertextovodkaz">
    <w:name w:val="Hyperlink"/>
    <w:basedOn w:val="Standardnpsmoodstavce"/>
    <w:uiPriority w:val="99"/>
    <w:unhideWhenUsed/>
    <w:rsid w:val="008F0C0F"/>
    <w:rPr>
      <w:color w:val="0000FF" w:themeColor="hyperlink"/>
      <w:u w:val="single"/>
    </w:rPr>
  </w:style>
  <w:style w:type="paragraph" w:styleId="Odstavecseseznamem">
    <w:name w:val="List Paragraph"/>
    <w:basedOn w:val="Normln"/>
    <w:uiPriority w:val="34"/>
    <w:qFormat/>
    <w:rsid w:val="008F0C0F"/>
    <w:pPr>
      <w:ind w:left="720"/>
      <w:contextualSpacing/>
    </w:pPr>
  </w:style>
  <w:style w:type="paragraph" w:styleId="Zhlav">
    <w:name w:val="header"/>
    <w:basedOn w:val="Normln"/>
    <w:link w:val="ZhlavChar"/>
    <w:uiPriority w:val="99"/>
    <w:unhideWhenUsed/>
    <w:rsid w:val="008F0C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C0F"/>
  </w:style>
  <w:style w:type="paragraph" w:styleId="Zpat">
    <w:name w:val="footer"/>
    <w:basedOn w:val="Normln"/>
    <w:link w:val="ZpatChar"/>
    <w:uiPriority w:val="99"/>
    <w:unhideWhenUsed/>
    <w:rsid w:val="008F0C0F"/>
    <w:pPr>
      <w:tabs>
        <w:tab w:val="center" w:pos="4536"/>
        <w:tab w:val="right" w:pos="9072"/>
      </w:tabs>
      <w:spacing w:after="0" w:line="240" w:lineRule="auto"/>
    </w:pPr>
  </w:style>
  <w:style w:type="character" w:customStyle="1" w:styleId="ZpatChar">
    <w:name w:val="Zápatí Char"/>
    <w:basedOn w:val="Standardnpsmoodstavce"/>
    <w:link w:val="Zpat"/>
    <w:uiPriority w:val="99"/>
    <w:rsid w:val="008F0C0F"/>
  </w:style>
  <w:style w:type="paragraph" w:styleId="Obsah2">
    <w:name w:val="toc 2"/>
    <w:basedOn w:val="Normln"/>
    <w:next w:val="Normln"/>
    <w:autoRedefine/>
    <w:uiPriority w:val="39"/>
    <w:unhideWhenUsed/>
    <w:qFormat/>
    <w:rsid w:val="008F0C0F"/>
    <w:pPr>
      <w:spacing w:after="100"/>
      <w:ind w:left="220"/>
    </w:pPr>
  </w:style>
  <w:style w:type="paragraph" w:styleId="Normlnweb">
    <w:name w:val="Normal (Web)"/>
    <w:basedOn w:val="Normln"/>
    <w:uiPriority w:val="99"/>
    <w:semiHidden/>
    <w:unhideWhenUsed/>
    <w:rsid w:val="008F0C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8F0C0F"/>
    <w:rPr>
      <w:i/>
      <w:iCs/>
    </w:rPr>
  </w:style>
  <w:style w:type="table" w:styleId="Mkatabulky">
    <w:name w:val="Table Grid"/>
    <w:basedOn w:val="Normlntabulka"/>
    <w:uiPriority w:val="59"/>
    <w:rsid w:val="008F0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Normln"/>
    <w:next w:val="Normln"/>
    <w:uiPriority w:val="37"/>
    <w:unhideWhenUsed/>
    <w:rsid w:val="008F0C0F"/>
  </w:style>
  <w:style w:type="paragraph" w:styleId="Obsah3">
    <w:name w:val="toc 3"/>
    <w:basedOn w:val="Normln"/>
    <w:next w:val="Normln"/>
    <w:autoRedefine/>
    <w:uiPriority w:val="39"/>
    <w:unhideWhenUsed/>
    <w:qFormat/>
    <w:rsid w:val="008F0C0F"/>
    <w:pPr>
      <w:spacing w:after="100"/>
      <w:ind w:left="440"/>
    </w:pPr>
  </w:style>
  <w:style w:type="paragraph" w:styleId="Revize">
    <w:name w:val="Revision"/>
    <w:hidden/>
    <w:uiPriority w:val="99"/>
    <w:semiHidden/>
    <w:rsid w:val="008F0C0F"/>
    <w:pPr>
      <w:spacing w:after="0" w:line="240" w:lineRule="auto"/>
    </w:pPr>
  </w:style>
  <w:style w:type="paragraph" w:styleId="Zkladntext">
    <w:name w:val="Body Text"/>
    <w:basedOn w:val="Normln"/>
    <w:link w:val="ZkladntextChar"/>
    <w:uiPriority w:val="1"/>
    <w:semiHidden/>
    <w:unhideWhenUsed/>
    <w:qFormat/>
    <w:rsid w:val="008F0C0F"/>
    <w:pPr>
      <w:widowControl w:val="0"/>
      <w:autoSpaceDE w:val="0"/>
      <w:autoSpaceDN w:val="0"/>
      <w:spacing w:after="0" w:line="240" w:lineRule="auto"/>
    </w:pPr>
    <w:rPr>
      <w:rFonts w:ascii="Arial" w:eastAsia="Arial" w:hAnsi="Arial" w:cs="Arial"/>
      <w:sz w:val="19"/>
      <w:szCs w:val="19"/>
      <w:lang w:val="en-US"/>
    </w:rPr>
  </w:style>
  <w:style w:type="character" w:customStyle="1" w:styleId="ZkladntextChar">
    <w:name w:val="Základní text Char"/>
    <w:basedOn w:val="Standardnpsmoodstavce"/>
    <w:link w:val="Zkladntext"/>
    <w:uiPriority w:val="1"/>
    <w:semiHidden/>
    <w:rsid w:val="008F0C0F"/>
    <w:rPr>
      <w:rFonts w:ascii="Arial" w:eastAsia="Arial" w:hAnsi="Arial" w:cs="Arial"/>
      <w:sz w:val="19"/>
      <w:szCs w:val="19"/>
      <w:lang w:val="en-US"/>
    </w:rPr>
  </w:style>
  <w:style w:type="paragraph" w:customStyle="1" w:styleId="TableParagraph">
    <w:name w:val="Table Paragraph"/>
    <w:basedOn w:val="Nadpis1"/>
    <w:link w:val="TableParagraphChar"/>
    <w:uiPriority w:val="1"/>
    <w:qFormat/>
    <w:rsid w:val="008F0C0F"/>
    <w:pPr>
      <w:widowControl w:val="0"/>
      <w:numPr>
        <w:numId w:val="3"/>
      </w:numPr>
      <w:autoSpaceDE w:val="0"/>
      <w:autoSpaceDN w:val="0"/>
      <w:spacing w:before="75" w:line="240" w:lineRule="auto"/>
    </w:pPr>
    <w:rPr>
      <w:rFonts w:eastAsia="Arial" w:cs="Arial"/>
      <w:lang w:val="en-US"/>
    </w:rPr>
  </w:style>
  <w:style w:type="character" w:customStyle="1" w:styleId="TableParagraphChar">
    <w:name w:val="Table Paragraph Char"/>
    <w:basedOn w:val="Standardnpsmoodstavce"/>
    <w:link w:val="TableParagraph"/>
    <w:uiPriority w:val="1"/>
    <w:rsid w:val="008F0C0F"/>
    <w:rPr>
      <w:rFonts w:eastAsia="Arial" w:cs="Arial"/>
      <w:b/>
      <w:bCs/>
      <w:sz w:val="32"/>
      <w:szCs w:val="28"/>
      <w:lang w:val="en-US"/>
    </w:rPr>
  </w:style>
  <w:style w:type="table" w:customStyle="1" w:styleId="TableNormal">
    <w:name w:val="Table Normal"/>
    <w:uiPriority w:val="2"/>
    <w:semiHidden/>
    <w:qFormat/>
    <w:rsid w:val="008F0C0F"/>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ch">
    <w:name w:val="ch"/>
    <w:basedOn w:val="Standardnpsmoodstavce"/>
    <w:rsid w:val="008F0C0F"/>
  </w:style>
  <w:style w:type="character" w:customStyle="1" w:styleId="italic">
    <w:name w:val="italic"/>
    <w:basedOn w:val="Standardnpsmoodstavce"/>
    <w:rsid w:val="008F0C0F"/>
  </w:style>
  <w:style w:type="character" w:customStyle="1" w:styleId="titleheading">
    <w:name w:val="title_heading"/>
    <w:basedOn w:val="Standardnpsmoodstavce"/>
    <w:rsid w:val="008F0C0F"/>
  </w:style>
  <w:style w:type="paragraph" w:customStyle="1" w:styleId="headertext">
    <w:name w:val="header_text"/>
    <w:basedOn w:val="Normln"/>
    <w:rsid w:val="008F0C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old">
    <w:name w:val="bold"/>
    <w:basedOn w:val="Standardnpsmoodstavce"/>
    <w:rsid w:val="008F0C0F"/>
  </w:style>
  <w:style w:type="character" w:customStyle="1" w:styleId="supref">
    <w:name w:val="sup_ref"/>
    <w:basedOn w:val="Standardnpsmoodstavce"/>
    <w:rsid w:val="008F0C0F"/>
  </w:style>
  <w:style w:type="character" w:customStyle="1" w:styleId="apple-converted-space">
    <w:name w:val="apple-converted-space"/>
    <w:rsid w:val="008F0C0F"/>
  </w:style>
  <w:style w:type="character" w:customStyle="1" w:styleId="highwire-cite-metadata-doi">
    <w:name w:val="highwire-cite-metadata-doi"/>
    <w:basedOn w:val="Standardnpsmoodstavce"/>
    <w:rsid w:val="008F0C0F"/>
  </w:style>
  <w:style w:type="character" w:customStyle="1" w:styleId="label">
    <w:name w:val="label"/>
    <w:basedOn w:val="Standardnpsmoodstavce"/>
    <w:rsid w:val="008F0C0F"/>
  </w:style>
  <w:style w:type="character" w:customStyle="1" w:styleId="highwire-cite-metadata-date">
    <w:name w:val="highwire-cite-metadata-date"/>
    <w:basedOn w:val="Standardnpsmoodstavce"/>
    <w:rsid w:val="008F0C0F"/>
  </w:style>
  <w:style w:type="character" w:customStyle="1" w:styleId="a">
    <w:name w:val="_"/>
    <w:basedOn w:val="Standardnpsmoodstavce"/>
    <w:rsid w:val="008F0C0F"/>
  </w:style>
  <w:style w:type="paragraph" w:styleId="Obsah4">
    <w:name w:val="toc 4"/>
    <w:basedOn w:val="Normln"/>
    <w:next w:val="Normln"/>
    <w:autoRedefine/>
    <w:uiPriority w:val="39"/>
    <w:unhideWhenUsed/>
    <w:rsid w:val="008F0C0F"/>
    <w:pPr>
      <w:spacing w:after="100"/>
      <w:ind w:left="660"/>
    </w:pPr>
    <w:rPr>
      <w:rFonts w:eastAsiaTheme="minorEastAsia"/>
      <w:lang w:eastAsia="cs-CZ"/>
    </w:rPr>
  </w:style>
  <w:style w:type="paragraph" w:styleId="Obsah5">
    <w:name w:val="toc 5"/>
    <w:basedOn w:val="Normln"/>
    <w:next w:val="Normln"/>
    <w:autoRedefine/>
    <w:uiPriority w:val="39"/>
    <w:unhideWhenUsed/>
    <w:rsid w:val="008F0C0F"/>
    <w:pPr>
      <w:spacing w:after="100"/>
      <w:ind w:left="880"/>
    </w:pPr>
    <w:rPr>
      <w:rFonts w:eastAsiaTheme="minorEastAsia"/>
      <w:lang w:eastAsia="cs-CZ"/>
    </w:rPr>
  </w:style>
  <w:style w:type="paragraph" w:styleId="Obsah6">
    <w:name w:val="toc 6"/>
    <w:basedOn w:val="Normln"/>
    <w:next w:val="Normln"/>
    <w:autoRedefine/>
    <w:uiPriority w:val="39"/>
    <w:unhideWhenUsed/>
    <w:rsid w:val="008F0C0F"/>
    <w:pPr>
      <w:spacing w:after="100"/>
      <w:ind w:left="1100"/>
    </w:pPr>
    <w:rPr>
      <w:rFonts w:eastAsiaTheme="minorEastAsia"/>
      <w:lang w:eastAsia="cs-CZ"/>
    </w:rPr>
  </w:style>
  <w:style w:type="paragraph" w:styleId="Obsah7">
    <w:name w:val="toc 7"/>
    <w:basedOn w:val="Normln"/>
    <w:next w:val="Normln"/>
    <w:autoRedefine/>
    <w:uiPriority w:val="39"/>
    <w:unhideWhenUsed/>
    <w:rsid w:val="008F0C0F"/>
    <w:pPr>
      <w:spacing w:after="100"/>
      <w:ind w:left="1320"/>
    </w:pPr>
    <w:rPr>
      <w:rFonts w:eastAsiaTheme="minorEastAsia"/>
      <w:lang w:eastAsia="cs-CZ"/>
    </w:rPr>
  </w:style>
  <w:style w:type="paragraph" w:styleId="Obsah8">
    <w:name w:val="toc 8"/>
    <w:basedOn w:val="Normln"/>
    <w:next w:val="Normln"/>
    <w:autoRedefine/>
    <w:uiPriority w:val="39"/>
    <w:unhideWhenUsed/>
    <w:rsid w:val="008F0C0F"/>
    <w:pPr>
      <w:spacing w:after="100"/>
      <w:ind w:left="1540"/>
    </w:pPr>
    <w:rPr>
      <w:rFonts w:eastAsiaTheme="minorEastAsia"/>
      <w:lang w:eastAsia="cs-CZ"/>
    </w:rPr>
  </w:style>
  <w:style w:type="paragraph" w:styleId="Obsah9">
    <w:name w:val="toc 9"/>
    <w:basedOn w:val="Normln"/>
    <w:next w:val="Normln"/>
    <w:autoRedefine/>
    <w:uiPriority w:val="39"/>
    <w:unhideWhenUsed/>
    <w:rsid w:val="008F0C0F"/>
    <w:pPr>
      <w:spacing w:after="100"/>
      <w:ind w:left="1760"/>
    </w:pPr>
    <w:rPr>
      <w:rFonts w:eastAsiaTheme="minorEastAsia"/>
      <w:lang w:eastAsia="cs-CZ"/>
    </w:rPr>
  </w:style>
  <w:style w:type="paragraph" w:styleId="Bezmezer">
    <w:name w:val="No Spacing"/>
    <w:uiPriority w:val="1"/>
    <w:qFormat/>
    <w:rsid w:val="008F0C0F"/>
    <w:pPr>
      <w:spacing w:after="0" w:line="240" w:lineRule="auto"/>
    </w:pPr>
    <w:rPr>
      <w:sz w:val="24"/>
    </w:rPr>
  </w:style>
  <w:style w:type="character" w:styleId="Zstupntext">
    <w:name w:val="Placeholder Text"/>
    <w:basedOn w:val="Standardnpsmoodstavce"/>
    <w:uiPriority w:val="99"/>
    <w:semiHidden/>
    <w:rsid w:val="008F0C0F"/>
    <w:rPr>
      <w:color w:val="808080"/>
    </w:rPr>
  </w:style>
  <w:style w:type="character" w:styleId="slodku">
    <w:name w:val="line number"/>
    <w:basedOn w:val="Standardnpsmoodstavce"/>
    <w:uiPriority w:val="99"/>
    <w:semiHidden/>
    <w:unhideWhenUsed/>
    <w:rsid w:val="008F0C0F"/>
  </w:style>
  <w:style w:type="character" w:styleId="Odkaznakoment">
    <w:name w:val="annotation reference"/>
    <w:basedOn w:val="Standardnpsmoodstavce"/>
    <w:uiPriority w:val="99"/>
    <w:semiHidden/>
    <w:unhideWhenUsed/>
    <w:rsid w:val="008F0C0F"/>
    <w:rPr>
      <w:sz w:val="16"/>
      <w:szCs w:val="16"/>
    </w:rPr>
  </w:style>
  <w:style w:type="paragraph" w:styleId="Textkomente">
    <w:name w:val="annotation text"/>
    <w:basedOn w:val="Normln"/>
    <w:link w:val="TextkomenteChar"/>
    <w:uiPriority w:val="99"/>
    <w:semiHidden/>
    <w:unhideWhenUsed/>
    <w:rsid w:val="008F0C0F"/>
    <w:pPr>
      <w:spacing w:line="240" w:lineRule="auto"/>
    </w:pPr>
    <w:rPr>
      <w:sz w:val="20"/>
      <w:szCs w:val="20"/>
    </w:rPr>
  </w:style>
  <w:style w:type="character" w:customStyle="1" w:styleId="TextkomenteChar">
    <w:name w:val="Text komentáře Char"/>
    <w:basedOn w:val="Standardnpsmoodstavce"/>
    <w:link w:val="Textkomente"/>
    <w:uiPriority w:val="99"/>
    <w:semiHidden/>
    <w:rsid w:val="008F0C0F"/>
    <w:rPr>
      <w:sz w:val="20"/>
      <w:szCs w:val="20"/>
    </w:rPr>
  </w:style>
  <w:style w:type="paragraph" w:styleId="Pedmtkomente">
    <w:name w:val="annotation subject"/>
    <w:basedOn w:val="Textkomente"/>
    <w:next w:val="Textkomente"/>
    <w:link w:val="PedmtkomenteChar"/>
    <w:uiPriority w:val="99"/>
    <w:semiHidden/>
    <w:unhideWhenUsed/>
    <w:rsid w:val="008F0C0F"/>
    <w:rPr>
      <w:b/>
      <w:bCs/>
    </w:rPr>
  </w:style>
  <w:style w:type="character" w:customStyle="1" w:styleId="PedmtkomenteChar">
    <w:name w:val="Předmět komentáře Char"/>
    <w:basedOn w:val="TextkomenteChar"/>
    <w:link w:val="Pedmtkomente"/>
    <w:uiPriority w:val="99"/>
    <w:semiHidden/>
    <w:rsid w:val="008F0C0F"/>
    <w:rPr>
      <w:b/>
      <w:bCs/>
      <w:sz w:val="20"/>
      <w:szCs w:val="20"/>
    </w:rPr>
  </w:style>
  <w:style w:type="character" w:customStyle="1" w:styleId="acopre">
    <w:name w:val="acopre"/>
    <w:basedOn w:val="Standardnpsmoodstavce"/>
    <w:rsid w:val="008F0C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0C0F"/>
  </w:style>
  <w:style w:type="paragraph" w:styleId="Nadpis1">
    <w:name w:val="heading 1"/>
    <w:basedOn w:val="Normln"/>
    <w:next w:val="Normln"/>
    <w:link w:val="Nadpis1Char"/>
    <w:uiPriority w:val="9"/>
    <w:qFormat/>
    <w:rsid w:val="008F0C0F"/>
    <w:pPr>
      <w:keepNext/>
      <w:keepLines/>
      <w:numPr>
        <w:numId w:val="4"/>
      </w:numPr>
      <w:spacing w:before="480" w:after="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8F0C0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dpis3">
    <w:name w:val="heading 3"/>
    <w:basedOn w:val="Normln"/>
    <w:next w:val="Normln"/>
    <w:link w:val="Nadpis3Char"/>
    <w:uiPriority w:val="9"/>
    <w:unhideWhenUsed/>
    <w:qFormat/>
    <w:rsid w:val="008F0C0F"/>
    <w:pPr>
      <w:keepNext/>
      <w:keepLines/>
      <w:numPr>
        <w:ilvl w:val="2"/>
        <w:numId w:val="4"/>
      </w:numPr>
      <w:spacing w:before="200" w:after="0"/>
      <w:ind w:left="680"/>
      <w:outlineLvl w:val="2"/>
    </w:pPr>
    <w:rPr>
      <w:rFonts w:eastAsiaTheme="majorEastAsia" w:cstheme="majorBidi"/>
      <w:b/>
      <w:bCs/>
      <w:color w:val="000000" w:themeColor="text1"/>
      <w:sz w:val="24"/>
    </w:rPr>
  </w:style>
  <w:style w:type="paragraph" w:styleId="Nadpis4">
    <w:name w:val="heading 4"/>
    <w:basedOn w:val="Normln"/>
    <w:next w:val="Normln"/>
    <w:link w:val="Nadpis4Char"/>
    <w:uiPriority w:val="9"/>
    <w:unhideWhenUsed/>
    <w:qFormat/>
    <w:rsid w:val="008F0C0F"/>
    <w:pPr>
      <w:keepNext/>
      <w:keepLines/>
      <w:numPr>
        <w:ilvl w:val="3"/>
        <w:numId w:val="4"/>
      </w:numPr>
      <w:spacing w:before="200" w:after="0"/>
      <w:outlineLvl w:val="3"/>
    </w:pPr>
    <w:rPr>
      <w:rFonts w:eastAsiaTheme="majorEastAsia" w:cstheme="majorBidi"/>
      <w:b/>
      <w:bCs/>
      <w:iCs/>
      <w:sz w:val="24"/>
    </w:rPr>
  </w:style>
  <w:style w:type="paragraph" w:styleId="Nadpis5">
    <w:name w:val="heading 5"/>
    <w:basedOn w:val="Normln"/>
    <w:next w:val="Normln"/>
    <w:link w:val="Nadpis5Char"/>
    <w:uiPriority w:val="9"/>
    <w:semiHidden/>
    <w:unhideWhenUsed/>
    <w:qFormat/>
    <w:rsid w:val="008F0C0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F0C0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F0C0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F0C0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F0C0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0C0F"/>
    <w:rPr>
      <w:rFonts w:eastAsiaTheme="majorEastAsia" w:cstheme="majorBidi"/>
      <w:b/>
      <w:bCs/>
      <w:sz w:val="32"/>
      <w:szCs w:val="28"/>
    </w:rPr>
  </w:style>
  <w:style w:type="character" w:customStyle="1" w:styleId="Nadpis2Char">
    <w:name w:val="Nadpis 2 Char"/>
    <w:basedOn w:val="Standardnpsmoodstavce"/>
    <w:link w:val="Nadpis2"/>
    <w:uiPriority w:val="9"/>
    <w:rsid w:val="008F0C0F"/>
    <w:rPr>
      <w:rFonts w:eastAsiaTheme="majorEastAsia" w:cstheme="majorBidi"/>
      <w:b/>
      <w:bCs/>
      <w:color w:val="000000" w:themeColor="text1"/>
      <w:sz w:val="24"/>
      <w:szCs w:val="26"/>
    </w:rPr>
  </w:style>
  <w:style w:type="character" w:customStyle="1" w:styleId="Nadpis3Char">
    <w:name w:val="Nadpis 3 Char"/>
    <w:basedOn w:val="Standardnpsmoodstavce"/>
    <w:link w:val="Nadpis3"/>
    <w:uiPriority w:val="9"/>
    <w:rsid w:val="008F0C0F"/>
    <w:rPr>
      <w:rFonts w:eastAsiaTheme="majorEastAsia" w:cstheme="majorBidi"/>
      <w:b/>
      <w:bCs/>
      <w:color w:val="000000" w:themeColor="text1"/>
      <w:sz w:val="24"/>
    </w:rPr>
  </w:style>
  <w:style w:type="character" w:customStyle="1" w:styleId="Nadpis4Char">
    <w:name w:val="Nadpis 4 Char"/>
    <w:basedOn w:val="Standardnpsmoodstavce"/>
    <w:link w:val="Nadpis4"/>
    <w:uiPriority w:val="9"/>
    <w:rsid w:val="008F0C0F"/>
    <w:rPr>
      <w:rFonts w:eastAsiaTheme="majorEastAsia" w:cstheme="majorBidi"/>
      <w:b/>
      <w:bCs/>
      <w:iCs/>
      <w:sz w:val="24"/>
    </w:rPr>
  </w:style>
  <w:style w:type="character" w:customStyle="1" w:styleId="Nadpis5Char">
    <w:name w:val="Nadpis 5 Char"/>
    <w:basedOn w:val="Standardnpsmoodstavce"/>
    <w:link w:val="Nadpis5"/>
    <w:uiPriority w:val="9"/>
    <w:semiHidden/>
    <w:rsid w:val="008F0C0F"/>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F0C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F0C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F0C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F0C0F"/>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8F0C0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F0C0F"/>
    <w:rPr>
      <w:rFonts w:ascii="Tahoma" w:hAnsi="Tahoma" w:cs="Tahoma"/>
      <w:sz w:val="16"/>
      <w:szCs w:val="16"/>
    </w:rPr>
  </w:style>
  <w:style w:type="paragraph" w:styleId="Nadpisobsahu">
    <w:name w:val="TOC Heading"/>
    <w:basedOn w:val="Nadpis1"/>
    <w:next w:val="Normln"/>
    <w:uiPriority w:val="39"/>
    <w:semiHidden/>
    <w:unhideWhenUsed/>
    <w:qFormat/>
    <w:rsid w:val="008F0C0F"/>
    <w:pPr>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qFormat/>
    <w:rsid w:val="008F0C0F"/>
    <w:pPr>
      <w:spacing w:after="100"/>
    </w:pPr>
  </w:style>
  <w:style w:type="character" w:styleId="Hypertextovodkaz">
    <w:name w:val="Hyperlink"/>
    <w:basedOn w:val="Standardnpsmoodstavce"/>
    <w:uiPriority w:val="99"/>
    <w:unhideWhenUsed/>
    <w:rsid w:val="008F0C0F"/>
    <w:rPr>
      <w:color w:val="0000FF" w:themeColor="hyperlink"/>
      <w:u w:val="single"/>
    </w:rPr>
  </w:style>
  <w:style w:type="paragraph" w:styleId="Odstavecseseznamem">
    <w:name w:val="List Paragraph"/>
    <w:basedOn w:val="Normln"/>
    <w:uiPriority w:val="34"/>
    <w:qFormat/>
    <w:rsid w:val="008F0C0F"/>
    <w:pPr>
      <w:ind w:left="720"/>
      <w:contextualSpacing/>
    </w:pPr>
  </w:style>
  <w:style w:type="paragraph" w:styleId="Zhlav">
    <w:name w:val="header"/>
    <w:basedOn w:val="Normln"/>
    <w:link w:val="ZhlavChar"/>
    <w:uiPriority w:val="99"/>
    <w:unhideWhenUsed/>
    <w:rsid w:val="008F0C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C0F"/>
  </w:style>
  <w:style w:type="paragraph" w:styleId="Zpat">
    <w:name w:val="footer"/>
    <w:basedOn w:val="Normln"/>
    <w:link w:val="ZpatChar"/>
    <w:uiPriority w:val="99"/>
    <w:unhideWhenUsed/>
    <w:rsid w:val="008F0C0F"/>
    <w:pPr>
      <w:tabs>
        <w:tab w:val="center" w:pos="4536"/>
        <w:tab w:val="right" w:pos="9072"/>
      </w:tabs>
      <w:spacing w:after="0" w:line="240" w:lineRule="auto"/>
    </w:pPr>
  </w:style>
  <w:style w:type="character" w:customStyle="1" w:styleId="ZpatChar">
    <w:name w:val="Zápatí Char"/>
    <w:basedOn w:val="Standardnpsmoodstavce"/>
    <w:link w:val="Zpat"/>
    <w:uiPriority w:val="99"/>
    <w:rsid w:val="008F0C0F"/>
  </w:style>
  <w:style w:type="paragraph" w:styleId="Obsah2">
    <w:name w:val="toc 2"/>
    <w:basedOn w:val="Normln"/>
    <w:next w:val="Normln"/>
    <w:autoRedefine/>
    <w:uiPriority w:val="39"/>
    <w:unhideWhenUsed/>
    <w:qFormat/>
    <w:rsid w:val="008F0C0F"/>
    <w:pPr>
      <w:spacing w:after="100"/>
      <w:ind w:left="220"/>
    </w:pPr>
  </w:style>
  <w:style w:type="paragraph" w:styleId="Normlnweb">
    <w:name w:val="Normal (Web)"/>
    <w:basedOn w:val="Normln"/>
    <w:uiPriority w:val="99"/>
    <w:semiHidden/>
    <w:unhideWhenUsed/>
    <w:rsid w:val="008F0C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8F0C0F"/>
    <w:rPr>
      <w:i/>
      <w:iCs/>
    </w:rPr>
  </w:style>
  <w:style w:type="table" w:styleId="Mkatabulky">
    <w:name w:val="Table Grid"/>
    <w:basedOn w:val="Normlntabulka"/>
    <w:uiPriority w:val="59"/>
    <w:rsid w:val="008F0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Normln"/>
    <w:next w:val="Normln"/>
    <w:uiPriority w:val="37"/>
    <w:unhideWhenUsed/>
    <w:rsid w:val="008F0C0F"/>
  </w:style>
  <w:style w:type="paragraph" w:styleId="Obsah3">
    <w:name w:val="toc 3"/>
    <w:basedOn w:val="Normln"/>
    <w:next w:val="Normln"/>
    <w:autoRedefine/>
    <w:uiPriority w:val="39"/>
    <w:unhideWhenUsed/>
    <w:qFormat/>
    <w:rsid w:val="008F0C0F"/>
    <w:pPr>
      <w:spacing w:after="100"/>
      <w:ind w:left="440"/>
    </w:pPr>
  </w:style>
  <w:style w:type="paragraph" w:styleId="Revize">
    <w:name w:val="Revision"/>
    <w:hidden/>
    <w:uiPriority w:val="99"/>
    <w:semiHidden/>
    <w:rsid w:val="008F0C0F"/>
    <w:pPr>
      <w:spacing w:after="0" w:line="240" w:lineRule="auto"/>
    </w:pPr>
  </w:style>
  <w:style w:type="paragraph" w:styleId="Zkladntext">
    <w:name w:val="Body Text"/>
    <w:basedOn w:val="Normln"/>
    <w:link w:val="ZkladntextChar"/>
    <w:uiPriority w:val="1"/>
    <w:semiHidden/>
    <w:unhideWhenUsed/>
    <w:qFormat/>
    <w:rsid w:val="008F0C0F"/>
    <w:pPr>
      <w:widowControl w:val="0"/>
      <w:autoSpaceDE w:val="0"/>
      <w:autoSpaceDN w:val="0"/>
      <w:spacing w:after="0" w:line="240" w:lineRule="auto"/>
    </w:pPr>
    <w:rPr>
      <w:rFonts w:ascii="Arial" w:eastAsia="Arial" w:hAnsi="Arial" w:cs="Arial"/>
      <w:sz w:val="19"/>
      <w:szCs w:val="19"/>
      <w:lang w:val="en-US"/>
    </w:rPr>
  </w:style>
  <w:style w:type="character" w:customStyle="1" w:styleId="ZkladntextChar">
    <w:name w:val="Základní text Char"/>
    <w:basedOn w:val="Standardnpsmoodstavce"/>
    <w:link w:val="Zkladntext"/>
    <w:uiPriority w:val="1"/>
    <w:semiHidden/>
    <w:rsid w:val="008F0C0F"/>
    <w:rPr>
      <w:rFonts w:ascii="Arial" w:eastAsia="Arial" w:hAnsi="Arial" w:cs="Arial"/>
      <w:sz w:val="19"/>
      <w:szCs w:val="19"/>
      <w:lang w:val="en-US"/>
    </w:rPr>
  </w:style>
  <w:style w:type="paragraph" w:customStyle="1" w:styleId="TableParagraph">
    <w:name w:val="Table Paragraph"/>
    <w:basedOn w:val="Nadpis1"/>
    <w:link w:val="TableParagraphChar"/>
    <w:uiPriority w:val="1"/>
    <w:qFormat/>
    <w:rsid w:val="008F0C0F"/>
    <w:pPr>
      <w:widowControl w:val="0"/>
      <w:numPr>
        <w:numId w:val="3"/>
      </w:numPr>
      <w:autoSpaceDE w:val="0"/>
      <w:autoSpaceDN w:val="0"/>
      <w:spacing w:before="75" w:line="240" w:lineRule="auto"/>
    </w:pPr>
    <w:rPr>
      <w:rFonts w:eastAsia="Arial" w:cs="Arial"/>
      <w:lang w:val="en-US"/>
    </w:rPr>
  </w:style>
  <w:style w:type="character" w:customStyle="1" w:styleId="TableParagraphChar">
    <w:name w:val="Table Paragraph Char"/>
    <w:basedOn w:val="Standardnpsmoodstavce"/>
    <w:link w:val="TableParagraph"/>
    <w:uiPriority w:val="1"/>
    <w:rsid w:val="008F0C0F"/>
    <w:rPr>
      <w:rFonts w:eastAsia="Arial" w:cs="Arial"/>
      <w:b/>
      <w:bCs/>
      <w:sz w:val="32"/>
      <w:szCs w:val="28"/>
      <w:lang w:val="en-US"/>
    </w:rPr>
  </w:style>
  <w:style w:type="table" w:customStyle="1" w:styleId="TableNormal">
    <w:name w:val="Table Normal"/>
    <w:uiPriority w:val="2"/>
    <w:semiHidden/>
    <w:qFormat/>
    <w:rsid w:val="008F0C0F"/>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ch">
    <w:name w:val="ch"/>
    <w:basedOn w:val="Standardnpsmoodstavce"/>
    <w:rsid w:val="008F0C0F"/>
  </w:style>
  <w:style w:type="character" w:customStyle="1" w:styleId="italic">
    <w:name w:val="italic"/>
    <w:basedOn w:val="Standardnpsmoodstavce"/>
    <w:rsid w:val="008F0C0F"/>
  </w:style>
  <w:style w:type="character" w:customStyle="1" w:styleId="titleheading">
    <w:name w:val="title_heading"/>
    <w:basedOn w:val="Standardnpsmoodstavce"/>
    <w:rsid w:val="008F0C0F"/>
  </w:style>
  <w:style w:type="paragraph" w:customStyle="1" w:styleId="headertext">
    <w:name w:val="header_text"/>
    <w:basedOn w:val="Normln"/>
    <w:rsid w:val="008F0C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old">
    <w:name w:val="bold"/>
    <w:basedOn w:val="Standardnpsmoodstavce"/>
    <w:rsid w:val="008F0C0F"/>
  </w:style>
  <w:style w:type="character" w:customStyle="1" w:styleId="supref">
    <w:name w:val="sup_ref"/>
    <w:basedOn w:val="Standardnpsmoodstavce"/>
    <w:rsid w:val="008F0C0F"/>
  </w:style>
  <w:style w:type="character" w:customStyle="1" w:styleId="apple-converted-space">
    <w:name w:val="apple-converted-space"/>
    <w:rsid w:val="008F0C0F"/>
  </w:style>
  <w:style w:type="character" w:customStyle="1" w:styleId="highwire-cite-metadata-doi">
    <w:name w:val="highwire-cite-metadata-doi"/>
    <w:basedOn w:val="Standardnpsmoodstavce"/>
    <w:rsid w:val="008F0C0F"/>
  </w:style>
  <w:style w:type="character" w:customStyle="1" w:styleId="label">
    <w:name w:val="label"/>
    <w:basedOn w:val="Standardnpsmoodstavce"/>
    <w:rsid w:val="008F0C0F"/>
  </w:style>
  <w:style w:type="character" w:customStyle="1" w:styleId="highwire-cite-metadata-date">
    <w:name w:val="highwire-cite-metadata-date"/>
    <w:basedOn w:val="Standardnpsmoodstavce"/>
    <w:rsid w:val="008F0C0F"/>
  </w:style>
  <w:style w:type="character" w:customStyle="1" w:styleId="a">
    <w:name w:val="_"/>
    <w:basedOn w:val="Standardnpsmoodstavce"/>
    <w:rsid w:val="008F0C0F"/>
  </w:style>
  <w:style w:type="paragraph" w:styleId="Obsah4">
    <w:name w:val="toc 4"/>
    <w:basedOn w:val="Normln"/>
    <w:next w:val="Normln"/>
    <w:autoRedefine/>
    <w:uiPriority w:val="39"/>
    <w:unhideWhenUsed/>
    <w:rsid w:val="008F0C0F"/>
    <w:pPr>
      <w:spacing w:after="100"/>
      <w:ind w:left="660"/>
    </w:pPr>
    <w:rPr>
      <w:rFonts w:eastAsiaTheme="minorEastAsia"/>
      <w:lang w:eastAsia="cs-CZ"/>
    </w:rPr>
  </w:style>
  <w:style w:type="paragraph" w:styleId="Obsah5">
    <w:name w:val="toc 5"/>
    <w:basedOn w:val="Normln"/>
    <w:next w:val="Normln"/>
    <w:autoRedefine/>
    <w:uiPriority w:val="39"/>
    <w:unhideWhenUsed/>
    <w:rsid w:val="008F0C0F"/>
    <w:pPr>
      <w:spacing w:after="100"/>
      <w:ind w:left="880"/>
    </w:pPr>
    <w:rPr>
      <w:rFonts w:eastAsiaTheme="minorEastAsia"/>
      <w:lang w:eastAsia="cs-CZ"/>
    </w:rPr>
  </w:style>
  <w:style w:type="paragraph" w:styleId="Obsah6">
    <w:name w:val="toc 6"/>
    <w:basedOn w:val="Normln"/>
    <w:next w:val="Normln"/>
    <w:autoRedefine/>
    <w:uiPriority w:val="39"/>
    <w:unhideWhenUsed/>
    <w:rsid w:val="008F0C0F"/>
    <w:pPr>
      <w:spacing w:after="100"/>
      <w:ind w:left="1100"/>
    </w:pPr>
    <w:rPr>
      <w:rFonts w:eastAsiaTheme="minorEastAsia"/>
      <w:lang w:eastAsia="cs-CZ"/>
    </w:rPr>
  </w:style>
  <w:style w:type="paragraph" w:styleId="Obsah7">
    <w:name w:val="toc 7"/>
    <w:basedOn w:val="Normln"/>
    <w:next w:val="Normln"/>
    <w:autoRedefine/>
    <w:uiPriority w:val="39"/>
    <w:unhideWhenUsed/>
    <w:rsid w:val="008F0C0F"/>
    <w:pPr>
      <w:spacing w:after="100"/>
      <w:ind w:left="1320"/>
    </w:pPr>
    <w:rPr>
      <w:rFonts w:eastAsiaTheme="minorEastAsia"/>
      <w:lang w:eastAsia="cs-CZ"/>
    </w:rPr>
  </w:style>
  <w:style w:type="paragraph" w:styleId="Obsah8">
    <w:name w:val="toc 8"/>
    <w:basedOn w:val="Normln"/>
    <w:next w:val="Normln"/>
    <w:autoRedefine/>
    <w:uiPriority w:val="39"/>
    <w:unhideWhenUsed/>
    <w:rsid w:val="008F0C0F"/>
    <w:pPr>
      <w:spacing w:after="100"/>
      <w:ind w:left="1540"/>
    </w:pPr>
    <w:rPr>
      <w:rFonts w:eastAsiaTheme="minorEastAsia"/>
      <w:lang w:eastAsia="cs-CZ"/>
    </w:rPr>
  </w:style>
  <w:style w:type="paragraph" w:styleId="Obsah9">
    <w:name w:val="toc 9"/>
    <w:basedOn w:val="Normln"/>
    <w:next w:val="Normln"/>
    <w:autoRedefine/>
    <w:uiPriority w:val="39"/>
    <w:unhideWhenUsed/>
    <w:rsid w:val="008F0C0F"/>
    <w:pPr>
      <w:spacing w:after="100"/>
      <w:ind w:left="1760"/>
    </w:pPr>
    <w:rPr>
      <w:rFonts w:eastAsiaTheme="minorEastAsia"/>
      <w:lang w:eastAsia="cs-CZ"/>
    </w:rPr>
  </w:style>
  <w:style w:type="paragraph" w:styleId="Bezmezer">
    <w:name w:val="No Spacing"/>
    <w:uiPriority w:val="1"/>
    <w:qFormat/>
    <w:rsid w:val="008F0C0F"/>
    <w:pPr>
      <w:spacing w:after="0" w:line="240" w:lineRule="auto"/>
    </w:pPr>
    <w:rPr>
      <w:sz w:val="24"/>
    </w:rPr>
  </w:style>
  <w:style w:type="character" w:styleId="Zstupntext">
    <w:name w:val="Placeholder Text"/>
    <w:basedOn w:val="Standardnpsmoodstavce"/>
    <w:uiPriority w:val="99"/>
    <w:semiHidden/>
    <w:rsid w:val="008F0C0F"/>
    <w:rPr>
      <w:color w:val="808080"/>
    </w:rPr>
  </w:style>
  <w:style w:type="character" w:styleId="slodku">
    <w:name w:val="line number"/>
    <w:basedOn w:val="Standardnpsmoodstavce"/>
    <w:uiPriority w:val="99"/>
    <w:semiHidden/>
    <w:unhideWhenUsed/>
    <w:rsid w:val="008F0C0F"/>
  </w:style>
  <w:style w:type="character" w:styleId="Odkaznakoment">
    <w:name w:val="annotation reference"/>
    <w:basedOn w:val="Standardnpsmoodstavce"/>
    <w:uiPriority w:val="99"/>
    <w:semiHidden/>
    <w:unhideWhenUsed/>
    <w:rsid w:val="008F0C0F"/>
    <w:rPr>
      <w:sz w:val="16"/>
      <w:szCs w:val="16"/>
    </w:rPr>
  </w:style>
  <w:style w:type="paragraph" w:styleId="Textkomente">
    <w:name w:val="annotation text"/>
    <w:basedOn w:val="Normln"/>
    <w:link w:val="TextkomenteChar"/>
    <w:uiPriority w:val="99"/>
    <w:semiHidden/>
    <w:unhideWhenUsed/>
    <w:rsid w:val="008F0C0F"/>
    <w:pPr>
      <w:spacing w:line="240" w:lineRule="auto"/>
    </w:pPr>
    <w:rPr>
      <w:sz w:val="20"/>
      <w:szCs w:val="20"/>
    </w:rPr>
  </w:style>
  <w:style w:type="character" w:customStyle="1" w:styleId="TextkomenteChar">
    <w:name w:val="Text komentáře Char"/>
    <w:basedOn w:val="Standardnpsmoodstavce"/>
    <w:link w:val="Textkomente"/>
    <w:uiPriority w:val="99"/>
    <w:semiHidden/>
    <w:rsid w:val="008F0C0F"/>
    <w:rPr>
      <w:sz w:val="20"/>
      <w:szCs w:val="20"/>
    </w:rPr>
  </w:style>
  <w:style w:type="paragraph" w:styleId="Pedmtkomente">
    <w:name w:val="annotation subject"/>
    <w:basedOn w:val="Textkomente"/>
    <w:next w:val="Textkomente"/>
    <w:link w:val="PedmtkomenteChar"/>
    <w:uiPriority w:val="99"/>
    <w:semiHidden/>
    <w:unhideWhenUsed/>
    <w:rsid w:val="008F0C0F"/>
    <w:rPr>
      <w:b/>
      <w:bCs/>
    </w:rPr>
  </w:style>
  <w:style w:type="character" w:customStyle="1" w:styleId="PedmtkomenteChar">
    <w:name w:val="Předmět komentáře Char"/>
    <w:basedOn w:val="TextkomenteChar"/>
    <w:link w:val="Pedmtkomente"/>
    <w:uiPriority w:val="99"/>
    <w:semiHidden/>
    <w:rsid w:val="008F0C0F"/>
    <w:rPr>
      <w:b/>
      <w:bCs/>
      <w:sz w:val="20"/>
      <w:szCs w:val="20"/>
    </w:rPr>
  </w:style>
  <w:style w:type="character" w:customStyle="1" w:styleId="acopre">
    <w:name w:val="acopre"/>
    <w:basedOn w:val="Standardnpsmoodstavce"/>
    <w:rsid w:val="008F0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1068</TotalTime>
  <Pages>86</Pages>
  <Words>22072</Words>
  <Characters>130225</Characters>
  <Application>Microsoft Office Word</Application>
  <DocSecurity>0</DocSecurity>
  <Lines>1085</Lines>
  <Paragraphs>303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151994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kechup@centrum.cz</dc:creator>
  <cp:lastModifiedBy>kechup@centrum.cz</cp:lastModifiedBy>
  <cp:revision>82</cp:revision>
  <dcterms:created xsi:type="dcterms:W3CDTF">2021-03-28T09:44:00Z</dcterms:created>
  <dcterms:modified xsi:type="dcterms:W3CDTF">2021-04-22T06:26:00Z</dcterms:modified>
</cp:coreProperties>
</file>