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532A" w14:textId="77777777" w:rsidR="00D7638E" w:rsidRPr="00DF5C65" w:rsidRDefault="006E5B49" w:rsidP="00667085">
      <w:pPr>
        <w:spacing w:line="360" w:lineRule="auto"/>
        <w:jc w:val="center"/>
        <w:rPr>
          <w:rFonts w:cs="Arial"/>
          <w:b/>
          <w:sz w:val="32"/>
          <w:szCs w:val="36"/>
        </w:rPr>
      </w:pPr>
      <w:bookmarkStart w:id="0" w:name="_Toc336697285"/>
      <w:bookmarkStart w:id="1" w:name="_Toc336697411"/>
      <w:r w:rsidRPr="00DF5C65">
        <w:rPr>
          <w:rFonts w:cs="Arial"/>
          <w:b/>
          <w:sz w:val="32"/>
          <w:szCs w:val="36"/>
        </w:rPr>
        <w:t>Univerzita Palackého v Olomouci</w:t>
      </w:r>
      <w:bookmarkEnd w:id="0"/>
      <w:bookmarkEnd w:id="1"/>
    </w:p>
    <w:p w14:paraId="6F544247" w14:textId="77777777" w:rsidR="006E5B49" w:rsidRPr="00DF5C65" w:rsidRDefault="006E5B49" w:rsidP="007E185C">
      <w:pPr>
        <w:spacing w:line="360" w:lineRule="auto"/>
        <w:jc w:val="center"/>
        <w:rPr>
          <w:rFonts w:cs="Arial"/>
          <w:b/>
          <w:sz w:val="32"/>
          <w:szCs w:val="36"/>
        </w:rPr>
      </w:pPr>
      <w:bookmarkStart w:id="2" w:name="_Toc336697286"/>
      <w:bookmarkStart w:id="3" w:name="_Toc336697412"/>
      <w:r w:rsidRPr="00DF5C65">
        <w:rPr>
          <w:rFonts w:cs="Arial"/>
          <w:b/>
          <w:sz w:val="32"/>
          <w:szCs w:val="36"/>
        </w:rPr>
        <w:t>Právnická fakulta</w:t>
      </w:r>
      <w:bookmarkEnd w:id="2"/>
      <w:bookmarkEnd w:id="3"/>
    </w:p>
    <w:p w14:paraId="0E7F9DB3" w14:textId="77777777" w:rsidR="006E5B49" w:rsidRPr="00DF5C65" w:rsidRDefault="006E5B49" w:rsidP="00667085">
      <w:pPr>
        <w:spacing w:line="360" w:lineRule="auto"/>
        <w:jc w:val="center"/>
        <w:rPr>
          <w:rFonts w:cs="Arial"/>
          <w:b/>
          <w:sz w:val="36"/>
          <w:szCs w:val="36"/>
        </w:rPr>
      </w:pPr>
    </w:p>
    <w:p w14:paraId="50D191E6" w14:textId="77777777" w:rsidR="00050C03" w:rsidRPr="00DF5C65" w:rsidRDefault="00050C03" w:rsidP="00667085">
      <w:pPr>
        <w:spacing w:line="360" w:lineRule="auto"/>
        <w:jc w:val="center"/>
        <w:rPr>
          <w:rFonts w:cs="Arial"/>
          <w:b/>
          <w:sz w:val="36"/>
          <w:szCs w:val="36"/>
        </w:rPr>
      </w:pPr>
    </w:p>
    <w:p w14:paraId="12D71566" w14:textId="77777777" w:rsidR="00050C03" w:rsidRPr="00DF5C65" w:rsidRDefault="00050C03" w:rsidP="00667085">
      <w:pPr>
        <w:spacing w:line="360" w:lineRule="auto"/>
        <w:jc w:val="center"/>
        <w:rPr>
          <w:rFonts w:cs="Arial"/>
          <w:b/>
          <w:sz w:val="36"/>
          <w:szCs w:val="36"/>
        </w:rPr>
      </w:pPr>
    </w:p>
    <w:p w14:paraId="605CB2A9" w14:textId="77777777" w:rsidR="00050C03" w:rsidRPr="00DF5C65" w:rsidRDefault="00050C03" w:rsidP="00667085">
      <w:pPr>
        <w:spacing w:line="360" w:lineRule="auto"/>
        <w:jc w:val="center"/>
        <w:rPr>
          <w:rFonts w:cs="Arial"/>
          <w:b/>
          <w:sz w:val="36"/>
          <w:szCs w:val="36"/>
        </w:rPr>
      </w:pPr>
    </w:p>
    <w:p w14:paraId="5F3ED79B" w14:textId="77777777" w:rsidR="006E5B49" w:rsidRPr="00DF5C65" w:rsidRDefault="0019576A" w:rsidP="00667085">
      <w:pPr>
        <w:spacing w:line="360" w:lineRule="auto"/>
        <w:jc w:val="center"/>
        <w:rPr>
          <w:rFonts w:cs="Arial"/>
          <w:b/>
          <w:sz w:val="32"/>
          <w:szCs w:val="36"/>
        </w:rPr>
      </w:pPr>
      <w:r w:rsidRPr="00DF5C65">
        <w:rPr>
          <w:rFonts w:cs="Arial"/>
          <w:b/>
          <w:sz w:val="32"/>
          <w:szCs w:val="36"/>
        </w:rPr>
        <w:t>Vít Ferfecki</w:t>
      </w:r>
    </w:p>
    <w:p w14:paraId="08E249D3" w14:textId="77777777" w:rsidR="006E5B49" w:rsidRPr="00DF5C65" w:rsidRDefault="006E5B49" w:rsidP="00667085">
      <w:pPr>
        <w:spacing w:line="360" w:lineRule="auto"/>
        <w:jc w:val="center"/>
        <w:rPr>
          <w:rFonts w:cs="Arial"/>
          <w:b/>
          <w:sz w:val="32"/>
          <w:szCs w:val="36"/>
        </w:rPr>
      </w:pPr>
    </w:p>
    <w:p w14:paraId="6C36E86F" w14:textId="77777777" w:rsidR="006E5B49" w:rsidRPr="00DF5C65" w:rsidRDefault="00896CB1" w:rsidP="00667085">
      <w:pPr>
        <w:spacing w:line="360" w:lineRule="auto"/>
        <w:jc w:val="center"/>
        <w:rPr>
          <w:rFonts w:cs="Arial"/>
          <w:b/>
          <w:sz w:val="32"/>
          <w:szCs w:val="36"/>
        </w:rPr>
      </w:pPr>
      <w:r w:rsidRPr="00DF5C65">
        <w:rPr>
          <w:rFonts w:cs="Arial"/>
          <w:b/>
          <w:sz w:val="32"/>
          <w:szCs w:val="36"/>
        </w:rPr>
        <w:t>Mezinárodní ochrana investic a regulační zásahy státu</w:t>
      </w:r>
    </w:p>
    <w:p w14:paraId="117FE0CA" w14:textId="77777777" w:rsidR="006E5B49" w:rsidRPr="00DF5C65" w:rsidRDefault="006E5B49" w:rsidP="00667085">
      <w:pPr>
        <w:spacing w:line="360" w:lineRule="auto"/>
        <w:jc w:val="center"/>
        <w:rPr>
          <w:rFonts w:cs="Arial"/>
          <w:b/>
          <w:sz w:val="32"/>
          <w:szCs w:val="36"/>
        </w:rPr>
      </w:pPr>
    </w:p>
    <w:p w14:paraId="71DF5F99" w14:textId="77777777" w:rsidR="006E5B49" w:rsidRPr="00DF5C65" w:rsidRDefault="006E5B49" w:rsidP="00667085">
      <w:pPr>
        <w:spacing w:line="360" w:lineRule="auto"/>
        <w:jc w:val="center"/>
        <w:rPr>
          <w:rFonts w:cs="Arial"/>
          <w:b/>
          <w:sz w:val="32"/>
          <w:szCs w:val="36"/>
        </w:rPr>
      </w:pPr>
      <w:bookmarkStart w:id="4" w:name="_Toc336697289"/>
      <w:bookmarkStart w:id="5" w:name="_Toc336697415"/>
      <w:r w:rsidRPr="00DF5C65">
        <w:rPr>
          <w:rFonts w:cs="Arial"/>
          <w:b/>
          <w:sz w:val="32"/>
          <w:szCs w:val="36"/>
        </w:rPr>
        <w:t>Diplomová práce</w:t>
      </w:r>
      <w:bookmarkEnd w:id="4"/>
      <w:bookmarkEnd w:id="5"/>
    </w:p>
    <w:p w14:paraId="216375F5" w14:textId="77777777" w:rsidR="00D7638E" w:rsidRPr="00DF5C65" w:rsidRDefault="00D7638E" w:rsidP="007E185C">
      <w:pPr>
        <w:spacing w:line="360" w:lineRule="auto"/>
        <w:rPr>
          <w:rFonts w:cs="Arial"/>
          <w:b/>
          <w:sz w:val="36"/>
          <w:szCs w:val="36"/>
        </w:rPr>
      </w:pPr>
    </w:p>
    <w:p w14:paraId="7FB0F7C4" w14:textId="77777777" w:rsidR="006E5B49" w:rsidRPr="00DF5C65" w:rsidRDefault="006E5B49" w:rsidP="00667085">
      <w:pPr>
        <w:spacing w:line="360" w:lineRule="auto"/>
        <w:jc w:val="center"/>
        <w:rPr>
          <w:rFonts w:cs="Arial"/>
          <w:b/>
          <w:sz w:val="36"/>
          <w:szCs w:val="36"/>
        </w:rPr>
      </w:pPr>
    </w:p>
    <w:p w14:paraId="431E0A25" w14:textId="77777777" w:rsidR="006E5B49" w:rsidRPr="00DF5C65" w:rsidRDefault="006E5B49" w:rsidP="00667085">
      <w:pPr>
        <w:spacing w:line="360" w:lineRule="auto"/>
        <w:jc w:val="center"/>
        <w:rPr>
          <w:rFonts w:cs="Arial"/>
          <w:b/>
          <w:sz w:val="36"/>
          <w:szCs w:val="36"/>
        </w:rPr>
      </w:pPr>
    </w:p>
    <w:p w14:paraId="727815AA" w14:textId="77777777" w:rsidR="006E5B49" w:rsidRPr="00DF5C65" w:rsidRDefault="006E5B49" w:rsidP="005E0B71">
      <w:pPr>
        <w:spacing w:line="360" w:lineRule="auto"/>
        <w:rPr>
          <w:rFonts w:cs="Arial"/>
          <w:b/>
          <w:sz w:val="36"/>
          <w:szCs w:val="36"/>
        </w:rPr>
      </w:pPr>
    </w:p>
    <w:p w14:paraId="348DE08A" w14:textId="77777777" w:rsidR="00B003DB" w:rsidRPr="00DF5C65" w:rsidRDefault="00B003DB" w:rsidP="005E0B71">
      <w:pPr>
        <w:spacing w:line="360" w:lineRule="auto"/>
        <w:rPr>
          <w:rFonts w:cs="Arial"/>
          <w:b/>
          <w:sz w:val="36"/>
          <w:szCs w:val="36"/>
        </w:rPr>
      </w:pPr>
    </w:p>
    <w:p w14:paraId="505387C9" w14:textId="77777777" w:rsidR="006379A5" w:rsidRPr="00DF5C65" w:rsidRDefault="006379A5" w:rsidP="005E0B71">
      <w:pPr>
        <w:spacing w:line="360" w:lineRule="auto"/>
        <w:rPr>
          <w:rFonts w:cs="Arial"/>
          <w:b/>
          <w:sz w:val="36"/>
          <w:szCs w:val="36"/>
        </w:rPr>
      </w:pPr>
    </w:p>
    <w:p w14:paraId="2F8D0356" w14:textId="77777777" w:rsidR="006379A5" w:rsidRPr="00DF5C65" w:rsidRDefault="006379A5" w:rsidP="005E0B71">
      <w:pPr>
        <w:spacing w:line="360" w:lineRule="auto"/>
        <w:rPr>
          <w:rFonts w:cs="Arial"/>
          <w:b/>
          <w:sz w:val="36"/>
          <w:szCs w:val="36"/>
        </w:rPr>
      </w:pPr>
    </w:p>
    <w:p w14:paraId="4FC5C180" w14:textId="77777777" w:rsidR="006379A5" w:rsidRPr="00DF5C65" w:rsidRDefault="006379A5" w:rsidP="005E0B71">
      <w:pPr>
        <w:spacing w:line="360" w:lineRule="auto"/>
        <w:rPr>
          <w:rFonts w:cs="Arial"/>
          <w:b/>
          <w:sz w:val="36"/>
          <w:szCs w:val="36"/>
        </w:rPr>
      </w:pPr>
    </w:p>
    <w:p w14:paraId="562FFD7A" w14:textId="77777777" w:rsidR="006379A5" w:rsidRPr="00DF5C65" w:rsidRDefault="006379A5" w:rsidP="005E0B71">
      <w:pPr>
        <w:spacing w:line="360" w:lineRule="auto"/>
        <w:rPr>
          <w:rFonts w:cs="Arial"/>
          <w:b/>
          <w:sz w:val="36"/>
          <w:szCs w:val="36"/>
        </w:rPr>
      </w:pPr>
    </w:p>
    <w:p w14:paraId="03E40E00" w14:textId="08980067" w:rsidR="00B003DB" w:rsidRPr="00DF5C65" w:rsidRDefault="005F7593" w:rsidP="00667085">
      <w:pPr>
        <w:spacing w:line="360" w:lineRule="auto"/>
        <w:jc w:val="center"/>
        <w:rPr>
          <w:rFonts w:cs="Arial"/>
          <w:b/>
          <w:sz w:val="32"/>
          <w:szCs w:val="36"/>
        </w:rPr>
      </w:pPr>
      <w:r w:rsidRPr="00DF5C65">
        <w:rPr>
          <w:rFonts w:cs="Arial"/>
          <w:b/>
          <w:sz w:val="32"/>
          <w:szCs w:val="36"/>
        </w:rPr>
        <w:t>Olomouc 2017</w:t>
      </w:r>
    </w:p>
    <w:p w14:paraId="4A543015" w14:textId="77777777" w:rsidR="00B003DB" w:rsidRPr="00DF5C65" w:rsidRDefault="00B003DB">
      <w:pPr>
        <w:rPr>
          <w:rFonts w:cs="Arial"/>
          <w:b/>
          <w:sz w:val="32"/>
          <w:szCs w:val="36"/>
        </w:rPr>
      </w:pPr>
      <w:r w:rsidRPr="00DF5C65">
        <w:rPr>
          <w:rFonts w:cs="Arial"/>
          <w:b/>
          <w:sz w:val="32"/>
          <w:szCs w:val="36"/>
        </w:rPr>
        <w:br w:type="page"/>
      </w:r>
    </w:p>
    <w:p w14:paraId="5CD593E8" w14:textId="77777777" w:rsidR="00D7638E" w:rsidRPr="00B003DB" w:rsidRDefault="00D7638E" w:rsidP="00667085">
      <w:pPr>
        <w:spacing w:line="360" w:lineRule="auto"/>
        <w:jc w:val="center"/>
        <w:rPr>
          <w:rFonts w:cs="Arial"/>
          <w:b/>
        </w:rPr>
      </w:pPr>
    </w:p>
    <w:p w14:paraId="31CF86AE" w14:textId="3D744F9A" w:rsidR="00C62EF1" w:rsidRPr="00B003DB" w:rsidRDefault="00AD7C09" w:rsidP="00C62EF1">
      <w:pPr>
        <w:spacing w:line="360" w:lineRule="auto"/>
        <w:jc w:val="both"/>
      </w:pPr>
      <w:r>
        <w:t>Prohlašuji</w:t>
      </w:r>
      <w:r w:rsidR="00C62EF1" w:rsidRPr="00B003DB">
        <w:t>, že</w:t>
      </w:r>
      <w:r w:rsidR="00E72B59">
        <w:t xml:space="preserve"> jsem</w:t>
      </w:r>
      <w:r w:rsidR="00C62EF1" w:rsidRPr="00B003DB">
        <w:t xml:space="preserve"> diplomovou práci na téma </w:t>
      </w:r>
      <w:r w:rsidR="00896CB1" w:rsidRPr="00B003DB">
        <w:rPr>
          <w:b/>
        </w:rPr>
        <w:t>Mezinárodní ochrana investic a regulační zásahy státu</w:t>
      </w:r>
      <w:r w:rsidR="0019576A" w:rsidRPr="00B003DB">
        <w:t xml:space="preserve"> vypracoval</w:t>
      </w:r>
      <w:r w:rsidR="00C62EF1" w:rsidRPr="00B003DB">
        <w:t xml:space="preserve"> samostatně a citoval jsem všechny použité zdroje.</w:t>
      </w:r>
    </w:p>
    <w:p w14:paraId="016E931D" w14:textId="77777777" w:rsidR="00C62EF1" w:rsidRPr="00B003DB" w:rsidRDefault="00A47DE7" w:rsidP="00A47DE7">
      <w:pPr>
        <w:tabs>
          <w:tab w:val="left" w:pos="7090"/>
        </w:tabs>
        <w:spacing w:line="360" w:lineRule="auto"/>
        <w:jc w:val="both"/>
      </w:pPr>
      <w:r w:rsidRPr="00B003DB">
        <w:tab/>
      </w:r>
    </w:p>
    <w:p w14:paraId="0A0E611B" w14:textId="3AC3C8B6" w:rsidR="00C62EF1" w:rsidRPr="00B003DB" w:rsidRDefault="0043360F" w:rsidP="00A47DE7">
      <w:pPr>
        <w:pStyle w:val="Bezmezer"/>
        <w:rPr>
          <w:sz w:val="24"/>
        </w:rPr>
      </w:pPr>
      <w:r w:rsidRPr="00B003DB">
        <w:rPr>
          <w:sz w:val="24"/>
        </w:rPr>
        <w:t xml:space="preserve">V Olomouci dne </w:t>
      </w:r>
      <w:r w:rsidR="00022D73">
        <w:rPr>
          <w:sz w:val="24"/>
        </w:rPr>
        <w:t>10</w:t>
      </w:r>
      <w:r w:rsidR="00B003DB" w:rsidRPr="00B003DB">
        <w:rPr>
          <w:sz w:val="24"/>
        </w:rPr>
        <w:t>. dubna 2017</w:t>
      </w:r>
      <w:r w:rsidR="00C62EF1" w:rsidRPr="00B003DB">
        <w:rPr>
          <w:sz w:val="24"/>
        </w:rPr>
        <w:tab/>
      </w:r>
      <w:r w:rsidR="00C62EF1" w:rsidRPr="00B003DB">
        <w:rPr>
          <w:sz w:val="24"/>
        </w:rPr>
        <w:tab/>
      </w:r>
      <w:r w:rsidR="00C62EF1" w:rsidRPr="00B003DB">
        <w:rPr>
          <w:sz w:val="24"/>
        </w:rPr>
        <w:tab/>
      </w:r>
      <w:r w:rsidR="00C62EF1" w:rsidRPr="00B003DB">
        <w:rPr>
          <w:sz w:val="24"/>
        </w:rPr>
        <w:tab/>
      </w:r>
      <w:r w:rsidR="00C62EF1" w:rsidRPr="00B003DB">
        <w:rPr>
          <w:sz w:val="24"/>
        </w:rPr>
        <w:tab/>
        <w:t>……………………………………</w:t>
      </w:r>
    </w:p>
    <w:p w14:paraId="64B00AAB" w14:textId="77777777" w:rsidR="00C62EF1" w:rsidRPr="00B003DB" w:rsidRDefault="0019576A" w:rsidP="00DA3AF6">
      <w:pPr>
        <w:pStyle w:val="Bezmezer"/>
        <w:tabs>
          <w:tab w:val="center" w:pos="7655"/>
        </w:tabs>
        <w:rPr>
          <w:sz w:val="24"/>
        </w:rPr>
      </w:pPr>
      <w:r w:rsidRPr="00B003DB">
        <w:rPr>
          <w:sz w:val="24"/>
        </w:rPr>
        <w:tab/>
        <w:t>Vít Ferfecki</w:t>
      </w:r>
    </w:p>
    <w:p w14:paraId="509640DD" w14:textId="77777777" w:rsidR="00C62EF1" w:rsidRPr="00B003DB" w:rsidRDefault="00C62EF1" w:rsidP="00C62EF1">
      <w:pPr>
        <w:spacing w:line="360" w:lineRule="auto"/>
      </w:pPr>
      <w:r w:rsidRPr="00B003DB">
        <w:br w:type="page"/>
      </w:r>
    </w:p>
    <w:p w14:paraId="13C5AFB1" w14:textId="21F1C24A" w:rsidR="00A36E7C" w:rsidRPr="00F94DEA" w:rsidRDefault="00C62EF1" w:rsidP="00752C89">
      <w:pPr>
        <w:ind w:left="142"/>
        <w:rPr>
          <w:b/>
          <w:sz w:val="32"/>
          <w:szCs w:val="32"/>
        </w:rPr>
      </w:pPr>
      <w:bookmarkStart w:id="6" w:name="_Toc336697290"/>
      <w:bookmarkStart w:id="7" w:name="_Toc457720995"/>
      <w:r w:rsidRPr="00F94DEA">
        <w:rPr>
          <w:b/>
          <w:sz w:val="32"/>
          <w:szCs w:val="32"/>
        </w:rPr>
        <w:lastRenderedPageBreak/>
        <w:t>P</w:t>
      </w:r>
      <w:r w:rsidR="00B003DB" w:rsidRPr="00F94DEA">
        <w:rPr>
          <w:b/>
          <w:sz w:val="32"/>
          <w:szCs w:val="32"/>
        </w:rPr>
        <w:t>oděkování</w:t>
      </w:r>
      <w:bookmarkEnd w:id="6"/>
      <w:bookmarkEnd w:id="7"/>
    </w:p>
    <w:p w14:paraId="26A72011" w14:textId="77777777" w:rsidR="00A36E7C" w:rsidRDefault="00A36E7C" w:rsidP="00A36E7C">
      <w:pPr>
        <w:spacing w:before="240" w:line="360" w:lineRule="auto"/>
        <w:ind w:firstLine="708"/>
        <w:jc w:val="both"/>
      </w:pPr>
    </w:p>
    <w:p w14:paraId="3F54663D" w14:textId="77777777" w:rsidR="00C62EF1" w:rsidRPr="00B003DB" w:rsidRDefault="00C62EF1" w:rsidP="00752C89">
      <w:pPr>
        <w:spacing w:before="240" w:line="360" w:lineRule="auto"/>
        <w:ind w:left="142" w:firstLine="708"/>
        <w:jc w:val="both"/>
      </w:pPr>
      <w:r w:rsidRPr="00B003DB">
        <w:t xml:space="preserve">Děkuji vedoucímu této diplomové práce, </w:t>
      </w:r>
      <w:r w:rsidR="0019576A" w:rsidRPr="00B003DB">
        <w:t>Mgr. et. Mgr. Lukáši Ryšavému</w:t>
      </w:r>
      <w:r w:rsidRPr="00B003DB">
        <w:t>, za cenné rady a připomínky při jejím zpracování.</w:t>
      </w:r>
    </w:p>
    <w:p w14:paraId="23E30E53" w14:textId="77777777" w:rsidR="00C62EF1" w:rsidRPr="00B003DB" w:rsidRDefault="00C62EF1" w:rsidP="00C62EF1">
      <w:pPr>
        <w:spacing w:line="360" w:lineRule="auto"/>
      </w:pPr>
      <w:r w:rsidRPr="00B003DB">
        <w:br w:type="page"/>
      </w:r>
    </w:p>
    <w:sdt>
      <w:sdtPr>
        <w:rPr>
          <w:rFonts w:eastAsiaTheme="minorHAnsi" w:cstheme="minorBidi"/>
          <w:b w:val="0"/>
          <w:bCs w:val="0"/>
          <w:kern w:val="0"/>
          <w:sz w:val="22"/>
          <w:szCs w:val="22"/>
        </w:rPr>
        <w:id w:val="12869544"/>
        <w:docPartObj>
          <w:docPartGallery w:val="Table of Contents"/>
          <w:docPartUnique/>
        </w:docPartObj>
      </w:sdtPr>
      <w:sdtEndPr>
        <w:rPr>
          <w:rFonts w:eastAsia="Calibri" w:cs="Times New Roman"/>
          <w:sz w:val="24"/>
          <w:szCs w:val="24"/>
        </w:rPr>
      </w:sdtEndPr>
      <w:sdtContent>
        <w:p w14:paraId="58A949A9" w14:textId="77777777" w:rsidR="006E5B49" w:rsidRPr="00942FD4" w:rsidRDefault="006E5B49" w:rsidP="00667085">
          <w:pPr>
            <w:pStyle w:val="Nadpisobsahu"/>
            <w:spacing w:line="360" w:lineRule="auto"/>
          </w:pPr>
          <w:r w:rsidRPr="00942FD4">
            <w:t>Obsah</w:t>
          </w:r>
        </w:p>
        <w:p w14:paraId="0EE07F78" w14:textId="77777777" w:rsidR="00E57C65" w:rsidRPr="00E57C65" w:rsidRDefault="00E57C65">
          <w:pPr>
            <w:pStyle w:val="Obsah1"/>
            <w:tabs>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u w:val="single"/>
            </w:rPr>
            <w:fldChar w:fldCharType="begin"/>
          </w:r>
          <w:r w:rsidRPr="00E57C65">
            <w:rPr>
              <w:rFonts w:asciiTheme="minorHAnsi" w:hAnsiTheme="minorHAnsi"/>
              <w:u w:val="single"/>
            </w:rPr>
            <w:instrText xml:space="preserve"> TOC \o "1-3" </w:instrText>
          </w:r>
          <w:r w:rsidRPr="00E57C65">
            <w:rPr>
              <w:rFonts w:asciiTheme="minorHAnsi" w:hAnsiTheme="minorHAnsi"/>
              <w:u w:val="single"/>
            </w:rPr>
            <w:fldChar w:fldCharType="separate"/>
          </w:r>
          <w:r w:rsidRPr="00E57C65">
            <w:rPr>
              <w:rFonts w:asciiTheme="minorHAnsi" w:hAnsiTheme="minorHAnsi"/>
              <w:noProof/>
            </w:rPr>
            <w:t>Seznam použitých zkratek</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_Toc479697271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5</w:t>
          </w:r>
          <w:r w:rsidRPr="00E57C65">
            <w:rPr>
              <w:rFonts w:asciiTheme="minorHAnsi" w:hAnsiTheme="minorHAnsi"/>
              <w:noProof/>
            </w:rPr>
            <w:fldChar w:fldCharType="end"/>
          </w:r>
        </w:p>
        <w:p w14:paraId="5586DB49" w14:textId="77777777" w:rsidR="00E57C65" w:rsidRPr="00E57C65" w:rsidRDefault="00E57C65">
          <w:pPr>
            <w:pStyle w:val="Obsah1"/>
            <w:tabs>
              <w:tab w:val="right" w:leader="dot" w:pos="9203"/>
            </w:tabs>
            <w:rPr>
              <w:rFonts w:asciiTheme="minorHAnsi" w:eastAsiaTheme="minorEastAsia" w:hAnsiTheme="minorHAnsi" w:cstheme="minorBidi"/>
              <w:bCs w:val="0"/>
              <w:caps w:val="0"/>
              <w:noProof/>
              <w:lang w:eastAsia="cs-CZ"/>
            </w:rPr>
          </w:pPr>
          <w:r w:rsidRPr="00E57C65">
            <w:rPr>
              <w:rFonts w:asciiTheme="minorHAnsi" w:eastAsiaTheme="majorEastAsia" w:hAnsiTheme="minorHAnsi"/>
              <w:noProof/>
            </w:rPr>
            <w:t>Úvod</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_Toc479697272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7</w:t>
          </w:r>
          <w:r w:rsidRPr="00E57C65">
            <w:rPr>
              <w:rFonts w:asciiTheme="minorHAnsi" w:hAnsiTheme="minorHAnsi"/>
              <w:noProof/>
            </w:rPr>
            <w:fldChar w:fldCharType="end"/>
          </w:r>
        </w:p>
        <w:p w14:paraId="31975E4E" w14:textId="77777777" w:rsidR="00E57C65" w:rsidRPr="00E57C65" w:rsidRDefault="00E57C65">
          <w:pPr>
            <w:pStyle w:val="Obsah1"/>
            <w:tabs>
              <w:tab w:val="left" w:pos="480"/>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bCs w:val="0"/>
              <w:noProof/>
              <w:lang w:bidi="x-none"/>
              <w14:scene3d>
                <w14:camera w14:prst="orthographicFront"/>
                <w14:lightRig w14:rig="threePt" w14:dir="t">
                  <w14:rot w14:lat="0" w14:lon="0" w14:rev="0"/>
                </w14:lightRig>
              </w14:scene3d>
            </w:rPr>
            <w:t>1</w:t>
          </w:r>
          <w:r w:rsidRPr="00E57C65">
            <w:rPr>
              <w:rFonts w:asciiTheme="minorHAnsi" w:eastAsiaTheme="minorEastAsia" w:hAnsiTheme="minorHAnsi" w:cstheme="minorBidi"/>
              <w:bCs w:val="0"/>
              <w:caps w:val="0"/>
              <w:noProof/>
              <w:lang w:eastAsia="cs-CZ"/>
            </w:rPr>
            <w:tab/>
          </w:r>
          <w:r w:rsidRPr="00E57C65">
            <w:rPr>
              <w:rFonts w:asciiTheme="minorHAnsi" w:hAnsiTheme="minorHAnsi"/>
              <w:noProof/>
            </w:rPr>
            <w:t>Ochrana investic jako zásah do suverenity státu</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_Toc479697273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9</w:t>
          </w:r>
          <w:r w:rsidRPr="00E57C65">
            <w:rPr>
              <w:rFonts w:asciiTheme="minorHAnsi" w:hAnsiTheme="minorHAnsi"/>
              <w:noProof/>
            </w:rPr>
            <w:fldChar w:fldCharType="end"/>
          </w:r>
        </w:p>
        <w:p w14:paraId="1709A790"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1.1</w:t>
          </w:r>
          <w:r w:rsidRPr="00CA159D">
            <w:rPr>
              <w:rFonts w:eastAsiaTheme="minorEastAsia" w:cstheme="minorBidi"/>
              <w:b w:val="0"/>
              <w:bCs w:val="0"/>
              <w:noProof/>
              <w:sz w:val="24"/>
              <w:szCs w:val="24"/>
              <w:lang w:eastAsia="cs-CZ"/>
            </w:rPr>
            <w:tab/>
          </w:r>
          <w:r w:rsidRPr="00CA159D">
            <w:rPr>
              <w:b w:val="0"/>
              <w:noProof/>
              <w:sz w:val="24"/>
              <w:szCs w:val="24"/>
            </w:rPr>
            <w:t>Zvláštní závazky investičního práva</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_Toc479697274 \h </w:instrText>
          </w:r>
          <w:r w:rsidRPr="00CA159D">
            <w:rPr>
              <w:b w:val="0"/>
              <w:noProof/>
              <w:sz w:val="24"/>
              <w:szCs w:val="24"/>
            </w:rPr>
          </w:r>
          <w:r w:rsidRPr="00CA159D">
            <w:rPr>
              <w:b w:val="0"/>
              <w:noProof/>
              <w:sz w:val="24"/>
              <w:szCs w:val="24"/>
            </w:rPr>
            <w:fldChar w:fldCharType="separate"/>
          </w:r>
          <w:r w:rsidRPr="00CA159D">
            <w:rPr>
              <w:b w:val="0"/>
              <w:noProof/>
              <w:sz w:val="24"/>
              <w:szCs w:val="24"/>
            </w:rPr>
            <w:t>11</w:t>
          </w:r>
          <w:r w:rsidRPr="00CA159D">
            <w:rPr>
              <w:b w:val="0"/>
              <w:noProof/>
              <w:sz w:val="24"/>
              <w:szCs w:val="24"/>
            </w:rPr>
            <w:fldChar w:fldCharType="end"/>
          </w:r>
        </w:p>
        <w:p w14:paraId="686DEEE4"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1.2</w:t>
          </w:r>
          <w:r w:rsidRPr="00CA159D">
            <w:rPr>
              <w:rFonts w:eastAsiaTheme="minorEastAsia" w:cstheme="minorBidi"/>
              <w:b w:val="0"/>
              <w:bCs w:val="0"/>
              <w:noProof/>
              <w:sz w:val="24"/>
              <w:szCs w:val="24"/>
              <w:lang w:eastAsia="cs-CZ"/>
            </w:rPr>
            <w:tab/>
          </w:r>
          <w:r w:rsidRPr="00CA159D">
            <w:rPr>
              <w:b w:val="0"/>
              <w:noProof/>
              <w:sz w:val="24"/>
              <w:szCs w:val="24"/>
            </w:rPr>
            <w:t>Typické regulační zásahy do investic</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_Toc479697275 \h </w:instrText>
          </w:r>
          <w:r w:rsidRPr="00CA159D">
            <w:rPr>
              <w:b w:val="0"/>
              <w:noProof/>
              <w:sz w:val="24"/>
              <w:szCs w:val="24"/>
            </w:rPr>
          </w:r>
          <w:r w:rsidRPr="00CA159D">
            <w:rPr>
              <w:b w:val="0"/>
              <w:noProof/>
              <w:sz w:val="24"/>
              <w:szCs w:val="24"/>
            </w:rPr>
            <w:fldChar w:fldCharType="separate"/>
          </w:r>
          <w:r w:rsidRPr="00CA159D">
            <w:rPr>
              <w:b w:val="0"/>
              <w:noProof/>
              <w:sz w:val="24"/>
              <w:szCs w:val="24"/>
            </w:rPr>
            <w:t>12</w:t>
          </w:r>
          <w:r w:rsidRPr="00CA159D">
            <w:rPr>
              <w:b w:val="0"/>
              <w:noProof/>
              <w:sz w:val="24"/>
              <w:szCs w:val="24"/>
            </w:rPr>
            <w:fldChar w:fldCharType="end"/>
          </w:r>
        </w:p>
        <w:p w14:paraId="5C7287C7" w14:textId="77777777" w:rsidR="00E57C65" w:rsidRPr="00E57C65" w:rsidRDefault="00E57C65">
          <w:pPr>
            <w:pStyle w:val="Obsah1"/>
            <w:tabs>
              <w:tab w:val="left" w:pos="480"/>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bCs w:val="0"/>
              <w:noProof/>
              <w:lang w:bidi="x-none"/>
              <w14:scene3d>
                <w14:camera w14:prst="orthographicFront"/>
                <w14:lightRig w14:rig="threePt" w14:dir="t">
                  <w14:rot w14:lat="0" w14:lon="0" w14:rev="0"/>
                </w14:lightRig>
              </w14:scene3d>
            </w:rPr>
            <w:t>2</w:t>
          </w:r>
          <w:r w:rsidRPr="00E57C65">
            <w:rPr>
              <w:rFonts w:asciiTheme="minorHAnsi" w:eastAsiaTheme="minorEastAsia" w:hAnsiTheme="minorHAnsi" w:cstheme="minorBidi"/>
              <w:bCs w:val="0"/>
              <w:caps w:val="0"/>
              <w:noProof/>
              <w:lang w:eastAsia="cs-CZ"/>
            </w:rPr>
            <w:tab/>
          </w:r>
          <w:r w:rsidRPr="00E57C65">
            <w:rPr>
              <w:rFonts w:asciiTheme="minorHAnsi" w:hAnsiTheme="minorHAnsi"/>
              <w:noProof/>
            </w:rPr>
            <w:t>Zásah státu a ochrana oprávněných očekávání</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_Toc479697276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14</w:t>
          </w:r>
          <w:r w:rsidRPr="00E57C65">
            <w:rPr>
              <w:rFonts w:asciiTheme="minorHAnsi" w:hAnsiTheme="minorHAnsi"/>
              <w:noProof/>
            </w:rPr>
            <w:fldChar w:fldCharType="end"/>
          </w:r>
        </w:p>
        <w:p w14:paraId="30CFCD2A"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rFonts w:eastAsiaTheme="majorEastAsia" w:cstheme="majorBidi"/>
              <w:b w:val="0"/>
              <w:noProof/>
              <w:sz w:val="24"/>
              <w:szCs w:val="24"/>
            </w:rPr>
            <w:t>2.1</w:t>
          </w:r>
          <w:r w:rsidRPr="00CA159D">
            <w:rPr>
              <w:rFonts w:eastAsiaTheme="minorEastAsia" w:cstheme="minorBidi"/>
              <w:b w:val="0"/>
              <w:bCs w:val="0"/>
              <w:noProof/>
              <w:sz w:val="24"/>
              <w:szCs w:val="24"/>
              <w:lang w:eastAsia="cs-CZ"/>
            </w:rPr>
            <w:tab/>
          </w:r>
          <w:r w:rsidRPr="00CA159D">
            <w:rPr>
              <w:b w:val="0"/>
              <w:noProof/>
              <w:sz w:val="24"/>
              <w:szCs w:val="24"/>
            </w:rPr>
            <w:t>Ochrana oprávněných očekávání jako součást standardu spravedlivého a rovného zacházení</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_Toc479697277 \h </w:instrText>
          </w:r>
          <w:r w:rsidRPr="00CA159D">
            <w:rPr>
              <w:b w:val="0"/>
              <w:noProof/>
              <w:sz w:val="24"/>
              <w:szCs w:val="24"/>
            </w:rPr>
          </w:r>
          <w:r w:rsidRPr="00CA159D">
            <w:rPr>
              <w:b w:val="0"/>
              <w:noProof/>
              <w:sz w:val="24"/>
              <w:szCs w:val="24"/>
            </w:rPr>
            <w:fldChar w:fldCharType="separate"/>
          </w:r>
          <w:r w:rsidRPr="00CA159D">
            <w:rPr>
              <w:b w:val="0"/>
              <w:noProof/>
              <w:sz w:val="24"/>
              <w:szCs w:val="24"/>
            </w:rPr>
            <w:t>15</w:t>
          </w:r>
          <w:r w:rsidRPr="00CA159D">
            <w:rPr>
              <w:b w:val="0"/>
              <w:noProof/>
              <w:sz w:val="24"/>
              <w:szCs w:val="24"/>
            </w:rPr>
            <w:fldChar w:fldCharType="end"/>
          </w:r>
        </w:p>
        <w:p w14:paraId="2EFE7F01"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2.2</w:t>
          </w:r>
          <w:r w:rsidRPr="00CA159D">
            <w:rPr>
              <w:rFonts w:eastAsiaTheme="minorEastAsia" w:cstheme="minorBidi"/>
              <w:b w:val="0"/>
              <w:bCs w:val="0"/>
              <w:noProof/>
              <w:sz w:val="24"/>
              <w:szCs w:val="24"/>
              <w:lang w:eastAsia="cs-CZ"/>
            </w:rPr>
            <w:tab/>
          </w:r>
          <w:r w:rsidRPr="00CA159D">
            <w:rPr>
              <w:b w:val="0"/>
              <w:noProof/>
              <w:sz w:val="24"/>
              <w:szCs w:val="24"/>
            </w:rPr>
            <w:t>Jednání státu narušující oprávněná očekávání</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_Toc479697278 \h </w:instrText>
          </w:r>
          <w:r w:rsidRPr="00CA159D">
            <w:rPr>
              <w:b w:val="0"/>
              <w:noProof/>
              <w:sz w:val="24"/>
              <w:szCs w:val="24"/>
            </w:rPr>
          </w:r>
          <w:r w:rsidRPr="00CA159D">
            <w:rPr>
              <w:b w:val="0"/>
              <w:noProof/>
              <w:sz w:val="24"/>
              <w:szCs w:val="24"/>
            </w:rPr>
            <w:fldChar w:fldCharType="separate"/>
          </w:r>
          <w:r w:rsidRPr="00CA159D">
            <w:rPr>
              <w:b w:val="0"/>
              <w:noProof/>
              <w:sz w:val="24"/>
              <w:szCs w:val="24"/>
            </w:rPr>
            <w:t>16</w:t>
          </w:r>
          <w:r w:rsidRPr="00CA159D">
            <w:rPr>
              <w:b w:val="0"/>
              <w:noProof/>
              <w:sz w:val="24"/>
              <w:szCs w:val="24"/>
            </w:rPr>
            <w:fldChar w:fldCharType="end"/>
          </w:r>
        </w:p>
        <w:p w14:paraId="745B0C6C"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2.3</w:t>
          </w:r>
          <w:r w:rsidRPr="00CA159D">
            <w:rPr>
              <w:rFonts w:eastAsiaTheme="minorEastAsia" w:cstheme="minorBidi"/>
              <w:b w:val="0"/>
              <w:bCs w:val="0"/>
              <w:noProof/>
              <w:sz w:val="24"/>
              <w:szCs w:val="24"/>
              <w:lang w:eastAsia="cs-CZ"/>
            </w:rPr>
            <w:tab/>
          </w:r>
          <w:r w:rsidRPr="00CA159D">
            <w:rPr>
              <w:b w:val="0"/>
              <w:noProof/>
              <w:sz w:val="24"/>
              <w:szCs w:val="24"/>
            </w:rPr>
            <w:t>Philip Morris v. Uruguay</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_Toc479697279 \h </w:instrText>
          </w:r>
          <w:r w:rsidRPr="00CA159D">
            <w:rPr>
              <w:b w:val="0"/>
              <w:noProof/>
              <w:sz w:val="24"/>
              <w:szCs w:val="24"/>
            </w:rPr>
          </w:r>
          <w:r w:rsidRPr="00CA159D">
            <w:rPr>
              <w:b w:val="0"/>
              <w:noProof/>
              <w:sz w:val="24"/>
              <w:szCs w:val="24"/>
            </w:rPr>
            <w:fldChar w:fldCharType="separate"/>
          </w:r>
          <w:r w:rsidRPr="00CA159D">
            <w:rPr>
              <w:b w:val="0"/>
              <w:noProof/>
              <w:sz w:val="24"/>
              <w:szCs w:val="24"/>
            </w:rPr>
            <w:t>20</w:t>
          </w:r>
          <w:r w:rsidRPr="00CA159D">
            <w:rPr>
              <w:b w:val="0"/>
              <w:noProof/>
              <w:sz w:val="24"/>
              <w:szCs w:val="24"/>
            </w:rPr>
            <w:fldChar w:fldCharType="end"/>
          </w:r>
        </w:p>
        <w:p w14:paraId="63F87AE0"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2.4</w:t>
          </w:r>
          <w:r w:rsidRPr="00CA159D">
            <w:rPr>
              <w:rFonts w:eastAsiaTheme="minorEastAsia" w:cstheme="minorBidi"/>
              <w:b w:val="0"/>
              <w:bCs w:val="0"/>
              <w:noProof/>
              <w:sz w:val="24"/>
              <w:szCs w:val="24"/>
              <w:lang w:eastAsia="cs-CZ"/>
            </w:rPr>
            <w:tab/>
          </w:r>
          <w:r w:rsidRPr="00CA159D">
            <w:rPr>
              <w:b w:val="0"/>
              <w:noProof/>
              <w:sz w:val="24"/>
              <w:szCs w:val="24"/>
            </w:rPr>
            <w:t>Vattenfall and others v. Germany</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_Toc479697280 \h </w:instrText>
          </w:r>
          <w:r w:rsidRPr="00CA159D">
            <w:rPr>
              <w:b w:val="0"/>
              <w:noProof/>
              <w:sz w:val="24"/>
              <w:szCs w:val="24"/>
            </w:rPr>
          </w:r>
          <w:r w:rsidRPr="00CA159D">
            <w:rPr>
              <w:b w:val="0"/>
              <w:noProof/>
              <w:sz w:val="24"/>
              <w:szCs w:val="24"/>
            </w:rPr>
            <w:fldChar w:fldCharType="separate"/>
          </w:r>
          <w:r w:rsidRPr="00CA159D">
            <w:rPr>
              <w:b w:val="0"/>
              <w:noProof/>
              <w:sz w:val="24"/>
              <w:szCs w:val="24"/>
            </w:rPr>
            <w:t>25</w:t>
          </w:r>
          <w:r w:rsidRPr="00CA159D">
            <w:rPr>
              <w:b w:val="0"/>
              <w:noProof/>
              <w:sz w:val="24"/>
              <w:szCs w:val="24"/>
            </w:rPr>
            <w:fldChar w:fldCharType="end"/>
          </w:r>
        </w:p>
        <w:p w14:paraId="4E8ED5F1"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2.5</w:t>
          </w:r>
          <w:r w:rsidRPr="00CA159D">
            <w:rPr>
              <w:rFonts w:eastAsiaTheme="minorEastAsia" w:cstheme="minorBidi"/>
              <w:b w:val="0"/>
              <w:bCs w:val="0"/>
              <w:noProof/>
              <w:sz w:val="24"/>
              <w:szCs w:val="24"/>
              <w:lang w:eastAsia="cs-CZ"/>
            </w:rPr>
            <w:tab/>
          </w:r>
          <w:r w:rsidRPr="00CA159D">
            <w:rPr>
              <w:b w:val="0"/>
              <w:noProof/>
              <w:sz w:val="24"/>
              <w:szCs w:val="24"/>
            </w:rPr>
            <w:t>Dílčí závěr k oprávněným očekáváním</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_Toc479697281 \h </w:instrText>
          </w:r>
          <w:r w:rsidRPr="00CA159D">
            <w:rPr>
              <w:b w:val="0"/>
              <w:noProof/>
              <w:sz w:val="24"/>
              <w:szCs w:val="24"/>
            </w:rPr>
          </w:r>
          <w:r w:rsidRPr="00CA159D">
            <w:rPr>
              <w:b w:val="0"/>
              <w:noProof/>
              <w:sz w:val="24"/>
              <w:szCs w:val="24"/>
            </w:rPr>
            <w:fldChar w:fldCharType="separate"/>
          </w:r>
          <w:r w:rsidRPr="00CA159D">
            <w:rPr>
              <w:b w:val="0"/>
              <w:noProof/>
              <w:sz w:val="24"/>
              <w:szCs w:val="24"/>
            </w:rPr>
            <w:t>28</w:t>
          </w:r>
          <w:r w:rsidRPr="00CA159D">
            <w:rPr>
              <w:b w:val="0"/>
              <w:noProof/>
              <w:sz w:val="24"/>
              <w:szCs w:val="24"/>
            </w:rPr>
            <w:fldChar w:fldCharType="end"/>
          </w:r>
        </w:p>
        <w:p w14:paraId="58B24DF9" w14:textId="77777777" w:rsidR="00E57C65" w:rsidRPr="00E57C65" w:rsidRDefault="00E57C65">
          <w:pPr>
            <w:pStyle w:val="Obsah1"/>
            <w:tabs>
              <w:tab w:val="left" w:pos="480"/>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bCs w:val="0"/>
              <w:noProof/>
              <w:lang w:bidi="x-none"/>
              <w14:scene3d>
                <w14:camera w14:prst="orthographicFront"/>
                <w14:lightRig w14:rig="threePt" w14:dir="t">
                  <w14:rot w14:lat="0" w14:lon="0" w14:rev="0"/>
                </w14:lightRig>
              </w14:scene3d>
            </w:rPr>
            <w:t>3</w:t>
          </w:r>
          <w:r w:rsidRPr="00E57C65">
            <w:rPr>
              <w:rFonts w:asciiTheme="minorHAnsi" w:eastAsiaTheme="minorEastAsia" w:hAnsiTheme="minorHAnsi" w:cstheme="minorBidi"/>
              <w:bCs w:val="0"/>
              <w:caps w:val="0"/>
              <w:noProof/>
              <w:lang w:eastAsia="cs-CZ"/>
            </w:rPr>
            <w:tab/>
          </w:r>
          <w:r w:rsidRPr="00E57C65">
            <w:rPr>
              <w:rFonts w:asciiTheme="minorHAnsi" w:hAnsiTheme="minorHAnsi"/>
              <w:noProof/>
            </w:rPr>
            <w:t>Zásah státu a další standardy ochrany včetně vyvlastnění</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_Toc479697282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30</w:t>
          </w:r>
          <w:r w:rsidRPr="00E57C65">
            <w:rPr>
              <w:rFonts w:asciiTheme="minorHAnsi" w:hAnsiTheme="minorHAnsi"/>
              <w:noProof/>
            </w:rPr>
            <w:fldChar w:fldCharType="end"/>
          </w:r>
        </w:p>
        <w:p w14:paraId="4B6637FA"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kern w:val="32"/>
              <w:sz w:val="24"/>
              <w:szCs w:val="24"/>
            </w:rPr>
            <w:t>3.1</w:t>
          </w:r>
          <w:r w:rsidRPr="00CA159D">
            <w:rPr>
              <w:rFonts w:eastAsiaTheme="minorEastAsia" w:cstheme="minorBidi"/>
              <w:b w:val="0"/>
              <w:bCs w:val="0"/>
              <w:noProof/>
              <w:sz w:val="24"/>
              <w:szCs w:val="24"/>
              <w:lang w:eastAsia="cs-CZ"/>
            </w:rPr>
            <w:tab/>
          </w:r>
          <w:r w:rsidRPr="00CA159D">
            <w:rPr>
              <w:b w:val="0"/>
              <w:noProof/>
              <w:sz w:val="24"/>
              <w:szCs w:val="24"/>
            </w:rPr>
            <w:t>Nepřímé vyvlastnění a jeho hranice v judikatuře</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_Toc479697283 \h </w:instrText>
          </w:r>
          <w:r w:rsidRPr="00CA159D">
            <w:rPr>
              <w:b w:val="0"/>
              <w:noProof/>
              <w:sz w:val="24"/>
              <w:szCs w:val="24"/>
            </w:rPr>
          </w:r>
          <w:r w:rsidRPr="00CA159D">
            <w:rPr>
              <w:b w:val="0"/>
              <w:noProof/>
              <w:sz w:val="24"/>
              <w:szCs w:val="24"/>
            </w:rPr>
            <w:fldChar w:fldCharType="separate"/>
          </w:r>
          <w:r w:rsidRPr="00CA159D">
            <w:rPr>
              <w:b w:val="0"/>
              <w:noProof/>
              <w:sz w:val="24"/>
              <w:szCs w:val="24"/>
            </w:rPr>
            <w:t>30</w:t>
          </w:r>
          <w:r w:rsidRPr="00CA159D">
            <w:rPr>
              <w:b w:val="0"/>
              <w:noProof/>
              <w:sz w:val="24"/>
              <w:szCs w:val="24"/>
            </w:rPr>
            <w:fldChar w:fldCharType="end"/>
          </w:r>
        </w:p>
        <w:p w14:paraId="2B7E4897" w14:textId="77777777" w:rsidR="00E57C65" w:rsidRPr="00CA159D" w:rsidRDefault="00E57C65">
          <w:pPr>
            <w:pStyle w:val="Obsah3"/>
            <w:tabs>
              <w:tab w:val="left" w:pos="960"/>
              <w:tab w:val="right" w:leader="dot" w:pos="9203"/>
            </w:tabs>
            <w:rPr>
              <w:rFonts w:eastAsiaTheme="minorEastAsia" w:cstheme="minorBidi"/>
              <w:noProof/>
              <w:sz w:val="24"/>
              <w:szCs w:val="24"/>
              <w:lang w:eastAsia="cs-CZ"/>
            </w:rPr>
          </w:pPr>
          <w:r w:rsidRPr="00CA159D">
            <w:rPr>
              <w:noProof/>
              <w:sz w:val="24"/>
              <w:szCs w:val="24"/>
            </w:rPr>
            <w:t>3.1.1</w:t>
          </w:r>
          <w:r w:rsidRPr="00CA159D">
            <w:rPr>
              <w:rFonts w:eastAsiaTheme="minorEastAsia" w:cstheme="minorBidi"/>
              <w:noProof/>
              <w:sz w:val="24"/>
              <w:szCs w:val="24"/>
              <w:lang w:eastAsia="cs-CZ"/>
            </w:rPr>
            <w:tab/>
          </w:r>
          <w:r w:rsidRPr="00CA159D">
            <w:rPr>
              <w:noProof/>
              <w:sz w:val="24"/>
              <w:szCs w:val="24"/>
            </w:rPr>
            <w:t>Philip Morris v. Uruguay</w:t>
          </w:r>
          <w:r w:rsidRPr="00CA159D">
            <w:rPr>
              <w:noProof/>
              <w:sz w:val="24"/>
              <w:szCs w:val="24"/>
            </w:rPr>
            <w:tab/>
          </w:r>
          <w:r w:rsidRPr="00CA159D">
            <w:rPr>
              <w:noProof/>
              <w:sz w:val="24"/>
              <w:szCs w:val="24"/>
            </w:rPr>
            <w:fldChar w:fldCharType="begin"/>
          </w:r>
          <w:r w:rsidRPr="00CA159D">
            <w:rPr>
              <w:noProof/>
              <w:sz w:val="24"/>
              <w:szCs w:val="24"/>
            </w:rPr>
            <w:instrText xml:space="preserve"> PAGEREF _Toc479697284 \h </w:instrText>
          </w:r>
          <w:r w:rsidRPr="00CA159D">
            <w:rPr>
              <w:noProof/>
              <w:sz w:val="24"/>
              <w:szCs w:val="24"/>
            </w:rPr>
          </w:r>
          <w:r w:rsidRPr="00CA159D">
            <w:rPr>
              <w:noProof/>
              <w:sz w:val="24"/>
              <w:szCs w:val="24"/>
            </w:rPr>
            <w:fldChar w:fldCharType="separate"/>
          </w:r>
          <w:r w:rsidRPr="00CA159D">
            <w:rPr>
              <w:noProof/>
              <w:sz w:val="24"/>
              <w:szCs w:val="24"/>
            </w:rPr>
            <w:t>33</w:t>
          </w:r>
          <w:r w:rsidRPr="00CA159D">
            <w:rPr>
              <w:noProof/>
              <w:sz w:val="24"/>
              <w:szCs w:val="24"/>
            </w:rPr>
            <w:fldChar w:fldCharType="end"/>
          </w:r>
        </w:p>
        <w:p w14:paraId="26B3895F" w14:textId="77777777" w:rsidR="00E57C65" w:rsidRPr="00CA159D" w:rsidRDefault="00E57C65">
          <w:pPr>
            <w:pStyle w:val="Obsah3"/>
            <w:tabs>
              <w:tab w:val="left" w:pos="960"/>
              <w:tab w:val="right" w:leader="dot" w:pos="9203"/>
            </w:tabs>
            <w:rPr>
              <w:rFonts w:eastAsiaTheme="minorEastAsia" w:cstheme="minorBidi"/>
              <w:noProof/>
              <w:sz w:val="24"/>
              <w:szCs w:val="24"/>
              <w:lang w:eastAsia="cs-CZ"/>
            </w:rPr>
          </w:pPr>
          <w:r w:rsidRPr="00CA159D">
            <w:rPr>
              <w:noProof/>
              <w:sz w:val="24"/>
              <w:szCs w:val="24"/>
            </w:rPr>
            <w:t>3.1.2</w:t>
          </w:r>
          <w:r w:rsidRPr="00CA159D">
            <w:rPr>
              <w:rFonts w:eastAsiaTheme="minorEastAsia" w:cstheme="minorBidi"/>
              <w:noProof/>
              <w:sz w:val="24"/>
              <w:szCs w:val="24"/>
              <w:lang w:eastAsia="cs-CZ"/>
            </w:rPr>
            <w:tab/>
          </w:r>
          <w:r w:rsidRPr="00CA159D">
            <w:rPr>
              <w:noProof/>
              <w:sz w:val="24"/>
              <w:szCs w:val="24"/>
            </w:rPr>
            <w:t>Vattenfall and others v. Germany</w:t>
          </w:r>
          <w:r w:rsidRPr="00CA159D">
            <w:rPr>
              <w:noProof/>
              <w:sz w:val="24"/>
              <w:szCs w:val="24"/>
            </w:rPr>
            <w:tab/>
          </w:r>
          <w:r w:rsidRPr="00CA159D">
            <w:rPr>
              <w:noProof/>
              <w:sz w:val="24"/>
              <w:szCs w:val="24"/>
            </w:rPr>
            <w:fldChar w:fldCharType="begin"/>
          </w:r>
          <w:r w:rsidRPr="00CA159D">
            <w:rPr>
              <w:noProof/>
              <w:sz w:val="24"/>
              <w:szCs w:val="24"/>
            </w:rPr>
            <w:instrText xml:space="preserve"> PAGEREF _Toc479697285 \h </w:instrText>
          </w:r>
          <w:r w:rsidRPr="00CA159D">
            <w:rPr>
              <w:noProof/>
              <w:sz w:val="24"/>
              <w:szCs w:val="24"/>
            </w:rPr>
          </w:r>
          <w:r w:rsidRPr="00CA159D">
            <w:rPr>
              <w:noProof/>
              <w:sz w:val="24"/>
              <w:szCs w:val="24"/>
            </w:rPr>
            <w:fldChar w:fldCharType="separate"/>
          </w:r>
          <w:r w:rsidRPr="00CA159D">
            <w:rPr>
              <w:noProof/>
              <w:sz w:val="24"/>
              <w:szCs w:val="24"/>
            </w:rPr>
            <w:t>35</w:t>
          </w:r>
          <w:r w:rsidRPr="00CA159D">
            <w:rPr>
              <w:noProof/>
              <w:sz w:val="24"/>
              <w:szCs w:val="24"/>
            </w:rPr>
            <w:fldChar w:fldCharType="end"/>
          </w:r>
        </w:p>
        <w:p w14:paraId="50A9C40C" w14:textId="77777777" w:rsidR="00E57C65" w:rsidRPr="00CA159D" w:rsidRDefault="00E57C65">
          <w:pPr>
            <w:pStyle w:val="Obsah3"/>
            <w:tabs>
              <w:tab w:val="left" w:pos="960"/>
              <w:tab w:val="right" w:leader="dot" w:pos="9203"/>
            </w:tabs>
            <w:rPr>
              <w:rFonts w:eastAsiaTheme="minorEastAsia" w:cstheme="minorBidi"/>
              <w:noProof/>
              <w:sz w:val="24"/>
              <w:szCs w:val="24"/>
              <w:lang w:eastAsia="cs-CZ"/>
            </w:rPr>
          </w:pPr>
          <w:r w:rsidRPr="00CA159D">
            <w:rPr>
              <w:noProof/>
              <w:sz w:val="24"/>
              <w:szCs w:val="24"/>
            </w:rPr>
            <w:t>3.1.3</w:t>
          </w:r>
          <w:r w:rsidRPr="00CA159D">
            <w:rPr>
              <w:rFonts w:eastAsiaTheme="minorEastAsia" w:cstheme="minorBidi"/>
              <w:noProof/>
              <w:sz w:val="24"/>
              <w:szCs w:val="24"/>
              <w:lang w:eastAsia="cs-CZ"/>
            </w:rPr>
            <w:tab/>
          </w:r>
          <w:r w:rsidRPr="00CA159D">
            <w:rPr>
              <w:noProof/>
              <w:sz w:val="24"/>
              <w:szCs w:val="24"/>
            </w:rPr>
            <w:t>Crystallex v. Venezuela</w:t>
          </w:r>
          <w:r w:rsidRPr="00CA159D">
            <w:rPr>
              <w:noProof/>
              <w:sz w:val="24"/>
              <w:szCs w:val="24"/>
            </w:rPr>
            <w:tab/>
          </w:r>
          <w:r w:rsidRPr="00CA159D">
            <w:rPr>
              <w:noProof/>
              <w:sz w:val="24"/>
              <w:szCs w:val="24"/>
            </w:rPr>
            <w:fldChar w:fldCharType="begin"/>
          </w:r>
          <w:r w:rsidRPr="00CA159D">
            <w:rPr>
              <w:noProof/>
              <w:sz w:val="24"/>
              <w:szCs w:val="24"/>
            </w:rPr>
            <w:instrText xml:space="preserve"> PAGEREF _Toc479697286 \h </w:instrText>
          </w:r>
          <w:r w:rsidRPr="00CA159D">
            <w:rPr>
              <w:noProof/>
              <w:sz w:val="24"/>
              <w:szCs w:val="24"/>
            </w:rPr>
          </w:r>
          <w:r w:rsidRPr="00CA159D">
            <w:rPr>
              <w:noProof/>
              <w:sz w:val="24"/>
              <w:szCs w:val="24"/>
            </w:rPr>
            <w:fldChar w:fldCharType="separate"/>
          </w:r>
          <w:r w:rsidRPr="00CA159D">
            <w:rPr>
              <w:noProof/>
              <w:sz w:val="24"/>
              <w:szCs w:val="24"/>
            </w:rPr>
            <w:t>36</w:t>
          </w:r>
          <w:r w:rsidRPr="00CA159D">
            <w:rPr>
              <w:noProof/>
              <w:sz w:val="24"/>
              <w:szCs w:val="24"/>
            </w:rPr>
            <w:fldChar w:fldCharType="end"/>
          </w:r>
        </w:p>
        <w:p w14:paraId="1BD2E597" w14:textId="77777777" w:rsidR="00E57C65" w:rsidRPr="00CA159D" w:rsidRDefault="00E57C65">
          <w:pPr>
            <w:pStyle w:val="Obsah3"/>
            <w:tabs>
              <w:tab w:val="left" w:pos="960"/>
              <w:tab w:val="right" w:leader="dot" w:pos="9203"/>
            </w:tabs>
            <w:rPr>
              <w:rFonts w:eastAsiaTheme="minorEastAsia" w:cstheme="minorBidi"/>
              <w:noProof/>
              <w:sz w:val="24"/>
              <w:szCs w:val="24"/>
              <w:lang w:eastAsia="cs-CZ"/>
            </w:rPr>
          </w:pPr>
          <w:r w:rsidRPr="00CA159D">
            <w:rPr>
              <w:noProof/>
              <w:sz w:val="24"/>
              <w:szCs w:val="24"/>
            </w:rPr>
            <w:t>3.1.4</w:t>
          </w:r>
          <w:r w:rsidRPr="00CA159D">
            <w:rPr>
              <w:rFonts w:eastAsiaTheme="minorEastAsia" w:cstheme="minorBidi"/>
              <w:noProof/>
              <w:sz w:val="24"/>
              <w:szCs w:val="24"/>
              <w:lang w:eastAsia="cs-CZ"/>
            </w:rPr>
            <w:tab/>
          </w:r>
          <w:r w:rsidRPr="00CA159D">
            <w:rPr>
              <w:noProof/>
              <w:sz w:val="24"/>
              <w:szCs w:val="24"/>
            </w:rPr>
            <w:t>Dílčí závěr k vyvlastnění</w:t>
          </w:r>
          <w:r w:rsidRPr="00CA159D">
            <w:rPr>
              <w:noProof/>
              <w:sz w:val="24"/>
              <w:szCs w:val="24"/>
            </w:rPr>
            <w:tab/>
          </w:r>
          <w:r w:rsidRPr="00CA159D">
            <w:rPr>
              <w:noProof/>
              <w:sz w:val="24"/>
              <w:szCs w:val="24"/>
            </w:rPr>
            <w:fldChar w:fldCharType="begin"/>
          </w:r>
          <w:r w:rsidRPr="00CA159D">
            <w:rPr>
              <w:noProof/>
              <w:sz w:val="24"/>
              <w:szCs w:val="24"/>
            </w:rPr>
            <w:instrText xml:space="preserve"> PAGEREF _Toc479697287 \h </w:instrText>
          </w:r>
          <w:r w:rsidRPr="00CA159D">
            <w:rPr>
              <w:noProof/>
              <w:sz w:val="24"/>
              <w:szCs w:val="24"/>
            </w:rPr>
          </w:r>
          <w:r w:rsidRPr="00CA159D">
            <w:rPr>
              <w:noProof/>
              <w:sz w:val="24"/>
              <w:szCs w:val="24"/>
            </w:rPr>
            <w:fldChar w:fldCharType="separate"/>
          </w:r>
          <w:r w:rsidRPr="00CA159D">
            <w:rPr>
              <w:noProof/>
              <w:sz w:val="24"/>
              <w:szCs w:val="24"/>
            </w:rPr>
            <w:t>37</w:t>
          </w:r>
          <w:r w:rsidRPr="00CA159D">
            <w:rPr>
              <w:noProof/>
              <w:sz w:val="24"/>
              <w:szCs w:val="24"/>
            </w:rPr>
            <w:fldChar w:fldCharType="end"/>
          </w:r>
        </w:p>
        <w:p w14:paraId="04BE948C"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3.2</w:t>
          </w:r>
          <w:r w:rsidRPr="00CA159D">
            <w:rPr>
              <w:rFonts w:eastAsiaTheme="minorEastAsia" w:cstheme="minorBidi"/>
              <w:b w:val="0"/>
              <w:bCs w:val="0"/>
              <w:noProof/>
              <w:sz w:val="24"/>
              <w:szCs w:val="24"/>
              <w:lang w:eastAsia="cs-CZ"/>
            </w:rPr>
            <w:tab/>
          </w:r>
          <w:r w:rsidRPr="00CA159D">
            <w:rPr>
              <w:b w:val="0"/>
              <w:noProof/>
              <w:sz w:val="24"/>
              <w:szCs w:val="24"/>
            </w:rPr>
            <w:t>Regulační opatření a použití dalších smluvních doložek</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_Toc479697288 \h </w:instrText>
          </w:r>
          <w:r w:rsidRPr="00CA159D">
            <w:rPr>
              <w:b w:val="0"/>
              <w:noProof/>
              <w:sz w:val="24"/>
              <w:szCs w:val="24"/>
            </w:rPr>
          </w:r>
          <w:r w:rsidRPr="00CA159D">
            <w:rPr>
              <w:b w:val="0"/>
              <w:noProof/>
              <w:sz w:val="24"/>
              <w:szCs w:val="24"/>
            </w:rPr>
            <w:fldChar w:fldCharType="separate"/>
          </w:r>
          <w:r w:rsidRPr="00CA159D">
            <w:rPr>
              <w:b w:val="0"/>
              <w:noProof/>
              <w:sz w:val="24"/>
              <w:szCs w:val="24"/>
            </w:rPr>
            <w:t>38</w:t>
          </w:r>
          <w:r w:rsidRPr="00CA159D">
            <w:rPr>
              <w:b w:val="0"/>
              <w:noProof/>
              <w:sz w:val="24"/>
              <w:szCs w:val="24"/>
            </w:rPr>
            <w:fldChar w:fldCharType="end"/>
          </w:r>
        </w:p>
        <w:p w14:paraId="1E55654D" w14:textId="77777777" w:rsidR="00E57C65" w:rsidRPr="00E57C65" w:rsidRDefault="00E57C65">
          <w:pPr>
            <w:pStyle w:val="Obsah1"/>
            <w:tabs>
              <w:tab w:val="left" w:pos="480"/>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bCs w:val="0"/>
              <w:noProof/>
              <w:lang w:bidi="x-none"/>
              <w14:scene3d>
                <w14:camera w14:prst="orthographicFront"/>
                <w14:lightRig w14:rig="threePt" w14:dir="t">
                  <w14:rot w14:lat="0" w14:lon="0" w14:rev="0"/>
                </w14:lightRig>
              </w14:scene3d>
            </w:rPr>
            <w:t>4</w:t>
          </w:r>
          <w:r w:rsidRPr="00E57C65">
            <w:rPr>
              <w:rFonts w:asciiTheme="minorHAnsi" w:eastAsiaTheme="minorEastAsia" w:hAnsiTheme="minorHAnsi" w:cstheme="minorBidi"/>
              <w:bCs w:val="0"/>
              <w:caps w:val="0"/>
              <w:noProof/>
              <w:lang w:eastAsia="cs-CZ"/>
            </w:rPr>
            <w:tab/>
          </w:r>
          <w:r w:rsidRPr="00E57C65">
            <w:rPr>
              <w:rFonts w:asciiTheme="minorHAnsi" w:hAnsiTheme="minorHAnsi"/>
              <w:noProof/>
            </w:rPr>
            <w:t>Změny v IIA související s právem státu na regulaci</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_Toc479697289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41</w:t>
          </w:r>
          <w:r w:rsidRPr="00E57C65">
            <w:rPr>
              <w:rFonts w:asciiTheme="minorHAnsi" w:hAnsiTheme="minorHAnsi"/>
              <w:noProof/>
            </w:rPr>
            <w:fldChar w:fldCharType="end"/>
          </w:r>
        </w:p>
        <w:p w14:paraId="4D1BF56B"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4.1</w:t>
          </w:r>
          <w:r w:rsidRPr="00CA159D">
            <w:rPr>
              <w:rFonts w:eastAsiaTheme="minorEastAsia" w:cstheme="minorBidi"/>
              <w:b w:val="0"/>
              <w:bCs w:val="0"/>
              <w:noProof/>
              <w:sz w:val="24"/>
              <w:szCs w:val="24"/>
              <w:lang w:eastAsia="cs-CZ"/>
            </w:rPr>
            <w:tab/>
          </w:r>
          <w:r w:rsidRPr="00CA159D">
            <w:rPr>
              <w:b w:val="0"/>
              <w:noProof/>
              <w:sz w:val="24"/>
              <w:szCs w:val="24"/>
            </w:rPr>
            <w:t>Úpravy formulací BITs a FTAs</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_Toc479697290 \h </w:instrText>
          </w:r>
          <w:r w:rsidRPr="00CA159D">
            <w:rPr>
              <w:b w:val="0"/>
              <w:noProof/>
              <w:sz w:val="24"/>
              <w:szCs w:val="24"/>
            </w:rPr>
          </w:r>
          <w:r w:rsidRPr="00CA159D">
            <w:rPr>
              <w:b w:val="0"/>
              <w:noProof/>
              <w:sz w:val="24"/>
              <w:szCs w:val="24"/>
            </w:rPr>
            <w:fldChar w:fldCharType="separate"/>
          </w:r>
          <w:r w:rsidRPr="00CA159D">
            <w:rPr>
              <w:b w:val="0"/>
              <w:noProof/>
              <w:sz w:val="24"/>
              <w:szCs w:val="24"/>
            </w:rPr>
            <w:t>42</w:t>
          </w:r>
          <w:r w:rsidRPr="00CA159D">
            <w:rPr>
              <w:b w:val="0"/>
              <w:noProof/>
              <w:sz w:val="24"/>
              <w:szCs w:val="24"/>
            </w:rPr>
            <w:fldChar w:fldCharType="end"/>
          </w:r>
        </w:p>
        <w:p w14:paraId="44A2D76C"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4.2</w:t>
          </w:r>
          <w:r w:rsidRPr="00CA159D">
            <w:rPr>
              <w:rFonts w:eastAsiaTheme="minorEastAsia" w:cstheme="minorBidi"/>
              <w:b w:val="0"/>
              <w:bCs w:val="0"/>
              <w:noProof/>
              <w:sz w:val="24"/>
              <w:szCs w:val="24"/>
              <w:lang w:eastAsia="cs-CZ"/>
            </w:rPr>
            <w:tab/>
          </w:r>
          <w:r w:rsidRPr="00CA159D">
            <w:rPr>
              <w:b w:val="0"/>
              <w:noProof/>
              <w:sz w:val="24"/>
              <w:szCs w:val="24"/>
            </w:rPr>
            <w:t>Standard FET a standard minimálního zacházení</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_Toc479697291 \h </w:instrText>
          </w:r>
          <w:r w:rsidRPr="00CA159D">
            <w:rPr>
              <w:b w:val="0"/>
              <w:noProof/>
              <w:sz w:val="24"/>
              <w:szCs w:val="24"/>
            </w:rPr>
          </w:r>
          <w:r w:rsidRPr="00CA159D">
            <w:rPr>
              <w:b w:val="0"/>
              <w:noProof/>
              <w:sz w:val="24"/>
              <w:szCs w:val="24"/>
            </w:rPr>
            <w:fldChar w:fldCharType="separate"/>
          </w:r>
          <w:r w:rsidRPr="00CA159D">
            <w:rPr>
              <w:b w:val="0"/>
              <w:noProof/>
              <w:sz w:val="24"/>
              <w:szCs w:val="24"/>
            </w:rPr>
            <w:t>44</w:t>
          </w:r>
          <w:r w:rsidRPr="00CA159D">
            <w:rPr>
              <w:b w:val="0"/>
              <w:noProof/>
              <w:sz w:val="24"/>
              <w:szCs w:val="24"/>
            </w:rPr>
            <w:fldChar w:fldCharType="end"/>
          </w:r>
        </w:p>
        <w:p w14:paraId="362F2400"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4.3</w:t>
          </w:r>
          <w:r w:rsidRPr="00CA159D">
            <w:rPr>
              <w:rFonts w:eastAsiaTheme="minorEastAsia" w:cstheme="minorBidi"/>
              <w:b w:val="0"/>
              <w:bCs w:val="0"/>
              <w:noProof/>
              <w:sz w:val="24"/>
              <w:szCs w:val="24"/>
              <w:lang w:eastAsia="cs-CZ"/>
            </w:rPr>
            <w:tab/>
          </w:r>
          <w:r w:rsidRPr="00CA159D">
            <w:rPr>
              <w:b w:val="0"/>
              <w:noProof/>
              <w:sz w:val="24"/>
              <w:szCs w:val="24"/>
            </w:rPr>
            <w:t>Změny v ochraně před vyvlastněním</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_Toc479697292 \h </w:instrText>
          </w:r>
          <w:r w:rsidRPr="00CA159D">
            <w:rPr>
              <w:b w:val="0"/>
              <w:noProof/>
              <w:sz w:val="24"/>
              <w:szCs w:val="24"/>
            </w:rPr>
          </w:r>
          <w:r w:rsidRPr="00CA159D">
            <w:rPr>
              <w:b w:val="0"/>
              <w:noProof/>
              <w:sz w:val="24"/>
              <w:szCs w:val="24"/>
            </w:rPr>
            <w:fldChar w:fldCharType="separate"/>
          </w:r>
          <w:r w:rsidRPr="00CA159D">
            <w:rPr>
              <w:b w:val="0"/>
              <w:noProof/>
              <w:sz w:val="24"/>
              <w:szCs w:val="24"/>
            </w:rPr>
            <w:t>47</w:t>
          </w:r>
          <w:r w:rsidRPr="00CA159D">
            <w:rPr>
              <w:b w:val="0"/>
              <w:noProof/>
              <w:sz w:val="24"/>
              <w:szCs w:val="24"/>
            </w:rPr>
            <w:fldChar w:fldCharType="end"/>
          </w:r>
        </w:p>
        <w:p w14:paraId="4984DEB4"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4.4</w:t>
          </w:r>
          <w:r w:rsidRPr="00CA159D">
            <w:rPr>
              <w:rFonts w:eastAsiaTheme="minorEastAsia" w:cstheme="minorBidi"/>
              <w:b w:val="0"/>
              <w:bCs w:val="0"/>
              <w:noProof/>
              <w:sz w:val="24"/>
              <w:szCs w:val="24"/>
              <w:lang w:eastAsia="cs-CZ"/>
            </w:rPr>
            <w:tab/>
          </w:r>
          <w:r w:rsidRPr="00CA159D">
            <w:rPr>
              <w:b w:val="0"/>
              <w:noProof/>
              <w:sz w:val="24"/>
              <w:szCs w:val="24"/>
            </w:rPr>
            <w:t>CETA a právo na regulaci</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_Toc479697293 \h </w:instrText>
          </w:r>
          <w:r w:rsidRPr="00CA159D">
            <w:rPr>
              <w:b w:val="0"/>
              <w:noProof/>
              <w:sz w:val="24"/>
              <w:szCs w:val="24"/>
            </w:rPr>
          </w:r>
          <w:r w:rsidRPr="00CA159D">
            <w:rPr>
              <w:b w:val="0"/>
              <w:noProof/>
              <w:sz w:val="24"/>
              <w:szCs w:val="24"/>
            </w:rPr>
            <w:fldChar w:fldCharType="separate"/>
          </w:r>
          <w:r w:rsidRPr="00CA159D">
            <w:rPr>
              <w:b w:val="0"/>
              <w:noProof/>
              <w:sz w:val="24"/>
              <w:szCs w:val="24"/>
            </w:rPr>
            <w:t>48</w:t>
          </w:r>
          <w:r w:rsidRPr="00CA159D">
            <w:rPr>
              <w:b w:val="0"/>
              <w:noProof/>
              <w:sz w:val="24"/>
              <w:szCs w:val="24"/>
            </w:rPr>
            <w:fldChar w:fldCharType="end"/>
          </w:r>
        </w:p>
        <w:p w14:paraId="09607CE8" w14:textId="77777777" w:rsidR="00E57C65" w:rsidRPr="00CA159D" w:rsidRDefault="00E57C65">
          <w:pPr>
            <w:pStyle w:val="Obsah2"/>
            <w:tabs>
              <w:tab w:val="left" w:pos="480"/>
              <w:tab w:val="right" w:leader="dot" w:pos="9203"/>
            </w:tabs>
            <w:rPr>
              <w:rFonts w:eastAsiaTheme="minorEastAsia" w:cstheme="minorBidi"/>
              <w:b w:val="0"/>
              <w:bCs w:val="0"/>
              <w:noProof/>
              <w:sz w:val="24"/>
              <w:szCs w:val="24"/>
              <w:lang w:eastAsia="cs-CZ"/>
            </w:rPr>
          </w:pPr>
          <w:r w:rsidRPr="00CA159D">
            <w:rPr>
              <w:b w:val="0"/>
              <w:noProof/>
              <w:sz w:val="24"/>
              <w:szCs w:val="24"/>
            </w:rPr>
            <w:t>4.5</w:t>
          </w:r>
          <w:r w:rsidRPr="00CA159D">
            <w:rPr>
              <w:rFonts w:eastAsiaTheme="minorEastAsia" w:cstheme="minorBidi"/>
              <w:b w:val="0"/>
              <w:bCs w:val="0"/>
              <w:noProof/>
              <w:sz w:val="24"/>
              <w:szCs w:val="24"/>
              <w:lang w:eastAsia="cs-CZ"/>
            </w:rPr>
            <w:tab/>
          </w:r>
          <w:r w:rsidRPr="00CA159D">
            <w:rPr>
              <w:b w:val="0"/>
              <w:noProof/>
              <w:sz w:val="24"/>
              <w:szCs w:val="24"/>
            </w:rPr>
            <w:t>Dílčí závěr ke změnám IIA</w:t>
          </w:r>
          <w:r w:rsidRPr="00CA159D">
            <w:rPr>
              <w:b w:val="0"/>
              <w:noProof/>
              <w:sz w:val="24"/>
              <w:szCs w:val="24"/>
            </w:rPr>
            <w:tab/>
          </w:r>
          <w:r w:rsidRPr="00CA159D">
            <w:rPr>
              <w:b w:val="0"/>
              <w:noProof/>
              <w:sz w:val="24"/>
              <w:szCs w:val="24"/>
            </w:rPr>
            <w:fldChar w:fldCharType="begin"/>
          </w:r>
          <w:r w:rsidRPr="00CA159D">
            <w:rPr>
              <w:b w:val="0"/>
              <w:noProof/>
              <w:sz w:val="24"/>
              <w:szCs w:val="24"/>
            </w:rPr>
            <w:instrText xml:space="preserve"> PAGEREF _Toc479697294 \h </w:instrText>
          </w:r>
          <w:r w:rsidRPr="00CA159D">
            <w:rPr>
              <w:b w:val="0"/>
              <w:noProof/>
              <w:sz w:val="24"/>
              <w:szCs w:val="24"/>
            </w:rPr>
          </w:r>
          <w:r w:rsidRPr="00CA159D">
            <w:rPr>
              <w:b w:val="0"/>
              <w:noProof/>
              <w:sz w:val="24"/>
              <w:szCs w:val="24"/>
            </w:rPr>
            <w:fldChar w:fldCharType="separate"/>
          </w:r>
          <w:r w:rsidRPr="00CA159D">
            <w:rPr>
              <w:b w:val="0"/>
              <w:noProof/>
              <w:sz w:val="24"/>
              <w:szCs w:val="24"/>
            </w:rPr>
            <w:t>49</w:t>
          </w:r>
          <w:r w:rsidRPr="00CA159D">
            <w:rPr>
              <w:b w:val="0"/>
              <w:noProof/>
              <w:sz w:val="24"/>
              <w:szCs w:val="24"/>
            </w:rPr>
            <w:fldChar w:fldCharType="end"/>
          </w:r>
        </w:p>
        <w:p w14:paraId="55A477C4" w14:textId="77777777" w:rsidR="00E57C65" w:rsidRPr="00E57C65" w:rsidRDefault="00E57C65">
          <w:pPr>
            <w:pStyle w:val="Obsah1"/>
            <w:tabs>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noProof/>
            </w:rPr>
            <w:t>Závěr</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_Toc479697295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51</w:t>
          </w:r>
          <w:r w:rsidRPr="00E57C65">
            <w:rPr>
              <w:rFonts w:asciiTheme="minorHAnsi" w:hAnsiTheme="minorHAnsi"/>
              <w:noProof/>
            </w:rPr>
            <w:fldChar w:fldCharType="end"/>
          </w:r>
        </w:p>
        <w:p w14:paraId="21938FD8" w14:textId="77777777" w:rsidR="00E57C65" w:rsidRPr="00E57C65" w:rsidRDefault="00E57C65">
          <w:pPr>
            <w:pStyle w:val="Obsah1"/>
            <w:tabs>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noProof/>
            </w:rPr>
            <w:t>Seznam</w:t>
          </w:r>
          <w:r w:rsidRPr="00E57C65">
            <w:rPr>
              <w:rFonts w:asciiTheme="minorHAnsi" w:hAnsiTheme="minorHAnsi"/>
              <w:bCs w:val="0"/>
              <w:noProof/>
            </w:rPr>
            <w:t xml:space="preserve"> použitých zdrojů</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_Toc479697296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53</w:t>
          </w:r>
          <w:r w:rsidRPr="00E57C65">
            <w:rPr>
              <w:rFonts w:asciiTheme="minorHAnsi" w:hAnsiTheme="minorHAnsi"/>
              <w:noProof/>
            </w:rPr>
            <w:fldChar w:fldCharType="end"/>
          </w:r>
        </w:p>
        <w:p w14:paraId="35020BB0" w14:textId="77777777" w:rsidR="00E57C65" w:rsidRPr="00E57C65" w:rsidRDefault="00E57C65">
          <w:pPr>
            <w:pStyle w:val="Obsah1"/>
            <w:tabs>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noProof/>
            </w:rPr>
            <w:t>SHRNUTÍ</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_Toc479697297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62</w:t>
          </w:r>
          <w:r w:rsidRPr="00E57C65">
            <w:rPr>
              <w:rFonts w:asciiTheme="minorHAnsi" w:hAnsiTheme="minorHAnsi"/>
              <w:noProof/>
            </w:rPr>
            <w:fldChar w:fldCharType="end"/>
          </w:r>
        </w:p>
        <w:p w14:paraId="2A873DF3" w14:textId="77777777" w:rsidR="00E57C65" w:rsidRPr="00E57C65" w:rsidRDefault="00E57C65">
          <w:pPr>
            <w:pStyle w:val="Obsah1"/>
            <w:tabs>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noProof/>
            </w:rPr>
            <w:t>SUMMARY</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_Toc479697298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63</w:t>
          </w:r>
          <w:r w:rsidRPr="00E57C65">
            <w:rPr>
              <w:rFonts w:asciiTheme="minorHAnsi" w:hAnsiTheme="minorHAnsi"/>
              <w:noProof/>
            </w:rPr>
            <w:fldChar w:fldCharType="end"/>
          </w:r>
        </w:p>
        <w:p w14:paraId="2160530B" w14:textId="77777777" w:rsidR="00E57C65" w:rsidRPr="00E57C65" w:rsidRDefault="00E57C65">
          <w:pPr>
            <w:pStyle w:val="Obsah1"/>
            <w:tabs>
              <w:tab w:val="right" w:leader="dot" w:pos="9203"/>
            </w:tabs>
            <w:rPr>
              <w:rFonts w:asciiTheme="minorHAnsi" w:eastAsiaTheme="minorEastAsia" w:hAnsiTheme="minorHAnsi" w:cstheme="minorBidi"/>
              <w:bCs w:val="0"/>
              <w:caps w:val="0"/>
              <w:noProof/>
              <w:lang w:eastAsia="cs-CZ"/>
            </w:rPr>
          </w:pPr>
          <w:r w:rsidRPr="00E57C65">
            <w:rPr>
              <w:rFonts w:asciiTheme="minorHAnsi" w:hAnsiTheme="minorHAnsi"/>
              <w:noProof/>
            </w:rPr>
            <w:t>Klíčová</w:t>
          </w:r>
          <w:r w:rsidRPr="00E57C65">
            <w:rPr>
              <w:rFonts w:asciiTheme="minorHAnsi" w:hAnsiTheme="minorHAnsi"/>
              <w:iCs/>
              <w:noProof/>
            </w:rPr>
            <w:t xml:space="preserve"> slova</w:t>
          </w:r>
          <w:r w:rsidRPr="00E57C65">
            <w:rPr>
              <w:rFonts w:asciiTheme="minorHAnsi" w:hAnsiTheme="minorHAnsi"/>
              <w:noProof/>
            </w:rPr>
            <w:tab/>
          </w:r>
          <w:r w:rsidRPr="00E57C65">
            <w:rPr>
              <w:rFonts w:asciiTheme="minorHAnsi" w:hAnsiTheme="minorHAnsi"/>
              <w:noProof/>
            </w:rPr>
            <w:fldChar w:fldCharType="begin"/>
          </w:r>
          <w:r w:rsidRPr="00E57C65">
            <w:rPr>
              <w:rFonts w:asciiTheme="minorHAnsi" w:hAnsiTheme="minorHAnsi"/>
              <w:noProof/>
            </w:rPr>
            <w:instrText xml:space="preserve"> PAGEREF _Toc479697299 \h </w:instrText>
          </w:r>
          <w:r w:rsidRPr="00E57C65">
            <w:rPr>
              <w:rFonts w:asciiTheme="minorHAnsi" w:hAnsiTheme="minorHAnsi"/>
              <w:noProof/>
            </w:rPr>
          </w:r>
          <w:r w:rsidRPr="00E57C65">
            <w:rPr>
              <w:rFonts w:asciiTheme="minorHAnsi" w:hAnsiTheme="minorHAnsi"/>
              <w:noProof/>
            </w:rPr>
            <w:fldChar w:fldCharType="separate"/>
          </w:r>
          <w:r w:rsidRPr="00E57C65">
            <w:rPr>
              <w:rFonts w:asciiTheme="minorHAnsi" w:hAnsiTheme="minorHAnsi"/>
              <w:noProof/>
            </w:rPr>
            <w:t>64</w:t>
          </w:r>
          <w:r w:rsidRPr="00E57C65">
            <w:rPr>
              <w:rFonts w:asciiTheme="minorHAnsi" w:hAnsiTheme="minorHAnsi"/>
              <w:noProof/>
            </w:rPr>
            <w:fldChar w:fldCharType="end"/>
          </w:r>
        </w:p>
        <w:p w14:paraId="2AF16810" w14:textId="2D3E3C31" w:rsidR="00A36E7C" w:rsidRDefault="00E57C65" w:rsidP="00A36E7C">
          <w:pPr>
            <w:spacing w:line="360" w:lineRule="auto"/>
          </w:pPr>
          <w:r w:rsidRPr="00E57C65">
            <w:rPr>
              <w:b/>
              <w:u w:val="single"/>
            </w:rPr>
            <w:fldChar w:fldCharType="end"/>
          </w:r>
          <w:r w:rsidR="00FA2346">
            <w:br w:type="page"/>
          </w:r>
        </w:p>
      </w:sdtContent>
    </w:sdt>
    <w:p w14:paraId="2D0AC05A" w14:textId="0AE03E0A" w:rsidR="00AC6EB2" w:rsidRPr="00942FD4" w:rsidRDefault="000D7F36" w:rsidP="001C6A1A">
      <w:pPr>
        <w:pStyle w:val="Nadpis1"/>
        <w:numPr>
          <w:ilvl w:val="0"/>
          <w:numId w:val="0"/>
        </w:numPr>
        <w:spacing w:line="360" w:lineRule="auto"/>
        <w:ind w:left="432" w:hanging="432"/>
        <w:jc w:val="both"/>
      </w:pPr>
      <w:bookmarkStart w:id="8" w:name="_Toc479697271"/>
      <w:r>
        <w:lastRenderedPageBreak/>
        <w:t>Seznam použitých zkratek</w:t>
      </w:r>
      <w:bookmarkEnd w:id="8"/>
    </w:p>
    <w:p w14:paraId="66883B64" w14:textId="50FDEC49" w:rsidR="00155386" w:rsidRDefault="007F6933" w:rsidP="00155386">
      <w:pPr>
        <w:tabs>
          <w:tab w:val="left" w:pos="360"/>
          <w:tab w:val="left" w:pos="900"/>
          <w:tab w:val="left" w:pos="1800"/>
          <w:tab w:val="left" w:pos="8280"/>
        </w:tabs>
        <w:spacing w:before="120" w:line="360" w:lineRule="auto"/>
        <w:ind w:left="1800" w:hanging="1800"/>
        <w:jc w:val="both"/>
        <w:rPr>
          <w:i/>
          <w:iCs/>
        </w:rPr>
      </w:pPr>
      <w:r>
        <w:rPr>
          <w:iCs/>
        </w:rPr>
        <w:t>BIT</w:t>
      </w:r>
      <w:r w:rsidR="00477D4A">
        <w:rPr>
          <w:iCs/>
        </w:rPr>
        <w:tab/>
      </w:r>
      <w:r w:rsidR="00477D4A">
        <w:rPr>
          <w:iCs/>
        </w:rPr>
        <w:tab/>
      </w:r>
      <w:r>
        <w:rPr>
          <w:iCs/>
        </w:rPr>
        <w:tab/>
      </w:r>
      <w:r w:rsidR="00477D4A">
        <w:rPr>
          <w:iCs/>
        </w:rPr>
        <w:t>Dvoustranná smlouva</w:t>
      </w:r>
      <w:r w:rsidR="00155386" w:rsidRPr="005400EE">
        <w:rPr>
          <w:iCs/>
        </w:rPr>
        <w:t xml:space="preserve"> o podpoře a vzájemné ochraně investic (</w:t>
      </w:r>
      <w:r w:rsidR="00477D4A">
        <w:rPr>
          <w:i/>
          <w:iCs/>
        </w:rPr>
        <w:t>Bilateral Investment Treaty</w:t>
      </w:r>
      <w:r w:rsidR="00155386" w:rsidRPr="005400EE">
        <w:rPr>
          <w:i/>
          <w:iCs/>
        </w:rPr>
        <w:t>)</w:t>
      </w:r>
    </w:p>
    <w:p w14:paraId="01A86678" w14:textId="5A854357" w:rsidR="009776D8" w:rsidRDefault="009776D8" w:rsidP="00155386">
      <w:pPr>
        <w:tabs>
          <w:tab w:val="left" w:pos="360"/>
          <w:tab w:val="left" w:pos="900"/>
          <w:tab w:val="left" w:pos="1800"/>
          <w:tab w:val="left" w:pos="8280"/>
        </w:tabs>
        <w:spacing w:before="120" w:line="360" w:lineRule="auto"/>
        <w:ind w:left="1800" w:hanging="1800"/>
        <w:jc w:val="both"/>
        <w:rPr>
          <w:i/>
          <w:iCs/>
        </w:rPr>
      </w:pPr>
      <w:r>
        <w:t>BVerfG</w:t>
      </w:r>
      <w:r>
        <w:tab/>
      </w:r>
      <w:r>
        <w:tab/>
        <w:t>Ústavní soud Spolkové republiky Německo (</w:t>
      </w:r>
      <w:r>
        <w:rPr>
          <w:rStyle w:val="Zvraznn"/>
        </w:rPr>
        <w:t>Bundesverfassungsgericht</w:t>
      </w:r>
      <w:r w:rsidRPr="009776D8">
        <w:rPr>
          <w:rStyle w:val="Zvraznn"/>
          <w:i w:val="0"/>
        </w:rPr>
        <w:t>)</w:t>
      </w:r>
    </w:p>
    <w:p w14:paraId="06AA1426" w14:textId="4AF912CB" w:rsidR="003E3E8E" w:rsidRPr="003E3E8E" w:rsidRDefault="003E3E8E" w:rsidP="00155386">
      <w:pPr>
        <w:tabs>
          <w:tab w:val="left" w:pos="360"/>
          <w:tab w:val="left" w:pos="900"/>
          <w:tab w:val="left" w:pos="1800"/>
          <w:tab w:val="left" w:pos="8280"/>
        </w:tabs>
        <w:spacing w:before="120" w:line="360" w:lineRule="auto"/>
        <w:ind w:left="1800" w:hanging="1800"/>
        <w:jc w:val="both"/>
        <w:rPr>
          <w:i/>
          <w:iCs/>
          <w:lang w:val="en"/>
        </w:rPr>
      </w:pPr>
      <w:r>
        <w:rPr>
          <w:iCs/>
        </w:rPr>
        <w:t>CIL</w:t>
      </w:r>
      <w:r>
        <w:rPr>
          <w:iCs/>
        </w:rPr>
        <w:tab/>
      </w:r>
      <w:r>
        <w:rPr>
          <w:iCs/>
        </w:rPr>
        <w:tab/>
      </w:r>
      <w:r>
        <w:rPr>
          <w:iCs/>
        </w:rPr>
        <w:tab/>
        <w:t>Mezinárodní obyčejové právo (</w:t>
      </w:r>
      <w:r w:rsidRPr="003E3E8E">
        <w:rPr>
          <w:i/>
          <w:iCs/>
        </w:rPr>
        <w:t>Customary international law</w:t>
      </w:r>
      <w:r>
        <w:rPr>
          <w:iCs/>
        </w:rPr>
        <w:t>)</w:t>
      </w:r>
    </w:p>
    <w:p w14:paraId="7FD4A7A5" w14:textId="18732780" w:rsidR="00C02FFA" w:rsidRPr="005400EE" w:rsidRDefault="00C02FFA" w:rsidP="00155386">
      <w:pPr>
        <w:tabs>
          <w:tab w:val="left" w:pos="360"/>
          <w:tab w:val="left" w:pos="900"/>
          <w:tab w:val="left" w:pos="1800"/>
          <w:tab w:val="left" w:pos="8280"/>
        </w:tabs>
        <w:spacing w:before="120" w:line="360" w:lineRule="auto"/>
        <w:ind w:left="1800" w:hanging="1800"/>
        <w:jc w:val="both"/>
        <w:rPr>
          <w:i/>
          <w:iCs/>
        </w:rPr>
      </w:pPr>
      <w:r>
        <w:rPr>
          <w:iCs/>
        </w:rPr>
        <w:t>CETA</w:t>
      </w:r>
      <w:r>
        <w:rPr>
          <w:iCs/>
        </w:rPr>
        <w:tab/>
      </w:r>
      <w:r>
        <w:rPr>
          <w:iCs/>
        </w:rPr>
        <w:tab/>
      </w:r>
      <w:r w:rsidR="00177926" w:rsidRPr="00177926">
        <w:rPr>
          <w:iCs/>
        </w:rPr>
        <w:t>Komplexní hospodářská a obchodní dohoda</w:t>
      </w:r>
      <w:r w:rsidR="00177926">
        <w:rPr>
          <w:iCs/>
        </w:rPr>
        <w:t xml:space="preserve"> mezi EU a Kanadou (</w:t>
      </w:r>
      <w:r w:rsidRPr="00177926">
        <w:rPr>
          <w:i/>
          <w:iCs/>
        </w:rPr>
        <w:t>Comprehensive Economic and Trade Agreement</w:t>
      </w:r>
      <w:r w:rsidR="00177926">
        <w:rPr>
          <w:iCs/>
        </w:rPr>
        <w:t>)</w:t>
      </w:r>
    </w:p>
    <w:p w14:paraId="16D9761A" w14:textId="63B8887C" w:rsidR="001D1951" w:rsidRPr="005400EE" w:rsidRDefault="003A6F02" w:rsidP="003A6F02">
      <w:pPr>
        <w:tabs>
          <w:tab w:val="left" w:pos="360"/>
          <w:tab w:val="left" w:pos="900"/>
          <w:tab w:val="left" w:pos="1800"/>
          <w:tab w:val="left" w:pos="8280"/>
        </w:tabs>
        <w:spacing w:before="120" w:line="360" w:lineRule="auto"/>
        <w:ind w:left="1843" w:hanging="1843"/>
        <w:jc w:val="both"/>
        <w:rPr>
          <w:iCs/>
        </w:rPr>
      </w:pPr>
      <w:r>
        <w:rPr>
          <w:iCs/>
        </w:rPr>
        <w:t>ECHR</w:t>
      </w:r>
      <w:r>
        <w:rPr>
          <w:iCs/>
        </w:rPr>
        <w:tab/>
      </w:r>
      <w:r>
        <w:rPr>
          <w:iCs/>
        </w:rPr>
        <w:tab/>
      </w:r>
      <w:r w:rsidR="00C25928">
        <w:rPr>
          <w:iCs/>
        </w:rPr>
        <w:t>Evropský soud pro lidská práva</w:t>
      </w:r>
    </w:p>
    <w:p w14:paraId="345E9BE8" w14:textId="76735B19" w:rsidR="00155386" w:rsidRPr="005400EE" w:rsidRDefault="00155386" w:rsidP="001D1951">
      <w:pPr>
        <w:tabs>
          <w:tab w:val="left" w:pos="360"/>
          <w:tab w:val="left" w:pos="900"/>
          <w:tab w:val="left" w:pos="1800"/>
          <w:tab w:val="left" w:pos="8280"/>
        </w:tabs>
        <w:spacing w:before="120" w:line="360" w:lineRule="auto"/>
        <w:ind w:left="1800" w:hanging="1800"/>
        <w:jc w:val="both"/>
        <w:rPr>
          <w:iCs/>
        </w:rPr>
      </w:pPr>
      <w:r w:rsidRPr="005400EE">
        <w:rPr>
          <w:iCs/>
        </w:rPr>
        <w:t>ECT</w:t>
      </w:r>
      <w:r w:rsidRPr="005400EE">
        <w:rPr>
          <w:iCs/>
        </w:rPr>
        <w:tab/>
      </w:r>
      <w:r w:rsidRPr="005400EE">
        <w:rPr>
          <w:iCs/>
        </w:rPr>
        <w:tab/>
      </w:r>
      <w:r w:rsidR="00E97938">
        <w:rPr>
          <w:iCs/>
        </w:rPr>
        <w:t>Dohoda k Energické chartě</w:t>
      </w:r>
      <w:r w:rsidR="006763CE">
        <w:rPr>
          <w:iCs/>
        </w:rPr>
        <w:t xml:space="preserve"> ze dne </w:t>
      </w:r>
      <w:r w:rsidR="00086701">
        <w:t>17. prosince 1994</w:t>
      </w:r>
    </w:p>
    <w:p w14:paraId="2C8FF2F7" w14:textId="1F7DBC64" w:rsidR="00155386" w:rsidRDefault="00CB04FD" w:rsidP="003A6F02">
      <w:pPr>
        <w:tabs>
          <w:tab w:val="left" w:pos="360"/>
          <w:tab w:val="left" w:pos="900"/>
          <w:tab w:val="left" w:pos="1800"/>
          <w:tab w:val="left" w:pos="8280"/>
        </w:tabs>
        <w:spacing w:before="120" w:line="360" w:lineRule="auto"/>
        <w:ind w:left="1843" w:hanging="1843"/>
        <w:jc w:val="both"/>
        <w:rPr>
          <w:iCs/>
        </w:rPr>
      </w:pPr>
      <w:r w:rsidRPr="0021017D">
        <w:rPr>
          <w:iCs/>
        </w:rPr>
        <w:t>ESLP</w:t>
      </w:r>
      <w:r w:rsidR="00155386" w:rsidRPr="0021017D">
        <w:rPr>
          <w:iCs/>
        </w:rPr>
        <w:t xml:space="preserve"> </w:t>
      </w:r>
      <w:r w:rsidR="003A6F02">
        <w:rPr>
          <w:iCs/>
        </w:rPr>
        <w:tab/>
      </w:r>
      <w:r w:rsidR="003A6F02">
        <w:rPr>
          <w:iCs/>
        </w:rPr>
        <w:tab/>
      </w:r>
      <w:r w:rsidR="0021017D">
        <w:rPr>
          <w:iCs/>
        </w:rPr>
        <w:t>Evropský soud pro lidská práva</w:t>
      </w:r>
    </w:p>
    <w:p w14:paraId="0F3BB609" w14:textId="28ABEF49" w:rsidR="00A679D7" w:rsidRPr="0021017D" w:rsidRDefault="00271E5A" w:rsidP="00271E5A">
      <w:pPr>
        <w:tabs>
          <w:tab w:val="left" w:pos="360"/>
          <w:tab w:val="left" w:pos="900"/>
          <w:tab w:val="left" w:pos="1800"/>
          <w:tab w:val="left" w:pos="8280"/>
        </w:tabs>
        <w:spacing w:before="120" w:line="360" w:lineRule="auto"/>
        <w:ind w:left="1843" w:hanging="1843"/>
        <w:jc w:val="both"/>
        <w:rPr>
          <w:iCs/>
        </w:rPr>
      </w:pPr>
      <w:r>
        <w:rPr>
          <w:iCs/>
        </w:rPr>
        <w:t>EP</w:t>
      </w:r>
      <w:r>
        <w:rPr>
          <w:iCs/>
        </w:rPr>
        <w:tab/>
      </w:r>
      <w:r>
        <w:rPr>
          <w:iCs/>
        </w:rPr>
        <w:tab/>
      </w:r>
      <w:r>
        <w:rPr>
          <w:iCs/>
        </w:rPr>
        <w:tab/>
      </w:r>
      <w:r w:rsidR="00A679D7">
        <w:rPr>
          <w:iCs/>
        </w:rPr>
        <w:t>Evropský parlament</w:t>
      </w:r>
    </w:p>
    <w:p w14:paraId="2968C5D9" w14:textId="196D1575" w:rsidR="00155386" w:rsidRPr="005400EE" w:rsidRDefault="00672208" w:rsidP="00672208">
      <w:pPr>
        <w:tabs>
          <w:tab w:val="left" w:pos="360"/>
          <w:tab w:val="left" w:pos="900"/>
          <w:tab w:val="left" w:pos="1800"/>
          <w:tab w:val="left" w:pos="8280"/>
        </w:tabs>
        <w:spacing w:before="120" w:line="360" w:lineRule="auto"/>
        <w:ind w:left="1843" w:hanging="1843"/>
        <w:jc w:val="both"/>
        <w:rPr>
          <w:iCs/>
        </w:rPr>
      </w:pPr>
      <w:r>
        <w:rPr>
          <w:iCs/>
        </w:rPr>
        <w:t>EU</w:t>
      </w:r>
      <w:r>
        <w:rPr>
          <w:iCs/>
        </w:rPr>
        <w:tab/>
      </w:r>
      <w:r>
        <w:rPr>
          <w:iCs/>
        </w:rPr>
        <w:tab/>
      </w:r>
      <w:r>
        <w:rPr>
          <w:iCs/>
        </w:rPr>
        <w:tab/>
      </w:r>
      <w:r w:rsidR="00155386" w:rsidRPr="005400EE">
        <w:rPr>
          <w:iCs/>
        </w:rPr>
        <w:t>Evropská unie</w:t>
      </w:r>
    </w:p>
    <w:p w14:paraId="2C45C348" w14:textId="736E7D66" w:rsidR="00E97938" w:rsidRDefault="0067112E" w:rsidP="00ED3D68">
      <w:pPr>
        <w:tabs>
          <w:tab w:val="left" w:pos="360"/>
          <w:tab w:val="left" w:pos="900"/>
          <w:tab w:val="left" w:pos="1800"/>
          <w:tab w:val="left" w:pos="8280"/>
        </w:tabs>
        <w:spacing w:before="120" w:line="360" w:lineRule="auto"/>
        <w:ind w:left="1843" w:hanging="1843"/>
        <w:jc w:val="both"/>
        <w:rPr>
          <w:i/>
          <w:iCs/>
        </w:rPr>
      </w:pPr>
      <w:r w:rsidRPr="005400EE">
        <w:rPr>
          <w:iCs/>
        </w:rPr>
        <w:t>FCTC</w:t>
      </w:r>
      <w:r w:rsidR="0021017D">
        <w:rPr>
          <w:iCs/>
        </w:rPr>
        <w:tab/>
      </w:r>
      <w:r w:rsidR="0021017D">
        <w:rPr>
          <w:iCs/>
        </w:rPr>
        <w:tab/>
        <w:t>Rámcová dohoda</w:t>
      </w:r>
      <w:r w:rsidR="00CD0853">
        <w:rPr>
          <w:iCs/>
        </w:rPr>
        <w:t xml:space="preserve"> WHO</w:t>
      </w:r>
      <w:r w:rsidR="0021017D">
        <w:rPr>
          <w:iCs/>
        </w:rPr>
        <w:t xml:space="preserve"> o </w:t>
      </w:r>
      <w:r w:rsidR="00B255AF">
        <w:rPr>
          <w:iCs/>
        </w:rPr>
        <w:t>regulaci tabáku (</w:t>
      </w:r>
      <w:r w:rsidR="00100460">
        <w:rPr>
          <w:i/>
          <w:iCs/>
        </w:rPr>
        <w:t xml:space="preserve">Framework Convention on </w:t>
      </w:r>
    </w:p>
    <w:p w14:paraId="337AE0B0" w14:textId="70CDB1F4" w:rsidR="0067112E" w:rsidRPr="005400EE" w:rsidRDefault="00E97938" w:rsidP="00ED3D68">
      <w:pPr>
        <w:tabs>
          <w:tab w:val="left" w:pos="360"/>
          <w:tab w:val="left" w:pos="900"/>
          <w:tab w:val="left" w:pos="1800"/>
          <w:tab w:val="left" w:pos="8280"/>
        </w:tabs>
        <w:spacing w:before="120" w:line="360" w:lineRule="auto"/>
        <w:ind w:left="1843" w:hanging="1843"/>
        <w:jc w:val="both"/>
        <w:rPr>
          <w:iCs/>
        </w:rPr>
      </w:pPr>
      <w:r>
        <w:rPr>
          <w:i/>
          <w:iCs/>
        </w:rPr>
        <w:tab/>
      </w:r>
      <w:r>
        <w:rPr>
          <w:i/>
          <w:iCs/>
        </w:rPr>
        <w:tab/>
      </w:r>
      <w:r>
        <w:rPr>
          <w:i/>
          <w:iCs/>
        </w:rPr>
        <w:tab/>
      </w:r>
      <w:r w:rsidR="00100460">
        <w:rPr>
          <w:i/>
          <w:iCs/>
        </w:rPr>
        <w:t>Tobacco</w:t>
      </w:r>
      <w:r>
        <w:rPr>
          <w:i/>
          <w:iCs/>
        </w:rPr>
        <w:t xml:space="preserve"> </w:t>
      </w:r>
      <w:r w:rsidR="00B255AF" w:rsidRPr="00B255AF">
        <w:rPr>
          <w:i/>
          <w:iCs/>
        </w:rPr>
        <w:t>Control</w:t>
      </w:r>
      <w:r w:rsidR="00B255AF">
        <w:rPr>
          <w:iCs/>
        </w:rPr>
        <w:t>)</w:t>
      </w:r>
    </w:p>
    <w:p w14:paraId="4CEC5491" w14:textId="5EF908AF" w:rsidR="00817F22" w:rsidRDefault="00A408C4" w:rsidP="00BD4C1E">
      <w:pPr>
        <w:tabs>
          <w:tab w:val="left" w:pos="360"/>
          <w:tab w:val="left" w:pos="900"/>
          <w:tab w:val="left" w:pos="1800"/>
          <w:tab w:val="left" w:pos="8280"/>
        </w:tabs>
        <w:spacing w:before="120" w:line="360" w:lineRule="auto"/>
        <w:ind w:left="1843" w:hanging="1843"/>
        <w:jc w:val="both"/>
        <w:rPr>
          <w:i/>
          <w:iCs/>
        </w:rPr>
      </w:pPr>
      <w:r w:rsidRPr="005400EE">
        <w:rPr>
          <w:iCs/>
        </w:rPr>
        <w:t>FET</w:t>
      </w:r>
      <w:r w:rsidR="00702FFC">
        <w:rPr>
          <w:iCs/>
        </w:rPr>
        <w:tab/>
      </w:r>
      <w:r w:rsidR="00702FFC">
        <w:rPr>
          <w:iCs/>
        </w:rPr>
        <w:tab/>
      </w:r>
      <w:r w:rsidR="00702FFC">
        <w:rPr>
          <w:iCs/>
        </w:rPr>
        <w:tab/>
      </w:r>
      <w:r w:rsidR="00A56160">
        <w:rPr>
          <w:iCs/>
        </w:rPr>
        <w:t>Standard spravedlivého a rovného zacházení (</w:t>
      </w:r>
      <w:r w:rsidR="00817F22">
        <w:rPr>
          <w:i/>
          <w:iCs/>
        </w:rPr>
        <w:t>Fair and Equitable</w:t>
      </w:r>
    </w:p>
    <w:p w14:paraId="0C0A8506" w14:textId="500CEC97" w:rsidR="0067112E" w:rsidRPr="00A56160" w:rsidRDefault="00817F22" w:rsidP="00702FFC">
      <w:pPr>
        <w:tabs>
          <w:tab w:val="left" w:pos="360"/>
          <w:tab w:val="left" w:pos="900"/>
          <w:tab w:val="left" w:pos="1800"/>
          <w:tab w:val="left" w:pos="8280"/>
        </w:tabs>
        <w:spacing w:before="120" w:line="360" w:lineRule="auto"/>
        <w:ind w:left="1620" w:hanging="1620"/>
        <w:jc w:val="both"/>
        <w:rPr>
          <w:i/>
          <w:iCs/>
        </w:rPr>
      </w:pPr>
      <w:r>
        <w:rPr>
          <w:i/>
          <w:iCs/>
        </w:rPr>
        <w:tab/>
      </w:r>
      <w:r>
        <w:rPr>
          <w:i/>
          <w:iCs/>
        </w:rPr>
        <w:tab/>
      </w:r>
      <w:r>
        <w:rPr>
          <w:i/>
          <w:iCs/>
        </w:rPr>
        <w:tab/>
      </w:r>
      <w:r>
        <w:rPr>
          <w:i/>
          <w:iCs/>
        </w:rPr>
        <w:tab/>
      </w:r>
      <w:r w:rsidR="00A56160">
        <w:rPr>
          <w:i/>
          <w:iCs/>
        </w:rPr>
        <w:t>Treatment)</w:t>
      </w:r>
    </w:p>
    <w:p w14:paraId="0A9DFCCB" w14:textId="70DAAA13" w:rsidR="00E22587" w:rsidRDefault="00E22587" w:rsidP="00496AB8">
      <w:pPr>
        <w:tabs>
          <w:tab w:val="left" w:pos="360"/>
          <w:tab w:val="left" w:pos="900"/>
          <w:tab w:val="left" w:pos="1800"/>
          <w:tab w:val="left" w:pos="8280"/>
        </w:tabs>
        <w:spacing w:before="120" w:line="360" w:lineRule="auto"/>
        <w:ind w:left="1843" w:hanging="1843"/>
        <w:jc w:val="both"/>
        <w:rPr>
          <w:iCs/>
        </w:rPr>
      </w:pPr>
      <w:r w:rsidRPr="005400EE">
        <w:rPr>
          <w:iCs/>
        </w:rPr>
        <w:t>FPS</w:t>
      </w:r>
      <w:r w:rsidRPr="005400EE">
        <w:rPr>
          <w:iCs/>
        </w:rPr>
        <w:tab/>
      </w:r>
      <w:r w:rsidRPr="005400EE">
        <w:rPr>
          <w:iCs/>
        </w:rPr>
        <w:tab/>
      </w:r>
      <w:r w:rsidRPr="005400EE">
        <w:rPr>
          <w:iCs/>
        </w:rPr>
        <w:tab/>
      </w:r>
      <w:r w:rsidR="003156C4">
        <w:rPr>
          <w:iCs/>
        </w:rPr>
        <w:t>Plná ochrana a bezpečnost (</w:t>
      </w:r>
      <w:r w:rsidRPr="003156C4">
        <w:rPr>
          <w:i/>
          <w:iCs/>
        </w:rPr>
        <w:t>Full Protection and Security</w:t>
      </w:r>
      <w:r w:rsidR="003156C4">
        <w:rPr>
          <w:iCs/>
        </w:rPr>
        <w:t>)</w:t>
      </w:r>
    </w:p>
    <w:p w14:paraId="448B6C80" w14:textId="004D4F02" w:rsidR="007A2E0E" w:rsidRPr="007A2E0E" w:rsidRDefault="00A55BF1" w:rsidP="00496AB8">
      <w:pPr>
        <w:tabs>
          <w:tab w:val="left" w:pos="360"/>
          <w:tab w:val="left" w:pos="900"/>
          <w:tab w:val="left" w:pos="1800"/>
          <w:tab w:val="left" w:pos="8280"/>
        </w:tabs>
        <w:spacing w:before="120" w:line="360" w:lineRule="auto"/>
        <w:ind w:left="1843" w:hanging="1843"/>
        <w:jc w:val="both"/>
        <w:rPr>
          <w:iCs/>
        </w:rPr>
      </w:pPr>
      <w:r>
        <w:rPr>
          <w:iCs/>
        </w:rPr>
        <w:t>FTA</w:t>
      </w:r>
      <w:r>
        <w:rPr>
          <w:iCs/>
        </w:rPr>
        <w:tab/>
      </w:r>
      <w:r>
        <w:rPr>
          <w:iCs/>
        </w:rPr>
        <w:tab/>
      </w:r>
      <w:r w:rsidR="007A2E0E">
        <w:rPr>
          <w:iCs/>
        </w:rPr>
        <w:t>Dohoda o volném obchodu (</w:t>
      </w:r>
      <w:r w:rsidR="007A2E0E">
        <w:rPr>
          <w:i/>
          <w:iCs/>
        </w:rPr>
        <w:t>Free Trade Agreement</w:t>
      </w:r>
      <w:r w:rsidR="007A2E0E">
        <w:rPr>
          <w:iCs/>
        </w:rPr>
        <w:t>)</w:t>
      </w:r>
    </w:p>
    <w:p w14:paraId="69D026C0" w14:textId="77777777" w:rsidR="002908E2" w:rsidRDefault="00E12E9C" w:rsidP="00496AB8">
      <w:pPr>
        <w:tabs>
          <w:tab w:val="left" w:pos="360"/>
          <w:tab w:val="left" w:pos="900"/>
          <w:tab w:val="left" w:pos="1800"/>
          <w:tab w:val="left" w:pos="8280"/>
        </w:tabs>
        <w:spacing w:before="120" w:line="360" w:lineRule="auto"/>
        <w:ind w:left="1843" w:hanging="1843"/>
        <w:jc w:val="both"/>
        <w:rPr>
          <w:i/>
          <w:iCs/>
        </w:rPr>
      </w:pPr>
      <w:r>
        <w:rPr>
          <w:iCs/>
        </w:rPr>
        <w:t>GG</w:t>
      </w:r>
      <w:r>
        <w:rPr>
          <w:iCs/>
        </w:rPr>
        <w:tab/>
      </w:r>
      <w:r>
        <w:rPr>
          <w:iCs/>
        </w:rPr>
        <w:tab/>
      </w:r>
      <w:r>
        <w:rPr>
          <w:iCs/>
        </w:rPr>
        <w:tab/>
      </w:r>
      <w:r w:rsidR="002908E2">
        <w:rPr>
          <w:iCs/>
        </w:rPr>
        <w:t>Ústava Spolkové republiky Německo</w:t>
      </w:r>
      <w:r w:rsidR="002878B3">
        <w:rPr>
          <w:iCs/>
        </w:rPr>
        <w:t xml:space="preserve"> (</w:t>
      </w:r>
      <w:r w:rsidR="002878B3" w:rsidRPr="002878B3">
        <w:rPr>
          <w:i/>
          <w:iCs/>
        </w:rPr>
        <w:t>Grudgesetz</w:t>
      </w:r>
      <w:r w:rsidR="002908E2">
        <w:rPr>
          <w:i/>
          <w:iCs/>
        </w:rPr>
        <w:t xml:space="preserve"> </w:t>
      </w:r>
      <w:r w:rsidR="002908E2" w:rsidRPr="002908E2">
        <w:rPr>
          <w:i/>
          <w:iCs/>
        </w:rPr>
        <w:t>für die Bundesrepublik</w:t>
      </w:r>
    </w:p>
    <w:p w14:paraId="49F72FC0" w14:textId="6F342708" w:rsidR="002878B3" w:rsidRPr="005400EE" w:rsidRDefault="002908E2" w:rsidP="00496AB8">
      <w:pPr>
        <w:tabs>
          <w:tab w:val="left" w:pos="360"/>
          <w:tab w:val="left" w:pos="900"/>
          <w:tab w:val="left" w:pos="1800"/>
          <w:tab w:val="left" w:pos="8280"/>
        </w:tabs>
        <w:spacing w:before="120" w:line="360" w:lineRule="auto"/>
        <w:ind w:left="1843" w:hanging="1843"/>
        <w:jc w:val="both"/>
        <w:rPr>
          <w:iCs/>
        </w:rPr>
      </w:pPr>
      <w:r>
        <w:rPr>
          <w:iCs/>
        </w:rPr>
        <w:tab/>
      </w:r>
      <w:r>
        <w:rPr>
          <w:iCs/>
        </w:rPr>
        <w:tab/>
      </w:r>
      <w:r>
        <w:rPr>
          <w:iCs/>
        </w:rPr>
        <w:tab/>
      </w:r>
      <w:r w:rsidRPr="002908E2">
        <w:rPr>
          <w:i/>
          <w:iCs/>
        </w:rPr>
        <w:t>Deutschland</w:t>
      </w:r>
      <w:r w:rsidR="002878B3">
        <w:rPr>
          <w:iCs/>
        </w:rPr>
        <w:t>)</w:t>
      </w:r>
    </w:p>
    <w:p w14:paraId="69F7A167" w14:textId="77777777" w:rsidR="00155386" w:rsidRPr="005400EE" w:rsidRDefault="00155386" w:rsidP="00CD0853">
      <w:pPr>
        <w:tabs>
          <w:tab w:val="left" w:pos="360"/>
          <w:tab w:val="left" w:pos="900"/>
          <w:tab w:val="left" w:pos="1800"/>
          <w:tab w:val="left" w:pos="8280"/>
        </w:tabs>
        <w:spacing w:before="120" w:line="360" w:lineRule="auto"/>
        <w:ind w:left="900" w:hanging="900"/>
        <w:jc w:val="both"/>
        <w:rPr>
          <w:iCs/>
        </w:rPr>
      </w:pPr>
      <w:r w:rsidRPr="005400EE">
        <w:rPr>
          <w:iCs/>
        </w:rPr>
        <w:t>ICSID</w:t>
      </w:r>
      <w:r w:rsidRPr="005400EE">
        <w:rPr>
          <w:iCs/>
        </w:rPr>
        <w:tab/>
      </w:r>
      <w:r w:rsidRPr="005400EE">
        <w:rPr>
          <w:iCs/>
        </w:rPr>
        <w:tab/>
        <w:t>Mezinárodní středisko pro řešení investičních sporů</w:t>
      </w:r>
    </w:p>
    <w:p w14:paraId="24C5E03D" w14:textId="77777777" w:rsidR="00DC54EC" w:rsidRDefault="00412D95" w:rsidP="00D96551">
      <w:pPr>
        <w:tabs>
          <w:tab w:val="left" w:pos="360"/>
          <w:tab w:val="left" w:pos="900"/>
          <w:tab w:val="left" w:pos="1800"/>
          <w:tab w:val="left" w:pos="8280"/>
        </w:tabs>
        <w:spacing w:before="120" w:line="360" w:lineRule="auto"/>
        <w:ind w:left="1843" w:hanging="1843"/>
        <w:jc w:val="both"/>
        <w:rPr>
          <w:i/>
          <w:iCs/>
        </w:rPr>
      </w:pPr>
      <w:r w:rsidRPr="005400EE">
        <w:rPr>
          <w:iCs/>
        </w:rPr>
        <w:t>ISDS</w:t>
      </w:r>
      <w:r w:rsidR="00C25928">
        <w:rPr>
          <w:iCs/>
        </w:rPr>
        <w:tab/>
      </w:r>
      <w:r w:rsidR="00C25928">
        <w:rPr>
          <w:iCs/>
        </w:rPr>
        <w:tab/>
      </w:r>
      <w:r w:rsidR="005F5389">
        <w:rPr>
          <w:iCs/>
        </w:rPr>
        <w:t>Mechanismus řešení sporů mezi investory a státy (</w:t>
      </w:r>
      <w:r w:rsidR="005F5389" w:rsidRPr="005F5389">
        <w:rPr>
          <w:i/>
          <w:iCs/>
        </w:rPr>
        <w:t>I</w:t>
      </w:r>
      <w:r w:rsidR="00DC54EC">
        <w:rPr>
          <w:i/>
          <w:iCs/>
        </w:rPr>
        <w:t>nvestment State</w:t>
      </w:r>
    </w:p>
    <w:p w14:paraId="5BF7EC52" w14:textId="614E87D4" w:rsidR="00412D95" w:rsidRDefault="00DC54EC" w:rsidP="00D96551">
      <w:pPr>
        <w:tabs>
          <w:tab w:val="left" w:pos="360"/>
          <w:tab w:val="left" w:pos="900"/>
          <w:tab w:val="left" w:pos="1800"/>
          <w:tab w:val="left" w:pos="8280"/>
        </w:tabs>
        <w:spacing w:before="120" w:line="360" w:lineRule="auto"/>
        <w:ind w:left="1843" w:hanging="1843"/>
        <w:jc w:val="both"/>
        <w:rPr>
          <w:iCs/>
        </w:rPr>
      </w:pPr>
      <w:r>
        <w:rPr>
          <w:iCs/>
        </w:rPr>
        <w:tab/>
      </w:r>
      <w:r>
        <w:rPr>
          <w:iCs/>
        </w:rPr>
        <w:tab/>
      </w:r>
      <w:r>
        <w:rPr>
          <w:iCs/>
        </w:rPr>
        <w:tab/>
      </w:r>
      <w:r w:rsidR="002232A0">
        <w:rPr>
          <w:i/>
          <w:iCs/>
        </w:rPr>
        <w:t>Dispute</w:t>
      </w:r>
      <w:r w:rsidR="00817F22">
        <w:rPr>
          <w:i/>
          <w:iCs/>
        </w:rPr>
        <w:t xml:space="preserve"> s</w:t>
      </w:r>
      <w:r w:rsidR="005F5389" w:rsidRPr="005F5389">
        <w:rPr>
          <w:i/>
          <w:iCs/>
        </w:rPr>
        <w:t>ettlement</w:t>
      </w:r>
      <w:r w:rsidR="005F5389">
        <w:rPr>
          <w:iCs/>
        </w:rPr>
        <w:t>)</w:t>
      </w:r>
    </w:p>
    <w:p w14:paraId="5527F675" w14:textId="77777777" w:rsidR="00B05862" w:rsidRDefault="00F57F0C" w:rsidP="00D9556D">
      <w:pPr>
        <w:tabs>
          <w:tab w:val="left" w:pos="360"/>
          <w:tab w:val="left" w:pos="900"/>
          <w:tab w:val="left" w:pos="1800"/>
          <w:tab w:val="left" w:pos="8280"/>
        </w:tabs>
        <w:spacing w:before="120" w:line="360" w:lineRule="auto"/>
        <w:ind w:left="1843" w:hanging="1843"/>
        <w:jc w:val="both"/>
        <w:rPr>
          <w:iCs/>
        </w:rPr>
      </w:pPr>
      <w:r>
        <w:rPr>
          <w:iCs/>
        </w:rPr>
        <w:t>IIA</w:t>
      </w:r>
      <w:r w:rsidR="0030576D">
        <w:rPr>
          <w:iCs/>
        </w:rPr>
        <w:tab/>
      </w:r>
      <w:r w:rsidR="00C25928">
        <w:rPr>
          <w:iCs/>
        </w:rPr>
        <w:tab/>
      </w:r>
      <w:r w:rsidR="00C25928">
        <w:rPr>
          <w:iCs/>
        </w:rPr>
        <w:tab/>
      </w:r>
      <w:r w:rsidR="00D15186">
        <w:rPr>
          <w:iCs/>
        </w:rPr>
        <w:t xml:space="preserve">Jakákoli smlouva, která obsahuje </w:t>
      </w:r>
      <w:r w:rsidR="000A072D">
        <w:rPr>
          <w:iCs/>
        </w:rPr>
        <w:t>mezinárodní ochranu</w:t>
      </w:r>
      <w:r w:rsidR="003C7528">
        <w:rPr>
          <w:iCs/>
        </w:rPr>
        <w:t xml:space="preserve"> investic</w:t>
      </w:r>
    </w:p>
    <w:p w14:paraId="26F6CC0F" w14:textId="0CAFE42C" w:rsidR="00D15186" w:rsidRPr="005400EE" w:rsidRDefault="00B05862" w:rsidP="00D9556D">
      <w:pPr>
        <w:tabs>
          <w:tab w:val="left" w:pos="360"/>
          <w:tab w:val="left" w:pos="900"/>
          <w:tab w:val="left" w:pos="1800"/>
          <w:tab w:val="left" w:pos="8280"/>
        </w:tabs>
        <w:spacing w:before="120" w:line="360" w:lineRule="auto"/>
        <w:ind w:left="1843" w:hanging="1843"/>
        <w:jc w:val="both"/>
        <w:rPr>
          <w:iCs/>
        </w:rPr>
      </w:pPr>
      <w:r>
        <w:rPr>
          <w:iCs/>
        </w:rPr>
        <w:tab/>
      </w:r>
      <w:r>
        <w:rPr>
          <w:iCs/>
        </w:rPr>
        <w:tab/>
      </w:r>
      <w:r>
        <w:rPr>
          <w:iCs/>
        </w:rPr>
        <w:tab/>
      </w:r>
      <w:r w:rsidR="005F5389">
        <w:rPr>
          <w:iCs/>
        </w:rPr>
        <w:t>(</w:t>
      </w:r>
      <w:r w:rsidR="002232A0">
        <w:rPr>
          <w:i/>
          <w:iCs/>
        </w:rPr>
        <w:t>International</w:t>
      </w:r>
      <w:r w:rsidR="002A5B32">
        <w:rPr>
          <w:i/>
          <w:iCs/>
        </w:rPr>
        <w:t xml:space="preserve"> </w:t>
      </w:r>
      <w:r w:rsidR="00F57F0C" w:rsidRPr="00F57F0C">
        <w:rPr>
          <w:i/>
          <w:iCs/>
        </w:rPr>
        <w:t>Investment Agreement</w:t>
      </w:r>
      <w:r w:rsidR="005F5389">
        <w:rPr>
          <w:iCs/>
        </w:rPr>
        <w:t>)</w:t>
      </w:r>
    </w:p>
    <w:p w14:paraId="5131E1F3" w14:textId="3F0B5CCB" w:rsidR="00155386" w:rsidRDefault="00E12E9C" w:rsidP="00A83D06">
      <w:pPr>
        <w:tabs>
          <w:tab w:val="left" w:pos="360"/>
          <w:tab w:val="left" w:pos="900"/>
          <w:tab w:val="left" w:pos="1800"/>
          <w:tab w:val="left" w:pos="8280"/>
        </w:tabs>
        <w:spacing w:before="120" w:line="360" w:lineRule="auto"/>
        <w:ind w:left="1843" w:hanging="1843"/>
        <w:jc w:val="both"/>
        <w:rPr>
          <w:iCs/>
        </w:rPr>
      </w:pPr>
      <w:r>
        <w:rPr>
          <w:iCs/>
        </w:rPr>
        <w:t>Komise</w:t>
      </w:r>
      <w:r>
        <w:rPr>
          <w:iCs/>
        </w:rPr>
        <w:tab/>
      </w:r>
      <w:r>
        <w:rPr>
          <w:iCs/>
        </w:rPr>
        <w:tab/>
      </w:r>
      <w:r w:rsidR="00155386" w:rsidRPr="005400EE">
        <w:rPr>
          <w:iCs/>
        </w:rPr>
        <w:t>Evropská komise</w:t>
      </w:r>
    </w:p>
    <w:p w14:paraId="6851ABF8" w14:textId="77777777" w:rsidR="00A55BF1" w:rsidRDefault="00917CBA" w:rsidP="00A55BF1">
      <w:pPr>
        <w:tabs>
          <w:tab w:val="left" w:pos="360"/>
          <w:tab w:val="left" w:pos="900"/>
          <w:tab w:val="left" w:pos="1800"/>
          <w:tab w:val="left" w:pos="8280"/>
        </w:tabs>
        <w:spacing w:before="120" w:line="360" w:lineRule="auto"/>
        <w:ind w:left="1843" w:hanging="1843"/>
        <w:jc w:val="both"/>
        <w:rPr>
          <w:iCs/>
        </w:rPr>
      </w:pPr>
      <w:r>
        <w:rPr>
          <w:iCs/>
        </w:rPr>
        <w:t>LZPS</w:t>
      </w:r>
      <w:r>
        <w:rPr>
          <w:iCs/>
        </w:rPr>
        <w:tab/>
      </w:r>
      <w:r>
        <w:rPr>
          <w:iCs/>
        </w:rPr>
        <w:tab/>
        <w:t>U</w:t>
      </w:r>
      <w:r w:rsidRPr="00917CBA">
        <w:rPr>
          <w:iCs/>
        </w:rPr>
        <w:t>snesení předsednictva</w:t>
      </w:r>
      <w:r>
        <w:rPr>
          <w:iCs/>
        </w:rPr>
        <w:t xml:space="preserve"> české národní rady ze dne 16. p</w:t>
      </w:r>
      <w:r w:rsidRPr="00917CBA">
        <w:rPr>
          <w:iCs/>
        </w:rPr>
        <w:t>rosince 1992 o</w:t>
      </w:r>
    </w:p>
    <w:p w14:paraId="6FE40FF6" w14:textId="77777777" w:rsidR="00A55BF1" w:rsidRDefault="00A55BF1" w:rsidP="00A55BF1">
      <w:pPr>
        <w:tabs>
          <w:tab w:val="left" w:pos="360"/>
          <w:tab w:val="left" w:pos="900"/>
          <w:tab w:val="left" w:pos="1800"/>
          <w:tab w:val="left" w:pos="8280"/>
        </w:tabs>
        <w:spacing w:before="120" w:line="360" w:lineRule="auto"/>
        <w:ind w:left="1843" w:hanging="1843"/>
        <w:jc w:val="both"/>
        <w:rPr>
          <w:iCs/>
        </w:rPr>
      </w:pPr>
      <w:r>
        <w:rPr>
          <w:iCs/>
        </w:rPr>
        <w:tab/>
      </w:r>
      <w:r>
        <w:rPr>
          <w:iCs/>
        </w:rPr>
        <w:tab/>
      </w:r>
      <w:r>
        <w:rPr>
          <w:iCs/>
        </w:rPr>
        <w:tab/>
      </w:r>
      <w:r w:rsidR="00917CBA" w:rsidRPr="00917CBA">
        <w:rPr>
          <w:iCs/>
        </w:rPr>
        <w:t>vyhlášení</w:t>
      </w:r>
      <w:r w:rsidR="00ED710D">
        <w:rPr>
          <w:iCs/>
        </w:rPr>
        <w:t xml:space="preserve"> </w:t>
      </w:r>
      <w:r w:rsidR="00F8269C">
        <w:rPr>
          <w:iCs/>
        </w:rPr>
        <w:t>L</w:t>
      </w:r>
      <w:r w:rsidR="00917CBA" w:rsidRPr="00917CBA">
        <w:rPr>
          <w:iCs/>
        </w:rPr>
        <w:t>istiny základních práv a svobod jako součásti ústavního pořádku</w:t>
      </w:r>
    </w:p>
    <w:p w14:paraId="73981152" w14:textId="36483B91" w:rsidR="00917CBA" w:rsidRPr="005400EE" w:rsidRDefault="00A55BF1" w:rsidP="00A55BF1">
      <w:pPr>
        <w:tabs>
          <w:tab w:val="left" w:pos="360"/>
          <w:tab w:val="left" w:pos="900"/>
          <w:tab w:val="left" w:pos="1800"/>
          <w:tab w:val="left" w:pos="8280"/>
        </w:tabs>
        <w:spacing w:before="120" w:line="360" w:lineRule="auto"/>
        <w:ind w:left="1843" w:hanging="1843"/>
        <w:jc w:val="both"/>
        <w:rPr>
          <w:iCs/>
        </w:rPr>
      </w:pPr>
      <w:r>
        <w:rPr>
          <w:iCs/>
        </w:rPr>
        <w:tab/>
      </w:r>
      <w:r>
        <w:rPr>
          <w:iCs/>
        </w:rPr>
        <w:tab/>
      </w:r>
      <w:r>
        <w:rPr>
          <w:iCs/>
        </w:rPr>
        <w:tab/>
      </w:r>
      <w:r w:rsidR="006B3BBA">
        <w:rPr>
          <w:iCs/>
        </w:rPr>
        <w:t>Č</w:t>
      </w:r>
      <w:r w:rsidR="00917CBA" w:rsidRPr="00917CBA">
        <w:rPr>
          <w:iCs/>
        </w:rPr>
        <w:t>eské republiky</w:t>
      </w:r>
    </w:p>
    <w:p w14:paraId="40BCD1E5" w14:textId="0D61DF17" w:rsidR="00155386" w:rsidRPr="000D0A4D" w:rsidRDefault="00155386" w:rsidP="00E12E9C">
      <w:pPr>
        <w:tabs>
          <w:tab w:val="left" w:pos="360"/>
          <w:tab w:val="left" w:pos="1800"/>
          <w:tab w:val="left" w:pos="1843"/>
          <w:tab w:val="left" w:pos="8280"/>
        </w:tabs>
        <w:spacing w:before="120" w:line="360" w:lineRule="auto"/>
        <w:ind w:left="900" w:hanging="900"/>
        <w:jc w:val="both"/>
        <w:rPr>
          <w:iCs/>
        </w:rPr>
      </w:pPr>
      <w:r w:rsidRPr="000D0A4D">
        <w:rPr>
          <w:iCs/>
        </w:rPr>
        <w:t>MFN</w:t>
      </w:r>
      <w:r w:rsidRPr="000D0A4D">
        <w:rPr>
          <w:iCs/>
        </w:rPr>
        <w:tab/>
      </w:r>
      <w:r w:rsidRPr="000D0A4D">
        <w:rPr>
          <w:iCs/>
        </w:rPr>
        <w:tab/>
      </w:r>
      <w:r w:rsidR="009B4371" w:rsidRPr="000D0A4D">
        <w:rPr>
          <w:iCs/>
        </w:rPr>
        <w:t xml:space="preserve">Doložka nejvyšších výhod </w:t>
      </w:r>
      <w:r w:rsidR="00CC180A">
        <w:rPr>
          <w:iCs/>
        </w:rPr>
        <w:t>(</w:t>
      </w:r>
      <w:r w:rsidR="00CC180A" w:rsidRPr="00514850">
        <w:rPr>
          <w:i/>
          <w:iCs/>
        </w:rPr>
        <w:t>Most Favoured N</w:t>
      </w:r>
      <w:r w:rsidR="009B4371" w:rsidRPr="00514850">
        <w:rPr>
          <w:i/>
          <w:iCs/>
        </w:rPr>
        <w:t>ation</w:t>
      </w:r>
      <w:r w:rsidR="00CC180A" w:rsidRPr="00514850">
        <w:rPr>
          <w:i/>
          <w:iCs/>
        </w:rPr>
        <w:t xml:space="preserve"> Treatment</w:t>
      </w:r>
      <w:r w:rsidR="009B4371" w:rsidRPr="000D0A4D">
        <w:rPr>
          <w:iCs/>
        </w:rPr>
        <w:t>)</w:t>
      </w:r>
    </w:p>
    <w:p w14:paraId="5104CB74" w14:textId="77777777" w:rsidR="00155386" w:rsidRDefault="00155386" w:rsidP="00E12E9C">
      <w:pPr>
        <w:tabs>
          <w:tab w:val="left" w:pos="360"/>
          <w:tab w:val="left" w:pos="1800"/>
          <w:tab w:val="left" w:pos="1843"/>
          <w:tab w:val="left" w:pos="8280"/>
        </w:tabs>
        <w:spacing w:before="120" w:line="360" w:lineRule="auto"/>
        <w:ind w:left="900" w:hanging="900"/>
        <w:jc w:val="both"/>
        <w:rPr>
          <w:iCs/>
        </w:rPr>
      </w:pPr>
      <w:r w:rsidRPr="005400EE">
        <w:rPr>
          <w:iCs/>
        </w:rPr>
        <w:lastRenderedPageBreak/>
        <w:t>NAFTA</w:t>
      </w:r>
      <w:r w:rsidRPr="005400EE">
        <w:rPr>
          <w:iCs/>
        </w:rPr>
        <w:tab/>
      </w:r>
      <w:r w:rsidRPr="005400EE">
        <w:rPr>
          <w:iCs/>
        </w:rPr>
        <w:tab/>
        <w:t>Smlouva o severoamerické zóně volného obchodu ze 7. října 1992</w:t>
      </w:r>
    </w:p>
    <w:p w14:paraId="70601F0C" w14:textId="69D41FBE" w:rsidR="00D9556D" w:rsidRDefault="00D9556D" w:rsidP="00E12E9C">
      <w:pPr>
        <w:tabs>
          <w:tab w:val="left" w:pos="360"/>
          <w:tab w:val="left" w:pos="1800"/>
          <w:tab w:val="left" w:pos="1843"/>
          <w:tab w:val="left" w:pos="8280"/>
        </w:tabs>
        <w:spacing w:before="120" w:line="360" w:lineRule="auto"/>
        <w:ind w:left="900" w:hanging="900"/>
        <w:jc w:val="both"/>
        <w:rPr>
          <w:iCs/>
        </w:rPr>
      </w:pPr>
      <w:r>
        <w:rPr>
          <w:iCs/>
        </w:rPr>
        <w:t>NT</w:t>
      </w:r>
      <w:r>
        <w:rPr>
          <w:iCs/>
        </w:rPr>
        <w:tab/>
      </w:r>
      <w:r>
        <w:rPr>
          <w:iCs/>
        </w:rPr>
        <w:tab/>
      </w:r>
      <w:r>
        <w:rPr>
          <w:iCs/>
        </w:rPr>
        <w:tab/>
        <w:t>Národní zacházení (</w:t>
      </w:r>
      <w:r>
        <w:rPr>
          <w:i/>
          <w:iCs/>
        </w:rPr>
        <w:t>National Ttreatment</w:t>
      </w:r>
      <w:r>
        <w:rPr>
          <w:iCs/>
        </w:rPr>
        <w:t>)</w:t>
      </w:r>
    </w:p>
    <w:p w14:paraId="11977C2C" w14:textId="26B5E30B" w:rsidR="00D92D11" w:rsidRPr="00D9556D" w:rsidRDefault="00D92D11" w:rsidP="00E12E9C">
      <w:pPr>
        <w:tabs>
          <w:tab w:val="left" w:pos="360"/>
          <w:tab w:val="left" w:pos="1800"/>
          <w:tab w:val="left" w:pos="1843"/>
          <w:tab w:val="left" w:pos="8280"/>
        </w:tabs>
        <w:spacing w:before="120" w:line="360" w:lineRule="auto"/>
        <w:ind w:left="900" w:hanging="900"/>
        <w:jc w:val="both"/>
        <w:rPr>
          <w:iCs/>
        </w:rPr>
      </w:pPr>
      <w:r>
        <w:rPr>
          <w:iCs/>
        </w:rPr>
        <w:t>OECD</w:t>
      </w:r>
      <w:r>
        <w:rPr>
          <w:iCs/>
        </w:rPr>
        <w:tab/>
      </w:r>
      <w:r>
        <w:rPr>
          <w:iCs/>
        </w:rPr>
        <w:tab/>
      </w:r>
      <w:r>
        <w:rPr>
          <w:rStyle w:val="st"/>
        </w:rPr>
        <w:t>Organizace pro hospodářskou spolupráci a rozvoj</w:t>
      </w:r>
    </w:p>
    <w:p w14:paraId="12559523" w14:textId="595C149C" w:rsidR="0082731D" w:rsidRPr="0082731D" w:rsidRDefault="0082731D" w:rsidP="00E12E9C">
      <w:pPr>
        <w:tabs>
          <w:tab w:val="left" w:pos="360"/>
          <w:tab w:val="left" w:pos="1800"/>
          <w:tab w:val="left" w:pos="1843"/>
          <w:tab w:val="left" w:pos="8280"/>
        </w:tabs>
        <w:spacing w:before="120" w:line="360" w:lineRule="auto"/>
        <w:ind w:left="900" w:hanging="900"/>
        <w:jc w:val="both"/>
        <w:rPr>
          <w:i/>
          <w:iCs/>
        </w:rPr>
      </w:pPr>
      <w:r>
        <w:rPr>
          <w:iCs/>
        </w:rPr>
        <w:t>PPD</w:t>
      </w:r>
      <w:r>
        <w:rPr>
          <w:iCs/>
        </w:rPr>
        <w:tab/>
      </w:r>
      <w:r>
        <w:rPr>
          <w:iCs/>
        </w:rPr>
        <w:tab/>
      </w:r>
      <w:r>
        <w:rPr>
          <w:i/>
          <w:iCs/>
        </w:rPr>
        <w:t>Police powers doctrine</w:t>
      </w:r>
    </w:p>
    <w:p w14:paraId="333AF115" w14:textId="2720F282" w:rsidR="000B4A46" w:rsidRPr="008257D3" w:rsidRDefault="000B4A46" w:rsidP="00E12E9C">
      <w:pPr>
        <w:tabs>
          <w:tab w:val="left" w:pos="360"/>
          <w:tab w:val="left" w:pos="1800"/>
          <w:tab w:val="left" w:pos="1843"/>
          <w:tab w:val="left" w:pos="8280"/>
        </w:tabs>
        <w:spacing w:before="120" w:line="360" w:lineRule="auto"/>
        <w:ind w:left="900" w:hanging="900"/>
        <w:jc w:val="both"/>
        <w:rPr>
          <w:i/>
          <w:lang w:eastAsia="cs-CZ"/>
        </w:rPr>
      </w:pPr>
      <w:r>
        <w:rPr>
          <w:lang w:eastAsia="cs-CZ"/>
        </w:rPr>
        <w:t>SED</w:t>
      </w:r>
      <w:r w:rsidR="001C1388">
        <w:rPr>
          <w:lang w:eastAsia="cs-CZ"/>
        </w:rPr>
        <w:tab/>
      </w:r>
      <w:r w:rsidR="001C1388">
        <w:rPr>
          <w:lang w:eastAsia="cs-CZ"/>
        </w:rPr>
        <w:tab/>
      </w:r>
      <w:r w:rsidR="0082731D">
        <w:rPr>
          <w:i/>
          <w:lang w:eastAsia="cs-CZ"/>
        </w:rPr>
        <w:t>Sole effect d</w:t>
      </w:r>
      <w:r w:rsidR="008257D3">
        <w:rPr>
          <w:i/>
          <w:lang w:eastAsia="cs-CZ"/>
        </w:rPr>
        <w:t>octrine</w:t>
      </w:r>
    </w:p>
    <w:p w14:paraId="482B1D4E" w14:textId="77777777" w:rsidR="00155386" w:rsidRPr="003F089A" w:rsidRDefault="00155386" w:rsidP="00E12E9C">
      <w:pPr>
        <w:tabs>
          <w:tab w:val="left" w:pos="360"/>
          <w:tab w:val="left" w:pos="1800"/>
          <w:tab w:val="left" w:pos="1843"/>
          <w:tab w:val="left" w:pos="8280"/>
        </w:tabs>
        <w:spacing w:before="120" w:line="360" w:lineRule="auto"/>
        <w:ind w:left="900" w:hanging="900"/>
        <w:jc w:val="both"/>
        <w:rPr>
          <w:lang w:eastAsia="cs-CZ"/>
        </w:rPr>
      </w:pPr>
      <w:r w:rsidRPr="003F089A">
        <w:rPr>
          <w:lang w:eastAsia="cs-CZ"/>
        </w:rPr>
        <w:t>SFEU</w:t>
      </w:r>
      <w:r w:rsidRPr="003F089A">
        <w:rPr>
          <w:lang w:eastAsia="cs-CZ"/>
        </w:rPr>
        <w:tab/>
      </w:r>
      <w:r w:rsidRPr="003F089A">
        <w:rPr>
          <w:lang w:eastAsia="cs-CZ"/>
        </w:rPr>
        <w:tab/>
        <w:t>Smlouva o fungování Evropské unie (tzv. Lisabonská smlouva)</w:t>
      </w:r>
    </w:p>
    <w:p w14:paraId="39100D7B" w14:textId="487A4EFE" w:rsidR="00155386" w:rsidRDefault="00155386" w:rsidP="00E12E9C">
      <w:pPr>
        <w:tabs>
          <w:tab w:val="left" w:pos="360"/>
          <w:tab w:val="left" w:pos="1800"/>
          <w:tab w:val="left" w:pos="1843"/>
          <w:tab w:val="left" w:pos="8280"/>
        </w:tabs>
        <w:spacing w:before="120" w:line="360" w:lineRule="auto"/>
        <w:ind w:left="900" w:hanging="900"/>
        <w:jc w:val="both"/>
        <w:rPr>
          <w:lang w:eastAsia="cs-CZ"/>
        </w:rPr>
      </w:pPr>
      <w:r w:rsidRPr="00A97C14">
        <w:rPr>
          <w:lang w:eastAsia="cs-CZ"/>
        </w:rPr>
        <w:t>SOP</w:t>
      </w:r>
      <w:r w:rsidRPr="00A97C14">
        <w:rPr>
          <w:lang w:eastAsia="cs-CZ"/>
        </w:rPr>
        <w:tab/>
      </w:r>
      <w:r w:rsidRPr="00A97C14">
        <w:rPr>
          <w:lang w:eastAsia="cs-CZ"/>
        </w:rPr>
        <w:tab/>
        <w:t>Společná obchodní politika</w:t>
      </w:r>
      <w:r w:rsidR="00BB3A21">
        <w:rPr>
          <w:lang w:eastAsia="cs-CZ"/>
        </w:rPr>
        <w:t xml:space="preserve"> EU</w:t>
      </w:r>
    </w:p>
    <w:p w14:paraId="6B35F5B2" w14:textId="101FB117" w:rsidR="001965A6" w:rsidRPr="00A97C14" w:rsidRDefault="001965A6" w:rsidP="00E12E9C">
      <w:pPr>
        <w:tabs>
          <w:tab w:val="left" w:pos="360"/>
          <w:tab w:val="left" w:pos="1800"/>
          <w:tab w:val="left" w:pos="1843"/>
          <w:tab w:val="left" w:pos="8280"/>
        </w:tabs>
        <w:spacing w:before="120" w:line="360" w:lineRule="auto"/>
        <w:ind w:left="900" w:hanging="900"/>
        <w:jc w:val="both"/>
        <w:rPr>
          <w:lang w:eastAsia="cs-CZ"/>
        </w:rPr>
      </w:pPr>
      <w:r>
        <w:rPr>
          <w:lang w:eastAsia="cs-CZ"/>
        </w:rPr>
        <w:t>SRN</w:t>
      </w:r>
      <w:r>
        <w:rPr>
          <w:lang w:eastAsia="cs-CZ"/>
        </w:rPr>
        <w:tab/>
      </w:r>
      <w:r>
        <w:rPr>
          <w:lang w:eastAsia="cs-CZ"/>
        </w:rPr>
        <w:tab/>
        <w:t>Spolková republika Německo</w:t>
      </w:r>
    </w:p>
    <w:p w14:paraId="37E200D9" w14:textId="77777777" w:rsidR="00155386" w:rsidRDefault="00155386" w:rsidP="00E12E9C">
      <w:pPr>
        <w:tabs>
          <w:tab w:val="left" w:pos="360"/>
          <w:tab w:val="left" w:pos="1800"/>
          <w:tab w:val="left" w:pos="1843"/>
          <w:tab w:val="left" w:pos="8280"/>
        </w:tabs>
        <w:spacing w:before="120" w:line="360" w:lineRule="auto"/>
        <w:ind w:left="900" w:hanging="900"/>
        <w:jc w:val="both"/>
        <w:rPr>
          <w:iCs/>
        </w:rPr>
      </w:pPr>
      <w:r w:rsidRPr="005400EE">
        <w:rPr>
          <w:iCs/>
        </w:rPr>
        <w:t>UNCITRAL</w:t>
      </w:r>
      <w:r w:rsidRPr="005400EE">
        <w:rPr>
          <w:iCs/>
        </w:rPr>
        <w:tab/>
        <w:t>Komise OSN pro mezinárodní obchodní právo</w:t>
      </w:r>
    </w:p>
    <w:p w14:paraId="7611D9AE" w14:textId="39AB3899" w:rsidR="00514850" w:rsidRDefault="00514850" w:rsidP="00E12E9C">
      <w:pPr>
        <w:tabs>
          <w:tab w:val="left" w:pos="360"/>
          <w:tab w:val="left" w:pos="1800"/>
          <w:tab w:val="left" w:pos="1843"/>
          <w:tab w:val="left" w:pos="8280"/>
        </w:tabs>
        <w:spacing w:before="120" w:line="360" w:lineRule="auto"/>
        <w:ind w:left="1800" w:hanging="1800"/>
        <w:jc w:val="both"/>
        <w:rPr>
          <w:iCs/>
        </w:rPr>
      </w:pPr>
      <w:r w:rsidRPr="00514850">
        <w:rPr>
          <w:iCs/>
        </w:rPr>
        <w:t>UNRISD</w:t>
      </w:r>
      <w:r w:rsidR="00E12E9C">
        <w:rPr>
          <w:iCs/>
        </w:rPr>
        <w:tab/>
      </w:r>
      <w:r w:rsidR="00877056">
        <w:rPr>
          <w:iCs/>
        </w:rPr>
        <w:t xml:space="preserve">Výzkumný ústav OSN pro společenský rozvoj </w:t>
      </w:r>
      <w:r>
        <w:rPr>
          <w:iCs/>
        </w:rPr>
        <w:t>(</w:t>
      </w:r>
      <w:r w:rsidRPr="00514850">
        <w:rPr>
          <w:i/>
          <w:iCs/>
        </w:rPr>
        <w:t>United Nations Research Institute For Social Development</w:t>
      </w:r>
      <w:r>
        <w:rPr>
          <w:iCs/>
        </w:rPr>
        <w:t>)</w:t>
      </w:r>
    </w:p>
    <w:p w14:paraId="6059C909" w14:textId="65FA74DD" w:rsidR="00917CBA" w:rsidRPr="00BF47C5" w:rsidRDefault="00917CBA" w:rsidP="00E12E9C">
      <w:pPr>
        <w:tabs>
          <w:tab w:val="left" w:pos="360"/>
          <w:tab w:val="left" w:pos="1800"/>
          <w:tab w:val="left" w:pos="1843"/>
          <w:tab w:val="left" w:pos="8280"/>
        </w:tabs>
        <w:spacing w:before="120" w:line="360" w:lineRule="auto"/>
        <w:ind w:left="1800" w:hanging="1800"/>
        <w:jc w:val="both"/>
        <w:rPr>
          <w:iCs/>
        </w:rPr>
      </w:pPr>
      <w:r>
        <w:rPr>
          <w:iCs/>
        </w:rPr>
        <w:t>Ústava ČR</w:t>
      </w:r>
      <w:r w:rsidR="00BF47C5">
        <w:rPr>
          <w:iCs/>
        </w:rPr>
        <w:tab/>
      </w:r>
      <w:r w:rsidR="00BF47C5" w:rsidRPr="00BF47C5">
        <w:rPr>
          <w:iCs/>
        </w:rPr>
        <w:t>Ústavní zákon č. 1/1993 Sb., Ústava České republiky, ve znění pozdějších předpisů</w:t>
      </w:r>
    </w:p>
    <w:p w14:paraId="71E7F411" w14:textId="7A7E413D" w:rsidR="00155386" w:rsidRPr="0021017D" w:rsidRDefault="0096554C" w:rsidP="00E12E9C">
      <w:pPr>
        <w:tabs>
          <w:tab w:val="left" w:pos="360"/>
          <w:tab w:val="left" w:pos="1800"/>
          <w:tab w:val="left" w:pos="1843"/>
          <w:tab w:val="left" w:pos="8280"/>
        </w:tabs>
        <w:spacing w:before="120" w:line="360" w:lineRule="auto"/>
        <w:ind w:left="900" w:hanging="900"/>
        <w:jc w:val="both"/>
        <w:rPr>
          <w:iCs/>
        </w:rPr>
      </w:pPr>
      <w:r w:rsidRPr="0021017D">
        <w:rPr>
          <w:iCs/>
        </w:rPr>
        <w:t>VCLT</w:t>
      </w:r>
      <w:r w:rsidR="00155386" w:rsidRPr="0021017D">
        <w:rPr>
          <w:iCs/>
        </w:rPr>
        <w:tab/>
      </w:r>
      <w:r w:rsidR="00155386" w:rsidRPr="0021017D">
        <w:rPr>
          <w:iCs/>
        </w:rPr>
        <w:tab/>
        <w:t>Vídeňská úmluva o smluvním právu</w:t>
      </w:r>
    </w:p>
    <w:p w14:paraId="6A8B2164" w14:textId="050E2923" w:rsidR="00FA2346" w:rsidRDefault="0067112E" w:rsidP="00E12E9C">
      <w:pPr>
        <w:tabs>
          <w:tab w:val="left" w:pos="360"/>
          <w:tab w:val="left" w:pos="1800"/>
          <w:tab w:val="left" w:pos="1843"/>
          <w:tab w:val="left" w:pos="8280"/>
        </w:tabs>
        <w:spacing w:before="120" w:line="360" w:lineRule="auto"/>
        <w:ind w:left="900" w:hanging="900"/>
        <w:jc w:val="both"/>
        <w:rPr>
          <w:iCs/>
        </w:rPr>
      </w:pPr>
      <w:r w:rsidRPr="0096554C">
        <w:rPr>
          <w:iCs/>
        </w:rPr>
        <w:t>WHO</w:t>
      </w:r>
      <w:r w:rsidR="00A97C14">
        <w:rPr>
          <w:iCs/>
        </w:rPr>
        <w:tab/>
      </w:r>
      <w:r w:rsidR="00A97C14">
        <w:rPr>
          <w:iCs/>
        </w:rPr>
        <w:tab/>
        <w:t>Světová zdravotnická organizace</w:t>
      </w:r>
    </w:p>
    <w:p w14:paraId="0B4CC74F" w14:textId="77777777" w:rsidR="00FA2346" w:rsidRDefault="00FA2346">
      <w:pPr>
        <w:spacing w:after="0"/>
        <w:contextualSpacing w:val="0"/>
        <w:rPr>
          <w:iCs/>
        </w:rPr>
      </w:pPr>
      <w:r>
        <w:rPr>
          <w:iCs/>
        </w:rPr>
        <w:br w:type="page"/>
      </w:r>
    </w:p>
    <w:p w14:paraId="46B7A309" w14:textId="3EC2D886" w:rsidR="00ED6835" w:rsidRDefault="00ED6835" w:rsidP="00065EA3">
      <w:pPr>
        <w:pStyle w:val="Nadpis1"/>
        <w:numPr>
          <w:ilvl w:val="0"/>
          <w:numId w:val="0"/>
        </w:numPr>
        <w:spacing w:after="0" w:line="360" w:lineRule="auto"/>
        <w:ind w:left="432" w:hanging="290"/>
        <w:jc w:val="both"/>
        <w:rPr>
          <w:rFonts w:eastAsiaTheme="majorEastAsia"/>
        </w:rPr>
      </w:pPr>
      <w:bookmarkStart w:id="9" w:name="_Toc336697291"/>
      <w:bookmarkStart w:id="10" w:name="_Toc457720997"/>
      <w:bookmarkStart w:id="11" w:name="_Toc479697272"/>
      <w:r w:rsidRPr="00942FD4">
        <w:rPr>
          <w:rFonts w:eastAsiaTheme="majorEastAsia"/>
        </w:rPr>
        <w:lastRenderedPageBreak/>
        <w:t>Ú</w:t>
      </w:r>
      <w:r w:rsidR="006C76DE" w:rsidRPr="00942FD4">
        <w:rPr>
          <w:rFonts w:eastAsiaTheme="majorEastAsia"/>
        </w:rPr>
        <w:t>vod</w:t>
      </w:r>
      <w:bookmarkEnd w:id="9"/>
      <w:bookmarkEnd w:id="10"/>
      <w:bookmarkEnd w:id="11"/>
    </w:p>
    <w:p w14:paraId="0A5DC233" w14:textId="77777777" w:rsidR="00397267" w:rsidRDefault="00195FAA" w:rsidP="00195FAA">
      <w:pPr>
        <w:pStyle w:val="Odstavecseseznamem"/>
        <w:spacing w:line="360" w:lineRule="auto"/>
        <w:ind w:left="142" w:firstLine="654"/>
        <w:jc w:val="both"/>
        <w:rPr>
          <w:rFonts w:eastAsiaTheme="majorEastAsia" w:cstheme="majorBidi"/>
          <w:bCs/>
        </w:rPr>
      </w:pPr>
      <w:r w:rsidRPr="005400EE">
        <w:rPr>
          <w:rFonts w:eastAsiaTheme="majorEastAsia" w:cstheme="majorBidi"/>
          <w:bCs/>
        </w:rPr>
        <w:t xml:space="preserve">Tato práce se zaměřuje na </w:t>
      </w:r>
      <w:r>
        <w:rPr>
          <w:rFonts w:eastAsiaTheme="majorEastAsia" w:cstheme="majorBidi"/>
          <w:bCs/>
        </w:rPr>
        <w:t>jeden z problematických aspektů</w:t>
      </w:r>
      <w:r w:rsidRPr="005400EE">
        <w:rPr>
          <w:rFonts w:eastAsiaTheme="majorEastAsia" w:cstheme="majorBidi"/>
          <w:bCs/>
        </w:rPr>
        <w:t xml:space="preserve"> ochrany investic, a to</w:t>
      </w:r>
      <w:r>
        <w:rPr>
          <w:rFonts w:eastAsiaTheme="majorEastAsia" w:cstheme="majorBidi"/>
          <w:bCs/>
        </w:rPr>
        <w:t xml:space="preserve"> jejímu</w:t>
      </w:r>
      <w:r w:rsidRPr="005400EE">
        <w:rPr>
          <w:rFonts w:eastAsiaTheme="majorEastAsia" w:cstheme="majorBidi"/>
          <w:bCs/>
        </w:rPr>
        <w:t xml:space="preserve"> vztahu k</w:t>
      </w:r>
      <w:r w:rsidR="0066453B">
        <w:rPr>
          <w:rFonts w:eastAsiaTheme="majorEastAsia" w:cstheme="majorBidi"/>
          <w:bCs/>
        </w:rPr>
        <w:t> výkonu regulačních pravomocí</w:t>
      </w:r>
      <w:r w:rsidRPr="005400EE">
        <w:rPr>
          <w:rFonts w:eastAsiaTheme="majorEastAsia" w:cstheme="majorBidi"/>
          <w:bCs/>
        </w:rPr>
        <w:t xml:space="preserve"> hostitelského státu.</w:t>
      </w:r>
      <w:r>
        <w:rPr>
          <w:rFonts w:eastAsiaTheme="majorEastAsia" w:cstheme="majorBidi"/>
          <w:bCs/>
        </w:rPr>
        <w:t xml:space="preserve"> </w:t>
      </w:r>
      <w:r w:rsidRPr="00DE0797">
        <w:rPr>
          <w:rFonts w:eastAsiaTheme="majorEastAsia" w:cstheme="majorBidi"/>
          <w:bCs/>
        </w:rPr>
        <w:t xml:space="preserve">Investiční arbitráž si v posledních letech získala </w:t>
      </w:r>
      <w:r>
        <w:rPr>
          <w:rFonts w:eastAsiaTheme="majorEastAsia" w:cstheme="majorBidi"/>
          <w:bCs/>
        </w:rPr>
        <w:t>značnou publicitu u veřejnosti a politiků,</w:t>
      </w:r>
      <w:r w:rsidRPr="00DE0797">
        <w:rPr>
          <w:rFonts w:eastAsiaTheme="majorEastAsia" w:cstheme="majorBidi"/>
          <w:bCs/>
        </w:rPr>
        <w:t xml:space="preserve"> zejména právě kvůli konfliktům </w:t>
      </w:r>
      <w:r w:rsidR="00174F74">
        <w:rPr>
          <w:rFonts w:eastAsiaTheme="majorEastAsia" w:cstheme="majorBidi"/>
          <w:bCs/>
        </w:rPr>
        <w:t>legislativní</w:t>
      </w:r>
      <w:r w:rsidR="00962A97">
        <w:rPr>
          <w:rFonts w:eastAsiaTheme="majorEastAsia" w:cstheme="majorBidi"/>
          <w:bCs/>
        </w:rPr>
        <w:t xml:space="preserve">ch </w:t>
      </w:r>
      <w:r w:rsidR="00A07990">
        <w:rPr>
          <w:rFonts w:eastAsiaTheme="majorEastAsia" w:cstheme="majorBidi"/>
          <w:bCs/>
        </w:rPr>
        <w:t>změn</w:t>
      </w:r>
      <w:r w:rsidR="00962A97">
        <w:rPr>
          <w:rFonts w:eastAsiaTheme="majorEastAsia" w:cstheme="majorBidi"/>
          <w:bCs/>
        </w:rPr>
        <w:t xml:space="preserve"> s majetkovými zájmy</w:t>
      </w:r>
      <w:r w:rsidRPr="00DE0797">
        <w:rPr>
          <w:rFonts w:eastAsiaTheme="majorEastAsia" w:cstheme="majorBidi"/>
          <w:bCs/>
        </w:rPr>
        <w:t xml:space="preserve"> investorů.</w:t>
      </w:r>
      <w:r>
        <w:rPr>
          <w:rFonts w:eastAsiaTheme="majorEastAsia" w:cstheme="majorBidi"/>
          <w:bCs/>
        </w:rPr>
        <w:t xml:space="preserve"> V následujících kapitolách jde tedy o vztah mezi veřejnou mocí ve státě k investorovi jako adresátovi</w:t>
      </w:r>
      <w:r w:rsidRPr="00D15CFA">
        <w:rPr>
          <w:rFonts w:eastAsiaTheme="majorEastAsia" w:cstheme="majorBidi"/>
          <w:bCs/>
        </w:rPr>
        <w:t xml:space="preserve"> právní regulace</w:t>
      </w:r>
      <w:r>
        <w:rPr>
          <w:rFonts w:eastAsiaTheme="majorEastAsia" w:cstheme="majorBidi"/>
          <w:bCs/>
        </w:rPr>
        <w:t xml:space="preserve"> a jeho vývoj v arbitrážní praxi</w:t>
      </w:r>
      <w:r w:rsidRPr="00D15CFA">
        <w:rPr>
          <w:rFonts w:eastAsiaTheme="majorEastAsia" w:cstheme="majorBidi"/>
          <w:bCs/>
        </w:rPr>
        <w:t>.</w:t>
      </w:r>
      <w:r w:rsidR="00397267">
        <w:rPr>
          <w:rFonts w:eastAsiaTheme="majorEastAsia" w:cstheme="majorBidi"/>
          <w:bCs/>
        </w:rPr>
        <w:t xml:space="preserve"> Diplomová práce si klade za cíl zmapovat aktuální trendy přístupu investičního práva k vnitrostátním regulacím investic.</w:t>
      </w:r>
    </w:p>
    <w:p w14:paraId="7F4CD0A2" w14:textId="123B2C50" w:rsidR="00195FAA" w:rsidRDefault="00195FAA" w:rsidP="00195FAA">
      <w:pPr>
        <w:pStyle w:val="Odstavecseseznamem"/>
        <w:spacing w:line="360" w:lineRule="auto"/>
        <w:ind w:left="142" w:firstLine="654"/>
        <w:jc w:val="both"/>
      </w:pPr>
      <w:r>
        <w:rPr>
          <w:rFonts w:eastAsiaTheme="majorEastAsia" w:cstheme="majorBidi"/>
          <w:bCs/>
        </w:rPr>
        <w:t>P</w:t>
      </w:r>
      <w:r w:rsidRPr="005400EE">
        <w:rPr>
          <w:rFonts w:eastAsiaTheme="majorEastAsia" w:cstheme="majorBidi"/>
          <w:bCs/>
        </w:rPr>
        <w:t>ůvodním smyslem mezinárodní ochrany inv</w:t>
      </w:r>
      <w:r>
        <w:rPr>
          <w:rFonts w:eastAsiaTheme="majorEastAsia" w:cstheme="majorBidi"/>
          <w:bCs/>
        </w:rPr>
        <w:t>estic byla základní ochrana</w:t>
      </w:r>
      <w:r w:rsidRPr="005400EE">
        <w:rPr>
          <w:rFonts w:eastAsiaTheme="majorEastAsia" w:cstheme="majorBidi"/>
          <w:bCs/>
        </w:rPr>
        <w:t xml:space="preserve"> majetku investora a zabránění excesům</w:t>
      </w:r>
      <w:r>
        <w:rPr>
          <w:rFonts w:eastAsiaTheme="majorEastAsia" w:cstheme="majorBidi"/>
          <w:bCs/>
        </w:rPr>
        <w:t xml:space="preserve"> v zásahu státu do něj</w:t>
      </w:r>
      <w:r w:rsidRPr="005400EE">
        <w:rPr>
          <w:rFonts w:eastAsiaTheme="majorEastAsia" w:cstheme="majorBidi"/>
          <w:bCs/>
        </w:rPr>
        <w:t xml:space="preserve"> (přímé vyvlastnění bez náhrady, aj</w:t>
      </w:r>
      <w:r>
        <w:rPr>
          <w:rFonts w:eastAsiaTheme="majorEastAsia" w:cstheme="majorBidi"/>
          <w:bCs/>
        </w:rPr>
        <w:t>.), typickým pro rozvojové země. V</w:t>
      </w:r>
      <w:r w:rsidRPr="005400EE">
        <w:rPr>
          <w:rFonts w:eastAsiaTheme="majorEastAsia" w:cstheme="majorBidi"/>
          <w:bCs/>
        </w:rPr>
        <w:t>ývoj posledních let směřuje ještě mnohem dále, často se tedy mohou zájmy investora chráněné investičními smlouv</w:t>
      </w:r>
      <w:r>
        <w:rPr>
          <w:rFonts w:eastAsiaTheme="majorEastAsia" w:cstheme="majorBidi"/>
          <w:bCs/>
        </w:rPr>
        <w:t>ami dostat do konfliktu se suverénním výkonem státní moci, především práva</w:t>
      </w:r>
      <w:r w:rsidRPr="005400EE">
        <w:rPr>
          <w:rFonts w:eastAsiaTheme="majorEastAsia" w:cstheme="majorBidi"/>
          <w:bCs/>
        </w:rPr>
        <w:t xml:space="preserve"> státu na regulaci podnikání. </w:t>
      </w:r>
      <w:r>
        <w:rPr>
          <w:rFonts w:eastAsiaTheme="majorEastAsia" w:cstheme="majorBidi"/>
          <w:bCs/>
        </w:rPr>
        <w:t>Tento aspekt ochrany investic je odborníky často diskutován a někteří z nich činí závěry, že může vést k nepřiměřenému zásahu do výkonu státní suverenity.</w:t>
      </w:r>
      <w:r>
        <w:rPr>
          <w:rStyle w:val="Znakapoznpodarou"/>
          <w:rFonts w:eastAsiaTheme="majorEastAsia" w:cstheme="majorBidi"/>
          <w:bCs/>
        </w:rPr>
        <w:footnoteReference w:id="1"/>
      </w:r>
    </w:p>
    <w:p w14:paraId="40ECCC31" w14:textId="5E7134DF" w:rsidR="00195FAA" w:rsidRDefault="00195FAA" w:rsidP="00195FAA">
      <w:pPr>
        <w:pStyle w:val="Odstavecseseznamem"/>
        <w:spacing w:line="360" w:lineRule="auto"/>
        <w:ind w:left="142" w:firstLine="654"/>
        <w:jc w:val="both"/>
      </w:pPr>
      <w:r>
        <w:t xml:space="preserve"> </w:t>
      </w:r>
      <w:r w:rsidRPr="005400EE">
        <w:rPr>
          <w:rFonts w:eastAsiaTheme="majorEastAsia" w:cstheme="majorBidi"/>
          <w:bCs/>
        </w:rPr>
        <w:t>Instrumenty ochr</w:t>
      </w:r>
      <w:r>
        <w:rPr>
          <w:rFonts w:eastAsiaTheme="majorEastAsia" w:cstheme="majorBidi"/>
          <w:bCs/>
        </w:rPr>
        <w:t xml:space="preserve">any zůstávají neměnné, </w:t>
      </w:r>
      <w:r>
        <w:t>základním nástrojem jsou dvoustranné smlouvy o podpoře a ochraně investic („BIT“). Dřívější návrhy mnohostranných smluv o ochraně inves</w:t>
      </w:r>
      <w:r w:rsidR="00EF13A2">
        <w:t>tic většinou selhaly, nicméně ochranu</w:t>
      </w:r>
      <w:r w:rsidR="00F22A3F">
        <w:t xml:space="preserve"> investic</w:t>
      </w:r>
      <w:r>
        <w:t xml:space="preserve"> obsahuje řada významných dohod o volném obchodu (NAFTA, CETA) nebo jiných instrumentů (Dohoda k Energetické </w:t>
      </w:r>
      <w:r w:rsidRPr="00F83065">
        <w:t>chartě).</w:t>
      </w:r>
      <w:r w:rsidRPr="00F83065">
        <w:rPr>
          <w:rFonts w:eastAsiaTheme="majorEastAsia" w:cstheme="majorBidi"/>
          <w:bCs/>
        </w:rPr>
        <w:t xml:space="preserve"> </w:t>
      </w:r>
      <w:r>
        <w:rPr>
          <w:rFonts w:eastAsiaTheme="majorEastAsia" w:cstheme="majorBidi"/>
          <w:bCs/>
        </w:rPr>
        <w:t>Z</w:t>
      </w:r>
      <w:r w:rsidRPr="000D7408">
        <w:rPr>
          <w:rFonts w:eastAsiaTheme="majorEastAsia" w:cstheme="majorBidi"/>
          <w:bCs/>
        </w:rPr>
        <w:t>natelný vývoj však nastává u obsahu smluv, množství sporů řešených v arbitráži a výčtu nejčastěji žalovaných států.</w:t>
      </w:r>
      <w:r w:rsidRPr="005400EE">
        <w:rPr>
          <w:rFonts w:eastAsiaTheme="majorEastAsia" w:cstheme="majorBidi"/>
          <w:bCs/>
        </w:rPr>
        <w:t xml:space="preserve"> </w:t>
      </w:r>
      <w:r>
        <w:rPr>
          <w:rFonts w:eastAsiaTheme="majorEastAsia" w:cstheme="majorBidi"/>
          <w:bCs/>
        </w:rPr>
        <w:t>Mezi nejčastěji žalované se dostávají čím dál více i vyspělé státy, v jejichž případě lze těžko mluvit o zásadních nedostatcích prvků právního státu.</w:t>
      </w:r>
      <w:r>
        <w:rPr>
          <w:rStyle w:val="Znakapoznpodarou"/>
          <w:rFonts w:eastAsiaTheme="majorEastAsia" w:cstheme="majorBidi"/>
          <w:bCs/>
        </w:rPr>
        <w:footnoteReference w:id="2"/>
      </w:r>
      <w:r>
        <w:rPr>
          <w:rFonts w:eastAsiaTheme="majorEastAsia" w:cstheme="majorBidi"/>
          <w:bCs/>
        </w:rPr>
        <w:t xml:space="preserve"> V následujících kapitolách tedy budou analyzovány hmotněprávní standardy ochrany investic, u kterých existuje riziko odpovědnosti státu za regulačn</w:t>
      </w:r>
      <w:r w:rsidR="006B6552">
        <w:rPr>
          <w:rFonts w:eastAsiaTheme="majorEastAsia" w:cstheme="majorBidi"/>
          <w:bCs/>
        </w:rPr>
        <w:t>í opatření. Jejich cílem je</w:t>
      </w:r>
      <w:r>
        <w:rPr>
          <w:rFonts w:eastAsiaTheme="majorEastAsia" w:cstheme="majorBidi"/>
          <w:bCs/>
        </w:rPr>
        <w:t xml:space="preserve"> </w:t>
      </w:r>
      <w:r>
        <w:rPr>
          <w:rFonts w:eastAsiaTheme="majorEastAsia" w:cstheme="majorBidi"/>
          <w:bCs/>
        </w:rPr>
        <w:lastRenderedPageBreak/>
        <w:t xml:space="preserve">zjištění, zda ochrana investic ve své stávající podobě omezuje právo států na regulaci podnikání a kde leží hranice </w:t>
      </w:r>
      <w:r>
        <w:t>mezi přípustnou regulací a porušením standardů ochrany ve smlouv</w:t>
      </w:r>
      <w:r w:rsidR="00E14C1B">
        <w:t>ách o ochraně investic („IIA“).</w:t>
      </w:r>
    </w:p>
    <w:p w14:paraId="57623882" w14:textId="4AAE2E32" w:rsidR="00195FAA" w:rsidRPr="00030293" w:rsidRDefault="00195FAA" w:rsidP="00195FAA">
      <w:pPr>
        <w:pStyle w:val="Odstavecseseznamem"/>
        <w:spacing w:line="360" w:lineRule="auto"/>
        <w:ind w:left="142" w:firstLine="654"/>
        <w:jc w:val="both"/>
      </w:pPr>
      <w:r>
        <w:t>Sjednávání smluv o</w:t>
      </w:r>
      <w:r w:rsidR="00FE5912">
        <w:t xml:space="preserve"> ochraně investic je záležitost</w:t>
      </w:r>
      <w:r>
        <w:t xml:space="preserve"> vyvažování aktuálních hospodářských priorit, má posílit zájem zahraničních investorů o stát jako cílovou destinaci pro vývozce kapitálu a zároveň jej co nejméně zatížit závazky k jejich ochraně. Právní jistota v podobě hmotněprávních záruk, případně arbitrážního mechanismu („ISDS“), má pomoci přilákat zájem investorů, kteří hledají ekonomickou a právní stabilitu. </w:t>
      </w:r>
    </w:p>
    <w:p w14:paraId="6E1EC2B8" w14:textId="77D0EEBF" w:rsidR="00195FAA" w:rsidRDefault="00195FAA" w:rsidP="00195FAA">
      <w:pPr>
        <w:pStyle w:val="Odstavecseseznamem"/>
        <w:spacing w:line="360" w:lineRule="auto"/>
        <w:ind w:left="142" w:firstLine="654"/>
        <w:jc w:val="both"/>
        <w:rPr>
          <w:rFonts w:eastAsiaTheme="majorEastAsia" w:cstheme="majorBidi"/>
          <w:bCs/>
        </w:rPr>
      </w:pPr>
      <w:r>
        <w:rPr>
          <w:rFonts w:eastAsiaTheme="majorEastAsia" w:cstheme="majorBidi"/>
          <w:bCs/>
        </w:rPr>
        <w:t xml:space="preserve">Bez investiční arbitráže by nebyla ochrana investic kompletní, respektive by byla velice komplikovaná, pokud by její úplně uplatnění bylo možné pouze pomocí diplomatické ochrany. Její význam pro potřeby této práce je v tom, že stát může změnou norem dosáhnout nejen diskriminačních a jiných škodlivých zásahů do investice, ale může jako nositel suverénní moci i </w:t>
      </w:r>
      <w:r w:rsidR="00FE5912">
        <w:rPr>
          <w:rFonts w:eastAsiaTheme="majorEastAsia" w:cstheme="majorBidi"/>
          <w:bCs/>
        </w:rPr>
        <w:t xml:space="preserve">procesně </w:t>
      </w:r>
      <w:r>
        <w:rPr>
          <w:rFonts w:eastAsiaTheme="majorEastAsia" w:cstheme="majorBidi"/>
          <w:bCs/>
        </w:rPr>
        <w:t>znemožnit uplatnění nároků. Stát</w:t>
      </w:r>
      <w:r w:rsidR="00BD0DD4">
        <w:rPr>
          <w:rFonts w:eastAsiaTheme="majorEastAsia" w:cstheme="majorBidi"/>
          <w:bCs/>
        </w:rPr>
        <w:t xml:space="preserve"> se</w:t>
      </w:r>
      <w:r>
        <w:rPr>
          <w:rFonts w:eastAsiaTheme="majorEastAsia" w:cstheme="majorBidi"/>
          <w:bCs/>
        </w:rPr>
        <w:t xml:space="preserve"> </w:t>
      </w:r>
      <w:r w:rsidR="002E5E88">
        <w:rPr>
          <w:rFonts w:eastAsiaTheme="majorEastAsia" w:cstheme="majorBidi"/>
          <w:bCs/>
        </w:rPr>
        <w:t>mnohdy</w:t>
      </w:r>
      <w:r>
        <w:rPr>
          <w:rFonts w:eastAsiaTheme="majorEastAsia" w:cstheme="majorBidi"/>
          <w:bCs/>
        </w:rPr>
        <w:t xml:space="preserve"> nachází v konfliktu zájmů, kdy je vykonavatel vrchnostenské moci a zároveň v postavení soukromoprávního subjektu k investorovi. </w:t>
      </w:r>
      <w:r w:rsidR="002E5E88">
        <w:rPr>
          <w:rFonts w:eastAsiaTheme="majorEastAsia" w:cstheme="majorBidi"/>
          <w:bCs/>
        </w:rPr>
        <w:t xml:space="preserve">Zahraniční investoři tedy preferují arbitráž před obecnými soudy, protože často namítají i procesní diskriminaci při uplatnění nároků. </w:t>
      </w:r>
      <w:r w:rsidR="000600E9">
        <w:rPr>
          <w:rFonts w:eastAsiaTheme="majorEastAsia" w:cstheme="majorBidi"/>
          <w:bCs/>
        </w:rPr>
        <w:t xml:space="preserve">V následujících kapitolách bude podroben rozboru další důvod této preference, a sice </w:t>
      </w:r>
      <w:r w:rsidR="004322B7">
        <w:rPr>
          <w:rFonts w:eastAsiaTheme="majorEastAsia" w:cstheme="majorBidi"/>
          <w:bCs/>
        </w:rPr>
        <w:t xml:space="preserve">široký výklad ochranných doložek </w:t>
      </w:r>
      <w:r w:rsidR="008E42E5">
        <w:rPr>
          <w:rFonts w:eastAsiaTheme="majorEastAsia" w:cstheme="majorBidi"/>
          <w:bCs/>
        </w:rPr>
        <w:t>IIA arbitrážními tribunály.</w:t>
      </w:r>
    </w:p>
    <w:p w14:paraId="119911D5" w14:textId="1D82C1D9" w:rsidR="00792276" w:rsidRPr="00A52F43" w:rsidRDefault="006E5845" w:rsidP="00A52F43">
      <w:pPr>
        <w:pStyle w:val="Odstavecseseznamem"/>
        <w:spacing w:line="360" w:lineRule="auto"/>
        <w:ind w:left="142" w:firstLine="654"/>
        <w:jc w:val="both"/>
        <w:rPr>
          <w:rFonts w:eastAsiaTheme="majorEastAsia" w:cstheme="majorBidi"/>
          <w:bCs/>
        </w:rPr>
      </w:pPr>
      <w:r>
        <w:rPr>
          <w:rFonts w:eastAsiaTheme="majorEastAsia" w:cstheme="majorBidi"/>
          <w:bCs/>
        </w:rPr>
        <w:t>Diplomová p</w:t>
      </w:r>
      <w:r w:rsidR="00195FAA" w:rsidRPr="00195FAA">
        <w:rPr>
          <w:rFonts w:eastAsiaTheme="majorEastAsia" w:cstheme="majorBidi"/>
          <w:bCs/>
        </w:rPr>
        <w:t>ráce se na konkrétních příkladech soustřed</w:t>
      </w:r>
      <w:r w:rsidR="00A649B7">
        <w:rPr>
          <w:rFonts w:eastAsiaTheme="majorEastAsia" w:cstheme="majorBidi"/>
          <w:bCs/>
        </w:rPr>
        <w:t>í na rozbor aktuální arbitrážní</w:t>
      </w:r>
      <w:r w:rsidR="00195FAA" w:rsidRPr="00195FAA">
        <w:rPr>
          <w:rFonts w:eastAsiaTheme="majorEastAsia" w:cstheme="majorBidi"/>
          <w:bCs/>
        </w:rPr>
        <w:t xml:space="preserve"> praxe a její porovnání s předchozí judikaturou i teorií.</w:t>
      </w:r>
      <w:r w:rsidR="00D8143B">
        <w:rPr>
          <w:rFonts w:eastAsiaTheme="majorEastAsia" w:cstheme="majorBidi"/>
          <w:bCs/>
        </w:rPr>
        <w:t xml:space="preserve"> V první kapitole vysvětluje </w:t>
      </w:r>
      <w:r w:rsidR="00D8143B">
        <w:t>vztah suverenity státu a ochrany zahraničních investic a dává příklady regulačních zásahů.</w:t>
      </w:r>
      <w:r w:rsidR="00F856E5">
        <w:rPr>
          <w:rFonts w:eastAsiaTheme="majorEastAsia" w:cstheme="majorBidi"/>
          <w:bCs/>
        </w:rPr>
        <w:t xml:space="preserve"> V</w:t>
      </w:r>
      <w:r w:rsidR="00D8143B">
        <w:rPr>
          <w:rFonts w:eastAsiaTheme="majorEastAsia" w:cstheme="majorBidi"/>
          <w:bCs/>
        </w:rPr>
        <w:t> druhé a třetí kapitole</w:t>
      </w:r>
      <w:r w:rsidR="00F856E5">
        <w:rPr>
          <w:rFonts w:eastAsiaTheme="majorEastAsia" w:cstheme="majorBidi"/>
          <w:bCs/>
        </w:rPr>
        <w:t xml:space="preserve"> k</w:t>
      </w:r>
      <w:r w:rsidR="00BE23A0">
        <w:rPr>
          <w:rFonts w:eastAsiaTheme="majorEastAsia" w:cstheme="majorBidi"/>
          <w:bCs/>
        </w:rPr>
        <w:t>lade důraz na snahu o vymezení základních standardů ochrany investic a jejich použití v</w:t>
      </w:r>
      <w:r w:rsidR="00657FAB">
        <w:rPr>
          <w:rFonts w:eastAsiaTheme="majorEastAsia" w:cstheme="majorBidi"/>
          <w:bCs/>
        </w:rPr>
        <w:t> </w:t>
      </w:r>
      <w:r w:rsidR="00BE23A0">
        <w:rPr>
          <w:rFonts w:eastAsiaTheme="majorEastAsia" w:cstheme="majorBidi"/>
          <w:bCs/>
        </w:rPr>
        <w:t>praxi</w:t>
      </w:r>
      <w:r w:rsidR="00657FAB">
        <w:rPr>
          <w:rFonts w:eastAsiaTheme="majorEastAsia" w:cstheme="majorBidi"/>
          <w:bCs/>
        </w:rPr>
        <w:t xml:space="preserve"> s ohledem na státní regulace</w:t>
      </w:r>
      <w:r w:rsidR="00BE23A0">
        <w:rPr>
          <w:rFonts w:eastAsiaTheme="majorEastAsia" w:cstheme="majorBidi"/>
          <w:bCs/>
        </w:rPr>
        <w:t>.</w:t>
      </w:r>
      <w:r w:rsidR="00F27ECE">
        <w:rPr>
          <w:rFonts w:eastAsiaTheme="majorEastAsia" w:cstheme="majorBidi"/>
          <w:bCs/>
        </w:rPr>
        <w:t xml:space="preserve"> </w:t>
      </w:r>
      <w:r w:rsidR="000076A6">
        <w:rPr>
          <w:rFonts w:eastAsiaTheme="majorEastAsia" w:cstheme="majorBidi"/>
          <w:bCs/>
        </w:rPr>
        <w:t>Metodou analýzy zkoumá</w:t>
      </w:r>
      <w:r w:rsidR="00BA21AD">
        <w:rPr>
          <w:rFonts w:eastAsiaTheme="majorEastAsia" w:cstheme="majorBidi"/>
          <w:bCs/>
        </w:rPr>
        <w:t xml:space="preserve"> vybranou rozhodovací praxi a použití východisek z předchozích rozhodnutí a teorie</w:t>
      </w:r>
      <w:r w:rsidR="00F27ECE">
        <w:rPr>
          <w:rFonts w:eastAsiaTheme="majorEastAsia" w:cstheme="majorBidi"/>
          <w:bCs/>
        </w:rPr>
        <w:t>.</w:t>
      </w:r>
      <w:r w:rsidR="003E59A0">
        <w:rPr>
          <w:rFonts w:eastAsiaTheme="majorEastAsia" w:cstheme="majorBidi"/>
          <w:bCs/>
        </w:rPr>
        <w:t xml:space="preserve"> Dále v ní používá metodu komparace k</w:t>
      </w:r>
      <w:r w:rsidR="00A32D33">
        <w:rPr>
          <w:rFonts w:eastAsiaTheme="majorEastAsia" w:cstheme="majorBidi"/>
          <w:bCs/>
        </w:rPr>
        <w:t> rozlišení</w:t>
      </w:r>
      <w:r w:rsidR="00DF33B2">
        <w:rPr>
          <w:rFonts w:eastAsiaTheme="majorEastAsia" w:cstheme="majorBidi"/>
          <w:bCs/>
        </w:rPr>
        <w:t xml:space="preserve"> </w:t>
      </w:r>
      <w:r w:rsidR="00A32D33">
        <w:rPr>
          <w:rFonts w:eastAsiaTheme="majorEastAsia" w:cstheme="majorBidi"/>
          <w:bCs/>
        </w:rPr>
        <w:t>různých přístupů rozhodčích tribunálů podle rozdílných formulací smluvních doložek</w:t>
      </w:r>
      <w:r w:rsidR="00616309">
        <w:rPr>
          <w:rFonts w:eastAsiaTheme="majorEastAsia" w:cstheme="majorBidi"/>
          <w:bCs/>
        </w:rPr>
        <w:t>. Poslední kapitola</w:t>
      </w:r>
      <w:r w:rsidR="00DF33B2">
        <w:rPr>
          <w:rFonts w:eastAsiaTheme="majorEastAsia" w:cstheme="majorBidi"/>
          <w:bCs/>
        </w:rPr>
        <w:t xml:space="preserve"> sleduje </w:t>
      </w:r>
      <w:r w:rsidR="003B5F52">
        <w:rPr>
          <w:rFonts w:eastAsiaTheme="majorEastAsia" w:cstheme="majorBidi"/>
          <w:bCs/>
        </w:rPr>
        <w:t xml:space="preserve">reakci smluvních stran IIA na tuto praxi a </w:t>
      </w:r>
      <w:r w:rsidR="004C4B01">
        <w:rPr>
          <w:rFonts w:eastAsiaTheme="majorEastAsia" w:cstheme="majorBidi"/>
          <w:bCs/>
        </w:rPr>
        <w:t>odhaduje budoucí vývoj v obměně IIA.</w:t>
      </w:r>
      <w:r w:rsidR="00195FAA" w:rsidRPr="00195FAA">
        <w:rPr>
          <w:rFonts w:eastAsiaTheme="majorEastAsia" w:cstheme="majorBidi"/>
          <w:bCs/>
        </w:rPr>
        <w:t xml:space="preserve"> Vývoj v této oblasti ochrany investic ještě stále není u konce a odborné publikace, zejména v českém jazyce, </w:t>
      </w:r>
      <w:r>
        <w:rPr>
          <w:rFonts w:eastAsiaTheme="majorEastAsia" w:cstheme="majorBidi"/>
          <w:bCs/>
        </w:rPr>
        <w:t>jsou prozatím nedostupné</w:t>
      </w:r>
      <w:r w:rsidR="00195FAA" w:rsidRPr="00195FAA">
        <w:rPr>
          <w:rFonts w:eastAsiaTheme="majorEastAsia" w:cstheme="majorBidi"/>
          <w:bCs/>
        </w:rPr>
        <w:t>.</w:t>
      </w:r>
      <w:r w:rsidR="00195FAA" w:rsidRPr="00C85DDA">
        <w:rPr>
          <w:rFonts w:eastAsiaTheme="majorEastAsia" w:cstheme="majorBidi"/>
          <w:bCs/>
        </w:rPr>
        <w:t xml:space="preserve"> </w:t>
      </w:r>
      <w:r w:rsidR="00195FAA" w:rsidRPr="00A52F43">
        <w:rPr>
          <w:rFonts w:eastAsiaTheme="majorEastAsia" w:cstheme="majorBidi"/>
          <w:bCs/>
        </w:rPr>
        <w:t>Cílem</w:t>
      </w:r>
      <w:r w:rsidR="00195FAA">
        <w:rPr>
          <w:rFonts w:eastAsiaTheme="majorEastAsia" w:cstheme="majorBidi"/>
          <w:bCs/>
        </w:rPr>
        <w:t xml:space="preserve"> práce tohoto rozsahu nemůže být vyčerpávající analýza této oblasti ochrany investic, má však poskytnout kromě základního přehledu také pohled na nejnovější praxi a reakci států na ni při vyjednávání smluv o podpoře a ochraně investic.</w:t>
      </w:r>
      <w:r w:rsidR="00792276" w:rsidRPr="00A52F43">
        <w:rPr>
          <w:rFonts w:eastAsiaTheme="majorEastAsia" w:cstheme="majorBidi"/>
          <w:bCs/>
        </w:rPr>
        <w:br w:type="page"/>
      </w:r>
    </w:p>
    <w:p w14:paraId="5A7A875B" w14:textId="1DDB5449" w:rsidR="002E1618" w:rsidRPr="00F94DEA" w:rsidRDefault="002E1618" w:rsidP="00080A4F">
      <w:pPr>
        <w:pStyle w:val="Nadpis1"/>
      </w:pPr>
      <w:bookmarkStart w:id="12" w:name="_Toc479697273"/>
      <w:r w:rsidRPr="00F94DEA">
        <w:lastRenderedPageBreak/>
        <w:t>Ochrana investic jako zásah do suverenity státu</w:t>
      </w:r>
      <w:bookmarkEnd w:id="12"/>
    </w:p>
    <w:p w14:paraId="769F8CFB" w14:textId="7200E580" w:rsidR="009D026E" w:rsidRDefault="00A1318B" w:rsidP="00CD0297">
      <w:pPr>
        <w:pStyle w:val="Odstavecseseznamem"/>
        <w:spacing w:line="360" w:lineRule="auto"/>
        <w:ind w:left="142" w:firstLine="654"/>
        <w:jc w:val="both"/>
      </w:pPr>
      <w:r>
        <w:t>Podle mezinárodního práva veř</w:t>
      </w:r>
      <w:r w:rsidR="003B1318">
        <w:t xml:space="preserve">ejného je stát ve výkonu své svrchované moci omezen mezinárodními obyčeji, </w:t>
      </w:r>
      <w:r w:rsidR="002A1AF3">
        <w:t>dobrovolně uzavřenými závazky a jednostrannými deklaracemi,</w:t>
      </w:r>
      <w:r>
        <w:t xml:space="preserve"> </w:t>
      </w:r>
      <w:r w:rsidR="003B1318">
        <w:t>suverenitou osta</w:t>
      </w:r>
      <w:r w:rsidR="002A1AF3">
        <w:t>tních států,</w:t>
      </w:r>
      <w:r w:rsidR="003B1318">
        <w:t xml:space="preserve"> kogentní</w:t>
      </w:r>
      <w:r w:rsidR="00463600">
        <w:t>mi normami</w:t>
      </w:r>
      <w:r w:rsidR="002A1AF3">
        <w:t xml:space="preserve"> mezinárodního</w:t>
      </w:r>
      <w:r w:rsidR="003B1318">
        <w:t xml:space="preserve"> veřejného práva</w:t>
      </w:r>
      <w:r w:rsidR="002A1AF3">
        <w:t xml:space="preserve"> a</w:t>
      </w:r>
      <w:r w:rsidR="003B1318">
        <w:t xml:space="preserve"> </w:t>
      </w:r>
      <w:r w:rsidR="002A1AF3">
        <w:t>obecnými</w:t>
      </w:r>
      <w:r w:rsidR="003B1318">
        <w:t xml:space="preserve"> právní</w:t>
      </w:r>
      <w:r w:rsidR="002A1AF3">
        <w:t>mi</w:t>
      </w:r>
      <w:r w:rsidR="003B1318">
        <w:t xml:space="preserve"> principy.</w:t>
      </w:r>
      <w:r w:rsidR="003F71BC">
        <w:rPr>
          <w:rStyle w:val="Znakapoznpodarou"/>
        </w:rPr>
        <w:footnoteReference w:id="3"/>
      </w:r>
      <w:r w:rsidR="002A1AF3">
        <w:t xml:space="preserve"> Mezinárodní ochrany investic se týkají první dvě jmenované skupiny.</w:t>
      </w:r>
      <w:r>
        <w:t xml:space="preserve"> </w:t>
      </w:r>
      <w:r w:rsidR="00C00664">
        <w:t>V mezinárodním obyčejovém právu</w:t>
      </w:r>
      <w:r w:rsidR="00964AD9">
        <w:t xml:space="preserve"> (dále „ICL“)</w:t>
      </w:r>
      <w:r w:rsidR="00C00664">
        <w:t xml:space="preserve"> neexistuje povinnost státu připustit uskutečnění zahr</w:t>
      </w:r>
      <w:r w:rsidR="00F86778">
        <w:t>aničních investic na svém území,</w:t>
      </w:r>
      <w:r w:rsidR="00C00664">
        <w:t xml:space="preserve"> </w:t>
      </w:r>
      <w:r w:rsidR="00F86778">
        <w:t>s</w:t>
      </w:r>
      <w:r w:rsidR="00776510">
        <w:t>tátní suverenita se tedy může projevit i v neumožnění občanům cizích států v něm investovat</w:t>
      </w:r>
      <w:r w:rsidR="00F50DD3">
        <w:t xml:space="preserve"> nebo jako právo investice regulovat.</w:t>
      </w:r>
      <w:r w:rsidR="00C74525" w:rsidRPr="00C74525">
        <w:rPr>
          <w:rStyle w:val="Znakapoznpodarou"/>
        </w:rPr>
        <w:t xml:space="preserve"> </w:t>
      </w:r>
      <w:r w:rsidR="00C74525">
        <w:rPr>
          <w:rStyle w:val="Znakapoznpodarou"/>
        </w:rPr>
        <w:footnoteReference w:id="4"/>
      </w:r>
      <w:r w:rsidR="00776510">
        <w:t xml:space="preserve"> </w:t>
      </w:r>
      <w:r w:rsidR="00964AD9">
        <w:t>Pokud ale stát investici připustí, je povinen zachovávat v zacházení s ní minimální standard podle ICL.</w:t>
      </w:r>
      <w:r w:rsidR="00C74525">
        <w:rPr>
          <w:rStyle w:val="Znakapoznpodarou"/>
        </w:rPr>
        <w:footnoteReference w:id="5"/>
      </w:r>
      <w:r w:rsidR="001F02D5">
        <w:t xml:space="preserve"> Ten nestanoví konkrétní materiální pravidla pro zacházení s investicí, ale jen měřítko pro posuzování souladu vnitrostátního práva</w:t>
      </w:r>
      <w:r w:rsidR="00964AD9">
        <w:t xml:space="preserve"> </w:t>
      </w:r>
      <w:r w:rsidR="001F02D5">
        <w:t>s mezinárodním.</w:t>
      </w:r>
      <w:r w:rsidR="00294A9B">
        <w:rPr>
          <w:rStyle w:val="Znakapoznpodarou"/>
        </w:rPr>
        <w:footnoteReference w:id="6"/>
      </w:r>
      <w:r w:rsidR="001F02D5">
        <w:t xml:space="preserve"> </w:t>
      </w:r>
      <w:r w:rsidR="000E5FAA">
        <w:t>Jak bylo naznačeno v úvodu, aktuální smlouvy o oc</w:t>
      </w:r>
      <w:r w:rsidR="003878DD">
        <w:t xml:space="preserve">hraně investic obsahují </w:t>
      </w:r>
      <w:r w:rsidR="000E5FAA">
        <w:t xml:space="preserve">ochranu tento standard převyšující. </w:t>
      </w:r>
      <w:r w:rsidR="00537255">
        <w:t xml:space="preserve">Je tedy na zvážení vyjednavačů států, </w:t>
      </w:r>
      <w:r w:rsidR="00265C9D">
        <w:t>do ja</w:t>
      </w:r>
      <w:r w:rsidR="00CD7B78">
        <w:t>ké míry chtějí suverenitu formou</w:t>
      </w:r>
      <w:r w:rsidR="00265C9D">
        <w:t xml:space="preserve"> IIA</w:t>
      </w:r>
      <w:r w:rsidR="0026230A">
        <w:t xml:space="preserve"> omezit.</w:t>
      </w:r>
      <w:r w:rsidR="00425926">
        <w:t xml:space="preserve"> </w:t>
      </w:r>
      <w:r w:rsidR="00A549A7">
        <w:t>Existence mezinárodního závazku plyne přímo z takové smlouvy.</w:t>
      </w:r>
      <w:r w:rsidR="00425926">
        <w:t xml:space="preserve"> </w:t>
      </w:r>
      <w:r w:rsidR="00A64093">
        <w:t>Stranami smluv o podpoře a ochraně investic</w:t>
      </w:r>
      <w:r w:rsidR="008F44D7">
        <w:t xml:space="preserve"> ve smyslu </w:t>
      </w:r>
      <w:r w:rsidR="004A5251">
        <w:t>Vídeňské</w:t>
      </w:r>
      <w:r w:rsidR="008F44D7">
        <w:t xml:space="preserve"> úmluvy o smluvním právu („VCLT“) jsou státy, </w:t>
      </w:r>
      <w:r w:rsidR="00327CF4">
        <w:t>práva z nich však mohou uplatňovat přímo investoři.</w:t>
      </w:r>
      <w:r w:rsidR="00C72B1B">
        <w:rPr>
          <w:rStyle w:val="Znakapoznpodarou"/>
        </w:rPr>
        <w:footnoteReference w:id="7"/>
      </w:r>
      <w:r w:rsidR="002D7475">
        <w:t xml:space="preserve"> V tomto aspektu je investiční arbitráž unikátní, </w:t>
      </w:r>
      <w:r w:rsidR="000F1F50">
        <w:t>stát smlouvami zároveň chrání „své“ investory v</w:t>
      </w:r>
      <w:r w:rsidR="00747562">
        <w:t xml:space="preserve"> zahraničí, nicméně s každým rozšířením jejich ochrany </w:t>
      </w:r>
      <w:r w:rsidR="00E40AEB">
        <w:t xml:space="preserve">přidává sobě tytéž povinnosti vůči </w:t>
      </w:r>
      <w:r w:rsidR="000B1839">
        <w:t>investorům druhé smluvní strany.</w:t>
      </w:r>
      <w:r w:rsidR="00D5752F">
        <w:t xml:space="preserve"> </w:t>
      </w:r>
      <w:r w:rsidR="00A64093">
        <w:t>Smluvní ustanovení jsou primárním hmotným, případně i procesním právem, vnitrostátní právo státu je z jejich hlediska faktickým stavem.</w:t>
      </w:r>
      <w:r w:rsidR="00A64093">
        <w:rPr>
          <w:rStyle w:val="Znakapoznpodarou"/>
        </w:rPr>
        <w:footnoteReference w:id="8"/>
      </w:r>
      <w:r w:rsidR="00A64093">
        <w:t xml:space="preserve"> </w:t>
      </w:r>
      <w:r w:rsidR="00D5752F">
        <w:t xml:space="preserve">Pokud selže snaha o smírné urovnání sporu, </w:t>
      </w:r>
      <w:r w:rsidR="00BA2D7E">
        <w:t xml:space="preserve">může zahraniční investor sám podle mezinárodního práva veřejného, ačkoli </w:t>
      </w:r>
      <w:r w:rsidR="00BA2D7E">
        <w:lastRenderedPageBreak/>
        <w:t>není jeho subjektem, zahájit arbitrážní spor.</w:t>
      </w:r>
      <w:r w:rsidR="00BA2D7E">
        <w:rPr>
          <w:rStyle w:val="Znakapoznpodarou"/>
        </w:rPr>
        <w:footnoteReference w:id="9"/>
      </w:r>
      <w:r w:rsidR="001B39BA">
        <w:t xml:space="preserve"> Mezinárodní ochrana investic</w:t>
      </w:r>
      <w:r w:rsidR="004B0CF9">
        <w:t xml:space="preserve"> tedy</w:t>
      </w:r>
      <w:r w:rsidR="001B39BA">
        <w:t xml:space="preserve"> může omezit suverenitu státu ve třech oblastech:</w:t>
      </w:r>
    </w:p>
    <w:p w14:paraId="2A3790EC" w14:textId="145AE4D2" w:rsidR="001B39BA" w:rsidRDefault="004B0CF9" w:rsidP="009A6ED9">
      <w:pPr>
        <w:pStyle w:val="Odstavecseseznamem"/>
        <w:numPr>
          <w:ilvl w:val="0"/>
          <w:numId w:val="14"/>
        </w:numPr>
        <w:spacing w:line="360" w:lineRule="auto"/>
        <w:jc w:val="both"/>
      </w:pPr>
      <w:r>
        <w:t>Minimální standard zacházení podle mezinárodního obyčejového práva</w:t>
      </w:r>
    </w:p>
    <w:p w14:paraId="41DFBE5C" w14:textId="23163A75" w:rsidR="004B0CF9" w:rsidRDefault="004B0CF9" w:rsidP="009A6ED9">
      <w:pPr>
        <w:pStyle w:val="Odstavecseseznamem"/>
        <w:numPr>
          <w:ilvl w:val="0"/>
          <w:numId w:val="14"/>
        </w:numPr>
        <w:spacing w:line="360" w:lineRule="auto"/>
        <w:jc w:val="both"/>
      </w:pPr>
      <w:r>
        <w:t>Hmotněprávní ochrana podle</w:t>
      </w:r>
      <w:r w:rsidR="00276FF6">
        <w:t xml:space="preserve"> standardů v</w:t>
      </w:r>
      <w:r>
        <w:t xml:space="preserve"> IIA</w:t>
      </w:r>
    </w:p>
    <w:p w14:paraId="7E0915A4" w14:textId="1633B4C6" w:rsidR="004B0CF9" w:rsidRDefault="00276FF6" w:rsidP="009A6ED9">
      <w:pPr>
        <w:pStyle w:val="Odstavecseseznamem"/>
        <w:numPr>
          <w:ilvl w:val="0"/>
          <w:numId w:val="14"/>
        </w:numPr>
        <w:spacing w:line="360" w:lineRule="auto"/>
        <w:jc w:val="both"/>
      </w:pPr>
      <w:r>
        <w:t xml:space="preserve">Procesní </w:t>
      </w:r>
      <w:r w:rsidR="00E66389">
        <w:t>ochrana</w:t>
      </w:r>
      <w:r>
        <w:t xml:space="preserve"> investora</w:t>
      </w:r>
      <w:r w:rsidR="00E66389">
        <w:t xml:space="preserve"> v IIA</w:t>
      </w:r>
      <w:r w:rsidR="00191AE5">
        <w:t xml:space="preserve"> prostřednictvím</w:t>
      </w:r>
      <w:r w:rsidR="00291C35">
        <w:t xml:space="preserve"> arbitráže</w:t>
      </w:r>
    </w:p>
    <w:p w14:paraId="4F5A3645" w14:textId="28E298B1" w:rsidR="002B4812" w:rsidRPr="00D45F30" w:rsidRDefault="009D026E" w:rsidP="00CD0297">
      <w:pPr>
        <w:pStyle w:val="Odstavecseseznamem"/>
        <w:spacing w:line="360" w:lineRule="auto"/>
        <w:ind w:left="142" w:firstLine="654"/>
        <w:jc w:val="both"/>
        <w:rPr>
          <w:i/>
        </w:rPr>
      </w:pPr>
      <w:r>
        <w:t>Právo státu vykonávat suverénní moc na svém území je v</w:t>
      </w:r>
      <w:r w:rsidR="00503724">
        <w:t> investičním právu</w:t>
      </w:r>
      <w:r>
        <w:t xml:space="preserve"> široce reflektováno</w:t>
      </w:r>
      <w:r w:rsidR="00503724">
        <w:t xml:space="preserve"> ve smlouvách o ochraně investic i v rozhodovací praxi. </w:t>
      </w:r>
      <w:r w:rsidR="00F47381">
        <w:t xml:space="preserve">Ve smlouvách nejčastěji obecnými proklamacemi o právu na regulaci, </w:t>
      </w:r>
      <w:r w:rsidR="003B1287">
        <w:t xml:space="preserve">v rozhodčích nálezech pak prostřednictvím takzvané </w:t>
      </w:r>
      <w:r w:rsidR="003B1287">
        <w:rPr>
          <w:i/>
        </w:rPr>
        <w:t>police power doctrine</w:t>
      </w:r>
      <w:r w:rsidR="003B1287">
        <w:t>.</w:t>
      </w:r>
      <w:r w:rsidR="00D45F30">
        <w:t xml:space="preserve"> </w:t>
      </w:r>
      <w:r w:rsidR="008F61C9">
        <w:t>Použití této doktríny je</w:t>
      </w:r>
      <w:r w:rsidR="00553588">
        <w:t xml:space="preserve"> na</w:t>
      </w:r>
      <w:r w:rsidR="00D45F30">
        <w:t>místě, zejména pokud jsou závazky ve smlouvách neurčité.</w:t>
      </w:r>
      <w:r w:rsidR="003B1287">
        <w:t xml:space="preserve"> </w:t>
      </w:r>
      <w:r w:rsidR="00D45F30">
        <w:t xml:space="preserve">Obecně je uznávána svoboda státu jednat v širším veřejném zájmu </w:t>
      </w:r>
      <w:r w:rsidR="007B06BD">
        <w:t xml:space="preserve">prostřednictvím postupů na ochranu životního prostředí, </w:t>
      </w:r>
      <w:r w:rsidR="00912169">
        <w:t xml:space="preserve">stanovení a výběr daní apod. Racionální regulace ze strany státu lze dosáhnout jedině tehdy, pokud subjekt takovou regulací zasažen, nemůže žádat kompenzaci. </w:t>
      </w:r>
      <w:r w:rsidR="003444EA">
        <w:t>Tento princip je uznáván jako obyčej mezinárodního práva.</w:t>
      </w:r>
      <w:r w:rsidR="000B2758">
        <w:rPr>
          <w:rStyle w:val="Znakapoznpodarou"/>
        </w:rPr>
        <w:footnoteReference w:id="10"/>
      </w:r>
      <w:r w:rsidR="003C05F1">
        <w:t xml:space="preserve"> Avšak sama skutečnost, že jednání státu </w:t>
      </w:r>
      <w:r w:rsidR="009D2FCC" w:rsidRPr="009D2FCC">
        <w:t>slouží nějakému legitimnímu veřejnému zájmu, nemůže vést automaticky k závěru, že nedošlo</w:t>
      </w:r>
      <w:r w:rsidR="00D27156">
        <w:t xml:space="preserve"> například</w:t>
      </w:r>
      <w:r w:rsidR="009D2FCC" w:rsidRPr="009D2FCC">
        <w:t xml:space="preserve"> k</w:t>
      </w:r>
      <w:r w:rsidR="0046606A">
        <w:t> </w:t>
      </w:r>
      <w:r w:rsidR="009D2FCC" w:rsidRPr="009D2FCC">
        <w:t>vyvlast</w:t>
      </w:r>
      <w:r w:rsidR="0046606A">
        <w:t>nění, za které má náležet náhrada</w:t>
      </w:r>
      <w:r w:rsidR="00D27156">
        <w:t>.</w:t>
      </w:r>
      <w:r w:rsidR="00D27156">
        <w:rPr>
          <w:rStyle w:val="Znakapoznpodarou"/>
        </w:rPr>
        <w:footnoteReference w:id="11"/>
      </w:r>
      <w:r w:rsidR="00D27156">
        <w:t xml:space="preserve"> </w:t>
      </w:r>
      <w:r w:rsidR="00641247">
        <w:t>Konkrétní další podmínky nekompenzovatelných zásahů rozebírají podrobně další kapitoly</w:t>
      </w:r>
      <w:r w:rsidR="00BA1A32">
        <w:t>.</w:t>
      </w:r>
    </w:p>
    <w:p w14:paraId="5CD726E2" w14:textId="52E0E216" w:rsidR="003D4ABC" w:rsidRDefault="00FB31FF" w:rsidP="00CD0297">
      <w:pPr>
        <w:pStyle w:val="Odstavecseseznamem"/>
        <w:spacing w:line="360" w:lineRule="auto"/>
        <w:ind w:left="142" w:firstLine="654"/>
        <w:jc w:val="both"/>
      </w:pPr>
      <w:r>
        <w:t>Investiční právo může ovlivnit řadu aspektů vnitrostátního práva, jako pracovní, zdravotní právo nebo právo vlastnické</w:t>
      </w:r>
      <w:r w:rsidR="00500819">
        <w:t>, jak upřesňují následující kapitoly</w:t>
      </w:r>
      <w:r>
        <w:t>.</w:t>
      </w:r>
      <w:r w:rsidR="0022618A">
        <w:t xml:space="preserve"> Tato práce v nich mimo jiné zkoumá, zda ochrana investic a systém ISDS poskytují zahraničním investicím </w:t>
      </w:r>
      <w:r w:rsidR="00B87FB2">
        <w:t>zacházení, které je zvýhodňuje oproti vnitrostátním subjektům na trhu a zda</w:t>
      </w:r>
      <w:r w:rsidR="00FC75D2">
        <w:t xml:space="preserve"> a za jakých okolností</w:t>
      </w:r>
      <w:r w:rsidR="00B87FB2">
        <w:t xml:space="preserve"> </w:t>
      </w:r>
      <w:r w:rsidR="00FC75D2">
        <w:t>by mohla vést</w:t>
      </w:r>
      <w:r w:rsidR="00AA58F6">
        <w:t xml:space="preserve"> k</w:t>
      </w:r>
      <w:r w:rsidR="00120E10">
        <w:t xml:space="preserve"> narušení demokratických principů v podobě </w:t>
      </w:r>
      <w:r w:rsidR="00A92078">
        <w:t>omezení legislativních a jiných pravomocí státu.</w:t>
      </w:r>
      <w:r w:rsidR="00872892">
        <w:t xml:space="preserve"> J</w:t>
      </w:r>
      <w:r w:rsidR="00C75531">
        <w:t>edním z</w:t>
      </w:r>
      <w:r w:rsidR="00872892">
        <w:t xml:space="preserve"> dílčích problémů je otázka, do jaké míry se může stát zavázat </w:t>
      </w:r>
      <w:r w:rsidR="00C75531">
        <w:t>ke svému budoucímu jednání.</w:t>
      </w:r>
    </w:p>
    <w:p w14:paraId="709252A3" w14:textId="0E894F57" w:rsidR="00F87B6E" w:rsidRDefault="00F87B6E" w:rsidP="00F87B6E">
      <w:pPr>
        <w:pStyle w:val="Nadpis2"/>
      </w:pPr>
      <w:bookmarkStart w:id="13" w:name="_Toc479697274"/>
      <w:r>
        <w:lastRenderedPageBreak/>
        <w:t>Zvláštní závazky investičního práva</w:t>
      </w:r>
      <w:bookmarkEnd w:id="13"/>
    </w:p>
    <w:p w14:paraId="05BCEA71" w14:textId="1DCA34E6" w:rsidR="00223D5E" w:rsidRDefault="00FE0551" w:rsidP="00CD0297">
      <w:pPr>
        <w:pStyle w:val="Odstavecseseznamem"/>
        <w:spacing w:line="360" w:lineRule="auto"/>
        <w:ind w:left="142" w:firstLine="654"/>
        <w:jc w:val="both"/>
      </w:pPr>
      <w:r>
        <w:t xml:space="preserve">Kromě </w:t>
      </w:r>
      <w:r w:rsidR="00F90BCF">
        <w:t>mezinárodního obyčejového práva a sjednaných IIA může být s</w:t>
      </w:r>
      <w:r w:rsidR="008842C7">
        <w:t>tát vázán i investiční dohodou.</w:t>
      </w:r>
      <w:r w:rsidR="00FB13F2">
        <w:t xml:space="preserve"> Jedná se o smlouvu, uzavřenou mezi hostitelským státem a investorem podle vnitrostátního práva</w:t>
      </w:r>
      <w:r w:rsidR="003941B2">
        <w:t>, obvykle upravující pravidla pro konkrétní investici, vzájemné závazky investora a státu</w:t>
      </w:r>
      <w:r w:rsidR="00FB13F2">
        <w:t>.</w:t>
      </w:r>
      <w:r w:rsidR="00572617">
        <w:rPr>
          <w:rStyle w:val="Znakapoznpodarou"/>
        </w:rPr>
        <w:footnoteReference w:id="12"/>
      </w:r>
      <w:r w:rsidR="003941B2">
        <w:t xml:space="preserve"> Doložka v takové dohodě může jako rozhodné právo stanovit i jiná pravidla než právo hostitelského státu</w:t>
      </w:r>
      <w:r w:rsidR="000D23B1">
        <w:t>, například kombinaci prvků z právních řádů více zemí nebo mezinárodní právo</w:t>
      </w:r>
      <w:r w:rsidR="003941B2">
        <w:t>.</w:t>
      </w:r>
      <w:r w:rsidR="008842C7">
        <w:t xml:space="preserve"> Zatímco porušení IIA</w:t>
      </w:r>
      <w:r w:rsidR="00985277">
        <w:t xml:space="preserve"> za strany státu</w:t>
      </w:r>
      <w:r w:rsidR="008842C7">
        <w:t xml:space="preserve"> je</w:t>
      </w:r>
      <w:r w:rsidR="00985277">
        <w:t xml:space="preserve"> vždy</w:t>
      </w:r>
      <w:r w:rsidR="003D236D">
        <w:t xml:space="preserve"> porušením mezinárodního práva, u investiční smlouvy toto neplatí</w:t>
      </w:r>
      <w:r w:rsidR="00FD6900">
        <w:t xml:space="preserve"> automaticky</w:t>
      </w:r>
      <w:r w:rsidR="003D236D">
        <w:t xml:space="preserve">. </w:t>
      </w:r>
      <w:r w:rsidR="00FD6900">
        <w:t xml:space="preserve">O porušení mezinárodního práva se může jednat </w:t>
      </w:r>
      <w:r w:rsidR="00030293">
        <w:t xml:space="preserve">(1) pokud stát zasáhl do </w:t>
      </w:r>
      <w:r w:rsidR="00837FCD">
        <w:t>závazku ze smlouvy ze své vrchnostenské pozice, tedy jinak než by toho byl schopen kterýkoli jiný subjekt</w:t>
      </w:r>
      <w:r w:rsidR="00E40A12">
        <w:t>, například</w:t>
      </w:r>
      <w:r w:rsidR="00C26140">
        <w:t xml:space="preserve"> konfiskací majetku</w:t>
      </w:r>
      <w:r w:rsidR="00837FCD">
        <w:t xml:space="preserve">, anebo (2) pokud </w:t>
      </w:r>
      <w:r w:rsidR="00C963C0">
        <w:t xml:space="preserve">byla sjednána povinnost dodržovat závazky vůči investorům </w:t>
      </w:r>
      <w:r w:rsidR="00451FEC">
        <w:t>v</w:t>
      </w:r>
      <w:r w:rsidR="00C963C0">
        <w:t xml:space="preserve"> IIA, tzv. </w:t>
      </w:r>
      <w:r w:rsidR="00C963C0">
        <w:rPr>
          <w:i/>
        </w:rPr>
        <w:t>umbrella clause</w:t>
      </w:r>
      <w:r w:rsidR="00C963C0">
        <w:t xml:space="preserve">. </w:t>
      </w:r>
      <w:r w:rsidR="00501D30">
        <w:t xml:space="preserve">Ta zvyšuje </w:t>
      </w:r>
      <w:r w:rsidR="003B5443">
        <w:t>závazky</w:t>
      </w:r>
      <w:r w:rsidR="00451FEC">
        <w:t xml:space="preserve"> investičních</w:t>
      </w:r>
      <w:r w:rsidR="00501D30">
        <w:t xml:space="preserve"> smluv na hmotněprávní povinnost z</w:t>
      </w:r>
      <w:r w:rsidR="00451FEC">
        <w:t>e smlouvy</w:t>
      </w:r>
      <w:r w:rsidR="00501D30">
        <w:t xml:space="preserve"> IIA, </w:t>
      </w:r>
      <w:r w:rsidR="00020230">
        <w:t>jejich porušení</w:t>
      </w:r>
      <w:r w:rsidR="003B5443">
        <w:t xml:space="preserve"> pak</w:t>
      </w:r>
      <w:r w:rsidR="00020230">
        <w:t xml:space="preserve"> má za následek odpovědnost</w:t>
      </w:r>
      <w:r w:rsidR="002E4928">
        <w:t xml:space="preserve"> státu</w:t>
      </w:r>
      <w:r w:rsidR="00020230">
        <w:t xml:space="preserve"> </w:t>
      </w:r>
      <w:r w:rsidR="00451FEC">
        <w:t>jako p</w:t>
      </w:r>
      <w:r w:rsidR="008F4120">
        <w:t>odle kterékoli jiné ochranné doložky</w:t>
      </w:r>
      <w:r w:rsidR="00F97DC7">
        <w:t>.</w:t>
      </w:r>
      <w:r w:rsidR="008F4120">
        <w:t xml:space="preserve"> </w:t>
      </w:r>
      <w:r w:rsidR="00940559">
        <w:t>Pokud jsou v IIA stanovena procesní pravidla k řešení sporů, lze je následně využít k žalobě na plnění z investiční smlouvy.</w:t>
      </w:r>
      <w:r w:rsidR="00007C15">
        <w:rPr>
          <w:rStyle w:val="Znakapoznpodarou"/>
        </w:rPr>
        <w:footnoteReference w:id="13"/>
      </w:r>
      <w:r w:rsidR="00223D5E">
        <w:t xml:space="preserve"> Jak je ale dále popsáno v kapitole 2, i </w:t>
      </w:r>
      <w:r w:rsidR="00DD2C5A">
        <w:t>investiční smlouva bez jedné z těchto podmínek může mít pro posouzení odpovědnosti váhu, a to v testu proporcionality zásahu do investice</w:t>
      </w:r>
      <w:r w:rsidR="005C099D">
        <w:t xml:space="preserve"> nebo porušení minimálního standardu zacházení s cizinci podle mezinárodního obyčejového práva</w:t>
      </w:r>
      <w:r w:rsidR="00DD2C5A">
        <w:t>.</w:t>
      </w:r>
      <w:r w:rsidR="00324EAC">
        <w:rPr>
          <w:rStyle w:val="Znakapoznpodarou"/>
        </w:rPr>
        <w:footnoteReference w:id="14"/>
      </w:r>
    </w:p>
    <w:p w14:paraId="480EE56E" w14:textId="1911B6C2" w:rsidR="0085515E" w:rsidRPr="00882498" w:rsidRDefault="00223D5E" w:rsidP="00CD0297">
      <w:pPr>
        <w:pStyle w:val="Odstavecseseznamem"/>
        <w:spacing w:line="360" w:lineRule="auto"/>
        <w:ind w:left="142" w:firstLine="654"/>
        <w:jc w:val="both"/>
      </w:pPr>
      <w:r>
        <w:t xml:space="preserve">Zásadní závazek státu představuje </w:t>
      </w:r>
      <w:r w:rsidR="00882498">
        <w:rPr>
          <w:i/>
        </w:rPr>
        <w:t>stabilization clause</w:t>
      </w:r>
      <w:r w:rsidR="00E453CA">
        <w:t xml:space="preserve"> v investiční smlouvě</w:t>
      </w:r>
      <w:r w:rsidR="00882498">
        <w:t xml:space="preserve">. </w:t>
      </w:r>
      <w:r w:rsidR="00316DB5">
        <w:t>Stát se v ní zaváže neměnit svou legislativu</w:t>
      </w:r>
      <w:r w:rsidR="00030883">
        <w:t xml:space="preserve"> ovlivňující investici</w:t>
      </w:r>
      <w:r w:rsidR="00316DB5">
        <w:t xml:space="preserve"> platnou v době </w:t>
      </w:r>
      <w:r w:rsidR="00030883">
        <w:t>jejího uskutečnění</w:t>
      </w:r>
      <w:r w:rsidR="00316DB5">
        <w:t>, konkrétním způsobem a na konkrétní dobu.</w:t>
      </w:r>
      <w:r w:rsidR="00BE3C6C">
        <w:rPr>
          <w:rStyle w:val="Znakapoznpodarou"/>
        </w:rPr>
        <w:footnoteReference w:id="15"/>
      </w:r>
      <w:r w:rsidR="001B67B5">
        <w:t xml:space="preserve"> </w:t>
      </w:r>
      <w:r w:rsidR="00CA4E06">
        <w:t>Porušení tohoto závazku vede s velkou pravděpodobností k odpovědnosti podle mezinárodního práva, a to i bez existence příslušné IIA.</w:t>
      </w:r>
      <w:r w:rsidR="000159C2">
        <w:t xml:space="preserve"> Je však rozumné k takovéto stabilizační doložce sjednat i pravomoc </w:t>
      </w:r>
      <w:r w:rsidR="003B7E9C">
        <w:t xml:space="preserve">arbitrážního </w:t>
      </w:r>
      <w:r w:rsidR="003B7E9C">
        <w:lastRenderedPageBreak/>
        <w:t>tribunálu k rozhodování případného sporu</w:t>
      </w:r>
      <w:r w:rsidR="000159C2">
        <w:t>.</w:t>
      </w:r>
      <w:r w:rsidR="000159C2">
        <w:rPr>
          <w:rStyle w:val="Znakapoznpodarou"/>
        </w:rPr>
        <w:footnoteReference w:id="16"/>
      </w:r>
      <w:r w:rsidR="00FE01DE">
        <w:t xml:space="preserve"> Základní</w:t>
      </w:r>
      <w:r w:rsidR="00211755">
        <w:t xml:space="preserve"> funk</w:t>
      </w:r>
      <w:r w:rsidR="00D848CA">
        <w:t>cí klauzule bývá ochrana před nekompenzovaným vyvlastněním, především nepřímým.</w:t>
      </w:r>
      <w:r w:rsidR="00A8640A">
        <w:t xml:space="preserve"> Arbitrážní praxe nicméně není jednotná v názoru, zda porušení </w:t>
      </w:r>
      <w:r w:rsidR="00A8640A" w:rsidRPr="00A8640A">
        <w:rPr>
          <w:i/>
        </w:rPr>
        <w:t>stabilization clause</w:t>
      </w:r>
      <w:r w:rsidR="00A8640A">
        <w:t xml:space="preserve"> vede k povinnosti návratu norem do předchozího stavu, anebo k povinnosti investora odškodnit.</w:t>
      </w:r>
      <w:r w:rsidR="00861DE0">
        <w:rPr>
          <w:rStyle w:val="Znakapoznpodarou"/>
        </w:rPr>
        <w:footnoteReference w:id="17"/>
      </w:r>
      <w:r w:rsidR="00A8640A">
        <w:t xml:space="preserve"> </w:t>
      </w:r>
      <w:r w:rsidR="00CD5829">
        <w:t>Dle mého názoru je z</w:t>
      </w:r>
      <w:r w:rsidR="00B719A0">
        <w:t xml:space="preserve"> hlediska případného výkonu rozhodnutí </w:t>
      </w:r>
      <w:r w:rsidR="00AB77A9">
        <w:t>snazší možností odškodnění</w:t>
      </w:r>
      <w:r w:rsidR="002D5027">
        <w:t>,</w:t>
      </w:r>
      <w:r w:rsidR="001235F3">
        <w:t xml:space="preserve"> případná snaha nařídit změnu zákona </w:t>
      </w:r>
      <w:r w:rsidR="002D5027">
        <w:t>by z hlediska státní suverenity byla velice problematická</w:t>
      </w:r>
      <w:r w:rsidR="00B719A0">
        <w:t xml:space="preserve">. </w:t>
      </w:r>
    </w:p>
    <w:p w14:paraId="5B095BE8" w14:textId="050CDD3D" w:rsidR="008629D3" w:rsidRDefault="008629D3" w:rsidP="006114F6">
      <w:pPr>
        <w:pStyle w:val="Nadpis2"/>
      </w:pPr>
      <w:bookmarkStart w:id="14" w:name="_Toc479697275"/>
      <w:r>
        <w:t>Typické regulační zásahy do investic</w:t>
      </w:r>
      <w:bookmarkEnd w:id="14"/>
    </w:p>
    <w:p w14:paraId="1098751F" w14:textId="0C445AC2" w:rsidR="00841AF8" w:rsidRDefault="003956E6" w:rsidP="00841AF8">
      <w:pPr>
        <w:pStyle w:val="Odstavecseseznamem"/>
        <w:spacing w:line="360" w:lineRule="auto"/>
        <w:ind w:left="142" w:firstLine="654"/>
        <w:jc w:val="both"/>
      </w:pPr>
      <w:r w:rsidRPr="00BA5825">
        <w:rPr>
          <w:rFonts w:eastAsiaTheme="majorEastAsia" w:cstheme="majorBidi"/>
          <w:bCs/>
        </w:rPr>
        <w:t>Pro účely této práce je nutné vymezit regulační zásah jako takový.</w:t>
      </w:r>
      <w:r w:rsidR="00340E04">
        <w:rPr>
          <w:rFonts w:eastAsiaTheme="majorEastAsia" w:cstheme="majorBidi"/>
          <w:bCs/>
        </w:rPr>
        <w:t xml:space="preserve"> Jeho definice není nijak určena,</w:t>
      </w:r>
      <w:r w:rsidR="006E5567">
        <w:rPr>
          <w:rFonts w:eastAsiaTheme="majorEastAsia" w:cstheme="majorBidi"/>
          <w:bCs/>
        </w:rPr>
        <w:t xml:space="preserve"> v</w:t>
      </w:r>
      <w:r w:rsidR="00340E04">
        <w:rPr>
          <w:rFonts w:eastAsiaTheme="majorEastAsia" w:cstheme="majorBidi"/>
          <w:bCs/>
        </w:rPr>
        <w:t xml:space="preserve"> arbitrážní praxi najdeme nespočet opatření, která by se dala takto označit a </w:t>
      </w:r>
      <w:r w:rsidR="00121AC0">
        <w:rPr>
          <w:rFonts w:eastAsiaTheme="majorEastAsia" w:cstheme="majorBidi"/>
          <w:bCs/>
        </w:rPr>
        <w:t>jejich výčet není ohraničen.</w:t>
      </w:r>
      <w:r w:rsidRPr="00C67872">
        <w:rPr>
          <w:rFonts w:eastAsiaTheme="majorEastAsia" w:cstheme="majorBidi"/>
          <w:bCs/>
        </w:rPr>
        <w:t xml:space="preserve"> </w:t>
      </w:r>
      <w:r w:rsidR="00340E04">
        <w:rPr>
          <w:rFonts w:eastAsiaTheme="majorEastAsia" w:cstheme="majorBidi"/>
          <w:bCs/>
        </w:rPr>
        <w:t>Obsahově se</w:t>
      </w:r>
      <w:r w:rsidR="00121AC0">
        <w:rPr>
          <w:rFonts w:eastAsiaTheme="majorEastAsia" w:cstheme="majorBidi"/>
          <w:bCs/>
        </w:rPr>
        <w:t xml:space="preserve"> jedná například o </w:t>
      </w:r>
      <w:r w:rsidR="00060A5A" w:rsidRPr="00060A5A">
        <w:rPr>
          <w:rFonts w:eastAsiaTheme="majorEastAsia" w:cstheme="majorBidi"/>
          <w:bCs/>
        </w:rPr>
        <w:t>ochranu životního prostředí, nové či modifikované daňové</w:t>
      </w:r>
      <w:r w:rsidR="00060A5A">
        <w:rPr>
          <w:rFonts w:eastAsiaTheme="majorEastAsia" w:cstheme="majorBidi"/>
          <w:bCs/>
        </w:rPr>
        <w:t xml:space="preserve"> </w:t>
      </w:r>
      <w:r w:rsidR="00060A5A" w:rsidRPr="00060A5A">
        <w:rPr>
          <w:rFonts w:eastAsiaTheme="majorEastAsia" w:cstheme="majorBidi"/>
          <w:bCs/>
        </w:rPr>
        <w:t>režimy, poskytování či odnímání veřejné podpory, snižování či zvyšování celních sazeb,</w:t>
      </w:r>
      <w:r w:rsidR="00060A5A">
        <w:rPr>
          <w:rFonts w:eastAsiaTheme="majorEastAsia" w:cstheme="majorBidi"/>
          <w:bCs/>
        </w:rPr>
        <w:t xml:space="preserve"> </w:t>
      </w:r>
      <w:r w:rsidR="00060A5A" w:rsidRPr="00060A5A">
        <w:rPr>
          <w:rFonts w:eastAsiaTheme="majorEastAsia" w:cstheme="majorBidi"/>
          <w:bCs/>
        </w:rPr>
        <w:t>ukládání omezení v rámci územního plánování</w:t>
      </w:r>
      <w:r w:rsidR="00E67EDB">
        <w:rPr>
          <w:rFonts w:eastAsiaTheme="majorEastAsia" w:cstheme="majorBidi"/>
          <w:bCs/>
        </w:rPr>
        <w:t xml:space="preserve">, </w:t>
      </w:r>
      <w:r w:rsidR="00E67EDB" w:rsidRPr="00E67EDB">
        <w:rPr>
          <w:rFonts w:eastAsiaTheme="majorEastAsia" w:cstheme="majorBidi"/>
          <w:bCs/>
        </w:rPr>
        <w:t>hospodářsk</w:t>
      </w:r>
      <w:r w:rsidR="00E67EDB">
        <w:rPr>
          <w:rFonts w:eastAsiaTheme="majorEastAsia" w:cstheme="majorBidi"/>
          <w:bCs/>
        </w:rPr>
        <w:t>é soutěže, ochrany spotřebitele nebo ochrany práv zaměstnanců</w:t>
      </w:r>
      <w:r w:rsidR="00060A5A">
        <w:rPr>
          <w:rFonts w:eastAsiaTheme="majorEastAsia" w:cstheme="majorBidi"/>
          <w:bCs/>
        </w:rPr>
        <w:t>.</w:t>
      </w:r>
      <w:r w:rsidR="006B6BFB">
        <w:rPr>
          <w:rFonts w:eastAsiaTheme="majorEastAsia" w:cstheme="majorBidi"/>
          <w:bCs/>
        </w:rPr>
        <w:t xml:space="preserve"> Formálně mají podobu obecně závazných předpisů, </w:t>
      </w:r>
      <w:r w:rsidR="00A6354A">
        <w:rPr>
          <w:rFonts w:eastAsiaTheme="majorEastAsia" w:cstheme="majorBidi"/>
          <w:bCs/>
        </w:rPr>
        <w:t>individuálních správních aktů, nebo i soudních rozhodnutí, tedy jakékoli opatření, které je státu přičitatelné.</w:t>
      </w:r>
      <w:r w:rsidR="00E64213">
        <w:rPr>
          <w:rFonts w:eastAsiaTheme="majorEastAsia" w:cstheme="majorBidi"/>
          <w:bCs/>
        </w:rPr>
        <w:t xml:space="preserve"> </w:t>
      </w:r>
      <w:r w:rsidR="00841AF8">
        <w:t>Regulační opatření přitom ani nemusí mít svůj původ přímo v politice státu. Může jít o implementaci závazků mezinárodního práva nebo práva EU.</w:t>
      </w:r>
    </w:p>
    <w:p w14:paraId="39184E54" w14:textId="7E347DAF" w:rsidR="005E1E53" w:rsidRPr="00E64213" w:rsidRDefault="00BC37A2" w:rsidP="00C67872">
      <w:pPr>
        <w:pStyle w:val="Odstavecseseznamem"/>
        <w:spacing w:line="360" w:lineRule="auto"/>
        <w:ind w:left="142" w:firstLine="654"/>
        <w:jc w:val="both"/>
        <w:rPr>
          <w:rFonts w:eastAsiaTheme="majorEastAsia" w:cstheme="majorBidi"/>
          <w:bCs/>
        </w:rPr>
      </w:pPr>
      <w:r w:rsidRPr="00E64213">
        <w:rPr>
          <w:rFonts w:eastAsiaTheme="majorEastAsia" w:cstheme="majorBidi"/>
          <w:bCs/>
        </w:rPr>
        <w:t xml:space="preserve">Aby se </w:t>
      </w:r>
      <w:r w:rsidR="00246C14">
        <w:rPr>
          <w:rFonts w:eastAsiaTheme="majorEastAsia" w:cstheme="majorBidi"/>
          <w:bCs/>
        </w:rPr>
        <w:t xml:space="preserve">mohlo v případě </w:t>
      </w:r>
      <w:r w:rsidR="0050623D">
        <w:rPr>
          <w:rFonts w:eastAsiaTheme="majorEastAsia" w:cstheme="majorBidi"/>
          <w:bCs/>
        </w:rPr>
        <w:t>konkrétního zásahu</w:t>
      </w:r>
      <w:r w:rsidR="005E1E53" w:rsidRPr="00E64213">
        <w:rPr>
          <w:rFonts w:eastAsiaTheme="majorEastAsia" w:cstheme="majorBidi"/>
          <w:bCs/>
        </w:rPr>
        <w:t xml:space="preserve"> jednat o odpovědnost státu, musí být </w:t>
      </w:r>
      <w:r w:rsidR="00862790" w:rsidRPr="00E64213">
        <w:rPr>
          <w:rFonts w:eastAsiaTheme="majorEastAsia" w:cstheme="majorBidi"/>
          <w:bCs/>
        </w:rPr>
        <w:t>kumulativně splněny tyto znaky.</w:t>
      </w:r>
      <w:r w:rsidR="00670413" w:rsidRPr="00E64213">
        <w:rPr>
          <w:rFonts w:eastAsiaTheme="majorEastAsia" w:cstheme="majorBidi"/>
          <w:bCs/>
          <w:vertAlign w:val="superscript"/>
        </w:rPr>
        <w:footnoteReference w:id="18"/>
      </w:r>
    </w:p>
    <w:p w14:paraId="4B43C381" w14:textId="1E5774D5" w:rsidR="00862790" w:rsidRPr="00E64213" w:rsidRDefault="00A751AC" w:rsidP="00CF7F5B">
      <w:pPr>
        <w:pStyle w:val="Odstavecseseznamem"/>
        <w:spacing w:line="360" w:lineRule="auto"/>
        <w:ind w:left="142" w:firstLine="992"/>
        <w:jc w:val="both"/>
        <w:rPr>
          <w:rFonts w:eastAsiaTheme="majorEastAsia" w:cstheme="majorBidi"/>
          <w:bCs/>
        </w:rPr>
      </w:pPr>
      <w:r>
        <w:rPr>
          <w:rFonts w:eastAsiaTheme="majorEastAsia" w:cstheme="majorBidi"/>
          <w:bCs/>
        </w:rPr>
        <w:t>1) Hmotněprávní standard ochrany</w:t>
      </w:r>
      <w:r w:rsidR="00862790" w:rsidRPr="00E64213">
        <w:rPr>
          <w:rFonts w:eastAsiaTheme="majorEastAsia" w:cstheme="majorBidi"/>
          <w:bCs/>
        </w:rPr>
        <w:t xml:space="preserve"> </w:t>
      </w:r>
      <w:r w:rsidR="004C063A" w:rsidRPr="00E64213">
        <w:rPr>
          <w:rFonts w:eastAsiaTheme="majorEastAsia" w:cstheme="majorBidi"/>
          <w:bCs/>
        </w:rPr>
        <w:t xml:space="preserve">jako závazek </w:t>
      </w:r>
      <w:r w:rsidR="00E71C40" w:rsidRPr="00E64213">
        <w:rPr>
          <w:rFonts w:eastAsiaTheme="majorEastAsia" w:cstheme="majorBidi"/>
          <w:bCs/>
        </w:rPr>
        <w:t>vyplývající z IIA</w:t>
      </w:r>
    </w:p>
    <w:p w14:paraId="01B016F1" w14:textId="148A2E97" w:rsidR="00862790" w:rsidRPr="00E64213" w:rsidRDefault="00862790" w:rsidP="00CF7F5B">
      <w:pPr>
        <w:pStyle w:val="Odstavecseseznamem"/>
        <w:spacing w:line="360" w:lineRule="auto"/>
        <w:ind w:left="142" w:firstLine="992"/>
        <w:jc w:val="both"/>
        <w:rPr>
          <w:rFonts w:eastAsiaTheme="majorEastAsia" w:cstheme="majorBidi"/>
          <w:bCs/>
        </w:rPr>
      </w:pPr>
      <w:r w:rsidRPr="00E64213">
        <w:rPr>
          <w:rFonts w:eastAsiaTheme="majorEastAsia" w:cstheme="majorBidi"/>
          <w:bCs/>
        </w:rPr>
        <w:t>2) Porušení tohoto závazku státem</w:t>
      </w:r>
      <w:r w:rsidR="0096554C" w:rsidRPr="00E64213">
        <w:rPr>
          <w:rFonts w:eastAsiaTheme="majorEastAsia" w:cstheme="majorBidi"/>
          <w:bCs/>
        </w:rPr>
        <w:t xml:space="preserve"> ve smyslu čl. </w:t>
      </w:r>
      <w:r w:rsidR="00C00EF9" w:rsidRPr="00E64213">
        <w:rPr>
          <w:rFonts w:eastAsiaTheme="majorEastAsia" w:cstheme="majorBidi"/>
          <w:bCs/>
        </w:rPr>
        <w:t>69 VCLT</w:t>
      </w:r>
      <w:r w:rsidR="00123C89" w:rsidRPr="00E64213">
        <w:rPr>
          <w:rFonts w:eastAsiaTheme="majorEastAsia" w:cstheme="majorBidi"/>
          <w:bCs/>
          <w:vertAlign w:val="superscript"/>
        </w:rPr>
        <w:footnoteReference w:id="19"/>
      </w:r>
    </w:p>
    <w:p w14:paraId="3BC859E4" w14:textId="444308D1" w:rsidR="00862790" w:rsidRPr="00E64213" w:rsidRDefault="00862790" w:rsidP="00CF7F5B">
      <w:pPr>
        <w:pStyle w:val="Odstavecseseznamem"/>
        <w:spacing w:line="360" w:lineRule="auto"/>
        <w:ind w:left="142" w:firstLine="992"/>
        <w:jc w:val="both"/>
        <w:rPr>
          <w:rFonts w:eastAsiaTheme="majorEastAsia" w:cstheme="majorBidi"/>
          <w:bCs/>
        </w:rPr>
      </w:pPr>
      <w:r w:rsidRPr="00E64213">
        <w:rPr>
          <w:rFonts w:eastAsiaTheme="majorEastAsia" w:cstheme="majorBidi"/>
          <w:bCs/>
        </w:rPr>
        <w:t xml:space="preserve">3) Přičitatelnost jednání porušujícího </w:t>
      </w:r>
      <w:r w:rsidR="004C063A" w:rsidRPr="00E64213">
        <w:rPr>
          <w:rFonts w:eastAsiaTheme="majorEastAsia" w:cstheme="majorBidi"/>
          <w:bCs/>
        </w:rPr>
        <w:t>tento závazek</w:t>
      </w:r>
    </w:p>
    <w:p w14:paraId="36993238" w14:textId="77E9E11B" w:rsidR="00426F8A" w:rsidRPr="00E64213" w:rsidRDefault="004C063A" w:rsidP="00CF7F5B">
      <w:pPr>
        <w:pStyle w:val="Odstavecseseznamem"/>
        <w:spacing w:line="360" w:lineRule="auto"/>
        <w:ind w:left="142" w:firstLine="992"/>
        <w:jc w:val="both"/>
        <w:rPr>
          <w:rFonts w:eastAsiaTheme="majorEastAsia" w:cstheme="majorBidi"/>
          <w:bCs/>
        </w:rPr>
      </w:pPr>
      <w:r w:rsidRPr="00E64213">
        <w:rPr>
          <w:rFonts w:eastAsiaTheme="majorEastAsia" w:cstheme="majorBidi"/>
          <w:bCs/>
        </w:rPr>
        <w:t xml:space="preserve">4) </w:t>
      </w:r>
      <w:r w:rsidR="00885832" w:rsidRPr="00E64213">
        <w:rPr>
          <w:rFonts w:eastAsiaTheme="majorEastAsia" w:cstheme="majorBidi"/>
          <w:bCs/>
        </w:rPr>
        <w:t>Příčinné souvislosti mezi porušením standardu a vzniklou škodou</w:t>
      </w:r>
    </w:p>
    <w:p w14:paraId="2BD796EB" w14:textId="0AA72CBC" w:rsidR="001E28A7" w:rsidRDefault="00A536AF" w:rsidP="00426F8A">
      <w:pPr>
        <w:pStyle w:val="Odstavecseseznamem"/>
        <w:spacing w:line="360" w:lineRule="auto"/>
        <w:ind w:left="142" w:firstLine="654"/>
        <w:jc w:val="both"/>
      </w:pPr>
      <w:r>
        <w:lastRenderedPageBreak/>
        <w:t>Jako kritérium</w:t>
      </w:r>
      <w:r w:rsidR="001E28A7">
        <w:t xml:space="preserve"> pro určení</w:t>
      </w:r>
      <w:r>
        <w:t xml:space="preserve"> legitimního opatření ve veřejném zájmu, jehož různé variace jsou použity v</w:t>
      </w:r>
      <w:r w:rsidR="00A04538">
        <w:t> </w:t>
      </w:r>
      <w:r>
        <w:t>celé</w:t>
      </w:r>
      <w:r w:rsidR="00A04538">
        <w:t xml:space="preserve"> diplomové</w:t>
      </w:r>
      <w:r>
        <w:t xml:space="preserve"> práci, </w:t>
      </w:r>
      <w:r w:rsidR="00FA701D">
        <w:t xml:space="preserve">se v investičním právu </w:t>
      </w:r>
      <w:r w:rsidR="001E28A7">
        <w:t>používá nejvíce jeho</w:t>
      </w:r>
      <w:r w:rsidR="00504E24">
        <w:t xml:space="preserve"> </w:t>
      </w:r>
      <w:r w:rsidR="00DD4A4B">
        <w:t>objektivní přiměřenost</w:t>
      </w:r>
      <w:r w:rsidR="006358D1">
        <w:t xml:space="preserve"> a procesní racionalita jeho zavedení.</w:t>
      </w:r>
      <w:r w:rsidR="005D6A3C">
        <w:t xml:space="preserve"> Dále se posuzuje také jeho motiv, který může vyústit v závěr, že</w:t>
      </w:r>
      <w:r w:rsidR="0046345E">
        <w:t xml:space="preserve"> opatření</w:t>
      </w:r>
      <w:r w:rsidR="005D6A3C">
        <w:t xml:space="preserve"> bylo provedeno ve zlé víře. </w:t>
      </w:r>
      <w:r w:rsidR="00C90EBB">
        <w:t>Samotná</w:t>
      </w:r>
      <w:r w:rsidR="00CC09FC">
        <w:t xml:space="preserve"> neefektivita opatření nebo politická</w:t>
      </w:r>
      <w:r w:rsidR="00C90EBB">
        <w:t xml:space="preserve"> </w:t>
      </w:r>
      <w:r w:rsidR="00CC09FC">
        <w:t>krátkozrakost</w:t>
      </w:r>
      <w:r w:rsidR="00B70940">
        <w:t>,</w:t>
      </w:r>
      <w:r w:rsidR="00CC09FC">
        <w:t xml:space="preserve"> která později ukáže jeho negativní dopad na společnost, v ochraně investic jeho nelegitimitu. Nicméně, jak ukazují následující kapitoly, legitimita zásahu do investice nebývá vždy brána v úvahu. Může na ni být pohlíženo absolutně, proporcionálně, nebo může být pro určení odpovědnosti </w:t>
      </w:r>
      <w:r w:rsidR="00B70940">
        <w:t>nechána stranou úplně.</w:t>
      </w:r>
    </w:p>
    <w:p w14:paraId="77B4BA10" w14:textId="08C587B9" w:rsidR="008629D3" w:rsidRDefault="008629D3" w:rsidP="00426F8A">
      <w:pPr>
        <w:pStyle w:val="Odstavecseseznamem"/>
        <w:spacing w:line="360" w:lineRule="auto"/>
        <w:ind w:left="142" w:firstLine="654"/>
        <w:jc w:val="both"/>
      </w:pPr>
      <w:r>
        <w:br w:type="page"/>
      </w:r>
    </w:p>
    <w:p w14:paraId="384DC33D" w14:textId="19AF3E87" w:rsidR="007A30BB" w:rsidRPr="002364A4" w:rsidRDefault="00411777" w:rsidP="00B818E7">
      <w:pPr>
        <w:pStyle w:val="Nadpis1"/>
      </w:pPr>
      <w:bookmarkStart w:id="15" w:name="_Toc479697276"/>
      <w:r w:rsidRPr="002364A4">
        <w:lastRenderedPageBreak/>
        <w:t>Zásah státu</w:t>
      </w:r>
      <w:r w:rsidR="00D84BA1" w:rsidRPr="002364A4">
        <w:t xml:space="preserve"> a o</w:t>
      </w:r>
      <w:r w:rsidR="00F0508C" w:rsidRPr="002364A4">
        <w:t>chrana oprávněných očekávání</w:t>
      </w:r>
      <w:bookmarkEnd w:id="15"/>
    </w:p>
    <w:p w14:paraId="016D8313" w14:textId="1ED9F3BC" w:rsidR="00B147C8" w:rsidRDefault="00012EB1" w:rsidP="009F36E4">
      <w:pPr>
        <w:pStyle w:val="Odstavecseseznamem"/>
        <w:spacing w:line="360" w:lineRule="auto"/>
        <w:ind w:left="142" w:firstLine="654"/>
        <w:jc w:val="both"/>
        <w:rPr>
          <w:rFonts w:eastAsiaTheme="majorEastAsia" w:cstheme="majorBidi"/>
          <w:bCs/>
        </w:rPr>
      </w:pPr>
      <w:r w:rsidRPr="00D15CFA">
        <w:rPr>
          <w:rFonts w:eastAsiaTheme="majorEastAsia" w:cstheme="majorBidi"/>
          <w:bCs/>
        </w:rPr>
        <w:t>Jako hmotněprávní</w:t>
      </w:r>
      <w:r w:rsidR="00C8619F">
        <w:rPr>
          <w:rFonts w:eastAsiaTheme="majorEastAsia" w:cstheme="majorBidi"/>
          <w:bCs/>
        </w:rPr>
        <w:t xml:space="preserve"> záruka</w:t>
      </w:r>
      <w:r w:rsidRPr="00D15CFA">
        <w:rPr>
          <w:rFonts w:eastAsiaTheme="majorEastAsia" w:cstheme="majorBidi"/>
          <w:bCs/>
        </w:rPr>
        <w:t xml:space="preserve"> nebývá ochrana oprávněných očekávání </w:t>
      </w:r>
      <w:r w:rsidR="00FD558A">
        <w:rPr>
          <w:rFonts w:eastAsiaTheme="majorEastAsia" w:cstheme="majorBidi"/>
          <w:bCs/>
        </w:rPr>
        <w:t>výslovně zmíněna v IIA</w:t>
      </w:r>
      <w:r w:rsidR="000C4162" w:rsidRPr="00D15CFA">
        <w:rPr>
          <w:rFonts w:eastAsiaTheme="majorEastAsia" w:cstheme="majorBidi"/>
          <w:bCs/>
        </w:rPr>
        <w:t>,</w:t>
      </w:r>
      <w:r w:rsidR="00C50B23" w:rsidRPr="00D15CFA">
        <w:rPr>
          <w:rFonts w:eastAsiaTheme="majorEastAsia" w:cstheme="majorBidi"/>
          <w:bCs/>
        </w:rPr>
        <w:t xml:space="preserve"> funguje</w:t>
      </w:r>
      <w:r w:rsidR="000C4162" w:rsidRPr="00D15CFA">
        <w:rPr>
          <w:rFonts w:eastAsiaTheme="majorEastAsia" w:cstheme="majorBidi"/>
          <w:bCs/>
        </w:rPr>
        <w:t xml:space="preserve"> však </w:t>
      </w:r>
      <w:r w:rsidR="00C50B23" w:rsidRPr="00D15CFA">
        <w:rPr>
          <w:rFonts w:eastAsiaTheme="majorEastAsia" w:cstheme="majorBidi"/>
          <w:bCs/>
        </w:rPr>
        <w:t>jako princip obecného mezinárodního práva i jako princip práva EU.</w:t>
      </w:r>
      <w:r w:rsidR="00036AC4" w:rsidRPr="00D15CFA">
        <w:rPr>
          <w:rStyle w:val="Znakapoznpodarou"/>
          <w:rFonts w:eastAsiaTheme="majorEastAsia" w:cstheme="majorBidi"/>
          <w:bCs/>
        </w:rPr>
        <w:footnoteReference w:id="20"/>
      </w:r>
      <w:r w:rsidR="00093481" w:rsidRPr="00D15CFA">
        <w:rPr>
          <w:rFonts w:eastAsiaTheme="majorEastAsia" w:cstheme="majorBidi"/>
          <w:bCs/>
        </w:rPr>
        <w:t xml:space="preserve"> Ve vnitrostátním kontextu pak</w:t>
      </w:r>
      <w:r w:rsidR="00CF757F" w:rsidRPr="00D15CFA">
        <w:rPr>
          <w:rFonts w:eastAsiaTheme="majorEastAsia" w:cstheme="majorBidi"/>
          <w:bCs/>
        </w:rPr>
        <w:t xml:space="preserve"> obvykle</w:t>
      </w:r>
      <w:r w:rsidR="00093481" w:rsidRPr="00D15CFA">
        <w:rPr>
          <w:rFonts w:eastAsiaTheme="majorEastAsia" w:cstheme="majorBidi"/>
          <w:bCs/>
        </w:rPr>
        <w:t xml:space="preserve"> ochranu legiti</w:t>
      </w:r>
      <w:r w:rsidR="00912D98" w:rsidRPr="00D15CFA">
        <w:rPr>
          <w:rFonts w:eastAsiaTheme="majorEastAsia" w:cstheme="majorBidi"/>
          <w:bCs/>
        </w:rPr>
        <w:t>mních očekávání zaručuje ústavní a správní</w:t>
      </w:r>
      <w:r w:rsidR="00235062">
        <w:rPr>
          <w:rFonts w:eastAsiaTheme="majorEastAsia" w:cstheme="majorBidi"/>
          <w:bCs/>
        </w:rPr>
        <w:t xml:space="preserve"> právo.</w:t>
      </w:r>
      <w:r w:rsidR="00093481" w:rsidRPr="00D15CFA">
        <w:rPr>
          <w:rFonts w:eastAsiaTheme="majorEastAsia" w:cstheme="majorBidi"/>
          <w:bCs/>
        </w:rPr>
        <w:t xml:space="preserve"> </w:t>
      </w:r>
      <w:r w:rsidR="00AA0055">
        <w:rPr>
          <w:rFonts w:eastAsiaTheme="majorEastAsia" w:cstheme="majorBidi"/>
          <w:bCs/>
        </w:rPr>
        <w:t>Český Ústavní soud</w:t>
      </w:r>
      <w:r w:rsidR="00975A80">
        <w:rPr>
          <w:rFonts w:eastAsiaTheme="majorEastAsia" w:cstheme="majorBidi"/>
          <w:bCs/>
        </w:rPr>
        <w:t xml:space="preserve"> ji dovozuje</w:t>
      </w:r>
      <w:r w:rsidR="00AA0055">
        <w:rPr>
          <w:rFonts w:eastAsiaTheme="majorEastAsia" w:cstheme="majorBidi"/>
          <w:bCs/>
        </w:rPr>
        <w:t xml:space="preserve"> jako součást článku 1 Ústavy, </w:t>
      </w:r>
      <w:r w:rsidR="00B71F06" w:rsidRPr="00B71F06">
        <w:rPr>
          <w:rFonts w:eastAsiaTheme="majorEastAsia" w:cstheme="majorBidi"/>
          <w:bCs/>
        </w:rPr>
        <w:t>ochrana legitimního očekávání</w:t>
      </w:r>
      <w:r w:rsidR="006957AE">
        <w:rPr>
          <w:rFonts w:eastAsiaTheme="majorEastAsia" w:cstheme="majorBidi"/>
          <w:bCs/>
        </w:rPr>
        <w:t xml:space="preserve"> je podle něj</w:t>
      </w:r>
      <w:r w:rsidR="00B71F06" w:rsidRPr="00B71F06">
        <w:rPr>
          <w:rFonts w:eastAsiaTheme="majorEastAsia" w:cstheme="majorBidi"/>
          <w:bCs/>
        </w:rPr>
        <w:t xml:space="preserve"> integrální součástí vlády práva</w:t>
      </w:r>
      <w:r w:rsidR="00B71F06">
        <w:rPr>
          <w:rFonts w:eastAsiaTheme="majorEastAsia" w:cstheme="majorBidi"/>
          <w:bCs/>
        </w:rPr>
        <w:t>.</w:t>
      </w:r>
      <w:r w:rsidR="00F112F4">
        <w:rPr>
          <w:rStyle w:val="Znakapoznpodarou"/>
          <w:rFonts w:eastAsiaTheme="majorEastAsia" w:cstheme="majorBidi"/>
          <w:bCs/>
        </w:rPr>
        <w:footnoteReference w:id="21"/>
      </w:r>
      <w:r w:rsidR="00B71F06">
        <w:rPr>
          <w:rFonts w:eastAsiaTheme="majorEastAsia" w:cstheme="majorBidi"/>
          <w:bCs/>
        </w:rPr>
        <w:t xml:space="preserve"> </w:t>
      </w:r>
      <w:r w:rsidR="00860253" w:rsidRPr="00860253">
        <w:rPr>
          <w:rFonts w:eastAsiaTheme="majorEastAsia" w:cstheme="majorBidi"/>
          <w:bCs/>
        </w:rPr>
        <w:t>Zákonodárce musí při změně právní regulace zohledňovat dosavadní právní stav a změny musí provádět citlivě a jen v míře nezbytné pro dosažení cíle regulace.</w:t>
      </w:r>
      <w:r w:rsidR="00916647">
        <w:rPr>
          <w:rFonts w:eastAsiaTheme="majorEastAsia" w:cstheme="majorBidi"/>
          <w:bCs/>
        </w:rPr>
        <w:t xml:space="preserve"> </w:t>
      </w:r>
      <w:r w:rsidR="00B147C8" w:rsidRPr="00B147C8">
        <w:rPr>
          <w:rFonts w:eastAsiaTheme="majorEastAsia" w:cstheme="majorBidi"/>
          <w:bCs/>
        </w:rPr>
        <w:t>Z příkazu respektovat legitimní očekávání vyplývající z dosavadní právní úpravy samozřejmě nelze dovodit zákaz změny právní úpravy</w:t>
      </w:r>
      <w:r w:rsidR="00B147C8">
        <w:rPr>
          <w:rFonts w:eastAsiaTheme="majorEastAsia" w:cstheme="majorBidi"/>
          <w:bCs/>
        </w:rPr>
        <w:t xml:space="preserve">, ale je nutné, aby </w:t>
      </w:r>
      <w:r w:rsidR="00B147C8" w:rsidRPr="00B147C8">
        <w:rPr>
          <w:rFonts w:eastAsiaTheme="majorEastAsia" w:cstheme="majorBidi"/>
          <w:bCs/>
        </w:rPr>
        <w:t>při rozhodování o volbě způsobu provedení změny zákonodárce k těmto očekáváním přihlížel a neignoroval,</w:t>
      </w:r>
      <w:r w:rsidR="00F94BB6">
        <w:rPr>
          <w:rFonts w:eastAsiaTheme="majorEastAsia" w:cstheme="majorBidi"/>
          <w:bCs/>
        </w:rPr>
        <w:t xml:space="preserve"> že adresáti norem své chování </w:t>
      </w:r>
      <w:r w:rsidR="00B147C8" w:rsidRPr="00B147C8">
        <w:rPr>
          <w:rFonts w:eastAsiaTheme="majorEastAsia" w:cstheme="majorBidi"/>
          <w:bCs/>
        </w:rPr>
        <w:t>po delší dobu přizpůsobovali požadavkům odlišného obsahu.</w:t>
      </w:r>
      <w:r w:rsidR="00B147C8">
        <w:rPr>
          <w:rStyle w:val="Znakapoznpodarou"/>
          <w:rFonts w:eastAsiaTheme="majorEastAsia" w:cstheme="majorBidi"/>
          <w:bCs/>
        </w:rPr>
        <w:footnoteReference w:id="22"/>
      </w:r>
      <w:r w:rsidR="00B147C8" w:rsidRPr="00B147C8">
        <w:rPr>
          <w:rFonts w:eastAsiaTheme="majorEastAsia" w:cstheme="majorBidi"/>
          <w:bCs/>
        </w:rPr>
        <w:t xml:space="preserve"> </w:t>
      </w:r>
      <w:r w:rsidR="00235062">
        <w:rPr>
          <w:rFonts w:eastAsiaTheme="majorEastAsia" w:cstheme="majorBidi"/>
          <w:bCs/>
        </w:rPr>
        <w:t>V českém správním právu</w:t>
      </w:r>
      <w:r w:rsidR="00235062" w:rsidRPr="00D15CFA">
        <w:rPr>
          <w:rFonts w:eastAsiaTheme="majorEastAsia" w:cstheme="majorBidi"/>
          <w:bCs/>
        </w:rPr>
        <w:t xml:space="preserve"> je</w:t>
      </w:r>
      <w:r w:rsidR="00235062">
        <w:rPr>
          <w:rFonts w:eastAsiaTheme="majorEastAsia" w:cstheme="majorBidi"/>
          <w:bCs/>
        </w:rPr>
        <w:t xml:space="preserve"> ochrana legitimních očekávání vyjádřená</w:t>
      </w:r>
      <w:r w:rsidR="00235062" w:rsidRPr="00D15CFA">
        <w:rPr>
          <w:rFonts w:eastAsiaTheme="majorEastAsia" w:cstheme="majorBidi"/>
          <w:bCs/>
        </w:rPr>
        <w:t xml:space="preserve"> v jeho zásadách jako „dobrá správa“.</w:t>
      </w:r>
      <w:r w:rsidR="00235062" w:rsidRPr="00D15CFA">
        <w:rPr>
          <w:rStyle w:val="Znakapoznpodarou"/>
          <w:rFonts w:eastAsiaTheme="majorEastAsia" w:cstheme="majorBidi"/>
          <w:bCs/>
        </w:rPr>
        <w:footnoteReference w:id="23"/>
      </w:r>
      <w:r w:rsidR="00235062">
        <w:rPr>
          <w:rFonts w:eastAsiaTheme="majorEastAsia" w:cstheme="majorBidi"/>
          <w:bCs/>
        </w:rPr>
        <w:t xml:space="preserve"> </w:t>
      </w:r>
      <w:r w:rsidR="008B7DDD">
        <w:rPr>
          <w:rFonts w:eastAsiaTheme="majorEastAsia" w:cstheme="majorBidi"/>
          <w:bCs/>
        </w:rPr>
        <w:t>Obecně závazné normy mají být vykládány</w:t>
      </w:r>
      <w:r w:rsidR="008B7DDD" w:rsidRPr="008B7DDD">
        <w:rPr>
          <w:rFonts w:eastAsiaTheme="majorEastAsia" w:cstheme="majorBidi"/>
          <w:bCs/>
        </w:rPr>
        <w:t xml:space="preserve"> orgány veřejné moci tak,</w:t>
      </w:r>
      <w:r w:rsidR="008B7DDD">
        <w:rPr>
          <w:rFonts w:eastAsiaTheme="majorEastAsia" w:cstheme="majorBidi"/>
          <w:bCs/>
        </w:rPr>
        <w:t xml:space="preserve"> aby</w:t>
      </w:r>
      <w:r w:rsidR="008B7DDD" w:rsidRPr="008B7DDD">
        <w:rPr>
          <w:rFonts w:eastAsiaTheme="majorEastAsia" w:cstheme="majorBidi"/>
          <w:bCs/>
        </w:rPr>
        <w:t xml:space="preserve"> překvapivě a v rozporu s principem ochrany oprávněného očekáván</w:t>
      </w:r>
      <w:r w:rsidR="008B7DDD">
        <w:rPr>
          <w:rFonts w:eastAsiaTheme="majorEastAsia" w:cstheme="majorBidi"/>
          <w:bCs/>
        </w:rPr>
        <w:t>í adresátů právní normy nezasahovaly</w:t>
      </w:r>
      <w:r w:rsidR="008B7DDD" w:rsidRPr="008B7DDD">
        <w:rPr>
          <w:rFonts w:eastAsiaTheme="majorEastAsia" w:cstheme="majorBidi"/>
          <w:bCs/>
        </w:rPr>
        <w:t xml:space="preserve"> do práv a povinností těchto adresátů.</w:t>
      </w:r>
      <w:r w:rsidR="00F142DF">
        <w:rPr>
          <w:rStyle w:val="Znakapoznpodarou"/>
          <w:rFonts w:eastAsiaTheme="majorEastAsia" w:cstheme="majorBidi"/>
          <w:bCs/>
        </w:rPr>
        <w:footnoteReference w:id="24"/>
      </w:r>
    </w:p>
    <w:p w14:paraId="502DB965" w14:textId="6B38C1FD" w:rsidR="00471503" w:rsidRDefault="00B612BE" w:rsidP="009F36E4">
      <w:pPr>
        <w:pStyle w:val="Odstavecseseznamem"/>
        <w:spacing w:line="360" w:lineRule="auto"/>
        <w:ind w:left="142" w:firstLine="654"/>
        <w:jc w:val="both"/>
        <w:rPr>
          <w:rStyle w:val="Zvraznn"/>
          <w:i w:val="0"/>
        </w:rPr>
      </w:pPr>
      <w:r w:rsidRPr="00D15CFA">
        <w:rPr>
          <w:rFonts w:eastAsiaTheme="majorEastAsia" w:cstheme="majorBidi"/>
          <w:bCs/>
        </w:rPr>
        <w:t xml:space="preserve">Pro potřeby vztahu investora a státu se jedná o koncept </w:t>
      </w:r>
      <w:r w:rsidR="00700D52" w:rsidRPr="00D15CFA">
        <w:rPr>
          <w:rFonts w:eastAsiaTheme="majorEastAsia" w:cstheme="majorBidi"/>
          <w:bCs/>
        </w:rPr>
        <w:t>ochrany legitimních očekávání</w:t>
      </w:r>
      <w:r w:rsidR="00267389" w:rsidRPr="00D15CFA">
        <w:rPr>
          <w:rFonts w:eastAsiaTheme="majorEastAsia" w:cstheme="majorBidi"/>
          <w:bCs/>
        </w:rPr>
        <w:t xml:space="preserve"> investora</w:t>
      </w:r>
      <w:r w:rsidR="00700D52" w:rsidRPr="00D15CFA">
        <w:rPr>
          <w:rFonts w:eastAsiaTheme="majorEastAsia" w:cstheme="majorBidi"/>
          <w:bCs/>
        </w:rPr>
        <w:t>, který předpokládá stabilitu</w:t>
      </w:r>
      <w:r w:rsidR="003D2BE2" w:rsidRPr="00D15CFA">
        <w:rPr>
          <w:rFonts w:eastAsiaTheme="majorEastAsia" w:cstheme="majorBidi"/>
          <w:bCs/>
        </w:rPr>
        <w:t xml:space="preserve"> a předvídatelnost</w:t>
      </w:r>
      <w:r w:rsidR="00147F0E" w:rsidRPr="00D15CFA">
        <w:rPr>
          <w:rFonts w:eastAsiaTheme="majorEastAsia" w:cstheme="majorBidi"/>
          <w:bCs/>
        </w:rPr>
        <w:t xml:space="preserve"> právního prostředí jako celku</w:t>
      </w:r>
      <w:r w:rsidR="00A52682">
        <w:rPr>
          <w:rFonts w:eastAsiaTheme="majorEastAsia" w:cstheme="majorBidi"/>
          <w:bCs/>
        </w:rPr>
        <w:t>,</w:t>
      </w:r>
      <w:r w:rsidR="001D6AA4">
        <w:rPr>
          <w:rFonts w:eastAsiaTheme="majorEastAsia" w:cstheme="majorBidi"/>
          <w:bCs/>
        </w:rPr>
        <w:t xml:space="preserve"> </w:t>
      </w:r>
      <w:r w:rsidR="00A52682">
        <w:rPr>
          <w:rFonts w:eastAsiaTheme="majorEastAsia" w:cstheme="majorBidi"/>
          <w:bCs/>
        </w:rPr>
        <w:t xml:space="preserve">tedy vznik </w:t>
      </w:r>
      <w:r w:rsidR="000A78EB">
        <w:rPr>
          <w:rFonts w:eastAsiaTheme="majorEastAsia" w:cstheme="majorBidi"/>
          <w:bCs/>
        </w:rPr>
        <w:t>práv a povinností i uplatnění nároků</w:t>
      </w:r>
      <w:r w:rsidR="00267389" w:rsidRPr="00D15CFA">
        <w:rPr>
          <w:rFonts w:eastAsiaTheme="majorEastAsia" w:cstheme="majorBidi"/>
          <w:bCs/>
        </w:rPr>
        <w:t xml:space="preserve">. </w:t>
      </w:r>
      <w:r w:rsidR="00093481" w:rsidRPr="00D15CFA">
        <w:rPr>
          <w:rFonts w:eastAsiaTheme="majorEastAsia" w:cstheme="majorBidi"/>
          <w:bCs/>
        </w:rPr>
        <w:t xml:space="preserve">Investor </w:t>
      </w:r>
      <w:r w:rsidR="00267389" w:rsidRPr="00D15CFA">
        <w:rPr>
          <w:rFonts w:eastAsiaTheme="majorEastAsia" w:cstheme="majorBidi"/>
          <w:bCs/>
        </w:rPr>
        <w:t xml:space="preserve">se </w:t>
      </w:r>
      <w:r w:rsidR="001C5E8A">
        <w:rPr>
          <w:rFonts w:eastAsiaTheme="majorEastAsia" w:cstheme="majorBidi"/>
          <w:bCs/>
        </w:rPr>
        <w:t>má mít možnost</w:t>
      </w:r>
      <w:r w:rsidR="00267389" w:rsidRPr="00D15CFA">
        <w:rPr>
          <w:rFonts w:eastAsiaTheme="majorEastAsia" w:cstheme="majorBidi"/>
          <w:bCs/>
        </w:rPr>
        <w:t xml:space="preserve"> spolehnout, že státní orgány nezklamou jeho důvěru, kterou nabyl </w:t>
      </w:r>
      <w:r w:rsidR="009321AD" w:rsidRPr="00D15CFA">
        <w:rPr>
          <w:rFonts w:eastAsiaTheme="majorEastAsia" w:cstheme="majorBidi"/>
          <w:bCs/>
        </w:rPr>
        <w:t>na základě právních předpisů a jin</w:t>
      </w:r>
      <w:r w:rsidR="00D8667B" w:rsidRPr="00D15CFA">
        <w:rPr>
          <w:rFonts w:eastAsiaTheme="majorEastAsia" w:cstheme="majorBidi"/>
          <w:bCs/>
        </w:rPr>
        <w:t>ých vrchnostenských aktů státu.</w:t>
      </w:r>
      <w:r w:rsidR="001F3646" w:rsidRPr="00D15CFA">
        <w:rPr>
          <w:rFonts w:eastAsiaTheme="majorEastAsia" w:cstheme="majorBidi"/>
          <w:bCs/>
        </w:rPr>
        <w:t xml:space="preserve"> Taková důvěra může vzniknout </w:t>
      </w:r>
      <w:r w:rsidR="001F3646" w:rsidRPr="002A6D7B">
        <w:rPr>
          <w:rFonts w:eastAsiaTheme="majorEastAsia" w:cstheme="majorBidi"/>
          <w:bCs/>
        </w:rPr>
        <w:t xml:space="preserve">například </w:t>
      </w:r>
      <w:r w:rsidR="0042195E" w:rsidRPr="00D15CFA">
        <w:rPr>
          <w:rFonts w:eastAsiaTheme="majorEastAsia" w:cstheme="majorBidi"/>
          <w:bCs/>
        </w:rPr>
        <w:t>(1)</w:t>
      </w:r>
      <w:r w:rsidR="0042195E" w:rsidRPr="002A6D7B">
        <w:rPr>
          <w:rFonts w:eastAsiaTheme="majorEastAsia" w:cstheme="majorBidi"/>
          <w:bCs/>
        </w:rPr>
        <w:t xml:space="preserve"> </w:t>
      </w:r>
      <w:r w:rsidR="001F3646" w:rsidRPr="002A6D7B">
        <w:rPr>
          <w:rFonts w:eastAsiaTheme="majorEastAsia" w:cstheme="majorBidi"/>
          <w:bCs/>
        </w:rPr>
        <w:t>na základě</w:t>
      </w:r>
      <w:r w:rsidR="0042195E">
        <w:rPr>
          <w:rFonts w:eastAsiaTheme="majorEastAsia" w:cstheme="majorBidi"/>
          <w:bCs/>
        </w:rPr>
        <w:t xml:space="preserve"> </w:t>
      </w:r>
      <w:r w:rsidR="001F3646" w:rsidRPr="002A6D7B">
        <w:rPr>
          <w:rFonts w:eastAsiaTheme="majorEastAsia" w:cstheme="majorBidi"/>
          <w:bCs/>
        </w:rPr>
        <w:t>legislativy platné v</w:t>
      </w:r>
      <w:r w:rsidR="00FD46A5" w:rsidRPr="002A6D7B">
        <w:rPr>
          <w:rFonts w:eastAsiaTheme="majorEastAsia" w:cstheme="majorBidi"/>
          <w:bCs/>
        </w:rPr>
        <w:t> době provedení investice</w:t>
      </w:r>
      <w:r w:rsidR="00FD46A5" w:rsidRPr="00D15CFA">
        <w:rPr>
          <w:rFonts w:eastAsiaTheme="majorEastAsia" w:cstheme="majorBidi"/>
          <w:bCs/>
        </w:rPr>
        <w:t>,</w:t>
      </w:r>
      <w:r w:rsidR="0042195E" w:rsidRPr="0042195E">
        <w:rPr>
          <w:rFonts w:eastAsiaTheme="majorEastAsia" w:cstheme="majorBidi"/>
          <w:bCs/>
        </w:rPr>
        <w:t xml:space="preserve"> </w:t>
      </w:r>
      <w:r w:rsidR="0042195E" w:rsidRPr="00D15CFA">
        <w:rPr>
          <w:rFonts w:eastAsiaTheme="majorEastAsia" w:cstheme="majorBidi"/>
          <w:bCs/>
        </w:rPr>
        <w:t>(2)</w:t>
      </w:r>
      <w:r w:rsidR="001F3646" w:rsidRPr="00D15CFA">
        <w:rPr>
          <w:rFonts w:eastAsiaTheme="majorEastAsia" w:cstheme="majorBidi"/>
          <w:bCs/>
        </w:rPr>
        <w:t xml:space="preserve"> v důsledku </w:t>
      </w:r>
      <w:r w:rsidR="00F0000B">
        <w:rPr>
          <w:rFonts w:eastAsiaTheme="majorEastAsia" w:cstheme="majorBidi"/>
          <w:bCs/>
        </w:rPr>
        <w:t>vyjádření</w:t>
      </w:r>
      <w:r w:rsidR="001F3646" w:rsidRPr="00D15CFA">
        <w:rPr>
          <w:rFonts w:eastAsiaTheme="majorEastAsia" w:cstheme="majorBidi"/>
          <w:bCs/>
        </w:rPr>
        <w:t xml:space="preserve"> vlády o podmínkách pro konkrétní investici</w:t>
      </w:r>
      <w:r w:rsidR="00FD46A5" w:rsidRPr="00D15CFA">
        <w:rPr>
          <w:rFonts w:eastAsiaTheme="majorEastAsia" w:cstheme="majorBidi"/>
          <w:bCs/>
        </w:rPr>
        <w:t>, nebo i</w:t>
      </w:r>
      <w:r w:rsidR="00A946E4">
        <w:rPr>
          <w:rFonts w:eastAsiaTheme="majorEastAsia" w:cstheme="majorBidi"/>
          <w:bCs/>
        </w:rPr>
        <w:t xml:space="preserve"> </w:t>
      </w:r>
      <w:r w:rsidR="00A946E4" w:rsidRPr="00D15CFA">
        <w:rPr>
          <w:rFonts w:eastAsiaTheme="majorEastAsia" w:cstheme="majorBidi"/>
          <w:bCs/>
        </w:rPr>
        <w:t>(3)</w:t>
      </w:r>
      <w:r w:rsidR="00FD46A5" w:rsidRPr="00D15CFA">
        <w:rPr>
          <w:rFonts w:eastAsiaTheme="majorEastAsia" w:cstheme="majorBidi"/>
          <w:bCs/>
        </w:rPr>
        <w:t xml:space="preserve"> implicitního ujištění zástupců hostitelského státu</w:t>
      </w:r>
      <w:r w:rsidR="0054210E" w:rsidRPr="00D15CFA">
        <w:rPr>
          <w:rFonts w:eastAsiaTheme="majorEastAsia" w:cstheme="majorBidi"/>
          <w:bCs/>
        </w:rPr>
        <w:t>.</w:t>
      </w:r>
      <w:r w:rsidR="00094061" w:rsidRPr="00D15CFA">
        <w:rPr>
          <w:rStyle w:val="Znakapoznpodarou"/>
          <w:rFonts w:eastAsiaTheme="majorEastAsia" w:cstheme="majorBidi"/>
          <w:bCs/>
        </w:rPr>
        <w:footnoteReference w:id="25"/>
      </w:r>
      <w:r w:rsidR="003E0D4B" w:rsidRPr="00D15CFA">
        <w:rPr>
          <w:rFonts w:eastAsiaTheme="majorEastAsia" w:cstheme="majorBidi"/>
          <w:bCs/>
        </w:rPr>
        <w:t xml:space="preserve"> </w:t>
      </w:r>
      <w:r w:rsidR="00AD4015" w:rsidRPr="00D15CFA">
        <w:rPr>
          <w:rFonts w:eastAsiaTheme="majorEastAsia" w:cstheme="majorBidi"/>
          <w:bCs/>
        </w:rPr>
        <w:t xml:space="preserve">Jak bylo zmíněno výše, tato ochrana </w:t>
      </w:r>
      <w:r w:rsidR="00BB2F7F" w:rsidRPr="00D15CFA">
        <w:rPr>
          <w:rFonts w:eastAsiaTheme="majorEastAsia" w:cstheme="majorBidi"/>
          <w:bCs/>
        </w:rPr>
        <w:t>vychází i z vnitrostátního správního práva,</w:t>
      </w:r>
      <w:r w:rsidR="002E51D1" w:rsidRPr="00D15CFA">
        <w:rPr>
          <w:rFonts w:eastAsiaTheme="majorEastAsia" w:cstheme="majorBidi"/>
          <w:bCs/>
        </w:rPr>
        <w:t xml:space="preserve"> do </w:t>
      </w:r>
      <w:r w:rsidR="002E51D1" w:rsidRPr="00D15CFA">
        <w:rPr>
          <w:rFonts w:eastAsiaTheme="majorEastAsia" w:cstheme="majorBidi"/>
          <w:bCs/>
        </w:rPr>
        <w:lastRenderedPageBreak/>
        <w:t>mezinárodního práva</w:t>
      </w:r>
      <w:r w:rsidR="00CF757F" w:rsidRPr="00D15CFA">
        <w:rPr>
          <w:rFonts w:eastAsiaTheme="majorEastAsia" w:cstheme="majorBidi"/>
          <w:bCs/>
        </w:rPr>
        <w:t xml:space="preserve"> z něj</w:t>
      </w:r>
      <w:r w:rsidR="002E51D1" w:rsidRPr="00D15CFA">
        <w:rPr>
          <w:rFonts w:eastAsiaTheme="majorEastAsia" w:cstheme="majorBidi"/>
          <w:bCs/>
        </w:rPr>
        <w:t xml:space="preserve"> pak pronikla</w:t>
      </w:r>
      <w:r w:rsidR="00BB2F7F" w:rsidRPr="00D15CFA">
        <w:rPr>
          <w:rFonts w:eastAsiaTheme="majorEastAsia" w:cstheme="majorBidi"/>
          <w:bCs/>
        </w:rPr>
        <w:t xml:space="preserve"> jako součást širšího pojmu dobré víry</w:t>
      </w:r>
      <w:r w:rsidR="003B2A97">
        <w:rPr>
          <w:rFonts w:eastAsiaTheme="majorEastAsia" w:cstheme="majorBidi"/>
          <w:bCs/>
        </w:rPr>
        <w:t>.</w:t>
      </w:r>
      <w:r w:rsidR="003B2A97" w:rsidRPr="00D15CFA">
        <w:rPr>
          <w:rStyle w:val="Znakapoznpodarou"/>
          <w:rFonts w:eastAsiaTheme="majorEastAsia" w:cstheme="majorBidi"/>
          <w:bCs/>
          <w:i/>
        </w:rPr>
        <w:footnoteReference w:id="26"/>
      </w:r>
      <w:r w:rsidR="005F521D">
        <w:rPr>
          <w:rFonts w:eastAsiaTheme="majorEastAsia" w:cstheme="majorBidi"/>
          <w:bCs/>
        </w:rPr>
        <w:t xml:space="preserve"> </w:t>
      </w:r>
      <w:r w:rsidR="0095599D" w:rsidRPr="00D15CFA">
        <w:rPr>
          <w:rFonts w:eastAsiaTheme="majorEastAsia" w:cstheme="majorBidi"/>
          <w:bCs/>
        </w:rPr>
        <w:t xml:space="preserve">Jedno z nejobecnějších vymezení </w:t>
      </w:r>
      <w:r w:rsidR="0095599D" w:rsidRPr="00D15CFA">
        <w:rPr>
          <w:rFonts w:eastAsiaTheme="majorEastAsia" w:cstheme="majorBidi"/>
          <w:bCs/>
          <w:i/>
        </w:rPr>
        <w:t xml:space="preserve">legitimate expectations </w:t>
      </w:r>
      <w:r w:rsidR="009936D0" w:rsidRPr="00D15CFA">
        <w:rPr>
          <w:rFonts w:eastAsiaTheme="majorEastAsia" w:cstheme="majorBidi"/>
          <w:bCs/>
        </w:rPr>
        <w:t xml:space="preserve">v investiční arbitráži obsahuje rozhodnutí </w:t>
      </w:r>
      <w:r w:rsidR="009936D0" w:rsidRPr="00D15CFA">
        <w:rPr>
          <w:rStyle w:val="Zvraznn"/>
        </w:rPr>
        <w:t xml:space="preserve">Thunderbird v. </w:t>
      </w:r>
      <w:r w:rsidR="00A946E4">
        <w:rPr>
          <w:rStyle w:val="Zvraznn"/>
        </w:rPr>
        <w:t>Mexico</w:t>
      </w:r>
      <w:r w:rsidR="00345770" w:rsidRPr="00D15CFA">
        <w:rPr>
          <w:rStyle w:val="Zvraznn"/>
          <w:i w:val="0"/>
        </w:rPr>
        <w:t>, které říká</w:t>
      </w:r>
      <w:r w:rsidR="00EA7497" w:rsidRPr="00D15CFA">
        <w:rPr>
          <w:rStyle w:val="Zvraznn"/>
          <w:i w:val="0"/>
        </w:rPr>
        <w:t>,</w:t>
      </w:r>
      <w:r w:rsidR="00345770" w:rsidRPr="00D15CFA">
        <w:rPr>
          <w:rStyle w:val="Zvraznn"/>
          <w:i w:val="0"/>
        </w:rPr>
        <w:t xml:space="preserve"> že </w:t>
      </w:r>
      <w:r w:rsidR="00EA7497" w:rsidRPr="00D15CFA">
        <w:rPr>
          <w:rStyle w:val="Zvraznn"/>
          <w:i w:val="0"/>
        </w:rPr>
        <w:t>„</w:t>
      </w:r>
      <w:r w:rsidR="00345770" w:rsidRPr="00D15CFA">
        <w:rPr>
          <w:rStyle w:val="Zvraznn"/>
        </w:rPr>
        <w:t xml:space="preserve">koncepce ochrany legitimních očekávání se vztahuje na situaci, kdy smluvní strana, tedy jeden ze států, </w:t>
      </w:r>
      <w:r w:rsidR="00EA7497" w:rsidRPr="00D15CFA">
        <w:rPr>
          <w:rStyle w:val="Zvraznn"/>
        </w:rPr>
        <w:t xml:space="preserve">svým chováním </w:t>
      </w:r>
      <w:r w:rsidR="00ED12E6" w:rsidRPr="00D15CFA">
        <w:rPr>
          <w:rStyle w:val="Zvraznn"/>
        </w:rPr>
        <w:t xml:space="preserve">vyvolá </w:t>
      </w:r>
      <w:r w:rsidR="0059610B" w:rsidRPr="00D15CFA">
        <w:rPr>
          <w:rStyle w:val="Zvraznn"/>
        </w:rPr>
        <w:t>u investora</w:t>
      </w:r>
      <w:r w:rsidR="00C638FE" w:rsidRPr="00D15CFA">
        <w:rPr>
          <w:rStyle w:val="Zvraznn"/>
        </w:rPr>
        <w:t xml:space="preserve"> s ohledem na investici</w:t>
      </w:r>
      <w:r w:rsidR="0059610B" w:rsidRPr="00D15CFA">
        <w:rPr>
          <w:rStyle w:val="Zvraznn"/>
        </w:rPr>
        <w:t xml:space="preserve"> </w:t>
      </w:r>
      <w:r w:rsidR="00C638FE" w:rsidRPr="00D15CFA">
        <w:rPr>
          <w:rStyle w:val="Zvraznn"/>
        </w:rPr>
        <w:t>racionální a oprávněné (reasonable and justifiable) očekávání, že je možné se na toto chování spolehnout</w:t>
      </w:r>
      <w:r w:rsidR="00307FC0" w:rsidRPr="00D15CFA">
        <w:rPr>
          <w:rStyle w:val="Zvraznn"/>
        </w:rPr>
        <w:t xml:space="preserve">. Výsledkem zklamání důvěry v takové očekávání </w:t>
      </w:r>
      <w:r w:rsidR="002C11E5" w:rsidRPr="00D15CFA">
        <w:rPr>
          <w:rStyle w:val="Zvraznn"/>
        </w:rPr>
        <w:t xml:space="preserve">pak může </w:t>
      </w:r>
      <w:r w:rsidR="002C405D" w:rsidRPr="00D15CFA">
        <w:rPr>
          <w:rStyle w:val="Zvraznn"/>
        </w:rPr>
        <w:t>být poškození investice zaviněné státem.</w:t>
      </w:r>
      <w:r w:rsidR="002C405D" w:rsidRPr="00D15CFA">
        <w:rPr>
          <w:rStyle w:val="Znakapoznpodarou"/>
          <w:i/>
          <w:iCs/>
        </w:rPr>
        <w:footnoteReference w:id="27"/>
      </w:r>
      <w:r w:rsidR="00C638FE" w:rsidRPr="00D15CFA">
        <w:rPr>
          <w:rStyle w:val="Zvraznn"/>
        </w:rPr>
        <w:t xml:space="preserve"> </w:t>
      </w:r>
    </w:p>
    <w:p w14:paraId="2664C5EA" w14:textId="5FC9E9F1" w:rsidR="00FD7A14" w:rsidRPr="00FD7A14" w:rsidRDefault="00A0500B" w:rsidP="009A6ED9">
      <w:pPr>
        <w:pStyle w:val="Nadpis2"/>
        <w:numPr>
          <w:ilvl w:val="1"/>
          <w:numId w:val="13"/>
        </w:numPr>
        <w:rPr>
          <w:rFonts w:eastAsiaTheme="majorEastAsia" w:cstheme="majorBidi"/>
        </w:rPr>
      </w:pPr>
      <w:bookmarkStart w:id="16" w:name="_Toc479697277"/>
      <w:r>
        <w:t>O</w:t>
      </w:r>
      <w:r w:rsidR="00FD7A14">
        <w:t>chrana oprávněných očekávání jako součást standardu spravedlivého a rovného zacházení</w:t>
      </w:r>
      <w:bookmarkEnd w:id="16"/>
    </w:p>
    <w:p w14:paraId="1A4D41E2" w14:textId="26C0D3A7" w:rsidR="003F47AD" w:rsidRDefault="00E71C40" w:rsidP="009F36E4">
      <w:pPr>
        <w:pStyle w:val="Odstavecseseznamem"/>
        <w:spacing w:line="360" w:lineRule="auto"/>
        <w:ind w:left="142" w:firstLine="654"/>
        <w:jc w:val="both"/>
        <w:rPr>
          <w:rStyle w:val="Zvraznn"/>
          <w:i w:val="0"/>
        </w:rPr>
      </w:pPr>
      <w:r w:rsidRPr="007018FD">
        <w:rPr>
          <w:rFonts w:eastAsiaTheme="majorEastAsia" w:cstheme="majorBidi"/>
          <w:bCs/>
        </w:rPr>
        <w:t>Standardem ochrany v IIA</w:t>
      </w:r>
      <w:r w:rsidR="00F54CCB" w:rsidRPr="007018FD">
        <w:rPr>
          <w:rFonts w:eastAsiaTheme="majorEastAsia" w:cstheme="majorBidi"/>
          <w:bCs/>
        </w:rPr>
        <w:t>, který je nejvíce spojený se zásadou ochrany</w:t>
      </w:r>
      <w:r w:rsidR="00C83EE4" w:rsidRPr="007018FD">
        <w:rPr>
          <w:rFonts w:eastAsiaTheme="majorEastAsia" w:cstheme="majorBidi"/>
          <w:bCs/>
        </w:rPr>
        <w:t xml:space="preserve"> oprávněných očekávání</w:t>
      </w:r>
      <w:r w:rsidR="00471503" w:rsidRPr="007018FD">
        <w:rPr>
          <w:rFonts w:eastAsiaTheme="majorEastAsia" w:cstheme="majorBidi"/>
          <w:bCs/>
        </w:rPr>
        <w:t xml:space="preserve"> je</w:t>
      </w:r>
      <w:r w:rsidR="00EC6A28" w:rsidRPr="007018FD">
        <w:rPr>
          <w:rFonts w:eastAsiaTheme="majorEastAsia" w:cstheme="majorBidi"/>
          <w:bCs/>
        </w:rPr>
        <w:t xml:space="preserve"> Fair and equitable t</w:t>
      </w:r>
      <w:r w:rsidR="00C83EE4" w:rsidRPr="007018FD">
        <w:rPr>
          <w:rFonts w:eastAsiaTheme="majorEastAsia" w:cstheme="majorBidi"/>
          <w:bCs/>
        </w:rPr>
        <w:t>reatment clause</w:t>
      </w:r>
      <w:r w:rsidR="00471503" w:rsidRPr="007018FD">
        <w:rPr>
          <w:rFonts w:eastAsiaTheme="majorEastAsia" w:cstheme="majorBidi"/>
          <w:bCs/>
        </w:rPr>
        <w:t xml:space="preserve"> </w:t>
      </w:r>
      <w:r w:rsidR="00C83EE4" w:rsidRPr="007018FD">
        <w:rPr>
          <w:rFonts w:eastAsiaTheme="majorEastAsia" w:cstheme="majorBidi"/>
          <w:bCs/>
        </w:rPr>
        <w:t>(dále jen „FET“)</w:t>
      </w:r>
      <w:r w:rsidR="00471503" w:rsidRPr="007018FD">
        <w:rPr>
          <w:rFonts w:eastAsiaTheme="majorEastAsia" w:cstheme="majorBidi"/>
          <w:bCs/>
        </w:rPr>
        <w:t xml:space="preserve">, </w:t>
      </w:r>
      <w:r w:rsidR="003B756A" w:rsidRPr="007018FD">
        <w:rPr>
          <w:rFonts w:eastAsiaTheme="majorEastAsia" w:cstheme="majorBidi"/>
          <w:bCs/>
        </w:rPr>
        <w:t>ustálená</w:t>
      </w:r>
      <w:r w:rsidR="00F54CCB" w:rsidRPr="007018FD">
        <w:rPr>
          <w:rFonts w:eastAsiaTheme="majorEastAsia" w:cstheme="majorBidi"/>
          <w:bCs/>
        </w:rPr>
        <w:t xml:space="preserve"> rozhodovací praxe </w:t>
      </w:r>
      <w:r w:rsidR="00F8179C" w:rsidRPr="007018FD">
        <w:rPr>
          <w:rFonts w:eastAsiaTheme="majorEastAsia" w:cstheme="majorBidi"/>
          <w:bCs/>
        </w:rPr>
        <w:t>d</w:t>
      </w:r>
      <w:r w:rsidR="00F54CCB" w:rsidRPr="007018FD">
        <w:rPr>
          <w:rFonts w:eastAsiaTheme="majorEastAsia" w:cstheme="majorBidi"/>
          <w:bCs/>
        </w:rPr>
        <w:t xml:space="preserve">okonce říká, že se stala přímo jeho </w:t>
      </w:r>
      <w:r w:rsidR="00932A23" w:rsidRPr="007018FD">
        <w:rPr>
          <w:rFonts w:eastAsiaTheme="majorEastAsia" w:cstheme="majorBidi"/>
          <w:bCs/>
        </w:rPr>
        <w:t>součástí</w:t>
      </w:r>
      <w:r w:rsidR="00637B5F" w:rsidRPr="007018FD">
        <w:rPr>
          <w:rStyle w:val="Znakapoznpodarou"/>
          <w:i/>
          <w:iCs/>
        </w:rPr>
        <w:footnoteReference w:id="28"/>
      </w:r>
      <w:r w:rsidR="00637B5F" w:rsidRPr="007018FD">
        <w:rPr>
          <w:rStyle w:val="Zvraznn"/>
        </w:rPr>
        <w:t>.</w:t>
      </w:r>
      <w:r w:rsidR="0095599D" w:rsidRPr="007018FD">
        <w:rPr>
          <w:rStyle w:val="Zvraznn"/>
          <w:i w:val="0"/>
        </w:rPr>
        <w:t xml:space="preserve"> Zároveň je ochrana oprávněných očekávání měřítkem dodržování FET.</w:t>
      </w:r>
      <w:r w:rsidR="0095599D" w:rsidRPr="00D15CFA">
        <w:rPr>
          <w:rStyle w:val="Znakapoznpodarou"/>
          <w:iCs/>
        </w:rPr>
        <w:footnoteReference w:id="29"/>
      </w:r>
      <w:r w:rsidR="00767FCA">
        <w:rPr>
          <w:rStyle w:val="Zvraznn"/>
          <w:i w:val="0"/>
        </w:rPr>
        <w:t xml:space="preserve"> Typické znění samostatné FET doložky ve</w:t>
      </w:r>
      <w:r w:rsidR="00EC56DD">
        <w:rPr>
          <w:rStyle w:val="Zvraznn"/>
          <w:i w:val="0"/>
        </w:rPr>
        <w:t xml:space="preserve"> většině BIT obsahuje </w:t>
      </w:r>
      <w:r w:rsidR="005642B9">
        <w:rPr>
          <w:rStyle w:val="Zvraznn"/>
          <w:i w:val="0"/>
        </w:rPr>
        <w:t>tento</w:t>
      </w:r>
      <w:r w:rsidR="00491F8A">
        <w:rPr>
          <w:rStyle w:val="Zvraznn"/>
          <w:i w:val="0"/>
        </w:rPr>
        <w:t xml:space="preserve"> nebo velice podobný</w:t>
      </w:r>
      <w:r w:rsidR="005642B9">
        <w:rPr>
          <w:rStyle w:val="Zvraznn"/>
          <w:i w:val="0"/>
        </w:rPr>
        <w:t xml:space="preserve"> závazek</w:t>
      </w:r>
      <w:r w:rsidR="00767FCA">
        <w:rPr>
          <w:rStyle w:val="Zvraznn"/>
          <w:i w:val="0"/>
        </w:rPr>
        <w:t>:</w:t>
      </w:r>
      <w:r w:rsidR="00491F8A">
        <w:rPr>
          <w:rStyle w:val="Zvraznn"/>
          <w:i w:val="0"/>
        </w:rPr>
        <w:t xml:space="preserve"> </w:t>
      </w:r>
      <w:r w:rsidR="00767FCA">
        <w:rPr>
          <w:rStyle w:val="Zvraznn"/>
          <w:i w:val="0"/>
        </w:rPr>
        <w:t>“</w:t>
      </w:r>
      <w:r w:rsidR="001847E8">
        <w:rPr>
          <w:rStyle w:val="Zvraznn"/>
        </w:rPr>
        <w:t xml:space="preserve">Každá smluvní strana poskytne investorům druhé smluvní strany </w:t>
      </w:r>
      <w:r w:rsidR="00AA34BC">
        <w:rPr>
          <w:rStyle w:val="Zvraznn"/>
        </w:rPr>
        <w:t>spravedlivé a rovnoprávné zacházení s jejich investicí a nepoškodí diskriminačními nebo bezdůvodnými opatřeními nakládání a užívání výnosů z nich</w:t>
      </w:r>
      <w:r w:rsidR="0021779B">
        <w:rPr>
          <w:rStyle w:val="Zvraznn"/>
        </w:rPr>
        <w:t>.“</w:t>
      </w:r>
      <w:r w:rsidR="001D1781">
        <w:rPr>
          <w:rStyle w:val="Znakapoznpodarou"/>
          <w:i/>
          <w:iCs/>
        </w:rPr>
        <w:footnoteReference w:id="30"/>
      </w:r>
      <w:r w:rsidR="00034A3E">
        <w:rPr>
          <w:rStyle w:val="Zvraznn"/>
        </w:rPr>
        <w:t xml:space="preserve"> </w:t>
      </w:r>
      <w:r w:rsidR="00285B9C">
        <w:rPr>
          <w:rStyle w:val="Zvraznn"/>
          <w:i w:val="0"/>
        </w:rPr>
        <w:t xml:space="preserve">Odlišnou formulaci obsahuje </w:t>
      </w:r>
      <w:r w:rsidR="00F97885">
        <w:rPr>
          <w:rStyle w:val="Zvraznn"/>
          <w:i w:val="0"/>
        </w:rPr>
        <w:t>NAFTA, která</w:t>
      </w:r>
      <w:r w:rsidR="003F47AD">
        <w:rPr>
          <w:rStyle w:val="Zvraznn"/>
          <w:i w:val="0"/>
        </w:rPr>
        <w:t xml:space="preserve"> standard FET řadí pod minimální zacházení podle mezinárodního obyčejového práva:</w:t>
      </w:r>
      <w:r w:rsidR="00034A3E">
        <w:rPr>
          <w:rStyle w:val="Zvraznn"/>
          <w:i w:val="0"/>
        </w:rPr>
        <w:t xml:space="preserve"> </w:t>
      </w:r>
      <w:r w:rsidR="003F47AD">
        <w:rPr>
          <w:rStyle w:val="Zvraznn"/>
          <w:i w:val="0"/>
        </w:rPr>
        <w:t>“</w:t>
      </w:r>
      <w:r w:rsidR="003F47AD" w:rsidRPr="00034A3E">
        <w:rPr>
          <w:rStyle w:val="Zvraznn"/>
        </w:rPr>
        <w:t xml:space="preserve">Každá smluvní strana </w:t>
      </w:r>
      <w:r w:rsidR="00623572" w:rsidRPr="00034A3E">
        <w:rPr>
          <w:rStyle w:val="Zvraznn"/>
        </w:rPr>
        <w:t>poskytne investorům druhé smluvní strany zacházení v souladu s mezinárodním právem veřejným, včetně spravedlivého a rovnoprávného zacházení a plné ochrany a bezpečnosti.</w:t>
      </w:r>
      <w:r w:rsidR="00034A3E">
        <w:rPr>
          <w:rStyle w:val="Zvraznn"/>
          <w:i w:val="0"/>
        </w:rPr>
        <w:t>“</w:t>
      </w:r>
      <w:r w:rsidR="00A85C32">
        <w:rPr>
          <w:rStyle w:val="Znakapoznpodarou"/>
          <w:iCs/>
        </w:rPr>
        <w:footnoteReference w:id="31"/>
      </w:r>
      <w:r w:rsidR="00CA5200">
        <w:rPr>
          <w:rStyle w:val="Zvraznn"/>
          <w:i w:val="0"/>
        </w:rPr>
        <w:t xml:space="preserve"> </w:t>
      </w:r>
      <w:r w:rsidR="00C17CB9">
        <w:rPr>
          <w:rStyle w:val="Zvraznn"/>
          <w:i w:val="0"/>
        </w:rPr>
        <w:t>Její v</w:t>
      </w:r>
      <w:r w:rsidR="00CA5200">
        <w:rPr>
          <w:rStyle w:val="Zvraznn"/>
          <w:i w:val="0"/>
        </w:rPr>
        <w:t xml:space="preserve">ýkladová pravidla upřesňují, že </w:t>
      </w:r>
      <w:r w:rsidR="004F2DDF">
        <w:rPr>
          <w:rStyle w:val="Zvraznn"/>
          <w:i w:val="0"/>
        </w:rPr>
        <w:t xml:space="preserve">pojem spravedlivého a rovného zacházení rozhodně nepředstavuje širší ochranu než </w:t>
      </w:r>
      <w:r w:rsidR="00A85C32">
        <w:rPr>
          <w:rStyle w:val="Zvraznn"/>
          <w:i w:val="0"/>
        </w:rPr>
        <w:t>zmíněný standard minimálního zacházení. Jak upřesněno níže a v kapitole 4, tento výklad se projevuje i v rozhodovací praxi.</w:t>
      </w:r>
    </w:p>
    <w:p w14:paraId="052E4790" w14:textId="20E53DF1" w:rsidR="00F54CCB" w:rsidRDefault="001C7E27" w:rsidP="009F36E4">
      <w:pPr>
        <w:pStyle w:val="Odstavecseseznamem"/>
        <w:spacing w:line="360" w:lineRule="auto"/>
        <w:ind w:left="142" w:firstLine="654"/>
        <w:jc w:val="both"/>
        <w:rPr>
          <w:rStyle w:val="Zvraznn"/>
          <w:i w:val="0"/>
        </w:rPr>
      </w:pPr>
      <w:r>
        <w:rPr>
          <w:rStyle w:val="Zvraznn"/>
          <w:i w:val="0"/>
        </w:rPr>
        <w:lastRenderedPageBreak/>
        <w:t xml:space="preserve">Zda je konkrétní zacházení spravedlivé a rovnoprávné, záleží na okolnostech konkrétního případu. </w:t>
      </w:r>
      <w:r w:rsidR="00737E15">
        <w:rPr>
          <w:rStyle w:val="Zvraznn"/>
          <w:i w:val="0"/>
        </w:rPr>
        <w:t>Doktrína se na základě praxe rozhodců prozatím ustálila na těchto prvcích standardu</w:t>
      </w:r>
      <w:r w:rsidR="00D11B2E">
        <w:rPr>
          <w:rStyle w:val="Znakapoznpodarou"/>
          <w:iCs/>
        </w:rPr>
        <w:footnoteReference w:id="32"/>
      </w:r>
      <w:r w:rsidR="00737E15">
        <w:rPr>
          <w:rStyle w:val="Zvraznn"/>
          <w:i w:val="0"/>
        </w:rPr>
        <w:t>:</w:t>
      </w:r>
    </w:p>
    <w:p w14:paraId="205226D1" w14:textId="07F7FA55" w:rsidR="00335990" w:rsidRDefault="00335990" w:rsidP="009A6ED9">
      <w:pPr>
        <w:pStyle w:val="Odstavecseseznamem"/>
        <w:numPr>
          <w:ilvl w:val="0"/>
          <w:numId w:val="6"/>
        </w:numPr>
        <w:spacing w:line="360" w:lineRule="auto"/>
        <w:jc w:val="both"/>
        <w:rPr>
          <w:rFonts w:eastAsiaTheme="majorEastAsia" w:cstheme="majorBidi"/>
          <w:bCs/>
        </w:rPr>
      </w:pPr>
      <w:r>
        <w:rPr>
          <w:rFonts w:eastAsiaTheme="majorEastAsia" w:cstheme="majorBidi"/>
          <w:bCs/>
        </w:rPr>
        <w:t>Závazek bdělosti a ochrany</w:t>
      </w:r>
    </w:p>
    <w:p w14:paraId="715C961E" w14:textId="159F2A56" w:rsidR="00335990" w:rsidRDefault="00335990" w:rsidP="009A6ED9">
      <w:pPr>
        <w:pStyle w:val="Odstavecseseznamem"/>
        <w:numPr>
          <w:ilvl w:val="0"/>
          <w:numId w:val="6"/>
        </w:numPr>
        <w:spacing w:line="360" w:lineRule="auto"/>
        <w:jc w:val="both"/>
        <w:rPr>
          <w:rFonts w:eastAsiaTheme="majorEastAsia" w:cstheme="majorBidi"/>
          <w:bCs/>
        </w:rPr>
      </w:pPr>
      <w:r>
        <w:rPr>
          <w:rFonts w:eastAsiaTheme="majorEastAsia" w:cstheme="majorBidi"/>
          <w:bCs/>
        </w:rPr>
        <w:t>Řádný proces a zákaz odepření spravedlnosti</w:t>
      </w:r>
    </w:p>
    <w:p w14:paraId="4F4B44E7" w14:textId="772D6F56" w:rsidR="00335990" w:rsidRDefault="003014E2" w:rsidP="009A6ED9">
      <w:pPr>
        <w:pStyle w:val="Odstavecseseznamem"/>
        <w:numPr>
          <w:ilvl w:val="0"/>
          <w:numId w:val="6"/>
        </w:numPr>
        <w:spacing w:line="360" w:lineRule="auto"/>
        <w:jc w:val="both"/>
        <w:rPr>
          <w:rFonts w:eastAsiaTheme="majorEastAsia" w:cstheme="majorBidi"/>
          <w:bCs/>
        </w:rPr>
      </w:pPr>
      <w:r>
        <w:rPr>
          <w:rFonts w:eastAsiaTheme="majorEastAsia" w:cstheme="majorBidi"/>
          <w:bCs/>
        </w:rPr>
        <w:t>Zákaz svévolného a diskriminačního jednání</w:t>
      </w:r>
      <w:r w:rsidR="005353C1">
        <w:rPr>
          <w:rFonts w:eastAsiaTheme="majorEastAsia" w:cstheme="majorBidi"/>
          <w:bCs/>
        </w:rPr>
        <w:t xml:space="preserve"> (obsaženo i v jiných standardech)</w:t>
      </w:r>
    </w:p>
    <w:p w14:paraId="33A33790" w14:textId="22786488" w:rsidR="003014E2" w:rsidRDefault="003014E2" w:rsidP="009A6ED9">
      <w:pPr>
        <w:pStyle w:val="Odstavecseseznamem"/>
        <w:numPr>
          <w:ilvl w:val="0"/>
          <w:numId w:val="6"/>
        </w:numPr>
        <w:spacing w:line="360" w:lineRule="auto"/>
        <w:jc w:val="both"/>
        <w:rPr>
          <w:rFonts w:eastAsiaTheme="majorEastAsia" w:cstheme="majorBidi"/>
          <w:bCs/>
        </w:rPr>
      </w:pPr>
      <w:r>
        <w:rPr>
          <w:rFonts w:eastAsiaTheme="majorEastAsia" w:cstheme="majorBidi"/>
          <w:bCs/>
        </w:rPr>
        <w:t>Transparentnost a stabilita</w:t>
      </w:r>
    </w:p>
    <w:p w14:paraId="22E4114C" w14:textId="7FB579AA" w:rsidR="003014E2" w:rsidRDefault="003014E2" w:rsidP="009A6ED9">
      <w:pPr>
        <w:pStyle w:val="Odstavecseseznamem"/>
        <w:numPr>
          <w:ilvl w:val="0"/>
          <w:numId w:val="6"/>
        </w:numPr>
        <w:spacing w:line="360" w:lineRule="auto"/>
        <w:jc w:val="both"/>
        <w:rPr>
          <w:rFonts w:eastAsiaTheme="majorEastAsia" w:cstheme="majorBidi"/>
          <w:bCs/>
        </w:rPr>
      </w:pPr>
      <w:r>
        <w:rPr>
          <w:rFonts w:eastAsiaTheme="majorEastAsia" w:cstheme="majorBidi"/>
          <w:bCs/>
        </w:rPr>
        <w:t>Oprávněná očekávání</w:t>
      </w:r>
    </w:p>
    <w:p w14:paraId="1C408E37" w14:textId="4113DCA3" w:rsidR="004925BA" w:rsidRDefault="004925BA" w:rsidP="009A6ED9">
      <w:pPr>
        <w:pStyle w:val="Odstavecseseznamem"/>
        <w:numPr>
          <w:ilvl w:val="0"/>
          <w:numId w:val="6"/>
        </w:numPr>
        <w:spacing w:line="360" w:lineRule="auto"/>
        <w:jc w:val="both"/>
        <w:rPr>
          <w:rFonts w:eastAsiaTheme="majorEastAsia" w:cstheme="majorBidi"/>
          <w:bCs/>
        </w:rPr>
      </w:pPr>
      <w:r>
        <w:rPr>
          <w:rFonts w:eastAsiaTheme="majorEastAsia" w:cstheme="majorBidi"/>
          <w:bCs/>
        </w:rPr>
        <w:t>Dobrá víra (obsažena ve více standardech</w:t>
      </w:r>
      <w:r w:rsidR="004139E2">
        <w:rPr>
          <w:rFonts w:eastAsiaTheme="majorEastAsia" w:cstheme="majorBidi"/>
          <w:bCs/>
        </w:rPr>
        <w:t>,</w:t>
      </w:r>
      <w:r>
        <w:rPr>
          <w:rFonts w:eastAsiaTheme="majorEastAsia" w:cstheme="majorBidi"/>
          <w:bCs/>
        </w:rPr>
        <w:t xml:space="preserve"> i jako samostatný princip)</w:t>
      </w:r>
    </w:p>
    <w:p w14:paraId="424F5408" w14:textId="18642F51" w:rsidR="00407127" w:rsidRDefault="004F13B8" w:rsidP="00407127">
      <w:pPr>
        <w:pStyle w:val="Odstavecseseznamem"/>
        <w:spacing w:line="360" w:lineRule="auto"/>
        <w:ind w:left="142" w:firstLine="654"/>
        <w:jc w:val="both"/>
        <w:rPr>
          <w:rFonts w:eastAsiaTheme="majorEastAsia" w:cstheme="majorBidi"/>
          <w:bCs/>
        </w:rPr>
      </w:pPr>
      <w:r>
        <w:rPr>
          <w:rFonts w:eastAsiaTheme="majorEastAsia" w:cstheme="majorBidi"/>
          <w:bCs/>
        </w:rPr>
        <w:t xml:space="preserve">O konkrétní a konečnou definici se pokusili rozhodci v několika případech, </w:t>
      </w:r>
      <w:r w:rsidR="00B51DA1">
        <w:rPr>
          <w:rFonts w:eastAsiaTheme="majorEastAsia" w:cstheme="majorBidi"/>
          <w:bCs/>
        </w:rPr>
        <w:t>nedá se však říct, že by byly</w:t>
      </w:r>
      <w:r w:rsidR="00A17A5C">
        <w:rPr>
          <w:rFonts w:eastAsiaTheme="majorEastAsia" w:cstheme="majorBidi"/>
          <w:bCs/>
        </w:rPr>
        <w:t xml:space="preserve"> tyto definice</w:t>
      </w:r>
      <w:r w:rsidR="00B51DA1">
        <w:rPr>
          <w:rFonts w:eastAsiaTheme="majorEastAsia" w:cstheme="majorBidi"/>
          <w:bCs/>
        </w:rPr>
        <w:t xml:space="preserve"> dále </w:t>
      </w:r>
      <w:r w:rsidR="00734233">
        <w:rPr>
          <w:rFonts w:eastAsiaTheme="majorEastAsia" w:cstheme="majorBidi"/>
          <w:bCs/>
        </w:rPr>
        <w:t>univerzálně použitelné</w:t>
      </w:r>
      <w:r w:rsidR="00A17A5C">
        <w:rPr>
          <w:rFonts w:eastAsiaTheme="majorEastAsia" w:cstheme="majorBidi"/>
          <w:bCs/>
        </w:rPr>
        <w:t>, mimo případy s velice podobným skutkovým stavem. Za všechny</w:t>
      </w:r>
      <w:r w:rsidR="00F977F5">
        <w:rPr>
          <w:rFonts w:eastAsiaTheme="majorEastAsia" w:cstheme="majorBidi"/>
          <w:bCs/>
        </w:rPr>
        <w:t xml:space="preserve"> lze citovat například </w:t>
      </w:r>
      <w:r w:rsidR="00264071">
        <w:rPr>
          <w:rFonts w:eastAsiaTheme="majorEastAsia" w:cstheme="majorBidi"/>
          <w:bCs/>
          <w:i/>
        </w:rPr>
        <w:t>Waste Management v. Mexico</w:t>
      </w:r>
      <w:r w:rsidR="00F977F5">
        <w:rPr>
          <w:rFonts w:eastAsiaTheme="majorEastAsia" w:cstheme="majorBidi"/>
          <w:bCs/>
        </w:rPr>
        <w:t xml:space="preserve">, </w:t>
      </w:r>
      <w:r w:rsidR="00BC0A68">
        <w:rPr>
          <w:rFonts w:eastAsiaTheme="majorEastAsia" w:cstheme="majorBidi"/>
          <w:bCs/>
        </w:rPr>
        <w:t xml:space="preserve">podle </w:t>
      </w:r>
      <w:r w:rsidR="00716E85">
        <w:rPr>
          <w:rFonts w:eastAsiaTheme="majorEastAsia" w:cstheme="majorBidi"/>
          <w:bCs/>
        </w:rPr>
        <w:t>něhož</w:t>
      </w:r>
      <w:r w:rsidR="00BC0A68">
        <w:rPr>
          <w:rFonts w:eastAsiaTheme="majorEastAsia" w:cstheme="majorBidi"/>
          <w:bCs/>
        </w:rPr>
        <w:t xml:space="preserve"> se dá za porušení FET považovat </w:t>
      </w:r>
      <w:r w:rsidR="00136233">
        <w:rPr>
          <w:rFonts w:eastAsiaTheme="majorEastAsia" w:cstheme="majorBidi"/>
          <w:bCs/>
        </w:rPr>
        <w:t xml:space="preserve">zacházení </w:t>
      </w:r>
      <w:r w:rsidR="00441BC5">
        <w:rPr>
          <w:rFonts w:eastAsiaTheme="majorEastAsia" w:cstheme="majorBidi"/>
          <w:bCs/>
        </w:rPr>
        <w:t>„svévolné</w:t>
      </w:r>
      <w:r w:rsidR="00136233">
        <w:rPr>
          <w:rFonts w:eastAsiaTheme="majorEastAsia" w:cstheme="majorBidi"/>
          <w:bCs/>
        </w:rPr>
        <w:t xml:space="preserve">, </w:t>
      </w:r>
      <w:r w:rsidR="00A85424">
        <w:rPr>
          <w:rFonts w:eastAsiaTheme="majorEastAsia" w:cstheme="majorBidi"/>
          <w:bCs/>
        </w:rPr>
        <w:t>hrubě nepoctivé, nespravedlivé nebo diskriminační a p</w:t>
      </w:r>
      <w:r w:rsidR="00441BC5">
        <w:rPr>
          <w:rFonts w:eastAsiaTheme="majorEastAsia" w:cstheme="majorBidi"/>
          <w:bCs/>
        </w:rPr>
        <w:t>ředstavující</w:t>
      </w:r>
      <w:r w:rsidR="00A85424">
        <w:rPr>
          <w:rFonts w:eastAsiaTheme="majorEastAsia" w:cstheme="majorBidi"/>
          <w:bCs/>
        </w:rPr>
        <w:t xml:space="preserve"> zaujetí proti investorovi.“</w:t>
      </w:r>
      <w:r w:rsidR="00A85424">
        <w:rPr>
          <w:rStyle w:val="Znakapoznpodarou"/>
          <w:rFonts w:eastAsiaTheme="majorEastAsia" w:cstheme="majorBidi"/>
          <w:bCs/>
        </w:rPr>
        <w:footnoteReference w:id="33"/>
      </w:r>
    </w:p>
    <w:p w14:paraId="4AA9AA49" w14:textId="69F69E57" w:rsidR="000B0B65" w:rsidRPr="00F977F5" w:rsidRDefault="000B0B65" w:rsidP="000B0B65">
      <w:pPr>
        <w:pStyle w:val="Nadpis2"/>
      </w:pPr>
      <w:bookmarkStart w:id="17" w:name="_Toc479697278"/>
      <w:r>
        <w:t>Jednání státu narušující oprávněná očekávání</w:t>
      </w:r>
      <w:bookmarkEnd w:id="17"/>
    </w:p>
    <w:p w14:paraId="5B7C1A0E" w14:textId="1A1C7EA3" w:rsidR="0059610B" w:rsidRPr="00D15CFA" w:rsidRDefault="00D8667B" w:rsidP="009F36E4">
      <w:pPr>
        <w:pStyle w:val="Odstavecseseznamem"/>
        <w:spacing w:line="360" w:lineRule="auto"/>
        <w:ind w:left="142" w:firstLine="654"/>
        <w:jc w:val="both"/>
        <w:rPr>
          <w:rFonts w:eastAsiaTheme="majorEastAsia" w:cstheme="majorBidi"/>
          <w:bCs/>
        </w:rPr>
      </w:pPr>
      <w:r w:rsidRPr="00D15CFA">
        <w:rPr>
          <w:rFonts w:eastAsiaTheme="majorEastAsia" w:cstheme="majorBidi"/>
          <w:bCs/>
        </w:rPr>
        <w:t>Stanovit přesné hranice pro míru očekávání,</w:t>
      </w:r>
      <w:r w:rsidR="002341E5" w:rsidRPr="00D15CFA">
        <w:rPr>
          <w:rFonts w:eastAsiaTheme="majorEastAsia" w:cstheme="majorBidi"/>
          <w:bCs/>
        </w:rPr>
        <w:t xml:space="preserve"> </w:t>
      </w:r>
      <w:r w:rsidRPr="00D15CFA">
        <w:rPr>
          <w:rFonts w:eastAsiaTheme="majorEastAsia" w:cstheme="majorBidi"/>
          <w:bCs/>
        </w:rPr>
        <w:t xml:space="preserve">jejichž porušení je kompenzovatelné, se prozatím nedaří, ovšem rozhodovací praxe přináší jistá vodítka. </w:t>
      </w:r>
      <w:r w:rsidR="0059610B" w:rsidRPr="00D15CFA">
        <w:rPr>
          <w:rFonts w:eastAsiaTheme="majorEastAsia" w:cstheme="majorBidi"/>
          <w:bCs/>
        </w:rPr>
        <w:t xml:space="preserve">Oproti výše uvedenému vymezení ochrany můžeme postavit zásadní a mnohokrát v odborné literatuře citované rozhodnutí v případu </w:t>
      </w:r>
      <w:r w:rsidR="00992681" w:rsidRPr="00D15CFA">
        <w:rPr>
          <w:rFonts w:eastAsiaTheme="majorEastAsia" w:cstheme="majorBidi"/>
          <w:bCs/>
          <w:i/>
        </w:rPr>
        <w:t>Saluka v. Czech Republic</w:t>
      </w:r>
      <w:r w:rsidR="0059610B" w:rsidRPr="00D15CFA">
        <w:rPr>
          <w:rFonts w:eastAsiaTheme="majorEastAsia" w:cstheme="majorBidi"/>
          <w:bCs/>
        </w:rPr>
        <w:t xml:space="preserve">, které stanoví obecné východisko, že </w:t>
      </w:r>
      <w:r w:rsidR="00FA1CB2" w:rsidRPr="00D15CFA">
        <w:rPr>
          <w:rFonts w:eastAsiaTheme="majorEastAsia" w:cstheme="majorBidi"/>
          <w:bCs/>
          <w:i/>
        </w:rPr>
        <w:t>„žádný investor nemůže oprávněně očekávat, že okolnosti existující v době uskutečnění investice zůstanou zcela beze změn. Při rozhodování, zda zmaření očekávání zahraničního investora bylo oprávněné a přiměřené, musí být zohledněno rovněž legitimní právo hostitelského státu na následnou regulaci vnitrostátních záležitostí ve veřejném zájmu</w:t>
      </w:r>
      <w:r w:rsidR="00AF0F3C" w:rsidRPr="00D15CFA">
        <w:rPr>
          <w:rFonts w:eastAsiaTheme="majorEastAsia" w:cstheme="majorBidi"/>
          <w:bCs/>
          <w:i/>
        </w:rPr>
        <w:t>“</w:t>
      </w:r>
      <w:r w:rsidR="00AF0F3C" w:rsidRPr="00D15CFA">
        <w:rPr>
          <w:rStyle w:val="Znakapoznpodarou"/>
          <w:rFonts w:eastAsiaTheme="majorEastAsia" w:cstheme="majorBidi"/>
          <w:bCs/>
          <w:i/>
        </w:rPr>
        <w:footnoteReference w:id="34"/>
      </w:r>
      <w:r w:rsidR="0059610B" w:rsidRPr="00D15CFA">
        <w:rPr>
          <w:rFonts w:eastAsiaTheme="majorEastAsia" w:cstheme="majorBidi"/>
          <w:bCs/>
        </w:rPr>
        <w:t xml:space="preserve">. </w:t>
      </w:r>
      <w:r w:rsidR="001F3646" w:rsidRPr="00D15CFA">
        <w:rPr>
          <w:rFonts w:eastAsiaTheme="majorEastAsia" w:cstheme="majorBidi"/>
          <w:bCs/>
        </w:rPr>
        <w:t xml:space="preserve">Kde </w:t>
      </w:r>
      <w:r w:rsidR="0027452F" w:rsidRPr="00D15CFA">
        <w:rPr>
          <w:rFonts w:eastAsiaTheme="majorEastAsia" w:cstheme="majorBidi"/>
          <w:bCs/>
        </w:rPr>
        <w:t>se mezi</w:t>
      </w:r>
      <w:r w:rsidR="0059610B" w:rsidRPr="00D15CFA">
        <w:rPr>
          <w:rFonts w:eastAsiaTheme="majorEastAsia" w:cstheme="majorBidi"/>
          <w:bCs/>
        </w:rPr>
        <w:t xml:space="preserve"> těmito </w:t>
      </w:r>
      <w:r w:rsidR="0059610B" w:rsidRPr="00D15CFA">
        <w:rPr>
          <w:rFonts w:eastAsiaTheme="majorEastAsia" w:cstheme="majorBidi"/>
          <w:bCs/>
        </w:rPr>
        <w:lastRenderedPageBreak/>
        <w:t>mantinely nachází možnosti regulace podnikání ze strany státu</w:t>
      </w:r>
      <w:r w:rsidR="0027452F" w:rsidRPr="00D15CFA">
        <w:rPr>
          <w:rFonts w:eastAsiaTheme="majorEastAsia" w:cstheme="majorBidi"/>
          <w:bCs/>
        </w:rPr>
        <w:t>,</w:t>
      </w:r>
      <w:r w:rsidR="002E578D" w:rsidRPr="00D15CFA">
        <w:rPr>
          <w:rFonts w:eastAsiaTheme="majorEastAsia" w:cstheme="majorBidi"/>
          <w:bCs/>
        </w:rPr>
        <w:t xml:space="preserve"> napovídají kritéria, </w:t>
      </w:r>
      <w:r w:rsidR="0086007F" w:rsidRPr="00D15CFA">
        <w:rPr>
          <w:rFonts w:eastAsiaTheme="majorEastAsia" w:cstheme="majorBidi"/>
          <w:bCs/>
        </w:rPr>
        <w:t>která použil tribunál</w:t>
      </w:r>
      <w:r w:rsidR="002E578D" w:rsidRPr="00D15CFA">
        <w:rPr>
          <w:rFonts w:eastAsiaTheme="majorEastAsia" w:cstheme="majorBidi"/>
          <w:bCs/>
        </w:rPr>
        <w:t xml:space="preserve"> ve věci </w:t>
      </w:r>
      <w:r w:rsidR="002E578D" w:rsidRPr="00D15CFA">
        <w:rPr>
          <w:rFonts w:eastAsiaTheme="majorEastAsia" w:cstheme="majorBidi"/>
          <w:bCs/>
          <w:i/>
        </w:rPr>
        <w:t>Lemire v. Ukraine</w:t>
      </w:r>
      <w:r w:rsidR="00B36C51" w:rsidRPr="00D15CFA">
        <w:rPr>
          <w:rStyle w:val="Znakapoznpodarou"/>
          <w:rFonts w:eastAsiaTheme="majorEastAsia" w:cstheme="majorBidi"/>
          <w:bCs/>
          <w:i/>
        </w:rPr>
        <w:footnoteReference w:id="35"/>
      </w:r>
      <w:r w:rsidR="002E578D" w:rsidRPr="00D15CFA">
        <w:rPr>
          <w:rFonts w:eastAsiaTheme="majorEastAsia" w:cstheme="majorBidi"/>
          <w:bCs/>
          <w:i/>
        </w:rPr>
        <w:t xml:space="preserve">. </w:t>
      </w:r>
      <w:r w:rsidR="002E578D" w:rsidRPr="00D15CFA">
        <w:rPr>
          <w:rFonts w:eastAsiaTheme="majorEastAsia" w:cstheme="majorBidi"/>
          <w:bCs/>
        </w:rPr>
        <w:t>Jsou jimi:</w:t>
      </w:r>
    </w:p>
    <w:p w14:paraId="43007483" w14:textId="77777777" w:rsidR="0086007F" w:rsidRPr="00D15CFA" w:rsidRDefault="00E631F6" w:rsidP="006C1250">
      <w:pPr>
        <w:pStyle w:val="Odstavecseseznamem"/>
        <w:numPr>
          <w:ilvl w:val="0"/>
          <w:numId w:val="2"/>
        </w:numPr>
        <w:spacing w:line="360" w:lineRule="auto"/>
        <w:ind w:left="1560" w:hanging="426"/>
        <w:jc w:val="both"/>
        <w:rPr>
          <w:rFonts w:eastAsiaTheme="majorEastAsia" w:cstheme="majorBidi"/>
          <w:bCs/>
        </w:rPr>
      </w:pPr>
      <w:r w:rsidRPr="00D15CFA">
        <w:rPr>
          <w:rFonts w:eastAsiaTheme="majorEastAsia" w:cstheme="majorBidi"/>
          <w:bCs/>
        </w:rPr>
        <w:t xml:space="preserve">Právo státu jako nositele suverénní moci schvalovat legislativní a jiná rozhodnutí </w:t>
      </w:r>
      <w:r w:rsidR="00CC3F26" w:rsidRPr="00D15CFA">
        <w:rPr>
          <w:rFonts w:eastAsiaTheme="majorEastAsia" w:cstheme="majorBidi"/>
          <w:bCs/>
        </w:rPr>
        <w:t>na ochranu veřejného zájmu, zvláště pokud tato</w:t>
      </w:r>
      <w:r w:rsidR="005D3902" w:rsidRPr="00D15CFA">
        <w:rPr>
          <w:rFonts w:eastAsiaTheme="majorEastAsia" w:cstheme="majorBidi"/>
          <w:bCs/>
        </w:rPr>
        <w:t xml:space="preserve"> nevyvolávají</w:t>
      </w:r>
      <w:r w:rsidRPr="00D15CFA">
        <w:rPr>
          <w:rFonts w:eastAsiaTheme="majorEastAsia" w:cstheme="majorBidi"/>
          <w:bCs/>
        </w:rPr>
        <w:t xml:space="preserve"> </w:t>
      </w:r>
      <w:r w:rsidR="00CC3F26" w:rsidRPr="00D15CFA">
        <w:rPr>
          <w:rFonts w:eastAsiaTheme="majorEastAsia" w:cstheme="majorBidi"/>
          <w:bCs/>
        </w:rPr>
        <w:t>nepřiměřené ovlivnění investice</w:t>
      </w:r>
      <w:r w:rsidR="005C7728" w:rsidRPr="00D15CFA">
        <w:rPr>
          <w:rStyle w:val="Znakapoznpodarou"/>
          <w:rFonts w:eastAsiaTheme="majorEastAsia" w:cstheme="majorBidi"/>
          <w:bCs/>
        </w:rPr>
        <w:footnoteReference w:id="36"/>
      </w:r>
    </w:p>
    <w:p w14:paraId="03828EE0" w14:textId="77777777" w:rsidR="00CC3F26" w:rsidRPr="00D15CFA" w:rsidRDefault="005D3902" w:rsidP="006C1250">
      <w:pPr>
        <w:pStyle w:val="Odstavecseseznamem"/>
        <w:numPr>
          <w:ilvl w:val="0"/>
          <w:numId w:val="2"/>
        </w:numPr>
        <w:spacing w:line="360" w:lineRule="auto"/>
        <w:ind w:left="1560" w:hanging="426"/>
        <w:jc w:val="both"/>
        <w:rPr>
          <w:rFonts w:eastAsiaTheme="majorEastAsia" w:cstheme="majorBidi"/>
          <w:bCs/>
        </w:rPr>
      </w:pPr>
      <w:r w:rsidRPr="00D15CFA">
        <w:rPr>
          <w:rFonts w:eastAsiaTheme="majorEastAsia" w:cstheme="majorBidi"/>
          <w:bCs/>
        </w:rPr>
        <w:t xml:space="preserve">Oprávněná očekávání investora </w:t>
      </w:r>
      <w:r w:rsidRPr="00D15CFA">
        <w:rPr>
          <w:rFonts w:eastAsiaTheme="majorEastAsia" w:cstheme="majorBidi"/>
          <w:bCs/>
          <w:i/>
        </w:rPr>
        <w:t xml:space="preserve">v době uskutečnění </w:t>
      </w:r>
      <w:r w:rsidRPr="00D15CFA">
        <w:rPr>
          <w:rFonts w:eastAsiaTheme="majorEastAsia" w:cstheme="majorBidi"/>
          <w:bCs/>
        </w:rPr>
        <w:t>investice</w:t>
      </w:r>
    </w:p>
    <w:p w14:paraId="42AFCD37" w14:textId="77777777" w:rsidR="00F00E8F" w:rsidRPr="00D15CFA" w:rsidRDefault="00F00E8F" w:rsidP="006C1250">
      <w:pPr>
        <w:pStyle w:val="Odstavecseseznamem"/>
        <w:numPr>
          <w:ilvl w:val="0"/>
          <w:numId w:val="2"/>
        </w:numPr>
        <w:spacing w:line="360" w:lineRule="auto"/>
        <w:ind w:left="1560" w:hanging="426"/>
        <w:jc w:val="both"/>
        <w:rPr>
          <w:rFonts w:eastAsiaTheme="majorEastAsia" w:cstheme="majorBidi"/>
          <w:bCs/>
        </w:rPr>
      </w:pPr>
      <w:r w:rsidRPr="00D15CFA">
        <w:rPr>
          <w:rFonts w:eastAsiaTheme="majorEastAsia" w:cstheme="majorBidi"/>
          <w:bCs/>
        </w:rPr>
        <w:t xml:space="preserve">Investorova povinnost </w:t>
      </w:r>
      <w:r w:rsidR="00507644" w:rsidRPr="00D15CFA">
        <w:rPr>
          <w:rFonts w:eastAsiaTheme="majorEastAsia" w:cstheme="majorBidi"/>
          <w:bCs/>
        </w:rPr>
        <w:t>provést šetření před uskutečněním investice (povinnost bdělosti)</w:t>
      </w:r>
      <w:r w:rsidR="007D647B" w:rsidRPr="00D15CFA">
        <w:rPr>
          <w:rStyle w:val="Znakapoznpodarou"/>
          <w:rFonts w:eastAsiaTheme="majorEastAsia" w:cstheme="majorBidi"/>
          <w:bCs/>
        </w:rPr>
        <w:footnoteReference w:id="37"/>
      </w:r>
    </w:p>
    <w:p w14:paraId="6D608667" w14:textId="77777777" w:rsidR="009C1085" w:rsidRPr="00D15CFA" w:rsidRDefault="001964C8" w:rsidP="006C1250">
      <w:pPr>
        <w:pStyle w:val="Odstavecseseznamem"/>
        <w:numPr>
          <w:ilvl w:val="0"/>
          <w:numId w:val="2"/>
        </w:numPr>
        <w:spacing w:line="360" w:lineRule="auto"/>
        <w:ind w:left="1560" w:hanging="426"/>
        <w:jc w:val="both"/>
        <w:rPr>
          <w:rFonts w:eastAsiaTheme="majorEastAsia" w:cstheme="majorBidi"/>
          <w:bCs/>
        </w:rPr>
      </w:pPr>
      <w:r w:rsidRPr="00D15CFA">
        <w:rPr>
          <w:rFonts w:eastAsiaTheme="majorEastAsia" w:cstheme="majorBidi"/>
          <w:bCs/>
        </w:rPr>
        <w:t>Investorovo působení (chování) v hostitelské zemi</w:t>
      </w:r>
      <w:r w:rsidR="004321A4" w:rsidRPr="00D15CFA">
        <w:rPr>
          <w:rFonts w:eastAsiaTheme="majorEastAsia" w:cstheme="majorBidi"/>
          <w:bCs/>
        </w:rPr>
        <w:t>, jeho vliv a přínos</w:t>
      </w:r>
    </w:p>
    <w:p w14:paraId="2B110BF0" w14:textId="5DE220AB" w:rsidR="0017629A" w:rsidRPr="00396B9C" w:rsidRDefault="0017629A" w:rsidP="00350761">
      <w:pPr>
        <w:pStyle w:val="Odstavecseseznamem"/>
        <w:spacing w:line="360" w:lineRule="auto"/>
        <w:ind w:left="142" w:firstLine="654"/>
        <w:jc w:val="both"/>
        <w:rPr>
          <w:rFonts w:eastAsiaTheme="majorEastAsia" w:cstheme="majorBidi"/>
          <w:bCs/>
        </w:rPr>
      </w:pPr>
      <w:r w:rsidRPr="00D15CFA">
        <w:rPr>
          <w:rFonts w:eastAsiaTheme="majorEastAsia" w:cstheme="majorBidi"/>
          <w:bCs/>
        </w:rPr>
        <w:t xml:space="preserve">Případ </w:t>
      </w:r>
      <w:r w:rsidR="002341E5" w:rsidRPr="00D15CFA">
        <w:rPr>
          <w:rFonts w:eastAsiaTheme="majorEastAsia" w:cstheme="majorBidi"/>
          <w:bCs/>
          <w:i/>
        </w:rPr>
        <w:t>Saluka</w:t>
      </w:r>
      <w:r w:rsidRPr="00D15CFA">
        <w:rPr>
          <w:rFonts w:eastAsiaTheme="majorEastAsia" w:cstheme="majorBidi"/>
          <w:bCs/>
        </w:rPr>
        <w:t xml:space="preserve"> ukázal, že tribunál může chápat ochranu legitimních očekávání jako relativní, kdy je třeba vyvažovat zájem investora a státu, avšak lze se setkat i s přísnějším výkladem.</w:t>
      </w:r>
      <w:r w:rsidR="002356DB" w:rsidRPr="00D15CFA">
        <w:rPr>
          <w:rFonts w:eastAsiaTheme="majorEastAsia" w:cstheme="majorBidi"/>
          <w:bCs/>
        </w:rPr>
        <w:t xml:space="preserve"> Například, že „</w:t>
      </w:r>
      <w:r w:rsidR="002356DB" w:rsidRPr="00D15CFA">
        <w:rPr>
          <w:rFonts w:eastAsiaTheme="majorEastAsia" w:cstheme="majorBidi"/>
          <w:bCs/>
          <w:i/>
        </w:rPr>
        <w:t xml:space="preserve">rozhodně existuje závazek </w:t>
      </w:r>
      <w:r w:rsidR="003E4F6B" w:rsidRPr="00D15CFA">
        <w:rPr>
          <w:rFonts w:eastAsiaTheme="majorEastAsia" w:cstheme="majorBidi"/>
          <w:bCs/>
          <w:i/>
        </w:rPr>
        <w:t>neměnit právní prostředí, ve kterém byla investice uskutečněna.“</w:t>
      </w:r>
      <w:r w:rsidR="00B24E8F" w:rsidRPr="00D15CFA">
        <w:rPr>
          <w:rStyle w:val="Znakapoznpodarou"/>
          <w:rFonts w:eastAsiaTheme="majorEastAsia" w:cstheme="majorBidi"/>
          <w:bCs/>
          <w:i/>
        </w:rPr>
        <w:footnoteReference w:id="38"/>
      </w:r>
      <w:r w:rsidR="004476B7" w:rsidRPr="00D15CFA">
        <w:rPr>
          <w:rFonts w:eastAsiaTheme="majorEastAsia" w:cstheme="majorBidi"/>
          <w:bCs/>
        </w:rPr>
        <w:t>Lze se tedy setkat i s úplným odmítnutím použití principu proporcionality.</w:t>
      </w:r>
      <w:r w:rsidR="008C55AD">
        <w:rPr>
          <w:rFonts w:eastAsiaTheme="majorEastAsia" w:cstheme="majorBidi"/>
          <w:bCs/>
        </w:rPr>
        <w:t xml:space="preserve"> </w:t>
      </w:r>
    </w:p>
    <w:p w14:paraId="1AF08B07" w14:textId="3ABFF8B3" w:rsidR="00BC7027" w:rsidRDefault="005D68A1" w:rsidP="00350761">
      <w:pPr>
        <w:pStyle w:val="Odstavecseseznamem"/>
        <w:spacing w:line="360" w:lineRule="auto"/>
        <w:ind w:left="142" w:firstLine="654"/>
        <w:jc w:val="both"/>
      </w:pPr>
      <w:r w:rsidRPr="00D15CFA">
        <w:rPr>
          <w:rFonts w:eastAsiaTheme="majorEastAsia" w:cstheme="majorBidi"/>
          <w:bCs/>
        </w:rPr>
        <w:t>Očekávání vyplývající pouze z právního řádu</w:t>
      </w:r>
      <w:r w:rsidR="0023017F" w:rsidRPr="00D15CFA">
        <w:rPr>
          <w:rFonts w:eastAsiaTheme="majorEastAsia" w:cstheme="majorBidi"/>
          <w:bCs/>
        </w:rPr>
        <w:t xml:space="preserve"> v době provedení investice</w:t>
      </w:r>
      <w:r w:rsidRPr="00D15CFA">
        <w:rPr>
          <w:rFonts w:eastAsiaTheme="majorEastAsia" w:cstheme="majorBidi"/>
          <w:bCs/>
        </w:rPr>
        <w:t xml:space="preserve"> bývají </w:t>
      </w:r>
      <w:r w:rsidR="005E0471">
        <w:rPr>
          <w:rFonts w:eastAsiaTheme="majorEastAsia" w:cstheme="majorBidi"/>
          <w:bCs/>
        </w:rPr>
        <w:t>posuzována</w:t>
      </w:r>
      <w:r w:rsidR="0023017F" w:rsidRPr="00D15CFA">
        <w:rPr>
          <w:rFonts w:eastAsiaTheme="majorEastAsia" w:cstheme="majorBidi"/>
          <w:bCs/>
        </w:rPr>
        <w:t xml:space="preserve"> podle</w:t>
      </w:r>
      <w:r w:rsidR="009E5504">
        <w:rPr>
          <w:rFonts w:eastAsiaTheme="majorEastAsia" w:cstheme="majorBidi"/>
          <w:bCs/>
        </w:rPr>
        <w:t xml:space="preserve"> testu</w:t>
      </w:r>
      <w:r w:rsidR="0023017F" w:rsidRPr="00D15CFA">
        <w:rPr>
          <w:rFonts w:eastAsiaTheme="majorEastAsia" w:cstheme="majorBidi"/>
          <w:bCs/>
        </w:rPr>
        <w:t xml:space="preserve"> proporcionality, </w:t>
      </w:r>
      <w:r w:rsidR="005E0471">
        <w:rPr>
          <w:rFonts w:eastAsiaTheme="majorEastAsia" w:cstheme="majorBidi"/>
          <w:bCs/>
        </w:rPr>
        <w:t>budou</w:t>
      </w:r>
      <w:r w:rsidR="009E5504">
        <w:rPr>
          <w:rFonts w:eastAsiaTheme="majorEastAsia" w:cstheme="majorBidi"/>
          <w:bCs/>
        </w:rPr>
        <w:t xml:space="preserve"> v něm však mít menší váhu </w:t>
      </w:r>
      <w:r w:rsidR="0023017F" w:rsidRPr="00D15CFA">
        <w:rPr>
          <w:rFonts w:eastAsiaTheme="majorEastAsia" w:cstheme="majorBidi"/>
          <w:bCs/>
        </w:rPr>
        <w:t>než ta, vyplývající z výslovných</w:t>
      </w:r>
      <w:r w:rsidR="007D647B" w:rsidRPr="00D15CFA">
        <w:rPr>
          <w:rFonts w:eastAsiaTheme="majorEastAsia" w:cstheme="majorBidi"/>
          <w:bCs/>
        </w:rPr>
        <w:t xml:space="preserve"> záruk.</w:t>
      </w:r>
      <w:r w:rsidR="00211885" w:rsidRPr="00D15CFA">
        <w:rPr>
          <w:rFonts w:eastAsiaTheme="majorEastAsia" w:cstheme="majorBidi"/>
          <w:bCs/>
        </w:rPr>
        <w:t xml:space="preserve"> </w:t>
      </w:r>
      <w:r w:rsidR="00D90A1D" w:rsidRPr="00D15CFA">
        <w:rPr>
          <w:rFonts w:eastAsiaTheme="majorEastAsia" w:cstheme="majorBidi"/>
          <w:bCs/>
        </w:rPr>
        <w:t>Ani výslovná záruka ale nemusí mít za následek</w:t>
      </w:r>
      <w:r w:rsidR="007949FF">
        <w:rPr>
          <w:rFonts w:eastAsiaTheme="majorEastAsia" w:cstheme="majorBidi"/>
          <w:bCs/>
        </w:rPr>
        <w:t xml:space="preserve"> automatické</w:t>
      </w:r>
      <w:r w:rsidR="00D90A1D" w:rsidRPr="00D15CFA">
        <w:rPr>
          <w:rFonts w:eastAsiaTheme="majorEastAsia" w:cstheme="majorBidi"/>
          <w:bCs/>
        </w:rPr>
        <w:t xml:space="preserve"> porušení FET</w:t>
      </w:r>
      <w:r w:rsidR="007949FF">
        <w:rPr>
          <w:rFonts w:eastAsiaTheme="majorEastAsia" w:cstheme="majorBidi"/>
          <w:bCs/>
        </w:rPr>
        <w:t>, avšak bude</w:t>
      </w:r>
      <w:r w:rsidR="00FB70D5" w:rsidRPr="00D15CFA">
        <w:rPr>
          <w:rFonts w:eastAsiaTheme="majorEastAsia" w:cstheme="majorBidi"/>
          <w:bCs/>
        </w:rPr>
        <w:t xml:space="preserve"> hrát</w:t>
      </w:r>
      <w:r w:rsidR="008C0EA1">
        <w:rPr>
          <w:rFonts w:eastAsiaTheme="majorEastAsia" w:cstheme="majorBidi"/>
          <w:bCs/>
        </w:rPr>
        <w:t xml:space="preserve"> v testu proporcionality</w:t>
      </w:r>
      <w:r w:rsidR="00FB70D5" w:rsidRPr="00D15CFA">
        <w:rPr>
          <w:rFonts w:eastAsiaTheme="majorEastAsia" w:cstheme="majorBidi"/>
          <w:bCs/>
        </w:rPr>
        <w:t xml:space="preserve"> zásadní roli</w:t>
      </w:r>
      <w:r w:rsidR="00D90A1D" w:rsidRPr="00D15CFA">
        <w:rPr>
          <w:rFonts w:eastAsiaTheme="majorEastAsia" w:cstheme="majorBidi"/>
          <w:bCs/>
        </w:rPr>
        <w:t xml:space="preserve">. </w:t>
      </w:r>
      <w:r w:rsidR="008070E5" w:rsidRPr="00D15CFA">
        <w:rPr>
          <w:rFonts w:eastAsiaTheme="majorEastAsia" w:cstheme="majorBidi"/>
          <w:bCs/>
        </w:rPr>
        <w:t xml:space="preserve">Taková záruka musí být </w:t>
      </w:r>
      <w:r w:rsidR="004033A8" w:rsidRPr="00D15CFA">
        <w:rPr>
          <w:rFonts w:eastAsiaTheme="majorEastAsia" w:cstheme="majorBidi"/>
          <w:bCs/>
        </w:rPr>
        <w:t xml:space="preserve">zcela jasná a konkrétní, </w:t>
      </w:r>
      <w:r w:rsidR="00EA0157" w:rsidRPr="00D15CFA">
        <w:rPr>
          <w:rFonts w:eastAsiaTheme="majorEastAsia" w:cstheme="majorBidi"/>
          <w:bCs/>
        </w:rPr>
        <w:t>musí vést investora ke konkrétnímu rozhodnutí o investici.</w:t>
      </w:r>
      <w:r w:rsidR="00EA0B20">
        <w:rPr>
          <w:rStyle w:val="Znakapoznpodarou"/>
          <w:rFonts w:eastAsiaTheme="majorEastAsia" w:cstheme="majorBidi"/>
          <w:bCs/>
        </w:rPr>
        <w:footnoteReference w:id="39"/>
      </w:r>
      <w:r w:rsidR="00EA0157" w:rsidRPr="00D15CFA">
        <w:rPr>
          <w:rFonts w:eastAsiaTheme="majorEastAsia" w:cstheme="majorBidi"/>
          <w:bCs/>
        </w:rPr>
        <w:t xml:space="preserve"> </w:t>
      </w:r>
      <w:r w:rsidR="00AD407B" w:rsidRPr="00D15CFA">
        <w:rPr>
          <w:rFonts w:eastAsiaTheme="majorEastAsia" w:cstheme="majorBidi"/>
          <w:bCs/>
        </w:rPr>
        <w:t xml:space="preserve">Například v případu </w:t>
      </w:r>
      <w:r w:rsidR="00F276D9">
        <w:rPr>
          <w:rFonts w:eastAsiaTheme="majorEastAsia" w:cstheme="majorBidi"/>
          <w:bCs/>
          <w:i/>
        </w:rPr>
        <w:t>Metalclad</w:t>
      </w:r>
      <w:r w:rsidR="00AD407B" w:rsidRPr="00D15CFA">
        <w:rPr>
          <w:rFonts w:eastAsiaTheme="majorEastAsia" w:cstheme="majorBidi"/>
          <w:bCs/>
          <w:i/>
        </w:rPr>
        <w:t xml:space="preserve"> v</w:t>
      </w:r>
      <w:r w:rsidR="00F276D9">
        <w:rPr>
          <w:rFonts w:eastAsiaTheme="majorEastAsia" w:cstheme="majorBidi"/>
          <w:bCs/>
          <w:i/>
        </w:rPr>
        <w:t>.</w:t>
      </w:r>
      <w:r w:rsidR="00851A54">
        <w:rPr>
          <w:rFonts w:eastAsiaTheme="majorEastAsia" w:cstheme="majorBidi"/>
          <w:bCs/>
          <w:i/>
        </w:rPr>
        <w:t xml:space="preserve"> Mexico</w:t>
      </w:r>
      <w:r w:rsidR="00AD407B" w:rsidRPr="00D15CFA">
        <w:rPr>
          <w:rFonts w:eastAsiaTheme="majorEastAsia" w:cstheme="majorBidi"/>
          <w:bCs/>
        </w:rPr>
        <w:t xml:space="preserve"> </w:t>
      </w:r>
      <w:r w:rsidR="00164A5E" w:rsidRPr="00D15CFA">
        <w:rPr>
          <w:rFonts w:eastAsiaTheme="majorEastAsia" w:cstheme="majorBidi"/>
          <w:bCs/>
        </w:rPr>
        <w:t>investovala společnost</w:t>
      </w:r>
      <w:r w:rsidR="00BD496E" w:rsidRPr="00D15CFA">
        <w:rPr>
          <w:rFonts w:eastAsiaTheme="majorEastAsia" w:cstheme="majorBidi"/>
          <w:bCs/>
        </w:rPr>
        <w:t xml:space="preserve"> Metalclad</w:t>
      </w:r>
      <w:r w:rsidR="00164A5E" w:rsidRPr="00D15CFA">
        <w:rPr>
          <w:rFonts w:eastAsiaTheme="majorEastAsia" w:cstheme="majorBidi"/>
          <w:bCs/>
        </w:rPr>
        <w:t xml:space="preserve"> </w:t>
      </w:r>
      <w:r w:rsidR="008A41C9">
        <w:rPr>
          <w:rFonts w:eastAsiaTheme="majorEastAsia" w:cstheme="majorBidi"/>
          <w:bCs/>
        </w:rPr>
        <w:t>do akvizice místní společnosti</w:t>
      </w:r>
      <w:r w:rsidR="00BD496E" w:rsidRPr="00D15CFA">
        <w:rPr>
          <w:rFonts w:eastAsiaTheme="majorEastAsia" w:cstheme="majorBidi"/>
          <w:bCs/>
        </w:rPr>
        <w:t xml:space="preserve"> na </w:t>
      </w:r>
      <w:r w:rsidR="00BD496E" w:rsidRPr="00D15CFA">
        <w:rPr>
          <w:rFonts w:eastAsiaTheme="majorEastAsia" w:cstheme="majorBidi"/>
          <w:bCs/>
        </w:rPr>
        <w:lastRenderedPageBreak/>
        <w:t>zpracování nebezpečného odpadu po ujištění fe</w:t>
      </w:r>
      <w:r w:rsidR="00E768D8" w:rsidRPr="00D15CFA">
        <w:rPr>
          <w:rFonts w:eastAsiaTheme="majorEastAsia" w:cstheme="majorBidi"/>
          <w:bCs/>
        </w:rPr>
        <w:t>derální vlády o tom, že tato</w:t>
      </w:r>
      <w:r w:rsidR="008A41C9">
        <w:rPr>
          <w:rFonts w:eastAsiaTheme="majorEastAsia" w:cstheme="majorBidi"/>
          <w:bCs/>
        </w:rPr>
        <w:t xml:space="preserve"> mexická společnost</w:t>
      </w:r>
      <w:r w:rsidR="00E768D8" w:rsidRPr="00D15CFA">
        <w:rPr>
          <w:rFonts w:eastAsiaTheme="majorEastAsia" w:cstheme="majorBidi"/>
          <w:bCs/>
        </w:rPr>
        <w:t xml:space="preserve"> plní veškeré předpoklady pro </w:t>
      </w:r>
      <w:r w:rsidR="00893396" w:rsidRPr="00D15CFA">
        <w:rPr>
          <w:rFonts w:eastAsiaTheme="majorEastAsia" w:cstheme="majorBidi"/>
          <w:bCs/>
        </w:rPr>
        <w:t xml:space="preserve">obdržení povolení k činnosti. </w:t>
      </w:r>
      <w:r w:rsidR="000876BC" w:rsidRPr="00D15CFA">
        <w:rPr>
          <w:rFonts w:eastAsiaTheme="majorEastAsia" w:cstheme="majorBidi"/>
          <w:bCs/>
        </w:rPr>
        <w:t>Přestože byla mexická společnost před provedením investice v provozu,</w:t>
      </w:r>
      <w:r w:rsidR="0069732B" w:rsidRPr="00D15CFA">
        <w:rPr>
          <w:rFonts w:eastAsiaTheme="majorEastAsia" w:cstheme="majorBidi"/>
          <w:bCs/>
        </w:rPr>
        <w:t xml:space="preserve"> místní samospráv</w:t>
      </w:r>
      <w:r w:rsidR="000876BC" w:rsidRPr="00D15CFA">
        <w:rPr>
          <w:rFonts w:eastAsiaTheme="majorEastAsia" w:cstheme="majorBidi"/>
          <w:bCs/>
        </w:rPr>
        <w:t xml:space="preserve">a odmítla povolení vydat. </w:t>
      </w:r>
      <w:r w:rsidR="00F12350" w:rsidRPr="00D15CFA">
        <w:rPr>
          <w:rFonts w:eastAsiaTheme="majorEastAsia" w:cstheme="majorBidi"/>
          <w:bCs/>
        </w:rPr>
        <w:t>Metalclad zahá</w:t>
      </w:r>
      <w:r w:rsidR="00924490">
        <w:rPr>
          <w:rFonts w:eastAsiaTheme="majorEastAsia" w:cstheme="majorBidi"/>
          <w:bCs/>
        </w:rPr>
        <w:t>jila spor na základě</w:t>
      </w:r>
      <w:r w:rsidR="00F12350" w:rsidRPr="00D15CFA">
        <w:rPr>
          <w:rFonts w:eastAsiaTheme="majorEastAsia" w:cstheme="majorBidi"/>
          <w:bCs/>
        </w:rPr>
        <w:t xml:space="preserve"> NAFTA a byla úspěšná, </w:t>
      </w:r>
      <w:r w:rsidR="00617146" w:rsidRPr="00D15CFA">
        <w:rPr>
          <w:rFonts w:eastAsiaTheme="majorEastAsia" w:cstheme="majorBidi"/>
          <w:bCs/>
        </w:rPr>
        <w:t xml:space="preserve">tribunál vyslovil, že </w:t>
      </w:r>
      <w:r w:rsidR="00617146" w:rsidRPr="00D15CFA">
        <w:rPr>
          <w:rFonts w:eastAsiaTheme="majorEastAsia" w:cstheme="majorBidi"/>
          <w:bCs/>
          <w:i/>
        </w:rPr>
        <w:t>„</w:t>
      </w:r>
      <w:r w:rsidR="00260775" w:rsidRPr="00D15CFA">
        <w:rPr>
          <w:rFonts w:eastAsiaTheme="majorEastAsia" w:cstheme="majorBidi"/>
          <w:bCs/>
          <w:i/>
        </w:rPr>
        <w:t>společnost byla oprávněna</w:t>
      </w:r>
      <w:r w:rsidR="00A17B09" w:rsidRPr="00D15CFA">
        <w:rPr>
          <w:rFonts w:eastAsiaTheme="majorEastAsia" w:cstheme="majorBidi"/>
          <w:bCs/>
          <w:i/>
        </w:rPr>
        <w:t xml:space="preserve"> spolehnout</w:t>
      </w:r>
      <w:r w:rsidR="00260775" w:rsidRPr="00D15CFA">
        <w:rPr>
          <w:rFonts w:eastAsiaTheme="majorEastAsia" w:cstheme="majorBidi"/>
          <w:bCs/>
          <w:i/>
        </w:rPr>
        <w:t xml:space="preserve"> se</w:t>
      </w:r>
      <w:r w:rsidR="00A17B09" w:rsidRPr="00D15CFA">
        <w:rPr>
          <w:rFonts w:eastAsiaTheme="majorEastAsia" w:cstheme="majorBidi"/>
          <w:bCs/>
          <w:i/>
        </w:rPr>
        <w:t xml:space="preserve"> na informace poskytnuté federální vládou </w:t>
      </w:r>
      <w:r w:rsidR="00260775" w:rsidRPr="00D15CFA">
        <w:rPr>
          <w:rFonts w:eastAsiaTheme="majorEastAsia" w:cstheme="majorBidi"/>
          <w:bCs/>
          <w:i/>
        </w:rPr>
        <w:t>a věřit, že splňuje podmínky k výstavbě skládky. Řízení se radou vlády bylo ze strany společnosti rozumným postupem a očekávání</w:t>
      </w:r>
      <w:r w:rsidR="00551752">
        <w:rPr>
          <w:rFonts w:eastAsiaTheme="majorEastAsia" w:cstheme="majorBidi"/>
          <w:bCs/>
          <w:i/>
        </w:rPr>
        <w:t>,</w:t>
      </w:r>
      <w:r w:rsidR="00260775" w:rsidRPr="00D15CFA">
        <w:rPr>
          <w:rFonts w:eastAsiaTheme="majorEastAsia" w:cstheme="majorBidi"/>
          <w:bCs/>
          <w:i/>
        </w:rPr>
        <w:t xml:space="preserve"> že povolení bude uděleno, bylo oprávněné.“</w:t>
      </w:r>
      <w:r w:rsidR="009A38F7" w:rsidRPr="00D15CFA">
        <w:rPr>
          <w:rStyle w:val="Znakapoznpodarou"/>
          <w:rFonts w:eastAsiaTheme="majorEastAsia" w:cstheme="majorBidi"/>
          <w:bCs/>
          <w:i/>
        </w:rPr>
        <w:footnoteReference w:id="40"/>
      </w:r>
      <w:r w:rsidR="00844FBE" w:rsidRPr="00D15CFA">
        <w:rPr>
          <w:rFonts w:eastAsiaTheme="majorEastAsia" w:cstheme="majorBidi"/>
          <w:bCs/>
          <w:i/>
        </w:rPr>
        <w:t xml:space="preserve"> </w:t>
      </w:r>
      <w:r w:rsidR="00874A01" w:rsidRPr="00D15CFA">
        <w:rPr>
          <w:rFonts w:eastAsiaTheme="majorEastAsia" w:cstheme="majorBidi"/>
          <w:bCs/>
        </w:rPr>
        <w:t>Naopak</w:t>
      </w:r>
      <w:r w:rsidR="00844FBE" w:rsidRPr="00D15CFA">
        <w:rPr>
          <w:rFonts w:eastAsiaTheme="majorEastAsia" w:cstheme="majorBidi"/>
          <w:bCs/>
        </w:rPr>
        <w:t xml:space="preserve"> </w:t>
      </w:r>
      <w:r w:rsidR="00E42E72">
        <w:rPr>
          <w:rFonts w:eastAsiaTheme="majorEastAsia" w:cstheme="majorBidi"/>
          <w:bCs/>
        </w:rPr>
        <w:t>ve prospěch státu rozhodl tribunál</w:t>
      </w:r>
      <w:r w:rsidR="001F3DFB">
        <w:rPr>
          <w:rFonts w:eastAsiaTheme="majorEastAsia" w:cstheme="majorBidi"/>
          <w:bCs/>
        </w:rPr>
        <w:t xml:space="preserve"> v několika bodech případu</w:t>
      </w:r>
      <w:r w:rsidR="00874A01" w:rsidRPr="00D15CFA">
        <w:rPr>
          <w:rFonts w:eastAsiaTheme="majorEastAsia" w:cstheme="majorBidi"/>
          <w:bCs/>
        </w:rPr>
        <w:t xml:space="preserve"> </w:t>
      </w:r>
      <w:r w:rsidR="00874A01" w:rsidRPr="00D15CFA">
        <w:rPr>
          <w:rFonts w:eastAsiaTheme="majorEastAsia" w:cstheme="majorBidi"/>
          <w:bCs/>
          <w:i/>
        </w:rPr>
        <w:t>Crys</w:t>
      </w:r>
      <w:r w:rsidR="00B412F9">
        <w:rPr>
          <w:rFonts w:eastAsiaTheme="majorEastAsia" w:cstheme="majorBidi"/>
          <w:bCs/>
          <w:i/>
        </w:rPr>
        <w:t>tallex</w:t>
      </w:r>
      <w:r w:rsidR="00874A01" w:rsidRPr="00D15CFA">
        <w:rPr>
          <w:rFonts w:eastAsiaTheme="majorEastAsia" w:cstheme="majorBidi"/>
          <w:bCs/>
          <w:i/>
        </w:rPr>
        <w:t xml:space="preserve"> v. Venezuela</w:t>
      </w:r>
      <w:r w:rsidR="00874A01" w:rsidRPr="00D15CFA">
        <w:rPr>
          <w:rFonts w:eastAsiaTheme="majorEastAsia" w:cstheme="majorBidi"/>
          <w:bCs/>
        </w:rPr>
        <w:t xml:space="preserve">, </w:t>
      </w:r>
      <w:r w:rsidR="005F273B">
        <w:rPr>
          <w:rFonts w:eastAsiaTheme="majorEastAsia" w:cstheme="majorBidi"/>
          <w:bCs/>
        </w:rPr>
        <w:t>kde</w:t>
      </w:r>
      <w:r w:rsidR="00E54ED2" w:rsidRPr="00D15CFA">
        <w:rPr>
          <w:rFonts w:eastAsiaTheme="majorEastAsia" w:cstheme="majorBidi"/>
          <w:bCs/>
        </w:rPr>
        <w:t xml:space="preserve"> se investor spolehnul</w:t>
      </w:r>
      <w:r w:rsidR="00274B1B" w:rsidRPr="00D15CFA">
        <w:rPr>
          <w:rFonts w:eastAsiaTheme="majorEastAsia" w:cstheme="majorBidi"/>
          <w:bCs/>
        </w:rPr>
        <w:t xml:space="preserve"> na záruky, které nebyly dostačující</w:t>
      </w:r>
      <w:r w:rsidR="00D464DC" w:rsidRPr="00D15CFA">
        <w:rPr>
          <w:rFonts w:eastAsiaTheme="majorEastAsia" w:cstheme="majorBidi"/>
          <w:bCs/>
        </w:rPr>
        <w:t>, protože byly příliš obecné a neurčité</w:t>
      </w:r>
      <w:r w:rsidR="00274B1B" w:rsidRPr="00D15CFA">
        <w:rPr>
          <w:rFonts w:eastAsiaTheme="majorEastAsia" w:cstheme="majorBidi"/>
          <w:bCs/>
        </w:rPr>
        <w:t xml:space="preserve">. </w:t>
      </w:r>
      <w:r w:rsidR="00423602" w:rsidRPr="00D15CFA">
        <w:rPr>
          <w:rFonts w:eastAsiaTheme="majorEastAsia" w:cstheme="majorBidi"/>
          <w:bCs/>
        </w:rPr>
        <w:t>Jednalo se o velice podobnou situaci, legitimním očekáváním měla být veřejná vyjádření venezuelského ministra těžařství, který tvrdil, že „povolení jsou na cestě“ a jejich vydání „probíhá podle plánu“.</w:t>
      </w:r>
      <w:r w:rsidR="00C463C1">
        <w:rPr>
          <w:rStyle w:val="Znakapoznpodarou"/>
          <w:rFonts w:eastAsiaTheme="majorEastAsia" w:cstheme="majorBidi"/>
          <w:bCs/>
        </w:rPr>
        <w:footnoteReference w:id="41"/>
      </w:r>
      <w:r w:rsidR="009967E5" w:rsidRPr="00D15CFA">
        <w:rPr>
          <w:rFonts w:eastAsiaTheme="majorEastAsia" w:cstheme="majorBidi"/>
          <w:bCs/>
        </w:rPr>
        <w:t xml:space="preserve"> Tribunál se vyjádřil, že veřejná podpora projektu od různých státních institucí a členů vlády nemůže vytvářet legitimní očekávání, protože taková jejich </w:t>
      </w:r>
      <w:r w:rsidR="00A07F05" w:rsidRPr="00D15CFA">
        <w:rPr>
          <w:rFonts w:eastAsiaTheme="majorEastAsia" w:cstheme="majorBidi"/>
          <w:bCs/>
        </w:rPr>
        <w:t>podpora nemá přímý vliv a dopad na proces schvalování.</w:t>
      </w:r>
      <w:r w:rsidR="00423602" w:rsidRPr="00D15CFA">
        <w:rPr>
          <w:rStyle w:val="Znakapoznpodarou"/>
          <w:rFonts w:eastAsiaTheme="majorEastAsia" w:cstheme="majorBidi"/>
          <w:bCs/>
        </w:rPr>
        <w:footnoteReference w:id="42"/>
      </w:r>
      <w:r w:rsidR="00AD7B92">
        <w:rPr>
          <w:rFonts w:eastAsiaTheme="majorEastAsia" w:cstheme="majorBidi"/>
          <w:bCs/>
        </w:rPr>
        <w:t xml:space="preserve"> Navíc vyslovil, že </w:t>
      </w:r>
      <w:r w:rsidR="00A63226">
        <w:rPr>
          <w:rFonts w:eastAsiaTheme="majorEastAsia" w:cstheme="majorBidi"/>
          <w:bCs/>
        </w:rPr>
        <w:t>n</w:t>
      </w:r>
      <w:r w:rsidR="00AD7B92">
        <w:t>a vydání povolení obecně podle mezinárodního práva nemůže být právní nárok a na tento slib není rozumné se spoléhat do skončení ekologického šetření.</w:t>
      </w:r>
      <w:r w:rsidR="00293DDC" w:rsidRPr="00293DDC">
        <w:t xml:space="preserve"> </w:t>
      </w:r>
      <w:r w:rsidR="00293DDC">
        <w:t xml:space="preserve">Nicméně shledal porušení oprávněných očekávání </w:t>
      </w:r>
      <w:r w:rsidR="00BC7027">
        <w:t>ohledně pozdější situace,</w:t>
      </w:r>
      <w:r w:rsidR="00293DDC">
        <w:t xml:space="preserve"> kdy Crystallex obdržel dopis od ministerstva životního prostředí, ve kterém</w:t>
      </w:r>
      <w:r w:rsidR="005901F1">
        <w:t xml:space="preserve"> oznamovalo schválení dokumenta</w:t>
      </w:r>
      <w:r w:rsidR="00CA77D0">
        <w:t>ce o vlivu na životní prostředí. Ž</w:t>
      </w:r>
      <w:r w:rsidR="00293DDC">
        <w:t xml:space="preserve">ádalo složení kauce a zaplacení daně, po kterém </w:t>
      </w:r>
      <w:r w:rsidR="00AD7B92">
        <w:t>mělo následovat vydání povolení</w:t>
      </w:r>
      <w:r w:rsidR="00293DDC">
        <w:t xml:space="preserve">, </w:t>
      </w:r>
      <w:r w:rsidR="00BC7027">
        <w:t>dopis</w:t>
      </w:r>
      <w:r w:rsidR="00D13779">
        <w:t xml:space="preserve"> však</w:t>
      </w:r>
      <w:r w:rsidR="00BC7027">
        <w:t xml:space="preserve"> jasně naznačoval, že vydání povolení bude po zaplacení kauce pouhou formalitou.</w:t>
      </w:r>
      <w:r w:rsidR="00BC7027" w:rsidRPr="00D15CFA">
        <w:rPr>
          <w:rFonts w:eastAsiaTheme="majorEastAsia" w:cstheme="majorBidi"/>
          <w:bCs/>
        </w:rPr>
        <w:t xml:space="preserve"> </w:t>
      </w:r>
      <w:r w:rsidR="00BC7027">
        <w:rPr>
          <w:rFonts w:eastAsiaTheme="majorEastAsia" w:cstheme="majorBidi"/>
          <w:bCs/>
        </w:rPr>
        <w:t xml:space="preserve">Navíc další </w:t>
      </w:r>
      <w:r w:rsidR="00293DDC">
        <w:t>porušení</w:t>
      </w:r>
      <w:r w:rsidR="00BC7027">
        <w:t xml:space="preserve"> oprávněných</w:t>
      </w:r>
      <w:r w:rsidR="00293DDC">
        <w:t xml:space="preserve"> očekávání nastalo absencí odůvodnění a relevantních</w:t>
      </w:r>
      <w:r w:rsidR="00BC7027">
        <w:t xml:space="preserve"> technických</w:t>
      </w:r>
      <w:r w:rsidR="00293DDC">
        <w:t xml:space="preserve"> dat jako podkladu pro zamítnutí</w:t>
      </w:r>
      <w:r w:rsidR="00257E18">
        <w:t>, a to nat</w:t>
      </w:r>
      <w:r w:rsidR="00726D6B">
        <w:t>olik, že se jednalo o svévolné</w:t>
      </w:r>
      <w:r w:rsidR="00257E18">
        <w:t xml:space="preserve"> zacházení a odepření spravedlnosti</w:t>
      </w:r>
      <w:r w:rsidR="00067487">
        <w:t>.</w:t>
      </w:r>
      <w:r w:rsidR="00067487">
        <w:rPr>
          <w:rStyle w:val="Znakapoznpodarou"/>
        </w:rPr>
        <w:footnoteReference w:id="43"/>
      </w:r>
    </w:p>
    <w:p w14:paraId="4803CD07" w14:textId="41543DDC" w:rsidR="00B243F6" w:rsidRPr="00D15CFA" w:rsidRDefault="00FE37EC" w:rsidP="00350761">
      <w:pPr>
        <w:pStyle w:val="Odstavecseseznamem"/>
        <w:spacing w:line="360" w:lineRule="auto"/>
        <w:ind w:left="142" w:firstLine="654"/>
        <w:jc w:val="both"/>
        <w:rPr>
          <w:rFonts w:eastAsiaTheme="majorEastAsia" w:cstheme="majorBidi"/>
          <w:bCs/>
        </w:rPr>
      </w:pPr>
      <w:r w:rsidRPr="00D15CFA">
        <w:rPr>
          <w:rFonts w:eastAsiaTheme="majorEastAsia" w:cstheme="majorBidi"/>
          <w:bCs/>
        </w:rPr>
        <w:t>Tato rozhodnutí přinášejí náznak</w:t>
      </w:r>
      <w:r w:rsidR="00D65E14">
        <w:rPr>
          <w:rFonts w:eastAsiaTheme="majorEastAsia" w:cstheme="majorBidi"/>
          <w:bCs/>
        </w:rPr>
        <w:t xml:space="preserve"> směru, jakým</w:t>
      </w:r>
      <w:r w:rsidRPr="00D15CFA">
        <w:rPr>
          <w:rFonts w:eastAsiaTheme="majorEastAsia" w:cstheme="majorBidi"/>
          <w:bCs/>
        </w:rPr>
        <w:t xml:space="preserve"> se bude aplikační praxe ubírat. Lze konstatovat, že </w:t>
      </w:r>
      <w:r w:rsidR="00267811" w:rsidRPr="00D15CFA">
        <w:rPr>
          <w:rFonts w:eastAsiaTheme="majorEastAsia" w:cstheme="majorBidi"/>
          <w:bCs/>
        </w:rPr>
        <w:t xml:space="preserve">závazek státu v obdobných případech by měl být založen odpovědnou </w:t>
      </w:r>
      <w:r w:rsidR="00267811" w:rsidRPr="00D15CFA">
        <w:rPr>
          <w:rFonts w:eastAsiaTheme="majorEastAsia" w:cstheme="majorBidi"/>
          <w:bCs/>
        </w:rPr>
        <w:lastRenderedPageBreak/>
        <w:t>osobou zastupovat stát v dané věci, měl by být přímo c</w:t>
      </w:r>
      <w:r w:rsidR="00F23CE2">
        <w:rPr>
          <w:rFonts w:eastAsiaTheme="majorEastAsia" w:cstheme="majorBidi"/>
          <w:bCs/>
        </w:rPr>
        <w:t>ílen</w:t>
      </w:r>
      <w:r w:rsidR="00267811" w:rsidRPr="00D15CFA">
        <w:rPr>
          <w:rFonts w:eastAsiaTheme="majorEastAsia" w:cstheme="majorBidi"/>
          <w:bCs/>
        </w:rPr>
        <w:t xml:space="preserve"> na investora a jeho záměrem a účinkem by mělo být konkrétní rozhodnutí investora o nakládání s investicí.</w:t>
      </w:r>
      <w:r w:rsidR="00741CAD">
        <w:rPr>
          <w:rFonts w:eastAsiaTheme="majorEastAsia" w:cstheme="majorBidi"/>
          <w:bCs/>
        </w:rPr>
        <w:t xml:space="preserve"> Takový závěr potvrzuje i spor</w:t>
      </w:r>
      <w:r w:rsidR="00E25FAB" w:rsidRPr="00D15CFA">
        <w:rPr>
          <w:rFonts w:eastAsiaTheme="majorEastAsia" w:cstheme="majorBidi"/>
          <w:bCs/>
        </w:rPr>
        <w:t xml:space="preserve"> </w:t>
      </w:r>
      <w:r w:rsidR="00741CAD">
        <w:rPr>
          <w:rFonts w:eastAsiaTheme="majorEastAsia" w:cstheme="majorBidi"/>
          <w:bCs/>
          <w:i/>
        </w:rPr>
        <w:t>Bilcon of Delaware</w:t>
      </w:r>
      <w:r w:rsidR="00741CAD" w:rsidRPr="00D15CFA">
        <w:rPr>
          <w:rFonts w:eastAsiaTheme="majorEastAsia" w:cstheme="majorBidi"/>
          <w:bCs/>
          <w:i/>
        </w:rPr>
        <w:t xml:space="preserve"> v. Canada</w:t>
      </w:r>
      <w:r w:rsidR="00741CAD">
        <w:rPr>
          <w:rFonts w:eastAsiaTheme="majorEastAsia" w:cstheme="majorBidi"/>
          <w:bCs/>
          <w:i/>
        </w:rPr>
        <w:t>,</w:t>
      </w:r>
      <w:r w:rsidR="00741CAD" w:rsidRPr="00D15CFA">
        <w:rPr>
          <w:rFonts w:eastAsiaTheme="majorEastAsia" w:cstheme="majorBidi"/>
          <w:bCs/>
        </w:rPr>
        <w:t xml:space="preserve"> </w:t>
      </w:r>
      <w:r w:rsidR="00E25FAB" w:rsidRPr="00D15CFA">
        <w:rPr>
          <w:rFonts w:eastAsiaTheme="majorEastAsia" w:cstheme="majorBidi"/>
          <w:bCs/>
        </w:rPr>
        <w:t>aktuálně probíhající</w:t>
      </w:r>
      <w:r w:rsidR="00741CAD">
        <w:rPr>
          <w:rFonts w:eastAsiaTheme="majorEastAsia" w:cstheme="majorBidi"/>
          <w:bCs/>
        </w:rPr>
        <w:t xml:space="preserve"> u Permanent Court of Arbitration</w:t>
      </w:r>
      <w:r w:rsidR="00E25FAB" w:rsidRPr="00D15CFA">
        <w:rPr>
          <w:rFonts w:eastAsiaTheme="majorEastAsia" w:cstheme="majorBidi"/>
          <w:bCs/>
        </w:rPr>
        <w:t xml:space="preserve">, </w:t>
      </w:r>
      <w:r w:rsidR="00DB035B" w:rsidRPr="00D15CFA">
        <w:rPr>
          <w:rFonts w:eastAsiaTheme="majorEastAsia" w:cstheme="majorBidi"/>
          <w:bCs/>
        </w:rPr>
        <w:t>kde rozhodci zmiňují zohlednění především aspektů</w:t>
      </w:r>
      <w:r w:rsidR="00D91194" w:rsidRPr="00D15CFA">
        <w:rPr>
          <w:rStyle w:val="Znakapoznpodarou"/>
          <w:rFonts w:eastAsiaTheme="majorEastAsia" w:cstheme="majorBidi"/>
          <w:bCs/>
        </w:rPr>
        <w:footnoteReference w:id="44"/>
      </w:r>
      <w:r w:rsidR="00DB035B" w:rsidRPr="00D15CFA">
        <w:rPr>
          <w:rFonts w:eastAsiaTheme="majorEastAsia" w:cstheme="majorBidi"/>
          <w:bCs/>
        </w:rPr>
        <w:t>:</w:t>
      </w:r>
    </w:p>
    <w:p w14:paraId="54DD7363" w14:textId="77777777" w:rsidR="004C7C46" w:rsidRPr="00D15CFA" w:rsidRDefault="000909F4" w:rsidP="00D87638">
      <w:pPr>
        <w:pStyle w:val="Odstavecseseznamem"/>
        <w:numPr>
          <w:ilvl w:val="0"/>
          <w:numId w:val="3"/>
        </w:numPr>
        <w:spacing w:line="360" w:lineRule="auto"/>
        <w:ind w:left="1418" w:hanging="284"/>
        <w:jc w:val="both"/>
        <w:rPr>
          <w:rFonts w:eastAsiaTheme="majorEastAsia" w:cstheme="majorBidi"/>
          <w:bCs/>
        </w:rPr>
      </w:pPr>
      <w:r w:rsidRPr="00D15CFA">
        <w:rPr>
          <w:rFonts w:eastAsiaTheme="majorEastAsia" w:cstheme="majorBidi"/>
          <w:bCs/>
        </w:rPr>
        <w:t>Aktuální státní politika</w:t>
      </w:r>
      <w:r w:rsidR="00822808" w:rsidRPr="00D15CFA">
        <w:rPr>
          <w:rFonts w:eastAsiaTheme="majorEastAsia" w:cstheme="majorBidi"/>
          <w:bCs/>
        </w:rPr>
        <w:t xml:space="preserve"> provincie Nového Skotska</w:t>
      </w:r>
      <w:r w:rsidRPr="00D15CFA">
        <w:rPr>
          <w:rFonts w:eastAsiaTheme="majorEastAsia" w:cstheme="majorBidi"/>
          <w:bCs/>
        </w:rPr>
        <w:t xml:space="preserve"> silně podporuje investice do oboru investice (hornictví)</w:t>
      </w:r>
    </w:p>
    <w:p w14:paraId="4EA081BE" w14:textId="77777777" w:rsidR="000909F4" w:rsidRPr="00D15CFA" w:rsidRDefault="00163526" w:rsidP="00D87638">
      <w:pPr>
        <w:pStyle w:val="Odstavecseseznamem"/>
        <w:numPr>
          <w:ilvl w:val="0"/>
          <w:numId w:val="3"/>
        </w:numPr>
        <w:spacing w:line="360" w:lineRule="auto"/>
        <w:ind w:left="1418" w:hanging="284"/>
        <w:jc w:val="both"/>
        <w:rPr>
          <w:rFonts w:eastAsiaTheme="majorEastAsia" w:cstheme="majorBidi"/>
          <w:bCs/>
        </w:rPr>
      </w:pPr>
      <w:r w:rsidRPr="00D15CFA">
        <w:rPr>
          <w:rFonts w:eastAsiaTheme="majorEastAsia" w:cstheme="majorBidi"/>
          <w:bCs/>
        </w:rPr>
        <w:t>Techničtí pracovníci státní správy se setkali se zástupci i</w:t>
      </w:r>
      <w:r w:rsidR="00E958B2" w:rsidRPr="00D15CFA">
        <w:rPr>
          <w:rFonts w:eastAsiaTheme="majorEastAsia" w:cstheme="majorBidi"/>
          <w:bCs/>
        </w:rPr>
        <w:t>nvestora a podpořili jeho</w:t>
      </w:r>
      <w:r w:rsidRPr="00D15CFA">
        <w:rPr>
          <w:rFonts w:eastAsiaTheme="majorEastAsia" w:cstheme="majorBidi"/>
          <w:bCs/>
        </w:rPr>
        <w:t xml:space="preserve"> rozhodnutí </w:t>
      </w:r>
      <w:r w:rsidR="00E958B2" w:rsidRPr="00D15CFA">
        <w:rPr>
          <w:rFonts w:eastAsiaTheme="majorEastAsia" w:cstheme="majorBidi"/>
          <w:bCs/>
        </w:rPr>
        <w:t>investovat do kamenolomu</w:t>
      </w:r>
    </w:p>
    <w:p w14:paraId="7E9E3B9F" w14:textId="6762D199" w:rsidR="00E958B2" w:rsidRPr="00D15CFA" w:rsidRDefault="00E670DC" w:rsidP="00D87638">
      <w:pPr>
        <w:pStyle w:val="Odstavecseseznamem"/>
        <w:numPr>
          <w:ilvl w:val="0"/>
          <w:numId w:val="3"/>
        </w:numPr>
        <w:spacing w:line="360" w:lineRule="auto"/>
        <w:ind w:left="1418" w:hanging="284"/>
        <w:jc w:val="both"/>
        <w:rPr>
          <w:rFonts w:eastAsiaTheme="majorEastAsia" w:cstheme="majorBidi"/>
          <w:bCs/>
        </w:rPr>
      </w:pPr>
      <w:r w:rsidRPr="00D15CFA">
        <w:rPr>
          <w:rFonts w:eastAsiaTheme="majorEastAsia" w:cstheme="majorBidi"/>
          <w:bCs/>
        </w:rPr>
        <w:t xml:space="preserve">Ministr životního prostředí </w:t>
      </w:r>
      <w:r w:rsidR="00D366E9" w:rsidRPr="00D15CFA">
        <w:rPr>
          <w:rFonts w:eastAsiaTheme="majorEastAsia" w:cstheme="majorBidi"/>
          <w:bCs/>
        </w:rPr>
        <w:t xml:space="preserve">ze své funkce </w:t>
      </w:r>
      <w:r w:rsidR="00AC5A73" w:rsidRPr="00D15CFA">
        <w:rPr>
          <w:rFonts w:eastAsiaTheme="majorEastAsia" w:cstheme="majorBidi"/>
          <w:bCs/>
        </w:rPr>
        <w:t xml:space="preserve">výslovně </w:t>
      </w:r>
      <w:r w:rsidR="00D366E9" w:rsidRPr="00D15CFA">
        <w:rPr>
          <w:rFonts w:eastAsiaTheme="majorEastAsia" w:cstheme="majorBidi"/>
          <w:bCs/>
        </w:rPr>
        <w:t xml:space="preserve">potvrdil </w:t>
      </w:r>
      <w:r w:rsidR="006550DB" w:rsidRPr="00D15CFA">
        <w:rPr>
          <w:rFonts w:eastAsiaTheme="majorEastAsia" w:cstheme="majorBidi"/>
          <w:bCs/>
        </w:rPr>
        <w:t>podporu výstavbě konkrétního projektu lomu</w:t>
      </w:r>
    </w:p>
    <w:p w14:paraId="17624EA8" w14:textId="7AC0C8C8" w:rsidR="006E1AC1" w:rsidRPr="00D15CFA" w:rsidRDefault="00B71512" w:rsidP="00D87638">
      <w:pPr>
        <w:pStyle w:val="Odstavecseseznamem"/>
        <w:numPr>
          <w:ilvl w:val="0"/>
          <w:numId w:val="3"/>
        </w:numPr>
        <w:spacing w:line="360" w:lineRule="auto"/>
        <w:ind w:left="1418" w:hanging="284"/>
        <w:jc w:val="both"/>
        <w:rPr>
          <w:rFonts w:eastAsiaTheme="majorEastAsia" w:cstheme="majorBidi"/>
          <w:bCs/>
        </w:rPr>
      </w:pPr>
      <w:r w:rsidRPr="00D15CFA">
        <w:rPr>
          <w:rFonts w:eastAsiaTheme="majorEastAsia" w:cstheme="majorBidi"/>
          <w:bCs/>
        </w:rPr>
        <w:t xml:space="preserve">Zástupci kanadské vlády </w:t>
      </w:r>
      <w:r w:rsidR="00DB0ED7">
        <w:rPr>
          <w:rFonts w:eastAsiaTheme="majorEastAsia" w:cstheme="majorBidi"/>
          <w:bCs/>
        </w:rPr>
        <w:t>uvedli investora v</w:t>
      </w:r>
      <w:r w:rsidR="00366C72" w:rsidRPr="00D15CFA">
        <w:rPr>
          <w:rFonts w:eastAsiaTheme="majorEastAsia" w:cstheme="majorBidi"/>
          <w:bCs/>
        </w:rPr>
        <w:t xml:space="preserve"> domnění, že</w:t>
      </w:r>
      <w:r w:rsidR="00526C05" w:rsidRPr="00D15CFA">
        <w:rPr>
          <w:rFonts w:eastAsiaTheme="majorEastAsia" w:cstheme="majorBidi"/>
          <w:bCs/>
        </w:rPr>
        <w:t xml:space="preserve"> se</w:t>
      </w:r>
      <w:r w:rsidR="00366C72" w:rsidRPr="00D15CFA">
        <w:rPr>
          <w:rFonts w:eastAsiaTheme="majorEastAsia" w:cstheme="majorBidi"/>
          <w:bCs/>
        </w:rPr>
        <w:t xml:space="preserve"> o otázkách vlivu projektu na životní prostředí </w:t>
      </w:r>
      <w:r w:rsidR="00526C05" w:rsidRPr="00D15CFA">
        <w:rPr>
          <w:rFonts w:eastAsiaTheme="majorEastAsia" w:cstheme="majorBidi"/>
          <w:bCs/>
        </w:rPr>
        <w:t xml:space="preserve">bude rozhodovat </w:t>
      </w:r>
      <w:r w:rsidR="00E517FD" w:rsidRPr="00D15CFA">
        <w:rPr>
          <w:rFonts w:eastAsiaTheme="majorEastAsia" w:cstheme="majorBidi"/>
          <w:bCs/>
        </w:rPr>
        <w:t>ve spravedlivém procesu, kde bude mít investor možnost</w:t>
      </w:r>
      <w:r w:rsidR="00791723" w:rsidRPr="00D15CFA">
        <w:rPr>
          <w:rFonts w:eastAsiaTheme="majorEastAsia" w:cstheme="majorBidi"/>
          <w:bCs/>
        </w:rPr>
        <w:t xml:space="preserve"> snížit negativní působení svého</w:t>
      </w:r>
      <w:r w:rsidR="00E517FD" w:rsidRPr="00D15CFA">
        <w:rPr>
          <w:rFonts w:eastAsiaTheme="majorEastAsia" w:cstheme="majorBidi"/>
          <w:bCs/>
        </w:rPr>
        <w:t xml:space="preserve"> projekt</w:t>
      </w:r>
      <w:r w:rsidR="00791723" w:rsidRPr="00D15CFA">
        <w:rPr>
          <w:rFonts w:eastAsiaTheme="majorEastAsia" w:cstheme="majorBidi"/>
          <w:bCs/>
        </w:rPr>
        <w:t>u a</w:t>
      </w:r>
      <w:r w:rsidR="00E517FD" w:rsidRPr="00D15CFA">
        <w:rPr>
          <w:rFonts w:eastAsiaTheme="majorEastAsia" w:cstheme="majorBidi"/>
          <w:bCs/>
        </w:rPr>
        <w:t xml:space="preserve"> přizpůsobit</w:t>
      </w:r>
      <w:r w:rsidR="00791723" w:rsidRPr="00D15CFA">
        <w:rPr>
          <w:rFonts w:eastAsiaTheme="majorEastAsia" w:cstheme="majorBidi"/>
          <w:bCs/>
        </w:rPr>
        <w:t xml:space="preserve"> jej tak</w:t>
      </w:r>
      <w:r w:rsidR="00E517FD" w:rsidRPr="00D15CFA">
        <w:rPr>
          <w:rFonts w:eastAsiaTheme="majorEastAsia" w:cstheme="majorBidi"/>
          <w:bCs/>
        </w:rPr>
        <w:t xml:space="preserve"> </w:t>
      </w:r>
      <w:r w:rsidR="003B240C" w:rsidRPr="00D15CFA">
        <w:rPr>
          <w:rFonts w:eastAsiaTheme="majorEastAsia" w:cstheme="majorBidi"/>
          <w:bCs/>
        </w:rPr>
        <w:t xml:space="preserve">požadavkům státu </w:t>
      </w:r>
      <w:r w:rsidR="006E1AC1" w:rsidRPr="00D15CFA">
        <w:rPr>
          <w:rFonts w:eastAsiaTheme="majorEastAsia" w:cstheme="majorBidi"/>
          <w:bCs/>
        </w:rPr>
        <w:t>na ochranu životního prostředí.</w:t>
      </w:r>
    </w:p>
    <w:p w14:paraId="399FE29F" w14:textId="0D902FB7" w:rsidR="00507644" w:rsidRPr="00613455" w:rsidRDefault="00303902" w:rsidP="00613455">
      <w:pPr>
        <w:pStyle w:val="Odstavecseseznamem"/>
        <w:spacing w:line="360" w:lineRule="auto"/>
        <w:ind w:left="142" w:firstLine="654"/>
        <w:jc w:val="both"/>
        <w:rPr>
          <w:rFonts w:eastAsiaTheme="majorEastAsia" w:cstheme="majorBidi"/>
          <w:bCs/>
        </w:rPr>
      </w:pPr>
      <w:r>
        <w:rPr>
          <w:rFonts w:eastAsiaTheme="majorEastAsia" w:cstheme="majorBidi"/>
          <w:bCs/>
        </w:rPr>
        <w:t xml:space="preserve">Otázkou, jaké chování může tvořit konkrétní závazek vůči investorovi, se zabývali rozhodci i v případu </w:t>
      </w:r>
      <w:r w:rsidR="00685ABF">
        <w:rPr>
          <w:i/>
        </w:rPr>
        <w:t>Continental v. Argentina</w:t>
      </w:r>
      <w:r>
        <w:t xml:space="preserve">, jedním z mnoha investičních sporů, majících původ v argentinské hospodářské krizi </w:t>
      </w:r>
      <w:r w:rsidR="00490180">
        <w:t>na přelomu tisíciletí.</w:t>
      </w:r>
      <w:r w:rsidR="00C440DF">
        <w:t xml:space="preserve"> </w:t>
      </w:r>
      <w:r w:rsidR="00FA3760">
        <w:t>I ten konstatuje</w:t>
      </w:r>
      <w:r w:rsidR="00C74645">
        <w:t xml:space="preserve">, že politická prohlášení legitimní očekávání tvořit nemohou a obecná legislativa je může tvořit velice omezeně, zatímco smluvní závazky vlády </w:t>
      </w:r>
      <w:r w:rsidR="00A50FCF">
        <w:t>vyžadují nejvyšší pozornost při zkoumání proporcionality. Ale i u nich musí být zohledněn „</w:t>
      </w:r>
      <w:r w:rsidR="00A50FCF" w:rsidRPr="00A50FCF">
        <w:rPr>
          <w:i/>
        </w:rPr>
        <w:t>kontext, důvody a účine</w:t>
      </w:r>
      <w:r w:rsidR="00A50FCF" w:rsidRPr="00C54D8B">
        <w:rPr>
          <w:i/>
        </w:rPr>
        <w:t>k“</w:t>
      </w:r>
      <w:r w:rsidR="00A50FCF">
        <w:t xml:space="preserve"> jednostranné změny podmínek ze strany státu.</w:t>
      </w:r>
      <w:r w:rsidR="0095361D">
        <w:rPr>
          <w:rStyle w:val="Znakapoznpodarou"/>
          <w:i/>
        </w:rPr>
        <w:footnoteReference w:id="45"/>
      </w:r>
      <w:r w:rsidR="0095361D">
        <w:t xml:space="preserve"> </w:t>
      </w:r>
      <w:r w:rsidR="001B7174">
        <w:t xml:space="preserve"> </w:t>
      </w:r>
      <w:r w:rsidR="001B7174" w:rsidRPr="001B7174">
        <w:t xml:space="preserve">Že ale ani rozhodování v otázce oprávněných očekávání nemusí být jednotné (a tedy i předvídatelné), ukazuje rozhodnutí </w:t>
      </w:r>
      <w:r w:rsidR="001B7174" w:rsidRPr="00723EE6">
        <w:rPr>
          <w:i/>
        </w:rPr>
        <w:t>Arif v. Moldova</w:t>
      </w:r>
      <w:r w:rsidR="001B7174" w:rsidRPr="001B7174">
        <w:t xml:space="preserve">, které posunuje legitimní očekávání značně ve prospěch investora. Pan Franck Charles Arif provozoval duty free shop na mezinárodním letišti, na který dostal od státu nájemní smlouvu. Po několika letech provozu kvůli formálním nedostatkům ve smlouvě v době jejího uzavření ji soud prohlásil za neplatnou. Tribunál porušení standardu shledal překvapivě nikoliv v nedodržení povinností plynoucích z nájemní smlouvy, ale ve faktu, že poté, co ji </w:t>
      </w:r>
      <w:r w:rsidR="001B7174" w:rsidRPr="001B7174">
        <w:lastRenderedPageBreak/>
        <w:t>státní orgán uzavřel, několik let nepodniknul kroky k jejímu ukončení. V této době tedy Arif obchod založil a provozoval, vkládal do něj další peníze a z této doby také plynou jeho oprávněná očekávání, že jej bude moci provozovat i nadále.</w:t>
      </w:r>
      <w:r w:rsidR="00792256">
        <w:rPr>
          <w:rStyle w:val="Znakapoznpodarou"/>
        </w:rPr>
        <w:footnoteReference w:id="46"/>
      </w:r>
    </w:p>
    <w:p w14:paraId="45C5CBF2" w14:textId="3F2E0D68" w:rsidR="00350761" w:rsidRDefault="00233E47" w:rsidP="00350761">
      <w:pPr>
        <w:pStyle w:val="Odstavecseseznamem"/>
        <w:spacing w:line="360" w:lineRule="auto"/>
        <w:ind w:left="142" w:firstLine="654"/>
        <w:jc w:val="both"/>
        <w:rPr>
          <w:rFonts w:eastAsiaTheme="majorEastAsia" w:cstheme="majorBidi"/>
          <w:bCs/>
        </w:rPr>
      </w:pPr>
      <w:r w:rsidRPr="00D15CFA">
        <w:rPr>
          <w:rFonts w:eastAsiaTheme="majorEastAsia" w:cstheme="majorBidi"/>
          <w:bCs/>
        </w:rPr>
        <w:t xml:space="preserve">Co se týká implicitních záruk od zástupců hostitelského státu, </w:t>
      </w:r>
      <w:r w:rsidR="00A04512" w:rsidRPr="00D15CFA">
        <w:rPr>
          <w:rFonts w:eastAsiaTheme="majorEastAsia" w:cstheme="majorBidi"/>
          <w:bCs/>
        </w:rPr>
        <w:t xml:space="preserve">jde o kategorii nejméně čitelnou a definovatelnou. </w:t>
      </w:r>
      <w:r w:rsidR="00F75CBE">
        <w:rPr>
          <w:rFonts w:eastAsiaTheme="majorEastAsia" w:cstheme="majorBidi"/>
          <w:bCs/>
        </w:rPr>
        <w:t>Můžeme sem zařadit například</w:t>
      </w:r>
      <w:r w:rsidR="0091031B" w:rsidRPr="00D15CFA">
        <w:rPr>
          <w:rFonts w:eastAsiaTheme="majorEastAsia" w:cstheme="majorBidi"/>
          <w:bCs/>
        </w:rPr>
        <w:t xml:space="preserve"> situace, kdy </w:t>
      </w:r>
      <w:r w:rsidR="006E48D6" w:rsidRPr="00D15CFA">
        <w:rPr>
          <w:rFonts w:eastAsiaTheme="majorEastAsia" w:cstheme="majorBidi"/>
          <w:bCs/>
        </w:rPr>
        <w:t xml:space="preserve">státní či státem financovaná agentura zorganizuje </w:t>
      </w:r>
      <w:r w:rsidR="00292034" w:rsidRPr="00D15CFA">
        <w:rPr>
          <w:rFonts w:eastAsiaTheme="majorEastAsia" w:cstheme="majorBidi"/>
          <w:bCs/>
        </w:rPr>
        <w:t xml:space="preserve">konferenci za účelem přilákání zájmu investorů, </w:t>
      </w:r>
      <w:r w:rsidR="00A00DC7" w:rsidRPr="00D15CFA">
        <w:rPr>
          <w:rFonts w:eastAsiaTheme="majorEastAsia" w:cstheme="majorBidi"/>
          <w:bCs/>
        </w:rPr>
        <w:t>na které zdůrazní výkupní cenu případných produktů</w:t>
      </w:r>
      <w:r w:rsidR="004D3A68" w:rsidRPr="00D15CFA">
        <w:rPr>
          <w:rFonts w:eastAsiaTheme="majorEastAsia" w:cstheme="majorBidi"/>
          <w:bCs/>
        </w:rPr>
        <w:t xml:space="preserve"> nebo ceny energií</w:t>
      </w:r>
      <w:r w:rsidR="00A00DC7" w:rsidRPr="00D15CFA">
        <w:rPr>
          <w:rFonts w:eastAsiaTheme="majorEastAsia" w:cstheme="majorBidi"/>
          <w:bCs/>
        </w:rPr>
        <w:t xml:space="preserve">. </w:t>
      </w:r>
      <w:r w:rsidR="00D13474" w:rsidRPr="00D15CFA">
        <w:rPr>
          <w:rFonts w:eastAsiaTheme="majorEastAsia" w:cstheme="majorBidi"/>
          <w:bCs/>
        </w:rPr>
        <w:t>Takové ujištění se opět promítne do testu proporcionality, ze všech tří variant ovšem nejméně.</w:t>
      </w:r>
      <w:r w:rsidR="00A62526" w:rsidRPr="00D15CFA">
        <w:rPr>
          <w:rStyle w:val="Znakapoznpodarou"/>
          <w:rFonts w:eastAsiaTheme="majorEastAsia" w:cstheme="majorBidi"/>
          <w:bCs/>
        </w:rPr>
        <w:footnoteReference w:id="47"/>
      </w:r>
      <w:r w:rsidR="00A00DC7" w:rsidRPr="00D15CFA">
        <w:rPr>
          <w:rFonts w:eastAsiaTheme="majorEastAsia" w:cstheme="majorBidi"/>
          <w:bCs/>
        </w:rPr>
        <w:t xml:space="preserve"> </w:t>
      </w:r>
    </w:p>
    <w:p w14:paraId="470C1CF5" w14:textId="6247A996" w:rsidR="00635A0A" w:rsidRPr="00D15CFA" w:rsidRDefault="00635A0A" w:rsidP="00350761">
      <w:pPr>
        <w:pStyle w:val="Odstavecseseznamem"/>
        <w:spacing w:line="360" w:lineRule="auto"/>
        <w:ind w:left="142" w:firstLine="654"/>
        <w:jc w:val="both"/>
        <w:rPr>
          <w:rFonts w:eastAsiaTheme="majorEastAsia" w:cstheme="majorBidi"/>
          <w:bCs/>
        </w:rPr>
      </w:pPr>
      <w:r>
        <w:rPr>
          <w:rFonts w:eastAsiaTheme="majorEastAsia" w:cstheme="majorBidi"/>
          <w:bCs/>
        </w:rPr>
        <w:t>Často zároveň</w:t>
      </w:r>
      <w:r w:rsidR="0031771E">
        <w:rPr>
          <w:rFonts w:eastAsiaTheme="majorEastAsia" w:cstheme="majorBidi"/>
          <w:bCs/>
        </w:rPr>
        <w:t xml:space="preserve"> s legitimním očekáváním bývají</w:t>
      </w:r>
      <w:r>
        <w:rPr>
          <w:rFonts w:eastAsiaTheme="majorEastAsia" w:cstheme="majorBidi"/>
          <w:bCs/>
        </w:rPr>
        <w:t xml:space="preserve"> zároveň</w:t>
      </w:r>
      <w:r w:rsidR="0031771E">
        <w:rPr>
          <w:rFonts w:eastAsiaTheme="majorEastAsia" w:cstheme="majorBidi"/>
          <w:bCs/>
        </w:rPr>
        <w:t xml:space="preserve"> námitky proti</w:t>
      </w:r>
      <w:r>
        <w:rPr>
          <w:rFonts w:eastAsiaTheme="majorEastAsia" w:cstheme="majorBidi"/>
          <w:bCs/>
        </w:rPr>
        <w:t xml:space="preserve"> </w:t>
      </w:r>
      <w:r w:rsidR="00125104">
        <w:rPr>
          <w:rFonts w:eastAsiaTheme="majorEastAsia" w:cstheme="majorBidi"/>
          <w:bCs/>
        </w:rPr>
        <w:t>ne</w:t>
      </w:r>
      <w:r>
        <w:rPr>
          <w:rFonts w:eastAsiaTheme="majorEastAsia" w:cstheme="majorBidi"/>
          <w:bCs/>
        </w:rPr>
        <w:t>transparentnost</w:t>
      </w:r>
      <w:r w:rsidR="0031771E">
        <w:rPr>
          <w:rFonts w:eastAsiaTheme="majorEastAsia" w:cstheme="majorBidi"/>
          <w:bCs/>
        </w:rPr>
        <w:t>i</w:t>
      </w:r>
      <w:r>
        <w:rPr>
          <w:rFonts w:eastAsiaTheme="majorEastAsia" w:cstheme="majorBidi"/>
          <w:bCs/>
        </w:rPr>
        <w:t xml:space="preserve"> jednání státu. I zde se můžeme setkat s překvapivě širokým pojetím FET.</w:t>
      </w:r>
      <w:r w:rsidR="00681827" w:rsidRPr="00681827">
        <w:rPr>
          <w:rStyle w:val="Znakapoznpodarou"/>
          <w:rFonts w:eastAsiaTheme="majorEastAsia" w:cstheme="majorBidi"/>
          <w:bCs/>
        </w:rPr>
        <w:t xml:space="preserve"> </w:t>
      </w:r>
      <w:r>
        <w:rPr>
          <w:rFonts w:eastAsiaTheme="majorEastAsia" w:cstheme="majorBidi"/>
          <w:bCs/>
        </w:rPr>
        <w:t>Velmi přísně z pohledu státu se vyjádřil například tribunál</w:t>
      </w:r>
      <w:r w:rsidR="00246AB4">
        <w:rPr>
          <w:rFonts w:eastAsiaTheme="majorEastAsia" w:cstheme="majorBidi"/>
          <w:bCs/>
        </w:rPr>
        <w:t xml:space="preserve"> ve věci</w:t>
      </w:r>
      <w:r>
        <w:rPr>
          <w:rFonts w:eastAsiaTheme="majorEastAsia" w:cstheme="majorBidi"/>
          <w:bCs/>
        </w:rPr>
        <w:t xml:space="preserve"> </w:t>
      </w:r>
      <w:r w:rsidRPr="00396B9C">
        <w:rPr>
          <w:rFonts w:eastAsiaTheme="majorEastAsia" w:cstheme="majorBidi"/>
          <w:bCs/>
          <w:i/>
        </w:rPr>
        <w:t>Tecmed v. Mexico</w:t>
      </w:r>
      <w:r w:rsidR="00246AB4">
        <w:rPr>
          <w:rFonts w:eastAsiaTheme="majorEastAsia" w:cstheme="majorBidi"/>
          <w:bCs/>
        </w:rPr>
        <w:t>. S</w:t>
      </w:r>
      <w:r>
        <w:rPr>
          <w:rFonts w:eastAsiaTheme="majorEastAsia" w:cstheme="majorBidi"/>
          <w:bCs/>
        </w:rPr>
        <w:t>tát by se podle něj měl chovat konz</w:t>
      </w:r>
      <w:r w:rsidR="00CE4F7C">
        <w:rPr>
          <w:rFonts w:eastAsiaTheme="majorEastAsia" w:cstheme="majorBidi"/>
          <w:bCs/>
        </w:rPr>
        <w:t>istentně, vyvarovat se nejasného a netransparentního</w:t>
      </w:r>
      <w:r>
        <w:rPr>
          <w:rFonts w:eastAsiaTheme="majorEastAsia" w:cstheme="majorBidi"/>
          <w:bCs/>
        </w:rPr>
        <w:t xml:space="preserve"> zacházení</w:t>
      </w:r>
      <w:r w:rsidR="000C339D">
        <w:rPr>
          <w:rFonts w:eastAsiaTheme="majorEastAsia" w:cstheme="majorBidi"/>
          <w:bCs/>
        </w:rPr>
        <w:t xml:space="preserve"> s</w:t>
      </w:r>
      <w:r>
        <w:rPr>
          <w:rFonts w:eastAsiaTheme="majorEastAsia" w:cstheme="majorBidi"/>
          <w:bCs/>
        </w:rPr>
        <w:t> investicí, aby investor předem věděl, jak se budou státní regulace vyvíjet a mohl včas předcházet ztrátám.</w:t>
      </w:r>
      <w:r w:rsidR="004976BB">
        <w:rPr>
          <w:rStyle w:val="Znakapoznpodarou"/>
          <w:rFonts w:eastAsiaTheme="majorEastAsia" w:cstheme="majorBidi"/>
          <w:bCs/>
        </w:rPr>
        <w:footnoteReference w:id="48"/>
      </w:r>
      <w:r w:rsidR="004232F9">
        <w:rPr>
          <w:rFonts w:eastAsiaTheme="majorEastAsia" w:cstheme="majorBidi"/>
          <w:bCs/>
        </w:rPr>
        <w:t xml:space="preserve"> Přes kritiku v odborné </w:t>
      </w:r>
      <w:r w:rsidR="00910152">
        <w:rPr>
          <w:rFonts w:eastAsiaTheme="majorEastAsia" w:cstheme="majorBidi"/>
          <w:bCs/>
        </w:rPr>
        <w:t>literatuře</w:t>
      </w:r>
      <w:r w:rsidR="005E51C7">
        <w:rPr>
          <w:rFonts w:eastAsiaTheme="majorEastAsia" w:cstheme="majorBidi"/>
          <w:bCs/>
        </w:rPr>
        <w:t xml:space="preserve"> bývá tento přístup</w:t>
      </w:r>
      <w:r w:rsidR="00910152">
        <w:rPr>
          <w:rFonts w:eastAsiaTheme="majorEastAsia" w:cstheme="majorBidi"/>
          <w:bCs/>
        </w:rPr>
        <w:t xml:space="preserve"> dále </w:t>
      </w:r>
      <w:r w:rsidR="005E51C7">
        <w:rPr>
          <w:rFonts w:eastAsiaTheme="majorEastAsia" w:cstheme="majorBidi"/>
          <w:bCs/>
        </w:rPr>
        <w:t>citován v dalších nálezech</w:t>
      </w:r>
      <w:r w:rsidR="001C32F0">
        <w:rPr>
          <w:rFonts w:eastAsiaTheme="majorEastAsia" w:cstheme="majorBidi"/>
          <w:bCs/>
        </w:rPr>
        <w:t xml:space="preserve">, lze uvést například </w:t>
      </w:r>
      <w:r w:rsidR="001C32F0">
        <w:rPr>
          <w:rFonts w:eastAsiaTheme="majorEastAsia" w:cstheme="majorBidi"/>
          <w:bCs/>
          <w:i/>
        </w:rPr>
        <w:t>MTD v. Chile</w:t>
      </w:r>
      <w:r w:rsidR="004C6251">
        <w:rPr>
          <w:rStyle w:val="Znakapoznpodarou"/>
          <w:rFonts w:eastAsiaTheme="majorEastAsia" w:cstheme="majorBidi"/>
          <w:bCs/>
          <w:i/>
        </w:rPr>
        <w:footnoteReference w:id="49"/>
      </w:r>
      <w:r w:rsidR="005E51C7">
        <w:rPr>
          <w:rFonts w:eastAsiaTheme="majorEastAsia" w:cstheme="majorBidi"/>
          <w:bCs/>
        </w:rPr>
        <w:t>.</w:t>
      </w:r>
      <w:r w:rsidR="004232F9">
        <w:rPr>
          <w:rFonts w:eastAsiaTheme="majorEastAsia" w:cstheme="majorBidi"/>
          <w:bCs/>
        </w:rPr>
        <w:t xml:space="preserve"> </w:t>
      </w:r>
      <w:r w:rsidR="00251ADD">
        <w:rPr>
          <w:rFonts w:eastAsiaTheme="majorEastAsia" w:cstheme="majorBidi"/>
          <w:bCs/>
        </w:rPr>
        <w:t xml:space="preserve">Dodržení takto přísných měřítek ze strany státu </w:t>
      </w:r>
      <w:r w:rsidR="000A4C75">
        <w:rPr>
          <w:rFonts w:eastAsiaTheme="majorEastAsia" w:cstheme="majorBidi"/>
          <w:bCs/>
        </w:rPr>
        <w:t>by bylo</w:t>
      </w:r>
      <w:r w:rsidR="00A32B69">
        <w:rPr>
          <w:rFonts w:eastAsiaTheme="majorEastAsia" w:cstheme="majorBidi"/>
          <w:bCs/>
        </w:rPr>
        <w:t xml:space="preserve"> nejen</w:t>
      </w:r>
      <w:r w:rsidR="000A4C75">
        <w:rPr>
          <w:rFonts w:eastAsiaTheme="majorEastAsia" w:cstheme="majorBidi"/>
          <w:bCs/>
        </w:rPr>
        <w:t xml:space="preserve"> velmi obtížné</w:t>
      </w:r>
      <w:r w:rsidR="00A32B69">
        <w:rPr>
          <w:rFonts w:eastAsiaTheme="majorEastAsia" w:cstheme="majorBidi"/>
          <w:bCs/>
        </w:rPr>
        <w:t>, ale i těžko pro zákonodárce předvídatelné</w:t>
      </w:r>
      <w:r w:rsidR="000A4C75">
        <w:rPr>
          <w:rFonts w:eastAsiaTheme="majorEastAsia" w:cstheme="majorBidi"/>
          <w:bCs/>
        </w:rPr>
        <w:t>.</w:t>
      </w:r>
    </w:p>
    <w:p w14:paraId="502DE91E" w14:textId="2210393E" w:rsidR="0043722B" w:rsidRPr="00E75944" w:rsidRDefault="00E71F10" w:rsidP="000B0B65">
      <w:pPr>
        <w:pStyle w:val="Nadpis2"/>
      </w:pPr>
      <w:bookmarkStart w:id="18" w:name="_Toc479697279"/>
      <w:r w:rsidRPr="00E75944">
        <w:t>Philip Morris v. Uruguay</w:t>
      </w:r>
      <w:bookmarkEnd w:id="18"/>
    </w:p>
    <w:p w14:paraId="0C54F473" w14:textId="25389D74" w:rsidR="005C6280" w:rsidRPr="00D15CFA" w:rsidRDefault="00A8058B" w:rsidP="006D140A">
      <w:pPr>
        <w:pStyle w:val="Odstavecseseznamem"/>
        <w:spacing w:line="360" w:lineRule="auto"/>
        <w:ind w:left="142" w:firstLine="654"/>
        <w:jc w:val="both"/>
      </w:pPr>
      <w:r w:rsidRPr="00D15CFA">
        <w:t xml:space="preserve">Velkou odbornou i mediální pozornost upoutala snaha společnosti Philip Morris </w:t>
      </w:r>
      <w:r w:rsidR="00593979" w:rsidRPr="00D15CFA">
        <w:t>zabránit v několika státech legislativě upravující grafiku na obalech tabákových výrobků.</w:t>
      </w:r>
      <w:r w:rsidR="002C5C6A">
        <w:t xml:space="preserve"> </w:t>
      </w:r>
      <w:r w:rsidR="00B61B92">
        <w:t>Nároky</w:t>
      </w:r>
      <w:r w:rsidR="002C5C6A">
        <w:t xml:space="preserve"> proti Austrálii rozhodci zamítli </w:t>
      </w:r>
      <w:r w:rsidR="00B61B92">
        <w:t>před zahájením řízení v samotné věci</w:t>
      </w:r>
      <w:r w:rsidR="002C5C6A">
        <w:t xml:space="preserve">. </w:t>
      </w:r>
      <w:r w:rsidR="006E3539">
        <w:t>Tribunál v</w:t>
      </w:r>
      <w:r w:rsidR="002C5C6A">
        <w:t>yhově</w:t>
      </w:r>
      <w:r w:rsidR="00B61B92">
        <w:t xml:space="preserve">l námitkám Austrálie, </w:t>
      </w:r>
      <w:r w:rsidR="002C5C6A">
        <w:t xml:space="preserve">že se Philip Morris dopustila </w:t>
      </w:r>
      <w:r w:rsidR="002C5C6A">
        <w:rPr>
          <w:i/>
        </w:rPr>
        <w:t>treaty shopping</w:t>
      </w:r>
      <w:r w:rsidR="002C5C6A">
        <w:t>, když cíleně těsně před podáním žaloby provedla restrukturalizaci s cílem dostat se pod ochranu BIT mezi Čínou a Austrálií.</w:t>
      </w:r>
      <w:r w:rsidR="00B61B92">
        <w:t xml:space="preserve"> Takový postup, stejně jako zakládání společností jako „prázdných schránek“</w:t>
      </w:r>
      <w:r w:rsidR="00D2773D">
        <w:t>,</w:t>
      </w:r>
      <w:r w:rsidR="00B61B92">
        <w:t xml:space="preserve"> je široce uznáván jako nepřípustný.</w:t>
      </w:r>
      <w:r w:rsidR="00B61B92">
        <w:rPr>
          <w:rStyle w:val="Znakapoznpodarou"/>
        </w:rPr>
        <w:footnoteReference w:id="50"/>
      </w:r>
      <w:r w:rsidR="00593979" w:rsidRPr="00D15CFA">
        <w:t xml:space="preserve"> </w:t>
      </w:r>
      <w:r w:rsidR="002567A4" w:rsidRPr="00D15CFA">
        <w:t>Zatímco</w:t>
      </w:r>
      <w:r w:rsidR="00FE6508" w:rsidRPr="00D15CFA">
        <w:t xml:space="preserve"> spor proti Austrálii</w:t>
      </w:r>
      <w:r w:rsidR="002567A4" w:rsidRPr="00D15CFA">
        <w:t xml:space="preserve"> </w:t>
      </w:r>
      <w:r w:rsidR="0088393F">
        <w:t>byl ukončen v zahajovací fázi bez meritorního rozhodnutí,</w:t>
      </w:r>
      <w:r w:rsidR="006C0FF7" w:rsidRPr="00D15CFA">
        <w:t xml:space="preserve"> v arbitráži proti Uruguayi</w:t>
      </w:r>
      <w:r w:rsidR="00C7697D">
        <w:t xml:space="preserve"> bylo již rozhodnuto </w:t>
      </w:r>
      <w:r w:rsidR="00C7697D" w:rsidRPr="00F23CE2">
        <w:t>a</w:t>
      </w:r>
      <w:r w:rsidR="00C7697D">
        <w:t xml:space="preserve"> její závěry </w:t>
      </w:r>
      <w:r w:rsidR="00A94D53">
        <w:t xml:space="preserve">jsou </w:t>
      </w:r>
      <w:r w:rsidR="00A94D53">
        <w:lastRenderedPageBreak/>
        <w:t>hodnotné pro odhad budoucího vývoje</w:t>
      </w:r>
      <w:r w:rsidR="00D10E86">
        <w:t xml:space="preserve"> arbitrážní praxe</w:t>
      </w:r>
      <w:r w:rsidR="00C7697D">
        <w:t xml:space="preserve"> </w:t>
      </w:r>
      <w:r w:rsidR="00E501EF">
        <w:t>v oblasti změn legislativy po uskutečnění investice.</w:t>
      </w:r>
    </w:p>
    <w:p w14:paraId="32329D5F" w14:textId="5914B286" w:rsidR="0067112E" w:rsidRPr="0067112E" w:rsidRDefault="006C0FF7" w:rsidP="0067112E">
      <w:pPr>
        <w:pStyle w:val="Odstavecseseznamem"/>
        <w:spacing w:line="360" w:lineRule="auto"/>
        <w:ind w:left="142" w:firstLine="654"/>
        <w:jc w:val="both"/>
      </w:pPr>
      <w:r w:rsidRPr="0067112E">
        <w:t xml:space="preserve"> </w:t>
      </w:r>
      <w:r w:rsidR="0067112E" w:rsidRPr="0067112E">
        <w:t>Politika v oblasti tabákových výrobků je v Uruguayi ovlivněna z velké části členstvím ve WHO a schválením Rámcové dohody o kontrole tabáku (FCTC)</w:t>
      </w:r>
      <w:r w:rsidR="0067112E" w:rsidRPr="0067112E">
        <w:rPr>
          <w:rStyle w:val="Znakapoznpodarou"/>
        </w:rPr>
        <w:t xml:space="preserve"> </w:t>
      </w:r>
      <w:r w:rsidR="0067112E" w:rsidRPr="0067112E">
        <w:rPr>
          <w:rStyle w:val="Znakapoznpodarou"/>
        </w:rPr>
        <w:footnoteReference w:id="51"/>
      </w:r>
      <w:r w:rsidR="0067112E" w:rsidRPr="0067112E">
        <w:t>, kterou ratifikovala jako první z jihoamerických zemí.</w:t>
      </w:r>
      <w:r w:rsidR="0067112E" w:rsidRPr="0067112E">
        <w:rPr>
          <w:rStyle w:val="Znakapoznpodarou"/>
        </w:rPr>
        <w:footnoteReference w:id="52"/>
      </w:r>
      <w:r w:rsidR="0067112E" w:rsidRPr="0067112E">
        <w:t xml:space="preserve"> Dohoda samotná stanovuje minimální standardy při implementaci jejího obsahu a stanoví, že by státy neměly být omezeny v </w:t>
      </w:r>
      <w:r w:rsidR="0067112E" w:rsidRPr="00BA2F7D">
        <w:t>přijímání přísnější</w:t>
      </w:r>
      <w:r w:rsidR="00BA2F7D" w:rsidRPr="00BA2F7D">
        <w:t>ch</w:t>
      </w:r>
      <w:r w:rsidR="0067112E" w:rsidRPr="0067112E">
        <w:t xml:space="preserve"> opatření. Mezi principy, kt</w:t>
      </w:r>
      <w:r w:rsidR="000A79E7">
        <w:t>eré dohodu tvoří, uvádí</w:t>
      </w:r>
      <w:r w:rsidR="0067112E" w:rsidRPr="0067112E">
        <w:t xml:space="preserve"> především, že </w:t>
      </w:r>
      <w:r w:rsidR="0067112E" w:rsidRPr="0067112E">
        <w:rPr>
          <w:i/>
        </w:rPr>
        <w:t>„každá osoba by měla být informována o zdravotních následcích kouření, možnosti vzniku závislosti na cigaretách, smrtelného nebezpečí hrozícího i z důvodu pasivního kouření.“</w:t>
      </w:r>
      <w:r w:rsidR="0067112E" w:rsidRPr="0067112E">
        <w:rPr>
          <w:rStyle w:val="Znakapoznpodarou"/>
          <w:i/>
        </w:rPr>
        <w:footnoteReference w:id="53"/>
      </w:r>
      <w:r w:rsidR="0067112E" w:rsidRPr="0067112E">
        <w:t xml:space="preserve"> Dále je tento princip konkretizován tak, že se státy zavazují přijmout legislativu zajišťující, aby balení tabákových výrobků nevyzývalo k jejich koupi, nepodávalo mylné nebo zavádějící informace o jejich účincích nebo aby nevyvolávalo zdání, že některý výrobek je méně škodlivý než jiný, například používáním označení jako „light“, „mild“ nebo „low tar“. Následná regulace ze strany státu Uruguay tento závazek převzala téměř doslovně, v některých opatřeních i přísněji.</w:t>
      </w:r>
    </w:p>
    <w:p w14:paraId="5ACC04D3" w14:textId="77777777" w:rsidR="006668BB" w:rsidRPr="006668BB" w:rsidRDefault="006668BB" w:rsidP="006668BB">
      <w:pPr>
        <w:pStyle w:val="Odstavecseseznamem"/>
        <w:spacing w:line="360" w:lineRule="auto"/>
        <w:ind w:left="142" w:firstLine="654"/>
        <w:jc w:val="both"/>
      </w:pPr>
      <w:r w:rsidRPr="006668BB">
        <w:t xml:space="preserve">V letech 2009 a 2010 přijala vláda státu Uruguay formou zákona několik opatření v oblasti zacházení s tabákovými výrobky a omezování kouření v rámci uskutečňování politiky ochrany veřejného zdraví. Ze všech postupně přijatých opatření </w:t>
      </w:r>
      <w:r w:rsidRPr="00BA2F7D">
        <w:t>Uruguayskou</w:t>
      </w:r>
      <w:r w:rsidRPr="006668BB">
        <w:t xml:space="preserve"> vládou byla tato později napadená investorem</w:t>
      </w:r>
      <w:r w:rsidRPr="006668BB">
        <w:rPr>
          <w:rStyle w:val="Znakapoznpodarou"/>
        </w:rPr>
        <w:footnoteReference w:id="54"/>
      </w:r>
      <w:r w:rsidRPr="006668BB">
        <w:t xml:space="preserve">: </w:t>
      </w:r>
    </w:p>
    <w:p w14:paraId="5FE1FF26" w14:textId="77777777" w:rsidR="006668BB" w:rsidRPr="006668BB" w:rsidRDefault="006668BB" w:rsidP="00675987">
      <w:pPr>
        <w:pStyle w:val="Odstavecseseznamem"/>
        <w:numPr>
          <w:ilvl w:val="0"/>
          <w:numId w:val="1"/>
        </w:numPr>
        <w:spacing w:line="360" w:lineRule="auto"/>
        <w:ind w:left="1560" w:hanging="426"/>
        <w:jc w:val="both"/>
      </w:pPr>
      <w:r w:rsidRPr="006668BB">
        <w:t>Zvětšení prostoru pro varování o škodlivosti cigaret na krabičce nejdříve na 50%, později až na 80% („80/80 Regulation“)</w:t>
      </w:r>
      <w:r w:rsidR="000D5AC1">
        <w:rPr>
          <w:rStyle w:val="Znakapoznpodarou"/>
        </w:rPr>
        <w:footnoteReference w:id="55"/>
      </w:r>
    </w:p>
    <w:p w14:paraId="3F6D4CB3" w14:textId="3C90B2E5" w:rsidR="00E82D7D" w:rsidRDefault="006668BB" w:rsidP="00675987">
      <w:pPr>
        <w:pStyle w:val="Odstavecseseznamem"/>
        <w:numPr>
          <w:ilvl w:val="0"/>
          <w:numId w:val="1"/>
        </w:numPr>
        <w:spacing w:after="0" w:line="360" w:lineRule="auto"/>
        <w:ind w:left="1560" w:hanging="426"/>
        <w:jc w:val="both"/>
      </w:pPr>
      <w:r w:rsidRPr="006668BB">
        <w:t>Omezení nabídky cigaret jedné značky na maximálně jeden produkt (Single Presentation Regulation – „SPR“), ostatní produkty byly tabákové firmy nuceny stáhnout z trhu</w:t>
      </w:r>
    </w:p>
    <w:p w14:paraId="0ED85524" w14:textId="20FCFD03" w:rsidR="00E2684F" w:rsidRPr="00AD50BF" w:rsidRDefault="00E2684F" w:rsidP="00AD50BF">
      <w:pPr>
        <w:pStyle w:val="Odstavecseseznamem"/>
        <w:spacing w:line="360" w:lineRule="auto"/>
        <w:ind w:left="142" w:firstLine="654"/>
        <w:jc w:val="both"/>
      </w:pPr>
      <w:r w:rsidRPr="00AD50BF">
        <w:lastRenderedPageBreak/>
        <w:t>Arbitráž byla</w:t>
      </w:r>
      <w:r w:rsidR="00E1174B">
        <w:t xml:space="preserve"> po neúspěchu u obecných soudů</w:t>
      </w:r>
      <w:r w:rsidRPr="00AD50BF">
        <w:t xml:space="preserve"> zahájena podle BIT mezi Uruguayí a Švýcarskem u rozhodčího tribunálu ICSID v roce 2010.  </w:t>
      </w:r>
      <w:r w:rsidR="00E102BC" w:rsidRPr="004D428B">
        <w:t>Kromě porušení</w:t>
      </w:r>
      <w:r w:rsidRPr="004D428B">
        <w:t xml:space="preserve"> zákazu diskriminačního </w:t>
      </w:r>
      <w:r w:rsidR="008C3CD7" w:rsidRPr="004D428B">
        <w:t>a svévolného omezení investice</w:t>
      </w:r>
      <w:r w:rsidRPr="004D428B">
        <w:t>, zákazu vyvlastnění, povinnosti dozoru nad dodržováním práv investora a odepření spravedlnosti</w:t>
      </w:r>
      <w:r w:rsidR="008C3CD7" w:rsidRPr="004D428B">
        <w:t xml:space="preserve"> namítal žalobce porušení doložky spravedlivého a rovnoprávného zacházení</w:t>
      </w:r>
      <w:r w:rsidRPr="00BA2F7D">
        <w:t>.</w:t>
      </w:r>
      <w:r w:rsidRPr="00BA2F7D">
        <w:rPr>
          <w:vertAlign w:val="superscript"/>
        </w:rPr>
        <w:footnoteReference w:id="56"/>
      </w:r>
      <w:r w:rsidRPr="00AD50BF">
        <w:t xml:space="preserve"> </w:t>
      </w:r>
    </w:p>
    <w:p w14:paraId="1C47076B" w14:textId="77777777" w:rsidR="008551E3" w:rsidRDefault="00823436" w:rsidP="00AD50BF">
      <w:pPr>
        <w:pStyle w:val="Odstavecseseznamem"/>
        <w:spacing w:line="360" w:lineRule="auto"/>
        <w:ind w:left="142" w:firstLine="654"/>
        <w:jc w:val="both"/>
      </w:pPr>
      <w:r>
        <w:t>Investor porušení FET shledává v tom, že:</w:t>
      </w:r>
    </w:p>
    <w:p w14:paraId="6BF45655" w14:textId="51A93D1D" w:rsidR="00823436" w:rsidRDefault="00823436" w:rsidP="006340F5">
      <w:pPr>
        <w:pStyle w:val="Odstavecseseznamem"/>
        <w:numPr>
          <w:ilvl w:val="0"/>
          <w:numId w:val="4"/>
        </w:numPr>
        <w:spacing w:line="360" w:lineRule="auto"/>
        <w:ind w:left="1560" w:hanging="426"/>
        <w:jc w:val="both"/>
      </w:pPr>
      <w:r>
        <w:t xml:space="preserve">opatření </w:t>
      </w:r>
      <w:r w:rsidR="00963268">
        <w:t>státu neslouží veřejnému zájmu, přičemž zároveň značně</w:t>
      </w:r>
      <w:r w:rsidR="00222C68">
        <w:t xml:space="preserve"> a bezdůvodně</w:t>
      </w:r>
      <w:r w:rsidR="00963268">
        <w:t xml:space="preserve"> poškozují investici</w:t>
      </w:r>
    </w:p>
    <w:p w14:paraId="17A0D924" w14:textId="77777777" w:rsidR="00963268" w:rsidRDefault="005D7B46" w:rsidP="006340F5">
      <w:pPr>
        <w:pStyle w:val="Odstavecseseznamem"/>
        <w:numPr>
          <w:ilvl w:val="0"/>
          <w:numId w:val="4"/>
        </w:numPr>
        <w:spacing w:line="360" w:lineRule="auto"/>
        <w:ind w:left="1560" w:hanging="426"/>
        <w:jc w:val="both"/>
      </w:pPr>
      <w:r>
        <w:t>opatření maří legitimní očekávání investora</w:t>
      </w:r>
      <w:r w:rsidR="00987BAA">
        <w:t xml:space="preserve"> ve smyslu očekávaných výnosů</w:t>
      </w:r>
      <w:r>
        <w:t>, včetně</w:t>
      </w:r>
      <w:r w:rsidR="00987BAA">
        <w:t xml:space="preserve"> </w:t>
      </w:r>
      <w:r w:rsidR="00D4005B">
        <w:t>očekávání použití ochranných známek</w:t>
      </w:r>
    </w:p>
    <w:p w14:paraId="10B7010A" w14:textId="5433C5B0" w:rsidR="00D4005B" w:rsidRDefault="00D4005B" w:rsidP="006340F5">
      <w:pPr>
        <w:pStyle w:val="Odstavecseseznamem"/>
        <w:numPr>
          <w:ilvl w:val="0"/>
          <w:numId w:val="4"/>
        </w:numPr>
        <w:spacing w:line="360" w:lineRule="auto"/>
        <w:ind w:left="1560" w:hanging="426"/>
        <w:jc w:val="both"/>
      </w:pPr>
      <w:r>
        <w:t xml:space="preserve">opatření poškozuje právní jistotu, ke které se Uruguay zavázala v BIT a na základě které Philip Morris </w:t>
      </w:r>
      <w:r w:rsidR="00D553E5">
        <w:t>rozvíjel svou značku („brand assets“)</w:t>
      </w:r>
      <w:r w:rsidR="00D5165B">
        <w:rPr>
          <w:rStyle w:val="Znakapoznpodarou"/>
        </w:rPr>
        <w:footnoteReference w:id="57"/>
      </w:r>
    </w:p>
    <w:p w14:paraId="652903D7" w14:textId="0EDF38D5" w:rsidR="00F261B0" w:rsidRDefault="00700B9D" w:rsidP="00C93F85">
      <w:pPr>
        <w:pStyle w:val="Odstavecseseznamem"/>
        <w:spacing w:line="360" w:lineRule="auto"/>
        <w:ind w:left="142" w:firstLine="567"/>
        <w:jc w:val="both"/>
      </w:pPr>
      <w:r>
        <w:t>Názor žalobce a státu se rozchází už při definici standardu, který má</w:t>
      </w:r>
      <w:r w:rsidR="007E6C3F">
        <w:t xml:space="preserve"> doložka FET v</w:t>
      </w:r>
      <w:r>
        <w:t xml:space="preserve"> BIT zaručovat. </w:t>
      </w:r>
      <w:r w:rsidR="00C1220A">
        <w:t>Podle investora poskytuje smlouva</w:t>
      </w:r>
      <w:r w:rsidR="005213E8">
        <w:t xml:space="preserve"> samostatnou, zvláštní ochranu</w:t>
      </w:r>
      <w:r w:rsidR="00320708">
        <w:t>, zatímco stát trval</w:t>
      </w:r>
      <w:r w:rsidR="005213E8">
        <w:t xml:space="preserve"> na tom, že </w:t>
      </w:r>
      <w:r w:rsidR="00320708">
        <w:t xml:space="preserve">se jedná o </w:t>
      </w:r>
      <w:r w:rsidR="00CD556D">
        <w:t xml:space="preserve">odkaz na minimální standard ochrany zaručený </w:t>
      </w:r>
      <w:r w:rsidR="00341FA5">
        <w:t>cizincům obyčejovým mezinárodním právem.</w:t>
      </w:r>
      <w:r w:rsidR="0037553F">
        <w:rPr>
          <w:rStyle w:val="Znakapoznpodarou"/>
        </w:rPr>
        <w:footnoteReference w:id="58"/>
      </w:r>
      <w:r w:rsidR="00554299">
        <w:t xml:space="preserve"> Tribunál se přiklonil na stranu investora, když vyslovil, že ačkoli dosud nebyly stanoveny přesné hranice standardu FET, </w:t>
      </w:r>
      <w:r w:rsidR="00BF05B0">
        <w:t xml:space="preserve">bezpochyby se jedná </w:t>
      </w:r>
      <w:r w:rsidR="00E716A4">
        <w:t>o samostatnou ochranu, která prodělala značný vývoj a jež nemůže být ztotožňována s minimálním standardem zacházení.</w:t>
      </w:r>
      <w:r w:rsidR="006C53C9" w:rsidRPr="006C53C9">
        <w:rPr>
          <w:rStyle w:val="Znakapoznpodarou"/>
        </w:rPr>
        <w:t xml:space="preserve"> </w:t>
      </w:r>
      <w:r w:rsidR="00F261B0">
        <w:t>Jedná se tedy o závěr opačný oproti závaznému výkladu</w:t>
      </w:r>
      <w:r w:rsidR="007D3731">
        <w:t xml:space="preserve"> článku 1105 NAFTA</w:t>
      </w:r>
      <w:r w:rsidR="001D4079">
        <w:t>, který právě FET chápe</w:t>
      </w:r>
      <w:r w:rsidR="00F261B0">
        <w:t xml:space="preserve"> pouze v rozsahu, v jakém je stát vázán obyčejovým mezinárodním právem.</w:t>
      </w:r>
      <w:r w:rsidR="00F457FA">
        <w:t xml:space="preserve"> </w:t>
      </w:r>
      <w:r w:rsidR="009D19D2">
        <w:t>Tribunál ale zohlednil právě neexistující odkaz na minimální standard a zdůraznil, že odlišnou formulaci doložky by posuzoval odpovídajícím způsobem.</w:t>
      </w:r>
      <w:r w:rsidR="009D19D2">
        <w:rPr>
          <w:rStyle w:val="Znakapoznpodarou"/>
        </w:rPr>
        <w:footnoteReference w:id="59"/>
      </w:r>
      <w:r w:rsidR="009D19D2">
        <w:t xml:space="preserve"> </w:t>
      </w:r>
      <w:r w:rsidR="00F457FA">
        <w:t>Těmto odlišnostem a</w:t>
      </w:r>
      <w:r w:rsidR="00F261B0">
        <w:t xml:space="preserve"> </w:t>
      </w:r>
      <w:r w:rsidR="00F457FA">
        <w:t>p</w:t>
      </w:r>
      <w:r w:rsidR="00BA6DA3">
        <w:t xml:space="preserve">romítnutí výkladu NAFTA do modelových BIT se podrobněji věnuje </w:t>
      </w:r>
      <w:r w:rsidR="00BA6DA3" w:rsidRPr="00A679D7">
        <w:t xml:space="preserve">kapitola </w:t>
      </w:r>
      <w:r w:rsidR="00AE1582" w:rsidRPr="00A679D7">
        <w:t>5.</w:t>
      </w:r>
      <w:r w:rsidR="004A3F10">
        <w:t xml:space="preserve"> </w:t>
      </w:r>
    </w:p>
    <w:p w14:paraId="57AF90A2" w14:textId="39FF0248" w:rsidR="00E069EF" w:rsidRDefault="007C1749" w:rsidP="00C93F85">
      <w:pPr>
        <w:pStyle w:val="Odstavecseseznamem"/>
        <w:spacing w:line="360" w:lineRule="auto"/>
        <w:ind w:left="142" w:firstLine="567"/>
        <w:jc w:val="both"/>
      </w:pPr>
      <w:r>
        <w:t xml:space="preserve">Protože zde nebyla žádná výslovná záruka neměnit podmínky, za kterých byla investice učiněna, spor mohl být vyvolán pouze o očekávání vyplývající ze změn obecné legislativy. </w:t>
      </w:r>
      <w:r w:rsidR="00F52C6E">
        <w:lastRenderedPageBreak/>
        <w:t>Legitimní očekávání podle investora vyplývají</w:t>
      </w:r>
      <w:r w:rsidR="00902C35">
        <w:t xml:space="preserve"> především</w:t>
      </w:r>
      <w:r w:rsidR="00F52C6E">
        <w:t xml:space="preserve"> z toho, že </w:t>
      </w:r>
      <w:r w:rsidR="00866FC8">
        <w:t>duševní vlastnictví žal</w:t>
      </w:r>
      <w:r w:rsidR="0083177B">
        <w:t>obce, včetně ochranných známek, je chráněno vnitrostátním právem Uruguaye</w:t>
      </w:r>
      <w:r w:rsidR="00E069A7">
        <w:t xml:space="preserve"> a žalobce má </w:t>
      </w:r>
      <w:r w:rsidR="00F3038A">
        <w:t>nárok</w:t>
      </w:r>
      <w:r w:rsidR="00E069A7">
        <w:t xml:space="preserve"> k použití těchto práv. </w:t>
      </w:r>
      <w:r w:rsidR="008511A0">
        <w:t xml:space="preserve">Tohoto práva po několik desítek let bez zásahu státu </w:t>
      </w:r>
      <w:r w:rsidR="00F3038A">
        <w:t>využíval,</w:t>
      </w:r>
      <w:r w:rsidR="0083177B">
        <w:t xml:space="preserve"> </w:t>
      </w:r>
      <w:r w:rsidR="001D3870">
        <w:t xml:space="preserve">během této doby se také zásadně zvýšila hodnota práv. </w:t>
      </w:r>
      <w:r w:rsidR="00F3038A">
        <w:t xml:space="preserve">Navíc byla výroba a distribuce tabákových výrobků vždy v Uruguayi legální a stát sám v minulosti </w:t>
      </w:r>
      <w:r w:rsidR="00FF67C1">
        <w:t>pobízel investora k aktivitě ve výrobě a marketingu.</w:t>
      </w:r>
      <w:r w:rsidR="00A4062E">
        <w:rPr>
          <w:rStyle w:val="Znakapoznpodarou"/>
        </w:rPr>
        <w:footnoteReference w:id="60"/>
      </w:r>
      <w:r w:rsidR="009A5EDE">
        <w:t xml:space="preserve"> </w:t>
      </w:r>
      <w:r w:rsidR="004713CD">
        <w:t xml:space="preserve">Podle žalobce </w:t>
      </w:r>
      <w:r w:rsidR="00434443">
        <w:t>tedy</w:t>
      </w:r>
      <w:r w:rsidR="00B6120A">
        <w:t xml:space="preserve"> je</w:t>
      </w:r>
      <w:r w:rsidR="00434443">
        <w:t xml:space="preserve"> podle FET, resp. legitimního očekávání, </w:t>
      </w:r>
      <w:r w:rsidR="00071F9F">
        <w:t xml:space="preserve">stejně jako v případu </w:t>
      </w:r>
      <w:r w:rsidR="00071F9F" w:rsidRPr="00C93F85">
        <w:rPr>
          <w:i/>
        </w:rPr>
        <w:t>Occidental v. Ecuador</w:t>
      </w:r>
      <w:r w:rsidR="00BD3C0A" w:rsidRPr="00C93F85">
        <w:rPr>
          <w:i/>
        </w:rPr>
        <w:t xml:space="preserve">, </w:t>
      </w:r>
      <w:r w:rsidR="00B6120A">
        <w:t>zaručen „</w:t>
      </w:r>
      <w:r w:rsidR="00B6120A" w:rsidRPr="00C93F85">
        <w:rPr>
          <w:i/>
        </w:rPr>
        <w:t>stabilní a předvídatelný“</w:t>
      </w:r>
      <w:r w:rsidR="00B6120A">
        <w:t xml:space="preserve"> právní </w:t>
      </w:r>
      <w:r w:rsidR="002E4849">
        <w:t>řád</w:t>
      </w:r>
      <w:r w:rsidR="00C93F85">
        <w:t>, v němž omezení podnikání regulativního charakteru nejsou „</w:t>
      </w:r>
      <w:r w:rsidR="0070175D" w:rsidRPr="00A4062E">
        <w:rPr>
          <w:i/>
        </w:rPr>
        <w:t xml:space="preserve">měněna nad přiměřenou </w:t>
      </w:r>
      <w:r w:rsidR="005A58C5" w:rsidRPr="00A4062E">
        <w:rPr>
          <w:i/>
        </w:rPr>
        <w:t>míru</w:t>
      </w:r>
      <w:r w:rsidR="005A58C5">
        <w:t>“.</w:t>
      </w:r>
      <w:r w:rsidR="0070175D">
        <w:rPr>
          <w:rStyle w:val="Znakapoznpodarou"/>
          <w:i/>
        </w:rPr>
        <w:footnoteReference w:id="61"/>
      </w:r>
    </w:p>
    <w:p w14:paraId="054C72F1" w14:textId="2F9EC266" w:rsidR="00F9796C" w:rsidRDefault="00E069EF" w:rsidP="00C93F85">
      <w:pPr>
        <w:pStyle w:val="Odstavecseseznamem"/>
        <w:spacing w:line="360" w:lineRule="auto"/>
        <w:ind w:left="142" w:firstLine="567"/>
        <w:jc w:val="both"/>
      </w:pPr>
      <w:r w:rsidRPr="008D25D8">
        <w:t xml:space="preserve">Stát se při definici oprávněných očekávání odkazuje na </w:t>
      </w:r>
      <w:r w:rsidR="00567BD3" w:rsidRPr="008D25D8">
        <w:t xml:space="preserve">argumentaci tribunálu ve věci </w:t>
      </w:r>
      <w:r w:rsidR="00567BD3" w:rsidRPr="008D25D8">
        <w:rPr>
          <w:i/>
        </w:rPr>
        <w:t>El Paso v. Argentina:</w:t>
      </w:r>
      <w:r w:rsidR="00567BD3">
        <w:rPr>
          <w:i/>
        </w:rPr>
        <w:t xml:space="preserve"> </w:t>
      </w:r>
      <w:r w:rsidR="005E1412">
        <w:rPr>
          <w:i/>
        </w:rPr>
        <w:t>„Od ochrany podle klau</w:t>
      </w:r>
      <w:r w:rsidR="007D3448">
        <w:rPr>
          <w:i/>
        </w:rPr>
        <w:t xml:space="preserve">zule FET může investor očekávat, že legislativa nebude měněna </w:t>
      </w:r>
      <w:r w:rsidR="005A1B55">
        <w:rPr>
          <w:i/>
        </w:rPr>
        <w:t xml:space="preserve">bez ekonomického, sociálního nebo jiného opodstatnění. </w:t>
      </w:r>
      <w:r w:rsidR="00036A3C">
        <w:rPr>
          <w:i/>
        </w:rPr>
        <w:t>Naopak je nemyslitelné, aby zde existoval obecný závazek státu vůči všem investorům, neměnit s</w:t>
      </w:r>
      <w:r w:rsidR="00E30D37">
        <w:rPr>
          <w:i/>
        </w:rPr>
        <w:t>vůj p</w:t>
      </w:r>
      <w:r w:rsidR="00981B17">
        <w:rPr>
          <w:i/>
        </w:rPr>
        <w:t>rávní řád za žádných okolností. Nebylo by tedy od investora rozumné se na takové neexistující záruku spolehnout.“</w:t>
      </w:r>
      <w:r w:rsidR="00644F73">
        <w:rPr>
          <w:rStyle w:val="Znakapoznpodarou"/>
          <w:i/>
        </w:rPr>
        <w:footnoteReference w:id="62"/>
      </w:r>
      <w:r w:rsidR="00644F73">
        <w:rPr>
          <w:i/>
        </w:rPr>
        <w:t xml:space="preserve"> </w:t>
      </w:r>
      <w:r w:rsidR="00CC5329">
        <w:t xml:space="preserve">Navíc poukazuje na </w:t>
      </w:r>
      <w:r w:rsidR="00644ED2">
        <w:t>skutečnost, že podnikání v oblasti tabákových výrobků tradičně a celo</w:t>
      </w:r>
      <w:r w:rsidR="00A00EB6">
        <w:t>světově podléhá přísné regulaci a</w:t>
      </w:r>
      <w:r w:rsidR="00644ED2">
        <w:t xml:space="preserve"> lze tedy očekávat </w:t>
      </w:r>
      <w:r w:rsidR="00A00EB6">
        <w:t xml:space="preserve">také </w:t>
      </w:r>
      <w:r w:rsidR="00284E8C">
        <w:t>vyšší regulatorní</w:t>
      </w:r>
      <w:r w:rsidR="00A00EB6">
        <w:t xml:space="preserve"> aktivitu ze strany státu.</w:t>
      </w:r>
      <w:r w:rsidR="00230D70">
        <w:rPr>
          <w:rStyle w:val="Znakapoznpodarou"/>
        </w:rPr>
        <w:footnoteReference w:id="63"/>
      </w:r>
    </w:p>
    <w:p w14:paraId="37F9693B" w14:textId="09856335" w:rsidR="00A27AC9" w:rsidRDefault="0042735C" w:rsidP="00C93F85">
      <w:pPr>
        <w:pStyle w:val="Odstavecseseznamem"/>
        <w:spacing w:line="360" w:lineRule="auto"/>
        <w:ind w:left="142" w:firstLine="567"/>
        <w:jc w:val="both"/>
      </w:pPr>
      <w:r>
        <w:t xml:space="preserve">Co se týká legislativních změn obecně, </w:t>
      </w:r>
      <w:r w:rsidR="00B35EB2">
        <w:t xml:space="preserve">podle očekávání rozhodci </w:t>
      </w:r>
      <w:r w:rsidR="002B0C9C">
        <w:t xml:space="preserve">konstatovali, že </w:t>
      </w:r>
      <w:r w:rsidR="00822616">
        <w:t>je třeba ctít právo státu na regulaci</w:t>
      </w:r>
      <w:r w:rsidR="005F4E2B">
        <w:t xml:space="preserve"> (police power)</w:t>
      </w:r>
      <w:r w:rsidR="00822616">
        <w:t xml:space="preserve"> v oblasti veřejného zdraví</w:t>
      </w:r>
      <w:r w:rsidR="009A3150">
        <w:t>, jako hlavní kritéria zmiňuje dobrou víru státu a racionalitu</w:t>
      </w:r>
      <w:r w:rsidR="00822616">
        <w:t>.</w:t>
      </w:r>
      <w:r w:rsidR="00156FB8">
        <w:t xml:space="preserve"> Vyslovil</w:t>
      </w:r>
      <w:r w:rsidR="00822616">
        <w:t xml:space="preserve"> </w:t>
      </w:r>
      <w:r w:rsidR="00156FB8">
        <w:t>s</w:t>
      </w:r>
      <w:r w:rsidR="00437623">
        <w:t xml:space="preserve">tejně jako tribunál ve věci </w:t>
      </w:r>
      <w:r w:rsidR="000A1C74" w:rsidRPr="000A1C74">
        <w:rPr>
          <w:i/>
        </w:rPr>
        <w:t>Electrabel v. Hungary</w:t>
      </w:r>
      <w:r w:rsidR="005F33FD">
        <w:t>,</w:t>
      </w:r>
      <w:r w:rsidR="00156FB8">
        <w:t xml:space="preserve"> že</w:t>
      </w:r>
      <w:r w:rsidR="000A1C74">
        <w:t xml:space="preserve"> i zde</w:t>
      </w:r>
      <w:r w:rsidR="005F33FD">
        <w:t xml:space="preserve"> se</w:t>
      </w:r>
      <w:r w:rsidR="000A1C74">
        <w:t xml:space="preserve"> </w:t>
      </w:r>
      <w:r w:rsidR="008023D5">
        <w:t>má posuzovat jedině případný nedostatek odůvodněnosti</w:t>
      </w:r>
      <w:r w:rsidR="000E3B69">
        <w:t xml:space="preserve"> a rozumnosti</w:t>
      </w:r>
      <w:r w:rsidR="008023D5">
        <w:t xml:space="preserve"> opatření</w:t>
      </w:r>
      <w:r w:rsidR="00BA1F97">
        <w:t>, který jediný může dokázat odpovědnost státu</w:t>
      </w:r>
      <w:r w:rsidR="008023D5">
        <w:t>.</w:t>
      </w:r>
      <w:r w:rsidR="008023D5">
        <w:rPr>
          <w:rStyle w:val="Znakapoznpodarou"/>
        </w:rPr>
        <w:footnoteReference w:id="64"/>
      </w:r>
    </w:p>
    <w:p w14:paraId="4670E4FA" w14:textId="2496F4CF" w:rsidR="00320CB9" w:rsidRDefault="00A27AC9" w:rsidP="00C93F85">
      <w:pPr>
        <w:pStyle w:val="Odstavecseseznamem"/>
        <w:spacing w:line="360" w:lineRule="auto"/>
        <w:ind w:left="142" w:firstLine="567"/>
        <w:jc w:val="both"/>
      </w:pPr>
      <w:r>
        <w:lastRenderedPageBreak/>
        <w:t>Opatření SPR</w:t>
      </w:r>
      <w:r w:rsidR="00BA0CEF">
        <w:t xml:space="preserve"> </w:t>
      </w:r>
      <w:r w:rsidR="00584E23">
        <w:t>není přímo zmíněno v</w:t>
      </w:r>
      <w:r w:rsidR="001C761A">
        <w:t> FCTC a je přísnější, než jaké zavedly ostatní smluvní státy</w:t>
      </w:r>
      <w:r w:rsidR="00A81CC9">
        <w:t xml:space="preserve"> této dohody</w:t>
      </w:r>
      <w:r w:rsidR="001D1DA9">
        <w:t xml:space="preserve">, </w:t>
      </w:r>
      <w:r w:rsidR="008B5CA8">
        <w:t>Uruguay byl první stát, který jej zavedl</w:t>
      </w:r>
      <w:r w:rsidR="001C761A">
        <w:t>.</w:t>
      </w:r>
      <w:r w:rsidR="006871AF">
        <w:rPr>
          <w:rStyle w:val="Znakapoznpodarou"/>
        </w:rPr>
        <w:footnoteReference w:id="65"/>
      </w:r>
      <w:r w:rsidR="001C761A">
        <w:t xml:space="preserve"> </w:t>
      </w:r>
      <w:r w:rsidR="00595246">
        <w:t>Má</w:t>
      </w:r>
      <w:r w:rsidR="0019318B">
        <w:t xml:space="preserve"> za cíl</w:t>
      </w:r>
      <w:r w:rsidR="00595246">
        <w:t xml:space="preserve"> zabránit zavádějícím označení</w:t>
      </w:r>
      <w:r w:rsidR="009F67F3">
        <w:t>m na obalech tabákových výrobků</w:t>
      </w:r>
      <w:r w:rsidR="0019318B">
        <w:t>, které jsou pro spotřebitele klamavé</w:t>
      </w:r>
      <w:r w:rsidR="009F67F3">
        <w:t xml:space="preserve">, </w:t>
      </w:r>
      <w:r w:rsidR="0019318B">
        <w:t>proto</w:t>
      </w:r>
      <w:r w:rsidR="009F67F3">
        <w:t xml:space="preserve">že cigarety s označením „mild“ nebo „low tar“ </w:t>
      </w:r>
      <w:r w:rsidR="00536D4F">
        <w:t>ne</w:t>
      </w:r>
      <w:r w:rsidR="009F67F3">
        <w:t>jsou méně škodlivé</w:t>
      </w:r>
      <w:r w:rsidR="00417552">
        <w:t>, nakonec i sám žalobce tento fakt</w:t>
      </w:r>
      <w:r w:rsidR="0019318B">
        <w:t xml:space="preserve"> př</w:t>
      </w:r>
      <w:r w:rsidR="00DB2740">
        <w:t xml:space="preserve">ipustil. </w:t>
      </w:r>
      <w:r w:rsidR="0019318B">
        <w:t xml:space="preserve">Podle investora není SPR přiměřené a rozumné, protože není pozitivní </w:t>
      </w:r>
      <w:r w:rsidR="002030AB">
        <w:t>vliv</w:t>
      </w:r>
      <w:r w:rsidR="0019318B">
        <w:t xml:space="preserve"> pro zdraví obyvatel státem</w:t>
      </w:r>
      <w:r w:rsidR="002030AB">
        <w:t xml:space="preserve"> prokázán.</w:t>
      </w:r>
      <w:r w:rsidR="00D9175E">
        <w:t xml:space="preserve"> </w:t>
      </w:r>
      <w:r w:rsidR="00DB2740">
        <w:t>Tribunál ale v nálezu výslovně zmínil, že tato otázka není pro rozhodnutí ve věci podstatná. Podle něj je</w:t>
      </w:r>
      <w:r w:rsidR="009E744D">
        <w:t xml:space="preserve"> dokázat efektivitu tohoto opatření v praxi těžko proveditelné. </w:t>
      </w:r>
      <w:r w:rsidR="008002CE">
        <w:t>Nepovažoval však</w:t>
      </w:r>
      <w:r w:rsidR="002954E9">
        <w:t xml:space="preserve"> za důležité, aby</w:t>
      </w:r>
      <w:r w:rsidR="008002CE">
        <w:t xml:space="preserve"> stát prokázal,</w:t>
      </w:r>
      <w:r w:rsidR="00205C9A">
        <w:t xml:space="preserve"> že</w:t>
      </w:r>
      <w:r w:rsidR="0007266C">
        <w:t xml:space="preserve"> opatření</w:t>
      </w:r>
      <w:r w:rsidR="002954E9">
        <w:t xml:space="preserve"> přineslo zamýšlený efekt, za dostačující </w:t>
      </w:r>
      <w:r w:rsidR="006F12A0">
        <w:t>považoval jeho přiměřenost a racionalitu</w:t>
      </w:r>
      <w:r w:rsidR="006F12A0" w:rsidRPr="008002CE">
        <w:t>.</w:t>
      </w:r>
      <w:r w:rsidR="00F619B1">
        <w:t xml:space="preserve"> </w:t>
      </w:r>
      <w:r w:rsidR="00B879C1">
        <w:t>O</w:t>
      </w:r>
      <w:r w:rsidR="00DF4FF9">
        <w:t>dmítl</w:t>
      </w:r>
      <w:r w:rsidR="008002CE" w:rsidRPr="008002CE">
        <w:t xml:space="preserve"> uznat opat</w:t>
      </w:r>
      <w:r w:rsidR="00DF4FF9">
        <w:t>ření učiněná státem za svévolná</w:t>
      </w:r>
      <w:r w:rsidR="001915DF">
        <w:t>,</w:t>
      </w:r>
      <w:r w:rsidR="00DF4FF9">
        <w:t xml:space="preserve"> a proto c</w:t>
      </w:r>
      <w:r w:rsidR="00B0518E" w:rsidRPr="00631912">
        <w:t xml:space="preserve">elkově uznal SPR za </w:t>
      </w:r>
      <w:r w:rsidR="004C4E42" w:rsidRPr="00631912">
        <w:t>spravedlivé</w:t>
      </w:r>
      <w:r w:rsidR="004C4E42">
        <w:t xml:space="preserve"> a v souladu s </w:t>
      </w:r>
      <w:r w:rsidR="009A694A">
        <w:t>článkem</w:t>
      </w:r>
      <w:r w:rsidR="004C4E42">
        <w:t xml:space="preserve"> 3 BIT</w:t>
      </w:r>
      <w:r w:rsidR="0056256D">
        <w:t>.</w:t>
      </w:r>
      <w:r w:rsidR="00631912">
        <w:rPr>
          <w:rStyle w:val="Znakapoznpodarou"/>
        </w:rPr>
        <w:footnoteReference w:id="66"/>
      </w:r>
    </w:p>
    <w:p w14:paraId="60F262E7" w14:textId="7C371F29" w:rsidR="00D674F3" w:rsidRDefault="00EE67E9" w:rsidP="00C93F85">
      <w:pPr>
        <w:pStyle w:val="Odstavecseseznamem"/>
        <w:spacing w:line="360" w:lineRule="auto"/>
        <w:ind w:left="142" w:firstLine="567"/>
        <w:jc w:val="both"/>
      </w:pPr>
      <w:r>
        <w:t>Že tento pohled není</w:t>
      </w:r>
      <w:r w:rsidR="0037479B">
        <w:t xml:space="preserve"> jediný</w:t>
      </w:r>
      <w:r>
        <w:t xml:space="preserve"> </w:t>
      </w:r>
      <w:r w:rsidR="00EC4887">
        <w:t>možný a konečný</w:t>
      </w:r>
      <w:r w:rsidR="00CB335D">
        <w:t xml:space="preserve"> v obdobných otázkách</w:t>
      </w:r>
      <w:r w:rsidR="00EC4887">
        <w:t xml:space="preserve">, ukazuje disent </w:t>
      </w:r>
      <w:r w:rsidR="002518A9">
        <w:t xml:space="preserve">rozhodce </w:t>
      </w:r>
      <w:r w:rsidR="00C427EF">
        <w:t>Borna, který si nemyslí, že by mezi</w:t>
      </w:r>
      <w:r w:rsidR="00FB44FF">
        <w:t xml:space="preserve"> zavedením</w:t>
      </w:r>
      <w:r w:rsidR="00C427EF">
        <w:t xml:space="preserve"> SPR a </w:t>
      </w:r>
      <w:r w:rsidR="003C0761">
        <w:t>úmyslem zákonodárce byla souvislost</w:t>
      </w:r>
      <w:r w:rsidR="00FB44FF">
        <w:t>, a proto se jedná o porušení</w:t>
      </w:r>
      <w:r w:rsidR="00E83C06">
        <w:t xml:space="preserve"> FET</w:t>
      </w:r>
      <w:r w:rsidR="003C0761">
        <w:t>.</w:t>
      </w:r>
      <w:r w:rsidR="001638ED">
        <w:rPr>
          <w:rStyle w:val="Znakapoznpodarou"/>
        </w:rPr>
        <w:footnoteReference w:id="67"/>
      </w:r>
      <w:r w:rsidR="00E30B14">
        <w:t xml:space="preserve"> </w:t>
      </w:r>
      <w:r w:rsidR="00A35AD2">
        <w:t>Považuje jej za bezprecedentní a velice nepředvídatelný</w:t>
      </w:r>
      <w:r w:rsidR="00E30B14">
        <w:t>. Vadí mu, že nevznikl</w:t>
      </w:r>
      <w:r w:rsidR="005B0EB6">
        <w:t>a žádná studie nebo</w:t>
      </w:r>
      <w:r w:rsidR="00E30B14">
        <w:t xml:space="preserve"> analýza, na které by se zakládal</w:t>
      </w:r>
      <w:r w:rsidR="005B0EB6">
        <w:t xml:space="preserve"> a neproběhla ani diskuze nebo konzultace se soukromým sektorem</w:t>
      </w:r>
      <w:r w:rsidR="00E30B14">
        <w:t xml:space="preserve">. </w:t>
      </w:r>
      <w:r w:rsidR="006B6138">
        <w:t>Nebyl také předvídatelný z žádných předchozích kroků vlády v oblasti regulace tabákových výrobků</w:t>
      </w:r>
      <w:r w:rsidR="00C74EDF">
        <w:t>, ani z dokumentů FCTC nebo praxe zavedené v jiných státech</w:t>
      </w:r>
      <w:r w:rsidR="006B6138">
        <w:t xml:space="preserve">. </w:t>
      </w:r>
      <w:r w:rsidR="00771446">
        <w:t>Vidí jej tedy</w:t>
      </w:r>
      <w:r w:rsidR="00737CE1">
        <w:t xml:space="preserve"> navzdory suverénnímu právu státu na regulaci</w:t>
      </w:r>
      <w:r w:rsidR="00771446">
        <w:t xml:space="preserve"> jako</w:t>
      </w:r>
      <w:r w:rsidR="00B23292">
        <w:t xml:space="preserve"> disproporční postup,</w:t>
      </w:r>
      <w:r w:rsidR="00771446">
        <w:t xml:space="preserve"> </w:t>
      </w:r>
      <w:r w:rsidR="00B750AC">
        <w:t>zneužití státní moci proti investorovi a porušení FET.</w:t>
      </w:r>
      <w:r w:rsidR="00EE0A5F">
        <w:rPr>
          <w:rStyle w:val="Znakapoznpodarou"/>
        </w:rPr>
        <w:footnoteReference w:id="68"/>
      </w:r>
      <w:r w:rsidR="00B81E00">
        <w:t xml:space="preserve"> Nesouhlasí ani s použitím doktríny „Margin of appreciation“, jak ji používá ESLP. </w:t>
      </w:r>
      <w:r w:rsidR="00F522C9">
        <w:t xml:space="preserve">Ta podle něj není použitelná ani k výkladu článku 3 BIT, ani </w:t>
      </w:r>
      <w:r w:rsidR="006B3B15">
        <w:t>v obyčejovém mezinárodním právu obecně.</w:t>
      </w:r>
      <w:r w:rsidR="004A109C">
        <w:t xml:space="preserve"> Místo ní se má přihlédnout spíše k vývoji standardu FET v judikatuře a </w:t>
      </w:r>
      <w:r w:rsidR="00E71C40">
        <w:t>jiných IIA</w:t>
      </w:r>
      <w:r w:rsidR="004A109C">
        <w:t xml:space="preserve">, </w:t>
      </w:r>
      <w:r w:rsidR="00023977">
        <w:t>které jediné mohou sloužit k jeho výkladu.</w:t>
      </w:r>
      <w:r w:rsidR="004B1902">
        <w:t xml:space="preserve"> </w:t>
      </w:r>
      <w:r w:rsidR="004B1902" w:rsidRPr="00706E79">
        <w:t>Opírá se</w:t>
      </w:r>
      <w:r w:rsidR="00924BD8" w:rsidRPr="00706E79">
        <w:t xml:space="preserve"> mimo jiné</w:t>
      </w:r>
      <w:r w:rsidR="004B1902" w:rsidRPr="00706E79">
        <w:t xml:space="preserve"> o rozhodnutí ve věci </w:t>
      </w:r>
      <w:r w:rsidR="004B1902" w:rsidRPr="00706E79">
        <w:rPr>
          <w:i/>
        </w:rPr>
        <w:t>S. D. Myers v. Canada</w:t>
      </w:r>
      <w:r w:rsidR="004B1902" w:rsidRPr="00706E79">
        <w:t>, které řešilo zákonnou regulaci vývozu toxického odpadu z Kanady do USA.</w:t>
      </w:r>
      <w:r w:rsidR="00347E00" w:rsidRPr="00706E79">
        <w:t xml:space="preserve"> V něm také rozhodci shledali, že se přijaté opatření míjí s proklamovaným cílem </w:t>
      </w:r>
      <w:r w:rsidR="006530F2" w:rsidRPr="00706E79">
        <w:t>a je disproporční.</w:t>
      </w:r>
      <w:r w:rsidR="004D5D6F" w:rsidRPr="00706E79">
        <w:t xml:space="preserve"> Zároveň však </w:t>
      </w:r>
      <w:r w:rsidR="003F3BC4" w:rsidRPr="00706E79">
        <w:t>toto r</w:t>
      </w:r>
      <w:r w:rsidR="006A4C9F" w:rsidRPr="00706E79">
        <w:t>oz</w:t>
      </w:r>
      <w:r w:rsidR="003F3BC4" w:rsidRPr="00706E79">
        <w:t>hodnut</w:t>
      </w:r>
      <w:r w:rsidR="006A4C9F" w:rsidRPr="00706E79">
        <w:t xml:space="preserve">í </w:t>
      </w:r>
      <w:r w:rsidR="00C860BC" w:rsidRPr="00706E79">
        <w:t>zdůrazňuje, že „</w:t>
      </w:r>
      <w:r w:rsidR="00C860BC" w:rsidRPr="00706E79">
        <w:rPr>
          <w:i/>
        </w:rPr>
        <w:t xml:space="preserve">rozhodčí tribunály nemají </w:t>
      </w:r>
      <w:r w:rsidR="00433685" w:rsidRPr="00706E79">
        <w:rPr>
          <w:i/>
        </w:rPr>
        <w:t xml:space="preserve">pravomoc ke </w:t>
      </w:r>
      <w:r w:rsidR="00433685" w:rsidRPr="00706E79">
        <w:rPr>
          <w:i/>
        </w:rPr>
        <w:lastRenderedPageBreak/>
        <w:t xml:space="preserve">zpochybnění politických rozhodnutí vlády a zákonodárců. Ti mají mimo jiné právo na to, aby </w:t>
      </w:r>
      <w:r w:rsidR="001F1BA1" w:rsidRPr="00706E79">
        <w:rPr>
          <w:i/>
        </w:rPr>
        <w:t xml:space="preserve">činili i </w:t>
      </w:r>
      <w:r w:rsidR="00F90F54" w:rsidRPr="00706E79">
        <w:rPr>
          <w:i/>
        </w:rPr>
        <w:t xml:space="preserve">chybná </w:t>
      </w:r>
      <w:r w:rsidR="001F1BA1" w:rsidRPr="00706E79">
        <w:rPr>
          <w:i/>
        </w:rPr>
        <w:t>rozhodnutí</w:t>
      </w:r>
      <w:r w:rsidR="00F90F54" w:rsidRPr="00706E79">
        <w:rPr>
          <w:i/>
        </w:rPr>
        <w:t xml:space="preserve"> nebo taková</w:t>
      </w:r>
      <w:r w:rsidR="001F1BA1" w:rsidRPr="00706E79">
        <w:rPr>
          <w:i/>
        </w:rPr>
        <w:t xml:space="preserve">, která </w:t>
      </w:r>
      <w:r w:rsidR="00F90F54" w:rsidRPr="00706E79">
        <w:rPr>
          <w:i/>
        </w:rPr>
        <w:t xml:space="preserve">nereflektují správně </w:t>
      </w:r>
      <w:r w:rsidR="005C0FF6" w:rsidRPr="00706E79">
        <w:rPr>
          <w:i/>
        </w:rPr>
        <w:t>ekonomickou a sociální</w:t>
      </w:r>
      <w:r w:rsidR="00F90F54" w:rsidRPr="00706E79">
        <w:rPr>
          <w:i/>
        </w:rPr>
        <w:t xml:space="preserve"> situaci</w:t>
      </w:r>
      <w:r w:rsidR="00BC68CD" w:rsidRPr="00706E79">
        <w:rPr>
          <w:i/>
        </w:rPr>
        <w:t xml:space="preserve">, nebo která </w:t>
      </w:r>
      <w:r w:rsidR="005C0FF6" w:rsidRPr="00706E79">
        <w:rPr>
          <w:i/>
        </w:rPr>
        <w:t>kladou větší důraz na některé společenské hodnoty než</w:t>
      </w:r>
      <w:r w:rsidR="002A0A21">
        <w:rPr>
          <w:i/>
        </w:rPr>
        <w:t xml:space="preserve"> na</w:t>
      </w:r>
      <w:r w:rsidR="005C0FF6" w:rsidRPr="00706E79">
        <w:rPr>
          <w:i/>
        </w:rPr>
        <w:t xml:space="preserve"> jiné</w:t>
      </w:r>
      <w:r w:rsidR="00F90F54" w:rsidRPr="00706E79">
        <w:rPr>
          <w:i/>
        </w:rPr>
        <w:t>.“</w:t>
      </w:r>
      <w:r w:rsidR="00417BD3" w:rsidRPr="00706E79">
        <w:rPr>
          <w:rStyle w:val="Znakapoznpodarou"/>
          <w:i/>
        </w:rPr>
        <w:footnoteReference w:id="69"/>
      </w:r>
      <w:r w:rsidR="00F90F54" w:rsidRPr="00706E79">
        <w:rPr>
          <w:i/>
        </w:rPr>
        <w:t xml:space="preserve"> </w:t>
      </w:r>
      <w:r w:rsidR="00942C06">
        <w:t>Jako vhodný postup</w:t>
      </w:r>
      <w:r w:rsidR="005064A6">
        <w:t xml:space="preserve"> pro vyloučení odpovědnosti státu</w:t>
      </w:r>
      <w:r w:rsidR="00C6266B">
        <w:t xml:space="preserve"> v takovém případě</w:t>
      </w:r>
      <w:r w:rsidR="00942C06">
        <w:t xml:space="preserve"> </w:t>
      </w:r>
      <w:r w:rsidR="00761847">
        <w:t xml:space="preserve">se tedy jeví, aby </w:t>
      </w:r>
      <w:r w:rsidR="00153FE2">
        <w:t>přijatá opatření</w:t>
      </w:r>
      <w:r w:rsidR="00F92721">
        <w:t xml:space="preserve"> byl</w:t>
      </w:r>
      <w:r w:rsidR="00153FE2">
        <w:t>a</w:t>
      </w:r>
      <w:r w:rsidR="00F92721">
        <w:t xml:space="preserve"> v souladu s</w:t>
      </w:r>
      <w:r w:rsidR="00153FE2">
        <w:t> </w:t>
      </w:r>
      <w:r w:rsidR="00F92721">
        <w:t>dlouhodobou</w:t>
      </w:r>
      <w:r w:rsidR="00153FE2">
        <w:t xml:space="preserve"> veřejně známou</w:t>
      </w:r>
      <w:r w:rsidR="00F92721">
        <w:t xml:space="preserve"> koncepcí</w:t>
      </w:r>
      <w:r w:rsidR="00706E79">
        <w:t>,</w:t>
      </w:r>
      <w:r w:rsidR="00153FE2">
        <w:t xml:space="preserve"> opatření tak </w:t>
      </w:r>
      <w:r w:rsidR="00706E79">
        <w:t xml:space="preserve">má nejmenší potenciál investora zkrátit na jeho očekávání a </w:t>
      </w:r>
      <w:r w:rsidR="001D523A">
        <w:t xml:space="preserve">snižuje </w:t>
      </w:r>
      <w:r w:rsidR="00706E79">
        <w:t>pravděpodobnost, že stát</w:t>
      </w:r>
      <w:r w:rsidR="004A2236">
        <w:t xml:space="preserve"> poruší některou ze složek FET.</w:t>
      </w:r>
      <w:r w:rsidR="008265FA">
        <w:t xml:space="preserve"> </w:t>
      </w:r>
    </w:p>
    <w:p w14:paraId="7709B765" w14:textId="134A2815" w:rsidR="008C2FA8" w:rsidRPr="00FB4655" w:rsidRDefault="008265FA" w:rsidP="00C93F85">
      <w:pPr>
        <w:pStyle w:val="Odstavecseseznamem"/>
        <w:spacing w:line="360" w:lineRule="auto"/>
        <w:ind w:left="142" w:firstLine="567"/>
        <w:jc w:val="both"/>
      </w:pPr>
      <w:r>
        <w:t>Argum</w:t>
      </w:r>
      <w:r w:rsidR="00AD429A">
        <w:t>entace tribunálu ohledně druhého</w:t>
      </w:r>
      <w:r>
        <w:t xml:space="preserve"> opatření je vcelku totožná, SPR </w:t>
      </w:r>
      <w:r w:rsidR="001A5AB9">
        <w:t>bylo nejspornější, s největší šancí na úspěch žalobce.</w:t>
      </w:r>
      <w:r w:rsidR="00D674F3">
        <w:t xml:space="preserve"> </w:t>
      </w:r>
      <w:r w:rsidR="00BA4ACC">
        <w:t xml:space="preserve">Tribunál se ve své analýze jednoznačně přiklání k názoru, že </w:t>
      </w:r>
      <w:r w:rsidR="00FB4655">
        <w:t>oprávněná očekávání</w:t>
      </w:r>
      <w:r w:rsidR="00A91456">
        <w:t xml:space="preserve"> podle FET</w:t>
      </w:r>
      <w:r w:rsidR="00FB4655">
        <w:t xml:space="preserve"> mohou vyplývat pouze z </w:t>
      </w:r>
      <w:r w:rsidR="00FB4655">
        <w:rPr>
          <w:i/>
        </w:rPr>
        <w:t xml:space="preserve">výslovných </w:t>
      </w:r>
      <w:r w:rsidR="00FB4655">
        <w:t xml:space="preserve">záruk vůči </w:t>
      </w:r>
      <w:r w:rsidR="00FB4655">
        <w:rPr>
          <w:i/>
        </w:rPr>
        <w:t xml:space="preserve">konkrétnímu </w:t>
      </w:r>
      <w:r w:rsidR="003B7613">
        <w:t xml:space="preserve">investorovi, která jej přimějí investici uskutečnit. </w:t>
      </w:r>
      <w:r w:rsidR="000C53F8">
        <w:t xml:space="preserve">Ustanovení obecně závazných předpisů účinných vůči neurčitému počtu osob podle něj nemohou </w:t>
      </w:r>
      <w:r w:rsidR="00C86E69">
        <w:t xml:space="preserve">vyvolat </w:t>
      </w:r>
      <w:r w:rsidR="000C53F8">
        <w:t>legitimní očekávání</w:t>
      </w:r>
      <w:r w:rsidR="00C86E69">
        <w:t>, že legislativa nebude měněna</w:t>
      </w:r>
      <w:r w:rsidR="000C53F8">
        <w:t>.</w:t>
      </w:r>
      <w:r w:rsidR="007813AB">
        <w:t xml:space="preserve"> </w:t>
      </w:r>
      <w:r w:rsidR="00C634E0">
        <w:t xml:space="preserve">Zvláště pak výrobci a distributoři zdraví škodlivých produktů </w:t>
      </w:r>
      <w:r w:rsidR="007E0EA8">
        <w:t>mohou očekávat restriktivní opatření namířená proti jejich podnikání.</w:t>
      </w:r>
      <w:r w:rsidR="001A5AB9">
        <w:rPr>
          <w:rStyle w:val="Znakapoznpodarou"/>
        </w:rPr>
        <w:footnoteReference w:id="70"/>
      </w:r>
    </w:p>
    <w:p w14:paraId="5C5EA74D" w14:textId="7E4B5100" w:rsidR="00E75944" w:rsidRPr="00E75944" w:rsidRDefault="00E71F10" w:rsidP="008D25D8">
      <w:pPr>
        <w:pStyle w:val="Nadpis2"/>
      </w:pPr>
      <w:bookmarkStart w:id="19" w:name="_Toc479697280"/>
      <w:r w:rsidRPr="00E75944">
        <w:t>Vattenfall</w:t>
      </w:r>
      <w:r w:rsidR="00000183">
        <w:t xml:space="preserve"> and others</w:t>
      </w:r>
      <w:r w:rsidRPr="00E75944">
        <w:t xml:space="preserve"> v. Germany</w:t>
      </w:r>
      <w:bookmarkEnd w:id="19"/>
    </w:p>
    <w:p w14:paraId="7EA09BFB" w14:textId="6C7F3F2B" w:rsidR="007F49FF" w:rsidRDefault="00481593" w:rsidP="00C431D3">
      <w:pPr>
        <w:pStyle w:val="Odstavecseseznamem"/>
        <w:spacing w:line="360" w:lineRule="auto"/>
        <w:ind w:left="142" w:firstLine="654"/>
        <w:jc w:val="both"/>
        <w:rPr>
          <w:rStyle w:val="Zvraznn"/>
          <w:i w:val="0"/>
        </w:rPr>
      </w:pPr>
      <w:r>
        <w:t>Arbitrážní s</w:t>
      </w:r>
      <w:r w:rsidR="00A250F6">
        <w:t>por</w:t>
      </w:r>
      <w:r w:rsidR="00313C90">
        <w:t xml:space="preserve"> </w:t>
      </w:r>
      <w:r w:rsidR="00313C90">
        <w:rPr>
          <w:rStyle w:val="Zvraznn"/>
        </w:rPr>
        <w:t xml:space="preserve">Vattenfall AB and others v. </w:t>
      </w:r>
      <w:r w:rsidR="00A250F6">
        <w:rPr>
          <w:rStyle w:val="Zvraznn"/>
        </w:rPr>
        <w:t xml:space="preserve">Germany </w:t>
      </w:r>
      <w:r w:rsidR="00C158C1">
        <w:rPr>
          <w:rStyle w:val="Zvraznn"/>
          <w:i w:val="0"/>
        </w:rPr>
        <w:t>nebyl v roce 2012 zahájen</w:t>
      </w:r>
      <w:r>
        <w:rPr>
          <w:rStyle w:val="Zvraznn"/>
          <w:i w:val="0"/>
        </w:rPr>
        <w:t xml:space="preserve"> na základě dvoustranné smlouvy nebo smlouvy o v</w:t>
      </w:r>
      <w:r w:rsidR="008E21E6">
        <w:rPr>
          <w:rStyle w:val="Zvraznn"/>
          <w:i w:val="0"/>
        </w:rPr>
        <w:t>olném obchodu, ale podle Dohody</w:t>
      </w:r>
      <w:r>
        <w:rPr>
          <w:rStyle w:val="Zvraznn"/>
          <w:i w:val="0"/>
        </w:rPr>
        <w:t xml:space="preserve"> k energetické chartě</w:t>
      </w:r>
      <w:r w:rsidR="00943794">
        <w:rPr>
          <w:rStyle w:val="Zvraznn"/>
          <w:i w:val="0"/>
        </w:rPr>
        <w:t>.</w:t>
      </w:r>
      <w:r w:rsidR="008E21E6">
        <w:rPr>
          <w:rStyle w:val="Zvraznn"/>
          <w:i w:val="0"/>
        </w:rPr>
        <w:t xml:space="preserve"> Ta umožňuje zahájit</w:t>
      </w:r>
      <w:r w:rsidR="003428C7">
        <w:rPr>
          <w:rStyle w:val="Zvraznn"/>
          <w:i w:val="0"/>
        </w:rPr>
        <w:t xml:space="preserve"> investiční</w:t>
      </w:r>
      <w:r w:rsidR="008E21E6">
        <w:rPr>
          <w:rStyle w:val="Zvraznn"/>
          <w:i w:val="0"/>
        </w:rPr>
        <w:t xml:space="preserve"> arbitráž u</w:t>
      </w:r>
      <w:r w:rsidR="0054613D">
        <w:rPr>
          <w:rStyle w:val="Zvraznn"/>
          <w:i w:val="0"/>
        </w:rPr>
        <w:t xml:space="preserve"> střediska</w:t>
      </w:r>
      <w:r w:rsidR="008E21E6">
        <w:rPr>
          <w:rStyle w:val="Zvraznn"/>
          <w:i w:val="0"/>
        </w:rPr>
        <w:t xml:space="preserve"> ICSID.</w:t>
      </w:r>
      <w:r w:rsidR="008E21E6">
        <w:rPr>
          <w:rStyle w:val="Znakapoznpodarou"/>
          <w:iCs/>
        </w:rPr>
        <w:footnoteReference w:id="71"/>
      </w:r>
      <w:r w:rsidR="000E4DC0">
        <w:rPr>
          <w:rStyle w:val="Zvraznn"/>
          <w:i w:val="0"/>
        </w:rPr>
        <w:t xml:space="preserve"> </w:t>
      </w:r>
      <w:r w:rsidR="00BB42F2">
        <w:rPr>
          <w:rStyle w:val="Zvraznn"/>
          <w:i w:val="0"/>
        </w:rPr>
        <w:t xml:space="preserve"> </w:t>
      </w:r>
      <w:r w:rsidR="00237C51">
        <w:rPr>
          <w:rStyle w:val="Zvraznn"/>
          <w:i w:val="0"/>
        </w:rPr>
        <w:t>O rok dříve bylo</w:t>
      </w:r>
      <w:r w:rsidR="0041704D">
        <w:rPr>
          <w:rStyle w:val="Zvraznn"/>
          <w:i w:val="0"/>
        </w:rPr>
        <w:t xml:space="preserve"> na stejném</w:t>
      </w:r>
      <w:r w:rsidR="000B3C7F">
        <w:rPr>
          <w:rStyle w:val="Zvraznn"/>
          <w:i w:val="0"/>
        </w:rPr>
        <w:t xml:space="preserve"> skutkovém</w:t>
      </w:r>
      <w:r w:rsidR="0041704D">
        <w:rPr>
          <w:rStyle w:val="Zvraznn"/>
          <w:i w:val="0"/>
        </w:rPr>
        <w:t xml:space="preserve"> základě</w:t>
      </w:r>
      <w:r w:rsidR="000B3C7F">
        <w:rPr>
          <w:rStyle w:val="Zvraznn"/>
          <w:i w:val="0"/>
        </w:rPr>
        <w:t xml:space="preserve"> zahájeno řízení</w:t>
      </w:r>
      <w:r w:rsidR="0041704D">
        <w:rPr>
          <w:rStyle w:val="Zvraznn"/>
          <w:i w:val="0"/>
        </w:rPr>
        <w:t xml:space="preserve"> u německého Ústavního soudu</w:t>
      </w:r>
      <w:r w:rsidR="0077007C">
        <w:rPr>
          <w:rStyle w:val="Zvraznn"/>
          <w:i w:val="0"/>
        </w:rPr>
        <w:t xml:space="preserve"> („</w:t>
      </w:r>
      <w:r w:rsidR="0077007C">
        <w:t>BVerfG“)</w:t>
      </w:r>
      <w:r w:rsidR="000B3C7F">
        <w:rPr>
          <w:rStyle w:val="Zvraznn"/>
          <w:i w:val="0"/>
        </w:rPr>
        <w:t xml:space="preserve">. </w:t>
      </w:r>
      <w:r w:rsidR="00237C51">
        <w:rPr>
          <w:rStyle w:val="Zvraznn"/>
          <w:i w:val="0"/>
        </w:rPr>
        <w:t>Soud</w:t>
      </w:r>
      <w:r w:rsidR="0041704D">
        <w:rPr>
          <w:rStyle w:val="Zvraznn"/>
          <w:i w:val="0"/>
        </w:rPr>
        <w:t xml:space="preserve"> na rozdíl od</w:t>
      </w:r>
      <w:r w:rsidR="007653BE">
        <w:rPr>
          <w:rStyle w:val="Zvraznn"/>
          <w:i w:val="0"/>
        </w:rPr>
        <w:t xml:space="preserve"> rozhodčího tribunálu</w:t>
      </w:r>
      <w:r w:rsidR="0041704D">
        <w:rPr>
          <w:rStyle w:val="Zvraznn"/>
          <w:i w:val="0"/>
        </w:rPr>
        <w:t xml:space="preserve"> ICSID již meritorním rozhodnutím</w:t>
      </w:r>
      <w:r w:rsidR="000B3C7F">
        <w:rPr>
          <w:rStyle w:val="Zvraznn"/>
          <w:i w:val="0"/>
        </w:rPr>
        <w:t xml:space="preserve"> řízení</w:t>
      </w:r>
      <w:r w:rsidR="0041704D">
        <w:rPr>
          <w:rStyle w:val="Zvraznn"/>
          <w:i w:val="0"/>
        </w:rPr>
        <w:t xml:space="preserve"> skončil. </w:t>
      </w:r>
    </w:p>
    <w:p w14:paraId="635B1D91" w14:textId="33BCC0DA" w:rsidR="00106EE2" w:rsidRDefault="00C61FFD" w:rsidP="00C431D3">
      <w:pPr>
        <w:pStyle w:val="Odstavecseseznamem"/>
        <w:spacing w:line="360" w:lineRule="auto"/>
        <w:ind w:left="142" w:firstLine="654"/>
        <w:jc w:val="both"/>
        <w:rPr>
          <w:rStyle w:val="Zvraznn"/>
          <w:i w:val="0"/>
        </w:rPr>
      </w:pPr>
      <w:r>
        <w:rPr>
          <w:rStyle w:val="Zvraznn"/>
          <w:i w:val="0"/>
        </w:rPr>
        <w:t>V roce</w:t>
      </w:r>
      <w:r w:rsidR="00CB5F35">
        <w:rPr>
          <w:rStyle w:val="Zvraznn"/>
          <w:i w:val="0"/>
        </w:rPr>
        <w:t xml:space="preserve"> 2002</w:t>
      </w:r>
      <w:r w:rsidR="001B3830">
        <w:rPr>
          <w:rStyle w:val="Zvraznn"/>
          <w:i w:val="0"/>
        </w:rPr>
        <w:t xml:space="preserve"> byl schválen zákon, který rozhodl</w:t>
      </w:r>
      <w:r w:rsidR="00CB5F35">
        <w:rPr>
          <w:rStyle w:val="Zvraznn"/>
          <w:i w:val="0"/>
        </w:rPr>
        <w:t xml:space="preserve"> o zastavení produkce elektřiny ve většině jaderných elektráren</w:t>
      </w:r>
      <w:r w:rsidR="00217608">
        <w:rPr>
          <w:rStyle w:val="Zvraznn"/>
          <w:i w:val="0"/>
        </w:rPr>
        <w:t xml:space="preserve"> s přesně danými </w:t>
      </w:r>
      <w:r w:rsidR="00AE1BC9">
        <w:rPr>
          <w:rStyle w:val="Zvraznn"/>
          <w:i w:val="0"/>
        </w:rPr>
        <w:t>zbývajícími</w:t>
      </w:r>
      <w:r w:rsidR="00075DA6">
        <w:rPr>
          <w:rStyle w:val="Zvraznn"/>
          <w:i w:val="0"/>
        </w:rPr>
        <w:t xml:space="preserve"> </w:t>
      </w:r>
      <w:r w:rsidR="00AE1BC9">
        <w:rPr>
          <w:rStyle w:val="Zvraznn"/>
          <w:i w:val="0"/>
        </w:rPr>
        <w:t>objemy</w:t>
      </w:r>
      <w:r w:rsidR="00173FF0">
        <w:rPr>
          <w:rStyle w:val="Zvraznn"/>
          <w:i w:val="0"/>
        </w:rPr>
        <w:t xml:space="preserve"> energie, </w:t>
      </w:r>
      <w:r w:rsidR="00B36CA6">
        <w:rPr>
          <w:rStyle w:val="Zvraznn"/>
          <w:i w:val="0"/>
        </w:rPr>
        <w:t>která v nich bude moci ještě být vyprodukována</w:t>
      </w:r>
      <w:r w:rsidR="00173FF0">
        <w:rPr>
          <w:rStyle w:val="Zvraznn"/>
          <w:i w:val="0"/>
        </w:rPr>
        <w:t>. T</w:t>
      </w:r>
      <w:r w:rsidR="00E1328C">
        <w:rPr>
          <w:rStyle w:val="Zvraznn"/>
          <w:i w:val="0"/>
        </w:rPr>
        <w:t>y</w:t>
      </w:r>
      <w:r w:rsidR="00F43959">
        <w:rPr>
          <w:rStyle w:val="Zvraznn"/>
          <w:i w:val="0"/>
        </w:rPr>
        <w:t>to objemy</w:t>
      </w:r>
      <w:r w:rsidR="00E1328C">
        <w:rPr>
          <w:rStyle w:val="Zvraznn"/>
          <w:i w:val="0"/>
        </w:rPr>
        <w:t xml:space="preserve"> byly</w:t>
      </w:r>
      <w:r w:rsidR="00DF2D2F">
        <w:rPr>
          <w:rStyle w:val="Zvraznn"/>
          <w:i w:val="0"/>
        </w:rPr>
        <w:t xml:space="preserve"> novelou</w:t>
      </w:r>
      <w:r w:rsidR="00CB5F35">
        <w:rPr>
          <w:rStyle w:val="Zvraznn"/>
          <w:i w:val="0"/>
        </w:rPr>
        <w:t xml:space="preserve"> v roce 2010</w:t>
      </w:r>
      <w:r w:rsidR="00E1328C">
        <w:rPr>
          <w:rStyle w:val="Zvraznn"/>
          <w:i w:val="0"/>
        </w:rPr>
        <w:t xml:space="preserve"> potvrzeny</w:t>
      </w:r>
      <w:r w:rsidR="007C0563">
        <w:rPr>
          <w:rStyle w:val="Zvraznn"/>
          <w:i w:val="0"/>
        </w:rPr>
        <w:t xml:space="preserve">, v průměru měly </w:t>
      </w:r>
      <w:r w:rsidR="00052532">
        <w:rPr>
          <w:rStyle w:val="Zvraznn"/>
          <w:i w:val="0"/>
        </w:rPr>
        <w:t>být elektrárny s výjimkami v provozu dalších</w:t>
      </w:r>
      <w:r w:rsidR="00B16575">
        <w:rPr>
          <w:rStyle w:val="Zvraznn"/>
          <w:i w:val="0"/>
        </w:rPr>
        <w:t xml:space="preserve"> </w:t>
      </w:r>
      <w:r w:rsidR="00B97A77">
        <w:rPr>
          <w:rStyle w:val="Zvraznn"/>
          <w:i w:val="0"/>
        </w:rPr>
        <w:t>12</w:t>
      </w:r>
      <w:r w:rsidR="00B16575">
        <w:rPr>
          <w:rStyle w:val="Zvraznn"/>
          <w:i w:val="0"/>
        </w:rPr>
        <w:t xml:space="preserve"> let </w:t>
      </w:r>
      <w:r w:rsidR="00724BB2">
        <w:rPr>
          <w:rStyle w:val="Zvraznn"/>
          <w:i w:val="0"/>
        </w:rPr>
        <w:t>(</w:t>
      </w:r>
      <w:r w:rsidR="00724BB2" w:rsidRPr="00B16575">
        <w:t xml:space="preserve">11. </w:t>
      </w:r>
      <w:r w:rsidR="009C2EA1">
        <w:t>novela</w:t>
      </w:r>
      <w:r w:rsidR="00724BB2" w:rsidRPr="00B16575">
        <w:t>)</w:t>
      </w:r>
      <w:r w:rsidR="00E1328C">
        <w:t>.</w:t>
      </w:r>
      <w:r w:rsidR="00B16575">
        <w:t xml:space="preserve"> </w:t>
      </w:r>
      <w:r w:rsidR="00B16575">
        <w:rPr>
          <w:rStyle w:val="Zvraznn"/>
          <w:i w:val="0"/>
        </w:rPr>
        <w:t xml:space="preserve">V </w:t>
      </w:r>
      <w:r w:rsidR="00053E8E">
        <w:rPr>
          <w:rStyle w:val="Zvraznn"/>
          <w:i w:val="0"/>
        </w:rPr>
        <w:t>květnu 2011</w:t>
      </w:r>
      <w:r w:rsidR="0016406D">
        <w:rPr>
          <w:rStyle w:val="Zvraznn"/>
          <w:i w:val="0"/>
        </w:rPr>
        <w:t xml:space="preserve"> ale prosadila tatáž</w:t>
      </w:r>
      <w:r w:rsidR="00B16575">
        <w:rPr>
          <w:rStyle w:val="Zvraznn"/>
          <w:i w:val="0"/>
        </w:rPr>
        <w:t xml:space="preserve"> vláda</w:t>
      </w:r>
      <w:r w:rsidR="00CB5F35">
        <w:rPr>
          <w:rStyle w:val="Zvraznn"/>
          <w:i w:val="0"/>
        </w:rPr>
        <w:t xml:space="preserve"> v důsledku katastrofy elektrárny ve Fukušimě</w:t>
      </w:r>
      <w:r w:rsidR="0072407F">
        <w:rPr>
          <w:rStyle w:val="Zvraznn"/>
          <w:i w:val="0"/>
        </w:rPr>
        <w:t xml:space="preserve"> další změnu, tentokrát</w:t>
      </w:r>
      <w:r w:rsidR="00CB5F35">
        <w:rPr>
          <w:rStyle w:val="Zvraznn"/>
          <w:i w:val="0"/>
        </w:rPr>
        <w:t xml:space="preserve"> </w:t>
      </w:r>
      <w:r w:rsidR="00A33180">
        <w:rPr>
          <w:rStyle w:val="Zvraznn"/>
          <w:i w:val="0"/>
        </w:rPr>
        <w:t xml:space="preserve">o </w:t>
      </w:r>
      <w:r w:rsidR="00A33180">
        <w:rPr>
          <w:rStyle w:val="Zvraznn"/>
          <w:i w:val="0"/>
        </w:rPr>
        <w:lastRenderedPageBreak/>
        <w:t>úplném zastavení této výroby</w:t>
      </w:r>
      <w:r w:rsidR="00FC260A">
        <w:rPr>
          <w:rStyle w:val="Zvraznn"/>
          <w:i w:val="0"/>
        </w:rPr>
        <w:t xml:space="preserve"> </w:t>
      </w:r>
      <w:r w:rsidR="0072407F">
        <w:rPr>
          <w:rStyle w:val="Zvraznn"/>
          <w:i w:val="0"/>
        </w:rPr>
        <w:t>a zrušení</w:t>
      </w:r>
      <w:r w:rsidR="00B16575">
        <w:rPr>
          <w:rStyle w:val="Zvraznn"/>
          <w:i w:val="0"/>
        </w:rPr>
        <w:t xml:space="preserve"> výjimek</w:t>
      </w:r>
      <w:r w:rsidR="002A0A21">
        <w:rPr>
          <w:rStyle w:val="Zvraznn"/>
          <w:i w:val="0"/>
        </w:rPr>
        <w:t>. T</w:t>
      </w:r>
      <w:r w:rsidR="00471314">
        <w:rPr>
          <w:rStyle w:val="Zvraznn"/>
          <w:i w:val="0"/>
        </w:rPr>
        <w:t>oto rozhodnutí</w:t>
      </w:r>
      <w:r w:rsidR="007F005F">
        <w:rPr>
          <w:rStyle w:val="Zvraznn"/>
          <w:i w:val="0"/>
        </w:rPr>
        <w:t xml:space="preserve"> </w:t>
      </w:r>
      <w:r w:rsidR="003346AF">
        <w:rPr>
          <w:rStyle w:val="Zvraznn"/>
          <w:i w:val="0"/>
        </w:rPr>
        <w:t>zrušilo i</w:t>
      </w:r>
      <w:r w:rsidR="007F005F">
        <w:rPr>
          <w:rStyle w:val="Zvraznn"/>
          <w:i w:val="0"/>
        </w:rPr>
        <w:t xml:space="preserve"> původně povolený objem výroby</w:t>
      </w:r>
      <w:r w:rsidR="004C5646">
        <w:rPr>
          <w:rStyle w:val="Zvraznn"/>
          <w:i w:val="0"/>
        </w:rPr>
        <w:t xml:space="preserve"> (</w:t>
      </w:r>
      <w:r w:rsidR="004C5646" w:rsidRPr="00B16575">
        <w:t xml:space="preserve">13. </w:t>
      </w:r>
      <w:r w:rsidR="009C2EA1">
        <w:t>novela</w:t>
      </w:r>
      <w:r w:rsidR="004C5646">
        <w:t>).</w:t>
      </w:r>
      <w:r w:rsidR="00B577FC">
        <w:rPr>
          <w:rStyle w:val="Znakapoznpodarou"/>
        </w:rPr>
        <w:footnoteReference w:id="72"/>
      </w:r>
      <w:r w:rsidR="00CB30D1">
        <w:rPr>
          <w:rStyle w:val="Zvraznn"/>
          <w:i w:val="0"/>
        </w:rPr>
        <w:t xml:space="preserve"> </w:t>
      </w:r>
    </w:p>
    <w:p w14:paraId="398A1D24" w14:textId="2F1B940A" w:rsidR="004C5646" w:rsidRDefault="00BF24BB" w:rsidP="00C431D3">
      <w:pPr>
        <w:pStyle w:val="Odstavecseseznamem"/>
        <w:spacing w:line="360" w:lineRule="auto"/>
        <w:ind w:left="142" w:firstLine="654"/>
        <w:jc w:val="both"/>
        <w:rPr>
          <w:rStyle w:val="Zvraznn"/>
          <w:i w:val="0"/>
        </w:rPr>
      </w:pPr>
      <w:r>
        <w:rPr>
          <w:rStyle w:val="Zvraznn"/>
          <w:i w:val="0"/>
        </w:rPr>
        <w:t>Z článku 14</w:t>
      </w:r>
      <w:r w:rsidR="005547B2">
        <w:rPr>
          <w:rStyle w:val="Zvraznn"/>
          <w:i w:val="0"/>
        </w:rPr>
        <w:t xml:space="preserve"> německé ústavy</w:t>
      </w:r>
      <w:r w:rsidR="00667B38">
        <w:rPr>
          <w:rStyle w:val="Zvraznn"/>
          <w:i w:val="0"/>
        </w:rPr>
        <w:t xml:space="preserve"> („GG“)</w:t>
      </w:r>
      <w:r w:rsidR="009524CC">
        <w:rPr>
          <w:rStyle w:val="Zvraznn"/>
          <w:i w:val="0"/>
        </w:rPr>
        <w:t xml:space="preserve"> o ochraně vlastnického práva</w:t>
      </w:r>
      <w:r w:rsidR="00C31022">
        <w:rPr>
          <w:rStyle w:val="Zvraznn"/>
          <w:i w:val="0"/>
        </w:rPr>
        <w:t xml:space="preserve"> investor dovozuje kromě ochrany vlastnického práva i </w:t>
      </w:r>
      <w:r w:rsidR="00645A96">
        <w:rPr>
          <w:rStyle w:val="Zvraznn"/>
          <w:i w:val="0"/>
        </w:rPr>
        <w:t>ochranu</w:t>
      </w:r>
      <w:r w:rsidR="002F79BB">
        <w:rPr>
          <w:rStyle w:val="Zvraznn"/>
          <w:i w:val="0"/>
        </w:rPr>
        <w:t xml:space="preserve"> legitimních očekávání</w:t>
      </w:r>
      <w:r w:rsidR="00A65354">
        <w:rPr>
          <w:rStyle w:val="Zvraznn"/>
          <w:i w:val="0"/>
        </w:rPr>
        <w:t xml:space="preserve"> </w:t>
      </w:r>
      <w:r w:rsidR="00A65354" w:rsidRPr="00F541B6">
        <w:rPr>
          <w:rStyle w:val="Zvraznn"/>
          <w:i w:val="0"/>
        </w:rPr>
        <w:t>pomocí obecné záruky stability práva</w:t>
      </w:r>
      <w:r w:rsidR="00D438A0" w:rsidRPr="00F541B6">
        <w:rPr>
          <w:rStyle w:val="Zvraznn"/>
          <w:i w:val="0"/>
        </w:rPr>
        <w:t>, která má zajistit nezasahování státu do pozice subjektů na trhu</w:t>
      </w:r>
      <w:r w:rsidR="00042214" w:rsidRPr="00F541B6">
        <w:rPr>
          <w:rStyle w:val="Zvraznn"/>
          <w:i w:val="0"/>
        </w:rPr>
        <w:t>.</w:t>
      </w:r>
      <w:r w:rsidR="00667B38">
        <w:rPr>
          <w:rStyle w:val="Znakapoznpodarou"/>
          <w:iCs/>
        </w:rPr>
        <w:footnoteReference w:id="73"/>
      </w:r>
      <w:r w:rsidR="00217608">
        <w:rPr>
          <w:rStyle w:val="Zvraznn"/>
          <w:i w:val="0"/>
        </w:rPr>
        <w:t xml:space="preserve"> Po novele zákona z roku 2010, která potvrdila odložení zastavení výroby</w:t>
      </w:r>
      <w:r w:rsidR="00187649">
        <w:rPr>
          <w:rStyle w:val="Zvraznn"/>
          <w:i w:val="0"/>
        </w:rPr>
        <w:t xml:space="preserve"> (resp. platnost výjimek)</w:t>
      </w:r>
      <w:r w:rsidR="00217608">
        <w:rPr>
          <w:rStyle w:val="Zvraznn"/>
          <w:i w:val="0"/>
        </w:rPr>
        <w:t xml:space="preserve"> elektrické energie z jádra, se investoři v energetické oblasti spoléhali na </w:t>
      </w:r>
      <w:r w:rsidR="00FB6AA6">
        <w:rPr>
          <w:rStyle w:val="Zvraznn"/>
          <w:i w:val="0"/>
        </w:rPr>
        <w:t>dodržení tohoto stavu.</w:t>
      </w:r>
      <w:r w:rsidR="00A47F9C">
        <w:rPr>
          <w:rStyle w:val="Zvraznn"/>
          <w:i w:val="0"/>
        </w:rPr>
        <w:t xml:space="preserve"> </w:t>
      </w:r>
    </w:p>
    <w:p w14:paraId="028CC347" w14:textId="41795712" w:rsidR="00414F03" w:rsidRPr="0018406D" w:rsidRDefault="00F134C1" w:rsidP="00E66AC7">
      <w:pPr>
        <w:pStyle w:val="Odstavecseseznamem"/>
        <w:spacing w:line="360" w:lineRule="auto"/>
        <w:ind w:left="142" w:firstLine="654"/>
        <w:jc w:val="both"/>
        <w:rPr>
          <w:rStyle w:val="Zvraznn"/>
          <w:i w:val="0"/>
          <w:highlight w:val="yellow"/>
        </w:rPr>
      </w:pPr>
      <w:r w:rsidRPr="0099310A">
        <w:rPr>
          <w:rStyle w:val="Zvraznn"/>
          <w:i w:val="0"/>
        </w:rPr>
        <w:t>Obdobně jako</w:t>
      </w:r>
      <w:r w:rsidR="00F33D81" w:rsidRPr="0099310A">
        <w:rPr>
          <w:rStyle w:val="Zvraznn"/>
          <w:i w:val="0"/>
        </w:rPr>
        <w:t xml:space="preserve"> rozhodci</w:t>
      </w:r>
      <w:r w:rsidRPr="0099310A">
        <w:rPr>
          <w:rStyle w:val="Zvraznn"/>
          <w:i w:val="0"/>
        </w:rPr>
        <w:t xml:space="preserve"> v případu </w:t>
      </w:r>
      <w:r w:rsidR="00D22A76" w:rsidRPr="0099310A">
        <w:rPr>
          <w:rStyle w:val="Zvraznn"/>
        </w:rPr>
        <w:t xml:space="preserve">Philip Morris v. Uruguay </w:t>
      </w:r>
      <w:r w:rsidR="00D22A76" w:rsidRPr="0099310A">
        <w:rPr>
          <w:rStyle w:val="Zvraznn"/>
          <w:i w:val="0"/>
        </w:rPr>
        <w:t>dal i zde ústavní soud</w:t>
      </w:r>
      <w:r w:rsidR="00F33D81" w:rsidRPr="0099310A">
        <w:rPr>
          <w:rStyle w:val="Zvraznn"/>
          <w:i w:val="0"/>
        </w:rPr>
        <w:t xml:space="preserve"> převážně</w:t>
      </w:r>
      <w:r w:rsidR="00D22A76" w:rsidRPr="0099310A">
        <w:rPr>
          <w:rStyle w:val="Zvraznn"/>
          <w:i w:val="0"/>
        </w:rPr>
        <w:t xml:space="preserve"> za pravdu státu, když upřednostnil právo státu na regulaci, novelu energetického zákona shledal za</w:t>
      </w:r>
      <w:r w:rsidR="00EE2A5B" w:rsidRPr="0099310A">
        <w:rPr>
          <w:rStyle w:val="Zvraznn"/>
          <w:i w:val="0"/>
        </w:rPr>
        <w:t xml:space="preserve"> v podstatě</w:t>
      </w:r>
      <w:r w:rsidR="00D22A76" w:rsidRPr="0099310A">
        <w:rPr>
          <w:rStyle w:val="Zvraznn"/>
          <w:i w:val="0"/>
        </w:rPr>
        <w:t xml:space="preserve"> souladnou s článkem 1</w:t>
      </w:r>
      <w:r w:rsidR="00D22A76" w:rsidRPr="00950BE7">
        <w:rPr>
          <w:rStyle w:val="Zvraznn"/>
          <w:i w:val="0"/>
        </w:rPr>
        <w:t>4</w:t>
      </w:r>
      <w:r w:rsidR="001125A2">
        <w:rPr>
          <w:rStyle w:val="Zvraznn"/>
          <w:i w:val="0"/>
        </w:rPr>
        <w:t xml:space="preserve"> </w:t>
      </w:r>
      <w:r w:rsidR="002600BF">
        <w:rPr>
          <w:rStyle w:val="Zvraznn"/>
          <w:i w:val="0"/>
        </w:rPr>
        <w:t>GG</w:t>
      </w:r>
      <w:r w:rsidR="00D22A76" w:rsidRPr="00950BE7">
        <w:rPr>
          <w:rStyle w:val="Zvraznn"/>
          <w:i w:val="0"/>
        </w:rPr>
        <w:t xml:space="preserve">. </w:t>
      </w:r>
      <w:r w:rsidR="00950BE7">
        <w:rPr>
          <w:rStyle w:val="Zvraznn"/>
          <w:i w:val="0"/>
        </w:rPr>
        <w:t>A to</w:t>
      </w:r>
      <w:r w:rsidR="00E86714" w:rsidRPr="0099310A">
        <w:rPr>
          <w:rStyle w:val="Zvraznn"/>
          <w:i w:val="0"/>
        </w:rPr>
        <w:t xml:space="preserve"> i přesto, že</w:t>
      </w:r>
      <w:r w:rsidR="00B82DEC" w:rsidRPr="0099310A">
        <w:rPr>
          <w:rStyle w:val="Zvraznn"/>
          <w:i w:val="0"/>
        </w:rPr>
        <w:t xml:space="preserve"> 1)</w:t>
      </w:r>
      <w:r w:rsidR="00E86714" w:rsidRPr="0099310A">
        <w:rPr>
          <w:rStyle w:val="Zvraznn"/>
          <w:i w:val="0"/>
        </w:rPr>
        <w:t xml:space="preserve"> fukušimská havárie, jíž byla novela motivována a zdůvodněna</w:t>
      </w:r>
      <w:r w:rsidR="004B7569">
        <w:rPr>
          <w:rStyle w:val="Zvraznn"/>
          <w:i w:val="0"/>
        </w:rPr>
        <w:t>,</w:t>
      </w:r>
      <w:r w:rsidR="00E86714" w:rsidRPr="0099310A">
        <w:rPr>
          <w:rStyle w:val="Zvraznn"/>
          <w:i w:val="0"/>
        </w:rPr>
        <w:t xml:space="preserve"> neměla žádnou souvislost </w:t>
      </w:r>
      <w:r w:rsidR="00B82DEC" w:rsidRPr="0099310A">
        <w:rPr>
          <w:rStyle w:val="Zvraznn"/>
          <w:i w:val="0"/>
        </w:rPr>
        <w:t xml:space="preserve">s bezpečností jaderných elektráren v Německu a 2) </w:t>
      </w:r>
      <w:r w:rsidR="00B759AB" w:rsidRPr="0099310A">
        <w:rPr>
          <w:rStyle w:val="Zvraznn"/>
          <w:i w:val="0"/>
        </w:rPr>
        <w:t xml:space="preserve">společnostem </w:t>
      </w:r>
      <w:r w:rsidR="006E1629" w:rsidRPr="0099310A">
        <w:rPr>
          <w:rStyle w:val="Zvraznn"/>
          <w:i w:val="0"/>
        </w:rPr>
        <w:t>Vattenfall, E-ON a další</w:t>
      </w:r>
      <w:r w:rsidR="00C44926">
        <w:rPr>
          <w:rStyle w:val="Zvraznn"/>
          <w:i w:val="0"/>
        </w:rPr>
        <w:t>m byla</w:t>
      </w:r>
      <w:r w:rsidR="00B759AB" w:rsidRPr="0099310A">
        <w:rPr>
          <w:rStyle w:val="Zvraznn"/>
          <w:i w:val="0"/>
        </w:rPr>
        <w:t xml:space="preserve"> fakticky zmařena investice v tomto sektoru</w:t>
      </w:r>
      <w:r w:rsidR="00E00EBB">
        <w:rPr>
          <w:rStyle w:val="Zvraznn"/>
          <w:i w:val="0"/>
        </w:rPr>
        <w:t>.</w:t>
      </w:r>
      <w:r w:rsidR="00C526A4">
        <w:rPr>
          <w:rStyle w:val="Zvraznn"/>
          <w:i w:val="0"/>
        </w:rPr>
        <w:t xml:space="preserve"> </w:t>
      </w:r>
    </w:p>
    <w:p w14:paraId="6D2C1C0F" w14:textId="63D22353" w:rsidR="00E66AC7" w:rsidRPr="0075447B" w:rsidRDefault="00414F03" w:rsidP="00E66AC7">
      <w:pPr>
        <w:pStyle w:val="Odstavecseseznamem"/>
        <w:spacing w:line="360" w:lineRule="auto"/>
        <w:ind w:left="142" w:firstLine="654"/>
        <w:jc w:val="both"/>
      </w:pPr>
      <w:r w:rsidRPr="0075447B">
        <w:rPr>
          <w:rStyle w:val="Zvraznn"/>
          <w:i w:val="0"/>
        </w:rPr>
        <w:t xml:space="preserve">Nicméně částečně </w:t>
      </w:r>
      <w:r w:rsidR="00E765A8" w:rsidRPr="0075447B">
        <w:rPr>
          <w:rStyle w:val="Zvraznn"/>
          <w:i w:val="0"/>
        </w:rPr>
        <w:t>porušení oprávněných očekávání</w:t>
      </w:r>
      <w:r w:rsidR="0099310A" w:rsidRPr="0075447B">
        <w:rPr>
          <w:rStyle w:val="Zvraznn"/>
          <w:i w:val="0"/>
        </w:rPr>
        <w:t xml:space="preserve"> shledal</w:t>
      </w:r>
      <w:r w:rsidR="00414A06" w:rsidRPr="0075447B">
        <w:rPr>
          <w:rStyle w:val="Zvraznn"/>
          <w:i w:val="0"/>
        </w:rPr>
        <w:t xml:space="preserve">, </w:t>
      </w:r>
      <w:r w:rsidR="0075447B" w:rsidRPr="0075447B">
        <w:rPr>
          <w:rStyle w:val="Zvraznn"/>
          <w:i w:val="0"/>
        </w:rPr>
        <w:t>a to právě s ohledem na novelu z roku 2010, na základě které se investoři spolehli na provoz elektráren s výjimkami po dobu 12 le</w:t>
      </w:r>
      <w:r w:rsidR="0075447B" w:rsidRPr="00CB22CB">
        <w:rPr>
          <w:rStyle w:val="Zvraznn"/>
          <w:i w:val="0"/>
        </w:rPr>
        <w:t>t</w:t>
      </w:r>
      <w:r w:rsidR="0099310A" w:rsidRPr="00CB22CB">
        <w:rPr>
          <w:rStyle w:val="Zvraznn"/>
          <w:i w:val="0"/>
        </w:rPr>
        <w:t>.</w:t>
      </w:r>
      <w:r w:rsidR="005547B2">
        <w:rPr>
          <w:rStyle w:val="Zvraznn"/>
          <w:i w:val="0"/>
        </w:rPr>
        <w:t xml:space="preserve"> Podle </w:t>
      </w:r>
      <w:r w:rsidR="005547B2">
        <w:t xml:space="preserve">BVerfG je nutno kompenzovat omezení užitku z majetku v situacích, kdy </w:t>
      </w:r>
      <w:r w:rsidR="006034C9">
        <w:t>je</w:t>
      </w:r>
      <w:r w:rsidR="00591588">
        <w:t>j</w:t>
      </w:r>
      <w:r w:rsidR="006034C9">
        <w:t xml:space="preserve"> stát omezí v rozporu s výslovným předchozím ujištěním</w:t>
      </w:r>
      <w:r w:rsidR="0032621A">
        <w:t>. 11. novela byla v tomto ohledu podpořením investic, na které bylo rozumné se spolehnout</w:t>
      </w:r>
      <w:r w:rsidR="005A1F2F" w:rsidRPr="0075447B">
        <w:rPr>
          <w:rStyle w:val="Zvraznn"/>
          <w:i w:val="0"/>
        </w:rPr>
        <w:t>. Dalším kri</w:t>
      </w:r>
      <w:r w:rsidR="00E249DB">
        <w:rPr>
          <w:rStyle w:val="Zvraznn"/>
          <w:i w:val="0"/>
        </w:rPr>
        <w:t>tériem byl</w:t>
      </w:r>
      <w:r w:rsidR="003F2DAA">
        <w:rPr>
          <w:rStyle w:val="Zvraznn"/>
          <w:i w:val="0"/>
        </w:rPr>
        <w:t xml:space="preserve"> krátký časový úsek</w:t>
      </w:r>
      <w:r w:rsidR="00893CFA">
        <w:rPr>
          <w:rStyle w:val="Zvraznn"/>
          <w:i w:val="0"/>
        </w:rPr>
        <w:t xml:space="preserve"> mezi 11. a 13. novelou</w:t>
      </w:r>
      <w:r w:rsidR="005A1F2F" w:rsidRPr="0075447B">
        <w:rPr>
          <w:rStyle w:val="Zvraznn"/>
          <w:i w:val="0"/>
        </w:rPr>
        <w:t xml:space="preserve">, ve kterém změny probíhaly, </w:t>
      </w:r>
      <w:r w:rsidR="001D7983" w:rsidRPr="0075447B">
        <w:rPr>
          <w:rStyle w:val="Zvraznn"/>
          <w:i w:val="0"/>
        </w:rPr>
        <w:t>v tomto případě dokonce během jednoho volebního období.</w:t>
      </w:r>
      <w:r w:rsidR="006B66FE">
        <w:rPr>
          <w:rStyle w:val="Znakapoznpodarou"/>
          <w:iCs/>
        </w:rPr>
        <w:footnoteReference w:id="74"/>
      </w:r>
      <w:r w:rsidR="0075447B">
        <w:rPr>
          <w:rStyle w:val="Zvraznn"/>
          <w:i w:val="0"/>
        </w:rPr>
        <w:t xml:space="preserve"> </w:t>
      </w:r>
      <w:r w:rsidR="00BA0C5F">
        <w:t>BVerfG</w:t>
      </w:r>
      <w:r w:rsidR="00BA0C5F">
        <w:rPr>
          <w:rStyle w:val="Zvraznn"/>
          <w:i w:val="0"/>
        </w:rPr>
        <w:t xml:space="preserve"> r</w:t>
      </w:r>
      <w:r w:rsidR="006A313B">
        <w:rPr>
          <w:rStyle w:val="Zvraznn"/>
          <w:i w:val="0"/>
        </w:rPr>
        <w:t>ozhodl, že taková náhlá</w:t>
      </w:r>
      <w:r w:rsidR="00B0599C">
        <w:rPr>
          <w:rStyle w:val="Zvraznn"/>
          <w:i w:val="0"/>
        </w:rPr>
        <w:t xml:space="preserve"> a nepředvídatelná</w:t>
      </w:r>
      <w:r w:rsidR="006A313B">
        <w:rPr>
          <w:rStyle w:val="Zvraznn"/>
          <w:i w:val="0"/>
        </w:rPr>
        <w:t xml:space="preserve"> změna tohoto zákona nemůže být ponechána bez kompenzace</w:t>
      </w:r>
      <w:r w:rsidR="00B05DE5">
        <w:rPr>
          <w:rStyle w:val="Zvraznn"/>
          <w:i w:val="0"/>
        </w:rPr>
        <w:t xml:space="preserve"> prostředků, které v mezičase investoři vynaložili</w:t>
      </w:r>
      <w:r w:rsidR="00C96485">
        <w:rPr>
          <w:rStyle w:val="Zvraznn"/>
          <w:i w:val="0"/>
        </w:rPr>
        <w:t xml:space="preserve">. </w:t>
      </w:r>
      <w:r w:rsidR="000971AD">
        <w:rPr>
          <w:rStyle w:val="Zvraznn"/>
          <w:i w:val="0"/>
        </w:rPr>
        <w:t xml:space="preserve">Legitimní očekávání </w:t>
      </w:r>
      <w:r w:rsidR="00B05DE5">
        <w:rPr>
          <w:rStyle w:val="Zvraznn"/>
          <w:i w:val="0"/>
        </w:rPr>
        <w:t>ale</w:t>
      </w:r>
      <w:r w:rsidR="000971AD">
        <w:rPr>
          <w:rStyle w:val="Zvraznn"/>
          <w:i w:val="0"/>
        </w:rPr>
        <w:t xml:space="preserve"> bylo založeno až </w:t>
      </w:r>
      <w:r w:rsidR="008828E8">
        <w:rPr>
          <w:rStyle w:val="Zvraznn"/>
          <w:i w:val="0"/>
        </w:rPr>
        <w:t>11. novelou</w:t>
      </w:r>
      <w:r w:rsidR="000971AD">
        <w:rPr>
          <w:rStyle w:val="Zvraznn"/>
          <w:i w:val="0"/>
        </w:rPr>
        <w:t xml:space="preserve">, nikoli prvotním rozhodnutím o postupném utlumení výroby z roku </w:t>
      </w:r>
      <w:r w:rsidR="00A97B81">
        <w:rPr>
          <w:rStyle w:val="Zvraznn"/>
          <w:i w:val="0"/>
        </w:rPr>
        <w:t>2002.</w:t>
      </w:r>
      <w:r w:rsidR="001B0625">
        <w:rPr>
          <w:rStyle w:val="Zvraznn"/>
          <w:i w:val="0"/>
        </w:rPr>
        <w:t xml:space="preserve"> Ani</w:t>
      </w:r>
      <w:r w:rsidR="00C36548">
        <w:rPr>
          <w:rStyle w:val="Zvraznn"/>
          <w:i w:val="0"/>
        </w:rPr>
        <w:t xml:space="preserve"> vládní prohlášení, ani</w:t>
      </w:r>
      <w:r w:rsidR="008828E8">
        <w:rPr>
          <w:rStyle w:val="Zvraznn"/>
          <w:i w:val="0"/>
        </w:rPr>
        <w:t xml:space="preserve"> návrh zákona</w:t>
      </w:r>
      <w:r w:rsidR="001B0625">
        <w:rPr>
          <w:rStyle w:val="Zvraznn"/>
          <w:i w:val="0"/>
        </w:rPr>
        <w:t xml:space="preserve"> z</w:t>
      </w:r>
      <w:r w:rsidR="003C0C53">
        <w:rPr>
          <w:rStyle w:val="Zvraznn"/>
          <w:i w:val="0"/>
        </w:rPr>
        <w:t>e září roku 2010, který měl původně</w:t>
      </w:r>
      <w:r w:rsidR="00DF09A0">
        <w:rPr>
          <w:rStyle w:val="Zvraznn"/>
          <w:i w:val="0"/>
        </w:rPr>
        <w:t xml:space="preserve"> potvrdit výjimky, nemohly</w:t>
      </w:r>
      <w:r w:rsidR="001B0625">
        <w:rPr>
          <w:rStyle w:val="Zvraznn"/>
          <w:i w:val="0"/>
        </w:rPr>
        <w:t xml:space="preserve"> podle soudu vyvolat oprávněná očekávání, to m</w:t>
      </w:r>
      <w:r w:rsidR="00EA3236">
        <w:rPr>
          <w:rStyle w:val="Zvraznn"/>
          <w:i w:val="0"/>
        </w:rPr>
        <w:t>ohl</w:t>
      </w:r>
      <w:r w:rsidR="001B0625">
        <w:rPr>
          <w:rStyle w:val="Zvraznn"/>
          <w:i w:val="0"/>
        </w:rPr>
        <w:t xml:space="preserve"> až samotný zákon.</w:t>
      </w:r>
      <w:r w:rsidR="006F5AE5">
        <w:rPr>
          <w:rStyle w:val="Zvraznn"/>
          <w:i w:val="0"/>
        </w:rPr>
        <w:t xml:space="preserve"> </w:t>
      </w:r>
      <w:r w:rsidR="009B6209">
        <w:rPr>
          <w:rStyle w:val="Zvraznn"/>
          <w:i w:val="0"/>
        </w:rPr>
        <w:t xml:space="preserve">Doba, ve které mohla </w:t>
      </w:r>
      <w:r w:rsidR="009B6209">
        <w:rPr>
          <w:rStyle w:val="Zvraznn"/>
          <w:i w:val="0"/>
        </w:rPr>
        <w:lastRenderedPageBreak/>
        <w:t>nastat oprávněná očekávání</w:t>
      </w:r>
      <w:r w:rsidR="0090047C">
        <w:rPr>
          <w:rStyle w:val="Zvraznn"/>
          <w:i w:val="0"/>
        </w:rPr>
        <w:t>,</w:t>
      </w:r>
      <w:r w:rsidR="00E253F8">
        <w:rPr>
          <w:rStyle w:val="Zvraznn"/>
          <w:i w:val="0"/>
        </w:rPr>
        <w:t xml:space="preserve"> tedy</w:t>
      </w:r>
      <w:r w:rsidR="009B6209">
        <w:rPr>
          <w:rStyle w:val="Zvraznn"/>
          <w:i w:val="0"/>
        </w:rPr>
        <w:t xml:space="preserve"> byla ohraničena 11. novelou z</w:t>
      </w:r>
      <w:r w:rsidR="00A25905">
        <w:rPr>
          <w:rStyle w:val="Zvraznn"/>
          <w:i w:val="0"/>
        </w:rPr>
        <w:t xml:space="preserve"> října</w:t>
      </w:r>
      <w:r w:rsidR="009B6209">
        <w:rPr>
          <w:rStyle w:val="Zvraznn"/>
          <w:i w:val="0"/>
        </w:rPr>
        <w:t xml:space="preserve"> roku 2010 a </w:t>
      </w:r>
      <w:r w:rsidR="00375E7C">
        <w:rPr>
          <w:rStyle w:val="Zvraznn"/>
          <w:i w:val="0"/>
        </w:rPr>
        <w:t>oznámením ministerstva životního prostředí z</w:t>
      </w:r>
      <w:r w:rsidR="00A25905">
        <w:rPr>
          <w:rStyle w:val="Zvraznn"/>
          <w:i w:val="0"/>
        </w:rPr>
        <w:t> března 2011</w:t>
      </w:r>
      <w:r w:rsidR="0090047C">
        <w:rPr>
          <w:rStyle w:val="Zvraznn"/>
          <w:i w:val="0"/>
        </w:rPr>
        <w:t xml:space="preserve">, kterým bylo </w:t>
      </w:r>
      <w:r w:rsidR="00FC7655">
        <w:rPr>
          <w:rStyle w:val="Zvraznn"/>
          <w:i w:val="0"/>
        </w:rPr>
        <w:t>vyhlášeno</w:t>
      </w:r>
      <w:r w:rsidR="0090047C">
        <w:rPr>
          <w:rStyle w:val="Zvraznn"/>
          <w:i w:val="0"/>
        </w:rPr>
        <w:t xml:space="preserve"> jaderné moratorium</w:t>
      </w:r>
      <w:r w:rsidR="00310ABE" w:rsidRPr="0090047C">
        <w:rPr>
          <w:rStyle w:val="Zvraznn"/>
          <w:i w:val="0"/>
        </w:rPr>
        <w:t>.</w:t>
      </w:r>
      <w:r w:rsidR="00310ABE">
        <w:rPr>
          <w:rStyle w:val="Znakapoznpodarou"/>
          <w:iCs/>
        </w:rPr>
        <w:footnoteReference w:id="75"/>
      </w:r>
      <w:r w:rsidR="002B4974">
        <w:rPr>
          <w:rStyle w:val="Zvraznn"/>
          <w:i w:val="0"/>
        </w:rPr>
        <w:t xml:space="preserve"> </w:t>
      </w:r>
      <w:r w:rsidR="00B33DCF">
        <w:rPr>
          <w:rStyle w:val="Zvraznn"/>
          <w:i w:val="0"/>
        </w:rPr>
        <w:t>Jedině dodatečné investice v tomto období mají být kompenzovány.</w:t>
      </w:r>
    </w:p>
    <w:p w14:paraId="5D52659F" w14:textId="37E59B5B" w:rsidR="0018406D" w:rsidRPr="00D22A76" w:rsidRDefault="0018406D" w:rsidP="005A265A">
      <w:pPr>
        <w:pStyle w:val="Odstavecseseznamem"/>
        <w:spacing w:line="360" w:lineRule="auto"/>
        <w:ind w:left="142" w:firstLine="654"/>
        <w:jc w:val="both"/>
        <w:rPr>
          <w:rStyle w:val="Zvraznn"/>
          <w:i w:val="0"/>
        </w:rPr>
      </w:pPr>
      <w:r>
        <w:rPr>
          <w:rStyle w:val="Zvraznn"/>
          <w:i w:val="0"/>
        </w:rPr>
        <w:t xml:space="preserve">Dá se tedy říci, že se soud přiblížil </w:t>
      </w:r>
      <w:r w:rsidR="00D92F4F">
        <w:rPr>
          <w:rStyle w:val="Zvraznn"/>
          <w:i w:val="0"/>
        </w:rPr>
        <w:t xml:space="preserve">linii, kterou drží většina rozhodčích tribunálů, a sice že </w:t>
      </w:r>
      <w:r w:rsidR="00CC2E88">
        <w:rPr>
          <w:rStyle w:val="Zvraznn"/>
          <w:i w:val="0"/>
        </w:rPr>
        <w:t>pokud byla určitá inv</w:t>
      </w:r>
      <w:r w:rsidR="007E2CCA">
        <w:rPr>
          <w:rStyle w:val="Zvraznn"/>
          <w:i w:val="0"/>
        </w:rPr>
        <w:t>estice učiněna právě na základě záruk daných v době jejího provedení, ochrana oprávněných očekávání je instrument, který zabrání nepředvídatelným</w:t>
      </w:r>
      <w:r w:rsidR="00CA1087">
        <w:rPr>
          <w:rStyle w:val="Zvraznn"/>
          <w:i w:val="0"/>
        </w:rPr>
        <w:t xml:space="preserve"> a náhlým</w:t>
      </w:r>
      <w:r w:rsidR="007E2CCA">
        <w:rPr>
          <w:rStyle w:val="Zvraznn"/>
          <w:i w:val="0"/>
        </w:rPr>
        <w:t xml:space="preserve"> změnám právního rámce (viz např. </w:t>
      </w:r>
      <w:r w:rsidR="00034AD4">
        <w:rPr>
          <w:rStyle w:val="Zvraznn"/>
        </w:rPr>
        <w:t>Plarna Consortium</w:t>
      </w:r>
      <w:r w:rsidR="005A265A" w:rsidRPr="005A265A">
        <w:rPr>
          <w:rStyle w:val="Zvraznn"/>
        </w:rPr>
        <w:t xml:space="preserve"> v. Bulgaria</w:t>
      </w:r>
      <w:r w:rsidR="00D06C56">
        <w:rPr>
          <w:rStyle w:val="Zvraznn"/>
        </w:rPr>
        <w:t xml:space="preserve"> nebo </w:t>
      </w:r>
      <w:r w:rsidR="00D06C56" w:rsidRPr="00577840">
        <w:rPr>
          <w:rStyle w:val="Zvraznn"/>
        </w:rPr>
        <w:t>CME v.</w:t>
      </w:r>
      <w:r w:rsidR="0092635C">
        <w:rPr>
          <w:rStyle w:val="Zvraznn"/>
        </w:rPr>
        <w:t xml:space="preserve"> The</w:t>
      </w:r>
      <w:r w:rsidR="008C7E81">
        <w:rPr>
          <w:rStyle w:val="Zvraznn"/>
        </w:rPr>
        <w:t xml:space="preserve"> </w:t>
      </w:r>
      <w:r w:rsidR="004D72F8">
        <w:rPr>
          <w:rStyle w:val="Zvraznn"/>
        </w:rPr>
        <w:t>Czech Republic</w:t>
      </w:r>
      <w:r w:rsidR="003A629A">
        <w:rPr>
          <w:rStyle w:val="Znakapoznpodarou"/>
          <w:i/>
          <w:iCs/>
        </w:rPr>
        <w:footnoteReference w:id="76"/>
      </w:r>
      <w:r w:rsidR="005A265A">
        <w:rPr>
          <w:rStyle w:val="Zvraznn"/>
          <w:i w:val="0"/>
        </w:rPr>
        <w:t>).</w:t>
      </w:r>
      <w:r w:rsidR="001D7CE7">
        <w:rPr>
          <w:rStyle w:val="Zvraznn"/>
          <w:i w:val="0"/>
        </w:rPr>
        <w:t xml:space="preserve"> Přijetí opatření ve veřejném zájmu vzal soud v úvahu,</w:t>
      </w:r>
      <w:r w:rsidR="001943A0">
        <w:rPr>
          <w:rStyle w:val="Zvraznn"/>
          <w:i w:val="0"/>
        </w:rPr>
        <w:t xml:space="preserve"> avšak ani tento fakt jej</w:t>
      </w:r>
      <w:r w:rsidR="008255AD">
        <w:rPr>
          <w:rStyle w:val="Zvraznn"/>
          <w:i w:val="0"/>
        </w:rPr>
        <w:t xml:space="preserve"> sám o sobě</w:t>
      </w:r>
      <w:r w:rsidR="001943A0">
        <w:rPr>
          <w:rStyle w:val="Zvraznn"/>
          <w:i w:val="0"/>
        </w:rPr>
        <w:t xml:space="preserve"> nečiní pr</w:t>
      </w:r>
      <w:r w:rsidR="009F6411">
        <w:rPr>
          <w:rStyle w:val="Zvraznn"/>
          <w:i w:val="0"/>
        </w:rPr>
        <w:t>oporcionálním a majetkovou újmu způsobenou odebráním již schválených výjimek je nutné kompenzovat</w:t>
      </w:r>
      <w:r w:rsidR="00230D54">
        <w:rPr>
          <w:rStyle w:val="Zvraznn"/>
          <w:i w:val="0"/>
        </w:rPr>
        <w:t>, například formou jejich opětovného zavedení</w:t>
      </w:r>
      <w:r w:rsidR="009F6411">
        <w:rPr>
          <w:rStyle w:val="Zvraznn"/>
          <w:i w:val="0"/>
        </w:rPr>
        <w:t>.</w:t>
      </w:r>
      <w:r w:rsidR="00EC681C">
        <w:rPr>
          <w:rStyle w:val="Znakapoznpodarou"/>
          <w:iCs/>
        </w:rPr>
        <w:footnoteReference w:id="77"/>
      </w:r>
      <w:r w:rsidR="009F6411">
        <w:rPr>
          <w:rStyle w:val="Zvraznn"/>
          <w:i w:val="0"/>
        </w:rPr>
        <w:t xml:space="preserve"> </w:t>
      </w:r>
    </w:p>
    <w:p w14:paraId="5E5A53DB" w14:textId="77777777" w:rsidR="009432A1" w:rsidRDefault="00054524" w:rsidP="009F4F0C">
      <w:pPr>
        <w:pStyle w:val="Odstavecseseznamem"/>
        <w:spacing w:line="360" w:lineRule="auto"/>
        <w:ind w:left="142" w:firstLine="654"/>
        <w:jc w:val="both"/>
        <w:rPr>
          <w:rStyle w:val="Zvraznn"/>
          <w:i w:val="0"/>
        </w:rPr>
      </w:pPr>
      <w:r>
        <w:rPr>
          <w:rStyle w:val="Zvraznn"/>
          <w:i w:val="0"/>
        </w:rPr>
        <w:t xml:space="preserve">Ačkoliv zatím nebylo řízení podle ECT skončeno, lze předpokládat </w:t>
      </w:r>
      <w:r w:rsidR="00C354CE">
        <w:rPr>
          <w:rStyle w:val="Zvraznn"/>
          <w:i w:val="0"/>
        </w:rPr>
        <w:t>rozhodování podle podobných kritérií i od rozhodčího tribunálu</w:t>
      </w:r>
      <w:r w:rsidR="00CC0960">
        <w:rPr>
          <w:rStyle w:val="Zvraznn"/>
          <w:i w:val="0"/>
        </w:rPr>
        <w:t xml:space="preserve">, ECT obsahuje </w:t>
      </w:r>
      <w:r w:rsidR="00821AB6">
        <w:rPr>
          <w:rStyle w:val="Zvraznn"/>
          <w:i w:val="0"/>
        </w:rPr>
        <w:t>doložku FET</w:t>
      </w:r>
      <w:r w:rsidR="003C5EAC">
        <w:rPr>
          <w:rStyle w:val="Zvraznn"/>
          <w:i w:val="0"/>
        </w:rPr>
        <w:t>, v praxi uplatňovanou a posuzovanou stejně jako samostatnou klauzuli v BIT</w:t>
      </w:r>
      <w:r w:rsidR="00821AB6">
        <w:rPr>
          <w:rStyle w:val="Zvraznn"/>
          <w:i w:val="0"/>
        </w:rPr>
        <w:t>.</w:t>
      </w:r>
      <w:r w:rsidR="00BF0957">
        <w:rPr>
          <w:rStyle w:val="Zvraznn"/>
          <w:i w:val="0"/>
        </w:rPr>
        <w:t xml:space="preserve"> Poznatky z první části této kapitoly jsou použitelné i pro řízení podle ECT, tribunál ICSID běžně aplikuje svou předchozí rozhodovací praxi.</w:t>
      </w:r>
      <w:r w:rsidR="00A55FE5">
        <w:rPr>
          <w:rStyle w:val="Zvraznn"/>
          <w:i w:val="0"/>
        </w:rPr>
        <w:t xml:space="preserve"> </w:t>
      </w:r>
    </w:p>
    <w:p w14:paraId="2F955AE2" w14:textId="176E8C9B" w:rsidR="00C75463" w:rsidRDefault="003F153D" w:rsidP="009F4F0C">
      <w:pPr>
        <w:pStyle w:val="Odstavecseseznamem"/>
        <w:spacing w:line="360" w:lineRule="auto"/>
        <w:ind w:left="142" w:firstLine="654"/>
        <w:jc w:val="both"/>
        <w:rPr>
          <w:rStyle w:val="Zvraznn"/>
          <w:i w:val="0"/>
        </w:rPr>
      </w:pPr>
      <w:r w:rsidRPr="009A16B3">
        <w:rPr>
          <w:rStyle w:val="Zvraznn"/>
          <w:i w:val="0"/>
        </w:rPr>
        <w:t>Byl podle ní rozhodnut</w:t>
      </w:r>
      <w:r w:rsidR="008829DE" w:rsidRPr="009A16B3">
        <w:rPr>
          <w:rStyle w:val="Zvraznn"/>
          <w:i w:val="0"/>
        </w:rPr>
        <w:t xml:space="preserve"> například </w:t>
      </w:r>
      <w:r w:rsidR="0020017D" w:rsidRPr="009A16B3">
        <w:rPr>
          <w:rStyle w:val="Zvraznn"/>
        </w:rPr>
        <w:t>Electrabel</w:t>
      </w:r>
      <w:r w:rsidR="009A16B3">
        <w:rPr>
          <w:rStyle w:val="Zvraznn"/>
        </w:rPr>
        <w:t xml:space="preserve"> v. Hungary</w:t>
      </w:r>
      <w:r w:rsidR="001A1531" w:rsidRPr="009A16B3">
        <w:rPr>
          <w:rStyle w:val="Zvraznn"/>
          <w:i w:val="0"/>
        </w:rPr>
        <w:t>.</w:t>
      </w:r>
      <w:r w:rsidR="001A1964">
        <w:rPr>
          <w:rStyle w:val="Zvraznn"/>
          <w:i w:val="0"/>
        </w:rPr>
        <w:t xml:space="preserve"> Před vstupem Maďarska do EU uzavře</w:t>
      </w:r>
      <w:r w:rsidR="00CB517D">
        <w:rPr>
          <w:rStyle w:val="Zvraznn"/>
          <w:i w:val="0"/>
        </w:rPr>
        <w:t xml:space="preserve">li jeho provozovatel největší elektrárny a největší velkoodběratel elektřiny (obě společnosti vlastněné státem) smlouvu o </w:t>
      </w:r>
      <w:r w:rsidR="00ED1884">
        <w:rPr>
          <w:rStyle w:val="Zvraznn"/>
          <w:i w:val="0"/>
        </w:rPr>
        <w:t xml:space="preserve">nákupu elektřiny. </w:t>
      </w:r>
      <w:r w:rsidR="000F4AAA">
        <w:rPr>
          <w:rStyle w:val="Zvraznn"/>
          <w:i w:val="0"/>
        </w:rPr>
        <w:t xml:space="preserve">Po uzavření této smlouvy investovala společnost Electrabel do akcií </w:t>
      </w:r>
      <w:r w:rsidR="00B0425B">
        <w:rPr>
          <w:rStyle w:val="Zvraznn"/>
          <w:i w:val="0"/>
        </w:rPr>
        <w:t>elektrárny.</w:t>
      </w:r>
      <w:r w:rsidR="003734BC">
        <w:rPr>
          <w:rStyle w:val="Zvraznn"/>
          <w:i w:val="0"/>
        </w:rPr>
        <w:t xml:space="preserve"> Po vstupu Maďarska do EU zahájila Komise vyšetřování, smlouvu o nákupu elektřiny označila</w:t>
      </w:r>
      <w:r w:rsidR="0097350A">
        <w:rPr>
          <w:rStyle w:val="Zvraznn"/>
          <w:i w:val="0"/>
        </w:rPr>
        <w:t xml:space="preserve"> v souladu s právem EU</w:t>
      </w:r>
      <w:r w:rsidR="003734BC">
        <w:rPr>
          <w:rStyle w:val="Zvraznn"/>
          <w:i w:val="0"/>
        </w:rPr>
        <w:t xml:space="preserve"> za nedovolenou</w:t>
      </w:r>
      <w:r w:rsidR="0097350A">
        <w:rPr>
          <w:rStyle w:val="Zvraznn"/>
          <w:i w:val="0"/>
        </w:rPr>
        <w:t xml:space="preserve"> státní</w:t>
      </w:r>
      <w:r w:rsidR="003734BC">
        <w:rPr>
          <w:rStyle w:val="Zvraznn"/>
          <w:i w:val="0"/>
        </w:rPr>
        <w:t xml:space="preserve"> podporu a nařídila její zrušení.</w:t>
      </w:r>
      <w:r w:rsidR="000271FF">
        <w:rPr>
          <w:rStyle w:val="Znakapoznpodarou"/>
          <w:iCs/>
        </w:rPr>
        <w:footnoteReference w:id="78"/>
      </w:r>
      <w:r w:rsidR="00E5710A">
        <w:rPr>
          <w:rStyle w:val="Zvraznn"/>
          <w:i w:val="0"/>
        </w:rPr>
        <w:t xml:space="preserve"> Investor podal žalobu u ICSID </w:t>
      </w:r>
      <w:r w:rsidR="009432A1">
        <w:rPr>
          <w:rStyle w:val="Zvraznn"/>
          <w:i w:val="0"/>
        </w:rPr>
        <w:t>na základě ECT, majetková ztráta, kterou zrušením smlouvy utrpěl, byla podle něj porušením oprávněných očekávání z platné legislativy</w:t>
      </w:r>
      <w:r w:rsidR="009432A1" w:rsidRPr="00C75463">
        <w:rPr>
          <w:rStyle w:val="Zvraznn"/>
          <w:i w:val="0"/>
        </w:rPr>
        <w:t>.</w:t>
      </w:r>
      <w:r w:rsidR="001A1531" w:rsidRPr="00C75463">
        <w:rPr>
          <w:rStyle w:val="Zvraznn"/>
          <w:i w:val="0"/>
        </w:rPr>
        <w:t xml:space="preserve"> </w:t>
      </w:r>
      <w:r w:rsidR="009A16B3" w:rsidRPr="00C75463">
        <w:rPr>
          <w:rStyle w:val="Zvraznn"/>
          <w:i w:val="0"/>
        </w:rPr>
        <w:t>Ačkoli</w:t>
      </w:r>
      <w:r w:rsidR="00B11D10" w:rsidRPr="00C75463">
        <w:rPr>
          <w:rStyle w:val="Zvraznn"/>
          <w:i w:val="0"/>
        </w:rPr>
        <w:t xml:space="preserve"> se tribunál vyjádřil, že </w:t>
      </w:r>
      <w:r w:rsidR="007F2DD2" w:rsidRPr="00C75463">
        <w:rPr>
          <w:rStyle w:val="Zvraznn"/>
          <w:i w:val="0"/>
        </w:rPr>
        <w:t xml:space="preserve">výslovná záruka vůči </w:t>
      </w:r>
      <w:r w:rsidR="007F2DD2" w:rsidRPr="00C75463">
        <w:rPr>
          <w:rStyle w:val="Zvraznn"/>
          <w:i w:val="0"/>
        </w:rPr>
        <w:lastRenderedPageBreak/>
        <w:t xml:space="preserve">investorovi není vždy třeba pro </w:t>
      </w:r>
      <w:r w:rsidR="00C90EA7" w:rsidRPr="00C75463">
        <w:rPr>
          <w:rStyle w:val="Zvraznn"/>
          <w:i w:val="0"/>
        </w:rPr>
        <w:t>porušení oprávněných očekávání</w:t>
      </w:r>
      <w:r w:rsidR="001A1531" w:rsidRPr="00C75463">
        <w:rPr>
          <w:rStyle w:val="Zvraznn"/>
          <w:i w:val="0"/>
        </w:rPr>
        <w:t>, neshledal žádný rozumný důvod, proč by se měl investor v tomto případě spoléhat na neměnný stav legislativy</w:t>
      </w:r>
      <w:r w:rsidR="00C90EA7" w:rsidRPr="00C75463">
        <w:rPr>
          <w:rStyle w:val="Zvraznn"/>
          <w:i w:val="0"/>
        </w:rPr>
        <w:t>.</w:t>
      </w:r>
      <w:r w:rsidR="00590C8C">
        <w:rPr>
          <w:rStyle w:val="Zvraznn"/>
          <w:i w:val="0"/>
        </w:rPr>
        <w:t xml:space="preserve"> V tomto případě investor musí nést riziko implementace unijní legislativy a ne</w:t>
      </w:r>
      <w:r w:rsidR="003A795A">
        <w:rPr>
          <w:rStyle w:val="Zvraznn"/>
          <w:i w:val="0"/>
        </w:rPr>
        <w:t>byl rozumný důvod, aby se spoléhal na neměnnost podmínek.</w:t>
      </w:r>
      <w:r w:rsidR="00C5290E" w:rsidRPr="00C75463">
        <w:rPr>
          <w:rStyle w:val="Znakapoznpodarou"/>
          <w:iCs/>
        </w:rPr>
        <w:footnoteReference w:id="79"/>
      </w:r>
      <w:r w:rsidR="00C90EA7" w:rsidRPr="00C75463">
        <w:rPr>
          <w:rStyle w:val="Zvraznn"/>
          <w:i w:val="0"/>
        </w:rPr>
        <w:t xml:space="preserve"> </w:t>
      </w:r>
    </w:p>
    <w:p w14:paraId="57E45E79" w14:textId="0F110362" w:rsidR="009F4F0C" w:rsidRPr="0020017D" w:rsidRDefault="009A16B3" w:rsidP="009F4F0C">
      <w:pPr>
        <w:pStyle w:val="Odstavecseseznamem"/>
        <w:spacing w:line="360" w:lineRule="auto"/>
        <w:ind w:left="142" w:firstLine="654"/>
        <w:jc w:val="both"/>
        <w:rPr>
          <w:rStyle w:val="Zvraznn"/>
          <w:i w:val="0"/>
        </w:rPr>
      </w:pPr>
      <w:r w:rsidRPr="009A16B3">
        <w:rPr>
          <w:rStyle w:val="Zvraznn"/>
          <w:i w:val="0"/>
        </w:rPr>
        <w:t xml:space="preserve">Pokud bude rozhodnuto ve </w:t>
      </w:r>
      <w:r w:rsidRPr="009A16B3">
        <w:rPr>
          <w:rStyle w:val="Zvraznn"/>
        </w:rPr>
        <w:t xml:space="preserve">Vattenfall </w:t>
      </w:r>
      <w:r w:rsidRPr="009A16B3">
        <w:rPr>
          <w:rStyle w:val="Zvraznn"/>
          <w:i w:val="0"/>
        </w:rPr>
        <w:t xml:space="preserve">podle obdobných kritérií, 13. </w:t>
      </w:r>
      <w:r w:rsidR="0071185D" w:rsidRPr="009A16B3">
        <w:rPr>
          <w:rStyle w:val="Zvraznn"/>
          <w:i w:val="0"/>
        </w:rPr>
        <w:t>novela</w:t>
      </w:r>
      <w:r w:rsidRPr="009A16B3">
        <w:rPr>
          <w:rStyle w:val="Zvraznn"/>
          <w:i w:val="0"/>
        </w:rPr>
        <w:t xml:space="preserve"> AtG beze změn pravděpodobně neobstojí</w:t>
      </w:r>
      <w:r w:rsidR="0044104C">
        <w:rPr>
          <w:rStyle w:val="Zvraznn"/>
          <w:i w:val="0"/>
        </w:rPr>
        <w:t xml:space="preserve">, protože předchozí úprava </w:t>
      </w:r>
      <w:r w:rsidR="000D1DB9">
        <w:rPr>
          <w:rStyle w:val="Zvraznn"/>
          <w:i w:val="0"/>
        </w:rPr>
        <w:t>bude pravděpodobně zhodnocena jako výslovná záruka</w:t>
      </w:r>
      <w:r w:rsidRPr="009A16B3">
        <w:rPr>
          <w:rStyle w:val="Zvraznn"/>
          <w:i w:val="0"/>
        </w:rPr>
        <w:t>.</w:t>
      </w:r>
      <w:r w:rsidR="00B5238E" w:rsidRPr="009A16B3">
        <w:rPr>
          <w:rStyle w:val="Zvraznn"/>
          <w:i w:val="0"/>
        </w:rPr>
        <w:t xml:space="preserve"> </w:t>
      </w:r>
      <w:r w:rsidR="002D4E9D" w:rsidRPr="009A16B3">
        <w:rPr>
          <w:rStyle w:val="Zvraznn"/>
          <w:i w:val="0"/>
        </w:rPr>
        <w:t>Rozhodovací</w:t>
      </w:r>
      <w:r w:rsidR="002D4E9D" w:rsidRPr="00474A27">
        <w:rPr>
          <w:rStyle w:val="Zvraznn"/>
          <w:i w:val="0"/>
        </w:rPr>
        <w:t xml:space="preserve"> praxe v oblasti regulování energetiky </w:t>
      </w:r>
      <w:r w:rsidR="00B5238E" w:rsidRPr="00474A27">
        <w:rPr>
          <w:rStyle w:val="Zvraznn"/>
          <w:i w:val="0"/>
        </w:rPr>
        <w:t>je v posledních letech bohatá</w:t>
      </w:r>
      <w:r w:rsidR="006D5E18" w:rsidRPr="00474A27">
        <w:rPr>
          <w:rStyle w:val="Zvraznn"/>
          <w:i w:val="0"/>
        </w:rPr>
        <w:t>,</w:t>
      </w:r>
      <w:r w:rsidR="00B5238E" w:rsidRPr="00474A27">
        <w:rPr>
          <w:rStyle w:val="Zvraznn"/>
          <w:i w:val="0"/>
        </w:rPr>
        <w:t xml:space="preserve"> nicméně</w:t>
      </w:r>
      <w:r w:rsidR="006D5E18" w:rsidRPr="00474A27">
        <w:rPr>
          <w:rStyle w:val="Zvraznn"/>
          <w:i w:val="0"/>
        </w:rPr>
        <w:t xml:space="preserve"> většina sporů se zatím týká především porušení povinností z investičních smluv a udělených koncesí.</w:t>
      </w:r>
      <w:r w:rsidR="006D5E18">
        <w:rPr>
          <w:rStyle w:val="Znakapoznpodarou"/>
          <w:iCs/>
        </w:rPr>
        <w:footnoteReference w:id="80"/>
      </w:r>
    </w:p>
    <w:p w14:paraId="6F0A21C3" w14:textId="29614787" w:rsidR="00923726" w:rsidRDefault="00923726" w:rsidP="00923726">
      <w:pPr>
        <w:pStyle w:val="Nadpis2"/>
        <w:rPr>
          <w:rStyle w:val="Zvraznn"/>
          <w:i w:val="0"/>
        </w:rPr>
      </w:pPr>
      <w:bookmarkStart w:id="20" w:name="_Toc479697281"/>
      <w:r>
        <w:rPr>
          <w:rStyle w:val="Zvraznn"/>
          <w:i w:val="0"/>
        </w:rPr>
        <w:t>Dílčí závěr k oprávněným očekáváním</w:t>
      </w:r>
      <w:bookmarkEnd w:id="20"/>
    </w:p>
    <w:p w14:paraId="2570387A" w14:textId="5A070E9D" w:rsidR="005C64D9" w:rsidRDefault="00FB6FA5" w:rsidP="00C431D3">
      <w:pPr>
        <w:pStyle w:val="Odstavecseseznamem"/>
        <w:spacing w:line="360" w:lineRule="auto"/>
        <w:ind w:left="142" w:firstLine="654"/>
        <w:jc w:val="both"/>
        <w:rPr>
          <w:rStyle w:val="Zvraznn"/>
          <w:i w:val="0"/>
        </w:rPr>
      </w:pPr>
      <w:r>
        <w:rPr>
          <w:rStyle w:val="Zvraznn"/>
          <w:i w:val="0"/>
        </w:rPr>
        <w:t xml:space="preserve">Stále vznikající koncepce </w:t>
      </w:r>
      <w:r w:rsidR="009B580D">
        <w:rPr>
          <w:rStyle w:val="Zvraznn"/>
          <w:i w:val="0"/>
        </w:rPr>
        <w:t xml:space="preserve">legitimních očekávání nemusí pro stát v arbitráži nutně znamenat hrozbu, pokud se v zacházení s investicemi vyvaruje </w:t>
      </w:r>
      <w:r w:rsidR="00ED56AA">
        <w:rPr>
          <w:rStyle w:val="Zvraznn"/>
          <w:i w:val="0"/>
        </w:rPr>
        <w:t>specifických</w:t>
      </w:r>
      <w:r w:rsidR="009626D4">
        <w:rPr>
          <w:rStyle w:val="Zvraznn"/>
          <w:i w:val="0"/>
        </w:rPr>
        <w:t xml:space="preserve"> závazků</w:t>
      </w:r>
      <w:r w:rsidR="00CA538D">
        <w:rPr>
          <w:rStyle w:val="Zvraznn"/>
          <w:i w:val="0"/>
        </w:rPr>
        <w:t xml:space="preserve"> vůči investor</w:t>
      </w:r>
      <w:r w:rsidR="00ED56AA">
        <w:rPr>
          <w:rStyle w:val="Zvraznn"/>
          <w:i w:val="0"/>
        </w:rPr>
        <w:t>ům, které nebude schopen dodržet</w:t>
      </w:r>
      <w:r w:rsidR="00CA538D">
        <w:rPr>
          <w:rStyle w:val="Zvraznn"/>
          <w:i w:val="0"/>
        </w:rPr>
        <w:t>.</w:t>
      </w:r>
      <w:r w:rsidR="005C64D9">
        <w:rPr>
          <w:rStyle w:val="Zvraznn"/>
          <w:i w:val="0"/>
        </w:rPr>
        <w:t xml:space="preserve"> Nicméně, i</w:t>
      </w:r>
      <w:r w:rsidR="00CA538D">
        <w:rPr>
          <w:rStyle w:val="Zvraznn"/>
          <w:i w:val="0"/>
        </w:rPr>
        <w:t xml:space="preserve"> </w:t>
      </w:r>
      <w:r w:rsidR="005C64D9">
        <w:rPr>
          <w:rStyle w:val="Zvraznn"/>
          <w:i w:val="0"/>
        </w:rPr>
        <w:t xml:space="preserve">běžná změna legislativy se v určitých případech </w:t>
      </w:r>
      <w:r w:rsidR="00F91DE6">
        <w:rPr>
          <w:rStyle w:val="Zvraznn"/>
          <w:i w:val="0"/>
        </w:rPr>
        <w:t xml:space="preserve">ukazuje jako </w:t>
      </w:r>
      <w:r w:rsidR="00D208E2">
        <w:rPr>
          <w:rStyle w:val="Zvraznn"/>
          <w:i w:val="0"/>
        </w:rPr>
        <w:t>dostatečný důvod pro uznání odpovědnosti státu za porušení standardu ochrany</w:t>
      </w:r>
      <w:r w:rsidR="005C64D9">
        <w:rPr>
          <w:rStyle w:val="Zvraznn"/>
          <w:i w:val="0"/>
        </w:rPr>
        <w:t>.</w:t>
      </w:r>
    </w:p>
    <w:p w14:paraId="5EE865CC" w14:textId="2219C904" w:rsidR="00374823" w:rsidRDefault="00BC1B28" w:rsidP="00C431D3">
      <w:pPr>
        <w:pStyle w:val="Odstavecseseznamem"/>
        <w:spacing w:line="360" w:lineRule="auto"/>
        <w:ind w:left="142" w:firstLine="654"/>
        <w:jc w:val="both"/>
        <w:rPr>
          <w:rStyle w:val="Zvraznn"/>
          <w:i w:val="0"/>
        </w:rPr>
      </w:pPr>
      <w:r>
        <w:rPr>
          <w:rStyle w:val="Zvraznn"/>
          <w:i w:val="0"/>
        </w:rPr>
        <w:t xml:space="preserve"> </w:t>
      </w:r>
      <w:r w:rsidR="000B32A2">
        <w:rPr>
          <w:rStyle w:val="Zvraznn"/>
          <w:i w:val="0"/>
        </w:rPr>
        <w:t xml:space="preserve">Srovnání s režimem ochrany soukromého vlastnictví ve vyspělých státech </w:t>
      </w:r>
      <w:r w:rsidR="002F194A">
        <w:rPr>
          <w:rStyle w:val="Zvraznn"/>
          <w:i w:val="0"/>
        </w:rPr>
        <w:t xml:space="preserve">je tedy na místě a vyvolává odborné diskuze. Mnoho odborníků považuje široký výklad standardu FET </w:t>
      </w:r>
      <w:r w:rsidR="006E05CB">
        <w:rPr>
          <w:rStyle w:val="Zvraznn"/>
          <w:i w:val="0"/>
        </w:rPr>
        <w:t>za nepřiměřeně výho</w:t>
      </w:r>
      <w:r w:rsidR="007E3E9E">
        <w:rPr>
          <w:rStyle w:val="Zvraznn"/>
          <w:i w:val="0"/>
        </w:rPr>
        <w:t>dný pro investory, nečitelný,</w:t>
      </w:r>
      <w:r w:rsidR="006E05CB">
        <w:rPr>
          <w:rStyle w:val="Zvraznn"/>
          <w:i w:val="0"/>
        </w:rPr>
        <w:t xml:space="preserve"> </w:t>
      </w:r>
      <w:r w:rsidR="007E3E9E">
        <w:rPr>
          <w:rStyle w:val="Zvraznn"/>
          <w:i w:val="0"/>
        </w:rPr>
        <w:t xml:space="preserve">omezující právo na regulaci a ve vnitrostátním právu bezprecedentní. Často se objevuje srovnání s doktrínou práva USA, podle které </w:t>
      </w:r>
      <w:r w:rsidR="00FF5F8D">
        <w:rPr>
          <w:rStyle w:val="Zvraznn"/>
          <w:i w:val="0"/>
        </w:rPr>
        <w:t>může</w:t>
      </w:r>
      <w:r w:rsidR="00331AE7">
        <w:rPr>
          <w:rStyle w:val="Zvraznn"/>
          <w:i w:val="0"/>
        </w:rPr>
        <w:t xml:space="preserve"> regulatorní zásah vyvolat odpovědnost státu jedině v případě, že (1)</w:t>
      </w:r>
      <w:r w:rsidR="00071211">
        <w:rPr>
          <w:rStyle w:val="Zvraznn"/>
          <w:i w:val="0"/>
        </w:rPr>
        <w:t xml:space="preserve"> oprávnění</w:t>
      </w:r>
      <w:r w:rsidR="00331AE7">
        <w:rPr>
          <w:rStyle w:val="Zvraznn"/>
          <w:i w:val="0"/>
        </w:rPr>
        <w:t xml:space="preserve"> </w:t>
      </w:r>
      <w:r w:rsidR="00FF5F8D">
        <w:rPr>
          <w:rStyle w:val="Zvraznn"/>
          <w:i w:val="0"/>
        </w:rPr>
        <w:t xml:space="preserve">zástupci státu vyslovili záruku vůči investorovi ohledně budoucí legislativy, (2) učinili tak jasně a nepochybně, (3) </w:t>
      </w:r>
      <w:r w:rsidR="00402F33">
        <w:rPr>
          <w:rStyle w:val="Zvraznn"/>
          <w:i w:val="0"/>
        </w:rPr>
        <w:t xml:space="preserve">plně v souladu s procesními pravidly výkonu jejich funkce, (4) </w:t>
      </w:r>
      <w:r w:rsidR="007B5BE7">
        <w:rPr>
          <w:rStyle w:val="Zvraznn"/>
          <w:i w:val="0"/>
        </w:rPr>
        <w:t>s úmyslem učinit specifický slib pro konkrétního investora.</w:t>
      </w:r>
      <w:r w:rsidR="00E769A9">
        <w:rPr>
          <w:rStyle w:val="Znakapoznpodarou"/>
          <w:iCs/>
        </w:rPr>
        <w:footnoteReference w:id="81"/>
      </w:r>
      <w:r w:rsidR="007B5BE7">
        <w:rPr>
          <w:rStyle w:val="Zvraznn"/>
          <w:i w:val="0"/>
        </w:rPr>
        <w:t xml:space="preserve"> </w:t>
      </w:r>
    </w:p>
    <w:p w14:paraId="74185260" w14:textId="4AF4DD6A" w:rsidR="00DF634B" w:rsidRPr="00D42CF5" w:rsidRDefault="00316B56" w:rsidP="00C431D3">
      <w:pPr>
        <w:pStyle w:val="Odstavecseseznamem"/>
        <w:spacing w:line="360" w:lineRule="auto"/>
        <w:ind w:left="142" w:firstLine="654"/>
        <w:jc w:val="both"/>
        <w:rPr>
          <w:rStyle w:val="Zvraznn"/>
          <w:i w:val="0"/>
        </w:rPr>
      </w:pPr>
      <w:r>
        <w:rPr>
          <w:rStyle w:val="Zvraznn"/>
          <w:i w:val="0"/>
        </w:rPr>
        <w:t>Použití</w:t>
      </w:r>
      <w:r w:rsidR="006C77C9">
        <w:rPr>
          <w:rStyle w:val="Zvraznn"/>
          <w:i w:val="0"/>
        </w:rPr>
        <w:t xml:space="preserve"> </w:t>
      </w:r>
      <w:r w:rsidR="00C1598A">
        <w:rPr>
          <w:rStyle w:val="Zvraznn"/>
          <w:i w:val="0"/>
        </w:rPr>
        <w:t>klauzule</w:t>
      </w:r>
      <w:r>
        <w:rPr>
          <w:rStyle w:val="Zvraznn"/>
          <w:i w:val="0"/>
        </w:rPr>
        <w:t xml:space="preserve"> FET</w:t>
      </w:r>
      <w:r w:rsidR="00FE725D">
        <w:rPr>
          <w:rStyle w:val="Zvraznn"/>
          <w:i w:val="0"/>
        </w:rPr>
        <w:t xml:space="preserve"> se v žalobách</w:t>
      </w:r>
      <w:r w:rsidR="006C77C9">
        <w:rPr>
          <w:rStyle w:val="Zvraznn"/>
          <w:i w:val="0"/>
        </w:rPr>
        <w:t xml:space="preserve"> bud</w:t>
      </w:r>
      <w:r w:rsidR="00FE725D">
        <w:rPr>
          <w:rStyle w:val="Zvraznn"/>
          <w:i w:val="0"/>
        </w:rPr>
        <w:t>e objevovat</w:t>
      </w:r>
      <w:r w:rsidR="00205900">
        <w:rPr>
          <w:rStyle w:val="Zvraznn"/>
          <w:i w:val="0"/>
        </w:rPr>
        <w:t xml:space="preserve"> velké míře i nadále</w:t>
      </w:r>
      <w:r w:rsidR="006C77C9">
        <w:rPr>
          <w:rStyle w:val="Zvraznn"/>
          <w:i w:val="0"/>
        </w:rPr>
        <w:t xml:space="preserve">, investoři mají tendenci se na ni odvolávat, pokud předpokládají, že ostatní prostředky selžou. </w:t>
      </w:r>
      <w:r w:rsidR="00F02781">
        <w:rPr>
          <w:rStyle w:val="Zvraznn"/>
          <w:i w:val="0"/>
        </w:rPr>
        <w:t>Právě její neurčitost jim dává přes do</w:t>
      </w:r>
      <w:r w:rsidR="004B17DC">
        <w:rPr>
          <w:rStyle w:val="Zvraznn"/>
          <w:i w:val="0"/>
        </w:rPr>
        <w:t>savadní převážné neúspěchy</w:t>
      </w:r>
      <w:r w:rsidR="00F02781">
        <w:rPr>
          <w:rStyle w:val="Zvraznn"/>
          <w:i w:val="0"/>
        </w:rPr>
        <w:t xml:space="preserve"> do budoucna</w:t>
      </w:r>
      <w:r w:rsidR="004B17DC">
        <w:rPr>
          <w:rStyle w:val="Zvraznn"/>
          <w:i w:val="0"/>
        </w:rPr>
        <w:t xml:space="preserve"> šanci</w:t>
      </w:r>
      <w:r w:rsidR="00F02781">
        <w:rPr>
          <w:rStyle w:val="Zvraznn"/>
          <w:i w:val="0"/>
        </w:rPr>
        <w:t xml:space="preserve">, že se časem </w:t>
      </w:r>
      <w:r w:rsidR="00F02781">
        <w:rPr>
          <w:rStyle w:val="Zvraznn"/>
          <w:i w:val="0"/>
        </w:rPr>
        <w:lastRenderedPageBreak/>
        <w:t xml:space="preserve">výklad vyvine v jejich prospěch. </w:t>
      </w:r>
      <w:r w:rsidR="00FE0D16">
        <w:rPr>
          <w:rStyle w:val="Zvraznn"/>
          <w:i w:val="0"/>
        </w:rPr>
        <w:t xml:space="preserve">Opatrnost státu je na místě v případě, že by jeho </w:t>
      </w:r>
      <w:r w:rsidR="00305E13">
        <w:rPr>
          <w:rStyle w:val="Zvraznn"/>
          <w:i w:val="0"/>
        </w:rPr>
        <w:t xml:space="preserve">chování mohlo racionálně uvažující </w:t>
      </w:r>
      <w:r w:rsidR="00E74AF7">
        <w:rPr>
          <w:rStyle w:val="Zvraznn"/>
          <w:i w:val="0"/>
        </w:rPr>
        <w:t>osobu v pozici investora vést k domnění, že s ní bude zacházeno určitým způsobem.</w:t>
      </w:r>
      <w:r w:rsidR="005228B7">
        <w:rPr>
          <w:rStyle w:val="Zvraznn"/>
          <w:i w:val="0"/>
        </w:rPr>
        <w:t xml:space="preserve"> Takové domnění může vyplývat z</w:t>
      </w:r>
      <w:r w:rsidR="009F7479">
        <w:rPr>
          <w:rStyle w:val="Zvraznn"/>
          <w:i w:val="0"/>
        </w:rPr>
        <w:t> </w:t>
      </w:r>
      <w:r w:rsidR="005228B7">
        <w:rPr>
          <w:rStyle w:val="Zvraznn"/>
          <w:i w:val="0"/>
        </w:rPr>
        <w:t>konkrétní</w:t>
      </w:r>
      <w:r w:rsidR="009F7479">
        <w:rPr>
          <w:rStyle w:val="Zvraznn"/>
          <w:i w:val="0"/>
        </w:rPr>
        <w:t xml:space="preserve"> (smluvní)</w:t>
      </w:r>
      <w:r w:rsidR="005228B7">
        <w:rPr>
          <w:rStyle w:val="Zvraznn"/>
          <w:i w:val="0"/>
        </w:rPr>
        <w:t xml:space="preserve"> záruky a ve specifických případech i z</w:t>
      </w:r>
      <w:r w:rsidR="009F7479">
        <w:rPr>
          <w:rStyle w:val="Zvraznn"/>
          <w:i w:val="0"/>
        </w:rPr>
        <w:t> dlouhodobého stavu legislativy.</w:t>
      </w:r>
      <w:r w:rsidR="002D01E8">
        <w:rPr>
          <w:rStyle w:val="Zvraznn"/>
          <w:i w:val="0"/>
        </w:rPr>
        <w:t xml:space="preserve"> Z hledisek, která se v testech proporcionality objevují nejčastěji, je to vedle veřejného zájmu právě dlouhodobost a stabilita právního řádu, které mají zásadní vliv na vznik odpovědnosti za porušení FET.</w:t>
      </w:r>
      <w:r w:rsidR="00BD11A9">
        <w:rPr>
          <w:rStyle w:val="Zvraznn"/>
          <w:i w:val="0"/>
        </w:rPr>
        <w:t xml:space="preserve"> Jak ale zdůraznil tribunál </w:t>
      </w:r>
      <w:r w:rsidR="00BD11A9" w:rsidRPr="00BD11A9">
        <w:rPr>
          <w:i/>
        </w:rPr>
        <w:t>EDF v. Romania</w:t>
      </w:r>
      <w:r w:rsidR="00BD11A9">
        <w:t xml:space="preserve">, doložka nemůže sloužit stejnému účelu jako </w:t>
      </w:r>
      <w:r w:rsidR="00023C25">
        <w:rPr>
          <w:i/>
        </w:rPr>
        <w:t>stabilization clause</w:t>
      </w:r>
      <w:r w:rsidR="00023C25">
        <w:t>, která výslovně garantuje konkrétní</w:t>
      </w:r>
      <w:r w:rsidR="00835989">
        <w:t>mu investorovi neměnné podmínky</w:t>
      </w:r>
      <w:r w:rsidR="00023C25">
        <w:t>.</w:t>
      </w:r>
      <w:r w:rsidR="00835989">
        <w:rPr>
          <w:rStyle w:val="Znakapoznpodarou"/>
        </w:rPr>
        <w:footnoteReference w:id="82"/>
      </w:r>
      <w:r w:rsidR="002647B7">
        <w:t xml:space="preserve"> </w:t>
      </w:r>
      <w:r w:rsidR="00BC1B28">
        <w:rPr>
          <w:rStyle w:val="Zvraznn"/>
          <w:i w:val="0"/>
        </w:rPr>
        <w:t>Dostatečně silný v</w:t>
      </w:r>
      <w:r w:rsidR="00DF634B">
        <w:rPr>
          <w:rStyle w:val="Zvraznn"/>
          <w:i w:val="0"/>
        </w:rPr>
        <w:t>eřejný zájem při změně legislativy v konkrétním případě dává státům lepší vyhlídky k tomu, aby</w:t>
      </w:r>
      <w:r w:rsidR="00BC1B28">
        <w:rPr>
          <w:rStyle w:val="Zvraznn"/>
          <w:i w:val="0"/>
        </w:rPr>
        <w:t xml:space="preserve"> </w:t>
      </w:r>
      <w:r w:rsidR="006404C8">
        <w:rPr>
          <w:rStyle w:val="Zvraznn"/>
          <w:i w:val="0"/>
        </w:rPr>
        <w:t>norma</w:t>
      </w:r>
      <w:r w:rsidR="00DF634B">
        <w:rPr>
          <w:rStyle w:val="Zvraznn"/>
          <w:i w:val="0"/>
        </w:rPr>
        <w:t xml:space="preserve"> v testu proporcionality nebyla označena za „hrubě nespravedlivou“ nebo „svévolnou“.</w:t>
      </w:r>
    </w:p>
    <w:p w14:paraId="149622DF" w14:textId="77777777" w:rsidR="005F77CC" w:rsidRPr="00942FD4" w:rsidRDefault="005F77CC" w:rsidP="009F36E4">
      <w:pPr>
        <w:ind w:left="142"/>
        <w:jc w:val="both"/>
        <w:rPr>
          <w:rFonts w:ascii="Times New Roman" w:hAnsi="Times New Roman"/>
        </w:rPr>
      </w:pPr>
      <w:r w:rsidRPr="00942FD4">
        <w:rPr>
          <w:rFonts w:ascii="Times New Roman" w:hAnsi="Times New Roman"/>
        </w:rPr>
        <w:br w:type="page"/>
      </w:r>
    </w:p>
    <w:p w14:paraId="41B559D0" w14:textId="7557DF66" w:rsidR="00A10C63" w:rsidRPr="00B644BA" w:rsidRDefault="00330384" w:rsidP="00D71116">
      <w:pPr>
        <w:pStyle w:val="Nadpis1"/>
      </w:pPr>
      <w:bookmarkStart w:id="21" w:name="_Toc479697282"/>
      <w:r w:rsidRPr="00B644BA">
        <w:lastRenderedPageBreak/>
        <w:t>Zásah státu</w:t>
      </w:r>
      <w:r w:rsidR="00A10C63" w:rsidRPr="00B644BA">
        <w:t xml:space="preserve"> a další standardy ochrany</w:t>
      </w:r>
      <w:bookmarkEnd w:id="21"/>
      <w:r w:rsidR="00490F18">
        <w:t xml:space="preserve"> včetně vyvlastnění</w:t>
      </w:r>
    </w:p>
    <w:p w14:paraId="0B0DA6EA" w14:textId="0F78F2AB" w:rsidR="001221BA" w:rsidRDefault="00945E61" w:rsidP="00945E61">
      <w:pPr>
        <w:pStyle w:val="Odstavecseseznamem"/>
        <w:spacing w:line="360" w:lineRule="auto"/>
        <w:ind w:left="142" w:firstLine="654"/>
        <w:jc w:val="both"/>
        <w:rPr>
          <w:rStyle w:val="Zvraznn"/>
          <w:i w:val="0"/>
        </w:rPr>
      </w:pPr>
      <w:r w:rsidRPr="008464B9">
        <w:rPr>
          <w:rStyle w:val="Zvraznn"/>
          <w:i w:val="0"/>
        </w:rPr>
        <w:t xml:space="preserve">Žaloby proti státu se obvykle opírají o více smluvních závazků zároveň. Standard FET, respektive jeho prvek legitimního očekávání, nejčastěji funguje jako </w:t>
      </w:r>
      <w:r w:rsidRPr="008464B9">
        <w:rPr>
          <w:rStyle w:val="Zvraznn"/>
        </w:rPr>
        <w:t>catch all</w:t>
      </w:r>
      <w:r w:rsidR="003C19CA" w:rsidRPr="008464B9">
        <w:rPr>
          <w:rStyle w:val="Zvraznn"/>
        </w:rPr>
        <w:t xml:space="preserve"> clause</w:t>
      </w:r>
      <w:r w:rsidR="003C19CA" w:rsidRPr="008464B9">
        <w:rPr>
          <w:rStyle w:val="Zvraznn"/>
          <w:i w:val="0"/>
        </w:rPr>
        <w:t xml:space="preserve"> neboli</w:t>
      </w:r>
      <w:r w:rsidRPr="008464B9">
        <w:rPr>
          <w:rStyle w:val="Zvraznn"/>
          <w:i w:val="0"/>
        </w:rPr>
        <w:t xml:space="preserve"> univerzální klauzule. </w:t>
      </w:r>
      <w:r w:rsidR="00B644BA">
        <w:rPr>
          <w:rStyle w:val="Zvraznn"/>
          <w:i w:val="0"/>
        </w:rPr>
        <w:t>Pokud si tedy</w:t>
      </w:r>
      <w:r w:rsidRPr="008464B9">
        <w:rPr>
          <w:rStyle w:val="Zvraznn"/>
          <w:i w:val="0"/>
        </w:rPr>
        <w:t xml:space="preserve"> není investor jistý jiným nárokem, spoléhá se na tento</w:t>
      </w:r>
      <w:r w:rsidR="00CE5506" w:rsidRPr="008464B9">
        <w:rPr>
          <w:rStyle w:val="Zvraznn"/>
          <w:i w:val="0"/>
        </w:rPr>
        <w:t xml:space="preserve"> jako na nejširší standard</w:t>
      </w:r>
      <w:r w:rsidRPr="008464B9">
        <w:rPr>
          <w:rStyle w:val="Zvraznn"/>
          <w:i w:val="0"/>
        </w:rPr>
        <w:t xml:space="preserve"> </w:t>
      </w:r>
      <w:r w:rsidR="001F2886" w:rsidRPr="008464B9">
        <w:rPr>
          <w:rStyle w:val="Zvraznn"/>
          <w:i w:val="0"/>
        </w:rPr>
        <w:t>a často i doufá v jeho ještě extenzivnější výklad</w:t>
      </w:r>
      <w:r w:rsidR="001F2886" w:rsidRPr="004B65D8">
        <w:rPr>
          <w:rStyle w:val="Zvraznn"/>
          <w:i w:val="0"/>
        </w:rPr>
        <w:t>.</w:t>
      </w:r>
      <w:r w:rsidR="008464B9" w:rsidRPr="004B65D8">
        <w:rPr>
          <w:rStyle w:val="Zvraznn"/>
          <w:i w:val="0"/>
        </w:rPr>
        <w:t xml:space="preserve"> </w:t>
      </w:r>
      <w:r w:rsidR="000E741F">
        <w:rPr>
          <w:rStyle w:val="Zvraznn"/>
          <w:i w:val="0"/>
        </w:rPr>
        <w:t>Dalším velice často</w:t>
      </w:r>
      <w:r w:rsidR="008464B9" w:rsidRPr="004B65D8">
        <w:rPr>
          <w:rStyle w:val="Zvraznn"/>
          <w:i w:val="0"/>
        </w:rPr>
        <w:t xml:space="preserve"> objevujícím</w:t>
      </w:r>
      <w:r w:rsidR="00767741">
        <w:rPr>
          <w:rStyle w:val="Zvraznn"/>
          <w:i w:val="0"/>
        </w:rPr>
        <w:t xml:space="preserve"> se žalobním návrhem</w:t>
      </w:r>
      <w:r w:rsidR="000E741F">
        <w:rPr>
          <w:rStyle w:val="Zvraznn"/>
          <w:i w:val="0"/>
        </w:rPr>
        <w:t xml:space="preserve"> v arbitráži</w:t>
      </w:r>
      <w:r w:rsidR="00767741">
        <w:rPr>
          <w:rStyle w:val="Zvraznn"/>
          <w:i w:val="0"/>
        </w:rPr>
        <w:t xml:space="preserve"> je namítání </w:t>
      </w:r>
      <w:r w:rsidR="008464B9" w:rsidRPr="004B65D8">
        <w:rPr>
          <w:rStyle w:val="Zvraznn"/>
          <w:i w:val="0"/>
        </w:rPr>
        <w:t>vyvlastnění.</w:t>
      </w:r>
      <w:r w:rsidR="00493969">
        <w:rPr>
          <w:rStyle w:val="Zvraznn"/>
          <w:i w:val="0"/>
        </w:rPr>
        <w:t xml:space="preserve"> O</w:t>
      </w:r>
      <w:r w:rsidR="00023C27">
        <w:rPr>
          <w:rStyle w:val="Zvraznn"/>
          <w:i w:val="0"/>
        </w:rPr>
        <w:t>bsah</w:t>
      </w:r>
      <w:r w:rsidR="00493969">
        <w:rPr>
          <w:rStyle w:val="Zvraznn"/>
          <w:i w:val="0"/>
        </w:rPr>
        <w:t xml:space="preserve"> těchto standardů</w:t>
      </w:r>
      <w:r w:rsidR="00023C27">
        <w:rPr>
          <w:rStyle w:val="Zvraznn"/>
          <w:i w:val="0"/>
        </w:rPr>
        <w:t xml:space="preserve"> se někdy částečně překrývá, </w:t>
      </w:r>
      <w:r w:rsidR="008A3960">
        <w:rPr>
          <w:rStyle w:val="Zvraznn"/>
          <w:i w:val="0"/>
        </w:rPr>
        <w:t>legitimní očekávání mohou i zde svůj význam.</w:t>
      </w:r>
      <w:r w:rsidR="00023C27">
        <w:rPr>
          <w:rStyle w:val="Zvraznn"/>
          <w:i w:val="0"/>
        </w:rPr>
        <w:t xml:space="preserve"> </w:t>
      </w:r>
    </w:p>
    <w:p w14:paraId="1C61A9E9" w14:textId="70AEBEAB" w:rsidR="00D3241B" w:rsidRPr="00D3241B" w:rsidRDefault="00602BE5" w:rsidP="009A6ED9">
      <w:pPr>
        <w:pStyle w:val="Nadpis2"/>
        <w:numPr>
          <w:ilvl w:val="1"/>
          <w:numId w:val="7"/>
        </w:numPr>
        <w:rPr>
          <w:rStyle w:val="Zvraznn"/>
          <w:i w:val="0"/>
          <w:iCs/>
          <w:kern w:val="32"/>
          <w:sz w:val="32"/>
          <w:szCs w:val="32"/>
        </w:rPr>
      </w:pPr>
      <w:bookmarkStart w:id="22" w:name="_Toc479697283"/>
      <w:r>
        <w:rPr>
          <w:rStyle w:val="Zvraznn"/>
          <w:i w:val="0"/>
        </w:rPr>
        <w:t>Nepřímé</w:t>
      </w:r>
      <w:r w:rsidR="003C19CA" w:rsidRPr="003C19CA">
        <w:rPr>
          <w:rStyle w:val="Zvraznn"/>
          <w:i w:val="0"/>
        </w:rPr>
        <w:t xml:space="preserve"> vyvlastnění</w:t>
      </w:r>
      <w:r>
        <w:rPr>
          <w:rStyle w:val="Zvraznn"/>
          <w:i w:val="0"/>
        </w:rPr>
        <w:t xml:space="preserve"> a jeho hranice</w:t>
      </w:r>
      <w:r w:rsidR="002A0DBB">
        <w:rPr>
          <w:rStyle w:val="Zvraznn"/>
          <w:i w:val="0"/>
        </w:rPr>
        <w:t xml:space="preserve"> v</w:t>
      </w:r>
      <w:r w:rsidR="001E4110">
        <w:rPr>
          <w:rStyle w:val="Zvraznn"/>
          <w:i w:val="0"/>
        </w:rPr>
        <w:t xml:space="preserve"> judikatuře</w:t>
      </w:r>
      <w:bookmarkEnd w:id="22"/>
    </w:p>
    <w:p w14:paraId="66DDCC74" w14:textId="7088EBDC" w:rsidR="001E4110" w:rsidRPr="00E07AEE" w:rsidRDefault="00B34794" w:rsidP="00E07AEE">
      <w:pPr>
        <w:pStyle w:val="Odstavecseseznamem"/>
        <w:spacing w:line="360" w:lineRule="auto"/>
        <w:ind w:left="142" w:firstLine="654"/>
        <w:jc w:val="both"/>
        <w:rPr>
          <w:kern w:val="32"/>
          <w:szCs w:val="32"/>
        </w:rPr>
      </w:pPr>
      <w:r>
        <w:rPr>
          <w:kern w:val="32"/>
          <w:szCs w:val="32"/>
        </w:rPr>
        <w:t>Vyvlastnění je pojem m</w:t>
      </w:r>
      <w:r w:rsidR="00553296">
        <w:rPr>
          <w:kern w:val="32"/>
          <w:szCs w:val="32"/>
        </w:rPr>
        <w:t xml:space="preserve">ezinárodnímu právu dobře známý a nejinak je tomu i v ochraně investic. </w:t>
      </w:r>
      <w:r w:rsidR="008B0B85">
        <w:rPr>
          <w:kern w:val="32"/>
          <w:szCs w:val="32"/>
        </w:rPr>
        <w:t xml:space="preserve">Stejně jako v českém právu </w:t>
      </w:r>
      <w:r w:rsidR="00B61641">
        <w:rPr>
          <w:kern w:val="32"/>
          <w:szCs w:val="32"/>
        </w:rPr>
        <w:t>je i v tom investičním v zásadě povoleno.</w:t>
      </w:r>
      <w:r w:rsidR="00091FF2">
        <w:rPr>
          <w:rStyle w:val="Znakapoznpodarou"/>
          <w:kern w:val="32"/>
          <w:szCs w:val="32"/>
        </w:rPr>
        <w:footnoteReference w:id="83"/>
      </w:r>
      <w:r w:rsidR="00667C5F">
        <w:rPr>
          <w:kern w:val="32"/>
          <w:szCs w:val="32"/>
        </w:rPr>
        <w:t xml:space="preserve"> </w:t>
      </w:r>
      <w:r w:rsidR="00B263A4">
        <w:rPr>
          <w:kern w:val="32"/>
          <w:szCs w:val="32"/>
        </w:rPr>
        <w:t>O klasické, přímé formě</w:t>
      </w:r>
      <w:r w:rsidR="00BF708F">
        <w:rPr>
          <w:kern w:val="32"/>
          <w:szCs w:val="32"/>
        </w:rPr>
        <w:t xml:space="preserve"> vyvlastnění se</w:t>
      </w:r>
      <w:r w:rsidR="00667C5F">
        <w:rPr>
          <w:kern w:val="32"/>
          <w:szCs w:val="32"/>
        </w:rPr>
        <w:t xml:space="preserve"> v posledních letech v ochraně </w:t>
      </w:r>
      <w:r w:rsidR="00B263A4">
        <w:rPr>
          <w:kern w:val="32"/>
          <w:szCs w:val="32"/>
        </w:rPr>
        <w:t>investic mnoho arbitrážních sporů nevede, nucený přechod vlastnického práva</w:t>
      </w:r>
      <w:r w:rsidR="00667C5F">
        <w:rPr>
          <w:kern w:val="32"/>
          <w:szCs w:val="32"/>
        </w:rPr>
        <w:t xml:space="preserve"> </w:t>
      </w:r>
      <w:r w:rsidR="00B263A4">
        <w:rPr>
          <w:kern w:val="32"/>
          <w:szCs w:val="32"/>
        </w:rPr>
        <w:t>lze často vyřešit už na vnitrostátní úrovni, před rozhodce se případně dostává jen výše náhrady za vyvlastněný majetek.</w:t>
      </w:r>
      <w:r w:rsidR="00CB2A82">
        <w:rPr>
          <w:kern w:val="32"/>
          <w:szCs w:val="32"/>
        </w:rPr>
        <w:t xml:space="preserve"> Naproti tomu n</w:t>
      </w:r>
      <w:r w:rsidR="002449AD">
        <w:rPr>
          <w:kern w:val="32"/>
          <w:szCs w:val="32"/>
        </w:rPr>
        <w:t>epřímé vyvlastnění není</w:t>
      </w:r>
      <w:r w:rsidR="00402544">
        <w:rPr>
          <w:kern w:val="32"/>
          <w:szCs w:val="32"/>
        </w:rPr>
        <w:t xml:space="preserve"> charakterizováno </w:t>
      </w:r>
      <w:r w:rsidR="002449AD">
        <w:rPr>
          <w:kern w:val="32"/>
          <w:szCs w:val="32"/>
        </w:rPr>
        <w:t xml:space="preserve">formálním přechodem nebo omezením vlastnického práva, </w:t>
      </w:r>
      <w:r w:rsidR="00EF1074">
        <w:rPr>
          <w:kern w:val="32"/>
          <w:szCs w:val="32"/>
        </w:rPr>
        <w:t>ale zásahem, který má</w:t>
      </w:r>
      <w:r w:rsidR="00D01CE3">
        <w:rPr>
          <w:kern w:val="32"/>
          <w:szCs w:val="32"/>
        </w:rPr>
        <w:t xml:space="preserve"> pro investici</w:t>
      </w:r>
      <w:r w:rsidR="00EF1074">
        <w:rPr>
          <w:kern w:val="32"/>
          <w:szCs w:val="32"/>
        </w:rPr>
        <w:t xml:space="preserve"> srovnatelné</w:t>
      </w:r>
      <w:r w:rsidR="00D01CE3">
        <w:rPr>
          <w:kern w:val="32"/>
          <w:szCs w:val="32"/>
        </w:rPr>
        <w:t xml:space="preserve"> negativní</w:t>
      </w:r>
      <w:r w:rsidR="00EF1074">
        <w:rPr>
          <w:kern w:val="32"/>
          <w:szCs w:val="32"/>
        </w:rPr>
        <w:t xml:space="preserve"> účinky.</w:t>
      </w:r>
      <w:r w:rsidR="005D7584">
        <w:rPr>
          <w:rStyle w:val="Znakapoznpodarou"/>
          <w:kern w:val="32"/>
          <w:szCs w:val="32"/>
        </w:rPr>
        <w:footnoteReference w:id="84"/>
      </w:r>
      <w:r w:rsidR="009974F3">
        <w:rPr>
          <w:kern w:val="32"/>
          <w:szCs w:val="32"/>
        </w:rPr>
        <w:t xml:space="preserve"> Tedy poškodí investorovo právo s majetkem </w:t>
      </w:r>
      <w:r w:rsidR="009619A3">
        <w:rPr>
          <w:kern w:val="32"/>
          <w:szCs w:val="32"/>
        </w:rPr>
        <w:t>nakládat</w:t>
      </w:r>
      <w:r w:rsidR="009974F3">
        <w:rPr>
          <w:kern w:val="32"/>
          <w:szCs w:val="32"/>
        </w:rPr>
        <w:t xml:space="preserve"> nebo z něj čerpat výnosy</w:t>
      </w:r>
      <w:r w:rsidR="009619A3">
        <w:rPr>
          <w:kern w:val="32"/>
          <w:szCs w:val="32"/>
        </w:rPr>
        <w:t xml:space="preserve">, přestože neproběhl žádný administrativní </w:t>
      </w:r>
      <w:r w:rsidR="002E008B">
        <w:rPr>
          <w:kern w:val="32"/>
          <w:szCs w:val="32"/>
        </w:rPr>
        <w:t>úkon, který by investora jeho vlastnického práva zbavil</w:t>
      </w:r>
      <w:r w:rsidR="009974F3">
        <w:rPr>
          <w:kern w:val="32"/>
          <w:szCs w:val="32"/>
        </w:rPr>
        <w:t xml:space="preserve">. </w:t>
      </w:r>
      <w:r w:rsidR="00592941">
        <w:rPr>
          <w:kern w:val="32"/>
          <w:szCs w:val="32"/>
        </w:rPr>
        <w:t>Tedy i tento zásah má být v investičním právu kompenzován</w:t>
      </w:r>
      <w:r w:rsidR="001474A2">
        <w:rPr>
          <w:kern w:val="32"/>
          <w:szCs w:val="32"/>
        </w:rPr>
        <w:t>.</w:t>
      </w:r>
      <w:r w:rsidR="00056E19">
        <w:rPr>
          <w:rStyle w:val="Znakapoznpodarou"/>
          <w:kern w:val="32"/>
          <w:szCs w:val="32"/>
        </w:rPr>
        <w:footnoteReference w:id="85"/>
      </w:r>
      <w:r w:rsidR="00E03EBF">
        <w:rPr>
          <w:kern w:val="32"/>
          <w:szCs w:val="32"/>
        </w:rPr>
        <w:t xml:space="preserve"> Dovolené</w:t>
      </w:r>
      <w:r w:rsidR="00B61641">
        <w:rPr>
          <w:kern w:val="32"/>
          <w:szCs w:val="32"/>
        </w:rPr>
        <w:t xml:space="preserve"> </w:t>
      </w:r>
      <w:r w:rsidR="00E03EBF">
        <w:rPr>
          <w:kern w:val="32"/>
          <w:szCs w:val="32"/>
        </w:rPr>
        <w:t>v</w:t>
      </w:r>
      <w:r w:rsidR="00197D71" w:rsidRPr="00E07AEE">
        <w:rPr>
          <w:kern w:val="32"/>
          <w:szCs w:val="32"/>
        </w:rPr>
        <w:t>yvlastnění musí splňovat konkrétní podmínky</w:t>
      </w:r>
      <w:r w:rsidR="00065013">
        <w:rPr>
          <w:kern w:val="32"/>
          <w:szCs w:val="32"/>
        </w:rPr>
        <w:t xml:space="preserve"> zákonnosti</w:t>
      </w:r>
      <w:r w:rsidR="00197D71" w:rsidRPr="00E07AEE">
        <w:rPr>
          <w:kern w:val="32"/>
          <w:szCs w:val="32"/>
        </w:rPr>
        <w:t>,</w:t>
      </w:r>
      <w:r w:rsidR="008F5209">
        <w:rPr>
          <w:kern w:val="32"/>
          <w:szCs w:val="32"/>
        </w:rPr>
        <w:t xml:space="preserve"> a to</w:t>
      </w:r>
      <w:r w:rsidR="00E07AEE">
        <w:rPr>
          <w:kern w:val="32"/>
          <w:szCs w:val="32"/>
        </w:rPr>
        <w:t>:</w:t>
      </w:r>
    </w:p>
    <w:p w14:paraId="56FE0FF6" w14:textId="47F358FA" w:rsidR="001E4110" w:rsidRDefault="00AC6660" w:rsidP="009A6ED9">
      <w:pPr>
        <w:pStyle w:val="Odstavecseseznamem"/>
        <w:numPr>
          <w:ilvl w:val="0"/>
          <w:numId w:val="11"/>
        </w:numPr>
        <w:spacing w:line="360" w:lineRule="auto"/>
        <w:jc w:val="both"/>
        <w:rPr>
          <w:kern w:val="32"/>
          <w:szCs w:val="32"/>
        </w:rPr>
      </w:pPr>
      <w:r>
        <w:rPr>
          <w:kern w:val="32"/>
          <w:szCs w:val="32"/>
        </w:rPr>
        <w:t>opatření je ve veřejném zájmu</w:t>
      </w:r>
    </w:p>
    <w:p w14:paraId="716EEFD3" w14:textId="451E2CFE" w:rsidR="00AC6660" w:rsidRDefault="00AC6660" w:rsidP="009A6ED9">
      <w:pPr>
        <w:pStyle w:val="Odstavecseseznamem"/>
        <w:numPr>
          <w:ilvl w:val="0"/>
          <w:numId w:val="11"/>
        </w:numPr>
        <w:spacing w:line="360" w:lineRule="auto"/>
        <w:jc w:val="both"/>
        <w:rPr>
          <w:kern w:val="32"/>
          <w:szCs w:val="32"/>
        </w:rPr>
      </w:pPr>
      <w:r>
        <w:rPr>
          <w:kern w:val="32"/>
          <w:szCs w:val="32"/>
        </w:rPr>
        <w:t>není diskriminační nebo svévolné</w:t>
      </w:r>
    </w:p>
    <w:p w14:paraId="5DA95B3D" w14:textId="4B69DD8E" w:rsidR="00AC6660" w:rsidRDefault="00FF4D72" w:rsidP="009A6ED9">
      <w:pPr>
        <w:pStyle w:val="Odstavecseseznamem"/>
        <w:numPr>
          <w:ilvl w:val="0"/>
          <w:numId w:val="11"/>
        </w:numPr>
        <w:spacing w:line="360" w:lineRule="auto"/>
        <w:jc w:val="both"/>
        <w:rPr>
          <w:kern w:val="32"/>
          <w:szCs w:val="32"/>
        </w:rPr>
      </w:pPr>
      <w:r>
        <w:rPr>
          <w:kern w:val="32"/>
          <w:szCs w:val="32"/>
        </w:rPr>
        <w:t>je plně kompenzováno</w:t>
      </w:r>
      <w:r w:rsidR="00D051C2">
        <w:rPr>
          <w:rStyle w:val="Znakapoznpodarou"/>
          <w:kern w:val="32"/>
          <w:szCs w:val="32"/>
        </w:rPr>
        <w:footnoteReference w:id="86"/>
      </w:r>
    </w:p>
    <w:p w14:paraId="3FFBF6B7" w14:textId="633A4D53" w:rsidR="00FF4D72" w:rsidRDefault="00690FDF" w:rsidP="009A6ED9">
      <w:pPr>
        <w:pStyle w:val="Odstavecseseznamem"/>
        <w:numPr>
          <w:ilvl w:val="0"/>
          <w:numId w:val="11"/>
        </w:numPr>
        <w:spacing w:after="0" w:line="360" w:lineRule="auto"/>
        <w:jc w:val="both"/>
        <w:rPr>
          <w:kern w:val="32"/>
          <w:szCs w:val="32"/>
        </w:rPr>
      </w:pPr>
      <w:r>
        <w:rPr>
          <w:kern w:val="32"/>
          <w:szCs w:val="32"/>
        </w:rPr>
        <w:lastRenderedPageBreak/>
        <w:t>je v souladu se zásadami spravedlivého procesu</w:t>
      </w:r>
      <w:r w:rsidR="009D045D">
        <w:rPr>
          <w:rStyle w:val="Znakapoznpodarou"/>
          <w:kern w:val="32"/>
          <w:szCs w:val="32"/>
        </w:rPr>
        <w:footnoteReference w:id="87"/>
      </w:r>
    </w:p>
    <w:p w14:paraId="1E714972" w14:textId="3836706C" w:rsidR="002421F0" w:rsidRDefault="00F41E63" w:rsidP="00F41E63">
      <w:pPr>
        <w:pStyle w:val="Odstavecseseznamem"/>
        <w:spacing w:line="360" w:lineRule="auto"/>
        <w:ind w:left="142" w:firstLine="654"/>
        <w:jc w:val="both"/>
        <w:rPr>
          <w:kern w:val="32"/>
          <w:szCs w:val="32"/>
        </w:rPr>
      </w:pPr>
      <w:r>
        <w:rPr>
          <w:kern w:val="32"/>
          <w:szCs w:val="32"/>
        </w:rPr>
        <w:t>H</w:t>
      </w:r>
      <w:r w:rsidR="001A326E">
        <w:rPr>
          <w:kern w:val="32"/>
          <w:szCs w:val="32"/>
        </w:rPr>
        <w:t>ranice legitimního</w:t>
      </w:r>
      <w:r w:rsidR="004F1A10">
        <w:rPr>
          <w:kern w:val="32"/>
          <w:szCs w:val="32"/>
        </w:rPr>
        <w:t xml:space="preserve"> (tedy nekompenzovatelného)</w:t>
      </w:r>
      <w:r w:rsidR="001A326E">
        <w:rPr>
          <w:kern w:val="32"/>
          <w:szCs w:val="32"/>
        </w:rPr>
        <w:t xml:space="preserve"> opatření a nepřímého v</w:t>
      </w:r>
      <w:r>
        <w:rPr>
          <w:kern w:val="32"/>
          <w:szCs w:val="32"/>
        </w:rPr>
        <w:t>yvlastnění je těžko definovatelná</w:t>
      </w:r>
      <w:r w:rsidR="001A326E">
        <w:rPr>
          <w:kern w:val="32"/>
          <w:szCs w:val="32"/>
        </w:rPr>
        <w:t>, pro je</w:t>
      </w:r>
      <w:r w:rsidR="00195549">
        <w:rPr>
          <w:kern w:val="32"/>
          <w:szCs w:val="32"/>
        </w:rPr>
        <w:t>jí</w:t>
      </w:r>
      <w:r w:rsidR="001A326E">
        <w:rPr>
          <w:kern w:val="32"/>
          <w:szCs w:val="32"/>
        </w:rPr>
        <w:t xml:space="preserve"> posuzování vytvořila nauka a praxe </w:t>
      </w:r>
      <w:r w:rsidR="00D65C43">
        <w:rPr>
          <w:kern w:val="32"/>
          <w:szCs w:val="32"/>
        </w:rPr>
        <w:t>doktríny</w:t>
      </w:r>
      <w:r w:rsidR="001A326E">
        <w:rPr>
          <w:kern w:val="32"/>
          <w:szCs w:val="32"/>
        </w:rPr>
        <w:t xml:space="preserve">. </w:t>
      </w:r>
      <w:r w:rsidR="00823CD8">
        <w:rPr>
          <w:kern w:val="32"/>
          <w:szCs w:val="32"/>
        </w:rPr>
        <w:t xml:space="preserve">Jsou jimi </w:t>
      </w:r>
      <w:r w:rsidR="008D50A9">
        <w:rPr>
          <w:kern w:val="32"/>
          <w:szCs w:val="32"/>
        </w:rPr>
        <w:t xml:space="preserve">především </w:t>
      </w:r>
      <w:r w:rsidR="00823CD8">
        <w:rPr>
          <w:kern w:val="32"/>
          <w:szCs w:val="32"/>
        </w:rPr>
        <w:t xml:space="preserve">(1) </w:t>
      </w:r>
      <w:r w:rsidR="00823CD8">
        <w:rPr>
          <w:i/>
          <w:kern w:val="32"/>
          <w:szCs w:val="32"/>
        </w:rPr>
        <w:t>sole effect doctrine</w:t>
      </w:r>
      <w:r w:rsidR="007F32E6">
        <w:rPr>
          <w:kern w:val="32"/>
          <w:szCs w:val="32"/>
        </w:rPr>
        <w:t xml:space="preserve"> (</w:t>
      </w:r>
      <w:r w:rsidR="00781E02">
        <w:rPr>
          <w:kern w:val="32"/>
          <w:szCs w:val="32"/>
        </w:rPr>
        <w:t>„SED“)</w:t>
      </w:r>
      <w:r w:rsidR="00823CD8">
        <w:rPr>
          <w:kern w:val="32"/>
          <w:szCs w:val="32"/>
        </w:rPr>
        <w:t>, neboli přístup zohledňující po</w:t>
      </w:r>
      <w:r w:rsidR="00484F72">
        <w:rPr>
          <w:kern w:val="32"/>
          <w:szCs w:val="32"/>
        </w:rPr>
        <w:t>uze dopad opatření na investora a</w:t>
      </w:r>
      <w:r w:rsidR="00823CD8">
        <w:rPr>
          <w:kern w:val="32"/>
          <w:szCs w:val="32"/>
        </w:rPr>
        <w:t xml:space="preserve"> </w:t>
      </w:r>
      <w:r w:rsidR="0099233B">
        <w:rPr>
          <w:kern w:val="32"/>
          <w:szCs w:val="32"/>
        </w:rPr>
        <w:t xml:space="preserve">(2) </w:t>
      </w:r>
      <w:r w:rsidR="002B7895">
        <w:rPr>
          <w:kern w:val="32"/>
          <w:szCs w:val="32"/>
        </w:rPr>
        <w:t xml:space="preserve">doktrína zvažující </w:t>
      </w:r>
      <w:r w:rsidR="00426037">
        <w:rPr>
          <w:kern w:val="32"/>
          <w:szCs w:val="32"/>
        </w:rPr>
        <w:t xml:space="preserve">účel státního opatření, též </w:t>
      </w:r>
      <w:r w:rsidR="00426037">
        <w:rPr>
          <w:i/>
          <w:kern w:val="32"/>
          <w:szCs w:val="32"/>
        </w:rPr>
        <w:t>police power doctrine</w:t>
      </w:r>
      <w:r w:rsidR="00212A4D">
        <w:rPr>
          <w:kern w:val="32"/>
          <w:szCs w:val="32"/>
        </w:rPr>
        <w:t xml:space="preserve"> („PPD“)</w:t>
      </w:r>
      <w:r w:rsidR="00D64198">
        <w:rPr>
          <w:kern w:val="32"/>
          <w:szCs w:val="32"/>
        </w:rPr>
        <w:t>.</w:t>
      </w:r>
      <w:r w:rsidR="004D4F38">
        <w:rPr>
          <w:rStyle w:val="Znakapoznpodarou"/>
          <w:kern w:val="32"/>
          <w:szCs w:val="32"/>
        </w:rPr>
        <w:footnoteReference w:id="88"/>
      </w:r>
      <w:r w:rsidR="000B5A0C">
        <w:rPr>
          <w:kern w:val="32"/>
          <w:szCs w:val="32"/>
        </w:rPr>
        <w:t xml:space="preserve"> </w:t>
      </w:r>
    </w:p>
    <w:p w14:paraId="0334A3A6" w14:textId="6313C7A2" w:rsidR="00FB3D5B" w:rsidRPr="00613C19" w:rsidRDefault="00737CCF" w:rsidP="00737CCF">
      <w:pPr>
        <w:pStyle w:val="Odstavecseseznamem"/>
        <w:spacing w:line="360" w:lineRule="auto"/>
        <w:ind w:left="142" w:firstLine="654"/>
        <w:jc w:val="both"/>
        <w:rPr>
          <w:kern w:val="32"/>
          <w:szCs w:val="32"/>
        </w:rPr>
      </w:pPr>
      <w:r w:rsidRPr="000935C9">
        <w:rPr>
          <w:i/>
          <w:kern w:val="32"/>
          <w:szCs w:val="32"/>
        </w:rPr>
        <w:t>Sole effect doctrine</w:t>
      </w:r>
      <w:r>
        <w:rPr>
          <w:kern w:val="32"/>
          <w:szCs w:val="32"/>
        </w:rPr>
        <w:t xml:space="preserve"> je pro stát nejtvrdší přístup. </w:t>
      </w:r>
      <w:r w:rsidR="00710676">
        <w:rPr>
          <w:kern w:val="32"/>
          <w:szCs w:val="32"/>
        </w:rPr>
        <w:t xml:space="preserve">Znamená </w:t>
      </w:r>
      <w:r w:rsidR="007C34A0">
        <w:rPr>
          <w:kern w:val="32"/>
          <w:szCs w:val="32"/>
        </w:rPr>
        <w:t xml:space="preserve">posuzování čistě </w:t>
      </w:r>
      <w:r w:rsidR="009A2700">
        <w:rPr>
          <w:kern w:val="32"/>
          <w:szCs w:val="32"/>
        </w:rPr>
        <w:t>účinků opatření na investici, bez dalších okolností</w:t>
      </w:r>
      <w:r w:rsidR="006A50F8">
        <w:rPr>
          <w:kern w:val="32"/>
          <w:szCs w:val="32"/>
        </w:rPr>
        <w:t xml:space="preserve"> jako cí</w:t>
      </w:r>
      <w:r w:rsidR="00FF54D6">
        <w:rPr>
          <w:kern w:val="32"/>
          <w:szCs w:val="32"/>
        </w:rPr>
        <w:t>l opatření nebo případný zisk státu</w:t>
      </w:r>
      <w:r w:rsidR="009A2700">
        <w:rPr>
          <w:kern w:val="32"/>
          <w:szCs w:val="32"/>
        </w:rPr>
        <w:t xml:space="preserve">. Negativní dopad pak má být kompenzován. </w:t>
      </w:r>
      <w:r w:rsidR="00FB0D1A">
        <w:rPr>
          <w:kern w:val="32"/>
          <w:szCs w:val="32"/>
        </w:rPr>
        <w:t>Důsledná aplikace</w:t>
      </w:r>
      <w:r w:rsidR="006A39C7">
        <w:rPr>
          <w:kern w:val="32"/>
          <w:szCs w:val="32"/>
        </w:rPr>
        <w:t xml:space="preserve"> ovšem znamená, že téměř každá regulace bude tomuto režimu podléhat a stát bude mít při </w:t>
      </w:r>
      <w:r w:rsidR="009D5683">
        <w:rPr>
          <w:kern w:val="32"/>
          <w:szCs w:val="32"/>
        </w:rPr>
        <w:t>výkonu moci svázané ruce.</w:t>
      </w:r>
      <w:r w:rsidR="00C561D7">
        <w:rPr>
          <w:rStyle w:val="Znakapoznpodarou"/>
          <w:kern w:val="32"/>
          <w:szCs w:val="32"/>
        </w:rPr>
        <w:footnoteReference w:id="89"/>
      </w:r>
      <w:r w:rsidR="009D5683">
        <w:rPr>
          <w:kern w:val="32"/>
          <w:szCs w:val="32"/>
        </w:rPr>
        <w:t xml:space="preserve"> </w:t>
      </w:r>
      <w:r w:rsidR="005F3A43">
        <w:rPr>
          <w:kern w:val="32"/>
          <w:szCs w:val="32"/>
        </w:rPr>
        <w:t xml:space="preserve">Takový přístup navíc dává značnou výhodu investorům na trhu oproti </w:t>
      </w:r>
      <w:r w:rsidR="002877CA">
        <w:rPr>
          <w:kern w:val="32"/>
          <w:szCs w:val="32"/>
        </w:rPr>
        <w:t>podnikatelům</w:t>
      </w:r>
      <w:r w:rsidR="00AA4EB1">
        <w:rPr>
          <w:kern w:val="32"/>
          <w:szCs w:val="32"/>
        </w:rPr>
        <w:t xml:space="preserve"> sídlícím</w:t>
      </w:r>
      <w:r w:rsidR="002877CA">
        <w:rPr>
          <w:kern w:val="32"/>
          <w:szCs w:val="32"/>
        </w:rPr>
        <w:t xml:space="preserve"> v hostitelském státu, </w:t>
      </w:r>
      <w:r w:rsidR="00E639CE">
        <w:rPr>
          <w:kern w:val="32"/>
          <w:szCs w:val="32"/>
        </w:rPr>
        <w:t>v</w:t>
      </w:r>
      <w:r w:rsidR="007A0924">
        <w:rPr>
          <w:kern w:val="32"/>
          <w:szCs w:val="32"/>
        </w:rPr>
        <w:t xml:space="preserve"> žádném vnitrostátním</w:t>
      </w:r>
      <w:r w:rsidR="00E639CE">
        <w:rPr>
          <w:kern w:val="32"/>
          <w:szCs w:val="32"/>
        </w:rPr>
        <w:t xml:space="preserve"> právním systému než</w:t>
      </w:r>
      <w:r w:rsidR="006E55F3">
        <w:rPr>
          <w:kern w:val="32"/>
          <w:szCs w:val="32"/>
        </w:rPr>
        <w:t xml:space="preserve"> ochraně investic</w:t>
      </w:r>
      <w:r w:rsidR="00E639CE">
        <w:rPr>
          <w:kern w:val="32"/>
          <w:szCs w:val="32"/>
        </w:rPr>
        <w:t xml:space="preserve"> </w:t>
      </w:r>
      <w:r w:rsidR="008D608B">
        <w:rPr>
          <w:kern w:val="32"/>
          <w:szCs w:val="32"/>
        </w:rPr>
        <w:t>záruka</w:t>
      </w:r>
      <w:r w:rsidR="006E55F3">
        <w:rPr>
          <w:kern w:val="32"/>
          <w:szCs w:val="32"/>
        </w:rPr>
        <w:t xml:space="preserve"> kompenzování jakéhokoli negativního zásahu do majetku</w:t>
      </w:r>
      <w:r w:rsidR="007A0924">
        <w:rPr>
          <w:kern w:val="32"/>
          <w:szCs w:val="32"/>
        </w:rPr>
        <w:t xml:space="preserve"> nemá obdobu</w:t>
      </w:r>
      <w:r w:rsidR="008D608B">
        <w:rPr>
          <w:kern w:val="32"/>
          <w:szCs w:val="32"/>
        </w:rPr>
        <w:t xml:space="preserve">. </w:t>
      </w:r>
      <w:r w:rsidR="00C87CF2">
        <w:rPr>
          <w:kern w:val="32"/>
          <w:szCs w:val="32"/>
        </w:rPr>
        <w:t>V aplikační praxi vš</w:t>
      </w:r>
      <w:r w:rsidR="00734CC0">
        <w:rPr>
          <w:kern w:val="32"/>
          <w:szCs w:val="32"/>
        </w:rPr>
        <w:t>ak její použití není nijak výjimečné.</w:t>
      </w:r>
      <w:r w:rsidR="00F025B4">
        <w:rPr>
          <w:rStyle w:val="Znakapoznpodarou"/>
          <w:kern w:val="32"/>
          <w:szCs w:val="32"/>
        </w:rPr>
        <w:footnoteReference w:id="90"/>
      </w:r>
      <w:r w:rsidR="00734CC0">
        <w:rPr>
          <w:kern w:val="32"/>
          <w:szCs w:val="32"/>
        </w:rPr>
        <w:t xml:space="preserve"> </w:t>
      </w:r>
      <w:r w:rsidR="00C87CF2">
        <w:rPr>
          <w:kern w:val="32"/>
          <w:szCs w:val="32"/>
        </w:rPr>
        <w:t xml:space="preserve"> </w:t>
      </w:r>
      <w:r w:rsidR="00747409">
        <w:rPr>
          <w:kern w:val="32"/>
          <w:szCs w:val="32"/>
        </w:rPr>
        <w:t>Hranicemi</w:t>
      </w:r>
      <w:r w:rsidR="00F025B4">
        <w:rPr>
          <w:kern w:val="32"/>
          <w:szCs w:val="32"/>
        </w:rPr>
        <w:t xml:space="preserve"> </w:t>
      </w:r>
      <w:r w:rsidR="00585D13">
        <w:rPr>
          <w:kern w:val="32"/>
          <w:szCs w:val="32"/>
        </w:rPr>
        <w:t>s opatřením učiněným bez odpovědnosti státu je zde</w:t>
      </w:r>
      <w:r w:rsidR="00B9169A">
        <w:rPr>
          <w:kern w:val="32"/>
          <w:szCs w:val="32"/>
        </w:rPr>
        <w:t xml:space="preserve"> (1)</w:t>
      </w:r>
      <w:r w:rsidR="00585D13">
        <w:rPr>
          <w:kern w:val="32"/>
          <w:szCs w:val="32"/>
        </w:rPr>
        <w:t xml:space="preserve"> </w:t>
      </w:r>
      <w:r w:rsidR="00A3559B">
        <w:rPr>
          <w:kern w:val="32"/>
          <w:szCs w:val="32"/>
        </w:rPr>
        <w:t>míra zásahu do investice</w:t>
      </w:r>
      <w:r w:rsidR="00A254BF">
        <w:rPr>
          <w:kern w:val="32"/>
          <w:szCs w:val="32"/>
        </w:rPr>
        <w:t xml:space="preserve">, </w:t>
      </w:r>
      <w:r w:rsidR="00B9169A">
        <w:rPr>
          <w:kern w:val="32"/>
          <w:szCs w:val="32"/>
        </w:rPr>
        <w:t xml:space="preserve">(2) </w:t>
      </w:r>
      <w:r w:rsidR="00A254BF">
        <w:rPr>
          <w:kern w:val="32"/>
          <w:szCs w:val="32"/>
        </w:rPr>
        <w:t>zbytková kontrola nad ní a</w:t>
      </w:r>
      <w:r w:rsidR="00B9169A">
        <w:rPr>
          <w:kern w:val="32"/>
          <w:szCs w:val="32"/>
        </w:rPr>
        <w:t xml:space="preserve"> (3)</w:t>
      </w:r>
      <w:r w:rsidR="00FF2D93">
        <w:rPr>
          <w:kern w:val="32"/>
          <w:szCs w:val="32"/>
        </w:rPr>
        <w:t xml:space="preserve"> porušení investorových oprávněných</w:t>
      </w:r>
      <w:r w:rsidR="00A254BF">
        <w:rPr>
          <w:kern w:val="32"/>
          <w:szCs w:val="32"/>
        </w:rPr>
        <w:t xml:space="preserve"> očekávání</w:t>
      </w:r>
      <w:r w:rsidR="00A3559B">
        <w:rPr>
          <w:kern w:val="32"/>
          <w:szCs w:val="32"/>
        </w:rPr>
        <w:t>.</w:t>
      </w:r>
      <w:r w:rsidR="00A254BF">
        <w:rPr>
          <w:rStyle w:val="Znakapoznpodarou"/>
          <w:kern w:val="32"/>
          <w:szCs w:val="32"/>
        </w:rPr>
        <w:footnoteReference w:id="91"/>
      </w:r>
      <w:r w:rsidR="00A3559B">
        <w:rPr>
          <w:kern w:val="32"/>
          <w:szCs w:val="32"/>
        </w:rPr>
        <w:t xml:space="preserve"> </w:t>
      </w:r>
      <w:r w:rsidR="005E66B3">
        <w:rPr>
          <w:kern w:val="32"/>
          <w:szCs w:val="32"/>
        </w:rPr>
        <w:t>Tribunál</w:t>
      </w:r>
      <w:r w:rsidR="00B37558">
        <w:rPr>
          <w:kern w:val="32"/>
          <w:szCs w:val="32"/>
        </w:rPr>
        <w:t xml:space="preserve"> </w:t>
      </w:r>
      <w:r w:rsidR="00201B26">
        <w:rPr>
          <w:kern w:val="32"/>
          <w:szCs w:val="32"/>
        </w:rPr>
        <w:t xml:space="preserve">tedy rozhodne </w:t>
      </w:r>
      <w:r w:rsidR="002317E9">
        <w:rPr>
          <w:kern w:val="32"/>
          <w:szCs w:val="32"/>
        </w:rPr>
        <w:t>ve prosp</w:t>
      </w:r>
      <w:r w:rsidR="00B37558">
        <w:rPr>
          <w:kern w:val="32"/>
          <w:szCs w:val="32"/>
        </w:rPr>
        <w:t xml:space="preserve">ěch státu, pokud má za to, že negativní zásah do investice nekrátí investorova práva natolik, aby se jednalo o nepřímé vyvlastnění. </w:t>
      </w:r>
      <w:r w:rsidR="005E66B3">
        <w:rPr>
          <w:kern w:val="32"/>
          <w:szCs w:val="32"/>
        </w:rPr>
        <w:t>Tak rozhod</w:t>
      </w:r>
      <w:r w:rsidR="00EB033A">
        <w:rPr>
          <w:kern w:val="32"/>
          <w:szCs w:val="32"/>
        </w:rPr>
        <w:t>ly tribunály například ve věci</w:t>
      </w:r>
      <w:r w:rsidR="001D7200">
        <w:rPr>
          <w:kern w:val="32"/>
          <w:szCs w:val="32"/>
        </w:rPr>
        <w:t xml:space="preserve"> </w:t>
      </w:r>
      <w:r w:rsidR="001D7200">
        <w:rPr>
          <w:i/>
          <w:kern w:val="32"/>
          <w:szCs w:val="32"/>
        </w:rPr>
        <w:t>Telenor v. Hungaria</w:t>
      </w:r>
      <w:r w:rsidR="001D7200">
        <w:rPr>
          <w:kern w:val="32"/>
          <w:szCs w:val="32"/>
        </w:rPr>
        <w:t>, kde</w:t>
      </w:r>
      <w:r w:rsidR="002774E5">
        <w:rPr>
          <w:kern w:val="32"/>
          <w:szCs w:val="32"/>
        </w:rPr>
        <w:t xml:space="preserve"> vyslovil, že neshoda mezi investorem a státem na tom, zda opatření bylo učiněné v dobré víře a ve veřejném zájmu, není při aplikaci SED podstatná. Zároveň ale </w:t>
      </w:r>
      <w:r w:rsidR="00C05ECB">
        <w:rPr>
          <w:kern w:val="32"/>
          <w:szCs w:val="32"/>
        </w:rPr>
        <w:t>neshledal zásah do investice dostatečně závažným</w:t>
      </w:r>
      <w:r w:rsidR="00350D7E">
        <w:rPr>
          <w:kern w:val="32"/>
          <w:szCs w:val="32"/>
        </w:rPr>
        <w:t>, nenastalo „</w:t>
      </w:r>
      <w:r w:rsidR="0098437B">
        <w:rPr>
          <w:i/>
          <w:kern w:val="32"/>
          <w:szCs w:val="32"/>
        </w:rPr>
        <w:t xml:space="preserve">podstatné ekonomické </w:t>
      </w:r>
      <w:r w:rsidR="001D1520">
        <w:rPr>
          <w:i/>
          <w:kern w:val="32"/>
          <w:szCs w:val="32"/>
        </w:rPr>
        <w:t>ochromení</w:t>
      </w:r>
      <w:r w:rsidR="00350D7E">
        <w:rPr>
          <w:i/>
          <w:kern w:val="32"/>
          <w:szCs w:val="32"/>
        </w:rPr>
        <w:t xml:space="preserve"> </w:t>
      </w:r>
      <w:r w:rsidR="00350D7E">
        <w:rPr>
          <w:i/>
          <w:kern w:val="32"/>
          <w:szCs w:val="32"/>
        </w:rPr>
        <w:lastRenderedPageBreak/>
        <w:t>investice“</w:t>
      </w:r>
      <w:r w:rsidR="00E51A3F">
        <w:rPr>
          <w:kern w:val="32"/>
          <w:szCs w:val="32"/>
        </w:rPr>
        <w:t>, zásah nebyl dostatečně intenzivní a trvalý</w:t>
      </w:r>
      <w:r w:rsidR="00C05ECB">
        <w:rPr>
          <w:kern w:val="32"/>
          <w:szCs w:val="32"/>
        </w:rPr>
        <w:t>.</w:t>
      </w:r>
      <w:r w:rsidR="00350D7E">
        <w:rPr>
          <w:rStyle w:val="Znakapoznpodarou"/>
          <w:kern w:val="32"/>
          <w:szCs w:val="32"/>
        </w:rPr>
        <w:footnoteReference w:id="92"/>
      </w:r>
      <w:r w:rsidR="00C05ECB">
        <w:rPr>
          <w:kern w:val="32"/>
          <w:szCs w:val="32"/>
        </w:rPr>
        <w:t xml:space="preserve"> </w:t>
      </w:r>
      <w:r w:rsidR="00370FE0">
        <w:rPr>
          <w:kern w:val="32"/>
          <w:szCs w:val="32"/>
        </w:rPr>
        <w:t>Přístup SED je</w:t>
      </w:r>
      <w:r w:rsidR="00BD4633">
        <w:rPr>
          <w:kern w:val="32"/>
          <w:szCs w:val="32"/>
        </w:rPr>
        <w:t xml:space="preserve"> o to nevyzpytatelnější, že </w:t>
      </w:r>
      <w:r w:rsidR="00370FE0">
        <w:rPr>
          <w:kern w:val="32"/>
          <w:szCs w:val="32"/>
        </w:rPr>
        <w:t xml:space="preserve">tato okolnost bývá případ od případu posuzována individuálně a velmi rozdílně. </w:t>
      </w:r>
      <w:r w:rsidR="00EA0D88">
        <w:rPr>
          <w:kern w:val="32"/>
          <w:szCs w:val="32"/>
        </w:rPr>
        <w:t xml:space="preserve">Prvek legitimního očekávání zde funguje </w:t>
      </w:r>
      <w:r w:rsidR="00D33C4E">
        <w:rPr>
          <w:kern w:val="32"/>
          <w:szCs w:val="32"/>
        </w:rPr>
        <w:t>podobně, jako</w:t>
      </w:r>
      <w:r w:rsidR="00EA0D88">
        <w:rPr>
          <w:kern w:val="32"/>
          <w:szCs w:val="32"/>
        </w:rPr>
        <w:t xml:space="preserve"> je popsán v kapitole 3. </w:t>
      </w:r>
      <w:r w:rsidR="005A213D">
        <w:rPr>
          <w:kern w:val="32"/>
          <w:szCs w:val="32"/>
        </w:rPr>
        <w:t>Principem je zbavení</w:t>
      </w:r>
      <w:r w:rsidR="004525A9">
        <w:rPr>
          <w:kern w:val="32"/>
          <w:szCs w:val="32"/>
        </w:rPr>
        <w:t xml:space="preserve"> nebo omezení</w:t>
      </w:r>
      <w:r w:rsidR="005A213D">
        <w:rPr>
          <w:kern w:val="32"/>
          <w:szCs w:val="32"/>
        </w:rPr>
        <w:t xml:space="preserve"> možnosti </w:t>
      </w:r>
      <w:r w:rsidR="004525A9">
        <w:rPr>
          <w:kern w:val="32"/>
          <w:szCs w:val="32"/>
        </w:rPr>
        <w:t xml:space="preserve">užívat </w:t>
      </w:r>
      <w:r w:rsidR="00B75E31">
        <w:rPr>
          <w:kern w:val="32"/>
          <w:szCs w:val="32"/>
        </w:rPr>
        <w:t xml:space="preserve">majetek a pobírat jeho užitky </w:t>
      </w:r>
      <w:r w:rsidR="00157AB9">
        <w:rPr>
          <w:kern w:val="32"/>
          <w:szCs w:val="32"/>
        </w:rPr>
        <w:t>„</w:t>
      </w:r>
      <w:r w:rsidR="00157AB9" w:rsidRPr="00157AB9">
        <w:rPr>
          <w:i/>
          <w:kern w:val="32"/>
          <w:szCs w:val="32"/>
        </w:rPr>
        <w:t>racionálně očekávatelné</w:t>
      </w:r>
      <w:r w:rsidR="00157AB9">
        <w:rPr>
          <w:kern w:val="32"/>
          <w:szCs w:val="32"/>
        </w:rPr>
        <w:t>“.</w:t>
      </w:r>
      <w:r w:rsidR="00882908">
        <w:rPr>
          <w:rStyle w:val="Znakapoznpodarou"/>
          <w:kern w:val="32"/>
          <w:szCs w:val="32"/>
        </w:rPr>
        <w:footnoteReference w:id="93"/>
      </w:r>
      <w:r w:rsidR="0047292E">
        <w:rPr>
          <w:kern w:val="32"/>
          <w:szCs w:val="32"/>
        </w:rPr>
        <w:t xml:space="preserve"> Odůvodnění existence takového zásahu je ze strany investora </w:t>
      </w:r>
      <w:r w:rsidR="000E6F7B">
        <w:rPr>
          <w:kern w:val="32"/>
          <w:szCs w:val="32"/>
        </w:rPr>
        <w:t xml:space="preserve">většinou </w:t>
      </w:r>
      <w:r w:rsidR="00B81C35">
        <w:rPr>
          <w:kern w:val="32"/>
          <w:szCs w:val="32"/>
        </w:rPr>
        <w:t xml:space="preserve">totožné </w:t>
      </w:r>
      <w:r w:rsidR="00CD58EA">
        <w:rPr>
          <w:kern w:val="32"/>
          <w:szCs w:val="32"/>
        </w:rPr>
        <w:t>jako v případě</w:t>
      </w:r>
      <w:r w:rsidR="000E6F7B">
        <w:rPr>
          <w:kern w:val="32"/>
          <w:szCs w:val="32"/>
        </w:rPr>
        <w:t xml:space="preserve"> </w:t>
      </w:r>
      <w:r w:rsidR="00BD3BCB">
        <w:rPr>
          <w:kern w:val="32"/>
          <w:szCs w:val="32"/>
        </w:rPr>
        <w:t>údajného</w:t>
      </w:r>
      <w:r w:rsidR="000E6F7B">
        <w:rPr>
          <w:kern w:val="32"/>
          <w:szCs w:val="32"/>
        </w:rPr>
        <w:t xml:space="preserve"> porušení FET.</w:t>
      </w:r>
      <w:r w:rsidR="00B81C35">
        <w:rPr>
          <w:kern w:val="32"/>
          <w:szCs w:val="32"/>
        </w:rPr>
        <w:t xml:space="preserve"> </w:t>
      </w:r>
      <w:r w:rsidR="00836E67">
        <w:rPr>
          <w:kern w:val="32"/>
          <w:szCs w:val="32"/>
        </w:rPr>
        <w:t>V kapitole 2</w:t>
      </w:r>
      <w:r w:rsidR="00613C19">
        <w:rPr>
          <w:kern w:val="32"/>
          <w:szCs w:val="32"/>
        </w:rPr>
        <w:t xml:space="preserve"> popsaný příklad </w:t>
      </w:r>
      <w:r w:rsidR="00613C19">
        <w:rPr>
          <w:i/>
          <w:kern w:val="32"/>
          <w:szCs w:val="32"/>
        </w:rPr>
        <w:t>Metalclad v. Mexico</w:t>
      </w:r>
      <w:r w:rsidR="00613C19">
        <w:rPr>
          <w:kern w:val="32"/>
          <w:szCs w:val="32"/>
        </w:rPr>
        <w:t xml:space="preserve"> sk</w:t>
      </w:r>
      <w:r w:rsidR="00A53AB1">
        <w:rPr>
          <w:kern w:val="32"/>
          <w:szCs w:val="32"/>
        </w:rPr>
        <w:t>ončil úspěchem i</w:t>
      </w:r>
      <w:r w:rsidR="00BD11E4">
        <w:rPr>
          <w:kern w:val="32"/>
          <w:szCs w:val="32"/>
        </w:rPr>
        <w:t>nvestora kromě</w:t>
      </w:r>
      <w:r w:rsidR="00A53AB1">
        <w:rPr>
          <w:kern w:val="32"/>
          <w:szCs w:val="32"/>
        </w:rPr>
        <w:t xml:space="preserve"> legitimních očekáván</w:t>
      </w:r>
      <w:r w:rsidR="00BD11E4">
        <w:rPr>
          <w:kern w:val="32"/>
          <w:szCs w:val="32"/>
        </w:rPr>
        <w:t>í jako součásti doložky FET</w:t>
      </w:r>
      <w:r w:rsidR="00D904A8">
        <w:rPr>
          <w:kern w:val="32"/>
          <w:szCs w:val="32"/>
        </w:rPr>
        <w:t xml:space="preserve"> i</w:t>
      </w:r>
      <w:r w:rsidR="00A53AB1">
        <w:rPr>
          <w:kern w:val="32"/>
          <w:szCs w:val="32"/>
        </w:rPr>
        <w:t xml:space="preserve"> v případě vyvlastnění.</w:t>
      </w:r>
      <w:r w:rsidR="00AA3171">
        <w:rPr>
          <w:kern w:val="32"/>
          <w:szCs w:val="32"/>
        </w:rPr>
        <w:t xml:space="preserve"> Vyvlastněna</w:t>
      </w:r>
      <w:r w:rsidR="006A26E1">
        <w:rPr>
          <w:kern w:val="32"/>
          <w:szCs w:val="32"/>
        </w:rPr>
        <w:t xml:space="preserve"> měla být část stavby, na které již byly zahájeny práce v očekávání udělení povolení.</w:t>
      </w:r>
      <w:r w:rsidR="00F760E0">
        <w:rPr>
          <w:rStyle w:val="Znakapoznpodarou"/>
          <w:kern w:val="32"/>
          <w:szCs w:val="32"/>
        </w:rPr>
        <w:footnoteReference w:id="94"/>
      </w:r>
      <w:r w:rsidR="00A53AB1">
        <w:rPr>
          <w:kern w:val="32"/>
          <w:szCs w:val="32"/>
        </w:rPr>
        <w:t xml:space="preserve"> Mexiku nepomohl ani článek 1114 NAFTA, podle nějž by „</w:t>
      </w:r>
      <w:r w:rsidR="00A53AB1" w:rsidRPr="00D643BF">
        <w:rPr>
          <w:i/>
          <w:kern w:val="32"/>
          <w:szCs w:val="32"/>
        </w:rPr>
        <w:t xml:space="preserve">ochrana investic podle NAFTA </w:t>
      </w:r>
      <w:r w:rsidR="00D643BF" w:rsidRPr="00D643BF">
        <w:rPr>
          <w:i/>
          <w:kern w:val="32"/>
          <w:szCs w:val="32"/>
        </w:rPr>
        <w:t>neměla bránit státu v přijímání opatření na ochranu životního prostředí, která zajistí nízký negativní dopad investice na něj</w:t>
      </w:r>
      <w:r w:rsidR="00D643BF">
        <w:rPr>
          <w:kern w:val="32"/>
          <w:szCs w:val="32"/>
        </w:rPr>
        <w:t xml:space="preserve">.“ </w:t>
      </w:r>
      <w:r w:rsidR="00DA430C">
        <w:rPr>
          <w:kern w:val="32"/>
          <w:szCs w:val="32"/>
        </w:rPr>
        <w:t>Ji</w:t>
      </w:r>
      <w:r w:rsidR="0006509E">
        <w:rPr>
          <w:kern w:val="32"/>
          <w:szCs w:val="32"/>
        </w:rPr>
        <w:t>ný názor měl kanadský soud, který rozhodnutí přezkoumával. Podle něj oprávněná očekávání založila porušení FET</w:t>
      </w:r>
      <w:r w:rsidR="00293FB6">
        <w:rPr>
          <w:kern w:val="32"/>
          <w:szCs w:val="32"/>
        </w:rPr>
        <w:t>, neodůvodňuje ale vyvlastnění</w:t>
      </w:r>
      <w:r w:rsidR="0006509E">
        <w:rPr>
          <w:kern w:val="32"/>
          <w:szCs w:val="32"/>
        </w:rPr>
        <w:t>.</w:t>
      </w:r>
      <w:r w:rsidR="0006509E">
        <w:rPr>
          <w:rStyle w:val="Znakapoznpodarou"/>
          <w:kern w:val="32"/>
          <w:szCs w:val="32"/>
        </w:rPr>
        <w:footnoteReference w:id="95"/>
      </w:r>
    </w:p>
    <w:p w14:paraId="783C4930" w14:textId="6FF66075" w:rsidR="005C2DB7" w:rsidRPr="005D7188" w:rsidRDefault="00FB3D5B" w:rsidP="007A674C">
      <w:pPr>
        <w:pStyle w:val="Odstavecseseznamem"/>
        <w:spacing w:line="360" w:lineRule="auto"/>
        <w:ind w:left="142" w:firstLine="654"/>
        <w:jc w:val="both"/>
        <w:rPr>
          <w:kern w:val="32"/>
          <w:szCs w:val="32"/>
        </w:rPr>
      </w:pPr>
      <w:r w:rsidRPr="000935C9">
        <w:rPr>
          <w:i/>
          <w:kern w:val="32"/>
          <w:szCs w:val="32"/>
        </w:rPr>
        <w:t>Police Power doctrine</w:t>
      </w:r>
      <w:r>
        <w:rPr>
          <w:kern w:val="32"/>
          <w:szCs w:val="32"/>
        </w:rPr>
        <w:t xml:space="preserve"> </w:t>
      </w:r>
      <w:r w:rsidR="00683A8C">
        <w:rPr>
          <w:kern w:val="32"/>
          <w:szCs w:val="32"/>
        </w:rPr>
        <w:t>se vyvíjí právě pro přesnější rozlišení nepřímého vyvlastnění od nekompenzovatelného zásahu.</w:t>
      </w:r>
      <w:r w:rsidR="00603347">
        <w:rPr>
          <w:kern w:val="32"/>
          <w:szCs w:val="32"/>
        </w:rPr>
        <w:t xml:space="preserve"> Vidí situaci primárně z pohledu státu.</w:t>
      </w:r>
      <w:r w:rsidR="00683A8C">
        <w:rPr>
          <w:kern w:val="32"/>
          <w:szCs w:val="32"/>
        </w:rPr>
        <w:t xml:space="preserve"> </w:t>
      </w:r>
      <w:r w:rsidR="00CA0ABE">
        <w:rPr>
          <w:kern w:val="32"/>
          <w:szCs w:val="32"/>
        </w:rPr>
        <w:t xml:space="preserve">Podle ní stát není nucen </w:t>
      </w:r>
      <w:r w:rsidR="00EF7072">
        <w:rPr>
          <w:kern w:val="32"/>
          <w:szCs w:val="32"/>
        </w:rPr>
        <w:t>nahradit ztrátu</w:t>
      </w:r>
      <w:r w:rsidR="005C6831">
        <w:rPr>
          <w:kern w:val="32"/>
          <w:szCs w:val="32"/>
        </w:rPr>
        <w:t xml:space="preserve"> na majetku</w:t>
      </w:r>
      <w:r w:rsidR="00CF6D40">
        <w:rPr>
          <w:kern w:val="32"/>
          <w:szCs w:val="32"/>
        </w:rPr>
        <w:t>, která investorovi vznikne</w:t>
      </w:r>
      <w:r w:rsidR="00CA0ABE">
        <w:rPr>
          <w:kern w:val="32"/>
          <w:szCs w:val="32"/>
        </w:rPr>
        <w:t xml:space="preserve"> z</w:t>
      </w:r>
      <w:r w:rsidR="00EF7072">
        <w:rPr>
          <w:kern w:val="32"/>
          <w:szCs w:val="32"/>
        </w:rPr>
        <w:t> nediskriminačního zdanění nebo jiné</w:t>
      </w:r>
      <w:r w:rsidR="00C22CF2">
        <w:rPr>
          <w:kern w:val="32"/>
          <w:szCs w:val="32"/>
        </w:rPr>
        <w:t xml:space="preserve"> podobné</w:t>
      </w:r>
      <w:r w:rsidR="00EF7072">
        <w:rPr>
          <w:kern w:val="32"/>
          <w:szCs w:val="32"/>
        </w:rPr>
        <w:t xml:space="preserve"> regulace provedené v dobré víře, spadající pod obecně přijímaný rámec výkonu suverénní moci státem.</w:t>
      </w:r>
      <w:r w:rsidR="002C03ED">
        <w:rPr>
          <w:rStyle w:val="Znakapoznpodarou"/>
          <w:kern w:val="32"/>
          <w:szCs w:val="32"/>
        </w:rPr>
        <w:footnoteReference w:id="96"/>
      </w:r>
      <w:r w:rsidR="00E74BAC">
        <w:rPr>
          <w:kern w:val="32"/>
          <w:szCs w:val="32"/>
        </w:rPr>
        <w:t xml:space="preserve"> K hranici těchto pojmů se tedy dostává z opačné strany, z pohledu státu.</w:t>
      </w:r>
      <w:r w:rsidR="000970A8">
        <w:rPr>
          <w:kern w:val="32"/>
          <w:szCs w:val="32"/>
        </w:rPr>
        <w:t xml:space="preserve"> </w:t>
      </w:r>
      <w:r w:rsidR="009D7CC3">
        <w:rPr>
          <w:kern w:val="32"/>
          <w:szCs w:val="32"/>
        </w:rPr>
        <w:t>Základním</w:t>
      </w:r>
      <w:r w:rsidR="004934A7">
        <w:rPr>
          <w:kern w:val="32"/>
          <w:szCs w:val="32"/>
        </w:rPr>
        <w:t xml:space="preserve"> příkladem jsou</w:t>
      </w:r>
      <w:r w:rsidR="004619E8">
        <w:rPr>
          <w:kern w:val="32"/>
          <w:szCs w:val="32"/>
        </w:rPr>
        <w:t xml:space="preserve"> rozhodnutí</w:t>
      </w:r>
      <w:r w:rsidR="000970A8">
        <w:rPr>
          <w:kern w:val="32"/>
          <w:szCs w:val="32"/>
        </w:rPr>
        <w:t xml:space="preserve"> </w:t>
      </w:r>
      <w:r w:rsidR="004934A7">
        <w:rPr>
          <w:i/>
          <w:kern w:val="32"/>
          <w:szCs w:val="32"/>
        </w:rPr>
        <w:t xml:space="preserve">Methanex </w:t>
      </w:r>
      <w:r w:rsidR="004934A7">
        <w:rPr>
          <w:kern w:val="32"/>
          <w:szCs w:val="32"/>
        </w:rPr>
        <w:t xml:space="preserve"> nebo </w:t>
      </w:r>
      <w:r w:rsidR="004934A7">
        <w:rPr>
          <w:i/>
          <w:kern w:val="32"/>
          <w:szCs w:val="32"/>
        </w:rPr>
        <w:t>Saluka</w:t>
      </w:r>
      <w:r w:rsidR="000970A8">
        <w:rPr>
          <w:kern w:val="32"/>
          <w:szCs w:val="32"/>
        </w:rPr>
        <w:t xml:space="preserve">, </w:t>
      </w:r>
      <w:r w:rsidR="00A40631">
        <w:rPr>
          <w:kern w:val="32"/>
          <w:szCs w:val="32"/>
        </w:rPr>
        <w:t xml:space="preserve">tribunálům jako kritéria </w:t>
      </w:r>
      <w:r w:rsidR="00754468">
        <w:rPr>
          <w:kern w:val="32"/>
          <w:szCs w:val="32"/>
        </w:rPr>
        <w:t>sloužilo</w:t>
      </w:r>
      <w:r w:rsidR="001A26FF">
        <w:rPr>
          <w:kern w:val="32"/>
          <w:szCs w:val="32"/>
        </w:rPr>
        <w:t xml:space="preserve"> pouze, zda bylo opatření učiněno ve veřejném zájmu, bez diskriminace a v souladu s pravidly řádného procesu.</w:t>
      </w:r>
      <w:r w:rsidR="00A90B6E">
        <w:rPr>
          <w:rStyle w:val="Znakapoznpodarou"/>
          <w:kern w:val="32"/>
          <w:szCs w:val="32"/>
        </w:rPr>
        <w:footnoteReference w:id="97"/>
      </w:r>
      <w:r w:rsidR="003E209A">
        <w:rPr>
          <w:kern w:val="32"/>
          <w:szCs w:val="32"/>
        </w:rPr>
        <w:t xml:space="preserve"> Při důsledném použití takového zkoumání se dá dosáhnout opačného extrému než u SED, tedy</w:t>
      </w:r>
      <w:r w:rsidR="008E2C2D">
        <w:rPr>
          <w:kern w:val="32"/>
          <w:szCs w:val="32"/>
        </w:rPr>
        <w:t>,</w:t>
      </w:r>
      <w:r w:rsidR="003E209A">
        <w:rPr>
          <w:kern w:val="32"/>
          <w:szCs w:val="32"/>
        </w:rPr>
        <w:t xml:space="preserve"> že </w:t>
      </w:r>
      <w:r w:rsidR="00F46775">
        <w:rPr>
          <w:kern w:val="32"/>
          <w:szCs w:val="32"/>
        </w:rPr>
        <w:t xml:space="preserve">jakákoli doktrína nepřímého vyvlastnění není potřebná, protože </w:t>
      </w:r>
      <w:r w:rsidR="001C4DA4">
        <w:rPr>
          <w:kern w:val="32"/>
          <w:szCs w:val="32"/>
        </w:rPr>
        <w:t xml:space="preserve">jej </w:t>
      </w:r>
      <w:r w:rsidR="002D2B33">
        <w:rPr>
          <w:kern w:val="32"/>
          <w:szCs w:val="32"/>
        </w:rPr>
        <w:t xml:space="preserve">nebude možné dosáhnout bez porušení jiných standardů ve </w:t>
      </w:r>
      <w:r w:rsidR="002D2B33">
        <w:rPr>
          <w:kern w:val="32"/>
          <w:szCs w:val="32"/>
        </w:rPr>
        <w:lastRenderedPageBreak/>
        <w:t>smlouvě nebo mezinárodního obyčejového práva.</w:t>
      </w:r>
      <w:r w:rsidR="007A674C">
        <w:rPr>
          <w:kern w:val="32"/>
          <w:szCs w:val="32"/>
        </w:rPr>
        <w:t xml:space="preserve"> </w:t>
      </w:r>
      <w:r w:rsidR="005C2DB7" w:rsidRPr="007A674C">
        <w:rPr>
          <w:kern w:val="32"/>
          <w:szCs w:val="32"/>
        </w:rPr>
        <w:t xml:space="preserve">Kompromisní cestou se rozhodci vydali v případech </w:t>
      </w:r>
      <w:r w:rsidR="005C2DB7" w:rsidRPr="007A674C">
        <w:rPr>
          <w:i/>
          <w:kern w:val="32"/>
          <w:szCs w:val="32"/>
        </w:rPr>
        <w:t>S.D. Myers</w:t>
      </w:r>
      <w:r w:rsidR="00DF1D1B">
        <w:rPr>
          <w:kern w:val="32"/>
          <w:szCs w:val="32"/>
        </w:rPr>
        <w:t>,</w:t>
      </w:r>
      <w:r w:rsidR="005C2DB7" w:rsidRPr="007A674C">
        <w:rPr>
          <w:kern w:val="32"/>
          <w:szCs w:val="32"/>
        </w:rPr>
        <w:t xml:space="preserve"> </w:t>
      </w:r>
      <w:r w:rsidR="005C2DB7" w:rsidRPr="007A674C">
        <w:rPr>
          <w:i/>
          <w:kern w:val="32"/>
          <w:szCs w:val="32"/>
        </w:rPr>
        <w:t>Feldman</w:t>
      </w:r>
      <w:r w:rsidR="007A674C">
        <w:rPr>
          <w:kern w:val="32"/>
          <w:szCs w:val="32"/>
        </w:rPr>
        <w:t xml:space="preserve"> nebo </w:t>
      </w:r>
      <w:r w:rsidR="007A674C" w:rsidRPr="007A674C">
        <w:rPr>
          <w:i/>
          <w:kern w:val="32"/>
          <w:szCs w:val="32"/>
        </w:rPr>
        <w:t>Tecmed</w:t>
      </w:r>
      <w:r w:rsidR="007A674C">
        <w:rPr>
          <w:kern w:val="32"/>
          <w:szCs w:val="32"/>
        </w:rPr>
        <w:t>.</w:t>
      </w:r>
      <w:r w:rsidR="00E97DB3">
        <w:rPr>
          <w:kern w:val="32"/>
          <w:szCs w:val="32"/>
        </w:rPr>
        <w:t xml:space="preserve"> V posledně jmenovaném</w:t>
      </w:r>
      <w:r w:rsidR="00775886">
        <w:rPr>
          <w:kern w:val="32"/>
          <w:szCs w:val="32"/>
        </w:rPr>
        <w:t xml:space="preserve"> vzali za základ </w:t>
      </w:r>
      <w:r w:rsidR="004422AC">
        <w:rPr>
          <w:kern w:val="32"/>
          <w:szCs w:val="32"/>
        </w:rPr>
        <w:t>majetkovou újmu investice,</w:t>
      </w:r>
      <w:r w:rsidR="00E97DB3">
        <w:rPr>
          <w:kern w:val="32"/>
          <w:szCs w:val="32"/>
        </w:rPr>
        <w:t xml:space="preserve"> </w:t>
      </w:r>
      <w:r w:rsidR="00775886">
        <w:rPr>
          <w:kern w:val="32"/>
          <w:szCs w:val="32"/>
        </w:rPr>
        <w:t>testovali</w:t>
      </w:r>
      <w:r w:rsidR="004422AC">
        <w:rPr>
          <w:kern w:val="32"/>
          <w:szCs w:val="32"/>
        </w:rPr>
        <w:t xml:space="preserve"> však také</w:t>
      </w:r>
      <w:r w:rsidR="00775886">
        <w:rPr>
          <w:kern w:val="32"/>
          <w:szCs w:val="32"/>
        </w:rPr>
        <w:t xml:space="preserve"> proporcionalitu veřejného zájmu</w:t>
      </w:r>
      <w:r w:rsidR="004422AC">
        <w:rPr>
          <w:kern w:val="32"/>
          <w:szCs w:val="32"/>
        </w:rPr>
        <w:t xml:space="preserve"> </w:t>
      </w:r>
      <w:r w:rsidR="00D90A30">
        <w:rPr>
          <w:kern w:val="32"/>
          <w:szCs w:val="32"/>
        </w:rPr>
        <w:t>ve vztahu k této újmě.</w:t>
      </w:r>
      <w:r w:rsidR="0088748C" w:rsidRPr="0088748C">
        <w:rPr>
          <w:rStyle w:val="Znakapoznpodarou"/>
          <w:kern w:val="32"/>
          <w:szCs w:val="32"/>
        </w:rPr>
        <w:t xml:space="preserve"> </w:t>
      </w:r>
      <w:r w:rsidR="0088748C">
        <w:rPr>
          <w:rStyle w:val="Znakapoznpodarou"/>
          <w:kern w:val="32"/>
          <w:szCs w:val="32"/>
        </w:rPr>
        <w:footnoteReference w:id="98"/>
      </w:r>
      <w:r w:rsidR="0088748C" w:rsidRPr="007A674C">
        <w:rPr>
          <w:kern w:val="32"/>
          <w:szCs w:val="32"/>
        </w:rPr>
        <w:t xml:space="preserve"> </w:t>
      </w:r>
      <w:r w:rsidR="0088748C">
        <w:rPr>
          <w:kern w:val="32"/>
          <w:szCs w:val="32"/>
        </w:rPr>
        <w:t>Některé tribunály dále přidávají kritéria jako obohacení státu nebo skutečný přínos veřejnému zájmu.</w:t>
      </w:r>
      <w:r w:rsidR="004547BE">
        <w:rPr>
          <w:rStyle w:val="Znakapoznpodarou"/>
          <w:kern w:val="32"/>
          <w:szCs w:val="32"/>
        </w:rPr>
        <w:footnoteReference w:id="99"/>
      </w:r>
      <w:r w:rsidR="00FA7AF3">
        <w:rPr>
          <w:kern w:val="32"/>
          <w:szCs w:val="32"/>
        </w:rPr>
        <w:t xml:space="preserve"> Přístup používající různé formy testu proporcionality lze tedy ještě vyčlenit jako modifikaci první nebo druhé doktríny. </w:t>
      </w:r>
      <w:r w:rsidR="00E3760F">
        <w:rPr>
          <w:kern w:val="32"/>
          <w:szCs w:val="32"/>
        </w:rPr>
        <w:t>Shrnutí přístupu</w:t>
      </w:r>
      <w:r w:rsidR="00B16757">
        <w:rPr>
          <w:kern w:val="32"/>
          <w:szCs w:val="32"/>
        </w:rPr>
        <w:t xml:space="preserve"> PPD</w:t>
      </w:r>
      <w:r w:rsidR="00E3760F">
        <w:rPr>
          <w:kern w:val="32"/>
          <w:szCs w:val="32"/>
        </w:rPr>
        <w:t xml:space="preserve"> </w:t>
      </w:r>
      <w:r w:rsidR="007F3E8A">
        <w:rPr>
          <w:kern w:val="32"/>
          <w:szCs w:val="32"/>
        </w:rPr>
        <w:t xml:space="preserve">najdeme </w:t>
      </w:r>
      <w:r w:rsidR="0019135B">
        <w:rPr>
          <w:kern w:val="32"/>
          <w:szCs w:val="32"/>
        </w:rPr>
        <w:t xml:space="preserve">i v jednom z novějších, zásadních rozhodnutí o vyvlastnění podle NAFTA, </w:t>
      </w:r>
      <w:r w:rsidR="0019135B">
        <w:rPr>
          <w:i/>
          <w:kern w:val="32"/>
          <w:szCs w:val="32"/>
        </w:rPr>
        <w:t>Chemtura v. Canada</w:t>
      </w:r>
      <w:r w:rsidR="0019135B">
        <w:rPr>
          <w:kern w:val="32"/>
          <w:szCs w:val="32"/>
        </w:rPr>
        <w:t xml:space="preserve">: </w:t>
      </w:r>
      <w:r w:rsidR="004B677E">
        <w:rPr>
          <w:kern w:val="32"/>
          <w:szCs w:val="32"/>
        </w:rPr>
        <w:t>„</w:t>
      </w:r>
      <w:r w:rsidR="004B677E">
        <w:rPr>
          <w:i/>
          <w:kern w:val="32"/>
          <w:szCs w:val="32"/>
        </w:rPr>
        <w:t xml:space="preserve">Opatření byla provedena orgánem státu v rámci jeho pravomocí, </w:t>
      </w:r>
      <w:r w:rsidR="00412744">
        <w:rPr>
          <w:i/>
          <w:kern w:val="32"/>
          <w:szCs w:val="32"/>
        </w:rPr>
        <w:t xml:space="preserve">nediskriminačním způsobem, motivována zvýšeným povědomím o nebezpečí látky vyráběné investorem pro veřejné zdraví a životní prostředí. </w:t>
      </w:r>
      <w:r w:rsidR="005D7188">
        <w:rPr>
          <w:i/>
          <w:kern w:val="32"/>
          <w:szCs w:val="32"/>
        </w:rPr>
        <w:t>Za těchto podmínek je opatření legitimním projevem státní moci a nezakládá vyvlastnění.</w:t>
      </w:r>
      <w:r w:rsidR="005D7188">
        <w:rPr>
          <w:kern w:val="32"/>
          <w:szCs w:val="32"/>
        </w:rPr>
        <w:t>“</w:t>
      </w:r>
      <w:r w:rsidR="00857E6B">
        <w:rPr>
          <w:rStyle w:val="Znakapoznpodarou"/>
          <w:kern w:val="32"/>
          <w:szCs w:val="32"/>
        </w:rPr>
        <w:footnoteReference w:id="100"/>
      </w:r>
      <w:r w:rsidR="005373DD">
        <w:rPr>
          <w:kern w:val="32"/>
          <w:szCs w:val="32"/>
        </w:rPr>
        <w:t xml:space="preserve"> Situace by pochopitelně vypadala odlišně, pokud by jednání porušovalo konkrétní závazek státu k investorovi nebo bylo hrubě disproporcionální, podobně jako u standardu FET. </w:t>
      </w:r>
    </w:p>
    <w:p w14:paraId="215FD179" w14:textId="7A41DB06" w:rsidR="008C3CCF" w:rsidRDefault="008C3CCF" w:rsidP="000B09EF">
      <w:pPr>
        <w:pStyle w:val="Nadpis3"/>
        <w:tabs>
          <w:tab w:val="clear" w:pos="720"/>
          <w:tab w:val="num" w:pos="851"/>
        </w:tabs>
        <w:ind w:left="851"/>
      </w:pPr>
      <w:bookmarkStart w:id="23" w:name="_Toc479697284"/>
      <w:r>
        <w:t>Philip Morris v. Uruguay</w:t>
      </w:r>
      <w:bookmarkEnd w:id="23"/>
    </w:p>
    <w:p w14:paraId="060333DA" w14:textId="080C8B52" w:rsidR="00A16527" w:rsidRDefault="00010617" w:rsidP="00010617">
      <w:pPr>
        <w:pStyle w:val="Odstavecseseznamem"/>
        <w:spacing w:line="360" w:lineRule="auto"/>
        <w:ind w:left="142" w:firstLine="654"/>
        <w:jc w:val="both"/>
      </w:pPr>
      <w:r>
        <w:t xml:space="preserve">Argumentace stran v případu podrobně popsaném v kapitole 2 kopírovala výše uvedené doktríny, když se investor pokoušel aplikovat SED. </w:t>
      </w:r>
      <w:r w:rsidR="003C1C82">
        <w:t>O</w:t>
      </w:r>
      <w:r w:rsidR="005451D7">
        <w:t>patření SPR a 80/80</w:t>
      </w:r>
      <w:r w:rsidR="003C1C82">
        <w:t xml:space="preserve"> podle něj</w:t>
      </w:r>
      <w:r w:rsidR="005451D7">
        <w:t xml:space="preserve"> vyvlastnila jeho </w:t>
      </w:r>
      <w:r w:rsidR="00B43BE1">
        <w:t xml:space="preserve">ochranné známky a </w:t>
      </w:r>
      <w:r w:rsidR="00B43BE1">
        <w:rPr>
          <w:i/>
        </w:rPr>
        <w:t>goodwill</w:t>
      </w:r>
      <w:r w:rsidR="00B43BE1">
        <w:t xml:space="preserve">, tedy kapitálovou hodnotu </w:t>
      </w:r>
      <w:r w:rsidR="00014E5D">
        <w:t>nehmotných aktiv</w:t>
      </w:r>
      <w:r w:rsidR="009A6A93">
        <w:t>.</w:t>
      </w:r>
      <w:r w:rsidR="007D1521">
        <w:rPr>
          <w:rStyle w:val="Znakapoznpodarou"/>
        </w:rPr>
        <w:footnoteReference w:id="101"/>
      </w:r>
      <w:r w:rsidR="00014E5D">
        <w:t xml:space="preserve"> </w:t>
      </w:r>
      <w:r w:rsidR="00EC03EA">
        <w:t xml:space="preserve">Podle státu se nemohlo jednat o vyvlastnění, jelikož společnost zůstala </w:t>
      </w:r>
      <w:r w:rsidR="00487787">
        <w:t xml:space="preserve">i po jejich účinnosti zisková a navíc podle práva Uruguaye ochranné známky fungují pouze jako pasivní právo, je pouze nárok na </w:t>
      </w:r>
      <w:r w:rsidR="00721A3B">
        <w:t xml:space="preserve">jejich nepoužití jiným subjektem. </w:t>
      </w:r>
      <w:r w:rsidR="009A6A93">
        <w:t xml:space="preserve">Podle investora je však každá ochranná známka samostatnou nehmotnou věcí jednotlivě vyvlastněnou a je tedy lhostejno, zda společnost jako celek zůstává v zisku. </w:t>
      </w:r>
      <w:r w:rsidR="00C25B82">
        <w:t>Obdobně jako u oprávněných očekávání v kapitole 2.2</w:t>
      </w:r>
      <w:r w:rsidR="00206182">
        <w:t>,</w:t>
      </w:r>
      <w:r w:rsidR="00C25B82">
        <w:t xml:space="preserve"> i zde vznikl spor o míru, s jakou </w:t>
      </w:r>
      <w:r w:rsidR="00030067">
        <w:t>se doktríny</w:t>
      </w:r>
      <w:r w:rsidR="00C25B82">
        <w:t xml:space="preserve"> nepřímé</w:t>
      </w:r>
      <w:r w:rsidR="00030067">
        <w:t>ho vyvlastnění uplatní jako</w:t>
      </w:r>
      <w:r w:rsidR="00C25B82">
        <w:t xml:space="preserve"> mezinárodní obyčejové právo. </w:t>
      </w:r>
      <w:r w:rsidR="00A854B6">
        <w:t xml:space="preserve">Podle Philip Morris </w:t>
      </w:r>
      <w:r w:rsidR="00E2531F">
        <w:t>nejsou podle ICL opatření státu</w:t>
      </w:r>
      <w:r w:rsidR="00421C6C">
        <w:t xml:space="preserve"> poškozující </w:t>
      </w:r>
      <w:r w:rsidR="00421C6C">
        <w:lastRenderedPageBreak/>
        <w:t>vlastnické právo</w:t>
      </w:r>
      <w:r w:rsidR="00E2531F">
        <w:t xml:space="preserve"> vyvlastněním pouze</w:t>
      </w:r>
      <w:r w:rsidR="006C1EEE">
        <w:t xml:space="preserve"> tehdy</w:t>
      </w:r>
      <w:r w:rsidR="00E2531F">
        <w:t xml:space="preserve">, pokud </w:t>
      </w:r>
      <w:r w:rsidR="006C1EEE">
        <w:t>směřují k</w:t>
      </w:r>
      <w:r w:rsidR="00E61E6E">
        <w:t xml:space="preserve"> (1)</w:t>
      </w:r>
      <w:r w:rsidR="006C1EEE">
        <w:t xml:space="preserve"> zajištění </w:t>
      </w:r>
      <w:r w:rsidR="00A520E6">
        <w:t>výkonu práva (</w:t>
      </w:r>
      <w:r w:rsidR="00A520E6" w:rsidRPr="00A520E6">
        <w:rPr>
          <w:i/>
        </w:rPr>
        <w:t>enforcement</w:t>
      </w:r>
      <w:r w:rsidR="00A520E6">
        <w:rPr>
          <w:i/>
        </w:rPr>
        <w:t xml:space="preserve"> of law</w:t>
      </w:r>
      <w:r w:rsidR="00A520E6">
        <w:t>),</w:t>
      </w:r>
      <w:r w:rsidR="00E61E6E">
        <w:t xml:space="preserve"> (2)</w:t>
      </w:r>
      <w:r w:rsidR="00A520E6">
        <w:t xml:space="preserve"> </w:t>
      </w:r>
      <w:r w:rsidR="001C61EF">
        <w:t>udržování veřejného pořádku a</w:t>
      </w:r>
      <w:r w:rsidR="00E61E6E">
        <w:t xml:space="preserve"> (3)</w:t>
      </w:r>
      <w:r w:rsidR="001C61EF">
        <w:t xml:space="preserve"> obrany státu.</w:t>
      </w:r>
    </w:p>
    <w:p w14:paraId="5748CBE1" w14:textId="3F9342AA" w:rsidR="00676C1D" w:rsidRDefault="00F94021" w:rsidP="00010617">
      <w:pPr>
        <w:pStyle w:val="Odstavecseseznamem"/>
        <w:spacing w:line="360" w:lineRule="auto"/>
        <w:ind w:left="142" w:firstLine="654"/>
        <w:jc w:val="both"/>
      </w:pPr>
      <w:r>
        <w:t xml:space="preserve">Co do vlastnictví </w:t>
      </w:r>
      <w:r w:rsidR="00635CEA">
        <w:t xml:space="preserve">ochranných známek, tribunál </w:t>
      </w:r>
      <w:r w:rsidR="00F228B3">
        <w:t>seznal, že jsou</w:t>
      </w:r>
      <w:r w:rsidR="00975A25">
        <w:t xml:space="preserve"> po vstoupení opatření v platnost</w:t>
      </w:r>
      <w:r w:rsidR="00247893">
        <w:t xml:space="preserve"> dále chráněny</w:t>
      </w:r>
      <w:r w:rsidR="00F228B3">
        <w:t xml:space="preserve"> uruguayským</w:t>
      </w:r>
      <w:r w:rsidR="00DE3D6A">
        <w:t xml:space="preserve"> právem,</w:t>
      </w:r>
      <w:r w:rsidR="00F228B3">
        <w:t xml:space="preserve"> navzdory čá</w:t>
      </w:r>
      <w:r w:rsidR="00665154">
        <w:t>stečnému omezení jejich použití</w:t>
      </w:r>
      <w:r w:rsidR="00F228B3">
        <w:t>.</w:t>
      </w:r>
      <w:r w:rsidR="00CB0F5B">
        <w:rPr>
          <w:rStyle w:val="Znakapoznpodarou"/>
        </w:rPr>
        <w:footnoteReference w:id="102"/>
      </w:r>
      <w:r w:rsidR="00004F2D">
        <w:t xml:space="preserve">  </w:t>
      </w:r>
      <w:r w:rsidR="007335F1">
        <w:t xml:space="preserve">Přestože </w:t>
      </w:r>
      <w:r w:rsidR="00D03ADB">
        <w:t xml:space="preserve">právo Uruguaye </w:t>
      </w:r>
      <w:r w:rsidR="00665154">
        <w:t xml:space="preserve">negarantuje </w:t>
      </w:r>
      <w:r w:rsidR="00D03ADB">
        <w:t xml:space="preserve">nárok na </w:t>
      </w:r>
      <w:r w:rsidR="00665154">
        <w:t>jejich</w:t>
      </w:r>
      <w:r w:rsidR="00975A25">
        <w:t xml:space="preserve"> neomezené</w:t>
      </w:r>
      <w:r w:rsidR="00D03ADB">
        <w:t xml:space="preserve"> použití</w:t>
      </w:r>
      <w:r w:rsidR="00E75DC7">
        <w:t>,</w:t>
      </w:r>
      <w:r w:rsidR="00975A25">
        <w:t xml:space="preserve"> jak tvrdil žalobce</w:t>
      </w:r>
      <w:r w:rsidR="00D03ADB">
        <w:t>,</w:t>
      </w:r>
      <w:r w:rsidR="00975A25">
        <w:t xml:space="preserve"> garantuje</w:t>
      </w:r>
      <w:r w:rsidR="003B2609">
        <w:t xml:space="preserve"> pouze ochranu před neoprávněným užitím třetí osoby,</w:t>
      </w:r>
      <w:r w:rsidR="00D03ADB">
        <w:t xml:space="preserve"> tribunál uznává, že ochranné známky jsou ve vlastnictví investorovy společnosti.</w:t>
      </w:r>
      <w:r w:rsidR="00665154">
        <w:rPr>
          <w:rStyle w:val="Znakapoznpodarou"/>
        </w:rPr>
        <w:footnoteReference w:id="103"/>
      </w:r>
      <w:r w:rsidR="00D03ADB">
        <w:t xml:space="preserve"> </w:t>
      </w:r>
      <w:r w:rsidR="00FB7643">
        <w:t xml:space="preserve">Nárok </w:t>
      </w:r>
      <w:r w:rsidR="00860FE5">
        <w:t>namítající</w:t>
      </w:r>
      <w:r w:rsidR="00247893">
        <w:t>,</w:t>
      </w:r>
      <w:r w:rsidR="00860FE5">
        <w:t xml:space="preserve"> </w:t>
      </w:r>
      <w:r w:rsidR="00247893">
        <w:t>že byly vyvlastněny,</w:t>
      </w:r>
      <w:r w:rsidR="00FB7643">
        <w:t xml:space="preserve"> však zamítl. </w:t>
      </w:r>
      <w:r w:rsidR="00E52701">
        <w:t>Opatření 80/80 podle něj nedosahoval dostatečné intenzit</w:t>
      </w:r>
      <w:r w:rsidR="00BD0027">
        <w:t xml:space="preserve">y zásahu do vlastnického práva, když loga výrobce stále pokrývala 20 % povrchu obalu. </w:t>
      </w:r>
      <w:r w:rsidR="005A36CA">
        <w:t>SPR podle něj mělo omezující vliv na zisky inves</w:t>
      </w:r>
      <w:r w:rsidR="0096789E">
        <w:t>tora, nicméně opět ne dostatečně intenzivní</w:t>
      </w:r>
      <w:r w:rsidR="005A36CA">
        <w:t>, aby se jednalo o zásah srovnatelný s</w:t>
      </w:r>
      <w:r w:rsidR="00C03AA9">
        <w:t> </w:t>
      </w:r>
      <w:r w:rsidR="005A36CA">
        <w:t>vyvlastněním</w:t>
      </w:r>
      <w:r w:rsidR="00C03AA9">
        <w:t>. Z</w:t>
      </w:r>
      <w:r w:rsidR="00CF1BDB">
        <w:t>ohlednil přitom hodnotu investice před i po zásahu</w:t>
      </w:r>
      <w:r w:rsidR="005A36CA">
        <w:t>.</w:t>
      </w:r>
      <w:r w:rsidR="002E5E25">
        <w:rPr>
          <w:rStyle w:val="Znakapoznpodarou"/>
        </w:rPr>
        <w:footnoteReference w:id="104"/>
      </w:r>
      <w:r w:rsidR="0033011F">
        <w:t xml:space="preserve"> </w:t>
      </w:r>
      <w:r w:rsidR="00FF1165">
        <w:t xml:space="preserve">Zde by podle jeho slov mohlo rozhodnutí končit, dodává ale, že </w:t>
      </w:r>
      <w:r w:rsidR="005F0C0F">
        <w:t>učiněná opatření byla přiměřeným vyjádřením regulačních pravomocí státu</w:t>
      </w:r>
      <w:r w:rsidR="003674DA">
        <w:t xml:space="preserve"> (</w:t>
      </w:r>
      <w:r w:rsidR="003674DA">
        <w:rPr>
          <w:i/>
        </w:rPr>
        <w:t xml:space="preserve">police </w:t>
      </w:r>
      <w:r w:rsidR="003674DA" w:rsidRPr="00F55727">
        <w:rPr>
          <w:i/>
        </w:rPr>
        <w:t>powers</w:t>
      </w:r>
      <w:r w:rsidR="003674DA">
        <w:t xml:space="preserve">), </w:t>
      </w:r>
      <w:r w:rsidR="00EE661A">
        <w:t>zvláště s ohledem na škodlivost produktů v tomto případě regulovaných.</w:t>
      </w:r>
      <w:r w:rsidR="00237255">
        <w:t xml:space="preserve"> Ochranu zdraví považuje za mnohokrát potvrzenou součást mezinárodního obyčejového práva</w:t>
      </w:r>
      <w:r w:rsidR="00397428">
        <w:t xml:space="preserve">, zdůrazňuje i její </w:t>
      </w:r>
      <w:r w:rsidR="00ED78FA">
        <w:t>výslovnou</w:t>
      </w:r>
      <w:r w:rsidR="002154AD">
        <w:t xml:space="preserve"> zmínku</w:t>
      </w:r>
      <w:r w:rsidR="00397428">
        <w:t xml:space="preserve"> v článku 2 BIT</w:t>
      </w:r>
      <w:r w:rsidR="00237255">
        <w:t>.</w:t>
      </w:r>
      <w:r w:rsidR="00602B58">
        <w:rPr>
          <w:rStyle w:val="Znakapoznpodarou"/>
        </w:rPr>
        <w:footnoteReference w:id="105"/>
      </w:r>
      <w:r w:rsidR="00ED78FA">
        <w:t xml:space="preserve"> Regulační pravomoci jsou podle něj </w:t>
      </w:r>
      <w:r w:rsidR="00DD5476">
        <w:t xml:space="preserve">součástí ICL, </w:t>
      </w:r>
      <w:r w:rsidR="004B02B9">
        <w:t xml:space="preserve">dovozuje to mimo jiné ze studie OECD a </w:t>
      </w:r>
      <w:r w:rsidR="00F55727">
        <w:t xml:space="preserve">dalších </w:t>
      </w:r>
      <w:r w:rsidR="00F55727" w:rsidRPr="006123D0">
        <w:rPr>
          <w:i/>
        </w:rPr>
        <w:t>soft law</w:t>
      </w:r>
      <w:r w:rsidR="00F55727">
        <w:t xml:space="preserve"> dokumentů</w:t>
      </w:r>
      <w:r w:rsidR="004B02B9">
        <w:t>.</w:t>
      </w:r>
      <w:r w:rsidR="00067DF9">
        <w:rPr>
          <w:rStyle w:val="Znakapoznpodarou"/>
        </w:rPr>
        <w:footnoteReference w:id="106"/>
      </w:r>
      <w:r w:rsidR="004440D0">
        <w:t xml:space="preserve"> </w:t>
      </w:r>
      <w:r w:rsidR="00C42D9C">
        <w:t>Z těch lze získat prvky podstatné pro nekompenzovatelné opatření</w:t>
      </w:r>
      <w:r w:rsidR="00204D86">
        <w:t xml:space="preserve"> poškozující investici</w:t>
      </w:r>
      <w:r w:rsidR="00C42D9C">
        <w:t>:</w:t>
      </w:r>
      <w:r w:rsidR="00185699">
        <w:t xml:space="preserve"> </w:t>
      </w:r>
    </w:p>
    <w:p w14:paraId="3174BEFB" w14:textId="53B69D9F" w:rsidR="00676C1D" w:rsidRDefault="00875789" w:rsidP="009A6ED9">
      <w:pPr>
        <w:pStyle w:val="Odstavecseseznamem"/>
        <w:numPr>
          <w:ilvl w:val="0"/>
          <w:numId w:val="12"/>
        </w:numPr>
        <w:spacing w:line="360" w:lineRule="auto"/>
        <w:jc w:val="both"/>
      </w:pPr>
      <w:r>
        <w:t>cílem je</w:t>
      </w:r>
      <w:r w:rsidR="00AD0F6D">
        <w:t xml:space="preserve"> v dobré víře</w:t>
      </w:r>
      <w:r>
        <w:t xml:space="preserve"> </w:t>
      </w:r>
      <w:r w:rsidR="00113BAE">
        <w:t>ochrana veřejného pořádku, životního prostředí, zdraví obyvatel</w:t>
      </w:r>
      <w:r w:rsidR="00AD0F6D">
        <w:t>, zdanění</w:t>
      </w:r>
      <w:r w:rsidR="00113BAE">
        <w:t xml:space="preserve"> (a obdobných zásadních</w:t>
      </w:r>
      <w:r w:rsidR="00AD0F6D">
        <w:t>, obecně uznávaných</w:t>
      </w:r>
      <w:r w:rsidR="00113BAE">
        <w:t xml:space="preserve"> veřejných zájmů)</w:t>
      </w:r>
    </w:p>
    <w:p w14:paraId="6E3B19D3" w14:textId="206EED75" w:rsidR="00113BAE" w:rsidRDefault="00F947E5" w:rsidP="009A6ED9">
      <w:pPr>
        <w:pStyle w:val="Odstavecseseznamem"/>
        <w:numPr>
          <w:ilvl w:val="0"/>
          <w:numId w:val="12"/>
        </w:numPr>
        <w:spacing w:line="360" w:lineRule="auto"/>
        <w:jc w:val="both"/>
      </w:pPr>
      <w:r>
        <w:t xml:space="preserve">není zřejmým a diskriminačním porušením </w:t>
      </w:r>
      <w:r w:rsidR="001A4169">
        <w:t>práva hostitelského státu</w:t>
      </w:r>
    </w:p>
    <w:p w14:paraId="2C49A5EB" w14:textId="6FE54D9A" w:rsidR="001A4169" w:rsidRDefault="00795699" w:rsidP="009A6ED9">
      <w:pPr>
        <w:pStyle w:val="Odstavecseseznamem"/>
        <w:numPr>
          <w:ilvl w:val="0"/>
          <w:numId w:val="12"/>
        </w:numPr>
        <w:spacing w:line="360" w:lineRule="auto"/>
        <w:jc w:val="both"/>
      </w:pPr>
      <w:r>
        <w:t>není odepřením spravedlnosti</w:t>
      </w:r>
    </w:p>
    <w:p w14:paraId="04FF27BB" w14:textId="78FB4188" w:rsidR="00795699" w:rsidRDefault="006E681F" w:rsidP="009A6ED9">
      <w:pPr>
        <w:pStyle w:val="Odstavecseseznamem"/>
        <w:numPr>
          <w:ilvl w:val="0"/>
          <w:numId w:val="12"/>
        </w:numPr>
        <w:spacing w:line="360" w:lineRule="auto"/>
        <w:jc w:val="both"/>
      </w:pPr>
      <w:r>
        <w:t>není nedůvodně odchylné od principů spravedlnosti uznávaný</w:t>
      </w:r>
      <w:r w:rsidR="004C68BB">
        <w:t>ch vyspělými právními systémy</w:t>
      </w:r>
    </w:p>
    <w:p w14:paraId="6C97072D" w14:textId="26B969E3" w:rsidR="004C68BB" w:rsidRDefault="00910737" w:rsidP="009A6ED9">
      <w:pPr>
        <w:pStyle w:val="Odstavecseseznamem"/>
        <w:numPr>
          <w:ilvl w:val="0"/>
          <w:numId w:val="12"/>
        </w:numPr>
        <w:spacing w:line="360" w:lineRule="auto"/>
        <w:jc w:val="both"/>
      </w:pPr>
      <w:r>
        <w:lastRenderedPageBreak/>
        <w:t>není zneužitím práva s cílem poškodit investora</w:t>
      </w:r>
    </w:p>
    <w:p w14:paraId="14F19614" w14:textId="432EFDD4" w:rsidR="00D301B1" w:rsidRDefault="00D301B1" w:rsidP="009A6ED9">
      <w:pPr>
        <w:pStyle w:val="Odstavecseseznamem"/>
        <w:numPr>
          <w:ilvl w:val="0"/>
          <w:numId w:val="12"/>
        </w:numPr>
        <w:spacing w:line="360" w:lineRule="auto"/>
        <w:jc w:val="both"/>
      </w:pPr>
      <w:r>
        <w:t>je proporcionální k zamýšlenému cíli</w:t>
      </w:r>
    </w:p>
    <w:p w14:paraId="1442025D" w14:textId="43C46462" w:rsidR="00F94021" w:rsidRDefault="0033011F" w:rsidP="00010617">
      <w:pPr>
        <w:pStyle w:val="Odstavecseseznamem"/>
        <w:spacing w:line="360" w:lineRule="auto"/>
        <w:ind w:left="142" w:firstLine="654"/>
        <w:jc w:val="both"/>
      </w:pPr>
      <w:r w:rsidRPr="003674DA">
        <w:t>Dále</w:t>
      </w:r>
      <w:r>
        <w:t xml:space="preserve"> vzal v úvahu i fakt, že provedená opatření byla implementací mezinárodních závazků státu</w:t>
      </w:r>
      <w:r w:rsidR="00D33119">
        <w:t>.</w:t>
      </w:r>
      <w:r w:rsidR="00FF1165">
        <w:t xml:space="preserve"> </w:t>
      </w:r>
      <w:r w:rsidR="00B85867">
        <w:t xml:space="preserve">Ani jedna z doktrín kapitoly 3.1 </w:t>
      </w:r>
      <w:r w:rsidR="00D704C9">
        <w:t>tedy podle něj neukazuje na vyvlastnění</w:t>
      </w:r>
      <w:r w:rsidR="00676C1D">
        <w:t>, přičemž jako zásadní vidí jednoznačně přednost PPD</w:t>
      </w:r>
      <w:r w:rsidR="00771760">
        <w:t xml:space="preserve">, která po roce 2000 </w:t>
      </w:r>
      <w:r w:rsidR="00143A9D">
        <w:t xml:space="preserve">podle něj </w:t>
      </w:r>
      <w:r w:rsidR="00771760">
        <w:t>převažuje</w:t>
      </w:r>
      <w:r w:rsidR="00143A9D">
        <w:t>, SED má za překonanou</w:t>
      </w:r>
      <w:r w:rsidR="00771760">
        <w:t xml:space="preserve">. </w:t>
      </w:r>
    </w:p>
    <w:p w14:paraId="3678DD19" w14:textId="2A6F68C8" w:rsidR="00D93EBE" w:rsidRDefault="00D93EBE" w:rsidP="00D93EBE">
      <w:pPr>
        <w:pStyle w:val="Nadpis3"/>
        <w:tabs>
          <w:tab w:val="clear" w:pos="720"/>
          <w:tab w:val="num" w:pos="851"/>
        </w:tabs>
        <w:ind w:left="851"/>
      </w:pPr>
      <w:bookmarkStart w:id="24" w:name="_Toc479697285"/>
      <w:r>
        <w:t>Vattenfall</w:t>
      </w:r>
      <w:r w:rsidR="00000183">
        <w:t xml:space="preserve"> and others</w:t>
      </w:r>
      <w:r>
        <w:t xml:space="preserve"> v. Germany</w:t>
      </w:r>
      <w:bookmarkEnd w:id="24"/>
    </w:p>
    <w:p w14:paraId="0926FC66" w14:textId="58B7D428" w:rsidR="00097EC0" w:rsidRPr="00097EC0" w:rsidRDefault="00097EC0" w:rsidP="00097EC0">
      <w:pPr>
        <w:pStyle w:val="Odstavecseseznamem"/>
        <w:spacing w:line="360" w:lineRule="auto"/>
        <w:ind w:left="142" w:firstLine="654"/>
        <w:jc w:val="both"/>
      </w:pPr>
      <w:r>
        <w:t xml:space="preserve">13. novela AtG byla ústavním soudem shledána ve většině napadených ustanovení jako souladná s německou ústavou, avšak zasáhla do vlastnického práva natolik, že investorům náleží přiměřená náhrada. Tato náhrada měla podle něj být součástí znění </w:t>
      </w:r>
      <w:r w:rsidR="00D144D0">
        <w:t>13. novely</w:t>
      </w:r>
      <w:r>
        <w:t>. Rozhodujícím faktorem bylo neumožnění produkce elektřiny na původně stanovenou dobu, zaručené 11. n</w:t>
      </w:r>
      <w:r w:rsidR="00926739">
        <w:t>ovelou.</w:t>
      </w:r>
      <w:r w:rsidR="004348CD">
        <w:t xml:space="preserve"> Slíbené objemy produk</w:t>
      </w:r>
      <w:r w:rsidR="000B77A9">
        <w:t>ce</w:t>
      </w:r>
      <w:r w:rsidR="004348CD">
        <w:t xml:space="preserve"> elektřiny nejsou samostatnými vlastnickými právy, nicméně jsou součástí elektráren samotný, jejich omezení tedy zakládá deprivaci majetkového práva.</w:t>
      </w:r>
      <w:r w:rsidR="00926739">
        <w:t xml:space="preserve"> Opatření</w:t>
      </w:r>
      <w:r w:rsidR="002B6863">
        <w:t xml:space="preserve"> nicméně nelze</w:t>
      </w:r>
      <w:r w:rsidR="00926739">
        <w:t xml:space="preserve"> </w:t>
      </w:r>
      <w:r w:rsidR="002B6863">
        <w:t>podle BVerfG</w:t>
      </w:r>
      <w:r w:rsidR="00926739">
        <w:t xml:space="preserve"> označit z</w:t>
      </w:r>
      <w:r>
        <w:t xml:space="preserve">a vyvlastnění, protože nedošlo ke zbavení samostatných vlastnických </w:t>
      </w:r>
      <w:r w:rsidRPr="004729ED">
        <w:t>práv</w:t>
      </w:r>
      <w:r w:rsidR="00926739">
        <w:t>,</w:t>
      </w:r>
      <w:r w:rsidRPr="004729ED">
        <w:t xml:space="preserve"> </w:t>
      </w:r>
      <w:r w:rsidR="00D91090">
        <w:t>ani</w:t>
      </w:r>
      <w:r w:rsidR="00926739">
        <w:t xml:space="preserve"> k</w:t>
      </w:r>
      <w:r w:rsidR="00D91090">
        <w:t xml:space="preserve"> nabytí majetku státem</w:t>
      </w:r>
      <w:r w:rsidRPr="004729ED">
        <w:t>.</w:t>
      </w:r>
      <w:r w:rsidR="000102A5" w:rsidRPr="004729ED">
        <w:rPr>
          <w:rStyle w:val="Znakapoznpodarou"/>
        </w:rPr>
        <w:footnoteReference w:id="107"/>
      </w:r>
      <w:r w:rsidR="003F1129" w:rsidRPr="004729ED">
        <w:t xml:space="preserve"> </w:t>
      </w:r>
      <w:r w:rsidR="00112806">
        <w:t>Z</w:t>
      </w:r>
      <w:r w:rsidR="00022389">
        <w:t>ákon může v souladu s ústavou stanovit limity vlastnic</w:t>
      </w:r>
      <w:r w:rsidR="00073350">
        <w:t>tví, za přílišná omezení by</w:t>
      </w:r>
      <w:r w:rsidR="00112806">
        <w:t xml:space="preserve"> však</w:t>
      </w:r>
      <w:r w:rsidR="00022389">
        <w:t xml:space="preserve"> měla připadnout náhrada.</w:t>
      </w:r>
      <w:r w:rsidR="00E439C4">
        <w:t xml:space="preserve"> Rozhodování zde není </w:t>
      </w:r>
      <w:r w:rsidR="00237854">
        <w:t>zcela</w:t>
      </w:r>
      <w:r w:rsidR="00E439C4">
        <w:t xml:space="preserve"> od</w:t>
      </w:r>
      <w:r w:rsidR="001B394C">
        <w:t>dělené od poznatků v kapitole 2.</w:t>
      </w:r>
      <w:r w:rsidR="008B5C21">
        <w:t xml:space="preserve"> </w:t>
      </w:r>
      <w:r w:rsidR="001B394C">
        <w:t>Soud vzal v úvahu</w:t>
      </w:r>
      <w:r w:rsidR="00886869">
        <w:t xml:space="preserve"> (1)</w:t>
      </w:r>
      <w:r w:rsidR="002C6385">
        <w:t xml:space="preserve"> oprávněná očekávání </w:t>
      </w:r>
      <w:r w:rsidR="00E439C4">
        <w:t>vlastníka</w:t>
      </w:r>
      <w:r w:rsidR="00C8332A">
        <w:t xml:space="preserve"> a</w:t>
      </w:r>
      <w:r w:rsidR="00886869">
        <w:t xml:space="preserve"> (2)</w:t>
      </w:r>
      <w:r w:rsidR="00C8332A">
        <w:t xml:space="preserve"> disproporcionalitu</w:t>
      </w:r>
      <w:r w:rsidR="00892344">
        <w:t xml:space="preserve"> cíle opatření a jeho</w:t>
      </w:r>
      <w:r w:rsidR="00353059">
        <w:t xml:space="preserve"> negativního vlivu</w:t>
      </w:r>
      <w:r w:rsidR="00886869">
        <w:t xml:space="preserve"> na majetková práva</w:t>
      </w:r>
      <w:r w:rsidR="00E439C4">
        <w:t>.</w:t>
      </w:r>
      <w:r w:rsidR="00E439C4">
        <w:rPr>
          <w:rStyle w:val="Znakapoznpodarou"/>
        </w:rPr>
        <w:footnoteReference w:id="108"/>
      </w:r>
      <w:r w:rsidR="00022389">
        <w:t xml:space="preserve"> </w:t>
      </w:r>
      <w:r w:rsidRPr="00097EC0">
        <w:rPr>
          <w:rStyle w:val="Zvraznn"/>
          <w:i w:val="0"/>
        </w:rPr>
        <w:t>Soud tedy částečně dal za pravdu investorům a stanovil povinnost novelu změnit s ohledem na chybějící ustanovení o náhradě, neurčil však</w:t>
      </w:r>
      <w:r w:rsidR="00E71289">
        <w:rPr>
          <w:rStyle w:val="Zvraznn"/>
          <w:i w:val="0"/>
        </w:rPr>
        <w:t xml:space="preserve"> způsob ani výši,</w:t>
      </w:r>
      <w:r w:rsidRPr="00097EC0">
        <w:rPr>
          <w:rStyle w:val="Zvraznn"/>
          <w:i w:val="0"/>
        </w:rPr>
        <w:t xml:space="preserve"> ponechal zákonodárcům lhůtu do září roku 2018 na změnu</w:t>
      </w:r>
      <w:r w:rsidR="00E71289">
        <w:rPr>
          <w:rStyle w:val="Zvraznn"/>
          <w:i w:val="0"/>
        </w:rPr>
        <w:t xml:space="preserve"> zákona</w:t>
      </w:r>
      <w:r w:rsidRPr="00097EC0">
        <w:rPr>
          <w:rStyle w:val="Zvraznn"/>
          <w:i w:val="0"/>
        </w:rPr>
        <w:t>.</w:t>
      </w:r>
      <w:r w:rsidR="00E02F13">
        <w:rPr>
          <w:rStyle w:val="Zvraznn"/>
          <w:i w:val="0"/>
        </w:rPr>
        <w:t xml:space="preserve"> </w:t>
      </w:r>
      <w:r w:rsidR="00E1789B">
        <w:rPr>
          <w:rStyle w:val="Zvraznn"/>
          <w:i w:val="0"/>
        </w:rPr>
        <w:t>Zmínil, že peněžitá náhrada nemusí být primárním způsobem náhrady, zákonné výjimky nebo zproštění povinností mohou být dostačující.</w:t>
      </w:r>
      <w:r w:rsidR="00C552DE">
        <w:rPr>
          <w:rStyle w:val="Zvraznn"/>
          <w:i w:val="0"/>
        </w:rPr>
        <w:t xml:space="preserve"> Ústava však podl</w:t>
      </w:r>
      <w:r w:rsidR="006B1641">
        <w:rPr>
          <w:rStyle w:val="Zvraznn"/>
          <w:i w:val="0"/>
        </w:rPr>
        <w:t>e něj nedává stěžovatelům právo na jejich preferovanou variantu, tedy snášet neproporcionální omezení práv a obdržet automaticky peněžitou náhradu.</w:t>
      </w:r>
      <w:r w:rsidRPr="00196A8A">
        <w:rPr>
          <w:rStyle w:val="Znakapoznpodarou"/>
          <w:i/>
          <w:iCs/>
        </w:rPr>
        <w:footnoteReference w:id="109"/>
      </w:r>
    </w:p>
    <w:p w14:paraId="1983F265" w14:textId="51399283" w:rsidR="00097EC0" w:rsidRPr="00097EC0" w:rsidRDefault="00097EC0" w:rsidP="00097EC0">
      <w:pPr>
        <w:pStyle w:val="Odstavecseseznamem"/>
        <w:spacing w:line="360" w:lineRule="auto"/>
        <w:ind w:left="142" w:firstLine="654"/>
        <w:jc w:val="both"/>
      </w:pPr>
      <w:r>
        <w:t>Lze se domnívat, že podle ECT bude rozhodnuto o zákonném, nepřímém vyvlastnění</w:t>
      </w:r>
      <w:r w:rsidR="00022389">
        <w:t xml:space="preserve">, jehož je rozhodnutí </w:t>
      </w:r>
      <w:r w:rsidR="00252E93">
        <w:t>BVerfG</w:t>
      </w:r>
      <w:r w:rsidR="00022389">
        <w:t xml:space="preserve"> obdobou</w:t>
      </w:r>
      <w:r>
        <w:t xml:space="preserve">. Článek 13 ECT se vztahuje i na opatření mající stejný </w:t>
      </w:r>
      <w:r>
        <w:lastRenderedPageBreak/>
        <w:t>účinek jako vyvlastnění či znárodnění. Z rozhodovací praxe lze navíc sledovat</w:t>
      </w:r>
      <w:r w:rsidR="00731664">
        <w:t xml:space="preserve"> častý</w:t>
      </w:r>
      <w:r>
        <w:t xml:space="preserve"> příklon </w:t>
      </w:r>
      <w:r w:rsidRPr="00F00502">
        <w:t>k</w:t>
      </w:r>
      <w:r w:rsidRPr="00585392">
        <w:rPr>
          <w:i/>
        </w:rPr>
        <w:t> sole effect doctrine</w:t>
      </w:r>
      <w:r w:rsidR="0081454D">
        <w:t>, například</w:t>
      </w:r>
      <w:r>
        <w:t xml:space="preserve"> již byly jako vyvlastnění posouzeny změny podmínek fiskálního charakteru ze strany státu.</w:t>
      </w:r>
      <w:r>
        <w:rPr>
          <w:rStyle w:val="Znakapoznpodarou"/>
        </w:rPr>
        <w:footnoteReference w:id="110"/>
      </w:r>
      <w:r w:rsidR="00D47CCE">
        <w:t xml:space="preserve"> Ačkoliv ECT obsahuje klauzule o právu států přijímat opatření na ochranu veřejného zdraví a bezpečnosti, </w:t>
      </w:r>
      <w:r w:rsidR="004D5AD5">
        <w:t>tyto se</w:t>
      </w:r>
      <w:r w:rsidR="00D5019F">
        <w:t xml:space="preserve"> však</w:t>
      </w:r>
      <w:r w:rsidR="004D5AD5">
        <w:t xml:space="preserve"> nevztahují na ustanovení o ochraně investic.</w:t>
      </w:r>
      <w:r w:rsidR="0068371E">
        <w:t xml:space="preserve"> O</w:t>
      </w:r>
      <w:r w:rsidR="00D5019F">
        <w:t xml:space="preserve">patřením ve veřejném zájmu Dohoda podle svého znění nemá bránit, </w:t>
      </w:r>
      <w:r w:rsidR="00013F03">
        <w:t>konečné rozhodnutí o rozsahu „veřejného zájmu“ a „bezpečnostních opatření“ bude mít</w:t>
      </w:r>
      <w:r w:rsidR="00DF1EE2">
        <w:t xml:space="preserve"> ale</w:t>
      </w:r>
      <w:r w:rsidR="00013F03">
        <w:t xml:space="preserve"> nejspíše tribunál.</w:t>
      </w:r>
      <w:r w:rsidR="00013F03">
        <w:rPr>
          <w:rStyle w:val="Znakapoznpodarou"/>
        </w:rPr>
        <w:footnoteReference w:id="111"/>
      </w:r>
      <w:r w:rsidR="00D5019F">
        <w:t xml:space="preserve"> </w:t>
      </w:r>
      <w:r w:rsidR="00F53E2F">
        <w:rPr>
          <w:rStyle w:val="Zvraznn"/>
          <w:i w:val="0"/>
        </w:rPr>
        <w:t>Pokud bude výsledek</w:t>
      </w:r>
      <w:r w:rsidR="004D5AD5">
        <w:rPr>
          <w:rStyle w:val="Zvraznn"/>
          <w:i w:val="0"/>
        </w:rPr>
        <w:t xml:space="preserve"> řízení</w:t>
      </w:r>
      <w:r w:rsidR="00E40A98">
        <w:rPr>
          <w:rStyle w:val="Zvraznn"/>
          <w:i w:val="0"/>
        </w:rPr>
        <w:t xml:space="preserve"> u ICSID</w:t>
      </w:r>
      <w:r w:rsidR="004D5AD5">
        <w:rPr>
          <w:rStyle w:val="Zvraznn"/>
          <w:i w:val="0"/>
        </w:rPr>
        <w:t xml:space="preserve"> výrazně</w:t>
      </w:r>
      <w:r w:rsidR="00F53E2F">
        <w:rPr>
          <w:rStyle w:val="Zvraznn"/>
          <w:i w:val="0"/>
        </w:rPr>
        <w:t xml:space="preserve"> výhodnější pro inv</w:t>
      </w:r>
      <w:r w:rsidR="004D5AD5">
        <w:rPr>
          <w:rStyle w:val="Zvraznn"/>
          <w:i w:val="0"/>
        </w:rPr>
        <w:t>estory, bude se jednat o silný</w:t>
      </w:r>
      <w:r w:rsidR="00F53E2F">
        <w:rPr>
          <w:rStyle w:val="Zvraznn"/>
          <w:i w:val="0"/>
        </w:rPr>
        <w:t xml:space="preserve"> argument proti systému ISDS mezi vyspělými státy s vysokou úrovní vnitrostátní ochrany investic.</w:t>
      </w:r>
    </w:p>
    <w:p w14:paraId="49863CEA" w14:textId="3DDBC648" w:rsidR="00AB4601" w:rsidRPr="00D93EBE" w:rsidRDefault="00AB4601" w:rsidP="00AB4601">
      <w:pPr>
        <w:pStyle w:val="Nadpis3"/>
        <w:tabs>
          <w:tab w:val="clear" w:pos="720"/>
          <w:tab w:val="num" w:pos="851"/>
        </w:tabs>
        <w:ind w:left="851"/>
      </w:pPr>
      <w:bookmarkStart w:id="25" w:name="_Toc479697286"/>
      <w:r w:rsidRPr="00D93EBE">
        <w:t>Crystallex v. Venezuela</w:t>
      </w:r>
      <w:bookmarkEnd w:id="25"/>
    </w:p>
    <w:p w14:paraId="1ED385A2" w14:textId="10DEEF54" w:rsidR="00AB4601" w:rsidRDefault="00A65162" w:rsidP="00A65162">
      <w:pPr>
        <w:pStyle w:val="Odstavecseseznamem"/>
        <w:spacing w:line="360" w:lineRule="auto"/>
        <w:ind w:left="142" w:firstLine="654"/>
        <w:jc w:val="both"/>
      </w:pPr>
      <w:r>
        <w:t xml:space="preserve">Spor již zmíněný v kapitole 2 obsahoval i nároky namítající vyvlastnění. </w:t>
      </w:r>
      <w:r w:rsidR="000F5385">
        <w:t xml:space="preserve">Kanadská společnost Crystallex měla zájem o provozování </w:t>
      </w:r>
      <w:r w:rsidR="008E3F96">
        <w:t xml:space="preserve">zlatého dolu ve Venezuele. </w:t>
      </w:r>
      <w:r w:rsidR="00B92875">
        <w:t>Za tímto účelem investor a stát uzavřeli smlouvu o provozování dolu.</w:t>
      </w:r>
      <w:r w:rsidR="0039196D">
        <w:t xml:space="preserve"> </w:t>
      </w:r>
      <w:r w:rsidR="00210AEB">
        <w:t>Po zaplacení</w:t>
      </w:r>
      <w:r w:rsidR="0039196D">
        <w:t xml:space="preserve"> </w:t>
      </w:r>
      <w:r w:rsidR="00210AEB">
        <w:t xml:space="preserve">kauce a daně </w:t>
      </w:r>
      <w:r w:rsidR="00297DDB">
        <w:t xml:space="preserve">na výzvu ministerstva </w:t>
      </w:r>
      <w:r w:rsidR="00210AEB">
        <w:t>a zamítnutí projektu</w:t>
      </w:r>
      <w:r w:rsidR="00297DDB">
        <w:t xml:space="preserve"> </w:t>
      </w:r>
      <w:r w:rsidR="00210AEB">
        <w:t>následovala série prohlášení prezidenta Cháveze</w:t>
      </w:r>
      <w:r w:rsidR="00970F54">
        <w:t xml:space="preserve"> oznamujících, že důlní průmysl v zemi bude vyvlastněn.</w:t>
      </w:r>
      <w:r w:rsidR="00A017AE">
        <w:rPr>
          <w:rStyle w:val="Znakapoznpodarou"/>
        </w:rPr>
        <w:footnoteReference w:id="112"/>
      </w:r>
      <w:r w:rsidR="00970F54">
        <w:t xml:space="preserve"> Jak popsáno v kapitole 2,</w:t>
      </w:r>
      <w:r w:rsidR="00C9354D">
        <w:t xml:space="preserve"> </w:t>
      </w:r>
      <w:r w:rsidR="00970F54">
        <w:t>c</w:t>
      </w:r>
      <w:r w:rsidR="00986FCA">
        <w:t>o do porušení legitimních očekávání jako složky klauzule FET byl investor</w:t>
      </w:r>
      <w:r w:rsidR="00D420F0">
        <w:t xml:space="preserve"> nakonec</w:t>
      </w:r>
      <w:r w:rsidR="00986FCA">
        <w:t xml:space="preserve"> </w:t>
      </w:r>
      <w:r w:rsidR="00EF1A1F">
        <w:t>úspěšný.</w:t>
      </w:r>
      <w:r w:rsidR="00B92875">
        <w:t xml:space="preserve"> </w:t>
      </w:r>
      <w:r w:rsidR="00C9354D">
        <w:t>Z hlediska vyvlastnění je případ zajímavý ze dvou důvodů</w:t>
      </w:r>
      <w:r w:rsidR="0039196D">
        <w:t xml:space="preserve">. </w:t>
      </w:r>
      <w:r w:rsidR="002B37F4">
        <w:t>Zaprvé proto, že vyvlastněna měla být s</w:t>
      </w:r>
      <w:r w:rsidR="0023105A">
        <w:t>mluvní práva</w:t>
      </w:r>
      <w:r w:rsidR="002B2C0C">
        <w:t>, a sice</w:t>
      </w:r>
      <w:r w:rsidR="0023105A">
        <w:t xml:space="preserve"> ze smlouvy </w:t>
      </w:r>
      <w:r w:rsidR="0032239A">
        <w:t>o provozování dolu.</w:t>
      </w:r>
      <w:r w:rsidR="00E00610">
        <w:rPr>
          <w:rStyle w:val="Znakapoznpodarou"/>
        </w:rPr>
        <w:footnoteReference w:id="113"/>
      </w:r>
      <w:r w:rsidR="0032239A">
        <w:t xml:space="preserve"> </w:t>
      </w:r>
      <w:r w:rsidR="0099170A">
        <w:t>Smluvní práva jako součást pojmu investice kanadsko-venezuelská BIT obsahuje.</w:t>
      </w:r>
      <w:r w:rsidR="0076535E">
        <w:rPr>
          <w:rStyle w:val="Znakapoznpodarou"/>
        </w:rPr>
        <w:footnoteReference w:id="114"/>
      </w:r>
      <w:r w:rsidR="0099170A">
        <w:t xml:space="preserve">  </w:t>
      </w:r>
      <w:r w:rsidR="0030378E">
        <w:t>Vyvlastnění těchto práv nemůže nastat pouhým porušením smlouvy, musí do ní být zasaženo vrchnostenským aktem</w:t>
      </w:r>
      <w:r w:rsidR="00C62FDE">
        <w:t xml:space="preserve"> za hranicí jednání, jaké by běžná smluvní strana byla schopna vykonat</w:t>
      </w:r>
      <w:r w:rsidR="0030378E">
        <w:t>.</w:t>
      </w:r>
      <w:r w:rsidR="00A952BD">
        <w:rPr>
          <w:rStyle w:val="Znakapoznpodarou"/>
        </w:rPr>
        <w:footnoteReference w:id="115"/>
      </w:r>
      <w:r w:rsidR="0030378E">
        <w:t xml:space="preserve"> </w:t>
      </w:r>
      <w:r w:rsidR="002B2C0C">
        <w:t xml:space="preserve">Zadruhé </w:t>
      </w:r>
      <w:r w:rsidR="00474843">
        <w:t xml:space="preserve">vyvlastnění nebylo provedeno jedním opatřením, ale založilo ho více po sobě následujících kroků státu. </w:t>
      </w:r>
      <w:r w:rsidR="00F83F4F">
        <w:t xml:space="preserve">Byly jimi </w:t>
      </w:r>
      <w:r w:rsidR="000B605C">
        <w:t xml:space="preserve">(1) </w:t>
      </w:r>
      <w:r w:rsidR="009E2C05">
        <w:t xml:space="preserve">odepření povolení k provozování dolu a okolnosti tohoto úkonu, (2) </w:t>
      </w:r>
      <w:r w:rsidR="009F1DBE">
        <w:t xml:space="preserve">veřejná prohlášení vedoucích představitelů státu </w:t>
      </w:r>
      <w:r w:rsidR="00E5254E">
        <w:t xml:space="preserve">o plánování vyvlastnění a (3) </w:t>
      </w:r>
      <w:r w:rsidR="00513D81">
        <w:t>zrušení</w:t>
      </w:r>
      <w:r w:rsidR="0062272C">
        <w:t xml:space="preserve"> samotné </w:t>
      </w:r>
      <w:r w:rsidR="0062272C">
        <w:lastRenderedPageBreak/>
        <w:t>smlouvy o provozování dolu.</w:t>
      </w:r>
      <w:r w:rsidR="005D76B4">
        <w:rPr>
          <w:rStyle w:val="Znakapoznpodarou"/>
        </w:rPr>
        <w:footnoteReference w:id="116"/>
      </w:r>
      <w:r w:rsidR="0062272C">
        <w:t xml:space="preserve"> Fakt, že </w:t>
      </w:r>
      <w:r w:rsidR="000C3879">
        <w:t>byla opatření učiněna i ve veřejném zájmu</w:t>
      </w:r>
      <w:r w:rsidR="003437C9">
        <w:t>,</w:t>
      </w:r>
      <w:r w:rsidR="000C3879">
        <w:t xml:space="preserve"> je zde pouze prvkem záko</w:t>
      </w:r>
      <w:r w:rsidR="001B6FCC">
        <w:t>nnosti vyvlastnění, za které</w:t>
      </w:r>
      <w:r w:rsidR="003437C9">
        <w:t>, ačkoli nebylo diskriminační,</w:t>
      </w:r>
      <w:r w:rsidR="001B6FCC">
        <w:t xml:space="preserve"> měla následovat kompenzace</w:t>
      </w:r>
      <w:r w:rsidR="003437C9">
        <w:t>. Tribunál tedy</w:t>
      </w:r>
      <w:r w:rsidR="0093690A">
        <w:t xml:space="preserve"> uznal</w:t>
      </w:r>
      <w:r w:rsidR="003437C9">
        <w:t xml:space="preserve"> nárok žalobce na kompenzaci vyvlastnění, nikoli na odškodnění za jeho </w:t>
      </w:r>
      <w:r w:rsidR="00086878">
        <w:t>údajně diskriminační povahu nebo nespravedlivý proces.</w:t>
      </w:r>
      <w:r w:rsidR="00320FDA">
        <w:rPr>
          <w:rStyle w:val="Znakapoznpodarou"/>
        </w:rPr>
        <w:footnoteReference w:id="117"/>
      </w:r>
    </w:p>
    <w:p w14:paraId="541CB448" w14:textId="714878A9" w:rsidR="000B1618" w:rsidRPr="00DB4693" w:rsidRDefault="000B1618" w:rsidP="00472712">
      <w:pPr>
        <w:pStyle w:val="Nadpis3"/>
        <w:tabs>
          <w:tab w:val="clear" w:pos="720"/>
          <w:tab w:val="num" w:pos="851"/>
        </w:tabs>
        <w:ind w:left="851"/>
      </w:pPr>
      <w:bookmarkStart w:id="26" w:name="_Toc479697287"/>
      <w:r w:rsidRPr="00DB4693">
        <w:t>Dílčí závěr k</w:t>
      </w:r>
      <w:r w:rsidR="00BD26D2" w:rsidRPr="00DB4693">
        <w:t> vyvlastnění</w:t>
      </w:r>
      <w:bookmarkEnd w:id="26"/>
    </w:p>
    <w:p w14:paraId="1D64C1A4" w14:textId="22B57F6A" w:rsidR="00CE2A25" w:rsidRDefault="007C1644" w:rsidP="007C1644">
      <w:pPr>
        <w:pStyle w:val="Odstavecseseznamem"/>
        <w:spacing w:line="360" w:lineRule="auto"/>
        <w:ind w:left="142" w:firstLine="654"/>
        <w:jc w:val="both"/>
      </w:pPr>
      <w:r>
        <w:t>V</w:t>
      </w:r>
      <w:r w:rsidR="00BD26D2">
        <w:t> případě oprávn</w:t>
      </w:r>
      <w:r>
        <w:t>ěných očekávání v kapitole 2</w:t>
      </w:r>
      <w:r w:rsidR="00BD26D2">
        <w:t xml:space="preserve"> je jádrem sporu zejména široké nebo naopak </w:t>
      </w:r>
      <w:r>
        <w:t>restriktivní pojetí</w:t>
      </w:r>
      <w:r w:rsidR="00EC314A">
        <w:t xml:space="preserve"> standardu spravedlivého a rovnoprávného zacházení</w:t>
      </w:r>
      <w:r>
        <w:t>.</w:t>
      </w:r>
      <w:r w:rsidR="00BD26D2">
        <w:t xml:space="preserve"> </w:t>
      </w:r>
      <w:r>
        <w:t>U</w:t>
      </w:r>
      <w:r w:rsidR="00BD26D2">
        <w:t xml:space="preserve"> nepřímého vyvlastnění </w:t>
      </w:r>
      <w:r>
        <w:t>se objevují spíše návrhy jak vytvo</w:t>
      </w:r>
      <w:r w:rsidR="005D7B86">
        <w:t>řit jeho jasný a efektivní test. Mezi dalšími návrhy bývá</w:t>
      </w:r>
      <w:r w:rsidR="003E1522">
        <w:t xml:space="preserve"> jeho </w:t>
      </w:r>
      <w:r w:rsidR="008E4B01">
        <w:t>použití</w:t>
      </w:r>
      <w:r w:rsidR="003E1522">
        <w:t xml:space="preserve"> úplně vyloučit a nahradit jej využitím jiných doložek, především FET, se kterou se často překrývá</w:t>
      </w:r>
      <w:r w:rsidR="0072022A">
        <w:t xml:space="preserve"> a</w:t>
      </w:r>
      <w:r w:rsidR="005D7B86">
        <w:t xml:space="preserve"> v žalobních návrzích se pak objevují vedle sebe, podporované stejnými argumenty a skutkovými zjištěními</w:t>
      </w:r>
      <w:r w:rsidR="00A43008">
        <w:t>.</w:t>
      </w:r>
      <w:r w:rsidR="008973B7">
        <w:t xml:space="preserve"> Rozdíly</w:t>
      </w:r>
      <w:r w:rsidR="00A94AD8">
        <w:t xml:space="preserve"> mezi nimi</w:t>
      </w:r>
      <w:r w:rsidR="008973B7">
        <w:t xml:space="preserve"> však jsou patrné v situacích, kdy v arbitráži uspěje investor jen jednou z těchto </w:t>
      </w:r>
      <w:r w:rsidR="006D3026">
        <w:t>klauzulí</w:t>
      </w:r>
      <w:r w:rsidR="00716C5E">
        <w:t>.</w:t>
      </w:r>
      <w:r w:rsidR="008973B7">
        <w:t xml:space="preserve"> </w:t>
      </w:r>
      <w:r w:rsidR="00716C5E">
        <w:t>P</w:t>
      </w:r>
      <w:r w:rsidR="009C64C5">
        <w:t xml:space="preserve">okud se tak stane, jedná se většinou o </w:t>
      </w:r>
      <w:r w:rsidR="009C64C5" w:rsidRPr="009C64C5">
        <w:rPr>
          <w:i/>
        </w:rPr>
        <w:t>fair and equitable treatment</w:t>
      </w:r>
      <w:r w:rsidR="009C64C5">
        <w:t xml:space="preserve">. </w:t>
      </w:r>
      <w:r w:rsidR="001E5409">
        <w:t xml:space="preserve">Ta totiž </w:t>
      </w:r>
      <w:r w:rsidR="00A1385A">
        <w:t>funguje</w:t>
      </w:r>
      <w:r w:rsidR="006615CC">
        <w:t xml:space="preserve"> v žalobách</w:t>
      </w:r>
      <w:r w:rsidR="00A1385A">
        <w:t xml:space="preserve"> k „vyplnění“ </w:t>
      </w:r>
      <w:r w:rsidR="006615CC">
        <w:t>potřebné ochrany, kterou neposkytují jiné doložky.</w:t>
      </w:r>
    </w:p>
    <w:p w14:paraId="7429DFFA" w14:textId="0D4E4D09" w:rsidR="00BD26D2" w:rsidRDefault="006A7130" w:rsidP="007C1644">
      <w:pPr>
        <w:pStyle w:val="Odstavecseseznamem"/>
        <w:spacing w:line="360" w:lineRule="auto"/>
        <w:ind w:left="142" w:firstLine="654"/>
        <w:jc w:val="both"/>
      </w:pPr>
      <w:r>
        <w:t>Dva koncepty</w:t>
      </w:r>
      <w:r w:rsidR="006617EC">
        <w:t xml:space="preserve"> nepřímého vyvlastnění</w:t>
      </w:r>
      <w:r>
        <w:t xml:space="preserve"> z úvodu kapitoly jsou základní, nikoli však konečné.</w:t>
      </w:r>
      <w:r w:rsidR="00186920">
        <w:t xml:space="preserve"> V praxi i teorii se objevují jejich modifikace nebo vznikají úplně nové přístupy.</w:t>
      </w:r>
      <w:r w:rsidR="001C2B43">
        <w:t xml:space="preserve"> Jeden z několika</w:t>
      </w:r>
      <w:r w:rsidR="00175C35">
        <w:t> návrhů testů nepřímého vyvlastnění</w:t>
      </w:r>
      <w:r w:rsidR="001C2B43">
        <w:t xml:space="preserve"> vytvořený mimo arbitrážní praxi má jen dva prvky, a sice </w:t>
      </w:r>
      <w:r w:rsidR="00CE2A25">
        <w:t>(1) podstatný zásah do investice a (2)</w:t>
      </w:r>
      <w:r w:rsidR="00175C35">
        <w:t xml:space="preserve"> </w:t>
      </w:r>
      <w:r w:rsidR="00237A54">
        <w:t>porušení oprávněných očekávání</w:t>
      </w:r>
      <w:r w:rsidR="00CE2A25">
        <w:t>.</w:t>
      </w:r>
      <w:r w:rsidR="00252D6B">
        <w:rPr>
          <w:rStyle w:val="Znakapoznpodarou"/>
        </w:rPr>
        <w:footnoteReference w:id="118"/>
      </w:r>
      <w:r w:rsidR="00A16A3D">
        <w:t xml:space="preserve"> </w:t>
      </w:r>
      <w:r w:rsidR="00A43008">
        <w:t xml:space="preserve"> </w:t>
      </w:r>
      <w:r w:rsidR="00BA635B">
        <w:t>Čisté použití doktríny SED</w:t>
      </w:r>
      <w:r w:rsidR="002F1A4E">
        <w:t xml:space="preserve"> se v novějších nálezech již neobjevuje, </w:t>
      </w:r>
      <w:r w:rsidR="00C7367A">
        <w:t>smluvní státy se jej snaží vyloučit i změnami IIA, viz kapitola 4.</w:t>
      </w:r>
      <w:r w:rsidR="008973B7">
        <w:t xml:space="preserve"> </w:t>
      </w:r>
      <w:r w:rsidR="00723696">
        <w:t>Zatím se nepotvrzuje, že by</w:t>
      </w:r>
      <w:r w:rsidR="009505EC">
        <w:t xml:space="preserve"> celkově</w:t>
      </w:r>
      <w:r w:rsidR="00CD2198">
        <w:t xml:space="preserve"> koncept</w:t>
      </w:r>
      <w:r w:rsidR="00723696">
        <w:t xml:space="preserve"> nepřímé</w:t>
      </w:r>
      <w:r w:rsidR="00CD2198">
        <w:t>ho</w:t>
      </w:r>
      <w:r w:rsidR="008E6E6A">
        <w:t xml:space="preserve"> vyvlastnění vedl</w:t>
      </w:r>
      <w:r w:rsidR="00723696">
        <w:t xml:space="preserve"> ke zvýšenému tlaku na </w:t>
      </w:r>
      <w:r w:rsidR="00CD2198">
        <w:t>omezení legislativní aktivity kvůli obavám z arbitráže.</w:t>
      </w:r>
      <w:r w:rsidR="00D346AB">
        <w:t xml:space="preserve"> </w:t>
      </w:r>
      <w:r w:rsidR="008302B4">
        <w:t xml:space="preserve">Vodítko do budoucna může poskytnout například právě rozhodnutí ústavního soudu v případu Vattenfall nebo </w:t>
      </w:r>
      <w:r w:rsidR="00A32F0E">
        <w:t>akademické teorie vznikající mimo samotnou arbitráž.</w:t>
      </w:r>
      <w:r w:rsidR="00D424D6">
        <w:rPr>
          <w:rStyle w:val="Znakapoznpodarou"/>
        </w:rPr>
        <w:footnoteReference w:id="119"/>
      </w:r>
      <w:r w:rsidR="00A32F0E" w:rsidRPr="00A32F0E">
        <w:rPr>
          <w:rStyle w:val="Znakapoznpodarou"/>
        </w:rPr>
        <w:t xml:space="preserve"> </w:t>
      </w:r>
      <w:r w:rsidR="00185040">
        <w:t xml:space="preserve">Stejně </w:t>
      </w:r>
      <w:r w:rsidR="00185040">
        <w:lastRenderedPageBreak/>
        <w:t xml:space="preserve">jako u standardu FET, </w:t>
      </w:r>
      <w:r w:rsidR="003F277D">
        <w:t xml:space="preserve">i zde prozatím selhává snaha o jednotný výklad, rozhodovací praxe se shoduje pouze na nejzákladnějších atributech zacházení. </w:t>
      </w:r>
    </w:p>
    <w:p w14:paraId="48796F11" w14:textId="0CC0860D" w:rsidR="00895749" w:rsidRPr="00BD26D2" w:rsidRDefault="00F866D5" w:rsidP="001157D7">
      <w:pPr>
        <w:pStyle w:val="Nadpis2"/>
      </w:pPr>
      <w:bookmarkStart w:id="27" w:name="_Toc479697288"/>
      <w:r>
        <w:t>Regulační opatření a</w:t>
      </w:r>
      <w:r w:rsidR="001157D7">
        <w:t xml:space="preserve"> použití</w:t>
      </w:r>
      <w:r>
        <w:t xml:space="preserve"> další</w:t>
      </w:r>
      <w:r w:rsidR="001157D7">
        <w:t>ch</w:t>
      </w:r>
      <w:r>
        <w:t xml:space="preserve"> smluvní</w:t>
      </w:r>
      <w:r w:rsidR="001157D7">
        <w:t>ch doložek</w:t>
      </w:r>
      <w:bookmarkEnd w:id="27"/>
      <w:r>
        <w:t xml:space="preserve"> </w:t>
      </w:r>
    </w:p>
    <w:p w14:paraId="17EB8A14" w14:textId="00022787" w:rsidR="006114F6" w:rsidRDefault="005841D8" w:rsidP="005841D8">
      <w:pPr>
        <w:pStyle w:val="Odstavecseseznamem"/>
        <w:spacing w:line="360" w:lineRule="auto"/>
        <w:ind w:left="142" w:firstLine="654"/>
        <w:jc w:val="both"/>
      </w:pPr>
      <w:r>
        <w:t xml:space="preserve">V nárocích žalobců převažují klauzule, kterými se zabývají předchozí dvě kapitoly. </w:t>
      </w:r>
      <w:r w:rsidR="00A37A69">
        <w:t>Bývají doplňovány</w:t>
      </w:r>
      <w:r>
        <w:t xml:space="preserve"> dalšími standardy, přestože v případě regulačních zásahů </w:t>
      </w:r>
      <w:r w:rsidR="0000569B">
        <w:t>na hranici porušení IIA j</w:t>
      </w:r>
      <w:r w:rsidR="00C41A5E">
        <w:t>e šance na jejich úspěch nižší.</w:t>
      </w:r>
    </w:p>
    <w:p w14:paraId="4A5A7D27" w14:textId="7DD30841" w:rsidR="008437AB" w:rsidRDefault="005A6044" w:rsidP="005841D8">
      <w:pPr>
        <w:pStyle w:val="Odstavecseseznamem"/>
        <w:spacing w:line="360" w:lineRule="auto"/>
        <w:ind w:left="142" w:firstLine="654"/>
        <w:jc w:val="both"/>
      </w:pPr>
      <w:r>
        <w:t>V případě doložky</w:t>
      </w:r>
      <w:r w:rsidR="0077574A">
        <w:t xml:space="preserve"> Full Protection and Security</w:t>
      </w:r>
      <w:r>
        <w:t xml:space="preserve"> </w:t>
      </w:r>
      <w:r w:rsidR="0077574A">
        <w:t>(„</w:t>
      </w:r>
      <w:r>
        <w:t>FPS</w:t>
      </w:r>
      <w:r w:rsidR="0077574A">
        <w:t>“)</w:t>
      </w:r>
      <w:r>
        <w:t xml:space="preserve"> má stát zajistit </w:t>
      </w:r>
      <w:r w:rsidR="0042015D">
        <w:t>plnou</w:t>
      </w:r>
      <w:r w:rsidR="004B4916">
        <w:t xml:space="preserve"> ochranu a bezpečnost investice</w:t>
      </w:r>
      <w:r w:rsidR="0042015D">
        <w:t xml:space="preserve"> </w:t>
      </w:r>
      <w:r w:rsidR="004B4916">
        <w:t>proti zásahům státu a jeho orgánů i třetích stran</w:t>
      </w:r>
      <w:r w:rsidR="004107D8">
        <w:t>.</w:t>
      </w:r>
      <w:r w:rsidR="00DE768C">
        <w:t xml:space="preserve"> </w:t>
      </w:r>
      <w:r w:rsidR="004B4916">
        <w:t>B</w:t>
      </w:r>
      <w:r w:rsidR="0042015D">
        <w:t>ezpochyby</w:t>
      </w:r>
      <w:r w:rsidR="004B4916">
        <w:t xml:space="preserve"> se jedná o ochranu</w:t>
      </w:r>
      <w:r w:rsidR="000B3CFC">
        <w:t xml:space="preserve"> fyzickou, některé tribunály ji vykládají i jako</w:t>
      </w:r>
      <w:r w:rsidR="006B6EA4">
        <w:t xml:space="preserve"> </w:t>
      </w:r>
      <w:r w:rsidR="005F151B">
        <w:t>„</w:t>
      </w:r>
      <w:r w:rsidR="000B3CFC">
        <w:t>právní</w:t>
      </w:r>
      <w:r w:rsidR="005F151B">
        <w:t>“</w:t>
      </w:r>
      <w:r w:rsidR="0042015D">
        <w:t xml:space="preserve">. </w:t>
      </w:r>
      <w:r w:rsidR="006A0B5A">
        <w:t>Z</w:t>
      </w:r>
      <w:r w:rsidR="00854D1A">
        <w:t xml:space="preserve">ákladem pro užší výklad je opět </w:t>
      </w:r>
      <w:r w:rsidR="008B6388">
        <w:rPr>
          <w:i/>
        </w:rPr>
        <w:t>Saluka</w:t>
      </w:r>
      <w:r w:rsidR="00854D1A">
        <w:t xml:space="preserve">, </w:t>
      </w:r>
      <w:r w:rsidR="008B6388">
        <w:t>„</w:t>
      </w:r>
      <w:r w:rsidR="008B6388" w:rsidRPr="007011C0">
        <w:rPr>
          <w:i/>
        </w:rPr>
        <w:t xml:space="preserve">doložka plné ochrany a bezpečnosti není zamýšlena tak, aby pokrývala jakékoli poškození investice, ale aby chránila její fyzickou </w:t>
      </w:r>
      <w:r w:rsidR="00A67781" w:rsidRPr="007011C0">
        <w:rPr>
          <w:i/>
        </w:rPr>
        <w:t>integritu</w:t>
      </w:r>
      <w:r w:rsidR="008B6388" w:rsidRPr="007011C0">
        <w:rPr>
          <w:i/>
        </w:rPr>
        <w:t xml:space="preserve"> proti použití síly</w:t>
      </w:r>
      <w:r w:rsidR="008B6388">
        <w:t>“.</w:t>
      </w:r>
      <w:r w:rsidR="00A67781">
        <w:rPr>
          <w:rStyle w:val="Znakapoznpodarou"/>
        </w:rPr>
        <w:footnoteReference w:id="120"/>
      </w:r>
      <w:r w:rsidR="00FC5E69">
        <w:t xml:space="preserve"> K tomuto pohledu se přiklonil i tribunál </w:t>
      </w:r>
      <w:r w:rsidR="00FC5E69">
        <w:rPr>
          <w:i/>
        </w:rPr>
        <w:t>Crystallex</w:t>
      </w:r>
      <w:r w:rsidR="00FC5E69">
        <w:t xml:space="preserve">, </w:t>
      </w:r>
      <w:r w:rsidR="003A5CD2">
        <w:t>navzdory argumentaci investora</w:t>
      </w:r>
      <w:r w:rsidR="00FC5E69">
        <w:t>, že Venezuela byla povinna podle d</w:t>
      </w:r>
      <w:r w:rsidR="00DC1E2E">
        <w:t>oložky FPS</w:t>
      </w:r>
      <w:r w:rsidR="00FC5E69">
        <w:t xml:space="preserve"> zajistit právní bezpečnost a</w:t>
      </w:r>
      <w:r w:rsidR="00B35364">
        <w:t xml:space="preserve"> tedy</w:t>
      </w:r>
      <w:r w:rsidR="00FC5E69">
        <w:t xml:space="preserve"> stabilitu</w:t>
      </w:r>
      <w:r w:rsidR="00B35364">
        <w:t xml:space="preserve"> právního řádu</w:t>
      </w:r>
      <w:r w:rsidR="00FC5E69">
        <w:t>.</w:t>
      </w:r>
      <w:r w:rsidR="00162FDF">
        <w:t xml:space="preserve"> Argumentoval prakticky stejně jako u legitimních očekávání a </w:t>
      </w:r>
      <w:r w:rsidR="009C35CF">
        <w:t>měl za to, že se v tomto ohledu standardy překrývají.</w:t>
      </w:r>
      <w:r w:rsidR="004107D8">
        <w:rPr>
          <w:rStyle w:val="Znakapoznpodarou"/>
        </w:rPr>
        <w:footnoteReference w:id="121"/>
      </w:r>
      <w:r w:rsidR="00C80D27">
        <w:t xml:space="preserve"> Opíral se o rozhodnutí </w:t>
      </w:r>
      <w:r w:rsidR="00C80D27">
        <w:rPr>
          <w:i/>
        </w:rPr>
        <w:t>Siemens</w:t>
      </w:r>
      <w:r w:rsidR="00C80D27">
        <w:t>, které se přiklonilo k existenci záruky právní stability</w:t>
      </w:r>
      <w:r w:rsidR="00751813">
        <w:t>: „</w:t>
      </w:r>
      <w:r w:rsidR="00B35364" w:rsidRPr="00442CA7">
        <w:rPr>
          <w:i/>
        </w:rPr>
        <w:t>právní ochranou a bezpečností se rozumí ochrana důvěry ve stabilitu právních norem a předvídatelnost jejich aplikace</w:t>
      </w:r>
      <w:r w:rsidR="00B35364">
        <w:t>.“</w:t>
      </w:r>
      <w:r w:rsidR="000A74D7">
        <w:rPr>
          <w:rStyle w:val="Znakapoznpodarou"/>
        </w:rPr>
        <w:footnoteReference w:id="122"/>
      </w:r>
      <w:r w:rsidR="00B35364">
        <w:t xml:space="preserve"> Tribunál </w:t>
      </w:r>
      <w:r w:rsidR="00B35364">
        <w:rPr>
          <w:i/>
        </w:rPr>
        <w:t xml:space="preserve">Siemens </w:t>
      </w:r>
      <w:r w:rsidR="00B35364">
        <w:t xml:space="preserve">rozhodoval podle </w:t>
      </w:r>
      <w:r w:rsidR="00EF184C">
        <w:t>BIT mezi Německem a Argentinou, která plnou ochranu označuje výslovně za právní.</w:t>
      </w:r>
      <w:r w:rsidR="00EF184C">
        <w:rPr>
          <w:rStyle w:val="Znakapoznpodarou"/>
        </w:rPr>
        <w:footnoteReference w:id="123"/>
      </w:r>
      <w:r w:rsidR="002126C9">
        <w:t xml:space="preserve"> Tako</w:t>
      </w:r>
      <w:r w:rsidR="00442CA7">
        <w:t>vého přístupu se tedy dovolával</w:t>
      </w:r>
      <w:r w:rsidR="002126C9">
        <w:t xml:space="preserve"> i Crystallex, tribunál však poznamenal, že by tento výklad nepřijal, ani kdyby rozhodoval </w:t>
      </w:r>
      <w:r w:rsidR="007D2464">
        <w:t>podle takto formulovaného textu</w:t>
      </w:r>
      <w:r w:rsidR="002126C9">
        <w:t xml:space="preserve"> klauzule.</w:t>
      </w:r>
      <w:r w:rsidR="009C35CF">
        <w:t xml:space="preserve"> </w:t>
      </w:r>
      <w:r w:rsidR="00D57CDD">
        <w:t>Přestože byl nakonec investor úspěšný, ne</w:t>
      </w:r>
      <w:r w:rsidR="00C8130F">
        <w:t>bylo tomu tedy tak</w:t>
      </w:r>
      <w:r w:rsidR="00636622">
        <w:t xml:space="preserve"> z důvodu</w:t>
      </w:r>
      <w:r w:rsidR="00D57CDD">
        <w:t xml:space="preserve"> použití klauzule FPS. </w:t>
      </w:r>
    </w:p>
    <w:p w14:paraId="6DB30CA1" w14:textId="790F45A7" w:rsidR="00C41A5E" w:rsidRDefault="008434E2" w:rsidP="005841D8">
      <w:pPr>
        <w:pStyle w:val="Odstavecseseznamem"/>
        <w:spacing w:line="360" w:lineRule="auto"/>
        <w:ind w:left="142" w:firstLine="654"/>
        <w:jc w:val="both"/>
        <w:rPr>
          <w:rStyle w:val="Zvraznn"/>
          <w:i w:val="0"/>
        </w:rPr>
      </w:pPr>
      <w:r>
        <w:lastRenderedPageBreak/>
        <w:t>Další upřesnění FPS přineslo</w:t>
      </w:r>
      <w:r w:rsidR="00886CBD">
        <w:t xml:space="preserve"> loňské</w:t>
      </w:r>
      <w:r>
        <w:t xml:space="preserve"> rozhodnutí </w:t>
      </w:r>
      <w:r>
        <w:rPr>
          <w:rStyle w:val="Zvraznn"/>
        </w:rPr>
        <w:t>Peter A. Allard v Barbados</w:t>
      </w:r>
      <w:r>
        <w:rPr>
          <w:rStyle w:val="Zvraznn"/>
          <w:i w:val="0"/>
        </w:rPr>
        <w:t xml:space="preserve">. </w:t>
      </w:r>
      <w:r w:rsidR="001E4E6E">
        <w:rPr>
          <w:rStyle w:val="Zvraznn"/>
          <w:i w:val="0"/>
        </w:rPr>
        <w:t>V něm se kanadský investor domáhal</w:t>
      </w:r>
      <w:r w:rsidR="00DC7223">
        <w:rPr>
          <w:rStyle w:val="Zvraznn"/>
          <w:i w:val="0"/>
        </w:rPr>
        <w:t xml:space="preserve"> odškodnění za chybějící zásah</w:t>
      </w:r>
      <w:r w:rsidR="001E4E6E">
        <w:rPr>
          <w:rStyle w:val="Zvraznn"/>
          <w:i w:val="0"/>
        </w:rPr>
        <w:t xml:space="preserve"> státu, když </w:t>
      </w:r>
      <w:r w:rsidR="00920810">
        <w:rPr>
          <w:rStyle w:val="Zvraznn"/>
          <w:i w:val="0"/>
        </w:rPr>
        <w:t xml:space="preserve">jeho přírodní rezervaci </w:t>
      </w:r>
      <w:r w:rsidR="00DC7223">
        <w:rPr>
          <w:rStyle w:val="Zvraznn"/>
          <w:i w:val="0"/>
        </w:rPr>
        <w:t>hrozilo znečištění</w:t>
      </w:r>
      <w:r w:rsidR="008527C7">
        <w:rPr>
          <w:rStyle w:val="Zvraznn"/>
          <w:i w:val="0"/>
        </w:rPr>
        <w:t xml:space="preserve"> kontaminovanou vodou</w:t>
      </w:r>
      <w:r w:rsidR="00DC7223">
        <w:rPr>
          <w:rStyle w:val="Zvraznn"/>
          <w:i w:val="0"/>
        </w:rPr>
        <w:t xml:space="preserve"> a stát podle něj nevymáhal dostatečně své zákony</w:t>
      </w:r>
      <w:r w:rsidR="00E658B1">
        <w:rPr>
          <w:rStyle w:val="Zvraznn"/>
          <w:i w:val="0"/>
        </w:rPr>
        <w:t xml:space="preserve"> na ochranu jeho majetku</w:t>
      </w:r>
      <w:r w:rsidR="00DC7223">
        <w:rPr>
          <w:rStyle w:val="Zvraznn"/>
          <w:i w:val="0"/>
        </w:rPr>
        <w:t xml:space="preserve">. </w:t>
      </w:r>
      <w:r w:rsidR="008527C7">
        <w:rPr>
          <w:rStyle w:val="Zvraznn"/>
          <w:i w:val="0"/>
        </w:rPr>
        <w:t>Tribunál uznal, že součástí FPS může být závazek státu na ochranu investice před negativními vlivy životního prostřed</w:t>
      </w:r>
      <w:r w:rsidR="007E7CEB">
        <w:rPr>
          <w:rStyle w:val="Zvraznn"/>
          <w:i w:val="0"/>
        </w:rPr>
        <w:t>í.</w:t>
      </w:r>
      <w:r w:rsidR="008527C7">
        <w:rPr>
          <w:rStyle w:val="Zvraznn"/>
          <w:i w:val="0"/>
        </w:rPr>
        <w:t xml:space="preserve"> </w:t>
      </w:r>
      <w:r w:rsidR="007E7CEB">
        <w:rPr>
          <w:rStyle w:val="Zvraznn"/>
          <w:i w:val="0"/>
        </w:rPr>
        <w:t>A</w:t>
      </w:r>
      <w:r w:rsidR="006A21C6">
        <w:rPr>
          <w:rStyle w:val="Zvraznn"/>
          <w:i w:val="0"/>
        </w:rPr>
        <w:t xml:space="preserve">však ten se neprojeví v ochraně investic jako </w:t>
      </w:r>
      <w:r w:rsidR="007E7CEB">
        <w:rPr>
          <w:rStyle w:val="Zvraznn"/>
          <w:i w:val="0"/>
        </w:rPr>
        <w:t>objektivní odpovědnost s</w:t>
      </w:r>
      <w:r w:rsidR="00262525">
        <w:rPr>
          <w:rStyle w:val="Zvraznn"/>
          <w:i w:val="0"/>
        </w:rPr>
        <w:t>t</w:t>
      </w:r>
      <w:r w:rsidR="007E7CEB">
        <w:rPr>
          <w:rStyle w:val="Zvraznn"/>
          <w:i w:val="0"/>
        </w:rPr>
        <w:t xml:space="preserve">átu za škodu, pouze jako povinnost </w:t>
      </w:r>
      <w:r w:rsidR="00C4479A">
        <w:rPr>
          <w:rStyle w:val="Zvraznn"/>
          <w:i w:val="0"/>
        </w:rPr>
        <w:t>d</w:t>
      </w:r>
      <w:r w:rsidR="00C4479A" w:rsidRPr="00C4479A">
        <w:rPr>
          <w:rStyle w:val="Zvraznn"/>
          <w:i w:val="0"/>
        </w:rPr>
        <w:t>ue diligence</w:t>
      </w:r>
      <w:r w:rsidR="00C4479A">
        <w:rPr>
          <w:rStyle w:val="Zvraznn"/>
          <w:i w:val="0"/>
        </w:rPr>
        <w:t xml:space="preserve"> a rozumná míra pečlivosti.</w:t>
      </w:r>
      <w:r w:rsidR="00D566DC">
        <w:rPr>
          <w:rStyle w:val="Znakapoznpodarou"/>
          <w:iCs/>
        </w:rPr>
        <w:footnoteReference w:id="124"/>
      </w:r>
      <w:r w:rsidR="000249C7">
        <w:rPr>
          <w:rStyle w:val="Zvraznn"/>
          <w:i w:val="0"/>
        </w:rPr>
        <w:t xml:space="preserve"> Přidává i citaci z nálezu </w:t>
      </w:r>
      <w:r w:rsidR="000249C7" w:rsidRPr="000249C7">
        <w:rPr>
          <w:rStyle w:val="Zvraznn"/>
        </w:rPr>
        <w:t>El Paso</w:t>
      </w:r>
      <w:r w:rsidR="000249C7">
        <w:rPr>
          <w:rStyle w:val="Zvraznn"/>
          <w:i w:val="0"/>
        </w:rPr>
        <w:t xml:space="preserve">, podle kterého má stát pouze </w:t>
      </w:r>
      <w:r w:rsidR="00D63C9F" w:rsidRPr="00D63C9F">
        <w:rPr>
          <w:rStyle w:val="Zvraznn"/>
        </w:rPr>
        <w:t>„přijmout rozumná opatření v rámci svých pravomocí pro zabránění vzniku škody pokud si je vědom nebo má být vědom možnosti ohrožení majetku investora</w:t>
      </w:r>
      <w:r w:rsidR="00D63C9F">
        <w:rPr>
          <w:rStyle w:val="Zvraznn"/>
          <w:i w:val="0"/>
        </w:rPr>
        <w:t>.“</w:t>
      </w:r>
      <w:r w:rsidR="00D63C9F">
        <w:rPr>
          <w:rStyle w:val="Znakapoznpodarou"/>
          <w:iCs/>
        </w:rPr>
        <w:footnoteReference w:id="125"/>
      </w:r>
      <w:r w:rsidR="00D566DC">
        <w:rPr>
          <w:rStyle w:val="Zvraznn"/>
          <w:i w:val="0"/>
        </w:rPr>
        <w:t xml:space="preserve"> </w:t>
      </w:r>
      <w:r w:rsidR="00685C44">
        <w:rPr>
          <w:rStyle w:val="Zvraznn"/>
          <w:i w:val="0"/>
        </w:rPr>
        <w:t>Pokud nebyla shledána taková porušení</w:t>
      </w:r>
      <w:r w:rsidR="00D63C9F">
        <w:rPr>
          <w:rStyle w:val="Zvraznn"/>
          <w:i w:val="0"/>
        </w:rPr>
        <w:t xml:space="preserve"> povinnosti</w:t>
      </w:r>
      <w:r w:rsidR="00685C44">
        <w:rPr>
          <w:rStyle w:val="Zvraznn"/>
          <w:i w:val="0"/>
        </w:rPr>
        <w:t>, nejedná se o odpovědnost podle FPS.</w:t>
      </w:r>
      <w:r w:rsidR="00D566DC">
        <w:rPr>
          <w:rStyle w:val="Zvraznn"/>
          <w:i w:val="0"/>
        </w:rPr>
        <w:t xml:space="preserve"> </w:t>
      </w:r>
    </w:p>
    <w:p w14:paraId="2B64D8B5" w14:textId="7D8945A4" w:rsidR="008437AB" w:rsidRDefault="00A94D21" w:rsidP="005841D8">
      <w:pPr>
        <w:pStyle w:val="Odstavecseseznamem"/>
        <w:spacing w:line="360" w:lineRule="auto"/>
        <w:ind w:left="142" w:firstLine="654"/>
        <w:jc w:val="both"/>
        <w:rPr>
          <w:rStyle w:val="Zvraznn"/>
          <w:i w:val="0"/>
        </w:rPr>
      </w:pPr>
      <w:r>
        <w:rPr>
          <w:rStyle w:val="Zvraznn"/>
          <w:i w:val="0"/>
        </w:rPr>
        <w:t>Zbývají relativní standardy ochrany. Jejich rozsah se oproti absolutním u</w:t>
      </w:r>
      <w:r w:rsidR="00324417">
        <w:rPr>
          <w:rStyle w:val="Zvraznn"/>
          <w:i w:val="0"/>
        </w:rPr>
        <w:t xml:space="preserve">rčuje podle okolností v hostitelském státu investice. </w:t>
      </w:r>
      <w:r w:rsidR="002133EB">
        <w:rPr>
          <w:rStyle w:val="Zvraznn"/>
          <w:i w:val="0"/>
        </w:rPr>
        <w:t>Klauzule</w:t>
      </w:r>
      <w:r w:rsidR="0077574A">
        <w:rPr>
          <w:rStyle w:val="Zvraznn"/>
          <w:i w:val="0"/>
        </w:rPr>
        <w:t xml:space="preserve"> Most Favoured Nation</w:t>
      </w:r>
      <w:r w:rsidR="002133EB">
        <w:rPr>
          <w:rStyle w:val="Zvraznn"/>
          <w:i w:val="0"/>
        </w:rPr>
        <w:t xml:space="preserve"> Treatment</w:t>
      </w:r>
      <w:r w:rsidR="0077574A">
        <w:rPr>
          <w:rStyle w:val="Zvraznn"/>
          <w:i w:val="0"/>
        </w:rPr>
        <w:t xml:space="preserve"> („MFN“)</w:t>
      </w:r>
      <w:r w:rsidR="002133EB">
        <w:rPr>
          <w:rStyle w:val="Zvraznn"/>
          <w:i w:val="0"/>
        </w:rPr>
        <w:t xml:space="preserve"> </w:t>
      </w:r>
      <w:r w:rsidR="00FD3336">
        <w:rPr>
          <w:rStyle w:val="Zvraznn"/>
          <w:i w:val="0"/>
        </w:rPr>
        <w:t xml:space="preserve">neboli též doložka nejvyšších výhod </w:t>
      </w:r>
      <w:r w:rsidR="00DC69B0">
        <w:rPr>
          <w:rStyle w:val="Zvraznn"/>
          <w:i w:val="0"/>
        </w:rPr>
        <w:t>stanoví</w:t>
      </w:r>
      <w:r w:rsidR="00C54111">
        <w:rPr>
          <w:rStyle w:val="Zvraznn"/>
          <w:i w:val="0"/>
        </w:rPr>
        <w:t>, že investor požívá</w:t>
      </w:r>
      <w:r w:rsidR="007A64DC">
        <w:rPr>
          <w:rStyle w:val="Zvraznn"/>
          <w:i w:val="0"/>
        </w:rPr>
        <w:t xml:space="preserve"> v hostitelském státu</w:t>
      </w:r>
      <w:r w:rsidR="00A5634A">
        <w:rPr>
          <w:rStyle w:val="Zvraznn"/>
          <w:i w:val="0"/>
        </w:rPr>
        <w:t xml:space="preserve"> minimálně</w:t>
      </w:r>
      <w:r w:rsidR="00C54111">
        <w:rPr>
          <w:rStyle w:val="Zvraznn"/>
          <w:i w:val="0"/>
        </w:rPr>
        <w:t xml:space="preserve"> </w:t>
      </w:r>
      <w:r w:rsidR="00FD3336">
        <w:rPr>
          <w:rStyle w:val="Zvraznn"/>
          <w:i w:val="0"/>
        </w:rPr>
        <w:t>stejné ochrany</w:t>
      </w:r>
      <w:r w:rsidR="000D51EA">
        <w:rPr>
          <w:rStyle w:val="Zvraznn"/>
          <w:i w:val="0"/>
        </w:rPr>
        <w:t xml:space="preserve"> a stejného zacházení</w:t>
      </w:r>
      <w:r w:rsidR="00FD3336">
        <w:rPr>
          <w:rStyle w:val="Zvraznn"/>
          <w:i w:val="0"/>
        </w:rPr>
        <w:t xml:space="preserve"> </w:t>
      </w:r>
      <w:r w:rsidR="00A5634A">
        <w:rPr>
          <w:rStyle w:val="Zvraznn"/>
          <w:i w:val="0"/>
        </w:rPr>
        <w:t xml:space="preserve">jako </w:t>
      </w:r>
      <w:r w:rsidR="007A64DC">
        <w:rPr>
          <w:rStyle w:val="Zvraznn"/>
          <w:i w:val="0"/>
        </w:rPr>
        <w:t>investoři z kterékoli jiné země</w:t>
      </w:r>
      <w:r w:rsidR="00926937">
        <w:rPr>
          <w:rStyle w:val="Zvraznn"/>
          <w:i w:val="0"/>
        </w:rPr>
        <w:t>, se kterou má hostitelský stát v platnosti IIA</w:t>
      </w:r>
      <w:r w:rsidR="007A64DC">
        <w:rPr>
          <w:rStyle w:val="Zvraznn"/>
          <w:i w:val="0"/>
        </w:rPr>
        <w:t>.</w:t>
      </w:r>
      <w:r w:rsidR="00AE7261">
        <w:rPr>
          <w:rStyle w:val="Znakapoznpodarou"/>
          <w:iCs/>
        </w:rPr>
        <w:footnoteReference w:id="126"/>
      </w:r>
      <w:r w:rsidR="006E01A9">
        <w:rPr>
          <w:rStyle w:val="Zvraznn"/>
          <w:i w:val="0"/>
        </w:rPr>
        <w:t xml:space="preserve"> V praxi to tedy znamená, že IIA s takovou doložkou bude zahrnovat i veškeré standardy ochrany z jiných IIA hostitelského státu.</w:t>
      </w:r>
      <w:r w:rsidR="0022303B">
        <w:rPr>
          <w:rStyle w:val="Zvraznn"/>
          <w:i w:val="0"/>
        </w:rPr>
        <w:t xml:space="preserve"> Typické je importování dolo</w:t>
      </w:r>
      <w:r w:rsidR="00B758F5">
        <w:rPr>
          <w:rStyle w:val="Zvraznn"/>
          <w:i w:val="0"/>
        </w:rPr>
        <w:t>žky FET ze smluv uzavřených se třetími státy, přípustnost této argumentace je v rozhodovací praxi ustálená.</w:t>
      </w:r>
      <w:r w:rsidR="00DE790D">
        <w:rPr>
          <w:rStyle w:val="Znakapoznpodarou"/>
          <w:iCs/>
        </w:rPr>
        <w:footnoteReference w:id="127"/>
      </w:r>
      <w:r w:rsidR="006E01A9">
        <w:rPr>
          <w:rStyle w:val="Zvraznn"/>
          <w:i w:val="0"/>
        </w:rPr>
        <w:t xml:space="preserve"> </w:t>
      </w:r>
      <w:r w:rsidR="00054A6A">
        <w:rPr>
          <w:rStyle w:val="Zvraznn"/>
          <w:i w:val="0"/>
        </w:rPr>
        <w:t>Pokud to není vyloučeno, vz</w:t>
      </w:r>
      <w:r w:rsidR="00401318">
        <w:rPr>
          <w:rStyle w:val="Zvraznn"/>
          <w:i w:val="0"/>
        </w:rPr>
        <w:t>tahuje</w:t>
      </w:r>
      <w:r w:rsidR="00652651">
        <w:rPr>
          <w:rStyle w:val="Zvraznn"/>
          <w:i w:val="0"/>
        </w:rPr>
        <w:t xml:space="preserve"> se</w:t>
      </w:r>
      <w:r w:rsidR="0022303B">
        <w:rPr>
          <w:rStyle w:val="Zvraznn"/>
          <w:i w:val="0"/>
        </w:rPr>
        <w:t xml:space="preserve"> MFN</w:t>
      </w:r>
      <w:r w:rsidR="00401318">
        <w:rPr>
          <w:rStyle w:val="Zvraznn"/>
          <w:i w:val="0"/>
        </w:rPr>
        <w:t xml:space="preserve"> v omezené </w:t>
      </w:r>
      <w:r w:rsidR="001E075C">
        <w:rPr>
          <w:rStyle w:val="Zvraznn"/>
          <w:i w:val="0"/>
        </w:rPr>
        <w:t>míře i na procesní pravidla</w:t>
      </w:r>
      <w:r w:rsidR="00054A6A">
        <w:rPr>
          <w:rStyle w:val="Zvraznn"/>
          <w:i w:val="0"/>
        </w:rPr>
        <w:t>.</w:t>
      </w:r>
      <w:r w:rsidR="001E075C">
        <w:rPr>
          <w:rStyle w:val="Znakapoznpodarou"/>
          <w:iCs/>
        </w:rPr>
        <w:footnoteReference w:id="128"/>
      </w:r>
      <w:r w:rsidR="00123E5F">
        <w:rPr>
          <w:rStyle w:val="Zvraznn"/>
          <w:i w:val="0"/>
        </w:rPr>
        <w:t xml:space="preserve"> Národní zacházení („NT“) pak zaručuje </w:t>
      </w:r>
      <w:r w:rsidR="008B119B">
        <w:rPr>
          <w:rStyle w:val="Zvraznn"/>
          <w:i w:val="0"/>
        </w:rPr>
        <w:t>zacházení bez diskriminace na základě státní příslušnosti.</w:t>
      </w:r>
      <w:r w:rsidR="00A609D6">
        <w:rPr>
          <w:rStyle w:val="Znakapoznpodarou"/>
          <w:iCs/>
        </w:rPr>
        <w:footnoteReference w:id="129"/>
      </w:r>
      <w:r w:rsidR="003B3229">
        <w:rPr>
          <w:rStyle w:val="Zvraznn"/>
          <w:i w:val="0"/>
        </w:rPr>
        <w:t xml:space="preserve"> Přestože se objevuje </w:t>
      </w:r>
      <w:r w:rsidR="008F2FA9">
        <w:rPr>
          <w:rStyle w:val="Zvraznn"/>
          <w:i w:val="0"/>
        </w:rPr>
        <w:t xml:space="preserve">ve většině IIA, zatím není, </w:t>
      </w:r>
      <w:r w:rsidR="008F2FA9">
        <w:rPr>
          <w:rStyle w:val="Zvraznn"/>
          <w:i w:val="0"/>
        </w:rPr>
        <w:lastRenderedPageBreak/>
        <w:t>stejně jak</w:t>
      </w:r>
      <w:r w:rsidR="00262525">
        <w:rPr>
          <w:rStyle w:val="Zvraznn"/>
          <w:i w:val="0"/>
        </w:rPr>
        <w:t>o další standardy ochrany z IIA</w:t>
      </w:r>
      <w:r w:rsidR="008F2FA9">
        <w:rPr>
          <w:rStyle w:val="Zvraznn"/>
          <w:i w:val="0"/>
        </w:rPr>
        <w:t>, považ</w:t>
      </w:r>
      <w:r w:rsidR="003B3229">
        <w:rPr>
          <w:rStyle w:val="Zvraznn"/>
          <w:i w:val="0"/>
        </w:rPr>
        <w:t>ováno za normu mezinárodního obyčejového práva.</w:t>
      </w:r>
      <w:r w:rsidR="004A1CAA">
        <w:rPr>
          <w:rStyle w:val="Znakapoznpodarou"/>
          <w:iCs/>
        </w:rPr>
        <w:footnoteReference w:id="130"/>
      </w:r>
      <w:r w:rsidR="008B119B">
        <w:rPr>
          <w:rStyle w:val="Zvraznn"/>
          <w:i w:val="0"/>
        </w:rPr>
        <w:t xml:space="preserve"> </w:t>
      </w:r>
      <w:r w:rsidR="00054A6A">
        <w:rPr>
          <w:rStyle w:val="Zvraznn"/>
          <w:i w:val="0"/>
        </w:rPr>
        <w:t xml:space="preserve"> </w:t>
      </w:r>
    </w:p>
    <w:p w14:paraId="6BF1BC0E" w14:textId="5EE0F890" w:rsidR="007415B1" w:rsidRPr="00B92E62" w:rsidRDefault="00123E5F" w:rsidP="005841D8">
      <w:pPr>
        <w:pStyle w:val="Odstavecseseznamem"/>
        <w:spacing w:line="360" w:lineRule="auto"/>
        <w:ind w:left="142" w:firstLine="654"/>
        <w:jc w:val="both"/>
      </w:pPr>
      <w:r>
        <w:rPr>
          <w:rStyle w:val="Zvraznn"/>
          <w:i w:val="0"/>
        </w:rPr>
        <w:t>Základem pro uplatnění</w:t>
      </w:r>
      <w:r w:rsidR="00EF2370">
        <w:rPr>
          <w:rStyle w:val="Zvraznn"/>
          <w:i w:val="0"/>
        </w:rPr>
        <w:t xml:space="preserve"> těchto nároků</w:t>
      </w:r>
      <w:r>
        <w:rPr>
          <w:rStyle w:val="Zvraznn"/>
          <w:i w:val="0"/>
        </w:rPr>
        <w:t xml:space="preserve"> investora je najít subjekt, se kterým bylo</w:t>
      </w:r>
      <w:r w:rsidR="00800B56">
        <w:rPr>
          <w:rStyle w:val="Zvraznn"/>
          <w:i w:val="0"/>
        </w:rPr>
        <w:t xml:space="preserve"> nebo je</w:t>
      </w:r>
      <w:r>
        <w:rPr>
          <w:rStyle w:val="Zvraznn"/>
          <w:i w:val="0"/>
        </w:rPr>
        <w:t xml:space="preserve"> zacházeno</w:t>
      </w:r>
      <w:r w:rsidR="007E1AAC">
        <w:rPr>
          <w:rStyle w:val="Zvraznn"/>
          <w:i w:val="0"/>
        </w:rPr>
        <w:t xml:space="preserve"> v obdobné situaci</w:t>
      </w:r>
      <w:r>
        <w:rPr>
          <w:rStyle w:val="Zvraznn"/>
          <w:i w:val="0"/>
        </w:rPr>
        <w:t xml:space="preserve"> výhodněji.</w:t>
      </w:r>
      <w:r w:rsidR="008928EB">
        <w:rPr>
          <w:rStyle w:val="Zvraznn"/>
          <w:i w:val="0"/>
        </w:rPr>
        <w:t xml:space="preserve"> Rozdíl v zacházení </w:t>
      </w:r>
      <w:r w:rsidR="002F7B92">
        <w:rPr>
          <w:rStyle w:val="Zvraznn"/>
          <w:i w:val="0"/>
        </w:rPr>
        <w:t xml:space="preserve">porušuje MFN nebo NT, </w:t>
      </w:r>
      <w:r w:rsidR="002B6646">
        <w:rPr>
          <w:rStyle w:val="Zvraznn"/>
          <w:i w:val="0"/>
        </w:rPr>
        <w:t>pokud zde není</w:t>
      </w:r>
      <w:r w:rsidR="000F1282">
        <w:rPr>
          <w:rStyle w:val="Zvraznn"/>
          <w:i w:val="0"/>
        </w:rPr>
        <w:t xml:space="preserve"> zvláštní</w:t>
      </w:r>
      <w:r w:rsidR="002B6646">
        <w:rPr>
          <w:rStyle w:val="Zvraznn"/>
          <w:i w:val="0"/>
        </w:rPr>
        <w:t xml:space="preserve"> zájem státu</w:t>
      </w:r>
      <w:r w:rsidR="00891E19">
        <w:rPr>
          <w:rStyle w:val="Zvraznn"/>
          <w:i w:val="0"/>
        </w:rPr>
        <w:t>, který</w:t>
      </w:r>
      <w:r w:rsidR="000F1282">
        <w:rPr>
          <w:rStyle w:val="Zvraznn"/>
          <w:i w:val="0"/>
        </w:rPr>
        <w:t xml:space="preserve"> </w:t>
      </w:r>
      <w:r w:rsidR="00891E19">
        <w:rPr>
          <w:rStyle w:val="Zvraznn"/>
          <w:i w:val="0"/>
        </w:rPr>
        <w:t>nerozlišuje mezi subjekty právě na základě státní příslušnosti, ale podle jiných okolností veřejného zájmu.</w:t>
      </w:r>
      <w:r w:rsidR="00C24119">
        <w:rPr>
          <w:rStyle w:val="Znakapoznpodarou"/>
          <w:iCs/>
        </w:rPr>
        <w:footnoteReference w:id="131"/>
      </w:r>
      <w:r>
        <w:rPr>
          <w:rStyle w:val="Zvraznn"/>
          <w:i w:val="0"/>
        </w:rPr>
        <w:t xml:space="preserve"> </w:t>
      </w:r>
      <w:r w:rsidR="00637980">
        <w:rPr>
          <w:rStyle w:val="Zvraznn"/>
          <w:i w:val="0"/>
        </w:rPr>
        <w:t xml:space="preserve">A stejně jako u FET nebo vyvlastnění, i zde </w:t>
      </w:r>
      <w:r w:rsidR="000E3FDE">
        <w:rPr>
          <w:rStyle w:val="Zvraznn"/>
          <w:i w:val="0"/>
        </w:rPr>
        <w:t xml:space="preserve">je sporem, zda posuzovat především dopad opatření anebo záměr státu pro jeho přijetí. </w:t>
      </w:r>
      <w:r w:rsidR="00F83F94">
        <w:rPr>
          <w:rStyle w:val="Zvraznn"/>
          <w:i w:val="0"/>
        </w:rPr>
        <w:t>Pokud měl stát legitimní veřejný zájem (veřejné zdraví, životní prostředí</w:t>
      </w:r>
      <w:r w:rsidR="00DA6978">
        <w:rPr>
          <w:rStyle w:val="Zvraznn"/>
          <w:i w:val="0"/>
        </w:rPr>
        <w:t xml:space="preserve"> apod.</w:t>
      </w:r>
      <w:r w:rsidR="00F83F94">
        <w:rPr>
          <w:rStyle w:val="Zvraznn"/>
          <w:i w:val="0"/>
        </w:rPr>
        <w:t>) na rozdílném zacházení, nejedná se při posouzení porušení NT a MFN o „obdobnou situaci“.</w:t>
      </w:r>
      <w:r w:rsidR="00B92E62">
        <w:rPr>
          <w:rStyle w:val="Zvraznn"/>
          <w:i w:val="0"/>
        </w:rPr>
        <w:t xml:space="preserve"> V případu </w:t>
      </w:r>
      <w:r w:rsidR="00B92E62">
        <w:rPr>
          <w:rStyle w:val="Zvraznn"/>
        </w:rPr>
        <w:t>Methanex</w:t>
      </w:r>
      <w:r w:rsidR="00B92E62">
        <w:rPr>
          <w:rStyle w:val="Zvraznn"/>
          <w:i w:val="0"/>
        </w:rPr>
        <w:t xml:space="preserve"> </w:t>
      </w:r>
      <w:r w:rsidR="00C42368">
        <w:rPr>
          <w:rStyle w:val="Zvraznn"/>
          <w:i w:val="0"/>
        </w:rPr>
        <w:t>jako legitimní důvod rozdílného zacházení stát s úspěchem použi</w:t>
      </w:r>
      <w:r w:rsidR="007F5C81">
        <w:rPr>
          <w:rStyle w:val="Zvraznn"/>
          <w:i w:val="0"/>
        </w:rPr>
        <w:t>l fakt, že se žalobcova investice nacházela na území se zvýšeným stupněm ochrany krajiny a měla ji zatěžovat znečištěním.</w:t>
      </w:r>
      <w:r w:rsidR="00D315C9">
        <w:rPr>
          <w:rStyle w:val="Zvraznn"/>
          <w:i w:val="0"/>
        </w:rPr>
        <w:t xml:space="preserve"> Regulace omezující podnikatelské aktivity na takovém území tedy byla podle tribunálu přípustná, situace nebyla srovnatelná se subjekty, které provozovaly podobné aktivity mimo tuto oblast.</w:t>
      </w:r>
      <w:r w:rsidR="00D315C9">
        <w:rPr>
          <w:rStyle w:val="Znakapoznpodarou"/>
          <w:iCs/>
        </w:rPr>
        <w:footnoteReference w:id="132"/>
      </w:r>
      <w:r w:rsidR="00BA65F5">
        <w:rPr>
          <w:rStyle w:val="Zvraznn"/>
          <w:i w:val="0"/>
        </w:rPr>
        <w:t xml:space="preserve"> Takový výklad je obvyklý, ačkoliv NT a MFN obvykle neobsahují zmínku o legitimitě odlišného zacházení. </w:t>
      </w:r>
      <w:r w:rsidR="007F5C81">
        <w:rPr>
          <w:rStyle w:val="Zvraznn"/>
          <w:i w:val="0"/>
        </w:rPr>
        <w:t xml:space="preserve"> </w:t>
      </w:r>
      <w:r w:rsidR="007817D4">
        <w:rPr>
          <w:rStyle w:val="Zvraznn"/>
          <w:i w:val="0"/>
        </w:rPr>
        <w:t xml:space="preserve">Důkazní břemeno v takovém případě bývá na straně </w:t>
      </w:r>
      <w:r w:rsidR="00CE09B0">
        <w:rPr>
          <w:rStyle w:val="Zvraznn"/>
          <w:i w:val="0"/>
        </w:rPr>
        <w:t>investo</w:t>
      </w:r>
      <w:r w:rsidR="006E1C0F">
        <w:rPr>
          <w:rStyle w:val="Zvraznn"/>
          <w:i w:val="0"/>
        </w:rPr>
        <w:t>ra, který musí prokázat, že</w:t>
      </w:r>
      <w:r w:rsidR="00CE09B0">
        <w:rPr>
          <w:rStyle w:val="Zvraznn"/>
          <w:i w:val="0"/>
        </w:rPr>
        <w:t xml:space="preserve"> okolnosti jeho zacházení jsou obdobné jako u subjektu, se kterým se porovnává.</w:t>
      </w:r>
      <w:r w:rsidR="00C1692A">
        <w:rPr>
          <w:rStyle w:val="Znakapoznpodarou"/>
          <w:iCs/>
        </w:rPr>
        <w:footnoteReference w:id="133"/>
      </w:r>
      <w:r w:rsidR="00CE09B0">
        <w:rPr>
          <w:rStyle w:val="Zvraznn"/>
          <w:i w:val="0"/>
        </w:rPr>
        <w:t xml:space="preserve"> </w:t>
      </w:r>
      <w:r w:rsidR="004C5B3F">
        <w:rPr>
          <w:rStyle w:val="Zvraznn"/>
          <w:i w:val="0"/>
        </w:rPr>
        <w:t>Stát by pak měl vyvrátit existenci „obdobných okolností“ prokázáním legitimního důvodu pro odlišné zacházení.</w:t>
      </w:r>
      <w:r w:rsidR="00070AC1">
        <w:rPr>
          <w:rStyle w:val="Znakapoznpodarou"/>
          <w:iCs/>
        </w:rPr>
        <w:footnoteReference w:id="134"/>
      </w:r>
      <w:r w:rsidR="002E3F4D">
        <w:rPr>
          <w:rStyle w:val="Zvraznn"/>
          <w:i w:val="0"/>
        </w:rPr>
        <w:t xml:space="preserve"> Podle NT a MFN má tedy stát odpovědnost za diskriminační cíle opatření, nikoli však nutně za jeho dopad na investici.</w:t>
      </w:r>
      <w:r w:rsidR="0025595A">
        <w:rPr>
          <w:rStyle w:val="Znakapoznpodarou"/>
          <w:iCs/>
        </w:rPr>
        <w:footnoteReference w:id="135"/>
      </w:r>
    </w:p>
    <w:p w14:paraId="65436171" w14:textId="19DCE1BE" w:rsidR="00A10C63" w:rsidRPr="003C19CA" w:rsidRDefault="00A10C63" w:rsidP="009A6ED9">
      <w:pPr>
        <w:pStyle w:val="Odstavecseseznamem"/>
        <w:numPr>
          <w:ilvl w:val="0"/>
          <w:numId w:val="10"/>
        </w:numPr>
        <w:spacing w:line="360" w:lineRule="auto"/>
        <w:jc w:val="both"/>
        <w:rPr>
          <w:kern w:val="32"/>
          <w:sz w:val="32"/>
          <w:szCs w:val="32"/>
        </w:rPr>
      </w:pPr>
      <w:r w:rsidRPr="003C19CA">
        <w:rPr>
          <w:kern w:val="32"/>
          <w:sz w:val="32"/>
          <w:szCs w:val="32"/>
        </w:rPr>
        <w:br w:type="page"/>
      </w:r>
    </w:p>
    <w:p w14:paraId="66877F46" w14:textId="20123026" w:rsidR="008629D3" w:rsidRPr="00942FD4" w:rsidRDefault="00E71C40" w:rsidP="00D71116">
      <w:pPr>
        <w:pStyle w:val="Nadpis1"/>
      </w:pPr>
      <w:bookmarkStart w:id="28" w:name="_Toc479697289"/>
      <w:r>
        <w:lastRenderedPageBreak/>
        <w:t>Změny v IIA</w:t>
      </w:r>
      <w:r w:rsidR="008629D3">
        <w:t xml:space="preserve"> související s právem státu na regulaci</w:t>
      </w:r>
      <w:bookmarkEnd w:id="28"/>
    </w:p>
    <w:p w14:paraId="48B12D29" w14:textId="59C60361" w:rsidR="00D73AFD" w:rsidRDefault="003F089A" w:rsidP="003F089A">
      <w:pPr>
        <w:pStyle w:val="Odstavecseseznamem"/>
        <w:spacing w:line="360" w:lineRule="auto"/>
        <w:ind w:left="142" w:firstLine="654"/>
        <w:jc w:val="both"/>
        <w:rPr>
          <w:rStyle w:val="Zvraznn"/>
          <w:i w:val="0"/>
        </w:rPr>
      </w:pPr>
      <w:r>
        <w:rPr>
          <w:rStyle w:val="Zvraznn"/>
          <w:i w:val="0"/>
        </w:rPr>
        <w:t xml:space="preserve">Předchozí kapitoly </w:t>
      </w:r>
      <w:r w:rsidR="008C1DE1">
        <w:rPr>
          <w:rStyle w:val="Zvraznn"/>
          <w:i w:val="0"/>
        </w:rPr>
        <w:t xml:space="preserve">ukazují, že rozhodovací praxe dává konkrétnější podobu velice </w:t>
      </w:r>
      <w:r w:rsidR="00E71C40">
        <w:rPr>
          <w:rStyle w:val="Zvraznn"/>
          <w:i w:val="0"/>
        </w:rPr>
        <w:t>vágně formulovaným doložkám v IIA</w:t>
      </w:r>
      <w:r w:rsidR="00337BAA">
        <w:rPr>
          <w:rStyle w:val="Zvraznn"/>
          <w:i w:val="0"/>
        </w:rPr>
        <w:t>s</w:t>
      </w:r>
      <w:r w:rsidR="008C1DE1">
        <w:rPr>
          <w:rStyle w:val="Zvraznn"/>
          <w:i w:val="0"/>
        </w:rPr>
        <w:t>.</w:t>
      </w:r>
      <w:r w:rsidR="00A17356">
        <w:rPr>
          <w:rStyle w:val="Zvraznn"/>
          <w:i w:val="0"/>
        </w:rPr>
        <w:t xml:space="preserve"> V reakci na tuto skutečnost</w:t>
      </w:r>
      <w:r w:rsidR="002F07DF">
        <w:rPr>
          <w:rStyle w:val="Zvraznn"/>
          <w:i w:val="0"/>
        </w:rPr>
        <w:t xml:space="preserve"> mnoho států zvažuje nebo již započalo</w:t>
      </w:r>
      <w:r w:rsidR="00362DEB">
        <w:rPr>
          <w:rStyle w:val="Zvraznn"/>
          <w:i w:val="0"/>
        </w:rPr>
        <w:t xml:space="preserve"> proces</w:t>
      </w:r>
      <w:r w:rsidR="002F07DF">
        <w:rPr>
          <w:rStyle w:val="Zvraznn"/>
          <w:i w:val="0"/>
        </w:rPr>
        <w:t xml:space="preserve"> </w:t>
      </w:r>
      <w:r w:rsidR="00362DEB">
        <w:rPr>
          <w:rStyle w:val="Zvraznn"/>
          <w:i w:val="0"/>
        </w:rPr>
        <w:t xml:space="preserve">revize nebo vypovídání svých BIT v reakci na specifikaci obsahu ochrany. </w:t>
      </w:r>
      <w:r w:rsidR="008770E7" w:rsidRPr="008770E7">
        <w:rPr>
          <w:rStyle w:val="Zvraznn"/>
          <w:i w:val="0"/>
        </w:rPr>
        <w:t>Tato situace se týká i ČR a jiných států EU. Od účinnosti Lisa</w:t>
      </w:r>
      <w:r w:rsidR="00E71C40">
        <w:rPr>
          <w:rStyle w:val="Zvraznn"/>
          <w:i w:val="0"/>
        </w:rPr>
        <w:t xml:space="preserve">bonské smlouvy je sjednávání IIA </w:t>
      </w:r>
      <w:r w:rsidR="008770E7" w:rsidRPr="008770E7">
        <w:rPr>
          <w:rStyle w:val="Zvraznn"/>
          <w:i w:val="0"/>
        </w:rPr>
        <w:t>záležitostí společné obchodní politiky EU („SOP“). Státům je sekundárním právem umožněno sjednávat BIT s třetími zeměmi, avšak musí o takovém záměru informovat Komisi a předložit ji veškerou dokumentaci. Komise nemusí podle nařízení 1219/2012 dát souhlas k vyjednávání, pokud by (1) mělo být porušeno právo EU vyjma práva porušení rozdělení kompetencí mezi unií a státy, (2) taková smlouva byla nadbytečná z důvodu již zahájených jednání mezi Komisí a třetí zemí, (3) jednání nebylo v souladu s principy a cíli EU pro vnější vztahy, nebo (4) jednán</w:t>
      </w:r>
      <w:r w:rsidR="00E71C40">
        <w:rPr>
          <w:rStyle w:val="Zvraznn"/>
          <w:i w:val="0"/>
        </w:rPr>
        <w:t>í bylo problémem pro sjednání IIA</w:t>
      </w:r>
      <w:r w:rsidR="008770E7" w:rsidRPr="008770E7">
        <w:rPr>
          <w:rStyle w:val="Zvraznn"/>
          <w:i w:val="0"/>
        </w:rPr>
        <w:t xml:space="preserve"> mezi EU a třetími zeměmi.</w:t>
      </w:r>
      <w:r w:rsidR="00933221">
        <w:rPr>
          <w:rStyle w:val="Znakapoznpodarou"/>
          <w:iCs/>
        </w:rPr>
        <w:footnoteReference w:id="136"/>
      </w:r>
      <w:r w:rsidR="0003504F">
        <w:rPr>
          <w:rStyle w:val="Zvraznn"/>
          <w:i w:val="0"/>
        </w:rPr>
        <w:t xml:space="preserve"> Záměrem Komise je především postupné vyp</w:t>
      </w:r>
      <w:r w:rsidR="008B19AB">
        <w:rPr>
          <w:rStyle w:val="Zvraznn"/>
          <w:i w:val="0"/>
        </w:rPr>
        <w:t>ovídání intrakomunitárních BIT</w:t>
      </w:r>
      <w:r w:rsidR="00BA3168">
        <w:rPr>
          <w:rStyle w:val="Zvraznn"/>
          <w:i w:val="0"/>
        </w:rPr>
        <w:t xml:space="preserve"> bez náhrady</w:t>
      </w:r>
      <w:r w:rsidR="008B19AB">
        <w:rPr>
          <w:rStyle w:val="Zvraznn"/>
          <w:i w:val="0"/>
        </w:rPr>
        <w:t xml:space="preserve"> a společný postup</w:t>
      </w:r>
      <w:r w:rsidR="002358B9">
        <w:rPr>
          <w:rStyle w:val="Zvraznn"/>
          <w:i w:val="0"/>
        </w:rPr>
        <w:t xml:space="preserve"> Unie</w:t>
      </w:r>
      <w:r w:rsidR="008B19AB">
        <w:rPr>
          <w:rStyle w:val="Zvraznn"/>
          <w:i w:val="0"/>
        </w:rPr>
        <w:t xml:space="preserve"> u extrakomunitárních.</w:t>
      </w:r>
    </w:p>
    <w:p w14:paraId="4FA7982D" w14:textId="3C65D6A1" w:rsidR="0021370E" w:rsidRDefault="00D73AFD" w:rsidP="003F089A">
      <w:pPr>
        <w:pStyle w:val="Odstavecseseznamem"/>
        <w:spacing w:line="360" w:lineRule="auto"/>
        <w:ind w:left="142" w:firstLine="654"/>
        <w:jc w:val="both"/>
        <w:rPr>
          <w:rStyle w:val="Zvraznn"/>
          <w:i w:val="0"/>
        </w:rPr>
      </w:pPr>
      <w:r>
        <w:rPr>
          <w:rStyle w:val="Zvraznn"/>
          <w:i w:val="0"/>
        </w:rPr>
        <w:t xml:space="preserve">Třetí generace BIT pravděpodobně dosáhla na limity ochrany, kterou jsou státy ochotny investorům poskytovat. </w:t>
      </w:r>
      <w:r w:rsidR="00A0281E">
        <w:rPr>
          <w:rStyle w:val="Zvraznn"/>
          <w:i w:val="0"/>
        </w:rPr>
        <w:t xml:space="preserve">Výklad některých standardů je pro vlády znepokojivý, </w:t>
      </w:r>
      <w:r w:rsidR="00B36928">
        <w:rPr>
          <w:rStyle w:val="Zvraznn"/>
          <w:i w:val="0"/>
        </w:rPr>
        <w:t xml:space="preserve">nejvíce samozřejmě pro vlády těch států, v jejichž neprospěch již bylo v minulosti tribunály rozhodnuto. </w:t>
      </w:r>
      <w:r w:rsidR="00B97B35">
        <w:rPr>
          <w:rStyle w:val="Zvraznn"/>
          <w:i w:val="0"/>
        </w:rPr>
        <w:t xml:space="preserve">Tato kapitola </w:t>
      </w:r>
      <w:r w:rsidR="003B7866">
        <w:rPr>
          <w:rStyle w:val="Zvraznn"/>
          <w:i w:val="0"/>
        </w:rPr>
        <w:t xml:space="preserve">se tedy věnuje </w:t>
      </w:r>
      <w:r w:rsidR="007F53E6">
        <w:rPr>
          <w:rStyle w:val="Zvraznn"/>
          <w:i w:val="0"/>
        </w:rPr>
        <w:t>obsahovým změnám, o které se některé státy snaží při vyjednávání nových smluv.</w:t>
      </w:r>
      <w:r w:rsidR="001F7AF1">
        <w:rPr>
          <w:rStyle w:val="Zvraznn"/>
          <w:i w:val="0"/>
        </w:rPr>
        <w:t xml:space="preserve"> </w:t>
      </w:r>
    </w:p>
    <w:p w14:paraId="50615026" w14:textId="1EACD766" w:rsidR="001903E6" w:rsidRDefault="001B21B9" w:rsidP="003F089A">
      <w:pPr>
        <w:pStyle w:val="Odstavecseseznamem"/>
        <w:spacing w:line="360" w:lineRule="auto"/>
        <w:ind w:left="142" w:firstLine="654"/>
        <w:jc w:val="both"/>
        <w:rPr>
          <w:rStyle w:val="Zvraznn"/>
          <w:i w:val="0"/>
        </w:rPr>
      </w:pPr>
      <w:r>
        <w:rPr>
          <w:rStyle w:val="Zvraznn"/>
          <w:i w:val="0"/>
        </w:rPr>
        <w:t>Jak tedy konkrétně vypadají úpravy smluv, které mají zajistit právo státu</w:t>
      </w:r>
      <w:r w:rsidR="00561A7A">
        <w:rPr>
          <w:rStyle w:val="Zvraznn"/>
          <w:i w:val="0"/>
        </w:rPr>
        <w:t xml:space="preserve"> na regulaci podnikání</w:t>
      </w:r>
      <w:r>
        <w:rPr>
          <w:rStyle w:val="Zvraznn"/>
          <w:i w:val="0"/>
        </w:rPr>
        <w:t xml:space="preserve"> bez hrozby prohry v arbitráži a </w:t>
      </w:r>
      <w:r w:rsidR="00561A7A">
        <w:rPr>
          <w:rStyle w:val="Zvraznn"/>
          <w:i w:val="0"/>
        </w:rPr>
        <w:t xml:space="preserve">zároveň zajistit udržitelný rozvoj? </w:t>
      </w:r>
      <w:r w:rsidR="003334ED">
        <w:rPr>
          <w:rStyle w:val="Zvraznn"/>
          <w:i w:val="0"/>
        </w:rPr>
        <w:t xml:space="preserve">Z minulých kapitol lze vyvodit, že </w:t>
      </w:r>
      <w:r w:rsidR="003B2847">
        <w:rPr>
          <w:rStyle w:val="Zvraznn"/>
          <w:i w:val="0"/>
        </w:rPr>
        <w:t>výklad</w:t>
      </w:r>
      <w:r w:rsidR="00E71C40">
        <w:rPr>
          <w:rStyle w:val="Zvraznn"/>
          <w:i w:val="0"/>
        </w:rPr>
        <w:t xml:space="preserve"> standardů ochrany v IIA</w:t>
      </w:r>
      <w:r w:rsidR="003B2847">
        <w:rPr>
          <w:rStyle w:val="Zvraznn"/>
          <w:i w:val="0"/>
        </w:rPr>
        <w:t xml:space="preserve"> často není jednoznačný, a proto</w:t>
      </w:r>
      <w:r w:rsidR="00836A03">
        <w:rPr>
          <w:rStyle w:val="Zvraznn"/>
          <w:i w:val="0"/>
        </w:rPr>
        <w:t xml:space="preserve"> namísto jejich změn</w:t>
      </w:r>
      <w:r w:rsidR="00A35DE3">
        <w:rPr>
          <w:rStyle w:val="Zvraznn"/>
          <w:i w:val="0"/>
        </w:rPr>
        <w:t xml:space="preserve">, které by mohly působit ještě větší obtíže, </w:t>
      </w:r>
      <w:r w:rsidR="00836A03">
        <w:rPr>
          <w:rStyle w:val="Zvraznn"/>
          <w:i w:val="0"/>
        </w:rPr>
        <w:t>dávají</w:t>
      </w:r>
      <w:r w:rsidR="00A35DE3">
        <w:rPr>
          <w:rStyle w:val="Zvraznn"/>
          <w:i w:val="0"/>
        </w:rPr>
        <w:t xml:space="preserve"> vlády při vyjednávání</w:t>
      </w:r>
      <w:r w:rsidR="00836A03">
        <w:rPr>
          <w:rStyle w:val="Zvraznn"/>
          <w:i w:val="0"/>
        </w:rPr>
        <w:t xml:space="preserve"> přednost novým, samostatným klauzulím o státních regulacích.</w:t>
      </w:r>
      <w:r w:rsidR="003A1877">
        <w:rPr>
          <w:rStyle w:val="Zvraznn"/>
          <w:i w:val="0"/>
        </w:rPr>
        <w:t xml:space="preserve"> Spoléhají se na fakt, že </w:t>
      </w:r>
      <w:r w:rsidR="00206E11">
        <w:rPr>
          <w:rStyle w:val="Zvraznn"/>
          <w:i w:val="0"/>
        </w:rPr>
        <w:t xml:space="preserve">hmotněprávní ustanovení smluv jsou pro rozhodování v arbitráži </w:t>
      </w:r>
      <w:r w:rsidR="007E0037">
        <w:rPr>
          <w:rStyle w:val="Zvraznn"/>
          <w:i w:val="0"/>
        </w:rPr>
        <w:t>nadřazeny předchozí judikatuře, snaží se tedy upřesnit výklad některých standardů ochrany ve prospěch státu navzdory některým doktrínám tribunálů.</w:t>
      </w:r>
      <w:r w:rsidR="00785268">
        <w:rPr>
          <w:rStyle w:val="Zvraznn"/>
          <w:i w:val="0"/>
        </w:rPr>
        <w:t xml:space="preserve"> Na těchto modelech v porovnání s BIT uzavřenými mezi těmito zeměmi a rozvojovými státy lze pozorovat, jak se měnil přístup vyspělých zemí </w:t>
      </w:r>
      <w:r w:rsidR="00785268">
        <w:rPr>
          <w:rStyle w:val="Zvraznn"/>
          <w:i w:val="0"/>
        </w:rPr>
        <w:lastRenderedPageBreak/>
        <w:t>s postupem času. Zatímco ještě v devadesátých letech se jako vývozci kapitálu snažily o co nejširší ochranu pomocí vágních definic, aktuální modely jdou směrem přísnějších definic, lze vidět snahu o menší přenechání volného uvážení rozhodcům.</w:t>
      </w:r>
    </w:p>
    <w:p w14:paraId="0B1C6D7E" w14:textId="0450E7AA" w:rsidR="00A44267" w:rsidRPr="001A46FB" w:rsidRDefault="00A44267" w:rsidP="009A6ED9">
      <w:pPr>
        <w:pStyle w:val="Nadpis2"/>
        <w:numPr>
          <w:ilvl w:val="1"/>
          <w:numId w:val="9"/>
        </w:numPr>
        <w:rPr>
          <w:rStyle w:val="Zvraznn"/>
          <w:i w:val="0"/>
        </w:rPr>
      </w:pPr>
      <w:bookmarkStart w:id="29" w:name="_Toc479697290"/>
      <w:r w:rsidRPr="001A46FB">
        <w:rPr>
          <w:rStyle w:val="Zvraznn"/>
          <w:i w:val="0"/>
        </w:rPr>
        <w:t xml:space="preserve">Úpravy </w:t>
      </w:r>
      <w:r w:rsidR="00E544EC" w:rsidRPr="001A46FB">
        <w:rPr>
          <w:rStyle w:val="Zvraznn"/>
          <w:i w:val="0"/>
        </w:rPr>
        <w:t>formulací</w:t>
      </w:r>
      <w:r w:rsidRPr="001A46FB">
        <w:rPr>
          <w:rStyle w:val="Zvraznn"/>
          <w:i w:val="0"/>
        </w:rPr>
        <w:t xml:space="preserve"> BITs a FTAs</w:t>
      </w:r>
      <w:bookmarkEnd w:id="29"/>
    </w:p>
    <w:p w14:paraId="67E99992" w14:textId="79A97806" w:rsidR="003906D9" w:rsidRDefault="003906D9" w:rsidP="003F089A">
      <w:pPr>
        <w:pStyle w:val="Odstavecseseznamem"/>
        <w:spacing w:line="360" w:lineRule="auto"/>
        <w:ind w:left="142" w:firstLine="654"/>
        <w:jc w:val="both"/>
        <w:rPr>
          <w:rStyle w:val="Zvraznn"/>
          <w:i w:val="0"/>
        </w:rPr>
      </w:pPr>
      <w:r>
        <w:rPr>
          <w:rStyle w:val="Zvraznn"/>
          <w:i w:val="0"/>
        </w:rPr>
        <w:t xml:space="preserve">Tři základní typy vyhrazení práva na regulaci lze velmi dobře sledovat na příkladu švýcarských BIT. </w:t>
      </w:r>
      <w:r w:rsidR="00D21FF2">
        <w:rPr>
          <w:rStyle w:val="Zvraznn"/>
          <w:i w:val="0"/>
        </w:rPr>
        <w:t xml:space="preserve">Prvním způsobem je prohlášení v preambuli smlouvy. </w:t>
      </w:r>
      <w:r w:rsidR="00C97574">
        <w:rPr>
          <w:rStyle w:val="Zvraznn"/>
          <w:i w:val="0"/>
        </w:rPr>
        <w:t xml:space="preserve">Jde o obecnou proklamaci, </w:t>
      </w:r>
      <w:r w:rsidR="00B4067B">
        <w:rPr>
          <w:rStyle w:val="Zvraznn"/>
          <w:i w:val="0"/>
        </w:rPr>
        <w:t>kterou smluvní strany deklarují, že „</w:t>
      </w:r>
      <w:r w:rsidR="00B4067B" w:rsidRPr="00BA74C6">
        <w:rPr>
          <w:rStyle w:val="Zvraznn"/>
        </w:rPr>
        <w:t xml:space="preserve">je třeba podporovat a chránit investice s cílem </w:t>
      </w:r>
      <w:r w:rsidR="009E7FE0" w:rsidRPr="00BA74C6">
        <w:rPr>
          <w:rStyle w:val="Zvraznn"/>
        </w:rPr>
        <w:t xml:space="preserve">hospodářského růstu a udržitelného rozvoje obou států. </w:t>
      </w:r>
      <w:r w:rsidR="001F5951" w:rsidRPr="00BA74C6">
        <w:rPr>
          <w:rStyle w:val="Zvraznn"/>
        </w:rPr>
        <w:t>S tím, že tyto cíle lze naplnit bez snížení zdravotnických, bezpečnostních a zaměstnaneckých standardů a standardů v oblasti ochrany životního prostředí</w:t>
      </w:r>
      <w:r w:rsidR="001F5951">
        <w:rPr>
          <w:rStyle w:val="Zvraznn"/>
          <w:i w:val="0"/>
        </w:rPr>
        <w:t>.“</w:t>
      </w:r>
      <w:r w:rsidR="00B312B4">
        <w:rPr>
          <w:rStyle w:val="Znakapoznpodarou"/>
          <w:iCs/>
        </w:rPr>
        <w:footnoteReference w:id="137"/>
      </w:r>
      <w:r w:rsidR="00B312B4">
        <w:rPr>
          <w:rStyle w:val="Zvraznn"/>
          <w:i w:val="0"/>
        </w:rPr>
        <w:t xml:space="preserve"> </w:t>
      </w:r>
      <w:r w:rsidR="009F7004">
        <w:rPr>
          <w:rStyle w:val="Zvraznn"/>
          <w:i w:val="0"/>
        </w:rPr>
        <w:t xml:space="preserve">Dále </w:t>
      </w:r>
      <w:r w:rsidR="00950BB8">
        <w:rPr>
          <w:rStyle w:val="Zvraznn"/>
          <w:i w:val="0"/>
        </w:rPr>
        <w:t>v preambuli státy uznávají svůj závazek vůči demokracii, lidským právům a vyjadřují snahu k pobízení investorů k uznávání společenských závazků, které s podnikáním souvisí.</w:t>
      </w:r>
      <w:r w:rsidR="006F4731">
        <w:rPr>
          <w:rStyle w:val="Zvraznn"/>
          <w:i w:val="0"/>
        </w:rPr>
        <w:t xml:space="preserve"> </w:t>
      </w:r>
      <w:r w:rsidR="009C6DF7">
        <w:rPr>
          <w:rStyle w:val="Zvraznn"/>
          <w:i w:val="0"/>
        </w:rPr>
        <w:t xml:space="preserve">Takové znění úvodních odstavců je typické právě pro BIT uzavřené po přelomu tisíciletí. </w:t>
      </w:r>
      <w:r w:rsidR="006F4731">
        <w:rPr>
          <w:rStyle w:val="Zvraznn"/>
          <w:i w:val="0"/>
        </w:rPr>
        <w:t xml:space="preserve">Praktický dopad takovéto deklarace v arbitráži </w:t>
      </w:r>
      <w:r w:rsidR="00F240C1">
        <w:rPr>
          <w:rStyle w:val="Zvraznn"/>
          <w:i w:val="0"/>
        </w:rPr>
        <w:t xml:space="preserve">je však prozatím nejasný, odkaz na ně </w:t>
      </w:r>
      <w:r w:rsidR="00A25287">
        <w:rPr>
          <w:rStyle w:val="Zvraznn"/>
          <w:i w:val="0"/>
        </w:rPr>
        <w:t>s</w:t>
      </w:r>
      <w:r w:rsidR="00F240C1">
        <w:rPr>
          <w:rStyle w:val="Zvraznn"/>
          <w:i w:val="0"/>
        </w:rPr>
        <w:t xml:space="preserve">e však již občas objevuje v odůvodnění </w:t>
      </w:r>
      <w:r w:rsidR="00175C00">
        <w:rPr>
          <w:rStyle w:val="Zvraznn"/>
          <w:i w:val="0"/>
        </w:rPr>
        <w:t>některých nálezů</w:t>
      </w:r>
      <w:r w:rsidR="00F240C1">
        <w:rPr>
          <w:rStyle w:val="Zvraznn"/>
          <w:i w:val="0"/>
        </w:rPr>
        <w:t>.</w:t>
      </w:r>
      <w:r w:rsidR="00996C35">
        <w:rPr>
          <w:rStyle w:val="Znakapoznpodarou"/>
          <w:iCs/>
        </w:rPr>
        <w:footnoteReference w:id="138"/>
      </w:r>
    </w:p>
    <w:p w14:paraId="0ADE8121" w14:textId="192D1777" w:rsidR="00A45069" w:rsidRPr="00625394" w:rsidRDefault="00D74AFF" w:rsidP="003F089A">
      <w:pPr>
        <w:pStyle w:val="Odstavecseseznamem"/>
        <w:spacing w:line="360" w:lineRule="auto"/>
        <w:ind w:left="142" w:firstLine="654"/>
        <w:jc w:val="both"/>
        <w:rPr>
          <w:rStyle w:val="Zvraznn"/>
          <w:i w:val="0"/>
        </w:rPr>
      </w:pPr>
      <w:r>
        <w:rPr>
          <w:rStyle w:val="Zvraznn"/>
          <w:i w:val="0"/>
        </w:rPr>
        <w:t>Druhou, v současnosti velice často používanou možností, jsou samostatné klauzule o právu na regulaci.</w:t>
      </w:r>
      <w:r w:rsidR="00BA74C6">
        <w:rPr>
          <w:rStyle w:val="Zvraznn"/>
          <w:i w:val="0"/>
        </w:rPr>
        <w:t xml:space="preserve"> Text je vesměs obdobný ve všech BIT, kde je použit</w:t>
      </w:r>
      <w:r w:rsidR="0066084E">
        <w:rPr>
          <w:rStyle w:val="Zvraznn"/>
          <w:i w:val="0"/>
        </w:rPr>
        <w:t>,</w:t>
      </w:r>
      <w:r w:rsidR="00A02DF0">
        <w:rPr>
          <w:rStyle w:val="Zvraznn"/>
          <w:i w:val="0"/>
        </w:rPr>
        <w:t> postupem času je rozšiřován a upřesňován. Jedna z prvních smlu</w:t>
      </w:r>
      <w:r w:rsidR="00FF6235">
        <w:rPr>
          <w:rStyle w:val="Zvraznn"/>
          <w:i w:val="0"/>
        </w:rPr>
        <w:t xml:space="preserve">v, </w:t>
      </w:r>
      <w:r w:rsidR="0066084E">
        <w:rPr>
          <w:rStyle w:val="Zvraznn"/>
          <w:i w:val="0"/>
        </w:rPr>
        <w:t>ve kterých byla použita</w:t>
      </w:r>
      <w:r w:rsidR="00FF6235">
        <w:rPr>
          <w:rStyle w:val="Zvraznn"/>
          <w:i w:val="0"/>
        </w:rPr>
        <w:t>, byla v roce 1998 mezi Švýcarskem a Mauriciem</w:t>
      </w:r>
      <w:r w:rsidR="00BA74C6">
        <w:rPr>
          <w:rStyle w:val="Zvraznn"/>
          <w:i w:val="0"/>
        </w:rPr>
        <w:t>: „</w:t>
      </w:r>
      <w:r w:rsidR="00FF6235">
        <w:rPr>
          <w:rStyle w:val="Zvraznn"/>
        </w:rPr>
        <w:t>Ž</w:t>
      </w:r>
      <w:r w:rsidR="00077878">
        <w:rPr>
          <w:rStyle w:val="Zvraznn"/>
        </w:rPr>
        <w:t xml:space="preserve">ádné ustanovení této smlouvy </w:t>
      </w:r>
      <w:r w:rsidR="0067043A">
        <w:rPr>
          <w:rStyle w:val="Zvraznn"/>
        </w:rPr>
        <w:t>nemá být vyloženo k omezení práva smluvní strany k podniknutí kroků nezbytných pro ochranu jejích základních bezpečnostních zájmů nebo pro ochranu veřejného zdraví jejích obyvatel, zvířat a rostlin.“</w:t>
      </w:r>
      <w:r w:rsidR="00C543A1">
        <w:rPr>
          <w:rStyle w:val="Znakapoznpodarou"/>
          <w:i/>
          <w:iCs/>
        </w:rPr>
        <w:footnoteReference w:id="139"/>
      </w:r>
      <w:r w:rsidR="0067043A">
        <w:rPr>
          <w:rStyle w:val="Zvraznn"/>
          <w:i w:val="0"/>
        </w:rPr>
        <w:t xml:space="preserve"> </w:t>
      </w:r>
      <w:r w:rsidR="00A02DF0">
        <w:rPr>
          <w:rStyle w:val="Zvraznn"/>
          <w:i w:val="0"/>
        </w:rPr>
        <w:t>V nejnovějších smlouvách je pak</w:t>
      </w:r>
      <w:r w:rsidR="00E01AB1">
        <w:rPr>
          <w:rStyle w:val="Zvraznn"/>
          <w:i w:val="0"/>
        </w:rPr>
        <w:t xml:space="preserve"> text</w:t>
      </w:r>
      <w:r w:rsidR="00A02DF0">
        <w:rPr>
          <w:rStyle w:val="Zvraznn"/>
          <w:i w:val="0"/>
        </w:rPr>
        <w:t xml:space="preserve"> lehce modifikovaný, aktuálně</w:t>
      </w:r>
      <w:r w:rsidR="00C22AE5">
        <w:rPr>
          <w:rStyle w:val="Zvraznn"/>
          <w:i w:val="0"/>
        </w:rPr>
        <w:t xml:space="preserve"> často</w:t>
      </w:r>
      <w:r w:rsidR="00CA094B">
        <w:rPr>
          <w:rStyle w:val="Zvraznn"/>
          <w:i w:val="0"/>
        </w:rPr>
        <w:t xml:space="preserve"> používaná formulace </w:t>
      </w:r>
      <w:r w:rsidR="00154419">
        <w:rPr>
          <w:rStyle w:val="Zvraznn"/>
          <w:i w:val="0"/>
        </w:rPr>
        <w:t xml:space="preserve">zmiňuje i nezbytnost přijímání opatření </w:t>
      </w:r>
      <w:r w:rsidR="00870111">
        <w:rPr>
          <w:rStyle w:val="Zvraznn"/>
          <w:i w:val="0"/>
        </w:rPr>
        <w:t xml:space="preserve">na ochranu </w:t>
      </w:r>
      <w:r w:rsidR="00D72D63">
        <w:rPr>
          <w:rStyle w:val="Zvraznn"/>
          <w:i w:val="0"/>
        </w:rPr>
        <w:t xml:space="preserve">veřejného pořádku, </w:t>
      </w:r>
      <w:r w:rsidR="00F83D65">
        <w:rPr>
          <w:rStyle w:val="Zvraznn"/>
          <w:i w:val="0"/>
        </w:rPr>
        <w:t xml:space="preserve">životního prostředí, spotřebitele a </w:t>
      </w:r>
      <w:r w:rsidR="003E4A3C">
        <w:rPr>
          <w:rStyle w:val="Zvraznn"/>
          <w:i w:val="0"/>
        </w:rPr>
        <w:t>veřejného blaha.</w:t>
      </w:r>
      <w:r w:rsidR="004823D3">
        <w:rPr>
          <w:rStyle w:val="Znakapoznpodarou"/>
          <w:iCs/>
        </w:rPr>
        <w:footnoteReference w:id="140"/>
      </w:r>
      <w:r w:rsidR="003E4A3C">
        <w:rPr>
          <w:rStyle w:val="Zvraznn"/>
          <w:i w:val="0"/>
        </w:rPr>
        <w:t xml:space="preserve"> </w:t>
      </w:r>
      <w:r w:rsidR="007B73FA">
        <w:rPr>
          <w:rStyle w:val="Zvraznn"/>
          <w:i w:val="0"/>
        </w:rPr>
        <w:t xml:space="preserve">Stejnou klauzuli </w:t>
      </w:r>
      <w:r w:rsidR="0051632C">
        <w:rPr>
          <w:rStyle w:val="Zvraznn"/>
          <w:i w:val="0"/>
        </w:rPr>
        <w:t xml:space="preserve">pod názvem </w:t>
      </w:r>
      <w:r w:rsidR="0051632C" w:rsidRPr="0051632C">
        <w:rPr>
          <w:rStyle w:val="Zvraznn"/>
        </w:rPr>
        <w:t xml:space="preserve">Investment and </w:t>
      </w:r>
      <w:r w:rsidR="0051632C" w:rsidRPr="0051632C">
        <w:rPr>
          <w:rStyle w:val="Zvraznn"/>
        </w:rPr>
        <w:lastRenderedPageBreak/>
        <w:t>regulatory measures</w:t>
      </w:r>
      <w:r w:rsidR="0051632C" w:rsidRPr="0051632C">
        <w:rPr>
          <w:rStyle w:val="Zvraznn"/>
          <w:i w:val="0"/>
        </w:rPr>
        <w:t xml:space="preserve"> </w:t>
      </w:r>
      <w:r w:rsidR="007B73FA">
        <w:rPr>
          <w:rStyle w:val="Zvraznn"/>
          <w:i w:val="0"/>
        </w:rPr>
        <w:t>do své modelové BIT</w:t>
      </w:r>
      <w:r w:rsidR="000E4F87">
        <w:rPr>
          <w:rStyle w:val="Zvraznn"/>
          <w:i w:val="0"/>
        </w:rPr>
        <w:t>, zveřejněné v prosinci 2016,</w:t>
      </w:r>
      <w:r w:rsidR="007B73FA">
        <w:rPr>
          <w:rStyle w:val="Zvraznn"/>
          <w:i w:val="0"/>
        </w:rPr>
        <w:t xml:space="preserve"> </w:t>
      </w:r>
      <w:r w:rsidR="00535860">
        <w:rPr>
          <w:rStyle w:val="Zvraznn"/>
          <w:i w:val="0"/>
        </w:rPr>
        <w:t>vložila i česká vláda a</w:t>
      </w:r>
      <w:r w:rsidR="000E1762">
        <w:rPr>
          <w:rStyle w:val="Zvraznn"/>
          <w:i w:val="0"/>
        </w:rPr>
        <w:t xml:space="preserve"> trendy v uzavírání smluv ukazují, že patrně nebude mít problém s ní</w:t>
      </w:r>
      <w:r w:rsidR="00535860">
        <w:rPr>
          <w:rStyle w:val="Zvraznn"/>
          <w:i w:val="0"/>
        </w:rPr>
        <w:t xml:space="preserve"> uspět při vyjednávání změn smluv. </w:t>
      </w:r>
      <w:r w:rsidR="0051632C">
        <w:rPr>
          <w:rStyle w:val="Zvraznn"/>
          <w:i w:val="0"/>
        </w:rPr>
        <w:t>Č</w:t>
      </w:r>
      <w:r w:rsidR="0081177D">
        <w:rPr>
          <w:rStyle w:val="Zvraznn"/>
          <w:i w:val="0"/>
        </w:rPr>
        <w:t>eská verze navíc obsahuje</w:t>
      </w:r>
      <w:r w:rsidR="00535860">
        <w:rPr>
          <w:rStyle w:val="Zvraznn"/>
          <w:i w:val="0"/>
        </w:rPr>
        <w:t xml:space="preserve"> </w:t>
      </w:r>
      <w:r w:rsidR="00A83701">
        <w:rPr>
          <w:rStyle w:val="Zvraznn"/>
          <w:i w:val="0"/>
        </w:rPr>
        <w:t xml:space="preserve">ještě v druhém odstavci ujištění, že </w:t>
      </w:r>
      <w:r w:rsidR="00A83701" w:rsidRPr="001C37B5">
        <w:rPr>
          <w:rStyle w:val="Zvraznn"/>
        </w:rPr>
        <w:t xml:space="preserve">„žádné ustanovení v této dohodě </w:t>
      </w:r>
      <w:r w:rsidR="004A5669" w:rsidRPr="001C37B5">
        <w:rPr>
          <w:rStyle w:val="Zvraznn"/>
        </w:rPr>
        <w:t xml:space="preserve">by nemělo být vyloženo jako závazek státu neměnit </w:t>
      </w:r>
      <w:r w:rsidR="00FC34A2" w:rsidRPr="001C37B5">
        <w:rPr>
          <w:rStyle w:val="Zvraznn"/>
        </w:rPr>
        <w:t xml:space="preserve">právní řád, </w:t>
      </w:r>
      <w:r w:rsidR="001C37B5" w:rsidRPr="001C37B5">
        <w:rPr>
          <w:rStyle w:val="Zvraznn"/>
        </w:rPr>
        <w:t>včetně změn, které mohou negativně ovlivnit nakládání s investicí a investorovy očekávané výnosy.“</w:t>
      </w:r>
      <w:r w:rsidR="00B83EEE">
        <w:rPr>
          <w:rStyle w:val="Znakapoznpodarou"/>
          <w:i/>
          <w:iCs/>
        </w:rPr>
        <w:footnoteReference w:id="141"/>
      </w:r>
      <w:r w:rsidR="006831FA">
        <w:rPr>
          <w:rStyle w:val="Zvraznn"/>
        </w:rPr>
        <w:t xml:space="preserve"> </w:t>
      </w:r>
      <w:r w:rsidR="00920600">
        <w:rPr>
          <w:rStyle w:val="Zvraznn"/>
          <w:i w:val="0"/>
        </w:rPr>
        <w:t>Zajímavou volbou může být i článek o zřízení společné komise pro revizi smluv do tří let od j</w:t>
      </w:r>
      <w:r w:rsidR="00A90776">
        <w:rPr>
          <w:rStyle w:val="Zvraznn"/>
          <w:i w:val="0"/>
        </w:rPr>
        <w:t>ejich účinnosti na základě</w:t>
      </w:r>
      <w:r w:rsidR="00920600">
        <w:rPr>
          <w:rStyle w:val="Zvraznn"/>
          <w:i w:val="0"/>
        </w:rPr>
        <w:t xml:space="preserve"> naplňování cílů udržitelného rozvoje</w:t>
      </w:r>
      <w:r w:rsidR="00FD27D2">
        <w:rPr>
          <w:rStyle w:val="Zvraznn"/>
          <w:i w:val="0"/>
        </w:rPr>
        <w:t>, jak ukazuje příklad FTA mezi zeměmi EFTA a Ukrajinou</w:t>
      </w:r>
      <w:r w:rsidR="00920600">
        <w:rPr>
          <w:rStyle w:val="Zvraznn"/>
          <w:i w:val="0"/>
        </w:rPr>
        <w:t>.</w:t>
      </w:r>
      <w:r w:rsidR="005F6407">
        <w:rPr>
          <w:rStyle w:val="Znakapoznpodarou"/>
          <w:iCs/>
        </w:rPr>
        <w:footnoteReference w:id="142"/>
      </w:r>
      <w:r w:rsidR="00920600">
        <w:rPr>
          <w:rStyle w:val="Zvraznn"/>
          <w:i w:val="0"/>
        </w:rPr>
        <w:t xml:space="preserve"> </w:t>
      </w:r>
      <w:r w:rsidR="00625394">
        <w:rPr>
          <w:rStyle w:val="Zvraznn"/>
          <w:i w:val="0"/>
        </w:rPr>
        <w:t xml:space="preserve">Ke vkládání </w:t>
      </w:r>
      <w:r w:rsidR="00920600">
        <w:rPr>
          <w:rStyle w:val="Zvraznn"/>
          <w:i w:val="0"/>
        </w:rPr>
        <w:t>klauzulí o regulaci</w:t>
      </w:r>
      <w:r w:rsidR="00625394">
        <w:rPr>
          <w:rStyle w:val="Zvraznn"/>
          <w:i w:val="0"/>
        </w:rPr>
        <w:t xml:space="preserve"> vyzývá i EP, </w:t>
      </w:r>
      <w:r w:rsidR="0084579D">
        <w:rPr>
          <w:rStyle w:val="Zvraznn"/>
          <w:i w:val="0"/>
        </w:rPr>
        <w:t xml:space="preserve">když doporučuje, aby IIA obsahovaly </w:t>
      </w:r>
      <w:r w:rsidR="008A1073">
        <w:rPr>
          <w:rStyle w:val="Zvraznn"/>
          <w:i w:val="0"/>
        </w:rPr>
        <w:t xml:space="preserve">kromě ochrany investora i jeho povinnosti, </w:t>
      </w:r>
      <w:r w:rsidR="00740673">
        <w:rPr>
          <w:rStyle w:val="Zvraznn"/>
          <w:i w:val="0"/>
        </w:rPr>
        <w:t xml:space="preserve">včetně </w:t>
      </w:r>
      <w:r w:rsidR="00AE635B">
        <w:rPr>
          <w:rStyle w:val="Zvraznn"/>
          <w:i w:val="0"/>
        </w:rPr>
        <w:t>povinnosti respektovat právo na fungování odborů a dalších práv zaměstnanců,</w:t>
      </w:r>
      <w:r w:rsidR="00536A07">
        <w:rPr>
          <w:rStyle w:val="Zvraznn"/>
          <w:i w:val="0"/>
        </w:rPr>
        <w:t xml:space="preserve"> nebo</w:t>
      </w:r>
      <w:r w:rsidR="00AE635B">
        <w:rPr>
          <w:rStyle w:val="Zvraznn"/>
          <w:i w:val="0"/>
        </w:rPr>
        <w:t xml:space="preserve"> </w:t>
      </w:r>
      <w:r w:rsidR="0031596E">
        <w:rPr>
          <w:rStyle w:val="Zvraznn"/>
          <w:i w:val="0"/>
        </w:rPr>
        <w:t>ochrany životního prostředí</w:t>
      </w:r>
      <w:r w:rsidR="00536A07">
        <w:rPr>
          <w:rStyle w:val="Zvraznn"/>
          <w:i w:val="0"/>
        </w:rPr>
        <w:t>.</w:t>
      </w:r>
      <w:r w:rsidR="00A447B5">
        <w:rPr>
          <w:rStyle w:val="Zvraznn"/>
          <w:i w:val="0"/>
        </w:rPr>
        <w:t xml:space="preserve"> Opět s dodatkem, že žádné ustanovení smluv nesmí být vykládáno </w:t>
      </w:r>
      <w:r w:rsidR="0079577E">
        <w:rPr>
          <w:rStyle w:val="Zvraznn"/>
          <w:i w:val="0"/>
        </w:rPr>
        <w:t>jako slib státu omezit své pravomoci v omezení investice při sledování legitimních a opodstatněných cílů ve veřejném zájmu.</w:t>
      </w:r>
      <w:r w:rsidR="00536A07">
        <w:rPr>
          <w:rStyle w:val="Znakapoznpodarou"/>
          <w:iCs/>
        </w:rPr>
        <w:footnoteReference w:id="143"/>
      </w:r>
      <w:r w:rsidR="0031596E">
        <w:rPr>
          <w:rStyle w:val="Zvraznn"/>
          <w:i w:val="0"/>
        </w:rPr>
        <w:t xml:space="preserve"> </w:t>
      </w:r>
      <w:r w:rsidR="000E1762">
        <w:rPr>
          <w:rStyle w:val="Zvraznn"/>
          <w:i w:val="0"/>
        </w:rPr>
        <w:t xml:space="preserve">Modelová BIT USA </w:t>
      </w:r>
      <w:r w:rsidR="00A6589F">
        <w:rPr>
          <w:rStyle w:val="Zvraznn"/>
          <w:i w:val="0"/>
        </w:rPr>
        <w:t xml:space="preserve">jde navíc příkladem s vložením několika </w:t>
      </w:r>
      <w:r w:rsidR="00395C8E">
        <w:rPr>
          <w:rStyle w:val="Zvraznn"/>
          <w:i w:val="0"/>
        </w:rPr>
        <w:t>konkrétních hmotněprávních povinností.</w:t>
      </w:r>
      <w:r w:rsidR="00FD690F">
        <w:rPr>
          <w:rStyle w:val="Znakapoznpodarou"/>
          <w:iCs/>
        </w:rPr>
        <w:footnoteReference w:id="144"/>
      </w:r>
      <w:r w:rsidR="00395C8E">
        <w:rPr>
          <w:rStyle w:val="Zvraznn"/>
          <w:i w:val="0"/>
        </w:rPr>
        <w:t xml:space="preserve"> Pro pracovní právo jsou například stanovena základní pravidla jako právo na minimální mzdu, svobodné sdružování v odborech a kolektivní vyjednávání nebo zákaz dětské práce.</w:t>
      </w:r>
      <w:r w:rsidR="007B1FE4">
        <w:rPr>
          <w:rStyle w:val="Znakapoznpodarou"/>
          <w:iCs/>
        </w:rPr>
        <w:footnoteReference w:id="145"/>
      </w:r>
    </w:p>
    <w:p w14:paraId="44DAEC2B" w14:textId="5737B6A4" w:rsidR="00FA3FF4" w:rsidRDefault="00FA3FF4" w:rsidP="003F089A">
      <w:pPr>
        <w:pStyle w:val="Odstavecseseznamem"/>
        <w:spacing w:line="360" w:lineRule="auto"/>
        <w:ind w:left="142" w:firstLine="654"/>
        <w:jc w:val="both"/>
        <w:rPr>
          <w:rStyle w:val="Zvraznn"/>
          <w:i w:val="0"/>
        </w:rPr>
      </w:pPr>
      <w:r>
        <w:rPr>
          <w:rStyle w:val="Zvraznn"/>
          <w:i w:val="0"/>
        </w:rPr>
        <w:t xml:space="preserve">Třetí způsob bere v potaz konkurenci mezi státy při snaze stát se atraktivním cílem pro investory. </w:t>
      </w:r>
      <w:r w:rsidR="005F70C2">
        <w:rPr>
          <w:rStyle w:val="Zvraznn"/>
          <w:i w:val="0"/>
        </w:rPr>
        <w:t xml:space="preserve">Jak vyplývá z úvodu této práce a předchozích kapitol, </w:t>
      </w:r>
      <w:r w:rsidR="00E05F7B">
        <w:rPr>
          <w:rStyle w:val="Zvraznn"/>
          <w:i w:val="0"/>
        </w:rPr>
        <w:t xml:space="preserve">nejedná se o nejzásadnější problém současné ochrany investic, avšak </w:t>
      </w:r>
      <w:r w:rsidR="00D0409B">
        <w:rPr>
          <w:rStyle w:val="Zvraznn"/>
          <w:i w:val="0"/>
        </w:rPr>
        <w:t>může však mí</w:t>
      </w:r>
      <w:r w:rsidR="003B5EE9">
        <w:rPr>
          <w:rStyle w:val="Zvraznn"/>
          <w:i w:val="0"/>
        </w:rPr>
        <w:t xml:space="preserve">t své regionální opodstatnění v rozvojových zemích. </w:t>
      </w:r>
      <w:r w:rsidR="00FD5C3D">
        <w:rPr>
          <w:rStyle w:val="Zvraznn"/>
          <w:i w:val="0"/>
        </w:rPr>
        <w:t>N</w:t>
      </w:r>
      <w:r w:rsidR="00707ACF">
        <w:rPr>
          <w:rStyle w:val="Zvraznn"/>
          <w:i w:val="0"/>
        </w:rPr>
        <w:t xml:space="preserve">apříklad v dodatkovém protokolu </w:t>
      </w:r>
      <w:r w:rsidR="00FD5C3D">
        <w:rPr>
          <w:rStyle w:val="Zvraznn"/>
          <w:i w:val="0"/>
        </w:rPr>
        <w:t xml:space="preserve">k BIT mezi Švýcarskem a Mexikem je stanoveno, </w:t>
      </w:r>
      <w:r w:rsidR="00F560F6">
        <w:rPr>
          <w:rStyle w:val="Zvraznn"/>
          <w:i w:val="0"/>
        </w:rPr>
        <w:t xml:space="preserve">že je nepřípustné, aby stát pobízel k investicím snižováním vnitrostátních </w:t>
      </w:r>
      <w:r w:rsidR="00F560F6">
        <w:rPr>
          <w:rStyle w:val="Zvraznn"/>
          <w:i w:val="0"/>
        </w:rPr>
        <w:lastRenderedPageBreak/>
        <w:t>standardů v ochraně životního prostředí</w:t>
      </w:r>
      <w:r w:rsidR="00256F58">
        <w:rPr>
          <w:rStyle w:val="Zvraznn"/>
          <w:i w:val="0"/>
        </w:rPr>
        <w:t>, veřejného zdraví, nebo bezpečnosti</w:t>
      </w:r>
      <w:r w:rsidR="00F560F6">
        <w:rPr>
          <w:rStyle w:val="Zvraznn"/>
          <w:i w:val="0"/>
        </w:rPr>
        <w:t>.</w:t>
      </w:r>
      <w:r w:rsidR="003B39C7">
        <w:rPr>
          <w:rStyle w:val="Znakapoznpodarou"/>
          <w:iCs/>
        </w:rPr>
        <w:footnoteReference w:id="146"/>
      </w:r>
      <w:r w:rsidR="00F560F6">
        <w:rPr>
          <w:rStyle w:val="Zvraznn"/>
          <w:i w:val="0"/>
        </w:rPr>
        <w:t xml:space="preserve"> </w:t>
      </w:r>
      <w:r w:rsidR="001B011C">
        <w:rPr>
          <w:rStyle w:val="Zvraznn"/>
          <w:i w:val="0"/>
        </w:rPr>
        <w:t>V případě, že by stát takové opatření zvažoval, stanoví smlouva povinnost konzultací takového kroku pomocí instrumentů OECD.</w:t>
      </w:r>
    </w:p>
    <w:p w14:paraId="42A5B68E" w14:textId="2452C632" w:rsidR="00740375" w:rsidRDefault="008E7C10" w:rsidP="000774A4">
      <w:pPr>
        <w:pStyle w:val="Odstavecseseznamem"/>
        <w:spacing w:line="360" w:lineRule="auto"/>
        <w:ind w:left="142" w:firstLine="654"/>
        <w:jc w:val="both"/>
        <w:rPr>
          <w:rStyle w:val="Zvraznn"/>
          <w:i w:val="0"/>
        </w:rPr>
      </w:pPr>
      <w:r>
        <w:rPr>
          <w:rStyle w:val="Zvraznn"/>
          <w:i w:val="0"/>
        </w:rPr>
        <w:t>Doplnit lze ještě</w:t>
      </w:r>
      <w:r w:rsidR="00EA1DB1">
        <w:rPr>
          <w:rStyle w:val="Zvraznn"/>
          <w:i w:val="0"/>
        </w:rPr>
        <w:t>, že zvláštní pozornost</w:t>
      </w:r>
      <w:r w:rsidR="00C7756D">
        <w:rPr>
          <w:rStyle w:val="Zvraznn"/>
          <w:i w:val="0"/>
        </w:rPr>
        <w:t xml:space="preserve"> </w:t>
      </w:r>
      <w:r w:rsidR="000774A4">
        <w:rPr>
          <w:rStyle w:val="Zvraznn"/>
          <w:i w:val="0"/>
        </w:rPr>
        <w:t>je směřována například v</w:t>
      </w:r>
      <w:r w:rsidR="00C7756D">
        <w:rPr>
          <w:rStyle w:val="Zvraznn"/>
          <w:i w:val="0"/>
        </w:rPr>
        <w:t xml:space="preserve"> </w:t>
      </w:r>
      <w:r w:rsidR="000774A4">
        <w:rPr>
          <w:rStyle w:val="Zvraznn"/>
          <w:i w:val="0"/>
        </w:rPr>
        <w:t>americké modelové</w:t>
      </w:r>
      <w:r w:rsidR="00EA1DB1">
        <w:rPr>
          <w:rStyle w:val="Zvraznn"/>
          <w:i w:val="0"/>
        </w:rPr>
        <w:t xml:space="preserve"> BIT </w:t>
      </w:r>
      <w:r w:rsidR="00C7756D">
        <w:rPr>
          <w:rStyle w:val="Zvraznn"/>
          <w:i w:val="0"/>
        </w:rPr>
        <w:t xml:space="preserve">k ochraně životního prostředí a pracovnímu právu. Kromě </w:t>
      </w:r>
      <w:r w:rsidR="000774A4">
        <w:rPr>
          <w:rStyle w:val="Zvraznn"/>
          <w:i w:val="0"/>
        </w:rPr>
        <w:t xml:space="preserve">výše zmíněného </w:t>
      </w:r>
      <w:r w:rsidR="00C7756D">
        <w:rPr>
          <w:rStyle w:val="Zvraznn"/>
          <w:i w:val="0"/>
        </w:rPr>
        <w:t xml:space="preserve">zákazu chování </w:t>
      </w:r>
      <w:r w:rsidR="00C7756D">
        <w:rPr>
          <w:rStyle w:val="Zvraznn"/>
        </w:rPr>
        <w:t>race to the bottom</w:t>
      </w:r>
      <w:r w:rsidR="000774A4">
        <w:rPr>
          <w:rStyle w:val="Zvraznn"/>
          <w:i w:val="0"/>
        </w:rPr>
        <w:t xml:space="preserve"> má každá smluvní strana</w:t>
      </w:r>
      <w:r w:rsidR="00C7756D">
        <w:rPr>
          <w:rStyle w:val="Zvraznn"/>
          <w:i w:val="0"/>
        </w:rPr>
        <w:t xml:space="preserve"> navíc právo podání písemného požadavku na konzultaci k těmto tématům pro nalezení společného řešení, kt</w:t>
      </w:r>
      <w:r w:rsidR="000774A4">
        <w:rPr>
          <w:rStyle w:val="Zvraznn"/>
          <w:i w:val="0"/>
        </w:rPr>
        <w:t>eré by mohlo zabránit arbitráži</w:t>
      </w:r>
      <w:r w:rsidR="00C7756D">
        <w:rPr>
          <w:rStyle w:val="Zvraznn"/>
          <w:i w:val="0"/>
        </w:rPr>
        <w:t>.</w:t>
      </w:r>
      <w:r w:rsidR="00C7756D">
        <w:rPr>
          <w:rStyle w:val="Znakapoznpodarou"/>
          <w:iCs/>
        </w:rPr>
        <w:footnoteReference w:id="147"/>
      </w:r>
      <w:r w:rsidR="000774A4">
        <w:rPr>
          <w:rStyle w:val="Zvraznn"/>
          <w:i w:val="0"/>
        </w:rPr>
        <w:t xml:space="preserve"> V nově vydané indické modelové BIT </w:t>
      </w:r>
      <w:r w:rsidR="0079145C">
        <w:rPr>
          <w:rStyle w:val="Zvraznn"/>
          <w:i w:val="0"/>
        </w:rPr>
        <w:t xml:space="preserve">se lze setkat s povinností hostitelského státu </w:t>
      </w:r>
      <w:r w:rsidR="00A1175F">
        <w:rPr>
          <w:rStyle w:val="Zvraznn"/>
          <w:i w:val="0"/>
        </w:rPr>
        <w:t>zveřejnit informace</w:t>
      </w:r>
      <w:r w:rsidR="0079145C">
        <w:rPr>
          <w:rStyle w:val="Zvraznn"/>
          <w:i w:val="0"/>
        </w:rPr>
        <w:t xml:space="preserve"> o</w:t>
      </w:r>
      <w:r w:rsidR="00170658">
        <w:rPr>
          <w:rStyle w:val="Zvraznn"/>
          <w:i w:val="0"/>
        </w:rPr>
        <w:t xml:space="preserve"> navrhovaných</w:t>
      </w:r>
      <w:r w:rsidR="0079145C">
        <w:rPr>
          <w:rStyle w:val="Zvraznn"/>
          <w:i w:val="0"/>
        </w:rPr>
        <w:t xml:space="preserve"> regulačních opatřeních, </w:t>
      </w:r>
      <w:r w:rsidR="00425993">
        <w:rPr>
          <w:rStyle w:val="Zvraznn"/>
          <w:i w:val="0"/>
        </w:rPr>
        <w:t>která se týkají jeho investorů</w:t>
      </w:r>
      <w:r w:rsidR="00A1175F">
        <w:rPr>
          <w:rStyle w:val="Zvraznn"/>
          <w:i w:val="0"/>
        </w:rPr>
        <w:t xml:space="preserve"> a umožnit jim se k návrhům vyjadřovat</w:t>
      </w:r>
      <w:r w:rsidR="00425993">
        <w:rPr>
          <w:rStyle w:val="Zvraznn"/>
          <w:i w:val="0"/>
        </w:rPr>
        <w:t>.</w:t>
      </w:r>
      <w:r w:rsidR="00703181">
        <w:rPr>
          <w:rStyle w:val="Znakapoznpodarou"/>
          <w:iCs/>
        </w:rPr>
        <w:footnoteReference w:id="148"/>
      </w:r>
      <w:r w:rsidR="002C1BE6">
        <w:rPr>
          <w:rStyle w:val="Zvraznn"/>
          <w:i w:val="0"/>
        </w:rPr>
        <w:t xml:space="preserve"> </w:t>
      </w:r>
      <w:r w:rsidR="00DB58EC">
        <w:rPr>
          <w:rStyle w:val="Zvraznn"/>
          <w:i w:val="0"/>
        </w:rPr>
        <w:t>Přidává</w:t>
      </w:r>
      <w:r w:rsidR="00D50FD6">
        <w:rPr>
          <w:rStyle w:val="Zvraznn"/>
          <w:i w:val="0"/>
        </w:rPr>
        <w:t xml:space="preserve"> zvláště zmíněnou povinnost investorů dodržovat zákony hostitelského státu, především v oblasti životního prostředí a lidských práv. Taková povinnost bude nejspíše použitelná jako podpora v argumentaci státu v arbitráži.</w:t>
      </w:r>
    </w:p>
    <w:p w14:paraId="7BDA962A" w14:textId="219E370F" w:rsidR="00740375" w:rsidRPr="0008457E" w:rsidRDefault="002C1BE6" w:rsidP="0008457E">
      <w:pPr>
        <w:pStyle w:val="Odstavecseseznamem"/>
        <w:spacing w:line="360" w:lineRule="auto"/>
        <w:ind w:left="142" w:firstLine="654"/>
        <w:jc w:val="both"/>
        <w:rPr>
          <w:rStyle w:val="Zvraznn"/>
          <w:i w:val="0"/>
        </w:rPr>
      </w:pPr>
      <w:r>
        <w:rPr>
          <w:rStyle w:val="Zvraznn"/>
          <w:i w:val="0"/>
        </w:rPr>
        <w:t>Smlouva navíc počítá s možností dlouho diskutovaného, ale prozatím nikdy nedotaženého procesní instrumentu, a to odvolání.</w:t>
      </w:r>
      <w:r w:rsidR="00507E9B">
        <w:rPr>
          <w:rStyle w:val="Zvraznn"/>
          <w:i w:val="0"/>
        </w:rPr>
        <w:t xml:space="preserve"> </w:t>
      </w:r>
      <w:r w:rsidR="000B0AE3">
        <w:rPr>
          <w:rStyle w:val="Zvraznn"/>
          <w:i w:val="0"/>
        </w:rPr>
        <w:t xml:space="preserve">Samostatný článek </w:t>
      </w:r>
      <w:r w:rsidR="00963A23">
        <w:rPr>
          <w:rStyle w:val="Zvraznn"/>
          <w:i w:val="0"/>
        </w:rPr>
        <w:t>odvolání zatím nestanovuje</w:t>
      </w:r>
      <w:r w:rsidR="000B0AE3">
        <w:rPr>
          <w:rStyle w:val="Zvraznn"/>
          <w:i w:val="0"/>
        </w:rPr>
        <w:t>, pouze připouští další jednání stran</w:t>
      </w:r>
      <w:r w:rsidR="00FD46D4">
        <w:rPr>
          <w:rStyle w:val="Zvraznn"/>
          <w:i w:val="0"/>
        </w:rPr>
        <w:t xml:space="preserve"> o</w:t>
      </w:r>
      <w:r w:rsidR="000B0AE3">
        <w:rPr>
          <w:rStyle w:val="Zvraznn"/>
          <w:i w:val="0"/>
        </w:rPr>
        <w:t xml:space="preserve"> ustavení instituce, která by je v budoucnu </w:t>
      </w:r>
      <w:r w:rsidR="00FD46D4">
        <w:rPr>
          <w:rStyle w:val="Zvraznn"/>
          <w:i w:val="0"/>
        </w:rPr>
        <w:t xml:space="preserve">řešila. </w:t>
      </w:r>
      <w:r w:rsidR="00212697">
        <w:rPr>
          <w:rStyle w:val="Zvraznn"/>
          <w:i w:val="0"/>
        </w:rPr>
        <w:t>Konkrétní řešení zatím není dáno, je však pravděpodobné, že Indie</w:t>
      </w:r>
      <w:r w:rsidR="00732724">
        <w:rPr>
          <w:rStyle w:val="Zvraznn"/>
          <w:i w:val="0"/>
        </w:rPr>
        <w:t xml:space="preserve"> se</w:t>
      </w:r>
      <w:r w:rsidR="00212697">
        <w:rPr>
          <w:rStyle w:val="Zvraznn"/>
          <w:i w:val="0"/>
        </w:rPr>
        <w:t xml:space="preserve"> bude </w:t>
      </w:r>
      <w:r w:rsidR="00732724">
        <w:rPr>
          <w:rStyle w:val="Zvraznn"/>
          <w:i w:val="0"/>
        </w:rPr>
        <w:t>o vznik odvolací instance zasazovat.</w:t>
      </w:r>
      <w:r w:rsidR="002047B1">
        <w:rPr>
          <w:rStyle w:val="Zvraznn"/>
          <w:i w:val="0"/>
        </w:rPr>
        <w:t xml:space="preserve"> Protože jde pouze o modelovou dohodu, </w:t>
      </w:r>
      <w:r w:rsidR="00415A9B">
        <w:rPr>
          <w:rStyle w:val="Zvraznn"/>
          <w:i w:val="0"/>
        </w:rPr>
        <w:t>s vlastním návrhem řešení může přijít i druhý smluvní stát.</w:t>
      </w:r>
      <w:r w:rsidR="0008457E">
        <w:rPr>
          <w:rStyle w:val="Zvraznn"/>
          <w:i w:val="0"/>
        </w:rPr>
        <w:t xml:space="preserve"> </w:t>
      </w:r>
    </w:p>
    <w:p w14:paraId="589E568D" w14:textId="5BD910C7" w:rsidR="005C4E0F" w:rsidRDefault="005C4E0F" w:rsidP="005C4E0F">
      <w:pPr>
        <w:pStyle w:val="Nadpis2"/>
        <w:rPr>
          <w:rStyle w:val="Zvraznn"/>
          <w:i w:val="0"/>
        </w:rPr>
      </w:pPr>
      <w:bookmarkStart w:id="30" w:name="_Toc479697291"/>
      <w:r>
        <w:rPr>
          <w:rStyle w:val="Zvraznn"/>
          <w:i w:val="0"/>
        </w:rPr>
        <w:t>Standard FET a standard minimálního zacházení</w:t>
      </w:r>
      <w:bookmarkEnd w:id="30"/>
    </w:p>
    <w:p w14:paraId="01A076FE" w14:textId="494A2862" w:rsidR="000F2923" w:rsidRDefault="00451821" w:rsidP="000F2923">
      <w:pPr>
        <w:pStyle w:val="Odstavecseseznamem"/>
        <w:spacing w:line="360" w:lineRule="auto"/>
        <w:ind w:left="142" w:firstLine="654"/>
        <w:jc w:val="both"/>
        <w:rPr>
          <w:rStyle w:val="Zvraznn"/>
          <w:i w:val="0"/>
        </w:rPr>
      </w:pPr>
      <w:r>
        <w:rPr>
          <w:rStyle w:val="Zvraznn"/>
          <w:i w:val="0"/>
        </w:rPr>
        <w:t xml:space="preserve">Jak se vypořádat s rizikem odpovědnosti za porušení ochrany oprávněných očekávání, není zatím příliš jasné. </w:t>
      </w:r>
      <w:r w:rsidR="00012A1B">
        <w:rPr>
          <w:rStyle w:val="Zvraznn"/>
          <w:i w:val="0"/>
        </w:rPr>
        <w:t>Některé státy se spoléhají na výše uvedená u</w:t>
      </w:r>
      <w:r w:rsidR="00D45B4F">
        <w:rPr>
          <w:rStyle w:val="Zvraznn"/>
          <w:i w:val="0"/>
        </w:rPr>
        <w:t>stanovení o „právu na regulaci“.</w:t>
      </w:r>
      <w:r w:rsidR="00012A1B">
        <w:rPr>
          <w:rStyle w:val="Zvraznn"/>
          <w:i w:val="0"/>
        </w:rPr>
        <w:t xml:space="preserve"> </w:t>
      </w:r>
      <w:r w:rsidR="00012A1B" w:rsidRPr="003E6A36">
        <w:rPr>
          <w:rStyle w:val="Zvraznn"/>
          <w:i w:val="0"/>
        </w:rPr>
        <w:t>USA a Kanada se rozhodly po vzoru</w:t>
      </w:r>
      <w:r w:rsidR="005946E8">
        <w:rPr>
          <w:rStyle w:val="Zvraznn"/>
          <w:i w:val="0"/>
        </w:rPr>
        <w:t xml:space="preserve"> závazného</w:t>
      </w:r>
      <w:r w:rsidR="00012A1B" w:rsidRPr="003E6A36">
        <w:rPr>
          <w:rStyle w:val="Zvraznn"/>
          <w:i w:val="0"/>
        </w:rPr>
        <w:t xml:space="preserve"> výkladu NAFTA omezit použití </w:t>
      </w:r>
      <w:r w:rsidR="00012A1B" w:rsidRPr="003E6A36">
        <w:rPr>
          <w:rStyle w:val="Zvraznn"/>
          <w:i w:val="0"/>
        </w:rPr>
        <w:lastRenderedPageBreak/>
        <w:t>standardu FET na zacházení s cizinci podle</w:t>
      </w:r>
      <w:r w:rsidR="00227941">
        <w:rPr>
          <w:rStyle w:val="Zvraznn"/>
          <w:i w:val="0"/>
        </w:rPr>
        <w:t xml:space="preserve"> minimálního standardu</w:t>
      </w:r>
      <w:r w:rsidR="00012A1B" w:rsidRPr="003E6A36">
        <w:rPr>
          <w:rStyle w:val="Zvraznn"/>
          <w:i w:val="0"/>
        </w:rPr>
        <w:t xml:space="preserve"> CIL</w:t>
      </w:r>
      <w:r w:rsidR="00D45B4F">
        <w:rPr>
          <w:rStyle w:val="Zvraznn"/>
          <w:i w:val="0"/>
        </w:rPr>
        <w:t>.</w:t>
      </w:r>
      <w:r w:rsidR="00D82C14">
        <w:rPr>
          <w:rStyle w:val="Znakapoznpodarou"/>
          <w:iCs/>
        </w:rPr>
        <w:footnoteReference w:id="149"/>
      </w:r>
      <w:r w:rsidR="00D45B4F">
        <w:rPr>
          <w:rStyle w:val="Zvraznn"/>
          <w:i w:val="0"/>
        </w:rPr>
        <w:t xml:space="preserve"> </w:t>
      </w:r>
      <w:r w:rsidR="000F2923">
        <w:rPr>
          <w:rStyle w:val="Zvraznn"/>
          <w:i w:val="0"/>
        </w:rPr>
        <w:t>K tomuto užšímu pojetí se přiklonila i Argentina ve svých novějších BITs v reakci na masivní nápor žalob v období hospodářské krize.</w:t>
      </w:r>
      <w:r w:rsidR="000F2923">
        <w:rPr>
          <w:rStyle w:val="Znakapoznpodarou"/>
          <w:iCs/>
        </w:rPr>
        <w:footnoteReference w:id="150"/>
      </w:r>
      <w:r w:rsidR="000F2923">
        <w:rPr>
          <w:rStyle w:val="Zvraznn"/>
          <w:i w:val="0"/>
        </w:rPr>
        <w:t xml:space="preserve"> </w:t>
      </w:r>
      <w:r w:rsidR="00D45B4F">
        <w:rPr>
          <w:rStyle w:val="Zvraznn"/>
          <w:i w:val="0"/>
        </w:rPr>
        <w:t>S</w:t>
      </w:r>
      <w:r w:rsidR="00227941">
        <w:rPr>
          <w:rStyle w:val="Zvraznn"/>
          <w:i w:val="0"/>
        </w:rPr>
        <w:t>mlouvy zdůraz</w:t>
      </w:r>
      <w:r w:rsidR="0079166A">
        <w:rPr>
          <w:rStyle w:val="Zvraznn"/>
          <w:i w:val="0"/>
        </w:rPr>
        <w:t>ňují,</w:t>
      </w:r>
      <w:r w:rsidR="00012A1B">
        <w:rPr>
          <w:rStyle w:val="Zvraznn"/>
          <w:i w:val="0"/>
        </w:rPr>
        <w:t xml:space="preserve"> </w:t>
      </w:r>
      <w:r w:rsidR="0079166A">
        <w:rPr>
          <w:rStyle w:val="Zvraznn"/>
          <w:i w:val="0"/>
        </w:rPr>
        <w:t>že FET</w:t>
      </w:r>
      <w:r w:rsidR="00B42890">
        <w:rPr>
          <w:rStyle w:val="Zvraznn"/>
          <w:i w:val="0"/>
        </w:rPr>
        <w:t xml:space="preserve"> v nich</w:t>
      </w:r>
      <w:r w:rsidR="0079166A">
        <w:rPr>
          <w:rStyle w:val="Zvraznn"/>
          <w:i w:val="0"/>
        </w:rPr>
        <w:t xml:space="preserve"> n</w:t>
      </w:r>
      <w:r w:rsidR="00F51B81">
        <w:rPr>
          <w:rStyle w:val="Zvraznn"/>
          <w:i w:val="0"/>
        </w:rPr>
        <w:t>egarantuje žádnou větší ochranu a p</w:t>
      </w:r>
      <w:r w:rsidR="001C14C1">
        <w:rPr>
          <w:rStyle w:val="Zvraznn"/>
          <w:i w:val="0"/>
        </w:rPr>
        <w:t>řestože zmiňují FET jako součást minimálního standardu</w:t>
      </w:r>
      <w:r w:rsidR="00D30A01">
        <w:rPr>
          <w:rStyle w:val="Zvraznn"/>
          <w:i w:val="0"/>
        </w:rPr>
        <w:t>,</w:t>
      </w:r>
      <w:r w:rsidR="00433BDC">
        <w:rPr>
          <w:rStyle w:val="Zvraznn"/>
          <w:i w:val="0"/>
        </w:rPr>
        <w:t xml:space="preserve"> </w:t>
      </w:r>
      <w:r w:rsidR="00D30A01">
        <w:rPr>
          <w:rStyle w:val="Zvraznn"/>
          <w:i w:val="0"/>
        </w:rPr>
        <w:t>o</w:t>
      </w:r>
      <w:r w:rsidR="001C14C1">
        <w:rPr>
          <w:rStyle w:val="Zvraznn"/>
          <w:i w:val="0"/>
        </w:rPr>
        <w:t>dmítají jeho</w:t>
      </w:r>
      <w:r w:rsidR="004B05DC">
        <w:rPr>
          <w:rStyle w:val="Zvraznn"/>
          <w:i w:val="0"/>
        </w:rPr>
        <w:t xml:space="preserve"> autonomní výklad FET tribunály (</w:t>
      </w:r>
      <w:r w:rsidR="00623572">
        <w:rPr>
          <w:rStyle w:val="Zvraznn"/>
          <w:i w:val="0"/>
        </w:rPr>
        <w:t xml:space="preserve">tedy </w:t>
      </w:r>
      <w:r w:rsidR="004B05DC">
        <w:rPr>
          <w:rStyle w:val="Zvraznn"/>
          <w:i w:val="0"/>
        </w:rPr>
        <w:t>mimo</w:t>
      </w:r>
      <w:r w:rsidR="00F36DE2">
        <w:rPr>
          <w:rStyle w:val="Zvraznn"/>
          <w:i w:val="0"/>
        </w:rPr>
        <w:t xml:space="preserve"> tribunálů</w:t>
      </w:r>
      <w:r w:rsidR="004B05DC">
        <w:rPr>
          <w:rStyle w:val="Zvraznn"/>
          <w:i w:val="0"/>
        </w:rPr>
        <w:t xml:space="preserve"> NAFTA)</w:t>
      </w:r>
      <w:r w:rsidR="00DC6480">
        <w:rPr>
          <w:rStyle w:val="Zvraznn"/>
          <w:i w:val="0"/>
        </w:rPr>
        <w:t>.</w:t>
      </w:r>
      <w:r w:rsidR="00F51B81">
        <w:rPr>
          <w:rStyle w:val="Znakapoznpodarou"/>
          <w:iCs/>
        </w:rPr>
        <w:footnoteReference w:id="151"/>
      </w:r>
      <w:r w:rsidR="00F51B81">
        <w:rPr>
          <w:rStyle w:val="Zvraznn"/>
          <w:i w:val="0"/>
        </w:rPr>
        <w:t xml:space="preserve"> </w:t>
      </w:r>
      <w:r w:rsidR="00DC6480">
        <w:rPr>
          <w:rStyle w:val="Zvraznn"/>
          <w:i w:val="0"/>
        </w:rPr>
        <w:t xml:space="preserve"> Minimální standard zacházení je </w:t>
      </w:r>
      <w:r w:rsidR="00115B48">
        <w:rPr>
          <w:rStyle w:val="Zvraznn"/>
          <w:i w:val="0"/>
        </w:rPr>
        <w:t>institutem</w:t>
      </w:r>
      <w:r w:rsidR="0055025D">
        <w:rPr>
          <w:rStyle w:val="Zvraznn"/>
          <w:i w:val="0"/>
        </w:rPr>
        <w:t xml:space="preserve"> založeným na</w:t>
      </w:r>
      <w:r w:rsidR="00AE2FBD">
        <w:rPr>
          <w:rStyle w:val="Zvraznn"/>
          <w:i w:val="0"/>
        </w:rPr>
        <w:t xml:space="preserve"> téměř sto let starém</w:t>
      </w:r>
      <w:r w:rsidR="0055025D">
        <w:rPr>
          <w:rStyle w:val="Zvraznn"/>
          <w:i w:val="0"/>
        </w:rPr>
        <w:t xml:space="preserve"> případu </w:t>
      </w:r>
      <w:r w:rsidR="0055025D" w:rsidRPr="0055025D">
        <w:rPr>
          <w:rStyle w:val="Zvraznn"/>
        </w:rPr>
        <w:t>Neer v. Mexico</w:t>
      </w:r>
      <w:r w:rsidR="0055025D">
        <w:rPr>
          <w:rStyle w:val="Zvraznn"/>
          <w:i w:val="0"/>
        </w:rPr>
        <w:t xml:space="preserve"> a</w:t>
      </w:r>
      <w:r w:rsidR="00F36DE2">
        <w:rPr>
          <w:rStyle w:val="Zvraznn"/>
          <w:i w:val="0"/>
        </w:rPr>
        <w:t xml:space="preserve"> rozhodovací praxe se neshoduje, zda je v praxi neměnný</w:t>
      </w:r>
      <w:r w:rsidR="0055025D">
        <w:rPr>
          <w:rStyle w:val="Zvraznn"/>
          <w:i w:val="0"/>
        </w:rPr>
        <w:t>.</w:t>
      </w:r>
      <w:r w:rsidR="005B4217">
        <w:rPr>
          <w:iCs/>
        </w:rPr>
        <w:t xml:space="preserve"> </w:t>
      </w:r>
      <w:r w:rsidR="005B4217" w:rsidRPr="00143DC3">
        <w:rPr>
          <w:iCs/>
        </w:rPr>
        <w:t>D</w:t>
      </w:r>
      <w:r w:rsidR="005733DF">
        <w:rPr>
          <w:iCs/>
        </w:rPr>
        <w:t>ynamiku pojmu přiznal například tribunál ve sporu</w:t>
      </w:r>
      <w:r w:rsidR="005B4217">
        <w:rPr>
          <w:iCs/>
        </w:rPr>
        <w:t xml:space="preserve"> </w:t>
      </w:r>
      <w:r w:rsidR="00143DC3" w:rsidRPr="00143DC3">
        <w:rPr>
          <w:i/>
          <w:iCs/>
        </w:rPr>
        <w:t>Mondev v. USA</w:t>
      </w:r>
      <w:r w:rsidR="00F32D46">
        <w:rPr>
          <w:rStyle w:val="Znakapoznpodarou"/>
          <w:i/>
          <w:iCs/>
        </w:rPr>
        <w:footnoteReference w:id="152"/>
      </w:r>
      <w:r w:rsidR="005733DF">
        <w:rPr>
          <w:i/>
          <w:iCs/>
        </w:rPr>
        <w:t>,</w:t>
      </w:r>
      <w:r w:rsidR="009C5C44">
        <w:rPr>
          <w:i/>
          <w:iCs/>
        </w:rPr>
        <w:t xml:space="preserve"> </w:t>
      </w:r>
      <w:r w:rsidR="009C5C44">
        <w:rPr>
          <w:iCs/>
        </w:rPr>
        <w:t>neměl by podle nich být vykládán stejně jako na začátku 20. století</w:t>
      </w:r>
      <w:r w:rsidR="000532F8">
        <w:rPr>
          <w:iCs/>
        </w:rPr>
        <w:t xml:space="preserve"> v případu </w:t>
      </w:r>
      <w:r w:rsidR="000532F8">
        <w:rPr>
          <w:i/>
          <w:iCs/>
        </w:rPr>
        <w:t>Neer</w:t>
      </w:r>
      <w:r w:rsidR="007800E4">
        <w:rPr>
          <w:iCs/>
        </w:rPr>
        <w:t>.</w:t>
      </w:r>
      <w:r w:rsidR="00566571">
        <w:rPr>
          <w:iCs/>
        </w:rPr>
        <w:t xml:space="preserve"> N</w:t>
      </w:r>
      <w:r w:rsidR="00143DC3">
        <w:rPr>
          <w:iCs/>
        </w:rPr>
        <w:t>ikdy však</w:t>
      </w:r>
      <w:r w:rsidR="00566571">
        <w:rPr>
          <w:iCs/>
        </w:rPr>
        <w:t xml:space="preserve"> nebyl vykládán natolik široce</w:t>
      </w:r>
      <w:r w:rsidR="00143DC3">
        <w:rPr>
          <w:iCs/>
        </w:rPr>
        <w:t xml:space="preserve">, aby ochrana investora ve výsledku dosahovala standardu FET tak, jak jej </w:t>
      </w:r>
      <w:r w:rsidR="000D5B3C">
        <w:rPr>
          <w:iCs/>
        </w:rPr>
        <w:t>vykládají některé tribunály</w:t>
      </w:r>
      <w:r w:rsidR="00143DC3">
        <w:rPr>
          <w:iCs/>
        </w:rPr>
        <w:t xml:space="preserve"> podle doložek v BIT mimo NAFTA</w:t>
      </w:r>
      <w:r w:rsidR="00D57D61">
        <w:rPr>
          <w:iCs/>
        </w:rPr>
        <w:t>, například již výše řešený</w:t>
      </w:r>
      <w:r w:rsidR="0093500D">
        <w:rPr>
          <w:iCs/>
        </w:rPr>
        <w:t xml:space="preserve"> </w:t>
      </w:r>
      <w:r w:rsidR="0093500D">
        <w:rPr>
          <w:i/>
          <w:iCs/>
        </w:rPr>
        <w:t>Crystallex</w:t>
      </w:r>
      <w:r w:rsidR="00143DC3">
        <w:rPr>
          <w:iCs/>
        </w:rPr>
        <w:t>.</w:t>
      </w:r>
      <w:r w:rsidR="0093500D">
        <w:rPr>
          <w:rStyle w:val="Znakapoznpodarou"/>
          <w:iCs/>
        </w:rPr>
        <w:footnoteReference w:id="153"/>
      </w:r>
      <w:r w:rsidR="00F36DE2">
        <w:rPr>
          <w:rStyle w:val="Zvraznn"/>
          <w:i w:val="0"/>
        </w:rPr>
        <w:t xml:space="preserve"> </w:t>
      </w:r>
      <w:r w:rsidR="005946E8">
        <w:rPr>
          <w:rStyle w:val="Zvraznn"/>
          <w:i w:val="0"/>
        </w:rPr>
        <w:t xml:space="preserve">Text modelových smluv </w:t>
      </w:r>
      <w:r w:rsidR="001B24C6">
        <w:rPr>
          <w:rStyle w:val="Zvraznn"/>
          <w:i w:val="0"/>
        </w:rPr>
        <w:t xml:space="preserve">zde </w:t>
      </w:r>
      <w:r w:rsidR="005946E8">
        <w:rPr>
          <w:rStyle w:val="Zvraznn"/>
          <w:i w:val="0"/>
        </w:rPr>
        <w:t>jednoznačně</w:t>
      </w:r>
      <w:r w:rsidR="00143DC3">
        <w:rPr>
          <w:rStyle w:val="Zvraznn"/>
          <w:i w:val="0"/>
        </w:rPr>
        <w:t xml:space="preserve"> </w:t>
      </w:r>
      <w:r w:rsidR="005946E8">
        <w:rPr>
          <w:rStyle w:val="Zvraznn"/>
          <w:i w:val="0"/>
        </w:rPr>
        <w:t>vyjadřuje preferenci striktního výkladu</w:t>
      </w:r>
      <w:r w:rsidR="00F5588A">
        <w:rPr>
          <w:rStyle w:val="Zvraznn"/>
          <w:i w:val="0"/>
        </w:rPr>
        <w:t xml:space="preserve">, pro jeho porušení bude třeba, aby došlo k zvlášť závažnému, disproporcionálnímu </w:t>
      </w:r>
      <w:r w:rsidR="00AB69CE">
        <w:rPr>
          <w:rStyle w:val="Zvraznn"/>
          <w:i w:val="0"/>
        </w:rPr>
        <w:t>nespravedlivému zacházení</w:t>
      </w:r>
      <w:r w:rsidR="005946E8">
        <w:rPr>
          <w:rStyle w:val="Zvraznn"/>
          <w:i w:val="0"/>
        </w:rPr>
        <w:t>.</w:t>
      </w:r>
      <w:r w:rsidR="004931FF">
        <w:rPr>
          <w:rStyle w:val="Zvraznn"/>
          <w:i w:val="0"/>
        </w:rPr>
        <w:t xml:space="preserve"> Z případu </w:t>
      </w:r>
      <w:r w:rsidR="004931FF">
        <w:rPr>
          <w:rStyle w:val="Zvraznn"/>
        </w:rPr>
        <w:t>Neer</w:t>
      </w:r>
      <w:r w:rsidR="003A62EE">
        <w:rPr>
          <w:rStyle w:val="Zvraznn"/>
          <w:i w:val="0"/>
        </w:rPr>
        <w:t xml:space="preserve"> lze výslovně citovat,</w:t>
      </w:r>
      <w:r w:rsidR="00EE5978">
        <w:rPr>
          <w:rStyle w:val="Zvraznn"/>
          <w:i w:val="0"/>
        </w:rPr>
        <w:t xml:space="preserve"> že minimální standard</w:t>
      </w:r>
      <w:r w:rsidR="003A62EE">
        <w:rPr>
          <w:rStyle w:val="Zvraznn"/>
          <w:i w:val="0"/>
        </w:rPr>
        <w:t xml:space="preserve"> porušuje zacházení, které vyjadřuje</w:t>
      </w:r>
      <w:r w:rsidR="004931FF">
        <w:rPr>
          <w:rStyle w:val="Zvraznn"/>
          <w:i w:val="0"/>
        </w:rPr>
        <w:t xml:space="preserve"> </w:t>
      </w:r>
      <w:r w:rsidR="004931FF">
        <w:rPr>
          <w:rStyle w:val="Zvraznn"/>
        </w:rPr>
        <w:t xml:space="preserve">„míru pobouření, zlého úmyslu, úmyslného zanedbání povinnosti, </w:t>
      </w:r>
      <w:r w:rsidR="00315643">
        <w:rPr>
          <w:rStyle w:val="Zvraznn"/>
        </w:rPr>
        <w:t>nebo nedostatečnosti jednání státu, které je natolik pod úrovní mezinárodních standardů, že by každý rozumný člověk ihned rozpoznal její nedostatečnost.</w:t>
      </w:r>
      <w:r w:rsidR="00315643">
        <w:rPr>
          <w:rStyle w:val="Znakapoznpodarou"/>
          <w:i/>
          <w:iCs/>
        </w:rPr>
        <w:footnoteReference w:id="154"/>
      </w:r>
      <w:r w:rsidR="00315643">
        <w:rPr>
          <w:rStyle w:val="Zvraznn"/>
        </w:rPr>
        <w:t xml:space="preserve"> </w:t>
      </w:r>
      <w:r w:rsidR="005946E8">
        <w:rPr>
          <w:rStyle w:val="Zvraznn"/>
          <w:i w:val="0"/>
        </w:rPr>
        <w:t xml:space="preserve"> </w:t>
      </w:r>
      <w:r w:rsidR="0055025D">
        <w:rPr>
          <w:rStyle w:val="Zvraznn"/>
          <w:i w:val="0"/>
        </w:rPr>
        <w:t>P</w:t>
      </w:r>
      <w:r w:rsidR="00115B48">
        <w:rPr>
          <w:rStyle w:val="Zvraznn"/>
          <w:i w:val="0"/>
        </w:rPr>
        <w:t xml:space="preserve">odle OECD </w:t>
      </w:r>
      <w:r w:rsidR="00F36DE2">
        <w:rPr>
          <w:rStyle w:val="Zvraznn"/>
          <w:i w:val="0"/>
        </w:rPr>
        <w:t xml:space="preserve">jsou </w:t>
      </w:r>
      <w:r w:rsidR="0041305C">
        <w:rPr>
          <w:rStyle w:val="Zvraznn"/>
          <w:i w:val="0"/>
        </w:rPr>
        <w:t>obsahem minimálního standardu zacházení s</w:t>
      </w:r>
      <w:r w:rsidR="003676E8">
        <w:rPr>
          <w:rStyle w:val="Zvraznn"/>
          <w:i w:val="0"/>
        </w:rPr>
        <w:t> </w:t>
      </w:r>
      <w:r w:rsidR="0041305C">
        <w:rPr>
          <w:rStyle w:val="Zvraznn"/>
          <w:i w:val="0"/>
        </w:rPr>
        <w:t>cizinci</w:t>
      </w:r>
      <w:r w:rsidR="003676E8">
        <w:rPr>
          <w:iCs/>
        </w:rPr>
        <w:t xml:space="preserve"> především</w:t>
      </w:r>
      <w:r w:rsidR="003676E8">
        <w:rPr>
          <w:rStyle w:val="Zvraznn"/>
          <w:i w:val="0"/>
        </w:rPr>
        <w:t xml:space="preserve"> </w:t>
      </w:r>
      <w:r w:rsidR="007737B6">
        <w:rPr>
          <w:rStyle w:val="Zvraznn"/>
          <w:i w:val="0"/>
        </w:rPr>
        <w:t>zákaz odepření spravedlnosti</w:t>
      </w:r>
      <w:r w:rsidR="00641F3C">
        <w:rPr>
          <w:rStyle w:val="Zvraznn"/>
          <w:i w:val="0"/>
        </w:rPr>
        <w:t xml:space="preserve"> (jen tato záruka je zmíněna v</w:t>
      </w:r>
      <w:r w:rsidR="00E2014A">
        <w:rPr>
          <w:rStyle w:val="Zvraznn"/>
          <w:i w:val="0"/>
        </w:rPr>
        <w:t xml:space="preserve"> modelových</w:t>
      </w:r>
      <w:r w:rsidR="00641F3C">
        <w:rPr>
          <w:rStyle w:val="Zvraznn"/>
          <w:i w:val="0"/>
        </w:rPr>
        <w:t> BIT)</w:t>
      </w:r>
      <w:r w:rsidR="003676E8">
        <w:rPr>
          <w:rStyle w:val="Zvraznn"/>
          <w:i w:val="0"/>
        </w:rPr>
        <w:t xml:space="preserve"> a </w:t>
      </w:r>
      <w:r w:rsidR="007737B6">
        <w:rPr>
          <w:rStyle w:val="Zvraznn"/>
          <w:i w:val="0"/>
        </w:rPr>
        <w:t>fyzická ochrana majetku cizince</w:t>
      </w:r>
      <w:r w:rsidR="003676E8">
        <w:rPr>
          <w:rStyle w:val="Zvraznn"/>
          <w:i w:val="0"/>
        </w:rPr>
        <w:t>.</w:t>
      </w:r>
      <w:r w:rsidR="003676E8">
        <w:rPr>
          <w:rStyle w:val="Znakapoznpodarou"/>
          <w:iCs/>
        </w:rPr>
        <w:footnoteReference w:id="155"/>
      </w:r>
      <w:r w:rsidR="00915993">
        <w:rPr>
          <w:rStyle w:val="Zvraznn"/>
          <w:i w:val="0"/>
        </w:rPr>
        <w:t xml:space="preserve"> </w:t>
      </w:r>
      <w:r w:rsidR="008E747C">
        <w:rPr>
          <w:rStyle w:val="Zvraznn"/>
          <w:i w:val="0"/>
        </w:rPr>
        <w:t>Měl by jim zajistit minimální míru zacházení podle mezinárodních obyčejů nehledě na vnitrostátní právo.</w:t>
      </w:r>
      <w:r w:rsidR="002F5FE6">
        <w:rPr>
          <w:rStyle w:val="Zvraznn"/>
          <w:i w:val="0"/>
        </w:rPr>
        <w:t xml:space="preserve"> </w:t>
      </w:r>
      <w:r w:rsidR="001D015B">
        <w:rPr>
          <w:rStyle w:val="Zvraznn"/>
          <w:i w:val="0"/>
        </w:rPr>
        <w:t>V současné praxi</w:t>
      </w:r>
      <w:r w:rsidR="007D7C66">
        <w:rPr>
          <w:rStyle w:val="Zvraznn"/>
          <w:i w:val="0"/>
        </w:rPr>
        <w:t xml:space="preserve"> </w:t>
      </w:r>
      <w:r w:rsidR="00DD03C5">
        <w:rPr>
          <w:rStyle w:val="Zvraznn"/>
          <w:i w:val="0"/>
        </w:rPr>
        <w:t xml:space="preserve">je </w:t>
      </w:r>
      <w:r w:rsidR="00DD03C5">
        <w:rPr>
          <w:rStyle w:val="Zvraznn"/>
          <w:i w:val="0"/>
        </w:rPr>
        <w:lastRenderedPageBreak/>
        <w:t xml:space="preserve">tedy vykládán většinou tak, že </w:t>
      </w:r>
      <w:r w:rsidR="00AE4EBD">
        <w:rPr>
          <w:rStyle w:val="Zvraznn"/>
          <w:i w:val="0"/>
        </w:rPr>
        <w:t xml:space="preserve">odpovědnost státu zakládá opatření, které je </w:t>
      </w:r>
      <w:r w:rsidR="00697CEC">
        <w:rPr>
          <w:rStyle w:val="Zvraznn"/>
          <w:i w:val="0"/>
        </w:rPr>
        <w:t>mimořádně šokující</w:t>
      </w:r>
      <w:r w:rsidR="006C4BA9">
        <w:rPr>
          <w:rStyle w:val="Zvraznn"/>
          <w:i w:val="0"/>
        </w:rPr>
        <w:t xml:space="preserve"> -</w:t>
      </w:r>
      <w:r w:rsidR="00697CEC">
        <w:rPr>
          <w:rStyle w:val="Zvraznn"/>
          <w:i w:val="0"/>
        </w:rPr>
        <w:t xml:space="preserve"> </w:t>
      </w:r>
      <w:r w:rsidR="001D015B">
        <w:rPr>
          <w:rStyle w:val="Zvraznn"/>
          <w:i w:val="0"/>
        </w:rPr>
        <w:t xml:space="preserve">hrubé odepření spravedlnosti, zjevná </w:t>
      </w:r>
      <w:r w:rsidR="00726D6B">
        <w:rPr>
          <w:rStyle w:val="Zvraznn"/>
          <w:i w:val="0"/>
        </w:rPr>
        <w:t>svévolnost</w:t>
      </w:r>
      <w:r w:rsidR="001D015B">
        <w:rPr>
          <w:rStyle w:val="Zvraznn"/>
          <w:i w:val="0"/>
        </w:rPr>
        <w:t>, nespravedlnost nebo procesní diskriminace,</w:t>
      </w:r>
      <w:r w:rsidR="00A224DA">
        <w:rPr>
          <w:rStyle w:val="Zvraznn"/>
          <w:i w:val="0"/>
        </w:rPr>
        <w:t xml:space="preserve"> nebo</w:t>
      </w:r>
      <w:r w:rsidR="001D015B">
        <w:rPr>
          <w:rStyle w:val="Zvraznn"/>
          <w:i w:val="0"/>
        </w:rPr>
        <w:t xml:space="preserve"> </w:t>
      </w:r>
      <w:r w:rsidR="00ED657E">
        <w:rPr>
          <w:rStyle w:val="Zvraznn"/>
          <w:i w:val="0"/>
        </w:rPr>
        <w:t xml:space="preserve">úplný nedostatek </w:t>
      </w:r>
      <w:r w:rsidR="006C4BA9">
        <w:rPr>
          <w:rStyle w:val="Zvraznn"/>
          <w:i w:val="0"/>
        </w:rPr>
        <w:t>odůvodnění</w:t>
      </w:r>
      <w:r w:rsidR="00ED657E">
        <w:rPr>
          <w:rStyle w:val="Zvraznn"/>
          <w:i w:val="0"/>
        </w:rPr>
        <w:t xml:space="preserve"> omezujícího opatření</w:t>
      </w:r>
      <w:r w:rsidR="006C4BA9">
        <w:rPr>
          <w:rStyle w:val="Zvraznn"/>
          <w:i w:val="0"/>
        </w:rPr>
        <w:t xml:space="preserve"> – a to natolik, že </w:t>
      </w:r>
      <w:r w:rsidR="00AC745C">
        <w:rPr>
          <w:rStyle w:val="Zvraznn"/>
          <w:i w:val="0"/>
        </w:rPr>
        <w:t>je porušeno mezinárodní obyčejové právo</w:t>
      </w:r>
      <w:r w:rsidR="006C4BA9">
        <w:rPr>
          <w:rStyle w:val="Zvraznn"/>
          <w:i w:val="0"/>
        </w:rPr>
        <w:t>.</w:t>
      </w:r>
      <w:r w:rsidR="004D4F85">
        <w:rPr>
          <w:rStyle w:val="Znakapoznpodarou"/>
          <w:iCs/>
        </w:rPr>
        <w:footnoteReference w:id="156"/>
      </w:r>
      <w:r w:rsidR="007D7C66">
        <w:rPr>
          <w:rStyle w:val="Zvraznn"/>
          <w:i w:val="0"/>
        </w:rPr>
        <w:t xml:space="preserve"> </w:t>
      </w:r>
      <w:r w:rsidR="00337672">
        <w:rPr>
          <w:rStyle w:val="Zvraznn"/>
          <w:i w:val="0"/>
        </w:rPr>
        <w:t xml:space="preserve">Ve věci </w:t>
      </w:r>
      <w:r w:rsidR="006C60CB">
        <w:rPr>
          <w:rStyle w:val="Zvraznn"/>
        </w:rPr>
        <w:t>Loewen Group</w:t>
      </w:r>
      <w:r w:rsidR="00337672">
        <w:rPr>
          <w:rStyle w:val="Zvraznn"/>
          <w:i w:val="0"/>
        </w:rPr>
        <w:t xml:space="preserve"> tribunál vyslovil, že </w:t>
      </w:r>
      <w:r w:rsidR="00E7327C">
        <w:rPr>
          <w:rStyle w:val="Zvraznn"/>
          <w:i w:val="0"/>
        </w:rPr>
        <w:t>arbitráž nemůže fungovat jako odvolací soud pr</w:t>
      </w:r>
      <w:r w:rsidR="006C60CB">
        <w:rPr>
          <w:rStyle w:val="Zvraznn"/>
          <w:i w:val="0"/>
        </w:rPr>
        <w:t xml:space="preserve">oti rozhodnutím národních soudů a porušení článku 1105 NAFTA může </w:t>
      </w:r>
      <w:r w:rsidR="006542AD">
        <w:rPr>
          <w:rStyle w:val="Zvraznn"/>
          <w:i w:val="0"/>
        </w:rPr>
        <w:t>zakládat rozhodnutí, které je</w:t>
      </w:r>
      <w:r w:rsidR="00B56141">
        <w:rPr>
          <w:rStyle w:val="Zvraznn"/>
          <w:i w:val="0"/>
        </w:rPr>
        <w:t xml:space="preserve"> diskriminačním nebo</w:t>
      </w:r>
      <w:r w:rsidR="006542AD">
        <w:rPr>
          <w:rStyle w:val="Zvraznn"/>
          <w:i w:val="0"/>
        </w:rPr>
        <w:t xml:space="preserve"> zjevným zneužitím moci a proto zcela nepřijatelné</w:t>
      </w:r>
      <w:r w:rsidR="00E7327C">
        <w:rPr>
          <w:rStyle w:val="Zvraznn"/>
          <w:i w:val="0"/>
        </w:rPr>
        <w:t xml:space="preserve"> </w:t>
      </w:r>
      <w:r w:rsidR="00B56141">
        <w:rPr>
          <w:rStyle w:val="Zvraznn"/>
          <w:i w:val="0"/>
        </w:rPr>
        <w:t>v kontextu mezinárodního práva.</w:t>
      </w:r>
      <w:r w:rsidR="00CA4D7D">
        <w:rPr>
          <w:rStyle w:val="Zvraznn"/>
          <w:i w:val="0"/>
        </w:rPr>
        <w:t xml:space="preserve"> Tribunál zmínil, že zlá víra státu ani nedodržení vnitrostátních předpisů státními orgány není podmínkou porušení minimálního standardu.</w:t>
      </w:r>
      <w:r w:rsidR="00B56141">
        <w:rPr>
          <w:rStyle w:val="Znakapoznpodarou"/>
          <w:iCs/>
        </w:rPr>
        <w:footnoteReference w:id="157"/>
      </w:r>
    </w:p>
    <w:p w14:paraId="527DEA93" w14:textId="3419A2E4" w:rsidR="009F551C" w:rsidRDefault="009F551C" w:rsidP="000F2923">
      <w:pPr>
        <w:pStyle w:val="Odstavecseseznamem"/>
        <w:spacing w:line="360" w:lineRule="auto"/>
        <w:ind w:left="142" w:firstLine="654"/>
        <w:jc w:val="both"/>
        <w:rPr>
          <w:rStyle w:val="Zvraznn"/>
          <w:i w:val="0"/>
        </w:rPr>
      </w:pPr>
      <w:r>
        <w:rPr>
          <w:rFonts w:eastAsiaTheme="majorEastAsia" w:cstheme="majorBidi"/>
          <w:bCs/>
        </w:rPr>
        <w:t>Celkově jsou tribunály podle NAFTA ve svém rozhodování</w:t>
      </w:r>
      <w:r w:rsidR="00850D3B">
        <w:rPr>
          <w:rFonts w:eastAsiaTheme="majorEastAsia" w:cstheme="majorBidi"/>
          <w:bCs/>
        </w:rPr>
        <w:t xml:space="preserve"> méně nakloněny</w:t>
      </w:r>
      <w:r>
        <w:rPr>
          <w:rFonts w:eastAsiaTheme="majorEastAsia" w:cstheme="majorBidi"/>
          <w:bCs/>
        </w:rPr>
        <w:t xml:space="preserve"> legitimnímu očekávání založeném pouze na legislativě platné v době provedení investice. Lze se často setkat s rozhodnutím, že podle NAFTA není chráněno očekávání stabilního a předvídatelného právního řádu v jiné situaci, než když takové vyplývá ze smlouvy investora se státem.</w:t>
      </w:r>
      <w:r>
        <w:rPr>
          <w:rStyle w:val="Znakapoznpodarou"/>
          <w:rFonts w:eastAsiaTheme="majorEastAsia" w:cstheme="majorBidi"/>
          <w:bCs/>
        </w:rPr>
        <w:footnoteReference w:id="158"/>
      </w:r>
      <w:r>
        <w:rPr>
          <w:rFonts w:eastAsiaTheme="majorEastAsia" w:cstheme="majorBidi"/>
          <w:bCs/>
        </w:rPr>
        <w:t xml:space="preserve"> Změny obecně platných předpisů by pouze neměly být „hrubě nespravedlivé nebo diskriminační“.</w:t>
      </w:r>
      <w:r>
        <w:rPr>
          <w:rStyle w:val="Znakapoznpodarou"/>
          <w:rFonts w:eastAsiaTheme="majorEastAsia" w:cstheme="majorBidi"/>
          <w:bCs/>
        </w:rPr>
        <w:footnoteReference w:id="159"/>
      </w:r>
    </w:p>
    <w:p w14:paraId="2DF718DD" w14:textId="7D4DB0A3" w:rsidR="000F2923" w:rsidRPr="000F2923" w:rsidRDefault="00B06371" w:rsidP="000F2923">
      <w:pPr>
        <w:pStyle w:val="Odstavecseseznamem"/>
        <w:spacing w:line="360" w:lineRule="auto"/>
        <w:ind w:left="142" w:firstLine="654"/>
        <w:jc w:val="both"/>
        <w:rPr>
          <w:rStyle w:val="Zvraznn"/>
          <w:i w:val="0"/>
        </w:rPr>
      </w:pPr>
      <w:r>
        <w:rPr>
          <w:rStyle w:val="Zvraznn"/>
          <w:i w:val="0"/>
        </w:rPr>
        <w:t xml:space="preserve"> </w:t>
      </w:r>
      <w:r w:rsidR="000F2923">
        <w:rPr>
          <w:rStyle w:val="Zvraznn"/>
          <w:i w:val="0"/>
        </w:rPr>
        <w:t>Obdobně situaci řeší aktuální indická modelová BIT, ta mění standardy poměrně revolučně, také ve snaze vyhnout se klasickému pojetí FET doložky. Ta, i doložka FPS jsou nahrazeny právě stanovením odpovědnosti za (1) odepření spravedlnosti podle CIL, (2) porušení práva na spravedlivý proces bez náhrady, (3) zjevně šikanózní zacházení s investicí, které se vyznačuje také déletrvajícím, neospravedlnitelným a hrubým nátlakem.</w:t>
      </w:r>
      <w:r w:rsidR="000F2923">
        <w:rPr>
          <w:rStyle w:val="Znakapoznpodarou"/>
          <w:iCs/>
        </w:rPr>
        <w:footnoteReference w:id="160"/>
      </w:r>
      <w:r w:rsidR="000F2923">
        <w:rPr>
          <w:rStyle w:val="Zvraznn"/>
          <w:i w:val="0"/>
        </w:rPr>
        <w:t xml:space="preserve"> Vynechává i MFN, čímž obrat v ochraně investic ještě zvýrazňuje, investoři chráněni novými BIT se nebudou moci odvolávat na standardy ochrany ve stávajících smlouvách. </w:t>
      </w:r>
    </w:p>
    <w:p w14:paraId="77592DAB" w14:textId="2F871DA8" w:rsidR="00966790" w:rsidRDefault="00B06371" w:rsidP="00337672">
      <w:pPr>
        <w:pStyle w:val="Odstavecseseznamem"/>
        <w:spacing w:line="360" w:lineRule="auto"/>
        <w:ind w:left="142" w:firstLine="654"/>
        <w:jc w:val="both"/>
        <w:rPr>
          <w:rStyle w:val="Zvraznn"/>
          <w:i w:val="0"/>
        </w:rPr>
      </w:pPr>
      <w:r>
        <w:rPr>
          <w:rStyle w:val="Zvraznn"/>
          <w:i w:val="0"/>
        </w:rPr>
        <w:t xml:space="preserve">Lze tedy uzavřít, že </w:t>
      </w:r>
      <w:r w:rsidR="006A3A6D">
        <w:rPr>
          <w:rStyle w:val="Zvraznn"/>
          <w:i w:val="0"/>
        </w:rPr>
        <w:t>standard ochrany podle</w:t>
      </w:r>
      <w:r w:rsidR="00836892">
        <w:rPr>
          <w:rStyle w:val="Zvraznn"/>
          <w:i w:val="0"/>
        </w:rPr>
        <w:t xml:space="preserve"> americké a kanadské BIT, stejně jako článku 1105 NAFTA, poskytuje mnohem </w:t>
      </w:r>
      <w:r w:rsidR="00EE5D49">
        <w:rPr>
          <w:rStyle w:val="Zvraznn"/>
          <w:i w:val="0"/>
        </w:rPr>
        <w:t xml:space="preserve">menší rozsah ochrany než doložky FET v jiných dvoustranných smlouvách, </w:t>
      </w:r>
      <w:r w:rsidR="00936B16">
        <w:rPr>
          <w:rStyle w:val="Zvraznn"/>
          <w:i w:val="0"/>
        </w:rPr>
        <w:t xml:space="preserve">jejichž obsah, včetně ochrany oprávněných očekávání, může být </w:t>
      </w:r>
      <w:r w:rsidR="00936B16">
        <w:rPr>
          <w:rStyle w:val="Zvraznn"/>
          <w:i w:val="0"/>
        </w:rPr>
        <w:lastRenderedPageBreak/>
        <w:t>tribunály vyložen velice široce i nepředvídatelně.</w:t>
      </w:r>
      <w:r w:rsidR="00AB7155">
        <w:rPr>
          <w:rStyle w:val="Zvraznn"/>
          <w:i w:val="0"/>
        </w:rPr>
        <w:t xml:space="preserve"> </w:t>
      </w:r>
      <w:r w:rsidR="00623572">
        <w:rPr>
          <w:rStyle w:val="Zvraznn"/>
          <w:i w:val="0"/>
        </w:rPr>
        <w:t xml:space="preserve">Autonomní výklad doložek FET se, především s ohledem na nestálost rozhodování o nárocích souvisejících s porušením legitimního očekávání, dosud nestal mezinárodním obyčejem a při odporu mnoha států k tomuto výkladu je to do budoucna velice nepravděpodobné. </w:t>
      </w:r>
    </w:p>
    <w:p w14:paraId="571AD271" w14:textId="196E01E5" w:rsidR="00D8015C" w:rsidRDefault="001F5B39" w:rsidP="00D8015C">
      <w:pPr>
        <w:pStyle w:val="Nadpis2"/>
        <w:rPr>
          <w:rStyle w:val="Zvraznn"/>
          <w:i w:val="0"/>
        </w:rPr>
      </w:pPr>
      <w:bookmarkStart w:id="31" w:name="_Toc479697292"/>
      <w:r>
        <w:rPr>
          <w:rStyle w:val="Zvraznn"/>
          <w:i w:val="0"/>
        </w:rPr>
        <w:t xml:space="preserve">Změny v ochraně před </w:t>
      </w:r>
      <w:r w:rsidR="00D8015C">
        <w:rPr>
          <w:rStyle w:val="Zvraznn"/>
          <w:i w:val="0"/>
        </w:rPr>
        <w:t>vyvlastněním</w:t>
      </w:r>
      <w:bookmarkEnd w:id="31"/>
    </w:p>
    <w:p w14:paraId="1DE10EFB" w14:textId="2FEE627B" w:rsidR="00ED735A" w:rsidRDefault="00A56ADA" w:rsidP="003F089A">
      <w:pPr>
        <w:pStyle w:val="Odstavecseseznamem"/>
        <w:spacing w:line="360" w:lineRule="auto"/>
        <w:ind w:left="142" w:firstLine="654"/>
        <w:jc w:val="both"/>
        <w:rPr>
          <w:rStyle w:val="Zvraznn"/>
          <w:i w:val="0"/>
        </w:rPr>
      </w:pPr>
      <w:r w:rsidRPr="00875D43">
        <w:rPr>
          <w:rStyle w:val="Zvraznn"/>
          <w:i w:val="0"/>
        </w:rPr>
        <w:t xml:space="preserve">Samostatnou oblastí je úprava vyvlastnění, </w:t>
      </w:r>
      <w:r w:rsidR="00875D43" w:rsidRPr="00875D43">
        <w:rPr>
          <w:rStyle w:val="Zvraznn"/>
          <w:i w:val="0"/>
        </w:rPr>
        <w:t>kde jsou změny prováděny především pomocí</w:t>
      </w:r>
      <w:r w:rsidR="00875D43">
        <w:rPr>
          <w:rStyle w:val="Zvraznn"/>
          <w:i w:val="0"/>
        </w:rPr>
        <w:t xml:space="preserve"> upřesnění stávajících ustanovení.</w:t>
      </w:r>
      <w:r w:rsidR="00E84C7A">
        <w:rPr>
          <w:rStyle w:val="Zvraznn"/>
          <w:i w:val="0"/>
        </w:rPr>
        <w:t xml:space="preserve"> </w:t>
      </w:r>
      <w:r w:rsidR="0087561C" w:rsidRPr="00B56141">
        <w:rPr>
          <w:rStyle w:val="Zvraznn"/>
          <w:i w:val="0"/>
        </w:rPr>
        <w:t>Vhodné příklady jsou</w:t>
      </w:r>
      <w:r w:rsidR="00E84C7A" w:rsidRPr="00B56141">
        <w:rPr>
          <w:rStyle w:val="Zvraznn"/>
          <w:i w:val="0"/>
        </w:rPr>
        <w:t xml:space="preserve"> také</w:t>
      </w:r>
      <w:r w:rsidR="0087561C" w:rsidRPr="00B56141">
        <w:rPr>
          <w:rStyle w:val="Zvraznn"/>
          <w:i w:val="0"/>
        </w:rPr>
        <w:t xml:space="preserve"> úpravy </w:t>
      </w:r>
      <w:r w:rsidR="00102693" w:rsidRPr="00B56141">
        <w:rPr>
          <w:rStyle w:val="Zvraznn"/>
          <w:i w:val="0"/>
        </w:rPr>
        <w:t>IIA</w:t>
      </w:r>
      <w:r w:rsidR="0087561C" w:rsidRPr="00B56141">
        <w:rPr>
          <w:rStyle w:val="Zvraznn"/>
          <w:i w:val="0"/>
        </w:rPr>
        <w:t xml:space="preserve"> uzavírané Uruguayí a Austrálií v návaznosti </w:t>
      </w:r>
      <w:r w:rsidR="00FD1D86" w:rsidRPr="00B56141">
        <w:rPr>
          <w:rStyle w:val="Zvraznn"/>
          <w:i w:val="0"/>
        </w:rPr>
        <w:t>na spor</w:t>
      </w:r>
      <w:r w:rsidR="0087561C" w:rsidRPr="00B56141">
        <w:rPr>
          <w:rStyle w:val="Zvraznn"/>
          <w:i w:val="0"/>
        </w:rPr>
        <w:t xml:space="preserve"> s Philip Morris.</w:t>
      </w:r>
      <w:r w:rsidR="0087561C">
        <w:rPr>
          <w:rStyle w:val="Zvraznn"/>
          <w:i w:val="0"/>
        </w:rPr>
        <w:t xml:space="preserve"> </w:t>
      </w:r>
      <w:r w:rsidR="006B4C51">
        <w:rPr>
          <w:rStyle w:val="Zvraznn"/>
          <w:i w:val="0"/>
        </w:rPr>
        <w:t xml:space="preserve">Vlády nebyly spokojeny s dosavadními, příliš vágními formulacemi, vhodnými pro přilákání investic, méně už pak </w:t>
      </w:r>
      <w:r w:rsidR="005169D6">
        <w:rPr>
          <w:rStyle w:val="Zvraznn"/>
          <w:i w:val="0"/>
        </w:rPr>
        <w:t>k</w:t>
      </w:r>
      <w:r w:rsidR="00D15482">
        <w:rPr>
          <w:rStyle w:val="Zvraznn"/>
          <w:i w:val="0"/>
        </w:rPr>
        <w:t xml:space="preserve"> praktickému</w:t>
      </w:r>
      <w:r w:rsidR="005169D6">
        <w:rPr>
          <w:rStyle w:val="Zvraznn"/>
          <w:i w:val="0"/>
        </w:rPr>
        <w:t xml:space="preserve"> řízení státu s ohledem na jeho případnou odpovědnost v době po provedení investice. </w:t>
      </w:r>
      <w:r w:rsidR="003C7684">
        <w:rPr>
          <w:rStyle w:val="Zvraznn"/>
          <w:i w:val="0"/>
        </w:rPr>
        <w:t xml:space="preserve">Nové smlouvy začínají výslovně používat termín nepřímé vyvlastnění, snaží se tedy reflektovat závěry rozhodčích tribunálů. </w:t>
      </w:r>
      <w:r w:rsidR="00F46A17">
        <w:rPr>
          <w:rStyle w:val="Zvraznn"/>
          <w:i w:val="0"/>
        </w:rPr>
        <w:t>Ačkoliv obsahují</w:t>
      </w:r>
      <w:r w:rsidR="00DE6F18">
        <w:rPr>
          <w:rStyle w:val="Zvraznn"/>
          <w:i w:val="0"/>
        </w:rPr>
        <w:t xml:space="preserve"> klasickou definici </w:t>
      </w:r>
      <w:r w:rsidR="00F46A17">
        <w:rPr>
          <w:rStyle w:val="Zvraznn"/>
        </w:rPr>
        <w:t>opatření se srovnatelným účinkem jako vyvlastnění</w:t>
      </w:r>
      <w:r w:rsidR="00F46A17">
        <w:rPr>
          <w:rStyle w:val="Zvraznn"/>
          <w:i w:val="0"/>
        </w:rPr>
        <w:t xml:space="preserve">, </w:t>
      </w:r>
      <w:r w:rsidR="0083347E">
        <w:rPr>
          <w:rStyle w:val="Zvraznn"/>
          <w:i w:val="0"/>
        </w:rPr>
        <w:t xml:space="preserve">nejsou tak konkrétní, že by stanovily, zda </w:t>
      </w:r>
      <w:r w:rsidR="00E714AA">
        <w:rPr>
          <w:rStyle w:val="Zvraznn"/>
          <w:i w:val="0"/>
        </w:rPr>
        <w:t xml:space="preserve">zásah do vlastnického práva musí být úplný nebo pouze částečný, </w:t>
      </w:r>
      <w:r w:rsidR="00B00CB8">
        <w:rPr>
          <w:rStyle w:val="Zvraznn"/>
          <w:i w:val="0"/>
        </w:rPr>
        <w:t>stálý nebo dočasný, nebo zda</w:t>
      </w:r>
      <w:r w:rsidR="00203762">
        <w:rPr>
          <w:rStyle w:val="Zvraznn"/>
          <w:i w:val="0"/>
        </w:rPr>
        <w:t xml:space="preserve"> je</w:t>
      </w:r>
      <w:r w:rsidR="00B00CB8">
        <w:rPr>
          <w:rStyle w:val="Zvraznn"/>
          <w:i w:val="0"/>
        </w:rPr>
        <w:t xml:space="preserve"> v případě podnikání</w:t>
      </w:r>
      <w:r w:rsidR="00203762">
        <w:rPr>
          <w:rStyle w:val="Zvraznn"/>
          <w:i w:val="0"/>
        </w:rPr>
        <w:t xml:space="preserve"> třeba</w:t>
      </w:r>
      <w:r w:rsidR="00B00CB8">
        <w:rPr>
          <w:rStyle w:val="Zvraznn"/>
          <w:i w:val="0"/>
        </w:rPr>
        <w:t xml:space="preserve"> oslabit schopnost investora společnost ovládat.</w:t>
      </w:r>
      <w:r w:rsidR="00085752">
        <w:rPr>
          <w:rStyle w:val="Zvraznn"/>
          <w:i w:val="0"/>
        </w:rPr>
        <w:t xml:space="preserve"> Nezmiňují ani přímo, z</w:t>
      </w:r>
      <w:r w:rsidR="00B3068E">
        <w:rPr>
          <w:rStyle w:val="Zvraznn"/>
          <w:i w:val="0"/>
        </w:rPr>
        <w:t>d</w:t>
      </w:r>
      <w:r w:rsidR="00085752">
        <w:rPr>
          <w:rStyle w:val="Zvraznn"/>
          <w:i w:val="0"/>
        </w:rPr>
        <w:t>a nepřímé vyvlastnění zakládá nedostatek dobré víry nebo přímý zisk státu ze zásahu do práv investora.</w:t>
      </w:r>
      <w:r w:rsidR="00085752">
        <w:rPr>
          <w:rStyle w:val="Znakapoznpodarou"/>
          <w:iCs/>
        </w:rPr>
        <w:footnoteReference w:id="161"/>
      </w:r>
      <w:r w:rsidR="00B00CB8">
        <w:rPr>
          <w:rStyle w:val="Zvraznn"/>
          <w:i w:val="0"/>
        </w:rPr>
        <w:t xml:space="preserve"> </w:t>
      </w:r>
      <w:r w:rsidR="00F66667">
        <w:rPr>
          <w:rStyle w:val="Zvraznn"/>
          <w:i w:val="0"/>
        </w:rPr>
        <w:t xml:space="preserve">Na druhou stranu </w:t>
      </w:r>
      <w:r w:rsidR="003D5D38">
        <w:rPr>
          <w:rStyle w:val="Zvraznn"/>
          <w:i w:val="0"/>
        </w:rPr>
        <w:t xml:space="preserve">se výrazně vymezují proti používání </w:t>
      </w:r>
      <w:r w:rsidR="003D5D38">
        <w:rPr>
          <w:rStyle w:val="Zvraznn"/>
        </w:rPr>
        <w:t>sole effect doctrine</w:t>
      </w:r>
      <w:r w:rsidR="003D5D38">
        <w:rPr>
          <w:rStyle w:val="Zvraznn"/>
          <w:i w:val="0"/>
        </w:rPr>
        <w:t xml:space="preserve">, </w:t>
      </w:r>
      <w:r w:rsidR="00382A17">
        <w:rPr>
          <w:rStyle w:val="Zvraznn"/>
          <w:i w:val="0"/>
        </w:rPr>
        <w:t>smlouvy stanoví, že</w:t>
      </w:r>
      <w:r w:rsidR="009964A2">
        <w:rPr>
          <w:rStyle w:val="Zvraznn"/>
          <w:i w:val="0"/>
        </w:rPr>
        <w:t>:</w:t>
      </w:r>
      <w:r w:rsidR="00045AD8">
        <w:rPr>
          <w:rStyle w:val="Znakapoznpodarou"/>
          <w:iCs/>
        </w:rPr>
        <w:footnoteReference w:id="162"/>
      </w:r>
    </w:p>
    <w:p w14:paraId="09B8D094" w14:textId="53098C1B" w:rsidR="00ED735A" w:rsidRDefault="00B27653" w:rsidP="009E6048">
      <w:pPr>
        <w:pStyle w:val="Odstavecseseznamem"/>
        <w:numPr>
          <w:ilvl w:val="0"/>
          <w:numId w:val="23"/>
        </w:numPr>
        <w:spacing w:line="360" w:lineRule="auto"/>
        <w:jc w:val="both"/>
        <w:rPr>
          <w:rStyle w:val="Zvraznn"/>
          <w:i w:val="0"/>
        </w:rPr>
      </w:pPr>
      <w:r>
        <w:rPr>
          <w:rStyle w:val="Zvraznn"/>
          <w:i w:val="0"/>
        </w:rPr>
        <w:t xml:space="preserve">negativní </w:t>
      </w:r>
      <w:r w:rsidR="00382A17">
        <w:rPr>
          <w:rStyle w:val="Zvraznn"/>
          <w:i w:val="0"/>
        </w:rPr>
        <w:t>ekonomický vliv</w:t>
      </w:r>
      <w:r w:rsidR="009D4D65">
        <w:rPr>
          <w:rStyle w:val="Zvraznn"/>
          <w:i w:val="0"/>
        </w:rPr>
        <w:t xml:space="preserve"> zásahu státu</w:t>
      </w:r>
      <w:r w:rsidR="00382A17">
        <w:rPr>
          <w:rStyle w:val="Zvraznn"/>
          <w:i w:val="0"/>
        </w:rPr>
        <w:t xml:space="preserve"> na investici</w:t>
      </w:r>
      <w:r w:rsidR="00C73ACE">
        <w:rPr>
          <w:rStyle w:val="Zvraznn"/>
          <w:i w:val="0"/>
        </w:rPr>
        <w:t xml:space="preserve"> je třeba vzít v potaz, ale</w:t>
      </w:r>
      <w:r w:rsidR="00382A17">
        <w:rPr>
          <w:rStyle w:val="Zvraznn"/>
          <w:i w:val="0"/>
        </w:rPr>
        <w:t xml:space="preserve"> sám o sobě </w:t>
      </w:r>
      <w:r w:rsidR="00B8241B">
        <w:rPr>
          <w:rStyle w:val="Zvraznn"/>
          <w:i w:val="0"/>
        </w:rPr>
        <w:t>nezakládá nepřímé vyvlastnění</w:t>
      </w:r>
      <w:r w:rsidR="00030866">
        <w:rPr>
          <w:rStyle w:val="Zvraznn"/>
          <w:i w:val="0"/>
        </w:rPr>
        <w:t>,</w:t>
      </w:r>
    </w:p>
    <w:p w14:paraId="1E04FBD7" w14:textId="3AD330F2" w:rsidR="00ED735A" w:rsidRDefault="00D86E0A" w:rsidP="009E6048">
      <w:pPr>
        <w:pStyle w:val="Odstavecseseznamem"/>
        <w:numPr>
          <w:ilvl w:val="0"/>
          <w:numId w:val="23"/>
        </w:numPr>
        <w:spacing w:line="360" w:lineRule="auto"/>
        <w:jc w:val="both"/>
        <w:rPr>
          <w:rStyle w:val="Zvraznn"/>
          <w:i w:val="0"/>
        </w:rPr>
      </w:pPr>
      <w:r>
        <w:rPr>
          <w:rStyle w:val="Zvraznn"/>
          <w:i w:val="0"/>
        </w:rPr>
        <w:t>je třeba zvážit povahu</w:t>
      </w:r>
      <w:r w:rsidR="00030866">
        <w:rPr>
          <w:rStyle w:val="Zvraznn"/>
          <w:i w:val="0"/>
        </w:rPr>
        <w:t>, účel, a okolnosti zavedení opatření</w:t>
      </w:r>
      <w:r w:rsidR="00ED735A">
        <w:rPr>
          <w:rStyle w:val="Zvraznn"/>
          <w:i w:val="0"/>
        </w:rPr>
        <w:t xml:space="preserve"> a</w:t>
      </w:r>
      <w:r w:rsidR="00572F42">
        <w:rPr>
          <w:rStyle w:val="Zvraznn"/>
          <w:i w:val="0"/>
        </w:rPr>
        <w:t xml:space="preserve"> </w:t>
      </w:r>
    </w:p>
    <w:p w14:paraId="2A2F908F" w14:textId="0990B1B2" w:rsidR="00ED735A" w:rsidRDefault="00ED735A" w:rsidP="009E6048">
      <w:pPr>
        <w:pStyle w:val="Odstavecseseznamem"/>
        <w:numPr>
          <w:ilvl w:val="0"/>
          <w:numId w:val="23"/>
        </w:numPr>
        <w:spacing w:line="360" w:lineRule="auto"/>
        <w:jc w:val="both"/>
        <w:rPr>
          <w:rStyle w:val="Zvraznn"/>
          <w:i w:val="0"/>
        </w:rPr>
      </w:pPr>
      <w:r>
        <w:rPr>
          <w:rStyle w:val="Zvraznn"/>
          <w:i w:val="0"/>
        </w:rPr>
        <w:t xml:space="preserve">rozsah, ve kterém opatření státu zasahuje do jasných a rozumných, na dosavadním stavu investice založených očekávání </w:t>
      </w:r>
      <w:r w:rsidR="00085752">
        <w:rPr>
          <w:rStyle w:val="Zvraznn"/>
          <w:i w:val="0"/>
        </w:rPr>
        <w:t>(včetně zhodnocení, jak regulované bylo odvětví před učiněním opatření)</w:t>
      </w:r>
    </w:p>
    <w:p w14:paraId="744A2508" w14:textId="0908178C" w:rsidR="00A56ADA" w:rsidRDefault="005A5C69" w:rsidP="003F089A">
      <w:pPr>
        <w:pStyle w:val="Odstavecseseznamem"/>
        <w:spacing w:line="360" w:lineRule="auto"/>
        <w:ind w:left="142" w:firstLine="654"/>
        <w:jc w:val="both"/>
        <w:rPr>
          <w:rStyle w:val="Zvraznn"/>
          <w:i w:val="0"/>
        </w:rPr>
      </w:pPr>
      <w:r>
        <w:rPr>
          <w:rStyle w:val="Zvraznn"/>
          <w:i w:val="0"/>
        </w:rPr>
        <w:t xml:space="preserve">Tato kritéria jsou převzata doslovně z modelové BIT USA, obě smlouvy zdůrazňují, že je třeba posuzovat konkrétní zvláštní okolnosti každého případu. </w:t>
      </w:r>
      <w:r w:rsidR="00FB25D5">
        <w:rPr>
          <w:rStyle w:val="Zvraznn"/>
          <w:i w:val="0"/>
        </w:rPr>
        <w:t xml:space="preserve">Kromě naprosto </w:t>
      </w:r>
      <w:r w:rsidR="00FB25D5">
        <w:rPr>
          <w:rStyle w:val="Zvraznn"/>
          <w:i w:val="0"/>
        </w:rPr>
        <w:lastRenderedPageBreak/>
        <w:t>výjimečných případů nemají být nediskriminační</w:t>
      </w:r>
      <w:r w:rsidR="00B27653">
        <w:rPr>
          <w:rStyle w:val="Zvraznn"/>
          <w:i w:val="0"/>
        </w:rPr>
        <w:t xml:space="preserve"> zásahy, které jsou uskutečněny k ochraně veřejných zájmů, jako veřejné zdraví, bezpečnost nebo životní prostředí, považovány za nepřímé vyvlastnění.</w:t>
      </w:r>
      <w:r w:rsidR="004D0E95">
        <w:rPr>
          <w:rStyle w:val="Znakapoznpodarou"/>
          <w:iCs/>
        </w:rPr>
        <w:footnoteReference w:id="163"/>
      </w:r>
      <w:r w:rsidR="00741AB1" w:rsidRPr="00741AB1">
        <w:rPr>
          <w:rStyle w:val="Zvraznn"/>
          <w:i w:val="0"/>
        </w:rPr>
        <w:t xml:space="preserve"> </w:t>
      </w:r>
      <w:r w:rsidR="00741AB1">
        <w:rPr>
          <w:rStyle w:val="Zvraznn"/>
          <w:i w:val="0"/>
        </w:rPr>
        <w:t>Modelové smlouvy USA a Kanady mají přílohy</w:t>
      </w:r>
      <w:r w:rsidR="00B41BA2">
        <w:rPr>
          <w:rStyle w:val="Zvraznn"/>
          <w:i w:val="0"/>
        </w:rPr>
        <w:t xml:space="preserve"> takto</w:t>
      </w:r>
      <w:r w:rsidR="00741AB1">
        <w:rPr>
          <w:rStyle w:val="Zvraznn"/>
          <w:i w:val="0"/>
        </w:rPr>
        <w:t xml:space="preserve"> upravující</w:t>
      </w:r>
      <w:r w:rsidR="00B41BA2">
        <w:rPr>
          <w:rStyle w:val="Zvraznn"/>
          <w:i w:val="0"/>
        </w:rPr>
        <w:t xml:space="preserve"> nepřímé</w:t>
      </w:r>
      <w:r w:rsidR="00741AB1">
        <w:rPr>
          <w:rStyle w:val="Zvraznn"/>
          <w:i w:val="0"/>
        </w:rPr>
        <w:t xml:space="preserve"> vyvlastnění od roku 2004. Spojené státy</w:t>
      </w:r>
      <w:r w:rsidR="00CE7B67">
        <w:rPr>
          <w:rStyle w:val="Zvraznn"/>
          <w:i w:val="0"/>
        </w:rPr>
        <w:t xml:space="preserve"> se</w:t>
      </w:r>
      <w:r w:rsidR="00741AB1">
        <w:rPr>
          <w:rStyle w:val="Zvraznn"/>
          <w:i w:val="0"/>
        </w:rPr>
        <w:t xml:space="preserve"> i</w:t>
      </w:r>
      <w:r w:rsidR="00431C6B">
        <w:rPr>
          <w:rStyle w:val="Zvraznn"/>
          <w:i w:val="0"/>
        </w:rPr>
        <w:t xml:space="preserve"> změnou smluv zasadily o udržení své</w:t>
      </w:r>
      <w:r w:rsidR="00741AB1">
        <w:rPr>
          <w:rStyle w:val="Zvraznn"/>
          <w:i w:val="0"/>
        </w:rPr>
        <w:t xml:space="preserve"> prozatímní neporazitelnost v pozici žalovaného státu.</w:t>
      </w:r>
      <w:r w:rsidR="00741AB1">
        <w:rPr>
          <w:rStyle w:val="Znakapoznpodarou"/>
          <w:iCs/>
        </w:rPr>
        <w:footnoteReference w:id="164"/>
      </w:r>
      <w:r w:rsidR="00386784">
        <w:rPr>
          <w:rStyle w:val="Zvraznn"/>
          <w:i w:val="0"/>
        </w:rPr>
        <w:t xml:space="preserve"> Modelová BIT Indie </w:t>
      </w:r>
      <w:r w:rsidR="008E0ECA">
        <w:rPr>
          <w:rStyle w:val="Zvraznn"/>
          <w:i w:val="0"/>
        </w:rPr>
        <w:t xml:space="preserve">k okolnostem, které je třeba zvážit pro označení opatření jako vyvlastnění, přidává </w:t>
      </w:r>
      <w:r w:rsidR="00D86E0A">
        <w:rPr>
          <w:rStyle w:val="Zvraznn"/>
          <w:i w:val="0"/>
        </w:rPr>
        <w:t>délku doby, po kterou jsou vlastnická práva narušena.</w:t>
      </w:r>
      <w:r w:rsidR="00664059">
        <w:rPr>
          <w:rStyle w:val="Znakapoznpodarou"/>
          <w:iCs/>
        </w:rPr>
        <w:footnoteReference w:id="165"/>
      </w:r>
    </w:p>
    <w:p w14:paraId="7CFF7A87" w14:textId="401705FB" w:rsidR="00FE4F27" w:rsidRPr="00F2104D" w:rsidRDefault="00D71116" w:rsidP="0064276C">
      <w:pPr>
        <w:pStyle w:val="Nadpis2"/>
        <w:rPr>
          <w:rStyle w:val="Zvraznn"/>
          <w:i w:val="0"/>
        </w:rPr>
      </w:pPr>
      <w:bookmarkStart w:id="32" w:name="_Toc479697293"/>
      <w:r w:rsidRPr="00F2104D">
        <w:rPr>
          <w:rStyle w:val="Zvraznn"/>
          <w:i w:val="0"/>
        </w:rPr>
        <w:t>CETA a právo na regulaci</w:t>
      </w:r>
      <w:bookmarkEnd w:id="32"/>
    </w:p>
    <w:p w14:paraId="59A400FD" w14:textId="3F083A8C" w:rsidR="00330C95" w:rsidRDefault="001F7AF1" w:rsidP="00D059F1">
      <w:pPr>
        <w:pStyle w:val="Odstavecseseznamem"/>
        <w:spacing w:line="360" w:lineRule="auto"/>
        <w:ind w:left="142" w:firstLine="654"/>
        <w:jc w:val="both"/>
        <w:rPr>
          <w:rStyle w:val="Zvraznn"/>
          <w:i w:val="0"/>
        </w:rPr>
      </w:pPr>
      <w:r w:rsidRPr="001F7AF1">
        <w:rPr>
          <w:rStyle w:val="Zvraznn"/>
          <w:i w:val="0"/>
        </w:rPr>
        <w:t>Evropská komise deklaruje, že</w:t>
      </w:r>
      <w:r>
        <w:rPr>
          <w:rStyle w:val="Zvraznn"/>
          <w:i w:val="0"/>
        </w:rPr>
        <w:t xml:space="preserve"> IIA by měly být </w:t>
      </w:r>
      <w:r w:rsidR="00F51B5A">
        <w:rPr>
          <w:rStyle w:val="Zvraznn"/>
          <w:i w:val="0"/>
        </w:rPr>
        <w:t xml:space="preserve">v souladu s dalšími principy unijní politiky, </w:t>
      </w:r>
      <w:r w:rsidR="00A729D2">
        <w:rPr>
          <w:rStyle w:val="Zvraznn"/>
          <w:i w:val="0"/>
        </w:rPr>
        <w:t xml:space="preserve">včetně ochrany životního prostředí, práv zaměstnanců, </w:t>
      </w:r>
      <w:r w:rsidR="00030CF7">
        <w:rPr>
          <w:rStyle w:val="Zvraznn"/>
          <w:i w:val="0"/>
        </w:rPr>
        <w:t xml:space="preserve">ochrany spotřebitele, hospodářského rozvoje a </w:t>
      </w:r>
      <w:r w:rsidR="00D44850">
        <w:rPr>
          <w:rStyle w:val="Zvraznn"/>
          <w:i w:val="0"/>
        </w:rPr>
        <w:t xml:space="preserve">rovné hospodářské soutěže. </w:t>
      </w:r>
      <w:r w:rsidR="00377274">
        <w:rPr>
          <w:rStyle w:val="Zvraznn"/>
          <w:i w:val="0"/>
        </w:rPr>
        <w:t xml:space="preserve">Společná obchodní politika, pod kterou sjednávání IIA patří, by </w:t>
      </w:r>
      <w:r w:rsidR="0011250E">
        <w:rPr>
          <w:rStyle w:val="Zvraznn"/>
          <w:i w:val="0"/>
        </w:rPr>
        <w:t>toto měla zajistit.</w:t>
      </w:r>
      <w:r w:rsidR="009B0DBA">
        <w:rPr>
          <w:rStyle w:val="Znakapoznpodarou"/>
          <w:iCs/>
        </w:rPr>
        <w:footnoteReference w:id="166"/>
      </w:r>
      <w:r w:rsidR="0011250E">
        <w:rPr>
          <w:rStyle w:val="Zvraznn"/>
          <w:i w:val="0"/>
        </w:rPr>
        <w:t xml:space="preserve"> </w:t>
      </w:r>
      <w:r w:rsidR="00E82572">
        <w:rPr>
          <w:rStyle w:val="Zvraznn"/>
          <w:i w:val="0"/>
        </w:rPr>
        <w:t>Nejnovější</w:t>
      </w:r>
      <w:r w:rsidRPr="001F7AF1">
        <w:rPr>
          <w:rStyle w:val="Zvraznn"/>
          <w:i w:val="0"/>
        </w:rPr>
        <w:t xml:space="preserve"> </w:t>
      </w:r>
      <w:r w:rsidR="007A2E0E">
        <w:rPr>
          <w:rStyle w:val="Zvraznn"/>
          <w:i w:val="0"/>
        </w:rPr>
        <w:t xml:space="preserve">sjednanou FTA </w:t>
      </w:r>
      <w:r w:rsidR="00066556">
        <w:rPr>
          <w:rStyle w:val="Zvraznn"/>
          <w:i w:val="0"/>
        </w:rPr>
        <w:t>obsahující mechanismus arbitráže je</w:t>
      </w:r>
      <w:r w:rsidR="00C02FFA">
        <w:rPr>
          <w:rStyle w:val="Zvraznn"/>
          <w:i w:val="0"/>
        </w:rPr>
        <w:t xml:space="preserve"> </w:t>
      </w:r>
      <w:r w:rsidR="008C1057" w:rsidRPr="00177926">
        <w:rPr>
          <w:iCs/>
        </w:rPr>
        <w:t>Komplexní hospodářská a obchodní dohoda</w:t>
      </w:r>
      <w:r w:rsidR="008C1057">
        <w:rPr>
          <w:iCs/>
        </w:rPr>
        <w:t xml:space="preserve"> mezi EU a Kanadou</w:t>
      </w:r>
      <w:r w:rsidR="005F693D">
        <w:rPr>
          <w:rStyle w:val="Zvraznn"/>
          <w:i w:val="0"/>
        </w:rPr>
        <w:t xml:space="preserve"> </w:t>
      </w:r>
      <w:r w:rsidR="009B0DBA">
        <w:rPr>
          <w:rStyle w:val="Zvraznn"/>
          <w:i w:val="0"/>
        </w:rPr>
        <w:t>(CETA). Ta má v současnosti konečnou podobu a probíhá proces její ratifikace.</w:t>
      </w:r>
    </w:p>
    <w:p w14:paraId="4F296580" w14:textId="7080B94E" w:rsidR="00365889" w:rsidRDefault="00EF0007" w:rsidP="00D059F1">
      <w:pPr>
        <w:pStyle w:val="Odstavecseseznamem"/>
        <w:spacing w:line="360" w:lineRule="auto"/>
        <w:ind w:left="142" w:firstLine="654"/>
        <w:jc w:val="both"/>
        <w:rPr>
          <w:rStyle w:val="Zvraznn"/>
          <w:i w:val="0"/>
        </w:rPr>
      </w:pPr>
      <w:r>
        <w:rPr>
          <w:rStyle w:val="Zvraznn"/>
          <w:i w:val="0"/>
        </w:rPr>
        <w:t>CETA</w:t>
      </w:r>
      <w:r w:rsidR="003220D9">
        <w:rPr>
          <w:rStyle w:val="Zvraznn"/>
          <w:i w:val="0"/>
        </w:rPr>
        <w:t xml:space="preserve"> shrnuje poznatky z předchozích podkapitol a při zachování standardů o</w:t>
      </w:r>
      <w:r w:rsidR="00B85F0B">
        <w:rPr>
          <w:rStyle w:val="Zvraznn"/>
          <w:i w:val="0"/>
        </w:rPr>
        <w:t>chrany vybírá přístup</w:t>
      </w:r>
      <w:r w:rsidR="00B737D0">
        <w:rPr>
          <w:rStyle w:val="Zvraznn"/>
          <w:i w:val="0"/>
        </w:rPr>
        <w:t>y, které</w:t>
      </w:r>
      <w:r w:rsidR="0098253A">
        <w:rPr>
          <w:rStyle w:val="Zvraznn"/>
          <w:i w:val="0"/>
        </w:rPr>
        <w:t xml:space="preserve"> zohledňují</w:t>
      </w:r>
      <w:r w:rsidR="00B85F0B">
        <w:rPr>
          <w:rStyle w:val="Zvraznn"/>
          <w:i w:val="0"/>
        </w:rPr>
        <w:t xml:space="preserve"> nejširší uplatnění </w:t>
      </w:r>
      <w:r w:rsidR="00B85F0B">
        <w:rPr>
          <w:rStyle w:val="Zvraznn"/>
        </w:rPr>
        <w:t xml:space="preserve">police powers </w:t>
      </w:r>
      <w:r w:rsidR="00B85F0B">
        <w:rPr>
          <w:rStyle w:val="Zvraznn"/>
          <w:i w:val="0"/>
        </w:rPr>
        <w:t xml:space="preserve">státu. </w:t>
      </w:r>
      <w:r w:rsidR="000B7E43">
        <w:rPr>
          <w:rStyle w:val="Zvraznn"/>
          <w:i w:val="0"/>
        </w:rPr>
        <w:t>V úvodní proklamaci k ochraně investic</w:t>
      </w:r>
      <w:r w:rsidR="001339F3">
        <w:rPr>
          <w:rStyle w:val="Zvraznn"/>
          <w:i w:val="0"/>
        </w:rPr>
        <w:t xml:space="preserve"> opět strany</w:t>
      </w:r>
      <w:r w:rsidR="000B7E43">
        <w:rPr>
          <w:rStyle w:val="Zvraznn"/>
          <w:i w:val="0"/>
        </w:rPr>
        <w:t xml:space="preserve"> </w:t>
      </w:r>
      <w:r w:rsidR="001339F3">
        <w:rPr>
          <w:rStyle w:val="Zvraznn"/>
          <w:i w:val="0"/>
        </w:rPr>
        <w:t>vyjadřují</w:t>
      </w:r>
      <w:r w:rsidR="000B7E43">
        <w:rPr>
          <w:rStyle w:val="Zvraznn"/>
          <w:i w:val="0"/>
        </w:rPr>
        <w:t xml:space="preserve"> právo na regulaci ve veřejn</w:t>
      </w:r>
      <w:r w:rsidR="009D2386">
        <w:rPr>
          <w:rStyle w:val="Zvraznn"/>
          <w:i w:val="0"/>
        </w:rPr>
        <w:t>ém</w:t>
      </w:r>
      <w:r w:rsidR="00341451">
        <w:rPr>
          <w:rStyle w:val="Zvraznn"/>
          <w:i w:val="0"/>
        </w:rPr>
        <w:t xml:space="preserve"> zájmu</w:t>
      </w:r>
      <w:r w:rsidR="009D2386">
        <w:rPr>
          <w:rStyle w:val="Zvraznn"/>
          <w:i w:val="0"/>
        </w:rPr>
        <w:t xml:space="preserve"> </w:t>
      </w:r>
      <w:r w:rsidR="00C961B9">
        <w:rPr>
          <w:rStyle w:val="Zvraznn"/>
          <w:i w:val="0"/>
        </w:rPr>
        <w:t>(</w:t>
      </w:r>
      <w:r w:rsidR="009D2386">
        <w:rPr>
          <w:rStyle w:val="Zvraznn"/>
          <w:i w:val="0"/>
        </w:rPr>
        <w:t>včetně příkladů</w:t>
      </w:r>
      <w:r w:rsidR="00C961B9">
        <w:rPr>
          <w:rStyle w:val="Zvraznn"/>
          <w:i w:val="0"/>
        </w:rPr>
        <w:t>)</w:t>
      </w:r>
      <w:r w:rsidR="009D2386">
        <w:rPr>
          <w:rStyle w:val="Zvraznn"/>
          <w:i w:val="0"/>
        </w:rPr>
        <w:t xml:space="preserve"> a uvádějí, že v takových případech nebude poskytnuta kompenzace za poškození investice včetně očekávaných výnosů</w:t>
      </w:r>
      <w:r w:rsidR="000B7E43">
        <w:rPr>
          <w:rStyle w:val="Zvraznn"/>
          <w:i w:val="0"/>
        </w:rPr>
        <w:t xml:space="preserve">. </w:t>
      </w:r>
      <w:r w:rsidR="00811B0E">
        <w:rPr>
          <w:rStyle w:val="Zvraznn"/>
          <w:i w:val="0"/>
        </w:rPr>
        <w:t>Toto se vztahuje i na ne</w:t>
      </w:r>
      <w:r w:rsidR="000B78AF">
        <w:rPr>
          <w:rStyle w:val="Zvraznn"/>
          <w:i w:val="0"/>
        </w:rPr>
        <w:t>přiznání nebo neobnovení dotací.</w:t>
      </w:r>
    </w:p>
    <w:p w14:paraId="5B872163" w14:textId="71C49795" w:rsidR="00166026" w:rsidRDefault="007C73DE" w:rsidP="00D059F1">
      <w:pPr>
        <w:pStyle w:val="Odstavecseseznamem"/>
        <w:spacing w:line="360" w:lineRule="auto"/>
        <w:ind w:left="142" w:firstLine="654"/>
        <w:jc w:val="both"/>
        <w:rPr>
          <w:rStyle w:val="Zvraznn"/>
          <w:i w:val="0"/>
        </w:rPr>
      </w:pPr>
      <w:r>
        <w:rPr>
          <w:rStyle w:val="Zvraznn"/>
          <w:i w:val="0"/>
        </w:rPr>
        <w:t>Dále se smlouva věnuje i přesnému vymezení hmotněprávních standardů. Definice FET je zde poměrně přesná a kopíruje výklad NAFTA a americké BIT</w:t>
      </w:r>
      <w:r w:rsidR="00B737D0">
        <w:rPr>
          <w:rStyle w:val="Zvraznn"/>
          <w:i w:val="0"/>
        </w:rPr>
        <w:t xml:space="preserve">, některými autory je </w:t>
      </w:r>
      <w:r w:rsidR="00B737D0">
        <w:rPr>
          <w:rStyle w:val="Zvraznn"/>
          <w:i w:val="0"/>
        </w:rPr>
        <w:lastRenderedPageBreak/>
        <w:t>označována za kodifikaci rozhodovací praxe NAFTA</w:t>
      </w:r>
      <w:r w:rsidR="00365889">
        <w:rPr>
          <w:rStyle w:val="Zvraznn"/>
          <w:i w:val="0"/>
        </w:rPr>
        <w:t>.</w:t>
      </w:r>
      <w:r w:rsidR="00B3395D">
        <w:rPr>
          <w:rStyle w:val="Znakapoznpodarou"/>
          <w:iCs/>
        </w:rPr>
        <w:footnoteReference w:id="167"/>
      </w:r>
      <w:r w:rsidR="00DB1EA2">
        <w:rPr>
          <w:rStyle w:val="Zvraznn"/>
          <w:i w:val="0"/>
        </w:rPr>
        <w:t xml:space="preserve"> </w:t>
      </w:r>
      <w:r w:rsidR="00166026">
        <w:rPr>
          <w:rStyle w:val="Zvraznn"/>
          <w:i w:val="0"/>
        </w:rPr>
        <w:t>Zásah státu poruší FET, pokud se jedná o:</w:t>
      </w:r>
    </w:p>
    <w:p w14:paraId="55C341F4" w14:textId="77777777" w:rsidR="00166026" w:rsidRDefault="00166026" w:rsidP="00F5212C">
      <w:pPr>
        <w:pStyle w:val="Odstavecseseznamem"/>
        <w:numPr>
          <w:ilvl w:val="0"/>
          <w:numId w:val="24"/>
        </w:numPr>
        <w:spacing w:line="360" w:lineRule="auto"/>
        <w:ind w:left="1560" w:hanging="426"/>
        <w:jc w:val="both"/>
        <w:rPr>
          <w:rStyle w:val="Zvraznn"/>
          <w:i w:val="0"/>
        </w:rPr>
      </w:pPr>
      <w:r>
        <w:rPr>
          <w:rStyle w:val="Zvraznn"/>
          <w:i w:val="0"/>
        </w:rPr>
        <w:t>Odepření spravedlnosti v soudním nebo správním řízení</w:t>
      </w:r>
    </w:p>
    <w:p w14:paraId="61B35C90" w14:textId="77777777" w:rsidR="001D6817" w:rsidRDefault="001D6817" w:rsidP="00F5212C">
      <w:pPr>
        <w:pStyle w:val="Odstavecseseznamem"/>
        <w:numPr>
          <w:ilvl w:val="0"/>
          <w:numId w:val="24"/>
        </w:numPr>
        <w:spacing w:line="360" w:lineRule="auto"/>
        <w:ind w:left="1560" w:hanging="426"/>
        <w:jc w:val="both"/>
        <w:rPr>
          <w:rStyle w:val="Zvraznn"/>
          <w:i w:val="0"/>
        </w:rPr>
      </w:pPr>
      <w:r>
        <w:rPr>
          <w:rStyle w:val="Zvraznn"/>
          <w:i w:val="0"/>
        </w:rPr>
        <w:t>Zásadní porušení pravidel spravedlivého procesu, včetně principu veřejnosti</w:t>
      </w:r>
    </w:p>
    <w:p w14:paraId="798E7277" w14:textId="6AFE2AEE" w:rsidR="005032D8" w:rsidRDefault="005032D8" w:rsidP="00F5212C">
      <w:pPr>
        <w:pStyle w:val="Odstavecseseznamem"/>
        <w:numPr>
          <w:ilvl w:val="0"/>
          <w:numId w:val="24"/>
        </w:numPr>
        <w:spacing w:line="360" w:lineRule="auto"/>
        <w:ind w:left="1560" w:hanging="426"/>
        <w:jc w:val="both"/>
        <w:rPr>
          <w:rStyle w:val="Zvraznn"/>
          <w:i w:val="0"/>
        </w:rPr>
      </w:pPr>
      <w:r>
        <w:rPr>
          <w:rStyle w:val="Zvraznn"/>
          <w:i w:val="0"/>
        </w:rPr>
        <w:t>Cílenou diskriminaci na zjevně nespravedlivém základě</w:t>
      </w:r>
    </w:p>
    <w:p w14:paraId="33C1D416" w14:textId="58402F3E" w:rsidR="00992BE6" w:rsidRDefault="00992BE6" w:rsidP="00F5212C">
      <w:pPr>
        <w:pStyle w:val="Odstavecseseznamem"/>
        <w:numPr>
          <w:ilvl w:val="0"/>
          <w:numId w:val="24"/>
        </w:numPr>
        <w:spacing w:line="360" w:lineRule="auto"/>
        <w:ind w:left="1560" w:hanging="426"/>
        <w:jc w:val="both"/>
        <w:rPr>
          <w:rStyle w:val="Zvraznn"/>
          <w:i w:val="0"/>
        </w:rPr>
      </w:pPr>
      <w:r>
        <w:rPr>
          <w:rStyle w:val="Zvraznn"/>
          <w:i w:val="0"/>
        </w:rPr>
        <w:t xml:space="preserve">Zjevnou </w:t>
      </w:r>
      <w:r w:rsidR="00726D6B">
        <w:rPr>
          <w:rStyle w:val="Zvraznn"/>
          <w:i w:val="0"/>
        </w:rPr>
        <w:t>svévolnost</w:t>
      </w:r>
    </w:p>
    <w:p w14:paraId="077AC582" w14:textId="3AE24EC9" w:rsidR="00992BE6" w:rsidRDefault="00992BE6" w:rsidP="00F5212C">
      <w:pPr>
        <w:pStyle w:val="Odstavecseseznamem"/>
        <w:numPr>
          <w:ilvl w:val="0"/>
          <w:numId w:val="24"/>
        </w:numPr>
        <w:spacing w:line="360" w:lineRule="auto"/>
        <w:ind w:left="1560" w:hanging="426"/>
        <w:jc w:val="both"/>
        <w:rPr>
          <w:rStyle w:val="Zvraznn"/>
          <w:i w:val="0"/>
        </w:rPr>
      </w:pPr>
      <w:r>
        <w:rPr>
          <w:rStyle w:val="Zvraznn"/>
          <w:i w:val="0"/>
        </w:rPr>
        <w:t>Šikanózní</w:t>
      </w:r>
      <w:r w:rsidR="00B06B8B">
        <w:rPr>
          <w:rStyle w:val="Zvraznn"/>
          <w:i w:val="0"/>
        </w:rPr>
        <w:t xml:space="preserve"> a nátlakové</w:t>
      </w:r>
      <w:r>
        <w:rPr>
          <w:rStyle w:val="Zvraznn"/>
          <w:i w:val="0"/>
        </w:rPr>
        <w:t xml:space="preserve"> zacházení s investorem</w:t>
      </w:r>
    </w:p>
    <w:p w14:paraId="4218CC83" w14:textId="77777777" w:rsidR="00EA7B30" w:rsidRDefault="00D61E4C" w:rsidP="00B807EC">
      <w:pPr>
        <w:pStyle w:val="Odstavecseseznamem"/>
        <w:spacing w:line="360" w:lineRule="auto"/>
        <w:ind w:left="142" w:firstLine="654"/>
        <w:jc w:val="both"/>
        <w:rPr>
          <w:rStyle w:val="Zvraznn"/>
          <w:i w:val="0"/>
        </w:rPr>
      </w:pPr>
      <w:r>
        <w:rPr>
          <w:rStyle w:val="Zvraznn"/>
          <w:i w:val="0"/>
        </w:rPr>
        <w:t>Samostatně, jako eventualitu, dodává ještě legitimní očekávání: „</w:t>
      </w:r>
      <w:r w:rsidRPr="00FE0338">
        <w:rPr>
          <w:rStyle w:val="Zvraznn"/>
        </w:rPr>
        <w:t>Při aplikaci standardu FET může tribunál vzít v úvahu konkrétní záruku investorovi, na základě k</w:t>
      </w:r>
      <w:r w:rsidR="00047AA6" w:rsidRPr="00FE0338">
        <w:rPr>
          <w:rStyle w:val="Zvraznn"/>
        </w:rPr>
        <w:t>teré byla investice uskutečněna, a kte</w:t>
      </w:r>
      <w:r w:rsidR="00FE0338" w:rsidRPr="00FE0338">
        <w:rPr>
          <w:rStyle w:val="Zvraznn"/>
        </w:rPr>
        <w:t>rá vyvolala oprávněná očekávání, následně státem porušená</w:t>
      </w:r>
      <w:r w:rsidR="00FE0338">
        <w:rPr>
          <w:rStyle w:val="Zvraznn"/>
          <w:i w:val="0"/>
        </w:rPr>
        <w:t>.“</w:t>
      </w:r>
      <w:r>
        <w:rPr>
          <w:rStyle w:val="Zvraznn"/>
          <w:i w:val="0"/>
        </w:rPr>
        <w:t xml:space="preserve"> </w:t>
      </w:r>
      <w:r w:rsidR="000536E5">
        <w:rPr>
          <w:rStyle w:val="Zvraznn"/>
          <w:i w:val="0"/>
        </w:rPr>
        <w:t xml:space="preserve">Výčet nicméně nemusí být konečný, </w:t>
      </w:r>
      <w:r w:rsidR="00B32C22">
        <w:rPr>
          <w:rStyle w:val="Zvraznn"/>
          <w:i w:val="0"/>
        </w:rPr>
        <w:t>strany mohou další obsah doplnit na návrh jedné z nich i po vstoupení smlouvy v platnost</w:t>
      </w:r>
      <w:r w:rsidR="00B807EC">
        <w:rPr>
          <w:rStyle w:val="Zvraznn"/>
          <w:i w:val="0"/>
        </w:rPr>
        <w:t>.</w:t>
      </w:r>
      <w:r w:rsidR="000B78AF">
        <w:rPr>
          <w:rStyle w:val="Zvraznn"/>
          <w:i w:val="0"/>
        </w:rPr>
        <w:t xml:space="preserve"> Výslovně je však zmíněno, že porušení vnitrostátního (a evropského) práva nezakládá porušení standardu.</w:t>
      </w:r>
    </w:p>
    <w:p w14:paraId="7A193A82" w14:textId="296F7403" w:rsidR="006B7F1E" w:rsidRPr="006B7F1E" w:rsidRDefault="00905EC7" w:rsidP="006B7F1E">
      <w:pPr>
        <w:pStyle w:val="Odstavecseseznamem"/>
        <w:spacing w:line="360" w:lineRule="auto"/>
        <w:ind w:left="142" w:firstLine="654"/>
        <w:jc w:val="both"/>
        <w:rPr>
          <w:rStyle w:val="Zvraznn"/>
          <w:i w:val="0"/>
        </w:rPr>
      </w:pPr>
      <w:r>
        <w:rPr>
          <w:rStyle w:val="Zvraznn"/>
          <w:i w:val="0"/>
        </w:rPr>
        <w:t>K otázce vyvl</w:t>
      </w:r>
      <w:r w:rsidR="00127B2C">
        <w:rPr>
          <w:rStyle w:val="Zvraznn"/>
          <w:i w:val="0"/>
        </w:rPr>
        <w:t>astnění se staví naprosto stejně</w:t>
      </w:r>
      <w:r>
        <w:rPr>
          <w:rStyle w:val="Zvraznn"/>
          <w:i w:val="0"/>
        </w:rPr>
        <w:t xml:space="preserve"> jako výše uvedené modelové smlouvy</w:t>
      </w:r>
      <w:r w:rsidR="00CA02A5">
        <w:rPr>
          <w:rStyle w:val="Zvraznn"/>
          <w:i w:val="0"/>
        </w:rPr>
        <w:t>, obsahuje stejně</w:t>
      </w:r>
      <w:r w:rsidR="00127B2C">
        <w:rPr>
          <w:rStyle w:val="Zvraznn"/>
          <w:i w:val="0"/>
        </w:rPr>
        <w:t xml:space="preserve"> formulované hranice legitimních opatření, </w:t>
      </w:r>
      <w:r w:rsidR="00727AE2">
        <w:rPr>
          <w:rStyle w:val="Zvraznn"/>
          <w:i w:val="0"/>
        </w:rPr>
        <w:t>také tedy zdůrazňuje příklon k </w:t>
      </w:r>
      <w:r w:rsidR="00727AE2">
        <w:rPr>
          <w:rStyle w:val="Zvraznn"/>
        </w:rPr>
        <w:t>police powers doctrine</w:t>
      </w:r>
      <w:r w:rsidR="00727AE2">
        <w:rPr>
          <w:rStyle w:val="Zvraznn"/>
          <w:i w:val="0"/>
        </w:rPr>
        <w:t>.</w:t>
      </w:r>
      <w:r w:rsidR="003343CC">
        <w:rPr>
          <w:rStyle w:val="Zvraznn"/>
          <w:i w:val="0"/>
        </w:rPr>
        <w:t xml:space="preserve"> U posledního z absolutních standardů ochrany, doložky FPS, vyjadřuje ujištění, že se jedná pouze o ochranu před fyzickými zásahy do investice.</w:t>
      </w:r>
      <w:r>
        <w:rPr>
          <w:rStyle w:val="Zvraznn"/>
          <w:i w:val="0"/>
        </w:rPr>
        <w:t xml:space="preserve"> </w:t>
      </w:r>
      <w:r w:rsidR="00811B0E">
        <w:rPr>
          <w:rStyle w:val="Znakapoznpodarou"/>
          <w:iCs/>
        </w:rPr>
        <w:footnoteReference w:id="168"/>
      </w:r>
    </w:p>
    <w:p w14:paraId="33762124" w14:textId="77777777" w:rsidR="0064276C" w:rsidRDefault="0064276C" w:rsidP="0064276C">
      <w:pPr>
        <w:pStyle w:val="Nadpis2"/>
      </w:pPr>
      <w:bookmarkStart w:id="33" w:name="_Toc479697294"/>
      <w:r>
        <w:t>Dílčí závěr ke změnám IIA</w:t>
      </w:r>
      <w:bookmarkEnd w:id="33"/>
    </w:p>
    <w:p w14:paraId="6EEAF5F0" w14:textId="31245F9F" w:rsidR="002D17A6" w:rsidRDefault="0064276C" w:rsidP="0064276C">
      <w:pPr>
        <w:pStyle w:val="Odstavecseseznamem"/>
        <w:spacing w:line="360" w:lineRule="auto"/>
        <w:ind w:left="142" w:firstLine="654"/>
        <w:jc w:val="both"/>
      </w:pPr>
      <w:r>
        <w:t xml:space="preserve">Přestože většina investičních sporů končí zamítnutím žalobního návrhu, </w:t>
      </w:r>
      <w:r w:rsidR="0090106F">
        <w:t xml:space="preserve">judikatura k IIA </w:t>
      </w:r>
      <w:r w:rsidR="00382990">
        <w:t xml:space="preserve">ukazuje řadu slabin v hmotněprávních zárukách ochrany. </w:t>
      </w:r>
      <w:r w:rsidR="00815A5A">
        <w:t xml:space="preserve">Vágní jazyk smluv stál už řadu států nemalé finanční prostředky a </w:t>
      </w:r>
      <w:r w:rsidR="00276CB4">
        <w:t>nyní se</w:t>
      </w:r>
      <w:r w:rsidR="00982834">
        <w:t xml:space="preserve"> vývoj</w:t>
      </w:r>
      <w:r w:rsidR="00276CB4">
        <w:t xml:space="preserve"> </w:t>
      </w:r>
      <w:r w:rsidR="00A22E99">
        <w:t>n</w:t>
      </w:r>
      <w:r w:rsidR="00982834">
        <w:t>achází ve fázi</w:t>
      </w:r>
      <w:r w:rsidR="00BD7FC8">
        <w:t xml:space="preserve"> z</w:t>
      </w:r>
      <w:r w:rsidR="00A22E99">
        <w:t>přesňování</w:t>
      </w:r>
      <w:r w:rsidR="00982834">
        <w:t xml:space="preserve"> formulací</w:t>
      </w:r>
      <w:r w:rsidR="00A22E99">
        <w:t xml:space="preserve">. </w:t>
      </w:r>
      <w:r w:rsidR="007374BA">
        <w:t xml:space="preserve">Vlády nejsou spokojeny s nejednotným rozhodováním </w:t>
      </w:r>
      <w:r w:rsidR="00C55BF0">
        <w:t>a slibují si od konkrétních klauzulí voln</w:t>
      </w:r>
      <w:r w:rsidR="00815D2F">
        <w:t>ou ruku při přijímání opatření.</w:t>
      </w:r>
      <w:r w:rsidR="007374BA">
        <w:t xml:space="preserve"> </w:t>
      </w:r>
      <w:r w:rsidR="00B633C5">
        <w:t>Vyjednávání nových smluv může být ulehčeno faktem, že takto nespokojených států není</w:t>
      </w:r>
      <w:r w:rsidR="00053FB2">
        <w:t xml:space="preserve"> málo</w:t>
      </w:r>
      <w:r w:rsidR="00B633C5">
        <w:t xml:space="preserve"> a jejich požadavky tedy mohou být souhlasné. </w:t>
      </w:r>
      <w:r w:rsidR="00AE1B67">
        <w:t xml:space="preserve">Vyspělé státy navíc ztrácejí výhradní pozice vývozců kapitálu a </w:t>
      </w:r>
      <w:r w:rsidR="00537D69">
        <w:t>dostávají se do defenzívy, a to jak vůči</w:t>
      </w:r>
      <w:r w:rsidR="00FE768D">
        <w:t xml:space="preserve"> </w:t>
      </w:r>
      <w:r w:rsidR="00FE768D">
        <w:lastRenderedPageBreak/>
        <w:t>aktuálně silným exportérům jako je Čína, tak vůči</w:t>
      </w:r>
      <w:r w:rsidR="00016A74">
        <w:t xml:space="preserve"> </w:t>
      </w:r>
      <w:r w:rsidR="00FE768D">
        <w:t>korporátním investorům</w:t>
      </w:r>
      <w:r w:rsidR="00016A74">
        <w:t>, které často žádají enormní náhrady škody.</w:t>
      </w:r>
      <w:r w:rsidR="00FE768D">
        <w:t xml:space="preserve"> </w:t>
      </w:r>
    </w:p>
    <w:p w14:paraId="5E450739" w14:textId="282D59C2" w:rsidR="000E437E" w:rsidRPr="00174DC7" w:rsidRDefault="00BF07D6" w:rsidP="0064276C">
      <w:pPr>
        <w:pStyle w:val="Odstavecseseznamem"/>
        <w:spacing w:line="360" w:lineRule="auto"/>
        <w:ind w:left="142" w:firstLine="654"/>
        <w:jc w:val="both"/>
      </w:pPr>
      <w:r>
        <w:t>Proces vyjednávání nových</w:t>
      </w:r>
      <w:r w:rsidR="002D17A6">
        <w:t xml:space="preserve"> smluv může trvat mnoho let, jeho urychlení může zajistit sjednávání</w:t>
      </w:r>
      <w:r w:rsidR="000E437E">
        <w:t xml:space="preserve"> investiční ochrany v rámci dohod</w:t>
      </w:r>
      <w:r w:rsidR="002D17A6">
        <w:t xml:space="preserve"> FTA</w:t>
      </w:r>
      <w:r w:rsidR="000E437E">
        <w:t>.</w:t>
      </w:r>
      <w:r w:rsidR="00256DB9">
        <w:t xml:space="preserve"> </w:t>
      </w:r>
      <w:r w:rsidR="00855B38">
        <w:t xml:space="preserve">Účinnost nových smluv může zvýšit </w:t>
      </w:r>
      <w:r w:rsidR="00DB6C4B">
        <w:t xml:space="preserve">případné opomenutí klauzule MFN, která fakticky přenáší hmotněprávní ochranu z jiných, stále platných závazků. </w:t>
      </w:r>
      <w:r w:rsidR="00D74206">
        <w:t xml:space="preserve">V úvahu je třeba vzít kromě velkého počtu smluv, které vyžadují revizi, i </w:t>
      </w:r>
      <w:r w:rsidR="00571423">
        <w:t>problema</w:t>
      </w:r>
      <w:r w:rsidR="00174DC7">
        <w:t>tiku jednostranného vypovězení</w:t>
      </w:r>
      <w:r w:rsidR="00567692">
        <w:t xml:space="preserve"> podle článku 54 VCLT</w:t>
      </w:r>
      <w:r w:rsidR="00174DC7">
        <w:t xml:space="preserve">. Pro takový případ často smlouvy obsahují </w:t>
      </w:r>
      <w:r w:rsidR="00174DC7">
        <w:rPr>
          <w:i/>
        </w:rPr>
        <w:t>sunset clause</w:t>
      </w:r>
      <w:r w:rsidR="00295695">
        <w:t>, investice jsou tedy chráněny ještě několik let (</w:t>
      </w:r>
      <w:r w:rsidR="00FA4780">
        <w:t>obvykle</w:t>
      </w:r>
      <w:r w:rsidR="00C86612">
        <w:t xml:space="preserve"> patnáct nebo dvacet) po jejím ukončení.</w:t>
      </w:r>
      <w:r w:rsidR="00C74467">
        <w:rPr>
          <w:rStyle w:val="Znakapoznpodarou"/>
        </w:rPr>
        <w:footnoteReference w:id="169"/>
      </w:r>
      <w:r w:rsidR="00AA7DB4">
        <w:t xml:space="preserve"> Celkově vzato je</w:t>
      </w:r>
      <w:r w:rsidR="006B7F1E">
        <w:t xml:space="preserve"> </w:t>
      </w:r>
      <w:r w:rsidR="00AA7DB4">
        <w:t>m</w:t>
      </w:r>
      <w:r w:rsidR="006B7F1E">
        <w:t>ateriální ochrana investic</w:t>
      </w:r>
      <w:r w:rsidR="00A00D51">
        <w:t xml:space="preserve"> </w:t>
      </w:r>
      <w:r w:rsidR="006B7F1E">
        <w:t xml:space="preserve">v nových BIT a FTA kalibrována přesněji a měla by zabránit excesům v arbitrážní </w:t>
      </w:r>
      <w:r w:rsidR="001C169A">
        <w:t>praxi. Avšak</w:t>
      </w:r>
      <w:r w:rsidR="006B7F1E">
        <w:t xml:space="preserve"> </w:t>
      </w:r>
      <w:r w:rsidR="0013585C">
        <w:t xml:space="preserve">v souvislosti se spory, kdy se v pozici žalovaného objevují vyspělé státy, se </w:t>
      </w:r>
      <w:r w:rsidR="001C169A">
        <w:t xml:space="preserve">kritika obrací na celkovou nadbytečnost systému </w:t>
      </w:r>
      <w:r w:rsidR="007A688D">
        <w:t>arbitráže mezi investorem a státem</w:t>
      </w:r>
      <w:r w:rsidR="001C169A">
        <w:t xml:space="preserve"> a</w:t>
      </w:r>
      <w:r w:rsidR="007A688D">
        <w:t xml:space="preserve"> na</w:t>
      </w:r>
      <w:r w:rsidR="001C169A">
        <w:t xml:space="preserve"> procesní otázky, jako</w:t>
      </w:r>
      <w:r w:rsidR="00BE5BE5">
        <w:t xml:space="preserve"> je</w:t>
      </w:r>
      <w:r w:rsidR="001C169A">
        <w:t xml:space="preserve"> nezávislost arbitrů </w:t>
      </w:r>
      <w:r w:rsidR="007A688D">
        <w:t>nebo nesoulad s právem EU.</w:t>
      </w:r>
      <w:r w:rsidR="001E24B3">
        <w:rPr>
          <w:rStyle w:val="Znakapoznpodarou"/>
        </w:rPr>
        <w:footnoteReference w:id="170"/>
      </w:r>
    </w:p>
    <w:p w14:paraId="0B05EB48" w14:textId="19330A73" w:rsidR="00372222" w:rsidRPr="00942FD4" w:rsidRDefault="00372222" w:rsidP="0064276C">
      <w:pPr>
        <w:pStyle w:val="Odstavecseseznamem"/>
        <w:spacing w:line="360" w:lineRule="auto"/>
        <w:ind w:left="142" w:firstLine="654"/>
        <w:jc w:val="both"/>
      </w:pPr>
      <w:r w:rsidRPr="00942FD4">
        <w:br w:type="page"/>
      </w:r>
    </w:p>
    <w:p w14:paraId="7D1FD908" w14:textId="407E834F" w:rsidR="005254FA" w:rsidRPr="00D64885" w:rsidRDefault="00955EB1" w:rsidP="007D513B">
      <w:pPr>
        <w:pStyle w:val="Nadpis1"/>
        <w:numPr>
          <w:ilvl w:val="0"/>
          <w:numId w:val="0"/>
        </w:numPr>
        <w:spacing w:line="360" w:lineRule="auto"/>
        <w:ind w:left="426" w:hanging="284"/>
        <w:jc w:val="both"/>
      </w:pPr>
      <w:bookmarkStart w:id="34" w:name="_Toc457721005"/>
      <w:bookmarkStart w:id="35" w:name="_Toc479697295"/>
      <w:r w:rsidRPr="00D64885">
        <w:lastRenderedPageBreak/>
        <w:t>Závěr</w:t>
      </w:r>
      <w:bookmarkEnd w:id="34"/>
      <w:bookmarkEnd w:id="35"/>
    </w:p>
    <w:p w14:paraId="2C7982E8" w14:textId="1211F4A5" w:rsidR="00A7189A" w:rsidRPr="00DE0797" w:rsidRDefault="000368F2" w:rsidP="00A7189A">
      <w:pPr>
        <w:pStyle w:val="Odstavecseseznamem"/>
        <w:spacing w:line="360" w:lineRule="auto"/>
        <w:ind w:left="142" w:firstLine="654"/>
        <w:jc w:val="both"/>
        <w:rPr>
          <w:rFonts w:eastAsiaTheme="majorEastAsia" w:cstheme="majorBidi"/>
          <w:bCs/>
        </w:rPr>
      </w:pPr>
      <w:r>
        <w:rPr>
          <w:rFonts w:eastAsiaTheme="majorEastAsia" w:cstheme="majorBidi"/>
          <w:bCs/>
        </w:rPr>
        <w:t xml:space="preserve">Hranice legitimních opatření státu </w:t>
      </w:r>
      <w:r w:rsidR="009574FA">
        <w:rPr>
          <w:rFonts w:eastAsiaTheme="majorEastAsia" w:cstheme="majorBidi"/>
          <w:bCs/>
        </w:rPr>
        <w:t>ne</w:t>
      </w:r>
      <w:r>
        <w:rPr>
          <w:rFonts w:eastAsiaTheme="majorEastAsia" w:cstheme="majorBidi"/>
          <w:bCs/>
        </w:rPr>
        <w:t xml:space="preserve">jsou v ochraně investic nadále </w:t>
      </w:r>
      <w:r w:rsidR="009574FA">
        <w:rPr>
          <w:rFonts w:eastAsiaTheme="majorEastAsia" w:cstheme="majorBidi"/>
          <w:bCs/>
        </w:rPr>
        <w:t>přesně zjistitelné</w:t>
      </w:r>
      <w:r>
        <w:rPr>
          <w:rFonts w:eastAsiaTheme="majorEastAsia" w:cstheme="majorBidi"/>
          <w:bCs/>
        </w:rPr>
        <w:t xml:space="preserve">. </w:t>
      </w:r>
      <w:r w:rsidR="00A7189A" w:rsidRPr="00DE0797">
        <w:rPr>
          <w:rFonts w:eastAsiaTheme="majorEastAsia" w:cstheme="majorBidi"/>
          <w:bCs/>
        </w:rPr>
        <w:t>Zvláště u ochrany oprávněných očekávání stále není jasné, zda do investiční arbitráže přináší více právní jistoty</w:t>
      </w:r>
      <w:r w:rsidR="00A7189A">
        <w:rPr>
          <w:rFonts w:eastAsiaTheme="majorEastAsia" w:cstheme="majorBidi"/>
          <w:bCs/>
        </w:rPr>
        <w:t xml:space="preserve"> pro obě strany případných sporů</w:t>
      </w:r>
      <w:r w:rsidR="00551D56">
        <w:rPr>
          <w:rFonts w:eastAsiaTheme="majorEastAsia" w:cstheme="majorBidi"/>
          <w:bCs/>
        </w:rPr>
        <w:t>. N</w:t>
      </w:r>
      <w:r w:rsidR="00A7189A" w:rsidRPr="00DE0797">
        <w:rPr>
          <w:rFonts w:eastAsiaTheme="majorEastAsia" w:cstheme="majorBidi"/>
          <w:bCs/>
        </w:rPr>
        <w:t>ejednotný výklad celému systému ochrany investic na legitimitě spíše ubírá. Už sama nejednoznačnost pojmu nedává do budoucna velkou šanci na brzké sjednocení závěrů rozhodovací praxe. Pravomoc a míra volného uvážení rozhodců v této věci</w:t>
      </w:r>
      <w:r w:rsidR="001C68FF">
        <w:rPr>
          <w:rFonts w:eastAsiaTheme="majorEastAsia" w:cstheme="majorBidi"/>
          <w:bCs/>
        </w:rPr>
        <w:t xml:space="preserve"> je</w:t>
      </w:r>
      <w:r w:rsidR="00A7189A" w:rsidRPr="00DE0797">
        <w:rPr>
          <w:rFonts w:eastAsiaTheme="majorEastAsia" w:cstheme="majorBidi"/>
          <w:bCs/>
        </w:rPr>
        <w:t xml:space="preserve"> rozsáhlá a z pohledu smluvních států často i riskantní, </w:t>
      </w:r>
      <w:r w:rsidR="00A7189A">
        <w:rPr>
          <w:rFonts w:eastAsiaTheme="majorEastAsia" w:cstheme="majorBidi"/>
          <w:bCs/>
        </w:rPr>
        <w:t>s přihlédnutím k</w:t>
      </w:r>
      <w:r w:rsidR="00A7189A" w:rsidRPr="00DE0797">
        <w:rPr>
          <w:rFonts w:eastAsiaTheme="majorEastAsia" w:cstheme="majorBidi"/>
          <w:bCs/>
        </w:rPr>
        <w:t xml:space="preserve"> prakticky neexistující možnost</w:t>
      </w:r>
      <w:r w:rsidR="00A7189A">
        <w:rPr>
          <w:rFonts w:eastAsiaTheme="majorEastAsia" w:cstheme="majorBidi"/>
          <w:bCs/>
        </w:rPr>
        <w:t>i</w:t>
      </w:r>
      <w:r w:rsidR="00A7189A" w:rsidRPr="00DE0797">
        <w:rPr>
          <w:rFonts w:eastAsiaTheme="majorEastAsia" w:cstheme="majorBidi"/>
          <w:bCs/>
        </w:rPr>
        <w:t xml:space="preserve"> přezkumu rozhodnutí a možné</w:t>
      </w:r>
      <w:r w:rsidR="00872D82">
        <w:rPr>
          <w:rFonts w:eastAsiaTheme="majorEastAsia" w:cstheme="majorBidi"/>
          <w:bCs/>
        </w:rPr>
        <w:t xml:space="preserve"> negativní</w:t>
      </w:r>
      <w:r w:rsidR="00A7189A" w:rsidRPr="00DE0797">
        <w:rPr>
          <w:rFonts w:eastAsiaTheme="majorEastAsia" w:cstheme="majorBidi"/>
          <w:bCs/>
        </w:rPr>
        <w:t xml:space="preserve"> následky pro stát, respektive jeho rozpočet.</w:t>
      </w:r>
    </w:p>
    <w:p w14:paraId="4C9FCE4E" w14:textId="4B05B339" w:rsidR="00A7189A" w:rsidRPr="00DE0797" w:rsidRDefault="00BF5977" w:rsidP="00A7189A">
      <w:pPr>
        <w:pStyle w:val="Odstavecseseznamem"/>
        <w:spacing w:line="360" w:lineRule="auto"/>
        <w:ind w:left="142" w:firstLine="654"/>
        <w:jc w:val="both"/>
        <w:rPr>
          <w:rFonts w:eastAsiaTheme="majorEastAsia" w:cstheme="majorBidi"/>
          <w:bCs/>
        </w:rPr>
      </w:pPr>
      <w:r>
        <w:rPr>
          <w:rFonts w:eastAsiaTheme="majorEastAsia" w:cstheme="majorBidi"/>
          <w:bCs/>
        </w:rPr>
        <w:t>Tribunály mohou</w:t>
      </w:r>
      <w:r w:rsidR="00A7189A" w:rsidRPr="00DE0797">
        <w:rPr>
          <w:rFonts w:eastAsiaTheme="majorEastAsia" w:cstheme="majorBidi"/>
          <w:bCs/>
        </w:rPr>
        <w:t xml:space="preserve"> na</w:t>
      </w:r>
      <w:r>
        <w:rPr>
          <w:rFonts w:eastAsiaTheme="majorEastAsia" w:cstheme="majorBidi"/>
          <w:bCs/>
        </w:rPr>
        <w:t xml:space="preserve"> předchozí</w:t>
      </w:r>
      <w:r w:rsidR="00A7189A" w:rsidRPr="00DE0797">
        <w:rPr>
          <w:rFonts w:eastAsiaTheme="majorEastAsia" w:cstheme="majorBidi"/>
          <w:bCs/>
        </w:rPr>
        <w:t xml:space="preserve"> rozhodovací praxi reagovat velice rychle, vznik doktríny může trvat několik málo let. </w:t>
      </w:r>
      <w:r w:rsidR="00A7189A" w:rsidRPr="00DF7C02">
        <w:rPr>
          <w:rFonts w:eastAsiaTheme="majorEastAsia" w:cstheme="majorBidi"/>
          <w:bCs/>
        </w:rPr>
        <w:t xml:space="preserve">Naopak manévrovací schopnosti států při vyjednávání smluv jsou </w:t>
      </w:r>
      <w:r w:rsidR="007740C3" w:rsidRPr="00DF7C02">
        <w:rPr>
          <w:rFonts w:eastAsiaTheme="majorEastAsia" w:cstheme="majorBidi"/>
          <w:bCs/>
        </w:rPr>
        <w:t>omezené, stále hojně využívané dvoustranné smlouvy</w:t>
      </w:r>
      <w:r w:rsidR="00A7189A" w:rsidRPr="00DF7C02">
        <w:rPr>
          <w:rFonts w:eastAsiaTheme="majorEastAsia" w:cstheme="majorBidi"/>
          <w:bCs/>
        </w:rPr>
        <w:t xml:space="preserve"> lze měnit</w:t>
      </w:r>
      <w:r w:rsidR="00F80535" w:rsidRPr="00DF7C02">
        <w:rPr>
          <w:rFonts w:eastAsiaTheme="majorEastAsia" w:cstheme="majorBidi"/>
          <w:bCs/>
        </w:rPr>
        <w:t xml:space="preserve"> pouze jednotlivě</w:t>
      </w:r>
      <w:r w:rsidR="00A7189A" w:rsidRPr="00DF7C02">
        <w:rPr>
          <w:rFonts w:eastAsiaTheme="majorEastAsia" w:cstheme="majorBidi"/>
          <w:bCs/>
        </w:rPr>
        <w:t xml:space="preserve"> a </w:t>
      </w:r>
      <w:r w:rsidR="00F077AD" w:rsidRPr="00DF7C02">
        <w:rPr>
          <w:rFonts w:eastAsiaTheme="majorEastAsia" w:cstheme="majorBidi"/>
          <w:bCs/>
        </w:rPr>
        <w:t xml:space="preserve">státy musí vzít v </w:t>
      </w:r>
      <w:r w:rsidR="00F817A0" w:rsidRPr="00DF7C02">
        <w:rPr>
          <w:rFonts w:eastAsiaTheme="majorEastAsia" w:cstheme="majorBidi"/>
          <w:bCs/>
        </w:rPr>
        <w:t>úvahu</w:t>
      </w:r>
      <w:r w:rsidR="00A7189A" w:rsidRPr="00DF7C02">
        <w:rPr>
          <w:rFonts w:eastAsiaTheme="majorEastAsia" w:cstheme="majorBidi"/>
          <w:bCs/>
        </w:rPr>
        <w:t xml:space="preserve"> i dobu účinnosti</w:t>
      </w:r>
      <w:r w:rsidR="00F817A0" w:rsidRPr="00DF7C02">
        <w:rPr>
          <w:rFonts w:eastAsiaTheme="majorEastAsia" w:cstheme="majorBidi"/>
          <w:bCs/>
        </w:rPr>
        <w:t xml:space="preserve"> ochrany</w:t>
      </w:r>
      <w:r w:rsidR="00A7189A" w:rsidRPr="00DF7C02">
        <w:rPr>
          <w:rFonts w:eastAsiaTheme="majorEastAsia" w:cstheme="majorBidi"/>
          <w:bCs/>
        </w:rPr>
        <w:t xml:space="preserve"> po jejich vypovězení.</w:t>
      </w:r>
      <w:r w:rsidR="00AF43E3">
        <w:rPr>
          <w:rFonts w:eastAsiaTheme="majorEastAsia" w:cstheme="majorBidi"/>
          <w:bCs/>
        </w:rPr>
        <w:t xml:space="preserve"> </w:t>
      </w:r>
      <w:r w:rsidR="00D5436B">
        <w:rPr>
          <w:rFonts w:eastAsiaTheme="majorEastAsia" w:cstheme="majorBidi"/>
          <w:bCs/>
        </w:rPr>
        <w:t>Jedním z uplatňovaných</w:t>
      </w:r>
      <w:r w:rsidR="00AF43E3">
        <w:rPr>
          <w:rFonts w:eastAsiaTheme="majorEastAsia" w:cstheme="majorBidi"/>
          <w:bCs/>
        </w:rPr>
        <w:t xml:space="preserve"> řešení</w:t>
      </w:r>
      <w:r w:rsidR="00CE08A6">
        <w:rPr>
          <w:rFonts w:eastAsiaTheme="majorEastAsia" w:cstheme="majorBidi"/>
          <w:bCs/>
        </w:rPr>
        <w:t xml:space="preserve"> je</w:t>
      </w:r>
      <w:r w:rsidR="00BA53C1">
        <w:rPr>
          <w:rFonts w:eastAsiaTheme="majorEastAsia" w:cstheme="majorBidi"/>
          <w:bCs/>
        </w:rPr>
        <w:t xml:space="preserve"> i</w:t>
      </w:r>
      <w:r w:rsidR="00A7189A" w:rsidRPr="00DE0797">
        <w:rPr>
          <w:rFonts w:eastAsiaTheme="majorEastAsia" w:cstheme="majorBidi"/>
          <w:bCs/>
        </w:rPr>
        <w:t xml:space="preserve"> postupné nahrazování BIT smlouvami o volném obchodu, zvláště pak v případě EU.</w:t>
      </w:r>
    </w:p>
    <w:p w14:paraId="158CEBFD" w14:textId="77777777" w:rsidR="007056E0" w:rsidRDefault="00A7189A" w:rsidP="00A7189A">
      <w:pPr>
        <w:pStyle w:val="Odstavecseseznamem"/>
        <w:spacing w:line="360" w:lineRule="auto"/>
        <w:ind w:left="142" w:firstLine="654"/>
        <w:jc w:val="both"/>
        <w:rPr>
          <w:rFonts w:eastAsiaTheme="majorEastAsia" w:cstheme="majorBidi"/>
          <w:bCs/>
        </w:rPr>
      </w:pPr>
      <w:r>
        <w:rPr>
          <w:rFonts w:eastAsiaTheme="majorEastAsia" w:cstheme="majorBidi"/>
          <w:bCs/>
        </w:rPr>
        <w:t>O</w:t>
      </w:r>
      <w:r w:rsidRPr="00DE0797">
        <w:rPr>
          <w:rFonts w:eastAsiaTheme="majorEastAsia" w:cstheme="majorBidi"/>
          <w:bCs/>
        </w:rPr>
        <w:t>tázkou do budoucna</w:t>
      </w:r>
      <w:r>
        <w:rPr>
          <w:rFonts w:eastAsiaTheme="majorEastAsia" w:cstheme="majorBidi"/>
          <w:bCs/>
        </w:rPr>
        <w:t xml:space="preserve"> </w:t>
      </w:r>
      <w:r w:rsidR="001A4914">
        <w:rPr>
          <w:rFonts w:eastAsiaTheme="majorEastAsia" w:cstheme="majorBidi"/>
          <w:bCs/>
        </w:rPr>
        <w:t>nicméně</w:t>
      </w:r>
      <w:r w:rsidRPr="00DE0797">
        <w:rPr>
          <w:rFonts w:eastAsiaTheme="majorEastAsia" w:cstheme="majorBidi"/>
          <w:bCs/>
        </w:rPr>
        <w:t xml:space="preserve"> zůstává, zda budou rozhodci ochotni měnit doktríny zavedené arbitrážní praxí podle smluv, které jim dávaly </w:t>
      </w:r>
      <w:r w:rsidR="001A4914">
        <w:rPr>
          <w:rFonts w:eastAsiaTheme="majorEastAsia" w:cstheme="majorBidi"/>
          <w:bCs/>
        </w:rPr>
        <w:t>široký</w:t>
      </w:r>
      <w:r w:rsidRPr="00DE0797">
        <w:rPr>
          <w:rFonts w:eastAsiaTheme="majorEastAsia" w:cstheme="majorBidi"/>
          <w:bCs/>
        </w:rPr>
        <w:t xml:space="preserve"> prostor pro volné uvážení. Zda tedy budou respektovat snahu smluvních států tento prostor zúžit a konkretizovat své závazky. Judikatura je v hraničních případech velice nestálá, obě strany</w:t>
      </w:r>
      <w:r w:rsidR="00D703EA">
        <w:rPr>
          <w:rFonts w:eastAsiaTheme="majorEastAsia" w:cstheme="majorBidi"/>
          <w:bCs/>
        </w:rPr>
        <w:t xml:space="preserve"> sporu</w:t>
      </w:r>
      <w:r w:rsidRPr="00DE0797">
        <w:rPr>
          <w:rFonts w:eastAsiaTheme="majorEastAsia" w:cstheme="majorBidi"/>
          <w:bCs/>
        </w:rPr>
        <w:t xml:space="preserve"> mívají</w:t>
      </w:r>
      <w:r w:rsidR="00806FA3">
        <w:rPr>
          <w:rFonts w:eastAsiaTheme="majorEastAsia" w:cstheme="majorBidi"/>
          <w:bCs/>
        </w:rPr>
        <w:t xml:space="preserve"> díky tomu</w:t>
      </w:r>
      <w:r w:rsidRPr="00DE0797">
        <w:rPr>
          <w:rFonts w:eastAsiaTheme="majorEastAsia" w:cstheme="majorBidi"/>
          <w:bCs/>
        </w:rPr>
        <w:t xml:space="preserve"> svá tvrzení podložena množstvím rozhodčích nálezů hovořících v jejich prospěch. </w:t>
      </w:r>
    </w:p>
    <w:p w14:paraId="29BA5FE0" w14:textId="5A460274" w:rsidR="00A7189A" w:rsidRDefault="00A7189A" w:rsidP="00A7189A">
      <w:pPr>
        <w:pStyle w:val="Odstavecseseznamem"/>
        <w:spacing w:line="360" w:lineRule="auto"/>
        <w:ind w:left="142" w:firstLine="654"/>
        <w:jc w:val="both"/>
        <w:rPr>
          <w:rFonts w:eastAsiaTheme="majorEastAsia" w:cstheme="majorBidi"/>
          <w:bCs/>
        </w:rPr>
      </w:pPr>
      <w:r w:rsidRPr="00DE0797">
        <w:rPr>
          <w:rFonts w:eastAsiaTheme="majorEastAsia" w:cstheme="majorBidi"/>
          <w:bCs/>
        </w:rPr>
        <w:t>Přinejmenším lze prozatím sledovat tendence rozhodčí nálezy lépe a obs</w:t>
      </w:r>
      <w:r w:rsidR="007852B2">
        <w:rPr>
          <w:rFonts w:eastAsiaTheme="majorEastAsia" w:cstheme="majorBidi"/>
          <w:bCs/>
        </w:rPr>
        <w:t>áhleji odůvodňovat. T</w:t>
      </w:r>
      <w:r w:rsidRPr="00DE0797">
        <w:rPr>
          <w:rFonts w:eastAsiaTheme="majorEastAsia" w:cstheme="majorBidi"/>
          <w:bCs/>
        </w:rPr>
        <w:t xml:space="preserve">ento fakt lze přičíst veřejnému zájmu, který v posledních letech investiční arbitráž upoutala. </w:t>
      </w:r>
      <w:r>
        <w:rPr>
          <w:rFonts w:eastAsiaTheme="majorEastAsia" w:cstheme="majorBidi"/>
          <w:bCs/>
        </w:rPr>
        <w:t>Nicméně se v této oblasti projevuje nedostatek, kterým je formální závaznost rozhodčích nálezů pouze pro strany sporu. Částečně se lze spolehnout na argumentaci vlastními předchozími nálezy u institucí jako ICSID nebo na shodné posuzování ustanovení v jedné dohodě, například NAFTA. Méně už pak na stálý výklad u ad hoc tribunálů ustanovených podle pravidel UNCITRAL a rozhodování podle samostatných, různorodě formulovaných ochranných doložek ve dvoustranných dohodách.</w:t>
      </w:r>
    </w:p>
    <w:p w14:paraId="6DFCF089" w14:textId="6EECA74A" w:rsidR="00A7189A" w:rsidRPr="00DE0797" w:rsidRDefault="00A7189A" w:rsidP="00A7189A">
      <w:pPr>
        <w:pStyle w:val="Odstavecseseznamem"/>
        <w:spacing w:line="360" w:lineRule="auto"/>
        <w:ind w:left="142" w:firstLine="654"/>
        <w:jc w:val="both"/>
        <w:rPr>
          <w:rFonts w:eastAsiaTheme="majorEastAsia" w:cstheme="majorBidi"/>
          <w:bCs/>
        </w:rPr>
      </w:pPr>
      <w:r>
        <w:rPr>
          <w:rFonts w:eastAsiaTheme="majorEastAsia" w:cstheme="majorBidi"/>
          <w:bCs/>
        </w:rPr>
        <w:t>Následky pro stát, který nejasné hranice své odpovědnosti překročí, nejsou zanedbatelné. Částky kompenzací a odškodnění mohou dosahovat v přepočtu řádově miliard korun a vedly již některé státy k odstoupení od Dohody ICSID. Takový krok již učinily</w:t>
      </w:r>
      <w:r w:rsidR="00BF431B">
        <w:rPr>
          <w:rFonts w:eastAsiaTheme="majorEastAsia" w:cstheme="majorBidi"/>
          <w:bCs/>
        </w:rPr>
        <w:t xml:space="preserve"> </w:t>
      </w:r>
      <w:r w:rsidR="00BF431B">
        <w:rPr>
          <w:rFonts w:eastAsiaTheme="majorEastAsia" w:cstheme="majorBidi"/>
          <w:bCs/>
        </w:rPr>
        <w:lastRenderedPageBreak/>
        <w:t>například</w:t>
      </w:r>
      <w:r>
        <w:rPr>
          <w:rFonts w:eastAsiaTheme="majorEastAsia" w:cstheme="majorBidi"/>
          <w:bCs/>
        </w:rPr>
        <w:t xml:space="preserve"> Bolívie a Ekvádor, po zahájení sporu společností Philip Morris zvažovala Austrálie sjednávání svých BIT a FTA bez doložek o arbitráži.</w:t>
      </w:r>
      <w:r>
        <w:rPr>
          <w:rStyle w:val="Znakapoznpodarou"/>
          <w:rFonts w:eastAsiaTheme="majorEastAsia" w:cstheme="majorBidi"/>
          <w:bCs/>
        </w:rPr>
        <w:footnoteReference w:id="171"/>
      </w:r>
      <w:r>
        <w:rPr>
          <w:rFonts w:eastAsiaTheme="majorEastAsia" w:cstheme="majorBidi"/>
          <w:bCs/>
        </w:rPr>
        <w:t xml:space="preserve"> Ke stabilizaci systému oc</w:t>
      </w:r>
      <w:r w:rsidR="00D16A5D">
        <w:rPr>
          <w:rFonts w:eastAsiaTheme="majorEastAsia" w:cstheme="majorBidi"/>
          <w:bCs/>
        </w:rPr>
        <w:t>hrany investic by mělo přispět</w:t>
      </w:r>
      <w:r>
        <w:rPr>
          <w:rFonts w:eastAsiaTheme="majorEastAsia" w:cstheme="majorBidi"/>
          <w:bCs/>
        </w:rPr>
        <w:t xml:space="preserve"> sbližování pozic vyspělých a rozvojových států, obě skupiny se dostávají do obdobného postavení, tedy často žalovaného subjektu v arbitrážním sporu. Tento fakt by měl přispět ke shodě ve vyjednávání nových smluv.</w:t>
      </w:r>
    </w:p>
    <w:p w14:paraId="4742F773" w14:textId="71992FD1" w:rsidR="00A7189A" w:rsidRDefault="00A7189A" w:rsidP="00A7189A">
      <w:pPr>
        <w:pStyle w:val="Odstavecseseznamem"/>
        <w:spacing w:line="360" w:lineRule="auto"/>
        <w:ind w:left="142" w:firstLine="654"/>
        <w:jc w:val="both"/>
        <w:rPr>
          <w:rFonts w:eastAsiaTheme="majorEastAsia" w:cstheme="majorBidi"/>
          <w:bCs/>
        </w:rPr>
      </w:pPr>
      <w:r w:rsidRPr="00DE0797">
        <w:rPr>
          <w:rFonts w:eastAsiaTheme="majorEastAsia" w:cstheme="majorBidi"/>
          <w:bCs/>
        </w:rPr>
        <w:t xml:space="preserve">Doktríny </w:t>
      </w:r>
      <w:r>
        <w:rPr>
          <w:rFonts w:eastAsiaTheme="majorEastAsia" w:cstheme="majorBidi"/>
          <w:bCs/>
        </w:rPr>
        <w:t>popsané v kapitolách 2 a 3</w:t>
      </w:r>
      <w:r w:rsidRPr="00DE0797">
        <w:rPr>
          <w:rFonts w:eastAsiaTheme="majorEastAsia" w:cstheme="majorBidi"/>
          <w:bCs/>
        </w:rPr>
        <w:t xml:space="preserve"> dávají často investorům konkurenční výhodu v hospodářské soutěži proti subjektům nechráněným IIA, odškodnění za omezující opat</w:t>
      </w:r>
      <w:r w:rsidR="00D64885">
        <w:rPr>
          <w:rFonts w:eastAsiaTheme="majorEastAsia" w:cstheme="majorBidi"/>
          <w:bCs/>
        </w:rPr>
        <w:t xml:space="preserve">ření státu jim může připadnout </w:t>
      </w:r>
      <w:r w:rsidRPr="00DE0797">
        <w:rPr>
          <w:rFonts w:eastAsiaTheme="majorEastAsia" w:cstheme="majorBidi"/>
          <w:bCs/>
        </w:rPr>
        <w:t>i v případech, které jsou pro národní právo nemyslitelné. Může tedy nastat situace, kdy regulace postihne oba subjekty, a jen jeden může pomocí systému ISDS dosáhnout na náhradu. Ačkoliv taková situace může přilákat investory do rozvojových zemí, pobídka by měla být učiněna</w:t>
      </w:r>
      <w:r w:rsidR="00262DC5">
        <w:rPr>
          <w:rFonts w:eastAsiaTheme="majorEastAsia" w:cstheme="majorBidi"/>
          <w:bCs/>
        </w:rPr>
        <w:t xml:space="preserve"> formou</w:t>
      </w:r>
      <w:r w:rsidRPr="00DE0797">
        <w:rPr>
          <w:rFonts w:eastAsiaTheme="majorEastAsia" w:cstheme="majorBidi"/>
          <w:bCs/>
        </w:rPr>
        <w:t xml:space="preserve"> konkrétní investiční dohody, </w:t>
      </w:r>
      <w:r w:rsidR="00977E7C">
        <w:rPr>
          <w:rFonts w:eastAsiaTheme="majorEastAsia" w:cstheme="majorBidi"/>
          <w:bCs/>
        </w:rPr>
        <w:t>spíše</w:t>
      </w:r>
      <w:r w:rsidRPr="00DE0797">
        <w:rPr>
          <w:rFonts w:eastAsiaTheme="majorEastAsia" w:cstheme="majorBidi"/>
          <w:bCs/>
        </w:rPr>
        <w:t xml:space="preserve"> než neurčitými doložkami v IIA a procesem arbitráže.</w:t>
      </w:r>
      <w:r w:rsidRPr="00A50E7E">
        <w:rPr>
          <w:rFonts w:eastAsiaTheme="majorEastAsia" w:cstheme="majorBidi"/>
          <w:bCs/>
          <w:vertAlign w:val="superscript"/>
        </w:rPr>
        <w:footnoteReference w:id="172"/>
      </w:r>
      <w:r w:rsidRPr="00A50E7E">
        <w:rPr>
          <w:rFonts w:eastAsiaTheme="majorEastAsia" w:cstheme="majorBidi"/>
          <w:bCs/>
          <w:vertAlign w:val="superscript"/>
        </w:rPr>
        <w:t xml:space="preserve"> </w:t>
      </w:r>
      <w:r w:rsidRPr="00DE0797">
        <w:rPr>
          <w:rFonts w:eastAsiaTheme="majorEastAsia" w:cstheme="majorBidi"/>
          <w:bCs/>
        </w:rPr>
        <w:t>Absolutní standardy ochrany zásadně nemají žádnou návaznost na vnitrostátní ochranu, stojí samostatně mimo právní řád hostitelského státu, hmotněprávní režim tedy oproti domácím podnikatelům může být velice rozdílný. Zatím nebyla zaznamenána snaha o úplné vyloučení nepřímého vyvlastnění ani standardu FET, probíhá spíše jejich úprava v IIAs tak, aby rozhodci měli menší míru volného uvážení a stát prostor pro nediskriminační provádění své politiky. Široký výklad ochranných klauzulí naráží na odpor vyspělých států, protože může narušit právo státu na vrchnostenskou regulaci podnikání, zvláště v případech „konkrétních“ záruk, majících jiný původ než investiční smlouvu.</w:t>
      </w:r>
    </w:p>
    <w:p w14:paraId="3A70C9D6" w14:textId="6BFE0FCE" w:rsidR="003D1191" w:rsidRPr="00A7189A" w:rsidRDefault="003D1191" w:rsidP="00A7189A">
      <w:pPr>
        <w:pStyle w:val="Odstavecseseznamem"/>
        <w:spacing w:line="360" w:lineRule="auto"/>
        <w:ind w:left="142" w:firstLine="654"/>
        <w:jc w:val="both"/>
        <w:rPr>
          <w:rFonts w:eastAsiaTheme="majorEastAsia" w:cstheme="majorBidi"/>
          <w:bCs/>
        </w:rPr>
      </w:pPr>
      <w:r>
        <w:t>Excesy v rozhodovací praxi pravděpodobně nevyústí v hromadné ustupování od systému ISDS, nicméně lze v budoucnu očekávat pokračující postupnou obměnu IIA právě s ohledem na přesné vymezení regulačních pravomocí</w:t>
      </w:r>
      <w:r>
        <w:rPr>
          <w:i/>
        </w:rPr>
        <w:t xml:space="preserve"> </w:t>
      </w:r>
      <w:r>
        <w:t>hostitelského státu.</w:t>
      </w:r>
    </w:p>
    <w:p w14:paraId="7F67D0C5" w14:textId="70610B90" w:rsidR="0042052D" w:rsidRPr="00B32037" w:rsidRDefault="0042052D" w:rsidP="00B32037">
      <w:pPr>
        <w:pStyle w:val="Odstavecseseznamem"/>
        <w:spacing w:line="360" w:lineRule="auto"/>
        <w:ind w:left="142" w:firstLine="654"/>
        <w:jc w:val="both"/>
        <w:rPr>
          <w:rStyle w:val="Zvraznn"/>
          <w:i w:val="0"/>
        </w:rPr>
      </w:pPr>
      <w:r w:rsidRPr="00B32037">
        <w:rPr>
          <w:rStyle w:val="Zvraznn"/>
          <w:i w:val="0"/>
        </w:rPr>
        <w:br w:type="page"/>
      </w:r>
    </w:p>
    <w:p w14:paraId="43DEF9EF" w14:textId="5C2713E6" w:rsidR="00952EF5" w:rsidRPr="007D513B" w:rsidRDefault="00952EF5" w:rsidP="00A26A1D">
      <w:pPr>
        <w:pStyle w:val="Nadpis1"/>
        <w:numPr>
          <w:ilvl w:val="0"/>
          <w:numId w:val="0"/>
        </w:numPr>
        <w:spacing w:line="360" w:lineRule="auto"/>
        <w:ind w:left="567" w:hanging="432"/>
        <w:jc w:val="both"/>
        <w:rPr>
          <w:bCs w:val="0"/>
          <w:iCs/>
          <w:sz w:val="28"/>
          <w:szCs w:val="28"/>
        </w:rPr>
      </w:pPr>
      <w:bookmarkStart w:id="36" w:name="_Toc479697296"/>
      <w:bookmarkStart w:id="37" w:name="_Toc328470194"/>
      <w:bookmarkStart w:id="38" w:name="_Toc328595494"/>
      <w:bookmarkStart w:id="39" w:name="_Toc328651272"/>
      <w:bookmarkStart w:id="40" w:name="_Toc328673079"/>
      <w:bookmarkStart w:id="41" w:name="_Toc329077394"/>
      <w:bookmarkStart w:id="42" w:name="_Toc329077899"/>
      <w:bookmarkStart w:id="43" w:name="_Toc329105813"/>
      <w:bookmarkStart w:id="44" w:name="_Toc329115031"/>
      <w:bookmarkStart w:id="45" w:name="_Toc329115185"/>
      <w:bookmarkStart w:id="46" w:name="_Toc329115563"/>
      <w:bookmarkStart w:id="47" w:name="_Toc329580504"/>
      <w:bookmarkStart w:id="48" w:name="_Toc329582345"/>
      <w:bookmarkStart w:id="49" w:name="_Toc329590852"/>
      <w:bookmarkStart w:id="50" w:name="_Toc329590974"/>
      <w:r w:rsidRPr="007D513B">
        <w:lastRenderedPageBreak/>
        <w:t>Seznam</w:t>
      </w:r>
      <w:r w:rsidRPr="007D513B">
        <w:rPr>
          <w:bCs w:val="0"/>
        </w:rPr>
        <w:t xml:space="preserve"> použitých zdrojů</w:t>
      </w:r>
      <w:bookmarkEnd w:id="36"/>
    </w:p>
    <w:p w14:paraId="32464213" w14:textId="77777777" w:rsidR="00952EF5" w:rsidRPr="000A4870" w:rsidRDefault="00952EF5" w:rsidP="00A26A1D">
      <w:pPr>
        <w:keepNext/>
        <w:spacing w:after="0" w:line="360" w:lineRule="auto"/>
        <w:ind w:left="567" w:hanging="432"/>
        <w:jc w:val="both"/>
        <w:outlineLvl w:val="1"/>
        <w:rPr>
          <w:b/>
          <w:bCs/>
          <w:iCs/>
          <w:sz w:val="28"/>
          <w:szCs w:val="28"/>
        </w:rPr>
      </w:pPr>
      <w:r w:rsidRPr="000A4870">
        <w:rPr>
          <w:b/>
          <w:bCs/>
          <w:iCs/>
          <w:sz w:val="28"/>
          <w:szCs w:val="28"/>
        </w:rPr>
        <w:t>Monografie</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C6193F1"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BĚLOHLÁVEK, Alexander, HÓTOVÁ Renáta. </w:t>
      </w:r>
      <w:r w:rsidRPr="00DF6BD2">
        <w:rPr>
          <w:i/>
        </w:rPr>
        <w:t>Cenová Regulace z pohledu tuzemské, komunitární a mezinárodní úpravy a ochrany investic</w:t>
      </w:r>
      <w:r w:rsidRPr="00D30707">
        <w:t>, Ostrava: Sagit, 2008, 356 s.</w:t>
      </w:r>
    </w:p>
    <w:p w14:paraId="56755180" w14:textId="77777777" w:rsidR="00952EF5" w:rsidRPr="00DF6BD2" w:rsidRDefault="00952EF5" w:rsidP="00A26A1D">
      <w:pPr>
        <w:pStyle w:val="Odstavecseseznamem"/>
        <w:keepNext/>
        <w:numPr>
          <w:ilvl w:val="0"/>
          <w:numId w:val="18"/>
        </w:numPr>
        <w:spacing w:after="0" w:line="360" w:lineRule="auto"/>
        <w:ind w:left="567" w:hanging="432"/>
        <w:jc w:val="both"/>
        <w:outlineLvl w:val="1"/>
        <w:rPr>
          <w:sz w:val="22"/>
        </w:rPr>
      </w:pPr>
      <w:r w:rsidRPr="00D30707">
        <w:t xml:space="preserve">BĚLOHLÁVEK, Alexander: </w:t>
      </w:r>
      <w:r w:rsidRPr="00DF6BD2">
        <w:rPr>
          <w:i/>
        </w:rPr>
        <w:t>Ochrana přímých zahraničních investic v energetice</w:t>
      </w:r>
      <w:r w:rsidRPr="00D30707">
        <w:t>. 1. vyd. Praha: C. H. Beck, 2011, 425 s.</w:t>
      </w:r>
    </w:p>
    <w:p w14:paraId="6DC48A3E"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BĚLOHLÁVEK, Alexander: </w:t>
      </w:r>
      <w:r w:rsidRPr="00DF6BD2">
        <w:rPr>
          <w:i/>
        </w:rPr>
        <w:t>Ochrana přímých zahraničních investic v Evropské unii.</w:t>
      </w:r>
      <w:r w:rsidRPr="00D30707">
        <w:t xml:space="preserve"> Praha: C. H. Beck, 2010, 388 s.</w:t>
      </w:r>
    </w:p>
    <w:p w14:paraId="27F85832"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BÜCHELER, Gebhard: </w:t>
      </w:r>
      <w:r w:rsidRPr="00DF6BD2">
        <w:rPr>
          <w:i/>
        </w:rPr>
        <w:t>Proportionality in Investor-State Arbitration</w:t>
      </w:r>
      <w:r w:rsidRPr="00D30707">
        <w:t>. Oxford: Oxford Publishing, 2015. 320 s.</w:t>
      </w:r>
    </w:p>
    <w:p w14:paraId="7D5C50C0"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CAMERON, Peter. </w:t>
      </w:r>
      <w:r w:rsidRPr="00DF6BD2">
        <w:rPr>
          <w:i/>
        </w:rPr>
        <w:t>International energy investment law: the pursuit of stability</w:t>
      </w:r>
      <w:r w:rsidRPr="00D30707">
        <w:t>. Oxford: Oxford Univ. Press, 2010, 499 s.</w:t>
      </w:r>
    </w:p>
    <w:p w14:paraId="5992C6BE" w14:textId="77777777" w:rsidR="00952EF5" w:rsidRPr="00D30707" w:rsidRDefault="00952EF5" w:rsidP="00A26A1D">
      <w:pPr>
        <w:pStyle w:val="Odstavecseseznamem"/>
        <w:keepNext/>
        <w:numPr>
          <w:ilvl w:val="0"/>
          <w:numId w:val="18"/>
        </w:numPr>
        <w:spacing w:after="0" w:line="360" w:lineRule="auto"/>
        <w:ind w:left="567" w:hanging="432"/>
        <w:jc w:val="both"/>
        <w:outlineLvl w:val="1"/>
        <w:rPr>
          <w:rStyle w:val="exldetailsdisplayval"/>
        </w:rPr>
      </w:pPr>
      <w:r w:rsidRPr="00D30707">
        <w:t xml:space="preserve">COMEAUX, Paul. </w:t>
      </w:r>
      <w:r w:rsidRPr="00DF6BD2">
        <w:rPr>
          <w:i/>
        </w:rPr>
        <w:t>Protecting foreign investment under international law: legal aspects of political</w:t>
      </w:r>
      <w:r w:rsidRPr="00D30707">
        <w:t xml:space="preserve"> </w:t>
      </w:r>
      <w:r w:rsidRPr="00DF6BD2">
        <w:rPr>
          <w:i/>
        </w:rPr>
        <w:t>risk</w:t>
      </w:r>
      <w:r w:rsidRPr="00D30707">
        <w:t xml:space="preserve">. </w:t>
      </w:r>
      <w:r w:rsidRPr="00D30707">
        <w:rPr>
          <w:rStyle w:val="exldetailsdisplayval"/>
        </w:rPr>
        <w:t>Dobbs Ferry, N.Y: Oceana Publ., 1997. 448 s.</w:t>
      </w:r>
    </w:p>
    <w:p w14:paraId="199AF560" w14:textId="7B8EFF20" w:rsidR="00F71954" w:rsidRPr="00DF6BD2" w:rsidRDefault="00F71954" w:rsidP="00A26A1D">
      <w:pPr>
        <w:pStyle w:val="Odstavecseseznamem"/>
        <w:keepNext/>
        <w:numPr>
          <w:ilvl w:val="0"/>
          <w:numId w:val="18"/>
        </w:numPr>
        <w:spacing w:after="0" w:line="360" w:lineRule="auto"/>
        <w:ind w:left="567" w:hanging="432"/>
        <w:jc w:val="both"/>
        <w:outlineLvl w:val="1"/>
        <w:rPr>
          <w:rStyle w:val="exldetailsdisplayval"/>
          <w:sz w:val="22"/>
        </w:rPr>
      </w:pPr>
      <w:r w:rsidRPr="00D30707">
        <w:t xml:space="preserve">ČEPELKA, Čestmír, ŠTURMA, Pavel. </w:t>
      </w:r>
      <w:r w:rsidRPr="00DF6BD2">
        <w:rPr>
          <w:i/>
        </w:rPr>
        <w:t>Mezinárodní právo veřejné</w:t>
      </w:r>
      <w:r w:rsidRPr="00D30707">
        <w:t>. 2. vydání. Praha: C.H.Beck, 2008. 896 s.</w:t>
      </w:r>
    </w:p>
    <w:p w14:paraId="6EDF3D90"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DOLZER, Rudolf, SCHREUER, Christoph. </w:t>
      </w:r>
      <w:r w:rsidRPr="00DF6BD2">
        <w:rPr>
          <w:i/>
          <w:iCs/>
        </w:rPr>
        <w:t>Principles of international investment law</w:t>
      </w:r>
      <w:r w:rsidRPr="00D30707">
        <w:t>. 2. vyd. Oxford: Oxford Univ. Press, 2012, 417 s.</w:t>
      </w:r>
    </w:p>
    <w:p w14:paraId="0549B5A7"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GRIEBEL Jörn. </w:t>
      </w:r>
      <w:r w:rsidRPr="00DF6BD2">
        <w:rPr>
          <w:i/>
        </w:rPr>
        <w:t>Internationales Investitionsrecht: Lehrbuch für Studium und Praxis</w:t>
      </w:r>
      <w:r w:rsidRPr="00D30707">
        <w:t>. München: Beck, 2008. 223 s.</w:t>
      </w:r>
    </w:p>
    <w:p w14:paraId="77CA7033"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HENDRYCH D. a kol.: </w:t>
      </w:r>
      <w:r w:rsidRPr="00DF6BD2">
        <w:rPr>
          <w:i/>
        </w:rPr>
        <w:t>Správní právo – obecná část. 6. vydání,</w:t>
      </w:r>
      <w:r w:rsidRPr="00D30707">
        <w:t xml:space="preserve"> C. H. Beck Praha, 2006, 822 s.</w:t>
      </w:r>
    </w:p>
    <w:p w14:paraId="2C3F5EFF"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KALICKI, Jean, JOUBIN-BRET, Anna. </w:t>
      </w:r>
      <w:r w:rsidRPr="00DF6BD2">
        <w:rPr>
          <w:i/>
        </w:rPr>
        <w:t>Reshaping the Investor-State Dispute Settlement System: Journeys for the 21st Century</w:t>
      </w:r>
      <w:r w:rsidRPr="00D30707">
        <w:t>. Leiden: Hotei Publishing, 2015. 1044 s.</w:t>
      </w:r>
    </w:p>
    <w:p w14:paraId="162C29E4"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LENAERTS Koen, VAN NUFFEL, Piet. </w:t>
      </w:r>
      <w:r w:rsidRPr="00DF6BD2">
        <w:rPr>
          <w:i/>
        </w:rPr>
        <w:t>Constitutional Law of the European Union</w:t>
      </w:r>
      <w:r w:rsidRPr="00D30707">
        <w:t>, London: Sweet and Maxwell Ltd., 2005, 1334s.</w:t>
      </w:r>
    </w:p>
    <w:p w14:paraId="374FCDB8" w14:textId="77777777" w:rsidR="00952EF5" w:rsidRDefault="00952EF5" w:rsidP="00A26A1D">
      <w:pPr>
        <w:pStyle w:val="Odstavecseseznamem"/>
        <w:keepNext/>
        <w:numPr>
          <w:ilvl w:val="0"/>
          <w:numId w:val="18"/>
        </w:numPr>
        <w:spacing w:after="0" w:line="360" w:lineRule="auto"/>
        <w:ind w:left="567" w:hanging="432"/>
        <w:jc w:val="both"/>
        <w:outlineLvl w:val="1"/>
        <w:rPr>
          <w:rStyle w:val="exldetailsdisplayval"/>
        </w:rPr>
      </w:pPr>
      <w:r w:rsidRPr="00D30707">
        <w:t xml:space="preserve">MEIFORT, Cornelia. </w:t>
      </w:r>
      <w:r w:rsidRPr="00DF6BD2">
        <w:rPr>
          <w:i/>
        </w:rPr>
        <w:t>Der Begriff der Enteignung nach der Rechtsprechung der internationalen Schiedsgerichte zum internationalen Investitionsschutzrecht.</w:t>
      </w:r>
      <w:r w:rsidRPr="00D30707">
        <w:t xml:space="preserve"> </w:t>
      </w:r>
      <w:r w:rsidRPr="00D30707">
        <w:rPr>
          <w:rStyle w:val="exldetailsdisplayval"/>
        </w:rPr>
        <w:t>Frankfurt am Main: Lang, 2010. 222 s.</w:t>
      </w:r>
    </w:p>
    <w:p w14:paraId="25F71B4E" w14:textId="120B059B" w:rsidR="00731867" w:rsidRPr="00D30707" w:rsidRDefault="00731867" w:rsidP="00A26A1D">
      <w:pPr>
        <w:pStyle w:val="Odstavecseseznamem"/>
        <w:keepNext/>
        <w:numPr>
          <w:ilvl w:val="0"/>
          <w:numId w:val="18"/>
        </w:numPr>
        <w:spacing w:after="0" w:line="360" w:lineRule="auto"/>
        <w:ind w:left="567" w:hanging="432"/>
        <w:jc w:val="both"/>
        <w:outlineLvl w:val="1"/>
        <w:rPr>
          <w:rStyle w:val="exldetailsdisplayval"/>
        </w:rPr>
      </w:pPr>
      <w:r w:rsidRPr="00EA0B20">
        <w:lastRenderedPageBreak/>
        <w:t>SCHERNBECK</w:t>
      </w:r>
      <w:r>
        <w:t xml:space="preserve">, Andrea. </w:t>
      </w:r>
      <w:r w:rsidRPr="00EA0B20">
        <w:rPr>
          <w:i/>
        </w:rPr>
        <w:t>Der Fair and Equitable Treatment Standard in internationalen Investitionsschutzabkommen</w:t>
      </w:r>
      <w:r>
        <w:t xml:space="preserve">. </w:t>
      </w:r>
      <w:r>
        <w:rPr>
          <w:rStyle w:val="exldetailsdisplayval"/>
        </w:rPr>
        <w:t>Zürich: Dike, 2013. 166 s.</w:t>
      </w:r>
    </w:p>
    <w:p w14:paraId="0B93E709" w14:textId="77777777" w:rsidR="00952EF5" w:rsidRPr="00D30707" w:rsidRDefault="00952EF5" w:rsidP="00A26A1D">
      <w:pPr>
        <w:pStyle w:val="Odstavecseseznamem"/>
        <w:keepNext/>
        <w:numPr>
          <w:ilvl w:val="0"/>
          <w:numId w:val="18"/>
        </w:numPr>
        <w:spacing w:after="0" w:line="360" w:lineRule="auto"/>
        <w:ind w:left="567" w:hanging="432"/>
        <w:jc w:val="both"/>
        <w:outlineLvl w:val="1"/>
      </w:pPr>
      <w:r w:rsidRPr="00D30707">
        <w:t xml:space="preserve">ŠTURMA, Pavel, BALAŠ, Vladimír. </w:t>
      </w:r>
      <w:r w:rsidRPr="00DF6BD2">
        <w:rPr>
          <w:i/>
        </w:rPr>
        <w:t>Ochrana mezinárodních investic v kontextu obecného mezinárodního práva</w:t>
      </w:r>
      <w:r w:rsidRPr="00D30707">
        <w:t>. Praha: Univerzita Karlova v Praze, 2012, 100 s.</w:t>
      </w:r>
    </w:p>
    <w:p w14:paraId="270A884F" w14:textId="090E3B92" w:rsidR="00952EF5" w:rsidRPr="000A6138" w:rsidRDefault="00952EF5" w:rsidP="00A26A1D">
      <w:pPr>
        <w:pStyle w:val="Odstavecseseznamem"/>
        <w:keepNext/>
        <w:numPr>
          <w:ilvl w:val="0"/>
          <w:numId w:val="18"/>
        </w:numPr>
        <w:spacing w:after="0" w:line="360" w:lineRule="auto"/>
        <w:ind w:left="567" w:hanging="432"/>
        <w:jc w:val="both"/>
        <w:outlineLvl w:val="1"/>
        <w:rPr>
          <w:sz w:val="18"/>
        </w:rPr>
      </w:pPr>
      <w:r w:rsidRPr="00D30707">
        <w:t>ŠTURMA, Pavel. Mezinárodní dohody o ochraně investic a řešení sporů. Praha: Linde, 2008. 334 s.</w:t>
      </w:r>
    </w:p>
    <w:p w14:paraId="5A1C13AB" w14:textId="77777777" w:rsidR="00952EF5" w:rsidRPr="000A4870" w:rsidRDefault="00952EF5" w:rsidP="00A26A1D">
      <w:pPr>
        <w:keepNext/>
        <w:spacing w:after="0" w:line="360" w:lineRule="auto"/>
        <w:ind w:left="567" w:hanging="432"/>
        <w:jc w:val="both"/>
        <w:outlineLvl w:val="1"/>
        <w:rPr>
          <w:b/>
          <w:bCs/>
          <w:iCs/>
          <w:sz w:val="28"/>
          <w:szCs w:val="28"/>
        </w:rPr>
      </w:pPr>
      <w:bookmarkStart w:id="51" w:name="_Toc328470195"/>
      <w:bookmarkStart w:id="52" w:name="_Toc328595495"/>
      <w:bookmarkStart w:id="53" w:name="_Toc328651273"/>
      <w:bookmarkStart w:id="54" w:name="_Toc328673080"/>
      <w:bookmarkStart w:id="55" w:name="_Toc329077395"/>
      <w:bookmarkStart w:id="56" w:name="_Toc329077900"/>
      <w:bookmarkStart w:id="57" w:name="_Toc329105814"/>
      <w:bookmarkStart w:id="58" w:name="_Toc329115032"/>
      <w:bookmarkStart w:id="59" w:name="_Toc329115186"/>
      <w:bookmarkStart w:id="60" w:name="_Toc329115564"/>
      <w:bookmarkStart w:id="61" w:name="_Toc329580505"/>
      <w:bookmarkStart w:id="62" w:name="_Toc329582346"/>
      <w:bookmarkStart w:id="63" w:name="_Toc329590853"/>
      <w:bookmarkStart w:id="64" w:name="_Toc329590975"/>
      <w:r w:rsidRPr="000A4870">
        <w:rPr>
          <w:b/>
          <w:bCs/>
          <w:iCs/>
          <w:sz w:val="28"/>
          <w:szCs w:val="28"/>
        </w:rPr>
        <w:t>Články</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22B6037"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BĚLOHLÁVEK, Alexander J. Hmotněprávní standardy ochrany přímých zahraničních investic. </w:t>
      </w:r>
      <w:r w:rsidRPr="00E01C54">
        <w:rPr>
          <w:i/>
        </w:rPr>
        <w:t>Právník.</w:t>
      </w:r>
      <w:r w:rsidRPr="00756958">
        <w:t xml:space="preserve"> 2012, roč. 151, č. 11, s. 1-51.</w:t>
      </w:r>
    </w:p>
    <w:p w14:paraId="5516D055"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BONZON, Anne-Juliette. Balance Between Investment Protection and Sustainable Development in BITs. </w:t>
      </w:r>
      <w:r w:rsidRPr="00E01C54">
        <w:rPr>
          <w:i/>
        </w:rPr>
        <w:t>The journal of World Investment and Trade</w:t>
      </w:r>
      <w:r w:rsidRPr="00756958">
        <w:t>, roč. 15, č. 5, s. 809 – 826.</w:t>
      </w:r>
    </w:p>
    <w:p w14:paraId="6743291E"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BROWN, Julia. International Investment Agreements: Regulatory Chill in the Face of Litigious Heat. </w:t>
      </w:r>
      <w:r w:rsidRPr="00E01C54">
        <w:rPr>
          <w:i/>
          <w:iCs/>
        </w:rPr>
        <w:t>Western Journal of Legal Studies</w:t>
      </w:r>
      <w:r w:rsidRPr="00E01C54">
        <w:rPr>
          <w:iCs/>
        </w:rPr>
        <w:t>, roč. 3, č. 1, s. 1 – 25.</w:t>
      </w:r>
    </w:p>
    <w:p w14:paraId="168D4562"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DUMBERRY, Patrick. The Importation of the FET Standard through MFN Clauses: An Empirical Study of BITs. </w:t>
      </w:r>
      <w:r w:rsidRPr="00E01C54">
        <w:rPr>
          <w:i/>
        </w:rPr>
        <w:t>ICSID Review</w:t>
      </w:r>
      <w:r w:rsidRPr="00756958">
        <w:t>, 2017, roč. 32, č. 1, s. 116-137.</w:t>
      </w:r>
    </w:p>
    <w:p w14:paraId="44AB8024"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GRAMLICH, Ludwig, CONECH, Claudia. Der Streit um  die  Investor-Staat-Streitbeilegung im  Kontext von  CETA und TTIP - Erkenntnisse  und Losungsansatze. </w:t>
      </w:r>
      <w:r w:rsidRPr="00E01C54">
        <w:rPr>
          <w:i/>
        </w:rPr>
        <w:t xml:space="preserve">Swiss Review of International  and European  Law, </w:t>
      </w:r>
      <w:r w:rsidRPr="00756958">
        <w:t>2016, roč. 26, č. 3, s. 391 – 416.</w:t>
      </w:r>
    </w:p>
    <w:p w14:paraId="025FC01F"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HUECKEL, Julia. Rebalancing Legitimacy and Sovereignty in International Investment Agreements. </w:t>
      </w:r>
      <w:r w:rsidRPr="00E01C54">
        <w:rPr>
          <w:i/>
          <w:iCs/>
        </w:rPr>
        <w:t>Emory Law Journal</w:t>
      </w:r>
      <w:r w:rsidRPr="00756958">
        <w:t>, 2012, roč. 61, č. 3, s. 601 - 640</w:t>
      </w:r>
    </w:p>
    <w:p w14:paraId="2E5A0CFA"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ISAKOFF, Peter. Defining the scope of indirect expropriation for international investments. </w:t>
      </w:r>
      <w:r w:rsidRPr="00E01C54">
        <w:rPr>
          <w:i/>
        </w:rPr>
        <w:t>Global business law review</w:t>
      </w:r>
      <w:r w:rsidRPr="00756958">
        <w:t>, 2012, roč. 13, č. 3, s. 189 – 201.</w:t>
      </w:r>
    </w:p>
    <w:p w14:paraId="4FB090A3"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KALIŠ, Roman. Mezinárodní minimální standard zacházení s mezinárodní investicí. In ŽATECKÁ, Eva (ed). </w:t>
      </w:r>
      <w:r w:rsidRPr="00E01C54">
        <w:rPr>
          <w:i/>
        </w:rPr>
        <w:t>Cofola 2011</w:t>
      </w:r>
      <w:r w:rsidRPr="00756958">
        <w:t>. Brno: Masarykova univerzita, 2011, s. 470 – 480.</w:t>
      </w:r>
    </w:p>
    <w:p w14:paraId="43A9A870"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KRIEBAUM, Ursula. Regulatory Takings: Balancing the Interests of the Investor and the State. </w:t>
      </w:r>
      <w:r w:rsidRPr="00E01C54">
        <w:rPr>
          <w:i/>
        </w:rPr>
        <w:t>The Journal of World Investment and Trade</w:t>
      </w:r>
      <w:r w:rsidRPr="00756958">
        <w:t>. 2007, roč. 8, č. 1, s. 717-744.</w:t>
      </w:r>
    </w:p>
    <w:p w14:paraId="5EAFA7C1" w14:textId="77777777" w:rsidR="00952EF5" w:rsidRPr="00E01C54" w:rsidRDefault="00952EF5" w:rsidP="00A26A1D">
      <w:pPr>
        <w:pStyle w:val="Odstavecseseznamem"/>
        <w:keepNext/>
        <w:numPr>
          <w:ilvl w:val="0"/>
          <w:numId w:val="19"/>
        </w:numPr>
        <w:spacing w:after="0" w:line="360" w:lineRule="auto"/>
        <w:ind w:left="567" w:hanging="432"/>
        <w:jc w:val="both"/>
        <w:outlineLvl w:val="1"/>
        <w:rPr>
          <w:iCs/>
        </w:rPr>
      </w:pPr>
      <w:r w:rsidRPr="00756958">
        <w:t xml:space="preserve">LUDWIGS, Markus. Germany's Nuclear Phase-out and the Right to Property. </w:t>
      </w:r>
      <w:r w:rsidRPr="00E01C54">
        <w:rPr>
          <w:i/>
          <w:iCs/>
        </w:rPr>
        <w:t xml:space="preserve">European Networks Law and Regulation Quarterly, </w:t>
      </w:r>
      <w:r w:rsidRPr="00E01C54">
        <w:rPr>
          <w:iCs/>
        </w:rPr>
        <w:t>2016, roč. 4, s. 43-47.</w:t>
      </w:r>
    </w:p>
    <w:p w14:paraId="13C37381" w14:textId="77777777" w:rsidR="00952EF5" w:rsidRPr="00E01C54" w:rsidRDefault="00952EF5" w:rsidP="00A26A1D">
      <w:pPr>
        <w:pStyle w:val="Odstavecseseznamem"/>
        <w:keepNext/>
        <w:numPr>
          <w:ilvl w:val="0"/>
          <w:numId w:val="19"/>
        </w:numPr>
        <w:spacing w:after="0" w:line="360" w:lineRule="auto"/>
        <w:ind w:left="567" w:hanging="432"/>
        <w:jc w:val="both"/>
        <w:outlineLvl w:val="1"/>
        <w:rPr>
          <w:iCs/>
        </w:rPr>
      </w:pPr>
      <w:r w:rsidRPr="00756958">
        <w:lastRenderedPageBreak/>
        <w:t xml:space="preserve">MELLSKE, Ryan. For Greater Certainty: Calibrating Investment Treaties to Protect Foreign Investment and Public Health. </w:t>
      </w:r>
      <w:r w:rsidRPr="00E01C54">
        <w:rPr>
          <w:i/>
          <w:iCs/>
        </w:rPr>
        <w:t>Maryland Journal of International Law</w:t>
      </w:r>
      <w:r w:rsidRPr="00E01C54">
        <w:rPr>
          <w:iCs/>
        </w:rPr>
        <w:t>, roč. 30, č. 1, s. 83 – 104.</w:t>
      </w:r>
    </w:p>
    <w:p w14:paraId="4C32CDEA" w14:textId="77777777" w:rsidR="00952EF5" w:rsidRPr="00E01C54" w:rsidRDefault="00952EF5" w:rsidP="00A26A1D">
      <w:pPr>
        <w:pStyle w:val="Odstavecseseznamem"/>
        <w:keepNext/>
        <w:numPr>
          <w:ilvl w:val="0"/>
          <w:numId w:val="19"/>
        </w:numPr>
        <w:spacing w:after="0" w:line="360" w:lineRule="auto"/>
        <w:ind w:left="567" w:hanging="432"/>
        <w:jc w:val="both"/>
        <w:outlineLvl w:val="1"/>
        <w:rPr>
          <w:iCs/>
        </w:rPr>
      </w:pPr>
      <w:r w:rsidRPr="00756958">
        <w:t xml:space="preserve">MOLOO, Rahim. Environmental and Health Regulation: Assessing Liability under Investment Treaties. </w:t>
      </w:r>
      <w:r w:rsidRPr="00E01C54">
        <w:rPr>
          <w:i/>
          <w:iCs/>
        </w:rPr>
        <w:t>Berkeley Journal of International Law</w:t>
      </w:r>
      <w:r w:rsidRPr="00E01C54">
        <w:rPr>
          <w:iCs/>
        </w:rPr>
        <w:t>, 2011, roč. 29, č. 1, s. 1-65.</w:t>
      </w:r>
    </w:p>
    <w:p w14:paraId="541270BC"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SCHREUER, Christoph. Fair and equitable Treatment in Arbitral Practice. </w:t>
      </w:r>
      <w:r w:rsidRPr="00E01C54">
        <w:rPr>
          <w:i/>
        </w:rPr>
        <w:t>The Journal of World Invest and Trade</w:t>
      </w:r>
      <w:r w:rsidRPr="00756958">
        <w:t>, roč. 18. č. 6, s. 357 – 386.</w:t>
      </w:r>
    </w:p>
    <w:p w14:paraId="627BB742" w14:textId="77777777" w:rsidR="00952EF5" w:rsidRPr="00756958" w:rsidRDefault="00952EF5" w:rsidP="00A26A1D">
      <w:pPr>
        <w:pStyle w:val="Odstavecseseznamem"/>
        <w:keepNext/>
        <w:numPr>
          <w:ilvl w:val="0"/>
          <w:numId w:val="19"/>
        </w:numPr>
        <w:spacing w:after="0" w:line="360" w:lineRule="auto"/>
        <w:ind w:left="567" w:hanging="432"/>
        <w:jc w:val="both"/>
        <w:outlineLvl w:val="1"/>
      </w:pPr>
      <w:r w:rsidRPr="00756958">
        <w:t xml:space="preserve">VADI, Valentina. Energy Security v. Public Health: Nuclear Energy in International Investment Law and Arbitration. </w:t>
      </w:r>
      <w:r w:rsidRPr="00E01C54">
        <w:rPr>
          <w:i/>
        </w:rPr>
        <w:t>Georgetown Journal of International Law</w:t>
      </w:r>
      <w:r w:rsidRPr="00756958">
        <w:t>. 2016, roč. 47, č. 3, s. 1069 – 1136.</w:t>
      </w:r>
    </w:p>
    <w:p w14:paraId="3F324C72" w14:textId="77777777" w:rsidR="00952EF5" w:rsidRPr="000A4870" w:rsidRDefault="00952EF5" w:rsidP="00A26A1D">
      <w:pPr>
        <w:keepNext/>
        <w:tabs>
          <w:tab w:val="left" w:pos="3120"/>
        </w:tabs>
        <w:spacing w:after="0" w:line="360" w:lineRule="auto"/>
        <w:ind w:left="567" w:hanging="432"/>
        <w:jc w:val="both"/>
        <w:outlineLvl w:val="1"/>
        <w:rPr>
          <w:b/>
          <w:bCs/>
          <w:iCs/>
          <w:sz w:val="28"/>
          <w:szCs w:val="28"/>
        </w:rPr>
      </w:pPr>
      <w:bookmarkStart w:id="65" w:name="_Toc328673081"/>
      <w:bookmarkStart w:id="66" w:name="_Toc329077396"/>
      <w:bookmarkStart w:id="67" w:name="_Toc329077901"/>
      <w:bookmarkStart w:id="68" w:name="_Toc329105815"/>
      <w:bookmarkStart w:id="69" w:name="_Toc329115033"/>
      <w:bookmarkStart w:id="70" w:name="_Toc329115187"/>
      <w:bookmarkStart w:id="71" w:name="_Toc329115565"/>
      <w:bookmarkStart w:id="72" w:name="_Toc329580506"/>
      <w:bookmarkStart w:id="73" w:name="_Toc329582347"/>
      <w:bookmarkStart w:id="74" w:name="_Toc329590854"/>
      <w:bookmarkStart w:id="75" w:name="_Toc329590976"/>
      <w:r w:rsidRPr="000A4870">
        <w:rPr>
          <w:b/>
          <w:bCs/>
          <w:iCs/>
          <w:sz w:val="28"/>
          <w:szCs w:val="28"/>
        </w:rPr>
        <w:t>Internetové zdroje</w:t>
      </w:r>
      <w:bookmarkEnd w:id="65"/>
      <w:bookmarkEnd w:id="66"/>
      <w:bookmarkEnd w:id="67"/>
      <w:bookmarkEnd w:id="68"/>
      <w:bookmarkEnd w:id="69"/>
      <w:bookmarkEnd w:id="70"/>
      <w:bookmarkEnd w:id="71"/>
      <w:bookmarkEnd w:id="72"/>
      <w:bookmarkEnd w:id="73"/>
      <w:bookmarkEnd w:id="74"/>
      <w:bookmarkEnd w:id="75"/>
      <w:r w:rsidRPr="000A4870">
        <w:rPr>
          <w:b/>
          <w:bCs/>
          <w:iCs/>
          <w:sz w:val="28"/>
          <w:szCs w:val="28"/>
        </w:rPr>
        <w:tab/>
      </w:r>
    </w:p>
    <w:p w14:paraId="07AB99B8" w14:textId="77777777" w:rsidR="00952EF5" w:rsidRPr="00756958" w:rsidRDefault="00952EF5" w:rsidP="00A26A1D">
      <w:pPr>
        <w:pStyle w:val="Odstavecseseznamem"/>
        <w:keepNext/>
        <w:numPr>
          <w:ilvl w:val="0"/>
          <w:numId w:val="22"/>
        </w:numPr>
        <w:spacing w:after="0" w:line="360" w:lineRule="auto"/>
        <w:ind w:left="567" w:hanging="432"/>
        <w:jc w:val="both"/>
        <w:outlineLvl w:val="1"/>
        <w:rPr>
          <w:rStyle w:val="Hypertextovodkaz"/>
        </w:rPr>
      </w:pPr>
      <w:r w:rsidRPr="00756958">
        <w:t xml:space="preserve">EUROPEAN COMMISSION. </w:t>
      </w:r>
      <w:r w:rsidRPr="00AB1FBC">
        <w:rPr>
          <w:i/>
        </w:rPr>
        <w:t>Communication from the commission to the council, the european parliament, the european economic and social committee and the committee of the regions. Towards a comprehensive European international investment policy</w:t>
      </w:r>
      <w:r w:rsidRPr="00756958">
        <w:t>. [online]. Trade.ec.europa.eu, 7. července 2010 [cit. 7. října 2016]. Dostupné na &lt;</w:t>
      </w:r>
      <w:hyperlink r:id="rId9" w:history="1">
        <w:r w:rsidRPr="00756958">
          <w:rPr>
            <w:rStyle w:val="Hypertextovodkaz"/>
          </w:rPr>
          <w:t>http://trade.ec.europa.eu/doclib/docs/2010/july/tradoc_146307.pdf</w:t>
        </w:r>
      </w:hyperlink>
      <w:r w:rsidRPr="00756958">
        <w:rPr>
          <w:rStyle w:val="Hypertextovodkaz"/>
        </w:rPr>
        <w:t>&gt;.</w:t>
      </w:r>
    </w:p>
    <w:p w14:paraId="5D34D553"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GOVERNMENT OF INDIA, MINISTRY OF FINANCE. </w:t>
      </w:r>
      <w:r w:rsidRPr="00AB1FBC">
        <w:rPr>
          <w:i/>
        </w:rPr>
        <w:t xml:space="preserve">Model Text for the Indian Bilateral Investment Treaty </w:t>
      </w:r>
      <w:r w:rsidRPr="00756958">
        <w:t>[online]. finmin.nic.in, 28. prosince 2015, [cit. 5. června 2016]. Dostupné na &lt;</w:t>
      </w:r>
      <w:hyperlink r:id="rId10" w:history="1">
        <w:r w:rsidRPr="00756958">
          <w:rPr>
            <w:rStyle w:val="Hypertextovodkaz"/>
          </w:rPr>
          <w:t>http://finmin.nic.in/reports/ModelTextIndia_BIT.pdf</w:t>
        </w:r>
      </w:hyperlink>
      <w:r w:rsidRPr="00756958">
        <w:t>&gt;.</w:t>
      </w:r>
    </w:p>
    <w:p w14:paraId="4EE8B4CE"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HODER, Lukáš. </w:t>
      </w:r>
      <w:r w:rsidRPr="00AB1FBC">
        <w:rPr>
          <w:i/>
        </w:rPr>
        <w:t>Investiční arbitráže v roce 2015</w:t>
      </w:r>
      <w:r w:rsidRPr="00756958">
        <w:t xml:space="preserve"> [online]. patria.cz, 25. května 2016 [cit. 13. března 2017]. Dostupné na &lt;</w:t>
      </w:r>
      <w:hyperlink r:id="rId11" w:history="1">
        <w:r w:rsidRPr="00756958">
          <w:rPr>
            <w:rStyle w:val="Hypertextovodkaz"/>
          </w:rPr>
          <w:t>https://www.patria.cz/pravo/3217884/investicni-arbitraze-v-roce-2015.html</w:t>
        </w:r>
      </w:hyperlink>
      <w:r w:rsidRPr="00756958">
        <w:t>&gt;.</w:t>
      </w:r>
    </w:p>
    <w:p w14:paraId="69848614" w14:textId="1C1891E6" w:rsidR="007D1521" w:rsidRPr="00756958" w:rsidRDefault="007D1521" w:rsidP="00A26A1D">
      <w:pPr>
        <w:pStyle w:val="Odstavecseseznamem"/>
        <w:keepNext/>
        <w:numPr>
          <w:ilvl w:val="0"/>
          <w:numId w:val="22"/>
        </w:numPr>
        <w:spacing w:after="0" w:line="360" w:lineRule="auto"/>
        <w:ind w:left="567" w:hanging="432"/>
        <w:jc w:val="both"/>
        <w:outlineLvl w:val="1"/>
      </w:pPr>
      <w:r w:rsidRPr="00756958">
        <w:t xml:space="preserve">INVESTOPEDIA. </w:t>
      </w:r>
      <w:r w:rsidRPr="00AB1FBC">
        <w:rPr>
          <w:i/>
        </w:rPr>
        <w:t>Goodwill</w:t>
      </w:r>
      <w:r w:rsidRPr="00756958">
        <w:t xml:space="preserve"> [online]. investopedia.org, [cit. 3. dubna 2017]. Dostupné na &lt;</w:t>
      </w:r>
      <w:hyperlink r:id="rId12" w:history="1">
        <w:r w:rsidRPr="00756958">
          <w:rPr>
            <w:rStyle w:val="Hypertextovodkaz"/>
          </w:rPr>
          <w:t>http://www.investopedia.com/terms/g/goodwill.asp</w:t>
        </w:r>
      </w:hyperlink>
      <w:r w:rsidRPr="00756958">
        <w:t>&gt;.</w:t>
      </w:r>
    </w:p>
    <w:p w14:paraId="506D3301"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JOHNSON, Lise. </w:t>
      </w:r>
      <w:r w:rsidRPr="00AB1FBC">
        <w:rPr>
          <w:i/>
        </w:rPr>
        <w:t xml:space="preserve">State Liability for Regulatory Change: How International Investment Rules are Overriding Domestic Law </w:t>
      </w:r>
      <w:r w:rsidRPr="00756958">
        <w:t>[online]. iisd.org, 6. ledna 2014 [cit. 2. března 2017]. Dostupné na &lt;</w:t>
      </w:r>
      <w:hyperlink r:id="rId13" w:anchor="_ftn23" w:history="1">
        <w:r w:rsidRPr="00756958">
          <w:rPr>
            <w:rStyle w:val="Hypertextovodkaz"/>
          </w:rPr>
          <w:t>https://www.iisd.org/itn/2014/01/06/state-liability-for-regulatory-change-how-international-investment-rules-are-overriding-domestic-law/#_ftn23</w:t>
        </w:r>
      </w:hyperlink>
      <w:r w:rsidRPr="00756958">
        <w:t>&gt;.</w:t>
      </w:r>
    </w:p>
    <w:p w14:paraId="084A83FC" w14:textId="77777777" w:rsidR="00952EF5" w:rsidRPr="00756958" w:rsidRDefault="00952EF5" w:rsidP="00A26A1D">
      <w:pPr>
        <w:pStyle w:val="Odstavecseseznamem"/>
        <w:keepNext/>
        <w:numPr>
          <w:ilvl w:val="0"/>
          <w:numId w:val="22"/>
        </w:numPr>
        <w:spacing w:after="0" w:line="360" w:lineRule="auto"/>
        <w:ind w:left="567" w:hanging="432"/>
        <w:jc w:val="both"/>
        <w:outlineLvl w:val="1"/>
        <w:rPr>
          <w:rStyle w:val="Hypertextovodkaz"/>
        </w:rPr>
      </w:pPr>
      <w:r w:rsidRPr="00756958">
        <w:t xml:space="preserve">JUERGEN, Mark. </w:t>
      </w:r>
      <w:r w:rsidRPr="00AB1FBC">
        <w:rPr>
          <w:i/>
        </w:rPr>
        <w:t>German Association of Judges on the TTIP Proposal of the European Commission</w:t>
      </w:r>
      <w:r w:rsidRPr="00756958">
        <w:t xml:space="preserve"> [online].</w:t>
      </w:r>
      <w:r w:rsidRPr="00AB1FBC">
        <w:rPr>
          <w:i/>
        </w:rPr>
        <w:t xml:space="preserve"> </w:t>
      </w:r>
      <w:r w:rsidRPr="00756958">
        <w:t>globalarbitrationnews.com, 21. března 2016 [cit. 2. listopadu 2016]. Dostupné na &lt;</w:t>
      </w:r>
      <w:hyperlink r:id="rId14" w:history="1">
        <w:r w:rsidRPr="00756958">
          <w:rPr>
            <w:rStyle w:val="Hypertextovodkaz"/>
          </w:rPr>
          <w:t>https://globalarbitrationnews.com/german-association-judges-</w:t>
        </w:r>
        <w:r w:rsidRPr="00756958">
          <w:rPr>
            <w:rStyle w:val="Hypertextovodkaz"/>
          </w:rPr>
          <w:lastRenderedPageBreak/>
          <w:t>proposal-european-commission-introduction-investment-court-system-settle-investor-state-disputes-transatlantic-trade-investmen/</w:t>
        </w:r>
      </w:hyperlink>
      <w:r w:rsidRPr="00756958">
        <w:t>&gt;.</w:t>
      </w:r>
    </w:p>
    <w:p w14:paraId="2DB60D20"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LEVINE, Matthew. </w:t>
      </w:r>
      <w:r w:rsidRPr="00AB1FBC">
        <w:rPr>
          <w:i/>
        </w:rPr>
        <w:t>ICSID tribunal dismisses final claim for compensation in relation to Hungary’s 2008 termination of power purchase agreement</w:t>
      </w:r>
      <w:r w:rsidRPr="00756958">
        <w:t xml:space="preserve"> [online]. iisd.org, 29. února 2016 [cit. 16. března 2017]. Dostupné na &lt;</w:t>
      </w:r>
      <w:hyperlink r:id="rId15" w:history="1">
        <w:r w:rsidRPr="00756958">
          <w:rPr>
            <w:rStyle w:val="Hypertextovodkaz"/>
          </w:rPr>
          <w:t>https://www.iisd.org/itn/2016/02/29/icsid-tribunal-dismisses-final-claim-for-compensation-in-relation-to-hungarys-2008-termination-of-power-purchase-agreement-electrabel-sa-v-republic-of-hungary-icsid-case-no-arb-07-1/</w:t>
        </w:r>
      </w:hyperlink>
      <w:r w:rsidRPr="00756958">
        <w:t>&gt;.</w:t>
      </w:r>
    </w:p>
    <w:p w14:paraId="3C224F67"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MINISTERSTVO FINANCÍ. </w:t>
      </w:r>
      <w:r w:rsidRPr="00AB1FBC">
        <w:rPr>
          <w:i/>
        </w:rPr>
        <w:t xml:space="preserve">Ministerstvo financí vypracovalo novou vzorovou dohodu o ochraně zahraničních investic </w:t>
      </w:r>
      <w:r w:rsidRPr="00756958">
        <w:t>[online]. mfcr.cz, 28. prosince 2016 [cit. 8. března 2017]. Dostupné na &lt;</w:t>
      </w:r>
      <w:hyperlink r:id="rId16" w:history="1">
        <w:r w:rsidRPr="00756958">
          <w:rPr>
            <w:rStyle w:val="Hypertextovodkaz"/>
          </w:rPr>
          <w:t>http://www.mfcr.cz/cs/zahranicni-sektor/ochrana-financnich-zajmu/arbitraze/aktualni-informace/2016/ministerstvo-financi-vypracovalo-novou-v-27033</w:t>
        </w:r>
      </w:hyperlink>
      <w:r w:rsidRPr="00756958">
        <w:t>&gt;.</w:t>
      </w:r>
    </w:p>
    <w:p w14:paraId="0B4D06E6" w14:textId="4FE62750"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OECD. </w:t>
      </w:r>
      <w:r w:rsidRPr="00AB1FBC">
        <w:rPr>
          <w:i/>
        </w:rPr>
        <w:t xml:space="preserve">Fair and Equitable Treatment Standard in International Investment Law </w:t>
      </w:r>
      <w:r w:rsidRPr="00756958">
        <w:t>[online]. oecd.org, září 2004 [cit. 12. března 2017]. Dostupné na &lt;</w:t>
      </w:r>
      <w:hyperlink r:id="rId17" w:history="1">
        <w:r w:rsidRPr="00756958">
          <w:rPr>
            <w:rStyle w:val="Hypertextovodkaz"/>
          </w:rPr>
          <w:t>https://www.oecd.org/daf/inv/investment-policy/WP-2004_3.pdf</w:t>
        </w:r>
      </w:hyperlink>
      <w:r w:rsidR="00007D48">
        <w:rPr>
          <w:rStyle w:val="Hypertextovodkaz"/>
        </w:rPr>
        <w:t>&gt;</w:t>
      </w:r>
      <w:r w:rsidR="00527832">
        <w:rPr>
          <w:rStyle w:val="Hypertextovodkaz"/>
        </w:rPr>
        <w:t>.</w:t>
      </w:r>
    </w:p>
    <w:p w14:paraId="250E6F49"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OECD. </w:t>
      </w:r>
      <w:r w:rsidRPr="00AB1FBC">
        <w:rPr>
          <w:i/>
        </w:rPr>
        <w:t>Indirect expropriation and the Right to regulate in international investment law</w:t>
      </w:r>
      <w:r w:rsidRPr="00756958">
        <w:t xml:space="preserve"> [online]. oecd.org, duben 2004 [cit. 16. prosince 2016]. Dostupné na &lt;</w:t>
      </w:r>
      <w:hyperlink r:id="rId18" w:history="1">
        <w:r w:rsidRPr="00756958">
          <w:rPr>
            <w:rStyle w:val="Hypertextovodkaz"/>
          </w:rPr>
          <w:t>https://www.oecd.org/daf/inv/investment-policy/WP-2004_4.pdf</w:t>
        </w:r>
      </w:hyperlink>
      <w:r w:rsidRPr="00756958">
        <w:t>&gt;.</w:t>
      </w:r>
    </w:p>
    <w:p w14:paraId="35D0132B"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GLOSSARY PRACTICAL LAW. </w:t>
      </w:r>
      <w:r w:rsidRPr="00AB1FBC">
        <w:rPr>
          <w:i/>
        </w:rPr>
        <w:t>Umbrella Clause</w:t>
      </w:r>
      <w:r w:rsidRPr="00756958">
        <w:t xml:space="preserve"> [online]. </w:t>
      </w:r>
      <w:r w:rsidRPr="00AB1FBC">
        <w:rPr>
          <w:iCs/>
        </w:rPr>
        <w:t xml:space="preserve">uk.practicallaw.com, </w:t>
      </w:r>
      <w:r w:rsidRPr="00756958">
        <w:t>[cit. 22. prosince 2016]. Dostupné na &lt;</w:t>
      </w:r>
      <w:hyperlink r:id="rId19" w:history="1">
        <w:r w:rsidRPr="00756958">
          <w:rPr>
            <w:rStyle w:val="Hypertextovodkaz"/>
          </w:rPr>
          <w:t>http://uk.practicallaw.com/8-519-0939</w:t>
        </w:r>
      </w:hyperlink>
      <w:r w:rsidRPr="00756958">
        <w:t>&gt;.</w:t>
      </w:r>
    </w:p>
    <w:p w14:paraId="0A7C35B0"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REUTERS. </w:t>
      </w:r>
      <w:r w:rsidRPr="00AB1FBC">
        <w:rPr>
          <w:i/>
        </w:rPr>
        <w:t>Crystallex expects Venezuela mine permit any time</w:t>
      </w:r>
      <w:r w:rsidRPr="00756958">
        <w:t xml:space="preserve">. [online]. </w:t>
      </w:r>
      <w:r w:rsidRPr="00AB1FBC">
        <w:rPr>
          <w:iCs/>
        </w:rPr>
        <w:t>Reuters.com, 8. listopadu 2007</w:t>
      </w:r>
      <w:r w:rsidRPr="00756958">
        <w:t xml:space="preserve"> [cit. 22. března 2017]. Dostupné na &lt;</w:t>
      </w:r>
      <w:hyperlink r:id="rId20" w:history="1">
        <w:r w:rsidRPr="00756958">
          <w:rPr>
            <w:rStyle w:val="Hypertextovodkaz"/>
          </w:rPr>
          <w:t>http://www.reuters.com/article/venezuela-crystallex-idLTAN0826492720071108</w:t>
        </w:r>
      </w:hyperlink>
      <w:r w:rsidRPr="00756958">
        <w:t>&gt;.</w:t>
      </w:r>
    </w:p>
    <w:p w14:paraId="5A2444FA"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SEKANINA, Ondřej. </w:t>
      </w:r>
      <w:r w:rsidRPr="00AB1FBC">
        <w:rPr>
          <w:i/>
        </w:rPr>
        <w:t>Nepřímé vyvlastnění v praxi mezinárodních investičních arbitráží</w:t>
      </w:r>
      <w:r w:rsidRPr="00756958">
        <w:t>. [online]. sekaninalegal.eu, 3 ledna 2010 [cit. 5. října 2016]. Dostupné na &lt;</w:t>
      </w:r>
      <w:hyperlink r:id="rId21" w:history="1">
        <w:r w:rsidRPr="00756958">
          <w:rPr>
            <w:rStyle w:val="Hypertextovodkaz"/>
          </w:rPr>
          <w:t>http://www.sekaninalegal.eu/article/57/ondrej-sekanina-neprime-vyvlastneni-v-praxi-mezinarodnich-investicnich-arbitrazi</w:t>
        </w:r>
      </w:hyperlink>
      <w:r w:rsidRPr="00756958">
        <w:t>&gt;.</w:t>
      </w:r>
    </w:p>
    <w:p w14:paraId="3C7712D2"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UNITED NATIONS RESEARCH INSTITUTE FOR SOCIAL DEVELOPMENT.  </w:t>
      </w:r>
      <w:r w:rsidRPr="00AB1FBC">
        <w:rPr>
          <w:i/>
        </w:rPr>
        <w:t xml:space="preserve">Combating Poverty and Inequality: Structural Change, Social Policy and Politics </w:t>
      </w:r>
      <w:r w:rsidRPr="00756958">
        <w:t xml:space="preserve">[online]. unrisd.org, 3. září 2010 [cit. 8. září 2016]. Dostupné na </w:t>
      </w:r>
      <w:r w:rsidRPr="00756958">
        <w:lastRenderedPageBreak/>
        <w:t>&lt;</w:t>
      </w:r>
      <w:hyperlink r:id="rId22" w:history="1">
        <w:r w:rsidRPr="00756958">
          <w:rPr>
            <w:rStyle w:val="Hypertextovodkaz"/>
          </w:rPr>
          <w:t>http://www.unrisd.org/unrisd/website/document.nsf/(httpPublications)/BBA20D83E347DBAFC125778200440AA7?OpenDocument</w:t>
        </w:r>
      </w:hyperlink>
      <w:r w:rsidRPr="00756958">
        <w:t>&gt;.</w:t>
      </w:r>
    </w:p>
    <w:p w14:paraId="3F19E0A0" w14:textId="39A2958C"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US DEPARTMENT OF STATE. </w:t>
      </w:r>
      <w:r w:rsidRPr="00AB1FBC">
        <w:rPr>
          <w:i/>
        </w:rPr>
        <w:t xml:space="preserve">2012 U.S. Model Bilateral Investment Treaty </w:t>
      </w:r>
      <w:r w:rsidRPr="00756958">
        <w:t>[online]. state.gov, [cit.</w:t>
      </w:r>
      <w:r w:rsidR="00756958">
        <w:t xml:space="preserve"> 8. března 2017]. Dostupné na &lt;</w:t>
      </w:r>
      <w:hyperlink r:id="rId23" w:history="1">
        <w:r w:rsidRPr="00756958">
          <w:rPr>
            <w:rStyle w:val="Hypertextovodkaz"/>
          </w:rPr>
          <w:t>https://www.state.gov/documents/organization/188371.pdf</w:t>
        </w:r>
      </w:hyperlink>
      <w:r w:rsidRPr="00756958">
        <w:t>&gt;.</w:t>
      </w:r>
    </w:p>
    <w:p w14:paraId="5ECB27E6"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WHO. </w:t>
      </w:r>
      <w:r w:rsidRPr="00AB1FBC">
        <w:rPr>
          <w:i/>
        </w:rPr>
        <w:t>Parties to the WHO Framework Convention on Tobacco Control</w:t>
      </w:r>
      <w:r w:rsidRPr="00756958">
        <w:t xml:space="preserve">. [online]. </w:t>
      </w:r>
      <w:r w:rsidRPr="00AB1FBC">
        <w:rPr>
          <w:iCs/>
        </w:rPr>
        <w:t>WHO.int, 26. července 2016</w:t>
      </w:r>
      <w:r w:rsidRPr="00756958">
        <w:t xml:space="preserve"> [cit. 31. července 2016]. Dostupné na &lt;</w:t>
      </w:r>
      <w:hyperlink r:id="rId24" w:history="1">
        <w:r w:rsidRPr="00756958">
          <w:rPr>
            <w:rStyle w:val="Hypertextovodkaz"/>
          </w:rPr>
          <w:t>http://www.who.int/fctc/signatories_parties/en/</w:t>
        </w:r>
      </w:hyperlink>
      <w:r w:rsidRPr="00756958">
        <w:t>&gt;.</w:t>
      </w:r>
    </w:p>
    <w:p w14:paraId="32C6913A" w14:textId="77777777"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WILHELMER, Hanna. </w:t>
      </w:r>
      <w:r w:rsidRPr="00AB1FBC">
        <w:rPr>
          <w:i/>
        </w:rPr>
        <w:t xml:space="preserve">The ‘right to regulate’ in ceta’s investment chapter - fair and equitable treatment, expropriation and interpretative powers </w:t>
      </w:r>
      <w:r w:rsidRPr="00756958">
        <w:t>[online].</w:t>
      </w:r>
      <w:r w:rsidRPr="00AB1FBC">
        <w:rPr>
          <w:i/>
        </w:rPr>
        <w:t xml:space="preserve"> </w:t>
      </w:r>
      <w:r w:rsidRPr="00756958">
        <w:t>deicl.univie.ac.at, 2014 [cit. 10. března 2017]. Dostupné na &lt;</w:t>
      </w:r>
      <w:hyperlink r:id="rId25" w:history="1">
        <w:r w:rsidRPr="00756958">
          <w:rPr>
            <w:rStyle w:val="Hypertextovodkaz"/>
          </w:rPr>
          <w:t>https://deicl.univie.ac.at/fileadmin/user_upload/i_deicl/VR/VR_Personal/Reinisch/Internetpublikationen/wilhelmer.pdf</w:t>
        </w:r>
      </w:hyperlink>
      <w:r w:rsidRPr="00756958">
        <w:t>&gt;.</w:t>
      </w:r>
    </w:p>
    <w:p w14:paraId="06BE1C6A" w14:textId="3E359D64" w:rsidR="00952EF5" w:rsidRPr="00756958" w:rsidRDefault="00952EF5" w:rsidP="00A26A1D">
      <w:pPr>
        <w:pStyle w:val="Odstavecseseznamem"/>
        <w:keepNext/>
        <w:numPr>
          <w:ilvl w:val="0"/>
          <w:numId w:val="22"/>
        </w:numPr>
        <w:spacing w:after="0" w:line="360" w:lineRule="auto"/>
        <w:ind w:left="567" w:hanging="432"/>
        <w:jc w:val="both"/>
        <w:outlineLvl w:val="1"/>
      </w:pPr>
      <w:r w:rsidRPr="00756958">
        <w:t xml:space="preserve">ZAROWNA, Agnieszka. </w:t>
      </w:r>
      <w:r w:rsidRPr="00AB1FBC">
        <w:rPr>
          <w:i/>
        </w:rPr>
        <w:t>Termination of BITs and Sunset Clauses – What Can Investors in Poland Expect?</w:t>
      </w:r>
      <w:r w:rsidRPr="00756958">
        <w:t xml:space="preserve"> [online].</w:t>
      </w:r>
      <w:r w:rsidRPr="00AB1FBC">
        <w:rPr>
          <w:i/>
        </w:rPr>
        <w:t xml:space="preserve"> </w:t>
      </w:r>
      <w:r w:rsidRPr="00756958">
        <w:t>kluwerarbi</w:t>
      </w:r>
      <w:r w:rsidR="003D69E5">
        <w:t>trationblog.com, 28. února 2017</w:t>
      </w:r>
      <w:r w:rsidRPr="00756958">
        <w:t xml:space="preserve"> [cit. 27. března 2017]. Dostupné na &lt;</w:t>
      </w:r>
      <w:hyperlink r:id="rId26" w:history="1">
        <w:r w:rsidRPr="00756958">
          <w:rPr>
            <w:rStyle w:val="Hypertextovodkaz"/>
          </w:rPr>
          <w:t>http://kluwerarbitrationblog.com/2017/02/28/booked-22-february-polish-bits/</w:t>
        </w:r>
      </w:hyperlink>
      <w:r w:rsidRPr="00756958">
        <w:t>&gt;.</w:t>
      </w:r>
    </w:p>
    <w:p w14:paraId="4654C6C7" w14:textId="77777777" w:rsidR="00952EF5" w:rsidRPr="000A4870" w:rsidRDefault="00952EF5" w:rsidP="00A26A1D">
      <w:pPr>
        <w:keepNext/>
        <w:spacing w:after="0" w:line="360" w:lineRule="auto"/>
        <w:ind w:left="567" w:hanging="432"/>
        <w:jc w:val="both"/>
        <w:outlineLvl w:val="1"/>
        <w:rPr>
          <w:b/>
          <w:bCs/>
          <w:iCs/>
          <w:sz w:val="28"/>
          <w:szCs w:val="28"/>
        </w:rPr>
      </w:pPr>
      <w:r w:rsidRPr="000A4870">
        <w:rPr>
          <w:b/>
          <w:bCs/>
          <w:iCs/>
          <w:sz w:val="28"/>
          <w:szCs w:val="28"/>
        </w:rPr>
        <w:t>Normativní akty</w:t>
      </w:r>
    </w:p>
    <w:p w14:paraId="1E70F2C4" w14:textId="43F6C209" w:rsidR="001D4AF0" w:rsidRPr="0008787F" w:rsidRDefault="0021652A" w:rsidP="00A26A1D">
      <w:pPr>
        <w:pStyle w:val="Odstavecseseznamem"/>
        <w:numPr>
          <w:ilvl w:val="0"/>
          <w:numId w:val="20"/>
        </w:numPr>
        <w:tabs>
          <w:tab w:val="left" w:pos="0"/>
        </w:tabs>
        <w:spacing w:line="360" w:lineRule="auto"/>
        <w:ind w:left="567" w:hanging="432"/>
        <w:jc w:val="both"/>
      </w:pPr>
      <w:r w:rsidRPr="0008787F">
        <w:t xml:space="preserve">Ústavní zákon č. 1/1993 Sb., </w:t>
      </w:r>
      <w:r w:rsidR="001D4AF0" w:rsidRPr="0008787F">
        <w:t>Ústava České republiky</w:t>
      </w:r>
      <w:r w:rsidRPr="0008787F">
        <w:t>, ve znění pozdějších předpisů</w:t>
      </w:r>
      <w:r w:rsidR="00397B73" w:rsidRPr="0008787F">
        <w:t>.</w:t>
      </w:r>
      <w:r w:rsidR="001D4AF0" w:rsidRPr="0008787F">
        <w:t xml:space="preserve"> </w:t>
      </w:r>
    </w:p>
    <w:p w14:paraId="4E6C5B24" w14:textId="53CE7823" w:rsidR="001D4AF0" w:rsidRPr="0008787F" w:rsidRDefault="001D4AF0" w:rsidP="00A26A1D">
      <w:pPr>
        <w:pStyle w:val="Odstavecseseznamem"/>
        <w:numPr>
          <w:ilvl w:val="0"/>
          <w:numId w:val="20"/>
        </w:numPr>
        <w:tabs>
          <w:tab w:val="left" w:pos="0"/>
        </w:tabs>
        <w:spacing w:line="360" w:lineRule="auto"/>
        <w:ind w:left="567" w:hanging="432"/>
        <w:jc w:val="both"/>
      </w:pPr>
      <w:r w:rsidRPr="0008787F">
        <w:t>Ústava Spolkové republiky Německo</w:t>
      </w:r>
      <w:r w:rsidR="00D46E46" w:rsidRPr="0008787F">
        <w:t xml:space="preserve"> (GG)</w:t>
      </w:r>
      <w:r w:rsidR="00397B73" w:rsidRPr="0008787F">
        <w:t xml:space="preserve"> ze dne 23. května 1949</w:t>
      </w:r>
      <w:r w:rsidR="00D46E46" w:rsidRPr="0008787F">
        <w:t>, ve znění pozdějších předpisů</w:t>
      </w:r>
      <w:r w:rsidR="00397B73" w:rsidRPr="0008787F">
        <w:t>.</w:t>
      </w:r>
    </w:p>
    <w:p w14:paraId="3D5AA9F1" w14:textId="77777777" w:rsidR="00952EF5" w:rsidRPr="0008787F" w:rsidRDefault="00952EF5" w:rsidP="00A26A1D">
      <w:pPr>
        <w:pStyle w:val="Odstavecseseznamem"/>
        <w:numPr>
          <w:ilvl w:val="0"/>
          <w:numId w:val="20"/>
        </w:numPr>
        <w:tabs>
          <w:tab w:val="left" w:pos="0"/>
        </w:tabs>
        <w:spacing w:line="360" w:lineRule="auto"/>
        <w:ind w:left="567" w:hanging="432"/>
        <w:jc w:val="both"/>
      </w:pPr>
      <w:r w:rsidRPr="0008787F">
        <w:t>Nařízení EP a rady (EU) č. 1219/2012 ze dne 12. prosince 2012, kterým se stanoví přechodná úprava pro dvoustranné dohody o investicích mezi členskými státy a třetími zeměmi.</w:t>
      </w:r>
    </w:p>
    <w:p w14:paraId="5A3660BC" w14:textId="77777777" w:rsidR="00952EF5" w:rsidRPr="0008787F" w:rsidRDefault="00952EF5" w:rsidP="00A26A1D">
      <w:pPr>
        <w:pStyle w:val="Odstavecseseznamem"/>
        <w:numPr>
          <w:ilvl w:val="0"/>
          <w:numId w:val="20"/>
        </w:numPr>
        <w:tabs>
          <w:tab w:val="left" w:pos="0"/>
        </w:tabs>
        <w:spacing w:line="360" w:lineRule="auto"/>
        <w:ind w:left="567" w:hanging="432"/>
        <w:jc w:val="both"/>
      </w:pPr>
      <w:r w:rsidRPr="0008787F">
        <w:t>Usnesení EP ze dne 9. října 2013 o jednáních mezi EU a Čínou o dvoustranné investiční dohodě.</w:t>
      </w:r>
    </w:p>
    <w:p w14:paraId="7329F27F" w14:textId="77777777" w:rsidR="00952EF5" w:rsidRPr="0008787F" w:rsidRDefault="00952EF5" w:rsidP="00A26A1D">
      <w:pPr>
        <w:pStyle w:val="Odstavecseseznamem"/>
        <w:numPr>
          <w:ilvl w:val="0"/>
          <w:numId w:val="20"/>
        </w:numPr>
        <w:tabs>
          <w:tab w:val="left" w:pos="0"/>
        </w:tabs>
        <w:spacing w:line="360" w:lineRule="auto"/>
        <w:ind w:left="567" w:hanging="432"/>
        <w:jc w:val="both"/>
      </w:pPr>
      <w:r w:rsidRPr="001547AB">
        <w:t>Směrnice 2014/40/EU ze dne 3. dubna 2014 o sbližování právních a správních předpisů členských států týkajících se výroby, obchodní úpravy a prodeje tabákových a souvisejících výrobků.</w:t>
      </w:r>
    </w:p>
    <w:p w14:paraId="5A07C119" w14:textId="7687AFB3" w:rsidR="001D4AF0" w:rsidRPr="0008787F" w:rsidRDefault="00952EF5" w:rsidP="00A26A1D">
      <w:pPr>
        <w:pStyle w:val="Odstavecseseznamem"/>
        <w:numPr>
          <w:ilvl w:val="0"/>
          <w:numId w:val="20"/>
        </w:numPr>
        <w:tabs>
          <w:tab w:val="left" w:pos="0"/>
        </w:tabs>
        <w:spacing w:line="360" w:lineRule="auto"/>
        <w:ind w:left="567" w:hanging="432"/>
        <w:jc w:val="both"/>
      </w:pPr>
      <w:r w:rsidRPr="0008787F">
        <w:t>Úmluva o ochraně lidských práv a základních svobod (ECHR) ze dne 20. března 1952.</w:t>
      </w:r>
    </w:p>
    <w:p w14:paraId="27215564" w14:textId="7A7CA74B" w:rsidR="00952EF5" w:rsidRPr="0008787F" w:rsidRDefault="00952EF5" w:rsidP="00A26A1D">
      <w:pPr>
        <w:pStyle w:val="Odstavecseseznamem"/>
        <w:numPr>
          <w:ilvl w:val="0"/>
          <w:numId w:val="20"/>
        </w:numPr>
        <w:tabs>
          <w:tab w:val="left" w:pos="0"/>
        </w:tabs>
        <w:spacing w:line="360" w:lineRule="auto"/>
        <w:ind w:left="567" w:hanging="432"/>
        <w:jc w:val="both"/>
      </w:pPr>
      <w:r w:rsidRPr="0008787F">
        <w:t>Vídeňská úmluva o smluvním právu</w:t>
      </w:r>
      <w:r w:rsidR="00FF70B7" w:rsidRPr="0008787F">
        <w:t xml:space="preserve"> (VCTL)</w:t>
      </w:r>
      <w:r w:rsidRPr="0008787F">
        <w:t xml:space="preserve"> ze dne 23. května 1969.</w:t>
      </w:r>
    </w:p>
    <w:p w14:paraId="44D5A39C" w14:textId="77777777" w:rsidR="00952EF5" w:rsidRPr="0008787F" w:rsidRDefault="00952EF5" w:rsidP="00A26A1D">
      <w:pPr>
        <w:pStyle w:val="Odstavecseseznamem"/>
        <w:numPr>
          <w:ilvl w:val="0"/>
          <w:numId w:val="20"/>
        </w:numPr>
        <w:tabs>
          <w:tab w:val="left" w:pos="0"/>
        </w:tabs>
        <w:spacing w:line="360" w:lineRule="auto"/>
        <w:ind w:left="567" w:hanging="432"/>
        <w:jc w:val="both"/>
      </w:pPr>
      <w:r w:rsidRPr="0008787F">
        <w:lastRenderedPageBreak/>
        <w:t>Dohoda WHO Framework Convention on Tobacco control (FCTC) ze dne 21. května 2003.</w:t>
      </w:r>
    </w:p>
    <w:p w14:paraId="52F2800C" w14:textId="77777777" w:rsidR="00952EF5" w:rsidRPr="001547AB" w:rsidRDefault="00952EF5" w:rsidP="00A26A1D">
      <w:pPr>
        <w:pStyle w:val="Odstavecseseznamem"/>
        <w:numPr>
          <w:ilvl w:val="0"/>
          <w:numId w:val="20"/>
        </w:numPr>
        <w:tabs>
          <w:tab w:val="left" w:pos="0"/>
        </w:tabs>
        <w:spacing w:line="360" w:lineRule="auto"/>
        <w:ind w:left="567" w:hanging="432"/>
        <w:jc w:val="both"/>
      </w:pPr>
      <w:r w:rsidRPr="001547AB">
        <w:t>Severoamerická dohoda o volném obchodu (NAFTA) ze dne 17. prosince 1992.</w:t>
      </w:r>
    </w:p>
    <w:p w14:paraId="3C27272C" w14:textId="77777777" w:rsidR="00952EF5" w:rsidRPr="0008787F" w:rsidRDefault="00952EF5" w:rsidP="00A26A1D">
      <w:pPr>
        <w:pStyle w:val="Odstavecseseznamem"/>
        <w:numPr>
          <w:ilvl w:val="0"/>
          <w:numId w:val="20"/>
        </w:numPr>
        <w:tabs>
          <w:tab w:val="left" w:pos="0"/>
        </w:tabs>
        <w:spacing w:line="360" w:lineRule="auto"/>
        <w:ind w:left="567" w:hanging="432"/>
        <w:jc w:val="both"/>
      </w:pPr>
      <w:r w:rsidRPr="0008787F">
        <w:t>Dohoda k Energické chartě (ECT) ze dne 17. prosince 1994.</w:t>
      </w:r>
    </w:p>
    <w:p w14:paraId="4516A285" w14:textId="039D983E" w:rsidR="00952EF5" w:rsidRPr="001547AB" w:rsidRDefault="00952EF5" w:rsidP="00A26A1D">
      <w:pPr>
        <w:pStyle w:val="Odstavecseseznamem"/>
        <w:numPr>
          <w:ilvl w:val="0"/>
          <w:numId w:val="20"/>
        </w:numPr>
        <w:tabs>
          <w:tab w:val="left" w:pos="0"/>
        </w:tabs>
        <w:spacing w:line="360" w:lineRule="auto"/>
        <w:ind w:left="567" w:hanging="432"/>
        <w:jc w:val="both"/>
      </w:pPr>
      <w:r w:rsidRPr="0008787F">
        <w:t>Dohoda FTA mezi Ukrajinou a EFTA ze dne 24. června 2010</w:t>
      </w:r>
      <w:r w:rsidR="00007D48">
        <w:t>.</w:t>
      </w:r>
    </w:p>
    <w:p w14:paraId="10659280" w14:textId="77777777" w:rsidR="00952EF5" w:rsidRPr="001547AB" w:rsidRDefault="00952EF5" w:rsidP="00A26A1D">
      <w:pPr>
        <w:pStyle w:val="Odstavecseseznamem"/>
        <w:numPr>
          <w:ilvl w:val="0"/>
          <w:numId w:val="20"/>
        </w:numPr>
        <w:tabs>
          <w:tab w:val="left" w:pos="0"/>
        </w:tabs>
        <w:spacing w:line="360" w:lineRule="auto"/>
        <w:ind w:left="567" w:hanging="432"/>
        <w:jc w:val="both"/>
      </w:pPr>
      <w:r w:rsidRPr="001547AB">
        <w:t>Komplexní hospodářská a obchodní dohoda mezi EU a Kanadou (CETA) ze dne 30. listopadu 2016.</w:t>
      </w:r>
    </w:p>
    <w:p w14:paraId="23B1E53C" w14:textId="77777777" w:rsidR="00952EF5" w:rsidRPr="0008787F" w:rsidRDefault="00952EF5" w:rsidP="00A26A1D">
      <w:pPr>
        <w:pStyle w:val="Odstavecseseznamem"/>
        <w:numPr>
          <w:ilvl w:val="0"/>
          <w:numId w:val="20"/>
        </w:numPr>
        <w:tabs>
          <w:tab w:val="left" w:pos="0"/>
        </w:tabs>
        <w:spacing w:line="360" w:lineRule="auto"/>
        <w:ind w:left="567" w:hanging="432"/>
        <w:jc w:val="both"/>
      </w:pPr>
      <w:r w:rsidRPr="0008787F">
        <w:t>Dohoda BIT mezi Uruguayí a Švýcarskou Federací ze dne 7. října 1988.</w:t>
      </w:r>
    </w:p>
    <w:p w14:paraId="7AB3F321" w14:textId="77777777" w:rsidR="00952EF5" w:rsidRPr="001547AB" w:rsidRDefault="00952EF5" w:rsidP="00A26A1D">
      <w:pPr>
        <w:pStyle w:val="Odstavecseseznamem"/>
        <w:numPr>
          <w:ilvl w:val="0"/>
          <w:numId w:val="20"/>
        </w:numPr>
        <w:tabs>
          <w:tab w:val="left" w:pos="0"/>
        </w:tabs>
        <w:spacing w:line="360" w:lineRule="auto"/>
        <w:ind w:left="567" w:hanging="432"/>
        <w:jc w:val="both"/>
      </w:pPr>
      <w:r w:rsidRPr="0008787F">
        <w:t>Dohoda BIT mezi Německem a Argentinou ze dne 9. dubna 1991.</w:t>
      </w:r>
    </w:p>
    <w:p w14:paraId="64832C00" w14:textId="77777777" w:rsidR="00952EF5" w:rsidRPr="0008787F" w:rsidRDefault="00952EF5" w:rsidP="00A26A1D">
      <w:pPr>
        <w:pStyle w:val="Odstavecseseznamem"/>
        <w:numPr>
          <w:ilvl w:val="0"/>
          <w:numId w:val="20"/>
        </w:numPr>
        <w:tabs>
          <w:tab w:val="left" w:pos="0"/>
        </w:tabs>
        <w:spacing w:line="360" w:lineRule="auto"/>
        <w:ind w:left="567" w:hanging="432"/>
        <w:jc w:val="both"/>
      </w:pPr>
      <w:r w:rsidRPr="0008787F">
        <w:t>Dohoda BIT mezi Českou republikou a Nizozemím ze dne 29. dubna 1991.</w:t>
      </w:r>
    </w:p>
    <w:p w14:paraId="173BF550" w14:textId="77777777" w:rsidR="00952EF5" w:rsidRPr="001547AB" w:rsidRDefault="00952EF5" w:rsidP="00A26A1D">
      <w:pPr>
        <w:pStyle w:val="Odstavecseseznamem"/>
        <w:numPr>
          <w:ilvl w:val="0"/>
          <w:numId w:val="20"/>
        </w:numPr>
        <w:tabs>
          <w:tab w:val="left" w:pos="0"/>
        </w:tabs>
        <w:spacing w:line="360" w:lineRule="auto"/>
        <w:ind w:left="567" w:hanging="432"/>
        <w:jc w:val="both"/>
      </w:pPr>
      <w:r w:rsidRPr="001547AB">
        <w:t>Dohoda BIT mezi Mexikem a Švýcarskou Federací ze dne 10. července 1995.</w:t>
      </w:r>
    </w:p>
    <w:p w14:paraId="723EB475" w14:textId="77777777" w:rsidR="00952EF5" w:rsidRPr="001547AB" w:rsidRDefault="00952EF5" w:rsidP="00A26A1D">
      <w:pPr>
        <w:pStyle w:val="Odstavecseseznamem"/>
        <w:numPr>
          <w:ilvl w:val="0"/>
          <w:numId w:val="20"/>
        </w:numPr>
        <w:tabs>
          <w:tab w:val="left" w:pos="0"/>
        </w:tabs>
        <w:spacing w:line="360" w:lineRule="auto"/>
        <w:ind w:left="567" w:hanging="432"/>
        <w:jc w:val="both"/>
      </w:pPr>
      <w:r w:rsidRPr="001547AB">
        <w:t>Dohoda BIT mezi Mauriciem a Švýcarskou Federací ze dne 26. listopadu 1998.</w:t>
      </w:r>
    </w:p>
    <w:p w14:paraId="6A9DE7C2" w14:textId="77777777" w:rsidR="00952EF5" w:rsidRPr="001547AB" w:rsidRDefault="00952EF5" w:rsidP="00A26A1D">
      <w:pPr>
        <w:pStyle w:val="Odstavecseseznamem"/>
        <w:numPr>
          <w:ilvl w:val="0"/>
          <w:numId w:val="20"/>
        </w:numPr>
        <w:tabs>
          <w:tab w:val="left" w:pos="0"/>
        </w:tabs>
        <w:spacing w:line="360" w:lineRule="auto"/>
        <w:ind w:left="567" w:hanging="432"/>
        <w:jc w:val="both"/>
      </w:pPr>
      <w:r w:rsidRPr="001547AB">
        <w:t>Dohoda FTA mezi Austrálií a Korejskou republikou ze dne 8. dubna 2014.</w:t>
      </w:r>
    </w:p>
    <w:p w14:paraId="46D0F609" w14:textId="77777777" w:rsidR="00952EF5" w:rsidRPr="001547AB" w:rsidRDefault="00952EF5" w:rsidP="00A26A1D">
      <w:pPr>
        <w:pStyle w:val="Odstavecseseznamem"/>
        <w:numPr>
          <w:ilvl w:val="0"/>
          <w:numId w:val="20"/>
        </w:numPr>
        <w:tabs>
          <w:tab w:val="left" w:pos="0"/>
        </w:tabs>
        <w:spacing w:line="360" w:lineRule="auto"/>
        <w:ind w:left="567" w:hanging="432"/>
        <w:jc w:val="both"/>
      </w:pPr>
      <w:r w:rsidRPr="001547AB">
        <w:t>Dohoda BIT mezi Gruzií a Švýcarskou Federací ze dne 3. června 2014.</w:t>
      </w:r>
    </w:p>
    <w:p w14:paraId="597B9B13" w14:textId="77777777" w:rsidR="00952EF5" w:rsidRPr="001547AB" w:rsidRDefault="00952EF5" w:rsidP="00A26A1D">
      <w:pPr>
        <w:pStyle w:val="Odstavecseseznamem"/>
        <w:numPr>
          <w:ilvl w:val="0"/>
          <w:numId w:val="20"/>
        </w:numPr>
        <w:tabs>
          <w:tab w:val="left" w:pos="0"/>
        </w:tabs>
        <w:spacing w:line="360" w:lineRule="auto"/>
        <w:ind w:left="567" w:hanging="432"/>
        <w:jc w:val="both"/>
      </w:pPr>
      <w:r w:rsidRPr="001547AB">
        <w:t>Dohoda BIT mezi Argentinou a Katarem ze dne 6. listopadu 2016.</w:t>
      </w:r>
    </w:p>
    <w:p w14:paraId="6C742B50" w14:textId="77777777" w:rsidR="00952EF5" w:rsidRPr="000A4870" w:rsidRDefault="00952EF5" w:rsidP="00A26A1D">
      <w:pPr>
        <w:keepNext/>
        <w:spacing w:after="0" w:line="360" w:lineRule="auto"/>
        <w:ind w:left="567" w:hanging="432"/>
        <w:jc w:val="both"/>
        <w:outlineLvl w:val="1"/>
        <w:rPr>
          <w:b/>
          <w:bCs/>
          <w:iCs/>
          <w:sz w:val="28"/>
          <w:szCs w:val="28"/>
        </w:rPr>
      </w:pPr>
      <w:r w:rsidRPr="000A4870">
        <w:rPr>
          <w:b/>
          <w:bCs/>
          <w:iCs/>
          <w:sz w:val="28"/>
          <w:szCs w:val="28"/>
        </w:rPr>
        <w:t>Judikatura</w:t>
      </w:r>
    </w:p>
    <w:p w14:paraId="3FAE9C1E"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Nález Ústavního soudu ze dne 20. června 2006 Pl.ÚS 38/04.</w:t>
      </w:r>
    </w:p>
    <w:p w14:paraId="28A7EEB6"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Nález Ústavního soudu ze dne 15. ledna 2008 I.ÚS 605/06.</w:t>
      </w:r>
    </w:p>
    <w:p w14:paraId="4D7D7E5A" w14:textId="77777777"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650440">
        <w:rPr>
          <w:szCs w:val="20"/>
        </w:rPr>
        <w:t>Rozsudek prvního senátu BVerfG ze dne 6. prosince 2016, 1 BvR 2821/11.</w:t>
      </w:r>
    </w:p>
    <w:p w14:paraId="62653269"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Rozhodnutí Supreme Court of British Columbia ze dne 2. května 2001 ve věci Metalclad v. The United Mexican States.</w:t>
      </w:r>
    </w:p>
    <w:p w14:paraId="5F4BDFAD"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Rozhodčí nález ICSID (NAFTA) ze dne 11. října 2002 ve věci Mondev International Ltd. v. United States of America.</w:t>
      </w:r>
    </w:p>
    <w:p w14:paraId="6EE61568" w14:textId="2FF193BB" w:rsidR="00A639D5" w:rsidRPr="00447520" w:rsidRDefault="00952EF5" w:rsidP="00A26A1D">
      <w:pPr>
        <w:pStyle w:val="Odstavecseseznamem"/>
        <w:numPr>
          <w:ilvl w:val="0"/>
          <w:numId w:val="21"/>
        </w:numPr>
        <w:tabs>
          <w:tab w:val="left" w:pos="0"/>
        </w:tabs>
        <w:spacing w:line="360" w:lineRule="auto"/>
        <w:ind w:left="567" w:hanging="432"/>
        <w:jc w:val="both"/>
      </w:pPr>
      <w:r w:rsidRPr="00447520">
        <w:t xml:space="preserve">Rozhodčí nález ICSID (NAFTA) ze dne 16. prosince 2002 ve věci Marvin Roy Feldman Karpa v. United Mexican </w:t>
      </w:r>
      <w:r w:rsidR="00A639D5" w:rsidRPr="00447520">
        <w:t>States</w:t>
      </w:r>
      <w:r w:rsidR="0048418E">
        <w:t>.</w:t>
      </w:r>
    </w:p>
    <w:p w14:paraId="7CD0E183" w14:textId="0BD03111"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650440">
        <w:rPr>
          <w:szCs w:val="20"/>
        </w:rPr>
        <w:t>Rozhodčí nález ICSID (NAFTA) ze dne 30. srpna 2004 ve věci Waste Management Inc. v. United  Mexican States.</w:t>
      </w:r>
    </w:p>
    <w:p w14:paraId="74684D7B"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Rozhodčí nález ICSID (NAFTA) ze dne 26. června 2003 ve věci Loewen Group, Inc. and Raymond L. Loewen v. United States of America.</w:t>
      </w:r>
    </w:p>
    <w:p w14:paraId="6071614A" w14:textId="77777777" w:rsidR="00952EF5" w:rsidRPr="00447520" w:rsidRDefault="00952EF5" w:rsidP="00A26A1D">
      <w:pPr>
        <w:pStyle w:val="Odstavecseseznamem"/>
        <w:numPr>
          <w:ilvl w:val="0"/>
          <w:numId w:val="21"/>
        </w:numPr>
        <w:tabs>
          <w:tab w:val="left" w:pos="0"/>
        </w:tabs>
        <w:spacing w:line="360" w:lineRule="auto"/>
        <w:ind w:left="567" w:hanging="432"/>
        <w:jc w:val="both"/>
        <w:rPr>
          <w:rStyle w:val="text70"/>
        </w:rPr>
      </w:pPr>
      <w:r w:rsidRPr="00447520">
        <w:t xml:space="preserve">Rozhodčí nález ICSID (NAFTA) ze dne 18. září 2009 ve věci </w:t>
      </w:r>
      <w:r w:rsidRPr="00447520">
        <w:rPr>
          <w:rStyle w:val="text70"/>
        </w:rPr>
        <w:t>Cargill, Inc. v. Mexico.</w:t>
      </w:r>
    </w:p>
    <w:p w14:paraId="78AE4C97" w14:textId="77777777"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650440">
        <w:rPr>
          <w:szCs w:val="20"/>
        </w:rPr>
        <w:lastRenderedPageBreak/>
        <w:t>Částečný rozhodčí nález UNCITRAL (NAFTA) ze dne 13. listopadu 2000 ve věci S. D. Myers v. Canada.</w:t>
      </w:r>
    </w:p>
    <w:p w14:paraId="51BD2E99"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Rozhodnutí UNCITRAL (NAFTA) o nárocích druhé fáze řízení (Award on Merits of Phase 2) ze dne 10. srpna 2001 ve věci Pope &amp; Talbot Inc. v. The Government of Canada.</w:t>
      </w:r>
    </w:p>
    <w:p w14:paraId="61B17314" w14:textId="77777777"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650440">
        <w:rPr>
          <w:szCs w:val="20"/>
        </w:rPr>
        <w:t>Rozhodčí nález UNCITRAL (NAFTA) ze dne 26.ledna 2006 ve věci International Thunderbird Gaming Corporation v. The United Mexican States.</w:t>
      </w:r>
    </w:p>
    <w:p w14:paraId="6F98BBC0"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Rozhodčí nález UNCITRAL (NAFTA) ze dne 8. června 2009 ve věci Glamis Gold, Ltd. v. The United States of America.</w:t>
      </w:r>
    </w:p>
    <w:p w14:paraId="5167ADC2" w14:textId="77777777"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650440">
        <w:rPr>
          <w:szCs w:val="20"/>
        </w:rPr>
        <w:t>Rozhodnutí UNCITRAL (NAFTA) o pravomoci a přípustnosti ze dne 17. března 2015 ve věci Bilcon of Delaware et. al v. Canada.</w:t>
      </w:r>
    </w:p>
    <w:p w14:paraId="1181D2CE"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Rozhodnutí ICSID (ECT) o pravomoci a přípustnosti ze dne 30. listopadu 2012 ve věci Electrabel S.A. v. Republic of Hungary.</w:t>
      </w:r>
    </w:p>
    <w:p w14:paraId="3C80EED2"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Rozhodčí nález ICSID (ECT) ze dne 25. listopadu 2015 ve věci Electrabel S.A. v. Republic of Hungary.</w:t>
      </w:r>
    </w:p>
    <w:p w14:paraId="3956BACB"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Rozhodnutí tribunálu ICSID o námitkách k pravomoci ze dne 25. ledna 2000 ve věci Emilio Agustín Maffezini v. The Kingdom of Spain.</w:t>
      </w:r>
    </w:p>
    <w:p w14:paraId="4F48C2AE" w14:textId="77777777"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650440">
        <w:rPr>
          <w:szCs w:val="20"/>
        </w:rPr>
        <w:t>Rozhodčí nález ICSID ze dne 30. srpna 2000 ve věci Metalclad Corporation v. the United Mexican States.</w:t>
      </w:r>
    </w:p>
    <w:p w14:paraId="35616B3F"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szCs w:val="20"/>
        </w:rPr>
        <w:t xml:space="preserve">Rozhodčí nález ICSID ze dne 29. května 2003 ve věci Técnicas Medioambientales Tecmed, S.A. v. The United </w:t>
      </w:r>
      <w:r w:rsidRPr="00650440">
        <w:rPr>
          <w:iCs/>
          <w:szCs w:val="20"/>
        </w:rPr>
        <w:t>Rozhodčí nález ICSID ze dne 25. května 2004 ve věci MTD Chile S.A. et. al. v. Republic of Chile.</w:t>
      </w:r>
    </w:p>
    <w:p w14:paraId="6B7D38F5"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Rozhodčí nález ICSID ze dne 26. července 2006 ve věci Tokios Tokelés v. Ukraine.</w:t>
      </w:r>
    </w:p>
    <w:p w14:paraId="3DFEF249"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Rozhodčí nález ICSID ze dne 13. září 2006 ve věci Telenor Mobile Communications A.S. v. The Republic of Hungary.</w:t>
      </w:r>
    </w:p>
    <w:p w14:paraId="78A1A7EB" w14:textId="30453CB1"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Rozhodnutí ICSID o pravomoci a přípustnosti ze dne 3. října</w:t>
      </w:r>
      <w:r w:rsidR="00A14FE6">
        <w:rPr>
          <w:iCs/>
          <w:szCs w:val="20"/>
        </w:rPr>
        <w:t xml:space="preserve"> 2006 ve věci LG&amp;E v. Argentina</w:t>
      </w:r>
      <w:bookmarkStart w:id="76" w:name="_GoBack"/>
      <w:bookmarkEnd w:id="76"/>
      <w:r w:rsidRPr="00650440">
        <w:rPr>
          <w:iCs/>
          <w:szCs w:val="20"/>
        </w:rPr>
        <w:t>.</w:t>
      </w:r>
    </w:p>
    <w:p w14:paraId="6CB3D48F"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Rozhodčí nález ICSID ze dne 17. ledna 2007 ve věci Siemens A.G. v. The Argentine Republic.</w:t>
      </w:r>
    </w:p>
    <w:p w14:paraId="49EE6B42" w14:textId="0F97A279" w:rsidR="00952EF5" w:rsidRPr="00447520" w:rsidRDefault="00952EF5" w:rsidP="00A26A1D">
      <w:pPr>
        <w:pStyle w:val="Odstavecseseznamem"/>
        <w:numPr>
          <w:ilvl w:val="0"/>
          <w:numId w:val="21"/>
        </w:numPr>
        <w:tabs>
          <w:tab w:val="left" w:pos="0"/>
        </w:tabs>
        <w:spacing w:line="360" w:lineRule="auto"/>
        <w:ind w:left="567" w:hanging="432"/>
        <w:jc w:val="both"/>
      </w:pPr>
      <w:r w:rsidRPr="00447520">
        <w:t>Rozhodčí nález ICSID ze dne 25. července 2007 ve věci LG&amp;E Energy Corp., LG&amp;E Capital Cor</w:t>
      </w:r>
      <w:r w:rsidR="001164F9">
        <w:t>p., and LG&amp;E International, Inc</w:t>
      </w:r>
      <w:r w:rsidRPr="00447520">
        <w:t>.</w:t>
      </w:r>
      <w:r w:rsidR="001164F9">
        <w:t xml:space="preserve"> </w:t>
      </w:r>
      <w:r w:rsidRPr="00447520">
        <w:t>v. Argentine Republic.</w:t>
      </w:r>
    </w:p>
    <w:p w14:paraId="5A959FD0" w14:textId="77777777"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650440">
        <w:rPr>
          <w:szCs w:val="20"/>
        </w:rPr>
        <w:lastRenderedPageBreak/>
        <w:t>Rozhodčí nález ICSID ze dne 11. září 2007 ve věci Parkenings-Compagniet AS v. Republic of Lithuania.</w:t>
      </w:r>
    </w:p>
    <w:p w14:paraId="3920CA6D"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szCs w:val="20"/>
        </w:rPr>
        <w:t xml:space="preserve">Rozhodčí nález ICSID ze dne 27. srpna 2008 ve věci </w:t>
      </w:r>
      <w:r w:rsidRPr="00650440">
        <w:rPr>
          <w:iCs/>
          <w:szCs w:val="20"/>
        </w:rPr>
        <w:t>Plarna Consortium Limited v. Republic of Bulgaria.</w:t>
      </w:r>
    </w:p>
    <w:p w14:paraId="3A028599"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Rozhodčí nález ICSID ze dne 5. září 2008 ve věci Continental Casualty Company v. The Argentine Republic.</w:t>
      </w:r>
    </w:p>
    <w:p w14:paraId="0DCC1BCC" w14:textId="77777777" w:rsidR="00952EF5" w:rsidRPr="00650440" w:rsidRDefault="00952EF5" w:rsidP="00A26A1D">
      <w:pPr>
        <w:pStyle w:val="Odstavecseseznamem"/>
        <w:numPr>
          <w:ilvl w:val="0"/>
          <w:numId w:val="21"/>
        </w:numPr>
        <w:tabs>
          <w:tab w:val="left" w:pos="0"/>
        </w:tabs>
        <w:spacing w:line="360" w:lineRule="auto"/>
        <w:ind w:left="567" w:hanging="432"/>
        <w:jc w:val="both"/>
        <w:rPr>
          <w:sz w:val="22"/>
          <w:szCs w:val="20"/>
        </w:rPr>
      </w:pPr>
      <w:r w:rsidRPr="00447520">
        <w:t>Rozhodčí nález ICSID ze dne 8. října 2009 ve věci EDF (Services) Limited v. Romania.</w:t>
      </w:r>
    </w:p>
    <w:p w14:paraId="6A531316"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Rozhodnutí ICSID o pravomoci a přípustnosti ze dne 14. ledna 2010 ve věci Joseph Charles Lemire v. Ukraine.</w:t>
      </w:r>
    </w:p>
    <w:p w14:paraId="101012C1"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Rozhodčí nález ICSID ze dne 31. října 2011 ve věci El Paso Energy International Company v. The Argentine Republic.</w:t>
      </w:r>
    </w:p>
    <w:p w14:paraId="53AC2ED5"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Rozhodnutí ICSID o pravomoci a příslušnosti ze dne 22. května 2012 ve věci Mobil Investments Canada Inc. and Murphy Oil Corporation v. Canada.</w:t>
      </w:r>
    </w:p>
    <w:p w14:paraId="0F8D8E7A"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Rozhodčí nález ICSID ze dne 5. října 2012 ve věci Occidental Petroleum Corporation and Occidental Exploration and Production Company v. The Republic of Ecuador.</w:t>
      </w:r>
    </w:p>
    <w:p w14:paraId="3B5AF1BE" w14:textId="178F48BC"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Rozhodčí nález ICSID ze dne 8. srpna 2013 ve věci Mr. Franck Charles Arif v. Republic of Moldova.</w:t>
      </w:r>
    </w:p>
    <w:p w14:paraId="2AF8E7CE" w14:textId="77777777"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650440">
        <w:rPr>
          <w:szCs w:val="20"/>
        </w:rPr>
        <w:t>Rozhodčí nález ICSID ze dne 4. dubna 2016 ve věci Crystallex International Corporation v. Bolivarian Republic of Venezuela.</w:t>
      </w:r>
    </w:p>
    <w:p w14:paraId="29E1A540"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Rozhodčí nález ICSID ze dne 8.7.2016 ve věci Philip Morris Brand Sàrl (Switzerland), Philip Morris Products S.A. (Switzerland) and Abal Hermanos S.A. (Uruguay) v. Oriental Republic of Uruguay.</w:t>
      </w:r>
    </w:p>
    <w:p w14:paraId="508D52CE" w14:textId="60C3DF6F" w:rsidR="00952EF5" w:rsidRPr="00650440" w:rsidRDefault="00952EF5" w:rsidP="00A26A1D">
      <w:pPr>
        <w:pStyle w:val="Odstavecseseznamem"/>
        <w:numPr>
          <w:ilvl w:val="0"/>
          <w:numId w:val="21"/>
        </w:numPr>
        <w:spacing w:line="360" w:lineRule="auto"/>
        <w:ind w:left="567" w:hanging="432"/>
        <w:rPr>
          <w:iCs/>
          <w:szCs w:val="20"/>
        </w:rPr>
      </w:pPr>
      <w:r w:rsidRPr="00650440">
        <w:rPr>
          <w:iCs/>
          <w:szCs w:val="20"/>
        </w:rPr>
        <w:t>Stanovisko rozhodce Gary Borna</w:t>
      </w:r>
      <w:r w:rsidR="00EC0B07" w:rsidRPr="00650440">
        <w:rPr>
          <w:iCs/>
          <w:szCs w:val="20"/>
        </w:rPr>
        <w:t xml:space="preserve"> ze dne 28. června 2016 ve věci</w:t>
      </w:r>
      <w:r w:rsidRPr="00650440">
        <w:rPr>
          <w:iCs/>
          <w:szCs w:val="20"/>
        </w:rPr>
        <w:t xml:space="preserve"> Philip Morris Brand Sàrl (Switzerland), Philip Morris Products S.A. (Switzerland) and Abal Hermanos S.A. (Uruguay) v. Oriental Republic of Uruguay.</w:t>
      </w:r>
    </w:p>
    <w:p w14:paraId="58AE7869"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Prozatímní rozhodčí nález UNCITRAL ze dne 26. června 2000 ve věci Pope &amp; Talbot Inc. v. The Government of Canada.</w:t>
      </w:r>
    </w:p>
    <w:p w14:paraId="384E2A3D" w14:textId="77777777" w:rsidR="00952EF5" w:rsidRPr="00650440" w:rsidRDefault="00952EF5" w:rsidP="00A26A1D">
      <w:pPr>
        <w:pStyle w:val="Odstavecseseznamem"/>
        <w:numPr>
          <w:ilvl w:val="0"/>
          <w:numId w:val="21"/>
        </w:numPr>
        <w:tabs>
          <w:tab w:val="left" w:pos="0"/>
        </w:tabs>
        <w:spacing w:line="360" w:lineRule="auto"/>
        <w:ind w:left="567" w:hanging="432"/>
        <w:jc w:val="both"/>
        <w:rPr>
          <w:iCs/>
          <w:szCs w:val="20"/>
        </w:rPr>
      </w:pPr>
      <w:r w:rsidRPr="00650440">
        <w:rPr>
          <w:iCs/>
          <w:szCs w:val="20"/>
        </w:rPr>
        <w:t>Částečný rozhodčí nález UNCITRAL ze dne 13. září 2001 ve věci CME Czech Republic BV v. The Czech Republic.</w:t>
      </w:r>
    </w:p>
    <w:p w14:paraId="29B734B0" w14:textId="77777777"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447520">
        <w:t xml:space="preserve">Rozhodčí nález UNCITRAL ze dne 1. července 2004 ve věci Occidental Exploration and Production Company v. </w:t>
      </w:r>
      <w:r w:rsidRPr="00650440">
        <w:rPr>
          <w:szCs w:val="20"/>
        </w:rPr>
        <w:t>Ecuador.</w:t>
      </w:r>
    </w:p>
    <w:p w14:paraId="156D5763" w14:textId="3C1F13BA" w:rsidR="00952EF5" w:rsidRPr="00650440" w:rsidRDefault="00952EF5" w:rsidP="00A26A1D">
      <w:pPr>
        <w:pStyle w:val="Odstavecseseznamem"/>
        <w:numPr>
          <w:ilvl w:val="0"/>
          <w:numId w:val="21"/>
        </w:numPr>
        <w:tabs>
          <w:tab w:val="left" w:pos="0"/>
        </w:tabs>
        <w:spacing w:line="360" w:lineRule="auto"/>
        <w:ind w:left="567" w:hanging="432"/>
        <w:jc w:val="both"/>
        <w:rPr>
          <w:szCs w:val="20"/>
        </w:rPr>
      </w:pPr>
      <w:r w:rsidRPr="00650440">
        <w:rPr>
          <w:szCs w:val="20"/>
        </w:rPr>
        <w:lastRenderedPageBreak/>
        <w:t>Částečný rozhodčí nález UNCITRAL ze dne 17. března 2006 ve věci Saluka Investments BV v. The Czech Republic.</w:t>
      </w:r>
    </w:p>
    <w:p w14:paraId="1EBE2CFC" w14:textId="77777777" w:rsidR="00952EF5" w:rsidRPr="00447520" w:rsidRDefault="00952EF5" w:rsidP="00A26A1D">
      <w:pPr>
        <w:pStyle w:val="Odstavecseseznamem"/>
        <w:numPr>
          <w:ilvl w:val="0"/>
          <w:numId w:val="21"/>
        </w:numPr>
        <w:tabs>
          <w:tab w:val="left" w:pos="0"/>
        </w:tabs>
        <w:spacing w:line="360" w:lineRule="auto"/>
        <w:ind w:left="567" w:hanging="432"/>
        <w:jc w:val="both"/>
      </w:pPr>
      <w:r w:rsidRPr="00447520">
        <w:t>Rozhodčí nález UNCITRAL ze dne 2. srpna 2010 ve věci Chemtura Corporation v. Government of Canada.</w:t>
      </w:r>
    </w:p>
    <w:p w14:paraId="3A188616" w14:textId="00D085FC" w:rsidR="00F50C7D" w:rsidRPr="00650440" w:rsidRDefault="00952EF5" w:rsidP="00A26A1D">
      <w:pPr>
        <w:pStyle w:val="Odstavecseseznamem"/>
        <w:numPr>
          <w:ilvl w:val="0"/>
          <w:numId w:val="21"/>
        </w:numPr>
        <w:tabs>
          <w:tab w:val="left" w:pos="0"/>
        </w:tabs>
        <w:spacing w:line="360" w:lineRule="auto"/>
        <w:ind w:left="567" w:hanging="432"/>
        <w:jc w:val="both"/>
        <w:rPr>
          <w:rFonts w:ascii="Times New Roman" w:hAnsi="Times New Roman"/>
          <w:sz w:val="32"/>
        </w:rPr>
      </w:pPr>
      <w:r w:rsidRPr="001547AB">
        <w:t>Rozh</w:t>
      </w:r>
      <w:r w:rsidRPr="00447520">
        <w:t>odčí nález UNCITRAL ze dne 27. června 2016 ve věci Peter A. Allard v. The Government of Barbados.</w:t>
      </w:r>
    </w:p>
    <w:p w14:paraId="78BDBB42" w14:textId="77777777" w:rsidR="0042052D" w:rsidRPr="00942FD4" w:rsidRDefault="0042052D" w:rsidP="00A47DE7">
      <w:pPr>
        <w:jc w:val="both"/>
        <w:rPr>
          <w:rFonts w:ascii="Times New Roman" w:hAnsi="Times New Roman"/>
        </w:rPr>
      </w:pPr>
      <w:r w:rsidRPr="00942FD4">
        <w:rPr>
          <w:rFonts w:ascii="Times New Roman" w:hAnsi="Times New Roman"/>
        </w:rPr>
        <w:br w:type="page"/>
      </w:r>
    </w:p>
    <w:p w14:paraId="3B99F099" w14:textId="6D8C9919" w:rsidR="0042052D" w:rsidRPr="00F50C7D" w:rsidRDefault="00F50C7D" w:rsidP="00327C92">
      <w:pPr>
        <w:pStyle w:val="Nadpis1"/>
        <w:numPr>
          <w:ilvl w:val="0"/>
          <w:numId w:val="0"/>
        </w:numPr>
        <w:spacing w:line="360" w:lineRule="auto"/>
        <w:ind w:left="432" w:hanging="290"/>
        <w:jc w:val="both"/>
      </w:pPr>
      <w:bookmarkStart w:id="77" w:name="_Toc479697297"/>
      <w:r w:rsidRPr="00F50C7D">
        <w:lastRenderedPageBreak/>
        <w:t>SHRNUTÍ</w:t>
      </w:r>
      <w:bookmarkEnd w:id="77"/>
    </w:p>
    <w:p w14:paraId="15B180A7" w14:textId="249AB324" w:rsidR="00242348" w:rsidRDefault="00D427DD" w:rsidP="00455B1A">
      <w:pPr>
        <w:pStyle w:val="Odstavecseseznamem"/>
        <w:spacing w:line="360" w:lineRule="auto"/>
        <w:ind w:left="142" w:firstLine="654"/>
        <w:jc w:val="both"/>
      </w:pPr>
      <w:r w:rsidRPr="00455B1A">
        <w:rPr>
          <w:rFonts w:eastAsiaTheme="majorEastAsia" w:cstheme="majorBidi"/>
          <w:bCs/>
        </w:rPr>
        <w:t>Ochrana</w:t>
      </w:r>
      <w:r w:rsidR="008E53EA">
        <w:t xml:space="preserve"> mezinárodní</w:t>
      </w:r>
      <w:r w:rsidRPr="00455B1A">
        <w:t>ch investic je dynamickým oborem mezinárodního práva</w:t>
      </w:r>
      <w:r w:rsidR="003D68F8" w:rsidRPr="00455B1A">
        <w:t xml:space="preserve">. Jeho vývoj je ovlivněn </w:t>
      </w:r>
      <w:r w:rsidR="00442211">
        <w:t>především zájmem</w:t>
      </w:r>
      <w:r w:rsidR="00455B1A" w:rsidRPr="00455B1A">
        <w:t xml:space="preserve"> </w:t>
      </w:r>
      <w:r w:rsidR="00442211">
        <w:t xml:space="preserve">investorů a jejich </w:t>
      </w:r>
      <w:r w:rsidR="00F01647">
        <w:t xml:space="preserve">domovských států na co nejvyšší úrovni ochrany a maximalizaci zisku. </w:t>
      </w:r>
      <w:r w:rsidR="00465C15">
        <w:t>Tato diplomová práce poukazuje na zásadní oblasti</w:t>
      </w:r>
      <w:r w:rsidR="00CC1975">
        <w:t xml:space="preserve"> ochrany</w:t>
      </w:r>
      <w:r w:rsidR="00465C15">
        <w:t>, ve který</w:t>
      </w:r>
      <w:r w:rsidR="00864B79">
        <w:t>ch tyto zájmy kolidují se právem</w:t>
      </w:r>
      <w:r w:rsidR="00465C15">
        <w:t xml:space="preserve"> hostitelských stát</w:t>
      </w:r>
      <w:r w:rsidR="00864B79">
        <w:t>ů na účinnou</w:t>
      </w:r>
      <w:r w:rsidR="00242348">
        <w:t xml:space="preserve"> regulaci podnikání.</w:t>
      </w:r>
      <w:r w:rsidR="00AC7DB5">
        <w:t xml:space="preserve"> Jsou v ní analyzovány </w:t>
      </w:r>
      <w:r w:rsidR="0021793A">
        <w:t>hmotněprávní standardy ochrany investic a jejich použití v investiční arbitráži</w:t>
      </w:r>
      <w:r w:rsidR="001324CA">
        <w:t xml:space="preserve"> v souvislosti </w:t>
      </w:r>
      <w:r w:rsidR="001C32D6">
        <w:t>s nediskriminačními</w:t>
      </w:r>
      <w:r w:rsidR="001324CA">
        <w:t xml:space="preserve"> státními zásahy do investice</w:t>
      </w:r>
      <w:r w:rsidR="001C32D6">
        <w:t>, provedenými v dobré víře</w:t>
      </w:r>
      <w:r w:rsidR="0021793A">
        <w:t xml:space="preserve">. </w:t>
      </w:r>
    </w:p>
    <w:p w14:paraId="67D453B2" w14:textId="3A06A236" w:rsidR="003A44F7" w:rsidRDefault="00242348" w:rsidP="00455B1A">
      <w:pPr>
        <w:pStyle w:val="Odstavecseseznamem"/>
        <w:spacing w:line="360" w:lineRule="auto"/>
        <w:ind w:left="142" w:firstLine="654"/>
        <w:jc w:val="both"/>
      </w:pPr>
      <w:r>
        <w:t>Globalizace</w:t>
      </w:r>
      <w:r w:rsidR="00A14118">
        <w:t xml:space="preserve"> a liberalizace obchodu přinesly</w:t>
      </w:r>
      <w:r w:rsidR="00245A51">
        <w:t xml:space="preserve"> nejen</w:t>
      </w:r>
      <w:r w:rsidR="00837FED">
        <w:t xml:space="preserve"> prudký nárůst množství přímých zahraničních investic a také </w:t>
      </w:r>
      <w:r w:rsidR="00A14118">
        <w:t xml:space="preserve">stále nekončící růst počtu sporů řešených v arbitráži pomocí systému ISDS. </w:t>
      </w:r>
      <w:r w:rsidR="0018645B">
        <w:t>Rozhodovací praxe zatím není ustálená ve výkladu jednotlivých smluvních klauzulí</w:t>
      </w:r>
      <w:r w:rsidR="004E0547">
        <w:t xml:space="preserve"> a</w:t>
      </w:r>
      <w:r w:rsidR="001866EA">
        <w:t xml:space="preserve"> jejich hranic s</w:t>
      </w:r>
      <w:r w:rsidR="004E0547">
        <w:t xml:space="preserve"> regulační</w:t>
      </w:r>
      <w:r w:rsidR="001866EA">
        <w:t>mi pravomocemi</w:t>
      </w:r>
      <w:r w:rsidR="0018645B">
        <w:t xml:space="preserve">. </w:t>
      </w:r>
      <w:r w:rsidR="00A37341">
        <w:t xml:space="preserve">Materiálním důvodem je především </w:t>
      </w:r>
      <w:r w:rsidR="009F4567">
        <w:t xml:space="preserve">nejednotnost jejich vyjádření ve smlouvách o ochraně a podpoře investic. </w:t>
      </w:r>
      <w:r w:rsidR="008E53EA">
        <w:t>Dále se projevují rozdíly v rozhodování institucionálních tribunálů a tribunálů ustanovených ad hoc.</w:t>
      </w:r>
    </w:p>
    <w:p w14:paraId="1BAFFA0C" w14:textId="447B1548" w:rsidR="0042052D" w:rsidRPr="004D585C" w:rsidRDefault="00000CE1" w:rsidP="00455B1A">
      <w:pPr>
        <w:pStyle w:val="Odstavecseseznamem"/>
        <w:spacing w:line="360" w:lineRule="auto"/>
        <w:ind w:left="142" w:firstLine="654"/>
        <w:jc w:val="both"/>
      </w:pPr>
      <w:r>
        <w:t xml:space="preserve">Iniciativu k ustálení rozhodovací praxe a zajištění suverénního práva na regulaci přebírají opět státy jako tvůrci mezinárodního práva. </w:t>
      </w:r>
      <w:r w:rsidR="006A2EE7">
        <w:t xml:space="preserve">Úpravou smluv chtějí docílit především stavu, kdy </w:t>
      </w:r>
      <w:r w:rsidR="00403763">
        <w:t>nebudou závazky z těchto smluv klást nepřiměřené nároky na právní stabilitu, zejména v oblasti obecně závazných předpisů.</w:t>
      </w:r>
    </w:p>
    <w:p w14:paraId="49185761" w14:textId="77777777" w:rsidR="0042052D" w:rsidRPr="00942FD4" w:rsidRDefault="0042052D" w:rsidP="00A47DE7">
      <w:pPr>
        <w:tabs>
          <w:tab w:val="left" w:pos="0"/>
        </w:tabs>
        <w:spacing w:line="360" w:lineRule="auto"/>
        <w:jc w:val="both"/>
        <w:rPr>
          <w:rFonts w:ascii="Times New Roman" w:hAnsi="Times New Roman"/>
        </w:rPr>
      </w:pPr>
    </w:p>
    <w:p w14:paraId="45DD06D8" w14:textId="1BF91B20" w:rsidR="0080772B" w:rsidRPr="001F3646" w:rsidRDefault="006450D3" w:rsidP="00741966">
      <w:pPr>
        <w:pStyle w:val="Nadpis1"/>
        <w:numPr>
          <w:ilvl w:val="0"/>
          <w:numId w:val="0"/>
        </w:numPr>
        <w:spacing w:before="0" w:after="0" w:line="360" w:lineRule="auto"/>
        <w:ind w:left="432" w:hanging="432"/>
        <w:jc w:val="both"/>
      </w:pPr>
      <w:r w:rsidRPr="00942FD4">
        <w:rPr>
          <w:strike/>
          <w:sz w:val="24"/>
          <w:szCs w:val="24"/>
        </w:rPr>
        <w:br w:type="page"/>
      </w:r>
    </w:p>
    <w:p w14:paraId="59DCCFA2" w14:textId="07166B4C" w:rsidR="00F50C7D" w:rsidRDefault="00F50C7D" w:rsidP="008A67BB">
      <w:pPr>
        <w:pStyle w:val="Nadpis1"/>
        <w:numPr>
          <w:ilvl w:val="0"/>
          <w:numId w:val="0"/>
        </w:numPr>
        <w:spacing w:line="360" w:lineRule="auto"/>
        <w:ind w:left="432" w:hanging="290"/>
        <w:jc w:val="both"/>
      </w:pPr>
      <w:bookmarkStart w:id="78" w:name="_Toc457721007"/>
      <w:bookmarkStart w:id="79" w:name="_Toc479697298"/>
      <w:r w:rsidRPr="00942FD4">
        <w:lastRenderedPageBreak/>
        <w:t>SUMMARY</w:t>
      </w:r>
      <w:bookmarkEnd w:id="78"/>
      <w:bookmarkEnd w:id="79"/>
    </w:p>
    <w:p w14:paraId="014A776E" w14:textId="77777777" w:rsidR="00F968D5" w:rsidRDefault="00214D70" w:rsidP="00214D70">
      <w:pPr>
        <w:pStyle w:val="Odstavecseseznamem"/>
        <w:spacing w:line="360" w:lineRule="auto"/>
        <w:ind w:left="142" w:firstLine="654"/>
        <w:jc w:val="both"/>
        <w:rPr>
          <w:lang w:val="en-GB"/>
        </w:rPr>
      </w:pPr>
      <w:r w:rsidRPr="00214D70">
        <w:rPr>
          <w:lang w:val="en-GB"/>
        </w:rPr>
        <w:t>International investment protection</w:t>
      </w:r>
      <w:r>
        <w:rPr>
          <w:lang w:val="en-GB"/>
        </w:rPr>
        <w:t xml:space="preserve"> is a dynamic field of international public law. </w:t>
      </w:r>
      <w:r w:rsidR="00C8750E">
        <w:rPr>
          <w:lang w:val="en-GB"/>
        </w:rPr>
        <w:t xml:space="preserve">Its development </w:t>
      </w:r>
      <w:r w:rsidR="00E72C06">
        <w:rPr>
          <w:lang w:val="en-GB"/>
        </w:rPr>
        <w:t xml:space="preserve">is influenced </w:t>
      </w:r>
      <w:r w:rsidR="00792BDD">
        <w:rPr>
          <w:lang w:val="en-GB"/>
        </w:rPr>
        <w:t xml:space="preserve">mostly by concern of investors and their home states to get the highest protection possible and to maximize profits. </w:t>
      </w:r>
      <w:r w:rsidR="007E7955">
        <w:rPr>
          <w:lang w:val="en-GB"/>
        </w:rPr>
        <w:t>This</w:t>
      </w:r>
      <w:r w:rsidR="00232616">
        <w:rPr>
          <w:lang w:val="en-GB"/>
        </w:rPr>
        <w:t xml:space="preserve"> thesis </w:t>
      </w:r>
      <w:r w:rsidR="00CC1975">
        <w:rPr>
          <w:lang w:val="en-GB"/>
        </w:rPr>
        <w:t>points out fundamental fields of protection</w:t>
      </w:r>
      <w:r w:rsidR="00864B79">
        <w:rPr>
          <w:lang w:val="en-GB"/>
        </w:rPr>
        <w:t xml:space="preserve">, where this concern </w:t>
      </w:r>
      <w:r w:rsidR="00864B79" w:rsidRPr="00864B79">
        <w:rPr>
          <w:lang w:val="en-GB"/>
        </w:rPr>
        <w:t>collide</w:t>
      </w:r>
      <w:r w:rsidR="00864B79">
        <w:rPr>
          <w:lang w:val="en-GB"/>
        </w:rPr>
        <w:t xml:space="preserve">s with states’ </w:t>
      </w:r>
      <w:r w:rsidR="00214549">
        <w:rPr>
          <w:lang w:val="en-GB"/>
        </w:rPr>
        <w:t xml:space="preserve">regulatory powers. </w:t>
      </w:r>
      <w:r w:rsidR="00BD19FF">
        <w:rPr>
          <w:lang w:val="en-GB"/>
        </w:rPr>
        <w:t xml:space="preserve">It </w:t>
      </w:r>
      <w:r w:rsidR="00BD19FF" w:rsidRPr="00BD19FF">
        <w:rPr>
          <w:lang w:val="en-GB"/>
        </w:rPr>
        <w:t>analyse</w:t>
      </w:r>
      <w:r w:rsidR="00BD19FF">
        <w:rPr>
          <w:lang w:val="en-GB"/>
        </w:rPr>
        <w:t>s substantive standards of protection and their applic</w:t>
      </w:r>
      <w:r w:rsidR="008A38BC">
        <w:rPr>
          <w:lang w:val="en-GB"/>
        </w:rPr>
        <w:t xml:space="preserve">ation in investment arbitration, </w:t>
      </w:r>
      <w:r w:rsidR="009F5703">
        <w:rPr>
          <w:lang w:val="en-GB"/>
        </w:rPr>
        <w:t xml:space="preserve">in disputes raised on </w:t>
      </w:r>
      <w:r w:rsidR="00DC2310">
        <w:rPr>
          <w:lang w:val="en-GB"/>
        </w:rPr>
        <w:t>non-discriminatory, bona fide regulatory measures.</w:t>
      </w:r>
    </w:p>
    <w:p w14:paraId="0984AAC7" w14:textId="77777777" w:rsidR="00540915" w:rsidRDefault="00F968D5" w:rsidP="00214D70">
      <w:pPr>
        <w:pStyle w:val="Odstavecseseznamem"/>
        <w:spacing w:line="360" w:lineRule="auto"/>
        <w:ind w:left="142" w:firstLine="654"/>
        <w:jc w:val="both"/>
        <w:rPr>
          <w:lang w:val="en-GB"/>
        </w:rPr>
      </w:pPr>
      <w:r>
        <w:rPr>
          <w:lang w:val="en-GB"/>
        </w:rPr>
        <w:t>Globalization a</w:t>
      </w:r>
      <w:r w:rsidR="00867313">
        <w:rPr>
          <w:lang w:val="en-GB"/>
        </w:rPr>
        <w:t>nd</w:t>
      </w:r>
      <w:r>
        <w:rPr>
          <w:lang w:val="en-GB"/>
        </w:rPr>
        <w:t xml:space="preserve"> commercial liberalization </w:t>
      </w:r>
      <w:r w:rsidR="00F64176">
        <w:rPr>
          <w:lang w:val="en-GB"/>
        </w:rPr>
        <w:t>caused</w:t>
      </w:r>
      <w:r w:rsidR="005D6370">
        <w:rPr>
          <w:lang w:val="en-GB"/>
        </w:rPr>
        <w:t xml:space="preserve"> not only</w:t>
      </w:r>
      <w:r w:rsidR="00F64176">
        <w:rPr>
          <w:lang w:val="en-GB"/>
        </w:rPr>
        <w:t xml:space="preserve"> rapid growth </w:t>
      </w:r>
      <w:r w:rsidR="00867313">
        <w:rPr>
          <w:lang w:val="en-GB"/>
        </w:rPr>
        <w:t>of international investment</w:t>
      </w:r>
      <w:r w:rsidR="005D6370">
        <w:rPr>
          <w:lang w:val="en-GB"/>
        </w:rPr>
        <w:t>, but also growth of investment disputes</w:t>
      </w:r>
      <w:r w:rsidR="00965852">
        <w:rPr>
          <w:lang w:val="en-GB"/>
        </w:rPr>
        <w:t xml:space="preserve"> solved by ISDS</w:t>
      </w:r>
      <w:r w:rsidR="005D6370">
        <w:rPr>
          <w:lang w:val="en-GB"/>
        </w:rPr>
        <w:t xml:space="preserve">. </w:t>
      </w:r>
      <w:r w:rsidR="004E0547">
        <w:rPr>
          <w:lang w:val="en-GB"/>
        </w:rPr>
        <w:t xml:space="preserve">There’s still barely any stable case law </w:t>
      </w:r>
      <w:r w:rsidR="001866EA">
        <w:rPr>
          <w:lang w:val="en-GB"/>
        </w:rPr>
        <w:t xml:space="preserve">for interpretation of </w:t>
      </w:r>
      <w:r w:rsidR="00FD30CB">
        <w:rPr>
          <w:lang w:val="en-GB"/>
        </w:rPr>
        <w:t xml:space="preserve">standards of protection and their frontiers with regulatory powers. </w:t>
      </w:r>
      <w:r w:rsidR="00AD1F67">
        <w:rPr>
          <w:lang w:val="en-GB"/>
        </w:rPr>
        <w:t xml:space="preserve">One of the main reasons is difference of standards in </w:t>
      </w:r>
      <w:r w:rsidR="00AD4AA2">
        <w:rPr>
          <w:lang w:val="en-GB"/>
        </w:rPr>
        <w:t xml:space="preserve">many treaties. Other issue is difference in decision making of </w:t>
      </w:r>
      <w:r w:rsidR="00AD4AA2" w:rsidRPr="00AD4AA2">
        <w:rPr>
          <w:lang w:val="en-GB"/>
        </w:rPr>
        <w:t>institutional</w:t>
      </w:r>
      <w:r w:rsidR="00AD4AA2">
        <w:rPr>
          <w:lang w:val="en-GB"/>
        </w:rPr>
        <w:t xml:space="preserve"> and ad hoc tribunals.</w:t>
      </w:r>
    </w:p>
    <w:p w14:paraId="40C8D5EE" w14:textId="4C36F5BA" w:rsidR="00F50C7D" w:rsidRPr="00214D70" w:rsidRDefault="00540915" w:rsidP="00214D70">
      <w:pPr>
        <w:pStyle w:val="Odstavecseseznamem"/>
        <w:spacing w:line="360" w:lineRule="auto"/>
        <w:ind w:left="142" w:firstLine="654"/>
        <w:jc w:val="both"/>
        <w:rPr>
          <w:lang w:val="en-GB"/>
        </w:rPr>
      </w:pPr>
      <w:r>
        <w:rPr>
          <w:lang w:val="en-GB"/>
        </w:rPr>
        <w:t xml:space="preserve">States, as creators of international public law, have taken the steps to </w:t>
      </w:r>
      <w:r w:rsidRPr="00540915">
        <w:rPr>
          <w:lang w:val="en-GB"/>
        </w:rPr>
        <w:t>specification</w:t>
      </w:r>
      <w:r>
        <w:rPr>
          <w:lang w:val="en-GB"/>
        </w:rPr>
        <w:t xml:space="preserve"> of standards, </w:t>
      </w:r>
      <w:r w:rsidR="00BB3B55">
        <w:rPr>
          <w:lang w:val="en-GB"/>
        </w:rPr>
        <w:t>to lay down some of the boundaries of regulatory powers.</w:t>
      </w:r>
      <w:r w:rsidR="0052700F">
        <w:rPr>
          <w:lang w:val="en-GB"/>
        </w:rPr>
        <w:t xml:space="preserve"> Changes in IIAs should lead to </w:t>
      </w:r>
      <w:r w:rsidR="00700076">
        <w:rPr>
          <w:lang w:val="en-GB"/>
        </w:rPr>
        <w:t xml:space="preserve">limit the risks of regulatory measures being considered as violation of IIA by arbitral tribunals. </w:t>
      </w:r>
      <w:r w:rsidR="00FF51FA">
        <w:rPr>
          <w:lang w:val="en-GB"/>
        </w:rPr>
        <w:t xml:space="preserve">This concern applies especially for </w:t>
      </w:r>
      <w:r w:rsidR="005F3339">
        <w:rPr>
          <w:lang w:val="en-GB"/>
        </w:rPr>
        <w:t>investor’s expectations raised on genera</w:t>
      </w:r>
      <w:r w:rsidR="004C2F24">
        <w:rPr>
          <w:lang w:val="en-GB"/>
        </w:rPr>
        <w:t>l</w:t>
      </w:r>
      <w:r w:rsidR="005F3339">
        <w:rPr>
          <w:lang w:val="en-GB"/>
        </w:rPr>
        <w:t xml:space="preserve"> norms. </w:t>
      </w:r>
      <w:r w:rsidR="00673AD5">
        <w:rPr>
          <w:lang w:val="en-GB"/>
        </w:rPr>
        <w:t>There will not</w:t>
      </w:r>
      <w:r w:rsidR="00BA738B">
        <w:rPr>
          <w:lang w:val="en-GB"/>
        </w:rPr>
        <w:t xml:space="preserve"> be probably any massive</w:t>
      </w:r>
      <w:r w:rsidR="00135E23">
        <w:rPr>
          <w:lang w:val="en-GB"/>
        </w:rPr>
        <w:t xml:space="preserve"> wave of</w:t>
      </w:r>
      <w:r w:rsidR="00BA738B">
        <w:rPr>
          <w:lang w:val="en-GB"/>
        </w:rPr>
        <w:t xml:space="preserve"> withdrawal</w:t>
      </w:r>
      <w:r w:rsidR="00135E23">
        <w:rPr>
          <w:lang w:val="en-GB"/>
        </w:rPr>
        <w:t>s</w:t>
      </w:r>
      <w:r w:rsidR="00BA738B">
        <w:rPr>
          <w:lang w:val="en-GB"/>
        </w:rPr>
        <w:t xml:space="preserve"> from ISDS mechanism in near future due to </w:t>
      </w:r>
      <w:r w:rsidR="00410DFE">
        <w:rPr>
          <w:lang w:val="en-GB"/>
        </w:rPr>
        <w:t xml:space="preserve">past tribunals decisions against states, but </w:t>
      </w:r>
      <w:r w:rsidR="000B1A60">
        <w:rPr>
          <w:lang w:val="en-GB"/>
        </w:rPr>
        <w:t xml:space="preserve">continuous changes in IIAs wording are </w:t>
      </w:r>
      <w:r w:rsidR="000B1A60" w:rsidRPr="000B1A60">
        <w:rPr>
          <w:lang w:val="en-GB"/>
        </w:rPr>
        <w:t>expectable</w:t>
      </w:r>
      <w:r w:rsidR="000B1A60">
        <w:rPr>
          <w:lang w:val="en-GB"/>
        </w:rPr>
        <w:t>.</w:t>
      </w:r>
    </w:p>
    <w:p w14:paraId="778D6D62" w14:textId="021EF63D" w:rsidR="00F50C7D" w:rsidRDefault="00F50C7D">
      <w:pPr>
        <w:spacing w:after="0"/>
        <w:contextualSpacing w:val="0"/>
        <w:rPr>
          <w:iCs/>
          <w:sz w:val="20"/>
          <w:szCs w:val="20"/>
        </w:rPr>
      </w:pPr>
      <w:r>
        <w:rPr>
          <w:iCs/>
          <w:sz w:val="20"/>
          <w:szCs w:val="20"/>
        </w:rPr>
        <w:br w:type="page"/>
      </w:r>
    </w:p>
    <w:tbl>
      <w:tblPr>
        <w:tblStyle w:val="Mkatabulky"/>
        <w:tblW w:w="8788" w:type="dxa"/>
        <w:tblInd w:w="392" w:type="dxa"/>
        <w:tblLook w:val="04A0" w:firstRow="1" w:lastRow="0" w:firstColumn="1" w:lastColumn="0" w:noHBand="0" w:noVBand="1"/>
      </w:tblPr>
      <w:tblGrid>
        <w:gridCol w:w="4394"/>
        <w:gridCol w:w="4394"/>
      </w:tblGrid>
      <w:tr w:rsidR="00F50C7D" w14:paraId="6C393FEF" w14:textId="77777777" w:rsidTr="00050D69">
        <w:trPr>
          <w:trHeight w:val="567"/>
        </w:trPr>
        <w:tc>
          <w:tcPr>
            <w:tcW w:w="4394" w:type="dxa"/>
            <w:vAlign w:val="center"/>
          </w:tcPr>
          <w:p w14:paraId="7CDA1396" w14:textId="029DDE77" w:rsidR="00F50C7D" w:rsidRPr="000A4870" w:rsidRDefault="00F50C7D" w:rsidP="00050D69">
            <w:pPr>
              <w:pStyle w:val="Nadpis1"/>
              <w:numPr>
                <w:ilvl w:val="0"/>
                <w:numId w:val="0"/>
              </w:numPr>
              <w:spacing w:before="0" w:after="0" w:line="360" w:lineRule="auto"/>
              <w:ind w:left="432" w:hanging="432"/>
              <w:jc w:val="center"/>
              <w:rPr>
                <w:iCs/>
                <w:sz w:val="28"/>
                <w:szCs w:val="28"/>
              </w:rPr>
            </w:pPr>
            <w:bookmarkStart w:id="80" w:name="_Toc479697299"/>
            <w:r w:rsidRPr="000A4870">
              <w:rPr>
                <w:sz w:val="28"/>
                <w:szCs w:val="28"/>
              </w:rPr>
              <w:lastRenderedPageBreak/>
              <w:t>Klíčová</w:t>
            </w:r>
            <w:r w:rsidRPr="000A4870">
              <w:rPr>
                <w:iCs/>
                <w:sz w:val="28"/>
                <w:szCs w:val="28"/>
              </w:rPr>
              <w:t xml:space="preserve"> slova</w:t>
            </w:r>
            <w:bookmarkEnd w:id="80"/>
          </w:p>
        </w:tc>
        <w:tc>
          <w:tcPr>
            <w:tcW w:w="4394" w:type="dxa"/>
            <w:vAlign w:val="center"/>
          </w:tcPr>
          <w:p w14:paraId="552E4C7D" w14:textId="7D6C1CB8" w:rsidR="00F50C7D" w:rsidRPr="000A4870" w:rsidRDefault="00F50C7D" w:rsidP="00050D69">
            <w:pPr>
              <w:tabs>
                <w:tab w:val="left" w:pos="0"/>
              </w:tabs>
              <w:spacing w:line="360" w:lineRule="auto"/>
              <w:jc w:val="center"/>
              <w:rPr>
                <w:b/>
                <w:iCs/>
                <w:sz w:val="20"/>
                <w:szCs w:val="20"/>
              </w:rPr>
            </w:pPr>
            <w:r w:rsidRPr="000A4870">
              <w:rPr>
                <w:b/>
                <w:iCs/>
                <w:sz w:val="28"/>
                <w:szCs w:val="20"/>
              </w:rPr>
              <w:t>Key words</w:t>
            </w:r>
          </w:p>
        </w:tc>
      </w:tr>
      <w:tr w:rsidR="00F50C7D" w14:paraId="3FF299AB" w14:textId="77777777" w:rsidTr="00050D69">
        <w:trPr>
          <w:trHeight w:val="567"/>
        </w:trPr>
        <w:tc>
          <w:tcPr>
            <w:tcW w:w="4394" w:type="dxa"/>
            <w:vAlign w:val="center"/>
          </w:tcPr>
          <w:p w14:paraId="6B569C92" w14:textId="44D181F8" w:rsidR="00F50C7D" w:rsidRPr="000A4870" w:rsidRDefault="000D1B8E" w:rsidP="00050D69">
            <w:pPr>
              <w:tabs>
                <w:tab w:val="left" w:pos="0"/>
              </w:tabs>
              <w:spacing w:line="360" w:lineRule="auto"/>
              <w:jc w:val="center"/>
              <w:rPr>
                <w:iCs/>
              </w:rPr>
            </w:pPr>
            <w:r w:rsidRPr="000A4870">
              <w:rPr>
                <w:iCs/>
              </w:rPr>
              <w:t>ochrana investic</w:t>
            </w:r>
          </w:p>
        </w:tc>
        <w:tc>
          <w:tcPr>
            <w:tcW w:w="4394" w:type="dxa"/>
            <w:vAlign w:val="center"/>
          </w:tcPr>
          <w:p w14:paraId="74C18AB1" w14:textId="5AC896AB" w:rsidR="00F50C7D" w:rsidRPr="000A4870" w:rsidRDefault="000D1B8E" w:rsidP="00050D69">
            <w:pPr>
              <w:tabs>
                <w:tab w:val="left" w:pos="0"/>
              </w:tabs>
              <w:spacing w:line="360" w:lineRule="auto"/>
              <w:jc w:val="center"/>
              <w:rPr>
                <w:iCs/>
              </w:rPr>
            </w:pPr>
            <w:r w:rsidRPr="000A4870">
              <w:rPr>
                <w:rFonts w:eastAsia="Times New Roman"/>
                <w:color w:val="000000"/>
              </w:rPr>
              <w:t>investment protection</w:t>
            </w:r>
          </w:p>
        </w:tc>
      </w:tr>
      <w:tr w:rsidR="00964295" w14:paraId="768F157E" w14:textId="77777777" w:rsidTr="00050D69">
        <w:trPr>
          <w:trHeight w:val="567"/>
        </w:trPr>
        <w:tc>
          <w:tcPr>
            <w:tcW w:w="4394" w:type="dxa"/>
            <w:vAlign w:val="center"/>
          </w:tcPr>
          <w:p w14:paraId="0E17A3C9" w14:textId="7AA778A2" w:rsidR="00964295" w:rsidRPr="000A4870" w:rsidRDefault="000D1B8E" w:rsidP="00050D69">
            <w:pPr>
              <w:tabs>
                <w:tab w:val="left" w:pos="0"/>
              </w:tabs>
              <w:spacing w:line="360" w:lineRule="auto"/>
              <w:jc w:val="center"/>
              <w:rPr>
                <w:iCs/>
              </w:rPr>
            </w:pPr>
            <w:r w:rsidRPr="000A4870">
              <w:rPr>
                <w:rFonts w:eastAsia="Times New Roman"/>
                <w:color w:val="000000"/>
              </w:rPr>
              <w:t>zahraniční investice</w:t>
            </w:r>
          </w:p>
        </w:tc>
        <w:tc>
          <w:tcPr>
            <w:tcW w:w="4394" w:type="dxa"/>
            <w:vAlign w:val="center"/>
          </w:tcPr>
          <w:p w14:paraId="3BF30EE4" w14:textId="78F3F0EF" w:rsidR="00964295" w:rsidRPr="000A4870" w:rsidRDefault="000D1B8E" w:rsidP="00050D69">
            <w:pPr>
              <w:tabs>
                <w:tab w:val="left" w:pos="0"/>
              </w:tabs>
              <w:spacing w:line="360" w:lineRule="auto"/>
              <w:jc w:val="center"/>
              <w:rPr>
                <w:rFonts w:eastAsia="Times New Roman"/>
                <w:color w:val="000000"/>
              </w:rPr>
            </w:pPr>
            <w:r w:rsidRPr="000A4870">
              <w:rPr>
                <w:rFonts w:eastAsia="Times New Roman"/>
                <w:color w:val="000000"/>
              </w:rPr>
              <w:t>foreign investment</w:t>
            </w:r>
          </w:p>
        </w:tc>
      </w:tr>
      <w:tr w:rsidR="00F50C7D" w14:paraId="7922AFDC" w14:textId="77777777" w:rsidTr="00050D69">
        <w:trPr>
          <w:trHeight w:val="567"/>
        </w:trPr>
        <w:tc>
          <w:tcPr>
            <w:tcW w:w="4394" w:type="dxa"/>
            <w:vAlign w:val="center"/>
          </w:tcPr>
          <w:p w14:paraId="58FE0837" w14:textId="59146BE6" w:rsidR="00F50C7D" w:rsidRPr="000A4870" w:rsidRDefault="000D1B8E" w:rsidP="00050D69">
            <w:pPr>
              <w:tabs>
                <w:tab w:val="left" w:pos="0"/>
              </w:tabs>
              <w:spacing w:line="360" w:lineRule="auto"/>
              <w:jc w:val="center"/>
              <w:rPr>
                <w:iCs/>
              </w:rPr>
            </w:pPr>
            <w:r w:rsidRPr="000A4870">
              <w:rPr>
                <w:rFonts w:eastAsia="Times New Roman"/>
                <w:color w:val="000000"/>
              </w:rPr>
              <w:t>rozhodčí řízení</w:t>
            </w:r>
          </w:p>
        </w:tc>
        <w:tc>
          <w:tcPr>
            <w:tcW w:w="4394" w:type="dxa"/>
            <w:vAlign w:val="center"/>
          </w:tcPr>
          <w:p w14:paraId="248E10AE" w14:textId="59764E94" w:rsidR="00F50C7D" w:rsidRPr="000A4870" w:rsidRDefault="000D1B8E" w:rsidP="00050D69">
            <w:pPr>
              <w:tabs>
                <w:tab w:val="left" w:pos="0"/>
              </w:tabs>
              <w:spacing w:line="360" w:lineRule="auto"/>
              <w:jc w:val="center"/>
              <w:rPr>
                <w:iCs/>
              </w:rPr>
            </w:pPr>
            <w:r w:rsidRPr="000A4870">
              <w:rPr>
                <w:rFonts w:eastAsia="Times New Roman"/>
                <w:color w:val="000000"/>
              </w:rPr>
              <w:t>arbitration</w:t>
            </w:r>
          </w:p>
        </w:tc>
      </w:tr>
      <w:tr w:rsidR="00F50C7D" w14:paraId="00CCF12C" w14:textId="77777777" w:rsidTr="00050D69">
        <w:trPr>
          <w:trHeight w:val="567"/>
        </w:trPr>
        <w:tc>
          <w:tcPr>
            <w:tcW w:w="4394" w:type="dxa"/>
            <w:vAlign w:val="center"/>
          </w:tcPr>
          <w:p w14:paraId="42C18428" w14:textId="741E356C" w:rsidR="00F50C7D" w:rsidRPr="000A4870" w:rsidRDefault="000D1B8E" w:rsidP="00050D69">
            <w:pPr>
              <w:tabs>
                <w:tab w:val="left" w:pos="0"/>
              </w:tabs>
              <w:spacing w:line="360" w:lineRule="auto"/>
              <w:jc w:val="center"/>
              <w:rPr>
                <w:iCs/>
              </w:rPr>
            </w:pPr>
            <w:r w:rsidRPr="000A4870">
              <w:rPr>
                <w:rFonts w:eastAsia="Times New Roman"/>
                <w:color w:val="000000"/>
              </w:rPr>
              <w:t>spor</w:t>
            </w:r>
          </w:p>
        </w:tc>
        <w:tc>
          <w:tcPr>
            <w:tcW w:w="4394" w:type="dxa"/>
            <w:vAlign w:val="center"/>
          </w:tcPr>
          <w:p w14:paraId="14F7C854" w14:textId="4C42992D" w:rsidR="00F50C7D" w:rsidRPr="000A4870" w:rsidRDefault="000D1B8E" w:rsidP="00050D69">
            <w:pPr>
              <w:tabs>
                <w:tab w:val="left" w:pos="0"/>
              </w:tabs>
              <w:spacing w:line="360" w:lineRule="auto"/>
              <w:jc w:val="center"/>
              <w:rPr>
                <w:iCs/>
              </w:rPr>
            </w:pPr>
            <w:r w:rsidRPr="000A4870">
              <w:rPr>
                <w:rFonts w:eastAsia="Times New Roman"/>
                <w:color w:val="000000"/>
              </w:rPr>
              <w:t>dispute</w:t>
            </w:r>
          </w:p>
        </w:tc>
      </w:tr>
      <w:tr w:rsidR="00F50C7D" w14:paraId="2F4EFECC" w14:textId="77777777" w:rsidTr="00050D69">
        <w:trPr>
          <w:trHeight w:val="567"/>
        </w:trPr>
        <w:tc>
          <w:tcPr>
            <w:tcW w:w="4394" w:type="dxa"/>
            <w:vAlign w:val="center"/>
          </w:tcPr>
          <w:p w14:paraId="514CD05E" w14:textId="0E65A091" w:rsidR="00F50C7D" w:rsidRPr="000A4870" w:rsidRDefault="000D1B8E" w:rsidP="00050D69">
            <w:pPr>
              <w:tabs>
                <w:tab w:val="left" w:pos="0"/>
              </w:tabs>
              <w:spacing w:line="360" w:lineRule="auto"/>
              <w:jc w:val="center"/>
              <w:rPr>
                <w:iCs/>
              </w:rPr>
            </w:pPr>
            <w:r w:rsidRPr="000A4870">
              <w:rPr>
                <w:rFonts w:eastAsia="Times New Roman"/>
                <w:color w:val="000000"/>
              </w:rPr>
              <w:t>mezinárodní smlouva</w:t>
            </w:r>
          </w:p>
        </w:tc>
        <w:tc>
          <w:tcPr>
            <w:tcW w:w="4394" w:type="dxa"/>
            <w:vAlign w:val="center"/>
          </w:tcPr>
          <w:p w14:paraId="0AE28683" w14:textId="487158BA" w:rsidR="00F50C7D" w:rsidRPr="000A4870" w:rsidRDefault="000D1B8E" w:rsidP="00050D69">
            <w:pPr>
              <w:tabs>
                <w:tab w:val="left" w:pos="0"/>
              </w:tabs>
              <w:spacing w:line="360" w:lineRule="auto"/>
              <w:jc w:val="center"/>
              <w:rPr>
                <w:iCs/>
              </w:rPr>
            </w:pPr>
            <w:r w:rsidRPr="000A4870">
              <w:rPr>
                <w:rFonts w:eastAsia="Times New Roman"/>
                <w:color w:val="000000"/>
              </w:rPr>
              <w:t>international treaty</w:t>
            </w:r>
          </w:p>
        </w:tc>
      </w:tr>
      <w:tr w:rsidR="00F50C7D" w14:paraId="1422B761" w14:textId="77777777" w:rsidTr="00050D69">
        <w:trPr>
          <w:trHeight w:val="567"/>
        </w:trPr>
        <w:tc>
          <w:tcPr>
            <w:tcW w:w="4394" w:type="dxa"/>
            <w:vAlign w:val="center"/>
          </w:tcPr>
          <w:p w14:paraId="04919C39" w14:textId="3BCC9563" w:rsidR="00F50C7D" w:rsidRPr="000A4870" w:rsidRDefault="000D1B8E" w:rsidP="00050D69">
            <w:pPr>
              <w:tabs>
                <w:tab w:val="left" w:pos="0"/>
              </w:tabs>
              <w:spacing w:line="360" w:lineRule="auto"/>
              <w:jc w:val="center"/>
              <w:rPr>
                <w:iCs/>
              </w:rPr>
            </w:pPr>
            <w:r w:rsidRPr="000A4870">
              <w:rPr>
                <w:rFonts w:eastAsia="Times New Roman"/>
                <w:color w:val="000000"/>
              </w:rPr>
              <w:t>dvoustranná dohoda o ochraně investic</w:t>
            </w:r>
          </w:p>
        </w:tc>
        <w:tc>
          <w:tcPr>
            <w:tcW w:w="4394" w:type="dxa"/>
            <w:vAlign w:val="center"/>
          </w:tcPr>
          <w:p w14:paraId="6122EE74" w14:textId="5BEF4948" w:rsidR="00F50C7D" w:rsidRPr="000A4870" w:rsidRDefault="000D1B8E" w:rsidP="00050D69">
            <w:pPr>
              <w:tabs>
                <w:tab w:val="left" w:pos="0"/>
              </w:tabs>
              <w:spacing w:line="360" w:lineRule="auto"/>
              <w:jc w:val="center"/>
              <w:rPr>
                <w:iCs/>
              </w:rPr>
            </w:pPr>
            <w:r w:rsidRPr="000A4870">
              <w:rPr>
                <w:rFonts w:eastAsia="Times New Roman"/>
                <w:color w:val="000000"/>
              </w:rPr>
              <w:t>bilateral investment treaty</w:t>
            </w:r>
          </w:p>
        </w:tc>
      </w:tr>
      <w:tr w:rsidR="00827A61" w14:paraId="77668352" w14:textId="77777777" w:rsidTr="00050D69">
        <w:trPr>
          <w:trHeight w:val="567"/>
        </w:trPr>
        <w:tc>
          <w:tcPr>
            <w:tcW w:w="4394" w:type="dxa"/>
            <w:vAlign w:val="center"/>
          </w:tcPr>
          <w:p w14:paraId="65CF5F09" w14:textId="479D89ED" w:rsidR="00827A61" w:rsidRPr="000A4870" w:rsidRDefault="000D1B8E" w:rsidP="00050D69">
            <w:pPr>
              <w:tabs>
                <w:tab w:val="left" w:pos="0"/>
              </w:tabs>
              <w:spacing w:line="360" w:lineRule="auto"/>
              <w:jc w:val="center"/>
              <w:rPr>
                <w:rFonts w:eastAsia="Times New Roman"/>
                <w:color w:val="000000"/>
              </w:rPr>
            </w:pPr>
            <w:r w:rsidRPr="000A4870">
              <w:rPr>
                <w:rFonts w:eastAsia="Times New Roman"/>
                <w:color w:val="000000"/>
              </w:rPr>
              <w:t>standard ochrany</w:t>
            </w:r>
          </w:p>
        </w:tc>
        <w:tc>
          <w:tcPr>
            <w:tcW w:w="4394" w:type="dxa"/>
            <w:vAlign w:val="center"/>
          </w:tcPr>
          <w:p w14:paraId="5F7DC7CA" w14:textId="465297DE" w:rsidR="00827A61" w:rsidRPr="000A4870" w:rsidRDefault="000D1B8E" w:rsidP="00050D69">
            <w:pPr>
              <w:tabs>
                <w:tab w:val="left" w:pos="0"/>
              </w:tabs>
              <w:spacing w:line="360" w:lineRule="auto"/>
              <w:jc w:val="center"/>
              <w:rPr>
                <w:rFonts w:eastAsia="Times New Roman"/>
                <w:color w:val="000000"/>
              </w:rPr>
            </w:pPr>
            <w:r w:rsidRPr="000A4870">
              <w:rPr>
                <w:rFonts w:eastAsia="Times New Roman"/>
                <w:color w:val="000000"/>
              </w:rPr>
              <w:t>standard of protection</w:t>
            </w:r>
          </w:p>
        </w:tc>
      </w:tr>
      <w:tr w:rsidR="00F50C7D" w14:paraId="393E5C1A" w14:textId="77777777" w:rsidTr="00050D69">
        <w:trPr>
          <w:trHeight w:val="567"/>
        </w:trPr>
        <w:tc>
          <w:tcPr>
            <w:tcW w:w="4394" w:type="dxa"/>
            <w:vAlign w:val="center"/>
          </w:tcPr>
          <w:p w14:paraId="12E1B28C" w14:textId="5D9D8B75" w:rsidR="00F50C7D" w:rsidRPr="000A4870" w:rsidRDefault="000D1B8E" w:rsidP="00050D69">
            <w:pPr>
              <w:tabs>
                <w:tab w:val="left" w:pos="0"/>
              </w:tabs>
              <w:spacing w:line="360" w:lineRule="auto"/>
              <w:jc w:val="center"/>
              <w:rPr>
                <w:iCs/>
              </w:rPr>
            </w:pPr>
            <w:r w:rsidRPr="000A4870">
              <w:rPr>
                <w:iCs/>
              </w:rPr>
              <w:t>oprávněná očekávání</w:t>
            </w:r>
          </w:p>
        </w:tc>
        <w:tc>
          <w:tcPr>
            <w:tcW w:w="4394" w:type="dxa"/>
            <w:vAlign w:val="center"/>
          </w:tcPr>
          <w:p w14:paraId="778B6213" w14:textId="08B0BA51" w:rsidR="00F50C7D" w:rsidRPr="000A4870" w:rsidRDefault="000D1B8E" w:rsidP="00050D69">
            <w:pPr>
              <w:tabs>
                <w:tab w:val="left" w:pos="0"/>
              </w:tabs>
              <w:spacing w:line="360" w:lineRule="auto"/>
              <w:jc w:val="center"/>
              <w:rPr>
                <w:iCs/>
              </w:rPr>
            </w:pPr>
            <w:r w:rsidRPr="000A4870">
              <w:rPr>
                <w:iCs/>
              </w:rPr>
              <w:t>legitimate expectations</w:t>
            </w:r>
          </w:p>
        </w:tc>
      </w:tr>
      <w:tr w:rsidR="00F50C7D" w14:paraId="6D0F64E0" w14:textId="77777777" w:rsidTr="00050D69">
        <w:trPr>
          <w:trHeight w:val="567"/>
        </w:trPr>
        <w:tc>
          <w:tcPr>
            <w:tcW w:w="4394" w:type="dxa"/>
            <w:vAlign w:val="center"/>
          </w:tcPr>
          <w:p w14:paraId="28602C2F" w14:textId="29363CE8" w:rsidR="00F50C7D" w:rsidRPr="000A4870" w:rsidRDefault="000D1B8E" w:rsidP="00050D69">
            <w:pPr>
              <w:tabs>
                <w:tab w:val="left" w:pos="0"/>
              </w:tabs>
              <w:spacing w:line="360" w:lineRule="auto"/>
              <w:jc w:val="center"/>
              <w:rPr>
                <w:iCs/>
              </w:rPr>
            </w:pPr>
            <w:r w:rsidRPr="000A4870">
              <w:rPr>
                <w:iCs/>
              </w:rPr>
              <w:t>standard spravedlivého a rovnoprávného zacházení</w:t>
            </w:r>
          </w:p>
        </w:tc>
        <w:tc>
          <w:tcPr>
            <w:tcW w:w="4394" w:type="dxa"/>
            <w:vAlign w:val="center"/>
          </w:tcPr>
          <w:p w14:paraId="0C8BDFA5" w14:textId="369BF9F8" w:rsidR="00F50C7D" w:rsidRPr="000A4870" w:rsidRDefault="000D1B8E" w:rsidP="00050D69">
            <w:pPr>
              <w:tabs>
                <w:tab w:val="left" w:pos="0"/>
              </w:tabs>
              <w:spacing w:line="360" w:lineRule="auto"/>
              <w:jc w:val="center"/>
              <w:rPr>
                <w:iCs/>
              </w:rPr>
            </w:pPr>
            <w:r w:rsidRPr="000A4870">
              <w:rPr>
                <w:iCs/>
              </w:rPr>
              <w:t>fair and equitable treatment</w:t>
            </w:r>
          </w:p>
        </w:tc>
      </w:tr>
      <w:tr w:rsidR="00D734DA" w14:paraId="67A85010" w14:textId="77777777" w:rsidTr="00050D69">
        <w:trPr>
          <w:trHeight w:val="567"/>
        </w:trPr>
        <w:tc>
          <w:tcPr>
            <w:tcW w:w="4394" w:type="dxa"/>
            <w:vAlign w:val="center"/>
          </w:tcPr>
          <w:p w14:paraId="133C052A" w14:textId="18E12CD2" w:rsidR="00D734DA" w:rsidRPr="000A4870" w:rsidRDefault="00D734DA" w:rsidP="00050D69">
            <w:pPr>
              <w:tabs>
                <w:tab w:val="left" w:pos="0"/>
              </w:tabs>
              <w:spacing w:line="360" w:lineRule="auto"/>
              <w:jc w:val="center"/>
              <w:rPr>
                <w:iCs/>
              </w:rPr>
            </w:pPr>
            <w:r w:rsidRPr="000A4870">
              <w:rPr>
                <w:iCs/>
              </w:rPr>
              <w:t>minimální standard zacházení</w:t>
            </w:r>
          </w:p>
        </w:tc>
        <w:tc>
          <w:tcPr>
            <w:tcW w:w="4394" w:type="dxa"/>
            <w:vAlign w:val="center"/>
          </w:tcPr>
          <w:p w14:paraId="009ED043" w14:textId="66A0ADBE" w:rsidR="00D734DA" w:rsidRPr="000A4870" w:rsidRDefault="00D734DA" w:rsidP="00050D69">
            <w:pPr>
              <w:tabs>
                <w:tab w:val="left" w:pos="0"/>
              </w:tabs>
              <w:spacing w:line="360" w:lineRule="auto"/>
              <w:jc w:val="center"/>
              <w:rPr>
                <w:iCs/>
              </w:rPr>
            </w:pPr>
            <w:r w:rsidRPr="000A4870">
              <w:rPr>
                <w:iCs/>
              </w:rPr>
              <w:t>minimal standard of treatment</w:t>
            </w:r>
          </w:p>
        </w:tc>
      </w:tr>
      <w:tr w:rsidR="00752170" w14:paraId="2405E35C" w14:textId="77777777" w:rsidTr="00050D69">
        <w:trPr>
          <w:trHeight w:val="567"/>
        </w:trPr>
        <w:tc>
          <w:tcPr>
            <w:tcW w:w="4394" w:type="dxa"/>
            <w:vAlign w:val="center"/>
          </w:tcPr>
          <w:p w14:paraId="0A24A4F3" w14:textId="587BE073" w:rsidR="00752170" w:rsidRPr="000A4870" w:rsidRDefault="000D1B8E" w:rsidP="00050D69">
            <w:pPr>
              <w:tabs>
                <w:tab w:val="left" w:pos="0"/>
              </w:tabs>
              <w:spacing w:line="360" w:lineRule="auto"/>
              <w:jc w:val="center"/>
              <w:rPr>
                <w:iCs/>
              </w:rPr>
            </w:pPr>
            <w:r w:rsidRPr="000A4870">
              <w:rPr>
                <w:iCs/>
              </w:rPr>
              <w:t>nepřímé vyvlastnění</w:t>
            </w:r>
          </w:p>
        </w:tc>
        <w:tc>
          <w:tcPr>
            <w:tcW w:w="4394" w:type="dxa"/>
            <w:vAlign w:val="center"/>
          </w:tcPr>
          <w:p w14:paraId="3AD8A384" w14:textId="7E620B8F" w:rsidR="00752170" w:rsidRPr="000A4870" w:rsidRDefault="000D1B8E" w:rsidP="00050D69">
            <w:pPr>
              <w:tabs>
                <w:tab w:val="left" w:pos="0"/>
              </w:tabs>
              <w:spacing w:line="360" w:lineRule="auto"/>
              <w:jc w:val="center"/>
              <w:rPr>
                <w:iCs/>
              </w:rPr>
            </w:pPr>
            <w:r w:rsidRPr="000A4870">
              <w:rPr>
                <w:iCs/>
              </w:rPr>
              <w:t>indirect expropriation</w:t>
            </w:r>
          </w:p>
        </w:tc>
      </w:tr>
    </w:tbl>
    <w:p w14:paraId="78D93B67" w14:textId="775954C2" w:rsidR="00F23950" w:rsidRPr="00A46895" w:rsidRDefault="00F23950" w:rsidP="00A47DE7">
      <w:pPr>
        <w:tabs>
          <w:tab w:val="left" w:pos="0"/>
        </w:tabs>
        <w:spacing w:line="360" w:lineRule="auto"/>
        <w:jc w:val="both"/>
        <w:rPr>
          <w:iCs/>
          <w:sz w:val="20"/>
          <w:szCs w:val="20"/>
        </w:rPr>
      </w:pPr>
    </w:p>
    <w:sectPr w:rsidR="00F23950" w:rsidRPr="00A46895" w:rsidSect="00A26A1D">
      <w:footerReference w:type="default" r:id="rId27"/>
      <w:pgSz w:w="11906" w:h="16838"/>
      <w:pgMar w:top="1418" w:right="1134" w:bottom="1418"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64ED6" w14:textId="77777777" w:rsidR="00063687" w:rsidRDefault="00063687" w:rsidP="008C3F71">
      <w:pPr>
        <w:spacing w:after="0"/>
      </w:pPr>
      <w:r>
        <w:separator/>
      </w:r>
    </w:p>
    <w:p w14:paraId="7B1B3D88" w14:textId="77777777" w:rsidR="00063687" w:rsidRDefault="00063687"/>
  </w:endnote>
  <w:endnote w:type="continuationSeparator" w:id="0">
    <w:p w14:paraId="31F6B5C4" w14:textId="77777777" w:rsidR="00063687" w:rsidRDefault="00063687" w:rsidP="008C3F71">
      <w:pPr>
        <w:spacing w:after="0"/>
      </w:pPr>
      <w:r>
        <w:continuationSeparator/>
      </w:r>
    </w:p>
    <w:p w14:paraId="60A8008F" w14:textId="77777777" w:rsidR="00063687" w:rsidRDefault="00063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42594"/>
      <w:docPartObj>
        <w:docPartGallery w:val="Page Numbers (Bottom of Page)"/>
        <w:docPartUnique/>
      </w:docPartObj>
    </w:sdtPr>
    <w:sdtEndPr/>
    <w:sdtContent>
      <w:p w14:paraId="04909332" w14:textId="4297653D" w:rsidR="00007D48" w:rsidRDefault="00007D48" w:rsidP="00263737">
        <w:pPr>
          <w:pStyle w:val="Zpat"/>
          <w:jc w:val="center"/>
        </w:pPr>
        <w:r w:rsidRPr="00263737">
          <w:fldChar w:fldCharType="begin"/>
        </w:r>
        <w:r w:rsidRPr="00263737">
          <w:instrText xml:space="preserve"> PAGE   \* MERGEFORMAT </w:instrText>
        </w:r>
        <w:r w:rsidRPr="00263737">
          <w:fldChar w:fldCharType="separate"/>
        </w:r>
        <w:r w:rsidR="00A14FE6">
          <w:rPr>
            <w:noProof/>
          </w:rPr>
          <w:t>64</w:t>
        </w:r>
        <w:r w:rsidRPr="00263737">
          <w:rPr>
            <w:noProof/>
          </w:rPr>
          <w:fldChar w:fldCharType="end"/>
        </w:r>
      </w:p>
    </w:sdtContent>
  </w:sdt>
  <w:p w14:paraId="396BA2AE" w14:textId="77777777" w:rsidR="00007D48" w:rsidRDefault="00007D48">
    <w:pPr>
      <w:pStyle w:val="Zpat"/>
    </w:pPr>
  </w:p>
  <w:p w14:paraId="121B873B" w14:textId="77777777" w:rsidR="00007D48" w:rsidRDefault="00007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7B8D7" w14:textId="77777777" w:rsidR="00063687" w:rsidRDefault="00063687" w:rsidP="008C3F71">
      <w:pPr>
        <w:spacing w:after="0"/>
      </w:pPr>
      <w:r>
        <w:separator/>
      </w:r>
    </w:p>
    <w:p w14:paraId="2ACAC947" w14:textId="77777777" w:rsidR="00063687" w:rsidRDefault="00063687"/>
  </w:footnote>
  <w:footnote w:type="continuationSeparator" w:id="0">
    <w:p w14:paraId="337F8D8E" w14:textId="77777777" w:rsidR="00063687" w:rsidRDefault="00063687" w:rsidP="008C3F71">
      <w:pPr>
        <w:spacing w:after="0"/>
      </w:pPr>
      <w:r>
        <w:continuationSeparator/>
      </w:r>
    </w:p>
    <w:p w14:paraId="3F6644EC" w14:textId="77777777" w:rsidR="00063687" w:rsidRDefault="00063687"/>
  </w:footnote>
  <w:footnote w:id="1">
    <w:p w14:paraId="63DC86B2" w14:textId="77777777" w:rsidR="00007D48" w:rsidRDefault="00007D48" w:rsidP="00195FAA">
      <w:pPr>
        <w:pStyle w:val="Textpoznpodarou"/>
        <w:rPr>
          <w:iCs/>
        </w:rPr>
      </w:pPr>
      <w:r>
        <w:rPr>
          <w:rStyle w:val="Znakapoznpodarou"/>
        </w:rPr>
        <w:footnoteRef/>
      </w:r>
      <w:r>
        <w:t xml:space="preserve"> Například </w:t>
      </w:r>
      <w:r w:rsidRPr="00B132E8">
        <w:t>BROWN</w:t>
      </w:r>
      <w:r>
        <w:t xml:space="preserve">, Julia. </w:t>
      </w:r>
      <w:r w:rsidRPr="00B132E8">
        <w:t>International Investment Agreements: Regulatory Chill in the Face of Litigious Heat</w:t>
      </w:r>
      <w:r>
        <w:t xml:space="preserve">. </w:t>
      </w:r>
      <w:r>
        <w:rPr>
          <w:i/>
          <w:iCs/>
        </w:rPr>
        <w:t>Western Journal of Legal Studies</w:t>
      </w:r>
      <w:r>
        <w:rPr>
          <w:iCs/>
        </w:rPr>
        <w:t>, roč. 3, č. 1, s. 24.</w:t>
      </w:r>
    </w:p>
    <w:p w14:paraId="1E284F68" w14:textId="77777777" w:rsidR="00007D48" w:rsidRPr="00B132E8" w:rsidRDefault="00007D48" w:rsidP="00195FAA">
      <w:pPr>
        <w:pStyle w:val="Textpoznpodarou"/>
      </w:pPr>
      <w:r>
        <w:rPr>
          <w:iCs/>
        </w:rPr>
        <w:t xml:space="preserve">Nebo </w:t>
      </w:r>
      <w:r w:rsidRPr="009C435D">
        <w:t>JOHNSON</w:t>
      </w:r>
      <w:r>
        <w:t xml:space="preserve">, Lise. </w:t>
      </w:r>
      <w:r w:rsidRPr="009C435D">
        <w:rPr>
          <w:i/>
        </w:rPr>
        <w:t>State Liability for Regulatory Change: How International Investment Rules are Overriding Domestic Law</w:t>
      </w:r>
      <w:r>
        <w:rPr>
          <w:i/>
        </w:rPr>
        <w:t xml:space="preserve"> </w:t>
      </w:r>
      <w:r>
        <w:t>[online]. iisd.org, 6. ledna 2014 [cit. 2</w:t>
      </w:r>
      <w:r w:rsidRPr="00145DD9">
        <w:t>. března 2017]. Dostupné na</w:t>
      </w:r>
      <w:r>
        <w:t xml:space="preserve"> &lt;</w:t>
      </w:r>
      <w:hyperlink r:id="rId1" w:anchor="_ftn23" w:history="1">
        <w:r w:rsidRPr="00CA3424">
          <w:rPr>
            <w:rStyle w:val="Hypertextovodkaz"/>
          </w:rPr>
          <w:t>https://www.iisd.org/itn/2014/01/06/state-liability-for-regulatory-change-how-international-investment-rules-are-overriding-domestic-law/#_ftn23</w:t>
        </w:r>
      </w:hyperlink>
      <w:r>
        <w:t>&gt;.</w:t>
      </w:r>
    </w:p>
  </w:footnote>
  <w:footnote w:id="2">
    <w:p w14:paraId="0B7AFC1C" w14:textId="77777777" w:rsidR="00007D48" w:rsidRPr="00723EDD" w:rsidRDefault="00007D48" w:rsidP="00195FAA">
      <w:pPr>
        <w:pStyle w:val="Textpoznpodarou"/>
      </w:pPr>
      <w:r>
        <w:rPr>
          <w:rStyle w:val="Znakapoznpodarou"/>
        </w:rPr>
        <w:footnoteRef/>
      </w:r>
      <w:r>
        <w:t xml:space="preserve"> HODER, Lukáš. </w:t>
      </w:r>
      <w:r w:rsidRPr="00723EDD">
        <w:rPr>
          <w:i/>
        </w:rPr>
        <w:t>Investiční arbitráže v roce 2015</w:t>
      </w:r>
      <w:r>
        <w:t xml:space="preserve"> [online]. patria.cz, 25. května 2016 [cit. 13</w:t>
      </w:r>
      <w:r w:rsidRPr="001124A9">
        <w:t>. března 2017]. Dostupné na</w:t>
      </w:r>
      <w:r>
        <w:t xml:space="preserve"> &lt;</w:t>
      </w:r>
      <w:hyperlink r:id="rId2" w:history="1">
        <w:r w:rsidRPr="00D62E82">
          <w:rPr>
            <w:rStyle w:val="Hypertextovodkaz"/>
          </w:rPr>
          <w:t>https://www.patria.cz/pravo/3217884/investicni-arbitraze-v-roce-2015.html</w:t>
        </w:r>
      </w:hyperlink>
      <w:r>
        <w:t>&gt;.</w:t>
      </w:r>
    </w:p>
  </w:footnote>
  <w:footnote w:id="3">
    <w:p w14:paraId="68A55F62" w14:textId="688A92FC" w:rsidR="00007D48" w:rsidRPr="003F71BC" w:rsidRDefault="00007D48">
      <w:pPr>
        <w:pStyle w:val="Textpoznpodarou"/>
      </w:pPr>
      <w:r>
        <w:rPr>
          <w:rStyle w:val="Znakapoznpodarou"/>
        </w:rPr>
        <w:footnoteRef/>
      </w:r>
      <w:r>
        <w:t xml:space="preserve"> ČEPELKA, Čestmír, ŠTURMA, Pavel. </w:t>
      </w:r>
      <w:r w:rsidRPr="003F71BC">
        <w:rPr>
          <w:i/>
        </w:rPr>
        <w:t>Mezinárodní právo veřejné</w:t>
      </w:r>
      <w:r>
        <w:t>. 2. vydání. Praha: C.H.Beck, 2008. s. 52</w:t>
      </w:r>
    </w:p>
  </w:footnote>
  <w:footnote w:id="4">
    <w:p w14:paraId="43E91B4E" w14:textId="38326CCF" w:rsidR="00007D48" w:rsidRDefault="00007D48" w:rsidP="00C74525">
      <w:pPr>
        <w:pStyle w:val="Textpoznpodarou"/>
      </w:pPr>
      <w:r>
        <w:rPr>
          <w:rStyle w:val="Znakapoznpodarou"/>
        </w:rPr>
        <w:footnoteRef/>
      </w:r>
      <w:r>
        <w:t xml:space="preserve"> DOLZER, Rudolf,</w:t>
      </w:r>
      <w:r w:rsidRPr="009E58A3">
        <w:t xml:space="preserve"> </w:t>
      </w:r>
      <w:r>
        <w:t xml:space="preserve">SCHREUER, Christoph. </w:t>
      </w:r>
      <w:r>
        <w:rPr>
          <w:i/>
          <w:iCs/>
        </w:rPr>
        <w:t>Principles of international investment law</w:t>
      </w:r>
      <w:r>
        <w:t>. 2. vyd. Oxford: Oxford Univ. Press, 2012, s. 7.</w:t>
      </w:r>
    </w:p>
  </w:footnote>
  <w:footnote w:id="5">
    <w:p w14:paraId="1D4F54AA" w14:textId="01850803" w:rsidR="00007D48" w:rsidRDefault="00007D48">
      <w:pPr>
        <w:pStyle w:val="Textpoznpodarou"/>
      </w:pPr>
      <w:r>
        <w:rPr>
          <w:rStyle w:val="Znakapoznpodarou"/>
        </w:rPr>
        <w:footnoteRef/>
      </w:r>
      <w:r>
        <w:t xml:space="preserve"> Rozhodčí nález ICSID ze dne 25. července 2007 ve věci </w:t>
      </w:r>
      <w:r w:rsidRPr="00461DC4">
        <w:t>LG&amp;E Energy Corp., LG&amp;E Capital Corp., and LG&amp;E International, Inc .v. Argentine Republic</w:t>
      </w:r>
      <w:r>
        <w:t>, odst. 133.</w:t>
      </w:r>
    </w:p>
  </w:footnote>
  <w:footnote w:id="6">
    <w:p w14:paraId="3C4D38B9" w14:textId="67910127" w:rsidR="00007D48" w:rsidRDefault="00007D48">
      <w:pPr>
        <w:pStyle w:val="Textpoznpodarou"/>
      </w:pPr>
      <w:r>
        <w:rPr>
          <w:rStyle w:val="Znakapoznpodarou"/>
        </w:rPr>
        <w:footnoteRef/>
      </w:r>
      <w:r>
        <w:t xml:space="preserve"> ŠTURMA, Pavel. Mezinárodní dohody o ochraně investic a řešení sporů. Praha: Linde, 2008. s. 53.</w:t>
      </w:r>
    </w:p>
  </w:footnote>
  <w:footnote w:id="7">
    <w:p w14:paraId="2725E0E9" w14:textId="03297E07" w:rsidR="00007D48" w:rsidRDefault="00007D48">
      <w:pPr>
        <w:pStyle w:val="Textpoznpodarou"/>
      </w:pPr>
      <w:r>
        <w:rPr>
          <w:rStyle w:val="Znakapoznpodarou"/>
        </w:rPr>
        <w:footnoteRef/>
      </w:r>
      <w:r>
        <w:t xml:space="preserve"> Článek 1 VCLT ze dne 23. května 1969: „Tato úmluva se vztahuje na smlouvy mezi státy.“</w:t>
      </w:r>
    </w:p>
  </w:footnote>
  <w:footnote w:id="8">
    <w:p w14:paraId="72046BBB" w14:textId="5914EF93" w:rsidR="00007D48" w:rsidRDefault="00007D48" w:rsidP="00A64093">
      <w:pPr>
        <w:pStyle w:val="Textpoznpodarou"/>
      </w:pPr>
      <w:r>
        <w:rPr>
          <w:rStyle w:val="Znakapoznpodarou"/>
        </w:rPr>
        <w:footnoteRef/>
      </w:r>
      <w:r>
        <w:t xml:space="preserve"> BĚLOHLÁVEK, Alexander, HÓTOVÁ Renáta. </w:t>
      </w:r>
      <w:r w:rsidRPr="00E33522">
        <w:rPr>
          <w:i/>
        </w:rPr>
        <w:t>Cenová Regulace z pohledu tuzemské, komunitární a mezinárodní úpravy a ochrany investic</w:t>
      </w:r>
      <w:r>
        <w:t>, Ostrava: Sagit, 2008, s. 50.</w:t>
      </w:r>
    </w:p>
  </w:footnote>
  <w:footnote w:id="9">
    <w:p w14:paraId="0DF7D943" w14:textId="66FD48C0" w:rsidR="00007D48" w:rsidRPr="00117CD3" w:rsidRDefault="00007D48">
      <w:pPr>
        <w:pStyle w:val="Textpoznpodarou"/>
      </w:pPr>
      <w:r>
        <w:rPr>
          <w:rStyle w:val="Znakapoznpodarou"/>
        </w:rPr>
        <w:footnoteRef/>
      </w:r>
      <w:r>
        <w:t xml:space="preserve"> GRAMLICH, Ludwig, CONECH, Claudia. </w:t>
      </w:r>
      <w:r w:rsidRPr="00BA2D7E">
        <w:t>Der Streit um  die  Investor-Staat-Streitbeilegung im  Kontext von  CETA und TTIP - Erkenntnisse  und Losungsansatze</w:t>
      </w:r>
      <w:r>
        <w:t xml:space="preserve">. </w:t>
      </w:r>
      <w:r w:rsidRPr="00117CD3">
        <w:rPr>
          <w:i/>
        </w:rPr>
        <w:t>Swiss Review of International  and European  Law</w:t>
      </w:r>
      <w:r>
        <w:rPr>
          <w:i/>
        </w:rPr>
        <w:t xml:space="preserve">, </w:t>
      </w:r>
      <w:r>
        <w:t>2016, roč. 26, č. 3, s. 396.</w:t>
      </w:r>
    </w:p>
  </w:footnote>
  <w:footnote w:id="10">
    <w:p w14:paraId="319F80F6" w14:textId="70736ECB" w:rsidR="00007D48" w:rsidRDefault="00007D48">
      <w:pPr>
        <w:pStyle w:val="Textpoznpodarou"/>
      </w:pPr>
      <w:r>
        <w:rPr>
          <w:rStyle w:val="Znakapoznpodarou"/>
        </w:rPr>
        <w:footnoteRef/>
      </w:r>
      <w:r>
        <w:t xml:space="preserve"> Rozhodčí nález ICSID (NAFTA) ze dne 16. prosince 2002 ve věci</w:t>
      </w:r>
      <w:r w:rsidRPr="00621905">
        <w:t xml:space="preserve"> Marvin Roy Feldman Karpa v. United Mexican States</w:t>
      </w:r>
      <w:r>
        <w:t>, odst. 103.</w:t>
      </w:r>
    </w:p>
  </w:footnote>
  <w:footnote w:id="11">
    <w:p w14:paraId="25EBAE7D" w14:textId="176E4E8B" w:rsidR="00007D48" w:rsidRPr="00F72175" w:rsidRDefault="00007D48" w:rsidP="003B1318">
      <w:pPr>
        <w:pStyle w:val="Textpoznpodarou"/>
        <w:rPr>
          <w:sz w:val="12"/>
        </w:rPr>
      </w:pPr>
      <w:r>
        <w:rPr>
          <w:rStyle w:val="Znakapoznpodarou"/>
        </w:rPr>
        <w:footnoteRef/>
      </w:r>
      <w:r>
        <w:t xml:space="preserve"> </w:t>
      </w:r>
      <w:r w:rsidRPr="00621A8C">
        <w:t xml:space="preserve">BĚLOHLÁVEK, </w:t>
      </w:r>
      <w:r>
        <w:t xml:space="preserve">Alexander J. Hmotněprávní standardy ochrany přímých zahraničních </w:t>
      </w:r>
      <w:r w:rsidRPr="00621A8C">
        <w:t xml:space="preserve">investic. </w:t>
      </w:r>
      <w:r w:rsidRPr="003B1318">
        <w:rPr>
          <w:i/>
        </w:rPr>
        <w:t>Právník</w:t>
      </w:r>
      <w:r w:rsidRPr="003B1318">
        <w:t>.</w:t>
      </w:r>
      <w:r w:rsidRPr="00621A8C">
        <w:t xml:space="preserve"> 2012, roč. 151, č. 11, s. </w:t>
      </w:r>
      <w:r>
        <w:t>12.</w:t>
      </w:r>
    </w:p>
  </w:footnote>
  <w:footnote w:id="12">
    <w:p w14:paraId="15FD8931" w14:textId="7DC7FA71" w:rsidR="00007D48" w:rsidRDefault="00007D48">
      <w:pPr>
        <w:pStyle w:val="Textpoznpodarou"/>
      </w:pPr>
      <w:r>
        <w:rPr>
          <w:rStyle w:val="Znakapoznpodarou"/>
        </w:rPr>
        <w:footnoteRef/>
      </w:r>
      <w:r>
        <w:t xml:space="preserve"> Například pronájem pozemků, délku trvání investice nebo výkupní ceny výrobků.</w:t>
      </w:r>
    </w:p>
  </w:footnote>
  <w:footnote w:id="13">
    <w:p w14:paraId="7652685A" w14:textId="17062863" w:rsidR="00007D48" w:rsidRDefault="00007D48" w:rsidP="00007C15">
      <w:pPr>
        <w:pStyle w:val="Textpoznpodarou"/>
      </w:pPr>
      <w:r>
        <w:rPr>
          <w:rStyle w:val="Znakapoznpodarou"/>
        </w:rPr>
        <w:footnoteRef/>
      </w:r>
      <w:r>
        <w:t xml:space="preserve"> GLOSSARY PRACTICAL LAW. </w:t>
      </w:r>
      <w:r w:rsidRPr="00007C15">
        <w:rPr>
          <w:i/>
        </w:rPr>
        <w:t>Umbrella Clause</w:t>
      </w:r>
      <w:r>
        <w:t xml:space="preserve"> [online]. </w:t>
      </w:r>
      <w:r w:rsidRPr="00007C15">
        <w:rPr>
          <w:iCs/>
        </w:rPr>
        <w:t>uk.practicallaw.com</w:t>
      </w:r>
      <w:r>
        <w:rPr>
          <w:iCs/>
        </w:rPr>
        <w:t xml:space="preserve">, </w:t>
      </w:r>
      <w:r>
        <w:t>[cit. 22. prosince 2016]. Dostupné na &lt;</w:t>
      </w:r>
      <w:hyperlink r:id="rId3" w:history="1">
        <w:r w:rsidRPr="00007C15">
          <w:rPr>
            <w:rStyle w:val="Hypertextovodkaz"/>
          </w:rPr>
          <w:t>http://uk.practicallaw.com/8-519-0939</w:t>
        </w:r>
      </w:hyperlink>
      <w:r>
        <w:t>&gt;.</w:t>
      </w:r>
    </w:p>
  </w:footnote>
  <w:footnote w:id="14">
    <w:p w14:paraId="715C2F06" w14:textId="1BA63C32" w:rsidR="00007D48" w:rsidRDefault="00007D48">
      <w:pPr>
        <w:pStyle w:val="Textpoznpodarou"/>
      </w:pPr>
      <w:r>
        <w:rPr>
          <w:rStyle w:val="Znakapoznpodarou"/>
        </w:rPr>
        <w:footnoteRef/>
      </w:r>
      <w:r>
        <w:t xml:space="preserve"> </w:t>
      </w:r>
      <w:r w:rsidRPr="00F91317">
        <w:t>BÜCHELER</w:t>
      </w:r>
      <w:r>
        <w:t xml:space="preserve">, </w:t>
      </w:r>
      <w:r w:rsidRPr="00F91317">
        <w:t>Gebhard</w:t>
      </w:r>
      <w:r>
        <w:t xml:space="preserve">: </w:t>
      </w:r>
      <w:r w:rsidRPr="00F91317">
        <w:rPr>
          <w:i/>
        </w:rPr>
        <w:t>Proportionality in Investor-State Arbitration</w:t>
      </w:r>
      <w:r>
        <w:t>. Oxford: Oxford Publishing, 2015. s. 206.</w:t>
      </w:r>
    </w:p>
  </w:footnote>
  <w:footnote w:id="15">
    <w:p w14:paraId="6D8FA4DE" w14:textId="4A2338F0" w:rsidR="00007D48" w:rsidRPr="00FA77D2" w:rsidRDefault="00007D48">
      <w:pPr>
        <w:pStyle w:val="Textpoznpodarou"/>
      </w:pPr>
      <w:r>
        <w:rPr>
          <w:rStyle w:val="Znakapoznpodarou"/>
        </w:rPr>
        <w:footnoteRef/>
      </w:r>
      <w:r>
        <w:t xml:space="preserve"> Například LIAMCO v. Lybia: „</w:t>
      </w:r>
      <w:r>
        <w:rPr>
          <w:i/>
        </w:rPr>
        <w:t>Tato koncese se po dobu se platnosti řídí regulacemi platnými v době jejího uzavření. Jakákoli novela těchto regulací nebude vůči investorovi bez jeho souhlasu účinná“.</w:t>
      </w:r>
    </w:p>
    <w:p w14:paraId="5D601CAF" w14:textId="50EED8D4" w:rsidR="00007D48" w:rsidRPr="00E05737" w:rsidRDefault="00007D48">
      <w:pPr>
        <w:pStyle w:val="Textpoznpodarou"/>
        <w:rPr>
          <w:i/>
        </w:rPr>
      </w:pPr>
      <w:r>
        <w:t xml:space="preserve">COMEAUX, Paul. </w:t>
      </w:r>
      <w:r w:rsidRPr="00AF665C">
        <w:rPr>
          <w:i/>
        </w:rPr>
        <w:t>Protecting foreign investment under international law: legal aspects of political</w:t>
      </w:r>
      <w:r w:rsidRPr="00AF665C">
        <w:t xml:space="preserve"> </w:t>
      </w:r>
      <w:r w:rsidRPr="00AF665C">
        <w:rPr>
          <w:i/>
        </w:rPr>
        <w:t>risk</w:t>
      </w:r>
      <w:r>
        <w:t xml:space="preserve">. </w:t>
      </w:r>
      <w:r>
        <w:rPr>
          <w:rStyle w:val="exldetailsdisplayval"/>
        </w:rPr>
        <w:t>Dobbs Ferry, N.Y: Oceana Publ., 1997. s. 138.</w:t>
      </w:r>
    </w:p>
  </w:footnote>
  <w:footnote w:id="16">
    <w:p w14:paraId="4D72535A" w14:textId="6F4CD411" w:rsidR="00007D48" w:rsidRDefault="00007D48">
      <w:pPr>
        <w:pStyle w:val="Textpoznpodarou"/>
        <w:rPr>
          <w:rStyle w:val="exldetailsdisplayval"/>
        </w:rPr>
      </w:pPr>
      <w:r>
        <w:rPr>
          <w:rStyle w:val="Znakapoznpodarou"/>
        </w:rPr>
        <w:footnoteRef/>
      </w:r>
      <w:r>
        <w:t xml:space="preserve"> Op. cit. COMEAUX: </w:t>
      </w:r>
      <w:r w:rsidRPr="00AF665C">
        <w:rPr>
          <w:i/>
        </w:rPr>
        <w:t>Protecting foreign inv</w:t>
      </w:r>
      <w:r>
        <w:rPr>
          <w:i/>
        </w:rPr>
        <w:t>estment..</w:t>
      </w:r>
      <w:r>
        <w:rPr>
          <w:rStyle w:val="exldetailsdisplayval"/>
        </w:rPr>
        <w:t>., s. 30.</w:t>
      </w:r>
    </w:p>
    <w:p w14:paraId="54388A4A" w14:textId="25324613" w:rsidR="00007D48" w:rsidRPr="005A3C40" w:rsidRDefault="00007D48">
      <w:pPr>
        <w:pStyle w:val="Textpoznpodarou"/>
      </w:pPr>
      <w:r>
        <w:t>Menšinově se objevuje v praxi, že „internacionalizace práva“ smlouvami s nestátními subjekty není projevem státní suverenity, ale jejím nepřiměřeným omezením, zasahujícím do práva státu na regulaci.</w:t>
      </w:r>
    </w:p>
  </w:footnote>
  <w:footnote w:id="17">
    <w:p w14:paraId="68EA77D8" w14:textId="14B70ADE" w:rsidR="00007D48" w:rsidRDefault="00007D48">
      <w:pPr>
        <w:pStyle w:val="Textpoznpodarou"/>
      </w:pPr>
      <w:r>
        <w:rPr>
          <w:rStyle w:val="Znakapoznpodarou"/>
        </w:rPr>
        <w:footnoteRef/>
      </w:r>
      <w:r>
        <w:t xml:space="preserve"> </w:t>
      </w:r>
      <w:r w:rsidRPr="00580318">
        <w:t xml:space="preserve">ŠTURMA, Pavel, BALAŠ, Vladimír. </w:t>
      </w:r>
      <w:r w:rsidRPr="00580318">
        <w:rPr>
          <w:i/>
        </w:rPr>
        <w:t>Ochrana mezinárodních investic v kontextu obecného mezinárodního práva</w:t>
      </w:r>
      <w:r w:rsidRPr="00580318">
        <w:t>. Praha: Univerzita Karlova v Pra</w:t>
      </w:r>
      <w:r>
        <w:t>ze, 2012, s. 28.</w:t>
      </w:r>
    </w:p>
  </w:footnote>
  <w:footnote w:id="18">
    <w:p w14:paraId="0D54EC08" w14:textId="36A0FF88" w:rsidR="00007D48" w:rsidRPr="008F3E2E" w:rsidRDefault="00007D48">
      <w:pPr>
        <w:pStyle w:val="Textpoznpodarou"/>
      </w:pPr>
      <w:r>
        <w:rPr>
          <w:rStyle w:val="Znakapoznpodarou"/>
        </w:rPr>
        <w:footnoteRef/>
      </w:r>
      <w:r>
        <w:t xml:space="preserve"> Op. cit. </w:t>
      </w:r>
      <w:r w:rsidRPr="006F73D1">
        <w:t>BĚLOHLÁVEK, HÓTOVÁ:</w:t>
      </w:r>
      <w:r w:rsidRPr="000F41C1">
        <w:rPr>
          <w:i/>
        </w:rPr>
        <w:t xml:space="preserve"> </w:t>
      </w:r>
      <w:r>
        <w:rPr>
          <w:i/>
        </w:rPr>
        <w:t>Cenová Regulace...,</w:t>
      </w:r>
      <w:r>
        <w:t xml:space="preserve"> s.51.</w:t>
      </w:r>
    </w:p>
  </w:footnote>
  <w:footnote w:id="19">
    <w:p w14:paraId="142A168C" w14:textId="613E600F" w:rsidR="00007D48" w:rsidRDefault="00007D48">
      <w:pPr>
        <w:pStyle w:val="Textpoznpodarou"/>
      </w:pPr>
      <w:r>
        <w:rPr>
          <w:rStyle w:val="Znakapoznpodarou"/>
        </w:rPr>
        <w:footnoteRef/>
      </w:r>
      <w:r>
        <w:t xml:space="preserve"> Článek 69 VCLT: „Každá platná smlouva zavazuje smluvní strany a musí být jimi plněna v dobré víře.“</w:t>
      </w:r>
    </w:p>
  </w:footnote>
  <w:footnote w:id="20">
    <w:p w14:paraId="3DA5520D" w14:textId="588D767C" w:rsidR="00007D48" w:rsidRPr="00232F16" w:rsidRDefault="00007D48" w:rsidP="00912D98">
      <w:pPr>
        <w:spacing w:after="0"/>
        <w:rPr>
          <w:sz w:val="20"/>
        </w:rPr>
      </w:pPr>
      <w:r w:rsidRPr="00232F16">
        <w:rPr>
          <w:rStyle w:val="Znakapoznpodarou"/>
          <w:sz w:val="20"/>
        </w:rPr>
        <w:footnoteRef/>
      </w:r>
      <w:r>
        <w:rPr>
          <w:sz w:val="20"/>
        </w:rPr>
        <w:t xml:space="preserve"> LENAERTS Koen, VAN</w:t>
      </w:r>
      <w:r w:rsidRPr="00232F16">
        <w:rPr>
          <w:sz w:val="20"/>
        </w:rPr>
        <w:t xml:space="preserve"> NUFFEL</w:t>
      </w:r>
      <w:r>
        <w:rPr>
          <w:sz w:val="20"/>
        </w:rPr>
        <w:t>, Piet.</w:t>
      </w:r>
      <w:r w:rsidRPr="00232F16">
        <w:rPr>
          <w:sz w:val="20"/>
        </w:rPr>
        <w:t xml:space="preserve"> </w:t>
      </w:r>
      <w:r>
        <w:rPr>
          <w:i/>
          <w:sz w:val="20"/>
        </w:rPr>
        <w:t>Constitutional Law of the European</w:t>
      </w:r>
      <w:r w:rsidRPr="00F10E99">
        <w:rPr>
          <w:i/>
          <w:sz w:val="20"/>
        </w:rPr>
        <w:t xml:space="preserve"> Union</w:t>
      </w:r>
      <w:r>
        <w:rPr>
          <w:sz w:val="20"/>
        </w:rPr>
        <w:t>,</w:t>
      </w:r>
      <w:r w:rsidRPr="00232F16">
        <w:rPr>
          <w:sz w:val="20"/>
        </w:rPr>
        <w:t xml:space="preserve"> </w:t>
      </w:r>
      <w:r>
        <w:rPr>
          <w:sz w:val="20"/>
        </w:rPr>
        <w:t xml:space="preserve">London: Sweet and Maxwell Ltd., </w:t>
      </w:r>
      <w:r w:rsidRPr="00C40D15">
        <w:rPr>
          <w:sz w:val="20"/>
        </w:rPr>
        <w:t>2005, s.</w:t>
      </w:r>
      <w:r>
        <w:rPr>
          <w:sz w:val="20"/>
        </w:rPr>
        <w:t xml:space="preserve"> </w:t>
      </w:r>
      <w:r w:rsidRPr="00C40D15">
        <w:rPr>
          <w:sz w:val="20"/>
        </w:rPr>
        <w:t>714</w:t>
      </w:r>
      <w:r>
        <w:rPr>
          <w:sz w:val="20"/>
        </w:rPr>
        <w:t>.</w:t>
      </w:r>
    </w:p>
  </w:footnote>
  <w:footnote w:id="21">
    <w:p w14:paraId="6AC5449D" w14:textId="5EA6EEB5" w:rsidR="00007D48" w:rsidRDefault="00007D48">
      <w:pPr>
        <w:pStyle w:val="Textpoznpodarou"/>
      </w:pPr>
      <w:r>
        <w:rPr>
          <w:rStyle w:val="Znakapoznpodarou"/>
        </w:rPr>
        <w:footnoteRef/>
      </w:r>
      <w:r>
        <w:t xml:space="preserve"> Nález Ústavního soudu ze dne 20. června 2006 Pl.ÚS 38/04, bod 44. Článek 1 Ústavy České republiky: „Česká republika je svrchovaný, jednotný a demokratický právní stát založený na úctě k právům a svobodám člověka a občana.“</w:t>
      </w:r>
    </w:p>
  </w:footnote>
  <w:footnote w:id="22">
    <w:p w14:paraId="08C88439" w14:textId="6B7E10FB" w:rsidR="00007D48" w:rsidRDefault="00007D48" w:rsidP="00B147C8">
      <w:pPr>
        <w:pStyle w:val="Textpoznpodarou"/>
      </w:pPr>
      <w:r>
        <w:rPr>
          <w:rStyle w:val="Znakapoznpodarou"/>
        </w:rPr>
        <w:footnoteRef/>
      </w:r>
      <w:r>
        <w:t xml:space="preserve"> Tamtéž, bod 45.</w:t>
      </w:r>
    </w:p>
  </w:footnote>
  <w:footnote w:id="23">
    <w:p w14:paraId="6012FF93" w14:textId="24B828A0" w:rsidR="00007D48" w:rsidRPr="00232F16" w:rsidRDefault="00007D48" w:rsidP="00235062">
      <w:pPr>
        <w:pStyle w:val="Textpoznpodarou"/>
        <w:rPr>
          <w:szCs w:val="22"/>
        </w:rPr>
      </w:pPr>
      <w:r w:rsidRPr="00232F16">
        <w:rPr>
          <w:rStyle w:val="Znakapoznpodarou"/>
          <w:szCs w:val="22"/>
        </w:rPr>
        <w:footnoteRef/>
      </w:r>
      <w:r w:rsidRPr="00232F16">
        <w:rPr>
          <w:szCs w:val="22"/>
        </w:rPr>
        <w:t xml:space="preserve"> HENDRYCH D</w:t>
      </w:r>
      <w:r>
        <w:rPr>
          <w:szCs w:val="22"/>
        </w:rPr>
        <w:t>ušan</w:t>
      </w:r>
      <w:r w:rsidRPr="00FD66BC">
        <w:rPr>
          <w:i/>
          <w:szCs w:val="22"/>
        </w:rPr>
        <w:t>. Správní právo – obecná část</w:t>
      </w:r>
      <w:r w:rsidRPr="00232F16">
        <w:rPr>
          <w:szCs w:val="22"/>
        </w:rPr>
        <w:t>. 6. vyd</w:t>
      </w:r>
      <w:r>
        <w:rPr>
          <w:szCs w:val="22"/>
        </w:rPr>
        <w:t>ání, Praha: C. H. Beck, 2006, s</w:t>
      </w:r>
      <w:r w:rsidRPr="00232F16">
        <w:rPr>
          <w:szCs w:val="22"/>
        </w:rPr>
        <w:t>. 798</w:t>
      </w:r>
      <w:r>
        <w:rPr>
          <w:szCs w:val="22"/>
        </w:rPr>
        <w:t>.</w:t>
      </w:r>
    </w:p>
  </w:footnote>
  <w:footnote w:id="24">
    <w:p w14:paraId="1F3DF9EF" w14:textId="38CE82F7" w:rsidR="00007D48" w:rsidRDefault="00007D48">
      <w:pPr>
        <w:pStyle w:val="Textpoznpodarou"/>
      </w:pPr>
      <w:r>
        <w:rPr>
          <w:rStyle w:val="Znakapoznpodarou"/>
        </w:rPr>
        <w:footnoteRef/>
      </w:r>
      <w:r>
        <w:t xml:space="preserve"> Nález Ústavního soudu ze dne 15. ledna 2008 I.ÚS 605/06, část IV.</w:t>
      </w:r>
    </w:p>
  </w:footnote>
  <w:footnote w:id="25">
    <w:p w14:paraId="34E7D326" w14:textId="47FB4902" w:rsidR="00007D48" w:rsidRDefault="00007D48" w:rsidP="00094061">
      <w:pPr>
        <w:pStyle w:val="Textpoznpodarou"/>
      </w:pPr>
      <w:r>
        <w:rPr>
          <w:rStyle w:val="Znakapoznpodarou"/>
        </w:rPr>
        <w:footnoteRef/>
      </w:r>
      <w:r>
        <w:t xml:space="preserve"> Rozhodčí nález ICSID ze dne 11. září 2007 ve věci Parkenings-Compagniet AS v. Republic of Lithuania, odst. 331.</w:t>
      </w:r>
    </w:p>
  </w:footnote>
  <w:footnote w:id="26">
    <w:p w14:paraId="3C25187A" w14:textId="0E2CA520" w:rsidR="00007D48" w:rsidRPr="00232F16" w:rsidRDefault="00007D48" w:rsidP="003B2A97">
      <w:pPr>
        <w:pStyle w:val="Textpoznpodarou"/>
        <w:rPr>
          <w:szCs w:val="22"/>
        </w:rPr>
      </w:pPr>
      <w:r w:rsidRPr="00232F16">
        <w:rPr>
          <w:rStyle w:val="Znakapoznpodarou"/>
          <w:szCs w:val="22"/>
        </w:rPr>
        <w:footnoteRef/>
      </w:r>
      <w:r w:rsidRPr="00232F16">
        <w:rPr>
          <w:szCs w:val="22"/>
        </w:rPr>
        <w:t xml:space="preserve"> Rozhodčí nález ICSID ze dne 29. k</w:t>
      </w:r>
      <w:r>
        <w:rPr>
          <w:szCs w:val="22"/>
        </w:rPr>
        <w:t>větna</w:t>
      </w:r>
      <w:r w:rsidRPr="00232F16">
        <w:rPr>
          <w:szCs w:val="22"/>
        </w:rPr>
        <w:t xml:space="preserve"> 2003 ve věci Técnicas Medioambientales Tecme</w:t>
      </w:r>
      <w:r>
        <w:rPr>
          <w:szCs w:val="22"/>
        </w:rPr>
        <w:t>d</w:t>
      </w:r>
      <w:r w:rsidRPr="00232F16">
        <w:rPr>
          <w:szCs w:val="22"/>
        </w:rPr>
        <w:t xml:space="preserve">, S.A. v. </w:t>
      </w:r>
      <w:r w:rsidRPr="00232F16">
        <w:rPr>
          <w:rFonts w:eastAsiaTheme="majorEastAsia" w:cstheme="majorBidi"/>
          <w:bCs/>
          <w:szCs w:val="22"/>
        </w:rPr>
        <w:t>United Mexican States, odst. 154</w:t>
      </w:r>
      <w:r>
        <w:rPr>
          <w:rFonts w:eastAsiaTheme="majorEastAsia" w:cstheme="majorBidi"/>
          <w:bCs/>
          <w:szCs w:val="22"/>
        </w:rPr>
        <w:t>.</w:t>
      </w:r>
    </w:p>
  </w:footnote>
  <w:footnote w:id="27">
    <w:p w14:paraId="2AB3A9ED" w14:textId="626D045B" w:rsidR="00007D48" w:rsidRPr="00232F16" w:rsidRDefault="00007D48">
      <w:pPr>
        <w:pStyle w:val="Textpoznpodarou"/>
      </w:pPr>
      <w:r w:rsidRPr="00232F16">
        <w:rPr>
          <w:rStyle w:val="Znakapoznpodarou"/>
        </w:rPr>
        <w:footnoteRef/>
      </w:r>
      <w:r w:rsidRPr="00232F16">
        <w:t xml:space="preserve"> Rozhodčí nález UNCITRAL</w:t>
      </w:r>
      <w:r>
        <w:t xml:space="preserve"> (NAFTA)</w:t>
      </w:r>
      <w:r w:rsidRPr="00232F16">
        <w:t xml:space="preserve"> ze </w:t>
      </w:r>
      <w:r w:rsidRPr="00577840">
        <w:t>dne 26. ledna 2006</w:t>
      </w:r>
      <w:r w:rsidRPr="00232F16">
        <w:t xml:space="preserve"> ve věci International Thunderbird Gaming Corporation v. The U</w:t>
      </w:r>
      <w:r>
        <w:t>nited Mexican States, odst. 147.</w:t>
      </w:r>
    </w:p>
  </w:footnote>
  <w:footnote w:id="28">
    <w:p w14:paraId="498AAF61" w14:textId="0B4CF0E7" w:rsidR="00007D48" w:rsidRPr="00232F16" w:rsidRDefault="00007D48">
      <w:pPr>
        <w:pStyle w:val="Textpoznpodarou"/>
        <w:rPr>
          <w:sz w:val="18"/>
        </w:rPr>
      </w:pPr>
      <w:r w:rsidRPr="00232F16">
        <w:rPr>
          <w:rStyle w:val="Znakapoznpodarou"/>
          <w:szCs w:val="22"/>
        </w:rPr>
        <w:footnoteRef/>
      </w:r>
      <w:r w:rsidRPr="00232F16">
        <w:rPr>
          <w:szCs w:val="22"/>
        </w:rPr>
        <w:t xml:space="preserve"> Rozhodčí nález ICSID ze dne</w:t>
      </w:r>
      <w:r w:rsidRPr="00232F16">
        <w:rPr>
          <w:rStyle w:val="Zvraznn"/>
          <w:szCs w:val="22"/>
        </w:rPr>
        <w:t xml:space="preserve"> </w:t>
      </w:r>
      <w:r w:rsidRPr="00232F16">
        <w:rPr>
          <w:rStyle w:val="Zvraznn"/>
          <w:i w:val="0"/>
          <w:szCs w:val="22"/>
        </w:rPr>
        <w:t>4. dubna 2016 ve věci Crystallex International Corporation v. Bolivarian Republic of Venezuela, odst. 546</w:t>
      </w:r>
      <w:r>
        <w:rPr>
          <w:rStyle w:val="Zvraznn"/>
          <w:i w:val="0"/>
          <w:szCs w:val="22"/>
        </w:rPr>
        <w:t>.</w:t>
      </w:r>
    </w:p>
  </w:footnote>
  <w:footnote w:id="29">
    <w:p w14:paraId="6877049C" w14:textId="21C2793B" w:rsidR="00007D48" w:rsidRPr="00A15523" w:rsidRDefault="00007D48">
      <w:pPr>
        <w:pStyle w:val="Textpoznpodarou"/>
        <w:rPr>
          <w:sz w:val="22"/>
        </w:rPr>
      </w:pPr>
      <w:r w:rsidRPr="00232F16">
        <w:rPr>
          <w:rStyle w:val="Znakapoznpodarou"/>
        </w:rPr>
        <w:footnoteRef/>
      </w:r>
      <w:r>
        <w:t xml:space="preserve"> BĚLOHLÁVEK, Alexander J</w:t>
      </w:r>
      <w:r w:rsidRPr="00232F16">
        <w:t xml:space="preserve">. Ochrana přímých zahraničních </w:t>
      </w:r>
      <w:r>
        <w:t>investic v Evropské unii</w:t>
      </w:r>
      <w:r w:rsidRPr="00232F16">
        <w:t xml:space="preserve">. Praha: C. H. </w:t>
      </w:r>
      <w:r w:rsidRPr="00577840">
        <w:t>Beck, 2010, s. 56</w:t>
      </w:r>
      <w:r>
        <w:t>.</w:t>
      </w:r>
    </w:p>
  </w:footnote>
  <w:footnote w:id="30">
    <w:p w14:paraId="1C4B253F" w14:textId="0073A019" w:rsidR="00007D48" w:rsidRDefault="00007D48">
      <w:pPr>
        <w:pStyle w:val="Textpoznpodarou"/>
      </w:pPr>
      <w:r>
        <w:rPr>
          <w:rStyle w:val="Znakapoznpodarou"/>
        </w:rPr>
        <w:footnoteRef/>
      </w:r>
      <w:r>
        <w:t xml:space="preserve"> Článek 3 Dohody BIT mezi Českou republikou a Nizozemím ze dne 29. dubna 1991.</w:t>
      </w:r>
    </w:p>
  </w:footnote>
  <w:footnote w:id="31">
    <w:p w14:paraId="04E40B6F" w14:textId="3CB17F76" w:rsidR="00007D48" w:rsidRDefault="00007D48">
      <w:pPr>
        <w:pStyle w:val="Textpoznpodarou"/>
      </w:pPr>
      <w:r>
        <w:rPr>
          <w:rStyle w:val="Znakapoznpodarou"/>
        </w:rPr>
        <w:footnoteRef/>
      </w:r>
      <w:r>
        <w:t xml:space="preserve"> Článek 1105 dohody NAFTA ze dne 17. prosince 1992.</w:t>
      </w:r>
    </w:p>
  </w:footnote>
  <w:footnote w:id="32">
    <w:p w14:paraId="49166F54" w14:textId="6ED18478" w:rsidR="00007D48" w:rsidRPr="003D7CE1" w:rsidRDefault="00007D48">
      <w:pPr>
        <w:pStyle w:val="Textpoznpodarou"/>
      </w:pPr>
      <w:r>
        <w:rPr>
          <w:rStyle w:val="Znakapoznpodarou"/>
        </w:rPr>
        <w:footnoteRef/>
      </w:r>
      <w:r>
        <w:t xml:space="preserve"> SCHREUER, </w:t>
      </w:r>
      <w:r>
        <w:rPr>
          <w:rStyle w:val="st"/>
        </w:rPr>
        <w:t xml:space="preserve">Christoph. Fair and equitable Treatment in Arbitral Practice. </w:t>
      </w:r>
      <w:r>
        <w:rPr>
          <w:rStyle w:val="st"/>
          <w:i/>
        </w:rPr>
        <w:t>The Journal of World Invest and Trade</w:t>
      </w:r>
      <w:r>
        <w:rPr>
          <w:rStyle w:val="st"/>
        </w:rPr>
        <w:t>, roč. 18. č. 6, s. 373-374.</w:t>
      </w:r>
    </w:p>
  </w:footnote>
  <w:footnote w:id="33">
    <w:p w14:paraId="266D45CD" w14:textId="70EA845D" w:rsidR="00007D48" w:rsidRDefault="00007D48">
      <w:pPr>
        <w:pStyle w:val="Textpoznpodarou"/>
      </w:pPr>
      <w:r>
        <w:rPr>
          <w:rStyle w:val="Znakapoznpodarou"/>
        </w:rPr>
        <w:footnoteRef/>
      </w:r>
      <w:r>
        <w:t xml:space="preserve"> Rozhodčí nález ICSID (NAFTA) ze dne 30. srpna 2004 ve věci </w:t>
      </w:r>
      <w:r w:rsidRPr="00835C53">
        <w:t>Waste Management Inc. v. United  Mexican States</w:t>
      </w:r>
      <w:r>
        <w:t>, odst. 98.</w:t>
      </w:r>
    </w:p>
  </w:footnote>
  <w:footnote w:id="34">
    <w:p w14:paraId="38F8D5D9" w14:textId="6216EB3A" w:rsidR="00007D48" w:rsidRDefault="00007D48">
      <w:pPr>
        <w:pStyle w:val="Textpoznpodarou"/>
      </w:pPr>
      <w:r>
        <w:rPr>
          <w:rStyle w:val="Znakapoznpodarou"/>
        </w:rPr>
        <w:footnoteRef/>
      </w:r>
      <w:r>
        <w:t xml:space="preserve"> </w:t>
      </w:r>
      <w:r w:rsidRPr="00AF0F3C">
        <w:t>Částečný rozhodčí nález</w:t>
      </w:r>
      <w:r>
        <w:t xml:space="preserve"> UNCITRAL</w:t>
      </w:r>
      <w:r w:rsidRPr="00AF0F3C">
        <w:t xml:space="preserve"> ze dne 17. března 2006 ve </w:t>
      </w:r>
      <w:r>
        <w:t>věci Saluka Investments BV v. The Czech R</w:t>
      </w:r>
      <w:r w:rsidRPr="00BA2F7D">
        <w:t>epublic</w:t>
      </w:r>
      <w:r>
        <w:t>, odst. 305.</w:t>
      </w:r>
    </w:p>
  </w:footnote>
  <w:footnote w:id="35">
    <w:p w14:paraId="3D30C55E" w14:textId="29A7EAB2" w:rsidR="00007D48" w:rsidRPr="006A6FAA" w:rsidRDefault="00007D48">
      <w:pPr>
        <w:pStyle w:val="Textpoznpodarou"/>
        <w:rPr>
          <w:b/>
        </w:rPr>
      </w:pPr>
      <w:r>
        <w:rPr>
          <w:rStyle w:val="Znakapoznpodarou"/>
        </w:rPr>
        <w:footnoteRef/>
      </w:r>
      <w:r>
        <w:t xml:space="preserve"> Rozhodnutí ICSID o pravomoci a přípustnosti ze dne 14. ledna 2010 ve věci Joseph Charles Lemire v. Ukraine, odst. 285 (relevantní i přes pozdější anulování samotného rozhodčího nálezu).</w:t>
      </w:r>
    </w:p>
  </w:footnote>
  <w:footnote w:id="36">
    <w:p w14:paraId="5B06245B" w14:textId="57C2B358" w:rsidR="00007D48" w:rsidRDefault="00007D48" w:rsidP="00645899">
      <w:pPr>
        <w:pStyle w:val="Textpoznpodarou"/>
      </w:pPr>
      <w:r>
        <w:rPr>
          <w:rStyle w:val="Znakapoznpodarou"/>
        </w:rPr>
        <w:footnoteRef/>
      </w:r>
      <w:r>
        <w:t xml:space="preserve"> </w:t>
      </w:r>
      <w:r w:rsidRPr="00232F16">
        <w:rPr>
          <w:szCs w:val="22"/>
        </w:rPr>
        <w:t>Rozhodčí nález ICSID ze dne</w:t>
      </w:r>
      <w:r>
        <w:rPr>
          <w:szCs w:val="22"/>
        </w:rPr>
        <w:t xml:space="preserve"> 5. října 2012 ve věci </w:t>
      </w:r>
      <w:r w:rsidRPr="007E20CE">
        <w:rPr>
          <w:szCs w:val="22"/>
        </w:rPr>
        <w:t>Occidental Petroleum Corporation and Occidental Exploration and Production Company</w:t>
      </w:r>
      <w:r>
        <w:rPr>
          <w:szCs w:val="22"/>
        </w:rPr>
        <w:t xml:space="preserve"> </w:t>
      </w:r>
      <w:r w:rsidRPr="00B24E8F">
        <w:rPr>
          <w:szCs w:val="22"/>
        </w:rPr>
        <w:t>v</w:t>
      </w:r>
      <w:r>
        <w:rPr>
          <w:szCs w:val="22"/>
        </w:rPr>
        <w:t>.</w:t>
      </w:r>
      <w:r w:rsidRPr="00B24E8F">
        <w:rPr>
          <w:szCs w:val="22"/>
        </w:rPr>
        <w:t xml:space="preserve"> The Republic of Ecuador</w:t>
      </w:r>
      <w:r>
        <w:rPr>
          <w:szCs w:val="22"/>
        </w:rPr>
        <w:t>. odst.</w:t>
      </w:r>
      <w:r>
        <w:t xml:space="preserve">. 450: „Jakékoli úřední zásah do investice musí podle principu proporcionality být koncipován tak, aby byla ztráta práv na straně investora vyvážena odpovídající mírou veřejného zájmu státu.“ </w:t>
      </w:r>
    </w:p>
    <w:p w14:paraId="13107155" w14:textId="23586EDC" w:rsidR="00007D48" w:rsidRDefault="00007D48" w:rsidP="00645899">
      <w:pPr>
        <w:pStyle w:val="Textpoznpodarou"/>
      </w:pPr>
      <w:r>
        <w:t xml:space="preserve">Shodně např. Rozhodnutí ICSID o pravomoci a přípustnosti ve věci </w:t>
      </w:r>
      <w:r w:rsidRPr="00772DE1">
        <w:t>LG&amp;E</w:t>
      </w:r>
      <w:r>
        <w:t xml:space="preserve"> v. Argentina ze dne 3. října 2006, odst. 195: „Obecně lze konstatovat, že stát má samozřejmě právo přijímat opatření směřující k ochraně veřejného blaha. Takové opatření musí být bráno jako vyjádření státní suverenity bez možnosti odpovědnosti státu, vyjma případů, kdy je míra zásahu státu značně v nepoměru k cíli, kterého má být dosaženo. To má zásadní význam v testu proporcionality.“</w:t>
      </w:r>
    </w:p>
  </w:footnote>
  <w:footnote w:id="37">
    <w:p w14:paraId="78D8769C" w14:textId="6504E81B" w:rsidR="00007D48" w:rsidRDefault="00007D48">
      <w:pPr>
        <w:pStyle w:val="Textpoznpodarou"/>
      </w:pPr>
      <w:r>
        <w:rPr>
          <w:rStyle w:val="Znakapoznpodarou"/>
        </w:rPr>
        <w:footnoteRef/>
      </w:r>
      <w:r>
        <w:t xml:space="preserve"> Investor má například zvážit vyšší riziko prudkých legislativních změn, pokud v zemi probíhá ekonomická transformace, jako tomu bylo v 90. letech v Litvě</w:t>
      </w:r>
      <w:r w:rsidRPr="002A76CD">
        <w:t>, kdy Parkenings-Compagniet</w:t>
      </w:r>
      <w:r>
        <w:t xml:space="preserve"> AS provedl investici.</w:t>
      </w:r>
    </w:p>
  </w:footnote>
  <w:footnote w:id="38">
    <w:p w14:paraId="234B295F" w14:textId="17793BFC" w:rsidR="00007D48" w:rsidRDefault="00007D48">
      <w:pPr>
        <w:pStyle w:val="Textpoznpodarou"/>
      </w:pPr>
      <w:r>
        <w:rPr>
          <w:rStyle w:val="Znakapoznpodarou"/>
        </w:rPr>
        <w:footnoteRef/>
      </w:r>
      <w:r>
        <w:t xml:space="preserve"> </w:t>
      </w:r>
      <w:r>
        <w:rPr>
          <w:szCs w:val="22"/>
        </w:rPr>
        <w:t xml:space="preserve">Op. cit. </w:t>
      </w:r>
      <w:r w:rsidRPr="00A534A7">
        <w:rPr>
          <w:i/>
          <w:szCs w:val="22"/>
        </w:rPr>
        <w:t>Occidental</w:t>
      </w:r>
      <w:r>
        <w:rPr>
          <w:szCs w:val="22"/>
        </w:rPr>
        <w:t>..., odst. 306. Pozdější anulování nálezu nemá vliv na tento výrok.</w:t>
      </w:r>
    </w:p>
  </w:footnote>
  <w:footnote w:id="39">
    <w:p w14:paraId="71B4D114" w14:textId="232B93B5" w:rsidR="00007D48" w:rsidRPr="00EA0B20" w:rsidRDefault="00007D48">
      <w:pPr>
        <w:pStyle w:val="Textpoznpodarou"/>
      </w:pPr>
      <w:r>
        <w:rPr>
          <w:rStyle w:val="Znakapoznpodarou"/>
        </w:rPr>
        <w:footnoteRef/>
      </w:r>
      <w:r>
        <w:t xml:space="preserve"> </w:t>
      </w:r>
      <w:r w:rsidRPr="00EA0B20">
        <w:t>SCHERNBECK</w:t>
      </w:r>
      <w:r>
        <w:t xml:space="preserve">, Andrea. </w:t>
      </w:r>
      <w:r w:rsidRPr="00EA0B20">
        <w:rPr>
          <w:i/>
        </w:rPr>
        <w:t>Der Fair and Equitable Treatment Standard in internationalen Investitionsschutzabkommen</w:t>
      </w:r>
      <w:r>
        <w:t xml:space="preserve">. </w:t>
      </w:r>
      <w:r>
        <w:rPr>
          <w:rStyle w:val="exldetailsdisplayval"/>
        </w:rPr>
        <w:t>Zürich: Dike, 2013. s. 119.</w:t>
      </w:r>
    </w:p>
  </w:footnote>
  <w:footnote w:id="40">
    <w:p w14:paraId="41839421" w14:textId="7A7A4A33" w:rsidR="00007D48" w:rsidRDefault="00007D48">
      <w:pPr>
        <w:pStyle w:val="Textpoznpodarou"/>
      </w:pPr>
      <w:r>
        <w:rPr>
          <w:rStyle w:val="Znakapoznpodarou"/>
        </w:rPr>
        <w:footnoteRef/>
      </w:r>
      <w:r>
        <w:t xml:space="preserve"> </w:t>
      </w:r>
      <w:r w:rsidRPr="00232F16">
        <w:rPr>
          <w:szCs w:val="22"/>
        </w:rPr>
        <w:t>Rozhodčí nález ICSID ze dne</w:t>
      </w:r>
      <w:r>
        <w:rPr>
          <w:szCs w:val="22"/>
        </w:rPr>
        <w:t xml:space="preserve"> 30. srpna 2000 ve věci </w:t>
      </w:r>
      <w:r w:rsidRPr="009A38F7">
        <w:rPr>
          <w:szCs w:val="22"/>
        </w:rPr>
        <w:t>Metalclad Corporation v. the United Mexican States</w:t>
      </w:r>
      <w:r>
        <w:rPr>
          <w:szCs w:val="22"/>
        </w:rPr>
        <w:t xml:space="preserve">, odst. </w:t>
      </w:r>
      <w:r w:rsidRPr="00D91194">
        <w:rPr>
          <w:sz w:val="18"/>
          <w:szCs w:val="22"/>
        </w:rPr>
        <w:t>89</w:t>
      </w:r>
      <w:r>
        <w:rPr>
          <w:sz w:val="18"/>
          <w:szCs w:val="22"/>
        </w:rPr>
        <w:t>.</w:t>
      </w:r>
    </w:p>
  </w:footnote>
  <w:footnote w:id="41">
    <w:p w14:paraId="4F2E5495" w14:textId="529CA8C3" w:rsidR="00007D48" w:rsidRDefault="00007D48">
      <w:pPr>
        <w:pStyle w:val="Textpoznpodarou"/>
      </w:pPr>
      <w:r>
        <w:rPr>
          <w:rStyle w:val="Znakapoznpodarou"/>
        </w:rPr>
        <w:footnoteRef/>
      </w:r>
      <w:r>
        <w:t xml:space="preserve"> Op. cit.</w:t>
      </w:r>
      <w:r w:rsidRPr="00232F16">
        <w:rPr>
          <w:rStyle w:val="Zvraznn"/>
          <w:i w:val="0"/>
          <w:szCs w:val="22"/>
        </w:rPr>
        <w:t xml:space="preserve"> </w:t>
      </w:r>
      <w:r w:rsidRPr="00462C65">
        <w:rPr>
          <w:rStyle w:val="Zvraznn"/>
          <w:szCs w:val="22"/>
        </w:rPr>
        <w:t>Crystallex...</w:t>
      </w:r>
      <w:r>
        <w:rPr>
          <w:rStyle w:val="Zvraznn"/>
          <w:szCs w:val="22"/>
        </w:rPr>
        <w:t>,</w:t>
      </w:r>
      <w:r>
        <w:t xml:space="preserve"> odst. 551.</w:t>
      </w:r>
    </w:p>
    <w:p w14:paraId="6FA81CF2" w14:textId="26E0B123" w:rsidR="00007D48" w:rsidRDefault="00007D48">
      <w:pPr>
        <w:pStyle w:val="Textpoznpodarou"/>
      </w:pPr>
      <w:r>
        <w:t xml:space="preserve">Veřejná vyjádření: REUTERS. </w:t>
      </w:r>
      <w:r w:rsidRPr="004302F8">
        <w:rPr>
          <w:i/>
        </w:rPr>
        <w:t>Crystallex expects Venezuela mine permit any time</w:t>
      </w:r>
      <w:r>
        <w:t xml:space="preserve">. [online]. </w:t>
      </w:r>
      <w:r>
        <w:rPr>
          <w:iCs/>
        </w:rPr>
        <w:t>Reuters.com, 8. listopadu 2007</w:t>
      </w:r>
      <w:r>
        <w:t xml:space="preserve"> [cit. 22. března 2017]. Dostupné na &lt;</w:t>
      </w:r>
      <w:hyperlink r:id="rId4" w:history="1">
        <w:r w:rsidRPr="004302F8">
          <w:rPr>
            <w:rStyle w:val="Hypertextovodkaz"/>
          </w:rPr>
          <w:t>http://www.reuters.com/article/venezuela-crystallex-idLTAN0826492720071108</w:t>
        </w:r>
      </w:hyperlink>
      <w:r>
        <w:t>&gt;.</w:t>
      </w:r>
    </w:p>
  </w:footnote>
  <w:footnote w:id="42">
    <w:p w14:paraId="2F746975" w14:textId="5F032A43" w:rsidR="00007D48" w:rsidRDefault="00007D48">
      <w:pPr>
        <w:pStyle w:val="Textpoznpodarou"/>
      </w:pPr>
      <w:r>
        <w:rPr>
          <w:rStyle w:val="Znakapoznpodarou"/>
        </w:rPr>
        <w:footnoteRef/>
      </w:r>
      <w:r>
        <w:t xml:space="preserve"> Op. cit.</w:t>
      </w:r>
      <w:r w:rsidRPr="00232F16">
        <w:rPr>
          <w:rStyle w:val="Zvraznn"/>
          <w:i w:val="0"/>
          <w:szCs w:val="22"/>
        </w:rPr>
        <w:t xml:space="preserve"> </w:t>
      </w:r>
      <w:r w:rsidRPr="00462C65">
        <w:rPr>
          <w:rStyle w:val="Zvraznn"/>
          <w:szCs w:val="22"/>
        </w:rPr>
        <w:t>Crystallex...</w:t>
      </w:r>
      <w:r>
        <w:rPr>
          <w:rStyle w:val="Zvraznn"/>
          <w:szCs w:val="22"/>
        </w:rPr>
        <w:t>,</w:t>
      </w:r>
      <w:r>
        <w:t xml:space="preserve"> odst. 238, 586.</w:t>
      </w:r>
    </w:p>
  </w:footnote>
  <w:footnote w:id="43">
    <w:p w14:paraId="2FFBA691" w14:textId="3E2DCCB5" w:rsidR="00007D48" w:rsidRDefault="00007D48" w:rsidP="00067487">
      <w:pPr>
        <w:pStyle w:val="Textpoznpodarou"/>
      </w:pPr>
      <w:r>
        <w:rPr>
          <w:rStyle w:val="Znakapoznpodarou"/>
        </w:rPr>
        <w:footnoteRef/>
      </w:r>
      <w:r>
        <w:t xml:space="preserve"> Op. cit.</w:t>
      </w:r>
      <w:r w:rsidRPr="00232F16">
        <w:rPr>
          <w:rStyle w:val="Zvraznn"/>
          <w:i w:val="0"/>
          <w:szCs w:val="22"/>
        </w:rPr>
        <w:t xml:space="preserve"> </w:t>
      </w:r>
      <w:r w:rsidRPr="00462C65">
        <w:rPr>
          <w:rStyle w:val="Zvraznn"/>
          <w:szCs w:val="22"/>
        </w:rPr>
        <w:t xml:space="preserve">Crystallex…, </w:t>
      </w:r>
      <w:r w:rsidRPr="00FA769B">
        <w:rPr>
          <w:rStyle w:val="Zvraznn"/>
          <w:i w:val="0"/>
          <w:szCs w:val="22"/>
        </w:rPr>
        <w:t>odst.</w:t>
      </w:r>
      <w:r>
        <w:t xml:space="preserve"> 597, 562.</w:t>
      </w:r>
    </w:p>
  </w:footnote>
  <w:footnote w:id="44">
    <w:p w14:paraId="14BD50AD" w14:textId="55162E96" w:rsidR="00007D48" w:rsidRDefault="00007D48">
      <w:pPr>
        <w:pStyle w:val="Textpoznpodarou"/>
      </w:pPr>
      <w:r>
        <w:rPr>
          <w:rStyle w:val="Znakapoznpodarou"/>
        </w:rPr>
        <w:footnoteRef/>
      </w:r>
      <w:r>
        <w:t xml:space="preserve"> Rozhodnutí UNCITRAL (NAFTA) o pravomoci a přípustnosti ve věci </w:t>
      </w:r>
      <w:r w:rsidRPr="00D91194">
        <w:t>Bilcon of Delaware et. al v. Canada</w:t>
      </w:r>
      <w:r>
        <w:t xml:space="preserve"> ze dne 17. března 2015, odst. 603.</w:t>
      </w:r>
    </w:p>
  </w:footnote>
  <w:footnote w:id="45">
    <w:p w14:paraId="398A8746" w14:textId="4F060AEE" w:rsidR="00007D48" w:rsidRPr="005230D4" w:rsidRDefault="00007D48" w:rsidP="0095361D">
      <w:pPr>
        <w:pStyle w:val="Textpoznpodarou"/>
        <w:rPr>
          <w:b/>
        </w:rPr>
      </w:pPr>
      <w:r>
        <w:rPr>
          <w:rStyle w:val="Znakapoznpodarou"/>
        </w:rPr>
        <w:footnoteRef/>
      </w:r>
      <w:r>
        <w:t xml:space="preserve"> Rozhodčí nález ICSID ze dne 5. září 2008 ve věci </w:t>
      </w:r>
      <w:r w:rsidRPr="00A37A13">
        <w:t>Continental Casualty Company v. The Argentine Republic</w:t>
      </w:r>
      <w:r>
        <w:t>, odst. 261.</w:t>
      </w:r>
    </w:p>
  </w:footnote>
  <w:footnote w:id="46">
    <w:p w14:paraId="55658FC7" w14:textId="35DE2F84" w:rsidR="00007D48" w:rsidRDefault="00007D48">
      <w:pPr>
        <w:pStyle w:val="Textpoznpodarou"/>
      </w:pPr>
      <w:r>
        <w:rPr>
          <w:rStyle w:val="Znakapoznpodarou"/>
        </w:rPr>
        <w:footnoteRef/>
      </w:r>
      <w:r>
        <w:t xml:space="preserve"> Rozhodčí nález ICSID ze dne 8. srpna 2013 ve věci </w:t>
      </w:r>
      <w:r w:rsidRPr="00FC0055">
        <w:t>Mr. Franck Charles Arif v. Republic of Moldova</w:t>
      </w:r>
      <w:r>
        <w:t>, odst. 547.</w:t>
      </w:r>
    </w:p>
  </w:footnote>
  <w:footnote w:id="47">
    <w:p w14:paraId="4924AF66" w14:textId="02E58270" w:rsidR="00007D48" w:rsidRDefault="00007D48">
      <w:pPr>
        <w:pStyle w:val="Textpoznpodarou"/>
      </w:pPr>
      <w:r>
        <w:rPr>
          <w:rStyle w:val="Znakapoznpodarou"/>
        </w:rPr>
        <w:footnoteRef/>
      </w:r>
      <w:r>
        <w:t xml:space="preserve"> Op. cit. </w:t>
      </w:r>
      <w:r w:rsidRPr="00F91317">
        <w:t>BÜCHELER</w:t>
      </w:r>
      <w:r>
        <w:t xml:space="preserve">: </w:t>
      </w:r>
      <w:r w:rsidRPr="00F91317">
        <w:rPr>
          <w:i/>
        </w:rPr>
        <w:t>Proportionality in Investor-State Arbitration</w:t>
      </w:r>
      <w:r>
        <w:t>...,</w:t>
      </w:r>
      <w:r w:rsidRPr="00577840">
        <w:t xml:space="preserve"> s. 202</w:t>
      </w:r>
      <w:r>
        <w:t>.</w:t>
      </w:r>
    </w:p>
    <w:p w14:paraId="1F69AB7B" w14:textId="3491AC0C" w:rsidR="00007D48" w:rsidRPr="007742B7" w:rsidRDefault="00007D48">
      <w:pPr>
        <w:pStyle w:val="Textpoznpodarou"/>
      </w:pPr>
      <w:r>
        <w:t xml:space="preserve">Zmíněno například v odůvodnění k </w:t>
      </w:r>
      <w:r w:rsidRPr="00316A60">
        <w:t>Parkerings-Compagniet AS v. Republic of Lithuania</w:t>
      </w:r>
      <w:r>
        <w:t>, odst. 82.</w:t>
      </w:r>
    </w:p>
  </w:footnote>
  <w:footnote w:id="48">
    <w:p w14:paraId="78B7BD6D" w14:textId="74C66214" w:rsidR="00007D48" w:rsidRPr="004976BB" w:rsidRDefault="00007D48">
      <w:pPr>
        <w:pStyle w:val="Textpoznpodarou"/>
      </w:pPr>
      <w:r>
        <w:rPr>
          <w:rStyle w:val="Znakapoznpodarou"/>
        </w:rPr>
        <w:footnoteRef/>
      </w:r>
      <w:r>
        <w:t xml:space="preserve"> Op. cit. </w:t>
      </w:r>
      <w:r>
        <w:rPr>
          <w:i/>
        </w:rPr>
        <w:t>Tecmed...,</w:t>
      </w:r>
      <w:r>
        <w:t xml:space="preserve"> odst. 154.</w:t>
      </w:r>
    </w:p>
  </w:footnote>
  <w:footnote w:id="49">
    <w:p w14:paraId="4A9CDD60" w14:textId="538208F2" w:rsidR="00007D48" w:rsidRDefault="00007D48">
      <w:pPr>
        <w:pStyle w:val="Textpoznpodarou"/>
      </w:pPr>
      <w:r>
        <w:rPr>
          <w:rStyle w:val="Znakapoznpodarou"/>
        </w:rPr>
        <w:footnoteRef/>
      </w:r>
      <w:r>
        <w:t xml:space="preserve"> Rozhodčí nález ICSID ze dne 25. května 2004 ve věci </w:t>
      </w:r>
      <w:r w:rsidRPr="004C6251">
        <w:t>MTD Chile S.A.</w:t>
      </w:r>
      <w:r>
        <w:t xml:space="preserve"> et. al.</w:t>
      </w:r>
      <w:r w:rsidRPr="004C6251">
        <w:t xml:space="preserve"> v. Republic of Chile</w:t>
      </w:r>
      <w:r>
        <w:t>, odst. 114.</w:t>
      </w:r>
    </w:p>
  </w:footnote>
  <w:footnote w:id="50">
    <w:p w14:paraId="1E69B304" w14:textId="3E9E1BC8" w:rsidR="00007D48" w:rsidRPr="005F2022" w:rsidRDefault="00007D48">
      <w:pPr>
        <w:pStyle w:val="Textpoznpodarou"/>
      </w:pPr>
      <w:r>
        <w:rPr>
          <w:rStyle w:val="Znakapoznpodarou"/>
        </w:rPr>
        <w:footnoteRef/>
      </w:r>
      <w:r>
        <w:t xml:space="preserve"> GRIEBEL </w:t>
      </w:r>
      <w:r w:rsidRPr="005F2022">
        <w:t>Jörn</w:t>
      </w:r>
      <w:r>
        <w:t xml:space="preserve">. </w:t>
      </w:r>
      <w:r w:rsidRPr="005F2022">
        <w:rPr>
          <w:i/>
        </w:rPr>
        <w:t>Internationales Investitionsrecht: Lehrbuch für Studium und Praxis</w:t>
      </w:r>
      <w:r>
        <w:t>. München: Beck, 2008. s. 98.</w:t>
      </w:r>
    </w:p>
  </w:footnote>
  <w:footnote w:id="51">
    <w:p w14:paraId="33E455D7" w14:textId="79AD85C2" w:rsidR="00007D48" w:rsidRDefault="00007D48" w:rsidP="0067112E">
      <w:pPr>
        <w:pStyle w:val="Textpoznpodarou"/>
      </w:pPr>
      <w:r>
        <w:rPr>
          <w:rStyle w:val="Znakapoznpodarou"/>
        </w:rPr>
        <w:footnoteRef/>
      </w:r>
      <w:r>
        <w:t xml:space="preserve"> WHO. </w:t>
      </w:r>
      <w:r w:rsidRPr="00002E9C">
        <w:rPr>
          <w:i/>
        </w:rPr>
        <w:t>Parties to the WHO Framework Convention on Tobacco Control</w:t>
      </w:r>
      <w:r>
        <w:t xml:space="preserve">. [online]. </w:t>
      </w:r>
      <w:r w:rsidRPr="00002E9C">
        <w:rPr>
          <w:iCs/>
        </w:rPr>
        <w:t>WHO.int</w:t>
      </w:r>
      <w:r>
        <w:rPr>
          <w:iCs/>
        </w:rPr>
        <w:t>, 26. července 2016</w:t>
      </w:r>
      <w:r>
        <w:t xml:space="preserve"> [cit. 31. července 2016]. Dostupné na &lt;</w:t>
      </w:r>
      <w:hyperlink r:id="rId5" w:history="1">
        <w:r w:rsidRPr="00545DF9">
          <w:rPr>
            <w:rStyle w:val="Hypertextovodkaz"/>
          </w:rPr>
          <w:t>http://www.who.int/fctc/signatories_parties/en/</w:t>
        </w:r>
      </w:hyperlink>
      <w:r>
        <w:t>&gt;.</w:t>
      </w:r>
    </w:p>
  </w:footnote>
  <w:footnote w:id="52">
    <w:p w14:paraId="59BDEFDF" w14:textId="141F9322" w:rsidR="00007D48" w:rsidRDefault="00007D48" w:rsidP="0067112E">
      <w:pPr>
        <w:pStyle w:val="Textpoznpodarou"/>
      </w:pPr>
      <w:r>
        <w:rPr>
          <w:rStyle w:val="Znakapoznpodarou"/>
        </w:rPr>
        <w:footnoteRef/>
      </w:r>
      <w:r>
        <w:t xml:space="preserve"> Švýcarsko FCTC podepsalo, ale neratifikovalo, není tedy zatím jeho smluvní stranou.</w:t>
      </w:r>
    </w:p>
  </w:footnote>
  <w:footnote w:id="53">
    <w:p w14:paraId="66A824E3" w14:textId="10F16448" w:rsidR="00007D48" w:rsidRDefault="00007D48" w:rsidP="0067112E">
      <w:pPr>
        <w:pStyle w:val="Textpoznpodarou"/>
      </w:pPr>
      <w:r>
        <w:rPr>
          <w:rStyle w:val="Znakapoznpodarou"/>
        </w:rPr>
        <w:footnoteRef/>
      </w:r>
      <w:r>
        <w:t xml:space="preserve"> Článek 4 Dohody WHO Framework Convention on Tobacco control (FCTC) ze dne 21. </w:t>
      </w:r>
      <w:r w:rsidRPr="006A4A67">
        <w:t>5. 2003</w:t>
      </w:r>
      <w:r>
        <w:t>.</w:t>
      </w:r>
    </w:p>
  </w:footnote>
  <w:footnote w:id="54">
    <w:p w14:paraId="5B9C015D" w14:textId="10FB757D" w:rsidR="00007D48" w:rsidRDefault="00007D48" w:rsidP="006668BB">
      <w:pPr>
        <w:pStyle w:val="Textpoznpodarou"/>
      </w:pPr>
      <w:r>
        <w:rPr>
          <w:rStyle w:val="Znakapoznpodarou"/>
        </w:rPr>
        <w:footnoteRef/>
      </w:r>
      <w:r>
        <w:t xml:space="preserve"> Rozhodčí nález ICSID ze dne 8.7.2016, Philip Morris Brand Sàrl (Switzerland), Philip Morris Products S.A. (Switzerland) and Abal Hermanos S.A. (Uruguay) v. Oriental Republic of Uruguay, odst. 96.</w:t>
      </w:r>
    </w:p>
  </w:footnote>
  <w:footnote w:id="55">
    <w:p w14:paraId="0AED3204" w14:textId="16B0D714" w:rsidR="00007D48" w:rsidRDefault="00007D48">
      <w:pPr>
        <w:pStyle w:val="Textpoznpodarou"/>
      </w:pPr>
      <w:r>
        <w:rPr>
          <w:rStyle w:val="Znakapoznpodarou"/>
        </w:rPr>
        <w:footnoteRef/>
      </w:r>
      <w:r>
        <w:t xml:space="preserve"> Směrnice </w:t>
      </w:r>
      <w:r w:rsidRPr="000D5AC1">
        <w:t>2014/40/EU</w:t>
      </w:r>
      <w:r>
        <w:t xml:space="preserve"> ze dne 3. dubna 2014 </w:t>
      </w:r>
      <w:r w:rsidRPr="002A76CD">
        <w:t>o sbližování právních a správních předpisů členských států týkajících se výroby, obchodní úpravy a prodeje tabákových a souvisejících výrobků</w:t>
      </w:r>
      <w:r>
        <w:t xml:space="preserve"> stanoví v celé Unii 65% pokrytí obalu upozorněním o škodlivosti.</w:t>
      </w:r>
    </w:p>
  </w:footnote>
  <w:footnote w:id="56">
    <w:p w14:paraId="48A48624" w14:textId="7F8B0A9B" w:rsidR="00007D48" w:rsidRDefault="00007D48" w:rsidP="00E2684F">
      <w:pPr>
        <w:pStyle w:val="Textpoznpodarou"/>
      </w:pPr>
      <w:r>
        <w:rPr>
          <w:rStyle w:val="Znakapoznpodarou"/>
        </w:rPr>
        <w:footnoteRef/>
      </w:r>
      <w:r>
        <w:t xml:space="preserve"> Článek 3 Dohody BIT mezi státem Uruguay a Švýcarskou Federací ze dne 7.10.1988.</w:t>
      </w:r>
    </w:p>
  </w:footnote>
  <w:footnote w:id="57">
    <w:p w14:paraId="6133D125" w14:textId="096A202A" w:rsidR="00007D48" w:rsidRDefault="00007D48">
      <w:pPr>
        <w:pStyle w:val="Textpoznpodarou"/>
      </w:pPr>
      <w:r>
        <w:rPr>
          <w:rStyle w:val="Znakapoznpodarou"/>
        </w:rPr>
        <w:footnoteRef/>
      </w:r>
      <w:r>
        <w:t xml:space="preserve"> Op. cit. </w:t>
      </w:r>
      <w:r w:rsidRPr="00D5165B">
        <w:rPr>
          <w:i/>
        </w:rPr>
        <w:t>Philip Morris</w:t>
      </w:r>
      <w:r>
        <w:t>..., odst. 309.</w:t>
      </w:r>
    </w:p>
  </w:footnote>
  <w:footnote w:id="58">
    <w:p w14:paraId="1E2B9B8C" w14:textId="06D56862" w:rsidR="00007D48" w:rsidRDefault="00007D48" w:rsidP="0037553F">
      <w:pPr>
        <w:pStyle w:val="Textpoznpodarou"/>
      </w:pPr>
      <w:r>
        <w:rPr>
          <w:rStyle w:val="Znakapoznpodarou"/>
        </w:rPr>
        <w:footnoteRef/>
      </w:r>
      <w:r>
        <w:t xml:space="preserve"> Text článku 3 je klasickou doložkou FET: </w:t>
      </w:r>
      <w:r w:rsidRPr="000D19EB">
        <w:rPr>
          <w:i/>
        </w:rPr>
        <w:t>„Each Contracting Party shall ensure fair and equitable treatment within its territory of the investments of the investors of the other Contracting Party“</w:t>
      </w:r>
      <w:r>
        <w:rPr>
          <w:i/>
        </w:rPr>
        <w:t>.</w:t>
      </w:r>
    </w:p>
  </w:footnote>
  <w:footnote w:id="59">
    <w:p w14:paraId="0853B8A5" w14:textId="47609A3D" w:rsidR="00007D48" w:rsidRPr="00BD776C" w:rsidRDefault="00007D48" w:rsidP="009D19D2">
      <w:pPr>
        <w:pStyle w:val="Textpoznpodarou"/>
      </w:pPr>
      <w:r>
        <w:rPr>
          <w:rStyle w:val="Znakapoznpodarou"/>
        </w:rPr>
        <w:footnoteRef/>
      </w:r>
      <w:r>
        <w:t xml:space="preserve"> Op. cit. </w:t>
      </w:r>
      <w:r w:rsidRPr="00D5165B">
        <w:rPr>
          <w:i/>
        </w:rPr>
        <w:t>Philip Morris</w:t>
      </w:r>
      <w:r>
        <w:t>..., odst. 316.</w:t>
      </w:r>
    </w:p>
  </w:footnote>
  <w:footnote w:id="60">
    <w:p w14:paraId="070747BF" w14:textId="6994BCE8" w:rsidR="00007D48" w:rsidRDefault="00007D48">
      <w:pPr>
        <w:pStyle w:val="Textpoznpodarou"/>
      </w:pPr>
      <w:r>
        <w:rPr>
          <w:rStyle w:val="Znakapoznpodarou"/>
        </w:rPr>
        <w:footnoteRef/>
      </w:r>
      <w:r>
        <w:t xml:space="preserve"> Tamtéž, odst. 344.</w:t>
      </w:r>
    </w:p>
  </w:footnote>
  <w:footnote w:id="61">
    <w:p w14:paraId="09FB176A" w14:textId="6AC61B76" w:rsidR="00007D48" w:rsidRDefault="00007D48" w:rsidP="0070175D">
      <w:pPr>
        <w:pStyle w:val="Textpoznpodarou"/>
      </w:pPr>
      <w:r>
        <w:rPr>
          <w:rStyle w:val="Znakapoznpodarou"/>
        </w:rPr>
        <w:footnoteRef/>
      </w:r>
      <w:r>
        <w:t xml:space="preserve"> Rozhodčí nález tribunálu UNCITRAL ze dne 1. července 2004 ve věci </w:t>
      </w:r>
      <w:r w:rsidRPr="00071F9F">
        <w:t>Occidental</w:t>
      </w:r>
      <w:r>
        <w:t xml:space="preserve"> </w:t>
      </w:r>
      <w:r w:rsidRPr="00C27ADD">
        <w:t>Exploration and Production</w:t>
      </w:r>
      <w:r w:rsidRPr="00071F9F">
        <w:t xml:space="preserve"> v. Ecuador</w:t>
      </w:r>
      <w:r>
        <w:t>, odst. 191.</w:t>
      </w:r>
    </w:p>
  </w:footnote>
  <w:footnote w:id="62">
    <w:p w14:paraId="163DE2C1" w14:textId="4D18663E" w:rsidR="00007D48" w:rsidRDefault="00007D48">
      <w:pPr>
        <w:pStyle w:val="Textpoznpodarou"/>
      </w:pPr>
      <w:r>
        <w:rPr>
          <w:rStyle w:val="Znakapoznpodarou"/>
        </w:rPr>
        <w:footnoteRef/>
      </w:r>
      <w:r>
        <w:t xml:space="preserve"> Rozhodčí nález ICSID ze dne 31. října 2011 ve věci </w:t>
      </w:r>
      <w:r w:rsidRPr="00A46895">
        <w:t>El Paso Energy International Company v. The Argentine Republic</w:t>
      </w:r>
      <w:r>
        <w:t xml:space="preserve">, odst. 372. Ten dále odkazuje pro upřesnění i na nález </w:t>
      </w:r>
      <w:r w:rsidRPr="00030626">
        <w:rPr>
          <w:i/>
        </w:rPr>
        <w:t>Continental</w:t>
      </w:r>
      <w:r>
        <w:t>...</w:t>
      </w:r>
      <w:r w:rsidRPr="00A37A13">
        <w:t xml:space="preserve"> </w:t>
      </w:r>
      <w:r>
        <w:t>,odst. 258: „Stabilita právního řádu (právní jistota), vyjádřená v preambuli BIT, není závazná., přestože často slouží k přilákání zájmu investorů Spoléhat se na ni je od investora neprozíravé. Zvláště pak v období hospodářské krize jsou změny legislativy pochopitelné.“</w:t>
      </w:r>
    </w:p>
  </w:footnote>
  <w:footnote w:id="63">
    <w:p w14:paraId="0A7404B2" w14:textId="7B70AF65" w:rsidR="00007D48" w:rsidRDefault="00007D48">
      <w:pPr>
        <w:pStyle w:val="Textpoznpodarou"/>
      </w:pPr>
      <w:r>
        <w:rPr>
          <w:rStyle w:val="Znakapoznpodarou"/>
        </w:rPr>
        <w:footnoteRef/>
      </w:r>
      <w:r>
        <w:t xml:space="preserve"> Op. cit. </w:t>
      </w:r>
      <w:r w:rsidRPr="00D5165B">
        <w:rPr>
          <w:i/>
        </w:rPr>
        <w:t>Philip Morris</w:t>
      </w:r>
      <w:r>
        <w:t>..., odst. 375.</w:t>
      </w:r>
    </w:p>
  </w:footnote>
  <w:footnote w:id="64">
    <w:p w14:paraId="0785F984" w14:textId="70B60EB3" w:rsidR="00007D48" w:rsidRDefault="00007D48">
      <w:pPr>
        <w:pStyle w:val="Textpoznpodarou"/>
      </w:pPr>
      <w:r>
        <w:rPr>
          <w:rStyle w:val="Znakapoznpodarou"/>
        </w:rPr>
        <w:footnoteRef/>
      </w:r>
      <w:r>
        <w:t xml:space="preserve"> Rozhodnutí ICSID (ECT) o pravomoci a přípustnosti ze dne 30. listopadu 2012 ve věci </w:t>
      </w:r>
      <w:r w:rsidRPr="008023D5">
        <w:t>Electrabel S.A. v. Republic of Hungary</w:t>
      </w:r>
      <w:r>
        <w:t>, odst. 8.35.</w:t>
      </w:r>
    </w:p>
  </w:footnote>
  <w:footnote w:id="65">
    <w:p w14:paraId="6E4B287E" w14:textId="3C66FCE6" w:rsidR="00007D48" w:rsidRDefault="00007D48">
      <w:pPr>
        <w:pStyle w:val="Textpoznpodarou"/>
      </w:pPr>
      <w:r>
        <w:rPr>
          <w:rStyle w:val="Znakapoznpodarou"/>
        </w:rPr>
        <w:footnoteRef/>
      </w:r>
      <w:r>
        <w:t xml:space="preserve"> Článek 11 odst. 1 FCTC pouze nabádá státy, aby v souladu se svým vnitrostátním právem přijaly zákony k zabránění dojmu, že výrobek je méně škodlivý než jiné.</w:t>
      </w:r>
    </w:p>
  </w:footnote>
  <w:footnote w:id="66">
    <w:p w14:paraId="137D5A72" w14:textId="5600E57C" w:rsidR="00007D48" w:rsidRPr="00631912" w:rsidRDefault="00007D48">
      <w:pPr>
        <w:pStyle w:val="Textpoznpodarou"/>
      </w:pPr>
      <w:r>
        <w:rPr>
          <w:rStyle w:val="Znakapoznpodarou"/>
        </w:rPr>
        <w:footnoteRef/>
      </w:r>
      <w:r>
        <w:t xml:space="preserve"> Op. cit. </w:t>
      </w:r>
      <w:r>
        <w:rPr>
          <w:i/>
        </w:rPr>
        <w:t xml:space="preserve">Philip Morris..., </w:t>
      </w:r>
      <w:r>
        <w:t>odst. 410.</w:t>
      </w:r>
    </w:p>
  </w:footnote>
  <w:footnote w:id="67">
    <w:p w14:paraId="49179F14" w14:textId="124F4ABE" w:rsidR="00007D48" w:rsidRDefault="00007D48">
      <w:pPr>
        <w:pStyle w:val="Textpoznpodarou"/>
      </w:pPr>
      <w:r>
        <w:rPr>
          <w:rStyle w:val="Znakapoznpodarou"/>
        </w:rPr>
        <w:footnoteRef/>
      </w:r>
      <w:r>
        <w:t xml:space="preserve"> Stanovisko rozhodce Gary Borna ze dne 28. června 2016 ve věci Philip Morris Brand Sàrl (Switzerland), Philip Morris Products S.A. (Switzerland) and Abal Hermanos S.A. (Uruguay) v. Oriental Republic of Uruguay, odst. 127.</w:t>
      </w:r>
    </w:p>
  </w:footnote>
  <w:footnote w:id="68">
    <w:p w14:paraId="42BE3E01" w14:textId="6CEB0BEC" w:rsidR="00007D48" w:rsidRDefault="00007D48">
      <w:pPr>
        <w:pStyle w:val="Textpoznpodarou"/>
      </w:pPr>
      <w:r>
        <w:rPr>
          <w:rStyle w:val="Znakapoznpodarou"/>
        </w:rPr>
        <w:footnoteRef/>
      </w:r>
      <w:r>
        <w:t xml:space="preserve"> Tamtéž, odst. 129.</w:t>
      </w:r>
    </w:p>
  </w:footnote>
  <w:footnote w:id="69">
    <w:p w14:paraId="2DD16539" w14:textId="0E959651" w:rsidR="00007D48" w:rsidRDefault="00007D48">
      <w:pPr>
        <w:pStyle w:val="Textpoznpodarou"/>
      </w:pPr>
      <w:r>
        <w:rPr>
          <w:rStyle w:val="Znakapoznpodarou"/>
        </w:rPr>
        <w:footnoteRef/>
      </w:r>
      <w:r>
        <w:t xml:space="preserve"> Částečný rozhodčí nález UNCITRAL (NAFTA) ze dne 13. listopadu 2000 ve věci </w:t>
      </w:r>
      <w:r w:rsidRPr="00417BD3">
        <w:t>S. D. Myers v. Canada</w:t>
      </w:r>
      <w:r>
        <w:t>, odst. 263 .</w:t>
      </w:r>
    </w:p>
  </w:footnote>
  <w:footnote w:id="70">
    <w:p w14:paraId="04CCC8AC" w14:textId="17220139" w:rsidR="00007D48" w:rsidRDefault="00007D48">
      <w:pPr>
        <w:pStyle w:val="Textpoznpodarou"/>
      </w:pPr>
      <w:r>
        <w:rPr>
          <w:rStyle w:val="Znakapoznpodarou"/>
        </w:rPr>
        <w:footnoteRef/>
      </w:r>
      <w:r>
        <w:t xml:space="preserve"> Op. cit. </w:t>
      </w:r>
      <w:r>
        <w:rPr>
          <w:i/>
        </w:rPr>
        <w:t xml:space="preserve">Philip Morris..., </w:t>
      </w:r>
      <w:r>
        <w:t>odst. 426.</w:t>
      </w:r>
    </w:p>
  </w:footnote>
  <w:footnote w:id="71">
    <w:p w14:paraId="557D05B3" w14:textId="0E9AB316" w:rsidR="00007D48" w:rsidRDefault="00007D48">
      <w:pPr>
        <w:pStyle w:val="Textpoznpodarou"/>
      </w:pPr>
      <w:r>
        <w:rPr>
          <w:rStyle w:val="Znakapoznpodarou"/>
        </w:rPr>
        <w:footnoteRef/>
      </w:r>
      <w:r>
        <w:t xml:space="preserve"> Článek 26 </w:t>
      </w:r>
      <w:r>
        <w:rPr>
          <w:iCs/>
        </w:rPr>
        <w:t>Dohody</w:t>
      </w:r>
      <w:r w:rsidRPr="005400EE">
        <w:rPr>
          <w:iCs/>
        </w:rPr>
        <w:t xml:space="preserve"> k E</w:t>
      </w:r>
      <w:r>
        <w:rPr>
          <w:iCs/>
        </w:rPr>
        <w:t>nergické chartě (ECT) ze dne 17. prosince 1994.</w:t>
      </w:r>
    </w:p>
  </w:footnote>
  <w:footnote w:id="72">
    <w:p w14:paraId="74907F99" w14:textId="70713A28" w:rsidR="00007D48" w:rsidRDefault="00007D48">
      <w:pPr>
        <w:pStyle w:val="Textpoznpodarou"/>
      </w:pPr>
      <w:r>
        <w:rPr>
          <w:rStyle w:val="Znakapoznpodarou"/>
        </w:rPr>
        <w:footnoteRef/>
      </w:r>
      <w:r>
        <w:t xml:space="preserve"> Rozsudek prvního senátu BVerfG ze dne 6. prosince 2016, </w:t>
      </w:r>
      <w:r w:rsidRPr="0037405B">
        <w:t>1 BvR 2821/11</w:t>
      </w:r>
      <w:r>
        <w:t>, odst. 8-31.</w:t>
      </w:r>
    </w:p>
  </w:footnote>
  <w:footnote w:id="73">
    <w:p w14:paraId="0981E863" w14:textId="3B9AFD8D" w:rsidR="00007D48" w:rsidRDefault="00007D48">
      <w:pPr>
        <w:pStyle w:val="Textpoznpodarou"/>
      </w:pPr>
      <w:r>
        <w:rPr>
          <w:rStyle w:val="Znakapoznpodarou"/>
        </w:rPr>
        <w:footnoteRef/>
      </w:r>
      <w:r>
        <w:t xml:space="preserve"> Článek 14 Ústavy SRN (GG): „Vlastnické a dědické právo je zaručeno. Jeho obsah a omezení stanoví zákon. (...) Vyvlastnění je možné jen ve veřejném zájmu. Může být provedeno pouze na základě zákona, který určí způsob a rozsah náhrady. Náhrada se odvíjí od spravedlivého zvážení veřejného zájmu a zájmu vlastníka. Ve sporných případech rozhoduje o výši náhrady soud.“</w:t>
      </w:r>
    </w:p>
  </w:footnote>
  <w:footnote w:id="74">
    <w:p w14:paraId="168D4562" w14:textId="67F1FFAF" w:rsidR="00007D48" w:rsidRDefault="00007D48">
      <w:pPr>
        <w:pStyle w:val="Textpoznpodarou"/>
      </w:pPr>
      <w:r>
        <w:rPr>
          <w:rStyle w:val="Znakapoznpodarou"/>
        </w:rPr>
        <w:footnoteRef/>
      </w:r>
      <w:r>
        <w:t xml:space="preserve"> Op. cit </w:t>
      </w:r>
      <w:r w:rsidRPr="003F4E51">
        <w:rPr>
          <w:i/>
        </w:rPr>
        <w:t>1 BvR 2821/11...</w:t>
      </w:r>
      <w:r>
        <w:rPr>
          <w:i/>
        </w:rPr>
        <w:t>,</w:t>
      </w:r>
      <w:r>
        <w:t xml:space="preserve"> odst..371.</w:t>
      </w:r>
    </w:p>
  </w:footnote>
  <w:footnote w:id="75">
    <w:p w14:paraId="2A8F8BD3" w14:textId="1FF9FCF2" w:rsidR="00007D48" w:rsidRDefault="00007D48">
      <w:pPr>
        <w:pStyle w:val="Textpoznpodarou"/>
      </w:pPr>
      <w:r>
        <w:rPr>
          <w:rStyle w:val="Znakapoznpodarou"/>
        </w:rPr>
        <w:footnoteRef/>
      </w:r>
      <w:r>
        <w:t xml:space="preserve"> Tamtéž, odst. 377.</w:t>
      </w:r>
    </w:p>
  </w:footnote>
  <w:footnote w:id="76">
    <w:p w14:paraId="284BA96B" w14:textId="54698B08" w:rsidR="00007D48" w:rsidRDefault="00007D48">
      <w:pPr>
        <w:pStyle w:val="Textpoznpodarou"/>
        <w:rPr>
          <w:rStyle w:val="Zvraznn"/>
          <w:i w:val="0"/>
        </w:rPr>
      </w:pPr>
      <w:r>
        <w:rPr>
          <w:rStyle w:val="Znakapoznpodarou"/>
        </w:rPr>
        <w:footnoteRef/>
      </w:r>
      <w:r>
        <w:t xml:space="preserve"> </w:t>
      </w:r>
      <w:r w:rsidRPr="00232F16">
        <w:rPr>
          <w:szCs w:val="22"/>
        </w:rPr>
        <w:t>Rozhodčí nález ICSID ze dne</w:t>
      </w:r>
      <w:r>
        <w:rPr>
          <w:szCs w:val="22"/>
        </w:rPr>
        <w:t xml:space="preserve"> 27. srpna </w:t>
      </w:r>
      <w:r w:rsidRPr="0040061C">
        <w:rPr>
          <w:szCs w:val="22"/>
        </w:rPr>
        <w:t>2008 ve věci</w:t>
      </w:r>
      <w:r w:rsidRPr="003A629A">
        <w:rPr>
          <w:i/>
          <w:szCs w:val="22"/>
        </w:rPr>
        <w:t xml:space="preserve"> </w:t>
      </w:r>
      <w:r w:rsidRPr="003A629A">
        <w:rPr>
          <w:rStyle w:val="Zvraznn"/>
          <w:i w:val="0"/>
        </w:rPr>
        <w:t>Plarna Consortium Limited v. Republic of Bulgari</w:t>
      </w:r>
      <w:r>
        <w:rPr>
          <w:rStyle w:val="Zvraznn"/>
          <w:i w:val="0"/>
        </w:rPr>
        <w:t>a</w:t>
      </w:r>
      <w:r w:rsidRPr="003A629A">
        <w:rPr>
          <w:rStyle w:val="Zvraznn"/>
          <w:i w:val="0"/>
        </w:rPr>
        <w:t xml:space="preserve">, odst. </w:t>
      </w:r>
      <w:r>
        <w:rPr>
          <w:rStyle w:val="Zvraznn"/>
          <w:i w:val="0"/>
        </w:rPr>
        <w:t>176.</w:t>
      </w:r>
    </w:p>
    <w:p w14:paraId="79AF46A8" w14:textId="700797CE" w:rsidR="00007D48" w:rsidRPr="00374823" w:rsidRDefault="00007D48">
      <w:pPr>
        <w:pStyle w:val="Textpoznpodarou"/>
        <w:rPr>
          <w:i/>
        </w:rPr>
      </w:pPr>
      <w:r w:rsidRPr="00374823">
        <w:rPr>
          <w:rStyle w:val="Zvraznn"/>
          <w:i w:val="0"/>
        </w:rPr>
        <w:t>Částečný rozhodčí nález UNCITRAL ze dne 13. září 2001</w:t>
      </w:r>
      <w:r>
        <w:rPr>
          <w:rStyle w:val="Zvraznn"/>
          <w:i w:val="0"/>
        </w:rPr>
        <w:t xml:space="preserve"> ve věci CME Czech Republic </w:t>
      </w:r>
      <w:r w:rsidRPr="00374823">
        <w:rPr>
          <w:rStyle w:val="Zvraznn"/>
          <w:i w:val="0"/>
        </w:rPr>
        <w:t xml:space="preserve"> v. The Czech Republic, odst. 611</w:t>
      </w:r>
      <w:r>
        <w:rPr>
          <w:rStyle w:val="Zvraznn"/>
          <w:i w:val="0"/>
        </w:rPr>
        <w:t>.</w:t>
      </w:r>
    </w:p>
  </w:footnote>
  <w:footnote w:id="77">
    <w:p w14:paraId="774CCDA3" w14:textId="36B6E150" w:rsidR="00007D48" w:rsidRDefault="00007D48">
      <w:pPr>
        <w:pStyle w:val="Textpoznpodarou"/>
      </w:pPr>
      <w:r>
        <w:rPr>
          <w:rStyle w:val="Znakapoznpodarou"/>
        </w:rPr>
        <w:footnoteRef/>
      </w:r>
      <w:r>
        <w:t xml:space="preserve"> Op. cit </w:t>
      </w:r>
      <w:r w:rsidRPr="003F4E51">
        <w:rPr>
          <w:i/>
        </w:rPr>
        <w:t>1 BvR 2821/11…</w:t>
      </w:r>
      <w:r>
        <w:rPr>
          <w:i/>
        </w:rPr>
        <w:t>,</w:t>
      </w:r>
      <w:r w:rsidRPr="003F4E51">
        <w:rPr>
          <w:i/>
        </w:rPr>
        <w:t xml:space="preserve"> </w:t>
      </w:r>
      <w:r w:rsidRPr="00BE07A1">
        <w:t>odst.</w:t>
      </w:r>
      <w:r>
        <w:t xml:space="preserve"> 379-382.</w:t>
      </w:r>
    </w:p>
  </w:footnote>
  <w:footnote w:id="78">
    <w:p w14:paraId="670DC8D1" w14:textId="75E929F1" w:rsidR="00007D48" w:rsidRPr="00762914" w:rsidRDefault="00007D48">
      <w:pPr>
        <w:pStyle w:val="Textpoznpodarou"/>
      </w:pPr>
      <w:r>
        <w:rPr>
          <w:rStyle w:val="Znakapoznpodarou"/>
        </w:rPr>
        <w:footnoteRef/>
      </w:r>
      <w:r>
        <w:t xml:space="preserve"> LEVINE, Matthew. </w:t>
      </w:r>
      <w:r w:rsidRPr="00762914">
        <w:rPr>
          <w:i/>
        </w:rPr>
        <w:t>ICSID tribunal dismisses final claim for compensation in relation to Hungary’s 2008 termination of power purchase agreement</w:t>
      </w:r>
      <w:r>
        <w:t xml:space="preserve"> [online]. iisd.org, 29. února 2016 [cit. 16</w:t>
      </w:r>
      <w:r w:rsidRPr="00145DD9">
        <w:t>. března 2017]. Dostupné na</w:t>
      </w:r>
      <w:r>
        <w:t xml:space="preserve"> &lt; </w:t>
      </w:r>
      <w:hyperlink r:id="rId6" w:history="1">
        <w:r w:rsidRPr="00CA3424">
          <w:rPr>
            <w:rStyle w:val="Hypertextovodkaz"/>
          </w:rPr>
          <w:t>https://www.iisd.org/itn/2016/02/29/icsid-tribunal-dismisses-final-claim-for-compensation-in-relation-to-hungarys-2008-termination-of-power-purchase-agreement-electrabel-sa-v-republic-of-hungary-icsid-case-no-arb-07-1/</w:t>
        </w:r>
      </w:hyperlink>
      <w:r>
        <w:t xml:space="preserve">&gt;. </w:t>
      </w:r>
    </w:p>
  </w:footnote>
  <w:footnote w:id="79">
    <w:p w14:paraId="51E34CED" w14:textId="7E4FDE69" w:rsidR="00007D48" w:rsidRDefault="00007D48">
      <w:pPr>
        <w:pStyle w:val="Textpoznpodarou"/>
      </w:pPr>
      <w:r>
        <w:rPr>
          <w:rStyle w:val="Znakapoznpodarou"/>
        </w:rPr>
        <w:footnoteRef/>
      </w:r>
      <w:r>
        <w:t xml:space="preserve"> Rozhodčí nález ICSID ze dne 25. listopadu 2015 ve věci </w:t>
      </w:r>
      <w:r w:rsidRPr="00C5290E">
        <w:t>Electrabel S.A. v. Republic of Hungary</w:t>
      </w:r>
      <w:r>
        <w:t>, odst. 155 – 165.</w:t>
      </w:r>
    </w:p>
  </w:footnote>
  <w:footnote w:id="80">
    <w:p w14:paraId="43279652" w14:textId="20EE7EEC" w:rsidR="00007D48" w:rsidRPr="006D5E18" w:rsidRDefault="00007D48">
      <w:pPr>
        <w:pStyle w:val="Textpoznpodarou"/>
      </w:pPr>
      <w:r>
        <w:rPr>
          <w:rStyle w:val="Znakapoznpodarou"/>
        </w:rPr>
        <w:footnoteRef/>
      </w:r>
      <w:r>
        <w:t xml:space="preserve"> CAMERON, Peter. </w:t>
      </w:r>
      <w:r w:rsidRPr="006D5E18">
        <w:rPr>
          <w:i/>
        </w:rPr>
        <w:t>International energy investment law: the pursuit of stability</w:t>
      </w:r>
      <w:r>
        <w:t>. Oxford: Oxford Univ. Press, 2010, s. 199.</w:t>
      </w:r>
    </w:p>
  </w:footnote>
  <w:footnote w:id="81">
    <w:p w14:paraId="5D5C6E68" w14:textId="6FCAA95E" w:rsidR="00007D48" w:rsidRDefault="00007D48">
      <w:pPr>
        <w:pStyle w:val="Textpoznpodarou"/>
      </w:pPr>
      <w:r>
        <w:rPr>
          <w:rStyle w:val="Znakapoznpodarou"/>
        </w:rPr>
        <w:footnoteRef/>
      </w:r>
      <w:r>
        <w:t xml:space="preserve"> Op. cit. JOHNSON, Lise:</w:t>
      </w:r>
      <w:r w:rsidRPr="00763B0C">
        <w:rPr>
          <w:i/>
        </w:rPr>
        <w:t xml:space="preserve"> State Liability for Regulatory Change</w:t>
      </w:r>
      <w:r>
        <w:rPr>
          <w:i/>
        </w:rPr>
        <w:t>...</w:t>
      </w:r>
    </w:p>
  </w:footnote>
  <w:footnote w:id="82">
    <w:p w14:paraId="02EE4535" w14:textId="59144FD7" w:rsidR="00007D48" w:rsidRDefault="00007D48">
      <w:pPr>
        <w:pStyle w:val="Textpoznpodarou"/>
      </w:pPr>
      <w:r>
        <w:rPr>
          <w:rStyle w:val="Znakapoznpodarou"/>
        </w:rPr>
        <w:footnoteRef/>
      </w:r>
      <w:r>
        <w:t xml:space="preserve"> Rozhodčí nález ICSID ze dne 8. října 2009 ve věci</w:t>
      </w:r>
      <w:r w:rsidRPr="00DB01D5">
        <w:t xml:space="preserve"> EDF (Services) Limited v. Romania</w:t>
      </w:r>
      <w:r>
        <w:t>, odst. 218.</w:t>
      </w:r>
    </w:p>
  </w:footnote>
  <w:footnote w:id="83">
    <w:p w14:paraId="2CFD7A1C" w14:textId="5AD4F1F4" w:rsidR="00007D48" w:rsidRDefault="00007D48">
      <w:pPr>
        <w:pStyle w:val="Textpoznpodarou"/>
      </w:pPr>
      <w:r>
        <w:rPr>
          <w:rStyle w:val="Znakapoznpodarou"/>
        </w:rPr>
        <w:footnoteRef/>
      </w:r>
      <w:r>
        <w:t xml:space="preserve"> Článek 11, odst. 4 LZPS: „Vyvlastnění nebo nucené omezení vlastnického práva je možné ve veřejném zájmu, a to na základě zákona a za náhradu.“</w:t>
      </w:r>
    </w:p>
  </w:footnote>
  <w:footnote w:id="84">
    <w:p w14:paraId="4FCD4F55" w14:textId="37E6C407" w:rsidR="00007D48" w:rsidRDefault="00007D48">
      <w:pPr>
        <w:pStyle w:val="Textpoznpodarou"/>
      </w:pPr>
      <w:r>
        <w:rPr>
          <w:rStyle w:val="Znakapoznpodarou"/>
        </w:rPr>
        <w:footnoteRef/>
      </w:r>
      <w:r>
        <w:t xml:space="preserve"> </w:t>
      </w:r>
      <w:r w:rsidRPr="004F33C1">
        <w:t>SEKANINA</w:t>
      </w:r>
      <w:r>
        <w:t xml:space="preserve">, Ondřej. </w:t>
      </w:r>
      <w:r w:rsidRPr="00AA075A">
        <w:rPr>
          <w:i/>
        </w:rPr>
        <w:t>Nepřímé vyvlastnění v praxi mezinárodních investičních arbitráží</w:t>
      </w:r>
      <w:r>
        <w:t xml:space="preserve">. </w:t>
      </w:r>
      <w:r w:rsidRPr="00F1757A">
        <w:t xml:space="preserve">[online]. </w:t>
      </w:r>
      <w:r w:rsidRPr="00AA075A">
        <w:t>sekaninalegal.eu</w:t>
      </w:r>
      <w:r w:rsidRPr="00F1757A">
        <w:t xml:space="preserve">, </w:t>
      </w:r>
      <w:r>
        <w:t>3 ledna 2010 [cit. 5. října 2016</w:t>
      </w:r>
      <w:r w:rsidRPr="00F1757A">
        <w:t>]. Dostupné na</w:t>
      </w:r>
      <w:r>
        <w:t xml:space="preserve"> &lt;</w:t>
      </w:r>
      <w:hyperlink r:id="rId7" w:history="1">
        <w:r w:rsidRPr="0060176E">
          <w:rPr>
            <w:rStyle w:val="Hypertextovodkaz"/>
          </w:rPr>
          <w:t>http://www.sekaninalegal.eu/article/57/ondrej-sekanina-neprime-vyvlastneni-v-praxi-mezinarodnich-investicnich-arbitrazi</w:t>
        </w:r>
      </w:hyperlink>
      <w:r>
        <w:t>&gt;.</w:t>
      </w:r>
    </w:p>
  </w:footnote>
  <w:footnote w:id="85">
    <w:p w14:paraId="52822DF8" w14:textId="0C779225" w:rsidR="00007D48" w:rsidRDefault="00007D48" w:rsidP="00203DB0">
      <w:pPr>
        <w:pStyle w:val="Textpoznpodarou"/>
      </w:pPr>
      <w:r>
        <w:rPr>
          <w:rStyle w:val="Znakapoznpodarou"/>
        </w:rPr>
        <w:footnoteRef/>
      </w:r>
      <w:r>
        <w:t xml:space="preserve"> Ve většině dosavadních BIT se objevují právě formulace „přímé nebo nepřímé vyvlastnění“ či „opatření srovnatelné s vyvlastněním“.</w:t>
      </w:r>
    </w:p>
  </w:footnote>
  <w:footnote w:id="86">
    <w:p w14:paraId="37657F7B" w14:textId="0AE84EC3" w:rsidR="00007D48" w:rsidRDefault="00007D48">
      <w:pPr>
        <w:pStyle w:val="Textpoznpodarou"/>
      </w:pPr>
      <w:r>
        <w:rPr>
          <w:rStyle w:val="Znakapoznpodarou"/>
        </w:rPr>
        <w:footnoteRef/>
      </w:r>
      <w:r>
        <w:t xml:space="preserve"> Nutno rozlišit kompenzaci v případě vyvlastnění ve veřejném zájmu (compensation) od náhrady škody (damages), která by připadala v úvahu například za nezákonné vyvlastnění, mezinárodní právo tyto pojmy odlišuje obsahově i formálně.</w:t>
      </w:r>
    </w:p>
  </w:footnote>
  <w:footnote w:id="87">
    <w:p w14:paraId="0F37288D" w14:textId="7B47C1F2" w:rsidR="00007D48" w:rsidRDefault="00007D48">
      <w:pPr>
        <w:pStyle w:val="Textpoznpodarou"/>
      </w:pPr>
      <w:r>
        <w:rPr>
          <w:rStyle w:val="Znakapoznpodarou"/>
        </w:rPr>
        <w:footnoteRef/>
      </w:r>
      <w:r>
        <w:t xml:space="preserve"> DOLZER</w:t>
      </w:r>
      <w:r w:rsidRPr="005A05D6">
        <w:t xml:space="preserve">, </w:t>
      </w:r>
      <w:r>
        <w:t>SCHREUER</w:t>
      </w:r>
      <w:r w:rsidRPr="005A05D6">
        <w:t>:</w:t>
      </w:r>
      <w:r>
        <w:t xml:space="preserve"> </w:t>
      </w:r>
      <w:r>
        <w:rPr>
          <w:i/>
          <w:iCs/>
        </w:rPr>
        <w:t>Principles of international</w:t>
      </w:r>
      <w:r>
        <w:t>... s. 91.</w:t>
      </w:r>
    </w:p>
  </w:footnote>
  <w:footnote w:id="88">
    <w:p w14:paraId="70672811" w14:textId="3124A239" w:rsidR="00007D48" w:rsidRDefault="00007D48" w:rsidP="00005935">
      <w:pPr>
        <w:pStyle w:val="Textpoznpodarou"/>
      </w:pPr>
      <w:r>
        <w:rPr>
          <w:rStyle w:val="Znakapoznpodarou"/>
        </w:rPr>
        <w:footnoteRef/>
      </w:r>
      <w:r>
        <w:t xml:space="preserve"> Op. cit. </w:t>
      </w:r>
      <w:r w:rsidRPr="004F33C1">
        <w:t>SEKANINA</w:t>
      </w:r>
      <w:r>
        <w:t xml:space="preserve">: </w:t>
      </w:r>
      <w:r w:rsidRPr="00005935">
        <w:rPr>
          <w:i/>
        </w:rPr>
        <w:t>Nepřímé vyvlastnění</w:t>
      </w:r>
      <w:r>
        <w:rPr>
          <w:i/>
        </w:rPr>
        <w:t>...</w:t>
      </w:r>
    </w:p>
  </w:footnote>
  <w:footnote w:id="89">
    <w:p w14:paraId="48E99CAC" w14:textId="77FA9C37" w:rsidR="00007D48" w:rsidRDefault="00007D48" w:rsidP="00C561D7">
      <w:pPr>
        <w:pStyle w:val="Textpoznpodarou"/>
        <w:rPr>
          <w:rStyle w:val="exldetailsdisplayval"/>
        </w:rPr>
      </w:pPr>
      <w:r>
        <w:rPr>
          <w:rStyle w:val="Znakapoznpodarou"/>
        </w:rPr>
        <w:footnoteRef/>
      </w:r>
      <w:r>
        <w:t xml:space="preserve"> MEIFORT, Cornelia. </w:t>
      </w:r>
      <w:r w:rsidRPr="004C5B17">
        <w:rPr>
          <w:i/>
        </w:rPr>
        <w:t>Der Begriff der Enteignung nach der Rechtsprechung der internationalen Schiedsgerichte zum internationalen Investitionsschutzrecht</w:t>
      </w:r>
      <w:r>
        <w:rPr>
          <w:i/>
        </w:rPr>
        <w:t>.</w:t>
      </w:r>
      <w:r>
        <w:t xml:space="preserve"> </w:t>
      </w:r>
      <w:r>
        <w:rPr>
          <w:rStyle w:val="exldetailsdisplayval"/>
        </w:rPr>
        <w:t>Frankfurt am Main: Lang, 2010. s. 163.</w:t>
      </w:r>
    </w:p>
    <w:p w14:paraId="622E513C" w14:textId="25EF42B1" w:rsidR="00007D48" w:rsidRPr="00121569" w:rsidRDefault="00007D48" w:rsidP="00C561D7">
      <w:pPr>
        <w:pStyle w:val="Textpoznpodarou"/>
      </w:pPr>
      <w:r w:rsidRPr="00203DB0">
        <w:t>Že se použití SED mimo ochranu zahraničních investic nevyskytuje a je pro investora velice „nadstandartní“, ukazuje i článek 1 dodatk</w:t>
      </w:r>
      <w:r>
        <w:t xml:space="preserve">ového protokolu k ECHR ze dne 20. března 1952: </w:t>
      </w:r>
      <w:r w:rsidRPr="00502893">
        <w:rPr>
          <w:i/>
        </w:rPr>
        <w:t>„Každá fyzická nebo právnická osoba má právo pokojně užívat svůj majetek. Nikdo nemůže být zbaven svého majetku s výjimkou veřejného zájmu a za podmínek, které stanoví zákon a obecné zásady mezinárodního práva.  Předchozí ustanovení nebrání právu států přijímat zákony, které považují za nezbytné, aby upravily užívání majetku v souladu s obecným zájmem a zajistily placení daní a jiných poplatků nebo pokut.“</w:t>
      </w:r>
    </w:p>
  </w:footnote>
  <w:footnote w:id="90">
    <w:p w14:paraId="3EA4AD50" w14:textId="6447CF82" w:rsidR="00007D48" w:rsidRDefault="00007D48">
      <w:pPr>
        <w:pStyle w:val="Textpoznpodarou"/>
      </w:pPr>
      <w:r>
        <w:rPr>
          <w:rStyle w:val="Znakapoznpodarou"/>
        </w:rPr>
        <w:footnoteRef/>
      </w:r>
      <w:r>
        <w:t xml:space="preserve"> Z nejznámějších podle NAFTA například </w:t>
      </w:r>
      <w:r w:rsidRPr="001C2909">
        <w:rPr>
          <w:i/>
        </w:rPr>
        <w:t>Metalclad</w:t>
      </w:r>
      <w:r>
        <w:t xml:space="preserve">, odst. 111 nebo Rozhodčí nález ICSID ze dne 26. července 2006 ve věci </w:t>
      </w:r>
      <w:r w:rsidRPr="003B1393">
        <w:t>Tokios Tokelés v. Ukraine</w:t>
      </w:r>
      <w:r>
        <w:t>, odst. 120.</w:t>
      </w:r>
    </w:p>
  </w:footnote>
  <w:footnote w:id="91">
    <w:p w14:paraId="5424202A" w14:textId="280A5355" w:rsidR="00007D48" w:rsidRPr="00005935" w:rsidRDefault="00007D48">
      <w:pPr>
        <w:pStyle w:val="Textpoznpodarou"/>
      </w:pPr>
      <w:r>
        <w:rPr>
          <w:rStyle w:val="Znakapoznpodarou"/>
        </w:rPr>
        <w:footnoteRef/>
      </w:r>
      <w:r>
        <w:t xml:space="preserve"> Op. cit. </w:t>
      </w:r>
      <w:r w:rsidRPr="004F33C1">
        <w:t>SEKANINA</w:t>
      </w:r>
      <w:r>
        <w:t xml:space="preserve">: </w:t>
      </w:r>
      <w:r w:rsidRPr="00005935">
        <w:rPr>
          <w:i/>
        </w:rPr>
        <w:t>Nepřímé vyvlastnění</w:t>
      </w:r>
      <w:r>
        <w:rPr>
          <w:i/>
        </w:rPr>
        <w:t xml:space="preserve">... </w:t>
      </w:r>
    </w:p>
  </w:footnote>
  <w:footnote w:id="92">
    <w:p w14:paraId="4357E97E" w14:textId="0B6D683A" w:rsidR="00007D48" w:rsidRDefault="00007D48">
      <w:pPr>
        <w:pStyle w:val="Textpoznpodarou"/>
      </w:pPr>
      <w:r>
        <w:rPr>
          <w:rStyle w:val="Znakapoznpodarou"/>
        </w:rPr>
        <w:footnoteRef/>
      </w:r>
      <w:r>
        <w:t xml:space="preserve"> Rozhodčí nález ICSID ze dne 13. září 2006 ve věci </w:t>
      </w:r>
      <w:r w:rsidRPr="00EC36BE">
        <w:t>Telenor Mobile Communications A.S. v. The Republic of Hungary</w:t>
      </w:r>
      <w:r>
        <w:t>, odst. 79.</w:t>
      </w:r>
    </w:p>
    <w:p w14:paraId="11F0AA58" w14:textId="7458BD91" w:rsidR="00007D48" w:rsidRDefault="00007D48">
      <w:pPr>
        <w:pStyle w:val="Textpoznpodarou"/>
      </w:pPr>
      <w:r>
        <w:t xml:space="preserve">Shodně například </w:t>
      </w:r>
      <w:r>
        <w:rPr>
          <w:i/>
        </w:rPr>
        <w:t>CME</w:t>
      </w:r>
      <w:r>
        <w:t>, odst. 688.</w:t>
      </w:r>
    </w:p>
  </w:footnote>
  <w:footnote w:id="93">
    <w:p w14:paraId="33C95D15" w14:textId="56F551EC" w:rsidR="00007D48" w:rsidRPr="00882908" w:rsidRDefault="00007D48">
      <w:pPr>
        <w:pStyle w:val="Textpoznpodarou"/>
      </w:pPr>
      <w:r>
        <w:rPr>
          <w:rStyle w:val="Znakapoznpodarou"/>
        </w:rPr>
        <w:footnoteRef/>
      </w:r>
      <w:r>
        <w:t xml:space="preserve"> Op. cit. </w:t>
      </w:r>
      <w:r>
        <w:rPr>
          <w:i/>
        </w:rPr>
        <w:t>Thunderbird...</w:t>
      </w:r>
      <w:r>
        <w:t>, odst. 147.</w:t>
      </w:r>
    </w:p>
  </w:footnote>
  <w:footnote w:id="94">
    <w:p w14:paraId="7CA23DD8" w14:textId="429FDA44" w:rsidR="00007D48" w:rsidRPr="00F760E0" w:rsidRDefault="00007D48">
      <w:pPr>
        <w:pStyle w:val="Textpoznpodarou"/>
      </w:pPr>
      <w:r>
        <w:rPr>
          <w:rStyle w:val="Znakapoznpodarou"/>
        </w:rPr>
        <w:footnoteRef/>
      </w:r>
      <w:r>
        <w:t xml:space="preserve"> Op. cit. </w:t>
      </w:r>
      <w:r>
        <w:rPr>
          <w:i/>
        </w:rPr>
        <w:t>Metalclad</w:t>
      </w:r>
      <w:r>
        <w:t>..., odst. 103.</w:t>
      </w:r>
    </w:p>
  </w:footnote>
  <w:footnote w:id="95">
    <w:p w14:paraId="38FF4EA9" w14:textId="774AF30F" w:rsidR="00007D48" w:rsidRDefault="00007D48">
      <w:pPr>
        <w:pStyle w:val="Textpoznpodarou"/>
      </w:pPr>
      <w:r>
        <w:rPr>
          <w:rStyle w:val="Znakapoznpodarou"/>
        </w:rPr>
        <w:footnoteRef/>
      </w:r>
      <w:r>
        <w:t xml:space="preserve"> Rozhodnutí Supreme Court of British Columbia ze dne 2. května 2001 ve věci Metalclad v. The United Mexican States, odst. 68.</w:t>
      </w:r>
    </w:p>
  </w:footnote>
  <w:footnote w:id="96">
    <w:p w14:paraId="0E9FE72A" w14:textId="63B8B14E" w:rsidR="00007D48" w:rsidRPr="002C03ED" w:rsidRDefault="00007D48">
      <w:pPr>
        <w:pStyle w:val="Textpoznpodarou"/>
      </w:pPr>
      <w:r>
        <w:rPr>
          <w:rStyle w:val="Znakapoznpodarou"/>
        </w:rPr>
        <w:footnoteRef/>
      </w:r>
      <w:r>
        <w:t xml:space="preserve"> OECD. </w:t>
      </w:r>
      <w:r>
        <w:rPr>
          <w:i/>
        </w:rPr>
        <w:t>Indirect expropriation and the Right to regulate in international investment law</w:t>
      </w:r>
      <w:r>
        <w:t xml:space="preserve"> [online]. oecd.org, duben 2004 [cit. 16</w:t>
      </w:r>
      <w:r w:rsidRPr="00145DD9">
        <w:t xml:space="preserve">. </w:t>
      </w:r>
      <w:r>
        <w:t>prosince 2016</w:t>
      </w:r>
      <w:r w:rsidRPr="00145DD9">
        <w:t>]. Dostupné na</w:t>
      </w:r>
      <w:r>
        <w:t xml:space="preserve"> &lt;</w:t>
      </w:r>
      <w:hyperlink r:id="rId8" w:history="1">
        <w:r w:rsidRPr="00B35817">
          <w:rPr>
            <w:rStyle w:val="Hypertextovodkaz"/>
          </w:rPr>
          <w:t>https://www.oecd.org/daf/inv/investment-policy/WP-2004_4.pdf</w:t>
        </w:r>
      </w:hyperlink>
      <w:r>
        <w:t>&gt;.</w:t>
      </w:r>
    </w:p>
  </w:footnote>
  <w:footnote w:id="97">
    <w:p w14:paraId="5E99BF01" w14:textId="75863A95" w:rsidR="00007D48" w:rsidRPr="00A90B6E" w:rsidRDefault="00007D48">
      <w:pPr>
        <w:pStyle w:val="Textpoznpodarou"/>
      </w:pPr>
      <w:r>
        <w:rPr>
          <w:rStyle w:val="Znakapoznpodarou"/>
        </w:rPr>
        <w:footnoteRef/>
      </w:r>
      <w:r>
        <w:t xml:space="preserve"> Op. cit. </w:t>
      </w:r>
      <w:r>
        <w:rPr>
          <w:i/>
        </w:rPr>
        <w:t>Methanex</w:t>
      </w:r>
      <w:r>
        <w:t>... část 4., kapitola D, odst. 7.</w:t>
      </w:r>
    </w:p>
  </w:footnote>
  <w:footnote w:id="98">
    <w:p w14:paraId="2CA96F07" w14:textId="73EDCEF9" w:rsidR="00007D48" w:rsidRPr="00AC31AB" w:rsidRDefault="00007D48" w:rsidP="0088748C">
      <w:pPr>
        <w:pStyle w:val="Textpoznpodarou"/>
      </w:pPr>
      <w:r w:rsidRPr="00AC31AB">
        <w:rPr>
          <w:rStyle w:val="Znakapoznpodarou"/>
        </w:rPr>
        <w:footnoteRef/>
      </w:r>
      <w:r w:rsidRPr="00AC31AB">
        <w:t xml:space="preserve"> KRIEBAUM, Ursula. Regulatory Takings: Balancing the Interests of the Investor and the State. </w:t>
      </w:r>
      <w:r w:rsidRPr="00AC31AB">
        <w:rPr>
          <w:i/>
        </w:rPr>
        <w:t>The Journal of World Investment and Trade</w:t>
      </w:r>
      <w:r w:rsidRPr="00AC31AB">
        <w:t>. 2007, roč. 8, č. 1, s. 727</w:t>
      </w:r>
      <w:r>
        <w:t>.</w:t>
      </w:r>
    </w:p>
  </w:footnote>
  <w:footnote w:id="99">
    <w:p w14:paraId="26147140" w14:textId="052A1A26" w:rsidR="00007D48" w:rsidRDefault="00007D48">
      <w:pPr>
        <w:pStyle w:val="Textpoznpodarou"/>
      </w:pPr>
      <w:r>
        <w:rPr>
          <w:rStyle w:val="Znakapoznpodarou"/>
        </w:rPr>
        <w:footnoteRef/>
      </w:r>
      <w:r>
        <w:t xml:space="preserve"> ISAKOFF, Peter. Defining the scope of indirect expropriation for international investments. </w:t>
      </w:r>
      <w:r>
        <w:rPr>
          <w:i/>
        </w:rPr>
        <w:t>Global business law review</w:t>
      </w:r>
      <w:r>
        <w:t>, 2012, roč. 13, č. 3, s. 200.</w:t>
      </w:r>
    </w:p>
  </w:footnote>
  <w:footnote w:id="100">
    <w:p w14:paraId="7E7A9A4E" w14:textId="3B39E8AA" w:rsidR="00007D48" w:rsidRDefault="00007D48">
      <w:pPr>
        <w:pStyle w:val="Textpoznpodarou"/>
      </w:pPr>
      <w:r>
        <w:rPr>
          <w:rStyle w:val="Znakapoznpodarou"/>
        </w:rPr>
        <w:footnoteRef/>
      </w:r>
      <w:r>
        <w:t xml:space="preserve"> Rozhodčí nález UNCITRAL ze dne 2. srpna 2010 ve věci </w:t>
      </w:r>
      <w:r w:rsidRPr="00857E6B">
        <w:t>Chemtura Corporation v. Government of Canada</w:t>
      </w:r>
      <w:r>
        <w:t>, odst. 266.</w:t>
      </w:r>
    </w:p>
  </w:footnote>
  <w:footnote w:id="101">
    <w:p w14:paraId="644975E5" w14:textId="3C09EC3D" w:rsidR="00007D48" w:rsidRPr="007D1521" w:rsidRDefault="00007D48">
      <w:pPr>
        <w:pStyle w:val="Textpoznpodarou"/>
      </w:pPr>
      <w:r>
        <w:rPr>
          <w:rStyle w:val="Znakapoznpodarou"/>
        </w:rPr>
        <w:footnoteRef/>
      </w:r>
      <w:r>
        <w:t xml:space="preserve"> INVESTOPEDIA. </w:t>
      </w:r>
      <w:r w:rsidRPr="007D1521">
        <w:rPr>
          <w:i/>
        </w:rPr>
        <w:t>Goodwill</w:t>
      </w:r>
      <w:r>
        <w:t xml:space="preserve"> [online]. investopedia.org, [cit. 3</w:t>
      </w:r>
      <w:r w:rsidRPr="00145DD9">
        <w:t xml:space="preserve">. </w:t>
      </w:r>
      <w:r>
        <w:t>dubna 2017</w:t>
      </w:r>
      <w:r w:rsidRPr="00145DD9">
        <w:t>]. Dostupné na</w:t>
      </w:r>
      <w:r>
        <w:t xml:space="preserve"> &lt;</w:t>
      </w:r>
      <w:hyperlink r:id="rId9" w:history="1">
        <w:r w:rsidRPr="007D1521">
          <w:rPr>
            <w:rStyle w:val="Hypertextovodkaz"/>
          </w:rPr>
          <w:t>http://www.investopedia.com/terms/g/goodwill.asp</w:t>
        </w:r>
      </w:hyperlink>
      <w:r>
        <w:t>&gt;.</w:t>
      </w:r>
    </w:p>
  </w:footnote>
  <w:footnote w:id="102">
    <w:p w14:paraId="14EE2FFF" w14:textId="7A7D65EA" w:rsidR="00007D48" w:rsidRDefault="00007D48">
      <w:pPr>
        <w:pStyle w:val="Textpoznpodarou"/>
      </w:pPr>
      <w:r w:rsidRPr="002E5E25">
        <w:rPr>
          <w:rStyle w:val="Znakapoznpodarou"/>
        </w:rPr>
        <w:footnoteRef/>
      </w:r>
      <w:r>
        <w:t xml:space="preserve"> Op. c</w:t>
      </w:r>
      <w:r w:rsidRPr="002E5E25">
        <w:t xml:space="preserve">it. </w:t>
      </w:r>
      <w:r w:rsidRPr="002E5E25">
        <w:rPr>
          <w:i/>
        </w:rPr>
        <w:t>Philip Morris...</w:t>
      </w:r>
      <w:r>
        <w:rPr>
          <w:i/>
        </w:rPr>
        <w:t>,</w:t>
      </w:r>
      <w:r w:rsidRPr="002E5E25">
        <w:rPr>
          <w:i/>
        </w:rPr>
        <w:t xml:space="preserve"> </w:t>
      </w:r>
      <w:r>
        <w:t>odst</w:t>
      </w:r>
      <w:r w:rsidRPr="002E5E25">
        <w:t>. 254</w:t>
      </w:r>
      <w:r>
        <w:t>.</w:t>
      </w:r>
    </w:p>
  </w:footnote>
  <w:footnote w:id="103">
    <w:p w14:paraId="12687237" w14:textId="639DD06B" w:rsidR="00007D48" w:rsidRDefault="00007D48">
      <w:pPr>
        <w:pStyle w:val="Textpoznpodarou"/>
      </w:pPr>
      <w:r>
        <w:rPr>
          <w:rStyle w:val="Znakapoznpodarou"/>
        </w:rPr>
        <w:footnoteRef/>
      </w:r>
      <w:r>
        <w:t xml:space="preserve"> Tamtéž, odst. 274.</w:t>
      </w:r>
    </w:p>
  </w:footnote>
  <w:footnote w:id="104">
    <w:p w14:paraId="52946F6C" w14:textId="38517E53" w:rsidR="00007D48" w:rsidRDefault="00007D48">
      <w:pPr>
        <w:pStyle w:val="Textpoznpodarou"/>
      </w:pPr>
      <w:r>
        <w:rPr>
          <w:rStyle w:val="Znakapoznpodarou"/>
        </w:rPr>
        <w:footnoteRef/>
      </w:r>
      <w:r>
        <w:t xml:space="preserve"> Tamtéž, odst. 284.</w:t>
      </w:r>
    </w:p>
  </w:footnote>
  <w:footnote w:id="105">
    <w:p w14:paraId="638666C6" w14:textId="29680DBF" w:rsidR="00007D48" w:rsidRDefault="00007D48">
      <w:pPr>
        <w:pStyle w:val="Textpoznpodarou"/>
      </w:pPr>
      <w:r>
        <w:rPr>
          <w:rStyle w:val="Znakapoznpodarou"/>
        </w:rPr>
        <w:footnoteRef/>
      </w:r>
      <w:r>
        <w:t xml:space="preserve"> Tamtéž, odst. 288.</w:t>
      </w:r>
    </w:p>
    <w:p w14:paraId="5F6C1488" w14:textId="24993896" w:rsidR="00007D48" w:rsidRDefault="00007D48">
      <w:pPr>
        <w:pStyle w:val="Textpoznpodarou"/>
      </w:pPr>
      <w:r>
        <w:t>Článek 2 BIT:</w:t>
      </w:r>
      <w:r w:rsidRPr="002154AD">
        <w:t xml:space="preserve"> </w:t>
      </w:r>
      <w:r>
        <w:t>„strany mají právo nepovolit na svém území investiční aktivity z důvodů ochrany životního prostředí, zdraví obyvatel...“</w:t>
      </w:r>
    </w:p>
  </w:footnote>
  <w:footnote w:id="106">
    <w:p w14:paraId="15D4D5F0" w14:textId="0783E854" w:rsidR="00007D48" w:rsidRDefault="00007D48">
      <w:pPr>
        <w:pStyle w:val="Textpoznpodarou"/>
      </w:pPr>
      <w:r>
        <w:rPr>
          <w:rStyle w:val="Znakapoznpodarou"/>
        </w:rPr>
        <w:footnoteRef/>
      </w:r>
      <w:r>
        <w:t xml:space="preserve"> Tamtéž, odst. 292.</w:t>
      </w:r>
    </w:p>
  </w:footnote>
  <w:footnote w:id="107">
    <w:p w14:paraId="0FE5DB8C" w14:textId="4C7B0F4C" w:rsidR="00007D48" w:rsidRPr="000102A5" w:rsidRDefault="00007D48">
      <w:pPr>
        <w:pStyle w:val="Textpoznpodarou"/>
      </w:pPr>
      <w:r>
        <w:rPr>
          <w:rStyle w:val="Znakapoznpodarou"/>
        </w:rPr>
        <w:footnoteRef/>
      </w:r>
      <w:r>
        <w:t xml:space="preserve"> Op. cit. </w:t>
      </w:r>
      <w:r w:rsidRPr="000102A5">
        <w:rPr>
          <w:i/>
        </w:rPr>
        <w:t>Rozsudek pr</w:t>
      </w:r>
      <w:r>
        <w:rPr>
          <w:i/>
        </w:rPr>
        <w:t xml:space="preserve">vního senátu </w:t>
      </w:r>
      <w:r w:rsidRPr="00FA7127">
        <w:rPr>
          <w:i/>
        </w:rPr>
        <w:t>BVerfG</w:t>
      </w:r>
      <w:r>
        <w:t>..., odst. 262.</w:t>
      </w:r>
    </w:p>
  </w:footnote>
  <w:footnote w:id="108">
    <w:p w14:paraId="270CC313" w14:textId="0F42E7B9" w:rsidR="00007D48" w:rsidRDefault="00007D48">
      <w:pPr>
        <w:pStyle w:val="Textpoznpodarou"/>
      </w:pPr>
      <w:r>
        <w:rPr>
          <w:rStyle w:val="Znakapoznpodarou"/>
        </w:rPr>
        <w:footnoteRef/>
      </w:r>
      <w:r>
        <w:t xml:space="preserve"> Tamtéž, odst. 259.</w:t>
      </w:r>
    </w:p>
  </w:footnote>
  <w:footnote w:id="109">
    <w:p w14:paraId="190DA78D" w14:textId="20001002" w:rsidR="00007D48" w:rsidRDefault="00007D48" w:rsidP="00097EC0">
      <w:pPr>
        <w:pStyle w:val="Textpoznpodarou"/>
      </w:pPr>
      <w:r>
        <w:rPr>
          <w:rStyle w:val="Znakapoznpodarou"/>
        </w:rPr>
        <w:footnoteRef/>
      </w:r>
      <w:r>
        <w:t xml:space="preserve"> Tamtéž, odst. 261, 376.</w:t>
      </w:r>
    </w:p>
  </w:footnote>
  <w:footnote w:id="110">
    <w:p w14:paraId="3BE19D25" w14:textId="3D72E0B0" w:rsidR="00007D48" w:rsidRDefault="00007D48" w:rsidP="00097EC0">
      <w:pPr>
        <w:pStyle w:val="Textpoznpodarou"/>
      </w:pPr>
      <w:r>
        <w:rPr>
          <w:rStyle w:val="Znakapoznpodarou"/>
        </w:rPr>
        <w:footnoteRef/>
      </w:r>
      <w:r>
        <w:t xml:space="preserve"> </w:t>
      </w:r>
      <w:r w:rsidRPr="00E34E7D">
        <w:t xml:space="preserve">BĚLOHLÁVEK, Alexander: </w:t>
      </w:r>
      <w:r w:rsidRPr="003F1129">
        <w:rPr>
          <w:i/>
        </w:rPr>
        <w:t>Ochrana přímých zahraničních investic v energetice</w:t>
      </w:r>
      <w:r w:rsidRPr="00E34E7D">
        <w:t>.</w:t>
      </w:r>
      <w:r>
        <w:t xml:space="preserve"> 1. vyd. Praha: C. H. Beck, 2011, </w:t>
      </w:r>
      <w:r w:rsidRPr="00E34E7D">
        <w:t>s.</w:t>
      </w:r>
      <w:r>
        <w:t xml:space="preserve"> 91.</w:t>
      </w:r>
    </w:p>
  </w:footnote>
  <w:footnote w:id="111">
    <w:p w14:paraId="3532F758" w14:textId="7B22901C" w:rsidR="00007D48" w:rsidRPr="00013F03" w:rsidRDefault="00007D48">
      <w:pPr>
        <w:pStyle w:val="Textpoznpodarou"/>
      </w:pPr>
      <w:r>
        <w:rPr>
          <w:rStyle w:val="Znakapoznpodarou"/>
        </w:rPr>
        <w:footnoteRef/>
      </w:r>
      <w:r>
        <w:t xml:space="preserve"> VADI, Valentina. </w:t>
      </w:r>
      <w:r w:rsidRPr="00013F03">
        <w:t>Energy Security v. Public Health: Nuclear Energy in International Investment Law and Arbitration</w:t>
      </w:r>
      <w:r>
        <w:t xml:space="preserve">. </w:t>
      </w:r>
      <w:r w:rsidRPr="00013F03">
        <w:rPr>
          <w:i/>
        </w:rPr>
        <w:t>Georgetown Journal of International Law</w:t>
      </w:r>
      <w:r>
        <w:t>. 2016, roč. 47, č. 3, s. 1121.</w:t>
      </w:r>
    </w:p>
  </w:footnote>
  <w:footnote w:id="112">
    <w:p w14:paraId="511B9B14" w14:textId="2F912A47" w:rsidR="00007D48" w:rsidRDefault="00007D48">
      <w:pPr>
        <w:pStyle w:val="Textpoznpodarou"/>
      </w:pPr>
      <w:r>
        <w:rPr>
          <w:rStyle w:val="Znakapoznpodarou"/>
        </w:rPr>
        <w:footnoteRef/>
      </w:r>
      <w:r>
        <w:t xml:space="preserve"> Op. cit. </w:t>
      </w:r>
      <w:r w:rsidRPr="00E00610">
        <w:rPr>
          <w:i/>
        </w:rPr>
        <w:t>Crystallex...</w:t>
      </w:r>
      <w:r>
        <w:rPr>
          <w:i/>
        </w:rPr>
        <w:t>,</w:t>
      </w:r>
      <w:r>
        <w:t xml:space="preserve"> odst. 50.</w:t>
      </w:r>
    </w:p>
  </w:footnote>
  <w:footnote w:id="113">
    <w:p w14:paraId="77534B7D" w14:textId="6F0FAE52" w:rsidR="00007D48" w:rsidRDefault="00007D48">
      <w:pPr>
        <w:pStyle w:val="Textpoznpodarou"/>
      </w:pPr>
      <w:r>
        <w:rPr>
          <w:rStyle w:val="Znakapoznpodarou"/>
        </w:rPr>
        <w:footnoteRef/>
      </w:r>
      <w:r>
        <w:t xml:space="preserve"> Op. cit. </w:t>
      </w:r>
      <w:r w:rsidRPr="00E00610">
        <w:rPr>
          <w:i/>
        </w:rPr>
        <w:t>Crystallex...</w:t>
      </w:r>
      <w:r>
        <w:rPr>
          <w:i/>
        </w:rPr>
        <w:t>,</w:t>
      </w:r>
      <w:r>
        <w:t xml:space="preserve"> odst. 636.</w:t>
      </w:r>
    </w:p>
  </w:footnote>
  <w:footnote w:id="114">
    <w:p w14:paraId="6A8BF43B" w14:textId="479F7966" w:rsidR="00007D48" w:rsidRDefault="00007D48">
      <w:pPr>
        <w:pStyle w:val="Textpoznpodarou"/>
      </w:pPr>
      <w:r>
        <w:rPr>
          <w:rStyle w:val="Znakapoznpodarou"/>
        </w:rPr>
        <w:footnoteRef/>
      </w:r>
      <w:r>
        <w:t xml:space="preserve"> Článek 1 Dohody BIT ze dne 1. 7. 1996 mezi Kanadou a Venezuelou.</w:t>
      </w:r>
    </w:p>
  </w:footnote>
  <w:footnote w:id="115">
    <w:p w14:paraId="6923319B" w14:textId="4C011067" w:rsidR="00007D48" w:rsidRDefault="00007D48">
      <w:pPr>
        <w:pStyle w:val="Textpoznpodarou"/>
      </w:pPr>
      <w:r>
        <w:rPr>
          <w:rStyle w:val="Znakapoznpodarou"/>
        </w:rPr>
        <w:footnoteRef/>
      </w:r>
      <w:r>
        <w:t xml:space="preserve"> Rozhodčí nález ICSID ze dne 17. ledna 2007 ve věci </w:t>
      </w:r>
      <w:r w:rsidRPr="00A952BD">
        <w:t>Siemens A.G. v. The Argentine Republic</w:t>
      </w:r>
      <w:r>
        <w:t>, odst. 248.</w:t>
      </w:r>
    </w:p>
  </w:footnote>
  <w:footnote w:id="116">
    <w:p w14:paraId="3632DCD0" w14:textId="6E21D2C1" w:rsidR="00007D48" w:rsidRDefault="00007D48">
      <w:pPr>
        <w:pStyle w:val="Textpoznpodarou"/>
      </w:pPr>
      <w:r>
        <w:rPr>
          <w:rStyle w:val="Znakapoznpodarou"/>
        </w:rPr>
        <w:footnoteRef/>
      </w:r>
      <w:r>
        <w:t xml:space="preserve"> Op. Cit. </w:t>
      </w:r>
      <w:r w:rsidRPr="00E00610">
        <w:rPr>
          <w:i/>
        </w:rPr>
        <w:t>Crystallex...</w:t>
      </w:r>
      <w:r>
        <w:rPr>
          <w:i/>
        </w:rPr>
        <w:t>,</w:t>
      </w:r>
      <w:r>
        <w:t xml:space="preserve"> odst. 706.</w:t>
      </w:r>
    </w:p>
  </w:footnote>
  <w:footnote w:id="117">
    <w:p w14:paraId="259ECFC6" w14:textId="229F1D5E" w:rsidR="00007D48" w:rsidRDefault="00007D48">
      <w:pPr>
        <w:pStyle w:val="Textpoznpodarou"/>
      </w:pPr>
      <w:r>
        <w:rPr>
          <w:rStyle w:val="Znakapoznpodarou"/>
        </w:rPr>
        <w:footnoteRef/>
      </w:r>
      <w:r>
        <w:t xml:space="preserve"> Op. Cit. </w:t>
      </w:r>
      <w:r w:rsidRPr="00E00610">
        <w:rPr>
          <w:i/>
        </w:rPr>
        <w:t>Crystallex...</w:t>
      </w:r>
      <w:r>
        <w:rPr>
          <w:i/>
        </w:rPr>
        <w:t>,</w:t>
      </w:r>
      <w:r>
        <w:t xml:space="preserve"> odst. 714.</w:t>
      </w:r>
    </w:p>
  </w:footnote>
  <w:footnote w:id="118">
    <w:p w14:paraId="2C4C236C" w14:textId="4D365E2A" w:rsidR="00007D48" w:rsidRPr="00252D6B" w:rsidRDefault="00007D48">
      <w:pPr>
        <w:pStyle w:val="Textpoznpodarou"/>
      </w:pPr>
      <w:r>
        <w:rPr>
          <w:rStyle w:val="Znakapoznpodarou"/>
        </w:rPr>
        <w:footnoteRef/>
      </w:r>
      <w:r>
        <w:t xml:space="preserve"> Op. Cit. </w:t>
      </w:r>
      <w:r w:rsidRPr="006370A1">
        <w:t>ISAKOFF</w:t>
      </w:r>
      <w:r w:rsidRPr="00B25DAD">
        <w:rPr>
          <w:i/>
        </w:rPr>
        <w:t>:</w:t>
      </w:r>
      <w:r>
        <w:rPr>
          <w:i/>
        </w:rPr>
        <w:t xml:space="preserve"> Defining the scope of indirect expropriation...,</w:t>
      </w:r>
      <w:r>
        <w:t xml:space="preserve"> s. 202.</w:t>
      </w:r>
    </w:p>
  </w:footnote>
  <w:footnote w:id="119">
    <w:p w14:paraId="696B5CAD" w14:textId="20D3786F" w:rsidR="00007D48" w:rsidRDefault="00007D48">
      <w:pPr>
        <w:pStyle w:val="Textpoznpodarou"/>
      </w:pPr>
      <w:r w:rsidRPr="009B43DE">
        <w:rPr>
          <w:rStyle w:val="Znakapoznpodarou"/>
        </w:rPr>
        <w:footnoteRef/>
      </w:r>
      <w:r w:rsidRPr="009B43DE">
        <w:t xml:space="preserve"> Například</w:t>
      </w:r>
      <w:r>
        <w:t xml:space="preserve"> navrhovaný</w:t>
      </w:r>
      <w:r w:rsidRPr="009B43DE">
        <w:t xml:space="preserve"> test profesorky Ursuly Kriebaum: KRIEBAUM, Ursula. Regulatory Takings: Balancing the Interests of the Investor and the State. </w:t>
      </w:r>
      <w:r w:rsidRPr="009B43DE">
        <w:rPr>
          <w:i/>
        </w:rPr>
        <w:t>The Journal of World Investment and Trade</w:t>
      </w:r>
      <w:r w:rsidRPr="009B43DE">
        <w:t>. 2007, roč. 8, č. 1, s. 743. Ta kritizuje stávající doktríny za to, že se existence nepřímého vyvlastnění posuzuje jako „vše nebo nic“, kdy buď</w:t>
      </w:r>
      <w:r>
        <w:t xml:space="preserve"> vyvlastnění nenastalo a nepřísluší žádná kompenzace, nebo je uznáno a mohou být přisouzeny velice vysoké náhrady. Navrhuje, aby nejprve proběhlo zjištění závažného zásahu do investice a zákonnosti takového (podle čtyř výše uvedených kritérií). Až pak má přijít na řadu zvážení veřejného zájmu na straně státu, ten má mít vliv pouze na výši náhrady. Základním stavem má být plná kompenzace, bez ní mají zůstat pouze výjimečné případy. Pro určení takových případů mají být zásadní tyto otázky: Bylo vyvlastnění přiměřeným prostředkem pro dosažení požadovaného účelu? Bylo použito v souladu se zásadou subsidiarity? Byl zde výjimečně silný veřejný zájem?</w:t>
      </w:r>
    </w:p>
  </w:footnote>
  <w:footnote w:id="120">
    <w:p w14:paraId="0B8E0C16" w14:textId="032F24A5" w:rsidR="00007D48" w:rsidRPr="00A67781" w:rsidRDefault="00007D48">
      <w:pPr>
        <w:pStyle w:val="Textpoznpodarou"/>
      </w:pPr>
      <w:r>
        <w:rPr>
          <w:rStyle w:val="Znakapoznpodarou"/>
        </w:rPr>
        <w:footnoteRef/>
      </w:r>
      <w:r>
        <w:t xml:space="preserve"> Op. Cit. </w:t>
      </w:r>
      <w:r>
        <w:rPr>
          <w:i/>
        </w:rPr>
        <w:t>Saluka</w:t>
      </w:r>
      <w:r>
        <w:t>..., odst. 484.</w:t>
      </w:r>
    </w:p>
  </w:footnote>
  <w:footnote w:id="121">
    <w:p w14:paraId="5FD0245D" w14:textId="429D8C0F" w:rsidR="00007D48" w:rsidRPr="004107D8" w:rsidRDefault="00007D48">
      <w:pPr>
        <w:pStyle w:val="Textpoznpodarou"/>
      </w:pPr>
      <w:r>
        <w:rPr>
          <w:rStyle w:val="Znakapoznpodarou"/>
        </w:rPr>
        <w:footnoteRef/>
      </w:r>
      <w:r>
        <w:t xml:space="preserve"> Op. Cit. </w:t>
      </w:r>
      <w:r>
        <w:rPr>
          <w:i/>
        </w:rPr>
        <w:t>Crystallex</w:t>
      </w:r>
      <w:r>
        <w:t>..., odst. 632.</w:t>
      </w:r>
    </w:p>
  </w:footnote>
  <w:footnote w:id="122">
    <w:p w14:paraId="55DFA519" w14:textId="3112E52F" w:rsidR="00007D48" w:rsidRDefault="00007D48">
      <w:pPr>
        <w:pStyle w:val="Textpoznpodarou"/>
      </w:pPr>
      <w:r>
        <w:rPr>
          <w:rStyle w:val="Znakapoznpodarou"/>
        </w:rPr>
        <w:footnoteRef/>
      </w:r>
      <w:r>
        <w:t xml:space="preserve"> Op. Cit. </w:t>
      </w:r>
      <w:r>
        <w:rPr>
          <w:i/>
        </w:rPr>
        <w:t>Siemens</w:t>
      </w:r>
      <w:r>
        <w:t>..., odst. 303.</w:t>
      </w:r>
    </w:p>
    <w:p w14:paraId="16240AA2" w14:textId="49F927E4" w:rsidR="00007D48" w:rsidRPr="000A74D7" w:rsidRDefault="00007D48">
      <w:pPr>
        <w:pStyle w:val="Textpoznpodarou"/>
      </w:pPr>
      <w:r>
        <w:t>Tribunál také dodal, že takto široce chápe FPS také s ohledem na široké pojetí pojmu investice, v tomto případě se jednalo o nehmotné věci. Do nich nelze fyzicky zasáhnout, proto vývoj výkladu považuje za nezbytné. Lze se však domnívat, že adekvátnějším výkladem by v takovém případě byla spíše ochrana proti rušení práva třetí osobou nebo státním orgánem v rozporu se zákonem.</w:t>
      </w:r>
    </w:p>
  </w:footnote>
  <w:footnote w:id="123">
    <w:p w14:paraId="6BA10923" w14:textId="1B622910" w:rsidR="00007D48" w:rsidRDefault="00007D48">
      <w:pPr>
        <w:pStyle w:val="Textpoznpodarou"/>
      </w:pPr>
      <w:r>
        <w:rPr>
          <w:rStyle w:val="Znakapoznpodarou"/>
        </w:rPr>
        <w:footnoteRef/>
      </w:r>
      <w:r>
        <w:t xml:space="preserve"> Článek 4 Dohody BIT mezi Německem a Argentinou ze dne 9. dubna 1991: „</w:t>
      </w:r>
      <w:r w:rsidRPr="00886CBD">
        <w:rPr>
          <w:i/>
        </w:rPr>
        <w:t>Investoři smluvní strany užívají na území druhého smluvního státu plné právní ochrany a plné právní bezpečnosti</w:t>
      </w:r>
      <w:r>
        <w:t xml:space="preserve">“. </w:t>
      </w:r>
    </w:p>
  </w:footnote>
  <w:footnote w:id="124">
    <w:p w14:paraId="2C636457" w14:textId="5180AF22" w:rsidR="00007D48" w:rsidRDefault="00007D48">
      <w:pPr>
        <w:pStyle w:val="Textpoznpodarou"/>
      </w:pPr>
      <w:r>
        <w:rPr>
          <w:rStyle w:val="Znakapoznpodarou"/>
        </w:rPr>
        <w:footnoteRef/>
      </w:r>
      <w:r>
        <w:t xml:space="preserve"> Rozhodčí nález UNCITRAL ze dne 27. června 2016 ve věci </w:t>
      </w:r>
      <w:r w:rsidRPr="00D566DC">
        <w:t>Peter A. Allard v. The Government of Barbados</w:t>
      </w:r>
      <w:r>
        <w:t>, odst. 243.</w:t>
      </w:r>
    </w:p>
  </w:footnote>
  <w:footnote w:id="125">
    <w:p w14:paraId="09A2B0A9" w14:textId="50CB8B56" w:rsidR="00007D48" w:rsidRPr="00D63C9F" w:rsidRDefault="00007D48">
      <w:pPr>
        <w:pStyle w:val="Textpoznpodarou"/>
      </w:pPr>
      <w:r>
        <w:rPr>
          <w:rStyle w:val="Znakapoznpodarou"/>
        </w:rPr>
        <w:footnoteRef/>
      </w:r>
      <w:r>
        <w:t xml:space="preserve"> Op. Cit</w:t>
      </w:r>
      <w:r w:rsidRPr="00D63C9F">
        <w:rPr>
          <w:i/>
        </w:rPr>
        <w:t>. El Paso...</w:t>
      </w:r>
      <w:r>
        <w:rPr>
          <w:i/>
        </w:rPr>
        <w:t>,</w:t>
      </w:r>
      <w:r>
        <w:t xml:space="preserve"> odst. 523</w:t>
      </w:r>
    </w:p>
  </w:footnote>
  <w:footnote w:id="126">
    <w:p w14:paraId="7E753518" w14:textId="528D632E" w:rsidR="00007D48" w:rsidRPr="00AE7261" w:rsidRDefault="00007D48">
      <w:pPr>
        <w:pStyle w:val="Textpoznpodarou"/>
      </w:pPr>
      <w:r>
        <w:rPr>
          <w:rStyle w:val="Znakapoznpodarou"/>
        </w:rPr>
        <w:footnoteRef/>
      </w:r>
      <w:r>
        <w:t xml:space="preserve"> Op. cit. ŠTURMA, BALAŠ:</w:t>
      </w:r>
      <w:r w:rsidRPr="00580318">
        <w:t xml:space="preserve"> </w:t>
      </w:r>
      <w:r w:rsidRPr="00580318">
        <w:rPr>
          <w:i/>
        </w:rPr>
        <w:t>Ochrana me</w:t>
      </w:r>
      <w:r>
        <w:rPr>
          <w:i/>
        </w:rPr>
        <w:t xml:space="preserve">zinárodních investic v kontextu..., </w:t>
      </w:r>
      <w:r>
        <w:t>str. 58.</w:t>
      </w:r>
    </w:p>
  </w:footnote>
  <w:footnote w:id="127">
    <w:p w14:paraId="0FC32E29" w14:textId="2BAD2FDF" w:rsidR="00007D48" w:rsidRPr="00F5685B" w:rsidRDefault="00007D48">
      <w:pPr>
        <w:pStyle w:val="Textpoznpodarou"/>
      </w:pPr>
      <w:r>
        <w:rPr>
          <w:rStyle w:val="Znakapoznpodarou"/>
        </w:rPr>
        <w:footnoteRef/>
      </w:r>
      <w:r>
        <w:t xml:space="preserve"> DUMBERRY, Patrick. </w:t>
      </w:r>
      <w:r w:rsidRPr="00F9185A">
        <w:t>The Importation of the FET Standard through MFN Clauses: An Empirical Study of BITs</w:t>
      </w:r>
      <w:r>
        <w:t xml:space="preserve">. </w:t>
      </w:r>
      <w:r w:rsidRPr="00E42FFC">
        <w:rPr>
          <w:i/>
        </w:rPr>
        <w:t>ICSID Review</w:t>
      </w:r>
      <w:r>
        <w:t>, 2017, roč. 32, č. 1, s.</w:t>
      </w:r>
      <w:r w:rsidRPr="00F5685B">
        <w:t xml:space="preserve"> </w:t>
      </w:r>
      <w:r>
        <w:t>136.</w:t>
      </w:r>
    </w:p>
  </w:footnote>
  <w:footnote w:id="128">
    <w:p w14:paraId="1D8741CB" w14:textId="3FE2EB30" w:rsidR="00007D48" w:rsidRDefault="00007D48">
      <w:pPr>
        <w:pStyle w:val="Textpoznpodarou"/>
      </w:pPr>
      <w:r>
        <w:rPr>
          <w:rStyle w:val="Znakapoznpodarou"/>
        </w:rPr>
        <w:footnoteRef/>
      </w:r>
      <w:r>
        <w:t xml:space="preserve"> Zásadní omezení stanovil případ </w:t>
      </w:r>
      <w:r>
        <w:rPr>
          <w:i/>
        </w:rPr>
        <w:t>Maffezini v. Spain</w:t>
      </w:r>
      <w:r>
        <w:t>, když se podle něj ani doložka MFN vztahující se na všechny výhody z ostatních IIA, tedy i procesní, neuplatní v těchto případech: 1) Stát podmínil souhlas s arbitráží vyčerpáním vnitrostátních procesních nástrojů, 2) Smlouva stanoví volbu mezi vnitrostátním procesem a arbitráží a tato volba je konečná, 3) Smlouva stanoví rozhodování u konkrétní rozhodčí instituce, 4) Strany se dohodly na systému arbitráže se specifickými procesními pravidly.</w:t>
      </w:r>
    </w:p>
    <w:p w14:paraId="3F2E36A3" w14:textId="40CAA572" w:rsidR="00007D48" w:rsidRDefault="00007D48">
      <w:pPr>
        <w:pStyle w:val="Textpoznpodarou"/>
      </w:pPr>
      <w:r>
        <w:t xml:space="preserve">Rozhodnutí tribunálu ICSID o námitkách k pravomoci ze dne 25. ledna 2000 ve věci </w:t>
      </w:r>
      <w:r w:rsidRPr="0090659E">
        <w:t>Emilio Agustín Maffezini v. The Kingdom of Spain</w:t>
      </w:r>
      <w:r>
        <w:t>, odst. 63.</w:t>
      </w:r>
    </w:p>
    <w:p w14:paraId="24F1E56D" w14:textId="184F8F03" w:rsidR="00007D48" w:rsidRPr="00144A49" w:rsidRDefault="00007D48">
      <w:pPr>
        <w:pStyle w:val="Textpoznpodarou"/>
      </w:pPr>
      <w:r>
        <w:t>Taková pravidla tedy není možné obejít ani pomocí MFN. Další rozhodčí tribunály později přidávaly další omezení, z těchto však už neubíraly.</w:t>
      </w:r>
    </w:p>
  </w:footnote>
  <w:footnote w:id="129">
    <w:p w14:paraId="318F8C04" w14:textId="68E7A1C6" w:rsidR="00007D48" w:rsidRDefault="00007D48">
      <w:pPr>
        <w:pStyle w:val="Textpoznpodarou"/>
      </w:pPr>
      <w:r>
        <w:rPr>
          <w:rStyle w:val="Znakapoznpodarou"/>
        </w:rPr>
        <w:footnoteRef/>
      </w:r>
      <w:r>
        <w:t xml:space="preserve"> ŠTURMA, BALAŠ: </w:t>
      </w:r>
      <w:r>
        <w:rPr>
          <w:i/>
        </w:rPr>
        <w:t xml:space="preserve">Ochrana mezinárodních investic…, </w:t>
      </w:r>
      <w:r w:rsidRPr="00E80184">
        <w:t>s</w:t>
      </w:r>
      <w:r>
        <w:rPr>
          <w:i/>
        </w:rPr>
        <w:t>.</w:t>
      </w:r>
      <w:r>
        <w:t xml:space="preserve"> 57.</w:t>
      </w:r>
    </w:p>
  </w:footnote>
  <w:footnote w:id="130">
    <w:p w14:paraId="209984BB" w14:textId="193626BD" w:rsidR="00007D48" w:rsidRPr="004A1CAA" w:rsidRDefault="00007D48">
      <w:pPr>
        <w:pStyle w:val="Textpoznpodarou"/>
      </w:pPr>
      <w:r>
        <w:rPr>
          <w:rStyle w:val="Znakapoznpodarou"/>
        </w:rPr>
        <w:footnoteRef/>
      </w:r>
      <w:r>
        <w:t xml:space="preserve"> Tamtéž.</w:t>
      </w:r>
    </w:p>
  </w:footnote>
  <w:footnote w:id="131">
    <w:p w14:paraId="15370E15" w14:textId="41B6B722" w:rsidR="00007D48" w:rsidRDefault="00007D48">
      <w:pPr>
        <w:pStyle w:val="Textpoznpodarou"/>
      </w:pPr>
      <w:r>
        <w:rPr>
          <w:rStyle w:val="Znakapoznpodarou"/>
        </w:rPr>
        <w:footnoteRef/>
      </w:r>
      <w:r>
        <w:t xml:space="preserve"> Rozhodnutí UNCITRAL o nárocích druhé fáze řízení (Award on Merits of Phase 2) ze dne 10. srpna 2001 ve věci </w:t>
      </w:r>
      <w:r w:rsidRPr="00A771D9">
        <w:t>Pope &amp; Talbot Inc. v. The Government of Canada</w:t>
      </w:r>
      <w:r>
        <w:t>, odst. 78.</w:t>
      </w:r>
    </w:p>
  </w:footnote>
  <w:footnote w:id="132">
    <w:p w14:paraId="0735061D" w14:textId="6308AF37" w:rsidR="00007D48" w:rsidRPr="00435C50" w:rsidRDefault="00007D48">
      <w:pPr>
        <w:pStyle w:val="Textpoznpodarou"/>
      </w:pPr>
      <w:r>
        <w:rPr>
          <w:rStyle w:val="Znakapoznpodarou"/>
        </w:rPr>
        <w:footnoteRef/>
      </w:r>
      <w:r>
        <w:t xml:space="preserve"> MOLOO, Rahim. </w:t>
      </w:r>
      <w:r w:rsidRPr="00435C50">
        <w:t>Environmental and Health Regulation: Assessing Liability under Investment Treaties</w:t>
      </w:r>
      <w:r>
        <w:t xml:space="preserve">. </w:t>
      </w:r>
      <w:r>
        <w:rPr>
          <w:i/>
          <w:iCs/>
        </w:rPr>
        <w:t>Berkeley Journal of International Law</w:t>
      </w:r>
      <w:r>
        <w:rPr>
          <w:iCs/>
        </w:rPr>
        <w:t>, 2011, roč. 29, č. 1, s. 57.</w:t>
      </w:r>
    </w:p>
  </w:footnote>
  <w:footnote w:id="133">
    <w:p w14:paraId="4E8B121D" w14:textId="691B9AA6" w:rsidR="00007D48" w:rsidRDefault="00007D48">
      <w:pPr>
        <w:pStyle w:val="Textpoznpodarou"/>
      </w:pPr>
      <w:r>
        <w:rPr>
          <w:rStyle w:val="Znakapoznpodarou"/>
        </w:rPr>
        <w:footnoteRef/>
      </w:r>
      <w:r>
        <w:t xml:space="preserve"> Prozatímní rozhodčí nález UNCITRAL ze dne 26. června 2000 ve věci </w:t>
      </w:r>
      <w:r w:rsidRPr="00C1692A">
        <w:t>Pope &amp; Talbot Inc. v. The Government of Canada</w:t>
      </w:r>
      <w:r>
        <w:t>, odst. 82.</w:t>
      </w:r>
    </w:p>
  </w:footnote>
  <w:footnote w:id="134">
    <w:p w14:paraId="33E53002" w14:textId="1E136522" w:rsidR="00007D48" w:rsidRDefault="00007D48">
      <w:pPr>
        <w:pStyle w:val="Textpoznpodarou"/>
      </w:pPr>
      <w:r>
        <w:rPr>
          <w:rStyle w:val="Znakapoznpodarou"/>
        </w:rPr>
        <w:footnoteRef/>
      </w:r>
      <w:r>
        <w:t xml:space="preserve"> </w:t>
      </w:r>
      <w:r>
        <w:rPr>
          <w:i/>
        </w:rPr>
        <w:t>Op. cit.</w:t>
      </w:r>
      <w:r w:rsidRPr="00CC5EFF">
        <w:rPr>
          <w:i/>
        </w:rPr>
        <w:t xml:space="preserve"> Feldman</w:t>
      </w:r>
      <w:r>
        <w:t>…, odst. 82,</w:t>
      </w:r>
    </w:p>
  </w:footnote>
  <w:footnote w:id="135">
    <w:p w14:paraId="62229291" w14:textId="5F36B3CF" w:rsidR="00007D48" w:rsidRPr="0025595A" w:rsidRDefault="00007D48">
      <w:pPr>
        <w:pStyle w:val="Textpoznpodarou"/>
      </w:pPr>
      <w:r>
        <w:rPr>
          <w:rStyle w:val="Znakapoznpodarou"/>
        </w:rPr>
        <w:footnoteRef/>
      </w:r>
      <w:r>
        <w:t xml:space="preserve"> Op. Cit. </w:t>
      </w:r>
      <w:r w:rsidRPr="003D2C41">
        <w:t>MOLOO:</w:t>
      </w:r>
      <w:r w:rsidRPr="0025595A">
        <w:rPr>
          <w:i/>
        </w:rPr>
        <w:t xml:space="preserve"> Environmental and Health Regulation: Assessing Liability</w:t>
      </w:r>
      <w:r>
        <w:t>, s. 60.</w:t>
      </w:r>
    </w:p>
  </w:footnote>
  <w:footnote w:id="136">
    <w:p w14:paraId="4FA15F04" w14:textId="2D248CC7" w:rsidR="00007D48" w:rsidRDefault="00007D48">
      <w:pPr>
        <w:pStyle w:val="Textpoznpodarou"/>
      </w:pPr>
      <w:r>
        <w:rPr>
          <w:rStyle w:val="Znakapoznpodarou"/>
        </w:rPr>
        <w:footnoteRef/>
      </w:r>
      <w:r>
        <w:t xml:space="preserve"> </w:t>
      </w:r>
      <w:r w:rsidRPr="00933221">
        <w:t>NAŘÍZENÍ EVROPSKÉHO PARLAMENTU A RADY (EU) č. 1219/2012 ze dne 12. prosince 2012, kterým se stanoví přechodná úprava pro dvoustranné dohody o investicích mezi členskými státy a třetími zeměmi</w:t>
      </w:r>
      <w:r>
        <w:t>.</w:t>
      </w:r>
    </w:p>
  </w:footnote>
  <w:footnote w:id="137">
    <w:p w14:paraId="2B4F4DB3" w14:textId="6E398B81" w:rsidR="00007D48" w:rsidRPr="00731664" w:rsidRDefault="00007D48" w:rsidP="00B312B4">
      <w:pPr>
        <w:pStyle w:val="Textpoznpodarou"/>
      </w:pPr>
      <w:r w:rsidRPr="00731664">
        <w:rPr>
          <w:rStyle w:val="Znakapoznpodarou"/>
        </w:rPr>
        <w:footnoteRef/>
      </w:r>
      <w:r w:rsidRPr="00731664">
        <w:t xml:space="preserve"> Preambule Dohody BIT mezi Gruzií a Švýcarskou Federací ze dne 3. června 2014.</w:t>
      </w:r>
    </w:p>
  </w:footnote>
  <w:footnote w:id="138">
    <w:p w14:paraId="34CF104F" w14:textId="5DE6A95B" w:rsidR="00007D48" w:rsidRDefault="00007D48">
      <w:pPr>
        <w:pStyle w:val="Textpoznpodarou"/>
      </w:pPr>
      <w:r>
        <w:rPr>
          <w:rStyle w:val="Znakapoznpodarou"/>
        </w:rPr>
        <w:footnoteRef/>
      </w:r>
      <w:r>
        <w:t xml:space="preserve"> Op. cit. BONZON: </w:t>
      </w:r>
      <w:r w:rsidRPr="00996C35">
        <w:rPr>
          <w:i/>
        </w:rPr>
        <w:t>Balance Between Investment</w:t>
      </w:r>
      <w:r>
        <w:t>..., s. 822.</w:t>
      </w:r>
    </w:p>
  </w:footnote>
  <w:footnote w:id="139">
    <w:p w14:paraId="66C3EDF9" w14:textId="659BD6B0" w:rsidR="00007D48" w:rsidRDefault="00007D48">
      <w:pPr>
        <w:pStyle w:val="Textpoznpodarou"/>
      </w:pPr>
      <w:r>
        <w:rPr>
          <w:rStyle w:val="Znakapoznpodarou"/>
        </w:rPr>
        <w:footnoteRef/>
      </w:r>
      <w:r>
        <w:t xml:space="preserve"> Článek 11 Dohody</w:t>
      </w:r>
      <w:r w:rsidRPr="00425F26">
        <w:t xml:space="preserve"> BIT mezi </w:t>
      </w:r>
      <w:r>
        <w:t xml:space="preserve">Mauriciem </w:t>
      </w:r>
      <w:r w:rsidRPr="00425F26">
        <w:t>a</w:t>
      </w:r>
      <w:r>
        <w:t xml:space="preserve"> Švýcarskou Federací ze dne 26. listopadu 1998.</w:t>
      </w:r>
    </w:p>
    <w:p w14:paraId="642647F7" w14:textId="57FA62DB" w:rsidR="00007D48" w:rsidRDefault="00007D48">
      <w:pPr>
        <w:pStyle w:val="Textpoznpodarou"/>
      </w:pPr>
      <w:r>
        <w:t>Historicky první BIT inkorporující klauzuli o udržitelném rozvoji, byla uzavřena mezi Švýcarskem a Salvádorem</w:t>
      </w:r>
    </w:p>
  </w:footnote>
  <w:footnote w:id="140">
    <w:p w14:paraId="0AFD5966" w14:textId="159E3E47" w:rsidR="00007D48" w:rsidRDefault="00007D48" w:rsidP="00145DD9">
      <w:pPr>
        <w:spacing w:after="0"/>
        <w:rPr>
          <w:sz w:val="20"/>
          <w:szCs w:val="20"/>
        </w:rPr>
      </w:pPr>
      <w:r w:rsidRPr="00673D24">
        <w:rPr>
          <w:rStyle w:val="Znakapoznpodarou"/>
          <w:sz w:val="20"/>
        </w:rPr>
        <w:footnoteRef/>
      </w:r>
      <w:r w:rsidRPr="00145DD9">
        <w:t xml:space="preserve"> </w:t>
      </w:r>
      <w:r w:rsidRPr="009255D1">
        <w:rPr>
          <w:sz w:val="20"/>
        </w:rPr>
        <w:t xml:space="preserve">Článek 10 </w:t>
      </w:r>
      <w:r>
        <w:rPr>
          <w:sz w:val="20"/>
          <w:szCs w:val="20"/>
        </w:rPr>
        <w:t>Dohody</w:t>
      </w:r>
      <w:r w:rsidRPr="00145DD9">
        <w:rPr>
          <w:sz w:val="20"/>
          <w:szCs w:val="20"/>
        </w:rPr>
        <w:t xml:space="preserve"> BIT mezi Argentinou a Katarem ze dne 6. listopadu 2016. Použitý termín pro veřejné blaho je „social protection“, který podle zprávy UNRISD zahrnuje prevenci a překonání negativních jevů, které mají negativní efekt na společenský blahobyt, především nezaměstnanosti, chudoby a sociálního vyloučení. </w:t>
      </w:r>
    </w:p>
    <w:p w14:paraId="609D2A2B" w14:textId="2D177A8A" w:rsidR="00007D48" w:rsidRDefault="00007D48" w:rsidP="00145DD9">
      <w:pPr>
        <w:spacing w:after="0"/>
      </w:pPr>
      <w:r w:rsidRPr="00145DD9">
        <w:rPr>
          <w:sz w:val="20"/>
          <w:szCs w:val="20"/>
        </w:rPr>
        <w:t xml:space="preserve">Podrobněji na: UNITED NATIONS RESEARCH INSTITUTE FOR SOCIAL DEVELOPMENT.  </w:t>
      </w:r>
      <w:r w:rsidRPr="00145DD9">
        <w:rPr>
          <w:i/>
          <w:sz w:val="20"/>
          <w:szCs w:val="20"/>
        </w:rPr>
        <w:t xml:space="preserve">Combating Poverty and Inequality: Structural Change, Social Policy and Politics </w:t>
      </w:r>
      <w:r w:rsidRPr="00145DD9">
        <w:rPr>
          <w:sz w:val="20"/>
          <w:szCs w:val="20"/>
        </w:rPr>
        <w:t xml:space="preserve">[online]. </w:t>
      </w:r>
      <w:r>
        <w:rPr>
          <w:sz w:val="20"/>
          <w:szCs w:val="20"/>
        </w:rPr>
        <w:t>unrisd.org, 3. září 2010 [cit. 8. září 2016</w:t>
      </w:r>
      <w:r w:rsidRPr="00145DD9">
        <w:rPr>
          <w:sz w:val="20"/>
          <w:szCs w:val="20"/>
        </w:rPr>
        <w:t>]. Dostupné na &lt;</w:t>
      </w:r>
      <w:hyperlink r:id="rId10" w:history="1">
        <w:r w:rsidRPr="00145DD9">
          <w:rPr>
            <w:rStyle w:val="Hypertextovodkaz"/>
            <w:sz w:val="20"/>
            <w:szCs w:val="20"/>
          </w:rPr>
          <w:t>http://www.unrisd.org/unrisd/website/document.nsf/(httpPublications)/BBA20D83E347DBAFC125778200440AA7?OpenDocument</w:t>
        </w:r>
      </w:hyperlink>
      <w:r w:rsidRPr="00145DD9">
        <w:rPr>
          <w:sz w:val="20"/>
          <w:szCs w:val="20"/>
        </w:rPr>
        <w:t>&gt;.</w:t>
      </w:r>
    </w:p>
  </w:footnote>
  <w:footnote w:id="141">
    <w:p w14:paraId="62415053" w14:textId="4066D376" w:rsidR="00007D48" w:rsidRDefault="00007D48">
      <w:pPr>
        <w:pStyle w:val="Textpoznpodarou"/>
      </w:pPr>
      <w:r>
        <w:rPr>
          <w:rStyle w:val="Znakapoznpodarou"/>
        </w:rPr>
        <w:footnoteRef/>
      </w:r>
      <w:r>
        <w:t xml:space="preserve"> MINISTERSTVO FINANCÍ. </w:t>
      </w:r>
      <w:r w:rsidRPr="00CC2988">
        <w:rPr>
          <w:i/>
        </w:rPr>
        <w:t>Ministerstvo financí vypracovalo novou vzorovou dohodu o ochraně zahraničních investic</w:t>
      </w:r>
      <w:r>
        <w:rPr>
          <w:i/>
        </w:rPr>
        <w:t xml:space="preserve"> </w:t>
      </w:r>
      <w:r w:rsidRPr="00145DD9">
        <w:t xml:space="preserve">[online]. </w:t>
      </w:r>
      <w:r>
        <w:t>mfcr.cz</w:t>
      </w:r>
      <w:r w:rsidRPr="00145DD9">
        <w:t xml:space="preserve">, </w:t>
      </w:r>
      <w:r>
        <w:t>28. prosince 2016</w:t>
      </w:r>
      <w:r w:rsidRPr="00145DD9">
        <w:t xml:space="preserve"> [cit. 8. března 2017]. Dostupné na</w:t>
      </w:r>
      <w:r>
        <w:t xml:space="preserve"> &lt;</w:t>
      </w:r>
      <w:hyperlink r:id="rId11" w:history="1">
        <w:r w:rsidRPr="00CC2988">
          <w:rPr>
            <w:rStyle w:val="Hypertextovodkaz"/>
          </w:rPr>
          <w:t>http://www.mfcr.cz/cs/zahranicni-sektor/ochrana-financnich-zajmu/arbitraze/aktualni-informace/2016/ministerstvo-financi-vypracovalo-novou-v-27033</w:t>
        </w:r>
      </w:hyperlink>
      <w:r>
        <w:t>&gt;.</w:t>
      </w:r>
    </w:p>
  </w:footnote>
  <w:footnote w:id="142">
    <w:p w14:paraId="47930D22" w14:textId="7B3EC010" w:rsidR="00007D48" w:rsidRDefault="00007D48">
      <w:pPr>
        <w:pStyle w:val="Textpoznpodarou"/>
      </w:pPr>
      <w:r>
        <w:rPr>
          <w:rStyle w:val="Znakapoznpodarou"/>
        </w:rPr>
        <w:footnoteRef/>
      </w:r>
      <w:r>
        <w:t xml:space="preserve"> BONZON, Anne- Juliette. </w:t>
      </w:r>
      <w:r w:rsidRPr="00C70277">
        <w:t>Balance Between Investment Protection and</w:t>
      </w:r>
      <w:r>
        <w:t xml:space="preserve"> </w:t>
      </w:r>
      <w:r w:rsidRPr="00C70277">
        <w:t>Sustainable Development in BITs</w:t>
      </w:r>
      <w:r>
        <w:t xml:space="preserve">. </w:t>
      </w:r>
      <w:r>
        <w:rPr>
          <w:i/>
        </w:rPr>
        <w:t>The journal of World Investment and Trade</w:t>
      </w:r>
      <w:r>
        <w:t>, roč. 15, č. 5, s. 825.</w:t>
      </w:r>
    </w:p>
    <w:p w14:paraId="224D9799" w14:textId="097715E3" w:rsidR="00007D48" w:rsidRPr="005D720B" w:rsidRDefault="00007D48">
      <w:pPr>
        <w:pStyle w:val="Textpoznpodarou"/>
      </w:pPr>
      <w:r>
        <w:t>Článek 4.15 Dohody FTA mezi Ukrajinou a EFTA ze dne 24. června 2010.</w:t>
      </w:r>
    </w:p>
  </w:footnote>
  <w:footnote w:id="143">
    <w:p w14:paraId="3FC3B43F" w14:textId="70988D19" w:rsidR="00007D48" w:rsidRDefault="00007D48">
      <w:pPr>
        <w:pStyle w:val="Textpoznpodarou"/>
      </w:pPr>
      <w:r>
        <w:rPr>
          <w:rStyle w:val="Znakapoznpodarou"/>
        </w:rPr>
        <w:footnoteRef/>
      </w:r>
      <w:r>
        <w:t xml:space="preserve"> Usnesení EP ze dne </w:t>
      </w:r>
      <w:r w:rsidRPr="006C57DC">
        <w:t>9. října 2013 o jednáních mezi EU a Čínou o dvoustranné investiční dohodě</w:t>
      </w:r>
      <w:r>
        <w:t>, písm. K.</w:t>
      </w:r>
    </w:p>
  </w:footnote>
  <w:footnote w:id="144">
    <w:p w14:paraId="20B050E9" w14:textId="56E74858" w:rsidR="00007D48" w:rsidRDefault="00007D48">
      <w:pPr>
        <w:pStyle w:val="Textpoznpodarou"/>
      </w:pPr>
      <w:r>
        <w:rPr>
          <w:rStyle w:val="Znakapoznpodarou"/>
        </w:rPr>
        <w:footnoteRef/>
      </w:r>
      <w:r>
        <w:t xml:space="preserve"> Modelové smlouvy bývají vypracovány státy za účelem snadnějšího sjednávání IIA. Reflektují jejich aktuální zájmy a jsou základem pro další vyjednávání konkrétních smluv.</w:t>
      </w:r>
    </w:p>
  </w:footnote>
  <w:footnote w:id="145">
    <w:p w14:paraId="420D62C2" w14:textId="388F6814" w:rsidR="00007D48" w:rsidRDefault="00007D48">
      <w:pPr>
        <w:pStyle w:val="Textpoznpodarou"/>
      </w:pPr>
      <w:r>
        <w:rPr>
          <w:rStyle w:val="Znakapoznpodarou"/>
        </w:rPr>
        <w:footnoteRef/>
      </w:r>
      <w:r>
        <w:t xml:space="preserve"> US DEPARTMENT OF STATE. </w:t>
      </w:r>
      <w:r w:rsidRPr="00641F3C">
        <w:rPr>
          <w:i/>
        </w:rPr>
        <w:t>2012 U.S. Model Bilateral Investment Treaty</w:t>
      </w:r>
      <w:r>
        <w:rPr>
          <w:i/>
        </w:rPr>
        <w:t xml:space="preserve"> </w:t>
      </w:r>
      <w:r w:rsidRPr="00145DD9">
        <w:t>[online].</w:t>
      </w:r>
      <w:r>
        <w:t xml:space="preserve"> state.gov, </w:t>
      </w:r>
      <w:r w:rsidRPr="00145DD9">
        <w:t>[cit. 8. března 2017].</w:t>
      </w:r>
      <w:r w:rsidRPr="0081313D">
        <w:t xml:space="preserve"> </w:t>
      </w:r>
      <w:r w:rsidRPr="00145DD9">
        <w:t>Dostupné na</w:t>
      </w:r>
      <w:r>
        <w:t xml:space="preserve"> &lt;</w:t>
      </w:r>
      <w:r w:rsidRPr="0081313D">
        <w:t xml:space="preserve"> </w:t>
      </w:r>
      <w:hyperlink r:id="rId12" w:history="1">
        <w:r w:rsidRPr="00C63C26">
          <w:rPr>
            <w:rStyle w:val="Hypertextovodkaz"/>
          </w:rPr>
          <w:t>https://www.state.gov/documents/organization/188371.pdf</w:t>
        </w:r>
      </w:hyperlink>
      <w:r>
        <w:t>&gt;.</w:t>
      </w:r>
    </w:p>
  </w:footnote>
  <w:footnote w:id="146">
    <w:p w14:paraId="2023E525" w14:textId="433F4EAB" w:rsidR="00007D48" w:rsidRDefault="00007D48">
      <w:pPr>
        <w:pStyle w:val="Textpoznpodarou"/>
      </w:pPr>
      <w:r>
        <w:rPr>
          <w:rStyle w:val="Znakapoznpodarou"/>
        </w:rPr>
        <w:footnoteRef/>
      </w:r>
      <w:r>
        <w:t xml:space="preserve"> Článek 3 dodatkového protokolu k Dohodě BIT mezi Mexikem a Švýcarskou Federací ze dne 10. července 1995.</w:t>
      </w:r>
    </w:p>
  </w:footnote>
  <w:footnote w:id="147">
    <w:p w14:paraId="4F5B38D0" w14:textId="6096A4D8" w:rsidR="00007D48" w:rsidRPr="005979B2" w:rsidRDefault="00007D48" w:rsidP="00C7756D">
      <w:pPr>
        <w:pStyle w:val="Textpoznpodarou"/>
      </w:pPr>
      <w:r>
        <w:rPr>
          <w:rStyle w:val="Znakapoznpodarou"/>
        </w:rPr>
        <w:footnoteRef/>
      </w:r>
      <w:r>
        <w:t xml:space="preserve"> Op. cit. </w:t>
      </w:r>
      <w:r w:rsidRPr="005979B2">
        <w:rPr>
          <w:i/>
        </w:rPr>
        <w:t>US DEPARTMENT OF STATE. 2012 U.S. Model</w:t>
      </w:r>
      <w:r>
        <w:rPr>
          <w:i/>
        </w:rPr>
        <w:t>...</w:t>
      </w:r>
    </w:p>
  </w:footnote>
  <w:footnote w:id="148">
    <w:p w14:paraId="650B112B" w14:textId="0CEEDB99" w:rsidR="00007D48" w:rsidRDefault="00007D48">
      <w:pPr>
        <w:pStyle w:val="Textpoznpodarou"/>
      </w:pPr>
      <w:r>
        <w:rPr>
          <w:rStyle w:val="Znakapoznpodarou"/>
        </w:rPr>
        <w:footnoteRef/>
      </w:r>
      <w:r>
        <w:t xml:space="preserve"> GOVERNMENT OF INDIA, MINISTRY OF FINANCE. </w:t>
      </w:r>
      <w:r w:rsidRPr="00211556">
        <w:rPr>
          <w:i/>
        </w:rPr>
        <w:t>Model Text for the Indian Bilateral Investment Treaty</w:t>
      </w:r>
      <w:r>
        <w:rPr>
          <w:i/>
        </w:rPr>
        <w:t xml:space="preserve"> </w:t>
      </w:r>
      <w:r w:rsidRPr="00145DD9">
        <w:t>[online].</w:t>
      </w:r>
      <w:r>
        <w:t xml:space="preserve"> finmin.nic.in, 28. prosince 2015, </w:t>
      </w:r>
      <w:r w:rsidRPr="00145DD9">
        <w:t xml:space="preserve">[cit. </w:t>
      </w:r>
      <w:r>
        <w:t>5. června 2016</w:t>
      </w:r>
      <w:r w:rsidRPr="00145DD9">
        <w:t>].</w:t>
      </w:r>
      <w:r w:rsidRPr="0081313D">
        <w:t xml:space="preserve"> </w:t>
      </w:r>
      <w:r w:rsidRPr="00145DD9">
        <w:t>Dostupné na</w:t>
      </w:r>
      <w:r>
        <w:t xml:space="preserve"> &lt;</w:t>
      </w:r>
      <w:hyperlink r:id="rId13" w:history="1">
        <w:r w:rsidRPr="00754C13">
          <w:rPr>
            <w:rStyle w:val="Hypertextovodkaz"/>
          </w:rPr>
          <w:t>http://finmin.nic.in/reports/ModelTextIndia_BIT.pdf</w:t>
        </w:r>
      </w:hyperlink>
      <w:r>
        <w:t>&gt;.</w:t>
      </w:r>
    </w:p>
  </w:footnote>
  <w:footnote w:id="149">
    <w:p w14:paraId="761139A3" w14:textId="3CEFCBDC" w:rsidR="00007D48" w:rsidRPr="004C5659" w:rsidRDefault="00007D48" w:rsidP="00AD7392">
      <w:pPr>
        <w:pStyle w:val="Textpoznpodarou"/>
      </w:pPr>
      <w:r>
        <w:rPr>
          <w:rStyle w:val="Znakapoznpodarou"/>
        </w:rPr>
        <w:footnoteRef/>
      </w:r>
      <w:r>
        <w:t xml:space="preserve"> O závazném výkladu NAFTA podrobněji zde: OECD. </w:t>
      </w:r>
      <w:r w:rsidRPr="000D7572">
        <w:rPr>
          <w:i/>
        </w:rPr>
        <w:t>Fair and Equitable Treatment Standard in International Investment Law</w:t>
      </w:r>
      <w:r>
        <w:rPr>
          <w:i/>
        </w:rPr>
        <w:t xml:space="preserve"> </w:t>
      </w:r>
      <w:r w:rsidRPr="00145DD9">
        <w:t>[online].</w:t>
      </w:r>
      <w:r>
        <w:t xml:space="preserve"> oecd.org, září 2004 [cit. 12</w:t>
      </w:r>
      <w:r w:rsidRPr="00145DD9">
        <w:t>. března 2017].</w:t>
      </w:r>
      <w:r>
        <w:t xml:space="preserve"> Dostupné na &lt;</w:t>
      </w:r>
      <w:hyperlink r:id="rId14" w:history="1">
        <w:r w:rsidRPr="00C63C26">
          <w:rPr>
            <w:rStyle w:val="Hypertextovodkaz"/>
          </w:rPr>
          <w:t>https://www.oecd.org/daf/inv/investment-policy/WP-2004_3.pdf</w:t>
        </w:r>
      </w:hyperlink>
      <w:r>
        <w:t>&gt;.</w:t>
      </w:r>
    </w:p>
    <w:p w14:paraId="2B2B3534" w14:textId="4D118660" w:rsidR="00007D48" w:rsidRDefault="00007D48">
      <w:pPr>
        <w:pStyle w:val="Textpoznpodarou"/>
      </w:pPr>
      <w:r>
        <w:t>Jelikož se jedná o obyčej mezinárodního práva, je jeho použití ve smlouvách spíše deklaratorní záležitostí a tento minimální standard by měl fungovat nehledě na jeho ustanovení ve smlouvě. Státy NAFTA usilují o přenesení standardů ochrany a jejich výkladu i do svých BIT, proto zdůrazňují shodný výklad.</w:t>
      </w:r>
    </w:p>
  </w:footnote>
  <w:footnote w:id="150">
    <w:p w14:paraId="5E84F9FC" w14:textId="33277D1C" w:rsidR="00007D48" w:rsidRDefault="00007D48" w:rsidP="000F2923">
      <w:pPr>
        <w:pStyle w:val="Textpoznpodarou"/>
      </w:pPr>
      <w:r>
        <w:rPr>
          <w:rStyle w:val="Znakapoznpodarou"/>
        </w:rPr>
        <w:footnoteRef/>
      </w:r>
      <w:r>
        <w:t xml:space="preserve"> Například článek 3 Dohody BIT mezi Argentinou a Katarem ze dne 6. listopadu 2016.</w:t>
      </w:r>
    </w:p>
  </w:footnote>
  <w:footnote w:id="151">
    <w:p w14:paraId="0E642687" w14:textId="0FB68B07" w:rsidR="00007D48" w:rsidRDefault="00007D48" w:rsidP="00F51B81">
      <w:pPr>
        <w:pStyle w:val="Textpoznpodarou"/>
      </w:pPr>
      <w:r w:rsidRPr="00641F3C">
        <w:rPr>
          <w:rStyle w:val="Znakapoznpodarou"/>
        </w:rPr>
        <w:footnoteRef/>
      </w:r>
      <w:r w:rsidRPr="00641F3C">
        <w:t xml:space="preserve"> </w:t>
      </w:r>
      <w:r>
        <w:t xml:space="preserve">Op. cit. </w:t>
      </w:r>
      <w:r w:rsidRPr="005979B2">
        <w:rPr>
          <w:i/>
        </w:rPr>
        <w:t>US DEPARTMENT OF STATE. 2012 U.S. Model</w:t>
      </w:r>
      <w:r>
        <w:rPr>
          <w:i/>
        </w:rPr>
        <w:t>...</w:t>
      </w:r>
    </w:p>
  </w:footnote>
  <w:footnote w:id="152">
    <w:p w14:paraId="6184DD5E" w14:textId="63B1B2DC" w:rsidR="00007D48" w:rsidRDefault="00007D48" w:rsidP="00B51F4B">
      <w:pPr>
        <w:pStyle w:val="Textpoznpodarou"/>
      </w:pPr>
      <w:r>
        <w:rPr>
          <w:rStyle w:val="Znakapoznpodarou"/>
        </w:rPr>
        <w:footnoteRef/>
      </w:r>
      <w:r>
        <w:t xml:space="preserve"> Rozhodčí nález ICSID (NAFTA) ze dne 11. října 2002 ve věci Mondev International Ltd. v. United States of America, odst. 115.</w:t>
      </w:r>
    </w:p>
  </w:footnote>
  <w:footnote w:id="153">
    <w:p w14:paraId="1436C186" w14:textId="23508958" w:rsidR="00007D48" w:rsidRDefault="00007D48">
      <w:pPr>
        <w:pStyle w:val="Textpoznpodarou"/>
      </w:pPr>
      <w:r>
        <w:rPr>
          <w:rStyle w:val="Znakapoznpodarou"/>
        </w:rPr>
        <w:footnoteRef/>
      </w:r>
      <w:r>
        <w:t xml:space="preserve"> Op. cit. </w:t>
      </w:r>
      <w:r w:rsidRPr="0093500D">
        <w:rPr>
          <w:i/>
        </w:rPr>
        <w:t>Crystallex...</w:t>
      </w:r>
      <w:r>
        <w:rPr>
          <w:i/>
        </w:rPr>
        <w:t>,</w:t>
      </w:r>
      <w:r w:rsidRPr="0093500D">
        <w:rPr>
          <w:i/>
        </w:rPr>
        <w:t xml:space="preserve"> </w:t>
      </w:r>
      <w:r>
        <w:t>odst. 492.</w:t>
      </w:r>
    </w:p>
  </w:footnote>
  <w:footnote w:id="154">
    <w:p w14:paraId="378AE347" w14:textId="5F8AF28A" w:rsidR="00007D48" w:rsidRDefault="00007D48">
      <w:pPr>
        <w:pStyle w:val="Textpoznpodarou"/>
      </w:pPr>
      <w:r>
        <w:rPr>
          <w:rStyle w:val="Znakapoznpodarou"/>
        </w:rPr>
        <w:footnoteRef/>
      </w:r>
      <w:r>
        <w:t xml:space="preserve"> KALIŠ, Roman. Mezinárodní minimální standard zacházení s mezinárodní investicí. In ŽATECKÁ, Eva (ed). </w:t>
      </w:r>
      <w:r>
        <w:rPr>
          <w:i/>
        </w:rPr>
        <w:t>Cofola 2011</w:t>
      </w:r>
      <w:r>
        <w:t>. Brno: Masarykova univerzita, 2011, s. 474.</w:t>
      </w:r>
    </w:p>
  </w:footnote>
  <w:footnote w:id="155">
    <w:p w14:paraId="73E9BEEB" w14:textId="0FB9A210" w:rsidR="00007D48" w:rsidRDefault="00007D48">
      <w:pPr>
        <w:pStyle w:val="Textpoznpodarou"/>
      </w:pPr>
      <w:r>
        <w:rPr>
          <w:rStyle w:val="Znakapoznpodarou"/>
        </w:rPr>
        <w:footnoteRef/>
      </w:r>
      <w:r>
        <w:t xml:space="preserve"> Tamtéž, s. 476.</w:t>
      </w:r>
    </w:p>
    <w:p w14:paraId="0C89C0C5" w14:textId="708770D8" w:rsidR="00007D48" w:rsidRPr="00315643" w:rsidRDefault="00007D48" w:rsidP="00500C0B">
      <w:pPr>
        <w:pStyle w:val="Textpoznpodarou"/>
      </w:pPr>
      <w:r>
        <w:t>Zbylými prvky jsou (1)</w:t>
      </w:r>
      <w:r w:rsidRPr="00BC1A19">
        <w:t xml:space="preserve"> </w:t>
      </w:r>
      <w:r>
        <w:t>poskytnutí odpovídajícího zacházení zadrženým cizincům, (2)</w:t>
      </w:r>
      <w:r w:rsidRPr="00500C0B">
        <w:t xml:space="preserve"> </w:t>
      </w:r>
      <w:r>
        <w:t xml:space="preserve">zajištění fyzické ochrany majetku cizince, (3) </w:t>
      </w:r>
      <w:r w:rsidRPr="005D520A">
        <w:t>výkonu práva v</w:t>
      </w:r>
      <w:r>
        <w:t>yhoštění</w:t>
      </w:r>
      <w:r w:rsidRPr="005D520A">
        <w:t xml:space="preserve"> cizince způsobem, který jej nejméně poškozuje</w:t>
      </w:r>
      <w:r>
        <w:t>.</w:t>
      </w:r>
    </w:p>
  </w:footnote>
  <w:footnote w:id="156">
    <w:p w14:paraId="0E482EDC" w14:textId="17011112" w:rsidR="00007D48" w:rsidRDefault="00007D48">
      <w:pPr>
        <w:pStyle w:val="Textpoznpodarou"/>
      </w:pPr>
      <w:r>
        <w:rPr>
          <w:rStyle w:val="Znakapoznpodarou"/>
        </w:rPr>
        <w:footnoteRef/>
      </w:r>
      <w:r>
        <w:t xml:space="preserve"> Rozhodčí nález UNCITRAL (NAFTA) ze dne 8. června 2009 ve věci </w:t>
      </w:r>
      <w:r w:rsidRPr="004D4F85">
        <w:t>Glamis Gold, Ltd. v. The United States of America</w:t>
      </w:r>
      <w:r>
        <w:t>, odst. 22.</w:t>
      </w:r>
    </w:p>
  </w:footnote>
  <w:footnote w:id="157">
    <w:p w14:paraId="2953F58C" w14:textId="1EF8AA18" w:rsidR="00007D48" w:rsidRDefault="00007D48">
      <w:pPr>
        <w:pStyle w:val="Textpoznpodarou"/>
      </w:pPr>
      <w:r>
        <w:rPr>
          <w:rStyle w:val="Znakapoznpodarou"/>
        </w:rPr>
        <w:footnoteRef/>
      </w:r>
      <w:r>
        <w:t xml:space="preserve"> Rozhodčí nález ICSID (NAFTA) ze dne 26. června 2003 ve věci </w:t>
      </w:r>
      <w:r w:rsidRPr="004B4F45">
        <w:t>Loewen Group, Inc. and Raymond L. Loewen v. United States of America</w:t>
      </w:r>
      <w:r>
        <w:t>, odst. 133.</w:t>
      </w:r>
    </w:p>
  </w:footnote>
  <w:footnote w:id="158">
    <w:p w14:paraId="78500A74" w14:textId="44A22A4B" w:rsidR="00007D48" w:rsidRDefault="00007D48" w:rsidP="009F551C">
      <w:pPr>
        <w:pStyle w:val="Textpoznpodarou"/>
      </w:pPr>
      <w:r>
        <w:rPr>
          <w:rStyle w:val="Znakapoznpodarou"/>
        </w:rPr>
        <w:footnoteRef/>
      </w:r>
      <w:r>
        <w:t xml:space="preserve"> Rozhodčí nález ICSID (NAFTA) ze dne 18. září 2009 ve věci </w:t>
      </w:r>
      <w:r>
        <w:rPr>
          <w:rStyle w:val="text70"/>
        </w:rPr>
        <w:t>Cargill, Inc. v. Mexico, odst. 290.</w:t>
      </w:r>
    </w:p>
  </w:footnote>
  <w:footnote w:id="159">
    <w:p w14:paraId="31AE0A1D" w14:textId="1C3D5557" w:rsidR="00007D48" w:rsidRDefault="00007D48" w:rsidP="009F551C">
      <w:pPr>
        <w:pStyle w:val="Textpoznpodarou"/>
      </w:pPr>
      <w:r>
        <w:rPr>
          <w:rStyle w:val="Znakapoznpodarou"/>
        </w:rPr>
        <w:footnoteRef/>
      </w:r>
      <w:r>
        <w:t xml:space="preserve"> Rozhodnutí ICSID o pravomoci a příslušnosti ze dne 22. května 2012 ve věci </w:t>
      </w:r>
      <w:r w:rsidRPr="005813C8">
        <w:t>Mobil Investments Canada Inc. and Murphy Oil Corporation v. Canada</w:t>
      </w:r>
      <w:r>
        <w:t>, odst. 153.</w:t>
      </w:r>
    </w:p>
  </w:footnote>
  <w:footnote w:id="160">
    <w:p w14:paraId="01BE6E77" w14:textId="1B3A6F16" w:rsidR="00007D48" w:rsidRPr="00211556" w:rsidRDefault="00007D48" w:rsidP="000F2923">
      <w:pPr>
        <w:pStyle w:val="Textpoznpodarou"/>
      </w:pPr>
      <w:r>
        <w:rPr>
          <w:rStyle w:val="Znakapoznpodarou"/>
        </w:rPr>
        <w:footnoteRef/>
      </w:r>
      <w:r>
        <w:t xml:space="preserve"> Op. cit. GOVERNMENT OF INDIA, MINISTRY OF FINANCE. </w:t>
      </w:r>
      <w:r w:rsidRPr="00211556">
        <w:rPr>
          <w:i/>
        </w:rPr>
        <w:t>Model Text</w:t>
      </w:r>
      <w:r>
        <w:rPr>
          <w:i/>
        </w:rPr>
        <w:t>...</w:t>
      </w:r>
    </w:p>
  </w:footnote>
  <w:footnote w:id="161">
    <w:p w14:paraId="49AE2D36" w14:textId="54EE71BB" w:rsidR="00007D48" w:rsidRPr="00A211F3" w:rsidRDefault="00007D48">
      <w:pPr>
        <w:pStyle w:val="Textpoznpodarou"/>
      </w:pPr>
      <w:r w:rsidRPr="00A211F3">
        <w:rPr>
          <w:rStyle w:val="Znakapoznpodarou"/>
        </w:rPr>
        <w:footnoteRef/>
      </w:r>
      <w:r w:rsidRPr="00A211F3">
        <w:t xml:space="preserve"> </w:t>
      </w:r>
      <w:r>
        <w:t xml:space="preserve">MELLSKE, Ryan. </w:t>
      </w:r>
      <w:r w:rsidRPr="00A211F3">
        <w:t>For Greater Certainty: Calibrating Investment Treaties to Protect Foreign Investment and Public Health</w:t>
      </w:r>
      <w:r>
        <w:t xml:space="preserve">. </w:t>
      </w:r>
      <w:r>
        <w:rPr>
          <w:i/>
          <w:iCs/>
        </w:rPr>
        <w:t>Maryland Journal of International Law</w:t>
      </w:r>
      <w:r>
        <w:rPr>
          <w:iCs/>
        </w:rPr>
        <w:t>, roč. 30, č. 1, s. 102.</w:t>
      </w:r>
    </w:p>
  </w:footnote>
  <w:footnote w:id="162">
    <w:p w14:paraId="13B1F6BC" w14:textId="5A8DFDDB" w:rsidR="00007D48" w:rsidRDefault="00007D48" w:rsidP="00045AD8">
      <w:pPr>
        <w:pStyle w:val="Textpoznpodarou"/>
      </w:pPr>
      <w:r>
        <w:rPr>
          <w:rStyle w:val="Znakapoznpodarou"/>
        </w:rPr>
        <w:footnoteRef/>
      </w:r>
      <w:r>
        <w:t xml:space="preserve"> Příloha 11-B Dohody FTA mezi Austrálií a Korejskou republikou ze dne 8. dubna 2014. Shodně v modelových BIT Kanady a USA.</w:t>
      </w:r>
    </w:p>
  </w:footnote>
  <w:footnote w:id="163">
    <w:p w14:paraId="75D5AADD" w14:textId="14509C1E" w:rsidR="00007D48" w:rsidRDefault="00007D48">
      <w:pPr>
        <w:pStyle w:val="Textpoznpodarou"/>
      </w:pPr>
      <w:r>
        <w:rPr>
          <w:rStyle w:val="Znakapoznpodarou"/>
        </w:rPr>
        <w:footnoteRef/>
      </w:r>
      <w:r>
        <w:t xml:space="preserve"> V poznámce pod čarou je ještě zmíněno, že tento výčet oblastí veřejného zájmu není konečný.</w:t>
      </w:r>
    </w:p>
  </w:footnote>
  <w:footnote w:id="164">
    <w:p w14:paraId="11D9A627" w14:textId="7381F167" w:rsidR="00007D48" w:rsidRPr="0071538A" w:rsidRDefault="00007D48" w:rsidP="00741AB1">
      <w:pPr>
        <w:pStyle w:val="Textpoznpodarou"/>
      </w:pPr>
      <w:r>
        <w:rPr>
          <w:rStyle w:val="Znakapoznpodarou"/>
        </w:rPr>
        <w:footnoteRef/>
      </w:r>
      <w:r>
        <w:t xml:space="preserve"> KALICKI, Jean, JOUBIN-BRET, Anna. </w:t>
      </w:r>
      <w:r>
        <w:rPr>
          <w:i/>
        </w:rPr>
        <w:t xml:space="preserve">Reshaping </w:t>
      </w:r>
      <w:r w:rsidRPr="0071538A">
        <w:rPr>
          <w:i/>
        </w:rPr>
        <w:t>the Investor-State Dispute Settlement System: Journeys for the 21st Century</w:t>
      </w:r>
      <w:r>
        <w:t>. Leiden:</w:t>
      </w:r>
      <w:r w:rsidRPr="0023135B">
        <w:t xml:space="preserve"> </w:t>
      </w:r>
      <w:r>
        <w:t>Hotei Publishing, 2015. s. 263.</w:t>
      </w:r>
    </w:p>
  </w:footnote>
  <w:footnote w:id="165">
    <w:p w14:paraId="5F0F5AB9" w14:textId="5DB8B826" w:rsidR="00007D48" w:rsidRPr="00664059" w:rsidRDefault="00007D48">
      <w:pPr>
        <w:pStyle w:val="Textpoznpodarou"/>
      </w:pPr>
      <w:r>
        <w:rPr>
          <w:rStyle w:val="Znakapoznpodarou"/>
        </w:rPr>
        <w:footnoteRef/>
      </w:r>
      <w:r>
        <w:t xml:space="preserve"> Op. Cit. </w:t>
      </w:r>
      <w:r w:rsidRPr="00664059">
        <w:rPr>
          <w:i/>
        </w:rPr>
        <w:t>GOVERNMENT OF INDIA, MINISTRY OF FINANCE. Model Text</w:t>
      </w:r>
      <w:r>
        <w:rPr>
          <w:i/>
        </w:rPr>
        <w:t>...</w:t>
      </w:r>
    </w:p>
  </w:footnote>
  <w:footnote w:id="166">
    <w:p w14:paraId="7E2A1D13" w14:textId="7CB6C976" w:rsidR="00007D48" w:rsidRDefault="00007D48" w:rsidP="00B804DB">
      <w:pPr>
        <w:pStyle w:val="Textpoznpodarou"/>
      </w:pPr>
      <w:r>
        <w:rPr>
          <w:rStyle w:val="Znakapoznpodarou"/>
        </w:rPr>
        <w:footnoteRef/>
      </w:r>
      <w:r>
        <w:t xml:space="preserve"> EUROPEAN COMMISSION. </w:t>
      </w:r>
      <w:r w:rsidRPr="00B804DB">
        <w:rPr>
          <w:i/>
        </w:rPr>
        <w:t>Communication from the commission to the council, the european parliament, the european economic and social committee and the committee of the regions</w:t>
      </w:r>
      <w:r>
        <w:rPr>
          <w:i/>
        </w:rPr>
        <w:t xml:space="preserve">. </w:t>
      </w:r>
      <w:r w:rsidRPr="00B804DB">
        <w:rPr>
          <w:i/>
        </w:rPr>
        <w:t>Towards a comprehensive European international investment policy</w:t>
      </w:r>
      <w:r w:rsidRPr="007D07D6">
        <w:t>. [online].</w:t>
      </w:r>
      <w:r w:rsidRPr="007D07D6">
        <w:rPr>
          <w:i/>
        </w:rPr>
        <w:t xml:space="preserve"> </w:t>
      </w:r>
      <w:r>
        <w:t>t</w:t>
      </w:r>
      <w:r w:rsidRPr="007D07D6">
        <w:t>rade.ec.europa.eu</w:t>
      </w:r>
      <w:r>
        <w:t xml:space="preserve">, 7. července </w:t>
      </w:r>
      <w:r w:rsidRPr="00E6592E">
        <w:t xml:space="preserve">2010 [cit. 7. </w:t>
      </w:r>
      <w:r>
        <w:t>října 2016</w:t>
      </w:r>
      <w:r w:rsidRPr="00E6592E">
        <w:t>]</w:t>
      </w:r>
      <w:r>
        <w:t>. Dostupné na &lt;</w:t>
      </w:r>
      <w:hyperlink r:id="rId15" w:history="1">
        <w:r w:rsidRPr="003D5FD8">
          <w:rPr>
            <w:rStyle w:val="Hypertextovodkaz"/>
          </w:rPr>
          <w:t>http://trade.ec.europa.eu/doclib/docs/2010/july/tradoc_146307.pdf</w:t>
        </w:r>
      </w:hyperlink>
      <w:r>
        <w:t xml:space="preserve">&gt;. </w:t>
      </w:r>
    </w:p>
  </w:footnote>
  <w:footnote w:id="167">
    <w:p w14:paraId="1DF82B36" w14:textId="6E1C84DB" w:rsidR="00007D48" w:rsidRDefault="00007D48">
      <w:pPr>
        <w:pStyle w:val="Textpoznpodarou"/>
      </w:pPr>
      <w:r>
        <w:rPr>
          <w:rStyle w:val="Znakapoznpodarou"/>
        </w:rPr>
        <w:footnoteRef/>
      </w:r>
      <w:r>
        <w:t xml:space="preserve"> WILHELMER, Hanna. </w:t>
      </w:r>
      <w:r w:rsidRPr="00AC3095">
        <w:rPr>
          <w:i/>
        </w:rPr>
        <w:t>The ‘right to regulate’ in ceta’s investment chapter - fair and equitable treatment, expropriation and interpretative powers</w:t>
      </w:r>
      <w:r>
        <w:rPr>
          <w:i/>
        </w:rPr>
        <w:t xml:space="preserve"> </w:t>
      </w:r>
      <w:r w:rsidRPr="007D07D6">
        <w:t>[online].</w:t>
      </w:r>
      <w:r w:rsidRPr="007D07D6">
        <w:rPr>
          <w:i/>
        </w:rPr>
        <w:t xml:space="preserve"> </w:t>
      </w:r>
      <w:r w:rsidRPr="00AC3095">
        <w:t>deicl.univie.ac.at</w:t>
      </w:r>
      <w:r>
        <w:t>, 2014 [cit. 10</w:t>
      </w:r>
      <w:r w:rsidRPr="00E6592E">
        <w:t>. března 2017]</w:t>
      </w:r>
      <w:r>
        <w:t>. Dostupné na &lt;</w:t>
      </w:r>
      <w:hyperlink r:id="rId16" w:history="1">
        <w:r w:rsidRPr="00AC3095">
          <w:rPr>
            <w:rStyle w:val="Hypertextovodkaz"/>
          </w:rPr>
          <w:t>https://deicl.univie.ac.at/fileadmin/user_upload/i_deicl/VR/VR_Personal/Reinisch/Internetpublikationen/wilhelmer.pdf</w:t>
        </w:r>
      </w:hyperlink>
      <w:r>
        <w:t>&gt;.</w:t>
      </w:r>
    </w:p>
  </w:footnote>
  <w:footnote w:id="168">
    <w:p w14:paraId="3B5DBEF2" w14:textId="569E2776" w:rsidR="00007D48" w:rsidRDefault="00007D48">
      <w:pPr>
        <w:pStyle w:val="Textpoznpodarou"/>
      </w:pPr>
      <w:r>
        <w:rPr>
          <w:rStyle w:val="Znakapoznpodarou"/>
        </w:rPr>
        <w:footnoteRef/>
      </w:r>
      <w:r>
        <w:t xml:space="preserve"> Článek 8.9 – 8.12 a příloha 8-A dohody </w:t>
      </w:r>
      <w:r>
        <w:rPr>
          <w:iCs/>
        </w:rPr>
        <w:t>CETA ze dne 30. listopadu 2016.</w:t>
      </w:r>
    </w:p>
  </w:footnote>
  <w:footnote w:id="169">
    <w:p w14:paraId="66E4746D" w14:textId="45E05942" w:rsidR="00007D48" w:rsidRPr="00C74467" w:rsidRDefault="00007D48">
      <w:pPr>
        <w:pStyle w:val="Textpoznpodarou"/>
      </w:pPr>
      <w:r>
        <w:rPr>
          <w:rStyle w:val="Znakapoznpodarou"/>
        </w:rPr>
        <w:footnoteRef/>
      </w:r>
      <w:r>
        <w:t xml:space="preserve"> ZAROWNA, Agnieszka. </w:t>
      </w:r>
      <w:r w:rsidRPr="00C74467">
        <w:rPr>
          <w:i/>
        </w:rPr>
        <w:t>Termination of BITs and Sunset Clauses – What Can Investors in Poland Expect?</w:t>
      </w:r>
      <w:r w:rsidRPr="00C74467">
        <w:t xml:space="preserve"> </w:t>
      </w:r>
      <w:r w:rsidRPr="007D07D6">
        <w:t>[online].</w:t>
      </w:r>
      <w:r>
        <w:rPr>
          <w:i/>
        </w:rPr>
        <w:t xml:space="preserve"> </w:t>
      </w:r>
      <w:r w:rsidRPr="00C74467">
        <w:t>kluwerarbitrationblog.com</w:t>
      </w:r>
      <w:r>
        <w:t>, 28. února 2017  [cit. 27</w:t>
      </w:r>
      <w:r w:rsidRPr="00E6592E">
        <w:t>. března 2017]</w:t>
      </w:r>
      <w:r>
        <w:t>. Dostupné na &lt;</w:t>
      </w:r>
      <w:hyperlink r:id="rId17" w:history="1">
        <w:r w:rsidRPr="00CA3424">
          <w:rPr>
            <w:rStyle w:val="Hypertextovodkaz"/>
          </w:rPr>
          <w:t>http://kluwerarbitrationblog.com/2017/02/28/booked-22-february-polish-bits/</w:t>
        </w:r>
      </w:hyperlink>
      <w:r>
        <w:t xml:space="preserve">&gt;. </w:t>
      </w:r>
    </w:p>
  </w:footnote>
  <w:footnote w:id="170">
    <w:p w14:paraId="427B84A0" w14:textId="7E3DD05F" w:rsidR="00007D48" w:rsidRPr="001E24B3" w:rsidRDefault="00007D48">
      <w:pPr>
        <w:pStyle w:val="Textpoznpodarou"/>
      </w:pPr>
      <w:r>
        <w:rPr>
          <w:rStyle w:val="Znakapoznpodarou"/>
        </w:rPr>
        <w:footnoteRef/>
      </w:r>
      <w:r>
        <w:t xml:space="preserve"> </w:t>
      </w:r>
      <w:r w:rsidRPr="001E24B3">
        <w:t>JUERGEN</w:t>
      </w:r>
      <w:r>
        <w:t xml:space="preserve">, Mark. </w:t>
      </w:r>
      <w:r w:rsidRPr="001E24B3">
        <w:rPr>
          <w:i/>
        </w:rPr>
        <w:t>German Association of Judges on the TTIP Proposal of the European Commission</w:t>
      </w:r>
      <w:r>
        <w:t xml:space="preserve"> </w:t>
      </w:r>
      <w:r w:rsidRPr="007D07D6">
        <w:t>[online].</w:t>
      </w:r>
      <w:r w:rsidRPr="007D07D6">
        <w:rPr>
          <w:i/>
        </w:rPr>
        <w:t xml:space="preserve"> </w:t>
      </w:r>
      <w:r w:rsidRPr="001E24B3">
        <w:t>globalarbitrationnews.com</w:t>
      </w:r>
      <w:r>
        <w:t>, 21. března 2016 [cit. 2</w:t>
      </w:r>
      <w:r w:rsidRPr="00E6592E">
        <w:t xml:space="preserve">. </w:t>
      </w:r>
      <w:r>
        <w:t>listopadu 2016</w:t>
      </w:r>
      <w:r w:rsidRPr="00E6592E">
        <w:t>]</w:t>
      </w:r>
      <w:r>
        <w:t>. Dostupné na &lt;</w:t>
      </w:r>
      <w:hyperlink r:id="rId18" w:history="1">
        <w:r w:rsidRPr="00CA3424">
          <w:rPr>
            <w:rStyle w:val="Hypertextovodkaz"/>
          </w:rPr>
          <w:t>https://globalarbitrationnews.com/german-association-judges-proposal-european-commission-introduction-investment-court-system-settle-investor-state-disputes-transatlantic-trade-investmen/</w:t>
        </w:r>
      </w:hyperlink>
      <w:r>
        <w:t xml:space="preserve">&gt;. </w:t>
      </w:r>
    </w:p>
  </w:footnote>
  <w:footnote w:id="171">
    <w:p w14:paraId="15DA03BF" w14:textId="77777777" w:rsidR="00007D48" w:rsidRDefault="00007D48" w:rsidP="00A7189A">
      <w:pPr>
        <w:pStyle w:val="Textpoznpodarou"/>
      </w:pPr>
      <w:r>
        <w:rPr>
          <w:rStyle w:val="Znakapoznpodarou"/>
        </w:rPr>
        <w:footnoteRef/>
      </w:r>
      <w:r>
        <w:t xml:space="preserve"> </w:t>
      </w:r>
      <w:r w:rsidRPr="00A63D8F">
        <w:t>HUECKEL, Julia</w:t>
      </w:r>
      <w:r>
        <w:t xml:space="preserve">. </w:t>
      </w:r>
      <w:r w:rsidRPr="00A63D8F">
        <w:t>Rebalancing Legitimacy and Sovereignty in International Investment Agreements</w:t>
      </w:r>
      <w:r>
        <w:t xml:space="preserve">. </w:t>
      </w:r>
      <w:r>
        <w:rPr>
          <w:i/>
          <w:iCs/>
        </w:rPr>
        <w:t>Emory Law Journal</w:t>
      </w:r>
      <w:r>
        <w:t>, 2012, roč. 61, č. 3, s. 618.</w:t>
      </w:r>
    </w:p>
  </w:footnote>
  <w:footnote w:id="172">
    <w:p w14:paraId="67CE70D4" w14:textId="4503F7D7" w:rsidR="00007D48" w:rsidRPr="004E1351" w:rsidRDefault="00007D48" w:rsidP="00A7189A">
      <w:pPr>
        <w:pStyle w:val="Textpoznpodarou"/>
      </w:pPr>
      <w:r>
        <w:rPr>
          <w:rStyle w:val="Znakapoznpodarou"/>
        </w:rPr>
        <w:footnoteRef/>
      </w:r>
      <w:r>
        <w:t xml:space="preserve">Op. cit. ISAKOFF: </w:t>
      </w:r>
      <w:r w:rsidRPr="009427CD">
        <w:rPr>
          <w:i/>
        </w:rPr>
        <w:t>Defining the scope of indirect expropriation</w:t>
      </w:r>
      <w:r>
        <w:t>..., s. 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31A"/>
    <w:multiLevelType w:val="hybridMultilevel"/>
    <w:tmpl w:val="4A9213FC"/>
    <w:lvl w:ilvl="0" w:tplc="36DE531E">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F0E33A7"/>
    <w:multiLevelType w:val="hybridMultilevel"/>
    <w:tmpl w:val="BCD8358C"/>
    <w:lvl w:ilvl="0" w:tplc="04050011">
      <w:start w:val="1"/>
      <w:numFmt w:val="decimal"/>
      <w:lvlText w:val="%1)"/>
      <w:lvlJc w:val="left"/>
      <w:pPr>
        <w:ind w:left="1560" w:hanging="360"/>
      </w:p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2">
    <w:nsid w:val="12A85DBB"/>
    <w:multiLevelType w:val="hybridMultilevel"/>
    <w:tmpl w:val="34DAD602"/>
    <w:lvl w:ilvl="0" w:tplc="04050017">
      <w:start w:val="1"/>
      <w:numFmt w:val="lowerLetter"/>
      <w:lvlText w:val="%1)"/>
      <w:lvlJc w:val="left"/>
      <w:pPr>
        <w:ind w:left="1516" w:hanging="360"/>
      </w:pPr>
    </w:lvl>
    <w:lvl w:ilvl="1" w:tplc="04050019" w:tentative="1">
      <w:start w:val="1"/>
      <w:numFmt w:val="lowerLetter"/>
      <w:lvlText w:val="%2."/>
      <w:lvlJc w:val="left"/>
      <w:pPr>
        <w:ind w:left="2236" w:hanging="360"/>
      </w:pPr>
    </w:lvl>
    <w:lvl w:ilvl="2" w:tplc="0405001B" w:tentative="1">
      <w:start w:val="1"/>
      <w:numFmt w:val="lowerRoman"/>
      <w:lvlText w:val="%3."/>
      <w:lvlJc w:val="right"/>
      <w:pPr>
        <w:ind w:left="2956" w:hanging="180"/>
      </w:pPr>
    </w:lvl>
    <w:lvl w:ilvl="3" w:tplc="0405000F" w:tentative="1">
      <w:start w:val="1"/>
      <w:numFmt w:val="decimal"/>
      <w:lvlText w:val="%4."/>
      <w:lvlJc w:val="left"/>
      <w:pPr>
        <w:ind w:left="3676" w:hanging="360"/>
      </w:pPr>
    </w:lvl>
    <w:lvl w:ilvl="4" w:tplc="04050019" w:tentative="1">
      <w:start w:val="1"/>
      <w:numFmt w:val="lowerLetter"/>
      <w:lvlText w:val="%5."/>
      <w:lvlJc w:val="left"/>
      <w:pPr>
        <w:ind w:left="4396" w:hanging="360"/>
      </w:pPr>
    </w:lvl>
    <w:lvl w:ilvl="5" w:tplc="0405001B" w:tentative="1">
      <w:start w:val="1"/>
      <w:numFmt w:val="lowerRoman"/>
      <w:lvlText w:val="%6."/>
      <w:lvlJc w:val="right"/>
      <w:pPr>
        <w:ind w:left="5116" w:hanging="180"/>
      </w:pPr>
    </w:lvl>
    <w:lvl w:ilvl="6" w:tplc="0405000F" w:tentative="1">
      <w:start w:val="1"/>
      <w:numFmt w:val="decimal"/>
      <w:lvlText w:val="%7."/>
      <w:lvlJc w:val="left"/>
      <w:pPr>
        <w:ind w:left="5836" w:hanging="360"/>
      </w:pPr>
    </w:lvl>
    <w:lvl w:ilvl="7" w:tplc="04050019" w:tentative="1">
      <w:start w:val="1"/>
      <w:numFmt w:val="lowerLetter"/>
      <w:lvlText w:val="%8."/>
      <w:lvlJc w:val="left"/>
      <w:pPr>
        <w:ind w:left="6556" w:hanging="360"/>
      </w:pPr>
    </w:lvl>
    <w:lvl w:ilvl="8" w:tplc="0405001B" w:tentative="1">
      <w:start w:val="1"/>
      <w:numFmt w:val="lowerRoman"/>
      <w:lvlText w:val="%9."/>
      <w:lvlJc w:val="right"/>
      <w:pPr>
        <w:ind w:left="7276" w:hanging="180"/>
      </w:pPr>
    </w:lvl>
  </w:abstractNum>
  <w:abstractNum w:abstractNumId="3">
    <w:nsid w:val="16352410"/>
    <w:multiLevelType w:val="multilevel"/>
    <w:tmpl w:val="70D2B892"/>
    <w:lvl w:ilvl="0">
      <w:start w:val="1"/>
      <w:numFmt w:val="decimal"/>
      <w:pStyle w:val="Nadpis1"/>
      <w:lvlText w:val="%1"/>
      <w:lvlJc w:val="left"/>
      <w:pPr>
        <w:tabs>
          <w:tab w:val="num" w:pos="432"/>
        </w:tabs>
        <w:ind w:left="432"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Nadpis2"/>
      <w:lvlText w:val="%1.%2"/>
      <w:lvlJc w:val="left"/>
      <w:pPr>
        <w:tabs>
          <w:tab w:val="num" w:pos="756"/>
        </w:tabs>
        <w:ind w:left="756" w:hanging="576"/>
      </w:pPr>
      <w:rPr>
        <w:rFonts w:hint="default"/>
        <w:sz w:val="28"/>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nsid w:val="172770C2"/>
    <w:multiLevelType w:val="hybridMultilevel"/>
    <w:tmpl w:val="946C947A"/>
    <w:lvl w:ilvl="0" w:tplc="04050011">
      <w:start w:val="1"/>
      <w:numFmt w:val="decimal"/>
      <w:lvlText w:val="%1)"/>
      <w:lvlJc w:val="left"/>
      <w:pPr>
        <w:ind w:left="1516" w:hanging="360"/>
      </w:pPr>
    </w:lvl>
    <w:lvl w:ilvl="1" w:tplc="04050019" w:tentative="1">
      <w:start w:val="1"/>
      <w:numFmt w:val="lowerLetter"/>
      <w:lvlText w:val="%2."/>
      <w:lvlJc w:val="left"/>
      <w:pPr>
        <w:ind w:left="2236" w:hanging="360"/>
      </w:pPr>
    </w:lvl>
    <w:lvl w:ilvl="2" w:tplc="0405001B" w:tentative="1">
      <w:start w:val="1"/>
      <w:numFmt w:val="lowerRoman"/>
      <w:lvlText w:val="%3."/>
      <w:lvlJc w:val="right"/>
      <w:pPr>
        <w:ind w:left="2956" w:hanging="180"/>
      </w:pPr>
    </w:lvl>
    <w:lvl w:ilvl="3" w:tplc="0405000F" w:tentative="1">
      <w:start w:val="1"/>
      <w:numFmt w:val="decimal"/>
      <w:lvlText w:val="%4."/>
      <w:lvlJc w:val="left"/>
      <w:pPr>
        <w:ind w:left="3676" w:hanging="360"/>
      </w:pPr>
    </w:lvl>
    <w:lvl w:ilvl="4" w:tplc="04050019" w:tentative="1">
      <w:start w:val="1"/>
      <w:numFmt w:val="lowerLetter"/>
      <w:lvlText w:val="%5."/>
      <w:lvlJc w:val="left"/>
      <w:pPr>
        <w:ind w:left="4396" w:hanging="360"/>
      </w:pPr>
    </w:lvl>
    <w:lvl w:ilvl="5" w:tplc="0405001B" w:tentative="1">
      <w:start w:val="1"/>
      <w:numFmt w:val="lowerRoman"/>
      <w:lvlText w:val="%6."/>
      <w:lvlJc w:val="right"/>
      <w:pPr>
        <w:ind w:left="5116" w:hanging="180"/>
      </w:pPr>
    </w:lvl>
    <w:lvl w:ilvl="6" w:tplc="0405000F" w:tentative="1">
      <w:start w:val="1"/>
      <w:numFmt w:val="decimal"/>
      <w:lvlText w:val="%7."/>
      <w:lvlJc w:val="left"/>
      <w:pPr>
        <w:ind w:left="5836" w:hanging="360"/>
      </w:pPr>
    </w:lvl>
    <w:lvl w:ilvl="7" w:tplc="04050019" w:tentative="1">
      <w:start w:val="1"/>
      <w:numFmt w:val="lowerLetter"/>
      <w:lvlText w:val="%8."/>
      <w:lvlJc w:val="left"/>
      <w:pPr>
        <w:ind w:left="6556" w:hanging="360"/>
      </w:pPr>
    </w:lvl>
    <w:lvl w:ilvl="8" w:tplc="0405001B" w:tentative="1">
      <w:start w:val="1"/>
      <w:numFmt w:val="lowerRoman"/>
      <w:lvlText w:val="%9."/>
      <w:lvlJc w:val="right"/>
      <w:pPr>
        <w:ind w:left="7276" w:hanging="180"/>
      </w:pPr>
    </w:lvl>
  </w:abstractNum>
  <w:abstractNum w:abstractNumId="5">
    <w:nsid w:val="1DBD1573"/>
    <w:multiLevelType w:val="hybridMultilevel"/>
    <w:tmpl w:val="26364DD8"/>
    <w:lvl w:ilvl="0" w:tplc="04050011">
      <w:start w:val="1"/>
      <w:numFmt w:val="decimal"/>
      <w:lvlText w:val="%1)"/>
      <w:lvlJc w:val="left"/>
      <w:pPr>
        <w:ind w:left="1516" w:hanging="360"/>
      </w:pPr>
    </w:lvl>
    <w:lvl w:ilvl="1" w:tplc="04050019" w:tentative="1">
      <w:start w:val="1"/>
      <w:numFmt w:val="lowerLetter"/>
      <w:lvlText w:val="%2."/>
      <w:lvlJc w:val="left"/>
      <w:pPr>
        <w:ind w:left="2236" w:hanging="360"/>
      </w:pPr>
    </w:lvl>
    <w:lvl w:ilvl="2" w:tplc="0405001B" w:tentative="1">
      <w:start w:val="1"/>
      <w:numFmt w:val="lowerRoman"/>
      <w:lvlText w:val="%3."/>
      <w:lvlJc w:val="right"/>
      <w:pPr>
        <w:ind w:left="2956" w:hanging="180"/>
      </w:pPr>
    </w:lvl>
    <w:lvl w:ilvl="3" w:tplc="0405000F" w:tentative="1">
      <w:start w:val="1"/>
      <w:numFmt w:val="decimal"/>
      <w:lvlText w:val="%4."/>
      <w:lvlJc w:val="left"/>
      <w:pPr>
        <w:ind w:left="3676" w:hanging="360"/>
      </w:pPr>
    </w:lvl>
    <w:lvl w:ilvl="4" w:tplc="04050019" w:tentative="1">
      <w:start w:val="1"/>
      <w:numFmt w:val="lowerLetter"/>
      <w:lvlText w:val="%5."/>
      <w:lvlJc w:val="left"/>
      <w:pPr>
        <w:ind w:left="4396" w:hanging="360"/>
      </w:pPr>
    </w:lvl>
    <w:lvl w:ilvl="5" w:tplc="0405001B" w:tentative="1">
      <w:start w:val="1"/>
      <w:numFmt w:val="lowerRoman"/>
      <w:lvlText w:val="%6."/>
      <w:lvlJc w:val="right"/>
      <w:pPr>
        <w:ind w:left="5116" w:hanging="180"/>
      </w:pPr>
    </w:lvl>
    <w:lvl w:ilvl="6" w:tplc="0405000F" w:tentative="1">
      <w:start w:val="1"/>
      <w:numFmt w:val="decimal"/>
      <w:lvlText w:val="%7."/>
      <w:lvlJc w:val="left"/>
      <w:pPr>
        <w:ind w:left="5836" w:hanging="360"/>
      </w:pPr>
    </w:lvl>
    <w:lvl w:ilvl="7" w:tplc="04050019" w:tentative="1">
      <w:start w:val="1"/>
      <w:numFmt w:val="lowerLetter"/>
      <w:lvlText w:val="%8."/>
      <w:lvlJc w:val="left"/>
      <w:pPr>
        <w:ind w:left="6556" w:hanging="360"/>
      </w:pPr>
    </w:lvl>
    <w:lvl w:ilvl="8" w:tplc="0405001B" w:tentative="1">
      <w:start w:val="1"/>
      <w:numFmt w:val="lowerRoman"/>
      <w:lvlText w:val="%9."/>
      <w:lvlJc w:val="right"/>
      <w:pPr>
        <w:ind w:left="7276" w:hanging="180"/>
      </w:pPr>
    </w:lvl>
  </w:abstractNum>
  <w:abstractNum w:abstractNumId="6">
    <w:nsid w:val="26302C15"/>
    <w:multiLevelType w:val="hybridMultilevel"/>
    <w:tmpl w:val="203C0A9C"/>
    <w:lvl w:ilvl="0" w:tplc="3D623436">
      <w:start w:val="1"/>
      <w:numFmt w:val="ordinal"/>
      <w:lvlText w:val="%1"/>
      <w:lvlJc w:val="left"/>
      <w:pPr>
        <w:ind w:left="360" w:hanging="360"/>
      </w:pPr>
      <w:rPr>
        <w:rFonts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7F8192A"/>
    <w:multiLevelType w:val="hybridMultilevel"/>
    <w:tmpl w:val="8D268FB0"/>
    <w:lvl w:ilvl="0" w:tplc="04050011">
      <w:start w:val="1"/>
      <w:numFmt w:val="decimal"/>
      <w:lvlText w:val="%1)"/>
      <w:lvlJc w:val="left"/>
      <w:pPr>
        <w:ind w:left="4440" w:hanging="360"/>
      </w:pPr>
    </w:lvl>
    <w:lvl w:ilvl="1" w:tplc="04050019" w:tentative="1">
      <w:start w:val="1"/>
      <w:numFmt w:val="lowerLetter"/>
      <w:lvlText w:val="%2."/>
      <w:lvlJc w:val="left"/>
      <w:pPr>
        <w:ind w:left="5160" w:hanging="360"/>
      </w:pPr>
    </w:lvl>
    <w:lvl w:ilvl="2" w:tplc="0405001B" w:tentative="1">
      <w:start w:val="1"/>
      <w:numFmt w:val="lowerRoman"/>
      <w:lvlText w:val="%3."/>
      <w:lvlJc w:val="right"/>
      <w:pPr>
        <w:ind w:left="5880" w:hanging="180"/>
      </w:pPr>
    </w:lvl>
    <w:lvl w:ilvl="3" w:tplc="0405000F" w:tentative="1">
      <w:start w:val="1"/>
      <w:numFmt w:val="decimal"/>
      <w:lvlText w:val="%4."/>
      <w:lvlJc w:val="left"/>
      <w:pPr>
        <w:ind w:left="6600" w:hanging="360"/>
      </w:pPr>
    </w:lvl>
    <w:lvl w:ilvl="4" w:tplc="04050019" w:tentative="1">
      <w:start w:val="1"/>
      <w:numFmt w:val="lowerLetter"/>
      <w:lvlText w:val="%5."/>
      <w:lvlJc w:val="left"/>
      <w:pPr>
        <w:ind w:left="7320" w:hanging="360"/>
      </w:pPr>
    </w:lvl>
    <w:lvl w:ilvl="5" w:tplc="0405001B" w:tentative="1">
      <w:start w:val="1"/>
      <w:numFmt w:val="lowerRoman"/>
      <w:lvlText w:val="%6."/>
      <w:lvlJc w:val="right"/>
      <w:pPr>
        <w:ind w:left="8040" w:hanging="180"/>
      </w:pPr>
    </w:lvl>
    <w:lvl w:ilvl="6" w:tplc="0405000F" w:tentative="1">
      <w:start w:val="1"/>
      <w:numFmt w:val="decimal"/>
      <w:lvlText w:val="%7."/>
      <w:lvlJc w:val="left"/>
      <w:pPr>
        <w:ind w:left="8760" w:hanging="360"/>
      </w:pPr>
    </w:lvl>
    <w:lvl w:ilvl="7" w:tplc="04050019" w:tentative="1">
      <w:start w:val="1"/>
      <w:numFmt w:val="lowerLetter"/>
      <w:lvlText w:val="%8."/>
      <w:lvlJc w:val="left"/>
      <w:pPr>
        <w:ind w:left="9480" w:hanging="360"/>
      </w:pPr>
    </w:lvl>
    <w:lvl w:ilvl="8" w:tplc="0405001B" w:tentative="1">
      <w:start w:val="1"/>
      <w:numFmt w:val="lowerRoman"/>
      <w:lvlText w:val="%9."/>
      <w:lvlJc w:val="right"/>
      <w:pPr>
        <w:ind w:left="10200" w:hanging="180"/>
      </w:pPr>
    </w:lvl>
  </w:abstractNum>
  <w:abstractNum w:abstractNumId="8">
    <w:nsid w:val="2CC54488"/>
    <w:multiLevelType w:val="hybridMultilevel"/>
    <w:tmpl w:val="96B8A1A4"/>
    <w:lvl w:ilvl="0" w:tplc="36DE531E">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2EC4D05"/>
    <w:multiLevelType w:val="hybridMultilevel"/>
    <w:tmpl w:val="EBFCD4A0"/>
    <w:lvl w:ilvl="0" w:tplc="04050017">
      <w:start w:val="1"/>
      <w:numFmt w:val="lowerLetter"/>
      <w:lvlText w:val="%1)"/>
      <w:lvlJc w:val="left"/>
      <w:pPr>
        <w:ind w:left="4440" w:hanging="360"/>
      </w:pPr>
    </w:lvl>
    <w:lvl w:ilvl="1" w:tplc="04050019" w:tentative="1">
      <w:start w:val="1"/>
      <w:numFmt w:val="lowerLetter"/>
      <w:lvlText w:val="%2."/>
      <w:lvlJc w:val="left"/>
      <w:pPr>
        <w:ind w:left="5160" w:hanging="360"/>
      </w:pPr>
    </w:lvl>
    <w:lvl w:ilvl="2" w:tplc="0405001B" w:tentative="1">
      <w:start w:val="1"/>
      <w:numFmt w:val="lowerRoman"/>
      <w:lvlText w:val="%3."/>
      <w:lvlJc w:val="right"/>
      <w:pPr>
        <w:ind w:left="5880" w:hanging="180"/>
      </w:pPr>
    </w:lvl>
    <w:lvl w:ilvl="3" w:tplc="0405000F" w:tentative="1">
      <w:start w:val="1"/>
      <w:numFmt w:val="decimal"/>
      <w:lvlText w:val="%4."/>
      <w:lvlJc w:val="left"/>
      <w:pPr>
        <w:ind w:left="6600" w:hanging="360"/>
      </w:pPr>
    </w:lvl>
    <w:lvl w:ilvl="4" w:tplc="04050019" w:tentative="1">
      <w:start w:val="1"/>
      <w:numFmt w:val="lowerLetter"/>
      <w:lvlText w:val="%5."/>
      <w:lvlJc w:val="left"/>
      <w:pPr>
        <w:ind w:left="7320" w:hanging="360"/>
      </w:pPr>
    </w:lvl>
    <w:lvl w:ilvl="5" w:tplc="0405001B" w:tentative="1">
      <w:start w:val="1"/>
      <w:numFmt w:val="lowerRoman"/>
      <w:lvlText w:val="%6."/>
      <w:lvlJc w:val="right"/>
      <w:pPr>
        <w:ind w:left="8040" w:hanging="180"/>
      </w:pPr>
    </w:lvl>
    <w:lvl w:ilvl="6" w:tplc="0405000F" w:tentative="1">
      <w:start w:val="1"/>
      <w:numFmt w:val="decimal"/>
      <w:lvlText w:val="%7."/>
      <w:lvlJc w:val="left"/>
      <w:pPr>
        <w:ind w:left="8760" w:hanging="360"/>
      </w:pPr>
    </w:lvl>
    <w:lvl w:ilvl="7" w:tplc="04050019" w:tentative="1">
      <w:start w:val="1"/>
      <w:numFmt w:val="lowerLetter"/>
      <w:lvlText w:val="%8."/>
      <w:lvlJc w:val="left"/>
      <w:pPr>
        <w:ind w:left="9480" w:hanging="360"/>
      </w:pPr>
    </w:lvl>
    <w:lvl w:ilvl="8" w:tplc="0405001B" w:tentative="1">
      <w:start w:val="1"/>
      <w:numFmt w:val="lowerRoman"/>
      <w:lvlText w:val="%9."/>
      <w:lvlJc w:val="right"/>
      <w:pPr>
        <w:ind w:left="10200" w:hanging="180"/>
      </w:pPr>
    </w:lvl>
  </w:abstractNum>
  <w:abstractNum w:abstractNumId="10">
    <w:nsid w:val="33BC61E4"/>
    <w:multiLevelType w:val="hybridMultilevel"/>
    <w:tmpl w:val="30DA83B0"/>
    <w:lvl w:ilvl="0" w:tplc="6C98870E">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E44CBA"/>
    <w:multiLevelType w:val="hybridMultilevel"/>
    <w:tmpl w:val="B70CC9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3B46D7"/>
    <w:multiLevelType w:val="hybridMultilevel"/>
    <w:tmpl w:val="EF16DBAC"/>
    <w:lvl w:ilvl="0" w:tplc="04050017">
      <w:start w:val="1"/>
      <w:numFmt w:val="lowerLetter"/>
      <w:lvlText w:val="%1)"/>
      <w:lvlJc w:val="left"/>
      <w:pPr>
        <w:ind w:left="1516" w:hanging="360"/>
      </w:pPr>
    </w:lvl>
    <w:lvl w:ilvl="1" w:tplc="04050019" w:tentative="1">
      <w:start w:val="1"/>
      <w:numFmt w:val="lowerLetter"/>
      <w:lvlText w:val="%2."/>
      <w:lvlJc w:val="left"/>
      <w:pPr>
        <w:ind w:left="2236" w:hanging="360"/>
      </w:pPr>
    </w:lvl>
    <w:lvl w:ilvl="2" w:tplc="0405001B" w:tentative="1">
      <w:start w:val="1"/>
      <w:numFmt w:val="lowerRoman"/>
      <w:lvlText w:val="%3."/>
      <w:lvlJc w:val="right"/>
      <w:pPr>
        <w:ind w:left="2956" w:hanging="180"/>
      </w:pPr>
    </w:lvl>
    <w:lvl w:ilvl="3" w:tplc="0405000F" w:tentative="1">
      <w:start w:val="1"/>
      <w:numFmt w:val="decimal"/>
      <w:lvlText w:val="%4."/>
      <w:lvlJc w:val="left"/>
      <w:pPr>
        <w:ind w:left="3676" w:hanging="360"/>
      </w:pPr>
    </w:lvl>
    <w:lvl w:ilvl="4" w:tplc="04050019" w:tentative="1">
      <w:start w:val="1"/>
      <w:numFmt w:val="lowerLetter"/>
      <w:lvlText w:val="%5."/>
      <w:lvlJc w:val="left"/>
      <w:pPr>
        <w:ind w:left="4396" w:hanging="360"/>
      </w:pPr>
    </w:lvl>
    <w:lvl w:ilvl="5" w:tplc="0405001B" w:tentative="1">
      <w:start w:val="1"/>
      <w:numFmt w:val="lowerRoman"/>
      <w:lvlText w:val="%6."/>
      <w:lvlJc w:val="right"/>
      <w:pPr>
        <w:ind w:left="5116" w:hanging="180"/>
      </w:pPr>
    </w:lvl>
    <w:lvl w:ilvl="6" w:tplc="0405000F" w:tentative="1">
      <w:start w:val="1"/>
      <w:numFmt w:val="decimal"/>
      <w:lvlText w:val="%7."/>
      <w:lvlJc w:val="left"/>
      <w:pPr>
        <w:ind w:left="5836" w:hanging="360"/>
      </w:pPr>
    </w:lvl>
    <w:lvl w:ilvl="7" w:tplc="04050019" w:tentative="1">
      <w:start w:val="1"/>
      <w:numFmt w:val="lowerLetter"/>
      <w:lvlText w:val="%8."/>
      <w:lvlJc w:val="left"/>
      <w:pPr>
        <w:ind w:left="6556" w:hanging="360"/>
      </w:pPr>
    </w:lvl>
    <w:lvl w:ilvl="8" w:tplc="0405001B" w:tentative="1">
      <w:start w:val="1"/>
      <w:numFmt w:val="lowerRoman"/>
      <w:lvlText w:val="%9."/>
      <w:lvlJc w:val="right"/>
      <w:pPr>
        <w:ind w:left="7276" w:hanging="180"/>
      </w:pPr>
    </w:lvl>
  </w:abstractNum>
  <w:abstractNum w:abstractNumId="13">
    <w:nsid w:val="493A76C9"/>
    <w:multiLevelType w:val="hybridMultilevel"/>
    <w:tmpl w:val="1C3C8D66"/>
    <w:lvl w:ilvl="0" w:tplc="04050017">
      <w:start w:val="1"/>
      <w:numFmt w:val="lowerLetter"/>
      <w:lvlText w:val="%1)"/>
      <w:lvlJc w:val="left"/>
      <w:pPr>
        <w:ind w:left="1560" w:hanging="360"/>
      </w:p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14">
    <w:nsid w:val="5D0F45D6"/>
    <w:multiLevelType w:val="hybridMultilevel"/>
    <w:tmpl w:val="8D268FB0"/>
    <w:lvl w:ilvl="0" w:tplc="04050011">
      <w:start w:val="1"/>
      <w:numFmt w:val="decimal"/>
      <w:lvlText w:val="%1)"/>
      <w:lvlJc w:val="left"/>
      <w:pPr>
        <w:ind w:left="4440" w:hanging="360"/>
      </w:pPr>
    </w:lvl>
    <w:lvl w:ilvl="1" w:tplc="04050019" w:tentative="1">
      <w:start w:val="1"/>
      <w:numFmt w:val="lowerLetter"/>
      <w:lvlText w:val="%2."/>
      <w:lvlJc w:val="left"/>
      <w:pPr>
        <w:ind w:left="5160" w:hanging="360"/>
      </w:pPr>
    </w:lvl>
    <w:lvl w:ilvl="2" w:tplc="0405001B" w:tentative="1">
      <w:start w:val="1"/>
      <w:numFmt w:val="lowerRoman"/>
      <w:lvlText w:val="%3."/>
      <w:lvlJc w:val="right"/>
      <w:pPr>
        <w:ind w:left="5880" w:hanging="180"/>
      </w:pPr>
    </w:lvl>
    <w:lvl w:ilvl="3" w:tplc="0405000F" w:tentative="1">
      <w:start w:val="1"/>
      <w:numFmt w:val="decimal"/>
      <w:lvlText w:val="%4."/>
      <w:lvlJc w:val="left"/>
      <w:pPr>
        <w:ind w:left="6600" w:hanging="360"/>
      </w:pPr>
    </w:lvl>
    <w:lvl w:ilvl="4" w:tplc="04050019" w:tentative="1">
      <w:start w:val="1"/>
      <w:numFmt w:val="lowerLetter"/>
      <w:lvlText w:val="%5."/>
      <w:lvlJc w:val="left"/>
      <w:pPr>
        <w:ind w:left="7320" w:hanging="360"/>
      </w:pPr>
    </w:lvl>
    <w:lvl w:ilvl="5" w:tplc="0405001B" w:tentative="1">
      <w:start w:val="1"/>
      <w:numFmt w:val="lowerRoman"/>
      <w:lvlText w:val="%6."/>
      <w:lvlJc w:val="right"/>
      <w:pPr>
        <w:ind w:left="8040" w:hanging="180"/>
      </w:pPr>
    </w:lvl>
    <w:lvl w:ilvl="6" w:tplc="0405000F" w:tentative="1">
      <w:start w:val="1"/>
      <w:numFmt w:val="decimal"/>
      <w:lvlText w:val="%7."/>
      <w:lvlJc w:val="left"/>
      <w:pPr>
        <w:ind w:left="8760" w:hanging="360"/>
      </w:pPr>
    </w:lvl>
    <w:lvl w:ilvl="7" w:tplc="04050019" w:tentative="1">
      <w:start w:val="1"/>
      <w:numFmt w:val="lowerLetter"/>
      <w:lvlText w:val="%8."/>
      <w:lvlJc w:val="left"/>
      <w:pPr>
        <w:ind w:left="9480" w:hanging="360"/>
      </w:pPr>
    </w:lvl>
    <w:lvl w:ilvl="8" w:tplc="0405001B" w:tentative="1">
      <w:start w:val="1"/>
      <w:numFmt w:val="lowerRoman"/>
      <w:lvlText w:val="%9."/>
      <w:lvlJc w:val="right"/>
      <w:pPr>
        <w:ind w:left="10200" w:hanging="180"/>
      </w:pPr>
    </w:lvl>
  </w:abstractNum>
  <w:abstractNum w:abstractNumId="15">
    <w:nsid w:val="66604E78"/>
    <w:multiLevelType w:val="hybridMultilevel"/>
    <w:tmpl w:val="3182D850"/>
    <w:lvl w:ilvl="0" w:tplc="9ED01844">
      <w:start w:val="1"/>
      <w:numFmt w:val="decimal"/>
      <w:lvlText w:val="%1"/>
      <w:lvlJc w:val="left"/>
      <w:pPr>
        <w:ind w:left="456" w:hanging="360"/>
      </w:pPr>
      <w:rPr>
        <w:rFonts w:hint="default"/>
      </w:rPr>
    </w:lvl>
    <w:lvl w:ilvl="1" w:tplc="04050019" w:tentative="1">
      <w:start w:val="1"/>
      <w:numFmt w:val="lowerLetter"/>
      <w:lvlText w:val="%2."/>
      <w:lvlJc w:val="left"/>
      <w:pPr>
        <w:ind w:left="1176" w:hanging="360"/>
      </w:pPr>
    </w:lvl>
    <w:lvl w:ilvl="2" w:tplc="0405001B" w:tentative="1">
      <w:start w:val="1"/>
      <w:numFmt w:val="lowerRoman"/>
      <w:lvlText w:val="%3."/>
      <w:lvlJc w:val="right"/>
      <w:pPr>
        <w:ind w:left="1896" w:hanging="180"/>
      </w:p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16">
    <w:nsid w:val="672D7683"/>
    <w:multiLevelType w:val="hybridMultilevel"/>
    <w:tmpl w:val="7E180298"/>
    <w:lvl w:ilvl="0" w:tplc="36DE531E">
      <w:start w:val="1"/>
      <w:numFmt w:val="ordin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F526564"/>
    <w:multiLevelType w:val="hybridMultilevel"/>
    <w:tmpl w:val="DDDE1414"/>
    <w:lvl w:ilvl="0" w:tplc="04050011">
      <w:start w:val="1"/>
      <w:numFmt w:val="decimal"/>
      <w:lvlText w:val="%1)"/>
      <w:lvlJc w:val="left"/>
      <w:pPr>
        <w:ind w:left="1516" w:hanging="360"/>
      </w:pPr>
    </w:lvl>
    <w:lvl w:ilvl="1" w:tplc="04050019" w:tentative="1">
      <w:start w:val="1"/>
      <w:numFmt w:val="lowerLetter"/>
      <w:lvlText w:val="%2."/>
      <w:lvlJc w:val="left"/>
      <w:pPr>
        <w:ind w:left="2236" w:hanging="360"/>
      </w:pPr>
    </w:lvl>
    <w:lvl w:ilvl="2" w:tplc="0405001B" w:tentative="1">
      <w:start w:val="1"/>
      <w:numFmt w:val="lowerRoman"/>
      <w:lvlText w:val="%3."/>
      <w:lvlJc w:val="right"/>
      <w:pPr>
        <w:ind w:left="2956" w:hanging="180"/>
      </w:pPr>
    </w:lvl>
    <w:lvl w:ilvl="3" w:tplc="0405000F" w:tentative="1">
      <w:start w:val="1"/>
      <w:numFmt w:val="decimal"/>
      <w:lvlText w:val="%4."/>
      <w:lvlJc w:val="left"/>
      <w:pPr>
        <w:ind w:left="3676" w:hanging="360"/>
      </w:pPr>
    </w:lvl>
    <w:lvl w:ilvl="4" w:tplc="04050019" w:tentative="1">
      <w:start w:val="1"/>
      <w:numFmt w:val="lowerLetter"/>
      <w:lvlText w:val="%5."/>
      <w:lvlJc w:val="left"/>
      <w:pPr>
        <w:ind w:left="4396" w:hanging="360"/>
      </w:pPr>
    </w:lvl>
    <w:lvl w:ilvl="5" w:tplc="0405001B" w:tentative="1">
      <w:start w:val="1"/>
      <w:numFmt w:val="lowerRoman"/>
      <w:lvlText w:val="%6."/>
      <w:lvlJc w:val="right"/>
      <w:pPr>
        <w:ind w:left="5116" w:hanging="180"/>
      </w:pPr>
    </w:lvl>
    <w:lvl w:ilvl="6" w:tplc="0405000F" w:tentative="1">
      <w:start w:val="1"/>
      <w:numFmt w:val="decimal"/>
      <w:lvlText w:val="%7."/>
      <w:lvlJc w:val="left"/>
      <w:pPr>
        <w:ind w:left="5836" w:hanging="360"/>
      </w:pPr>
    </w:lvl>
    <w:lvl w:ilvl="7" w:tplc="04050019" w:tentative="1">
      <w:start w:val="1"/>
      <w:numFmt w:val="lowerLetter"/>
      <w:lvlText w:val="%8."/>
      <w:lvlJc w:val="left"/>
      <w:pPr>
        <w:ind w:left="6556" w:hanging="360"/>
      </w:pPr>
    </w:lvl>
    <w:lvl w:ilvl="8" w:tplc="0405001B" w:tentative="1">
      <w:start w:val="1"/>
      <w:numFmt w:val="lowerRoman"/>
      <w:lvlText w:val="%9."/>
      <w:lvlJc w:val="right"/>
      <w:pPr>
        <w:ind w:left="7276" w:hanging="180"/>
      </w:pPr>
    </w:lvl>
  </w:abstractNum>
  <w:abstractNum w:abstractNumId="18">
    <w:nsid w:val="75145B8C"/>
    <w:multiLevelType w:val="hybridMultilevel"/>
    <w:tmpl w:val="B70CC9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667761"/>
    <w:multiLevelType w:val="hybridMultilevel"/>
    <w:tmpl w:val="946C947A"/>
    <w:lvl w:ilvl="0" w:tplc="04050011">
      <w:start w:val="1"/>
      <w:numFmt w:val="decimal"/>
      <w:lvlText w:val="%1)"/>
      <w:lvlJc w:val="left"/>
      <w:pPr>
        <w:ind w:left="1516" w:hanging="360"/>
      </w:pPr>
    </w:lvl>
    <w:lvl w:ilvl="1" w:tplc="04050019" w:tentative="1">
      <w:start w:val="1"/>
      <w:numFmt w:val="lowerLetter"/>
      <w:lvlText w:val="%2."/>
      <w:lvlJc w:val="left"/>
      <w:pPr>
        <w:ind w:left="2236" w:hanging="360"/>
      </w:pPr>
    </w:lvl>
    <w:lvl w:ilvl="2" w:tplc="0405001B" w:tentative="1">
      <w:start w:val="1"/>
      <w:numFmt w:val="lowerRoman"/>
      <w:lvlText w:val="%3."/>
      <w:lvlJc w:val="right"/>
      <w:pPr>
        <w:ind w:left="2956" w:hanging="180"/>
      </w:pPr>
    </w:lvl>
    <w:lvl w:ilvl="3" w:tplc="0405000F" w:tentative="1">
      <w:start w:val="1"/>
      <w:numFmt w:val="decimal"/>
      <w:lvlText w:val="%4."/>
      <w:lvlJc w:val="left"/>
      <w:pPr>
        <w:ind w:left="3676" w:hanging="360"/>
      </w:pPr>
    </w:lvl>
    <w:lvl w:ilvl="4" w:tplc="04050019" w:tentative="1">
      <w:start w:val="1"/>
      <w:numFmt w:val="lowerLetter"/>
      <w:lvlText w:val="%5."/>
      <w:lvlJc w:val="left"/>
      <w:pPr>
        <w:ind w:left="4396" w:hanging="360"/>
      </w:pPr>
    </w:lvl>
    <w:lvl w:ilvl="5" w:tplc="0405001B" w:tentative="1">
      <w:start w:val="1"/>
      <w:numFmt w:val="lowerRoman"/>
      <w:lvlText w:val="%6."/>
      <w:lvlJc w:val="right"/>
      <w:pPr>
        <w:ind w:left="5116" w:hanging="180"/>
      </w:pPr>
    </w:lvl>
    <w:lvl w:ilvl="6" w:tplc="0405000F" w:tentative="1">
      <w:start w:val="1"/>
      <w:numFmt w:val="decimal"/>
      <w:lvlText w:val="%7."/>
      <w:lvlJc w:val="left"/>
      <w:pPr>
        <w:ind w:left="5836" w:hanging="360"/>
      </w:pPr>
    </w:lvl>
    <w:lvl w:ilvl="7" w:tplc="04050019" w:tentative="1">
      <w:start w:val="1"/>
      <w:numFmt w:val="lowerLetter"/>
      <w:lvlText w:val="%8."/>
      <w:lvlJc w:val="left"/>
      <w:pPr>
        <w:ind w:left="6556" w:hanging="360"/>
      </w:pPr>
    </w:lvl>
    <w:lvl w:ilvl="8" w:tplc="0405001B" w:tentative="1">
      <w:start w:val="1"/>
      <w:numFmt w:val="lowerRoman"/>
      <w:lvlText w:val="%9."/>
      <w:lvlJc w:val="right"/>
      <w:pPr>
        <w:ind w:left="7276" w:hanging="180"/>
      </w:pPr>
    </w:lvl>
  </w:abstractNum>
  <w:abstractNum w:abstractNumId="20">
    <w:nsid w:val="7B6D4683"/>
    <w:multiLevelType w:val="hybridMultilevel"/>
    <w:tmpl w:val="95182960"/>
    <w:lvl w:ilvl="0" w:tplc="36DE531E">
      <w:start w:val="1"/>
      <w:numFmt w:val="ordin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4"/>
  </w:num>
  <w:num w:numId="3">
    <w:abstractNumId w:val="19"/>
  </w:num>
  <w:num w:numId="4">
    <w:abstractNumId w:val="11"/>
  </w:num>
  <w:num w:numId="5">
    <w:abstractNumId w:val="3"/>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1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0"/>
  </w:num>
  <w:num w:numId="17">
    <w:abstractNumId w:val="15"/>
  </w:num>
  <w:num w:numId="18">
    <w:abstractNumId w:val="6"/>
  </w:num>
  <w:num w:numId="19">
    <w:abstractNumId w:val="0"/>
  </w:num>
  <w:num w:numId="20">
    <w:abstractNumId w:val="20"/>
  </w:num>
  <w:num w:numId="21">
    <w:abstractNumId w:val="16"/>
  </w:num>
  <w:num w:numId="22">
    <w:abstractNumId w:val="8"/>
  </w:num>
  <w:num w:numId="23">
    <w:abstractNumId w:val="1"/>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71"/>
    <w:rsid w:val="00000183"/>
    <w:rsid w:val="0000033F"/>
    <w:rsid w:val="000005A8"/>
    <w:rsid w:val="00000CE1"/>
    <w:rsid w:val="00003B16"/>
    <w:rsid w:val="00003D0D"/>
    <w:rsid w:val="00004F2D"/>
    <w:rsid w:val="0000569B"/>
    <w:rsid w:val="00005935"/>
    <w:rsid w:val="00005B07"/>
    <w:rsid w:val="00005CDE"/>
    <w:rsid w:val="00006DF0"/>
    <w:rsid w:val="000075A7"/>
    <w:rsid w:val="000076A6"/>
    <w:rsid w:val="00007C15"/>
    <w:rsid w:val="00007D48"/>
    <w:rsid w:val="00010133"/>
    <w:rsid w:val="000102A5"/>
    <w:rsid w:val="00010617"/>
    <w:rsid w:val="0001069B"/>
    <w:rsid w:val="00011120"/>
    <w:rsid w:val="000127BD"/>
    <w:rsid w:val="00012913"/>
    <w:rsid w:val="00012A1B"/>
    <w:rsid w:val="00012EB1"/>
    <w:rsid w:val="00012F25"/>
    <w:rsid w:val="00013F03"/>
    <w:rsid w:val="0001412D"/>
    <w:rsid w:val="0001460E"/>
    <w:rsid w:val="00014E5D"/>
    <w:rsid w:val="000150D0"/>
    <w:rsid w:val="000159C2"/>
    <w:rsid w:val="00016513"/>
    <w:rsid w:val="00016A74"/>
    <w:rsid w:val="00017106"/>
    <w:rsid w:val="00017593"/>
    <w:rsid w:val="000178AB"/>
    <w:rsid w:val="00017E47"/>
    <w:rsid w:val="00020230"/>
    <w:rsid w:val="000206C9"/>
    <w:rsid w:val="00021501"/>
    <w:rsid w:val="00021596"/>
    <w:rsid w:val="00021E20"/>
    <w:rsid w:val="000222F6"/>
    <w:rsid w:val="00022389"/>
    <w:rsid w:val="0002262F"/>
    <w:rsid w:val="00022D73"/>
    <w:rsid w:val="000237E8"/>
    <w:rsid w:val="00023977"/>
    <w:rsid w:val="00023C25"/>
    <w:rsid w:val="00023C27"/>
    <w:rsid w:val="00023F78"/>
    <w:rsid w:val="000244B7"/>
    <w:rsid w:val="000249C7"/>
    <w:rsid w:val="00024FF4"/>
    <w:rsid w:val="000268BD"/>
    <w:rsid w:val="000271FF"/>
    <w:rsid w:val="00030067"/>
    <w:rsid w:val="00030293"/>
    <w:rsid w:val="00030626"/>
    <w:rsid w:val="00030866"/>
    <w:rsid w:val="00030883"/>
    <w:rsid w:val="00030CF7"/>
    <w:rsid w:val="00031197"/>
    <w:rsid w:val="00032B8B"/>
    <w:rsid w:val="00032D8A"/>
    <w:rsid w:val="00034A3E"/>
    <w:rsid w:val="00034AD4"/>
    <w:rsid w:val="0003504F"/>
    <w:rsid w:val="000356E4"/>
    <w:rsid w:val="00035A3E"/>
    <w:rsid w:val="000362E3"/>
    <w:rsid w:val="000368F2"/>
    <w:rsid w:val="00036A3C"/>
    <w:rsid w:val="00036AC4"/>
    <w:rsid w:val="00037122"/>
    <w:rsid w:val="00037F73"/>
    <w:rsid w:val="0004021B"/>
    <w:rsid w:val="00042214"/>
    <w:rsid w:val="00043A16"/>
    <w:rsid w:val="00044606"/>
    <w:rsid w:val="00045AD8"/>
    <w:rsid w:val="000478A0"/>
    <w:rsid w:val="000478FD"/>
    <w:rsid w:val="00047AA6"/>
    <w:rsid w:val="000507F5"/>
    <w:rsid w:val="00050A34"/>
    <w:rsid w:val="00050C03"/>
    <w:rsid w:val="00050D69"/>
    <w:rsid w:val="00051D0D"/>
    <w:rsid w:val="00052481"/>
    <w:rsid w:val="00052532"/>
    <w:rsid w:val="00053198"/>
    <w:rsid w:val="000532F8"/>
    <w:rsid w:val="000536E5"/>
    <w:rsid w:val="0005376C"/>
    <w:rsid w:val="00053E8E"/>
    <w:rsid w:val="00053FB2"/>
    <w:rsid w:val="0005438F"/>
    <w:rsid w:val="00054474"/>
    <w:rsid w:val="00054524"/>
    <w:rsid w:val="00054A6A"/>
    <w:rsid w:val="00055A32"/>
    <w:rsid w:val="00055CFB"/>
    <w:rsid w:val="00056E19"/>
    <w:rsid w:val="00057A00"/>
    <w:rsid w:val="000600E9"/>
    <w:rsid w:val="00060A5A"/>
    <w:rsid w:val="0006175E"/>
    <w:rsid w:val="000625F6"/>
    <w:rsid w:val="00062869"/>
    <w:rsid w:val="00062AF4"/>
    <w:rsid w:val="00062D4B"/>
    <w:rsid w:val="00063135"/>
    <w:rsid w:val="00063687"/>
    <w:rsid w:val="0006370F"/>
    <w:rsid w:val="00064772"/>
    <w:rsid w:val="00065013"/>
    <w:rsid w:val="0006509E"/>
    <w:rsid w:val="00065247"/>
    <w:rsid w:val="00065761"/>
    <w:rsid w:val="00065EA3"/>
    <w:rsid w:val="00066556"/>
    <w:rsid w:val="00066EEB"/>
    <w:rsid w:val="00067487"/>
    <w:rsid w:val="00067B0D"/>
    <w:rsid w:val="00067C19"/>
    <w:rsid w:val="00067DF9"/>
    <w:rsid w:val="00070036"/>
    <w:rsid w:val="00070AC1"/>
    <w:rsid w:val="00070F6E"/>
    <w:rsid w:val="00071211"/>
    <w:rsid w:val="00071F9F"/>
    <w:rsid w:val="0007266C"/>
    <w:rsid w:val="00072F00"/>
    <w:rsid w:val="00073350"/>
    <w:rsid w:val="000744F2"/>
    <w:rsid w:val="00075DA6"/>
    <w:rsid w:val="000764EC"/>
    <w:rsid w:val="000774A4"/>
    <w:rsid w:val="00077712"/>
    <w:rsid w:val="00077878"/>
    <w:rsid w:val="00077EC7"/>
    <w:rsid w:val="000803AA"/>
    <w:rsid w:val="0008073A"/>
    <w:rsid w:val="00080A34"/>
    <w:rsid w:val="00080A4F"/>
    <w:rsid w:val="000813BA"/>
    <w:rsid w:val="0008174C"/>
    <w:rsid w:val="0008457E"/>
    <w:rsid w:val="0008546F"/>
    <w:rsid w:val="00085752"/>
    <w:rsid w:val="0008617E"/>
    <w:rsid w:val="000865D6"/>
    <w:rsid w:val="00086701"/>
    <w:rsid w:val="00086878"/>
    <w:rsid w:val="00086D52"/>
    <w:rsid w:val="00086F56"/>
    <w:rsid w:val="000876BC"/>
    <w:rsid w:val="0008787F"/>
    <w:rsid w:val="000902CE"/>
    <w:rsid w:val="00090454"/>
    <w:rsid w:val="000909F4"/>
    <w:rsid w:val="00090FD6"/>
    <w:rsid w:val="00091672"/>
    <w:rsid w:val="00091EBA"/>
    <w:rsid w:val="00091FF2"/>
    <w:rsid w:val="00091FF9"/>
    <w:rsid w:val="000922A3"/>
    <w:rsid w:val="00093065"/>
    <w:rsid w:val="0009341B"/>
    <w:rsid w:val="00093481"/>
    <w:rsid w:val="000935C9"/>
    <w:rsid w:val="00094061"/>
    <w:rsid w:val="000945C0"/>
    <w:rsid w:val="00094DD3"/>
    <w:rsid w:val="00095121"/>
    <w:rsid w:val="00096344"/>
    <w:rsid w:val="000970A8"/>
    <w:rsid w:val="000971AD"/>
    <w:rsid w:val="00097525"/>
    <w:rsid w:val="00097944"/>
    <w:rsid w:val="00097EC0"/>
    <w:rsid w:val="000A0169"/>
    <w:rsid w:val="000A072D"/>
    <w:rsid w:val="000A1C74"/>
    <w:rsid w:val="000A3575"/>
    <w:rsid w:val="000A4870"/>
    <w:rsid w:val="000A4C75"/>
    <w:rsid w:val="000A4CE6"/>
    <w:rsid w:val="000A4F64"/>
    <w:rsid w:val="000A5086"/>
    <w:rsid w:val="000A5323"/>
    <w:rsid w:val="000A5FC0"/>
    <w:rsid w:val="000A6138"/>
    <w:rsid w:val="000A74D7"/>
    <w:rsid w:val="000A78EB"/>
    <w:rsid w:val="000A79E7"/>
    <w:rsid w:val="000B09EF"/>
    <w:rsid w:val="000B0AE3"/>
    <w:rsid w:val="000B0B65"/>
    <w:rsid w:val="000B1618"/>
    <w:rsid w:val="000B1839"/>
    <w:rsid w:val="000B1A60"/>
    <w:rsid w:val="000B2010"/>
    <w:rsid w:val="000B2758"/>
    <w:rsid w:val="000B2CA1"/>
    <w:rsid w:val="000B32A2"/>
    <w:rsid w:val="000B3679"/>
    <w:rsid w:val="000B3C7F"/>
    <w:rsid w:val="000B3CFC"/>
    <w:rsid w:val="000B4122"/>
    <w:rsid w:val="000B4449"/>
    <w:rsid w:val="000B451E"/>
    <w:rsid w:val="000B4A46"/>
    <w:rsid w:val="000B5A0C"/>
    <w:rsid w:val="000B605C"/>
    <w:rsid w:val="000B7461"/>
    <w:rsid w:val="000B77A9"/>
    <w:rsid w:val="000B78AF"/>
    <w:rsid w:val="000B792B"/>
    <w:rsid w:val="000B7E43"/>
    <w:rsid w:val="000C0F59"/>
    <w:rsid w:val="000C240C"/>
    <w:rsid w:val="000C3083"/>
    <w:rsid w:val="000C339D"/>
    <w:rsid w:val="000C3574"/>
    <w:rsid w:val="000C3879"/>
    <w:rsid w:val="000C3F9B"/>
    <w:rsid w:val="000C4162"/>
    <w:rsid w:val="000C4551"/>
    <w:rsid w:val="000C5255"/>
    <w:rsid w:val="000C53F8"/>
    <w:rsid w:val="000C7251"/>
    <w:rsid w:val="000D0278"/>
    <w:rsid w:val="000D0A4D"/>
    <w:rsid w:val="000D19EB"/>
    <w:rsid w:val="000D1B8E"/>
    <w:rsid w:val="000D1DB9"/>
    <w:rsid w:val="000D2359"/>
    <w:rsid w:val="000D23B1"/>
    <w:rsid w:val="000D3D1D"/>
    <w:rsid w:val="000D4548"/>
    <w:rsid w:val="000D51EA"/>
    <w:rsid w:val="000D5AC1"/>
    <w:rsid w:val="000D5B3C"/>
    <w:rsid w:val="000D7572"/>
    <w:rsid w:val="000D7F36"/>
    <w:rsid w:val="000E0038"/>
    <w:rsid w:val="000E03A7"/>
    <w:rsid w:val="000E0BF5"/>
    <w:rsid w:val="000E0E50"/>
    <w:rsid w:val="000E1036"/>
    <w:rsid w:val="000E11CC"/>
    <w:rsid w:val="000E1762"/>
    <w:rsid w:val="000E1E7D"/>
    <w:rsid w:val="000E33FE"/>
    <w:rsid w:val="000E3B69"/>
    <w:rsid w:val="000E3FDE"/>
    <w:rsid w:val="000E437E"/>
    <w:rsid w:val="000E463E"/>
    <w:rsid w:val="000E4DC0"/>
    <w:rsid w:val="000E4F87"/>
    <w:rsid w:val="000E5FAA"/>
    <w:rsid w:val="000E6671"/>
    <w:rsid w:val="000E6F7B"/>
    <w:rsid w:val="000E741F"/>
    <w:rsid w:val="000E7AFE"/>
    <w:rsid w:val="000E7B95"/>
    <w:rsid w:val="000F123D"/>
    <w:rsid w:val="000F1282"/>
    <w:rsid w:val="000F1F50"/>
    <w:rsid w:val="000F2536"/>
    <w:rsid w:val="000F2923"/>
    <w:rsid w:val="000F2930"/>
    <w:rsid w:val="000F2B76"/>
    <w:rsid w:val="000F40E4"/>
    <w:rsid w:val="000F41C1"/>
    <w:rsid w:val="000F4AAA"/>
    <w:rsid w:val="000F5157"/>
    <w:rsid w:val="000F5385"/>
    <w:rsid w:val="000F5541"/>
    <w:rsid w:val="000F5F30"/>
    <w:rsid w:val="000F7D0E"/>
    <w:rsid w:val="00100460"/>
    <w:rsid w:val="00100A01"/>
    <w:rsid w:val="00101A64"/>
    <w:rsid w:val="0010218C"/>
    <w:rsid w:val="00102693"/>
    <w:rsid w:val="001029E1"/>
    <w:rsid w:val="00102A63"/>
    <w:rsid w:val="00102AF4"/>
    <w:rsid w:val="0010404D"/>
    <w:rsid w:val="00104CEA"/>
    <w:rsid w:val="00106EE2"/>
    <w:rsid w:val="001102E3"/>
    <w:rsid w:val="00111888"/>
    <w:rsid w:val="0011250E"/>
    <w:rsid w:val="001125A2"/>
    <w:rsid w:val="00112806"/>
    <w:rsid w:val="0011391A"/>
    <w:rsid w:val="00113BAE"/>
    <w:rsid w:val="001157D7"/>
    <w:rsid w:val="001157ED"/>
    <w:rsid w:val="00115AAB"/>
    <w:rsid w:val="00115B48"/>
    <w:rsid w:val="001164F9"/>
    <w:rsid w:val="001171AF"/>
    <w:rsid w:val="0011731D"/>
    <w:rsid w:val="00117941"/>
    <w:rsid w:val="00117CD3"/>
    <w:rsid w:val="00117E8F"/>
    <w:rsid w:val="00117FEE"/>
    <w:rsid w:val="00120E10"/>
    <w:rsid w:val="001210E8"/>
    <w:rsid w:val="00121569"/>
    <w:rsid w:val="00121AC0"/>
    <w:rsid w:val="001221BA"/>
    <w:rsid w:val="001235F3"/>
    <w:rsid w:val="00123A6F"/>
    <w:rsid w:val="00123C89"/>
    <w:rsid w:val="00123E5F"/>
    <w:rsid w:val="00124F4C"/>
    <w:rsid w:val="00125104"/>
    <w:rsid w:val="0012717F"/>
    <w:rsid w:val="001272B7"/>
    <w:rsid w:val="00127B2C"/>
    <w:rsid w:val="0013089D"/>
    <w:rsid w:val="001324CA"/>
    <w:rsid w:val="0013339D"/>
    <w:rsid w:val="001339F3"/>
    <w:rsid w:val="0013440E"/>
    <w:rsid w:val="00134857"/>
    <w:rsid w:val="00134A8C"/>
    <w:rsid w:val="0013585C"/>
    <w:rsid w:val="00135E23"/>
    <w:rsid w:val="00136233"/>
    <w:rsid w:val="00136B45"/>
    <w:rsid w:val="0013795A"/>
    <w:rsid w:val="0014213E"/>
    <w:rsid w:val="00143092"/>
    <w:rsid w:val="00143A9D"/>
    <w:rsid w:val="00143DC3"/>
    <w:rsid w:val="001446C2"/>
    <w:rsid w:val="00144A49"/>
    <w:rsid w:val="00145DD9"/>
    <w:rsid w:val="00146D6C"/>
    <w:rsid w:val="001474A2"/>
    <w:rsid w:val="001476AA"/>
    <w:rsid w:val="0014785C"/>
    <w:rsid w:val="00147EF9"/>
    <w:rsid w:val="00147F0E"/>
    <w:rsid w:val="00150460"/>
    <w:rsid w:val="00152937"/>
    <w:rsid w:val="00152DB0"/>
    <w:rsid w:val="00153F92"/>
    <w:rsid w:val="00153FE2"/>
    <w:rsid w:val="00154419"/>
    <w:rsid w:val="001547AB"/>
    <w:rsid w:val="00154D83"/>
    <w:rsid w:val="001550A7"/>
    <w:rsid w:val="00155386"/>
    <w:rsid w:val="00155401"/>
    <w:rsid w:val="00156FB8"/>
    <w:rsid w:val="001579AA"/>
    <w:rsid w:val="00157AB9"/>
    <w:rsid w:val="0016158B"/>
    <w:rsid w:val="00162AD5"/>
    <w:rsid w:val="00162B52"/>
    <w:rsid w:val="00162F81"/>
    <w:rsid w:val="00162FDF"/>
    <w:rsid w:val="00163526"/>
    <w:rsid w:val="0016386E"/>
    <w:rsid w:val="001638ED"/>
    <w:rsid w:val="00163B29"/>
    <w:rsid w:val="0016406D"/>
    <w:rsid w:val="00164383"/>
    <w:rsid w:val="00164A5E"/>
    <w:rsid w:val="00164C73"/>
    <w:rsid w:val="001657A8"/>
    <w:rsid w:val="00165F68"/>
    <w:rsid w:val="00166026"/>
    <w:rsid w:val="001679F1"/>
    <w:rsid w:val="00167E2C"/>
    <w:rsid w:val="0017020C"/>
    <w:rsid w:val="00170658"/>
    <w:rsid w:val="00170FF3"/>
    <w:rsid w:val="00173585"/>
    <w:rsid w:val="00173FF0"/>
    <w:rsid w:val="001745CB"/>
    <w:rsid w:val="00174DAC"/>
    <w:rsid w:val="00174DC7"/>
    <w:rsid w:val="00174F74"/>
    <w:rsid w:val="00175C00"/>
    <w:rsid w:val="00175C35"/>
    <w:rsid w:val="0017629A"/>
    <w:rsid w:val="00177926"/>
    <w:rsid w:val="00177ABF"/>
    <w:rsid w:val="00180269"/>
    <w:rsid w:val="001819BF"/>
    <w:rsid w:val="00181DC8"/>
    <w:rsid w:val="00182751"/>
    <w:rsid w:val="00182B43"/>
    <w:rsid w:val="0018384A"/>
    <w:rsid w:val="0018406D"/>
    <w:rsid w:val="001847E8"/>
    <w:rsid w:val="00185040"/>
    <w:rsid w:val="00185643"/>
    <w:rsid w:val="00185699"/>
    <w:rsid w:val="00185918"/>
    <w:rsid w:val="00185B7F"/>
    <w:rsid w:val="0018645B"/>
    <w:rsid w:val="001866EA"/>
    <w:rsid w:val="00186920"/>
    <w:rsid w:val="001874C3"/>
    <w:rsid w:val="00187649"/>
    <w:rsid w:val="00190179"/>
    <w:rsid w:val="001903E6"/>
    <w:rsid w:val="00190DAD"/>
    <w:rsid w:val="0019135B"/>
    <w:rsid w:val="001915DF"/>
    <w:rsid w:val="00191AE5"/>
    <w:rsid w:val="00192483"/>
    <w:rsid w:val="001924D5"/>
    <w:rsid w:val="001928C5"/>
    <w:rsid w:val="00192DBA"/>
    <w:rsid w:val="0019318B"/>
    <w:rsid w:val="001943A0"/>
    <w:rsid w:val="00194892"/>
    <w:rsid w:val="00195549"/>
    <w:rsid w:val="0019576A"/>
    <w:rsid w:val="00195F70"/>
    <w:rsid w:val="00195FAA"/>
    <w:rsid w:val="001963D9"/>
    <w:rsid w:val="001964C8"/>
    <w:rsid w:val="001965A6"/>
    <w:rsid w:val="0019682F"/>
    <w:rsid w:val="00196F0C"/>
    <w:rsid w:val="00197C64"/>
    <w:rsid w:val="00197D71"/>
    <w:rsid w:val="001A0236"/>
    <w:rsid w:val="001A1531"/>
    <w:rsid w:val="001A1964"/>
    <w:rsid w:val="001A26FF"/>
    <w:rsid w:val="001A326E"/>
    <w:rsid w:val="001A38E4"/>
    <w:rsid w:val="001A4169"/>
    <w:rsid w:val="001A46FB"/>
    <w:rsid w:val="001A4914"/>
    <w:rsid w:val="001A5AB9"/>
    <w:rsid w:val="001A5F8B"/>
    <w:rsid w:val="001B011C"/>
    <w:rsid w:val="001B0625"/>
    <w:rsid w:val="001B0B60"/>
    <w:rsid w:val="001B0F61"/>
    <w:rsid w:val="001B11C6"/>
    <w:rsid w:val="001B18BC"/>
    <w:rsid w:val="001B1E8E"/>
    <w:rsid w:val="001B21B9"/>
    <w:rsid w:val="001B24C6"/>
    <w:rsid w:val="001B3830"/>
    <w:rsid w:val="001B394C"/>
    <w:rsid w:val="001B39BA"/>
    <w:rsid w:val="001B42FC"/>
    <w:rsid w:val="001B55D4"/>
    <w:rsid w:val="001B622B"/>
    <w:rsid w:val="001B67B5"/>
    <w:rsid w:val="001B6BA3"/>
    <w:rsid w:val="001B6F07"/>
    <w:rsid w:val="001B6FCC"/>
    <w:rsid w:val="001B7174"/>
    <w:rsid w:val="001C04C4"/>
    <w:rsid w:val="001C0A8B"/>
    <w:rsid w:val="001C0EF7"/>
    <w:rsid w:val="001C1388"/>
    <w:rsid w:val="001C14C1"/>
    <w:rsid w:val="001C169A"/>
    <w:rsid w:val="001C1FA8"/>
    <w:rsid w:val="001C2909"/>
    <w:rsid w:val="001C2B43"/>
    <w:rsid w:val="001C32D6"/>
    <w:rsid w:val="001C32F0"/>
    <w:rsid w:val="001C33CA"/>
    <w:rsid w:val="001C37B5"/>
    <w:rsid w:val="001C3F20"/>
    <w:rsid w:val="001C4773"/>
    <w:rsid w:val="001C497F"/>
    <w:rsid w:val="001C4DA4"/>
    <w:rsid w:val="001C4E3A"/>
    <w:rsid w:val="001C5D47"/>
    <w:rsid w:val="001C5E6F"/>
    <w:rsid w:val="001C5E8A"/>
    <w:rsid w:val="001C61EF"/>
    <w:rsid w:val="001C68FF"/>
    <w:rsid w:val="001C6A1A"/>
    <w:rsid w:val="001C7616"/>
    <w:rsid w:val="001C761A"/>
    <w:rsid w:val="001C7DF1"/>
    <w:rsid w:val="001C7DFB"/>
    <w:rsid w:val="001C7E27"/>
    <w:rsid w:val="001D015B"/>
    <w:rsid w:val="001D0BD0"/>
    <w:rsid w:val="001D1520"/>
    <w:rsid w:val="001D1781"/>
    <w:rsid w:val="001D1951"/>
    <w:rsid w:val="001D1DA9"/>
    <w:rsid w:val="001D33B3"/>
    <w:rsid w:val="001D3870"/>
    <w:rsid w:val="001D4079"/>
    <w:rsid w:val="001D427E"/>
    <w:rsid w:val="001D47A7"/>
    <w:rsid w:val="001D4A9E"/>
    <w:rsid w:val="001D4AF0"/>
    <w:rsid w:val="001D4DA6"/>
    <w:rsid w:val="001D523A"/>
    <w:rsid w:val="001D61BE"/>
    <w:rsid w:val="001D6817"/>
    <w:rsid w:val="001D6AA4"/>
    <w:rsid w:val="001D6CEA"/>
    <w:rsid w:val="001D7200"/>
    <w:rsid w:val="001D7983"/>
    <w:rsid w:val="001D7CE0"/>
    <w:rsid w:val="001D7CE7"/>
    <w:rsid w:val="001E075C"/>
    <w:rsid w:val="001E157D"/>
    <w:rsid w:val="001E24B3"/>
    <w:rsid w:val="001E28A7"/>
    <w:rsid w:val="001E3665"/>
    <w:rsid w:val="001E4110"/>
    <w:rsid w:val="001E497D"/>
    <w:rsid w:val="001E4E6E"/>
    <w:rsid w:val="001E5409"/>
    <w:rsid w:val="001E6AA0"/>
    <w:rsid w:val="001E740C"/>
    <w:rsid w:val="001F02D5"/>
    <w:rsid w:val="001F18A1"/>
    <w:rsid w:val="001F1A5D"/>
    <w:rsid w:val="001F1BA1"/>
    <w:rsid w:val="001F27D0"/>
    <w:rsid w:val="001F2886"/>
    <w:rsid w:val="001F2ABA"/>
    <w:rsid w:val="001F2B93"/>
    <w:rsid w:val="001F3646"/>
    <w:rsid w:val="001F377A"/>
    <w:rsid w:val="001F3DFB"/>
    <w:rsid w:val="001F3E89"/>
    <w:rsid w:val="001F4E21"/>
    <w:rsid w:val="001F5951"/>
    <w:rsid w:val="001F5B2E"/>
    <w:rsid w:val="001F5B39"/>
    <w:rsid w:val="001F6ADE"/>
    <w:rsid w:val="001F70C3"/>
    <w:rsid w:val="001F71A8"/>
    <w:rsid w:val="001F7AF1"/>
    <w:rsid w:val="0020017D"/>
    <w:rsid w:val="002003C7"/>
    <w:rsid w:val="00201B26"/>
    <w:rsid w:val="00201CD7"/>
    <w:rsid w:val="00202719"/>
    <w:rsid w:val="002030AB"/>
    <w:rsid w:val="002030D6"/>
    <w:rsid w:val="00203762"/>
    <w:rsid w:val="00203CD3"/>
    <w:rsid w:val="00203DB0"/>
    <w:rsid w:val="00204749"/>
    <w:rsid w:val="002047B1"/>
    <w:rsid w:val="00204D86"/>
    <w:rsid w:val="0020589B"/>
    <w:rsid w:val="00205900"/>
    <w:rsid w:val="00205C9A"/>
    <w:rsid w:val="00205D98"/>
    <w:rsid w:val="00206182"/>
    <w:rsid w:val="00206E11"/>
    <w:rsid w:val="00207EF2"/>
    <w:rsid w:val="0021017D"/>
    <w:rsid w:val="00210AEB"/>
    <w:rsid w:val="00211058"/>
    <w:rsid w:val="0021150C"/>
    <w:rsid w:val="00211525"/>
    <w:rsid w:val="00211556"/>
    <w:rsid w:val="00211708"/>
    <w:rsid w:val="00211755"/>
    <w:rsid w:val="00211885"/>
    <w:rsid w:val="00212697"/>
    <w:rsid w:val="002126C9"/>
    <w:rsid w:val="00212A4D"/>
    <w:rsid w:val="00212CEC"/>
    <w:rsid w:val="00213035"/>
    <w:rsid w:val="00213140"/>
    <w:rsid w:val="00213316"/>
    <w:rsid w:val="002133EB"/>
    <w:rsid w:val="0021370E"/>
    <w:rsid w:val="0021375C"/>
    <w:rsid w:val="00214549"/>
    <w:rsid w:val="00214B44"/>
    <w:rsid w:val="00214D70"/>
    <w:rsid w:val="002154AD"/>
    <w:rsid w:val="00215613"/>
    <w:rsid w:val="0021652A"/>
    <w:rsid w:val="00216E5F"/>
    <w:rsid w:val="00217608"/>
    <w:rsid w:val="0021779B"/>
    <w:rsid w:val="0021793A"/>
    <w:rsid w:val="002209D0"/>
    <w:rsid w:val="00220DA0"/>
    <w:rsid w:val="002216C3"/>
    <w:rsid w:val="00222C68"/>
    <w:rsid w:val="00222D73"/>
    <w:rsid w:val="0022303B"/>
    <w:rsid w:val="002232A0"/>
    <w:rsid w:val="00223D5E"/>
    <w:rsid w:val="002252B6"/>
    <w:rsid w:val="002259A7"/>
    <w:rsid w:val="0022618A"/>
    <w:rsid w:val="00227373"/>
    <w:rsid w:val="00227941"/>
    <w:rsid w:val="0023017F"/>
    <w:rsid w:val="002303CE"/>
    <w:rsid w:val="002308AE"/>
    <w:rsid w:val="00230D54"/>
    <w:rsid w:val="00230D70"/>
    <w:rsid w:val="00230D91"/>
    <w:rsid w:val="0023105A"/>
    <w:rsid w:val="002310D4"/>
    <w:rsid w:val="0023135B"/>
    <w:rsid w:val="002317E9"/>
    <w:rsid w:val="00231F62"/>
    <w:rsid w:val="00232616"/>
    <w:rsid w:val="00232C38"/>
    <w:rsid w:val="00232F16"/>
    <w:rsid w:val="00232F54"/>
    <w:rsid w:val="0023388A"/>
    <w:rsid w:val="00233E47"/>
    <w:rsid w:val="002341E5"/>
    <w:rsid w:val="0023448B"/>
    <w:rsid w:val="00234853"/>
    <w:rsid w:val="00235062"/>
    <w:rsid w:val="002352BF"/>
    <w:rsid w:val="002356DB"/>
    <w:rsid w:val="002358B9"/>
    <w:rsid w:val="002364A4"/>
    <w:rsid w:val="00236B05"/>
    <w:rsid w:val="00237255"/>
    <w:rsid w:val="00237854"/>
    <w:rsid w:val="00237A54"/>
    <w:rsid w:val="00237C51"/>
    <w:rsid w:val="00237D0B"/>
    <w:rsid w:val="002407F2"/>
    <w:rsid w:val="00240C73"/>
    <w:rsid w:val="00241B9F"/>
    <w:rsid w:val="002421F0"/>
    <w:rsid w:val="00242348"/>
    <w:rsid w:val="00242702"/>
    <w:rsid w:val="00244265"/>
    <w:rsid w:val="002449AD"/>
    <w:rsid w:val="00245637"/>
    <w:rsid w:val="00245A51"/>
    <w:rsid w:val="002460BA"/>
    <w:rsid w:val="00246AB4"/>
    <w:rsid w:val="00246C14"/>
    <w:rsid w:val="00247893"/>
    <w:rsid w:val="00250146"/>
    <w:rsid w:val="0025133B"/>
    <w:rsid w:val="002518A9"/>
    <w:rsid w:val="00251ADD"/>
    <w:rsid w:val="00251D84"/>
    <w:rsid w:val="00252071"/>
    <w:rsid w:val="0025257B"/>
    <w:rsid w:val="00252D6B"/>
    <w:rsid w:val="00252E93"/>
    <w:rsid w:val="00253B7E"/>
    <w:rsid w:val="0025595A"/>
    <w:rsid w:val="002567A4"/>
    <w:rsid w:val="00256DB9"/>
    <w:rsid w:val="00256F58"/>
    <w:rsid w:val="00257B84"/>
    <w:rsid w:val="00257E18"/>
    <w:rsid w:val="002600BF"/>
    <w:rsid w:val="00260775"/>
    <w:rsid w:val="0026230A"/>
    <w:rsid w:val="00262525"/>
    <w:rsid w:val="00262DC5"/>
    <w:rsid w:val="00263737"/>
    <w:rsid w:val="00263E6C"/>
    <w:rsid w:val="00264071"/>
    <w:rsid w:val="002647B7"/>
    <w:rsid w:val="0026581F"/>
    <w:rsid w:val="00265C9D"/>
    <w:rsid w:val="00267389"/>
    <w:rsid w:val="00267811"/>
    <w:rsid w:val="00267AC6"/>
    <w:rsid w:val="00271C83"/>
    <w:rsid w:val="00271D6A"/>
    <w:rsid w:val="00271E5A"/>
    <w:rsid w:val="002726ED"/>
    <w:rsid w:val="00273033"/>
    <w:rsid w:val="0027452F"/>
    <w:rsid w:val="0027461A"/>
    <w:rsid w:val="00274B1B"/>
    <w:rsid w:val="002755EC"/>
    <w:rsid w:val="00276CB4"/>
    <w:rsid w:val="00276FF6"/>
    <w:rsid w:val="002774E5"/>
    <w:rsid w:val="00277B9C"/>
    <w:rsid w:val="00277E57"/>
    <w:rsid w:val="00280341"/>
    <w:rsid w:val="0028051C"/>
    <w:rsid w:val="00280869"/>
    <w:rsid w:val="00282A09"/>
    <w:rsid w:val="00283013"/>
    <w:rsid w:val="00284E8C"/>
    <w:rsid w:val="00285B9C"/>
    <w:rsid w:val="0028605E"/>
    <w:rsid w:val="002877CA"/>
    <w:rsid w:val="002878B3"/>
    <w:rsid w:val="002908E2"/>
    <w:rsid w:val="00291C35"/>
    <w:rsid w:val="00292034"/>
    <w:rsid w:val="0029208C"/>
    <w:rsid w:val="00293DDC"/>
    <w:rsid w:val="00293FB6"/>
    <w:rsid w:val="00294A9B"/>
    <w:rsid w:val="00295411"/>
    <w:rsid w:val="002954E9"/>
    <w:rsid w:val="00295695"/>
    <w:rsid w:val="00295AE2"/>
    <w:rsid w:val="0029628A"/>
    <w:rsid w:val="00296324"/>
    <w:rsid w:val="002975A4"/>
    <w:rsid w:val="00297952"/>
    <w:rsid w:val="00297DDB"/>
    <w:rsid w:val="002A0A21"/>
    <w:rsid w:val="002A0DB0"/>
    <w:rsid w:val="002A0DBB"/>
    <w:rsid w:val="002A1134"/>
    <w:rsid w:val="002A1610"/>
    <w:rsid w:val="002A1AF3"/>
    <w:rsid w:val="002A1EEA"/>
    <w:rsid w:val="002A2B57"/>
    <w:rsid w:val="002A3CA7"/>
    <w:rsid w:val="002A532A"/>
    <w:rsid w:val="002A5980"/>
    <w:rsid w:val="002A5B32"/>
    <w:rsid w:val="002A5CCD"/>
    <w:rsid w:val="002A6953"/>
    <w:rsid w:val="002A6D7B"/>
    <w:rsid w:val="002A76CD"/>
    <w:rsid w:val="002A7E80"/>
    <w:rsid w:val="002B0C9C"/>
    <w:rsid w:val="002B165A"/>
    <w:rsid w:val="002B1C66"/>
    <w:rsid w:val="002B2C0C"/>
    <w:rsid w:val="002B37F4"/>
    <w:rsid w:val="002B3D4D"/>
    <w:rsid w:val="002B4812"/>
    <w:rsid w:val="002B4974"/>
    <w:rsid w:val="002B5F8C"/>
    <w:rsid w:val="002B6465"/>
    <w:rsid w:val="002B6646"/>
    <w:rsid w:val="002B6863"/>
    <w:rsid w:val="002B6FA6"/>
    <w:rsid w:val="002B7895"/>
    <w:rsid w:val="002B7FD9"/>
    <w:rsid w:val="002C03ED"/>
    <w:rsid w:val="002C11E5"/>
    <w:rsid w:val="002C1BE6"/>
    <w:rsid w:val="002C2A5A"/>
    <w:rsid w:val="002C405D"/>
    <w:rsid w:val="002C4F5F"/>
    <w:rsid w:val="002C5C6A"/>
    <w:rsid w:val="002C6385"/>
    <w:rsid w:val="002D01E8"/>
    <w:rsid w:val="002D0706"/>
    <w:rsid w:val="002D0B21"/>
    <w:rsid w:val="002D17A6"/>
    <w:rsid w:val="002D1E3B"/>
    <w:rsid w:val="002D2074"/>
    <w:rsid w:val="002D2B33"/>
    <w:rsid w:val="002D2C16"/>
    <w:rsid w:val="002D3E3D"/>
    <w:rsid w:val="002D4A1E"/>
    <w:rsid w:val="002D4E9D"/>
    <w:rsid w:val="002D5027"/>
    <w:rsid w:val="002D59CC"/>
    <w:rsid w:val="002D6EE8"/>
    <w:rsid w:val="002D7475"/>
    <w:rsid w:val="002E008B"/>
    <w:rsid w:val="002E140B"/>
    <w:rsid w:val="002E1618"/>
    <w:rsid w:val="002E16B7"/>
    <w:rsid w:val="002E21C9"/>
    <w:rsid w:val="002E29E4"/>
    <w:rsid w:val="002E3F4D"/>
    <w:rsid w:val="002E4849"/>
    <w:rsid w:val="002E4928"/>
    <w:rsid w:val="002E49DA"/>
    <w:rsid w:val="002E51D1"/>
    <w:rsid w:val="002E578D"/>
    <w:rsid w:val="002E5E25"/>
    <w:rsid w:val="002E5E88"/>
    <w:rsid w:val="002E646D"/>
    <w:rsid w:val="002E6C6D"/>
    <w:rsid w:val="002E6F2A"/>
    <w:rsid w:val="002E7DA1"/>
    <w:rsid w:val="002F07DF"/>
    <w:rsid w:val="002F0D88"/>
    <w:rsid w:val="002F18EE"/>
    <w:rsid w:val="002F194A"/>
    <w:rsid w:val="002F1A4E"/>
    <w:rsid w:val="002F21C9"/>
    <w:rsid w:val="002F25EA"/>
    <w:rsid w:val="002F342A"/>
    <w:rsid w:val="002F3705"/>
    <w:rsid w:val="002F39BA"/>
    <w:rsid w:val="002F3BA8"/>
    <w:rsid w:val="002F4566"/>
    <w:rsid w:val="002F5D6D"/>
    <w:rsid w:val="002F5FE6"/>
    <w:rsid w:val="002F7175"/>
    <w:rsid w:val="002F75DD"/>
    <w:rsid w:val="002F79BB"/>
    <w:rsid w:val="002F7ADF"/>
    <w:rsid w:val="002F7B92"/>
    <w:rsid w:val="00300C95"/>
    <w:rsid w:val="003014E2"/>
    <w:rsid w:val="00301B01"/>
    <w:rsid w:val="003030D7"/>
    <w:rsid w:val="0030378E"/>
    <w:rsid w:val="00303902"/>
    <w:rsid w:val="003056A9"/>
    <w:rsid w:val="0030576D"/>
    <w:rsid w:val="00305E13"/>
    <w:rsid w:val="00307826"/>
    <w:rsid w:val="00307FC0"/>
    <w:rsid w:val="00310052"/>
    <w:rsid w:val="00310ABE"/>
    <w:rsid w:val="003114B9"/>
    <w:rsid w:val="003134B0"/>
    <w:rsid w:val="00313C90"/>
    <w:rsid w:val="00315643"/>
    <w:rsid w:val="003156C4"/>
    <w:rsid w:val="0031596E"/>
    <w:rsid w:val="00316A60"/>
    <w:rsid w:val="00316B56"/>
    <w:rsid w:val="00316DB5"/>
    <w:rsid w:val="00317315"/>
    <w:rsid w:val="0031771E"/>
    <w:rsid w:val="00320708"/>
    <w:rsid w:val="00320907"/>
    <w:rsid w:val="00320CB9"/>
    <w:rsid w:val="00320FDA"/>
    <w:rsid w:val="00321AA7"/>
    <w:rsid w:val="003220D9"/>
    <w:rsid w:val="0032239A"/>
    <w:rsid w:val="00322582"/>
    <w:rsid w:val="00323A0A"/>
    <w:rsid w:val="00323C03"/>
    <w:rsid w:val="00323E0F"/>
    <w:rsid w:val="00324417"/>
    <w:rsid w:val="00324EAC"/>
    <w:rsid w:val="0032621A"/>
    <w:rsid w:val="00326275"/>
    <w:rsid w:val="0032681D"/>
    <w:rsid w:val="00327C92"/>
    <w:rsid w:val="00327CF4"/>
    <w:rsid w:val="0033011F"/>
    <w:rsid w:val="00330384"/>
    <w:rsid w:val="00330C95"/>
    <w:rsid w:val="00331778"/>
    <w:rsid w:val="00331AE7"/>
    <w:rsid w:val="00332AB9"/>
    <w:rsid w:val="003332BE"/>
    <w:rsid w:val="003334ED"/>
    <w:rsid w:val="00334248"/>
    <w:rsid w:val="003343CC"/>
    <w:rsid w:val="003346AF"/>
    <w:rsid w:val="00334C8F"/>
    <w:rsid w:val="00335466"/>
    <w:rsid w:val="00335760"/>
    <w:rsid w:val="00335797"/>
    <w:rsid w:val="00335990"/>
    <w:rsid w:val="00337672"/>
    <w:rsid w:val="00337BAA"/>
    <w:rsid w:val="00340E04"/>
    <w:rsid w:val="00341451"/>
    <w:rsid w:val="00341FA5"/>
    <w:rsid w:val="003428C7"/>
    <w:rsid w:val="00342B50"/>
    <w:rsid w:val="003437C9"/>
    <w:rsid w:val="00344055"/>
    <w:rsid w:val="003444EA"/>
    <w:rsid w:val="00345770"/>
    <w:rsid w:val="00345983"/>
    <w:rsid w:val="00345A65"/>
    <w:rsid w:val="00345CEB"/>
    <w:rsid w:val="00347BB7"/>
    <w:rsid w:val="00347E00"/>
    <w:rsid w:val="00350761"/>
    <w:rsid w:val="00350D7E"/>
    <w:rsid w:val="003515AE"/>
    <w:rsid w:val="00352610"/>
    <w:rsid w:val="00352FC2"/>
    <w:rsid w:val="00353059"/>
    <w:rsid w:val="00354F1E"/>
    <w:rsid w:val="0035582C"/>
    <w:rsid w:val="00356A9E"/>
    <w:rsid w:val="00357187"/>
    <w:rsid w:val="003577D0"/>
    <w:rsid w:val="003610F7"/>
    <w:rsid w:val="003624EC"/>
    <w:rsid w:val="00362DEB"/>
    <w:rsid w:val="00362FE4"/>
    <w:rsid w:val="00363279"/>
    <w:rsid w:val="003638BE"/>
    <w:rsid w:val="00363C8C"/>
    <w:rsid w:val="00365886"/>
    <w:rsid w:val="00365889"/>
    <w:rsid w:val="00365AB0"/>
    <w:rsid w:val="00366C72"/>
    <w:rsid w:val="003674DA"/>
    <w:rsid w:val="003676E8"/>
    <w:rsid w:val="00367A2A"/>
    <w:rsid w:val="00367D44"/>
    <w:rsid w:val="00370940"/>
    <w:rsid w:val="00370FE0"/>
    <w:rsid w:val="00371472"/>
    <w:rsid w:val="00371659"/>
    <w:rsid w:val="00372222"/>
    <w:rsid w:val="003722BB"/>
    <w:rsid w:val="00372C8D"/>
    <w:rsid w:val="00373347"/>
    <w:rsid w:val="003734BC"/>
    <w:rsid w:val="00373929"/>
    <w:rsid w:val="0037405B"/>
    <w:rsid w:val="0037479B"/>
    <w:rsid w:val="00374823"/>
    <w:rsid w:val="00374DB5"/>
    <w:rsid w:val="00375463"/>
    <w:rsid w:val="0037553F"/>
    <w:rsid w:val="00375E7C"/>
    <w:rsid w:val="003764AC"/>
    <w:rsid w:val="00377274"/>
    <w:rsid w:val="00377F8C"/>
    <w:rsid w:val="003813B3"/>
    <w:rsid w:val="00382990"/>
    <w:rsid w:val="00382A17"/>
    <w:rsid w:val="00382BA9"/>
    <w:rsid w:val="0038310C"/>
    <w:rsid w:val="00383DF2"/>
    <w:rsid w:val="003859FE"/>
    <w:rsid w:val="00386784"/>
    <w:rsid w:val="00387169"/>
    <w:rsid w:val="003878DD"/>
    <w:rsid w:val="00387E17"/>
    <w:rsid w:val="003906D9"/>
    <w:rsid w:val="0039196D"/>
    <w:rsid w:val="0039199E"/>
    <w:rsid w:val="00393919"/>
    <w:rsid w:val="003941B2"/>
    <w:rsid w:val="0039540D"/>
    <w:rsid w:val="003956E6"/>
    <w:rsid w:val="00395C8E"/>
    <w:rsid w:val="00396B9C"/>
    <w:rsid w:val="00397267"/>
    <w:rsid w:val="00397428"/>
    <w:rsid w:val="00397B73"/>
    <w:rsid w:val="00397F83"/>
    <w:rsid w:val="003A00A5"/>
    <w:rsid w:val="003A0197"/>
    <w:rsid w:val="003A0477"/>
    <w:rsid w:val="003A06D2"/>
    <w:rsid w:val="003A099B"/>
    <w:rsid w:val="003A0C47"/>
    <w:rsid w:val="003A1877"/>
    <w:rsid w:val="003A18E5"/>
    <w:rsid w:val="003A2F82"/>
    <w:rsid w:val="003A44F7"/>
    <w:rsid w:val="003A46CD"/>
    <w:rsid w:val="003A525E"/>
    <w:rsid w:val="003A5895"/>
    <w:rsid w:val="003A5CD2"/>
    <w:rsid w:val="003A5F33"/>
    <w:rsid w:val="003A619B"/>
    <w:rsid w:val="003A629A"/>
    <w:rsid w:val="003A62EE"/>
    <w:rsid w:val="003A6F02"/>
    <w:rsid w:val="003A795A"/>
    <w:rsid w:val="003A7DF4"/>
    <w:rsid w:val="003B043B"/>
    <w:rsid w:val="003B0672"/>
    <w:rsid w:val="003B06BF"/>
    <w:rsid w:val="003B1287"/>
    <w:rsid w:val="003B1318"/>
    <w:rsid w:val="003B1393"/>
    <w:rsid w:val="003B240C"/>
    <w:rsid w:val="003B2609"/>
    <w:rsid w:val="003B2847"/>
    <w:rsid w:val="003B2A97"/>
    <w:rsid w:val="003B3229"/>
    <w:rsid w:val="003B39C7"/>
    <w:rsid w:val="003B40A3"/>
    <w:rsid w:val="003B5443"/>
    <w:rsid w:val="003B5902"/>
    <w:rsid w:val="003B5EE9"/>
    <w:rsid w:val="003B5F52"/>
    <w:rsid w:val="003B6C2A"/>
    <w:rsid w:val="003B756A"/>
    <w:rsid w:val="003B7613"/>
    <w:rsid w:val="003B7866"/>
    <w:rsid w:val="003B7CD1"/>
    <w:rsid w:val="003B7E9C"/>
    <w:rsid w:val="003B7EBA"/>
    <w:rsid w:val="003C05F1"/>
    <w:rsid w:val="003C0761"/>
    <w:rsid w:val="003C0C53"/>
    <w:rsid w:val="003C14A6"/>
    <w:rsid w:val="003C19CA"/>
    <w:rsid w:val="003C1C82"/>
    <w:rsid w:val="003C267E"/>
    <w:rsid w:val="003C4648"/>
    <w:rsid w:val="003C50DC"/>
    <w:rsid w:val="003C5EAC"/>
    <w:rsid w:val="003C7528"/>
    <w:rsid w:val="003C7684"/>
    <w:rsid w:val="003D00C7"/>
    <w:rsid w:val="003D1191"/>
    <w:rsid w:val="003D1310"/>
    <w:rsid w:val="003D236D"/>
    <w:rsid w:val="003D2BE2"/>
    <w:rsid w:val="003D2C41"/>
    <w:rsid w:val="003D491B"/>
    <w:rsid w:val="003D4ABC"/>
    <w:rsid w:val="003D5360"/>
    <w:rsid w:val="003D5D38"/>
    <w:rsid w:val="003D5FD8"/>
    <w:rsid w:val="003D610C"/>
    <w:rsid w:val="003D68F8"/>
    <w:rsid w:val="003D69E5"/>
    <w:rsid w:val="003D79B3"/>
    <w:rsid w:val="003D7CE1"/>
    <w:rsid w:val="003E0996"/>
    <w:rsid w:val="003E0D4B"/>
    <w:rsid w:val="003E1522"/>
    <w:rsid w:val="003E1713"/>
    <w:rsid w:val="003E1E89"/>
    <w:rsid w:val="003E209A"/>
    <w:rsid w:val="003E21EA"/>
    <w:rsid w:val="003E30E2"/>
    <w:rsid w:val="003E351A"/>
    <w:rsid w:val="003E354A"/>
    <w:rsid w:val="003E3E8E"/>
    <w:rsid w:val="003E4A3C"/>
    <w:rsid w:val="003E4F6B"/>
    <w:rsid w:val="003E59A0"/>
    <w:rsid w:val="003E59D3"/>
    <w:rsid w:val="003E5BCC"/>
    <w:rsid w:val="003E6A36"/>
    <w:rsid w:val="003E7AB3"/>
    <w:rsid w:val="003F06F7"/>
    <w:rsid w:val="003F089A"/>
    <w:rsid w:val="003F10E1"/>
    <w:rsid w:val="003F1129"/>
    <w:rsid w:val="003F153D"/>
    <w:rsid w:val="003F277D"/>
    <w:rsid w:val="003F2DAA"/>
    <w:rsid w:val="003F3BC4"/>
    <w:rsid w:val="003F47AD"/>
    <w:rsid w:val="003F4A38"/>
    <w:rsid w:val="003F4E51"/>
    <w:rsid w:val="003F4F63"/>
    <w:rsid w:val="003F4F77"/>
    <w:rsid w:val="003F5873"/>
    <w:rsid w:val="003F5BC8"/>
    <w:rsid w:val="003F5CF6"/>
    <w:rsid w:val="003F71BC"/>
    <w:rsid w:val="003F7D52"/>
    <w:rsid w:val="0040026E"/>
    <w:rsid w:val="0040061C"/>
    <w:rsid w:val="00400984"/>
    <w:rsid w:val="00401318"/>
    <w:rsid w:val="00402544"/>
    <w:rsid w:val="0040256D"/>
    <w:rsid w:val="00402F33"/>
    <w:rsid w:val="004033A8"/>
    <w:rsid w:val="00403763"/>
    <w:rsid w:val="00403AF5"/>
    <w:rsid w:val="00404560"/>
    <w:rsid w:val="00404E84"/>
    <w:rsid w:val="00407127"/>
    <w:rsid w:val="004107D8"/>
    <w:rsid w:val="00410DFE"/>
    <w:rsid w:val="00411777"/>
    <w:rsid w:val="00412744"/>
    <w:rsid w:val="00412CA4"/>
    <w:rsid w:val="00412D95"/>
    <w:rsid w:val="0041305C"/>
    <w:rsid w:val="004135B7"/>
    <w:rsid w:val="004139E2"/>
    <w:rsid w:val="004142D3"/>
    <w:rsid w:val="00414A06"/>
    <w:rsid w:val="00414F03"/>
    <w:rsid w:val="00415756"/>
    <w:rsid w:val="00415A9B"/>
    <w:rsid w:val="0041704D"/>
    <w:rsid w:val="004170F8"/>
    <w:rsid w:val="00417552"/>
    <w:rsid w:val="00417664"/>
    <w:rsid w:val="00417BD3"/>
    <w:rsid w:val="0042015D"/>
    <w:rsid w:val="0042052D"/>
    <w:rsid w:val="004218A5"/>
    <w:rsid w:val="0042195E"/>
    <w:rsid w:val="00421C6C"/>
    <w:rsid w:val="0042200A"/>
    <w:rsid w:val="00422714"/>
    <w:rsid w:val="0042289F"/>
    <w:rsid w:val="004232F9"/>
    <w:rsid w:val="00423602"/>
    <w:rsid w:val="0042384A"/>
    <w:rsid w:val="00424E63"/>
    <w:rsid w:val="004256BD"/>
    <w:rsid w:val="00425926"/>
    <w:rsid w:val="00425993"/>
    <w:rsid w:val="00425F26"/>
    <w:rsid w:val="00426037"/>
    <w:rsid w:val="0042653F"/>
    <w:rsid w:val="00426F8A"/>
    <w:rsid w:val="0042735C"/>
    <w:rsid w:val="0042787A"/>
    <w:rsid w:val="004278B7"/>
    <w:rsid w:val="00427D89"/>
    <w:rsid w:val="00427FCB"/>
    <w:rsid w:val="004302F8"/>
    <w:rsid w:val="00430836"/>
    <w:rsid w:val="004308D7"/>
    <w:rsid w:val="00431C6B"/>
    <w:rsid w:val="004321A4"/>
    <w:rsid w:val="004322B7"/>
    <w:rsid w:val="0043360F"/>
    <w:rsid w:val="00433685"/>
    <w:rsid w:val="00433BDC"/>
    <w:rsid w:val="004342E3"/>
    <w:rsid w:val="00434427"/>
    <w:rsid w:val="00434443"/>
    <w:rsid w:val="00434677"/>
    <w:rsid w:val="004348CD"/>
    <w:rsid w:val="004348E5"/>
    <w:rsid w:val="00434ACC"/>
    <w:rsid w:val="00434F14"/>
    <w:rsid w:val="004356A2"/>
    <w:rsid w:val="00435C50"/>
    <w:rsid w:val="00436A59"/>
    <w:rsid w:val="0043722B"/>
    <w:rsid w:val="00437290"/>
    <w:rsid w:val="00437623"/>
    <w:rsid w:val="00437C4F"/>
    <w:rsid w:val="0044104C"/>
    <w:rsid w:val="00441BC5"/>
    <w:rsid w:val="00442211"/>
    <w:rsid w:val="004422AC"/>
    <w:rsid w:val="0044261C"/>
    <w:rsid w:val="004429EE"/>
    <w:rsid w:val="00442CA7"/>
    <w:rsid w:val="00443156"/>
    <w:rsid w:val="004440D0"/>
    <w:rsid w:val="00444DC4"/>
    <w:rsid w:val="004451C7"/>
    <w:rsid w:val="00447520"/>
    <w:rsid w:val="004476B7"/>
    <w:rsid w:val="00447C07"/>
    <w:rsid w:val="00450FBC"/>
    <w:rsid w:val="00451136"/>
    <w:rsid w:val="004517B3"/>
    <w:rsid w:val="00451821"/>
    <w:rsid w:val="00451FEC"/>
    <w:rsid w:val="00452033"/>
    <w:rsid w:val="004525A9"/>
    <w:rsid w:val="00452D2C"/>
    <w:rsid w:val="00454520"/>
    <w:rsid w:val="004547BE"/>
    <w:rsid w:val="0045581C"/>
    <w:rsid w:val="00455B1A"/>
    <w:rsid w:val="0045742F"/>
    <w:rsid w:val="00460570"/>
    <w:rsid w:val="004619E8"/>
    <w:rsid w:val="00461C2F"/>
    <w:rsid w:val="00461DC4"/>
    <w:rsid w:val="00462C65"/>
    <w:rsid w:val="0046318F"/>
    <w:rsid w:val="0046345E"/>
    <w:rsid w:val="00463600"/>
    <w:rsid w:val="0046430A"/>
    <w:rsid w:val="00464883"/>
    <w:rsid w:val="00465131"/>
    <w:rsid w:val="00465C15"/>
    <w:rsid w:val="0046606A"/>
    <w:rsid w:val="004678AF"/>
    <w:rsid w:val="00470A3A"/>
    <w:rsid w:val="00471314"/>
    <w:rsid w:val="004713CD"/>
    <w:rsid w:val="00471503"/>
    <w:rsid w:val="00471730"/>
    <w:rsid w:val="00472712"/>
    <w:rsid w:val="0047292E"/>
    <w:rsid w:val="004729ED"/>
    <w:rsid w:val="00473A09"/>
    <w:rsid w:val="00474471"/>
    <w:rsid w:val="00474843"/>
    <w:rsid w:val="00474A27"/>
    <w:rsid w:val="0047629D"/>
    <w:rsid w:val="00476E15"/>
    <w:rsid w:val="00477D4A"/>
    <w:rsid w:val="00477D90"/>
    <w:rsid w:val="0048016E"/>
    <w:rsid w:val="00481593"/>
    <w:rsid w:val="004818D1"/>
    <w:rsid w:val="00481E43"/>
    <w:rsid w:val="004823D3"/>
    <w:rsid w:val="0048332B"/>
    <w:rsid w:val="004838D0"/>
    <w:rsid w:val="004839AA"/>
    <w:rsid w:val="0048418E"/>
    <w:rsid w:val="00484F72"/>
    <w:rsid w:val="0048501A"/>
    <w:rsid w:val="00486860"/>
    <w:rsid w:val="00486EA2"/>
    <w:rsid w:val="004870F4"/>
    <w:rsid w:val="004872BB"/>
    <w:rsid w:val="00487787"/>
    <w:rsid w:val="00490180"/>
    <w:rsid w:val="0049058D"/>
    <w:rsid w:val="00490EF0"/>
    <w:rsid w:val="00490F18"/>
    <w:rsid w:val="00491BC7"/>
    <w:rsid w:val="00491F8A"/>
    <w:rsid w:val="004925BA"/>
    <w:rsid w:val="004925D5"/>
    <w:rsid w:val="0049276D"/>
    <w:rsid w:val="004931FF"/>
    <w:rsid w:val="004934A7"/>
    <w:rsid w:val="00493969"/>
    <w:rsid w:val="0049476A"/>
    <w:rsid w:val="00496AB8"/>
    <w:rsid w:val="004976BB"/>
    <w:rsid w:val="004A109C"/>
    <w:rsid w:val="004A1520"/>
    <w:rsid w:val="004A1CAA"/>
    <w:rsid w:val="004A2236"/>
    <w:rsid w:val="004A3A16"/>
    <w:rsid w:val="004A3F10"/>
    <w:rsid w:val="004A40DF"/>
    <w:rsid w:val="004A49E3"/>
    <w:rsid w:val="004A4CBA"/>
    <w:rsid w:val="004A50A2"/>
    <w:rsid w:val="004A5251"/>
    <w:rsid w:val="004A5303"/>
    <w:rsid w:val="004A5669"/>
    <w:rsid w:val="004A5E57"/>
    <w:rsid w:val="004A60F7"/>
    <w:rsid w:val="004A6E5C"/>
    <w:rsid w:val="004A6F5F"/>
    <w:rsid w:val="004B02B9"/>
    <w:rsid w:val="004B05DC"/>
    <w:rsid w:val="004B0CF9"/>
    <w:rsid w:val="004B17DC"/>
    <w:rsid w:val="004B1902"/>
    <w:rsid w:val="004B27CB"/>
    <w:rsid w:val="004B3D67"/>
    <w:rsid w:val="004B3F28"/>
    <w:rsid w:val="004B4916"/>
    <w:rsid w:val="004B4C26"/>
    <w:rsid w:val="004B4DEF"/>
    <w:rsid w:val="004B4F45"/>
    <w:rsid w:val="004B65D8"/>
    <w:rsid w:val="004B677E"/>
    <w:rsid w:val="004B6B34"/>
    <w:rsid w:val="004B7569"/>
    <w:rsid w:val="004C063A"/>
    <w:rsid w:val="004C2F24"/>
    <w:rsid w:val="004C3FE0"/>
    <w:rsid w:val="004C4468"/>
    <w:rsid w:val="004C4B01"/>
    <w:rsid w:val="004C4E42"/>
    <w:rsid w:val="004C5016"/>
    <w:rsid w:val="004C55DA"/>
    <w:rsid w:val="004C5646"/>
    <w:rsid w:val="004C5659"/>
    <w:rsid w:val="004C5B17"/>
    <w:rsid w:val="004C5B3F"/>
    <w:rsid w:val="004C6251"/>
    <w:rsid w:val="004C68BB"/>
    <w:rsid w:val="004C7766"/>
    <w:rsid w:val="004C7C46"/>
    <w:rsid w:val="004D0155"/>
    <w:rsid w:val="004D0C49"/>
    <w:rsid w:val="004D0E95"/>
    <w:rsid w:val="004D1A6A"/>
    <w:rsid w:val="004D1B5C"/>
    <w:rsid w:val="004D3A68"/>
    <w:rsid w:val="004D428B"/>
    <w:rsid w:val="004D49C2"/>
    <w:rsid w:val="004D4C31"/>
    <w:rsid w:val="004D4F38"/>
    <w:rsid w:val="004D4F85"/>
    <w:rsid w:val="004D507E"/>
    <w:rsid w:val="004D585C"/>
    <w:rsid w:val="004D5AD5"/>
    <w:rsid w:val="004D5D6F"/>
    <w:rsid w:val="004D6D72"/>
    <w:rsid w:val="004D72F8"/>
    <w:rsid w:val="004D75DA"/>
    <w:rsid w:val="004E0547"/>
    <w:rsid w:val="004E1351"/>
    <w:rsid w:val="004E3316"/>
    <w:rsid w:val="004E5014"/>
    <w:rsid w:val="004E5544"/>
    <w:rsid w:val="004F0445"/>
    <w:rsid w:val="004F13B8"/>
    <w:rsid w:val="004F1A10"/>
    <w:rsid w:val="004F25D7"/>
    <w:rsid w:val="004F274D"/>
    <w:rsid w:val="004F2DDF"/>
    <w:rsid w:val="004F39F9"/>
    <w:rsid w:val="004F4172"/>
    <w:rsid w:val="004F5EA6"/>
    <w:rsid w:val="0050043B"/>
    <w:rsid w:val="00500819"/>
    <w:rsid w:val="00500C0B"/>
    <w:rsid w:val="0050117C"/>
    <w:rsid w:val="00501A2B"/>
    <w:rsid w:val="00501D30"/>
    <w:rsid w:val="00502893"/>
    <w:rsid w:val="005032D8"/>
    <w:rsid w:val="00503724"/>
    <w:rsid w:val="00504494"/>
    <w:rsid w:val="00504E24"/>
    <w:rsid w:val="00504F98"/>
    <w:rsid w:val="0050543E"/>
    <w:rsid w:val="00506002"/>
    <w:rsid w:val="0050623D"/>
    <w:rsid w:val="005064A6"/>
    <w:rsid w:val="00506B8A"/>
    <w:rsid w:val="005072B8"/>
    <w:rsid w:val="00507644"/>
    <w:rsid w:val="00507AF6"/>
    <w:rsid w:val="00507E9B"/>
    <w:rsid w:val="00510DC9"/>
    <w:rsid w:val="00512872"/>
    <w:rsid w:val="00512AE0"/>
    <w:rsid w:val="00512B4F"/>
    <w:rsid w:val="005130E4"/>
    <w:rsid w:val="00513D81"/>
    <w:rsid w:val="00514850"/>
    <w:rsid w:val="0051632C"/>
    <w:rsid w:val="005169D6"/>
    <w:rsid w:val="00516A3F"/>
    <w:rsid w:val="0051705C"/>
    <w:rsid w:val="005174CD"/>
    <w:rsid w:val="00517FAA"/>
    <w:rsid w:val="00520C63"/>
    <w:rsid w:val="005211D0"/>
    <w:rsid w:val="005213E8"/>
    <w:rsid w:val="005228B7"/>
    <w:rsid w:val="005230D4"/>
    <w:rsid w:val="00523CAE"/>
    <w:rsid w:val="0052482F"/>
    <w:rsid w:val="005252E1"/>
    <w:rsid w:val="005254FA"/>
    <w:rsid w:val="005256ED"/>
    <w:rsid w:val="00525D0C"/>
    <w:rsid w:val="0052620C"/>
    <w:rsid w:val="005269A7"/>
    <w:rsid w:val="00526C05"/>
    <w:rsid w:val="00526CDE"/>
    <w:rsid w:val="00526F34"/>
    <w:rsid w:val="0052700F"/>
    <w:rsid w:val="005275CE"/>
    <w:rsid w:val="00527832"/>
    <w:rsid w:val="00527BE2"/>
    <w:rsid w:val="00527E31"/>
    <w:rsid w:val="00530092"/>
    <w:rsid w:val="00530900"/>
    <w:rsid w:val="00531AD9"/>
    <w:rsid w:val="00531F4C"/>
    <w:rsid w:val="005323DC"/>
    <w:rsid w:val="00533EB7"/>
    <w:rsid w:val="005342F0"/>
    <w:rsid w:val="005349BA"/>
    <w:rsid w:val="00534CE8"/>
    <w:rsid w:val="00535221"/>
    <w:rsid w:val="005353C1"/>
    <w:rsid w:val="00535860"/>
    <w:rsid w:val="00536A07"/>
    <w:rsid w:val="00536D4F"/>
    <w:rsid w:val="00537255"/>
    <w:rsid w:val="005373DD"/>
    <w:rsid w:val="00537D69"/>
    <w:rsid w:val="005400EE"/>
    <w:rsid w:val="00540133"/>
    <w:rsid w:val="00540915"/>
    <w:rsid w:val="00541552"/>
    <w:rsid w:val="005419EA"/>
    <w:rsid w:val="00541CC3"/>
    <w:rsid w:val="00541D69"/>
    <w:rsid w:val="00541FBB"/>
    <w:rsid w:val="0054210E"/>
    <w:rsid w:val="005451D7"/>
    <w:rsid w:val="00545C21"/>
    <w:rsid w:val="0054613D"/>
    <w:rsid w:val="00547166"/>
    <w:rsid w:val="00547683"/>
    <w:rsid w:val="0055025D"/>
    <w:rsid w:val="00551752"/>
    <w:rsid w:val="00551D56"/>
    <w:rsid w:val="00552C4D"/>
    <w:rsid w:val="00553296"/>
    <w:rsid w:val="00553588"/>
    <w:rsid w:val="00553CC8"/>
    <w:rsid w:val="00553F6F"/>
    <w:rsid w:val="00554299"/>
    <w:rsid w:val="005547B2"/>
    <w:rsid w:val="00554BF3"/>
    <w:rsid w:val="00554EB6"/>
    <w:rsid w:val="005600D4"/>
    <w:rsid w:val="005615C9"/>
    <w:rsid w:val="005617D0"/>
    <w:rsid w:val="00561A7A"/>
    <w:rsid w:val="00561A8E"/>
    <w:rsid w:val="00561DF1"/>
    <w:rsid w:val="0056256D"/>
    <w:rsid w:val="005627A0"/>
    <w:rsid w:val="005630C1"/>
    <w:rsid w:val="005642B9"/>
    <w:rsid w:val="005644F1"/>
    <w:rsid w:val="005647A9"/>
    <w:rsid w:val="00566571"/>
    <w:rsid w:val="00567692"/>
    <w:rsid w:val="00567BD3"/>
    <w:rsid w:val="00571423"/>
    <w:rsid w:val="00572617"/>
    <w:rsid w:val="00572F42"/>
    <w:rsid w:val="005733DF"/>
    <w:rsid w:val="005734BF"/>
    <w:rsid w:val="00573864"/>
    <w:rsid w:val="00574467"/>
    <w:rsid w:val="005753D1"/>
    <w:rsid w:val="0057616A"/>
    <w:rsid w:val="0057760E"/>
    <w:rsid w:val="00577840"/>
    <w:rsid w:val="00580318"/>
    <w:rsid w:val="0058037A"/>
    <w:rsid w:val="00580B4E"/>
    <w:rsid w:val="005813C8"/>
    <w:rsid w:val="0058346E"/>
    <w:rsid w:val="00583589"/>
    <w:rsid w:val="005836F3"/>
    <w:rsid w:val="00583A41"/>
    <w:rsid w:val="005841D8"/>
    <w:rsid w:val="00584E23"/>
    <w:rsid w:val="00585392"/>
    <w:rsid w:val="00585D13"/>
    <w:rsid w:val="005901F1"/>
    <w:rsid w:val="00590679"/>
    <w:rsid w:val="00590C8C"/>
    <w:rsid w:val="00591385"/>
    <w:rsid w:val="00591588"/>
    <w:rsid w:val="00592479"/>
    <w:rsid w:val="00592941"/>
    <w:rsid w:val="005933E2"/>
    <w:rsid w:val="00593979"/>
    <w:rsid w:val="005939A6"/>
    <w:rsid w:val="00594387"/>
    <w:rsid w:val="005946E8"/>
    <w:rsid w:val="00594D01"/>
    <w:rsid w:val="00595246"/>
    <w:rsid w:val="00595341"/>
    <w:rsid w:val="0059610B"/>
    <w:rsid w:val="00597010"/>
    <w:rsid w:val="005979B2"/>
    <w:rsid w:val="00597DD7"/>
    <w:rsid w:val="005A05D6"/>
    <w:rsid w:val="005A16A8"/>
    <w:rsid w:val="005A1B55"/>
    <w:rsid w:val="005A1F2F"/>
    <w:rsid w:val="005A20E3"/>
    <w:rsid w:val="005A213D"/>
    <w:rsid w:val="005A265A"/>
    <w:rsid w:val="005A36CA"/>
    <w:rsid w:val="005A3C40"/>
    <w:rsid w:val="005A3D1F"/>
    <w:rsid w:val="005A4369"/>
    <w:rsid w:val="005A45F0"/>
    <w:rsid w:val="005A47FF"/>
    <w:rsid w:val="005A4F0C"/>
    <w:rsid w:val="005A58C5"/>
    <w:rsid w:val="005A5C69"/>
    <w:rsid w:val="005A6044"/>
    <w:rsid w:val="005A611E"/>
    <w:rsid w:val="005A6EA7"/>
    <w:rsid w:val="005A7C8E"/>
    <w:rsid w:val="005B0EB6"/>
    <w:rsid w:val="005B1678"/>
    <w:rsid w:val="005B2560"/>
    <w:rsid w:val="005B3C91"/>
    <w:rsid w:val="005B4012"/>
    <w:rsid w:val="005B4217"/>
    <w:rsid w:val="005B7109"/>
    <w:rsid w:val="005B726B"/>
    <w:rsid w:val="005C099D"/>
    <w:rsid w:val="005C0BE7"/>
    <w:rsid w:val="005C0FF6"/>
    <w:rsid w:val="005C2DB7"/>
    <w:rsid w:val="005C38D7"/>
    <w:rsid w:val="005C439D"/>
    <w:rsid w:val="005C4E0F"/>
    <w:rsid w:val="005C5206"/>
    <w:rsid w:val="005C5218"/>
    <w:rsid w:val="005C55E2"/>
    <w:rsid w:val="005C5B35"/>
    <w:rsid w:val="005C5E67"/>
    <w:rsid w:val="005C6280"/>
    <w:rsid w:val="005C64D9"/>
    <w:rsid w:val="005C6831"/>
    <w:rsid w:val="005C72AC"/>
    <w:rsid w:val="005C7728"/>
    <w:rsid w:val="005D1210"/>
    <w:rsid w:val="005D1821"/>
    <w:rsid w:val="005D1C40"/>
    <w:rsid w:val="005D213A"/>
    <w:rsid w:val="005D254C"/>
    <w:rsid w:val="005D25B3"/>
    <w:rsid w:val="005D3902"/>
    <w:rsid w:val="005D3D6A"/>
    <w:rsid w:val="005D520A"/>
    <w:rsid w:val="005D5F32"/>
    <w:rsid w:val="005D6370"/>
    <w:rsid w:val="005D68A1"/>
    <w:rsid w:val="005D6A3C"/>
    <w:rsid w:val="005D710E"/>
    <w:rsid w:val="005D7188"/>
    <w:rsid w:val="005D720B"/>
    <w:rsid w:val="005D7584"/>
    <w:rsid w:val="005D76B4"/>
    <w:rsid w:val="005D7B46"/>
    <w:rsid w:val="005D7B86"/>
    <w:rsid w:val="005E00FD"/>
    <w:rsid w:val="005E0471"/>
    <w:rsid w:val="005E0B71"/>
    <w:rsid w:val="005E0FA5"/>
    <w:rsid w:val="005E133A"/>
    <w:rsid w:val="005E1412"/>
    <w:rsid w:val="005E1E53"/>
    <w:rsid w:val="005E2C83"/>
    <w:rsid w:val="005E4A28"/>
    <w:rsid w:val="005E4DD5"/>
    <w:rsid w:val="005E51C7"/>
    <w:rsid w:val="005E66B3"/>
    <w:rsid w:val="005E6CB4"/>
    <w:rsid w:val="005E709B"/>
    <w:rsid w:val="005F0C0F"/>
    <w:rsid w:val="005F151B"/>
    <w:rsid w:val="005F2022"/>
    <w:rsid w:val="005F20F1"/>
    <w:rsid w:val="005F273B"/>
    <w:rsid w:val="005F31C1"/>
    <w:rsid w:val="005F3339"/>
    <w:rsid w:val="005F33FD"/>
    <w:rsid w:val="005F3A43"/>
    <w:rsid w:val="005F3AAF"/>
    <w:rsid w:val="005F3B11"/>
    <w:rsid w:val="005F4166"/>
    <w:rsid w:val="005F4E2B"/>
    <w:rsid w:val="005F521D"/>
    <w:rsid w:val="005F5389"/>
    <w:rsid w:val="005F5486"/>
    <w:rsid w:val="005F55C1"/>
    <w:rsid w:val="005F5767"/>
    <w:rsid w:val="005F5DD4"/>
    <w:rsid w:val="005F6407"/>
    <w:rsid w:val="005F693D"/>
    <w:rsid w:val="005F699F"/>
    <w:rsid w:val="005F6D7E"/>
    <w:rsid w:val="005F70C2"/>
    <w:rsid w:val="005F7593"/>
    <w:rsid w:val="005F77CC"/>
    <w:rsid w:val="00602B58"/>
    <w:rsid w:val="00602BE5"/>
    <w:rsid w:val="00603347"/>
    <w:rsid w:val="006034C9"/>
    <w:rsid w:val="00603D2E"/>
    <w:rsid w:val="0060629B"/>
    <w:rsid w:val="00606527"/>
    <w:rsid w:val="006066EC"/>
    <w:rsid w:val="00607358"/>
    <w:rsid w:val="00607BA1"/>
    <w:rsid w:val="00610A88"/>
    <w:rsid w:val="006114F6"/>
    <w:rsid w:val="00611BD7"/>
    <w:rsid w:val="006123D0"/>
    <w:rsid w:val="006128F2"/>
    <w:rsid w:val="00612DD5"/>
    <w:rsid w:val="00613455"/>
    <w:rsid w:val="00613C19"/>
    <w:rsid w:val="0061418E"/>
    <w:rsid w:val="0061419F"/>
    <w:rsid w:val="00616309"/>
    <w:rsid w:val="00617146"/>
    <w:rsid w:val="00621905"/>
    <w:rsid w:val="00622439"/>
    <w:rsid w:val="0062272C"/>
    <w:rsid w:val="00622F29"/>
    <w:rsid w:val="00623572"/>
    <w:rsid w:val="00624464"/>
    <w:rsid w:val="00625394"/>
    <w:rsid w:val="00626833"/>
    <w:rsid w:val="006303D4"/>
    <w:rsid w:val="0063071F"/>
    <w:rsid w:val="0063075F"/>
    <w:rsid w:val="00631912"/>
    <w:rsid w:val="00631C2D"/>
    <w:rsid w:val="00632890"/>
    <w:rsid w:val="00632C62"/>
    <w:rsid w:val="00633232"/>
    <w:rsid w:val="006340F5"/>
    <w:rsid w:val="00634C40"/>
    <w:rsid w:val="006357ED"/>
    <w:rsid w:val="006358D1"/>
    <w:rsid w:val="00635A0A"/>
    <w:rsid w:val="00635CEA"/>
    <w:rsid w:val="00636622"/>
    <w:rsid w:val="00636EE2"/>
    <w:rsid w:val="006370A1"/>
    <w:rsid w:val="006371F1"/>
    <w:rsid w:val="00637980"/>
    <w:rsid w:val="006379A5"/>
    <w:rsid w:val="00637B5F"/>
    <w:rsid w:val="006404C8"/>
    <w:rsid w:val="006410CF"/>
    <w:rsid w:val="00641247"/>
    <w:rsid w:val="00641423"/>
    <w:rsid w:val="006414E2"/>
    <w:rsid w:val="006419A2"/>
    <w:rsid w:val="00641F3C"/>
    <w:rsid w:val="0064276C"/>
    <w:rsid w:val="0064341E"/>
    <w:rsid w:val="006436B7"/>
    <w:rsid w:val="00644039"/>
    <w:rsid w:val="00644ED2"/>
    <w:rsid w:val="00644F73"/>
    <w:rsid w:val="006450D3"/>
    <w:rsid w:val="006452F2"/>
    <w:rsid w:val="00645899"/>
    <w:rsid w:val="00645A96"/>
    <w:rsid w:val="00645A9F"/>
    <w:rsid w:val="00646089"/>
    <w:rsid w:val="00646781"/>
    <w:rsid w:val="00646880"/>
    <w:rsid w:val="00650440"/>
    <w:rsid w:val="00650A00"/>
    <w:rsid w:val="00650DC4"/>
    <w:rsid w:val="00650EB3"/>
    <w:rsid w:val="0065140F"/>
    <w:rsid w:val="00651FEB"/>
    <w:rsid w:val="00652651"/>
    <w:rsid w:val="00652B5E"/>
    <w:rsid w:val="00652E36"/>
    <w:rsid w:val="006530F2"/>
    <w:rsid w:val="006542AD"/>
    <w:rsid w:val="00654DDE"/>
    <w:rsid w:val="006550DB"/>
    <w:rsid w:val="0065566C"/>
    <w:rsid w:val="006556E5"/>
    <w:rsid w:val="006556F3"/>
    <w:rsid w:val="00655B5B"/>
    <w:rsid w:val="0065625B"/>
    <w:rsid w:val="00657372"/>
    <w:rsid w:val="006577D5"/>
    <w:rsid w:val="00657FAB"/>
    <w:rsid w:val="0066084E"/>
    <w:rsid w:val="006609CF"/>
    <w:rsid w:val="006615CC"/>
    <w:rsid w:val="006617EC"/>
    <w:rsid w:val="00661A8F"/>
    <w:rsid w:val="00661FDD"/>
    <w:rsid w:val="00662415"/>
    <w:rsid w:val="00664059"/>
    <w:rsid w:val="0066453B"/>
    <w:rsid w:val="00664C04"/>
    <w:rsid w:val="00665154"/>
    <w:rsid w:val="006668BB"/>
    <w:rsid w:val="00666C16"/>
    <w:rsid w:val="00666CA4"/>
    <w:rsid w:val="00666FE4"/>
    <w:rsid w:val="00667085"/>
    <w:rsid w:val="006674D0"/>
    <w:rsid w:val="00667804"/>
    <w:rsid w:val="0066781D"/>
    <w:rsid w:val="0066788C"/>
    <w:rsid w:val="00667B38"/>
    <w:rsid w:val="00667C5F"/>
    <w:rsid w:val="00667CBF"/>
    <w:rsid w:val="00670413"/>
    <w:rsid w:val="0067043A"/>
    <w:rsid w:val="00670C26"/>
    <w:rsid w:val="0067112E"/>
    <w:rsid w:val="00671ADB"/>
    <w:rsid w:val="00671E6E"/>
    <w:rsid w:val="006720C4"/>
    <w:rsid w:val="00672208"/>
    <w:rsid w:val="00672478"/>
    <w:rsid w:val="00672506"/>
    <w:rsid w:val="00672A16"/>
    <w:rsid w:val="00673740"/>
    <w:rsid w:val="00673AD5"/>
    <w:rsid w:val="00673D24"/>
    <w:rsid w:val="00673FF1"/>
    <w:rsid w:val="006745B9"/>
    <w:rsid w:val="0067476C"/>
    <w:rsid w:val="00674EB4"/>
    <w:rsid w:val="00675987"/>
    <w:rsid w:val="006761C2"/>
    <w:rsid w:val="006763CE"/>
    <w:rsid w:val="00676C1D"/>
    <w:rsid w:val="00680592"/>
    <w:rsid w:val="00680946"/>
    <w:rsid w:val="00680A23"/>
    <w:rsid w:val="00680ED8"/>
    <w:rsid w:val="00680F35"/>
    <w:rsid w:val="00681382"/>
    <w:rsid w:val="00681827"/>
    <w:rsid w:val="00682407"/>
    <w:rsid w:val="00682EA7"/>
    <w:rsid w:val="006830F7"/>
    <w:rsid w:val="006831FA"/>
    <w:rsid w:val="0068371E"/>
    <w:rsid w:val="00683A8C"/>
    <w:rsid w:val="00683CE7"/>
    <w:rsid w:val="00683F5C"/>
    <w:rsid w:val="006857B2"/>
    <w:rsid w:val="006857ED"/>
    <w:rsid w:val="00685950"/>
    <w:rsid w:val="00685ABF"/>
    <w:rsid w:val="00685C44"/>
    <w:rsid w:val="00686836"/>
    <w:rsid w:val="006871AF"/>
    <w:rsid w:val="00690866"/>
    <w:rsid w:val="00690E0C"/>
    <w:rsid w:val="00690FDF"/>
    <w:rsid w:val="00691732"/>
    <w:rsid w:val="00691D36"/>
    <w:rsid w:val="00693B7B"/>
    <w:rsid w:val="00693C34"/>
    <w:rsid w:val="0069560A"/>
    <w:rsid w:val="006957AE"/>
    <w:rsid w:val="0069732B"/>
    <w:rsid w:val="00697CEC"/>
    <w:rsid w:val="00697F8F"/>
    <w:rsid w:val="006A05A0"/>
    <w:rsid w:val="006A0B5A"/>
    <w:rsid w:val="006A0F46"/>
    <w:rsid w:val="006A21C6"/>
    <w:rsid w:val="006A26E1"/>
    <w:rsid w:val="006A2CF4"/>
    <w:rsid w:val="006A2EE7"/>
    <w:rsid w:val="006A313B"/>
    <w:rsid w:val="006A39C7"/>
    <w:rsid w:val="006A3A6D"/>
    <w:rsid w:val="006A3C26"/>
    <w:rsid w:val="006A4635"/>
    <w:rsid w:val="006A4A67"/>
    <w:rsid w:val="006A4C9F"/>
    <w:rsid w:val="006A50F8"/>
    <w:rsid w:val="006A5728"/>
    <w:rsid w:val="006A5958"/>
    <w:rsid w:val="006A6D93"/>
    <w:rsid w:val="006A6FAA"/>
    <w:rsid w:val="006A7130"/>
    <w:rsid w:val="006A7D07"/>
    <w:rsid w:val="006A7D24"/>
    <w:rsid w:val="006B0A47"/>
    <w:rsid w:val="006B1641"/>
    <w:rsid w:val="006B26CD"/>
    <w:rsid w:val="006B2B5B"/>
    <w:rsid w:val="006B3B15"/>
    <w:rsid w:val="006B3BBA"/>
    <w:rsid w:val="006B41AA"/>
    <w:rsid w:val="006B448F"/>
    <w:rsid w:val="006B4C51"/>
    <w:rsid w:val="006B5C55"/>
    <w:rsid w:val="006B6138"/>
    <w:rsid w:val="006B6552"/>
    <w:rsid w:val="006B66FE"/>
    <w:rsid w:val="006B6BFB"/>
    <w:rsid w:val="006B6C83"/>
    <w:rsid w:val="006B6CAA"/>
    <w:rsid w:val="006B6EA4"/>
    <w:rsid w:val="006B7660"/>
    <w:rsid w:val="006B7973"/>
    <w:rsid w:val="006B7B58"/>
    <w:rsid w:val="006B7F1E"/>
    <w:rsid w:val="006C0FE2"/>
    <w:rsid w:val="006C0FF7"/>
    <w:rsid w:val="006C1250"/>
    <w:rsid w:val="006C1EEE"/>
    <w:rsid w:val="006C2DFC"/>
    <w:rsid w:val="006C2E3C"/>
    <w:rsid w:val="006C30DC"/>
    <w:rsid w:val="006C3DDD"/>
    <w:rsid w:val="006C3FA8"/>
    <w:rsid w:val="006C4B97"/>
    <w:rsid w:val="006C4BA9"/>
    <w:rsid w:val="006C53C9"/>
    <w:rsid w:val="006C54B2"/>
    <w:rsid w:val="006C57DC"/>
    <w:rsid w:val="006C5CB7"/>
    <w:rsid w:val="006C60CB"/>
    <w:rsid w:val="006C7215"/>
    <w:rsid w:val="006C76DE"/>
    <w:rsid w:val="006C77C9"/>
    <w:rsid w:val="006C795F"/>
    <w:rsid w:val="006D140A"/>
    <w:rsid w:val="006D168C"/>
    <w:rsid w:val="006D24CC"/>
    <w:rsid w:val="006D2DAF"/>
    <w:rsid w:val="006D3026"/>
    <w:rsid w:val="006D3F65"/>
    <w:rsid w:val="006D4953"/>
    <w:rsid w:val="006D4E38"/>
    <w:rsid w:val="006D522A"/>
    <w:rsid w:val="006D5E18"/>
    <w:rsid w:val="006D5EEC"/>
    <w:rsid w:val="006D68CA"/>
    <w:rsid w:val="006D6C04"/>
    <w:rsid w:val="006E01A9"/>
    <w:rsid w:val="006E05CB"/>
    <w:rsid w:val="006E1154"/>
    <w:rsid w:val="006E1629"/>
    <w:rsid w:val="006E1AC1"/>
    <w:rsid w:val="006E1C0F"/>
    <w:rsid w:val="006E292F"/>
    <w:rsid w:val="006E31F0"/>
    <w:rsid w:val="006E3539"/>
    <w:rsid w:val="006E3C9E"/>
    <w:rsid w:val="006E3EE0"/>
    <w:rsid w:val="006E48D6"/>
    <w:rsid w:val="006E5567"/>
    <w:rsid w:val="006E55F3"/>
    <w:rsid w:val="006E5845"/>
    <w:rsid w:val="006E5B49"/>
    <w:rsid w:val="006E681F"/>
    <w:rsid w:val="006E7E41"/>
    <w:rsid w:val="006F00B6"/>
    <w:rsid w:val="006F0489"/>
    <w:rsid w:val="006F12A0"/>
    <w:rsid w:val="006F1C20"/>
    <w:rsid w:val="006F4731"/>
    <w:rsid w:val="006F5622"/>
    <w:rsid w:val="006F5AE5"/>
    <w:rsid w:val="006F6E77"/>
    <w:rsid w:val="006F73D1"/>
    <w:rsid w:val="00700076"/>
    <w:rsid w:val="00700B9D"/>
    <w:rsid w:val="00700D52"/>
    <w:rsid w:val="007011C0"/>
    <w:rsid w:val="0070175D"/>
    <w:rsid w:val="007018FD"/>
    <w:rsid w:val="00701C29"/>
    <w:rsid w:val="00701ED9"/>
    <w:rsid w:val="007020AD"/>
    <w:rsid w:val="007024B3"/>
    <w:rsid w:val="00702FBF"/>
    <w:rsid w:val="00702FFC"/>
    <w:rsid w:val="00703181"/>
    <w:rsid w:val="00703907"/>
    <w:rsid w:val="00703C42"/>
    <w:rsid w:val="0070449D"/>
    <w:rsid w:val="00704D2B"/>
    <w:rsid w:val="00705325"/>
    <w:rsid w:val="007056E0"/>
    <w:rsid w:val="00705EAC"/>
    <w:rsid w:val="00706E79"/>
    <w:rsid w:val="0070786D"/>
    <w:rsid w:val="00707ACF"/>
    <w:rsid w:val="00710676"/>
    <w:rsid w:val="0071185D"/>
    <w:rsid w:val="007130F7"/>
    <w:rsid w:val="0071336B"/>
    <w:rsid w:val="007142AB"/>
    <w:rsid w:val="00714325"/>
    <w:rsid w:val="0071538A"/>
    <w:rsid w:val="00716C5E"/>
    <w:rsid w:val="00716E85"/>
    <w:rsid w:val="00717B18"/>
    <w:rsid w:val="00717DF7"/>
    <w:rsid w:val="0072022A"/>
    <w:rsid w:val="00721A3B"/>
    <w:rsid w:val="00722161"/>
    <w:rsid w:val="00722CE6"/>
    <w:rsid w:val="0072307D"/>
    <w:rsid w:val="00723696"/>
    <w:rsid w:val="00723EE6"/>
    <w:rsid w:val="0072407F"/>
    <w:rsid w:val="00724BB2"/>
    <w:rsid w:val="007266CB"/>
    <w:rsid w:val="00726D6B"/>
    <w:rsid w:val="00727602"/>
    <w:rsid w:val="00727AE2"/>
    <w:rsid w:val="00731664"/>
    <w:rsid w:val="00731867"/>
    <w:rsid w:val="0073209F"/>
    <w:rsid w:val="00732167"/>
    <w:rsid w:val="00732724"/>
    <w:rsid w:val="0073288B"/>
    <w:rsid w:val="00733119"/>
    <w:rsid w:val="007335F1"/>
    <w:rsid w:val="0073366D"/>
    <w:rsid w:val="00734233"/>
    <w:rsid w:val="00734CC0"/>
    <w:rsid w:val="00734F54"/>
    <w:rsid w:val="00736B3E"/>
    <w:rsid w:val="00736B5E"/>
    <w:rsid w:val="0073738D"/>
    <w:rsid w:val="007374BA"/>
    <w:rsid w:val="007378AA"/>
    <w:rsid w:val="00737AAC"/>
    <w:rsid w:val="00737B7E"/>
    <w:rsid w:val="00737CCF"/>
    <w:rsid w:val="00737CE1"/>
    <w:rsid w:val="00737E15"/>
    <w:rsid w:val="00740375"/>
    <w:rsid w:val="00740494"/>
    <w:rsid w:val="00740673"/>
    <w:rsid w:val="00740CE5"/>
    <w:rsid w:val="007415B1"/>
    <w:rsid w:val="00741966"/>
    <w:rsid w:val="00741AB1"/>
    <w:rsid w:val="00741CAD"/>
    <w:rsid w:val="00742D35"/>
    <w:rsid w:val="007455CB"/>
    <w:rsid w:val="00745CF9"/>
    <w:rsid w:val="00746194"/>
    <w:rsid w:val="0074682D"/>
    <w:rsid w:val="00747409"/>
    <w:rsid w:val="00747562"/>
    <w:rsid w:val="007475C4"/>
    <w:rsid w:val="00747672"/>
    <w:rsid w:val="00747DBE"/>
    <w:rsid w:val="0075029B"/>
    <w:rsid w:val="00751298"/>
    <w:rsid w:val="00751813"/>
    <w:rsid w:val="00751AAA"/>
    <w:rsid w:val="00752170"/>
    <w:rsid w:val="00752B28"/>
    <w:rsid w:val="00752C89"/>
    <w:rsid w:val="00753B99"/>
    <w:rsid w:val="00754468"/>
    <w:rsid w:val="0075447B"/>
    <w:rsid w:val="00754C13"/>
    <w:rsid w:val="00754DA3"/>
    <w:rsid w:val="00755D74"/>
    <w:rsid w:val="007567E3"/>
    <w:rsid w:val="00756958"/>
    <w:rsid w:val="00756C44"/>
    <w:rsid w:val="00757757"/>
    <w:rsid w:val="007604BA"/>
    <w:rsid w:val="007613D6"/>
    <w:rsid w:val="00761847"/>
    <w:rsid w:val="00762914"/>
    <w:rsid w:val="00763B0C"/>
    <w:rsid w:val="00763DFF"/>
    <w:rsid w:val="00764A35"/>
    <w:rsid w:val="00764C3D"/>
    <w:rsid w:val="00764CA3"/>
    <w:rsid w:val="00765202"/>
    <w:rsid w:val="0076535E"/>
    <w:rsid w:val="007653BE"/>
    <w:rsid w:val="0076634A"/>
    <w:rsid w:val="00767741"/>
    <w:rsid w:val="00767870"/>
    <w:rsid w:val="00767A27"/>
    <w:rsid w:val="00767E7F"/>
    <w:rsid w:val="00767FCA"/>
    <w:rsid w:val="0077007C"/>
    <w:rsid w:val="007708CC"/>
    <w:rsid w:val="007709F5"/>
    <w:rsid w:val="00770FB9"/>
    <w:rsid w:val="00771446"/>
    <w:rsid w:val="00771760"/>
    <w:rsid w:val="00772DE1"/>
    <w:rsid w:val="007737B6"/>
    <w:rsid w:val="00773B55"/>
    <w:rsid w:val="007740C3"/>
    <w:rsid w:val="007742B7"/>
    <w:rsid w:val="00774B31"/>
    <w:rsid w:val="00775636"/>
    <w:rsid w:val="0077574A"/>
    <w:rsid w:val="00775886"/>
    <w:rsid w:val="007763CF"/>
    <w:rsid w:val="00776510"/>
    <w:rsid w:val="00777A51"/>
    <w:rsid w:val="007800E4"/>
    <w:rsid w:val="007813AB"/>
    <w:rsid w:val="007817D4"/>
    <w:rsid w:val="0078186F"/>
    <w:rsid w:val="00781E02"/>
    <w:rsid w:val="00782C56"/>
    <w:rsid w:val="00783302"/>
    <w:rsid w:val="00784D18"/>
    <w:rsid w:val="00785248"/>
    <w:rsid w:val="00785268"/>
    <w:rsid w:val="007852B2"/>
    <w:rsid w:val="00785865"/>
    <w:rsid w:val="0078749A"/>
    <w:rsid w:val="00787E79"/>
    <w:rsid w:val="0079042A"/>
    <w:rsid w:val="0079117D"/>
    <w:rsid w:val="0079145C"/>
    <w:rsid w:val="0079166A"/>
    <w:rsid w:val="00791723"/>
    <w:rsid w:val="00792256"/>
    <w:rsid w:val="00792276"/>
    <w:rsid w:val="00792BDD"/>
    <w:rsid w:val="0079301B"/>
    <w:rsid w:val="007941AD"/>
    <w:rsid w:val="00794324"/>
    <w:rsid w:val="007949FF"/>
    <w:rsid w:val="00795699"/>
    <w:rsid w:val="0079577E"/>
    <w:rsid w:val="007957C2"/>
    <w:rsid w:val="00795EB0"/>
    <w:rsid w:val="00795EF9"/>
    <w:rsid w:val="00797BF2"/>
    <w:rsid w:val="007A006F"/>
    <w:rsid w:val="007A0924"/>
    <w:rsid w:val="007A0AF6"/>
    <w:rsid w:val="007A0BEB"/>
    <w:rsid w:val="007A248A"/>
    <w:rsid w:val="007A2E0E"/>
    <w:rsid w:val="007A30BB"/>
    <w:rsid w:val="007A5AA3"/>
    <w:rsid w:val="007A629B"/>
    <w:rsid w:val="007A64DC"/>
    <w:rsid w:val="007A674C"/>
    <w:rsid w:val="007A688D"/>
    <w:rsid w:val="007A704E"/>
    <w:rsid w:val="007A7610"/>
    <w:rsid w:val="007B06BD"/>
    <w:rsid w:val="007B0A42"/>
    <w:rsid w:val="007B0F4F"/>
    <w:rsid w:val="007B1FE4"/>
    <w:rsid w:val="007B20ED"/>
    <w:rsid w:val="007B2C9A"/>
    <w:rsid w:val="007B2FF0"/>
    <w:rsid w:val="007B2FFB"/>
    <w:rsid w:val="007B418F"/>
    <w:rsid w:val="007B47AD"/>
    <w:rsid w:val="007B47FC"/>
    <w:rsid w:val="007B4B27"/>
    <w:rsid w:val="007B505F"/>
    <w:rsid w:val="007B55AD"/>
    <w:rsid w:val="007B5BE7"/>
    <w:rsid w:val="007B6618"/>
    <w:rsid w:val="007B73FA"/>
    <w:rsid w:val="007B7B6C"/>
    <w:rsid w:val="007C01D2"/>
    <w:rsid w:val="007C0563"/>
    <w:rsid w:val="007C1104"/>
    <w:rsid w:val="007C15F6"/>
    <w:rsid w:val="007C1644"/>
    <w:rsid w:val="007C1749"/>
    <w:rsid w:val="007C24D5"/>
    <w:rsid w:val="007C2D25"/>
    <w:rsid w:val="007C2F15"/>
    <w:rsid w:val="007C34A0"/>
    <w:rsid w:val="007C3F7F"/>
    <w:rsid w:val="007C4B6D"/>
    <w:rsid w:val="007C4F08"/>
    <w:rsid w:val="007C5116"/>
    <w:rsid w:val="007C5797"/>
    <w:rsid w:val="007C5EED"/>
    <w:rsid w:val="007C73DE"/>
    <w:rsid w:val="007C79DB"/>
    <w:rsid w:val="007D0460"/>
    <w:rsid w:val="007D07D6"/>
    <w:rsid w:val="007D0BB8"/>
    <w:rsid w:val="007D1521"/>
    <w:rsid w:val="007D2464"/>
    <w:rsid w:val="007D2B78"/>
    <w:rsid w:val="007D2E0C"/>
    <w:rsid w:val="007D2E61"/>
    <w:rsid w:val="007D3448"/>
    <w:rsid w:val="007D3731"/>
    <w:rsid w:val="007D513B"/>
    <w:rsid w:val="007D52CE"/>
    <w:rsid w:val="007D5A8B"/>
    <w:rsid w:val="007D647B"/>
    <w:rsid w:val="007D6558"/>
    <w:rsid w:val="007D74F1"/>
    <w:rsid w:val="007D7C66"/>
    <w:rsid w:val="007E0037"/>
    <w:rsid w:val="007E0EA8"/>
    <w:rsid w:val="007E185C"/>
    <w:rsid w:val="007E1AAC"/>
    <w:rsid w:val="007E20CE"/>
    <w:rsid w:val="007E2452"/>
    <w:rsid w:val="007E2CCA"/>
    <w:rsid w:val="007E2D5C"/>
    <w:rsid w:val="007E38B1"/>
    <w:rsid w:val="007E3E9E"/>
    <w:rsid w:val="007E4437"/>
    <w:rsid w:val="007E4545"/>
    <w:rsid w:val="007E499E"/>
    <w:rsid w:val="007E6389"/>
    <w:rsid w:val="007E6A74"/>
    <w:rsid w:val="007E6C3F"/>
    <w:rsid w:val="007E7955"/>
    <w:rsid w:val="007E7CEB"/>
    <w:rsid w:val="007F005F"/>
    <w:rsid w:val="007F1ACE"/>
    <w:rsid w:val="007F2597"/>
    <w:rsid w:val="007F2DD2"/>
    <w:rsid w:val="007F2F30"/>
    <w:rsid w:val="007F32E6"/>
    <w:rsid w:val="007F3E8A"/>
    <w:rsid w:val="007F49FF"/>
    <w:rsid w:val="007F53E6"/>
    <w:rsid w:val="007F5B33"/>
    <w:rsid w:val="007F5C81"/>
    <w:rsid w:val="007F6598"/>
    <w:rsid w:val="007F6929"/>
    <w:rsid w:val="007F6933"/>
    <w:rsid w:val="0080016B"/>
    <w:rsid w:val="008002CE"/>
    <w:rsid w:val="00800B56"/>
    <w:rsid w:val="00801D9A"/>
    <w:rsid w:val="008023D5"/>
    <w:rsid w:val="008027A5"/>
    <w:rsid w:val="0080370E"/>
    <w:rsid w:val="00803F8D"/>
    <w:rsid w:val="00804829"/>
    <w:rsid w:val="0080524E"/>
    <w:rsid w:val="00805DEE"/>
    <w:rsid w:val="00806FA3"/>
    <w:rsid w:val="008070E5"/>
    <w:rsid w:val="0080772B"/>
    <w:rsid w:val="00807B95"/>
    <w:rsid w:val="008104DA"/>
    <w:rsid w:val="00810D86"/>
    <w:rsid w:val="0081177D"/>
    <w:rsid w:val="00811B0E"/>
    <w:rsid w:val="008123A3"/>
    <w:rsid w:val="0081246F"/>
    <w:rsid w:val="00812833"/>
    <w:rsid w:val="0081313D"/>
    <w:rsid w:val="00813F78"/>
    <w:rsid w:val="008144B6"/>
    <w:rsid w:val="0081454D"/>
    <w:rsid w:val="00814693"/>
    <w:rsid w:val="00814999"/>
    <w:rsid w:val="00814CE5"/>
    <w:rsid w:val="00815865"/>
    <w:rsid w:val="0081589D"/>
    <w:rsid w:val="00815A5A"/>
    <w:rsid w:val="00815D2F"/>
    <w:rsid w:val="00817DEC"/>
    <w:rsid w:val="00817E0C"/>
    <w:rsid w:val="00817F22"/>
    <w:rsid w:val="00821AB6"/>
    <w:rsid w:val="0082212F"/>
    <w:rsid w:val="00822160"/>
    <w:rsid w:val="00822616"/>
    <w:rsid w:val="00822808"/>
    <w:rsid w:val="00822BA0"/>
    <w:rsid w:val="00823436"/>
    <w:rsid w:val="00823CD8"/>
    <w:rsid w:val="00824837"/>
    <w:rsid w:val="00824FFA"/>
    <w:rsid w:val="008255AD"/>
    <w:rsid w:val="008257D3"/>
    <w:rsid w:val="008258E3"/>
    <w:rsid w:val="00825DD6"/>
    <w:rsid w:val="00825FE7"/>
    <w:rsid w:val="008265FA"/>
    <w:rsid w:val="0082731D"/>
    <w:rsid w:val="0082737F"/>
    <w:rsid w:val="00827A61"/>
    <w:rsid w:val="008302B4"/>
    <w:rsid w:val="00830DFF"/>
    <w:rsid w:val="0083177B"/>
    <w:rsid w:val="0083222B"/>
    <w:rsid w:val="0083347E"/>
    <w:rsid w:val="008340B4"/>
    <w:rsid w:val="00834F09"/>
    <w:rsid w:val="00835989"/>
    <w:rsid w:val="00835C53"/>
    <w:rsid w:val="00835F57"/>
    <w:rsid w:val="008360B8"/>
    <w:rsid w:val="0083682A"/>
    <w:rsid w:val="00836892"/>
    <w:rsid w:val="00836A03"/>
    <w:rsid w:val="00836AB6"/>
    <w:rsid w:val="00836E67"/>
    <w:rsid w:val="00837533"/>
    <w:rsid w:val="00837FCD"/>
    <w:rsid w:val="00837FED"/>
    <w:rsid w:val="008407E3"/>
    <w:rsid w:val="00841AF8"/>
    <w:rsid w:val="00842266"/>
    <w:rsid w:val="00842445"/>
    <w:rsid w:val="00842E27"/>
    <w:rsid w:val="008434E2"/>
    <w:rsid w:val="008437AB"/>
    <w:rsid w:val="008439AF"/>
    <w:rsid w:val="00843FE0"/>
    <w:rsid w:val="008447E0"/>
    <w:rsid w:val="00844842"/>
    <w:rsid w:val="00844FBE"/>
    <w:rsid w:val="0084579D"/>
    <w:rsid w:val="00846102"/>
    <w:rsid w:val="008464B9"/>
    <w:rsid w:val="00850D3B"/>
    <w:rsid w:val="008511A0"/>
    <w:rsid w:val="00851A54"/>
    <w:rsid w:val="00852339"/>
    <w:rsid w:val="008527C7"/>
    <w:rsid w:val="00852C8E"/>
    <w:rsid w:val="0085358A"/>
    <w:rsid w:val="00853D24"/>
    <w:rsid w:val="00854D1A"/>
    <w:rsid w:val="0085515E"/>
    <w:rsid w:val="008551E3"/>
    <w:rsid w:val="00855791"/>
    <w:rsid w:val="00855B38"/>
    <w:rsid w:val="008566E4"/>
    <w:rsid w:val="00857E6B"/>
    <w:rsid w:val="0086007F"/>
    <w:rsid w:val="00860253"/>
    <w:rsid w:val="00860FE5"/>
    <w:rsid w:val="00861CFB"/>
    <w:rsid w:val="00861DE0"/>
    <w:rsid w:val="00862790"/>
    <w:rsid w:val="00862809"/>
    <w:rsid w:val="008629D3"/>
    <w:rsid w:val="0086308A"/>
    <w:rsid w:val="00864B79"/>
    <w:rsid w:val="00866B81"/>
    <w:rsid w:val="00866E07"/>
    <w:rsid w:val="00866FC8"/>
    <w:rsid w:val="00867313"/>
    <w:rsid w:val="00870111"/>
    <w:rsid w:val="00870DFE"/>
    <w:rsid w:val="00872892"/>
    <w:rsid w:val="00872D82"/>
    <w:rsid w:val="008747BD"/>
    <w:rsid w:val="00874A01"/>
    <w:rsid w:val="00874CEA"/>
    <w:rsid w:val="00874D72"/>
    <w:rsid w:val="00874F38"/>
    <w:rsid w:val="0087561C"/>
    <w:rsid w:val="00875789"/>
    <w:rsid w:val="00875D43"/>
    <w:rsid w:val="00877056"/>
    <w:rsid w:val="008770E7"/>
    <w:rsid w:val="008775D9"/>
    <w:rsid w:val="00877ACA"/>
    <w:rsid w:val="00880707"/>
    <w:rsid w:val="00882498"/>
    <w:rsid w:val="008828E8"/>
    <w:rsid w:val="00882908"/>
    <w:rsid w:val="008829DE"/>
    <w:rsid w:val="00882C20"/>
    <w:rsid w:val="00882DEC"/>
    <w:rsid w:val="0088393F"/>
    <w:rsid w:val="008842C7"/>
    <w:rsid w:val="00885832"/>
    <w:rsid w:val="00886869"/>
    <w:rsid w:val="00886896"/>
    <w:rsid w:val="00886CBD"/>
    <w:rsid w:val="0088748C"/>
    <w:rsid w:val="00891E19"/>
    <w:rsid w:val="00892344"/>
    <w:rsid w:val="008928EB"/>
    <w:rsid w:val="00892C53"/>
    <w:rsid w:val="00892D9A"/>
    <w:rsid w:val="008932CD"/>
    <w:rsid w:val="00893396"/>
    <w:rsid w:val="00893CFA"/>
    <w:rsid w:val="008943A4"/>
    <w:rsid w:val="00894905"/>
    <w:rsid w:val="00895389"/>
    <w:rsid w:val="00895749"/>
    <w:rsid w:val="00896785"/>
    <w:rsid w:val="00896CB1"/>
    <w:rsid w:val="008973B7"/>
    <w:rsid w:val="00897A57"/>
    <w:rsid w:val="00897C0E"/>
    <w:rsid w:val="008A1073"/>
    <w:rsid w:val="008A1FC7"/>
    <w:rsid w:val="008A38BC"/>
    <w:rsid w:val="008A3960"/>
    <w:rsid w:val="008A39F5"/>
    <w:rsid w:val="008A41C9"/>
    <w:rsid w:val="008A421F"/>
    <w:rsid w:val="008A505D"/>
    <w:rsid w:val="008A59B7"/>
    <w:rsid w:val="008A67BB"/>
    <w:rsid w:val="008A6FA8"/>
    <w:rsid w:val="008A7405"/>
    <w:rsid w:val="008A7FF6"/>
    <w:rsid w:val="008B0387"/>
    <w:rsid w:val="008B0A8E"/>
    <w:rsid w:val="008B0B85"/>
    <w:rsid w:val="008B119B"/>
    <w:rsid w:val="008B19AB"/>
    <w:rsid w:val="008B23C0"/>
    <w:rsid w:val="008B30F9"/>
    <w:rsid w:val="008B4A79"/>
    <w:rsid w:val="008B5C21"/>
    <w:rsid w:val="008B5CA8"/>
    <w:rsid w:val="008B6388"/>
    <w:rsid w:val="008B7DDD"/>
    <w:rsid w:val="008C099D"/>
    <w:rsid w:val="008C0C38"/>
    <w:rsid w:val="008C0E42"/>
    <w:rsid w:val="008C0EA1"/>
    <w:rsid w:val="008C1057"/>
    <w:rsid w:val="008C1DE1"/>
    <w:rsid w:val="008C2B3B"/>
    <w:rsid w:val="008C2FA8"/>
    <w:rsid w:val="008C3CCF"/>
    <w:rsid w:val="008C3CD7"/>
    <w:rsid w:val="008C3F71"/>
    <w:rsid w:val="008C4369"/>
    <w:rsid w:val="008C484D"/>
    <w:rsid w:val="008C4E02"/>
    <w:rsid w:val="008C55AD"/>
    <w:rsid w:val="008C5E45"/>
    <w:rsid w:val="008C68B6"/>
    <w:rsid w:val="008C75CC"/>
    <w:rsid w:val="008C78D8"/>
    <w:rsid w:val="008C7E81"/>
    <w:rsid w:val="008D0371"/>
    <w:rsid w:val="008D0B1D"/>
    <w:rsid w:val="008D1899"/>
    <w:rsid w:val="008D25D8"/>
    <w:rsid w:val="008D32E7"/>
    <w:rsid w:val="008D4CC7"/>
    <w:rsid w:val="008D50A9"/>
    <w:rsid w:val="008D5F66"/>
    <w:rsid w:val="008D608B"/>
    <w:rsid w:val="008D66AA"/>
    <w:rsid w:val="008D699C"/>
    <w:rsid w:val="008D73EB"/>
    <w:rsid w:val="008E02D1"/>
    <w:rsid w:val="008E0ECA"/>
    <w:rsid w:val="008E178E"/>
    <w:rsid w:val="008E21E6"/>
    <w:rsid w:val="008E2BB9"/>
    <w:rsid w:val="008E2C2D"/>
    <w:rsid w:val="008E2C53"/>
    <w:rsid w:val="008E3377"/>
    <w:rsid w:val="008E3398"/>
    <w:rsid w:val="008E3886"/>
    <w:rsid w:val="008E3F96"/>
    <w:rsid w:val="008E42E5"/>
    <w:rsid w:val="008E4B01"/>
    <w:rsid w:val="008E53EA"/>
    <w:rsid w:val="008E61F4"/>
    <w:rsid w:val="008E6D0E"/>
    <w:rsid w:val="008E6E6A"/>
    <w:rsid w:val="008E747C"/>
    <w:rsid w:val="008E7C03"/>
    <w:rsid w:val="008E7C10"/>
    <w:rsid w:val="008F05C1"/>
    <w:rsid w:val="008F1F52"/>
    <w:rsid w:val="008F2FA9"/>
    <w:rsid w:val="008F30F8"/>
    <w:rsid w:val="008F3E2E"/>
    <w:rsid w:val="008F4120"/>
    <w:rsid w:val="008F44D7"/>
    <w:rsid w:val="008F504C"/>
    <w:rsid w:val="008F5209"/>
    <w:rsid w:val="008F61C9"/>
    <w:rsid w:val="008F714D"/>
    <w:rsid w:val="008F7F0F"/>
    <w:rsid w:val="0090009F"/>
    <w:rsid w:val="0090047C"/>
    <w:rsid w:val="009007EF"/>
    <w:rsid w:val="00900D96"/>
    <w:rsid w:val="00900F1C"/>
    <w:rsid w:val="0090106F"/>
    <w:rsid w:val="00901326"/>
    <w:rsid w:val="009014C0"/>
    <w:rsid w:val="009025A7"/>
    <w:rsid w:val="00902C35"/>
    <w:rsid w:val="00904426"/>
    <w:rsid w:val="00904589"/>
    <w:rsid w:val="00904F6E"/>
    <w:rsid w:val="00905E8C"/>
    <w:rsid w:val="00905EC7"/>
    <w:rsid w:val="00905FBE"/>
    <w:rsid w:val="0090659E"/>
    <w:rsid w:val="00906761"/>
    <w:rsid w:val="00906879"/>
    <w:rsid w:val="009068B3"/>
    <w:rsid w:val="00907874"/>
    <w:rsid w:val="00910152"/>
    <w:rsid w:val="0091031B"/>
    <w:rsid w:val="00910650"/>
    <w:rsid w:val="00910737"/>
    <w:rsid w:val="00912169"/>
    <w:rsid w:val="00912D98"/>
    <w:rsid w:val="00914164"/>
    <w:rsid w:val="00914B08"/>
    <w:rsid w:val="009152A5"/>
    <w:rsid w:val="009153C7"/>
    <w:rsid w:val="00915993"/>
    <w:rsid w:val="00916647"/>
    <w:rsid w:val="00917448"/>
    <w:rsid w:val="00917CBA"/>
    <w:rsid w:val="00920600"/>
    <w:rsid w:val="00920810"/>
    <w:rsid w:val="0092122B"/>
    <w:rsid w:val="00921360"/>
    <w:rsid w:val="00921389"/>
    <w:rsid w:val="009223DF"/>
    <w:rsid w:val="00922575"/>
    <w:rsid w:val="00923726"/>
    <w:rsid w:val="009239F6"/>
    <w:rsid w:val="0092427C"/>
    <w:rsid w:val="00924490"/>
    <w:rsid w:val="00924BD8"/>
    <w:rsid w:val="009255D1"/>
    <w:rsid w:val="00925DD0"/>
    <w:rsid w:val="0092607C"/>
    <w:rsid w:val="0092635C"/>
    <w:rsid w:val="00926739"/>
    <w:rsid w:val="00926937"/>
    <w:rsid w:val="009321AD"/>
    <w:rsid w:val="0093247F"/>
    <w:rsid w:val="00932798"/>
    <w:rsid w:val="00932A23"/>
    <w:rsid w:val="00933221"/>
    <w:rsid w:val="0093500D"/>
    <w:rsid w:val="00936244"/>
    <w:rsid w:val="0093690A"/>
    <w:rsid w:val="0093695B"/>
    <w:rsid w:val="009369F8"/>
    <w:rsid w:val="00936B16"/>
    <w:rsid w:val="00936C24"/>
    <w:rsid w:val="00936D39"/>
    <w:rsid w:val="00936E2A"/>
    <w:rsid w:val="00937499"/>
    <w:rsid w:val="00937B68"/>
    <w:rsid w:val="00940559"/>
    <w:rsid w:val="00942C06"/>
    <w:rsid w:val="00942FD4"/>
    <w:rsid w:val="009432A1"/>
    <w:rsid w:val="00943794"/>
    <w:rsid w:val="00945E61"/>
    <w:rsid w:val="0094602F"/>
    <w:rsid w:val="0094626B"/>
    <w:rsid w:val="009465E3"/>
    <w:rsid w:val="009505EC"/>
    <w:rsid w:val="00950BB8"/>
    <w:rsid w:val="00950BE7"/>
    <w:rsid w:val="00952217"/>
    <w:rsid w:val="009524CC"/>
    <w:rsid w:val="00952E27"/>
    <w:rsid w:val="00952EF5"/>
    <w:rsid w:val="00952FD4"/>
    <w:rsid w:val="0095361D"/>
    <w:rsid w:val="00953BD5"/>
    <w:rsid w:val="009545E5"/>
    <w:rsid w:val="0095599D"/>
    <w:rsid w:val="00955EB1"/>
    <w:rsid w:val="00956B26"/>
    <w:rsid w:val="00956CAC"/>
    <w:rsid w:val="009570F9"/>
    <w:rsid w:val="009574FA"/>
    <w:rsid w:val="009577BC"/>
    <w:rsid w:val="0095780F"/>
    <w:rsid w:val="00957A79"/>
    <w:rsid w:val="00960435"/>
    <w:rsid w:val="00961676"/>
    <w:rsid w:val="009619A3"/>
    <w:rsid w:val="009621D1"/>
    <w:rsid w:val="009626D4"/>
    <w:rsid w:val="00962A97"/>
    <w:rsid w:val="00962F17"/>
    <w:rsid w:val="009631DF"/>
    <w:rsid w:val="00963268"/>
    <w:rsid w:val="00963A23"/>
    <w:rsid w:val="00963BDE"/>
    <w:rsid w:val="00964295"/>
    <w:rsid w:val="00964AD9"/>
    <w:rsid w:val="00964B4A"/>
    <w:rsid w:val="0096554C"/>
    <w:rsid w:val="00965819"/>
    <w:rsid w:val="00965852"/>
    <w:rsid w:val="00966790"/>
    <w:rsid w:val="0096789E"/>
    <w:rsid w:val="009706F6"/>
    <w:rsid w:val="0097092A"/>
    <w:rsid w:val="00970F54"/>
    <w:rsid w:val="0097197F"/>
    <w:rsid w:val="00972DDC"/>
    <w:rsid w:val="0097350A"/>
    <w:rsid w:val="0097429A"/>
    <w:rsid w:val="00974350"/>
    <w:rsid w:val="009744ED"/>
    <w:rsid w:val="009748FC"/>
    <w:rsid w:val="00974A83"/>
    <w:rsid w:val="009755FE"/>
    <w:rsid w:val="00975A25"/>
    <w:rsid w:val="00975A80"/>
    <w:rsid w:val="00977506"/>
    <w:rsid w:val="009776D8"/>
    <w:rsid w:val="00977851"/>
    <w:rsid w:val="00977A04"/>
    <w:rsid w:val="00977E7C"/>
    <w:rsid w:val="00981A47"/>
    <w:rsid w:val="00981B17"/>
    <w:rsid w:val="0098253A"/>
    <w:rsid w:val="0098268A"/>
    <w:rsid w:val="00982834"/>
    <w:rsid w:val="0098437B"/>
    <w:rsid w:val="00985277"/>
    <w:rsid w:val="00985A79"/>
    <w:rsid w:val="00986EBC"/>
    <w:rsid w:val="00986F46"/>
    <w:rsid w:val="00986FCA"/>
    <w:rsid w:val="0098722C"/>
    <w:rsid w:val="00987BAA"/>
    <w:rsid w:val="00987BAF"/>
    <w:rsid w:val="00990746"/>
    <w:rsid w:val="00991175"/>
    <w:rsid w:val="0099170A"/>
    <w:rsid w:val="0099233B"/>
    <w:rsid w:val="00992681"/>
    <w:rsid w:val="00992BE6"/>
    <w:rsid w:val="0099310A"/>
    <w:rsid w:val="00993348"/>
    <w:rsid w:val="009936D0"/>
    <w:rsid w:val="009936E4"/>
    <w:rsid w:val="0099490E"/>
    <w:rsid w:val="00994CFF"/>
    <w:rsid w:val="00994F8E"/>
    <w:rsid w:val="00996164"/>
    <w:rsid w:val="009964A2"/>
    <w:rsid w:val="009967E5"/>
    <w:rsid w:val="00996C35"/>
    <w:rsid w:val="0099745B"/>
    <w:rsid w:val="009974F3"/>
    <w:rsid w:val="0099798D"/>
    <w:rsid w:val="009A0A40"/>
    <w:rsid w:val="009A16B3"/>
    <w:rsid w:val="009A1C86"/>
    <w:rsid w:val="009A2700"/>
    <w:rsid w:val="009A3150"/>
    <w:rsid w:val="009A3436"/>
    <w:rsid w:val="009A3700"/>
    <w:rsid w:val="009A38F7"/>
    <w:rsid w:val="009A40E7"/>
    <w:rsid w:val="009A4246"/>
    <w:rsid w:val="009A44E4"/>
    <w:rsid w:val="009A4C2C"/>
    <w:rsid w:val="009A5EDE"/>
    <w:rsid w:val="009A694A"/>
    <w:rsid w:val="009A6A93"/>
    <w:rsid w:val="009A6ED9"/>
    <w:rsid w:val="009B0DBA"/>
    <w:rsid w:val="009B13C2"/>
    <w:rsid w:val="009B29B1"/>
    <w:rsid w:val="009B3659"/>
    <w:rsid w:val="009B3FEC"/>
    <w:rsid w:val="009B4371"/>
    <w:rsid w:val="009B43DE"/>
    <w:rsid w:val="009B4641"/>
    <w:rsid w:val="009B580D"/>
    <w:rsid w:val="009B6209"/>
    <w:rsid w:val="009B6D66"/>
    <w:rsid w:val="009B7C20"/>
    <w:rsid w:val="009C0CD5"/>
    <w:rsid w:val="009C1085"/>
    <w:rsid w:val="009C1740"/>
    <w:rsid w:val="009C18C6"/>
    <w:rsid w:val="009C1C3C"/>
    <w:rsid w:val="009C2EA1"/>
    <w:rsid w:val="009C35CF"/>
    <w:rsid w:val="009C3E3F"/>
    <w:rsid w:val="009C4237"/>
    <w:rsid w:val="009C435D"/>
    <w:rsid w:val="009C4E34"/>
    <w:rsid w:val="009C5C44"/>
    <w:rsid w:val="009C64C5"/>
    <w:rsid w:val="009C6DF7"/>
    <w:rsid w:val="009C7A2C"/>
    <w:rsid w:val="009D026E"/>
    <w:rsid w:val="009D045D"/>
    <w:rsid w:val="009D0736"/>
    <w:rsid w:val="009D15B9"/>
    <w:rsid w:val="009D19D2"/>
    <w:rsid w:val="009D22AA"/>
    <w:rsid w:val="009D2386"/>
    <w:rsid w:val="009D2C0E"/>
    <w:rsid w:val="009D2FCC"/>
    <w:rsid w:val="009D4260"/>
    <w:rsid w:val="009D477E"/>
    <w:rsid w:val="009D4D65"/>
    <w:rsid w:val="009D54A2"/>
    <w:rsid w:val="009D5542"/>
    <w:rsid w:val="009D5683"/>
    <w:rsid w:val="009D5813"/>
    <w:rsid w:val="009D599E"/>
    <w:rsid w:val="009D7254"/>
    <w:rsid w:val="009D7CC3"/>
    <w:rsid w:val="009E0B9F"/>
    <w:rsid w:val="009E0FB5"/>
    <w:rsid w:val="009E1847"/>
    <w:rsid w:val="009E1B1B"/>
    <w:rsid w:val="009E1BF5"/>
    <w:rsid w:val="009E2134"/>
    <w:rsid w:val="009E21B2"/>
    <w:rsid w:val="009E2C05"/>
    <w:rsid w:val="009E3A1C"/>
    <w:rsid w:val="009E3C72"/>
    <w:rsid w:val="009E4937"/>
    <w:rsid w:val="009E5095"/>
    <w:rsid w:val="009E5504"/>
    <w:rsid w:val="009E5EFE"/>
    <w:rsid w:val="009E6048"/>
    <w:rsid w:val="009E6073"/>
    <w:rsid w:val="009E66CF"/>
    <w:rsid w:val="009E744D"/>
    <w:rsid w:val="009E7FE0"/>
    <w:rsid w:val="009F17DD"/>
    <w:rsid w:val="009F1BB7"/>
    <w:rsid w:val="009F1DBE"/>
    <w:rsid w:val="009F2E0B"/>
    <w:rsid w:val="009F2E73"/>
    <w:rsid w:val="009F36E4"/>
    <w:rsid w:val="009F4567"/>
    <w:rsid w:val="009F456F"/>
    <w:rsid w:val="009F4AC5"/>
    <w:rsid w:val="009F4F0C"/>
    <w:rsid w:val="009F551C"/>
    <w:rsid w:val="009F5703"/>
    <w:rsid w:val="009F6411"/>
    <w:rsid w:val="009F67F3"/>
    <w:rsid w:val="009F7004"/>
    <w:rsid w:val="009F7479"/>
    <w:rsid w:val="009F7BC3"/>
    <w:rsid w:val="00A00D51"/>
    <w:rsid w:val="00A00DC7"/>
    <w:rsid w:val="00A00EB6"/>
    <w:rsid w:val="00A00ED6"/>
    <w:rsid w:val="00A017AE"/>
    <w:rsid w:val="00A01ED5"/>
    <w:rsid w:val="00A0281E"/>
    <w:rsid w:val="00A02DF0"/>
    <w:rsid w:val="00A04512"/>
    <w:rsid w:val="00A04538"/>
    <w:rsid w:val="00A047DF"/>
    <w:rsid w:val="00A049C2"/>
    <w:rsid w:val="00A0500B"/>
    <w:rsid w:val="00A051F7"/>
    <w:rsid w:val="00A07990"/>
    <w:rsid w:val="00A07F05"/>
    <w:rsid w:val="00A10C63"/>
    <w:rsid w:val="00A10C8E"/>
    <w:rsid w:val="00A1175F"/>
    <w:rsid w:val="00A1280C"/>
    <w:rsid w:val="00A1318B"/>
    <w:rsid w:val="00A1385A"/>
    <w:rsid w:val="00A13AB6"/>
    <w:rsid w:val="00A14118"/>
    <w:rsid w:val="00A14FE6"/>
    <w:rsid w:val="00A152C9"/>
    <w:rsid w:val="00A15523"/>
    <w:rsid w:val="00A15576"/>
    <w:rsid w:val="00A16527"/>
    <w:rsid w:val="00A16A3D"/>
    <w:rsid w:val="00A16FC8"/>
    <w:rsid w:val="00A17356"/>
    <w:rsid w:val="00A17A5C"/>
    <w:rsid w:val="00A17B09"/>
    <w:rsid w:val="00A211F3"/>
    <w:rsid w:val="00A21BBB"/>
    <w:rsid w:val="00A22041"/>
    <w:rsid w:val="00A224DA"/>
    <w:rsid w:val="00A22E99"/>
    <w:rsid w:val="00A23168"/>
    <w:rsid w:val="00A23CB7"/>
    <w:rsid w:val="00A24F2A"/>
    <w:rsid w:val="00A250F6"/>
    <w:rsid w:val="00A2520B"/>
    <w:rsid w:val="00A25287"/>
    <w:rsid w:val="00A254BF"/>
    <w:rsid w:val="00A25905"/>
    <w:rsid w:val="00A26A1D"/>
    <w:rsid w:val="00A27AC9"/>
    <w:rsid w:val="00A27FF5"/>
    <w:rsid w:val="00A30960"/>
    <w:rsid w:val="00A314F0"/>
    <w:rsid w:val="00A31706"/>
    <w:rsid w:val="00A31C09"/>
    <w:rsid w:val="00A329DD"/>
    <w:rsid w:val="00A32B69"/>
    <w:rsid w:val="00A32D33"/>
    <w:rsid w:val="00A32F0E"/>
    <w:rsid w:val="00A33180"/>
    <w:rsid w:val="00A33DD5"/>
    <w:rsid w:val="00A3559B"/>
    <w:rsid w:val="00A35AD2"/>
    <w:rsid w:val="00A35DE3"/>
    <w:rsid w:val="00A35F57"/>
    <w:rsid w:val="00A36B75"/>
    <w:rsid w:val="00A36E7C"/>
    <w:rsid w:val="00A37341"/>
    <w:rsid w:val="00A376D0"/>
    <w:rsid w:val="00A37A13"/>
    <w:rsid w:val="00A37A69"/>
    <w:rsid w:val="00A4062E"/>
    <w:rsid w:val="00A40631"/>
    <w:rsid w:val="00A406BF"/>
    <w:rsid w:val="00A408A2"/>
    <w:rsid w:val="00A408C4"/>
    <w:rsid w:val="00A40CC8"/>
    <w:rsid w:val="00A42055"/>
    <w:rsid w:val="00A422D1"/>
    <w:rsid w:val="00A43008"/>
    <w:rsid w:val="00A431B9"/>
    <w:rsid w:val="00A43B62"/>
    <w:rsid w:val="00A44267"/>
    <w:rsid w:val="00A447B5"/>
    <w:rsid w:val="00A45069"/>
    <w:rsid w:val="00A451B7"/>
    <w:rsid w:val="00A463F1"/>
    <w:rsid w:val="00A46895"/>
    <w:rsid w:val="00A46F66"/>
    <w:rsid w:val="00A478AF"/>
    <w:rsid w:val="00A47DE7"/>
    <w:rsid w:val="00A47F9C"/>
    <w:rsid w:val="00A50DBB"/>
    <w:rsid w:val="00A50E7E"/>
    <w:rsid w:val="00A50FCF"/>
    <w:rsid w:val="00A51C0D"/>
    <w:rsid w:val="00A520E6"/>
    <w:rsid w:val="00A52682"/>
    <w:rsid w:val="00A52D40"/>
    <w:rsid w:val="00A52F43"/>
    <w:rsid w:val="00A5321D"/>
    <w:rsid w:val="00A534A7"/>
    <w:rsid w:val="00A534F6"/>
    <w:rsid w:val="00A536AF"/>
    <w:rsid w:val="00A53AB1"/>
    <w:rsid w:val="00A549A7"/>
    <w:rsid w:val="00A54E0D"/>
    <w:rsid w:val="00A552EB"/>
    <w:rsid w:val="00A554FF"/>
    <w:rsid w:val="00A55880"/>
    <w:rsid w:val="00A55BF1"/>
    <w:rsid w:val="00A55D7E"/>
    <w:rsid w:val="00A55FE5"/>
    <w:rsid w:val="00A56160"/>
    <w:rsid w:val="00A5634A"/>
    <w:rsid w:val="00A563A5"/>
    <w:rsid w:val="00A56ADA"/>
    <w:rsid w:val="00A609D6"/>
    <w:rsid w:val="00A61039"/>
    <w:rsid w:val="00A61E9C"/>
    <w:rsid w:val="00A62526"/>
    <w:rsid w:val="00A63123"/>
    <w:rsid w:val="00A63226"/>
    <w:rsid w:val="00A6354A"/>
    <w:rsid w:val="00A63852"/>
    <w:rsid w:val="00A639D5"/>
    <w:rsid w:val="00A64093"/>
    <w:rsid w:val="00A6431E"/>
    <w:rsid w:val="00A649B7"/>
    <w:rsid w:val="00A65162"/>
    <w:rsid w:val="00A65354"/>
    <w:rsid w:val="00A6582E"/>
    <w:rsid w:val="00A6589F"/>
    <w:rsid w:val="00A65E47"/>
    <w:rsid w:val="00A66294"/>
    <w:rsid w:val="00A67781"/>
    <w:rsid w:val="00A679D7"/>
    <w:rsid w:val="00A67EE9"/>
    <w:rsid w:val="00A70472"/>
    <w:rsid w:val="00A705CE"/>
    <w:rsid w:val="00A7189A"/>
    <w:rsid w:val="00A7264C"/>
    <w:rsid w:val="00A72652"/>
    <w:rsid w:val="00A729D2"/>
    <w:rsid w:val="00A73623"/>
    <w:rsid w:val="00A7415E"/>
    <w:rsid w:val="00A7456A"/>
    <w:rsid w:val="00A751AC"/>
    <w:rsid w:val="00A7554E"/>
    <w:rsid w:val="00A769DF"/>
    <w:rsid w:val="00A77021"/>
    <w:rsid w:val="00A771D9"/>
    <w:rsid w:val="00A774FF"/>
    <w:rsid w:val="00A80195"/>
    <w:rsid w:val="00A8058B"/>
    <w:rsid w:val="00A8116E"/>
    <w:rsid w:val="00A81CC9"/>
    <w:rsid w:val="00A82F9A"/>
    <w:rsid w:val="00A83701"/>
    <w:rsid w:val="00A83D06"/>
    <w:rsid w:val="00A847FB"/>
    <w:rsid w:val="00A85424"/>
    <w:rsid w:val="00A854B6"/>
    <w:rsid w:val="00A85C32"/>
    <w:rsid w:val="00A85FCF"/>
    <w:rsid w:val="00A8640A"/>
    <w:rsid w:val="00A9025E"/>
    <w:rsid w:val="00A90776"/>
    <w:rsid w:val="00A90917"/>
    <w:rsid w:val="00A90B6E"/>
    <w:rsid w:val="00A91456"/>
    <w:rsid w:val="00A9162B"/>
    <w:rsid w:val="00A92078"/>
    <w:rsid w:val="00A929A9"/>
    <w:rsid w:val="00A93A59"/>
    <w:rsid w:val="00A946E4"/>
    <w:rsid w:val="00A94AD8"/>
    <w:rsid w:val="00A94D21"/>
    <w:rsid w:val="00A94D53"/>
    <w:rsid w:val="00A952BD"/>
    <w:rsid w:val="00A967A3"/>
    <w:rsid w:val="00A9720E"/>
    <w:rsid w:val="00A97310"/>
    <w:rsid w:val="00A97488"/>
    <w:rsid w:val="00A97B81"/>
    <w:rsid w:val="00A97C14"/>
    <w:rsid w:val="00AA0055"/>
    <w:rsid w:val="00AA1922"/>
    <w:rsid w:val="00AA1F2F"/>
    <w:rsid w:val="00AA29B3"/>
    <w:rsid w:val="00AA2EB3"/>
    <w:rsid w:val="00AA3171"/>
    <w:rsid w:val="00AA34BC"/>
    <w:rsid w:val="00AA4695"/>
    <w:rsid w:val="00AA46F1"/>
    <w:rsid w:val="00AA4EB1"/>
    <w:rsid w:val="00AA5642"/>
    <w:rsid w:val="00AA58F6"/>
    <w:rsid w:val="00AA6721"/>
    <w:rsid w:val="00AA6D6E"/>
    <w:rsid w:val="00AA76B4"/>
    <w:rsid w:val="00AA771E"/>
    <w:rsid w:val="00AA7DB4"/>
    <w:rsid w:val="00AB1FBC"/>
    <w:rsid w:val="00AB204A"/>
    <w:rsid w:val="00AB2644"/>
    <w:rsid w:val="00AB2C8B"/>
    <w:rsid w:val="00AB4184"/>
    <w:rsid w:val="00AB4601"/>
    <w:rsid w:val="00AB49E3"/>
    <w:rsid w:val="00AB4C49"/>
    <w:rsid w:val="00AB4DCC"/>
    <w:rsid w:val="00AB54F1"/>
    <w:rsid w:val="00AB60B2"/>
    <w:rsid w:val="00AB6236"/>
    <w:rsid w:val="00AB6492"/>
    <w:rsid w:val="00AB6850"/>
    <w:rsid w:val="00AB69CE"/>
    <w:rsid w:val="00AB7155"/>
    <w:rsid w:val="00AB77A9"/>
    <w:rsid w:val="00AC0279"/>
    <w:rsid w:val="00AC27E6"/>
    <w:rsid w:val="00AC2A7D"/>
    <w:rsid w:val="00AC2E25"/>
    <w:rsid w:val="00AC3095"/>
    <w:rsid w:val="00AC31AB"/>
    <w:rsid w:val="00AC3543"/>
    <w:rsid w:val="00AC3BDE"/>
    <w:rsid w:val="00AC4517"/>
    <w:rsid w:val="00AC4547"/>
    <w:rsid w:val="00AC4D86"/>
    <w:rsid w:val="00AC5A73"/>
    <w:rsid w:val="00AC6633"/>
    <w:rsid w:val="00AC6660"/>
    <w:rsid w:val="00AC6B66"/>
    <w:rsid w:val="00AC6EB2"/>
    <w:rsid w:val="00AC745C"/>
    <w:rsid w:val="00AC74E3"/>
    <w:rsid w:val="00AC7DB5"/>
    <w:rsid w:val="00AD0F6D"/>
    <w:rsid w:val="00AD1A9C"/>
    <w:rsid w:val="00AD1F67"/>
    <w:rsid w:val="00AD3E39"/>
    <w:rsid w:val="00AD4015"/>
    <w:rsid w:val="00AD407B"/>
    <w:rsid w:val="00AD429A"/>
    <w:rsid w:val="00AD454D"/>
    <w:rsid w:val="00AD4AA2"/>
    <w:rsid w:val="00AD50BF"/>
    <w:rsid w:val="00AD5BF4"/>
    <w:rsid w:val="00AD6D59"/>
    <w:rsid w:val="00AD6F94"/>
    <w:rsid w:val="00AD7392"/>
    <w:rsid w:val="00AD74FC"/>
    <w:rsid w:val="00AD76D6"/>
    <w:rsid w:val="00AD7B92"/>
    <w:rsid w:val="00AD7C09"/>
    <w:rsid w:val="00AE062B"/>
    <w:rsid w:val="00AE11DE"/>
    <w:rsid w:val="00AE1582"/>
    <w:rsid w:val="00AE183F"/>
    <w:rsid w:val="00AE1B67"/>
    <w:rsid w:val="00AE1BC9"/>
    <w:rsid w:val="00AE1F0E"/>
    <w:rsid w:val="00AE26F8"/>
    <w:rsid w:val="00AE2CB1"/>
    <w:rsid w:val="00AE2FBD"/>
    <w:rsid w:val="00AE388D"/>
    <w:rsid w:val="00AE4377"/>
    <w:rsid w:val="00AE4EBD"/>
    <w:rsid w:val="00AE533D"/>
    <w:rsid w:val="00AE635B"/>
    <w:rsid w:val="00AE69ED"/>
    <w:rsid w:val="00AE6A11"/>
    <w:rsid w:val="00AE6BCF"/>
    <w:rsid w:val="00AE6D2F"/>
    <w:rsid w:val="00AE7261"/>
    <w:rsid w:val="00AE7712"/>
    <w:rsid w:val="00AE7933"/>
    <w:rsid w:val="00AE7A5B"/>
    <w:rsid w:val="00AE7FD7"/>
    <w:rsid w:val="00AF0AB2"/>
    <w:rsid w:val="00AF0F3C"/>
    <w:rsid w:val="00AF3160"/>
    <w:rsid w:val="00AF43E3"/>
    <w:rsid w:val="00AF467C"/>
    <w:rsid w:val="00AF58A8"/>
    <w:rsid w:val="00AF64AC"/>
    <w:rsid w:val="00AF665C"/>
    <w:rsid w:val="00AF70B6"/>
    <w:rsid w:val="00B00118"/>
    <w:rsid w:val="00B00247"/>
    <w:rsid w:val="00B003DB"/>
    <w:rsid w:val="00B00CB8"/>
    <w:rsid w:val="00B019E1"/>
    <w:rsid w:val="00B01CB5"/>
    <w:rsid w:val="00B0227E"/>
    <w:rsid w:val="00B0425B"/>
    <w:rsid w:val="00B04EE0"/>
    <w:rsid w:val="00B0518E"/>
    <w:rsid w:val="00B0558A"/>
    <w:rsid w:val="00B05862"/>
    <w:rsid w:val="00B0599C"/>
    <w:rsid w:val="00B05DE5"/>
    <w:rsid w:val="00B06371"/>
    <w:rsid w:val="00B06B8B"/>
    <w:rsid w:val="00B0784D"/>
    <w:rsid w:val="00B07EA3"/>
    <w:rsid w:val="00B1050E"/>
    <w:rsid w:val="00B11D10"/>
    <w:rsid w:val="00B142D5"/>
    <w:rsid w:val="00B147C8"/>
    <w:rsid w:val="00B15A43"/>
    <w:rsid w:val="00B16575"/>
    <w:rsid w:val="00B16650"/>
    <w:rsid w:val="00B16722"/>
    <w:rsid w:val="00B16757"/>
    <w:rsid w:val="00B171DD"/>
    <w:rsid w:val="00B17E31"/>
    <w:rsid w:val="00B202B2"/>
    <w:rsid w:val="00B231D2"/>
    <w:rsid w:val="00B23292"/>
    <w:rsid w:val="00B23726"/>
    <w:rsid w:val="00B2410D"/>
    <w:rsid w:val="00B243F6"/>
    <w:rsid w:val="00B2498B"/>
    <w:rsid w:val="00B24E8F"/>
    <w:rsid w:val="00B24EA0"/>
    <w:rsid w:val="00B255AF"/>
    <w:rsid w:val="00B25DAD"/>
    <w:rsid w:val="00B2604C"/>
    <w:rsid w:val="00B263A4"/>
    <w:rsid w:val="00B263EF"/>
    <w:rsid w:val="00B27653"/>
    <w:rsid w:val="00B300EF"/>
    <w:rsid w:val="00B3068E"/>
    <w:rsid w:val="00B31270"/>
    <w:rsid w:val="00B312B4"/>
    <w:rsid w:val="00B32037"/>
    <w:rsid w:val="00B3222F"/>
    <w:rsid w:val="00B32703"/>
    <w:rsid w:val="00B328C4"/>
    <w:rsid w:val="00B32C22"/>
    <w:rsid w:val="00B32DB5"/>
    <w:rsid w:val="00B33878"/>
    <w:rsid w:val="00B3395D"/>
    <w:rsid w:val="00B33DCF"/>
    <w:rsid w:val="00B34794"/>
    <w:rsid w:val="00B34C81"/>
    <w:rsid w:val="00B35364"/>
    <w:rsid w:val="00B359E3"/>
    <w:rsid w:val="00B35EB2"/>
    <w:rsid w:val="00B36928"/>
    <w:rsid w:val="00B36C51"/>
    <w:rsid w:val="00B36CA6"/>
    <w:rsid w:val="00B36DC1"/>
    <w:rsid w:val="00B37221"/>
    <w:rsid w:val="00B37558"/>
    <w:rsid w:val="00B37C7F"/>
    <w:rsid w:val="00B37D3D"/>
    <w:rsid w:val="00B4067B"/>
    <w:rsid w:val="00B412F9"/>
    <w:rsid w:val="00B416BD"/>
    <w:rsid w:val="00B41BA2"/>
    <w:rsid w:val="00B41D75"/>
    <w:rsid w:val="00B42324"/>
    <w:rsid w:val="00B42890"/>
    <w:rsid w:val="00B42DDA"/>
    <w:rsid w:val="00B43415"/>
    <w:rsid w:val="00B437B0"/>
    <w:rsid w:val="00B43BE1"/>
    <w:rsid w:val="00B44AAB"/>
    <w:rsid w:val="00B462CE"/>
    <w:rsid w:val="00B46460"/>
    <w:rsid w:val="00B47905"/>
    <w:rsid w:val="00B510BD"/>
    <w:rsid w:val="00B51441"/>
    <w:rsid w:val="00B5182D"/>
    <w:rsid w:val="00B51DA1"/>
    <w:rsid w:val="00B51F4B"/>
    <w:rsid w:val="00B5238E"/>
    <w:rsid w:val="00B525B1"/>
    <w:rsid w:val="00B53E2A"/>
    <w:rsid w:val="00B53FB2"/>
    <w:rsid w:val="00B5490D"/>
    <w:rsid w:val="00B55086"/>
    <w:rsid w:val="00B56141"/>
    <w:rsid w:val="00B577FC"/>
    <w:rsid w:val="00B579A7"/>
    <w:rsid w:val="00B60700"/>
    <w:rsid w:val="00B6120A"/>
    <w:rsid w:val="00B612BE"/>
    <w:rsid w:val="00B61641"/>
    <w:rsid w:val="00B61B92"/>
    <w:rsid w:val="00B61CCF"/>
    <w:rsid w:val="00B62481"/>
    <w:rsid w:val="00B62FBC"/>
    <w:rsid w:val="00B633C5"/>
    <w:rsid w:val="00B6398A"/>
    <w:rsid w:val="00B639EC"/>
    <w:rsid w:val="00B63B00"/>
    <w:rsid w:val="00B64088"/>
    <w:rsid w:val="00B644BA"/>
    <w:rsid w:val="00B64D2C"/>
    <w:rsid w:val="00B651FF"/>
    <w:rsid w:val="00B70940"/>
    <w:rsid w:val="00B71512"/>
    <w:rsid w:val="00B71944"/>
    <w:rsid w:val="00B719A0"/>
    <w:rsid w:val="00B71E81"/>
    <w:rsid w:val="00B71F06"/>
    <w:rsid w:val="00B72B2E"/>
    <w:rsid w:val="00B72FBD"/>
    <w:rsid w:val="00B73627"/>
    <w:rsid w:val="00B737D0"/>
    <w:rsid w:val="00B750AC"/>
    <w:rsid w:val="00B7528E"/>
    <w:rsid w:val="00B758F5"/>
    <w:rsid w:val="00B759AB"/>
    <w:rsid w:val="00B75E31"/>
    <w:rsid w:val="00B76411"/>
    <w:rsid w:val="00B76E88"/>
    <w:rsid w:val="00B804DB"/>
    <w:rsid w:val="00B807EC"/>
    <w:rsid w:val="00B818E7"/>
    <w:rsid w:val="00B81973"/>
    <w:rsid w:val="00B81C35"/>
    <w:rsid w:val="00B81E00"/>
    <w:rsid w:val="00B8241B"/>
    <w:rsid w:val="00B82DEC"/>
    <w:rsid w:val="00B83D46"/>
    <w:rsid w:val="00B83EEE"/>
    <w:rsid w:val="00B85867"/>
    <w:rsid w:val="00B85F0B"/>
    <w:rsid w:val="00B85F88"/>
    <w:rsid w:val="00B8613C"/>
    <w:rsid w:val="00B86774"/>
    <w:rsid w:val="00B86EE0"/>
    <w:rsid w:val="00B879C1"/>
    <w:rsid w:val="00B87FB2"/>
    <w:rsid w:val="00B9169A"/>
    <w:rsid w:val="00B918CC"/>
    <w:rsid w:val="00B92875"/>
    <w:rsid w:val="00B92E62"/>
    <w:rsid w:val="00B93AFD"/>
    <w:rsid w:val="00B9486D"/>
    <w:rsid w:val="00B95357"/>
    <w:rsid w:val="00B95807"/>
    <w:rsid w:val="00B9696D"/>
    <w:rsid w:val="00B96C7E"/>
    <w:rsid w:val="00B97A77"/>
    <w:rsid w:val="00B97B35"/>
    <w:rsid w:val="00B97B69"/>
    <w:rsid w:val="00BA0C5F"/>
    <w:rsid w:val="00BA0CEF"/>
    <w:rsid w:val="00BA0EB8"/>
    <w:rsid w:val="00BA10A7"/>
    <w:rsid w:val="00BA1A32"/>
    <w:rsid w:val="00BA1E9D"/>
    <w:rsid w:val="00BA1F97"/>
    <w:rsid w:val="00BA21AD"/>
    <w:rsid w:val="00BA2D7E"/>
    <w:rsid w:val="00BA2F7D"/>
    <w:rsid w:val="00BA3168"/>
    <w:rsid w:val="00BA39D2"/>
    <w:rsid w:val="00BA4ACC"/>
    <w:rsid w:val="00BA5074"/>
    <w:rsid w:val="00BA53C1"/>
    <w:rsid w:val="00BA5825"/>
    <w:rsid w:val="00BA635B"/>
    <w:rsid w:val="00BA65F5"/>
    <w:rsid w:val="00BA6632"/>
    <w:rsid w:val="00BA6DA3"/>
    <w:rsid w:val="00BA738B"/>
    <w:rsid w:val="00BA74C6"/>
    <w:rsid w:val="00BB0AE5"/>
    <w:rsid w:val="00BB1673"/>
    <w:rsid w:val="00BB2F7F"/>
    <w:rsid w:val="00BB3A21"/>
    <w:rsid w:val="00BB3B55"/>
    <w:rsid w:val="00BB42F2"/>
    <w:rsid w:val="00BB45A7"/>
    <w:rsid w:val="00BB5DE1"/>
    <w:rsid w:val="00BB6FB4"/>
    <w:rsid w:val="00BC031C"/>
    <w:rsid w:val="00BC0A68"/>
    <w:rsid w:val="00BC0B4D"/>
    <w:rsid w:val="00BC1A19"/>
    <w:rsid w:val="00BC1B28"/>
    <w:rsid w:val="00BC1CF9"/>
    <w:rsid w:val="00BC27B1"/>
    <w:rsid w:val="00BC37A2"/>
    <w:rsid w:val="00BC4BD7"/>
    <w:rsid w:val="00BC4C33"/>
    <w:rsid w:val="00BC5003"/>
    <w:rsid w:val="00BC5B51"/>
    <w:rsid w:val="00BC5F74"/>
    <w:rsid w:val="00BC68CD"/>
    <w:rsid w:val="00BC7027"/>
    <w:rsid w:val="00BC7423"/>
    <w:rsid w:val="00BC7511"/>
    <w:rsid w:val="00BC766C"/>
    <w:rsid w:val="00BC7BC1"/>
    <w:rsid w:val="00BD0027"/>
    <w:rsid w:val="00BD0682"/>
    <w:rsid w:val="00BD0DD4"/>
    <w:rsid w:val="00BD0EE4"/>
    <w:rsid w:val="00BD11A9"/>
    <w:rsid w:val="00BD11E4"/>
    <w:rsid w:val="00BD19FF"/>
    <w:rsid w:val="00BD26D2"/>
    <w:rsid w:val="00BD2B6F"/>
    <w:rsid w:val="00BD3BCB"/>
    <w:rsid w:val="00BD3C0A"/>
    <w:rsid w:val="00BD3EE7"/>
    <w:rsid w:val="00BD4633"/>
    <w:rsid w:val="00BD496E"/>
    <w:rsid w:val="00BD4A9A"/>
    <w:rsid w:val="00BD4BF1"/>
    <w:rsid w:val="00BD4C1E"/>
    <w:rsid w:val="00BD570F"/>
    <w:rsid w:val="00BD6526"/>
    <w:rsid w:val="00BD66EE"/>
    <w:rsid w:val="00BD676C"/>
    <w:rsid w:val="00BD6FF2"/>
    <w:rsid w:val="00BD70B2"/>
    <w:rsid w:val="00BD776C"/>
    <w:rsid w:val="00BD7B60"/>
    <w:rsid w:val="00BD7CBA"/>
    <w:rsid w:val="00BD7FC8"/>
    <w:rsid w:val="00BE07A1"/>
    <w:rsid w:val="00BE158A"/>
    <w:rsid w:val="00BE2320"/>
    <w:rsid w:val="00BE23A0"/>
    <w:rsid w:val="00BE28B1"/>
    <w:rsid w:val="00BE2E47"/>
    <w:rsid w:val="00BE33DA"/>
    <w:rsid w:val="00BE3C6C"/>
    <w:rsid w:val="00BE525B"/>
    <w:rsid w:val="00BE5336"/>
    <w:rsid w:val="00BE5BE5"/>
    <w:rsid w:val="00BE66E7"/>
    <w:rsid w:val="00BE6D0A"/>
    <w:rsid w:val="00BF05B0"/>
    <w:rsid w:val="00BF06D9"/>
    <w:rsid w:val="00BF07D6"/>
    <w:rsid w:val="00BF0957"/>
    <w:rsid w:val="00BF0C67"/>
    <w:rsid w:val="00BF13B7"/>
    <w:rsid w:val="00BF14B0"/>
    <w:rsid w:val="00BF1ACE"/>
    <w:rsid w:val="00BF23FA"/>
    <w:rsid w:val="00BF24BB"/>
    <w:rsid w:val="00BF431B"/>
    <w:rsid w:val="00BF46BD"/>
    <w:rsid w:val="00BF47C5"/>
    <w:rsid w:val="00BF4FF6"/>
    <w:rsid w:val="00BF5977"/>
    <w:rsid w:val="00BF708F"/>
    <w:rsid w:val="00C00664"/>
    <w:rsid w:val="00C0098E"/>
    <w:rsid w:val="00C00EF9"/>
    <w:rsid w:val="00C0165D"/>
    <w:rsid w:val="00C02FF9"/>
    <w:rsid w:val="00C02FFA"/>
    <w:rsid w:val="00C03AA9"/>
    <w:rsid w:val="00C03AB1"/>
    <w:rsid w:val="00C05ECB"/>
    <w:rsid w:val="00C0609A"/>
    <w:rsid w:val="00C06320"/>
    <w:rsid w:val="00C071F8"/>
    <w:rsid w:val="00C10492"/>
    <w:rsid w:val="00C11FF4"/>
    <w:rsid w:val="00C1220A"/>
    <w:rsid w:val="00C13A09"/>
    <w:rsid w:val="00C13EBD"/>
    <w:rsid w:val="00C158C1"/>
    <w:rsid w:val="00C1598A"/>
    <w:rsid w:val="00C16599"/>
    <w:rsid w:val="00C1692A"/>
    <w:rsid w:val="00C170CC"/>
    <w:rsid w:val="00C171CC"/>
    <w:rsid w:val="00C174E7"/>
    <w:rsid w:val="00C178B9"/>
    <w:rsid w:val="00C17CB9"/>
    <w:rsid w:val="00C2137B"/>
    <w:rsid w:val="00C21B00"/>
    <w:rsid w:val="00C22AE5"/>
    <w:rsid w:val="00C22CF2"/>
    <w:rsid w:val="00C24119"/>
    <w:rsid w:val="00C25928"/>
    <w:rsid w:val="00C25B82"/>
    <w:rsid w:val="00C25ECD"/>
    <w:rsid w:val="00C26140"/>
    <w:rsid w:val="00C26C31"/>
    <w:rsid w:val="00C26D4A"/>
    <w:rsid w:val="00C274D5"/>
    <w:rsid w:val="00C27948"/>
    <w:rsid w:val="00C27ADD"/>
    <w:rsid w:val="00C31022"/>
    <w:rsid w:val="00C31F77"/>
    <w:rsid w:val="00C33157"/>
    <w:rsid w:val="00C33464"/>
    <w:rsid w:val="00C34121"/>
    <w:rsid w:val="00C349DE"/>
    <w:rsid w:val="00C34BC2"/>
    <w:rsid w:val="00C354CE"/>
    <w:rsid w:val="00C35F92"/>
    <w:rsid w:val="00C3606A"/>
    <w:rsid w:val="00C36548"/>
    <w:rsid w:val="00C36554"/>
    <w:rsid w:val="00C3696F"/>
    <w:rsid w:val="00C376E3"/>
    <w:rsid w:val="00C376FD"/>
    <w:rsid w:val="00C377EF"/>
    <w:rsid w:val="00C37AE8"/>
    <w:rsid w:val="00C40C49"/>
    <w:rsid w:val="00C40D15"/>
    <w:rsid w:val="00C41A5E"/>
    <w:rsid w:val="00C41F96"/>
    <w:rsid w:val="00C42368"/>
    <w:rsid w:val="00C4271D"/>
    <w:rsid w:val="00C427EF"/>
    <w:rsid w:val="00C42D9C"/>
    <w:rsid w:val="00C431D3"/>
    <w:rsid w:val="00C4325F"/>
    <w:rsid w:val="00C436F5"/>
    <w:rsid w:val="00C4390D"/>
    <w:rsid w:val="00C440DF"/>
    <w:rsid w:val="00C4479A"/>
    <w:rsid w:val="00C44926"/>
    <w:rsid w:val="00C463C1"/>
    <w:rsid w:val="00C46951"/>
    <w:rsid w:val="00C4698C"/>
    <w:rsid w:val="00C46B0A"/>
    <w:rsid w:val="00C46F43"/>
    <w:rsid w:val="00C477B0"/>
    <w:rsid w:val="00C478E8"/>
    <w:rsid w:val="00C4791B"/>
    <w:rsid w:val="00C50A2A"/>
    <w:rsid w:val="00C50B23"/>
    <w:rsid w:val="00C51EB9"/>
    <w:rsid w:val="00C526A4"/>
    <w:rsid w:val="00C5290E"/>
    <w:rsid w:val="00C52A68"/>
    <w:rsid w:val="00C52CFE"/>
    <w:rsid w:val="00C53A57"/>
    <w:rsid w:val="00C54111"/>
    <w:rsid w:val="00C543A1"/>
    <w:rsid w:val="00C54D8B"/>
    <w:rsid w:val="00C5519D"/>
    <w:rsid w:val="00C552DE"/>
    <w:rsid w:val="00C55BF0"/>
    <w:rsid w:val="00C561D7"/>
    <w:rsid w:val="00C56C22"/>
    <w:rsid w:val="00C56EB5"/>
    <w:rsid w:val="00C61ADB"/>
    <w:rsid w:val="00C61FFD"/>
    <w:rsid w:val="00C6266B"/>
    <w:rsid w:val="00C62967"/>
    <w:rsid w:val="00C62EF1"/>
    <w:rsid w:val="00C62FDE"/>
    <w:rsid w:val="00C634E0"/>
    <w:rsid w:val="00C638FE"/>
    <w:rsid w:val="00C65F71"/>
    <w:rsid w:val="00C66A38"/>
    <w:rsid w:val="00C67872"/>
    <w:rsid w:val="00C70277"/>
    <w:rsid w:val="00C717A1"/>
    <w:rsid w:val="00C71800"/>
    <w:rsid w:val="00C718F4"/>
    <w:rsid w:val="00C72ADE"/>
    <w:rsid w:val="00C72B1B"/>
    <w:rsid w:val="00C7333C"/>
    <w:rsid w:val="00C7367A"/>
    <w:rsid w:val="00C73ACE"/>
    <w:rsid w:val="00C74467"/>
    <w:rsid w:val="00C74525"/>
    <w:rsid w:val="00C74645"/>
    <w:rsid w:val="00C74EDF"/>
    <w:rsid w:val="00C7507A"/>
    <w:rsid w:val="00C75463"/>
    <w:rsid w:val="00C75531"/>
    <w:rsid w:val="00C758C4"/>
    <w:rsid w:val="00C75ECE"/>
    <w:rsid w:val="00C7664E"/>
    <w:rsid w:val="00C7697D"/>
    <w:rsid w:val="00C773D8"/>
    <w:rsid w:val="00C7756D"/>
    <w:rsid w:val="00C80D27"/>
    <w:rsid w:val="00C8130F"/>
    <w:rsid w:val="00C82A3A"/>
    <w:rsid w:val="00C8332A"/>
    <w:rsid w:val="00C8344D"/>
    <w:rsid w:val="00C83738"/>
    <w:rsid w:val="00C83BE3"/>
    <w:rsid w:val="00C83EE4"/>
    <w:rsid w:val="00C860BC"/>
    <w:rsid w:val="00C8619F"/>
    <w:rsid w:val="00C86612"/>
    <w:rsid w:val="00C86E69"/>
    <w:rsid w:val="00C8750E"/>
    <w:rsid w:val="00C87CF2"/>
    <w:rsid w:val="00C90429"/>
    <w:rsid w:val="00C9048C"/>
    <w:rsid w:val="00C90893"/>
    <w:rsid w:val="00C90EA7"/>
    <w:rsid w:val="00C90EBB"/>
    <w:rsid w:val="00C9213F"/>
    <w:rsid w:val="00C92E41"/>
    <w:rsid w:val="00C93381"/>
    <w:rsid w:val="00C9354D"/>
    <w:rsid w:val="00C93D1C"/>
    <w:rsid w:val="00C93F85"/>
    <w:rsid w:val="00C95574"/>
    <w:rsid w:val="00C9612B"/>
    <w:rsid w:val="00C961B9"/>
    <w:rsid w:val="00C963C0"/>
    <w:rsid w:val="00C96485"/>
    <w:rsid w:val="00C96602"/>
    <w:rsid w:val="00C97574"/>
    <w:rsid w:val="00C97849"/>
    <w:rsid w:val="00CA0252"/>
    <w:rsid w:val="00CA02A5"/>
    <w:rsid w:val="00CA094B"/>
    <w:rsid w:val="00CA0ABE"/>
    <w:rsid w:val="00CA1087"/>
    <w:rsid w:val="00CA159D"/>
    <w:rsid w:val="00CA1779"/>
    <w:rsid w:val="00CA277D"/>
    <w:rsid w:val="00CA392E"/>
    <w:rsid w:val="00CA3C5C"/>
    <w:rsid w:val="00CA3C8C"/>
    <w:rsid w:val="00CA487F"/>
    <w:rsid w:val="00CA4D7D"/>
    <w:rsid w:val="00CA4E06"/>
    <w:rsid w:val="00CA5200"/>
    <w:rsid w:val="00CA538D"/>
    <w:rsid w:val="00CA6F0E"/>
    <w:rsid w:val="00CA6FB6"/>
    <w:rsid w:val="00CA77D0"/>
    <w:rsid w:val="00CB04FD"/>
    <w:rsid w:val="00CB0A97"/>
    <w:rsid w:val="00CB0F5B"/>
    <w:rsid w:val="00CB2101"/>
    <w:rsid w:val="00CB22CB"/>
    <w:rsid w:val="00CB2A82"/>
    <w:rsid w:val="00CB2A8E"/>
    <w:rsid w:val="00CB30D1"/>
    <w:rsid w:val="00CB335D"/>
    <w:rsid w:val="00CB37BC"/>
    <w:rsid w:val="00CB4DD9"/>
    <w:rsid w:val="00CB5124"/>
    <w:rsid w:val="00CB517D"/>
    <w:rsid w:val="00CB5240"/>
    <w:rsid w:val="00CB53D6"/>
    <w:rsid w:val="00CB56E5"/>
    <w:rsid w:val="00CB5C3F"/>
    <w:rsid w:val="00CB5C7F"/>
    <w:rsid w:val="00CB5C83"/>
    <w:rsid w:val="00CB5F35"/>
    <w:rsid w:val="00CB722C"/>
    <w:rsid w:val="00CB79C8"/>
    <w:rsid w:val="00CC0960"/>
    <w:rsid w:val="00CC09FC"/>
    <w:rsid w:val="00CC1274"/>
    <w:rsid w:val="00CC1748"/>
    <w:rsid w:val="00CC180A"/>
    <w:rsid w:val="00CC1975"/>
    <w:rsid w:val="00CC2419"/>
    <w:rsid w:val="00CC2988"/>
    <w:rsid w:val="00CC2E01"/>
    <w:rsid w:val="00CC2E88"/>
    <w:rsid w:val="00CC3B9D"/>
    <w:rsid w:val="00CC3E12"/>
    <w:rsid w:val="00CC3F26"/>
    <w:rsid w:val="00CC3FC7"/>
    <w:rsid w:val="00CC4109"/>
    <w:rsid w:val="00CC50F3"/>
    <w:rsid w:val="00CC5329"/>
    <w:rsid w:val="00CC5EFF"/>
    <w:rsid w:val="00CC61A6"/>
    <w:rsid w:val="00CC672C"/>
    <w:rsid w:val="00CC7165"/>
    <w:rsid w:val="00CC7953"/>
    <w:rsid w:val="00CD0297"/>
    <w:rsid w:val="00CD0853"/>
    <w:rsid w:val="00CD2198"/>
    <w:rsid w:val="00CD34E8"/>
    <w:rsid w:val="00CD3D0B"/>
    <w:rsid w:val="00CD556D"/>
    <w:rsid w:val="00CD56FB"/>
    <w:rsid w:val="00CD5829"/>
    <w:rsid w:val="00CD58EA"/>
    <w:rsid w:val="00CD62FD"/>
    <w:rsid w:val="00CD6678"/>
    <w:rsid w:val="00CD719C"/>
    <w:rsid w:val="00CD7B78"/>
    <w:rsid w:val="00CE06F7"/>
    <w:rsid w:val="00CE08A6"/>
    <w:rsid w:val="00CE0944"/>
    <w:rsid w:val="00CE09B0"/>
    <w:rsid w:val="00CE17CF"/>
    <w:rsid w:val="00CE1E80"/>
    <w:rsid w:val="00CE2A25"/>
    <w:rsid w:val="00CE3874"/>
    <w:rsid w:val="00CE4F7C"/>
    <w:rsid w:val="00CE5506"/>
    <w:rsid w:val="00CE5C7F"/>
    <w:rsid w:val="00CE6781"/>
    <w:rsid w:val="00CE6BDC"/>
    <w:rsid w:val="00CE74A1"/>
    <w:rsid w:val="00CE78FF"/>
    <w:rsid w:val="00CE7B67"/>
    <w:rsid w:val="00CE7C6C"/>
    <w:rsid w:val="00CF073C"/>
    <w:rsid w:val="00CF1100"/>
    <w:rsid w:val="00CF1BDB"/>
    <w:rsid w:val="00CF1FA1"/>
    <w:rsid w:val="00CF58AA"/>
    <w:rsid w:val="00CF6D40"/>
    <w:rsid w:val="00CF757F"/>
    <w:rsid w:val="00CF7D14"/>
    <w:rsid w:val="00CF7F5B"/>
    <w:rsid w:val="00D01A1C"/>
    <w:rsid w:val="00D01B24"/>
    <w:rsid w:val="00D01CE3"/>
    <w:rsid w:val="00D01D73"/>
    <w:rsid w:val="00D02237"/>
    <w:rsid w:val="00D03ADB"/>
    <w:rsid w:val="00D03B29"/>
    <w:rsid w:val="00D0409B"/>
    <w:rsid w:val="00D04781"/>
    <w:rsid w:val="00D051C2"/>
    <w:rsid w:val="00D059F1"/>
    <w:rsid w:val="00D05C09"/>
    <w:rsid w:val="00D05EC4"/>
    <w:rsid w:val="00D06024"/>
    <w:rsid w:val="00D068FC"/>
    <w:rsid w:val="00D06C56"/>
    <w:rsid w:val="00D07214"/>
    <w:rsid w:val="00D10BBB"/>
    <w:rsid w:val="00D10E86"/>
    <w:rsid w:val="00D10F75"/>
    <w:rsid w:val="00D11B2E"/>
    <w:rsid w:val="00D13474"/>
    <w:rsid w:val="00D13779"/>
    <w:rsid w:val="00D13A45"/>
    <w:rsid w:val="00D144D0"/>
    <w:rsid w:val="00D14BD6"/>
    <w:rsid w:val="00D15186"/>
    <w:rsid w:val="00D15278"/>
    <w:rsid w:val="00D15482"/>
    <w:rsid w:val="00D1599B"/>
    <w:rsid w:val="00D15CFA"/>
    <w:rsid w:val="00D16A5D"/>
    <w:rsid w:val="00D2012A"/>
    <w:rsid w:val="00D208E2"/>
    <w:rsid w:val="00D218CE"/>
    <w:rsid w:val="00D21D76"/>
    <w:rsid w:val="00D21FF2"/>
    <w:rsid w:val="00D22A76"/>
    <w:rsid w:val="00D231A5"/>
    <w:rsid w:val="00D24E5B"/>
    <w:rsid w:val="00D250DA"/>
    <w:rsid w:val="00D255C2"/>
    <w:rsid w:val="00D26CD5"/>
    <w:rsid w:val="00D27156"/>
    <w:rsid w:val="00D2773D"/>
    <w:rsid w:val="00D301B1"/>
    <w:rsid w:val="00D30707"/>
    <w:rsid w:val="00D30A01"/>
    <w:rsid w:val="00D31395"/>
    <w:rsid w:val="00D315C9"/>
    <w:rsid w:val="00D317D5"/>
    <w:rsid w:val="00D3241B"/>
    <w:rsid w:val="00D33119"/>
    <w:rsid w:val="00D333F2"/>
    <w:rsid w:val="00D33C4E"/>
    <w:rsid w:val="00D346AB"/>
    <w:rsid w:val="00D359B2"/>
    <w:rsid w:val="00D35ADE"/>
    <w:rsid w:val="00D366E9"/>
    <w:rsid w:val="00D3689E"/>
    <w:rsid w:val="00D36AC7"/>
    <w:rsid w:val="00D36E40"/>
    <w:rsid w:val="00D379EE"/>
    <w:rsid w:val="00D4005B"/>
    <w:rsid w:val="00D40662"/>
    <w:rsid w:val="00D40A3E"/>
    <w:rsid w:val="00D40DBC"/>
    <w:rsid w:val="00D41774"/>
    <w:rsid w:val="00D41E4D"/>
    <w:rsid w:val="00D420F0"/>
    <w:rsid w:val="00D424D6"/>
    <w:rsid w:val="00D427DD"/>
    <w:rsid w:val="00D429A3"/>
    <w:rsid w:val="00D42A32"/>
    <w:rsid w:val="00D42CF5"/>
    <w:rsid w:val="00D438A0"/>
    <w:rsid w:val="00D44850"/>
    <w:rsid w:val="00D44FC4"/>
    <w:rsid w:val="00D45B4F"/>
    <w:rsid w:val="00D45F30"/>
    <w:rsid w:val="00D460AC"/>
    <w:rsid w:val="00D464DC"/>
    <w:rsid w:val="00D465D4"/>
    <w:rsid w:val="00D468BD"/>
    <w:rsid w:val="00D46A78"/>
    <w:rsid w:val="00D46A8B"/>
    <w:rsid w:val="00D46E46"/>
    <w:rsid w:val="00D47CCE"/>
    <w:rsid w:val="00D5019F"/>
    <w:rsid w:val="00D50DA0"/>
    <w:rsid w:val="00D50F45"/>
    <w:rsid w:val="00D50FD6"/>
    <w:rsid w:val="00D5165B"/>
    <w:rsid w:val="00D516E0"/>
    <w:rsid w:val="00D518C2"/>
    <w:rsid w:val="00D51A5D"/>
    <w:rsid w:val="00D51C35"/>
    <w:rsid w:val="00D51D71"/>
    <w:rsid w:val="00D51DBF"/>
    <w:rsid w:val="00D52802"/>
    <w:rsid w:val="00D53E8D"/>
    <w:rsid w:val="00D5436B"/>
    <w:rsid w:val="00D553E5"/>
    <w:rsid w:val="00D5646B"/>
    <w:rsid w:val="00D56689"/>
    <w:rsid w:val="00D566DC"/>
    <w:rsid w:val="00D56DAF"/>
    <w:rsid w:val="00D56DDB"/>
    <w:rsid w:val="00D5752F"/>
    <w:rsid w:val="00D57CDD"/>
    <w:rsid w:val="00D57D61"/>
    <w:rsid w:val="00D57DBE"/>
    <w:rsid w:val="00D57EBD"/>
    <w:rsid w:val="00D610CC"/>
    <w:rsid w:val="00D6118D"/>
    <w:rsid w:val="00D61B09"/>
    <w:rsid w:val="00D61E4C"/>
    <w:rsid w:val="00D62823"/>
    <w:rsid w:val="00D62AFB"/>
    <w:rsid w:val="00D63047"/>
    <w:rsid w:val="00D63C9F"/>
    <w:rsid w:val="00D64198"/>
    <w:rsid w:val="00D64364"/>
    <w:rsid w:val="00D643BF"/>
    <w:rsid w:val="00D64885"/>
    <w:rsid w:val="00D64E8F"/>
    <w:rsid w:val="00D6501A"/>
    <w:rsid w:val="00D65123"/>
    <w:rsid w:val="00D6574F"/>
    <w:rsid w:val="00D65B72"/>
    <w:rsid w:val="00D65C43"/>
    <w:rsid w:val="00D65E14"/>
    <w:rsid w:val="00D65EE9"/>
    <w:rsid w:val="00D664AA"/>
    <w:rsid w:val="00D664BB"/>
    <w:rsid w:val="00D666A4"/>
    <w:rsid w:val="00D674F3"/>
    <w:rsid w:val="00D6783A"/>
    <w:rsid w:val="00D703EA"/>
    <w:rsid w:val="00D704C9"/>
    <w:rsid w:val="00D70A30"/>
    <w:rsid w:val="00D71116"/>
    <w:rsid w:val="00D72D63"/>
    <w:rsid w:val="00D734DA"/>
    <w:rsid w:val="00D73505"/>
    <w:rsid w:val="00D736F3"/>
    <w:rsid w:val="00D73AFD"/>
    <w:rsid w:val="00D74206"/>
    <w:rsid w:val="00D74AFF"/>
    <w:rsid w:val="00D74DFF"/>
    <w:rsid w:val="00D75052"/>
    <w:rsid w:val="00D75EFB"/>
    <w:rsid w:val="00D76237"/>
    <w:rsid w:val="00D7638E"/>
    <w:rsid w:val="00D77B00"/>
    <w:rsid w:val="00D8015C"/>
    <w:rsid w:val="00D81136"/>
    <w:rsid w:val="00D8143B"/>
    <w:rsid w:val="00D81F7D"/>
    <w:rsid w:val="00D82C14"/>
    <w:rsid w:val="00D848CA"/>
    <w:rsid w:val="00D84BA1"/>
    <w:rsid w:val="00D84C5B"/>
    <w:rsid w:val="00D861D5"/>
    <w:rsid w:val="00D8667B"/>
    <w:rsid w:val="00D866A3"/>
    <w:rsid w:val="00D86E0A"/>
    <w:rsid w:val="00D87638"/>
    <w:rsid w:val="00D87C52"/>
    <w:rsid w:val="00D9027D"/>
    <w:rsid w:val="00D904A8"/>
    <w:rsid w:val="00D90A1D"/>
    <w:rsid w:val="00D90A30"/>
    <w:rsid w:val="00D91090"/>
    <w:rsid w:val="00D91194"/>
    <w:rsid w:val="00D91701"/>
    <w:rsid w:val="00D9175E"/>
    <w:rsid w:val="00D9231C"/>
    <w:rsid w:val="00D92A06"/>
    <w:rsid w:val="00D92D11"/>
    <w:rsid w:val="00D92F4F"/>
    <w:rsid w:val="00D93EBE"/>
    <w:rsid w:val="00D94269"/>
    <w:rsid w:val="00D9460B"/>
    <w:rsid w:val="00D9556D"/>
    <w:rsid w:val="00D96551"/>
    <w:rsid w:val="00D96D42"/>
    <w:rsid w:val="00D96ED5"/>
    <w:rsid w:val="00D97287"/>
    <w:rsid w:val="00D9749D"/>
    <w:rsid w:val="00D97585"/>
    <w:rsid w:val="00D976DA"/>
    <w:rsid w:val="00DA1527"/>
    <w:rsid w:val="00DA20DE"/>
    <w:rsid w:val="00DA2104"/>
    <w:rsid w:val="00DA3AF6"/>
    <w:rsid w:val="00DA430C"/>
    <w:rsid w:val="00DA500B"/>
    <w:rsid w:val="00DA6089"/>
    <w:rsid w:val="00DA6978"/>
    <w:rsid w:val="00DA75A5"/>
    <w:rsid w:val="00DB01D5"/>
    <w:rsid w:val="00DB024C"/>
    <w:rsid w:val="00DB02F0"/>
    <w:rsid w:val="00DB035B"/>
    <w:rsid w:val="00DB0593"/>
    <w:rsid w:val="00DB0ED7"/>
    <w:rsid w:val="00DB15D0"/>
    <w:rsid w:val="00DB16B1"/>
    <w:rsid w:val="00DB1EA2"/>
    <w:rsid w:val="00DB2740"/>
    <w:rsid w:val="00DB2DE7"/>
    <w:rsid w:val="00DB4693"/>
    <w:rsid w:val="00DB4B2E"/>
    <w:rsid w:val="00DB576B"/>
    <w:rsid w:val="00DB58EC"/>
    <w:rsid w:val="00DB599C"/>
    <w:rsid w:val="00DB5B51"/>
    <w:rsid w:val="00DB5DEE"/>
    <w:rsid w:val="00DB5E5F"/>
    <w:rsid w:val="00DB654C"/>
    <w:rsid w:val="00DB6C4B"/>
    <w:rsid w:val="00DB749A"/>
    <w:rsid w:val="00DB7C81"/>
    <w:rsid w:val="00DC0DCD"/>
    <w:rsid w:val="00DC143B"/>
    <w:rsid w:val="00DC1845"/>
    <w:rsid w:val="00DC1D9B"/>
    <w:rsid w:val="00DC1E2E"/>
    <w:rsid w:val="00DC1FB5"/>
    <w:rsid w:val="00DC2310"/>
    <w:rsid w:val="00DC286B"/>
    <w:rsid w:val="00DC314D"/>
    <w:rsid w:val="00DC37C4"/>
    <w:rsid w:val="00DC3A6F"/>
    <w:rsid w:val="00DC54EC"/>
    <w:rsid w:val="00DC5E78"/>
    <w:rsid w:val="00DC6480"/>
    <w:rsid w:val="00DC666E"/>
    <w:rsid w:val="00DC69B0"/>
    <w:rsid w:val="00DC7223"/>
    <w:rsid w:val="00DD03C5"/>
    <w:rsid w:val="00DD1764"/>
    <w:rsid w:val="00DD2C5A"/>
    <w:rsid w:val="00DD3CA0"/>
    <w:rsid w:val="00DD4A4B"/>
    <w:rsid w:val="00DD5476"/>
    <w:rsid w:val="00DD5BEB"/>
    <w:rsid w:val="00DD62DE"/>
    <w:rsid w:val="00DD70AA"/>
    <w:rsid w:val="00DE0342"/>
    <w:rsid w:val="00DE25C9"/>
    <w:rsid w:val="00DE35FA"/>
    <w:rsid w:val="00DE3D6A"/>
    <w:rsid w:val="00DE4327"/>
    <w:rsid w:val="00DE4330"/>
    <w:rsid w:val="00DE455E"/>
    <w:rsid w:val="00DE4949"/>
    <w:rsid w:val="00DE58F6"/>
    <w:rsid w:val="00DE6F18"/>
    <w:rsid w:val="00DE768C"/>
    <w:rsid w:val="00DE790D"/>
    <w:rsid w:val="00DF02B0"/>
    <w:rsid w:val="00DF0544"/>
    <w:rsid w:val="00DF09A0"/>
    <w:rsid w:val="00DF1D1B"/>
    <w:rsid w:val="00DF1EE2"/>
    <w:rsid w:val="00DF2CBE"/>
    <w:rsid w:val="00DF2D2F"/>
    <w:rsid w:val="00DF33B2"/>
    <w:rsid w:val="00DF47BE"/>
    <w:rsid w:val="00DF4EED"/>
    <w:rsid w:val="00DF4FF9"/>
    <w:rsid w:val="00DF5121"/>
    <w:rsid w:val="00DF5C65"/>
    <w:rsid w:val="00DF6017"/>
    <w:rsid w:val="00DF634B"/>
    <w:rsid w:val="00DF67BD"/>
    <w:rsid w:val="00DF6BD2"/>
    <w:rsid w:val="00DF6F39"/>
    <w:rsid w:val="00DF7068"/>
    <w:rsid w:val="00DF75BE"/>
    <w:rsid w:val="00DF7C02"/>
    <w:rsid w:val="00E00610"/>
    <w:rsid w:val="00E0082E"/>
    <w:rsid w:val="00E00EBB"/>
    <w:rsid w:val="00E01218"/>
    <w:rsid w:val="00E01A87"/>
    <w:rsid w:val="00E01AB1"/>
    <w:rsid w:val="00E01C54"/>
    <w:rsid w:val="00E01D97"/>
    <w:rsid w:val="00E0218D"/>
    <w:rsid w:val="00E026F0"/>
    <w:rsid w:val="00E027B9"/>
    <w:rsid w:val="00E02F13"/>
    <w:rsid w:val="00E0356C"/>
    <w:rsid w:val="00E03EBF"/>
    <w:rsid w:val="00E04745"/>
    <w:rsid w:val="00E055EB"/>
    <w:rsid w:val="00E056BD"/>
    <w:rsid w:val="00E05737"/>
    <w:rsid w:val="00E05E81"/>
    <w:rsid w:val="00E05F7B"/>
    <w:rsid w:val="00E063C2"/>
    <w:rsid w:val="00E069A7"/>
    <w:rsid w:val="00E069EF"/>
    <w:rsid w:val="00E07AEE"/>
    <w:rsid w:val="00E102BC"/>
    <w:rsid w:val="00E10FA3"/>
    <w:rsid w:val="00E11123"/>
    <w:rsid w:val="00E11463"/>
    <w:rsid w:val="00E1174B"/>
    <w:rsid w:val="00E11897"/>
    <w:rsid w:val="00E12D58"/>
    <w:rsid w:val="00E12E9C"/>
    <w:rsid w:val="00E1328C"/>
    <w:rsid w:val="00E1474E"/>
    <w:rsid w:val="00E14C1B"/>
    <w:rsid w:val="00E15879"/>
    <w:rsid w:val="00E16467"/>
    <w:rsid w:val="00E16BBB"/>
    <w:rsid w:val="00E1789B"/>
    <w:rsid w:val="00E17EEE"/>
    <w:rsid w:val="00E2014A"/>
    <w:rsid w:val="00E20BF8"/>
    <w:rsid w:val="00E20E7C"/>
    <w:rsid w:val="00E2242E"/>
    <w:rsid w:val="00E224FD"/>
    <w:rsid w:val="00E22587"/>
    <w:rsid w:val="00E24900"/>
    <w:rsid w:val="00E249DB"/>
    <w:rsid w:val="00E252E5"/>
    <w:rsid w:val="00E2531F"/>
    <w:rsid w:val="00E253F8"/>
    <w:rsid w:val="00E25EA8"/>
    <w:rsid w:val="00E25FAB"/>
    <w:rsid w:val="00E2684F"/>
    <w:rsid w:val="00E30241"/>
    <w:rsid w:val="00E30B14"/>
    <w:rsid w:val="00E30D37"/>
    <w:rsid w:val="00E31D64"/>
    <w:rsid w:val="00E32927"/>
    <w:rsid w:val="00E33522"/>
    <w:rsid w:val="00E339EE"/>
    <w:rsid w:val="00E33C21"/>
    <w:rsid w:val="00E3444D"/>
    <w:rsid w:val="00E3549F"/>
    <w:rsid w:val="00E35982"/>
    <w:rsid w:val="00E3760F"/>
    <w:rsid w:val="00E407F3"/>
    <w:rsid w:val="00E40985"/>
    <w:rsid w:val="00E40A12"/>
    <w:rsid w:val="00E40A98"/>
    <w:rsid w:val="00E40AEB"/>
    <w:rsid w:val="00E410D9"/>
    <w:rsid w:val="00E42BE9"/>
    <w:rsid w:val="00E42E72"/>
    <w:rsid w:val="00E42FFC"/>
    <w:rsid w:val="00E439C4"/>
    <w:rsid w:val="00E44651"/>
    <w:rsid w:val="00E44CFC"/>
    <w:rsid w:val="00E452E9"/>
    <w:rsid w:val="00E453CA"/>
    <w:rsid w:val="00E45776"/>
    <w:rsid w:val="00E47C9B"/>
    <w:rsid w:val="00E5007D"/>
    <w:rsid w:val="00E500E1"/>
    <w:rsid w:val="00E501EF"/>
    <w:rsid w:val="00E50882"/>
    <w:rsid w:val="00E50FF0"/>
    <w:rsid w:val="00E517FD"/>
    <w:rsid w:val="00E51A3F"/>
    <w:rsid w:val="00E51B95"/>
    <w:rsid w:val="00E51DF8"/>
    <w:rsid w:val="00E5254E"/>
    <w:rsid w:val="00E52701"/>
    <w:rsid w:val="00E52B93"/>
    <w:rsid w:val="00E54250"/>
    <w:rsid w:val="00E544EC"/>
    <w:rsid w:val="00E54ED2"/>
    <w:rsid w:val="00E55164"/>
    <w:rsid w:val="00E5617F"/>
    <w:rsid w:val="00E56993"/>
    <w:rsid w:val="00E56C6D"/>
    <w:rsid w:val="00E5710A"/>
    <w:rsid w:val="00E57C65"/>
    <w:rsid w:val="00E60B06"/>
    <w:rsid w:val="00E61E6E"/>
    <w:rsid w:val="00E6220E"/>
    <w:rsid w:val="00E62B80"/>
    <w:rsid w:val="00E62D31"/>
    <w:rsid w:val="00E62ED0"/>
    <w:rsid w:val="00E631F6"/>
    <w:rsid w:val="00E639CE"/>
    <w:rsid w:val="00E64213"/>
    <w:rsid w:val="00E645B9"/>
    <w:rsid w:val="00E652E7"/>
    <w:rsid w:val="00E658B1"/>
    <w:rsid w:val="00E6592E"/>
    <w:rsid w:val="00E66234"/>
    <w:rsid w:val="00E66389"/>
    <w:rsid w:val="00E66AC7"/>
    <w:rsid w:val="00E670DC"/>
    <w:rsid w:val="00E67EDB"/>
    <w:rsid w:val="00E700E0"/>
    <w:rsid w:val="00E70413"/>
    <w:rsid w:val="00E70B9B"/>
    <w:rsid w:val="00E71289"/>
    <w:rsid w:val="00E714AA"/>
    <w:rsid w:val="00E71578"/>
    <w:rsid w:val="00E716A4"/>
    <w:rsid w:val="00E71C40"/>
    <w:rsid w:val="00E71F10"/>
    <w:rsid w:val="00E72B59"/>
    <w:rsid w:val="00E72C06"/>
    <w:rsid w:val="00E72FA7"/>
    <w:rsid w:val="00E7327C"/>
    <w:rsid w:val="00E74AF7"/>
    <w:rsid w:val="00E74BAC"/>
    <w:rsid w:val="00E75171"/>
    <w:rsid w:val="00E75944"/>
    <w:rsid w:val="00E75DC7"/>
    <w:rsid w:val="00E765A8"/>
    <w:rsid w:val="00E768D8"/>
    <w:rsid w:val="00E769A9"/>
    <w:rsid w:val="00E776E7"/>
    <w:rsid w:val="00E80184"/>
    <w:rsid w:val="00E80C50"/>
    <w:rsid w:val="00E82572"/>
    <w:rsid w:val="00E82D7D"/>
    <w:rsid w:val="00E832E7"/>
    <w:rsid w:val="00E836AF"/>
    <w:rsid w:val="00E83C06"/>
    <w:rsid w:val="00E8450C"/>
    <w:rsid w:val="00E84999"/>
    <w:rsid w:val="00E84A6C"/>
    <w:rsid w:val="00E84C7A"/>
    <w:rsid w:val="00E85179"/>
    <w:rsid w:val="00E85484"/>
    <w:rsid w:val="00E8589F"/>
    <w:rsid w:val="00E85C0C"/>
    <w:rsid w:val="00E86714"/>
    <w:rsid w:val="00E8754A"/>
    <w:rsid w:val="00E87DDD"/>
    <w:rsid w:val="00E87EC1"/>
    <w:rsid w:val="00E90150"/>
    <w:rsid w:val="00E9171E"/>
    <w:rsid w:val="00E92C28"/>
    <w:rsid w:val="00E92C8D"/>
    <w:rsid w:val="00E930A6"/>
    <w:rsid w:val="00E9490E"/>
    <w:rsid w:val="00E94942"/>
    <w:rsid w:val="00E94A1B"/>
    <w:rsid w:val="00E958B2"/>
    <w:rsid w:val="00E96165"/>
    <w:rsid w:val="00E97536"/>
    <w:rsid w:val="00E97938"/>
    <w:rsid w:val="00E97948"/>
    <w:rsid w:val="00E97DB3"/>
    <w:rsid w:val="00EA0157"/>
    <w:rsid w:val="00EA0B20"/>
    <w:rsid w:val="00EA0D88"/>
    <w:rsid w:val="00EA1DB1"/>
    <w:rsid w:val="00EA207C"/>
    <w:rsid w:val="00EA2FDF"/>
    <w:rsid w:val="00EA3236"/>
    <w:rsid w:val="00EA3D1C"/>
    <w:rsid w:val="00EA48BD"/>
    <w:rsid w:val="00EA6A96"/>
    <w:rsid w:val="00EA6F10"/>
    <w:rsid w:val="00EA6F42"/>
    <w:rsid w:val="00EA7497"/>
    <w:rsid w:val="00EA7B30"/>
    <w:rsid w:val="00EB033A"/>
    <w:rsid w:val="00EB055D"/>
    <w:rsid w:val="00EB07BF"/>
    <w:rsid w:val="00EB1551"/>
    <w:rsid w:val="00EB197F"/>
    <w:rsid w:val="00EB247B"/>
    <w:rsid w:val="00EB2D4E"/>
    <w:rsid w:val="00EB2E11"/>
    <w:rsid w:val="00EB3A4B"/>
    <w:rsid w:val="00EB3AB6"/>
    <w:rsid w:val="00EB3ED2"/>
    <w:rsid w:val="00EB484E"/>
    <w:rsid w:val="00EB4C93"/>
    <w:rsid w:val="00EB5209"/>
    <w:rsid w:val="00EB5B83"/>
    <w:rsid w:val="00EB6AB2"/>
    <w:rsid w:val="00EB6ABF"/>
    <w:rsid w:val="00EB6BCC"/>
    <w:rsid w:val="00EB6EAE"/>
    <w:rsid w:val="00EB71F2"/>
    <w:rsid w:val="00EB7E7D"/>
    <w:rsid w:val="00EC03EA"/>
    <w:rsid w:val="00EC0B07"/>
    <w:rsid w:val="00EC2C80"/>
    <w:rsid w:val="00EC3002"/>
    <w:rsid w:val="00EC314A"/>
    <w:rsid w:val="00EC3233"/>
    <w:rsid w:val="00EC36BE"/>
    <w:rsid w:val="00EC392D"/>
    <w:rsid w:val="00EC4887"/>
    <w:rsid w:val="00EC50C1"/>
    <w:rsid w:val="00EC56DD"/>
    <w:rsid w:val="00EC681C"/>
    <w:rsid w:val="00EC6A28"/>
    <w:rsid w:val="00ED0086"/>
    <w:rsid w:val="00ED12E6"/>
    <w:rsid w:val="00ED16E1"/>
    <w:rsid w:val="00ED1884"/>
    <w:rsid w:val="00ED28F4"/>
    <w:rsid w:val="00ED3681"/>
    <w:rsid w:val="00ED3D68"/>
    <w:rsid w:val="00ED4193"/>
    <w:rsid w:val="00ED4782"/>
    <w:rsid w:val="00ED4FA8"/>
    <w:rsid w:val="00ED56AA"/>
    <w:rsid w:val="00ED6467"/>
    <w:rsid w:val="00ED657E"/>
    <w:rsid w:val="00ED6835"/>
    <w:rsid w:val="00ED710D"/>
    <w:rsid w:val="00ED735A"/>
    <w:rsid w:val="00ED78FA"/>
    <w:rsid w:val="00ED7966"/>
    <w:rsid w:val="00EE0A5F"/>
    <w:rsid w:val="00EE1B0C"/>
    <w:rsid w:val="00EE2372"/>
    <w:rsid w:val="00EE2745"/>
    <w:rsid w:val="00EE2A5B"/>
    <w:rsid w:val="00EE2CC6"/>
    <w:rsid w:val="00EE3C27"/>
    <w:rsid w:val="00EE3C82"/>
    <w:rsid w:val="00EE589D"/>
    <w:rsid w:val="00EE5978"/>
    <w:rsid w:val="00EE5A9F"/>
    <w:rsid w:val="00EE5D49"/>
    <w:rsid w:val="00EE661A"/>
    <w:rsid w:val="00EE6644"/>
    <w:rsid w:val="00EE66A5"/>
    <w:rsid w:val="00EE67E9"/>
    <w:rsid w:val="00EE6935"/>
    <w:rsid w:val="00EE6AA2"/>
    <w:rsid w:val="00EE6ADB"/>
    <w:rsid w:val="00EE793D"/>
    <w:rsid w:val="00EF0007"/>
    <w:rsid w:val="00EF026F"/>
    <w:rsid w:val="00EF1074"/>
    <w:rsid w:val="00EF13A2"/>
    <w:rsid w:val="00EF13B5"/>
    <w:rsid w:val="00EF184C"/>
    <w:rsid w:val="00EF1A1F"/>
    <w:rsid w:val="00EF2370"/>
    <w:rsid w:val="00EF24C5"/>
    <w:rsid w:val="00EF348C"/>
    <w:rsid w:val="00EF6FBF"/>
    <w:rsid w:val="00EF7072"/>
    <w:rsid w:val="00EF71A0"/>
    <w:rsid w:val="00EF7F9C"/>
    <w:rsid w:val="00F0000B"/>
    <w:rsid w:val="00F004E9"/>
    <w:rsid w:val="00F00502"/>
    <w:rsid w:val="00F00E8F"/>
    <w:rsid w:val="00F01425"/>
    <w:rsid w:val="00F01647"/>
    <w:rsid w:val="00F025B4"/>
    <w:rsid w:val="00F02781"/>
    <w:rsid w:val="00F02C1A"/>
    <w:rsid w:val="00F0508C"/>
    <w:rsid w:val="00F05970"/>
    <w:rsid w:val="00F05C85"/>
    <w:rsid w:val="00F077AD"/>
    <w:rsid w:val="00F10ADE"/>
    <w:rsid w:val="00F10E99"/>
    <w:rsid w:val="00F112F4"/>
    <w:rsid w:val="00F12350"/>
    <w:rsid w:val="00F134C1"/>
    <w:rsid w:val="00F1359E"/>
    <w:rsid w:val="00F142DF"/>
    <w:rsid w:val="00F1490F"/>
    <w:rsid w:val="00F15045"/>
    <w:rsid w:val="00F16584"/>
    <w:rsid w:val="00F1743E"/>
    <w:rsid w:val="00F2104D"/>
    <w:rsid w:val="00F2126B"/>
    <w:rsid w:val="00F228B3"/>
    <w:rsid w:val="00F228E1"/>
    <w:rsid w:val="00F22A3F"/>
    <w:rsid w:val="00F22E19"/>
    <w:rsid w:val="00F23950"/>
    <w:rsid w:val="00F23CE2"/>
    <w:rsid w:val="00F240C1"/>
    <w:rsid w:val="00F261B0"/>
    <w:rsid w:val="00F26432"/>
    <w:rsid w:val="00F26C34"/>
    <w:rsid w:val="00F26F1D"/>
    <w:rsid w:val="00F276D9"/>
    <w:rsid w:val="00F27ECE"/>
    <w:rsid w:val="00F3038A"/>
    <w:rsid w:val="00F30BA5"/>
    <w:rsid w:val="00F30C63"/>
    <w:rsid w:val="00F30C80"/>
    <w:rsid w:val="00F32123"/>
    <w:rsid w:val="00F32D46"/>
    <w:rsid w:val="00F32F85"/>
    <w:rsid w:val="00F33D81"/>
    <w:rsid w:val="00F33F38"/>
    <w:rsid w:val="00F343C6"/>
    <w:rsid w:val="00F34A74"/>
    <w:rsid w:val="00F34F43"/>
    <w:rsid w:val="00F35167"/>
    <w:rsid w:val="00F35B7D"/>
    <w:rsid w:val="00F36440"/>
    <w:rsid w:val="00F36DE2"/>
    <w:rsid w:val="00F37225"/>
    <w:rsid w:val="00F41848"/>
    <w:rsid w:val="00F41BF1"/>
    <w:rsid w:val="00F41E63"/>
    <w:rsid w:val="00F43959"/>
    <w:rsid w:val="00F457FA"/>
    <w:rsid w:val="00F45857"/>
    <w:rsid w:val="00F46775"/>
    <w:rsid w:val="00F4686B"/>
    <w:rsid w:val="00F46A17"/>
    <w:rsid w:val="00F47381"/>
    <w:rsid w:val="00F50C4C"/>
    <w:rsid w:val="00F50C7D"/>
    <w:rsid w:val="00F50DD3"/>
    <w:rsid w:val="00F51B5A"/>
    <w:rsid w:val="00F51B81"/>
    <w:rsid w:val="00F5212C"/>
    <w:rsid w:val="00F522C9"/>
    <w:rsid w:val="00F52C6E"/>
    <w:rsid w:val="00F53E2F"/>
    <w:rsid w:val="00F541B6"/>
    <w:rsid w:val="00F54CCB"/>
    <w:rsid w:val="00F55727"/>
    <w:rsid w:val="00F5588A"/>
    <w:rsid w:val="00F55CBF"/>
    <w:rsid w:val="00F560F6"/>
    <w:rsid w:val="00F5685B"/>
    <w:rsid w:val="00F57381"/>
    <w:rsid w:val="00F57F0C"/>
    <w:rsid w:val="00F60D35"/>
    <w:rsid w:val="00F619B1"/>
    <w:rsid w:val="00F61C0C"/>
    <w:rsid w:val="00F62C71"/>
    <w:rsid w:val="00F63868"/>
    <w:rsid w:val="00F63BE0"/>
    <w:rsid w:val="00F63CBC"/>
    <w:rsid w:val="00F64176"/>
    <w:rsid w:val="00F66144"/>
    <w:rsid w:val="00F66667"/>
    <w:rsid w:val="00F666B0"/>
    <w:rsid w:val="00F67D88"/>
    <w:rsid w:val="00F70E76"/>
    <w:rsid w:val="00F7102F"/>
    <w:rsid w:val="00F71954"/>
    <w:rsid w:val="00F71CCD"/>
    <w:rsid w:val="00F72175"/>
    <w:rsid w:val="00F72212"/>
    <w:rsid w:val="00F735FF"/>
    <w:rsid w:val="00F7385A"/>
    <w:rsid w:val="00F74452"/>
    <w:rsid w:val="00F75964"/>
    <w:rsid w:val="00F75CBE"/>
    <w:rsid w:val="00F760E0"/>
    <w:rsid w:val="00F7652F"/>
    <w:rsid w:val="00F80535"/>
    <w:rsid w:val="00F8179C"/>
    <w:rsid w:val="00F817A0"/>
    <w:rsid w:val="00F8269C"/>
    <w:rsid w:val="00F83D65"/>
    <w:rsid w:val="00F83F4F"/>
    <w:rsid w:val="00F83F94"/>
    <w:rsid w:val="00F843DA"/>
    <w:rsid w:val="00F856E5"/>
    <w:rsid w:val="00F8594C"/>
    <w:rsid w:val="00F85C06"/>
    <w:rsid w:val="00F866D5"/>
    <w:rsid w:val="00F86778"/>
    <w:rsid w:val="00F86F46"/>
    <w:rsid w:val="00F87190"/>
    <w:rsid w:val="00F87A5A"/>
    <w:rsid w:val="00F87B6E"/>
    <w:rsid w:val="00F90020"/>
    <w:rsid w:val="00F90BCF"/>
    <w:rsid w:val="00F90F54"/>
    <w:rsid w:val="00F91317"/>
    <w:rsid w:val="00F91DE6"/>
    <w:rsid w:val="00F92566"/>
    <w:rsid w:val="00F92721"/>
    <w:rsid w:val="00F9369A"/>
    <w:rsid w:val="00F93716"/>
    <w:rsid w:val="00F9373C"/>
    <w:rsid w:val="00F94021"/>
    <w:rsid w:val="00F947E5"/>
    <w:rsid w:val="00F94BB6"/>
    <w:rsid w:val="00F94DEA"/>
    <w:rsid w:val="00F96124"/>
    <w:rsid w:val="00F968D5"/>
    <w:rsid w:val="00F96E9A"/>
    <w:rsid w:val="00F977F5"/>
    <w:rsid w:val="00F97885"/>
    <w:rsid w:val="00F9796C"/>
    <w:rsid w:val="00F97CA4"/>
    <w:rsid w:val="00F97DC7"/>
    <w:rsid w:val="00FA0158"/>
    <w:rsid w:val="00FA0441"/>
    <w:rsid w:val="00FA07E7"/>
    <w:rsid w:val="00FA0C17"/>
    <w:rsid w:val="00FA1522"/>
    <w:rsid w:val="00FA1596"/>
    <w:rsid w:val="00FA1A32"/>
    <w:rsid w:val="00FA1CB2"/>
    <w:rsid w:val="00FA2346"/>
    <w:rsid w:val="00FA25E7"/>
    <w:rsid w:val="00FA2E45"/>
    <w:rsid w:val="00FA31A0"/>
    <w:rsid w:val="00FA345A"/>
    <w:rsid w:val="00FA3760"/>
    <w:rsid w:val="00FA3AFC"/>
    <w:rsid w:val="00FA3FF4"/>
    <w:rsid w:val="00FA4780"/>
    <w:rsid w:val="00FA5F4B"/>
    <w:rsid w:val="00FA6E99"/>
    <w:rsid w:val="00FA701D"/>
    <w:rsid w:val="00FA7127"/>
    <w:rsid w:val="00FA71E1"/>
    <w:rsid w:val="00FA74E9"/>
    <w:rsid w:val="00FA752A"/>
    <w:rsid w:val="00FA769B"/>
    <w:rsid w:val="00FA77D2"/>
    <w:rsid w:val="00FA7AF3"/>
    <w:rsid w:val="00FB0D1A"/>
    <w:rsid w:val="00FB13F2"/>
    <w:rsid w:val="00FB25D5"/>
    <w:rsid w:val="00FB2CF6"/>
    <w:rsid w:val="00FB2E0A"/>
    <w:rsid w:val="00FB31FF"/>
    <w:rsid w:val="00FB3D5B"/>
    <w:rsid w:val="00FB3F7C"/>
    <w:rsid w:val="00FB41B5"/>
    <w:rsid w:val="00FB44FF"/>
    <w:rsid w:val="00FB4655"/>
    <w:rsid w:val="00FB555B"/>
    <w:rsid w:val="00FB5B39"/>
    <w:rsid w:val="00FB5F72"/>
    <w:rsid w:val="00FB6AA6"/>
    <w:rsid w:val="00FB6EC4"/>
    <w:rsid w:val="00FB6F8F"/>
    <w:rsid w:val="00FB6FA5"/>
    <w:rsid w:val="00FB70D5"/>
    <w:rsid w:val="00FB7643"/>
    <w:rsid w:val="00FB76BC"/>
    <w:rsid w:val="00FB774B"/>
    <w:rsid w:val="00FC0055"/>
    <w:rsid w:val="00FC0438"/>
    <w:rsid w:val="00FC081A"/>
    <w:rsid w:val="00FC1B68"/>
    <w:rsid w:val="00FC1D55"/>
    <w:rsid w:val="00FC2130"/>
    <w:rsid w:val="00FC260A"/>
    <w:rsid w:val="00FC2E4D"/>
    <w:rsid w:val="00FC34A2"/>
    <w:rsid w:val="00FC3AE5"/>
    <w:rsid w:val="00FC53F4"/>
    <w:rsid w:val="00FC5E69"/>
    <w:rsid w:val="00FC6C2B"/>
    <w:rsid w:val="00FC6C4D"/>
    <w:rsid w:val="00FC75D2"/>
    <w:rsid w:val="00FC7655"/>
    <w:rsid w:val="00FD01D9"/>
    <w:rsid w:val="00FD1B38"/>
    <w:rsid w:val="00FD1D86"/>
    <w:rsid w:val="00FD25CE"/>
    <w:rsid w:val="00FD27D2"/>
    <w:rsid w:val="00FD30CB"/>
    <w:rsid w:val="00FD3336"/>
    <w:rsid w:val="00FD40FA"/>
    <w:rsid w:val="00FD4680"/>
    <w:rsid w:val="00FD46A5"/>
    <w:rsid w:val="00FD46D4"/>
    <w:rsid w:val="00FD4B93"/>
    <w:rsid w:val="00FD52DB"/>
    <w:rsid w:val="00FD558A"/>
    <w:rsid w:val="00FD5683"/>
    <w:rsid w:val="00FD5BEA"/>
    <w:rsid w:val="00FD5C3D"/>
    <w:rsid w:val="00FD66BC"/>
    <w:rsid w:val="00FD67AA"/>
    <w:rsid w:val="00FD6900"/>
    <w:rsid w:val="00FD690F"/>
    <w:rsid w:val="00FD7564"/>
    <w:rsid w:val="00FD75B9"/>
    <w:rsid w:val="00FD7A14"/>
    <w:rsid w:val="00FE01DE"/>
    <w:rsid w:val="00FE0338"/>
    <w:rsid w:val="00FE0551"/>
    <w:rsid w:val="00FE08E6"/>
    <w:rsid w:val="00FE0D16"/>
    <w:rsid w:val="00FE1A89"/>
    <w:rsid w:val="00FE2EBE"/>
    <w:rsid w:val="00FE37EC"/>
    <w:rsid w:val="00FE40E3"/>
    <w:rsid w:val="00FE4A18"/>
    <w:rsid w:val="00FE4F27"/>
    <w:rsid w:val="00FE50D3"/>
    <w:rsid w:val="00FE556A"/>
    <w:rsid w:val="00FE5912"/>
    <w:rsid w:val="00FE6047"/>
    <w:rsid w:val="00FE62C2"/>
    <w:rsid w:val="00FE6508"/>
    <w:rsid w:val="00FE725D"/>
    <w:rsid w:val="00FE768D"/>
    <w:rsid w:val="00FF1165"/>
    <w:rsid w:val="00FF254E"/>
    <w:rsid w:val="00FF2A56"/>
    <w:rsid w:val="00FF2D93"/>
    <w:rsid w:val="00FF3303"/>
    <w:rsid w:val="00FF4D72"/>
    <w:rsid w:val="00FF4FA1"/>
    <w:rsid w:val="00FF51FA"/>
    <w:rsid w:val="00FF54D6"/>
    <w:rsid w:val="00FF5F8D"/>
    <w:rsid w:val="00FF6235"/>
    <w:rsid w:val="00FF6415"/>
    <w:rsid w:val="00FF67C1"/>
    <w:rsid w:val="00FF70B7"/>
    <w:rsid w:val="00FF7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72F8"/>
    <w:pPr>
      <w:spacing w:after="200"/>
      <w:contextualSpacing/>
    </w:pPr>
    <w:rPr>
      <w:rFonts w:asciiTheme="minorHAnsi" w:eastAsia="Calibri" w:hAnsiTheme="minorHAnsi"/>
      <w:sz w:val="24"/>
      <w:szCs w:val="24"/>
    </w:rPr>
  </w:style>
  <w:style w:type="paragraph" w:styleId="Nadpis1">
    <w:name w:val="heading 1"/>
    <w:basedOn w:val="Normln"/>
    <w:next w:val="Normln"/>
    <w:link w:val="Nadpis1Char"/>
    <w:qFormat/>
    <w:rsid w:val="00F94DEA"/>
    <w:pPr>
      <w:keepNext/>
      <w:numPr>
        <w:numId w:val="5"/>
      </w:numPr>
      <w:spacing w:before="240" w:after="240"/>
      <w:ind w:left="544" w:hanging="431"/>
      <w:outlineLvl w:val="0"/>
    </w:pPr>
    <w:rPr>
      <w:rFonts w:cs="Arial"/>
      <w:b/>
      <w:bCs/>
      <w:kern w:val="32"/>
      <w:sz w:val="32"/>
      <w:szCs w:val="32"/>
    </w:rPr>
  </w:style>
  <w:style w:type="paragraph" w:styleId="Nadpis2">
    <w:name w:val="heading 2"/>
    <w:basedOn w:val="Normln"/>
    <w:next w:val="Normln"/>
    <w:link w:val="Nadpis2Char"/>
    <w:qFormat/>
    <w:rsid w:val="00B644BA"/>
    <w:pPr>
      <w:keepNext/>
      <w:numPr>
        <w:ilvl w:val="1"/>
        <w:numId w:val="5"/>
      </w:numPr>
      <w:spacing w:before="240" w:after="240"/>
      <w:ind w:left="691" w:hanging="578"/>
      <w:outlineLvl w:val="1"/>
    </w:pPr>
    <w:rPr>
      <w:rFonts w:cs="Arial"/>
      <w:b/>
      <w:bCs/>
      <w:iCs/>
      <w:sz w:val="28"/>
      <w:szCs w:val="28"/>
    </w:rPr>
  </w:style>
  <w:style w:type="paragraph" w:styleId="Nadpis3">
    <w:name w:val="heading 3"/>
    <w:basedOn w:val="Normln"/>
    <w:next w:val="Normln"/>
    <w:link w:val="Nadpis3Char"/>
    <w:qFormat/>
    <w:rsid w:val="00BB1673"/>
    <w:pPr>
      <w:keepNext/>
      <w:numPr>
        <w:ilvl w:val="2"/>
        <w:numId w:val="5"/>
      </w:numPr>
      <w:spacing w:before="240" w:after="60"/>
      <w:outlineLvl w:val="2"/>
    </w:pPr>
    <w:rPr>
      <w:rFonts w:cs="Arial"/>
      <w:b/>
      <w:bCs/>
      <w:szCs w:val="26"/>
    </w:rPr>
  </w:style>
  <w:style w:type="paragraph" w:styleId="Nadpis4">
    <w:name w:val="heading 4"/>
    <w:basedOn w:val="Normln"/>
    <w:next w:val="Normln"/>
    <w:link w:val="Nadpis4Char"/>
    <w:qFormat/>
    <w:rsid w:val="001C6A1A"/>
    <w:pPr>
      <w:keepNext/>
      <w:numPr>
        <w:ilvl w:val="3"/>
        <w:numId w:val="5"/>
      </w:numPr>
      <w:spacing w:before="240" w:after="60"/>
      <w:outlineLvl w:val="3"/>
    </w:pPr>
    <w:rPr>
      <w:rFonts w:asciiTheme="majorHAnsi" w:hAnsiTheme="majorHAnsi"/>
      <w:b/>
      <w:bCs/>
      <w:sz w:val="28"/>
      <w:szCs w:val="28"/>
    </w:rPr>
  </w:style>
  <w:style w:type="paragraph" w:styleId="Nadpis5">
    <w:name w:val="heading 5"/>
    <w:basedOn w:val="Normln"/>
    <w:next w:val="Normln"/>
    <w:link w:val="Nadpis5Char"/>
    <w:qFormat/>
    <w:rsid w:val="001C6A1A"/>
    <w:pPr>
      <w:numPr>
        <w:ilvl w:val="4"/>
        <w:numId w:val="5"/>
      </w:numPr>
      <w:spacing w:before="240" w:after="60"/>
      <w:outlineLvl w:val="4"/>
    </w:pPr>
    <w:rPr>
      <w:rFonts w:asciiTheme="majorHAnsi" w:hAnsiTheme="majorHAnsi"/>
      <w:b/>
      <w:bCs/>
      <w:i/>
      <w:iCs/>
      <w:sz w:val="26"/>
      <w:szCs w:val="26"/>
    </w:rPr>
  </w:style>
  <w:style w:type="paragraph" w:styleId="Nadpis6">
    <w:name w:val="heading 6"/>
    <w:basedOn w:val="Normln"/>
    <w:next w:val="Normln"/>
    <w:link w:val="Nadpis6Char"/>
    <w:qFormat/>
    <w:rsid w:val="001C6A1A"/>
    <w:pPr>
      <w:numPr>
        <w:ilvl w:val="5"/>
        <w:numId w:val="5"/>
      </w:numPr>
      <w:spacing w:before="240" w:after="60"/>
      <w:outlineLvl w:val="5"/>
    </w:pPr>
    <w:rPr>
      <w:b/>
      <w:bCs/>
      <w:szCs w:val="22"/>
    </w:rPr>
  </w:style>
  <w:style w:type="paragraph" w:styleId="Nadpis7">
    <w:name w:val="heading 7"/>
    <w:basedOn w:val="Normln"/>
    <w:next w:val="Normln"/>
    <w:link w:val="Nadpis7Char"/>
    <w:qFormat/>
    <w:rsid w:val="001C6A1A"/>
    <w:pPr>
      <w:numPr>
        <w:ilvl w:val="6"/>
        <w:numId w:val="5"/>
      </w:numPr>
      <w:spacing w:before="240" w:after="60"/>
      <w:outlineLvl w:val="6"/>
    </w:pPr>
  </w:style>
  <w:style w:type="paragraph" w:styleId="Nadpis8">
    <w:name w:val="heading 8"/>
    <w:basedOn w:val="Normln"/>
    <w:next w:val="Normln"/>
    <w:link w:val="Nadpis8Char"/>
    <w:qFormat/>
    <w:rsid w:val="001C6A1A"/>
    <w:pPr>
      <w:numPr>
        <w:ilvl w:val="7"/>
        <w:numId w:val="5"/>
      </w:numPr>
      <w:spacing w:before="240" w:after="60"/>
      <w:outlineLvl w:val="7"/>
    </w:pPr>
    <w:rPr>
      <w:i/>
      <w:iCs/>
    </w:rPr>
  </w:style>
  <w:style w:type="paragraph" w:styleId="Nadpis9">
    <w:name w:val="heading 9"/>
    <w:basedOn w:val="Normln"/>
    <w:next w:val="Normln"/>
    <w:link w:val="Nadpis9Char"/>
    <w:qFormat/>
    <w:rsid w:val="001C6A1A"/>
    <w:pPr>
      <w:numPr>
        <w:ilvl w:val="8"/>
        <w:numId w:val="5"/>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4DEA"/>
    <w:rPr>
      <w:rFonts w:asciiTheme="minorHAnsi" w:eastAsia="Calibri" w:hAnsiTheme="minorHAnsi" w:cs="Arial"/>
      <w:b/>
      <w:bCs/>
      <w:kern w:val="32"/>
      <w:sz w:val="32"/>
      <w:szCs w:val="32"/>
    </w:rPr>
  </w:style>
  <w:style w:type="character" w:customStyle="1" w:styleId="Nadpis2Char">
    <w:name w:val="Nadpis 2 Char"/>
    <w:link w:val="Nadpis2"/>
    <w:rsid w:val="00B644BA"/>
    <w:rPr>
      <w:rFonts w:asciiTheme="minorHAnsi" w:eastAsia="Calibri" w:hAnsiTheme="minorHAnsi" w:cs="Arial"/>
      <w:b/>
      <w:bCs/>
      <w:iCs/>
      <w:sz w:val="28"/>
      <w:szCs w:val="28"/>
    </w:rPr>
  </w:style>
  <w:style w:type="character" w:customStyle="1" w:styleId="Nadpis3Char">
    <w:name w:val="Nadpis 3 Char"/>
    <w:basedOn w:val="Standardnpsmoodstavce"/>
    <w:link w:val="Nadpis3"/>
    <w:rsid w:val="00BB1673"/>
    <w:rPr>
      <w:rFonts w:asciiTheme="minorHAnsi" w:eastAsia="Calibri" w:hAnsiTheme="minorHAnsi" w:cs="Arial"/>
      <w:b/>
      <w:bCs/>
      <w:sz w:val="24"/>
      <w:szCs w:val="26"/>
    </w:rPr>
  </w:style>
  <w:style w:type="character" w:customStyle="1" w:styleId="Nadpis4Char">
    <w:name w:val="Nadpis 4 Char"/>
    <w:basedOn w:val="Standardnpsmoodstavce"/>
    <w:link w:val="Nadpis4"/>
    <w:rsid w:val="001C6A1A"/>
    <w:rPr>
      <w:rFonts w:asciiTheme="majorHAnsi" w:eastAsia="Calibri" w:hAnsiTheme="majorHAnsi"/>
      <w:b/>
      <w:bCs/>
      <w:sz w:val="28"/>
      <w:szCs w:val="28"/>
    </w:rPr>
  </w:style>
  <w:style w:type="character" w:customStyle="1" w:styleId="Nadpis5Char">
    <w:name w:val="Nadpis 5 Char"/>
    <w:basedOn w:val="Standardnpsmoodstavce"/>
    <w:link w:val="Nadpis5"/>
    <w:rsid w:val="001C6A1A"/>
    <w:rPr>
      <w:rFonts w:asciiTheme="majorHAnsi" w:eastAsia="Calibri" w:hAnsiTheme="majorHAnsi"/>
      <w:b/>
      <w:bCs/>
      <w:i/>
      <w:iCs/>
      <w:sz w:val="26"/>
      <w:szCs w:val="26"/>
    </w:rPr>
  </w:style>
  <w:style w:type="character" w:customStyle="1" w:styleId="Nadpis6Char">
    <w:name w:val="Nadpis 6 Char"/>
    <w:basedOn w:val="Standardnpsmoodstavce"/>
    <w:link w:val="Nadpis6"/>
    <w:rsid w:val="001C6A1A"/>
    <w:rPr>
      <w:rFonts w:asciiTheme="minorHAnsi" w:eastAsia="Calibri" w:hAnsiTheme="minorHAnsi"/>
      <w:b/>
      <w:bCs/>
      <w:sz w:val="22"/>
      <w:szCs w:val="22"/>
    </w:rPr>
  </w:style>
  <w:style w:type="character" w:customStyle="1" w:styleId="Nadpis7Char">
    <w:name w:val="Nadpis 7 Char"/>
    <w:basedOn w:val="Standardnpsmoodstavce"/>
    <w:link w:val="Nadpis7"/>
    <w:rsid w:val="001C6A1A"/>
    <w:rPr>
      <w:rFonts w:asciiTheme="minorHAnsi" w:eastAsia="Calibri" w:hAnsiTheme="minorHAnsi"/>
      <w:sz w:val="22"/>
      <w:szCs w:val="24"/>
    </w:rPr>
  </w:style>
  <w:style w:type="character" w:customStyle="1" w:styleId="Nadpis8Char">
    <w:name w:val="Nadpis 8 Char"/>
    <w:basedOn w:val="Standardnpsmoodstavce"/>
    <w:link w:val="Nadpis8"/>
    <w:rsid w:val="001C6A1A"/>
    <w:rPr>
      <w:rFonts w:asciiTheme="minorHAnsi" w:eastAsia="Calibri" w:hAnsiTheme="minorHAnsi"/>
      <w:i/>
      <w:iCs/>
      <w:sz w:val="22"/>
      <w:szCs w:val="24"/>
    </w:rPr>
  </w:style>
  <w:style w:type="character" w:customStyle="1" w:styleId="Nadpis9Char">
    <w:name w:val="Nadpis 9 Char"/>
    <w:basedOn w:val="Standardnpsmoodstavce"/>
    <w:link w:val="Nadpis9"/>
    <w:rsid w:val="001C6A1A"/>
    <w:rPr>
      <w:rFonts w:ascii="Arial" w:eastAsia="Calibri" w:hAnsi="Arial" w:cs="Arial"/>
      <w:sz w:val="22"/>
      <w:szCs w:val="22"/>
    </w:rPr>
  </w:style>
  <w:style w:type="paragraph" w:styleId="Zhlav">
    <w:name w:val="header"/>
    <w:basedOn w:val="Normln"/>
    <w:link w:val="ZhlavChar"/>
    <w:uiPriority w:val="99"/>
    <w:unhideWhenUsed/>
    <w:rsid w:val="008C3F71"/>
    <w:pPr>
      <w:tabs>
        <w:tab w:val="center" w:pos="4536"/>
        <w:tab w:val="right" w:pos="9072"/>
      </w:tabs>
      <w:spacing w:after="0"/>
    </w:pPr>
  </w:style>
  <w:style w:type="character" w:customStyle="1" w:styleId="ZhlavChar">
    <w:name w:val="Záhlaví Char"/>
    <w:basedOn w:val="Standardnpsmoodstavce"/>
    <w:link w:val="Zhlav"/>
    <w:uiPriority w:val="99"/>
    <w:rsid w:val="008C3F71"/>
  </w:style>
  <w:style w:type="paragraph" w:styleId="Zpat">
    <w:name w:val="footer"/>
    <w:basedOn w:val="Normln"/>
    <w:link w:val="ZpatChar"/>
    <w:uiPriority w:val="99"/>
    <w:unhideWhenUsed/>
    <w:rsid w:val="008C3F71"/>
    <w:pPr>
      <w:tabs>
        <w:tab w:val="center" w:pos="4536"/>
        <w:tab w:val="right" w:pos="9072"/>
      </w:tabs>
      <w:spacing w:after="0"/>
    </w:pPr>
  </w:style>
  <w:style w:type="character" w:customStyle="1" w:styleId="ZpatChar">
    <w:name w:val="Zápatí Char"/>
    <w:basedOn w:val="Standardnpsmoodstavce"/>
    <w:link w:val="Zpat"/>
    <w:uiPriority w:val="99"/>
    <w:rsid w:val="008C3F71"/>
  </w:style>
  <w:style w:type="paragraph" w:styleId="Odstavecseseznamem">
    <w:name w:val="List Paragraph"/>
    <w:basedOn w:val="Normln"/>
    <w:uiPriority w:val="34"/>
    <w:qFormat/>
    <w:rsid w:val="008C3F71"/>
    <w:pPr>
      <w:ind w:left="708"/>
    </w:pPr>
  </w:style>
  <w:style w:type="paragraph" w:styleId="Textpoznpodarou">
    <w:name w:val="footnote text"/>
    <w:basedOn w:val="Normln"/>
    <w:link w:val="TextpoznpodarouChar"/>
    <w:uiPriority w:val="99"/>
    <w:unhideWhenUsed/>
    <w:rsid w:val="000C3574"/>
    <w:pPr>
      <w:spacing w:after="0"/>
    </w:pPr>
    <w:rPr>
      <w:sz w:val="20"/>
      <w:szCs w:val="20"/>
    </w:rPr>
  </w:style>
  <w:style w:type="character" w:customStyle="1" w:styleId="TextpoznpodarouChar">
    <w:name w:val="Text pozn. pod čarou Char"/>
    <w:basedOn w:val="Standardnpsmoodstavce"/>
    <w:link w:val="Textpoznpodarou"/>
    <w:uiPriority w:val="99"/>
    <w:rsid w:val="000C3574"/>
    <w:rPr>
      <w:sz w:val="20"/>
      <w:szCs w:val="20"/>
    </w:rPr>
  </w:style>
  <w:style w:type="character" w:styleId="Znakapoznpodarou">
    <w:name w:val="footnote reference"/>
    <w:basedOn w:val="Standardnpsmoodstavce"/>
    <w:uiPriority w:val="99"/>
    <w:unhideWhenUsed/>
    <w:rsid w:val="000C3574"/>
    <w:rPr>
      <w:vertAlign w:val="superscript"/>
    </w:rPr>
  </w:style>
  <w:style w:type="character" w:styleId="Siln">
    <w:name w:val="Strong"/>
    <w:qFormat/>
    <w:rsid w:val="001C6A1A"/>
    <w:rPr>
      <w:b/>
      <w:bCs/>
    </w:rPr>
  </w:style>
  <w:style w:type="character" w:styleId="Hypertextovodkaz">
    <w:name w:val="Hyperlink"/>
    <w:basedOn w:val="Standardnpsmoodstavce"/>
    <w:uiPriority w:val="99"/>
    <w:unhideWhenUsed/>
    <w:rsid w:val="00900D96"/>
    <w:rPr>
      <w:color w:val="0000FF" w:themeColor="hyperlink"/>
      <w:u w:val="single"/>
    </w:rPr>
  </w:style>
  <w:style w:type="character" w:customStyle="1" w:styleId="addmd">
    <w:name w:val="addmd"/>
    <w:basedOn w:val="Standardnpsmoodstavce"/>
    <w:rsid w:val="002B6FA6"/>
  </w:style>
  <w:style w:type="character" w:customStyle="1" w:styleId="apple-converted-space">
    <w:name w:val="apple-converted-space"/>
    <w:basedOn w:val="Standardnpsmoodstavce"/>
    <w:rsid w:val="00652B5E"/>
  </w:style>
  <w:style w:type="character" w:styleId="Sledovanodkaz">
    <w:name w:val="FollowedHyperlink"/>
    <w:basedOn w:val="Standardnpsmoodstavce"/>
    <w:uiPriority w:val="99"/>
    <w:semiHidden/>
    <w:unhideWhenUsed/>
    <w:rsid w:val="00936D39"/>
    <w:rPr>
      <w:color w:val="800080" w:themeColor="followedHyperlink"/>
      <w:u w:val="single"/>
    </w:rPr>
  </w:style>
  <w:style w:type="character" w:customStyle="1" w:styleId="hps">
    <w:name w:val="hps"/>
    <w:basedOn w:val="Standardnpsmoodstavce"/>
    <w:rsid w:val="00523CAE"/>
  </w:style>
  <w:style w:type="character" w:styleId="CittHTML">
    <w:name w:val="HTML Cite"/>
    <w:basedOn w:val="Standardnpsmoodstavce"/>
    <w:uiPriority w:val="99"/>
    <w:semiHidden/>
    <w:unhideWhenUsed/>
    <w:rsid w:val="007A7610"/>
    <w:rPr>
      <w:i/>
      <w:iCs/>
    </w:rPr>
  </w:style>
  <w:style w:type="paragraph" w:styleId="Nadpisobsahu">
    <w:name w:val="TOC Heading"/>
    <w:basedOn w:val="Nadpis1"/>
    <w:next w:val="Normln"/>
    <w:uiPriority w:val="39"/>
    <w:semiHidden/>
    <w:unhideWhenUsed/>
    <w:qFormat/>
    <w:rsid w:val="007A30BB"/>
    <w:pPr>
      <w:numPr>
        <w:numId w:val="0"/>
      </w:numPr>
      <w:outlineLvl w:val="9"/>
    </w:pPr>
    <w:rPr>
      <w:rFonts w:eastAsiaTheme="majorEastAsia" w:cstheme="majorBidi"/>
    </w:rPr>
  </w:style>
  <w:style w:type="paragraph" w:styleId="Obsah1">
    <w:name w:val="toc 1"/>
    <w:basedOn w:val="Normln"/>
    <w:next w:val="Normln"/>
    <w:autoRedefine/>
    <w:uiPriority w:val="39"/>
    <w:unhideWhenUsed/>
    <w:qFormat/>
    <w:rsid w:val="007A30BB"/>
    <w:pPr>
      <w:spacing w:before="360" w:after="0"/>
    </w:pPr>
    <w:rPr>
      <w:rFonts w:asciiTheme="majorHAnsi" w:hAnsiTheme="majorHAnsi"/>
      <w:b/>
      <w:bCs/>
      <w:caps/>
    </w:rPr>
  </w:style>
  <w:style w:type="paragraph" w:styleId="Textbubliny">
    <w:name w:val="Balloon Text"/>
    <w:basedOn w:val="Normln"/>
    <w:link w:val="TextbublinyChar"/>
    <w:uiPriority w:val="99"/>
    <w:semiHidden/>
    <w:unhideWhenUsed/>
    <w:rsid w:val="007A30B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30BB"/>
    <w:rPr>
      <w:rFonts w:ascii="Tahoma" w:hAnsi="Tahoma" w:cs="Tahoma"/>
      <w:sz w:val="16"/>
      <w:szCs w:val="16"/>
    </w:rPr>
  </w:style>
  <w:style w:type="paragraph" w:styleId="Obsah2">
    <w:name w:val="toc 2"/>
    <w:basedOn w:val="Normln"/>
    <w:next w:val="Normln"/>
    <w:autoRedefine/>
    <w:uiPriority w:val="39"/>
    <w:unhideWhenUsed/>
    <w:qFormat/>
    <w:rsid w:val="00352610"/>
    <w:pPr>
      <w:spacing w:before="240" w:after="0"/>
    </w:pPr>
    <w:rPr>
      <w:b/>
      <w:bCs/>
      <w:sz w:val="20"/>
      <w:szCs w:val="20"/>
    </w:rPr>
  </w:style>
  <w:style w:type="paragraph" w:styleId="Obsah3">
    <w:name w:val="toc 3"/>
    <w:basedOn w:val="Normln"/>
    <w:next w:val="Normln"/>
    <w:autoRedefine/>
    <w:uiPriority w:val="39"/>
    <w:unhideWhenUsed/>
    <w:qFormat/>
    <w:rsid w:val="006E5B49"/>
    <w:pPr>
      <w:spacing w:after="0"/>
      <w:ind w:left="240"/>
    </w:pPr>
    <w:rPr>
      <w:sz w:val="20"/>
      <w:szCs w:val="20"/>
    </w:rPr>
  </w:style>
  <w:style w:type="paragraph" w:styleId="Revize">
    <w:name w:val="Revision"/>
    <w:hidden/>
    <w:uiPriority w:val="99"/>
    <w:semiHidden/>
    <w:rsid w:val="0066788C"/>
  </w:style>
  <w:style w:type="paragraph" w:styleId="Textvysvtlivek">
    <w:name w:val="endnote text"/>
    <w:basedOn w:val="Normln"/>
    <w:link w:val="TextvysvtlivekChar"/>
    <w:uiPriority w:val="99"/>
    <w:semiHidden/>
    <w:unhideWhenUsed/>
    <w:rsid w:val="00A9025E"/>
    <w:pPr>
      <w:spacing w:after="0"/>
    </w:pPr>
    <w:rPr>
      <w:sz w:val="20"/>
      <w:szCs w:val="20"/>
    </w:rPr>
  </w:style>
  <w:style w:type="character" w:customStyle="1" w:styleId="TextvysvtlivekChar">
    <w:name w:val="Text vysvětlivek Char"/>
    <w:basedOn w:val="Standardnpsmoodstavce"/>
    <w:link w:val="Textvysvtlivek"/>
    <w:uiPriority w:val="99"/>
    <w:semiHidden/>
    <w:rsid w:val="00A9025E"/>
    <w:rPr>
      <w:sz w:val="20"/>
      <w:szCs w:val="20"/>
    </w:rPr>
  </w:style>
  <w:style w:type="character" w:styleId="Odkaznavysvtlivky">
    <w:name w:val="endnote reference"/>
    <w:basedOn w:val="Standardnpsmoodstavce"/>
    <w:uiPriority w:val="99"/>
    <w:semiHidden/>
    <w:unhideWhenUsed/>
    <w:rsid w:val="00A9025E"/>
    <w:rPr>
      <w:vertAlign w:val="superscript"/>
    </w:rPr>
  </w:style>
  <w:style w:type="character" w:styleId="Odkaznakoment">
    <w:name w:val="annotation reference"/>
    <w:basedOn w:val="Standardnpsmoodstavce"/>
    <w:uiPriority w:val="99"/>
    <w:semiHidden/>
    <w:unhideWhenUsed/>
    <w:rsid w:val="00646781"/>
    <w:rPr>
      <w:sz w:val="16"/>
      <w:szCs w:val="16"/>
    </w:rPr>
  </w:style>
  <w:style w:type="paragraph" w:styleId="Textkomente">
    <w:name w:val="annotation text"/>
    <w:basedOn w:val="Normln"/>
    <w:link w:val="TextkomenteChar"/>
    <w:uiPriority w:val="99"/>
    <w:semiHidden/>
    <w:unhideWhenUsed/>
    <w:rsid w:val="00646781"/>
    <w:rPr>
      <w:sz w:val="20"/>
      <w:szCs w:val="20"/>
    </w:rPr>
  </w:style>
  <w:style w:type="character" w:customStyle="1" w:styleId="TextkomenteChar">
    <w:name w:val="Text komentáře Char"/>
    <w:basedOn w:val="Standardnpsmoodstavce"/>
    <w:link w:val="Textkomente"/>
    <w:uiPriority w:val="99"/>
    <w:semiHidden/>
    <w:rsid w:val="00646781"/>
    <w:rPr>
      <w:sz w:val="20"/>
      <w:szCs w:val="20"/>
    </w:rPr>
  </w:style>
  <w:style w:type="paragraph" w:styleId="Pedmtkomente">
    <w:name w:val="annotation subject"/>
    <w:basedOn w:val="Textkomente"/>
    <w:next w:val="Textkomente"/>
    <w:link w:val="PedmtkomenteChar"/>
    <w:uiPriority w:val="99"/>
    <w:semiHidden/>
    <w:unhideWhenUsed/>
    <w:rsid w:val="00646781"/>
    <w:rPr>
      <w:b/>
      <w:bCs/>
    </w:rPr>
  </w:style>
  <w:style w:type="character" w:customStyle="1" w:styleId="PedmtkomenteChar">
    <w:name w:val="Předmět komentáře Char"/>
    <w:basedOn w:val="TextkomenteChar"/>
    <w:link w:val="Pedmtkomente"/>
    <w:uiPriority w:val="99"/>
    <w:semiHidden/>
    <w:rsid w:val="00646781"/>
    <w:rPr>
      <w:b/>
      <w:bCs/>
      <w:sz w:val="20"/>
      <w:szCs w:val="20"/>
    </w:rPr>
  </w:style>
  <w:style w:type="paragraph" w:styleId="Normlnweb">
    <w:name w:val="Normal (Web)"/>
    <w:basedOn w:val="Normln"/>
    <w:uiPriority w:val="99"/>
    <w:semiHidden/>
    <w:unhideWhenUsed/>
    <w:rsid w:val="00334248"/>
    <w:rPr>
      <w:rFonts w:ascii="Times New Roman" w:hAnsi="Times New Roman"/>
    </w:rPr>
  </w:style>
  <w:style w:type="paragraph" w:styleId="Bezmezer">
    <w:name w:val="No Spacing"/>
    <w:uiPriority w:val="1"/>
    <w:qFormat/>
    <w:rsid w:val="00A47DE7"/>
    <w:rPr>
      <w:rFonts w:asciiTheme="minorHAnsi" w:eastAsia="Calibri" w:hAnsiTheme="minorHAnsi"/>
      <w:sz w:val="22"/>
      <w:szCs w:val="24"/>
    </w:rPr>
  </w:style>
  <w:style w:type="character" w:styleId="Zvraznn">
    <w:name w:val="Emphasis"/>
    <w:uiPriority w:val="20"/>
    <w:qFormat/>
    <w:rsid w:val="001C6A1A"/>
    <w:rPr>
      <w:i/>
      <w:iCs/>
    </w:rPr>
  </w:style>
  <w:style w:type="paragraph" w:styleId="Podtitul">
    <w:name w:val="Subtitle"/>
    <w:basedOn w:val="Normln"/>
    <w:next w:val="Normln"/>
    <w:link w:val="PodtitulChar"/>
    <w:qFormat/>
    <w:rsid w:val="001C6A1A"/>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rsid w:val="001C6A1A"/>
    <w:rPr>
      <w:rFonts w:asciiTheme="majorHAnsi" w:eastAsiaTheme="majorEastAsia" w:hAnsiTheme="majorHAnsi" w:cstheme="majorBidi"/>
      <w:sz w:val="24"/>
      <w:szCs w:val="24"/>
    </w:rPr>
  </w:style>
  <w:style w:type="character" w:customStyle="1" w:styleId="st">
    <w:name w:val="st"/>
    <w:basedOn w:val="Standardnpsmoodstavce"/>
    <w:rsid w:val="00D11B2E"/>
  </w:style>
  <w:style w:type="character" w:customStyle="1" w:styleId="text70">
    <w:name w:val="text70"/>
    <w:basedOn w:val="Standardnpsmoodstavce"/>
    <w:rsid w:val="00FD25CE"/>
  </w:style>
  <w:style w:type="character" w:customStyle="1" w:styleId="exldetailsdisplayval">
    <w:name w:val="exldetailsdisplayval"/>
    <w:basedOn w:val="Standardnpsmoodstavce"/>
    <w:rsid w:val="00121569"/>
  </w:style>
  <w:style w:type="table" w:styleId="Mkatabulky">
    <w:name w:val="Table Grid"/>
    <w:basedOn w:val="Normlntabulka"/>
    <w:uiPriority w:val="59"/>
    <w:rsid w:val="00F5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9B7C20"/>
    <w:pPr>
      <w:spacing w:after="0"/>
      <w:ind w:left="480"/>
    </w:pPr>
    <w:rPr>
      <w:sz w:val="20"/>
      <w:szCs w:val="20"/>
    </w:rPr>
  </w:style>
  <w:style w:type="paragraph" w:styleId="Obsah5">
    <w:name w:val="toc 5"/>
    <w:basedOn w:val="Normln"/>
    <w:next w:val="Normln"/>
    <w:autoRedefine/>
    <w:uiPriority w:val="39"/>
    <w:unhideWhenUsed/>
    <w:rsid w:val="009B7C20"/>
    <w:pPr>
      <w:spacing w:after="0"/>
      <w:ind w:left="720"/>
    </w:pPr>
    <w:rPr>
      <w:sz w:val="20"/>
      <w:szCs w:val="20"/>
    </w:rPr>
  </w:style>
  <w:style w:type="paragraph" w:styleId="Obsah6">
    <w:name w:val="toc 6"/>
    <w:basedOn w:val="Normln"/>
    <w:next w:val="Normln"/>
    <w:autoRedefine/>
    <w:uiPriority w:val="39"/>
    <w:unhideWhenUsed/>
    <w:rsid w:val="009B7C20"/>
    <w:pPr>
      <w:spacing w:after="0"/>
      <w:ind w:left="960"/>
    </w:pPr>
    <w:rPr>
      <w:sz w:val="20"/>
      <w:szCs w:val="20"/>
    </w:rPr>
  </w:style>
  <w:style w:type="paragraph" w:styleId="Obsah7">
    <w:name w:val="toc 7"/>
    <w:basedOn w:val="Normln"/>
    <w:next w:val="Normln"/>
    <w:autoRedefine/>
    <w:uiPriority w:val="39"/>
    <w:unhideWhenUsed/>
    <w:rsid w:val="009B7C20"/>
    <w:pPr>
      <w:spacing w:after="0"/>
      <w:ind w:left="1200"/>
    </w:pPr>
    <w:rPr>
      <w:sz w:val="20"/>
      <w:szCs w:val="20"/>
    </w:rPr>
  </w:style>
  <w:style w:type="paragraph" w:styleId="Obsah8">
    <w:name w:val="toc 8"/>
    <w:basedOn w:val="Normln"/>
    <w:next w:val="Normln"/>
    <w:autoRedefine/>
    <w:uiPriority w:val="39"/>
    <w:unhideWhenUsed/>
    <w:rsid w:val="009B7C20"/>
    <w:pPr>
      <w:spacing w:after="0"/>
      <w:ind w:left="1440"/>
    </w:pPr>
    <w:rPr>
      <w:sz w:val="20"/>
      <w:szCs w:val="20"/>
    </w:rPr>
  </w:style>
  <w:style w:type="paragraph" w:styleId="Obsah9">
    <w:name w:val="toc 9"/>
    <w:basedOn w:val="Normln"/>
    <w:next w:val="Normln"/>
    <w:autoRedefine/>
    <w:uiPriority w:val="39"/>
    <w:unhideWhenUsed/>
    <w:rsid w:val="009B7C20"/>
    <w:pPr>
      <w:spacing w:after="0"/>
      <w:ind w:left="168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72F8"/>
    <w:pPr>
      <w:spacing w:after="200"/>
      <w:contextualSpacing/>
    </w:pPr>
    <w:rPr>
      <w:rFonts w:asciiTheme="minorHAnsi" w:eastAsia="Calibri" w:hAnsiTheme="minorHAnsi"/>
      <w:sz w:val="24"/>
      <w:szCs w:val="24"/>
    </w:rPr>
  </w:style>
  <w:style w:type="paragraph" w:styleId="Nadpis1">
    <w:name w:val="heading 1"/>
    <w:basedOn w:val="Normln"/>
    <w:next w:val="Normln"/>
    <w:link w:val="Nadpis1Char"/>
    <w:qFormat/>
    <w:rsid w:val="00F94DEA"/>
    <w:pPr>
      <w:keepNext/>
      <w:numPr>
        <w:numId w:val="5"/>
      </w:numPr>
      <w:spacing w:before="240" w:after="240"/>
      <w:ind w:left="544" w:hanging="431"/>
      <w:outlineLvl w:val="0"/>
    </w:pPr>
    <w:rPr>
      <w:rFonts w:cs="Arial"/>
      <w:b/>
      <w:bCs/>
      <w:kern w:val="32"/>
      <w:sz w:val="32"/>
      <w:szCs w:val="32"/>
    </w:rPr>
  </w:style>
  <w:style w:type="paragraph" w:styleId="Nadpis2">
    <w:name w:val="heading 2"/>
    <w:basedOn w:val="Normln"/>
    <w:next w:val="Normln"/>
    <w:link w:val="Nadpis2Char"/>
    <w:qFormat/>
    <w:rsid w:val="00B644BA"/>
    <w:pPr>
      <w:keepNext/>
      <w:numPr>
        <w:ilvl w:val="1"/>
        <w:numId w:val="5"/>
      </w:numPr>
      <w:spacing w:before="240" w:after="240"/>
      <w:ind w:left="691" w:hanging="578"/>
      <w:outlineLvl w:val="1"/>
    </w:pPr>
    <w:rPr>
      <w:rFonts w:cs="Arial"/>
      <w:b/>
      <w:bCs/>
      <w:iCs/>
      <w:sz w:val="28"/>
      <w:szCs w:val="28"/>
    </w:rPr>
  </w:style>
  <w:style w:type="paragraph" w:styleId="Nadpis3">
    <w:name w:val="heading 3"/>
    <w:basedOn w:val="Normln"/>
    <w:next w:val="Normln"/>
    <w:link w:val="Nadpis3Char"/>
    <w:qFormat/>
    <w:rsid w:val="00BB1673"/>
    <w:pPr>
      <w:keepNext/>
      <w:numPr>
        <w:ilvl w:val="2"/>
        <w:numId w:val="5"/>
      </w:numPr>
      <w:spacing w:before="240" w:after="60"/>
      <w:outlineLvl w:val="2"/>
    </w:pPr>
    <w:rPr>
      <w:rFonts w:cs="Arial"/>
      <w:b/>
      <w:bCs/>
      <w:szCs w:val="26"/>
    </w:rPr>
  </w:style>
  <w:style w:type="paragraph" w:styleId="Nadpis4">
    <w:name w:val="heading 4"/>
    <w:basedOn w:val="Normln"/>
    <w:next w:val="Normln"/>
    <w:link w:val="Nadpis4Char"/>
    <w:qFormat/>
    <w:rsid w:val="001C6A1A"/>
    <w:pPr>
      <w:keepNext/>
      <w:numPr>
        <w:ilvl w:val="3"/>
        <w:numId w:val="5"/>
      </w:numPr>
      <w:spacing w:before="240" w:after="60"/>
      <w:outlineLvl w:val="3"/>
    </w:pPr>
    <w:rPr>
      <w:rFonts w:asciiTheme="majorHAnsi" w:hAnsiTheme="majorHAnsi"/>
      <w:b/>
      <w:bCs/>
      <w:sz w:val="28"/>
      <w:szCs w:val="28"/>
    </w:rPr>
  </w:style>
  <w:style w:type="paragraph" w:styleId="Nadpis5">
    <w:name w:val="heading 5"/>
    <w:basedOn w:val="Normln"/>
    <w:next w:val="Normln"/>
    <w:link w:val="Nadpis5Char"/>
    <w:qFormat/>
    <w:rsid w:val="001C6A1A"/>
    <w:pPr>
      <w:numPr>
        <w:ilvl w:val="4"/>
        <w:numId w:val="5"/>
      </w:numPr>
      <w:spacing w:before="240" w:after="60"/>
      <w:outlineLvl w:val="4"/>
    </w:pPr>
    <w:rPr>
      <w:rFonts w:asciiTheme="majorHAnsi" w:hAnsiTheme="majorHAnsi"/>
      <w:b/>
      <w:bCs/>
      <w:i/>
      <w:iCs/>
      <w:sz w:val="26"/>
      <w:szCs w:val="26"/>
    </w:rPr>
  </w:style>
  <w:style w:type="paragraph" w:styleId="Nadpis6">
    <w:name w:val="heading 6"/>
    <w:basedOn w:val="Normln"/>
    <w:next w:val="Normln"/>
    <w:link w:val="Nadpis6Char"/>
    <w:qFormat/>
    <w:rsid w:val="001C6A1A"/>
    <w:pPr>
      <w:numPr>
        <w:ilvl w:val="5"/>
        <w:numId w:val="5"/>
      </w:numPr>
      <w:spacing w:before="240" w:after="60"/>
      <w:outlineLvl w:val="5"/>
    </w:pPr>
    <w:rPr>
      <w:b/>
      <w:bCs/>
      <w:szCs w:val="22"/>
    </w:rPr>
  </w:style>
  <w:style w:type="paragraph" w:styleId="Nadpis7">
    <w:name w:val="heading 7"/>
    <w:basedOn w:val="Normln"/>
    <w:next w:val="Normln"/>
    <w:link w:val="Nadpis7Char"/>
    <w:qFormat/>
    <w:rsid w:val="001C6A1A"/>
    <w:pPr>
      <w:numPr>
        <w:ilvl w:val="6"/>
        <w:numId w:val="5"/>
      </w:numPr>
      <w:spacing w:before="240" w:after="60"/>
      <w:outlineLvl w:val="6"/>
    </w:pPr>
  </w:style>
  <w:style w:type="paragraph" w:styleId="Nadpis8">
    <w:name w:val="heading 8"/>
    <w:basedOn w:val="Normln"/>
    <w:next w:val="Normln"/>
    <w:link w:val="Nadpis8Char"/>
    <w:qFormat/>
    <w:rsid w:val="001C6A1A"/>
    <w:pPr>
      <w:numPr>
        <w:ilvl w:val="7"/>
        <w:numId w:val="5"/>
      </w:numPr>
      <w:spacing w:before="240" w:after="60"/>
      <w:outlineLvl w:val="7"/>
    </w:pPr>
    <w:rPr>
      <w:i/>
      <w:iCs/>
    </w:rPr>
  </w:style>
  <w:style w:type="paragraph" w:styleId="Nadpis9">
    <w:name w:val="heading 9"/>
    <w:basedOn w:val="Normln"/>
    <w:next w:val="Normln"/>
    <w:link w:val="Nadpis9Char"/>
    <w:qFormat/>
    <w:rsid w:val="001C6A1A"/>
    <w:pPr>
      <w:numPr>
        <w:ilvl w:val="8"/>
        <w:numId w:val="5"/>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4DEA"/>
    <w:rPr>
      <w:rFonts w:asciiTheme="minorHAnsi" w:eastAsia="Calibri" w:hAnsiTheme="minorHAnsi" w:cs="Arial"/>
      <w:b/>
      <w:bCs/>
      <w:kern w:val="32"/>
      <w:sz w:val="32"/>
      <w:szCs w:val="32"/>
    </w:rPr>
  </w:style>
  <w:style w:type="character" w:customStyle="1" w:styleId="Nadpis2Char">
    <w:name w:val="Nadpis 2 Char"/>
    <w:link w:val="Nadpis2"/>
    <w:rsid w:val="00B644BA"/>
    <w:rPr>
      <w:rFonts w:asciiTheme="minorHAnsi" w:eastAsia="Calibri" w:hAnsiTheme="minorHAnsi" w:cs="Arial"/>
      <w:b/>
      <w:bCs/>
      <w:iCs/>
      <w:sz w:val="28"/>
      <w:szCs w:val="28"/>
    </w:rPr>
  </w:style>
  <w:style w:type="character" w:customStyle="1" w:styleId="Nadpis3Char">
    <w:name w:val="Nadpis 3 Char"/>
    <w:basedOn w:val="Standardnpsmoodstavce"/>
    <w:link w:val="Nadpis3"/>
    <w:rsid w:val="00BB1673"/>
    <w:rPr>
      <w:rFonts w:asciiTheme="minorHAnsi" w:eastAsia="Calibri" w:hAnsiTheme="minorHAnsi" w:cs="Arial"/>
      <w:b/>
      <w:bCs/>
      <w:sz w:val="24"/>
      <w:szCs w:val="26"/>
    </w:rPr>
  </w:style>
  <w:style w:type="character" w:customStyle="1" w:styleId="Nadpis4Char">
    <w:name w:val="Nadpis 4 Char"/>
    <w:basedOn w:val="Standardnpsmoodstavce"/>
    <w:link w:val="Nadpis4"/>
    <w:rsid w:val="001C6A1A"/>
    <w:rPr>
      <w:rFonts w:asciiTheme="majorHAnsi" w:eastAsia="Calibri" w:hAnsiTheme="majorHAnsi"/>
      <w:b/>
      <w:bCs/>
      <w:sz w:val="28"/>
      <w:szCs w:val="28"/>
    </w:rPr>
  </w:style>
  <w:style w:type="character" w:customStyle="1" w:styleId="Nadpis5Char">
    <w:name w:val="Nadpis 5 Char"/>
    <w:basedOn w:val="Standardnpsmoodstavce"/>
    <w:link w:val="Nadpis5"/>
    <w:rsid w:val="001C6A1A"/>
    <w:rPr>
      <w:rFonts w:asciiTheme="majorHAnsi" w:eastAsia="Calibri" w:hAnsiTheme="majorHAnsi"/>
      <w:b/>
      <w:bCs/>
      <w:i/>
      <w:iCs/>
      <w:sz w:val="26"/>
      <w:szCs w:val="26"/>
    </w:rPr>
  </w:style>
  <w:style w:type="character" w:customStyle="1" w:styleId="Nadpis6Char">
    <w:name w:val="Nadpis 6 Char"/>
    <w:basedOn w:val="Standardnpsmoodstavce"/>
    <w:link w:val="Nadpis6"/>
    <w:rsid w:val="001C6A1A"/>
    <w:rPr>
      <w:rFonts w:asciiTheme="minorHAnsi" w:eastAsia="Calibri" w:hAnsiTheme="minorHAnsi"/>
      <w:b/>
      <w:bCs/>
      <w:sz w:val="22"/>
      <w:szCs w:val="22"/>
    </w:rPr>
  </w:style>
  <w:style w:type="character" w:customStyle="1" w:styleId="Nadpis7Char">
    <w:name w:val="Nadpis 7 Char"/>
    <w:basedOn w:val="Standardnpsmoodstavce"/>
    <w:link w:val="Nadpis7"/>
    <w:rsid w:val="001C6A1A"/>
    <w:rPr>
      <w:rFonts w:asciiTheme="minorHAnsi" w:eastAsia="Calibri" w:hAnsiTheme="minorHAnsi"/>
      <w:sz w:val="22"/>
      <w:szCs w:val="24"/>
    </w:rPr>
  </w:style>
  <w:style w:type="character" w:customStyle="1" w:styleId="Nadpis8Char">
    <w:name w:val="Nadpis 8 Char"/>
    <w:basedOn w:val="Standardnpsmoodstavce"/>
    <w:link w:val="Nadpis8"/>
    <w:rsid w:val="001C6A1A"/>
    <w:rPr>
      <w:rFonts w:asciiTheme="minorHAnsi" w:eastAsia="Calibri" w:hAnsiTheme="minorHAnsi"/>
      <w:i/>
      <w:iCs/>
      <w:sz w:val="22"/>
      <w:szCs w:val="24"/>
    </w:rPr>
  </w:style>
  <w:style w:type="character" w:customStyle="1" w:styleId="Nadpis9Char">
    <w:name w:val="Nadpis 9 Char"/>
    <w:basedOn w:val="Standardnpsmoodstavce"/>
    <w:link w:val="Nadpis9"/>
    <w:rsid w:val="001C6A1A"/>
    <w:rPr>
      <w:rFonts w:ascii="Arial" w:eastAsia="Calibri" w:hAnsi="Arial" w:cs="Arial"/>
      <w:sz w:val="22"/>
      <w:szCs w:val="22"/>
    </w:rPr>
  </w:style>
  <w:style w:type="paragraph" w:styleId="Zhlav">
    <w:name w:val="header"/>
    <w:basedOn w:val="Normln"/>
    <w:link w:val="ZhlavChar"/>
    <w:uiPriority w:val="99"/>
    <w:unhideWhenUsed/>
    <w:rsid w:val="008C3F71"/>
    <w:pPr>
      <w:tabs>
        <w:tab w:val="center" w:pos="4536"/>
        <w:tab w:val="right" w:pos="9072"/>
      </w:tabs>
      <w:spacing w:after="0"/>
    </w:pPr>
  </w:style>
  <w:style w:type="character" w:customStyle="1" w:styleId="ZhlavChar">
    <w:name w:val="Záhlaví Char"/>
    <w:basedOn w:val="Standardnpsmoodstavce"/>
    <w:link w:val="Zhlav"/>
    <w:uiPriority w:val="99"/>
    <w:rsid w:val="008C3F71"/>
  </w:style>
  <w:style w:type="paragraph" w:styleId="Zpat">
    <w:name w:val="footer"/>
    <w:basedOn w:val="Normln"/>
    <w:link w:val="ZpatChar"/>
    <w:uiPriority w:val="99"/>
    <w:unhideWhenUsed/>
    <w:rsid w:val="008C3F71"/>
    <w:pPr>
      <w:tabs>
        <w:tab w:val="center" w:pos="4536"/>
        <w:tab w:val="right" w:pos="9072"/>
      </w:tabs>
      <w:spacing w:after="0"/>
    </w:pPr>
  </w:style>
  <w:style w:type="character" w:customStyle="1" w:styleId="ZpatChar">
    <w:name w:val="Zápatí Char"/>
    <w:basedOn w:val="Standardnpsmoodstavce"/>
    <w:link w:val="Zpat"/>
    <w:uiPriority w:val="99"/>
    <w:rsid w:val="008C3F71"/>
  </w:style>
  <w:style w:type="paragraph" w:styleId="Odstavecseseznamem">
    <w:name w:val="List Paragraph"/>
    <w:basedOn w:val="Normln"/>
    <w:uiPriority w:val="34"/>
    <w:qFormat/>
    <w:rsid w:val="008C3F71"/>
    <w:pPr>
      <w:ind w:left="708"/>
    </w:pPr>
  </w:style>
  <w:style w:type="paragraph" w:styleId="Textpoznpodarou">
    <w:name w:val="footnote text"/>
    <w:basedOn w:val="Normln"/>
    <w:link w:val="TextpoznpodarouChar"/>
    <w:uiPriority w:val="99"/>
    <w:unhideWhenUsed/>
    <w:rsid w:val="000C3574"/>
    <w:pPr>
      <w:spacing w:after="0"/>
    </w:pPr>
    <w:rPr>
      <w:sz w:val="20"/>
      <w:szCs w:val="20"/>
    </w:rPr>
  </w:style>
  <w:style w:type="character" w:customStyle="1" w:styleId="TextpoznpodarouChar">
    <w:name w:val="Text pozn. pod čarou Char"/>
    <w:basedOn w:val="Standardnpsmoodstavce"/>
    <w:link w:val="Textpoznpodarou"/>
    <w:uiPriority w:val="99"/>
    <w:rsid w:val="000C3574"/>
    <w:rPr>
      <w:sz w:val="20"/>
      <w:szCs w:val="20"/>
    </w:rPr>
  </w:style>
  <w:style w:type="character" w:styleId="Znakapoznpodarou">
    <w:name w:val="footnote reference"/>
    <w:basedOn w:val="Standardnpsmoodstavce"/>
    <w:uiPriority w:val="99"/>
    <w:unhideWhenUsed/>
    <w:rsid w:val="000C3574"/>
    <w:rPr>
      <w:vertAlign w:val="superscript"/>
    </w:rPr>
  </w:style>
  <w:style w:type="character" w:styleId="Siln">
    <w:name w:val="Strong"/>
    <w:qFormat/>
    <w:rsid w:val="001C6A1A"/>
    <w:rPr>
      <w:b/>
      <w:bCs/>
    </w:rPr>
  </w:style>
  <w:style w:type="character" w:styleId="Hypertextovodkaz">
    <w:name w:val="Hyperlink"/>
    <w:basedOn w:val="Standardnpsmoodstavce"/>
    <w:uiPriority w:val="99"/>
    <w:unhideWhenUsed/>
    <w:rsid w:val="00900D96"/>
    <w:rPr>
      <w:color w:val="0000FF" w:themeColor="hyperlink"/>
      <w:u w:val="single"/>
    </w:rPr>
  </w:style>
  <w:style w:type="character" w:customStyle="1" w:styleId="addmd">
    <w:name w:val="addmd"/>
    <w:basedOn w:val="Standardnpsmoodstavce"/>
    <w:rsid w:val="002B6FA6"/>
  </w:style>
  <w:style w:type="character" w:customStyle="1" w:styleId="apple-converted-space">
    <w:name w:val="apple-converted-space"/>
    <w:basedOn w:val="Standardnpsmoodstavce"/>
    <w:rsid w:val="00652B5E"/>
  </w:style>
  <w:style w:type="character" w:styleId="Sledovanodkaz">
    <w:name w:val="FollowedHyperlink"/>
    <w:basedOn w:val="Standardnpsmoodstavce"/>
    <w:uiPriority w:val="99"/>
    <w:semiHidden/>
    <w:unhideWhenUsed/>
    <w:rsid w:val="00936D39"/>
    <w:rPr>
      <w:color w:val="800080" w:themeColor="followedHyperlink"/>
      <w:u w:val="single"/>
    </w:rPr>
  </w:style>
  <w:style w:type="character" w:customStyle="1" w:styleId="hps">
    <w:name w:val="hps"/>
    <w:basedOn w:val="Standardnpsmoodstavce"/>
    <w:rsid w:val="00523CAE"/>
  </w:style>
  <w:style w:type="character" w:styleId="CittHTML">
    <w:name w:val="HTML Cite"/>
    <w:basedOn w:val="Standardnpsmoodstavce"/>
    <w:uiPriority w:val="99"/>
    <w:semiHidden/>
    <w:unhideWhenUsed/>
    <w:rsid w:val="007A7610"/>
    <w:rPr>
      <w:i/>
      <w:iCs/>
    </w:rPr>
  </w:style>
  <w:style w:type="paragraph" w:styleId="Nadpisobsahu">
    <w:name w:val="TOC Heading"/>
    <w:basedOn w:val="Nadpis1"/>
    <w:next w:val="Normln"/>
    <w:uiPriority w:val="39"/>
    <w:semiHidden/>
    <w:unhideWhenUsed/>
    <w:qFormat/>
    <w:rsid w:val="007A30BB"/>
    <w:pPr>
      <w:numPr>
        <w:numId w:val="0"/>
      </w:numPr>
      <w:outlineLvl w:val="9"/>
    </w:pPr>
    <w:rPr>
      <w:rFonts w:eastAsiaTheme="majorEastAsia" w:cstheme="majorBidi"/>
    </w:rPr>
  </w:style>
  <w:style w:type="paragraph" w:styleId="Obsah1">
    <w:name w:val="toc 1"/>
    <w:basedOn w:val="Normln"/>
    <w:next w:val="Normln"/>
    <w:autoRedefine/>
    <w:uiPriority w:val="39"/>
    <w:unhideWhenUsed/>
    <w:qFormat/>
    <w:rsid w:val="007A30BB"/>
    <w:pPr>
      <w:spacing w:before="360" w:after="0"/>
    </w:pPr>
    <w:rPr>
      <w:rFonts w:asciiTheme="majorHAnsi" w:hAnsiTheme="majorHAnsi"/>
      <w:b/>
      <w:bCs/>
      <w:caps/>
    </w:rPr>
  </w:style>
  <w:style w:type="paragraph" w:styleId="Textbubliny">
    <w:name w:val="Balloon Text"/>
    <w:basedOn w:val="Normln"/>
    <w:link w:val="TextbublinyChar"/>
    <w:uiPriority w:val="99"/>
    <w:semiHidden/>
    <w:unhideWhenUsed/>
    <w:rsid w:val="007A30B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30BB"/>
    <w:rPr>
      <w:rFonts w:ascii="Tahoma" w:hAnsi="Tahoma" w:cs="Tahoma"/>
      <w:sz w:val="16"/>
      <w:szCs w:val="16"/>
    </w:rPr>
  </w:style>
  <w:style w:type="paragraph" w:styleId="Obsah2">
    <w:name w:val="toc 2"/>
    <w:basedOn w:val="Normln"/>
    <w:next w:val="Normln"/>
    <w:autoRedefine/>
    <w:uiPriority w:val="39"/>
    <w:unhideWhenUsed/>
    <w:qFormat/>
    <w:rsid w:val="00352610"/>
    <w:pPr>
      <w:spacing w:before="240" w:after="0"/>
    </w:pPr>
    <w:rPr>
      <w:b/>
      <w:bCs/>
      <w:sz w:val="20"/>
      <w:szCs w:val="20"/>
    </w:rPr>
  </w:style>
  <w:style w:type="paragraph" w:styleId="Obsah3">
    <w:name w:val="toc 3"/>
    <w:basedOn w:val="Normln"/>
    <w:next w:val="Normln"/>
    <w:autoRedefine/>
    <w:uiPriority w:val="39"/>
    <w:unhideWhenUsed/>
    <w:qFormat/>
    <w:rsid w:val="006E5B49"/>
    <w:pPr>
      <w:spacing w:after="0"/>
      <w:ind w:left="240"/>
    </w:pPr>
    <w:rPr>
      <w:sz w:val="20"/>
      <w:szCs w:val="20"/>
    </w:rPr>
  </w:style>
  <w:style w:type="paragraph" w:styleId="Revize">
    <w:name w:val="Revision"/>
    <w:hidden/>
    <w:uiPriority w:val="99"/>
    <w:semiHidden/>
    <w:rsid w:val="0066788C"/>
  </w:style>
  <w:style w:type="paragraph" w:styleId="Textvysvtlivek">
    <w:name w:val="endnote text"/>
    <w:basedOn w:val="Normln"/>
    <w:link w:val="TextvysvtlivekChar"/>
    <w:uiPriority w:val="99"/>
    <w:semiHidden/>
    <w:unhideWhenUsed/>
    <w:rsid w:val="00A9025E"/>
    <w:pPr>
      <w:spacing w:after="0"/>
    </w:pPr>
    <w:rPr>
      <w:sz w:val="20"/>
      <w:szCs w:val="20"/>
    </w:rPr>
  </w:style>
  <w:style w:type="character" w:customStyle="1" w:styleId="TextvysvtlivekChar">
    <w:name w:val="Text vysvětlivek Char"/>
    <w:basedOn w:val="Standardnpsmoodstavce"/>
    <w:link w:val="Textvysvtlivek"/>
    <w:uiPriority w:val="99"/>
    <w:semiHidden/>
    <w:rsid w:val="00A9025E"/>
    <w:rPr>
      <w:sz w:val="20"/>
      <w:szCs w:val="20"/>
    </w:rPr>
  </w:style>
  <w:style w:type="character" w:styleId="Odkaznavysvtlivky">
    <w:name w:val="endnote reference"/>
    <w:basedOn w:val="Standardnpsmoodstavce"/>
    <w:uiPriority w:val="99"/>
    <w:semiHidden/>
    <w:unhideWhenUsed/>
    <w:rsid w:val="00A9025E"/>
    <w:rPr>
      <w:vertAlign w:val="superscript"/>
    </w:rPr>
  </w:style>
  <w:style w:type="character" w:styleId="Odkaznakoment">
    <w:name w:val="annotation reference"/>
    <w:basedOn w:val="Standardnpsmoodstavce"/>
    <w:uiPriority w:val="99"/>
    <w:semiHidden/>
    <w:unhideWhenUsed/>
    <w:rsid w:val="00646781"/>
    <w:rPr>
      <w:sz w:val="16"/>
      <w:szCs w:val="16"/>
    </w:rPr>
  </w:style>
  <w:style w:type="paragraph" w:styleId="Textkomente">
    <w:name w:val="annotation text"/>
    <w:basedOn w:val="Normln"/>
    <w:link w:val="TextkomenteChar"/>
    <w:uiPriority w:val="99"/>
    <w:semiHidden/>
    <w:unhideWhenUsed/>
    <w:rsid w:val="00646781"/>
    <w:rPr>
      <w:sz w:val="20"/>
      <w:szCs w:val="20"/>
    </w:rPr>
  </w:style>
  <w:style w:type="character" w:customStyle="1" w:styleId="TextkomenteChar">
    <w:name w:val="Text komentáře Char"/>
    <w:basedOn w:val="Standardnpsmoodstavce"/>
    <w:link w:val="Textkomente"/>
    <w:uiPriority w:val="99"/>
    <w:semiHidden/>
    <w:rsid w:val="00646781"/>
    <w:rPr>
      <w:sz w:val="20"/>
      <w:szCs w:val="20"/>
    </w:rPr>
  </w:style>
  <w:style w:type="paragraph" w:styleId="Pedmtkomente">
    <w:name w:val="annotation subject"/>
    <w:basedOn w:val="Textkomente"/>
    <w:next w:val="Textkomente"/>
    <w:link w:val="PedmtkomenteChar"/>
    <w:uiPriority w:val="99"/>
    <w:semiHidden/>
    <w:unhideWhenUsed/>
    <w:rsid w:val="00646781"/>
    <w:rPr>
      <w:b/>
      <w:bCs/>
    </w:rPr>
  </w:style>
  <w:style w:type="character" w:customStyle="1" w:styleId="PedmtkomenteChar">
    <w:name w:val="Předmět komentáře Char"/>
    <w:basedOn w:val="TextkomenteChar"/>
    <w:link w:val="Pedmtkomente"/>
    <w:uiPriority w:val="99"/>
    <w:semiHidden/>
    <w:rsid w:val="00646781"/>
    <w:rPr>
      <w:b/>
      <w:bCs/>
      <w:sz w:val="20"/>
      <w:szCs w:val="20"/>
    </w:rPr>
  </w:style>
  <w:style w:type="paragraph" w:styleId="Normlnweb">
    <w:name w:val="Normal (Web)"/>
    <w:basedOn w:val="Normln"/>
    <w:uiPriority w:val="99"/>
    <w:semiHidden/>
    <w:unhideWhenUsed/>
    <w:rsid w:val="00334248"/>
    <w:rPr>
      <w:rFonts w:ascii="Times New Roman" w:hAnsi="Times New Roman"/>
    </w:rPr>
  </w:style>
  <w:style w:type="paragraph" w:styleId="Bezmezer">
    <w:name w:val="No Spacing"/>
    <w:uiPriority w:val="1"/>
    <w:qFormat/>
    <w:rsid w:val="00A47DE7"/>
    <w:rPr>
      <w:rFonts w:asciiTheme="minorHAnsi" w:eastAsia="Calibri" w:hAnsiTheme="minorHAnsi"/>
      <w:sz w:val="22"/>
      <w:szCs w:val="24"/>
    </w:rPr>
  </w:style>
  <w:style w:type="character" w:styleId="Zvraznn">
    <w:name w:val="Emphasis"/>
    <w:uiPriority w:val="20"/>
    <w:qFormat/>
    <w:rsid w:val="001C6A1A"/>
    <w:rPr>
      <w:i/>
      <w:iCs/>
    </w:rPr>
  </w:style>
  <w:style w:type="paragraph" w:styleId="Podtitul">
    <w:name w:val="Subtitle"/>
    <w:basedOn w:val="Normln"/>
    <w:next w:val="Normln"/>
    <w:link w:val="PodtitulChar"/>
    <w:qFormat/>
    <w:rsid w:val="001C6A1A"/>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rsid w:val="001C6A1A"/>
    <w:rPr>
      <w:rFonts w:asciiTheme="majorHAnsi" w:eastAsiaTheme="majorEastAsia" w:hAnsiTheme="majorHAnsi" w:cstheme="majorBidi"/>
      <w:sz w:val="24"/>
      <w:szCs w:val="24"/>
    </w:rPr>
  </w:style>
  <w:style w:type="character" w:customStyle="1" w:styleId="st">
    <w:name w:val="st"/>
    <w:basedOn w:val="Standardnpsmoodstavce"/>
    <w:rsid w:val="00D11B2E"/>
  </w:style>
  <w:style w:type="character" w:customStyle="1" w:styleId="text70">
    <w:name w:val="text70"/>
    <w:basedOn w:val="Standardnpsmoodstavce"/>
    <w:rsid w:val="00FD25CE"/>
  </w:style>
  <w:style w:type="character" w:customStyle="1" w:styleId="exldetailsdisplayval">
    <w:name w:val="exldetailsdisplayval"/>
    <w:basedOn w:val="Standardnpsmoodstavce"/>
    <w:rsid w:val="00121569"/>
  </w:style>
  <w:style w:type="table" w:styleId="Mkatabulky">
    <w:name w:val="Table Grid"/>
    <w:basedOn w:val="Normlntabulka"/>
    <w:uiPriority w:val="59"/>
    <w:rsid w:val="00F5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9B7C20"/>
    <w:pPr>
      <w:spacing w:after="0"/>
      <w:ind w:left="480"/>
    </w:pPr>
    <w:rPr>
      <w:sz w:val="20"/>
      <w:szCs w:val="20"/>
    </w:rPr>
  </w:style>
  <w:style w:type="paragraph" w:styleId="Obsah5">
    <w:name w:val="toc 5"/>
    <w:basedOn w:val="Normln"/>
    <w:next w:val="Normln"/>
    <w:autoRedefine/>
    <w:uiPriority w:val="39"/>
    <w:unhideWhenUsed/>
    <w:rsid w:val="009B7C20"/>
    <w:pPr>
      <w:spacing w:after="0"/>
      <w:ind w:left="720"/>
    </w:pPr>
    <w:rPr>
      <w:sz w:val="20"/>
      <w:szCs w:val="20"/>
    </w:rPr>
  </w:style>
  <w:style w:type="paragraph" w:styleId="Obsah6">
    <w:name w:val="toc 6"/>
    <w:basedOn w:val="Normln"/>
    <w:next w:val="Normln"/>
    <w:autoRedefine/>
    <w:uiPriority w:val="39"/>
    <w:unhideWhenUsed/>
    <w:rsid w:val="009B7C20"/>
    <w:pPr>
      <w:spacing w:after="0"/>
      <w:ind w:left="960"/>
    </w:pPr>
    <w:rPr>
      <w:sz w:val="20"/>
      <w:szCs w:val="20"/>
    </w:rPr>
  </w:style>
  <w:style w:type="paragraph" w:styleId="Obsah7">
    <w:name w:val="toc 7"/>
    <w:basedOn w:val="Normln"/>
    <w:next w:val="Normln"/>
    <w:autoRedefine/>
    <w:uiPriority w:val="39"/>
    <w:unhideWhenUsed/>
    <w:rsid w:val="009B7C20"/>
    <w:pPr>
      <w:spacing w:after="0"/>
      <w:ind w:left="1200"/>
    </w:pPr>
    <w:rPr>
      <w:sz w:val="20"/>
      <w:szCs w:val="20"/>
    </w:rPr>
  </w:style>
  <w:style w:type="paragraph" w:styleId="Obsah8">
    <w:name w:val="toc 8"/>
    <w:basedOn w:val="Normln"/>
    <w:next w:val="Normln"/>
    <w:autoRedefine/>
    <w:uiPriority w:val="39"/>
    <w:unhideWhenUsed/>
    <w:rsid w:val="009B7C20"/>
    <w:pPr>
      <w:spacing w:after="0"/>
      <w:ind w:left="1440"/>
    </w:pPr>
    <w:rPr>
      <w:sz w:val="20"/>
      <w:szCs w:val="20"/>
    </w:rPr>
  </w:style>
  <w:style w:type="paragraph" w:styleId="Obsah9">
    <w:name w:val="toc 9"/>
    <w:basedOn w:val="Normln"/>
    <w:next w:val="Normln"/>
    <w:autoRedefine/>
    <w:uiPriority w:val="39"/>
    <w:unhideWhenUsed/>
    <w:rsid w:val="009B7C20"/>
    <w:pPr>
      <w:spacing w:after="0"/>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6030">
      <w:bodyDiv w:val="1"/>
      <w:marLeft w:val="0"/>
      <w:marRight w:val="0"/>
      <w:marTop w:val="0"/>
      <w:marBottom w:val="0"/>
      <w:divBdr>
        <w:top w:val="none" w:sz="0" w:space="0" w:color="auto"/>
        <w:left w:val="none" w:sz="0" w:space="0" w:color="auto"/>
        <w:bottom w:val="none" w:sz="0" w:space="0" w:color="auto"/>
        <w:right w:val="none" w:sz="0" w:space="0" w:color="auto"/>
      </w:divBdr>
    </w:div>
    <w:div w:id="41827329">
      <w:bodyDiv w:val="1"/>
      <w:marLeft w:val="0"/>
      <w:marRight w:val="0"/>
      <w:marTop w:val="0"/>
      <w:marBottom w:val="0"/>
      <w:divBdr>
        <w:top w:val="none" w:sz="0" w:space="0" w:color="auto"/>
        <w:left w:val="none" w:sz="0" w:space="0" w:color="auto"/>
        <w:bottom w:val="none" w:sz="0" w:space="0" w:color="auto"/>
        <w:right w:val="none" w:sz="0" w:space="0" w:color="auto"/>
      </w:divBdr>
    </w:div>
    <w:div w:id="73087997">
      <w:bodyDiv w:val="1"/>
      <w:marLeft w:val="0"/>
      <w:marRight w:val="0"/>
      <w:marTop w:val="0"/>
      <w:marBottom w:val="0"/>
      <w:divBdr>
        <w:top w:val="none" w:sz="0" w:space="0" w:color="auto"/>
        <w:left w:val="none" w:sz="0" w:space="0" w:color="auto"/>
        <w:bottom w:val="none" w:sz="0" w:space="0" w:color="auto"/>
        <w:right w:val="none" w:sz="0" w:space="0" w:color="auto"/>
      </w:divBdr>
    </w:div>
    <w:div w:id="154999428">
      <w:bodyDiv w:val="1"/>
      <w:marLeft w:val="0"/>
      <w:marRight w:val="0"/>
      <w:marTop w:val="0"/>
      <w:marBottom w:val="0"/>
      <w:divBdr>
        <w:top w:val="none" w:sz="0" w:space="0" w:color="auto"/>
        <w:left w:val="none" w:sz="0" w:space="0" w:color="auto"/>
        <w:bottom w:val="none" w:sz="0" w:space="0" w:color="auto"/>
        <w:right w:val="none" w:sz="0" w:space="0" w:color="auto"/>
      </w:divBdr>
    </w:div>
    <w:div w:id="167213184">
      <w:bodyDiv w:val="1"/>
      <w:marLeft w:val="0"/>
      <w:marRight w:val="0"/>
      <w:marTop w:val="0"/>
      <w:marBottom w:val="0"/>
      <w:divBdr>
        <w:top w:val="none" w:sz="0" w:space="0" w:color="auto"/>
        <w:left w:val="none" w:sz="0" w:space="0" w:color="auto"/>
        <w:bottom w:val="none" w:sz="0" w:space="0" w:color="auto"/>
        <w:right w:val="none" w:sz="0" w:space="0" w:color="auto"/>
      </w:divBdr>
    </w:div>
    <w:div w:id="217907574">
      <w:bodyDiv w:val="1"/>
      <w:marLeft w:val="0"/>
      <w:marRight w:val="0"/>
      <w:marTop w:val="0"/>
      <w:marBottom w:val="0"/>
      <w:divBdr>
        <w:top w:val="none" w:sz="0" w:space="0" w:color="auto"/>
        <w:left w:val="none" w:sz="0" w:space="0" w:color="auto"/>
        <w:bottom w:val="none" w:sz="0" w:space="0" w:color="auto"/>
        <w:right w:val="none" w:sz="0" w:space="0" w:color="auto"/>
      </w:divBdr>
    </w:div>
    <w:div w:id="225459742">
      <w:bodyDiv w:val="1"/>
      <w:marLeft w:val="0"/>
      <w:marRight w:val="0"/>
      <w:marTop w:val="0"/>
      <w:marBottom w:val="0"/>
      <w:divBdr>
        <w:top w:val="none" w:sz="0" w:space="0" w:color="auto"/>
        <w:left w:val="none" w:sz="0" w:space="0" w:color="auto"/>
        <w:bottom w:val="none" w:sz="0" w:space="0" w:color="auto"/>
        <w:right w:val="none" w:sz="0" w:space="0" w:color="auto"/>
      </w:divBdr>
    </w:div>
    <w:div w:id="227496730">
      <w:bodyDiv w:val="1"/>
      <w:marLeft w:val="0"/>
      <w:marRight w:val="0"/>
      <w:marTop w:val="0"/>
      <w:marBottom w:val="0"/>
      <w:divBdr>
        <w:top w:val="none" w:sz="0" w:space="0" w:color="auto"/>
        <w:left w:val="none" w:sz="0" w:space="0" w:color="auto"/>
        <w:bottom w:val="none" w:sz="0" w:space="0" w:color="auto"/>
        <w:right w:val="none" w:sz="0" w:space="0" w:color="auto"/>
      </w:divBdr>
    </w:div>
    <w:div w:id="228343918">
      <w:bodyDiv w:val="1"/>
      <w:marLeft w:val="0"/>
      <w:marRight w:val="0"/>
      <w:marTop w:val="0"/>
      <w:marBottom w:val="0"/>
      <w:divBdr>
        <w:top w:val="none" w:sz="0" w:space="0" w:color="auto"/>
        <w:left w:val="none" w:sz="0" w:space="0" w:color="auto"/>
        <w:bottom w:val="none" w:sz="0" w:space="0" w:color="auto"/>
        <w:right w:val="none" w:sz="0" w:space="0" w:color="auto"/>
      </w:divBdr>
    </w:div>
    <w:div w:id="273562435">
      <w:bodyDiv w:val="1"/>
      <w:marLeft w:val="0"/>
      <w:marRight w:val="0"/>
      <w:marTop w:val="0"/>
      <w:marBottom w:val="0"/>
      <w:divBdr>
        <w:top w:val="none" w:sz="0" w:space="0" w:color="auto"/>
        <w:left w:val="none" w:sz="0" w:space="0" w:color="auto"/>
        <w:bottom w:val="none" w:sz="0" w:space="0" w:color="auto"/>
        <w:right w:val="none" w:sz="0" w:space="0" w:color="auto"/>
      </w:divBdr>
    </w:div>
    <w:div w:id="309092929">
      <w:bodyDiv w:val="1"/>
      <w:marLeft w:val="0"/>
      <w:marRight w:val="0"/>
      <w:marTop w:val="0"/>
      <w:marBottom w:val="0"/>
      <w:divBdr>
        <w:top w:val="none" w:sz="0" w:space="0" w:color="auto"/>
        <w:left w:val="none" w:sz="0" w:space="0" w:color="auto"/>
        <w:bottom w:val="none" w:sz="0" w:space="0" w:color="auto"/>
        <w:right w:val="none" w:sz="0" w:space="0" w:color="auto"/>
      </w:divBdr>
    </w:div>
    <w:div w:id="334499367">
      <w:bodyDiv w:val="1"/>
      <w:marLeft w:val="0"/>
      <w:marRight w:val="0"/>
      <w:marTop w:val="0"/>
      <w:marBottom w:val="0"/>
      <w:divBdr>
        <w:top w:val="none" w:sz="0" w:space="0" w:color="auto"/>
        <w:left w:val="none" w:sz="0" w:space="0" w:color="auto"/>
        <w:bottom w:val="none" w:sz="0" w:space="0" w:color="auto"/>
        <w:right w:val="none" w:sz="0" w:space="0" w:color="auto"/>
      </w:divBdr>
      <w:divsChild>
        <w:div w:id="382290937">
          <w:marLeft w:val="0"/>
          <w:marRight w:val="0"/>
          <w:marTop w:val="0"/>
          <w:marBottom w:val="0"/>
          <w:divBdr>
            <w:top w:val="none" w:sz="0" w:space="0" w:color="auto"/>
            <w:left w:val="none" w:sz="0" w:space="0" w:color="auto"/>
            <w:bottom w:val="none" w:sz="0" w:space="0" w:color="auto"/>
            <w:right w:val="none" w:sz="0" w:space="0" w:color="auto"/>
          </w:divBdr>
        </w:div>
        <w:div w:id="514925092">
          <w:marLeft w:val="0"/>
          <w:marRight w:val="0"/>
          <w:marTop w:val="0"/>
          <w:marBottom w:val="0"/>
          <w:divBdr>
            <w:top w:val="none" w:sz="0" w:space="0" w:color="auto"/>
            <w:left w:val="none" w:sz="0" w:space="0" w:color="auto"/>
            <w:bottom w:val="none" w:sz="0" w:space="0" w:color="auto"/>
            <w:right w:val="none" w:sz="0" w:space="0" w:color="auto"/>
          </w:divBdr>
        </w:div>
        <w:div w:id="874469870">
          <w:marLeft w:val="0"/>
          <w:marRight w:val="0"/>
          <w:marTop w:val="0"/>
          <w:marBottom w:val="0"/>
          <w:divBdr>
            <w:top w:val="none" w:sz="0" w:space="0" w:color="auto"/>
            <w:left w:val="none" w:sz="0" w:space="0" w:color="auto"/>
            <w:bottom w:val="none" w:sz="0" w:space="0" w:color="auto"/>
            <w:right w:val="none" w:sz="0" w:space="0" w:color="auto"/>
          </w:divBdr>
        </w:div>
        <w:div w:id="1298687397">
          <w:marLeft w:val="0"/>
          <w:marRight w:val="0"/>
          <w:marTop w:val="0"/>
          <w:marBottom w:val="0"/>
          <w:divBdr>
            <w:top w:val="none" w:sz="0" w:space="0" w:color="auto"/>
            <w:left w:val="none" w:sz="0" w:space="0" w:color="auto"/>
            <w:bottom w:val="none" w:sz="0" w:space="0" w:color="auto"/>
            <w:right w:val="none" w:sz="0" w:space="0" w:color="auto"/>
          </w:divBdr>
        </w:div>
        <w:div w:id="1457138198">
          <w:marLeft w:val="0"/>
          <w:marRight w:val="0"/>
          <w:marTop w:val="0"/>
          <w:marBottom w:val="0"/>
          <w:divBdr>
            <w:top w:val="none" w:sz="0" w:space="0" w:color="auto"/>
            <w:left w:val="none" w:sz="0" w:space="0" w:color="auto"/>
            <w:bottom w:val="none" w:sz="0" w:space="0" w:color="auto"/>
            <w:right w:val="none" w:sz="0" w:space="0" w:color="auto"/>
          </w:divBdr>
        </w:div>
      </w:divsChild>
    </w:div>
    <w:div w:id="347828049">
      <w:bodyDiv w:val="1"/>
      <w:marLeft w:val="0"/>
      <w:marRight w:val="0"/>
      <w:marTop w:val="0"/>
      <w:marBottom w:val="0"/>
      <w:divBdr>
        <w:top w:val="none" w:sz="0" w:space="0" w:color="auto"/>
        <w:left w:val="none" w:sz="0" w:space="0" w:color="auto"/>
        <w:bottom w:val="none" w:sz="0" w:space="0" w:color="auto"/>
        <w:right w:val="none" w:sz="0" w:space="0" w:color="auto"/>
      </w:divBdr>
    </w:div>
    <w:div w:id="378943406">
      <w:bodyDiv w:val="1"/>
      <w:marLeft w:val="0"/>
      <w:marRight w:val="0"/>
      <w:marTop w:val="0"/>
      <w:marBottom w:val="0"/>
      <w:divBdr>
        <w:top w:val="none" w:sz="0" w:space="0" w:color="auto"/>
        <w:left w:val="none" w:sz="0" w:space="0" w:color="auto"/>
        <w:bottom w:val="none" w:sz="0" w:space="0" w:color="auto"/>
        <w:right w:val="none" w:sz="0" w:space="0" w:color="auto"/>
      </w:divBdr>
    </w:div>
    <w:div w:id="396974679">
      <w:bodyDiv w:val="1"/>
      <w:marLeft w:val="0"/>
      <w:marRight w:val="0"/>
      <w:marTop w:val="0"/>
      <w:marBottom w:val="0"/>
      <w:divBdr>
        <w:top w:val="none" w:sz="0" w:space="0" w:color="auto"/>
        <w:left w:val="none" w:sz="0" w:space="0" w:color="auto"/>
        <w:bottom w:val="none" w:sz="0" w:space="0" w:color="auto"/>
        <w:right w:val="none" w:sz="0" w:space="0" w:color="auto"/>
      </w:divBdr>
    </w:div>
    <w:div w:id="400759789">
      <w:bodyDiv w:val="1"/>
      <w:marLeft w:val="0"/>
      <w:marRight w:val="0"/>
      <w:marTop w:val="0"/>
      <w:marBottom w:val="0"/>
      <w:divBdr>
        <w:top w:val="none" w:sz="0" w:space="0" w:color="auto"/>
        <w:left w:val="none" w:sz="0" w:space="0" w:color="auto"/>
        <w:bottom w:val="none" w:sz="0" w:space="0" w:color="auto"/>
        <w:right w:val="none" w:sz="0" w:space="0" w:color="auto"/>
      </w:divBdr>
    </w:div>
    <w:div w:id="407308226">
      <w:bodyDiv w:val="1"/>
      <w:marLeft w:val="0"/>
      <w:marRight w:val="0"/>
      <w:marTop w:val="0"/>
      <w:marBottom w:val="0"/>
      <w:divBdr>
        <w:top w:val="none" w:sz="0" w:space="0" w:color="auto"/>
        <w:left w:val="none" w:sz="0" w:space="0" w:color="auto"/>
        <w:bottom w:val="none" w:sz="0" w:space="0" w:color="auto"/>
        <w:right w:val="none" w:sz="0" w:space="0" w:color="auto"/>
      </w:divBdr>
    </w:div>
    <w:div w:id="407994185">
      <w:bodyDiv w:val="1"/>
      <w:marLeft w:val="0"/>
      <w:marRight w:val="0"/>
      <w:marTop w:val="0"/>
      <w:marBottom w:val="0"/>
      <w:divBdr>
        <w:top w:val="none" w:sz="0" w:space="0" w:color="auto"/>
        <w:left w:val="none" w:sz="0" w:space="0" w:color="auto"/>
        <w:bottom w:val="none" w:sz="0" w:space="0" w:color="auto"/>
        <w:right w:val="none" w:sz="0" w:space="0" w:color="auto"/>
      </w:divBdr>
    </w:div>
    <w:div w:id="418327551">
      <w:bodyDiv w:val="1"/>
      <w:marLeft w:val="0"/>
      <w:marRight w:val="0"/>
      <w:marTop w:val="0"/>
      <w:marBottom w:val="0"/>
      <w:divBdr>
        <w:top w:val="none" w:sz="0" w:space="0" w:color="auto"/>
        <w:left w:val="none" w:sz="0" w:space="0" w:color="auto"/>
        <w:bottom w:val="none" w:sz="0" w:space="0" w:color="auto"/>
        <w:right w:val="none" w:sz="0" w:space="0" w:color="auto"/>
      </w:divBdr>
    </w:div>
    <w:div w:id="437800204">
      <w:bodyDiv w:val="1"/>
      <w:marLeft w:val="0"/>
      <w:marRight w:val="0"/>
      <w:marTop w:val="0"/>
      <w:marBottom w:val="0"/>
      <w:divBdr>
        <w:top w:val="none" w:sz="0" w:space="0" w:color="auto"/>
        <w:left w:val="none" w:sz="0" w:space="0" w:color="auto"/>
        <w:bottom w:val="none" w:sz="0" w:space="0" w:color="auto"/>
        <w:right w:val="none" w:sz="0" w:space="0" w:color="auto"/>
      </w:divBdr>
    </w:div>
    <w:div w:id="449519849">
      <w:bodyDiv w:val="1"/>
      <w:marLeft w:val="0"/>
      <w:marRight w:val="0"/>
      <w:marTop w:val="0"/>
      <w:marBottom w:val="0"/>
      <w:divBdr>
        <w:top w:val="none" w:sz="0" w:space="0" w:color="auto"/>
        <w:left w:val="none" w:sz="0" w:space="0" w:color="auto"/>
        <w:bottom w:val="none" w:sz="0" w:space="0" w:color="auto"/>
        <w:right w:val="none" w:sz="0" w:space="0" w:color="auto"/>
      </w:divBdr>
    </w:div>
    <w:div w:id="483355960">
      <w:bodyDiv w:val="1"/>
      <w:marLeft w:val="0"/>
      <w:marRight w:val="0"/>
      <w:marTop w:val="0"/>
      <w:marBottom w:val="0"/>
      <w:divBdr>
        <w:top w:val="none" w:sz="0" w:space="0" w:color="auto"/>
        <w:left w:val="none" w:sz="0" w:space="0" w:color="auto"/>
        <w:bottom w:val="none" w:sz="0" w:space="0" w:color="auto"/>
        <w:right w:val="none" w:sz="0" w:space="0" w:color="auto"/>
      </w:divBdr>
    </w:div>
    <w:div w:id="502278368">
      <w:bodyDiv w:val="1"/>
      <w:marLeft w:val="0"/>
      <w:marRight w:val="0"/>
      <w:marTop w:val="0"/>
      <w:marBottom w:val="0"/>
      <w:divBdr>
        <w:top w:val="none" w:sz="0" w:space="0" w:color="auto"/>
        <w:left w:val="none" w:sz="0" w:space="0" w:color="auto"/>
        <w:bottom w:val="none" w:sz="0" w:space="0" w:color="auto"/>
        <w:right w:val="none" w:sz="0" w:space="0" w:color="auto"/>
      </w:divBdr>
    </w:div>
    <w:div w:id="518474118">
      <w:bodyDiv w:val="1"/>
      <w:marLeft w:val="0"/>
      <w:marRight w:val="0"/>
      <w:marTop w:val="0"/>
      <w:marBottom w:val="0"/>
      <w:divBdr>
        <w:top w:val="none" w:sz="0" w:space="0" w:color="auto"/>
        <w:left w:val="none" w:sz="0" w:space="0" w:color="auto"/>
        <w:bottom w:val="none" w:sz="0" w:space="0" w:color="auto"/>
        <w:right w:val="none" w:sz="0" w:space="0" w:color="auto"/>
      </w:divBdr>
      <w:divsChild>
        <w:div w:id="406614103">
          <w:marLeft w:val="0"/>
          <w:marRight w:val="0"/>
          <w:marTop w:val="0"/>
          <w:marBottom w:val="0"/>
          <w:divBdr>
            <w:top w:val="none" w:sz="0" w:space="0" w:color="auto"/>
            <w:left w:val="none" w:sz="0" w:space="0" w:color="auto"/>
            <w:bottom w:val="none" w:sz="0" w:space="0" w:color="auto"/>
            <w:right w:val="none" w:sz="0" w:space="0" w:color="auto"/>
          </w:divBdr>
        </w:div>
        <w:div w:id="443498541">
          <w:marLeft w:val="0"/>
          <w:marRight w:val="0"/>
          <w:marTop w:val="0"/>
          <w:marBottom w:val="0"/>
          <w:divBdr>
            <w:top w:val="none" w:sz="0" w:space="0" w:color="auto"/>
            <w:left w:val="none" w:sz="0" w:space="0" w:color="auto"/>
            <w:bottom w:val="none" w:sz="0" w:space="0" w:color="auto"/>
            <w:right w:val="none" w:sz="0" w:space="0" w:color="auto"/>
          </w:divBdr>
        </w:div>
        <w:div w:id="1656059549">
          <w:marLeft w:val="0"/>
          <w:marRight w:val="0"/>
          <w:marTop w:val="0"/>
          <w:marBottom w:val="0"/>
          <w:divBdr>
            <w:top w:val="none" w:sz="0" w:space="0" w:color="auto"/>
            <w:left w:val="none" w:sz="0" w:space="0" w:color="auto"/>
            <w:bottom w:val="none" w:sz="0" w:space="0" w:color="auto"/>
            <w:right w:val="none" w:sz="0" w:space="0" w:color="auto"/>
          </w:divBdr>
        </w:div>
      </w:divsChild>
    </w:div>
    <w:div w:id="518590851">
      <w:bodyDiv w:val="1"/>
      <w:marLeft w:val="0"/>
      <w:marRight w:val="0"/>
      <w:marTop w:val="0"/>
      <w:marBottom w:val="0"/>
      <w:divBdr>
        <w:top w:val="none" w:sz="0" w:space="0" w:color="auto"/>
        <w:left w:val="none" w:sz="0" w:space="0" w:color="auto"/>
        <w:bottom w:val="none" w:sz="0" w:space="0" w:color="auto"/>
        <w:right w:val="none" w:sz="0" w:space="0" w:color="auto"/>
      </w:divBdr>
    </w:div>
    <w:div w:id="521164400">
      <w:bodyDiv w:val="1"/>
      <w:marLeft w:val="0"/>
      <w:marRight w:val="0"/>
      <w:marTop w:val="0"/>
      <w:marBottom w:val="0"/>
      <w:divBdr>
        <w:top w:val="none" w:sz="0" w:space="0" w:color="auto"/>
        <w:left w:val="none" w:sz="0" w:space="0" w:color="auto"/>
        <w:bottom w:val="none" w:sz="0" w:space="0" w:color="auto"/>
        <w:right w:val="none" w:sz="0" w:space="0" w:color="auto"/>
      </w:divBdr>
    </w:div>
    <w:div w:id="540900753">
      <w:bodyDiv w:val="1"/>
      <w:marLeft w:val="0"/>
      <w:marRight w:val="0"/>
      <w:marTop w:val="0"/>
      <w:marBottom w:val="0"/>
      <w:divBdr>
        <w:top w:val="none" w:sz="0" w:space="0" w:color="auto"/>
        <w:left w:val="none" w:sz="0" w:space="0" w:color="auto"/>
        <w:bottom w:val="none" w:sz="0" w:space="0" w:color="auto"/>
        <w:right w:val="none" w:sz="0" w:space="0" w:color="auto"/>
      </w:divBdr>
    </w:div>
    <w:div w:id="598564469">
      <w:bodyDiv w:val="1"/>
      <w:marLeft w:val="0"/>
      <w:marRight w:val="0"/>
      <w:marTop w:val="0"/>
      <w:marBottom w:val="0"/>
      <w:divBdr>
        <w:top w:val="none" w:sz="0" w:space="0" w:color="auto"/>
        <w:left w:val="none" w:sz="0" w:space="0" w:color="auto"/>
        <w:bottom w:val="none" w:sz="0" w:space="0" w:color="auto"/>
        <w:right w:val="none" w:sz="0" w:space="0" w:color="auto"/>
      </w:divBdr>
      <w:divsChild>
        <w:div w:id="1248463310">
          <w:marLeft w:val="0"/>
          <w:marRight w:val="0"/>
          <w:marTop w:val="0"/>
          <w:marBottom w:val="0"/>
          <w:divBdr>
            <w:top w:val="none" w:sz="0" w:space="0" w:color="auto"/>
            <w:left w:val="none" w:sz="0" w:space="0" w:color="auto"/>
            <w:bottom w:val="none" w:sz="0" w:space="0" w:color="auto"/>
            <w:right w:val="none" w:sz="0" w:space="0" w:color="auto"/>
          </w:divBdr>
        </w:div>
        <w:div w:id="1902475366">
          <w:marLeft w:val="0"/>
          <w:marRight w:val="0"/>
          <w:marTop w:val="0"/>
          <w:marBottom w:val="0"/>
          <w:divBdr>
            <w:top w:val="none" w:sz="0" w:space="0" w:color="auto"/>
            <w:left w:val="none" w:sz="0" w:space="0" w:color="auto"/>
            <w:bottom w:val="none" w:sz="0" w:space="0" w:color="auto"/>
            <w:right w:val="none" w:sz="0" w:space="0" w:color="auto"/>
          </w:divBdr>
        </w:div>
        <w:div w:id="2043943279">
          <w:marLeft w:val="0"/>
          <w:marRight w:val="0"/>
          <w:marTop w:val="0"/>
          <w:marBottom w:val="0"/>
          <w:divBdr>
            <w:top w:val="none" w:sz="0" w:space="0" w:color="auto"/>
            <w:left w:val="none" w:sz="0" w:space="0" w:color="auto"/>
            <w:bottom w:val="none" w:sz="0" w:space="0" w:color="auto"/>
            <w:right w:val="none" w:sz="0" w:space="0" w:color="auto"/>
          </w:divBdr>
        </w:div>
      </w:divsChild>
    </w:div>
    <w:div w:id="607005984">
      <w:bodyDiv w:val="1"/>
      <w:marLeft w:val="0"/>
      <w:marRight w:val="0"/>
      <w:marTop w:val="0"/>
      <w:marBottom w:val="0"/>
      <w:divBdr>
        <w:top w:val="none" w:sz="0" w:space="0" w:color="auto"/>
        <w:left w:val="none" w:sz="0" w:space="0" w:color="auto"/>
        <w:bottom w:val="none" w:sz="0" w:space="0" w:color="auto"/>
        <w:right w:val="none" w:sz="0" w:space="0" w:color="auto"/>
      </w:divBdr>
    </w:div>
    <w:div w:id="639500930">
      <w:bodyDiv w:val="1"/>
      <w:marLeft w:val="0"/>
      <w:marRight w:val="0"/>
      <w:marTop w:val="0"/>
      <w:marBottom w:val="0"/>
      <w:divBdr>
        <w:top w:val="none" w:sz="0" w:space="0" w:color="auto"/>
        <w:left w:val="none" w:sz="0" w:space="0" w:color="auto"/>
        <w:bottom w:val="none" w:sz="0" w:space="0" w:color="auto"/>
        <w:right w:val="none" w:sz="0" w:space="0" w:color="auto"/>
      </w:divBdr>
    </w:div>
    <w:div w:id="650014460">
      <w:bodyDiv w:val="1"/>
      <w:marLeft w:val="0"/>
      <w:marRight w:val="0"/>
      <w:marTop w:val="0"/>
      <w:marBottom w:val="0"/>
      <w:divBdr>
        <w:top w:val="none" w:sz="0" w:space="0" w:color="auto"/>
        <w:left w:val="none" w:sz="0" w:space="0" w:color="auto"/>
        <w:bottom w:val="none" w:sz="0" w:space="0" w:color="auto"/>
        <w:right w:val="none" w:sz="0" w:space="0" w:color="auto"/>
      </w:divBdr>
    </w:div>
    <w:div w:id="682825829">
      <w:bodyDiv w:val="1"/>
      <w:marLeft w:val="0"/>
      <w:marRight w:val="0"/>
      <w:marTop w:val="0"/>
      <w:marBottom w:val="0"/>
      <w:divBdr>
        <w:top w:val="none" w:sz="0" w:space="0" w:color="auto"/>
        <w:left w:val="none" w:sz="0" w:space="0" w:color="auto"/>
        <w:bottom w:val="none" w:sz="0" w:space="0" w:color="auto"/>
        <w:right w:val="none" w:sz="0" w:space="0" w:color="auto"/>
      </w:divBdr>
    </w:div>
    <w:div w:id="698353636">
      <w:bodyDiv w:val="1"/>
      <w:marLeft w:val="0"/>
      <w:marRight w:val="0"/>
      <w:marTop w:val="0"/>
      <w:marBottom w:val="0"/>
      <w:divBdr>
        <w:top w:val="none" w:sz="0" w:space="0" w:color="auto"/>
        <w:left w:val="none" w:sz="0" w:space="0" w:color="auto"/>
        <w:bottom w:val="none" w:sz="0" w:space="0" w:color="auto"/>
        <w:right w:val="none" w:sz="0" w:space="0" w:color="auto"/>
      </w:divBdr>
    </w:div>
    <w:div w:id="705980739">
      <w:bodyDiv w:val="1"/>
      <w:marLeft w:val="0"/>
      <w:marRight w:val="0"/>
      <w:marTop w:val="0"/>
      <w:marBottom w:val="0"/>
      <w:divBdr>
        <w:top w:val="none" w:sz="0" w:space="0" w:color="auto"/>
        <w:left w:val="none" w:sz="0" w:space="0" w:color="auto"/>
        <w:bottom w:val="none" w:sz="0" w:space="0" w:color="auto"/>
        <w:right w:val="none" w:sz="0" w:space="0" w:color="auto"/>
      </w:divBdr>
      <w:divsChild>
        <w:div w:id="108741329">
          <w:marLeft w:val="0"/>
          <w:marRight w:val="0"/>
          <w:marTop w:val="0"/>
          <w:marBottom w:val="0"/>
          <w:divBdr>
            <w:top w:val="none" w:sz="0" w:space="0" w:color="auto"/>
            <w:left w:val="none" w:sz="0" w:space="0" w:color="auto"/>
            <w:bottom w:val="none" w:sz="0" w:space="0" w:color="auto"/>
            <w:right w:val="none" w:sz="0" w:space="0" w:color="auto"/>
          </w:divBdr>
        </w:div>
        <w:div w:id="1895191268">
          <w:marLeft w:val="0"/>
          <w:marRight w:val="0"/>
          <w:marTop w:val="0"/>
          <w:marBottom w:val="0"/>
          <w:divBdr>
            <w:top w:val="none" w:sz="0" w:space="0" w:color="auto"/>
            <w:left w:val="none" w:sz="0" w:space="0" w:color="auto"/>
            <w:bottom w:val="none" w:sz="0" w:space="0" w:color="auto"/>
            <w:right w:val="none" w:sz="0" w:space="0" w:color="auto"/>
          </w:divBdr>
        </w:div>
        <w:div w:id="1958637684">
          <w:marLeft w:val="0"/>
          <w:marRight w:val="0"/>
          <w:marTop w:val="0"/>
          <w:marBottom w:val="0"/>
          <w:divBdr>
            <w:top w:val="none" w:sz="0" w:space="0" w:color="auto"/>
            <w:left w:val="none" w:sz="0" w:space="0" w:color="auto"/>
            <w:bottom w:val="none" w:sz="0" w:space="0" w:color="auto"/>
            <w:right w:val="none" w:sz="0" w:space="0" w:color="auto"/>
          </w:divBdr>
        </w:div>
      </w:divsChild>
    </w:div>
    <w:div w:id="732001542">
      <w:bodyDiv w:val="1"/>
      <w:marLeft w:val="0"/>
      <w:marRight w:val="0"/>
      <w:marTop w:val="0"/>
      <w:marBottom w:val="0"/>
      <w:divBdr>
        <w:top w:val="none" w:sz="0" w:space="0" w:color="auto"/>
        <w:left w:val="none" w:sz="0" w:space="0" w:color="auto"/>
        <w:bottom w:val="none" w:sz="0" w:space="0" w:color="auto"/>
        <w:right w:val="none" w:sz="0" w:space="0" w:color="auto"/>
      </w:divBdr>
    </w:div>
    <w:div w:id="732237039">
      <w:bodyDiv w:val="1"/>
      <w:marLeft w:val="0"/>
      <w:marRight w:val="0"/>
      <w:marTop w:val="0"/>
      <w:marBottom w:val="0"/>
      <w:divBdr>
        <w:top w:val="none" w:sz="0" w:space="0" w:color="auto"/>
        <w:left w:val="none" w:sz="0" w:space="0" w:color="auto"/>
        <w:bottom w:val="none" w:sz="0" w:space="0" w:color="auto"/>
        <w:right w:val="none" w:sz="0" w:space="0" w:color="auto"/>
      </w:divBdr>
    </w:div>
    <w:div w:id="742147266">
      <w:bodyDiv w:val="1"/>
      <w:marLeft w:val="0"/>
      <w:marRight w:val="0"/>
      <w:marTop w:val="0"/>
      <w:marBottom w:val="0"/>
      <w:divBdr>
        <w:top w:val="none" w:sz="0" w:space="0" w:color="auto"/>
        <w:left w:val="none" w:sz="0" w:space="0" w:color="auto"/>
        <w:bottom w:val="none" w:sz="0" w:space="0" w:color="auto"/>
        <w:right w:val="none" w:sz="0" w:space="0" w:color="auto"/>
      </w:divBdr>
    </w:div>
    <w:div w:id="895316096">
      <w:bodyDiv w:val="1"/>
      <w:marLeft w:val="0"/>
      <w:marRight w:val="0"/>
      <w:marTop w:val="0"/>
      <w:marBottom w:val="0"/>
      <w:divBdr>
        <w:top w:val="none" w:sz="0" w:space="0" w:color="auto"/>
        <w:left w:val="none" w:sz="0" w:space="0" w:color="auto"/>
        <w:bottom w:val="none" w:sz="0" w:space="0" w:color="auto"/>
        <w:right w:val="none" w:sz="0" w:space="0" w:color="auto"/>
      </w:divBdr>
    </w:div>
    <w:div w:id="910509323">
      <w:bodyDiv w:val="1"/>
      <w:marLeft w:val="0"/>
      <w:marRight w:val="0"/>
      <w:marTop w:val="0"/>
      <w:marBottom w:val="0"/>
      <w:divBdr>
        <w:top w:val="none" w:sz="0" w:space="0" w:color="auto"/>
        <w:left w:val="none" w:sz="0" w:space="0" w:color="auto"/>
        <w:bottom w:val="none" w:sz="0" w:space="0" w:color="auto"/>
        <w:right w:val="none" w:sz="0" w:space="0" w:color="auto"/>
      </w:divBdr>
    </w:div>
    <w:div w:id="926766593">
      <w:bodyDiv w:val="1"/>
      <w:marLeft w:val="0"/>
      <w:marRight w:val="0"/>
      <w:marTop w:val="0"/>
      <w:marBottom w:val="0"/>
      <w:divBdr>
        <w:top w:val="none" w:sz="0" w:space="0" w:color="auto"/>
        <w:left w:val="none" w:sz="0" w:space="0" w:color="auto"/>
        <w:bottom w:val="none" w:sz="0" w:space="0" w:color="auto"/>
        <w:right w:val="none" w:sz="0" w:space="0" w:color="auto"/>
      </w:divBdr>
    </w:div>
    <w:div w:id="947199913">
      <w:bodyDiv w:val="1"/>
      <w:marLeft w:val="0"/>
      <w:marRight w:val="0"/>
      <w:marTop w:val="0"/>
      <w:marBottom w:val="0"/>
      <w:divBdr>
        <w:top w:val="none" w:sz="0" w:space="0" w:color="auto"/>
        <w:left w:val="none" w:sz="0" w:space="0" w:color="auto"/>
        <w:bottom w:val="none" w:sz="0" w:space="0" w:color="auto"/>
        <w:right w:val="none" w:sz="0" w:space="0" w:color="auto"/>
      </w:divBdr>
    </w:div>
    <w:div w:id="1002128116">
      <w:bodyDiv w:val="1"/>
      <w:marLeft w:val="0"/>
      <w:marRight w:val="0"/>
      <w:marTop w:val="0"/>
      <w:marBottom w:val="0"/>
      <w:divBdr>
        <w:top w:val="none" w:sz="0" w:space="0" w:color="auto"/>
        <w:left w:val="none" w:sz="0" w:space="0" w:color="auto"/>
        <w:bottom w:val="none" w:sz="0" w:space="0" w:color="auto"/>
        <w:right w:val="none" w:sz="0" w:space="0" w:color="auto"/>
      </w:divBdr>
    </w:div>
    <w:div w:id="1005015907">
      <w:bodyDiv w:val="1"/>
      <w:marLeft w:val="0"/>
      <w:marRight w:val="0"/>
      <w:marTop w:val="0"/>
      <w:marBottom w:val="0"/>
      <w:divBdr>
        <w:top w:val="none" w:sz="0" w:space="0" w:color="auto"/>
        <w:left w:val="none" w:sz="0" w:space="0" w:color="auto"/>
        <w:bottom w:val="none" w:sz="0" w:space="0" w:color="auto"/>
        <w:right w:val="none" w:sz="0" w:space="0" w:color="auto"/>
      </w:divBdr>
      <w:divsChild>
        <w:div w:id="1341085191">
          <w:marLeft w:val="0"/>
          <w:marRight w:val="0"/>
          <w:marTop w:val="0"/>
          <w:marBottom w:val="0"/>
          <w:divBdr>
            <w:top w:val="none" w:sz="0" w:space="0" w:color="auto"/>
            <w:left w:val="none" w:sz="0" w:space="0" w:color="auto"/>
            <w:bottom w:val="none" w:sz="0" w:space="0" w:color="auto"/>
            <w:right w:val="none" w:sz="0" w:space="0" w:color="auto"/>
          </w:divBdr>
        </w:div>
        <w:div w:id="1563559227">
          <w:marLeft w:val="0"/>
          <w:marRight w:val="0"/>
          <w:marTop w:val="0"/>
          <w:marBottom w:val="0"/>
          <w:divBdr>
            <w:top w:val="none" w:sz="0" w:space="0" w:color="auto"/>
            <w:left w:val="none" w:sz="0" w:space="0" w:color="auto"/>
            <w:bottom w:val="none" w:sz="0" w:space="0" w:color="auto"/>
            <w:right w:val="none" w:sz="0" w:space="0" w:color="auto"/>
          </w:divBdr>
        </w:div>
      </w:divsChild>
    </w:div>
    <w:div w:id="1011027012">
      <w:bodyDiv w:val="1"/>
      <w:marLeft w:val="0"/>
      <w:marRight w:val="0"/>
      <w:marTop w:val="0"/>
      <w:marBottom w:val="0"/>
      <w:divBdr>
        <w:top w:val="none" w:sz="0" w:space="0" w:color="auto"/>
        <w:left w:val="none" w:sz="0" w:space="0" w:color="auto"/>
        <w:bottom w:val="none" w:sz="0" w:space="0" w:color="auto"/>
        <w:right w:val="none" w:sz="0" w:space="0" w:color="auto"/>
      </w:divBdr>
    </w:div>
    <w:div w:id="1029527153">
      <w:bodyDiv w:val="1"/>
      <w:marLeft w:val="0"/>
      <w:marRight w:val="0"/>
      <w:marTop w:val="0"/>
      <w:marBottom w:val="0"/>
      <w:divBdr>
        <w:top w:val="none" w:sz="0" w:space="0" w:color="auto"/>
        <w:left w:val="none" w:sz="0" w:space="0" w:color="auto"/>
        <w:bottom w:val="none" w:sz="0" w:space="0" w:color="auto"/>
        <w:right w:val="none" w:sz="0" w:space="0" w:color="auto"/>
      </w:divBdr>
    </w:div>
    <w:div w:id="1086195570">
      <w:bodyDiv w:val="1"/>
      <w:marLeft w:val="0"/>
      <w:marRight w:val="0"/>
      <w:marTop w:val="0"/>
      <w:marBottom w:val="0"/>
      <w:divBdr>
        <w:top w:val="none" w:sz="0" w:space="0" w:color="auto"/>
        <w:left w:val="none" w:sz="0" w:space="0" w:color="auto"/>
        <w:bottom w:val="none" w:sz="0" w:space="0" w:color="auto"/>
        <w:right w:val="none" w:sz="0" w:space="0" w:color="auto"/>
      </w:divBdr>
    </w:div>
    <w:div w:id="1086879664">
      <w:bodyDiv w:val="1"/>
      <w:marLeft w:val="0"/>
      <w:marRight w:val="0"/>
      <w:marTop w:val="0"/>
      <w:marBottom w:val="0"/>
      <w:divBdr>
        <w:top w:val="none" w:sz="0" w:space="0" w:color="auto"/>
        <w:left w:val="none" w:sz="0" w:space="0" w:color="auto"/>
        <w:bottom w:val="none" w:sz="0" w:space="0" w:color="auto"/>
        <w:right w:val="none" w:sz="0" w:space="0" w:color="auto"/>
      </w:divBdr>
      <w:divsChild>
        <w:div w:id="340397501">
          <w:marLeft w:val="0"/>
          <w:marRight w:val="0"/>
          <w:marTop w:val="0"/>
          <w:marBottom w:val="0"/>
          <w:divBdr>
            <w:top w:val="none" w:sz="0" w:space="0" w:color="auto"/>
            <w:left w:val="none" w:sz="0" w:space="0" w:color="auto"/>
            <w:bottom w:val="none" w:sz="0" w:space="0" w:color="auto"/>
            <w:right w:val="none" w:sz="0" w:space="0" w:color="auto"/>
          </w:divBdr>
        </w:div>
        <w:div w:id="663555339">
          <w:marLeft w:val="0"/>
          <w:marRight w:val="0"/>
          <w:marTop w:val="0"/>
          <w:marBottom w:val="0"/>
          <w:divBdr>
            <w:top w:val="none" w:sz="0" w:space="0" w:color="auto"/>
            <w:left w:val="none" w:sz="0" w:space="0" w:color="auto"/>
            <w:bottom w:val="none" w:sz="0" w:space="0" w:color="auto"/>
            <w:right w:val="none" w:sz="0" w:space="0" w:color="auto"/>
          </w:divBdr>
        </w:div>
        <w:div w:id="1773816011">
          <w:marLeft w:val="0"/>
          <w:marRight w:val="0"/>
          <w:marTop w:val="0"/>
          <w:marBottom w:val="0"/>
          <w:divBdr>
            <w:top w:val="none" w:sz="0" w:space="0" w:color="auto"/>
            <w:left w:val="none" w:sz="0" w:space="0" w:color="auto"/>
            <w:bottom w:val="none" w:sz="0" w:space="0" w:color="auto"/>
            <w:right w:val="none" w:sz="0" w:space="0" w:color="auto"/>
          </w:divBdr>
        </w:div>
      </w:divsChild>
    </w:div>
    <w:div w:id="1090664911">
      <w:bodyDiv w:val="1"/>
      <w:marLeft w:val="0"/>
      <w:marRight w:val="0"/>
      <w:marTop w:val="0"/>
      <w:marBottom w:val="0"/>
      <w:divBdr>
        <w:top w:val="none" w:sz="0" w:space="0" w:color="auto"/>
        <w:left w:val="none" w:sz="0" w:space="0" w:color="auto"/>
        <w:bottom w:val="none" w:sz="0" w:space="0" w:color="auto"/>
        <w:right w:val="none" w:sz="0" w:space="0" w:color="auto"/>
      </w:divBdr>
    </w:div>
    <w:div w:id="1122385685">
      <w:bodyDiv w:val="1"/>
      <w:marLeft w:val="0"/>
      <w:marRight w:val="0"/>
      <w:marTop w:val="0"/>
      <w:marBottom w:val="0"/>
      <w:divBdr>
        <w:top w:val="none" w:sz="0" w:space="0" w:color="auto"/>
        <w:left w:val="none" w:sz="0" w:space="0" w:color="auto"/>
        <w:bottom w:val="none" w:sz="0" w:space="0" w:color="auto"/>
        <w:right w:val="none" w:sz="0" w:space="0" w:color="auto"/>
      </w:divBdr>
    </w:div>
    <w:div w:id="1127049801">
      <w:bodyDiv w:val="1"/>
      <w:marLeft w:val="0"/>
      <w:marRight w:val="0"/>
      <w:marTop w:val="0"/>
      <w:marBottom w:val="0"/>
      <w:divBdr>
        <w:top w:val="none" w:sz="0" w:space="0" w:color="auto"/>
        <w:left w:val="none" w:sz="0" w:space="0" w:color="auto"/>
        <w:bottom w:val="none" w:sz="0" w:space="0" w:color="auto"/>
        <w:right w:val="none" w:sz="0" w:space="0" w:color="auto"/>
      </w:divBdr>
    </w:div>
    <w:div w:id="1160344838">
      <w:bodyDiv w:val="1"/>
      <w:marLeft w:val="0"/>
      <w:marRight w:val="0"/>
      <w:marTop w:val="0"/>
      <w:marBottom w:val="0"/>
      <w:divBdr>
        <w:top w:val="none" w:sz="0" w:space="0" w:color="auto"/>
        <w:left w:val="none" w:sz="0" w:space="0" w:color="auto"/>
        <w:bottom w:val="none" w:sz="0" w:space="0" w:color="auto"/>
        <w:right w:val="none" w:sz="0" w:space="0" w:color="auto"/>
      </w:divBdr>
    </w:div>
    <w:div w:id="1196430163">
      <w:bodyDiv w:val="1"/>
      <w:marLeft w:val="0"/>
      <w:marRight w:val="0"/>
      <w:marTop w:val="0"/>
      <w:marBottom w:val="0"/>
      <w:divBdr>
        <w:top w:val="none" w:sz="0" w:space="0" w:color="auto"/>
        <w:left w:val="none" w:sz="0" w:space="0" w:color="auto"/>
        <w:bottom w:val="none" w:sz="0" w:space="0" w:color="auto"/>
        <w:right w:val="none" w:sz="0" w:space="0" w:color="auto"/>
      </w:divBdr>
      <w:divsChild>
        <w:div w:id="742919678">
          <w:marLeft w:val="0"/>
          <w:marRight w:val="0"/>
          <w:marTop w:val="0"/>
          <w:marBottom w:val="0"/>
          <w:divBdr>
            <w:top w:val="none" w:sz="0" w:space="0" w:color="auto"/>
            <w:left w:val="none" w:sz="0" w:space="0" w:color="auto"/>
            <w:bottom w:val="none" w:sz="0" w:space="0" w:color="auto"/>
            <w:right w:val="none" w:sz="0" w:space="0" w:color="auto"/>
          </w:divBdr>
        </w:div>
        <w:div w:id="1467895421">
          <w:marLeft w:val="0"/>
          <w:marRight w:val="0"/>
          <w:marTop w:val="0"/>
          <w:marBottom w:val="0"/>
          <w:divBdr>
            <w:top w:val="none" w:sz="0" w:space="0" w:color="auto"/>
            <w:left w:val="none" w:sz="0" w:space="0" w:color="auto"/>
            <w:bottom w:val="none" w:sz="0" w:space="0" w:color="auto"/>
            <w:right w:val="none" w:sz="0" w:space="0" w:color="auto"/>
          </w:divBdr>
        </w:div>
      </w:divsChild>
    </w:div>
    <w:div w:id="1213154815">
      <w:bodyDiv w:val="1"/>
      <w:marLeft w:val="0"/>
      <w:marRight w:val="0"/>
      <w:marTop w:val="0"/>
      <w:marBottom w:val="0"/>
      <w:divBdr>
        <w:top w:val="none" w:sz="0" w:space="0" w:color="auto"/>
        <w:left w:val="none" w:sz="0" w:space="0" w:color="auto"/>
        <w:bottom w:val="none" w:sz="0" w:space="0" w:color="auto"/>
        <w:right w:val="none" w:sz="0" w:space="0" w:color="auto"/>
      </w:divBdr>
    </w:div>
    <w:div w:id="1246765543">
      <w:bodyDiv w:val="1"/>
      <w:marLeft w:val="0"/>
      <w:marRight w:val="0"/>
      <w:marTop w:val="0"/>
      <w:marBottom w:val="0"/>
      <w:divBdr>
        <w:top w:val="none" w:sz="0" w:space="0" w:color="auto"/>
        <w:left w:val="none" w:sz="0" w:space="0" w:color="auto"/>
        <w:bottom w:val="none" w:sz="0" w:space="0" w:color="auto"/>
        <w:right w:val="none" w:sz="0" w:space="0" w:color="auto"/>
      </w:divBdr>
      <w:divsChild>
        <w:div w:id="123741457">
          <w:marLeft w:val="0"/>
          <w:marRight w:val="0"/>
          <w:marTop w:val="0"/>
          <w:marBottom w:val="0"/>
          <w:divBdr>
            <w:top w:val="none" w:sz="0" w:space="0" w:color="auto"/>
            <w:left w:val="none" w:sz="0" w:space="0" w:color="auto"/>
            <w:bottom w:val="none" w:sz="0" w:space="0" w:color="auto"/>
            <w:right w:val="none" w:sz="0" w:space="0" w:color="auto"/>
          </w:divBdr>
          <w:divsChild>
            <w:div w:id="349651419">
              <w:marLeft w:val="0"/>
              <w:marRight w:val="0"/>
              <w:marTop w:val="0"/>
              <w:marBottom w:val="0"/>
              <w:divBdr>
                <w:top w:val="none" w:sz="0" w:space="0" w:color="auto"/>
                <w:left w:val="none" w:sz="0" w:space="0" w:color="auto"/>
                <w:bottom w:val="none" w:sz="0" w:space="0" w:color="auto"/>
                <w:right w:val="none" w:sz="0" w:space="0" w:color="auto"/>
              </w:divBdr>
              <w:divsChild>
                <w:div w:id="36442864">
                  <w:marLeft w:val="0"/>
                  <w:marRight w:val="0"/>
                  <w:marTop w:val="0"/>
                  <w:marBottom w:val="0"/>
                  <w:divBdr>
                    <w:top w:val="none" w:sz="0" w:space="0" w:color="auto"/>
                    <w:left w:val="none" w:sz="0" w:space="0" w:color="auto"/>
                    <w:bottom w:val="none" w:sz="0" w:space="0" w:color="auto"/>
                    <w:right w:val="none" w:sz="0" w:space="0" w:color="auto"/>
                  </w:divBdr>
                </w:div>
                <w:div w:id="2708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6558">
          <w:marLeft w:val="0"/>
          <w:marRight w:val="0"/>
          <w:marTop w:val="0"/>
          <w:marBottom w:val="0"/>
          <w:divBdr>
            <w:top w:val="none" w:sz="0" w:space="0" w:color="auto"/>
            <w:left w:val="none" w:sz="0" w:space="0" w:color="auto"/>
            <w:bottom w:val="none" w:sz="0" w:space="0" w:color="auto"/>
            <w:right w:val="none" w:sz="0" w:space="0" w:color="auto"/>
          </w:divBdr>
        </w:div>
        <w:div w:id="1898323595">
          <w:marLeft w:val="0"/>
          <w:marRight w:val="0"/>
          <w:marTop w:val="0"/>
          <w:marBottom w:val="0"/>
          <w:divBdr>
            <w:top w:val="none" w:sz="0" w:space="0" w:color="auto"/>
            <w:left w:val="none" w:sz="0" w:space="0" w:color="auto"/>
            <w:bottom w:val="none" w:sz="0" w:space="0" w:color="auto"/>
            <w:right w:val="none" w:sz="0" w:space="0" w:color="auto"/>
          </w:divBdr>
          <w:divsChild>
            <w:div w:id="1593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5988">
      <w:bodyDiv w:val="1"/>
      <w:marLeft w:val="0"/>
      <w:marRight w:val="0"/>
      <w:marTop w:val="0"/>
      <w:marBottom w:val="0"/>
      <w:divBdr>
        <w:top w:val="none" w:sz="0" w:space="0" w:color="auto"/>
        <w:left w:val="none" w:sz="0" w:space="0" w:color="auto"/>
        <w:bottom w:val="none" w:sz="0" w:space="0" w:color="auto"/>
        <w:right w:val="none" w:sz="0" w:space="0" w:color="auto"/>
      </w:divBdr>
      <w:divsChild>
        <w:div w:id="428504104">
          <w:marLeft w:val="0"/>
          <w:marRight w:val="0"/>
          <w:marTop w:val="0"/>
          <w:marBottom w:val="0"/>
          <w:divBdr>
            <w:top w:val="none" w:sz="0" w:space="0" w:color="auto"/>
            <w:left w:val="none" w:sz="0" w:space="0" w:color="auto"/>
            <w:bottom w:val="none" w:sz="0" w:space="0" w:color="auto"/>
            <w:right w:val="none" w:sz="0" w:space="0" w:color="auto"/>
          </w:divBdr>
        </w:div>
        <w:div w:id="820587081">
          <w:marLeft w:val="0"/>
          <w:marRight w:val="0"/>
          <w:marTop w:val="0"/>
          <w:marBottom w:val="0"/>
          <w:divBdr>
            <w:top w:val="none" w:sz="0" w:space="0" w:color="auto"/>
            <w:left w:val="none" w:sz="0" w:space="0" w:color="auto"/>
            <w:bottom w:val="none" w:sz="0" w:space="0" w:color="auto"/>
            <w:right w:val="none" w:sz="0" w:space="0" w:color="auto"/>
          </w:divBdr>
        </w:div>
        <w:div w:id="843319902">
          <w:marLeft w:val="0"/>
          <w:marRight w:val="0"/>
          <w:marTop w:val="0"/>
          <w:marBottom w:val="0"/>
          <w:divBdr>
            <w:top w:val="none" w:sz="0" w:space="0" w:color="auto"/>
            <w:left w:val="none" w:sz="0" w:space="0" w:color="auto"/>
            <w:bottom w:val="none" w:sz="0" w:space="0" w:color="auto"/>
            <w:right w:val="none" w:sz="0" w:space="0" w:color="auto"/>
          </w:divBdr>
        </w:div>
        <w:div w:id="1262252163">
          <w:marLeft w:val="0"/>
          <w:marRight w:val="0"/>
          <w:marTop w:val="0"/>
          <w:marBottom w:val="0"/>
          <w:divBdr>
            <w:top w:val="none" w:sz="0" w:space="0" w:color="auto"/>
            <w:left w:val="none" w:sz="0" w:space="0" w:color="auto"/>
            <w:bottom w:val="none" w:sz="0" w:space="0" w:color="auto"/>
            <w:right w:val="none" w:sz="0" w:space="0" w:color="auto"/>
          </w:divBdr>
        </w:div>
        <w:div w:id="1386488145">
          <w:marLeft w:val="0"/>
          <w:marRight w:val="0"/>
          <w:marTop w:val="0"/>
          <w:marBottom w:val="0"/>
          <w:divBdr>
            <w:top w:val="none" w:sz="0" w:space="0" w:color="auto"/>
            <w:left w:val="none" w:sz="0" w:space="0" w:color="auto"/>
            <w:bottom w:val="none" w:sz="0" w:space="0" w:color="auto"/>
            <w:right w:val="none" w:sz="0" w:space="0" w:color="auto"/>
          </w:divBdr>
        </w:div>
        <w:div w:id="1659646253">
          <w:marLeft w:val="0"/>
          <w:marRight w:val="0"/>
          <w:marTop w:val="0"/>
          <w:marBottom w:val="0"/>
          <w:divBdr>
            <w:top w:val="none" w:sz="0" w:space="0" w:color="auto"/>
            <w:left w:val="none" w:sz="0" w:space="0" w:color="auto"/>
            <w:bottom w:val="none" w:sz="0" w:space="0" w:color="auto"/>
            <w:right w:val="none" w:sz="0" w:space="0" w:color="auto"/>
          </w:divBdr>
        </w:div>
        <w:div w:id="1998603872">
          <w:marLeft w:val="0"/>
          <w:marRight w:val="0"/>
          <w:marTop w:val="0"/>
          <w:marBottom w:val="0"/>
          <w:divBdr>
            <w:top w:val="none" w:sz="0" w:space="0" w:color="auto"/>
            <w:left w:val="none" w:sz="0" w:space="0" w:color="auto"/>
            <w:bottom w:val="none" w:sz="0" w:space="0" w:color="auto"/>
            <w:right w:val="none" w:sz="0" w:space="0" w:color="auto"/>
          </w:divBdr>
        </w:div>
      </w:divsChild>
    </w:div>
    <w:div w:id="1276791844">
      <w:bodyDiv w:val="1"/>
      <w:marLeft w:val="0"/>
      <w:marRight w:val="0"/>
      <w:marTop w:val="0"/>
      <w:marBottom w:val="0"/>
      <w:divBdr>
        <w:top w:val="none" w:sz="0" w:space="0" w:color="auto"/>
        <w:left w:val="none" w:sz="0" w:space="0" w:color="auto"/>
        <w:bottom w:val="none" w:sz="0" w:space="0" w:color="auto"/>
        <w:right w:val="none" w:sz="0" w:space="0" w:color="auto"/>
      </w:divBdr>
    </w:div>
    <w:div w:id="1323923974">
      <w:bodyDiv w:val="1"/>
      <w:marLeft w:val="0"/>
      <w:marRight w:val="0"/>
      <w:marTop w:val="0"/>
      <w:marBottom w:val="0"/>
      <w:divBdr>
        <w:top w:val="none" w:sz="0" w:space="0" w:color="auto"/>
        <w:left w:val="none" w:sz="0" w:space="0" w:color="auto"/>
        <w:bottom w:val="none" w:sz="0" w:space="0" w:color="auto"/>
        <w:right w:val="none" w:sz="0" w:space="0" w:color="auto"/>
      </w:divBdr>
    </w:div>
    <w:div w:id="1354379139">
      <w:bodyDiv w:val="1"/>
      <w:marLeft w:val="0"/>
      <w:marRight w:val="0"/>
      <w:marTop w:val="0"/>
      <w:marBottom w:val="0"/>
      <w:divBdr>
        <w:top w:val="none" w:sz="0" w:space="0" w:color="auto"/>
        <w:left w:val="none" w:sz="0" w:space="0" w:color="auto"/>
        <w:bottom w:val="none" w:sz="0" w:space="0" w:color="auto"/>
        <w:right w:val="none" w:sz="0" w:space="0" w:color="auto"/>
      </w:divBdr>
    </w:div>
    <w:div w:id="1367871721">
      <w:bodyDiv w:val="1"/>
      <w:marLeft w:val="0"/>
      <w:marRight w:val="0"/>
      <w:marTop w:val="0"/>
      <w:marBottom w:val="0"/>
      <w:divBdr>
        <w:top w:val="none" w:sz="0" w:space="0" w:color="auto"/>
        <w:left w:val="none" w:sz="0" w:space="0" w:color="auto"/>
        <w:bottom w:val="none" w:sz="0" w:space="0" w:color="auto"/>
        <w:right w:val="none" w:sz="0" w:space="0" w:color="auto"/>
      </w:divBdr>
    </w:div>
    <w:div w:id="1382903877">
      <w:bodyDiv w:val="1"/>
      <w:marLeft w:val="0"/>
      <w:marRight w:val="0"/>
      <w:marTop w:val="0"/>
      <w:marBottom w:val="0"/>
      <w:divBdr>
        <w:top w:val="none" w:sz="0" w:space="0" w:color="auto"/>
        <w:left w:val="none" w:sz="0" w:space="0" w:color="auto"/>
        <w:bottom w:val="none" w:sz="0" w:space="0" w:color="auto"/>
        <w:right w:val="none" w:sz="0" w:space="0" w:color="auto"/>
      </w:divBdr>
    </w:div>
    <w:div w:id="1385103799">
      <w:bodyDiv w:val="1"/>
      <w:marLeft w:val="0"/>
      <w:marRight w:val="0"/>
      <w:marTop w:val="0"/>
      <w:marBottom w:val="0"/>
      <w:divBdr>
        <w:top w:val="none" w:sz="0" w:space="0" w:color="auto"/>
        <w:left w:val="none" w:sz="0" w:space="0" w:color="auto"/>
        <w:bottom w:val="none" w:sz="0" w:space="0" w:color="auto"/>
        <w:right w:val="none" w:sz="0" w:space="0" w:color="auto"/>
      </w:divBdr>
    </w:div>
    <w:div w:id="1401250785">
      <w:bodyDiv w:val="1"/>
      <w:marLeft w:val="0"/>
      <w:marRight w:val="0"/>
      <w:marTop w:val="0"/>
      <w:marBottom w:val="0"/>
      <w:divBdr>
        <w:top w:val="none" w:sz="0" w:space="0" w:color="auto"/>
        <w:left w:val="none" w:sz="0" w:space="0" w:color="auto"/>
        <w:bottom w:val="none" w:sz="0" w:space="0" w:color="auto"/>
        <w:right w:val="none" w:sz="0" w:space="0" w:color="auto"/>
      </w:divBdr>
      <w:divsChild>
        <w:div w:id="1585802440">
          <w:marLeft w:val="0"/>
          <w:marRight w:val="0"/>
          <w:marTop w:val="0"/>
          <w:marBottom w:val="0"/>
          <w:divBdr>
            <w:top w:val="none" w:sz="0" w:space="0" w:color="auto"/>
            <w:left w:val="none" w:sz="0" w:space="0" w:color="auto"/>
            <w:bottom w:val="none" w:sz="0" w:space="0" w:color="auto"/>
            <w:right w:val="none" w:sz="0" w:space="0" w:color="auto"/>
          </w:divBdr>
          <w:divsChild>
            <w:div w:id="1608543909">
              <w:marLeft w:val="0"/>
              <w:marRight w:val="0"/>
              <w:marTop w:val="0"/>
              <w:marBottom w:val="0"/>
              <w:divBdr>
                <w:top w:val="none" w:sz="0" w:space="0" w:color="auto"/>
                <w:left w:val="none" w:sz="0" w:space="0" w:color="auto"/>
                <w:bottom w:val="none" w:sz="0" w:space="0" w:color="auto"/>
                <w:right w:val="none" w:sz="0" w:space="0" w:color="auto"/>
              </w:divBdr>
              <w:divsChild>
                <w:div w:id="2085107188">
                  <w:marLeft w:val="0"/>
                  <w:marRight w:val="0"/>
                  <w:marTop w:val="0"/>
                  <w:marBottom w:val="0"/>
                  <w:divBdr>
                    <w:top w:val="none" w:sz="0" w:space="0" w:color="auto"/>
                    <w:left w:val="none" w:sz="0" w:space="0" w:color="auto"/>
                    <w:bottom w:val="none" w:sz="0" w:space="0" w:color="auto"/>
                    <w:right w:val="none" w:sz="0" w:space="0" w:color="auto"/>
                  </w:divBdr>
                  <w:divsChild>
                    <w:div w:id="9999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42581">
      <w:bodyDiv w:val="1"/>
      <w:marLeft w:val="0"/>
      <w:marRight w:val="0"/>
      <w:marTop w:val="0"/>
      <w:marBottom w:val="0"/>
      <w:divBdr>
        <w:top w:val="none" w:sz="0" w:space="0" w:color="auto"/>
        <w:left w:val="none" w:sz="0" w:space="0" w:color="auto"/>
        <w:bottom w:val="none" w:sz="0" w:space="0" w:color="auto"/>
        <w:right w:val="none" w:sz="0" w:space="0" w:color="auto"/>
      </w:divBdr>
    </w:div>
    <w:div w:id="1423916169">
      <w:bodyDiv w:val="1"/>
      <w:marLeft w:val="0"/>
      <w:marRight w:val="0"/>
      <w:marTop w:val="0"/>
      <w:marBottom w:val="0"/>
      <w:divBdr>
        <w:top w:val="none" w:sz="0" w:space="0" w:color="auto"/>
        <w:left w:val="none" w:sz="0" w:space="0" w:color="auto"/>
        <w:bottom w:val="none" w:sz="0" w:space="0" w:color="auto"/>
        <w:right w:val="none" w:sz="0" w:space="0" w:color="auto"/>
      </w:divBdr>
    </w:div>
    <w:div w:id="1437749572">
      <w:bodyDiv w:val="1"/>
      <w:marLeft w:val="0"/>
      <w:marRight w:val="0"/>
      <w:marTop w:val="0"/>
      <w:marBottom w:val="0"/>
      <w:divBdr>
        <w:top w:val="none" w:sz="0" w:space="0" w:color="auto"/>
        <w:left w:val="none" w:sz="0" w:space="0" w:color="auto"/>
        <w:bottom w:val="none" w:sz="0" w:space="0" w:color="auto"/>
        <w:right w:val="none" w:sz="0" w:space="0" w:color="auto"/>
      </w:divBdr>
    </w:div>
    <w:div w:id="1526098564">
      <w:bodyDiv w:val="1"/>
      <w:marLeft w:val="0"/>
      <w:marRight w:val="0"/>
      <w:marTop w:val="0"/>
      <w:marBottom w:val="0"/>
      <w:divBdr>
        <w:top w:val="none" w:sz="0" w:space="0" w:color="auto"/>
        <w:left w:val="none" w:sz="0" w:space="0" w:color="auto"/>
        <w:bottom w:val="none" w:sz="0" w:space="0" w:color="auto"/>
        <w:right w:val="none" w:sz="0" w:space="0" w:color="auto"/>
      </w:divBdr>
      <w:divsChild>
        <w:div w:id="1541088015">
          <w:marLeft w:val="0"/>
          <w:marRight w:val="0"/>
          <w:marTop w:val="0"/>
          <w:marBottom w:val="0"/>
          <w:divBdr>
            <w:top w:val="none" w:sz="0" w:space="0" w:color="auto"/>
            <w:left w:val="none" w:sz="0" w:space="0" w:color="auto"/>
            <w:bottom w:val="none" w:sz="0" w:space="0" w:color="auto"/>
            <w:right w:val="none" w:sz="0" w:space="0" w:color="auto"/>
          </w:divBdr>
        </w:div>
        <w:div w:id="52970990">
          <w:marLeft w:val="0"/>
          <w:marRight w:val="0"/>
          <w:marTop w:val="0"/>
          <w:marBottom w:val="0"/>
          <w:divBdr>
            <w:top w:val="none" w:sz="0" w:space="0" w:color="auto"/>
            <w:left w:val="none" w:sz="0" w:space="0" w:color="auto"/>
            <w:bottom w:val="none" w:sz="0" w:space="0" w:color="auto"/>
            <w:right w:val="none" w:sz="0" w:space="0" w:color="auto"/>
          </w:divBdr>
        </w:div>
        <w:div w:id="1295140279">
          <w:marLeft w:val="0"/>
          <w:marRight w:val="0"/>
          <w:marTop w:val="0"/>
          <w:marBottom w:val="0"/>
          <w:divBdr>
            <w:top w:val="none" w:sz="0" w:space="0" w:color="auto"/>
            <w:left w:val="none" w:sz="0" w:space="0" w:color="auto"/>
            <w:bottom w:val="none" w:sz="0" w:space="0" w:color="auto"/>
            <w:right w:val="none" w:sz="0" w:space="0" w:color="auto"/>
          </w:divBdr>
        </w:div>
        <w:div w:id="337271093">
          <w:marLeft w:val="0"/>
          <w:marRight w:val="0"/>
          <w:marTop w:val="0"/>
          <w:marBottom w:val="0"/>
          <w:divBdr>
            <w:top w:val="none" w:sz="0" w:space="0" w:color="auto"/>
            <w:left w:val="none" w:sz="0" w:space="0" w:color="auto"/>
            <w:bottom w:val="none" w:sz="0" w:space="0" w:color="auto"/>
            <w:right w:val="none" w:sz="0" w:space="0" w:color="auto"/>
          </w:divBdr>
        </w:div>
      </w:divsChild>
    </w:div>
    <w:div w:id="1528519143">
      <w:bodyDiv w:val="1"/>
      <w:marLeft w:val="0"/>
      <w:marRight w:val="0"/>
      <w:marTop w:val="0"/>
      <w:marBottom w:val="0"/>
      <w:divBdr>
        <w:top w:val="none" w:sz="0" w:space="0" w:color="auto"/>
        <w:left w:val="none" w:sz="0" w:space="0" w:color="auto"/>
        <w:bottom w:val="none" w:sz="0" w:space="0" w:color="auto"/>
        <w:right w:val="none" w:sz="0" w:space="0" w:color="auto"/>
      </w:divBdr>
    </w:div>
    <w:div w:id="1558667436">
      <w:bodyDiv w:val="1"/>
      <w:marLeft w:val="0"/>
      <w:marRight w:val="0"/>
      <w:marTop w:val="0"/>
      <w:marBottom w:val="0"/>
      <w:divBdr>
        <w:top w:val="none" w:sz="0" w:space="0" w:color="auto"/>
        <w:left w:val="none" w:sz="0" w:space="0" w:color="auto"/>
        <w:bottom w:val="none" w:sz="0" w:space="0" w:color="auto"/>
        <w:right w:val="none" w:sz="0" w:space="0" w:color="auto"/>
      </w:divBdr>
    </w:div>
    <w:div w:id="1573733890">
      <w:bodyDiv w:val="1"/>
      <w:marLeft w:val="0"/>
      <w:marRight w:val="0"/>
      <w:marTop w:val="0"/>
      <w:marBottom w:val="0"/>
      <w:divBdr>
        <w:top w:val="none" w:sz="0" w:space="0" w:color="auto"/>
        <w:left w:val="none" w:sz="0" w:space="0" w:color="auto"/>
        <w:bottom w:val="none" w:sz="0" w:space="0" w:color="auto"/>
        <w:right w:val="none" w:sz="0" w:space="0" w:color="auto"/>
      </w:divBdr>
    </w:div>
    <w:div w:id="1592930354">
      <w:bodyDiv w:val="1"/>
      <w:marLeft w:val="0"/>
      <w:marRight w:val="0"/>
      <w:marTop w:val="0"/>
      <w:marBottom w:val="0"/>
      <w:divBdr>
        <w:top w:val="none" w:sz="0" w:space="0" w:color="auto"/>
        <w:left w:val="none" w:sz="0" w:space="0" w:color="auto"/>
        <w:bottom w:val="none" w:sz="0" w:space="0" w:color="auto"/>
        <w:right w:val="none" w:sz="0" w:space="0" w:color="auto"/>
      </w:divBdr>
    </w:div>
    <w:div w:id="1620843475">
      <w:bodyDiv w:val="1"/>
      <w:marLeft w:val="0"/>
      <w:marRight w:val="0"/>
      <w:marTop w:val="0"/>
      <w:marBottom w:val="0"/>
      <w:divBdr>
        <w:top w:val="none" w:sz="0" w:space="0" w:color="auto"/>
        <w:left w:val="none" w:sz="0" w:space="0" w:color="auto"/>
        <w:bottom w:val="none" w:sz="0" w:space="0" w:color="auto"/>
        <w:right w:val="none" w:sz="0" w:space="0" w:color="auto"/>
      </w:divBdr>
    </w:div>
    <w:div w:id="1630545753">
      <w:bodyDiv w:val="1"/>
      <w:marLeft w:val="0"/>
      <w:marRight w:val="0"/>
      <w:marTop w:val="0"/>
      <w:marBottom w:val="0"/>
      <w:divBdr>
        <w:top w:val="none" w:sz="0" w:space="0" w:color="auto"/>
        <w:left w:val="none" w:sz="0" w:space="0" w:color="auto"/>
        <w:bottom w:val="none" w:sz="0" w:space="0" w:color="auto"/>
        <w:right w:val="none" w:sz="0" w:space="0" w:color="auto"/>
      </w:divBdr>
      <w:divsChild>
        <w:div w:id="574899110">
          <w:marLeft w:val="0"/>
          <w:marRight w:val="0"/>
          <w:marTop w:val="0"/>
          <w:marBottom w:val="0"/>
          <w:divBdr>
            <w:top w:val="none" w:sz="0" w:space="0" w:color="auto"/>
            <w:left w:val="none" w:sz="0" w:space="0" w:color="auto"/>
            <w:bottom w:val="none" w:sz="0" w:space="0" w:color="auto"/>
            <w:right w:val="none" w:sz="0" w:space="0" w:color="auto"/>
          </w:divBdr>
        </w:div>
        <w:div w:id="1975061332">
          <w:marLeft w:val="0"/>
          <w:marRight w:val="0"/>
          <w:marTop w:val="0"/>
          <w:marBottom w:val="0"/>
          <w:divBdr>
            <w:top w:val="none" w:sz="0" w:space="0" w:color="auto"/>
            <w:left w:val="none" w:sz="0" w:space="0" w:color="auto"/>
            <w:bottom w:val="none" w:sz="0" w:space="0" w:color="auto"/>
            <w:right w:val="none" w:sz="0" w:space="0" w:color="auto"/>
          </w:divBdr>
        </w:div>
      </w:divsChild>
    </w:div>
    <w:div w:id="1654524730">
      <w:bodyDiv w:val="1"/>
      <w:marLeft w:val="0"/>
      <w:marRight w:val="0"/>
      <w:marTop w:val="0"/>
      <w:marBottom w:val="0"/>
      <w:divBdr>
        <w:top w:val="none" w:sz="0" w:space="0" w:color="auto"/>
        <w:left w:val="none" w:sz="0" w:space="0" w:color="auto"/>
        <w:bottom w:val="none" w:sz="0" w:space="0" w:color="auto"/>
        <w:right w:val="none" w:sz="0" w:space="0" w:color="auto"/>
      </w:divBdr>
    </w:div>
    <w:div w:id="1678383353">
      <w:bodyDiv w:val="1"/>
      <w:marLeft w:val="0"/>
      <w:marRight w:val="0"/>
      <w:marTop w:val="0"/>
      <w:marBottom w:val="0"/>
      <w:divBdr>
        <w:top w:val="none" w:sz="0" w:space="0" w:color="auto"/>
        <w:left w:val="none" w:sz="0" w:space="0" w:color="auto"/>
        <w:bottom w:val="none" w:sz="0" w:space="0" w:color="auto"/>
        <w:right w:val="none" w:sz="0" w:space="0" w:color="auto"/>
      </w:divBdr>
    </w:div>
    <w:div w:id="1682776980">
      <w:bodyDiv w:val="1"/>
      <w:marLeft w:val="0"/>
      <w:marRight w:val="0"/>
      <w:marTop w:val="0"/>
      <w:marBottom w:val="0"/>
      <w:divBdr>
        <w:top w:val="none" w:sz="0" w:space="0" w:color="auto"/>
        <w:left w:val="none" w:sz="0" w:space="0" w:color="auto"/>
        <w:bottom w:val="none" w:sz="0" w:space="0" w:color="auto"/>
        <w:right w:val="none" w:sz="0" w:space="0" w:color="auto"/>
      </w:divBdr>
    </w:div>
    <w:div w:id="1717659959">
      <w:bodyDiv w:val="1"/>
      <w:marLeft w:val="0"/>
      <w:marRight w:val="0"/>
      <w:marTop w:val="0"/>
      <w:marBottom w:val="0"/>
      <w:divBdr>
        <w:top w:val="none" w:sz="0" w:space="0" w:color="auto"/>
        <w:left w:val="none" w:sz="0" w:space="0" w:color="auto"/>
        <w:bottom w:val="none" w:sz="0" w:space="0" w:color="auto"/>
        <w:right w:val="none" w:sz="0" w:space="0" w:color="auto"/>
      </w:divBdr>
      <w:divsChild>
        <w:div w:id="196817349">
          <w:marLeft w:val="0"/>
          <w:marRight w:val="0"/>
          <w:marTop w:val="0"/>
          <w:marBottom w:val="0"/>
          <w:divBdr>
            <w:top w:val="none" w:sz="0" w:space="0" w:color="auto"/>
            <w:left w:val="none" w:sz="0" w:space="0" w:color="auto"/>
            <w:bottom w:val="none" w:sz="0" w:space="0" w:color="auto"/>
            <w:right w:val="none" w:sz="0" w:space="0" w:color="auto"/>
          </w:divBdr>
        </w:div>
        <w:div w:id="546575667">
          <w:marLeft w:val="0"/>
          <w:marRight w:val="0"/>
          <w:marTop w:val="0"/>
          <w:marBottom w:val="0"/>
          <w:divBdr>
            <w:top w:val="none" w:sz="0" w:space="0" w:color="auto"/>
            <w:left w:val="none" w:sz="0" w:space="0" w:color="auto"/>
            <w:bottom w:val="none" w:sz="0" w:space="0" w:color="auto"/>
            <w:right w:val="none" w:sz="0" w:space="0" w:color="auto"/>
          </w:divBdr>
        </w:div>
        <w:div w:id="790827605">
          <w:marLeft w:val="0"/>
          <w:marRight w:val="0"/>
          <w:marTop w:val="0"/>
          <w:marBottom w:val="0"/>
          <w:divBdr>
            <w:top w:val="none" w:sz="0" w:space="0" w:color="auto"/>
            <w:left w:val="none" w:sz="0" w:space="0" w:color="auto"/>
            <w:bottom w:val="none" w:sz="0" w:space="0" w:color="auto"/>
            <w:right w:val="none" w:sz="0" w:space="0" w:color="auto"/>
          </w:divBdr>
        </w:div>
        <w:div w:id="908540803">
          <w:marLeft w:val="0"/>
          <w:marRight w:val="0"/>
          <w:marTop w:val="0"/>
          <w:marBottom w:val="0"/>
          <w:divBdr>
            <w:top w:val="none" w:sz="0" w:space="0" w:color="auto"/>
            <w:left w:val="none" w:sz="0" w:space="0" w:color="auto"/>
            <w:bottom w:val="none" w:sz="0" w:space="0" w:color="auto"/>
            <w:right w:val="none" w:sz="0" w:space="0" w:color="auto"/>
          </w:divBdr>
        </w:div>
        <w:div w:id="1100445551">
          <w:marLeft w:val="0"/>
          <w:marRight w:val="0"/>
          <w:marTop w:val="0"/>
          <w:marBottom w:val="0"/>
          <w:divBdr>
            <w:top w:val="none" w:sz="0" w:space="0" w:color="auto"/>
            <w:left w:val="none" w:sz="0" w:space="0" w:color="auto"/>
            <w:bottom w:val="none" w:sz="0" w:space="0" w:color="auto"/>
            <w:right w:val="none" w:sz="0" w:space="0" w:color="auto"/>
          </w:divBdr>
        </w:div>
        <w:div w:id="1148984670">
          <w:marLeft w:val="0"/>
          <w:marRight w:val="0"/>
          <w:marTop w:val="0"/>
          <w:marBottom w:val="0"/>
          <w:divBdr>
            <w:top w:val="none" w:sz="0" w:space="0" w:color="auto"/>
            <w:left w:val="none" w:sz="0" w:space="0" w:color="auto"/>
            <w:bottom w:val="none" w:sz="0" w:space="0" w:color="auto"/>
            <w:right w:val="none" w:sz="0" w:space="0" w:color="auto"/>
          </w:divBdr>
        </w:div>
        <w:div w:id="1843006257">
          <w:marLeft w:val="0"/>
          <w:marRight w:val="0"/>
          <w:marTop w:val="0"/>
          <w:marBottom w:val="0"/>
          <w:divBdr>
            <w:top w:val="none" w:sz="0" w:space="0" w:color="auto"/>
            <w:left w:val="none" w:sz="0" w:space="0" w:color="auto"/>
            <w:bottom w:val="none" w:sz="0" w:space="0" w:color="auto"/>
            <w:right w:val="none" w:sz="0" w:space="0" w:color="auto"/>
          </w:divBdr>
        </w:div>
      </w:divsChild>
    </w:div>
    <w:div w:id="1720396360">
      <w:bodyDiv w:val="1"/>
      <w:marLeft w:val="0"/>
      <w:marRight w:val="0"/>
      <w:marTop w:val="0"/>
      <w:marBottom w:val="0"/>
      <w:divBdr>
        <w:top w:val="none" w:sz="0" w:space="0" w:color="auto"/>
        <w:left w:val="none" w:sz="0" w:space="0" w:color="auto"/>
        <w:bottom w:val="none" w:sz="0" w:space="0" w:color="auto"/>
        <w:right w:val="none" w:sz="0" w:space="0" w:color="auto"/>
      </w:divBdr>
      <w:divsChild>
        <w:div w:id="240335109">
          <w:marLeft w:val="0"/>
          <w:marRight w:val="0"/>
          <w:marTop w:val="0"/>
          <w:marBottom w:val="0"/>
          <w:divBdr>
            <w:top w:val="none" w:sz="0" w:space="0" w:color="auto"/>
            <w:left w:val="none" w:sz="0" w:space="0" w:color="auto"/>
            <w:bottom w:val="none" w:sz="0" w:space="0" w:color="auto"/>
            <w:right w:val="none" w:sz="0" w:space="0" w:color="auto"/>
          </w:divBdr>
        </w:div>
        <w:div w:id="289634439">
          <w:marLeft w:val="0"/>
          <w:marRight w:val="0"/>
          <w:marTop w:val="0"/>
          <w:marBottom w:val="0"/>
          <w:divBdr>
            <w:top w:val="none" w:sz="0" w:space="0" w:color="auto"/>
            <w:left w:val="none" w:sz="0" w:space="0" w:color="auto"/>
            <w:bottom w:val="none" w:sz="0" w:space="0" w:color="auto"/>
            <w:right w:val="none" w:sz="0" w:space="0" w:color="auto"/>
          </w:divBdr>
        </w:div>
        <w:div w:id="292828331">
          <w:marLeft w:val="0"/>
          <w:marRight w:val="0"/>
          <w:marTop w:val="0"/>
          <w:marBottom w:val="0"/>
          <w:divBdr>
            <w:top w:val="none" w:sz="0" w:space="0" w:color="auto"/>
            <w:left w:val="none" w:sz="0" w:space="0" w:color="auto"/>
            <w:bottom w:val="none" w:sz="0" w:space="0" w:color="auto"/>
            <w:right w:val="none" w:sz="0" w:space="0" w:color="auto"/>
          </w:divBdr>
        </w:div>
        <w:div w:id="343241402">
          <w:marLeft w:val="0"/>
          <w:marRight w:val="0"/>
          <w:marTop w:val="0"/>
          <w:marBottom w:val="0"/>
          <w:divBdr>
            <w:top w:val="none" w:sz="0" w:space="0" w:color="auto"/>
            <w:left w:val="none" w:sz="0" w:space="0" w:color="auto"/>
            <w:bottom w:val="none" w:sz="0" w:space="0" w:color="auto"/>
            <w:right w:val="none" w:sz="0" w:space="0" w:color="auto"/>
          </w:divBdr>
        </w:div>
        <w:div w:id="530462523">
          <w:marLeft w:val="0"/>
          <w:marRight w:val="0"/>
          <w:marTop w:val="0"/>
          <w:marBottom w:val="0"/>
          <w:divBdr>
            <w:top w:val="none" w:sz="0" w:space="0" w:color="auto"/>
            <w:left w:val="none" w:sz="0" w:space="0" w:color="auto"/>
            <w:bottom w:val="none" w:sz="0" w:space="0" w:color="auto"/>
            <w:right w:val="none" w:sz="0" w:space="0" w:color="auto"/>
          </w:divBdr>
        </w:div>
        <w:div w:id="1677804943">
          <w:marLeft w:val="0"/>
          <w:marRight w:val="0"/>
          <w:marTop w:val="0"/>
          <w:marBottom w:val="0"/>
          <w:divBdr>
            <w:top w:val="none" w:sz="0" w:space="0" w:color="auto"/>
            <w:left w:val="none" w:sz="0" w:space="0" w:color="auto"/>
            <w:bottom w:val="none" w:sz="0" w:space="0" w:color="auto"/>
            <w:right w:val="none" w:sz="0" w:space="0" w:color="auto"/>
          </w:divBdr>
        </w:div>
        <w:div w:id="1946108391">
          <w:marLeft w:val="0"/>
          <w:marRight w:val="0"/>
          <w:marTop w:val="0"/>
          <w:marBottom w:val="0"/>
          <w:divBdr>
            <w:top w:val="none" w:sz="0" w:space="0" w:color="auto"/>
            <w:left w:val="none" w:sz="0" w:space="0" w:color="auto"/>
            <w:bottom w:val="none" w:sz="0" w:space="0" w:color="auto"/>
            <w:right w:val="none" w:sz="0" w:space="0" w:color="auto"/>
          </w:divBdr>
        </w:div>
        <w:div w:id="1954089373">
          <w:marLeft w:val="0"/>
          <w:marRight w:val="0"/>
          <w:marTop w:val="0"/>
          <w:marBottom w:val="0"/>
          <w:divBdr>
            <w:top w:val="none" w:sz="0" w:space="0" w:color="auto"/>
            <w:left w:val="none" w:sz="0" w:space="0" w:color="auto"/>
            <w:bottom w:val="none" w:sz="0" w:space="0" w:color="auto"/>
            <w:right w:val="none" w:sz="0" w:space="0" w:color="auto"/>
          </w:divBdr>
        </w:div>
        <w:div w:id="2048488116">
          <w:marLeft w:val="0"/>
          <w:marRight w:val="0"/>
          <w:marTop w:val="0"/>
          <w:marBottom w:val="0"/>
          <w:divBdr>
            <w:top w:val="none" w:sz="0" w:space="0" w:color="auto"/>
            <w:left w:val="none" w:sz="0" w:space="0" w:color="auto"/>
            <w:bottom w:val="none" w:sz="0" w:space="0" w:color="auto"/>
            <w:right w:val="none" w:sz="0" w:space="0" w:color="auto"/>
          </w:divBdr>
        </w:div>
      </w:divsChild>
    </w:div>
    <w:div w:id="1726684948">
      <w:bodyDiv w:val="1"/>
      <w:marLeft w:val="0"/>
      <w:marRight w:val="0"/>
      <w:marTop w:val="0"/>
      <w:marBottom w:val="0"/>
      <w:divBdr>
        <w:top w:val="none" w:sz="0" w:space="0" w:color="auto"/>
        <w:left w:val="none" w:sz="0" w:space="0" w:color="auto"/>
        <w:bottom w:val="none" w:sz="0" w:space="0" w:color="auto"/>
        <w:right w:val="none" w:sz="0" w:space="0" w:color="auto"/>
      </w:divBdr>
    </w:div>
    <w:div w:id="1732575644">
      <w:bodyDiv w:val="1"/>
      <w:marLeft w:val="0"/>
      <w:marRight w:val="0"/>
      <w:marTop w:val="0"/>
      <w:marBottom w:val="0"/>
      <w:divBdr>
        <w:top w:val="none" w:sz="0" w:space="0" w:color="auto"/>
        <w:left w:val="none" w:sz="0" w:space="0" w:color="auto"/>
        <w:bottom w:val="none" w:sz="0" w:space="0" w:color="auto"/>
        <w:right w:val="none" w:sz="0" w:space="0" w:color="auto"/>
      </w:divBdr>
    </w:div>
    <w:div w:id="1741751711">
      <w:bodyDiv w:val="1"/>
      <w:marLeft w:val="0"/>
      <w:marRight w:val="0"/>
      <w:marTop w:val="0"/>
      <w:marBottom w:val="0"/>
      <w:divBdr>
        <w:top w:val="none" w:sz="0" w:space="0" w:color="auto"/>
        <w:left w:val="none" w:sz="0" w:space="0" w:color="auto"/>
        <w:bottom w:val="none" w:sz="0" w:space="0" w:color="auto"/>
        <w:right w:val="none" w:sz="0" w:space="0" w:color="auto"/>
      </w:divBdr>
    </w:div>
    <w:div w:id="1750999806">
      <w:bodyDiv w:val="1"/>
      <w:marLeft w:val="0"/>
      <w:marRight w:val="0"/>
      <w:marTop w:val="0"/>
      <w:marBottom w:val="0"/>
      <w:divBdr>
        <w:top w:val="none" w:sz="0" w:space="0" w:color="auto"/>
        <w:left w:val="none" w:sz="0" w:space="0" w:color="auto"/>
        <w:bottom w:val="none" w:sz="0" w:space="0" w:color="auto"/>
        <w:right w:val="none" w:sz="0" w:space="0" w:color="auto"/>
      </w:divBdr>
      <w:divsChild>
        <w:div w:id="858548884">
          <w:marLeft w:val="0"/>
          <w:marRight w:val="0"/>
          <w:marTop w:val="0"/>
          <w:marBottom w:val="0"/>
          <w:divBdr>
            <w:top w:val="none" w:sz="0" w:space="0" w:color="auto"/>
            <w:left w:val="none" w:sz="0" w:space="0" w:color="auto"/>
            <w:bottom w:val="none" w:sz="0" w:space="0" w:color="auto"/>
            <w:right w:val="none" w:sz="0" w:space="0" w:color="auto"/>
          </w:divBdr>
        </w:div>
        <w:div w:id="1440181011">
          <w:marLeft w:val="0"/>
          <w:marRight w:val="0"/>
          <w:marTop w:val="0"/>
          <w:marBottom w:val="0"/>
          <w:divBdr>
            <w:top w:val="none" w:sz="0" w:space="0" w:color="auto"/>
            <w:left w:val="none" w:sz="0" w:space="0" w:color="auto"/>
            <w:bottom w:val="none" w:sz="0" w:space="0" w:color="auto"/>
            <w:right w:val="none" w:sz="0" w:space="0" w:color="auto"/>
          </w:divBdr>
        </w:div>
        <w:div w:id="1538397372">
          <w:marLeft w:val="0"/>
          <w:marRight w:val="0"/>
          <w:marTop w:val="0"/>
          <w:marBottom w:val="0"/>
          <w:divBdr>
            <w:top w:val="none" w:sz="0" w:space="0" w:color="auto"/>
            <w:left w:val="none" w:sz="0" w:space="0" w:color="auto"/>
            <w:bottom w:val="none" w:sz="0" w:space="0" w:color="auto"/>
            <w:right w:val="none" w:sz="0" w:space="0" w:color="auto"/>
          </w:divBdr>
        </w:div>
        <w:div w:id="1582326693">
          <w:marLeft w:val="0"/>
          <w:marRight w:val="0"/>
          <w:marTop w:val="0"/>
          <w:marBottom w:val="0"/>
          <w:divBdr>
            <w:top w:val="none" w:sz="0" w:space="0" w:color="auto"/>
            <w:left w:val="none" w:sz="0" w:space="0" w:color="auto"/>
            <w:bottom w:val="none" w:sz="0" w:space="0" w:color="auto"/>
            <w:right w:val="none" w:sz="0" w:space="0" w:color="auto"/>
          </w:divBdr>
        </w:div>
        <w:div w:id="1815022522">
          <w:marLeft w:val="0"/>
          <w:marRight w:val="0"/>
          <w:marTop w:val="0"/>
          <w:marBottom w:val="0"/>
          <w:divBdr>
            <w:top w:val="none" w:sz="0" w:space="0" w:color="auto"/>
            <w:left w:val="none" w:sz="0" w:space="0" w:color="auto"/>
            <w:bottom w:val="none" w:sz="0" w:space="0" w:color="auto"/>
            <w:right w:val="none" w:sz="0" w:space="0" w:color="auto"/>
          </w:divBdr>
        </w:div>
        <w:div w:id="2064675072">
          <w:marLeft w:val="0"/>
          <w:marRight w:val="0"/>
          <w:marTop w:val="0"/>
          <w:marBottom w:val="0"/>
          <w:divBdr>
            <w:top w:val="none" w:sz="0" w:space="0" w:color="auto"/>
            <w:left w:val="none" w:sz="0" w:space="0" w:color="auto"/>
            <w:bottom w:val="none" w:sz="0" w:space="0" w:color="auto"/>
            <w:right w:val="none" w:sz="0" w:space="0" w:color="auto"/>
          </w:divBdr>
        </w:div>
        <w:div w:id="2111317097">
          <w:marLeft w:val="0"/>
          <w:marRight w:val="0"/>
          <w:marTop w:val="0"/>
          <w:marBottom w:val="0"/>
          <w:divBdr>
            <w:top w:val="none" w:sz="0" w:space="0" w:color="auto"/>
            <w:left w:val="none" w:sz="0" w:space="0" w:color="auto"/>
            <w:bottom w:val="none" w:sz="0" w:space="0" w:color="auto"/>
            <w:right w:val="none" w:sz="0" w:space="0" w:color="auto"/>
          </w:divBdr>
        </w:div>
      </w:divsChild>
    </w:div>
    <w:div w:id="1751270357">
      <w:bodyDiv w:val="1"/>
      <w:marLeft w:val="0"/>
      <w:marRight w:val="0"/>
      <w:marTop w:val="0"/>
      <w:marBottom w:val="0"/>
      <w:divBdr>
        <w:top w:val="none" w:sz="0" w:space="0" w:color="auto"/>
        <w:left w:val="none" w:sz="0" w:space="0" w:color="auto"/>
        <w:bottom w:val="none" w:sz="0" w:space="0" w:color="auto"/>
        <w:right w:val="none" w:sz="0" w:space="0" w:color="auto"/>
      </w:divBdr>
    </w:div>
    <w:div w:id="1754470581">
      <w:bodyDiv w:val="1"/>
      <w:marLeft w:val="0"/>
      <w:marRight w:val="0"/>
      <w:marTop w:val="0"/>
      <w:marBottom w:val="0"/>
      <w:divBdr>
        <w:top w:val="none" w:sz="0" w:space="0" w:color="auto"/>
        <w:left w:val="none" w:sz="0" w:space="0" w:color="auto"/>
        <w:bottom w:val="none" w:sz="0" w:space="0" w:color="auto"/>
        <w:right w:val="none" w:sz="0" w:space="0" w:color="auto"/>
      </w:divBdr>
      <w:divsChild>
        <w:div w:id="914751749">
          <w:marLeft w:val="0"/>
          <w:marRight w:val="0"/>
          <w:marTop w:val="0"/>
          <w:marBottom w:val="0"/>
          <w:divBdr>
            <w:top w:val="none" w:sz="0" w:space="0" w:color="auto"/>
            <w:left w:val="none" w:sz="0" w:space="0" w:color="auto"/>
            <w:bottom w:val="none" w:sz="0" w:space="0" w:color="auto"/>
            <w:right w:val="none" w:sz="0" w:space="0" w:color="auto"/>
          </w:divBdr>
        </w:div>
        <w:div w:id="478496539">
          <w:marLeft w:val="0"/>
          <w:marRight w:val="0"/>
          <w:marTop w:val="0"/>
          <w:marBottom w:val="0"/>
          <w:divBdr>
            <w:top w:val="none" w:sz="0" w:space="0" w:color="auto"/>
            <w:left w:val="none" w:sz="0" w:space="0" w:color="auto"/>
            <w:bottom w:val="none" w:sz="0" w:space="0" w:color="auto"/>
            <w:right w:val="none" w:sz="0" w:space="0" w:color="auto"/>
          </w:divBdr>
        </w:div>
      </w:divsChild>
    </w:div>
    <w:div w:id="1780563161">
      <w:bodyDiv w:val="1"/>
      <w:marLeft w:val="0"/>
      <w:marRight w:val="0"/>
      <w:marTop w:val="0"/>
      <w:marBottom w:val="0"/>
      <w:divBdr>
        <w:top w:val="none" w:sz="0" w:space="0" w:color="auto"/>
        <w:left w:val="none" w:sz="0" w:space="0" w:color="auto"/>
        <w:bottom w:val="none" w:sz="0" w:space="0" w:color="auto"/>
        <w:right w:val="none" w:sz="0" w:space="0" w:color="auto"/>
      </w:divBdr>
    </w:div>
    <w:div w:id="1855799508">
      <w:bodyDiv w:val="1"/>
      <w:marLeft w:val="0"/>
      <w:marRight w:val="0"/>
      <w:marTop w:val="0"/>
      <w:marBottom w:val="0"/>
      <w:divBdr>
        <w:top w:val="none" w:sz="0" w:space="0" w:color="auto"/>
        <w:left w:val="none" w:sz="0" w:space="0" w:color="auto"/>
        <w:bottom w:val="none" w:sz="0" w:space="0" w:color="auto"/>
        <w:right w:val="none" w:sz="0" w:space="0" w:color="auto"/>
      </w:divBdr>
    </w:div>
    <w:div w:id="1863739030">
      <w:bodyDiv w:val="1"/>
      <w:marLeft w:val="0"/>
      <w:marRight w:val="0"/>
      <w:marTop w:val="0"/>
      <w:marBottom w:val="0"/>
      <w:divBdr>
        <w:top w:val="none" w:sz="0" w:space="0" w:color="auto"/>
        <w:left w:val="none" w:sz="0" w:space="0" w:color="auto"/>
        <w:bottom w:val="none" w:sz="0" w:space="0" w:color="auto"/>
        <w:right w:val="none" w:sz="0" w:space="0" w:color="auto"/>
      </w:divBdr>
      <w:divsChild>
        <w:div w:id="385109439">
          <w:marLeft w:val="0"/>
          <w:marRight w:val="0"/>
          <w:marTop w:val="0"/>
          <w:marBottom w:val="0"/>
          <w:divBdr>
            <w:top w:val="none" w:sz="0" w:space="0" w:color="auto"/>
            <w:left w:val="none" w:sz="0" w:space="0" w:color="auto"/>
            <w:bottom w:val="none" w:sz="0" w:space="0" w:color="auto"/>
            <w:right w:val="none" w:sz="0" w:space="0" w:color="auto"/>
          </w:divBdr>
        </w:div>
        <w:div w:id="715543367">
          <w:marLeft w:val="0"/>
          <w:marRight w:val="0"/>
          <w:marTop w:val="0"/>
          <w:marBottom w:val="0"/>
          <w:divBdr>
            <w:top w:val="none" w:sz="0" w:space="0" w:color="auto"/>
            <w:left w:val="none" w:sz="0" w:space="0" w:color="auto"/>
            <w:bottom w:val="none" w:sz="0" w:space="0" w:color="auto"/>
            <w:right w:val="none" w:sz="0" w:space="0" w:color="auto"/>
          </w:divBdr>
        </w:div>
        <w:div w:id="881331889">
          <w:marLeft w:val="0"/>
          <w:marRight w:val="0"/>
          <w:marTop w:val="0"/>
          <w:marBottom w:val="0"/>
          <w:divBdr>
            <w:top w:val="none" w:sz="0" w:space="0" w:color="auto"/>
            <w:left w:val="none" w:sz="0" w:space="0" w:color="auto"/>
            <w:bottom w:val="none" w:sz="0" w:space="0" w:color="auto"/>
            <w:right w:val="none" w:sz="0" w:space="0" w:color="auto"/>
          </w:divBdr>
        </w:div>
      </w:divsChild>
    </w:div>
    <w:div w:id="1864320858">
      <w:bodyDiv w:val="1"/>
      <w:marLeft w:val="0"/>
      <w:marRight w:val="0"/>
      <w:marTop w:val="0"/>
      <w:marBottom w:val="0"/>
      <w:divBdr>
        <w:top w:val="none" w:sz="0" w:space="0" w:color="auto"/>
        <w:left w:val="none" w:sz="0" w:space="0" w:color="auto"/>
        <w:bottom w:val="none" w:sz="0" w:space="0" w:color="auto"/>
        <w:right w:val="none" w:sz="0" w:space="0" w:color="auto"/>
      </w:divBdr>
    </w:div>
    <w:div w:id="1865634470">
      <w:bodyDiv w:val="1"/>
      <w:marLeft w:val="0"/>
      <w:marRight w:val="0"/>
      <w:marTop w:val="0"/>
      <w:marBottom w:val="0"/>
      <w:divBdr>
        <w:top w:val="none" w:sz="0" w:space="0" w:color="auto"/>
        <w:left w:val="none" w:sz="0" w:space="0" w:color="auto"/>
        <w:bottom w:val="none" w:sz="0" w:space="0" w:color="auto"/>
        <w:right w:val="none" w:sz="0" w:space="0" w:color="auto"/>
      </w:divBdr>
    </w:div>
    <w:div w:id="1894920693">
      <w:bodyDiv w:val="1"/>
      <w:marLeft w:val="0"/>
      <w:marRight w:val="0"/>
      <w:marTop w:val="0"/>
      <w:marBottom w:val="0"/>
      <w:divBdr>
        <w:top w:val="none" w:sz="0" w:space="0" w:color="auto"/>
        <w:left w:val="none" w:sz="0" w:space="0" w:color="auto"/>
        <w:bottom w:val="none" w:sz="0" w:space="0" w:color="auto"/>
        <w:right w:val="none" w:sz="0" w:space="0" w:color="auto"/>
      </w:divBdr>
    </w:div>
    <w:div w:id="1956060988">
      <w:bodyDiv w:val="1"/>
      <w:marLeft w:val="0"/>
      <w:marRight w:val="0"/>
      <w:marTop w:val="0"/>
      <w:marBottom w:val="0"/>
      <w:divBdr>
        <w:top w:val="none" w:sz="0" w:space="0" w:color="auto"/>
        <w:left w:val="none" w:sz="0" w:space="0" w:color="auto"/>
        <w:bottom w:val="none" w:sz="0" w:space="0" w:color="auto"/>
        <w:right w:val="none" w:sz="0" w:space="0" w:color="auto"/>
      </w:divBdr>
    </w:div>
    <w:div w:id="1966882406">
      <w:bodyDiv w:val="1"/>
      <w:marLeft w:val="0"/>
      <w:marRight w:val="0"/>
      <w:marTop w:val="0"/>
      <w:marBottom w:val="0"/>
      <w:divBdr>
        <w:top w:val="none" w:sz="0" w:space="0" w:color="auto"/>
        <w:left w:val="none" w:sz="0" w:space="0" w:color="auto"/>
        <w:bottom w:val="none" w:sz="0" w:space="0" w:color="auto"/>
        <w:right w:val="none" w:sz="0" w:space="0" w:color="auto"/>
      </w:divBdr>
    </w:div>
    <w:div w:id="1992588691">
      <w:bodyDiv w:val="1"/>
      <w:marLeft w:val="0"/>
      <w:marRight w:val="0"/>
      <w:marTop w:val="0"/>
      <w:marBottom w:val="0"/>
      <w:divBdr>
        <w:top w:val="none" w:sz="0" w:space="0" w:color="auto"/>
        <w:left w:val="none" w:sz="0" w:space="0" w:color="auto"/>
        <w:bottom w:val="none" w:sz="0" w:space="0" w:color="auto"/>
        <w:right w:val="none" w:sz="0" w:space="0" w:color="auto"/>
      </w:divBdr>
    </w:div>
    <w:div w:id="2009675948">
      <w:bodyDiv w:val="1"/>
      <w:marLeft w:val="0"/>
      <w:marRight w:val="0"/>
      <w:marTop w:val="0"/>
      <w:marBottom w:val="0"/>
      <w:divBdr>
        <w:top w:val="none" w:sz="0" w:space="0" w:color="auto"/>
        <w:left w:val="none" w:sz="0" w:space="0" w:color="auto"/>
        <w:bottom w:val="none" w:sz="0" w:space="0" w:color="auto"/>
        <w:right w:val="none" w:sz="0" w:space="0" w:color="auto"/>
      </w:divBdr>
      <w:divsChild>
        <w:div w:id="49505923">
          <w:marLeft w:val="0"/>
          <w:marRight w:val="0"/>
          <w:marTop w:val="0"/>
          <w:marBottom w:val="0"/>
          <w:divBdr>
            <w:top w:val="none" w:sz="0" w:space="0" w:color="auto"/>
            <w:left w:val="none" w:sz="0" w:space="0" w:color="auto"/>
            <w:bottom w:val="none" w:sz="0" w:space="0" w:color="auto"/>
            <w:right w:val="none" w:sz="0" w:space="0" w:color="auto"/>
          </w:divBdr>
        </w:div>
        <w:div w:id="351297810">
          <w:marLeft w:val="0"/>
          <w:marRight w:val="0"/>
          <w:marTop w:val="0"/>
          <w:marBottom w:val="0"/>
          <w:divBdr>
            <w:top w:val="none" w:sz="0" w:space="0" w:color="auto"/>
            <w:left w:val="none" w:sz="0" w:space="0" w:color="auto"/>
            <w:bottom w:val="none" w:sz="0" w:space="0" w:color="auto"/>
            <w:right w:val="none" w:sz="0" w:space="0" w:color="auto"/>
          </w:divBdr>
        </w:div>
        <w:div w:id="738215262">
          <w:marLeft w:val="0"/>
          <w:marRight w:val="0"/>
          <w:marTop w:val="0"/>
          <w:marBottom w:val="0"/>
          <w:divBdr>
            <w:top w:val="none" w:sz="0" w:space="0" w:color="auto"/>
            <w:left w:val="none" w:sz="0" w:space="0" w:color="auto"/>
            <w:bottom w:val="none" w:sz="0" w:space="0" w:color="auto"/>
            <w:right w:val="none" w:sz="0" w:space="0" w:color="auto"/>
          </w:divBdr>
        </w:div>
        <w:div w:id="876090105">
          <w:marLeft w:val="0"/>
          <w:marRight w:val="0"/>
          <w:marTop w:val="0"/>
          <w:marBottom w:val="0"/>
          <w:divBdr>
            <w:top w:val="none" w:sz="0" w:space="0" w:color="auto"/>
            <w:left w:val="none" w:sz="0" w:space="0" w:color="auto"/>
            <w:bottom w:val="none" w:sz="0" w:space="0" w:color="auto"/>
            <w:right w:val="none" w:sz="0" w:space="0" w:color="auto"/>
          </w:divBdr>
        </w:div>
        <w:div w:id="1748913435">
          <w:marLeft w:val="0"/>
          <w:marRight w:val="0"/>
          <w:marTop w:val="0"/>
          <w:marBottom w:val="0"/>
          <w:divBdr>
            <w:top w:val="none" w:sz="0" w:space="0" w:color="auto"/>
            <w:left w:val="none" w:sz="0" w:space="0" w:color="auto"/>
            <w:bottom w:val="none" w:sz="0" w:space="0" w:color="auto"/>
            <w:right w:val="none" w:sz="0" w:space="0" w:color="auto"/>
          </w:divBdr>
        </w:div>
      </w:divsChild>
    </w:div>
    <w:div w:id="2017993482">
      <w:bodyDiv w:val="1"/>
      <w:marLeft w:val="0"/>
      <w:marRight w:val="0"/>
      <w:marTop w:val="0"/>
      <w:marBottom w:val="0"/>
      <w:divBdr>
        <w:top w:val="none" w:sz="0" w:space="0" w:color="auto"/>
        <w:left w:val="none" w:sz="0" w:space="0" w:color="auto"/>
        <w:bottom w:val="none" w:sz="0" w:space="0" w:color="auto"/>
        <w:right w:val="none" w:sz="0" w:space="0" w:color="auto"/>
      </w:divBdr>
    </w:div>
    <w:div w:id="2085489313">
      <w:bodyDiv w:val="1"/>
      <w:marLeft w:val="0"/>
      <w:marRight w:val="0"/>
      <w:marTop w:val="0"/>
      <w:marBottom w:val="0"/>
      <w:divBdr>
        <w:top w:val="none" w:sz="0" w:space="0" w:color="auto"/>
        <w:left w:val="none" w:sz="0" w:space="0" w:color="auto"/>
        <w:bottom w:val="none" w:sz="0" w:space="0" w:color="auto"/>
        <w:right w:val="none" w:sz="0" w:space="0" w:color="auto"/>
      </w:divBdr>
    </w:div>
    <w:div w:id="2096583550">
      <w:bodyDiv w:val="1"/>
      <w:marLeft w:val="0"/>
      <w:marRight w:val="0"/>
      <w:marTop w:val="0"/>
      <w:marBottom w:val="0"/>
      <w:divBdr>
        <w:top w:val="none" w:sz="0" w:space="0" w:color="auto"/>
        <w:left w:val="none" w:sz="0" w:space="0" w:color="auto"/>
        <w:bottom w:val="none" w:sz="0" w:space="0" w:color="auto"/>
        <w:right w:val="none" w:sz="0" w:space="0" w:color="auto"/>
      </w:divBdr>
    </w:div>
    <w:div w:id="21263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isd.org/itn/2014/01/06/state-liability-for-regulatory-change-how-international-investment-rules-are-overriding-domestic-law/" TargetMode="External"/><Relationship Id="rId18" Type="http://schemas.openxmlformats.org/officeDocument/2006/relationships/hyperlink" Target="https://www.oecd.org/daf/inv/investment-policy/WP-2004_4.pdf" TargetMode="External"/><Relationship Id="rId26" Type="http://schemas.openxmlformats.org/officeDocument/2006/relationships/hyperlink" Target="http://kluwerarbitrationblog.com/2017/02/28/booked-22-february-polish-bits/" TargetMode="External"/><Relationship Id="rId3" Type="http://schemas.openxmlformats.org/officeDocument/2006/relationships/styles" Target="styles.xml"/><Relationship Id="rId21" Type="http://schemas.openxmlformats.org/officeDocument/2006/relationships/hyperlink" Target="http://www.sekaninalegal.eu/article/57/ondrej-sekanina-neprime-vyvlastneni-v-praxi-mezinarodnich-investicnich-arbitrazi" TargetMode="External"/><Relationship Id="rId7" Type="http://schemas.openxmlformats.org/officeDocument/2006/relationships/footnotes" Target="footnotes.xml"/><Relationship Id="rId12" Type="http://schemas.openxmlformats.org/officeDocument/2006/relationships/hyperlink" Target="http://www.investopedia.com/terms/g/goodwill.asp" TargetMode="External"/><Relationship Id="rId17" Type="http://schemas.openxmlformats.org/officeDocument/2006/relationships/hyperlink" Target="https://www.oecd.org/daf/inv/investment-policy/WP-2004_3.pdf" TargetMode="External"/><Relationship Id="rId25" Type="http://schemas.openxmlformats.org/officeDocument/2006/relationships/hyperlink" Target="https://deicl.univie.ac.at/fileadmin/user_upload/i_deicl/VR/VR_Personal/Reinisch/Internetpublikationen/wilhelmer.pdf" TargetMode="External"/><Relationship Id="rId2" Type="http://schemas.openxmlformats.org/officeDocument/2006/relationships/numbering" Target="numbering.xml"/><Relationship Id="rId16" Type="http://schemas.openxmlformats.org/officeDocument/2006/relationships/hyperlink" Target="http://www.mfcr.cz/cs/zahranicni-sektor/ochrana-financnich-zajmu/arbitraze/aktualni-informace/2016/ministerstvo-financi-vypracovalo-novou-v-27033" TargetMode="External"/><Relationship Id="rId20" Type="http://schemas.openxmlformats.org/officeDocument/2006/relationships/hyperlink" Target="http://www.reuters.com/article/venezuela-crystallex-idLTAN082649272007110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tria.cz/pravo/3217884/investicni-arbitraze-v-roce-2015.html" TargetMode="External"/><Relationship Id="rId24" Type="http://schemas.openxmlformats.org/officeDocument/2006/relationships/hyperlink" Target="http://www.who.int/fctc/signatories_parties/en/" TargetMode="External"/><Relationship Id="rId5" Type="http://schemas.openxmlformats.org/officeDocument/2006/relationships/settings" Target="settings.xml"/><Relationship Id="rId15" Type="http://schemas.openxmlformats.org/officeDocument/2006/relationships/hyperlink" Target="https://www.iisd.org/itn/2016/02/29/icsid-tribunal-dismisses-final-claim-for-compensation-in-relation-to-hungarys-2008-termination-of-power-purchase-agreement-electrabel-sa-v-republic-of-hungary-icsid-case-no-arb-07-1/" TargetMode="External"/><Relationship Id="rId23" Type="http://schemas.openxmlformats.org/officeDocument/2006/relationships/hyperlink" Target="https://www.state.gov/documents/organization/188371.pdf" TargetMode="External"/><Relationship Id="rId28" Type="http://schemas.openxmlformats.org/officeDocument/2006/relationships/fontTable" Target="fontTable.xml"/><Relationship Id="rId10" Type="http://schemas.openxmlformats.org/officeDocument/2006/relationships/hyperlink" Target="http://finmin.nic.in/reports/ModelTextIndia_BIT.pdf" TargetMode="External"/><Relationship Id="rId19" Type="http://schemas.openxmlformats.org/officeDocument/2006/relationships/hyperlink" Target="http://uk.practicallaw.com/8-519-0939" TargetMode="External"/><Relationship Id="rId4" Type="http://schemas.microsoft.com/office/2007/relationships/stylesWithEffects" Target="stylesWithEffects.xml"/><Relationship Id="rId9" Type="http://schemas.openxmlformats.org/officeDocument/2006/relationships/hyperlink" Target="http://trade.ec.europa.eu/doclib/docs/2010/july/tradoc_146307.pdf" TargetMode="External"/><Relationship Id="rId14" Type="http://schemas.openxmlformats.org/officeDocument/2006/relationships/hyperlink" Target="https://globalarbitrationnews.com/german-association-judges-proposal-european-commission-introduction-investment-court-system-settle-investor-state-disputes-transatlantic-trade-investmen/" TargetMode="External"/><Relationship Id="rId22" Type="http://schemas.openxmlformats.org/officeDocument/2006/relationships/hyperlink" Target="http://www.unrisd.org/unrisd/website/document.nsf/(httpPublications)/BBA20D83E347DBAFC125778200440AA7?OpenDocument"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oecd.org/daf/inv/investment-policy/WP-2004_4.pdf" TargetMode="External"/><Relationship Id="rId13" Type="http://schemas.openxmlformats.org/officeDocument/2006/relationships/hyperlink" Target="http://finmin.nic.in/reports/ModelTextIndia_BIT.pdf" TargetMode="External"/><Relationship Id="rId18" Type="http://schemas.openxmlformats.org/officeDocument/2006/relationships/hyperlink" Target="https://globalarbitrationnews.com/german-association-judges-proposal-european-commission-introduction-investment-court-system-settle-investor-state-disputes-transatlantic-trade-investmen/" TargetMode="External"/><Relationship Id="rId3" Type="http://schemas.openxmlformats.org/officeDocument/2006/relationships/hyperlink" Target="http://uk.practicallaw.com/8-519-0939" TargetMode="External"/><Relationship Id="rId7" Type="http://schemas.openxmlformats.org/officeDocument/2006/relationships/hyperlink" Target="http://www.sekaninalegal.eu/article/57/ondrej-sekanina-neprime-vyvlastneni-v-praxi-mezinarodnich-investicnich-arbitrazi" TargetMode="External"/><Relationship Id="rId12" Type="http://schemas.openxmlformats.org/officeDocument/2006/relationships/hyperlink" Target="https://www.state.gov/documents/organization/188371.pdf" TargetMode="External"/><Relationship Id="rId17" Type="http://schemas.openxmlformats.org/officeDocument/2006/relationships/hyperlink" Target="http://kluwerarbitrationblog.com/2017/02/28/booked-22-february-polish-bits/" TargetMode="External"/><Relationship Id="rId2" Type="http://schemas.openxmlformats.org/officeDocument/2006/relationships/hyperlink" Target="https://www.patria.cz/pravo/3217884/investicni-arbitraze-v-roce-2015.html" TargetMode="External"/><Relationship Id="rId16" Type="http://schemas.openxmlformats.org/officeDocument/2006/relationships/hyperlink" Target="https://deicl.univie.ac.at/fileadmin/user_upload/i_deicl/VR/VR_Personal/Reinisch/Internetpublikationen/wilhelmer.pdf" TargetMode="External"/><Relationship Id="rId1" Type="http://schemas.openxmlformats.org/officeDocument/2006/relationships/hyperlink" Target="https://www.iisd.org/itn/2014/01/06/state-liability-for-regulatory-change-how-international-investment-rules-are-overriding-domestic-law/" TargetMode="External"/><Relationship Id="rId6" Type="http://schemas.openxmlformats.org/officeDocument/2006/relationships/hyperlink" Target="https://www.iisd.org/itn/2016/02/29/icsid-tribunal-dismisses-final-claim-for-compensation-in-relation-to-hungarys-2008-termination-of-power-purchase-agreement-electrabel-sa-v-republic-of-hungary-icsid-case-no-arb-07-1/" TargetMode="External"/><Relationship Id="rId11" Type="http://schemas.openxmlformats.org/officeDocument/2006/relationships/hyperlink" Target="http://www.mfcr.cz/cs/zahranicni-sektor/ochrana-financnich-zajmu/arbitraze/aktualni-informace/2016/ministerstvo-financi-vypracovalo-novou-v-27033" TargetMode="External"/><Relationship Id="rId5" Type="http://schemas.openxmlformats.org/officeDocument/2006/relationships/hyperlink" Target="http://www.who.int/fctc/signatories_parties/en/" TargetMode="External"/><Relationship Id="rId15" Type="http://schemas.openxmlformats.org/officeDocument/2006/relationships/hyperlink" Target="http://trade.ec.europa.eu/doclib/docs/2010/july/tradoc_146307.pdf" TargetMode="External"/><Relationship Id="rId10" Type="http://schemas.openxmlformats.org/officeDocument/2006/relationships/hyperlink" Target="http://www.unrisd.org/unrisd/website/document.nsf/(httpPublications)/BBA20D83E347DBAFC125778200440AA7?OpenDocument" TargetMode="External"/><Relationship Id="rId4" Type="http://schemas.openxmlformats.org/officeDocument/2006/relationships/hyperlink" Target="http://www.reuters.com/article/venezuela-crystallex-idLTAN0826492720071108" TargetMode="External"/><Relationship Id="rId9" Type="http://schemas.openxmlformats.org/officeDocument/2006/relationships/hyperlink" Target="http://www.investopedia.com/terms/g/goodwill.asp" TargetMode="External"/><Relationship Id="rId14" Type="http://schemas.openxmlformats.org/officeDocument/2006/relationships/hyperlink" Target="https://www.oecd.org/daf/inv/investment-policy/WP-2004_3.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F7722-F206-4C55-A236-E98F1ACF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47661</TotalTime>
  <Pages>64</Pages>
  <Words>16084</Words>
  <Characters>94899</Characters>
  <Application>Microsoft Office Word</Application>
  <DocSecurity>0</DocSecurity>
  <Lines>790</Lines>
  <Paragraphs>221</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110762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Ferfecki Vit</dc:creator>
  <cp:lastModifiedBy>Vít Ferfecki</cp:lastModifiedBy>
  <cp:revision>1826</cp:revision>
  <cp:lastPrinted>2013-02-15T15:25:00Z</cp:lastPrinted>
  <dcterms:created xsi:type="dcterms:W3CDTF">2013-02-17T17:47:00Z</dcterms:created>
  <dcterms:modified xsi:type="dcterms:W3CDTF">2017-04-13T09:27:00Z</dcterms:modified>
</cp:coreProperties>
</file>